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4F11302" w14:textId="54D48ED6" w:rsidR="003F76D4" w:rsidRDefault="006841EF" w:rsidP="006841EF">
      <w:pPr>
        <w:ind w:left="-993"/>
        <w:jc w:val="center"/>
        <w:rPr>
          <w:rFonts w:eastAsia="Calibri" w:cs="Arial"/>
          <w:sz w:val="24"/>
          <w:szCs w:val="20"/>
        </w:rPr>
      </w:pPr>
      <w:bookmarkStart w:id="0" w:name="_GoBack"/>
      <w:bookmarkEnd w:id="0"/>
      <w:r w:rsidRPr="006841EF">
        <w:rPr>
          <w:rFonts w:eastAsia="Calibri" w:cs="Arial"/>
          <w:noProof/>
          <w:sz w:val="24"/>
          <w:szCs w:val="20"/>
          <w:lang w:eastAsia="en-AU"/>
        </w:rPr>
        <w:drawing>
          <wp:inline distT="0" distB="0" distL="0" distR="0" wp14:anchorId="685E51FB" wp14:editId="4E238984">
            <wp:extent cx="6935617" cy="9820087"/>
            <wp:effectExtent l="0" t="0" r="0" b="0"/>
            <wp:docPr id="2" name="Picture 2" descr="Bushfire Protection for certain Class 9 buildings - Decision Regulation Impact Statement" title=" Cover page for R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5271" cy="9847914"/>
                    </a:xfrm>
                    <a:prstGeom prst="rect">
                      <a:avLst/>
                    </a:prstGeom>
                    <a:noFill/>
                    <a:ln>
                      <a:noFill/>
                    </a:ln>
                  </pic:spPr>
                </pic:pic>
              </a:graphicData>
            </a:graphic>
          </wp:inline>
        </w:drawing>
      </w:r>
      <w:r w:rsidR="003F76D4">
        <w:rPr>
          <w:rFonts w:eastAsia="Calibri" w:cs="Arial"/>
          <w:sz w:val="24"/>
          <w:szCs w:val="20"/>
        </w:rPr>
        <w:br w:type="page"/>
      </w:r>
    </w:p>
    <w:p w14:paraId="7C9B03A1" w14:textId="2BA93207" w:rsidR="00B270D1" w:rsidRPr="009C0A5D" w:rsidRDefault="00B270D1" w:rsidP="00A8260C">
      <w:pPr>
        <w:pBdr>
          <w:top w:val="single" w:sz="4" w:space="1" w:color="auto"/>
          <w:bottom w:val="single" w:sz="4" w:space="1" w:color="auto"/>
        </w:pBdr>
        <w:spacing w:before="120" w:after="0" w:line="360" w:lineRule="auto"/>
        <w:jc w:val="both"/>
        <w:rPr>
          <w:rFonts w:eastAsia="Calibri" w:cs="Arial"/>
          <w:sz w:val="24"/>
          <w:szCs w:val="20"/>
        </w:rPr>
      </w:pPr>
      <w:r w:rsidRPr="009C0A5D">
        <w:rPr>
          <w:rFonts w:eastAsia="Calibri" w:cs="Arial"/>
          <w:sz w:val="24"/>
          <w:szCs w:val="20"/>
        </w:rPr>
        <w:lastRenderedPageBreak/>
        <w:t xml:space="preserve">The Australian Building Codes Board has developed this </w:t>
      </w:r>
      <w:r w:rsidR="00191EE1">
        <w:rPr>
          <w:rFonts w:eastAsia="Calibri" w:cs="Arial"/>
          <w:sz w:val="24"/>
          <w:szCs w:val="20"/>
        </w:rPr>
        <w:t>Final</w:t>
      </w:r>
      <w:r w:rsidR="00191EE1" w:rsidRPr="009C0A5D">
        <w:rPr>
          <w:rFonts w:eastAsia="Calibri" w:cs="Arial"/>
          <w:sz w:val="24"/>
          <w:szCs w:val="20"/>
        </w:rPr>
        <w:t xml:space="preserve"> </w:t>
      </w:r>
      <w:r w:rsidRPr="009C0A5D">
        <w:rPr>
          <w:rFonts w:eastAsia="Calibri" w:cs="Arial"/>
          <w:sz w:val="24"/>
          <w:szCs w:val="20"/>
        </w:rPr>
        <w:t xml:space="preserve">Regulation Impact Statement, which accords with the requirements of Best Practice Regulation: </w:t>
      </w:r>
      <w:r w:rsidRPr="009C0A5D">
        <w:rPr>
          <w:rFonts w:eastAsia="Calibri" w:cs="Arial"/>
          <w:i/>
          <w:iCs/>
          <w:sz w:val="24"/>
          <w:szCs w:val="20"/>
        </w:rPr>
        <w:t>A Guide for Ministerial Councils and National Standard Setting Bodies</w:t>
      </w:r>
      <w:r w:rsidRPr="009C0A5D">
        <w:rPr>
          <w:rFonts w:eastAsia="Calibri" w:cs="Arial"/>
          <w:sz w:val="24"/>
          <w:szCs w:val="20"/>
        </w:rPr>
        <w:t>, as endorsed by the Council of Australian Governments in 2007. Its purpose is to inform interested parties and to assist the Australian Building Codes Board in its decision making on proposed amendments to the National Construction Code.</w:t>
      </w:r>
    </w:p>
    <w:p w14:paraId="61E7246F" w14:textId="77777777" w:rsidR="00B270D1" w:rsidRDefault="00B270D1" w:rsidP="00B270D1">
      <w:pPr>
        <w:rPr>
          <w:rFonts w:eastAsia="Calibri" w:cs="Arial"/>
          <w:sz w:val="24"/>
          <w:szCs w:val="20"/>
        </w:rPr>
      </w:pPr>
    </w:p>
    <w:p w14:paraId="7B6D945B" w14:textId="77777777" w:rsidR="00EC0938" w:rsidRPr="00156820" w:rsidRDefault="00EC0938" w:rsidP="00156820">
      <w:pPr>
        <w:rPr>
          <w:b/>
          <w:bCs/>
          <w:color w:val="002060"/>
          <w:sz w:val="40"/>
          <w:szCs w:val="40"/>
        </w:rPr>
      </w:pPr>
      <w:r w:rsidRPr="00156820">
        <w:rPr>
          <w:b/>
          <w:bCs/>
          <w:color w:val="002060"/>
          <w:sz w:val="40"/>
          <w:szCs w:val="40"/>
        </w:rPr>
        <w:t>The Australian Building Codes Board</w:t>
      </w:r>
    </w:p>
    <w:p w14:paraId="35E165B0" w14:textId="71A7866B" w:rsidR="00EC0938" w:rsidRPr="00B270D1" w:rsidRDefault="00EC0938" w:rsidP="00B270D1">
      <w:pPr>
        <w:spacing w:line="360" w:lineRule="auto"/>
        <w:jc w:val="both"/>
        <w:rPr>
          <w:rFonts w:eastAsia="Calibri" w:cs="Arial"/>
          <w:sz w:val="24"/>
          <w:szCs w:val="20"/>
        </w:rPr>
      </w:pPr>
      <w:r w:rsidRPr="00B270D1">
        <w:rPr>
          <w:sz w:val="24"/>
        </w:rPr>
        <w:t>The Australian Building Codes Board (ABCB) is a joint initiative of all levels of government in Australia, together with the building industry. Its mission is to oversee issues relating to health, safety, amenity and sustainability in building. The ABCB promotes efficiency in the design, construction and performance of buildings through the National Construction Code, and the development of effective regulatory and non-regulatory approaches.  The Board aims to establish effective and proportional</w:t>
      </w:r>
      <w:r w:rsidRPr="00B270D1">
        <w:rPr>
          <w:rFonts w:eastAsia="Calibri" w:cs="Arial"/>
          <w:sz w:val="24"/>
          <w:szCs w:val="20"/>
        </w:rPr>
        <w:t xml:space="preserve"> codes, standards and regulatory systems that are consistent between </w:t>
      </w:r>
      <w:r w:rsidR="006B34DA">
        <w:rPr>
          <w:rFonts w:eastAsia="Calibri" w:cs="Arial"/>
          <w:sz w:val="24"/>
          <w:szCs w:val="20"/>
        </w:rPr>
        <w:t>S</w:t>
      </w:r>
      <w:r w:rsidR="00D92B20" w:rsidRPr="00B270D1">
        <w:rPr>
          <w:rFonts w:eastAsia="Calibri" w:cs="Arial"/>
          <w:sz w:val="24"/>
          <w:szCs w:val="20"/>
        </w:rPr>
        <w:t xml:space="preserve">tates </w:t>
      </w:r>
      <w:r w:rsidRPr="00B270D1">
        <w:rPr>
          <w:rFonts w:eastAsia="Calibri" w:cs="Arial"/>
          <w:sz w:val="24"/>
          <w:szCs w:val="20"/>
        </w:rPr>
        <w:t xml:space="preserve">and </w:t>
      </w:r>
      <w:r w:rsidR="006B34DA">
        <w:rPr>
          <w:rFonts w:eastAsia="Calibri" w:cs="Arial"/>
          <w:sz w:val="24"/>
          <w:szCs w:val="20"/>
        </w:rPr>
        <w:t>T</w:t>
      </w:r>
      <w:r w:rsidRPr="00B270D1">
        <w:rPr>
          <w:rFonts w:eastAsia="Calibri" w:cs="Arial"/>
          <w:sz w:val="24"/>
          <w:szCs w:val="20"/>
        </w:rPr>
        <w:t xml:space="preserve">erritories.  For more information see </w:t>
      </w:r>
      <w:hyperlink r:id="rId13" w:history="1">
        <w:r w:rsidRPr="00B270D1">
          <w:rPr>
            <w:rStyle w:val="Hyperlink"/>
            <w:rFonts w:eastAsia="Calibri" w:cs="Arial"/>
            <w:sz w:val="24"/>
            <w:szCs w:val="20"/>
          </w:rPr>
          <w:t>the ABCB website.</w:t>
        </w:r>
      </w:hyperlink>
    </w:p>
    <w:p w14:paraId="2306E9E1" w14:textId="77777777" w:rsidR="004507E2" w:rsidRPr="00315CC1" w:rsidRDefault="004507E2" w:rsidP="004507E2">
      <w:pPr>
        <w:pStyle w:val="Heading-Legal"/>
        <w:rPr>
          <w:rFonts w:cs="Arial"/>
          <w:sz w:val="20"/>
          <w:szCs w:val="20"/>
        </w:rPr>
      </w:pPr>
      <w:r w:rsidRPr="00315CC1">
        <w:rPr>
          <w:rFonts w:cs="Arial"/>
          <w:sz w:val="20"/>
          <w:szCs w:val="20"/>
        </w:rPr>
        <w:t xml:space="preserve">Copyright </w:t>
      </w:r>
    </w:p>
    <w:p w14:paraId="5B472784" w14:textId="77777777" w:rsidR="004507E2" w:rsidRPr="00315CC1" w:rsidRDefault="004507E2" w:rsidP="004507E2">
      <w:pPr>
        <w:spacing w:after="120" w:line="240" w:lineRule="auto"/>
        <w:rPr>
          <w:rFonts w:cs="Arial"/>
          <w:b/>
          <w:bCs/>
          <w:sz w:val="20"/>
          <w:szCs w:val="20"/>
        </w:rPr>
      </w:pPr>
      <w:r w:rsidRPr="00315CC1">
        <w:rPr>
          <w:rFonts w:cs="Arial"/>
          <w:b/>
          <w:bCs/>
          <w:sz w:val="20"/>
          <w:szCs w:val="20"/>
        </w:rPr>
        <w:t>© Commonwealth of Australia and States and Territories of Australia 2020, published by the Australian Building Codes Board.</w:t>
      </w:r>
    </w:p>
    <w:p w14:paraId="53C3D76E" w14:textId="77777777" w:rsidR="004507E2" w:rsidRPr="00315CC1" w:rsidRDefault="004507E2" w:rsidP="004507E2">
      <w:pPr>
        <w:spacing w:before="120" w:after="120" w:line="240" w:lineRule="auto"/>
        <w:jc w:val="center"/>
        <w:rPr>
          <w:rFonts w:cs="Arial"/>
          <w:b/>
          <w:bCs/>
          <w:sz w:val="20"/>
          <w:szCs w:val="20"/>
        </w:rPr>
      </w:pPr>
      <w:r w:rsidRPr="00315CC1">
        <w:rPr>
          <w:rFonts w:cs="Arial"/>
          <w:b/>
          <w:bCs/>
          <w:noProof/>
          <w:sz w:val="20"/>
          <w:szCs w:val="20"/>
          <w:lang w:eastAsia="en-AU"/>
        </w:rPr>
        <w:drawing>
          <wp:inline distT="0" distB="0" distL="0" distR="0" wp14:anchorId="6A87E22C" wp14:editId="79FCA525">
            <wp:extent cx="1024000" cy="360000"/>
            <wp:effectExtent l="0" t="0" r="5080" b="2540"/>
            <wp:docPr id="5" name="Picture 5" descr="Visual representation of the CC B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2px-CC-BY_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4000" cy="360000"/>
                    </a:xfrm>
                    <a:prstGeom prst="rect">
                      <a:avLst/>
                    </a:prstGeom>
                  </pic:spPr>
                </pic:pic>
              </a:graphicData>
            </a:graphic>
          </wp:inline>
        </w:drawing>
      </w:r>
    </w:p>
    <w:p w14:paraId="1B2C870E" w14:textId="77777777" w:rsidR="004507E2" w:rsidRPr="00315CC1" w:rsidRDefault="004507E2" w:rsidP="004507E2">
      <w:pPr>
        <w:spacing w:after="120" w:line="240" w:lineRule="auto"/>
        <w:rPr>
          <w:rFonts w:cs="Arial"/>
          <w:sz w:val="20"/>
          <w:szCs w:val="20"/>
        </w:rPr>
        <w:sectPr w:rsidR="004507E2" w:rsidRPr="00315CC1" w:rsidSect="009C0A5D">
          <w:pgSz w:w="11906" w:h="16838" w:code="9"/>
          <w:pgMar w:top="1418" w:right="1418" w:bottom="1418" w:left="1418" w:header="567" w:footer="567" w:gutter="0"/>
          <w:pgNumType w:start="1"/>
          <w:cols w:space="708"/>
          <w:docGrid w:linePitch="360"/>
        </w:sectPr>
      </w:pPr>
    </w:p>
    <w:p w14:paraId="1645F3BD" w14:textId="77777777" w:rsidR="004507E2" w:rsidRPr="00315CC1" w:rsidRDefault="004507E2" w:rsidP="004507E2">
      <w:pPr>
        <w:spacing w:before="120" w:after="120" w:line="240" w:lineRule="auto"/>
        <w:rPr>
          <w:rFonts w:cs="Arial"/>
          <w:sz w:val="20"/>
          <w:szCs w:val="20"/>
        </w:rPr>
      </w:pPr>
      <w:r w:rsidRPr="00315CC1">
        <w:rPr>
          <w:rFonts w:cs="Arial"/>
          <w:sz w:val="20"/>
          <w:szCs w:val="20"/>
        </w:rPr>
        <w:t>The material in this publication is licensed under a Creative Commons Attribution-</w:t>
      </w:r>
      <w:r>
        <w:rPr>
          <w:rFonts w:cs="Arial"/>
          <w:sz w:val="20"/>
          <w:szCs w:val="20"/>
        </w:rPr>
        <w:t>No Derivatives-</w:t>
      </w:r>
      <w:r w:rsidRPr="00315CC1">
        <w:rPr>
          <w:rFonts w:cs="Arial"/>
          <w:sz w:val="20"/>
          <w:szCs w:val="20"/>
        </w:rPr>
        <w:t>4.0 International licence, with the exception of</w:t>
      </w:r>
    </w:p>
    <w:p w14:paraId="14A4505C" w14:textId="77777777" w:rsidR="004507E2" w:rsidRPr="00315CC1" w:rsidRDefault="004507E2" w:rsidP="004C4CF8">
      <w:pPr>
        <w:numPr>
          <w:ilvl w:val="0"/>
          <w:numId w:val="8"/>
        </w:numPr>
        <w:spacing w:after="0" w:line="240" w:lineRule="auto"/>
        <w:ind w:left="425" w:hanging="357"/>
        <w:jc w:val="both"/>
        <w:rPr>
          <w:rFonts w:cs="Arial"/>
          <w:sz w:val="20"/>
          <w:szCs w:val="20"/>
        </w:rPr>
      </w:pPr>
      <w:r w:rsidRPr="00315CC1">
        <w:rPr>
          <w:rFonts w:cs="Arial"/>
          <w:sz w:val="20"/>
          <w:szCs w:val="20"/>
        </w:rPr>
        <w:t xml:space="preserve">Any </w:t>
      </w:r>
      <w:r w:rsidR="00E0520F" w:rsidRPr="00315CC1">
        <w:rPr>
          <w:rFonts w:cs="Arial"/>
          <w:sz w:val="20"/>
          <w:szCs w:val="20"/>
        </w:rPr>
        <w:t>third-party</w:t>
      </w:r>
      <w:r w:rsidRPr="00315CC1">
        <w:rPr>
          <w:rFonts w:cs="Arial"/>
          <w:sz w:val="20"/>
          <w:szCs w:val="20"/>
        </w:rPr>
        <w:t xml:space="preserve"> material</w:t>
      </w:r>
    </w:p>
    <w:p w14:paraId="7EABA3D2" w14:textId="77777777" w:rsidR="004507E2" w:rsidRPr="00315CC1" w:rsidRDefault="004507E2" w:rsidP="004C4CF8">
      <w:pPr>
        <w:numPr>
          <w:ilvl w:val="0"/>
          <w:numId w:val="8"/>
        </w:numPr>
        <w:spacing w:after="0" w:line="240" w:lineRule="auto"/>
        <w:ind w:left="425" w:hanging="357"/>
        <w:jc w:val="both"/>
        <w:rPr>
          <w:rFonts w:cs="Arial"/>
          <w:sz w:val="20"/>
          <w:szCs w:val="20"/>
        </w:rPr>
      </w:pPr>
      <w:r w:rsidRPr="00315CC1">
        <w:rPr>
          <w:rFonts w:cs="Arial"/>
          <w:sz w:val="20"/>
          <w:szCs w:val="20"/>
        </w:rPr>
        <w:t xml:space="preserve">Any trademarks, and </w:t>
      </w:r>
    </w:p>
    <w:p w14:paraId="19B8BDA8" w14:textId="77777777" w:rsidR="004507E2" w:rsidRPr="00315CC1" w:rsidRDefault="004507E2" w:rsidP="004C4CF8">
      <w:pPr>
        <w:numPr>
          <w:ilvl w:val="0"/>
          <w:numId w:val="8"/>
        </w:numPr>
        <w:spacing w:after="120" w:line="240" w:lineRule="auto"/>
        <w:ind w:left="425" w:hanging="357"/>
        <w:jc w:val="both"/>
        <w:rPr>
          <w:rFonts w:cs="Arial"/>
          <w:sz w:val="20"/>
          <w:szCs w:val="20"/>
        </w:rPr>
      </w:pPr>
      <w:r w:rsidRPr="00315CC1">
        <w:rPr>
          <w:rFonts w:cs="Arial"/>
          <w:sz w:val="20"/>
          <w:szCs w:val="20"/>
        </w:rPr>
        <w:t>Any images or photographs.</w:t>
      </w:r>
    </w:p>
    <w:p w14:paraId="5F508E00" w14:textId="77777777" w:rsidR="004507E2" w:rsidRPr="00315CC1" w:rsidRDefault="004507E2" w:rsidP="004507E2">
      <w:pPr>
        <w:spacing w:before="120" w:line="240" w:lineRule="auto"/>
        <w:rPr>
          <w:rFonts w:cs="Arial"/>
          <w:sz w:val="20"/>
          <w:szCs w:val="20"/>
        </w:rPr>
      </w:pPr>
      <w:r w:rsidRPr="00315CC1">
        <w:rPr>
          <w:rFonts w:cs="Arial"/>
          <w:sz w:val="20"/>
          <w:szCs w:val="20"/>
        </w:rPr>
        <w:t>More information on this CC BY licence is set out at the Creative Commons website</w:t>
      </w:r>
      <w:r w:rsidRPr="00315CC1">
        <w:rPr>
          <w:rFonts w:cs="Arial"/>
          <w:sz w:val="20"/>
          <w:szCs w:val="20"/>
          <w:u w:val="single"/>
        </w:rPr>
        <w:t xml:space="preserve"> </w:t>
      </w:r>
      <w:r w:rsidRPr="00315CC1">
        <w:rPr>
          <w:rFonts w:cs="Arial"/>
          <w:color w:val="0000FF"/>
          <w:sz w:val="20"/>
          <w:szCs w:val="20"/>
          <w:u w:val="single"/>
        </w:rPr>
        <w:t>(</w:t>
      </w:r>
      <w:hyperlink r:id="rId15" w:tooltip="Creative Commons website" w:history="1">
        <w:r w:rsidRPr="00315CC1">
          <w:rPr>
            <w:rFonts w:cs="Arial"/>
            <w:color w:val="0000FF"/>
            <w:sz w:val="20"/>
            <w:szCs w:val="20"/>
            <w:u w:val="single"/>
          </w:rPr>
          <w:t>creativecommons.org/licenses/by/4.0</w:t>
        </w:r>
      </w:hyperlink>
      <w:r w:rsidRPr="00315CC1">
        <w:rPr>
          <w:rFonts w:cs="Arial"/>
          <w:color w:val="0000FF"/>
          <w:sz w:val="20"/>
          <w:szCs w:val="20"/>
          <w:u w:val="single"/>
        </w:rPr>
        <w:t>)</w:t>
      </w:r>
      <w:r w:rsidRPr="00315CC1">
        <w:rPr>
          <w:rFonts w:cs="Arial"/>
          <w:sz w:val="20"/>
          <w:szCs w:val="20"/>
        </w:rPr>
        <w:t xml:space="preserve">. </w:t>
      </w:r>
    </w:p>
    <w:p w14:paraId="30648A24" w14:textId="77777777" w:rsidR="004507E2" w:rsidRPr="00315CC1" w:rsidRDefault="004507E2" w:rsidP="004507E2">
      <w:pPr>
        <w:spacing w:before="120" w:line="240" w:lineRule="auto"/>
        <w:rPr>
          <w:rFonts w:cs="Arial"/>
          <w:sz w:val="20"/>
          <w:szCs w:val="20"/>
        </w:rPr>
      </w:pPr>
      <w:r w:rsidRPr="00315CC1">
        <w:rPr>
          <w:rFonts w:cs="Arial"/>
          <w:sz w:val="20"/>
          <w:szCs w:val="20"/>
        </w:rPr>
        <w:t>Enquiries about this publication can be sent to:</w:t>
      </w:r>
    </w:p>
    <w:p w14:paraId="1C144F63" w14:textId="77777777" w:rsidR="004507E2" w:rsidRPr="00315CC1" w:rsidRDefault="004507E2" w:rsidP="004507E2">
      <w:pPr>
        <w:tabs>
          <w:tab w:val="left" w:pos="1418"/>
          <w:tab w:val="left" w:pos="5245"/>
        </w:tabs>
        <w:spacing w:after="0" w:line="240" w:lineRule="auto"/>
        <w:rPr>
          <w:rFonts w:cs="Arial"/>
          <w:sz w:val="20"/>
          <w:szCs w:val="20"/>
        </w:rPr>
      </w:pPr>
      <w:r w:rsidRPr="00315CC1">
        <w:rPr>
          <w:rFonts w:cs="Arial"/>
          <w:sz w:val="20"/>
          <w:szCs w:val="20"/>
        </w:rPr>
        <w:t>Australian Building Codes Board</w:t>
      </w:r>
      <w:r>
        <w:rPr>
          <w:rFonts w:cs="Arial"/>
          <w:sz w:val="20"/>
          <w:szCs w:val="20"/>
        </w:rPr>
        <w:br/>
      </w:r>
      <w:r w:rsidRPr="00315CC1">
        <w:rPr>
          <w:rFonts w:cs="Arial"/>
          <w:sz w:val="20"/>
          <w:szCs w:val="20"/>
        </w:rPr>
        <w:t>GPO Box 2013</w:t>
      </w:r>
      <w:r>
        <w:rPr>
          <w:rFonts w:cs="Arial"/>
          <w:sz w:val="20"/>
          <w:szCs w:val="20"/>
        </w:rPr>
        <w:br/>
      </w:r>
      <w:r w:rsidRPr="00315CC1">
        <w:rPr>
          <w:rFonts w:cs="Arial"/>
          <w:sz w:val="20"/>
          <w:szCs w:val="20"/>
        </w:rPr>
        <w:t>CANBERRA ACT 2601</w:t>
      </w:r>
    </w:p>
    <w:p w14:paraId="5236474E" w14:textId="77777777" w:rsidR="004507E2" w:rsidRPr="00315CC1" w:rsidRDefault="004507E2" w:rsidP="004507E2">
      <w:pPr>
        <w:tabs>
          <w:tab w:val="left" w:pos="1418"/>
          <w:tab w:val="left" w:pos="5245"/>
        </w:tabs>
        <w:spacing w:after="0" w:line="240" w:lineRule="auto"/>
        <w:rPr>
          <w:rFonts w:cs="Arial"/>
          <w:sz w:val="20"/>
          <w:szCs w:val="20"/>
        </w:rPr>
      </w:pPr>
      <w:r w:rsidRPr="00315CC1">
        <w:rPr>
          <w:rFonts w:cs="Arial"/>
          <w:sz w:val="20"/>
          <w:szCs w:val="20"/>
        </w:rPr>
        <w:t>Phone: 1300 134 631</w:t>
      </w:r>
    </w:p>
    <w:p w14:paraId="075A59F9" w14:textId="77777777" w:rsidR="004507E2" w:rsidRPr="00315CC1" w:rsidRDefault="004507E2" w:rsidP="004507E2">
      <w:pPr>
        <w:tabs>
          <w:tab w:val="left" w:pos="1418"/>
          <w:tab w:val="left" w:pos="5245"/>
        </w:tabs>
        <w:spacing w:after="0" w:line="240" w:lineRule="auto"/>
        <w:rPr>
          <w:rFonts w:cs="Arial"/>
          <w:color w:val="0000FF"/>
          <w:sz w:val="20"/>
          <w:szCs w:val="20"/>
          <w:u w:val="single"/>
        </w:rPr>
      </w:pPr>
      <w:r w:rsidRPr="00315CC1">
        <w:rPr>
          <w:rFonts w:cs="Arial"/>
          <w:sz w:val="20"/>
          <w:szCs w:val="20"/>
        </w:rPr>
        <w:t xml:space="preserve">Email: </w:t>
      </w:r>
      <w:hyperlink r:id="rId16" w:history="1">
        <w:r w:rsidRPr="00315CC1">
          <w:rPr>
            <w:rFonts w:cs="Arial"/>
            <w:color w:val="0000FF"/>
            <w:sz w:val="20"/>
            <w:szCs w:val="20"/>
            <w:u w:val="single"/>
          </w:rPr>
          <w:t>ncc@abcb.gov.au</w:t>
        </w:r>
      </w:hyperlink>
      <w:r>
        <w:rPr>
          <w:rFonts w:cs="Arial"/>
          <w:color w:val="0000FF"/>
          <w:sz w:val="20"/>
          <w:szCs w:val="20"/>
          <w:u w:val="single"/>
        </w:rPr>
        <w:br/>
      </w:r>
      <w:r w:rsidRPr="00315CC1">
        <w:rPr>
          <w:rFonts w:cs="Arial"/>
          <w:sz w:val="20"/>
          <w:szCs w:val="20"/>
        </w:rPr>
        <w:t xml:space="preserve">Web: </w:t>
      </w:r>
      <w:hyperlink r:id="rId17" w:tooltip="ABCB Website" w:history="1">
        <w:r w:rsidRPr="00315CC1">
          <w:rPr>
            <w:rFonts w:cs="Arial"/>
            <w:color w:val="0000FF"/>
            <w:sz w:val="20"/>
            <w:szCs w:val="20"/>
            <w:u w:val="single"/>
          </w:rPr>
          <w:t>abcb.gov.au</w:t>
        </w:r>
      </w:hyperlink>
    </w:p>
    <w:p w14:paraId="303A68BE" w14:textId="77777777" w:rsidR="004507E2" w:rsidRPr="00315CC1" w:rsidRDefault="004507E2" w:rsidP="004507E2">
      <w:pPr>
        <w:keepLines/>
        <w:pBdr>
          <w:top w:val="single" w:sz="18" w:space="1" w:color="000000" w:themeColor="text1"/>
          <w:bottom w:val="single" w:sz="18" w:space="1" w:color="000000" w:themeColor="text1"/>
        </w:pBdr>
        <w:shd w:val="clear" w:color="auto" w:fill="17365F"/>
        <w:spacing w:line="240" w:lineRule="auto"/>
        <w:ind w:firstLine="284"/>
        <w:rPr>
          <w:rFonts w:cs="Arial"/>
          <w:b/>
          <w:color w:val="FFFFFF"/>
          <w:sz w:val="20"/>
          <w:szCs w:val="20"/>
        </w:rPr>
        <w:sectPr w:rsidR="004507E2" w:rsidRPr="00315CC1" w:rsidSect="009C0A5D">
          <w:type w:val="continuous"/>
          <w:pgSz w:w="11906" w:h="16838" w:code="9"/>
          <w:pgMar w:top="1418" w:right="1418" w:bottom="1418" w:left="1418" w:header="567" w:footer="567" w:gutter="0"/>
          <w:cols w:num="2" w:space="708"/>
          <w:docGrid w:linePitch="360"/>
        </w:sectPr>
      </w:pPr>
    </w:p>
    <w:p w14:paraId="4BD11F35" w14:textId="77777777" w:rsidR="004507E2" w:rsidRPr="00315CC1" w:rsidRDefault="004507E2" w:rsidP="004507E2">
      <w:pPr>
        <w:pStyle w:val="Heading-Legal"/>
        <w:rPr>
          <w:rFonts w:cs="Arial"/>
          <w:sz w:val="20"/>
          <w:szCs w:val="20"/>
        </w:rPr>
      </w:pPr>
      <w:r w:rsidRPr="00315CC1">
        <w:rPr>
          <w:rFonts w:cs="Arial"/>
          <w:sz w:val="20"/>
          <w:szCs w:val="20"/>
        </w:rPr>
        <w:t xml:space="preserve">Attribution </w:t>
      </w:r>
    </w:p>
    <w:p w14:paraId="30A71A75" w14:textId="77777777" w:rsidR="004507E2" w:rsidRPr="00315CC1" w:rsidRDefault="004507E2" w:rsidP="004507E2">
      <w:pPr>
        <w:spacing w:before="120" w:after="120" w:line="240" w:lineRule="auto"/>
        <w:rPr>
          <w:rFonts w:cs="Arial"/>
          <w:sz w:val="20"/>
          <w:szCs w:val="20"/>
        </w:rPr>
      </w:pPr>
      <w:r w:rsidRPr="00315CC1">
        <w:rPr>
          <w:rFonts w:cs="Arial"/>
          <w:sz w:val="20"/>
          <w:szCs w:val="20"/>
        </w:rPr>
        <w:t>Use of all or part of this publication must include the following attribution:</w:t>
      </w:r>
    </w:p>
    <w:p w14:paraId="15AECB0E" w14:textId="77777777" w:rsidR="004507E2" w:rsidRPr="00315CC1" w:rsidRDefault="004507E2" w:rsidP="004507E2">
      <w:pPr>
        <w:spacing w:after="120" w:line="240" w:lineRule="auto"/>
        <w:rPr>
          <w:rFonts w:cs="Arial"/>
          <w:b/>
          <w:bCs/>
          <w:sz w:val="20"/>
          <w:szCs w:val="20"/>
        </w:rPr>
      </w:pPr>
      <w:r w:rsidRPr="00315CC1">
        <w:rPr>
          <w:rFonts w:cs="Arial"/>
          <w:b/>
          <w:bCs/>
          <w:sz w:val="20"/>
          <w:szCs w:val="20"/>
        </w:rPr>
        <w:t>© Commonwealth of Australia and States and Territories 2020, published by the Australian Building Codes Board.</w:t>
      </w:r>
    </w:p>
    <w:p w14:paraId="6DB095AD" w14:textId="77777777" w:rsidR="004507E2" w:rsidRPr="0067270E" w:rsidRDefault="004507E2" w:rsidP="004507E2">
      <w:pPr>
        <w:pStyle w:val="Heading-Legal"/>
        <w:rPr>
          <w:rFonts w:cs="Arial"/>
          <w:sz w:val="22"/>
          <w:szCs w:val="22"/>
        </w:rPr>
      </w:pPr>
      <w:r w:rsidRPr="0067270E">
        <w:rPr>
          <w:rFonts w:cs="Arial"/>
          <w:sz w:val="22"/>
          <w:szCs w:val="22"/>
        </w:rPr>
        <w:lastRenderedPageBreak/>
        <w:t xml:space="preserve">Disclaimer </w:t>
      </w:r>
    </w:p>
    <w:p w14:paraId="2A6AF387" w14:textId="77777777" w:rsidR="004507E2" w:rsidRPr="0067270E" w:rsidRDefault="004507E2" w:rsidP="0067270E">
      <w:pPr>
        <w:spacing w:before="120" w:after="120" w:line="360" w:lineRule="auto"/>
        <w:jc w:val="both"/>
        <w:rPr>
          <w:rFonts w:cs="Arial"/>
        </w:rPr>
      </w:pPr>
      <w:r w:rsidRPr="0067270E">
        <w:rPr>
          <w:rFonts w:cs="Arial"/>
        </w:rPr>
        <w:t xml:space="preserve">By accessing or using this publication, you agree to the following: </w:t>
      </w:r>
    </w:p>
    <w:p w14:paraId="640D4840" w14:textId="77777777" w:rsidR="004507E2" w:rsidRPr="0067270E" w:rsidRDefault="004507E2" w:rsidP="0067270E">
      <w:pPr>
        <w:spacing w:before="120" w:after="120" w:line="360" w:lineRule="auto"/>
        <w:jc w:val="both"/>
        <w:rPr>
          <w:rFonts w:cs="Arial"/>
        </w:rPr>
      </w:pPr>
      <w:r w:rsidRPr="0067270E">
        <w:rPr>
          <w:rFonts w:cs="Arial"/>
        </w:rPr>
        <w:t>While care has been taken in the preparation of this publication, it may not be complete or up-to-date. You can ensure that you are using a complete and up-to-date version by checking the Australian Building Codes Board website (</w:t>
      </w:r>
      <w:hyperlink r:id="rId18" w:tooltip="ABCB website" w:history="1">
        <w:r w:rsidRPr="0067270E">
          <w:rPr>
            <w:rFonts w:cs="Arial"/>
            <w:color w:val="0000FF"/>
            <w:u w:val="single"/>
          </w:rPr>
          <w:t>abcb.gov.au</w:t>
        </w:r>
      </w:hyperlink>
      <w:r w:rsidRPr="0067270E">
        <w:rPr>
          <w:rFonts w:cs="Arial"/>
        </w:rPr>
        <w:t xml:space="preserve">). </w:t>
      </w:r>
    </w:p>
    <w:p w14:paraId="6C99A0A8" w14:textId="77777777" w:rsidR="004507E2" w:rsidRPr="0067270E" w:rsidRDefault="004507E2" w:rsidP="0067270E">
      <w:pPr>
        <w:spacing w:before="120" w:after="120" w:line="360" w:lineRule="auto"/>
        <w:jc w:val="both"/>
        <w:rPr>
          <w:rFonts w:cs="Arial"/>
        </w:rPr>
      </w:pPr>
      <w:r w:rsidRPr="0067270E">
        <w:rPr>
          <w:rFonts w:cs="Arial"/>
        </w:rPr>
        <w:t xml:space="preserve">The Australian Building Codes Board, the Commonwealth of Australia and States and Territories of Australia do not accept any liability, including liability for negligence, for any loss (howsoever caused), damage, injury, expense or cost incurred by any person as a result of accessing, using or relying upon this publication, to the maximum extent permitted by law. No representation or warranty is made or given as to the currency, accuracy, reliability, merchantability, fitness for any purpose or completeness of this publication or any information which may appear on any linked websites, or in other linked information sources, and all such representations and warranties are excluded to the extent permitted by law. </w:t>
      </w:r>
    </w:p>
    <w:p w14:paraId="5CB52BF7" w14:textId="77777777" w:rsidR="004507E2" w:rsidRPr="0067270E" w:rsidRDefault="004507E2" w:rsidP="0067270E">
      <w:pPr>
        <w:spacing w:before="120" w:after="120" w:line="360" w:lineRule="auto"/>
        <w:jc w:val="both"/>
        <w:rPr>
          <w:rFonts w:cs="Arial"/>
        </w:rPr>
      </w:pPr>
      <w:r w:rsidRPr="0067270E">
        <w:rPr>
          <w:rFonts w:cs="Arial"/>
        </w:rPr>
        <w:t xml:space="preserve">This publication is not legal or professional advice. Persons rely upon this publication entirely at their own risk and must take responsibility for assessing the relevance and accuracy of the information in relation to their particular circumstances. </w:t>
      </w:r>
    </w:p>
    <w:p w14:paraId="2D6481F7" w14:textId="77777777" w:rsidR="004507E2" w:rsidRPr="0067270E" w:rsidRDefault="004507E2" w:rsidP="004507E2">
      <w:pPr>
        <w:pStyle w:val="Heading-Legal"/>
        <w:rPr>
          <w:rFonts w:cs="Arial"/>
          <w:sz w:val="22"/>
          <w:szCs w:val="22"/>
        </w:rPr>
      </w:pPr>
      <w:r w:rsidRPr="0067270E">
        <w:rPr>
          <w:rFonts w:cs="Arial"/>
          <w:sz w:val="22"/>
          <w:szCs w:val="22"/>
        </w:rPr>
        <w:t>Version history</w:t>
      </w:r>
    </w:p>
    <w:p w14:paraId="03DAB567" w14:textId="77777777" w:rsidR="004507E2" w:rsidRPr="0067270E" w:rsidRDefault="004507E2" w:rsidP="004507E2">
      <w:pPr>
        <w:pStyle w:val="Heading-Legal"/>
        <w:rPr>
          <w:rFonts w:cs="Arial"/>
          <w:sz w:val="22"/>
          <w:szCs w:val="22"/>
        </w:rPr>
        <w:sectPr w:rsidR="004507E2" w:rsidRPr="0067270E" w:rsidSect="009C0A5D">
          <w:type w:val="continuous"/>
          <w:pgSz w:w="11906" w:h="16838" w:code="9"/>
          <w:pgMar w:top="1418" w:right="1418" w:bottom="1418" w:left="1418" w:header="567" w:footer="567" w:gutter="0"/>
          <w:cols w:space="708"/>
          <w:docGrid w:linePitch="360"/>
        </w:sectPr>
      </w:pPr>
    </w:p>
    <w:p w14:paraId="786DEDA2" w14:textId="77777777" w:rsidR="004507E2" w:rsidRPr="0067270E" w:rsidRDefault="004507E2" w:rsidP="004507E2">
      <w:pPr>
        <w:spacing w:before="120" w:after="120" w:line="240" w:lineRule="auto"/>
        <w:rPr>
          <w:rFonts w:cs="Arial"/>
        </w:rPr>
      </w:pPr>
      <w:r w:rsidRPr="0067270E">
        <w:rPr>
          <w:rFonts w:cs="Arial"/>
        </w:rPr>
        <w:t xml:space="preserve">Original </w:t>
      </w:r>
    </w:p>
    <w:p w14:paraId="2C42490D" w14:textId="516F7B3C" w:rsidR="004507E2" w:rsidRPr="0067270E" w:rsidRDefault="004507E2" w:rsidP="004507E2">
      <w:pPr>
        <w:spacing w:before="120" w:after="120" w:line="240" w:lineRule="auto"/>
        <w:ind w:right="-1"/>
        <w:rPr>
          <w:rFonts w:cs="Arial"/>
        </w:rPr>
        <w:sectPr w:rsidR="004507E2" w:rsidRPr="0067270E" w:rsidSect="009C0A5D">
          <w:type w:val="continuous"/>
          <w:pgSz w:w="11906" w:h="16838" w:code="9"/>
          <w:pgMar w:top="1418" w:right="1418" w:bottom="1418" w:left="1418" w:header="567" w:footer="567" w:gutter="0"/>
          <w:cols w:num="2" w:space="0"/>
          <w:formProt w:val="0"/>
          <w:docGrid w:linePitch="360"/>
        </w:sectPr>
      </w:pPr>
      <w:r w:rsidRPr="0067270E">
        <w:rPr>
          <w:rFonts w:cs="Arial"/>
        </w:rPr>
        <w:t xml:space="preserve">Publish date: </w:t>
      </w:r>
      <w:r w:rsidR="00EA0AB3">
        <w:rPr>
          <w:rFonts w:cs="Arial"/>
        </w:rPr>
        <w:t>March</w:t>
      </w:r>
      <w:r w:rsidR="003F76D4" w:rsidRPr="0067270E">
        <w:rPr>
          <w:rFonts w:cs="Arial"/>
        </w:rPr>
        <w:t xml:space="preserve"> 2022</w:t>
      </w:r>
      <w:r w:rsidRPr="0067270E">
        <w:rPr>
          <w:rFonts w:cs="Arial"/>
        </w:rPr>
        <w:br/>
        <w:t>Print version: 1.</w:t>
      </w:r>
    </w:p>
    <w:sdt>
      <w:sdtPr>
        <w:rPr>
          <w:rFonts w:asciiTheme="minorHAnsi" w:eastAsiaTheme="minorHAnsi" w:hAnsiTheme="minorHAnsi" w:cstheme="minorHAnsi"/>
          <w:b w:val="0"/>
          <w:bCs w:val="0"/>
          <w:color w:val="auto"/>
          <w:sz w:val="22"/>
          <w:szCs w:val="22"/>
          <w:lang w:val="en-AU" w:eastAsia="en-US"/>
        </w:rPr>
        <w:id w:val="1531755008"/>
        <w:docPartObj>
          <w:docPartGallery w:val="Table of Contents"/>
          <w:docPartUnique/>
        </w:docPartObj>
      </w:sdtPr>
      <w:sdtEndPr>
        <w:rPr>
          <w:rFonts w:ascii="Arial" w:hAnsi="Arial" w:cstheme="minorBidi"/>
          <w:noProof/>
        </w:rPr>
      </w:sdtEndPr>
      <w:sdtContent>
        <w:p w14:paraId="05F95277" w14:textId="77777777" w:rsidR="003A22A1" w:rsidRPr="0067270E" w:rsidRDefault="003A22A1" w:rsidP="009332D8">
          <w:pPr>
            <w:pStyle w:val="TOCHeading"/>
            <w:spacing w:after="240"/>
            <w:rPr>
              <w:rFonts w:ascii="Arial" w:eastAsiaTheme="minorHAnsi" w:hAnsi="Arial" w:cstheme="minorBidi"/>
              <w:b w:val="0"/>
              <w:bCs w:val="0"/>
              <w:color w:val="002060"/>
              <w:sz w:val="40"/>
              <w:szCs w:val="40"/>
              <w:lang w:val="en-AU" w:eastAsia="en-US"/>
            </w:rPr>
          </w:pPr>
          <w:r w:rsidRPr="0067270E">
            <w:rPr>
              <w:rFonts w:ascii="Arial" w:eastAsiaTheme="minorHAnsi" w:hAnsi="Arial" w:cstheme="minorBidi"/>
              <w:b w:val="0"/>
              <w:bCs w:val="0"/>
              <w:color w:val="002060"/>
              <w:sz w:val="40"/>
              <w:szCs w:val="40"/>
              <w:lang w:val="en-AU" w:eastAsia="en-US"/>
            </w:rPr>
            <w:t>Contents</w:t>
          </w:r>
        </w:p>
        <w:p w14:paraId="7346590A" w14:textId="77777777" w:rsidR="00CA0DF7" w:rsidRDefault="00CA0DF7">
          <w:pPr>
            <w:pStyle w:val="TOC1"/>
            <w:rPr>
              <w:rFonts w:asciiTheme="minorHAnsi" w:eastAsiaTheme="minorEastAsia" w:hAnsiTheme="minorHAnsi"/>
              <w:noProof/>
              <w:lang w:eastAsia="en-AU"/>
            </w:rPr>
          </w:pPr>
          <w:r>
            <w:rPr>
              <w:rFonts w:cs="Arial"/>
              <w:sz w:val="24"/>
              <w:szCs w:val="24"/>
            </w:rPr>
            <w:fldChar w:fldCharType="begin"/>
          </w:r>
          <w:r>
            <w:rPr>
              <w:rFonts w:cs="Arial"/>
              <w:sz w:val="24"/>
              <w:szCs w:val="24"/>
            </w:rPr>
            <w:instrText xml:space="preserve"> TOC \o "1-2" \h \z \u </w:instrText>
          </w:r>
          <w:r>
            <w:rPr>
              <w:rFonts w:cs="Arial"/>
              <w:sz w:val="24"/>
              <w:szCs w:val="24"/>
            </w:rPr>
            <w:fldChar w:fldCharType="separate"/>
          </w:r>
          <w:hyperlink w:anchor="_Toc97023774" w:history="1">
            <w:r w:rsidRPr="00ED09DB">
              <w:rPr>
                <w:rStyle w:val="Hyperlink"/>
                <w:rFonts w:cs="Arial"/>
                <w:noProof/>
              </w:rPr>
              <w:t>Purpose and Scope</w:t>
            </w:r>
            <w:r>
              <w:rPr>
                <w:noProof/>
                <w:webHidden/>
              </w:rPr>
              <w:tab/>
            </w:r>
            <w:r>
              <w:rPr>
                <w:noProof/>
                <w:webHidden/>
              </w:rPr>
              <w:fldChar w:fldCharType="begin"/>
            </w:r>
            <w:r>
              <w:rPr>
                <w:noProof/>
                <w:webHidden/>
              </w:rPr>
              <w:instrText xml:space="preserve"> PAGEREF _Toc97023774 \h </w:instrText>
            </w:r>
            <w:r>
              <w:rPr>
                <w:noProof/>
                <w:webHidden/>
              </w:rPr>
            </w:r>
            <w:r>
              <w:rPr>
                <w:noProof/>
                <w:webHidden/>
              </w:rPr>
              <w:fldChar w:fldCharType="separate"/>
            </w:r>
            <w:r>
              <w:rPr>
                <w:noProof/>
                <w:webHidden/>
              </w:rPr>
              <w:t>7</w:t>
            </w:r>
            <w:r>
              <w:rPr>
                <w:noProof/>
                <w:webHidden/>
              </w:rPr>
              <w:fldChar w:fldCharType="end"/>
            </w:r>
          </w:hyperlink>
        </w:p>
        <w:p w14:paraId="6CD2C600" w14:textId="77777777" w:rsidR="00CA0DF7" w:rsidRDefault="00817681">
          <w:pPr>
            <w:pStyle w:val="TOC1"/>
            <w:rPr>
              <w:rFonts w:asciiTheme="minorHAnsi" w:eastAsiaTheme="minorEastAsia" w:hAnsiTheme="minorHAnsi"/>
              <w:noProof/>
              <w:lang w:eastAsia="en-AU"/>
            </w:rPr>
          </w:pPr>
          <w:hyperlink w:anchor="_Toc97023775" w:history="1">
            <w:r w:rsidR="00CA0DF7" w:rsidRPr="00ED09DB">
              <w:rPr>
                <w:rStyle w:val="Hyperlink"/>
                <w:rFonts w:cs="Arial"/>
                <w:noProof/>
              </w:rPr>
              <w:t>Problem</w:t>
            </w:r>
            <w:r w:rsidR="00CA0DF7">
              <w:rPr>
                <w:noProof/>
                <w:webHidden/>
              </w:rPr>
              <w:tab/>
            </w:r>
            <w:r w:rsidR="00CA0DF7">
              <w:rPr>
                <w:noProof/>
                <w:webHidden/>
              </w:rPr>
              <w:fldChar w:fldCharType="begin"/>
            </w:r>
            <w:r w:rsidR="00CA0DF7">
              <w:rPr>
                <w:noProof/>
                <w:webHidden/>
              </w:rPr>
              <w:instrText xml:space="preserve"> PAGEREF _Toc97023775 \h </w:instrText>
            </w:r>
            <w:r w:rsidR="00CA0DF7">
              <w:rPr>
                <w:noProof/>
                <w:webHidden/>
              </w:rPr>
            </w:r>
            <w:r w:rsidR="00CA0DF7">
              <w:rPr>
                <w:noProof/>
                <w:webHidden/>
              </w:rPr>
              <w:fldChar w:fldCharType="separate"/>
            </w:r>
            <w:r w:rsidR="00CA0DF7">
              <w:rPr>
                <w:noProof/>
                <w:webHidden/>
              </w:rPr>
              <w:t>7</w:t>
            </w:r>
            <w:r w:rsidR="00CA0DF7">
              <w:rPr>
                <w:noProof/>
                <w:webHidden/>
              </w:rPr>
              <w:fldChar w:fldCharType="end"/>
            </w:r>
          </w:hyperlink>
        </w:p>
        <w:p w14:paraId="6D02CCA2" w14:textId="77777777" w:rsidR="00CA0DF7" w:rsidRDefault="00817681">
          <w:pPr>
            <w:pStyle w:val="TOC2"/>
            <w:rPr>
              <w:rFonts w:asciiTheme="minorHAnsi" w:eastAsiaTheme="minorEastAsia" w:hAnsiTheme="minorHAnsi"/>
              <w:noProof/>
              <w:lang w:eastAsia="en-AU"/>
            </w:rPr>
          </w:pPr>
          <w:hyperlink w:anchor="_Toc97023776" w:history="1">
            <w:r w:rsidR="00CA0DF7" w:rsidRPr="00ED09DB">
              <w:rPr>
                <w:rStyle w:val="Hyperlink"/>
                <w:noProof/>
              </w:rPr>
              <w:t>Population at risk of the problem</w:t>
            </w:r>
            <w:r w:rsidR="00CA0DF7">
              <w:rPr>
                <w:noProof/>
                <w:webHidden/>
              </w:rPr>
              <w:tab/>
            </w:r>
            <w:r w:rsidR="00CA0DF7">
              <w:rPr>
                <w:noProof/>
                <w:webHidden/>
              </w:rPr>
              <w:fldChar w:fldCharType="begin"/>
            </w:r>
            <w:r w:rsidR="00CA0DF7">
              <w:rPr>
                <w:noProof/>
                <w:webHidden/>
              </w:rPr>
              <w:instrText xml:space="preserve"> PAGEREF _Toc97023776 \h </w:instrText>
            </w:r>
            <w:r w:rsidR="00CA0DF7">
              <w:rPr>
                <w:noProof/>
                <w:webHidden/>
              </w:rPr>
            </w:r>
            <w:r w:rsidR="00CA0DF7">
              <w:rPr>
                <w:noProof/>
                <w:webHidden/>
              </w:rPr>
              <w:fldChar w:fldCharType="separate"/>
            </w:r>
            <w:r w:rsidR="00CA0DF7">
              <w:rPr>
                <w:noProof/>
                <w:webHidden/>
              </w:rPr>
              <w:t>7</w:t>
            </w:r>
            <w:r w:rsidR="00CA0DF7">
              <w:rPr>
                <w:noProof/>
                <w:webHidden/>
              </w:rPr>
              <w:fldChar w:fldCharType="end"/>
            </w:r>
          </w:hyperlink>
        </w:p>
        <w:p w14:paraId="1F714C94" w14:textId="77777777" w:rsidR="00CA0DF7" w:rsidRDefault="00817681">
          <w:pPr>
            <w:pStyle w:val="TOC2"/>
            <w:rPr>
              <w:rFonts w:asciiTheme="minorHAnsi" w:eastAsiaTheme="minorEastAsia" w:hAnsiTheme="minorHAnsi"/>
              <w:noProof/>
              <w:lang w:eastAsia="en-AU"/>
            </w:rPr>
          </w:pPr>
          <w:hyperlink w:anchor="_Toc97023777" w:history="1">
            <w:r w:rsidR="00CA0DF7" w:rsidRPr="00ED09DB">
              <w:rPr>
                <w:rStyle w:val="Hyperlink"/>
                <w:noProof/>
              </w:rPr>
              <w:t>Challenges evacuating people at risk</w:t>
            </w:r>
            <w:r w:rsidR="00CA0DF7">
              <w:rPr>
                <w:noProof/>
                <w:webHidden/>
              </w:rPr>
              <w:tab/>
            </w:r>
            <w:r w:rsidR="00CA0DF7">
              <w:rPr>
                <w:noProof/>
                <w:webHidden/>
              </w:rPr>
              <w:fldChar w:fldCharType="begin"/>
            </w:r>
            <w:r w:rsidR="00CA0DF7">
              <w:rPr>
                <w:noProof/>
                <w:webHidden/>
              </w:rPr>
              <w:instrText xml:space="preserve"> PAGEREF _Toc97023777 \h </w:instrText>
            </w:r>
            <w:r w:rsidR="00CA0DF7">
              <w:rPr>
                <w:noProof/>
                <w:webHidden/>
              </w:rPr>
            </w:r>
            <w:r w:rsidR="00CA0DF7">
              <w:rPr>
                <w:noProof/>
                <w:webHidden/>
              </w:rPr>
              <w:fldChar w:fldCharType="separate"/>
            </w:r>
            <w:r w:rsidR="00CA0DF7">
              <w:rPr>
                <w:noProof/>
                <w:webHidden/>
              </w:rPr>
              <w:t>8</w:t>
            </w:r>
            <w:r w:rsidR="00CA0DF7">
              <w:rPr>
                <w:noProof/>
                <w:webHidden/>
              </w:rPr>
              <w:fldChar w:fldCharType="end"/>
            </w:r>
          </w:hyperlink>
        </w:p>
        <w:p w14:paraId="589388A1" w14:textId="77777777" w:rsidR="00CA0DF7" w:rsidRDefault="00817681">
          <w:pPr>
            <w:pStyle w:val="TOC2"/>
            <w:rPr>
              <w:rFonts w:asciiTheme="minorHAnsi" w:eastAsiaTheme="minorEastAsia" w:hAnsiTheme="minorHAnsi"/>
              <w:noProof/>
              <w:lang w:eastAsia="en-AU"/>
            </w:rPr>
          </w:pPr>
          <w:hyperlink w:anchor="_Toc97023778" w:history="1">
            <w:r w:rsidR="00CA0DF7" w:rsidRPr="00ED09DB">
              <w:rPr>
                <w:rStyle w:val="Hyperlink"/>
                <w:noProof/>
              </w:rPr>
              <w:t>The risk of bushfires occurring is increasing over time</w:t>
            </w:r>
            <w:r w:rsidR="00CA0DF7">
              <w:rPr>
                <w:noProof/>
                <w:webHidden/>
              </w:rPr>
              <w:tab/>
            </w:r>
            <w:r w:rsidR="00CA0DF7">
              <w:rPr>
                <w:noProof/>
                <w:webHidden/>
              </w:rPr>
              <w:fldChar w:fldCharType="begin"/>
            </w:r>
            <w:r w:rsidR="00CA0DF7">
              <w:rPr>
                <w:noProof/>
                <w:webHidden/>
              </w:rPr>
              <w:instrText xml:space="preserve"> PAGEREF _Toc97023778 \h </w:instrText>
            </w:r>
            <w:r w:rsidR="00CA0DF7">
              <w:rPr>
                <w:noProof/>
                <w:webHidden/>
              </w:rPr>
            </w:r>
            <w:r w:rsidR="00CA0DF7">
              <w:rPr>
                <w:noProof/>
                <w:webHidden/>
              </w:rPr>
              <w:fldChar w:fldCharType="separate"/>
            </w:r>
            <w:r w:rsidR="00CA0DF7">
              <w:rPr>
                <w:noProof/>
                <w:webHidden/>
              </w:rPr>
              <w:t>10</w:t>
            </w:r>
            <w:r w:rsidR="00CA0DF7">
              <w:rPr>
                <w:noProof/>
                <w:webHidden/>
              </w:rPr>
              <w:fldChar w:fldCharType="end"/>
            </w:r>
          </w:hyperlink>
        </w:p>
        <w:p w14:paraId="2EED718A" w14:textId="77777777" w:rsidR="00CA0DF7" w:rsidRDefault="00817681">
          <w:pPr>
            <w:pStyle w:val="TOC1"/>
            <w:rPr>
              <w:rFonts w:asciiTheme="minorHAnsi" w:eastAsiaTheme="minorEastAsia" w:hAnsiTheme="minorHAnsi"/>
              <w:noProof/>
              <w:lang w:eastAsia="en-AU"/>
            </w:rPr>
          </w:pPr>
          <w:hyperlink w:anchor="_Toc97023779" w:history="1">
            <w:r w:rsidR="00CA0DF7" w:rsidRPr="00ED09DB">
              <w:rPr>
                <w:rStyle w:val="Hyperlink"/>
                <w:rFonts w:cs="Arial"/>
                <w:noProof/>
              </w:rPr>
              <w:t>Objective</w:t>
            </w:r>
            <w:r w:rsidR="00CA0DF7">
              <w:rPr>
                <w:noProof/>
                <w:webHidden/>
              </w:rPr>
              <w:tab/>
            </w:r>
            <w:r w:rsidR="00CA0DF7">
              <w:rPr>
                <w:noProof/>
                <w:webHidden/>
              </w:rPr>
              <w:fldChar w:fldCharType="begin"/>
            </w:r>
            <w:r w:rsidR="00CA0DF7">
              <w:rPr>
                <w:noProof/>
                <w:webHidden/>
              </w:rPr>
              <w:instrText xml:space="preserve"> PAGEREF _Toc97023779 \h </w:instrText>
            </w:r>
            <w:r w:rsidR="00CA0DF7">
              <w:rPr>
                <w:noProof/>
                <w:webHidden/>
              </w:rPr>
            </w:r>
            <w:r w:rsidR="00CA0DF7">
              <w:rPr>
                <w:noProof/>
                <w:webHidden/>
              </w:rPr>
              <w:fldChar w:fldCharType="separate"/>
            </w:r>
            <w:r w:rsidR="00CA0DF7">
              <w:rPr>
                <w:noProof/>
                <w:webHidden/>
              </w:rPr>
              <w:t>20</w:t>
            </w:r>
            <w:r w:rsidR="00CA0DF7">
              <w:rPr>
                <w:noProof/>
                <w:webHidden/>
              </w:rPr>
              <w:fldChar w:fldCharType="end"/>
            </w:r>
          </w:hyperlink>
        </w:p>
        <w:p w14:paraId="662987EF" w14:textId="77777777" w:rsidR="00CA0DF7" w:rsidRDefault="00817681">
          <w:pPr>
            <w:pStyle w:val="TOC1"/>
            <w:rPr>
              <w:rFonts w:asciiTheme="minorHAnsi" w:eastAsiaTheme="minorEastAsia" w:hAnsiTheme="minorHAnsi"/>
              <w:noProof/>
              <w:lang w:eastAsia="en-AU"/>
            </w:rPr>
          </w:pPr>
          <w:hyperlink w:anchor="_Toc97023780" w:history="1">
            <w:r w:rsidR="00CA0DF7" w:rsidRPr="00ED09DB">
              <w:rPr>
                <w:rStyle w:val="Hyperlink"/>
                <w:rFonts w:cs="Arial"/>
                <w:noProof/>
              </w:rPr>
              <w:t>Options</w:t>
            </w:r>
            <w:r w:rsidR="00CA0DF7">
              <w:rPr>
                <w:noProof/>
                <w:webHidden/>
              </w:rPr>
              <w:tab/>
            </w:r>
            <w:r w:rsidR="00CA0DF7">
              <w:rPr>
                <w:noProof/>
                <w:webHidden/>
              </w:rPr>
              <w:fldChar w:fldCharType="begin"/>
            </w:r>
            <w:r w:rsidR="00CA0DF7">
              <w:rPr>
                <w:noProof/>
                <w:webHidden/>
              </w:rPr>
              <w:instrText xml:space="preserve"> PAGEREF _Toc97023780 \h </w:instrText>
            </w:r>
            <w:r w:rsidR="00CA0DF7">
              <w:rPr>
                <w:noProof/>
                <w:webHidden/>
              </w:rPr>
            </w:r>
            <w:r w:rsidR="00CA0DF7">
              <w:rPr>
                <w:noProof/>
                <w:webHidden/>
              </w:rPr>
              <w:fldChar w:fldCharType="separate"/>
            </w:r>
            <w:r w:rsidR="00CA0DF7">
              <w:rPr>
                <w:noProof/>
                <w:webHidden/>
              </w:rPr>
              <w:t>20</w:t>
            </w:r>
            <w:r w:rsidR="00CA0DF7">
              <w:rPr>
                <w:noProof/>
                <w:webHidden/>
              </w:rPr>
              <w:fldChar w:fldCharType="end"/>
            </w:r>
          </w:hyperlink>
        </w:p>
        <w:p w14:paraId="6250BCA1" w14:textId="77777777" w:rsidR="00CA0DF7" w:rsidRDefault="00817681">
          <w:pPr>
            <w:pStyle w:val="TOC2"/>
            <w:rPr>
              <w:rFonts w:asciiTheme="minorHAnsi" w:eastAsiaTheme="minorEastAsia" w:hAnsiTheme="minorHAnsi"/>
              <w:noProof/>
              <w:lang w:eastAsia="en-AU"/>
            </w:rPr>
          </w:pPr>
          <w:hyperlink w:anchor="_Toc97023781" w:history="1">
            <w:r w:rsidR="00CA0DF7" w:rsidRPr="00ED09DB">
              <w:rPr>
                <w:rStyle w:val="Hyperlink"/>
                <w:noProof/>
              </w:rPr>
              <w:t>Option 1: Retain the status quo</w:t>
            </w:r>
            <w:r w:rsidR="00CA0DF7">
              <w:rPr>
                <w:noProof/>
                <w:webHidden/>
              </w:rPr>
              <w:tab/>
            </w:r>
            <w:r w:rsidR="00CA0DF7">
              <w:rPr>
                <w:noProof/>
                <w:webHidden/>
              </w:rPr>
              <w:fldChar w:fldCharType="begin"/>
            </w:r>
            <w:r w:rsidR="00CA0DF7">
              <w:rPr>
                <w:noProof/>
                <w:webHidden/>
              </w:rPr>
              <w:instrText xml:space="preserve"> PAGEREF _Toc97023781 \h </w:instrText>
            </w:r>
            <w:r w:rsidR="00CA0DF7">
              <w:rPr>
                <w:noProof/>
                <w:webHidden/>
              </w:rPr>
            </w:r>
            <w:r w:rsidR="00CA0DF7">
              <w:rPr>
                <w:noProof/>
                <w:webHidden/>
              </w:rPr>
              <w:fldChar w:fldCharType="separate"/>
            </w:r>
            <w:r w:rsidR="00CA0DF7">
              <w:rPr>
                <w:noProof/>
                <w:webHidden/>
              </w:rPr>
              <w:t>20</w:t>
            </w:r>
            <w:r w:rsidR="00CA0DF7">
              <w:rPr>
                <w:noProof/>
                <w:webHidden/>
              </w:rPr>
              <w:fldChar w:fldCharType="end"/>
            </w:r>
          </w:hyperlink>
        </w:p>
        <w:p w14:paraId="4E616067" w14:textId="77777777" w:rsidR="00CA0DF7" w:rsidRDefault="00817681">
          <w:pPr>
            <w:pStyle w:val="TOC2"/>
            <w:rPr>
              <w:rFonts w:asciiTheme="minorHAnsi" w:eastAsiaTheme="minorEastAsia" w:hAnsiTheme="minorHAnsi"/>
              <w:noProof/>
              <w:lang w:eastAsia="en-AU"/>
            </w:rPr>
          </w:pPr>
          <w:hyperlink w:anchor="_Toc97023782" w:history="1">
            <w:r w:rsidR="00CA0DF7" w:rsidRPr="00ED09DB">
              <w:rPr>
                <w:rStyle w:val="Hyperlink"/>
                <w:noProof/>
              </w:rPr>
              <w:t>Option 2: Include changes to the Performance Requirements and DTS provisions of Part G of NCC Volume One</w:t>
            </w:r>
            <w:r w:rsidR="00CA0DF7">
              <w:rPr>
                <w:noProof/>
                <w:webHidden/>
              </w:rPr>
              <w:tab/>
            </w:r>
            <w:r w:rsidR="00CA0DF7">
              <w:rPr>
                <w:noProof/>
                <w:webHidden/>
              </w:rPr>
              <w:fldChar w:fldCharType="begin"/>
            </w:r>
            <w:r w:rsidR="00CA0DF7">
              <w:rPr>
                <w:noProof/>
                <w:webHidden/>
              </w:rPr>
              <w:instrText xml:space="preserve"> PAGEREF _Toc97023782 \h </w:instrText>
            </w:r>
            <w:r w:rsidR="00CA0DF7">
              <w:rPr>
                <w:noProof/>
                <w:webHidden/>
              </w:rPr>
            </w:r>
            <w:r w:rsidR="00CA0DF7">
              <w:rPr>
                <w:noProof/>
                <w:webHidden/>
              </w:rPr>
              <w:fldChar w:fldCharType="separate"/>
            </w:r>
            <w:r w:rsidR="00CA0DF7">
              <w:rPr>
                <w:noProof/>
                <w:webHidden/>
              </w:rPr>
              <w:t>20</w:t>
            </w:r>
            <w:r w:rsidR="00CA0DF7">
              <w:rPr>
                <w:noProof/>
                <w:webHidden/>
              </w:rPr>
              <w:fldChar w:fldCharType="end"/>
            </w:r>
          </w:hyperlink>
        </w:p>
        <w:p w14:paraId="08BC2930" w14:textId="77777777" w:rsidR="00CA0DF7" w:rsidRDefault="00817681">
          <w:pPr>
            <w:pStyle w:val="TOC2"/>
            <w:rPr>
              <w:rFonts w:asciiTheme="minorHAnsi" w:eastAsiaTheme="minorEastAsia" w:hAnsiTheme="minorHAnsi"/>
              <w:noProof/>
              <w:lang w:eastAsia="en-AU"/>
            </w:rPr>
          </w:pPr>
          <w:hyperlink w:anchor="_Toc97023783" w:history="1">
            <w:r w:rsidR="00CA0DF7" w:rsidRPr="00ED09DB">
              <w:rPr>
                <w:rStyle w:val="Hyperlink"/>
                <w:noProof/>
              </w:rPr>
              <w:t>Option 3: Publish a non-mandatory Handbook.</w:t>
            </w:r>
            <w:r w:rsidR="00CA0DF7">
              <w:rPr>
                <w:noProof/>
                <w:webHidden/>
              </w:rPr>
              <w:tab/>
            </w:r>
            <w:r w:rsidR="00CA0DF7">
              <w:rPr>
                <w:noProof/>
                <w:webHidden/>
              </w:rPr>
              <w:fldChar w:fldCharType="begin"/>
            </w:r>
            <w:r w:rsidR="00CA0DF7">
              <w:rPr>
                <w:noProof/>
                <w:webHidden/>
              </w:rPr>
              <w:instrText xml:space="preserve"> PAGEREF _Toc97023783 \h </w:instrText>
            </w:r>
            <w:r w:rsidR="00CA0DF7">
              <w:rPr>
                <w:noProof/>
                <w:webHidden/>
              </w:rPr>
            </w:r>
            <w:r w:rsidR="00CA0DF7">
              <w:rPr>
                <w:noProof/>
                <w:webHidden/>
              </w:rPr>
              <w:fldChar w:fldCharType="separate"/>
            </w:r>
            <w:r w:rsidR="00CA0DF7">
              <w:rPr>
                <w:noProof/>
                <w:webHidden/>
              </w:rPr>
              <w:t>21</w:t>
            </w:r>
            <w:r w:rsidR="00CA0DF7">
              <w:rPr>
                <w:noProof/>
                <w:webHidden/>
              </w:rPr>
              <w:fldChar w:fldCharType="end"/>
            </w:r>
          </w:hyperlink>
        </w:p>
        <w:p w14:paraId="3584BAC7" w14:textId="77777777" w:rsidR="00CA0DF7" w:rsidRDefault="00817681">
          <w:pPr>
            <w:pStyle w:val="TOC1"/>
            <w:rPr>
              <w:rFonts w:asciiTheme="minorHAnsi" w:eastAsiaTheme="minorEastAsia" w:hAnsiTheme="minorHAnsi"/>
              <w:noProof/>
              <w:lang w:eastAsia="en-AU"/>
            </w:rPr>
          </w:pPr>
          <w:hyperlink w:anchor="_Toc97023784" w:history="1">
            <w:r w:rsidR="00CA0DF7" w:rsidRPr="00ED09DB">
              <w:rPr>
                <w:rStyle w:val="Hyperlink"/>
                <w:rFonts w:cs="Arial"/>
                <w:noProof/>
              </w:rPr>
              <w:t>Impact Analysis</w:t>
            </w:r>
            <w:r w:rsidR="00CA0DF7">
              <w:rPr>
                <w:noProof/>
                <w:webHidden/>
              </w:rPr>
              <w:tab/>
            </w:r>
            <w:r w:rsidR="00CA0DF7">
              <w:rPr>
                <w:noProof/>
                <w:webHidden/>
              </w:rPr>
              <w:fldChar w:fldCharType="begin"/>
            </w:r>
            <w:r w:rsidR="00CA0DF7">
              <w:rPr>
                <w:noProof/>
                <w:webHidden/>
              </w:rPr>
              <w:instrText xml:space="preserve"> PAGEREF _Toc97023784 \h </w:instrText>
            </w:r>
            <w:r w:rsidR="00CA0DF7">
              <w:rPr>
                <w:noProof/>
                <w:webHidden/>
              </w:rPr>
            </w:r>
            <w:r w:rsidR="00CA0DF7">
              <w:rPr>
                <w:noProof/>
                <w:webHidden/>
              </w:rPr>
              <w:fldChar w:fldCharType="separate"/>
            </w:r>
            <w:r w:rsidR="00CA0DF7">
              <w:rPr>
                <w:noProof/>
                <w:webHidden/>
              </w:rPr>
              <w:t>21</w:t>
            </w:r>
            <w:r w:rsidR="00CA0DF7">
              <w:rPr>
                <w:noProof/>
                <w:webHidden/>
              </w:rPr>
              <w:fldChar w:fldCharType="end"/>
            </w:r>
          </w:hyperlink>
        </w:p>
        <w:p w14:paraId="3FFE41CE" w14:textId="77777777" w:rsidR="00CA0DF7" w:rsidRDefault="00817681">
          <w:pPr>
            <w:pStyle w:val="TOC2"/>
            <w:rPr>
              <w:rFonts w:asciiTheme="minorHAnsi" w:eastAsiaTheme="minorEastAsia" w:hAnsiTheme="minorHAnsi"/>
              <w:noProof/>
              <w:lang w:eastAsia="en-AU"/>
            </w:rPr>
          </w:pPr>
          <w:hyperlink w:anchor="_Toc97023785" w:history="1">
            <w:r w:rsidR="00CA0DF7" w:rsidRPr="00ED09DB">
              <w:rPr>
                <w:rStyle w:val="Hyperlink"/>
                <w:noProof/>
              </w:rPr>
              <w:t>Option 1: Retain the status quo</w:t>
            </w:r>
            <w:r w:rsidR="00CA0DF7">
              <w:rPr>
                <w:noProof/>
                <w:webHidden/>
              </w:rPr>
              <w:tab/>
            </w:r>
            <w:r w:rsidR="00CA0DF7">
              <w:rPr>
                <w:noProof/>
                <w:webHidden/>
              </w:rPr>
              <w:fldChar w:fldCharType="begin"/>
            </w:r>
            <w:r w:rsidR="00CA0DF7">
              <w:rPr>
                <w:noProof/>
                <w:webHidden/>
              </w:rPr>
              <w:instrText xml:space="preserve"> PAGEREF _Toc97023785 \h </w:instrText>
            </w:r>
            <w:r w:rsidR="00CA0DF7">
              <w:rPr>
                <w:noProof/>
                <w:webHidden/>
              </w:rPr>
            </w:r>
            <w:r w:rsidR="00CA0DF7">
              <w:rPr>
                <w:noProof/>
                <w:webHidden/>
              </w:rPr>
              <w:fldChar w:fldCharType="separate"/>
            </w:r>
            <w:r w:rsidR="00CA0DF7">
              <w:rPr>
                <w:noProof/>
                <w:webHidden/>
              </w:rPr>
              <w:t>21</w:t>
            </w:r>
            <w:r w:rsidR="00CA0DF7">
              <w:rPr>
                <w:noProof/>
                <w:webHidden/>
              </w:rPr>
              <w:fldChar w:fldCharType="end"/>
            </w:r>
          </w:hyperlink>
        </w:p>
        <w:p w14:paraId="182F49B0" w14:textId="77777777" w:rsidR="00CA0DF7" w:rsidRDefault="00817681">
          <w:pPr>
            <w:pStyle w:val="TOC2"/>
            <w:rPr>
              <w:rFonts w:asciiTheme="minorHAnsi" w:eastAsiaTheme="minorEastAsia" w:hAnsiTheme="minorHAnsi"/>
              <w:noProof/>
              <w:lang w:eastAsia="en-AU"/>
            </w:rPr>
          </w:pPr>
          <w:hyperlink w:anchor="_Toc97023786" w:history="1">
            <w:r w:rsidR="00CA0DF7" w:rsidRPr="00ED09DB">
              <w:rPr>
                <w:rStyle w:val="Hyperlink"/>
                <w:noProof/>
              </w:rPr>
              <w:t>Option 2: Include changes to the Performance Requirements and DTS provisions of Part G of NCC Volume One</w:t>
            </w:r>
            <w:r w:rsidR="00CA0DF7">
              <w:rPr>
                <w:noProof/>
                <w:webHidden/>
              </w:rPr>
              <w:tab/>
            </w:r>
            <w:r w:rsidR="00CA0DF7">
              <w:rPr>
                <w:noProof/>
                <w:webHidden/>
              </w:rPr>
              <w:fldChar w:fldCharType="begin"/>
            </w:r>
            <w:r w:rsidR="00CA0DF7">
              <w:rPr>
                <w:noProof/>
                <w:webHidden/>
              </w:rPr>
              <w:instrText xml:space="preserve"> PAGEREF _Toc97023786 \h </w:instrText>
            </w:r>
            <w:r w:rsidR="00CA0DF7">
              <w:rPr>
                <w:noProof/>
                <w:webHidden/>
              </w:rPr>
            </w:r>
            <w:r w:rsidR="00CA0DF7">
              <w:rPr>
                <w:noProof/>
                <w:webHidden/>
              </w:rPr>
              <w:fldChar w:fldCharType="separate"/>
            </w:r>
            <w:r w:rsidR="00CA0DF7">
              <w:rPr>
                <w:noProof/>
                <w:webHidden/>
              </w:rPr>
              <w:t>22</w:t>
            </w:r>
            <w:r w:rsidR="00CA0DF7">
              <w:rPr>
                <w:noProof/>
                <w:webHidden/>
              </w:rPr>
              <w:fldChar w:fldCharType="end"/>
            </w:r>
          </w:hyperlink>
        </w:p>
        <w:p w14:paraId="692AB436" w14:textId="77777777" w:rsidR="00CA0DF7" w:rsidRDefault="00817681">
          <w:pPr>
            <w:pStyle w:val="TOC2"/>
            <w:rPr>
              <w:rFonts w:asciiTheme="minorHAnsi" w:eastAsiaTheme="minorEastAsia" w:hAnsiTheme="minorHAnsi"/>
              <w:noProof/>
              <w:lang w:eastAsia="en-AU"/>
            </w:rPr>
          </w:pPr>
          <w:hyperlink w:anchor="_Toc97023787" w:history="1">
            <w:r w:rsidR="00CA0DF7" w:rsidRPr="00ED09DB">
              <w:rPr>
                <w:rStyle w:val="Hyperlink"/>
                <w:noProof/>
              </w:rPr>
              <w:t>Option 3: Publish a non-mandatory Handbook.</w:t>
            </w:r>
            <w:r w:rsidR="00CA0DF7">
              <w:rPr>
                <w:noProof/>
                <w:webHidden/>
              </w:rPr>
              <w:tab/>
            </w:r>
            <w:r w:rsidR="00CA0DF7">
              <w:rPr>
                <w:noProof/>
                <w:webHidden/>
              </w:rPr>
              <w:fldChar w:fldCharType="begin"/>
            </w:r>
            <w:r w:rsidR="00CA0DF7">
              <w:rPr>
                <w:noProof/>
                <w:webHidden/>
              </w:rPr>
              <w:instrText xml:space="preserve"> PAGEREF _Toc97023787 \h </w:instrText>
            </w:r>
            <w:r w:rsidR="00CA0DF7">
              <w:rPr>
                <w:noProof/>
                <w:webHidden/>
              </w:rPr>
            </w:r>
            <w:r w:rsidR="00CA0DF7">
              <w:rPr>
                <w:noProof/>
                <w:webHidden/>
              </w:rPr>
              <w:fldChar w:fldCharType="separate"/>
            </w:r>
            <w:r w:rsidR="00CA0DF7">
              <w:rPr>
                <w:noProof/>
                <w:webHidden/>
              </w:rPr>
              <w:t>27</w:t>
            </w:r>
            <w:r w:rsidR="00CA0DF7">
              <w:rPr>
                <w:noProof/>
                <w:webHidden/>
              </w:rPr>
              <w:fldChar w:fldCharType="end"/>
            </w:r>
          </w:hyperlink>
        </w:p>
        <w:p w14:paraId="26505C34" w14:textId="77777777" w:rsidR="00CA0DF7" w:rsidRDefault="00817681">
          <w:pPr>
            <w:pStyle w:val="TOC1"/>
            <w:rPr>
              <w:rFonts w:asciiTheme="minorHAnsi" w:eastAsiaTheme="minorEastAsia" w:hAnsiTheme="minorHAnsi"/>
              <w:noProof/>
              <w:lang w:eastAsia="en-AU"/>
            </w:rPr>
          </w:pPr>
          <w:hyperlink w:anchor="_Toc97023788" w:history="1">
            <w:r w:rsidR="00CA0DF7" w:rsidRPr="00ED09DB">
              <w:rPr>
                <w:rStyle w:val="Hyperlink"/>
                <w:rFonts w:cs="Arial"/>
                <w:noProof/>
              </w:rPr>
              <w:t>Unintended Consequences</w:t>
            </w:r>
            <w:r w:rsidR="00CA0DF7">
              <w:rPr>
                <w:noProof/>
                <w:webHidden/>
              </w:rPr>
              <w:tab/>
            </w:r>
            <w:r w:rsidR="00CA0DF7">
              <w:rPr>
                <w:noProof/>
                <w:webHidden/>
              </w:rPr>
              <w:fldChar w:fldCharType="begin"/>
            </w:r>
            <w:r w:rsidR="00CA0DF7">
              <w:rPr>
                <w:noProof/>
                <w:webHidden/>
              </w:rPr>
              <w:instrText xml:space="preserve"> PAGEREF _Toc97023788 \h </w:instrText>
            </w:r>
            <w:r w:rsidR="00CA0DF7">
              <w:rPr>
                <w:noProof/>
                <w:webHidden/>
              </w:rPr>
            </w:r>
            <w:r w:rsidR="00CA0DF7">
              <w:rPr>
                <w:noProof/>
                <w:webHidden/>
              </w:rPr>
              <w:fldChar w:fldCharType="separate"/>
            </w:r>
            <w:r w:rsidR="00CA0DF7">
              <w:rPr>
                <w:noProof/>
                <w:webHidden/>
              </w:rPr>
              <w:t>28</w:t>
            </w:r>
            <w:r w:rsidR="00CA0DF7">
              <w:rPr>
                <w:noProof/>
                <w:webHidden/>
              </w:rPr>
              <w:fldChar w:fldCharType="end"/>
            </w:r>
          </w:hyperlink>
        </w:p>
        <w:p w14:paraId="73EDEF89" w14:textId="77777777" w:rsidR="00CA0DF7" w:rsidRDefault="00817681">
          <w:pPr>
            <w:pStyle w:val="TOC2"/>
            <w:rPr>
              <w:rFonts w:asciiTheme="minorHAnsi" w:eastAsiaTheme="minorEastAsia" w:hAnsiTheme="minorHAnsi"/>
              <w:noProof/>
              <w:lang w:eastAsia="en-AU"/>
            </w:rPr>
          </w:pPr>
          <w:hyperlink w:anchor="_Toc97023789" w:history="1">
            <w:r w:rsidR="00CA0DF7" w:rsidRPr="00ED09DB">
              <w:rPr>
                <w:rStyle w:val="Hyperlink"/>
                <w:noProof/>
              </w:rPr>
              <w:t>Business compliance costs</w:t>
            </w:r>
            <w:r w:rsidR="00CA0DF7">
              <w:rPr>
                <w:noProof/>
                <w:webHidden/>
              </w:rPr>
              <w:tab/>
            </w:r>
            <w:r w:rsidR="00CA0DF7">
              <w:rPr>
                <w:noProof/>
                <w:webHidden/>
              </w:rPr>
              <w:fldChar w:fldCharType="begin"/>
            </w:r>
            <w:r w:rsidR="00CA0DF7">
              <w:rPr>
                <w:noProof/>
                <w:webHidden/>
              </w:rPr>
              <w:instrText xml:space="preserve"> PAGEREF _Toc97023789 \h </w:instrText>
            </w:r>
            <w:r w:rsidR="00CA0DF7">
              <w:rPr>
                <w:noProof/>
                <w:webHidden/>
              </w:rPr>
            </w:r>
            <w:r w:rsidR="00CA0DF7">
              <w:rPr>
                <w:noProof/>
                <w:webHidden/>
              </w:rPr>
              <w:fldChar w:fldCharType="separate"/>
            </w:r>
            <w:r w:rsidR="00CA0DF7">
              <w:rPr>
                <w:noProof/>
                <w:webHidden/>
              </w:rPr>
              <w:t>29</w:t>
            </w:r>
            <w:r w:rsidR="00CA0DF7">
              <w:rPr>
                <w:noProof/>
                <w:webHidden/>
              </w:rPr>
              <w:fldChar w:fldCharType="end"/>
            </w:r>
          </w:hyperlink>
        </w:p>
        <w:p w14:paraId="0A0B40E7" w14:textId="77777777" w:rsidR="00CA0DF7" w:rsidRDefault="00817681">
          <w:pPr>
            <w:pStyle w:val="TOC1"/>
            <w:rPr>
              <w:rFonts w:asciiTheme="minorHAnsi" w:eastAsiaTheme="minorEastAsia" w:hAnsiTheme="minorHAnsi"/>
              <w:noProof/>
              <w:lang w:eastAsia="en-AU"/>
            </w:rPr>
          </w:pPr>
          <w:hyperlink w:anchor="_Toc97023790" w:history="1">
            <w:r w:rsidR="00CA0DF7" w:rsidRPr="00ED09DB">
              <w:rPr>
                <w:rStyle w:val="Hyperlink"/>
                <w:rFonts w:cs="Arial"/>
                <w:noProof/>
              </w:rPr>
              <w:t>Regulatory Burden</w:t>
            </w:r>
            <w:r w:rsidR="00CA0DF7">
              <w:rPr>
                <w:noProof/>
                <w:webHidden/>
              </w:rPr>
              <w:tab/>
            </w:r>
            <w:r w:rsidR="00CA0DF7">
              <w:rPr>
                <w:noProof/>
                <w:webHidden/>
              </w:rPr>
              <w:fldChar w:fldCharType="begin"/>
            </w:r>
            <w:r w:rsidR="00CA0DF7">
              <w:rPr>
                <w:noProof/>
                <w:webHidden/>
              </w:rPr>
              <w:instrText xml:space="preserve"> PAGEREF _Toc97023790 \h </w:instrText>
            </w:r>
            <w:r w:rsidR="00CA0DF7">
              <w:rPr>
                <w:noProof/>
                <w:webHidden/>
              </w:rPr>
            </w:r>
            <w:r w:rsidR="00CA0DF7">
              <w:rPr>
                <w:noProof/>
                <w:webHidden/>
              </w:rPr>
              <w:fldChar w:fldCharType="separate"/>
            </w:r>
            <w:r w:rsidR="00CA0DF7">
              <w:rPr>
                <w:noProof/>
                <w:webHidden/>
              </w:rPr>
              <w:t>30</w:t>
            </w:r>
            <w:r w:rsidR="00CA0DF7">
              <w:rPr>
                <w:noProof/>
                <w:webHidden/>
              </w:rPr>
              <w:fldChar w:fldCharType="end"/>
            </w:r>
          </w:hyperlink>
        </w:p>
        <w:p w14:paraId="6CC58135" w14:textId="77777777" w:rsidR="00CA0DF7" w:rsidRDefault="00817681">
          <w:pPr>
            <w:pStyle w:val="TOC1"/>
            <w:rPr>
              <w:rFonts w:asciiTheme="minorHAnsi" w:eastAsiaTheme="minorEastAsia" w:hAnsiTheme="minorHAnsi"/>
              <w:noProof/>
              <w:lang w:eastAsia="en-AU"/>
            </w:rPr>
          </w:pPr>
          <w:hyperlink w:anchor="_Toc97023791" w:history="1">
            <w:r w:rsidR="00CA0DF7" w:rsidRPr="00ED09DB">
              <w:rPr>
                <w:rStyle w:val="Hyperlink"/>
                <w:rFonts w:cs="Arial"/>
                <w:noProof/>
              </w:rPr>
              <w:t>Consultation</w:t>
            </w:r>
            <w:r w:rsidR="00CA0DF7">
              <w:rPr>
                <w:noProof/>
                <w:webHidden/>
              </w:rPr>
              <w:tab/>
            </w:r>
            <w:r w:rsidR="00CA0DF7">
              <w:rPr>
                <w:noProof/>
                <w:webHidden/>
              </w:rPr>
              <w:fldChar w:fldCharType="begin"/>
            </w:r>
            <w:r w:rsidR="00CA0DF7">
              <w:rPr>
                <w:noProof/>
                <w:webHidden/>
              </w:rPr>
              <w:instrText xml:space="preserve"> PAGEREF _Toc97023791 \h </w:instrText>
            </w:r>
            <w:r w:rsidR="00CA0DF7">
              <w:rPr>
                <w:noProof/>
                <w:webHidden/>
              </w:rPr>
            </w:r>
            <w:r w:rsidR="00CA0DF7">
              <w:rPr>
                <w:noProof/>
                <w:webHidden/>
              </w:rPr>
              <w:fldChar w:fldCharType="separate"/>
            </w:r>
            <w:r w:rsidR="00CA0DF7">
              <w:rPr>
                <w:noProof/>
                <w:webHidden/>
              </w:rPr>
              <w:t>31</w:t>
            </w:r>
            <w:r w:rsidR="00CA0DF7">
              <w:rPr>
                <w:noProof/>
                <w:webHidden/>
              </w:rPr>
              <w:fldChar w:fldCharType="end"/>
            </w:r>
          </w:hyperlink>
        </w:p>
        <w:p w14:paraId="6FFABD4C" w14:textId="77777777" w:rsidR="00CA0DF7" w:rsidRDefault="00817681">
          <w:pPr>
            <w:pStyle w:val="TOC2"/>
            <w:rPr>
              <w:rFonts w:asciiTheme="minorHAnsi" w:eastAsiaTheme="minorEastAsia" w:hAnsiTheme="minorHAnsi"/>
              <w:noProof/>
              <w:lang w:eastAsia="en-AU"/>
            </w:rPr>
          </w:pPr>
          <w:hyperlink w:anchor="_Toc97023792" w:history="1">
            <w:r w:rsidR="00CA0DF7" w:rsidRPr="00ED09DB">
              <w:rPr>
                <w:rStyle w:val="Hyperlink"/>
                <w:noProof/>
              </w:rPr>
              <w:t>COAG Planning Officials Group – 2010</w:t>
            </w:r>
            <w:r w:rsidR="00CA0DF7">
              <w:rPr>
                <w:noProof/>
                <w:webHidden/>
              </w:rPr>
              <w:tab/>
            </w:r>
            <w:r w:rsidR="00CA0DF7">
              <w:rPr>
                <w:noProof/>
                <w:webHidden/>
              </w:rPr>
              <w:fldChar w:fldCharType="begin"/>
            </w:r>
            <w:r w:rsidR="00CA0DF7">
              <w:rPr>
                <w:noProof/>
                <w:webHidden/>
              </w:rPr>
              <w:instrText xml:space="preserve"> PAGEREF _Toc97023792 \h </w:instrText>
            </w:r>
            <w:r w:rsidR="00CA0DF7">
              <w:rPr>
                <w:noProof/>
                <w:webHidden/>
              </w:rPr>
            </w:r>
            <w:r w:rsidR="00CA0DF7">
              <w:rPr>
                <w:noProof/>
                <w:webHidden/>
              </w:rPr>
              <w:fldChar w:fldCharType="separate"/>
            </w:r>
            <w:r w:rsidR="00CA0DF7">
              <w:rPr>
                <w:noProof/>
                <w:webHidden/>
              </w:rPr>
              <w:t>31</w:t>
            </w:r>
            <w:r w:rsidR="00CA0DF7">
              <w:rPr>
                <w:noProof/>
                <w:webHidden/>
              </w:rPr>
              <w:fldChar w:fldCharType="end"/>
            </w:r>
          </w:hyperlink>
        </w:p>
        <w:p w14:paraId="013CEDF2" w14:textId="77777777" w:rsidR="00CA0DF7" w:rsidRDefault="00817681">
          <w:pPr>
            <w:pStyle w:val="TOC2"/>
            <w:rPr>
              <w:rFonts w:asciiTheme="minorHAnsi" w:eastAsiaTheme="minorEastAsia" w:hAnsiTheme="minorHAnsi"/>
              <w:noProof/>
              <w:lang w:eastAsia="en-AU"/>
            </w:rPr>
          </w:pPr>
          <w:hyperlink w:anchor="_Toc97023793" w:history="1">
            <w:r w:rsidR="00CA0DF7" w:rsidRPr="00ED09DB">
              <w:rPr>
                <w:rStyle w:val="Hyperlink"/>
                <w:noProof/>
              </w:rPr>
              <w:t>Victorian Building Commission – 2012</w:t>
            </w:r>
            <w:r w:rsidR="00CA0DF7">
              <w:rPr>
                <w:noProof/>
                <w:webHidden/>
              </w:rPr>
              <w:tab/>
            </w:r>
            <w:r w:rsidR="00CA0DF7">
              <w:rPr>
                <w:noProof/>
                <w:webHidden/>
              </w:rPr>
              <w:fldChar w:fldCharType="begin"/>
            </w:r>
            <w:r w:rsidR="00CA0DF7">
              <w:rPr>
                <w:noProof/>
                <w:webHidden/>
              </w:rPr>
              <w:instrText xml:space="preserve"> PAGEREF _Toc97023793 \h </w:instrText>
            </w:r>
            <w:r w:rsidR="00CA0DF7">
              <w:rPr>
                <w:noProof/>
                <w:webHidden/>
              </w:rPr>
            </w:r>
            <w:r w:rsidR="00CA0DF7">
              <w:rPr>
                <w:noProof/>
                <w:webHidden/>
              </w:rPr>
              <w:fldChar w:fldCharType="separate"/>
            </w:r>
            <w:r w:rsidR="00CA0DF7">
              <w:rPr>
                <w:noProof/>
                <w:webHidden/>
              </w:rPr>
              <w:t>31</w:t>
            </w:r>
            <w:r w:rsidR="00CA0DF7">
              <w:rPr>
                <w:noProof/>
                <w:webHidden/>
              </w:rPr>
              <w:fldChar w:fldCharType="end"/>
            </w:r>
          </w:hyperlink>
        </w:p>
        <w:p w14:paraId="19810E98" w14:textId="77777777" w:rsidR="00CA0DF7" w:rsidRDefault="00817681">
          <w:pPr>
            <w:pStyle w:val="TOC2"/>
            <w:rPr>
              <w:rFonts w:asciiTheme="minorHAnsi" w:eastAsiaTheme="minorEastAsia" w:hAnsiTheme="minorHAnsi"/>
              <w:noProof/>
              <w:lang w:eastAsia="en-AU"/>
            </w:rPr>
          </w:pPr>
          <w:hyperlink w:anchor="_Toc97023794" w:history="1">
            <w:r w:rsidR="00CA0DF7" w:rsidRPr="00ED09DB">
              <w:rPr>
                <w:rStyle w:val="Hyperlink"/>
                <w:noProof/>
              </w:rPr>
              <w:t>State and Territory administrations – 2016</w:t>
            </w:r>
            <w:r w:rsidR="00CA0DF7">
              <w:rPr>
                <w:noProof/>
                <w:webHidden/>
              </w:rPr>
              <w:tab/>
            </w:r>
            <w:r w:rsidR="00CA0DF7">
              <w:rPr>
                <w:noProof/>
                <w:webHidden/>
              </w:rPr>
              <w:fldChar w:fldCharType="begin"/>
            </w:r>
            <w:r w:rsidR="00CA0DF7">
              <w:rPr>
                <w:noProof/>
                <w:webHidden/>
              </w:rPr>
              <w:instrText xml:space="preserve"> PAGEREF _Toc97023794 \h </w:instrText>
            </w:r>
            <w:r w:rsidR="00CA0DF7">
              <w:rPr>
                <w:noProof/>
                <w:webHidden/>
              </w:rPr>
            </w:r>
            <w:r w:rsidR="00CA0DF7">
              <w:rPr>
                <w:noProof/>
                <w:webHidden/>
              </w:rPr>
              <w:fldChar w:fldCharType="separate"/>
            </w:r>
            <w:r w:rsidR="00CA0DF7">
              <w:rPr>
                <w:noProof/>
                <w:webHidden/>
              </w:rPr>
              <w:t>31</w:t>
            </w:r>
            <w:r w:rsidR="00CA0DF7">
              <w:rPr>
                <w:noProof/>
                <w:webHidden/>
              </w:rPr>
              <w:fldChar w:fldCharType="end"/>
            </w:r>
          </w:hyperlink>
        </w:p>
        <w:p w14:paraId="0719A11C" w14:textId="77777777" w:rsidR="00CA0DF7" w:rsidRDefault="00817681">
          <w:pPr>
            <w:pStyle w:val="TOC2"/>
            <w:rPr>
              <w:rFonts w:asciiTheme="minorHAnsi" w:eastAsiaTheme="minorEastAsia" w:hAnsiTheme="minorHAnsi"/>
              <w:noProof/>
              <w:lang w:eastAsia="en-AU"/>
            </w:rPr>
          </w:pPr>
          <w:hyperlink w:anchor="_Toc97023795" w:history="1">
            <w:r w:rsidR="00CA0DF7" w:rsidRPr="00ED09DB">
              <w:rPr>
                <w:rStyle w:val="Hyperlink"/>
                <w:noProof/>
              </w:rPr>
              <w:t>Stakeholder working group consultations – 2017</w:t>
            </w:r>
            <w:r w:rsidR="00CA0DF7">
              <w:rPr>
                <w:noProof/>
                <w:webHidden/>
              </w:rPr>
              <w:tab/>
            </w:r>
            <w:r w:rsidR="00CA0DF7">
              <w:rPr>
                <w:noProof/>
                <w:webHidden/>
              </w:rPr>
              <w:fldChar w:fldCharType="begin"/>
            </w:r>
            <w:r w:rsidR="00CA0DF7">
              <w:rPr>
                <w:noProof/>
                <w:webHidden/>
              </w:rPr>
              <w:instrText xml:space="preserve"> PAGEREF _Toc97023795 \h </w:instrText>
            </w:r>
            <w:r w:rsidR="00CA0DF7">
              <w:rPr>
                <w:noProof/>
                <w:webHidden/>
              </w:rPr>
            </w:r>
            <w:r w:rsidR="00CA0DF7">
              <w:rPr>
                <w:noProof/>
                <w:webHidden/>
              </w:rPr>
              <w:fldChar w:fldCharType="separate"/>
            </w:r>
            <w:r w:rsidR="00CA0DF7">
              <w:rPr>
                <w:noProof/>
                <w:webHidden/>
              </w:rPr>
              <w:t>32</w:t>
            </w:r>
            <w:r w:rsidR="00CA0DF7">
              <w:rPr>
                <w:noProof/>
                <w:webHidden/>
              </w:rPr>
              <w:fldChar w:fldCharType="end"/>
            </w:r>
          </w:hyperlink>
        </w:p>
        <w:p w14:paraId="7D465D83" w14:textId="77777777" w:rsidR="00CA0DF7" w:rsidRDefault="00817681">
          <w:pPr>
            <w:pStyle w:val="TOC2"/>
            <w:rPr>
              <w:rFonts w:asciiTheme="minorHAnsi" w:eastAsiaTheme="minorEastAsia" w:hAnsiTheme="minorHAnsi"/>
              <w:noProof/>
              <w:lang w:eastAsia="en-AU"/>
            </w:rPr>
          </w:pPr>
          <w:hyperlink w:anchor="_Toc97023796" w:history="1">
            <w:r w:rsidR="00CA0DF7" w:rsidRPr="00ED09DB">
              <w:rPr>
                <w:rStyle w:val="Hyperlink"/>
                <w:noProof/>
              </w:rPr>
              <w:t>Building Code Committee consultations – 2017</w:t>
            </w:r>
            <w:r w:rsidR="00CA0DF7">
              <w:rPr>
                <w:noProof/>
                <w:webHidden/>
              </w:rPr>
              <w:tab/>
            </w:r>
            <w:r w:rsidR="00CA0DF7">
              <w:rPr>
                <w:noProof/>
                <w:webHidden/>
              </w:rPr>
              <w:fldChar w:fldCharType="begin"/>
            </w:r>
            <w:r w:rsidR="00CA0DF7">
              <w:rPr>
                <w:noProof/>
                <w:webHidden/>
              </w:rPr>
              <w:instrText xml:space="preserve"> PAGEREF _Toc97023796 \h </w:instrText>
            </w:r>
            <w:r w:rsidR="00CA0DF7">
              <w:rPr>
                <w:noProof/>
                <w:webHidden/>
              </w:rPr>
            </w:r>
            <w:r w:rsidR="00CA0DF7">
              <w:rPr>
                <w:noProof/>
                <w:webHidden/>
              </w:rPr>
              <w:fldChar w:fldCharType="separate"/>
            </w:r>
            <w:r w:rsidR="00CA0DF7">
              <w:rPr>
                <w:noProof/>
                <w:webHidden/>
              </w:rPr>
              <w:t>32</w:t>
            </w:r>
            <w:r w:rsidR="00CA0DF7">
              <w:rPr>
                <w:noProof/>
                <w:webHidden/>
              </w:rPr>
              <w:fldChar w:fldCharType="end"/>
            </w:r>
          </w:hyperlink>
        </w:p>
        <w:p w14:paraId="0F7E64D7" w14:textId="77777777" w:rsidR="00CA0DF7" w:rsidRDefault="00817681">
          <w:pPr>
            <w:pStyle w:val="TOC2"/>
            <w:rPr>
              <w:rFonts w:asciiTheme="minorHAnsi" w:eastAsiaTheme="minorEastAsia" w:hAnsiTheme="minorHAnsi"/>
              <w:noProof/>
              <w:lang w:eastAsia="en-AU"/>
            </w:rPr>
          </w:pPr>
          <w:hyperlink w:anchor="_Toc97023797" w:history="1">
            <w:r w:rsidR="00CA0DF7" w:rsidRPr="00ED09DB">
              <w:rPr>
                <w:rStyle w:val="Hyperlink"/>
                <w:noProof/>
              </w:rPr>
              <w:t>Cross industry-administration working group – 2018</w:t>
            </w:r>
            <w:r w:rsidR="00CA0DF7">
              <w:rPr>
                <w:noProof/>
                <w:webHidden/>
              </w:rPr>
              <w:tab/>
            </w:r>
            <w:r w:rsidR="00CA0DF7">
              <w:rPr>
                <w:noProof/>
                <w:webHidden/>
              </w:rPr>
              <w:fldChar w:fldCharType="begin"/>
            </w:r>
            <w:r w:rsidR="00CA0DF7">
              <w:rPr>
                <w:noProof/>
                <w:webHidden/>
              </w:rPr>
              <w:instrText xml:space="preserve"> PAGEREF _Toc97023797 \h </w:instrText>
            </w:r>
            <w:r w:rsidR="00CA0DF7">
              <w:rPr>
                <w:noProof/>
                <w:webHidden/>
              </w:rPr>
            </w:r>
            <w:r w:rsidR="00CA0DF7">
              <w:rPr>
                <w:noProof/>
                <w:webHidden/>
              </w:rPr>
              <w:fldChar w:fldCharType="separate"/>
            </w:r>
            <w:r w:rsidR="00CA0DF7">
              <w:rPr>
                <w:noProof/>
                <w:webHidden/>
              </w:rPr>
              <w:t>32</w:t>
            </w:r>
            <w:r w:rsidR="00CA0DF7">
              <w:rPr>
                <w:noProof/>
                <w:webHidden/>
              </w:rPr>
              <w:fldChar w:fldCharType="end"/>
            </w:r>
          </w:hyperlink>
        </w:p>
        <w:p w14:paraId="7EEF39BC" w14:textId="77777777" w:rsidR="00CA0DF7" w:rsidRDefault="00817681">
          <w:pPr>
            <w:pStyle w:val="TOC2"/>
            <w:rPr>
              <w:rFonts w:asciiTheme="minorHAnsi" w:eastAsiaTheme="minorEastAsia" w:hAnsiTheme="minorHAnsi"/>
              <w:noProof/>
              <w:lang w:eastAsia="en-AU"/>
            </w:rPr>
          </w:pPr>
          <w:hyperlink w:anchor="_Toc97023798" w:history="1">
            <w:r w:rsidR="00CA0DF7" w:rsidRPr="00ED09DB">
              <w:rPr>
                <w:rStyle w:val="Hyperlink"/>
                <w:noProof/>
              </w:rPr>
              <w:t>Building Codes Committee meeting – 2021</w:t>
            </w:r>
            <w:r w:rsidR="00CA0DF7">
              <w:rPr>
                <w:noProof/>
                <w:webHidden/>
              </w:rPr>
              <w:tab/>
            </w:r>
            <w:r w:rsidR="00CA0DF7">
              <w:rPr>
                <w:noProof/>
                <w:webHidden/>
              </w:rPr>
              <w:fldChar w:fldCharType="begin"/>
            </w:r>
            <w:r w:rsidR="00CA0DF7">
              <w:rPr>
                <w:noProof/>
                <w:webHidden/>
              </w:rPr>
              <w:instrText xml:space="preserve"> PAGEREF _Toc97023798 \h </w:instrText>
            </w:r>
            <w:r w:rsidR="00CA0DF7">
              <w:rPr>
                <w:noProof/>
                <w:webHidden/>
              </w:rPr>
            </w:r>
            <w:r w:rsidR="00CA0DF7">
              <w:rPr>
                <w:noProof/>
                <w:webHidden/>
              </w:rPr>
              <w:fldChar w:fldCharType="separate"/>
            </w:r>
            <w:r w:rsidR="00CA0DF7">
              <w:rPr>
                <w:noProof/>
                <w:webHidden/>
              </w:rPr>
              <w:t>33</w:t>
            </w:r>
            <w:r w:rsidR="00CA0DF7">
              <w:rPr>
                <w:noProof/>
                <w:webHidden/>
              </w:rPr>
              <w:fldChar w:fldCharType="end"/>
            </w:r>
          </w:hyperlink>
        </w:p>
        <w:p w14:paraId="3A86D2E4" w14:textId="77777777" w:rsidR="00CA0DF7" w:rsidRDefault="00817681">
          <w:pPr>
            <w:pStyle w:val="TOC1"/>
            <w:rPr>
              <w:rFonts w:asciiTheme="minorHAnsi" w:eastAsiaTheme="minorEastAsia" w:hAnsiTheme="minorHAnsi"/>
              <w:noProof/>
              <w:lang w:eastAsia="en-AU"/>
            </w:rPr>
          </w:pPr>
          <w:hyperlink w:anchor="_Toc97023799" w:history="1">
            <w:r w:rsidR="00CA0DF7" w:rsidRPr="00ED09DB">
              <w:rPr>
                <w:rStyle w:val="Hyperlink"/>
                <w:rFonts w:cs="Arial"/>
                <w:noProof/>
              </w:rPr>
              <w:t>Conclusion</w:t>
            </w:r>
            <w:r w:rsidR="00CA0DF7">
              <w:rPr>
                <w:noProof/>
                <w:webHidden/>
              </w:rPr>
              <w:tab/>
            </w:r>
            <w:r w:rsidR="00CA0DF7">
              <w:rPr>
                <w:noProof/>
                <w:webHidden/>
              </w:rPr>
              <w:fldChar w:fldCharType="begin"/>
            </w:r>
            <w:r w:rsidR="00CA0DF7">
              <w:rPr>
                <w:noProof/>
                <w:webHidden/>
              </w:rPr>
              <w:instrText xml:space="preserve"> PAGEREF _Toc97023799 \h </w:instrText>
            </w:r>
            <w:r w:rsidR="00CA0DF7">
              <w:rPr>
                <w:noProof/>
                <w:webHidden/>
              </w:rPr>
            </w:r>
            <w:r w:rsidR="00CA0DF7">
              <w:rPr>
                <w:noProof/>
                <w:webHidden/>
              </w:rPr>
              <w:fldChar w:fldCharType="separate"/>
            </w:r>
            <w:r w:rsidR="00CA0DF7">
              <w:rPr>
                <w:noProof/>
                <w:webHidden/>
              </w:rPr>
              <w:t>34</w:t>
            </w:r>
            <w:r w:rsidR="00CA0DF7">
              <w:rPr>
                <w:noProof/>
                <w:webHidden/>
              </w:rPr>
              <w:fldChar w:fldCharType="end"/>
            </w:r>
          </w:hyperlink>
        </w:p>
        <w:p w14:paraId="61553664" w14:textId="77777777" w:rsidR="00CA0DF7" w:rsidRDefault="00817681">
          <w:pPr>
            <w:pStyle w:val="TOC1"/>
            <w:rPr>
              <w:rFonts w:asciiTheme="minorHAnsi" w:eastAsiaTheme="minorEastAsia" w:hAnsiTheme="minorHAnsi"/>
              <w:noProof/>
              <w:lang w:eastAsia="en-AU"/>
            </w:rPr>
          </w:pPr>
          <w:hyperlink w:anchor="_Toc97023800" w:history="1">
            <w:r w:rsidR="00CA0DF7" w:rsidRPr="00ED09DB">
              <w:rPr>
                <w:rStyle w:val="Hyperlink"/>
                <w:rFonts w:cs="Arial"/>
                <w:noProof/>
              </w:rPr>
              <w:t>Implementation and Review</w:t>
            </w:r>
            <w:r w:rsidR="00CA0DF7">
              <w:rPr>
                <w:noProof/>
                <w:webHidden/>
              </w:rPr>
              <w:tab/>
            </w:r>
            <w:r w:rsidR="00CA0DF7">
              <w:rPr>
                <w:noProof/>
                <w:webHidden/>
              </w:rPr>
              <w:fldChar w:fldCharType="begin"/>
            </w:r>
            <w:r w:rsidR="00CA0DF7">
              <w:rPr>
                <w:noProof/>
                <w:webHidden/>
              </w:rPr>
              <w:instrText xml:space="preserve"> PAGEREF _Toc97023800 \h </w:instrText>
            </w:r>
            <w:r w:rsidR="00CA0DF7">
              <w:rPr>
                <w:noProof/>
                <w:webHidden/>
              </w:rPr>
            </w:r>
            <w:r w:rsidR="00CA0DF7">
              <w:rPr>
                <w:noProof/>
                <w:webHidden/>
              </w:rPr>
              <w:fldChar w:fldCharType="separate"/>
            </w:r>
            <w:r w:rsidR="00CA0DF7">
              <w:rPr>
                <w:noProof/>
                <w:webHidden/>
              </w:rPr>
              <w:t>36</w:t>
            </w:r>
            <w:r w:rsidR="00CA0DF7">
              <w:rPr>
                <w:noProof/>
                <w:webHidden/>
              </w:rPr>
              <w:fldChar w:fldCharType="end"/>
            </w:r>
          </w:hyperlink>
        </w:p>
        <w:p w14:paraId="609D4211" w14:textId="7BBEFB2E" w:rsidR="003A22A1" w:rsidRPr="0060605A" w:rsidRDefault="00CA0DF7" w:rsidP="009F3FDB">
          <w:pPr>
            <w:pStyle w:val="TOC3"/>
          </w:pPr>
          <w:r>
            <w:rPr>
              <w:rFonts w:cs="Arial"/>
              <w:sz w:val="24"/>
              <w:szCs w:val="24"/>
            </w:rPr>
            <w:fldChar w:fldCharType="end"/>
          </w:r>
        </w:p>
      </w:sdtContent>
    </w:sdt>
    <w:p w14:paraId="0BFC6B42" w14:textId="77777777" w:rsidR="004822D3" w:rsidRDefault="004822D3" w:rsidP="00AF669F">
      <w:pPr>
        <w:pStyle w:val="Heading1"/>
        <w:sectPr w:rsidR="004822D3" w:rsidSect="004822D3">
          <w:footerReference w:type="default" r:id="rId19"/>
          <w:footerReference w:type="first" r:id="rId20"/>
          <w:pgSz w:w="11906" w:h="16838"/>
          <w:pgMar w:top="1440" w:right="1440" w:bottom="1440" w:left="1440" w:header="708" w:footer="708" w:gutter="0"/>
          <w:cols w:space="708"/>
          <w:docGrid w:linePitch="360"/>
        </w:sectPr>
      </w:pPr>
    </w:p>
    <w:p w14:paraId="58A30096" w14:textId="77777777" w:rsidR="0067270E" w:rsidRDefault="0067270E">
      <w:pPr>
        <w:rPr>
          <w:color w:val="002060"/>
          <w:sz w:val="40"/>
          <w:szCs w:val="40"/>
        </w:rPr>
      </w:pPr>
      <w:bookmarkStart w:id="1" w:name="_Toc32229014"/>
      <w:bookmarkStart w:id="2" w:name="_Toc33098408"/>
      <w:bookmarkStart w:id="3" w:name="_Toc33098867"/>
      <w:r>
        <w:rPr>
          <w:color w:val="002060"/>
          <w:sz w:val="40"/>
          <w:szCs w:val="40"/>
        </w:rPr>
        <w:br w:type="page"/>
      </w:r>
    </w:p>
    <w:p w14:paraId="6DAB77B9" w14:textId="29EF33CD" w:rsidR="009C0A5D" w:rsidRPr="000B675B" w:rsidRDefault="009C0A5D" w:rsidP="0044535F">
      <w:pPr>
        <w:rPr>
          <w:color w:val="002060"/>
          <w:sz w:val="40"/>
          <w:szCs w:val="40"/>
        </w:rPr>
      </w:pPr>
      <w:r w:rsidRPr="000B675B">
        <w:rPr>
          <w:color w:val="002060"/>
          <w:sz w:val="40"/>
          <w:szCs w:val="40"/>
        </w:rPr>
        <w:lastRenderedPageBreak/>
        <w:t>Glossary</w:t>
      </w:r>
      <w:bookmarkEnd w:id="1"/>
      <w:bookmarkEnd w:id="2"/>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w:tblDescription w:val="A table containting a glossary of terms used in this document and their meaning."/>
      </w:tblPr>
      <w:tblGrid>
        <w:gridCol w:w="2489"/>
        <w:gridCol w:w="6537"/>
      </w:tblGrid>
      <w:tr w:rsidR="009C0A5D" w:rsidRPr="00315CC1" w14:paraId="38C15F2F" w14:textId="77777777" w:rsidTr="009C0A5D">
        <w:trPr>
          <w:tblHeader/>
        </w:trPr>
        <w:tc>
          <w:tcPr>
            <w:tcW w:w="1379" w:type="pct"/>
            <w:shd w:val="clear" w:color="auto" w:fill="184897"/>
          </w:tcPr>
          <w:p w14:paraId="661CEF9D" w14:textId="77777777" w:rsidR="009C0A5D" w:rsidRPr="00315CC1" w:rsidRDefault="009C0A5D" w:rsidP="009C0A5D">
            <w:pPr>
              <w:pStyle w:val="TableHeading"/>
            </w:pPr>
            <w:r w:rsidRPr="00315CC1">
              <w:t>Term</w:t>
            </w:r>
          </w:p>
        </w:tc>
        <w:tc>
          <w:tcPr>
            <w:tcW w:w="3621" w:type="pct"/>
            <w:shd w:val="clear" w:color="auto" w:fill="184897"/>
          </w:tcPr>
          <w:p w14:paraId="7F213A2A" w14:textId="77777777" w:rsidR="009C0A5D" w:rsidRPr="00315CC1" w:rsidRDefault="009C0A5D" w:rsidP="009C0A5D">
            <w:pPr>
              <w:pStyle w:val="TableHeading"/>
            </w:pPr>
            <w:r w:rsidRPr="00315CC1">
              <w:t>Meaning</w:t>
            </w:r>
          </w:p>
        </w:tc>
      </w:tr>
      <w:tr w:rsidR="00857A9B" w:rsidRPr="00315CC1" w14:paraId="0FADAF92" w14:textId="77777777" w:rsidTr="009C0A5D">
        <w:trPr>
          <w:tblHeader/>
        </w:trPr>
        <w:tc>
          <w:tcPr>
            <w:tcW w:w="1379" w:type="pct"/>
            <w:tcBorders>
              <w:bottom w:val="single" w:sz="4" w:space="0" w:color="184897"/>
            </w:tcBorders>
          </w:tcPr>
          <w:p w14:paraId="461638B2" w14:textId="06FE1938" w:rsidR="00857A9B" w:rsidRPr="00315CC1" w:rsidRDefault="00857A9B" w:rsidP="00A8260C">
            <w:pPr>
              <w:pStyle w:val="TableBody"/>
              <w:jc w:val="both"/>
            </w:pPr>
            <w:r>
              <w:t>Bushfire Attack Level</w:t>
            </w:r>
          </w:p>
        </w:tc>
        <w:tc>
          <w:tcPr>
            <w:tcW w:w="3621" w:type="pct"/>
            <w:tcBorders>
              <w:bottom w:val="single" w:sz="4" w:space="0" w:color="184897"/>
            </w:tcBorders>
          </w:tcPr>
          <w:p w14:paraId="5D89EF49" w14:textId="2E51575F" w:rsidR="00857A9B" w:rsidRDefault="00857A9B" w:rsidP="00857A9B">
            <w:pPr>
              <w:pStyle w:val="TableBody"/>
              <w:jc w:val="both"/>
            </w:pPr>
            <w:r>
              <w:t>A means of measuring a building’s potential exposure to ember attack, radiant heat and direct flame contact, using increments of radiant heat expressed in kilowatts per metre squared</w:t>
            </w:r>
            <w:r w:rsidR="00CE2317">
              <w:t>.</w:t>
            </w:r>
          </w:p>
        </w:tc>
      </w:tr>
      <w:tr w:rsidR="009C0A5D" w:rsidRPr="00315CC1" w14:paraId="1077FA5E" w14:textId="77777777" w:rsidTr="009C0A5D">
        <w:trPr>
          <w:tblHeader/>
        </w:trPr>
        <w:tc>
          <w:tcPr>
            <w:tcW w:w="1379" w:type="pct"/>
            <w:tcBorders>
              <w:bottom w:val="single" w:sz="4" w:space="0" w:color="184897"/>
            </w:tcBorders>
          </w:tcPr>
          <w:p w14:paraId="5034A89D" w14:textId="77777777" w:rsidR="009C0A5D" w:rsidRPr="00315CC1" w:rsidRDefault="009C0A5D" w:rsidP="00A8260C">
            <w:pPr>
              <w:pStyle w:val="TableBody"/>
              <w:jc w:val="both"/>
            </w:pPr>
            <w:r w:rsidRPr="00315CC1">
              <w:t>Deemed-to-Satisfy Provisions</w:t>
            </w:r>
          </w:p>
        </w:tc>
        <w:tc>
          <w:tcPr>
            <w:tcW w:w="3621" w:type="pct"/>
            <w:tcBorders>
              <w:bottom w:val="single" w:sz="4" w:space="0" w:color="184897"/>
            </w:tcBorders>
          </w:tcPr>
          <w:p w14:paraId="0F35728B" w14:textId="040CEE44" w:rsidR="009C0A5D" w:rsidRPr="00315CC1" w:rsidRDefault="00BF0EB6" w:rsidP="00A8260C">
            <w:pPr>
              <w:pStyle w:val="TableBody"/>
              <w:jc w:val="both"/>
            </w:pPr>
            <w:r>
              <w:t>P</w:t>
            </w:r>
            <w:r w:rsidR="009C0A5D" w:rsidRPr="00315CC1">
              <w:t xml:space="preserve">rovisions which are </w:t>
            </w:r>
            <w:r w:rsidR="00CE64B6">
              <w:t>D</w:t>
            </w:r>
            <w:r w:rsidR="009C0A5D" w:rsidRPr="00315CC1">
              <w:t>eemed</w:t>
            </w:r>
            <w:r w:rsidR="00CE64B6">
              <w:t>-</w:t>
            </w:r>
            <w:r w:rsidR="009C0A5D" w:rsidRPr="00315CC1">
              <w:t>to</w:t>
            </w:r>
            <w:r w:rsidR="00CE64B6">
              <w:t>-S</w:t>
            </w:r>
            <w:r w:rsidR="009C0A5D" w:rsidRPr="00315CC1">
              <w:t xml:space="preserve">atisfy the Performance Requirements. </w:t>
            </w:r>
          </w:p>
        </w:tc>
      </w:tr>
      <w:tr w:rsidR="001204D4" w:rsidRPr="00315CC1" w14:paraId="1D769A0A" w14:textId="77777777" w:rsidTr="009C0A5D">
        <w:trPr>
          <w:tblHeader/>
        </w:trPr>
        <w:tc>
          <w:tcPr>
            <w:tcW w:w="1379" w:type="pct"/>
            <w:tcBorders>
              <w:bottom w:val="single" w:sz="4" w:space="0" w:color="184897"/>
            </w:tcBorders>
          </w:tcPr>
          <w:p w14:paraId="055433F0" w14:textId="1D948189" w:rsidR="001204D4" w:rsidRPr="00315CC1" w:rsidRDefault="001204D4" w:rsidP="00A8260C">
            <w:pPr>
              <w:pStyle w:val="TableBody"/>
              <w:jc w:val="both"/>
            </w:pPr>
            <w:r>
              <w:t>Health-care building</w:t>
            </w:r>
          </w:p>
        </w:tc>
        <w:tc>
          <w:tcPr>
            <w:tcW w:w="3621" w:type="pct"/>
            <w:tcBorders>
              <w:bottom w:val="single" w:sz="4" w:space="0" w:color="184897"/>
            </w:tcBorders>
          </w:tcPr>
          <w:p w14:paraId="0A594346" w14:textId="5EDED696" w:rsidR="001204D4" w:rsidRDefault="001204D4" w:rsidP="001204D4">
            <w:pPr>
              <w:pStyle w:val="TableBody"/>
              <w:jc w:val="both"/>
            </w:pPr>
            <w:r>
              <w:rPr>
                <w:rFonts w:cs="DaunPenh"/>
                <w:lang w:val="en-US"/>
              </w:rPr>
              <w:t xml:space="preserve">A </w:t>
            </w:r>
            <w:r w:rsidRPr="001D338F">
              <w:rPr>
                <w:rFonts w:cs="DaunPenh"/>
                <w:lang w:val="en-US"/>
              </w:rPr>
              <w:t>building</w:t>
            </w:r>
            <w:r>
              <w:rPr>
                <w:rFonts w:cs="DaunPenh"/>
                <w:lang w:val="en-US"/>
              </w:rPr>
              <w:t xml:space="preserve"> who’s occupants are undergoing medical treatment generally need physical assistance to evacuate the building during an emergency </w:t>
            </w:r>
          </w:p>
        </w:tc>
      </w:tr>
      <w:tr w:rsidR="009C0A5D" w:rsidRPr="00315CC1" w14:paraId="59CFEAF9" w14:textId="77777777" w:rsidTr="009C0A5D">
        <w:trPr>
          <w:tblHeader/>
        </w:trPr>
        <w:tc>
          <w:tcPr>
            <w:tcW w:w="1379" w:type="pct"/>
            <w:tcBorders>
              <w:top w:val="single" w:sz="4" w:space="0" w:color="184897"/>
              <w:bottom w:val="single" w:sz="4" w:space="0" w:color="184897"/>
            </w:tcBorders>
          </w:tcPr>
          <w:p w14:paraId="78989FDF" w14:textId="77777777" w:rsidR="009C0A5D" w:rsidRPr="00315CC1" w:rsidRDefault="009C0A5D" w:rsidP="00A8260C">
            <w:pPr>
              <w:pStyle w:val="TableBody"/>
              <w:jc w:val="both"/>
            </w:pPr>
            <w:r w:rsidRPr="00315CC1">
              <w:t>Performance Requirement</w:t>
            </w:r>
          </w:p>
        </w:tc>
        <w:tc>
          <w:tcPr>
            <w:tcW w:w="3621" w:type="pct"/>
            <w:tcBorders>
              <w:top w:val="single" w:sz="4" w:space="0" w:color="184897"/>
              <w:bottom w:val="single" w:sz="4" w:space="0" w:color="184897"/>
            </w:tcBorders>
          </w:tcPr>
          <w:p w14:paraId="123A18A3" w14:textId="77777777" w:rsidR="009C0A5D" w:rsidRPr="00315CC1" w:rsidRDefault="00BF0EB6" w:rsidP="00A8260C">
            <w:pPr>
              <w:pStyle w:val="TableBody"/>
              <w:jc w:val="both"/>
            </w:pPr>
            <w:r>
              <w:t>A</w:t>
            </w:r>
            <w:r w:rsidR="009C0A5D" w:rsidRPr="00315CC1">
              <w:t xml:space="preserve"> requirement which states the level of performance which a Performance Solution or Deemed-to-Satisfy Solution must meet.</w:t>
            </w:r>
          </w:p>
        </w:tc>
      </w:tr>
      <w:tr w:rsidR="009C0A5D" w:rsidRPr="00315CC1" w14:paraId="03263089" w14:textId="77777777" w:rsidTr="009C0A5D">
        <w:trPr>
          <w:tblHeader/>
        </w:trPr>
        <w:tc>
          <w:tcPr>
            <w:tcW w:w="1379" w:type="pct"/>
            <w:tcBorders>
              <w:top w:val="single" w:sz="4" w:space="0" w:color="184897"/>
              <w:bottom w:val="single" w:sz="4" w:space="0" w:color="184897"/>
            </w:tcBorders>
          </w:tcPr>
          <w:p w14:paraId="1876306B" w14:textId="77777777" w:rsidR="009C0A5D" w:rsidRPr="00315CC1" w:rsidRDefault="009C0A5D" w:rsidP="00A8260C">
            <w:pPr>
              <w:pStyle w:val="TableBody"/>
              <w:jc w:val="both"/>
            </w:pPr>
            <w:r w:rsidRPr="00315CC1">
              <w:t>Performance Solution</w:t>
            </w:r>
          </w:p>
        </w:tc>
        <w:tc>
          <w:tcPr>
            <w:tcW w:w="3621" w:type="pct"/>
            <w:tcBorders>
              <w:top w:val="single" w:sz="4" w:space="0" w:color="184897"/>
              <w:bottom w:val="single" w:sz="4" w:space="0" w:color="184897"/>
            </w:tcBorders>
          </w:tcPr>
          <w:p w14:paraId="092C4A2C" w14:textId="77777777" w:rsidR="009C0A5D" w:rsidRPr="00315CC1" w:rsidRDefault="00BF0EB6" w:rsidP="00A8260C">
            <w:pPr>
              <w:pStyle w:val="TableBody"/>
              <w:jc w:val="both"/>
            </w:pPr>
            <w:r>
              <w:t>A</w:t>
            </w:r>
            <w:r w:rsidR="009C0A5D" w:rsidRPr="00315CC1">
              <w:t xml:space="preserve"> method of complying with the Performance Requirements other than by a Deemed-to-Satisfy Solution. </w:t>
            </w:r>
          </w:p>
        </w:tc>
      </w:tr>
      <w:tr w:rsidR="001204D4" w:rsidRPr="00315CC1" w14:paraId="2CB4724E" w14:textId="77777777" w:rsidTr="009C0A5D">
        <w:trPr>
          <w:tblHeader/>
        </w:trPr>
        <w:tc>
          <w:tcPr>
            <w:tcW w:w="1379" w:type="pct"/>
            <w:tcBorders>
              <w:top w:val="single" w:sz="4" w:space="0" w:color="184897"/>
              <w:bottom w:val="single" w:sz="4" w:space="0" w:color="184897"/>
            </w:tcBorders>
          </w:tcPr>
          <w:p w14:paraId="3F72FC1B" w14:textId="3574E3CB" w:rsidR="001204D4" w:rsidRPr="00315CC1" w:rsidRDefault="001204D4" w:rsidP="00EA58B4">
            <w:pPr>
              <w:pStyle w:val="TableBody"/>
            </w:pPr>
            <w:r>
              <w:t>Residential care building</w:t>
            </w:r>
          </w:p>
        </w:tc>
        <w:tc>
          <w:tcPr>
            <w:tcW w:w="3621" w:type="pct"/>
            <w:tcBorders>
              <w:top w:val="single" w:sz="4" w:space="0" w:color="184897"/>
              <w:bottom w:val="single" w:sz="4" w:space="0" w:color="184897"/>
            </w:tcBorders>
          </w:tcPr>
          <w:p w14:paraId="393E78FE" w14:textId="2921A92E" w:rsidR="001204D4" w:rsidRDefault="001204D4" w:rsidP="00A8260C">
            <w:pPr>
              <w:pStyle w:val="TableBody"/>
              <w:jc w:val="both"/>
            </w:pPr>
            <w:r>
              <w:rPr>
                <w:rFonts w:cs="DaunPenh"/>
                <w:lang w:val="en-US"/>
              </w:rPr>
              <w:t>A Class 3, 9a or 9c building, which is a place of residence where 10% or more of residents who reside there need physical assistance conducting their daily activities and to evacuate the building during an emergency (including any aged care building or residential aged care building) but does not include a hospital</w:t>
            </w:r>
            <w:r w:rsidR="00AD38B4">
              <w:rPr>
                <w:rFonts w:cs="DaunPenh"/>
                <w:lang w:val="en-US"/>
              </w:rPr>
              <w:t>.</w:t>
            </w:r>
          </w:p>
        </w:tc>
      </w:tr>
    </w:tbl>
    <w:p w14:paraId="431635E2" w14:textId="21FDCD30" w:rsidR="009C0A5D" w:rsidRPr="000B675B" w:rsidRDefault="006841EF" w:rsidP="00EA58B4">
      <w:pPr>
        <w:spacing w:before="360"/>
        <w:rPr>
          <w:color w:val="002060"/>
          <w:sz w:val="40"/>
          <w:szCs w:val="40"/>
        </w:rPr>
      </w:pPr>
      <w:bookmarkStart w:id="4" w:name="_Toc32229015"/>
      <w:bookmarkStart w:id="5" w:name="_Toc33098409"/>
      <w:bookmarkStart w:id="6" w:name="_Toc33098868"/>
      <w:bookmarkEnd w:id="4"/>
      <w:bookmarkEnd w:id="5"/>
      <w:bookmarkEnd w:id="6"/>
      <w:r w:rsidRPr="000B675B">
        <w:rPr>
          <w:color w:val="002060"/>
          <w:sz w:val="40"/>
          <w:szCs w:val="40"/>
        </w:rPr>
        <w:t>A</w:t>
      </w:r>
      <w:r>
        <w:rPr>
          <w:color w:val="002060"/>
          <w:sz w:val="40"/>
          <w:szCs w:val="40"/>
        </w:rPr>
        <w:t>bbreviations</w:t>
      </w:r>
    </w:p>
    <w:tbl>
      <w:tblPr>
        <w:tblStyle w:val="TableGrid1"/>
        <w:tblW w:w="50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lossary of abbreviations used in this document."/>
      </w:tblPr>
      <w:tblGrid>
        <w:gridCol w:w="2501"/>
        <w:gridCol w:w="6568"/>
      </w:tblGrid>
      <w:tr w:rsidR="009C0A5D" w:rsidRPr="00513B40" w14:paraId="76FBF044" w14:textId="77777777" w:rsidTr="00C21D51">
        <w:trPr>
          <w:tblHeader/>
        </w:trPr>
        <w:tc>
          <w:tcPr>
            <w:tcW w:w="1379" w:type="pct"/>
            <w:tcBorders>
              <w:bottom w:val="single" w:sz="4" w:space="0" w:color="184897"/>
            </w:tcBorders>
            <w:shd w:val="clear" w:color="auto" w:fill="184897"/>
          </w:tcPr>
          <w:p w14:paraId="461DF6C5" w14:textId="77777777" w:rsidR="009C0A5D" w:rsidRPr="00513B40" w:rsidRDefault="009C0A5D" w:rsidP="009C0A5D">
            <w:pPr>
              <w:pStyle w:val="TableHeading"/>
            </w:pPr>
            <w:r w:rsidRPr="00513B40">
              <w:t>Abbreviation</w:t>
            </w:r>
          </w:p>
        </w:tc>
        <w:tc>
          <w:tcPr>
            <w:tcW w:w="3621" w:type="pct"/>
            <w:tcBorders>
              <w:bottom w:val="single" w:sz="4" w:space="0" w:color="184897"/>
            </w:tcBorders>
            <w:shd w:val="clear" w:color="auto" w:fill="184897"/>
          </w:tcPr>
          <w:p w14:paraId="0690AAFA" w14:textId="77777777" w:rsidR="009C0A5D" w:rsidRPr="00513B40" w:rsidRDefault="009C0A5D" w:rsidP="009C0A5D">
            <w:pPr>
              <w:pStyle w:val="TableHeading"/>
            </w:pPr>
            <w:r w:rsidRPr="00513B40">
              <w:t>Full Name</w:t>
            </w:r>
          </w:p>
        </w:tc>
      </w:tr>
      <w:tr w:rsidR="009C0A5D" w:rsidRPr="00B32C56" w14:paraId="7B27B3B3" w14:textId="77777777" w:rsidTr="009C0A5D">
        <w:trPr>
          <w:cantSplit/>
        </w:trPr>
        <w:tc>
          <w:tcPr>
            <w:tcW w:w="1379" w:type="pct"/>
            <w:tcBorders>
              <w:top w:val="single" w:sz="4" w:space="0" w:color="184897"/>
              <w:bottom w:val="single" w:sz="4" w:space="0" w:color="184897"/>
            </w:tcBorders>
          </w:tcPr>
          <w:p w14:paraId="3A3D4A6D" w14:textId="77777777" w:rsidR="009C0A5D" w:rsidRPr="00B32C56" w:rsidRDefault="009C0A5D" w:rsidP="009C0A5D">
            <w:pPr>
              <w:pStyle w:val="TableBody"/>
            </w:pPr>
            <w:r w:rsidRPr="00B32C56">
              <w:t>ABCB</w:t>
            </w:r>
          </w:p>
        </w:tc>
        <w:tc>
          <w:tcPr>
            <w:tcW w:w="3621" w:type="pct"/>
            <w:tcBorders>
              <w:top w:val="single" w:sz="4" w:space="0" w:color="184897"/>
              <w:bottom w:val="single" w:sz="4" w:space="0" w:color="184897"/>
            </w:tcBorders>
          </w:tcPr>
          <w:p w14:paraId="5C5D1CD3" w14:textId="77777777" w:rsidR="009C0A5D" w:rsidRPr="00B32C56" w:rsidRDefault="009C0A5D" w:rsidP="009C0A5D">
            <w:pPr>
              <w:pStyle w:val="TableBody"/>
            </w:pPr>
            <w:r w:rsidRPr="00B32C56">
              <w:t>Australian Building Codes Board</w:t>
            </w:r>
          </w:p>
        </w:tc>
      </w:tr>
      <w:tr w:rsidR="008B1B5F" w:rsidRPr="00B32C56" w14:paraId="370C5D90" w14:textId="77777777" w:rsidTr="009C0A5D">
        <w:trPr>
          <w:cantSplit/>
        </w:trPr>
        <w:tc>
          <w:tcPr>
            <w:tcW w:w="1379" w:type="pct"/>
            <w:tcBorders>
              <w:top w:val="single" w:sz="4" w:space="0" w:color="184897"/>
              <w:bottom w:val="single" w:sz="4" w:space="0" w:color="184897"/>
            </w:tcBorders>
          </w:tcPr>
          <w:p w14:paraId="5F06DA18" w14:textId="5848D8D5" w:rsidR="008B1B5F" w:rsidRPr="00B32C56" w:rsidRDefault="008B1B5F" w:rsidP="009C0A5D">
            <w:pPr>
              <w:pStyle w:val="TableBody"/>
            </w:pPr>
            <w:r>
              <w:t>AIA</w:t>
            </w:r>
          </w:p>
        </w:tc>
        <w:tc>
          <w:tcPr>
            <w:tcW w:w="3621" w:type="pct"/>
            <w:tcBorders>
              <w:top w:val="single" w:sz="4" w:space="0" w:color="184897"/>
              <w:bottom w:val="single" w:sz="4" w:space="0" w:color="184897"/>
            </w:tcBorders>
          </w:tcPr>
          <w:p w14:paraId="24E9C3E1" w14:textId="0D4677FA" w:rsidR="008B1B5F" w:rsidRPr="00B32C56" w:rsidRDefault="008B1B5F" w:rsidP="009C0A5D">
            <w:pPr>
              <w:pStyle w:val="TableBody"/>
            </w:pPr>
            <w:r>
              <w:t>Australian Institute of Architects</w:t>
            </w:r>
          </w:p>
        </w:tc>
      </w:tr>
      <w:tr w:rsidR="00205BFC" w:rsidRPr="00B32C56" w14:paraId="4FD65B18" w14:textId="77777777" w:rsidTr="009C0A5D">
        <w:trPr>
          <w:cantSplit/>
        </w:trPr>
        <w:tc>
          <w:tcPr>
            <w:tcW w:w="1379" w:type="pct"/>
            <w:tcBorders>
              <w:top w:val="single" w:sz="4" w:space="0" w:color="184897"/>
              <w:bottom w:val="single" w:sz="4" w:space="0" w:color="184897"/>
            </w:tcBorders>
          </w:tcPr>
          <w:p w14:paraId="3D25CD31" w14:textId="40754B81" w:rsidR="00205BFC" w:rsidRPr="00B32C56" w:rsidRDefault="005730E2" w:rsidP="009C0A5D">
            <w:pPr>
              <w:pStyle w:val="TableBody"/>
            </w:pPr>
            <w:r>
              <w:t>AS</w:t>
            </w:r>
          </w:p>
        </w:tc>
        <w:tc>
          <w:tcPr>
            <w:tcW w:w="3621" w:type="pct"/>
            <w:tcBorders>
              <w:top w:val="single" w:sz="4" w:space="0" w:color="184897"/>
              <w:bottom w:val="single" w:sz="4" w:space="0" w:color="184897"/>
            </w:tcBorders>
          </w:tcPr>
          <w:p w14:paraId="6E3DB1AE" w14:textId="3A0C7087" w:rsidR="00205BFC" w:rsidRPr="00B32C56" w:rsidRDefault="005730E2" w:rsidP="009C0A5D">
            <w:pPr>
              <w:pStyle w:val="TableBody"/>
            </w:pPr>
            <w:r>
              <w:t>Australian Standard</w:t>
            </w:r>
          </w:p>
        </w:tc>
      </w:tr>
      <w:tr w:rsidR="00F45F16" w:rsidRPr="00B32C56" w14:paraId="414CD796" w14:textId="77777777" w:rsidTr="009C0A5D">
        <w:trPr>
          <w:cantSplit/>
        </w:trPr>
        <w:tc>
          <w:tcPr>
            <w:tcW w:w="1379" w:type="pct"/>
            <w:tcBorders>
              <w:top w:val="single" w:sz="4" w:space="0" w:color="184897"/>
              <w:bottom w:val="single" w:sz="4" w:space="0" w:color="184897"/>
            </w:tcBorders>
          </w:tcPr>
          <w:p w14:paraId="1E0BE6C6" w14:textId="4BC4D135" w:rsidR="00F45F16" w:rsidRDefault="00F45F16" w:rsidP="009C0A5D">
            <w:pPr>
              <w:pStyle w:val="TableBody"/>
            </w:pPr>
            <w:r>
              <w:t>BCC</w:t>
            </w:r>
          </w:p>
        </w:tc>
        <w:tc>
          <w:tcPr>
            <w:tcW w:w="3621" w:type="pct"/>
            <w:tcBorders>
              <w:top w:val="single" w:sz="4" w:space="0" w:color="184897"/>
              <w:bottom w:val="single" w:sz="4" w:space="0" w:color="184897"/>
            </w:tcBorders>
          </w:tcPr>
          <w:p w14:paraId="49A10515" w14:textId="258F416A" w:rsidR="00F45F16" w:rsidRDefault="00F45F16" w:rsidP="009C0A5D">
            <w:pPr>
              <w:pStyle w:val="TableBody"/>
            </w:pPr>
            <w:r>
              <w:t>Building Codes Committee</w:t>
            </w:r>
          </w:p>
        </w:tc>
      </w:tr>
      <w:tr w:rsidR="00857A9B" w:rsidRPr="00B32C56" w14:paraId="085B2177" w14:textId="77777777" w:rsidTr="009C0A5D">
        <w:trPr>
          <w:cantSplit/>
        </w:trPr>
        <w:tc>
          <w:tcPr>
            <w:tcW w:w="1379" w:type="pct"/>
            <w:tcBorders>
              <w:top w:val="single" w:sz="4" w:space="0" w:color="184897"/>
              <w:bottom w:val="single" w:sz="4" w:space="0" w:color="184897"/>
            </w:tcBorders>
          </w:tcPr>
          <w:p w14:paraId="5444686C" w14:textId="1A33EACA" w:rsidR="00857A9B" w:rsidRDefault="00857A9B" w:rsidP="009C0A5D">
            <w:pPr>
              <w:pStyle w:val="TableBody"/>
            </w:pPr>
            <w:r>
              <w:t>BAL</w:t>
            </w:r>
          </w:p>
        </w:tc>
        <w:tc>
          <w:tcPr>
            <w:tcW w:w="3621" w:type="pct"/>
            <w:tcBorders>
              <w:top w:val="single" w:sz="4" w:space="0" w:color="184897"/>
              <w:bottom w:val="single" w:sz="4" w:space="0" w:color="184897"/>
            </w:tcBorders>
          </w:tcPr>
          <w:p w14:paraId="5F66DDE2" w14:textId="0DADF896" w:rsidR="00857A9B" w:rsidRDefault="00857A9B" w:rsidP="009C0A5D">
            <w:pPr>
              <w:pStyle w:val="TableBody"/>
            </w:pPr>
            <w:r>
              <w:t>Bushfire Attack Level</w:t>
            </w:r>
          </w:p>
        </w:tc>
      </w:tr>
      <w:tr w:rsidR="00BA7D1F" w:rsidRPr="00B32C56" w14:paraId="52A4E112" w14:textId="77777777" w:rsidTr="009C0A5D">
        <w:trPr>
          <w:cantSplit/>
        </w:trPr>
        <w:tc>
          <w:tcPr>
            <w:tcW w:w="1379" w:type="pct"/>
            <w:tcBorders>
              <w:top w:val="single" w:sz="4" w:space="0" w:color="184897"/>
              <w:bottom w:val="single" w:sz="4" w:space="0" w:color="184897"/>
            </w:tcBorders>
          </w:tcPr>
          <w:p w14:paraId="4CC63ACC" w14:textId="600B2427" w:rsidR="00BA7D1F" w:rsidRDefault="00BA7D1F" w:rsidP="009C0A5D">
            <w:pPr>
              <w:pStyle w:val="TableBody"/>
            </w:pPr>
            <w:r>
              <w:t>BPA</w:t>
            </w:r>
          </w:p>
        </w:tc>
        <w:tc>
          <w:tcPr>
            <w:tcW w:w="3621" w:type="pct"/>
            <w:tcBorders>
              <w:top w:val="single" w:sz="4" w:space="0" w:color="184897"/>
              <w:bottom w:val="single" w:sz="4" w:space="0" w:color="184897"/>
            </w:tcBorders>
          </w:tcPr>
          <w:p w14:paraId="6BCA8032" w14:textId="100A6A4D" w:rsidR="00BA7D1F" w:rsidRDefault="00BA7D1F" w:rsidP="009C0A5D">
            <w:pPr>
              <w:pStyle w:val="TableBody"/>
            </w:pPr>
            <w:r>
              <w:t>Bushfire Prone Area</w:t>
            </w:r>
          </w:p>
        </w:tc>
      </w:tr>
      <w:tr w:rsidR="00771525" w:rsidRPr="00B32C56" w14:paraId="2B9D31C5" w14:textId="77777777" w:rsidTr="009C0A5D">
        <w:trPr>
          <w:cantSplit/>
        </w:trPr>
        <w:tc>
          <w:tcPr>
            <w:tcW w:w="1379" w:type="pct"/>
            <w:tcBorders>
              <w:top w:val="single" w:sz="4" w:space="0" w:color="184897"/>
              <w:bottom w:val="single" w:sz="4" w:space="0" w:color="184897"/>
            </w:tcBorders>
          </w:tcPr>
          <w:p w14:paraId="3FB79A26" w14:textId="2D0C58BA" w:rsidR="00771525" w:rsidRDefault="00771525" w:rsidP="009C0A5D">
            <w:pPr>
              <w:pStyle w:val="TableBody"/>
            </w:pPr>
            <w:r>
              <w:t>D</w:t>
            </w:r>
            <w:r w:rsidR="00CE2317">
              <w:t>T</w:t>
            </w:r>
            <w:r>
              <w:t>S</w:t>
            </w:r>
          </w:p>
        </w:tc>
        <w:tc>
          <w:tcPr>
            <w:tcW w:w="3621" w:type="pct"/>
            <w:tcBorders>
              <w:top w:val="single" w:sz="4" w:space="0" w:color="184897"/>
              <w:bottom w:val="single" w:sz="4" w:space="0" w:color="184897"/>
            </w:tcBorders>
          </w:tcPr>
          <w:p w14:paraId="01A17F4C" w14:textId="5FE50337" w:rsidR="00771525" w:rsidRDefault="00771525" w:rsidP="009C0A5D">
            <w:pPr>
              <w:pStyle w:val="TableBody"/>
            </w:pPr>
            <w:r>
              <w:t>Deemed</w:t>
            </w:r>
            <w:r w:rsidR="00CE64B6">
              <w:t>-</w:t>
            </w:r>
            <w:r>
              <w:t>to</w:t>
            </w:r>
            <w:r w:rsidR="00CE64B6">
              <w:t>-</w:t>
            </w:r>
            <w:r>
              <w:t>Satisfy</w:t>
            </w:r>
          </w:p>
        </w:tc>
      </w:tr>
      <w:tr w:rsidR="00CC7F0F" w:rsidRPr="00B32C56" w14:paraId="33157001" w14:textId="77777777" w:rsidTr="009C0A5D">
        <w:trPr>
          <w:cantSplit/>
        </w:trPr>
        <w:tc>
          <w:tcPr>
            <w:tcW w:w="1379" w:type="pct"/>
            <w:tcBorders>
              <w:top w:val="single" w:sz="4" w:space="0" w:color="184897"/>
              <w:bottom w:val="single" w:sz="4" w:space="0" w:color="184897"/>
            </w:tcBorders>
          </w:tcPr>
          <w:p w14:paraId="175989E9" w14:textId="064C4E34" w:rsidR="00CC7F0F" w:rsidRDefault="00CC7F0F" w:rsidP="009C0A5D">
            <w:pPr>
              <w:pStyle w:val="TableBody"/>
            </w:pPr>
            <w:r>
              <w:t>FFDI</w:t>
            </w:r>
          </w:p>
        </w:tc>
        <w:tc>
          <w:tcPr>
            <w:tcW w:w="3621" w:type="pct"/>
            <w:tcBorders>
              <w:top w:val="single" w:sz="4" w:space="0" w:color="184897"/>
              <w:bottom w:val="single" w:sz="4" w:space="0" w:color="184897"/>
            </w:tcBorders>
          </w:tcPr>
          <w:p w14:paraId="610C61EB" w14:textId="3BCEB2AC" w:rsidR="00CC7F0F" w:rsidRDefault="00CC7F0F" w:rsidP="009C0A5D">
            <w:pPr>
              <w:pStyle w:val="TableBody"/>
            </w:pPr>
            <w:r>
              <w:t>Forest Fire Danger Index</w:t>
            </w:r>
          </w:p>
        </w:tc>
      </w:tr>
      <w:tr w:rsidR="008822FA" w:rsidRPr="00B32C56" w14:paraId="1577E6F9" w14:textId="77777777" w:rsidTr="009C0A5D">
        <w:trPr>
          <w:cantSplit/>
        </w:trPr>
        <w:tc>
          <w:tcPr>
            <w:tcW w:w="1379" w:type="pct"/>
            <w:tcBorders>
              <w:top w:val="single" w:sz="4" w:space="0" w:color="184897"/>
              <w:bottom w:val="single" w:sz="4" w:space="0" w:color="184897"/>
            </w:tcBorders>
          </w:tcPr>
          <w:p w14:paraId="06A53439" w14:textId="07D8C317" w:rsidR="008822FA" w:rsidRDefault="008822FA" w:rsidP="009C0A5D">
            <w:pPr>
              <w:pStyle w:val="TableBody"/>
            </w:pPr>
            <w:r>
              <w:t>PCD</w:t>
            </w:r>
          </w:p>
        </w:tc>
        <w:tc>
          <w:tcPr>
            <w:tcW w:w="3621" w:type="pct"/>
            <w:tcBorders>
              <w:top w:val="single" w:sz="4" w:space="0" w:color="184897"/>
              <w:bottom w:val="single" w:sz="4" w:space="0" w:color="184897"/>
            </w:tcBorders>
          </w:tcPr>
          <w:p w14:paraId="0AD12B54" w14:textId="007AC048" w:rsidR="008822FA" w:rsidRDefault="008822FA" w:rsidP="009C0A5D">
            <w:pPr>
              <w:pStyle w:val="TableBody"/>
            </w:pPr>
            <w:r>
              <w:t>Public Comment Draft</w:t>
            </w:r>
          </w:p>
        </w:tc>
      </w:tr>
      <w:tr w:rsidR="00F45F16" w:rsidRPr="00B32C56" w14:paraId="2E95CAB4" w14:textId="77777777" w:rsidTr="009C0A5D">
        <w:trPr>
          <w:cantSplit/>
        </w:trPr>
        <w:tc>
          <w:tcPr>
            <w:tcW w:w="1379" w:type="pct"/>
            <w:tcBorders>
              <w:top w:val="single" w:sz="4" w:space="0" w:color="184897"/>
              <w:bottom w:val="single" w:sz="4" w:space="0" w:color="184897"/>
            </w:tcBorders>
          </w:tcPr>
          <w:p w14:paraId="2D5D197F" w14:textId="41FEA5B5" w:rsidR="00F45F16" w:rsidRDefault="00F45F16" w:rsidP="009C0A5D">
            <w:pPr>
              <w:pStyle w:val="TableBody"/>
            </w:pPr>
            <w:r>
              <w:t>PV</w:t>
            </w:r>
          </w:p>
        </w:tc>
        <w:tc>
          <w:tcPr>
            <w:tcW w:w="3621" w:type="pct"/>
            <w:tcBorders>
              <w:top w:val="single" w:sz="4" w:space="0" w:color="184897"/>
              <w:bottom w:val="single" w:sz="4" w:space="0" w:color="184897"/>
            </w:tcBorders>
          </w:tcPr>
          <w:p w14:paraId="67A7E1FE" w14:textId="05F36B7B" w:rsidR="00F45F16" w:rsidRDefault="00F45F16" w:rsidP="009C0A5D">
            <w:pPr>
              <w:pStyle w:val="TableBody"/>
            </w:pPr>
            <w:r>
              <w:t>Present Value</w:t>
            </w:r>
          </w:p>
        </w:tc>
      </w:tr>
      <w:tr w:rsidR="003A3E62" w:rsidRPr="00B32C56" w14:paraId="5C297653" w14:textId="77777777" w:rsidTr="009C0A5D">
        <w:trPr>
          <w:cantSplit/>
        </w:trPr>
        <w:tc>
          <w:tcPr>
            <w:tcW w:w="1379" w:type="pct"/>
            <w:tcBorders>
              <w:top w:val="single" w:sz="4" w:space="0" w:color="184897"/>
              <w:bottom w:val="single" w:sz="4" w:space="0" w:color="184897"/>
            </w:tcBorders>
          </w:tcPr>
          <w:p w14:paraId="25773CD7" w14:textId="3840473B" w:rsidR="003A3E62" w:rsidRDefault="003A3E62" w:rsidP="009C0A5D">
            <w:pPr>
              <w:pStyle w:val="TableBody"/>
            </w:pPr>
            <w:r>
              <w:t>NCC</w:t>
            </w:r>
          </w:p>
        </w:tc>
        <w:tc>
          <w:tcPr>
            <w:tcW w:w="3621" w:type="pct"/>
            <w:tcBorders>
              <w:top w:val="single" w:sz="4" w:space="0" w:color="184897"/>
              <w:bottom w:val="single" w:sz="4" w:space="0" w:color="184897"/>
            </w:tcBorders>
          </w:tcPr>
          <w:p w14:paraId="6A65BDA6" w14:textId="3CA6DC07" w:rsidR="003A3E62" w:rsidRDefault="003A3E62" w:rsidP="009C0A5D">
            <w:pPr>
              <w:pStyle w:val="TableBody"/>
            </w:pPr>
            <w:r>
              <w:t>National Construction Code</w:t>
            </w:r>
          </w:p>
        </w:tc>
      </w:tr>
      <w:tr w:rsidR="00417DDB" w:rsidRPr="00B32C56" w14:paraId="4FD05DCA" w14:textId="77777777" w:rsidTr="009C0A5D">
        <w:trPr>
          <w:cantSplit/>
        </w:trPr>
        <w:tc>
          <w:tcPr>
            <w:tcW w:w="1379" w:type="pct"/>
            <w:tcBorders>
              <w:top w:val="single" w:sz="4" w:space="0" w:color="184897"/>
              <w:bottom w:val="single" w:sz="4" w:space="0" w:color="184897"/>
            </w:tcBorders>
          </w:tcPr>
          <w:p w14:paraId="16C45FD4" w14:textId="1D0B9BDA" w:rsidR="00417DDB" w:rsidRDefault="00417DDB" w:rsidP="009C0A5D">
            <w:pPr>
              <w:pStyle w:val="TableBody"/>
            </w:pPr>
            <w:r>
              <w:t>NPV</w:t>
            </w:r>
          </w:p>
        </w:tc>
        <w:tc>
          <w:tcPr>
            <w:tcW w:w="3621" w:type="pct"/>
            <w:tcBorders>
              <w:top w:val="single" w:sz="4" w:space="0" w:color="184897"/>
              <w:bottom w:val="single" w:sz="4" w:space="0" w:color="184897"/>
            </w:tcBorders>
          </w:tcPr>
          <w:p w14:paraId="069CFE31" w14:textId="5716E582" w:rsidR="00417DDB" w:rsidRDefault="00417DDB" w:rsidP="009C0A5D">
            <w:pPr>
              <w:pStyle w:val="TableBody"/>
            </w:pPr>
            <w:r>
              <w:t>Net Present Value</w:t>
            </w:r>
          </w:p>
        </w:tc>
      </w:tr>
      <w:tr w:rsidR="00215764" w:rsidRPr="00B32C56" w14:paraId="65E3AF6C" w14:textId="77777777" w:rsidTr="009C0A5D">
        <w:trPr>
          <w:cantSplit/>
        </w:trPr>
        <w:tc>
          <w:tcPr>
            <w:tcW w:w="1379" w:type="pct"/>
            <w:tcBorders>
              <w:top w:val="single" w:sz="4" w:space="0" w:color="184897"/>
              <w:bottom w:val="single" w:sz="4" w:space="0" w:color="184897"/>
            </w:tcBorders>
          </w:tcPr>
          <w:p w14:paraId="6D717D5C" w14:textId="551AD771" w:rsidR="00215764" w:rsidRDefault="006A3CF4" w:rsidP="00215764">
            <w:pPr>
              <w:pStyle w:val="TableBody"/>
            </w:pPr>
            <w:r>
              <w:lastRenderedPageBreak/>
              <w:t>SEMC</w:t>
            </w:r>
          </w:p>
        </w:tc>
        <w:tc>
          <w:tcPr>
            <w:tcW w:w="3621" w:type="pct"/>
            <w:tcBorders>
              <w:top w:val="single" w:sz="4" w:space="0" w:color="184897"/>
              <w:bottom w:val="single" w:sz="4" w:space="0" w:color="184897"/>
            </w:tcBorders>
          </w:tcPr>
          <w:p w14:paraId="35E323DD" w14:textId="2E06F1D2" w:rsidR="00215764" w:rsidRDefault="006A3CF4" w:rsidP="009C0A5D">
            <w:pPr>
              <w:pStyle w:val="TableBody"/>
            </w:pPr>
            <w:r>
              <w:rPr>
                <w:rFonts w:cs="Arial"/>
              </w:rPr>
              <w:t>State Emergency Management Committee (Tasmania)</w:t>
            </w:r>
          </w:p>
        </w:tc>
      </w:tr>
      <w:tr w:rsidR="00205BFC" w:rsidRPr="00B32C56" w14:paraId="1901E81D" w14:textId="77777777" w:rsidTr="009C0A5D">
        <w:trPr>
          <w:cantSplit/>
        </w:trPr>
        <w:tc>
          <w:tcPr>
            <w:tcW w:w="1379" w:type="pct"/>
            <w:tcBorders>
              <w:top w:val="single" w:sz="4" w:space="0" w:color="184897"/>
              <w:bottom w:val="single" w:sz="4" w:space="0" w:color="184897"/>
            </w:tcBorders>
          </w:tcPr>
          <w:p w14:paraId="6ACDAFC7" w14:textId="1C58515B" w:rsidR="00205BFC" w:rsidRPr="00B32C56" w:rsidRDefault="005730E2" w:rsidP="009C0A5D">
            <w:pPr>
              <w:pStyle w:val="TableBody"/>
            </w:pPr>
            <w:r>
              <w:t>SoC</w:t>
            </w:r>
          </w:p>
        </w:tc>
        <w:tc>
          <w:tcPr>
            <w:tcW w:w="3621" w:type="pct"/>
            <w:tcBorders>
              <w:top w:val="single" w:sz="4" w:space="0" w:color="184897"/>
              <w:bottom w:val="single" w:sz="4" w:space="0" w:color="184897"/>
            </w:tcBorders>
          </w:tcPr>
          <w:p w14:paraId="6FDD548F" w14:textId="0D1D4747" w:rsidR="00205BFC" w:rsidRPr="00B32C56" w:rsidRDefault="005730E2" w:rsidP="009C0A5D">
            <w:pPr>
              <w:pStyle w:val="TableBody"/>
            </w:pPr>
            <w:r>
              <w:t>State of Climate Report (2020)</w:t>
            </w:r>
          </w:p>
        </w:tc>
      </w:tr>
      <w:tr w:rsidR="00F45F16" w:rsidRPr="00B32C56" w14:paraId="307364B7" w14:textId="77777777" w:rsidTr="009C0A5D">
        <w:trPr>
          <w:cantSplit/>
        </w:trPr>
        <w:tc>
          <w:tcPr>
            <w:tcW w:w="1379" w:type="pct"/>
            <w:tcBorders>
              <w:top w:val="single" w:sz="4" w:space="0" w:color="184897"/>
              <w:bottom w:val="single" w:sz="4" w:space="0" w:color="184897"/>
            </w:tcBorders>
          </w:tcPr>
          <w:p w14:paraId="712BE8C7" w14:textId="43A069E9" w:rsidR="00F45F16" w:rsidRDefault="00F45F16" w:rsidP="009C0A5D">
            <w:pPr>
              <w:pStyle w:val="TableBody"/>
            </w:pPr>
            <w:r>
              <w:t>VoSL</w:t>
            </w:r>
          </w:p>
        </w:tc>
        <w:tc>
          <w:tcPr>
            <w:tcW w:w="3621" w:type="pct"/>
            <w:tcBorders>
              <w:top w:val="single" w:sz="4" w:space="0" w:color="184897"/>
              <w:bottom w:val="single" w:sz="4" w:space="0" w:color="184897"/>
            </w:tcBorders>
          </w:tcPr>
          <w:p w14:paraId="3C8E0C1C" w14:textId="58C93304" w:rsidR="00F45F16" w:rsidRDefault="00F45F16" w:rsidP="009C0A5D">
            <w:pPr>
              <w:pStyle w:val="TableBody"/>
            </w:pPr>
            <w:r>
              <w:t>Value of Statistical Life</w:t>
            </w:r>
          </w:p>
        </w:tc>
      </w:tr>
    </w:tbl>
    <w:p w14:paraId="439883F7" w14:textId="32A1BDCB" w:rsidR="003F76D4" w:rsidRDefault="003F76D4" w:rsidP="00EA58B4">
      <w:pPr>
        <w:rPr>
          <w:rFonts w:eastAsiaTheme="majorEastAsia"/>
          <w:color w:val="002060"/>
          <w:sz w:val="40"/>
          <w:szCs w:val="28"/>
        </w:rPr>
      </w:pPr>
      <w:bookmarkStart w:id="7" w:name="_Toc71195722"/>
    </w:p>
    <w:p w14:paraId="7FA189C1" w14:textId="77777777" w:rsidR="00CE2317" w:rsidRDefault="00CE2317" w:rsidP="00EA58B4">
      <w:pPr>
        <w:pStyle w:val="Heading1"/>
        <w:rPr>
          <w:rFonts w:ascii="Arial" w:hAnsi="Arial" w:cs="Arial"/>
          <w:b w:val="0"/>
          <w:bCs w:val="0"/>
          <w:szCs w:val="32"/>
        </w:rPr>
      </w:pPr>
      <w:bookmarkStart w:id="8" w:name="_Toc53963024"/>
      <w:bookmarkStart w:id="9" w:name="_Toc71195726"/>
      <w:bookmarkStart w:id="10" w:name="_Toc71789253"/>
      <w:bookmarkEnd w:id="7"/>
      <w:r>
        <w:rPr>
          <w:rFonts w:ascii="Arial" w:hAnsi="Arial" w:cs="Arial"/>
          <w:b w:val="0"/>
          <w:bCs w:val="0"/>
          <w:szCs w:val="32"/>
        </w:rPr>
        <w:br w:type="page"/>
      </w:r>
    </w:p>
    <w:p w14:paraId="777C2EB0" w14:textId="797459AF" w:rsidR="00C51AA9" w:rsidRPr="00362FEC" w:rsidRDefault="00C51AA9" w:rsidP="00EA58B4">
      <w:pPr>
        <w:pStyle w:val="Heading1"/>
        <w:rPr>
          <w:rFonts w:ascii="Arial" w:hAnsi="Arial" w:cs="Arial"/>
          <w:b w:val="0"/>
          <w:bCs w:val="0"/>
          <w:szCs w:val="32"/>
        </w:rPr>
      </w:pPr>
      <w:bookmarkStart w:id="11" w:name="_Toc97023774"/>
      <w:r w:rsidRPr="00362FEC">
        <w:rPr>
          <w:rFonts w:ascii="Arial" w:hAnsi="Arial" w:cs="Arial"/>
          <w:b w:val="0"/>
          <w:bCs w:val="0"/>
          <w:szCs w:val="32"/>
        </w:rPr>
        <w:t>Purpose and Scope</w:t>
      </w:r>
      <w:bookmarkEnd w:id="8"/>
      <w:bookmarkEnd w:id="9"/>
      <w:bookmarkEnd w:id="10"/>
      <w:bookmarkEnd w:id="11"/>
    </w:p>
    <w:p w14:paraId="51C41206" w14:textId="7B722964" w:rsidR="00EF2D16" w:rsidRPr="00EA58B4" w:rsidRDefault="00EF2D16" w:rsidP="00EA58B4">
      <w:pPr>
        <w:spacing w:before="240" w:line="360" w:lineRule="auto"/>
        <w:jc w:val="both"/>
        <w:rPr>
          <w:rFonts w:cs="Arial"/>
          <w:bCs/>
          <w:iCs/>
        </w:rPr>
      </w:pPr>
      <w:r w:rsidRPr="00EA58B4">
        <w:t xml:space="preserve">The purpose of this Decision </w:t>
      </w:r>
      <w:r w:rsidR="00430720" w:rsidRPr="00EA58B4">
        <w:t>Regulation Impact Statement (</w:t>
      </w:r>
      <w:r w:rsidRPr="00EA58B4">
        <w:t>RIS</w:t>
      </w:r>
      <w:r w:rsidR="00430720" w:rsidRPr="00EA58B4">
        <w:t>)</w:t>
      </w:r>
      <w:r w:rsidRPr="00EA58B4">
        <w:t xml:space="preserve"> is to provide an assessment o</w:t>
      </w:r>
      <w:r w:rsidR="00430720" w:rsidRPr="00EA58B4">
        <w:t>f</w:t>
      </w:r>
      <w:r w:rsidRPr="00EA58B4">
        <w:t xml:space="preserve"> the </w:t>
      </w:r>
      <w:r w:rsidR="0067270E" w:rsidRPr="00EA58B4">
        <w:rPr>
          <w:rFonts w:cs="Arial"/>
          <w:bCs/>
          <w:iCs/>
        </w:rPr>
        <w:t>need</w:t>
      </w:r>
      <w:r w:rsidR="00430720" w:rsidRPr="00EA58B4">
        <w:rPr>
          <w:rFonts w:cs="Arial"/>
          <w:bCs/>
          <w:iCs/>
        </w:rPr>
        <w:t xml:space="preserve"> to provide</w:t>
      </w:r>
      <w:r w:rsidR="0067270E" w:rsidRPr="00EA58B4">
        <w:rPr>
          <w:rFonts w:cs="Arial"/>
          <w:bCs/>
          <w:iCs/>
        </w:rPr>
        <w:t xml:space="preserve"> additional bushfire protection </w:t>
      </w:r>
      <w:r w:rsidR="00430720" w:rsidRPr="00EA58B4">
        <w:rPr>
          <w:rFonts w:cs="Arial"/>
          <w:bCs/>
          <w:iCs/>
        </w:rPr>
        <w:t>measures</w:t>
      </w:r>
      <w:r w:rsidR="0067270E" w:rsidRPr="00EA58B4">
        <w:rPr>
          <w:rFonts w:cs="Arial"/>
          <w:bCs/>
          <w:iCs/>
        </w:rPr>
        <w:t xml:space="preserve"> for</w:t>
      </w:r>
      <w:r w:rsidR="007C6CF5">
        <w:rPr>
          <w:rFonts w:cs="Arial"/>
          <w:bCs/>
          <w:iCs/>
        </w:rPr>
        <w:t xml:space="preserve"> certain</w:t>
      </w:r>
      <w:r w:rsidR="0067270E" w:rsidRPr="00EA58B4">
        <w:rPr>
          <w:rFonts w:cs="Arial"/>
          <w:bCs/>
          <w:iCs/>
        </w:rPr>
        <w:t xml:space="preserve"> Class 9 buildings. </w:t>
      </w:r>
      <w:r w:rsidRPr="00EA58B4">
        <w:rPr>
          <w:rFonts w:cs="Arial"/>
          <w:bCs/>
          <w:iCs/>
        </w:rPr>
        <w:t>This follows several recent severe bushfire</w:t>
      </w:r>
      <w:r w:rsidR="00430720" w:rsidRPr="00EA58B4">
        <w:rPr>
          <w:rFonts w:cs="Arial"/>
          <w:bCs/>
          <w:iCs/>
        </w:rPr>
        <w:t xml:space="preserve"> events and research showing that bushfires will increase in both frequency and severity in the future</w:t>
      </w:r>
      <w:r w:rsidR="006A3CF4" w:rsidRPr="00EA58B4">
        <w:rPr>
          <w:rFonts w:cs="Arial"/>
          <w:bCs/>
          <w:iCs/>
        </w:rPr>
        <w:t>. It is also a result of an increase in the</w:t>
      </w:r>
      <w:r w:rsidR="00430720" w:rsidRPr="00EA58B4">
        <w:rPr>
          <w:rFonts w:cs="Arial"/>
          <w:bCs/>
          <w:iCs/>
        </w:rPr>
        <w:t xml:space="preserve"> number of vulnerable people occupying certain Class 9 buildings in bushfire prone areas.</w:t>
      </w:r>
    </w:p>
    <w:p w14:paraId="7218105E" w14:textId="65AAE86C" w:rsidR="00BB21C2" w:rsidRPr="00EA58B4" w:rsidRDefault="0067270E" w:rsidP="00EF2D16">
      <w:pPr>
        <w:spacing w:line="360" w:lineRule="auto"/>
        <w:jc w:val="both"/>
      </w:pPr>
      <w:r w:rsidRPr="00EA58B4">
        <w:rPr>
          <w:rFonts w:cs="Arial"/>
          <w:bCs/>
          <w:iCs/>
        </w:rPr>
        <w:t xml:space="preserve">The focus of this analysis is on </w:t>
      </w:r>
      <w:r w:rsidR="00572201">
        <w:rPr>
          <w:rFonts w:cs="Arial"/>
          <w:bCs/>
          <w:iCs/>
        </w:rPr>
        <w:t>the cost of proposed D</w:t>
      </w:r>
      <w:r w:rsidR="004B1C2B">
        <w:rPr>
          <w:rFonts w:cs="Arial"/>
          <w:bCs/>
          <w:iCs/>
        </w:rPr>
        <w:t>eemed-to-Satisfy (DTS)</w:t>
      </w:r>
      <w:r w:rsidR="00572201">
        <w:rPr>
          <w:rFonts w:cs="Arial"/>
          <w:bCs/>
          <w:iCs/>
        </w:rPr>
        <w:t xml:space="preserve"> Provisions for </w:t>
      </w:r>
      <w:r w:rsidR="00430720" w:rsidRPr="00EA58B4">
        <w:rPr>
          <w:rFonts w:cs="Arial"/>
          <w:bCs/>
          <w:iCs/>
        </w:rPr>
        <w:t xml:space="preserve">certain </w:t>
      </w:r>
      <w:r w:rsidRPr="00EA58B4">
        <w:rPr>
          <w:rFonts w:cs="Arial"/>
          <w:bCs/>
          <w:iCs/>
        </w:rPr>
        <w:t>Class 9 buildings</w:t>
      </w:r>
      <w:r w:rsidR="00430720" w:rsidRPr="00EA58B4">
        <w:rPr>
          <w:rFonts w:cs="Arial"/>
          <w:bCs/>
          <w:iCs/>
        </w:rPr>
        <w:t>,</w:t>
      </w:r>
      <w:r w:rsidRPr="00EA58B4">
        <w:rPr>
          <w:rFonts w:cs="Arial"/>
          <w:bCs/>
          <w:iCs/>
        </w:rPr>
        <w:t xml:space="preserve"> where vulnerable occupants reside</w:t>
      </w:r>
      <w:r w:rsidR="00430720" w:rsidRPr="00EA58B4">
        <w:rPr>
          <w:rFonts w:cs="Arial"/>
          <w:bCs/>
          <w:iCs/>
        </w:rPr>
        <w:t xml:space="preserve"> or occupy for long periods of time</w:t>
      </w:r>
      <w:r w:rsidRPr="00EA58B4">
        <w:rPr>
          <w:rFonts w:cs="Arial"/>
          <w:bCs/>
          <w:iCs/>
        </w:rPr>
        <w:t>, namely:</w:t>
      </w:r>
    </w:p>
    <w:p w14:paraId="38B08245" w14:textId="53CE2A73" w:rsidR="006A3CF4" w:rsidRPr="00EA58B4" w:rsidRDefault="0067270E" w:rsidP="00EF2D16">
      <w:pPr>
        <w:pStyle w:val="ListParagraph"/>
        <w:numPr>
          <w:ilvl w:val="0"/>
          <w:numId w:val="47"/>
        </w:numPr>
        <w:spacing w:line="360" w:lineRule="auto"/>
        <w:jc w:val="both"/>
        <w:rPr>
          <w:rFonts w:cs="Arial"/>
          <w:bCs/>
          <w:iCs/>
        </w:rPr>
      </w:pPr>
      <w:r w:rsidRPr="00EA58B4">
        <w:rPr>
          <w:rFonts w:cs="Arial"/>
          <w:bCs/>
          <w:iCs/>
        </w:rPr>
        <w:t>Class 9a health</w:t>
      </w:r>
      <w:r w:rsidR="001204D4">
        <w:rPr>
          <w:rFonts w:cs="Arial"/>
          <w:bCs/>
          <w:iCs/>
        </w:rPr>
        <w:t>-</w:t>
      </w:r>
      <w:r w:rsidRPr="00EA58B4">
        <w:rPr>
          <w:rFonts w:cs="Arial"/>
          <w:bCs/>
          <w:iCs/>
        </w:rPr>
        <w:t xml:space="preserve">care buildings </w:t>
      </w:r>
    </w:p>
    <w:p w14:paraId="08E1264A" w14:textId="68A36441" w:rsidR="006A3CF4" w:rsidRPr="00EA58B4" w:rsidRDefault="00EF2D16" w:rsidP="00EF2D16">
      <w:pPr>
        <w:pStyle w:val="ListParagraph"/>
        <w:numPr>
          <w:ilvl w:val="0"/>
          <w:numId w:val="47"/>
        </w:numPr>
        <w:spacing w:line="360" w:lineRule="auto"/>
        <w:jc w:val="both"/>
        <w:rPr>
          <w:rFonts w:cs="Arial"/>
          <w:bCs/>
          <w:iCs/>
        </w:rPr>
      </w:pPr>
      <w:r w:rsidRPr="00EA58B4">
        <w:rPr>
          <w:rFonts w:cs="Arial"/>
          <w:bCs/>
          <w:iCs/>
        </w:rPr>
        <w:t xml:space="preserve">Class 9b </w:t>
      </w:r>
      <w:r w:rsidR="00CE64B6" w:rsidRPr="00362FEC">
        <w:rPr>
          <w:rFonts w:cs="Arial"/>
        </w:rPr>
        <w:t xml:space="preserve">early childhood centres, </w:t>
      </w:r>
      <w:r w:rsidRPr="00EA58B4">
        <w:rPr>
          <w:rFonts w:cs="Arial"/>
          <w:bCs/>
          <w:iCs/>
        </w:rPr>
        <w:t>primary and secondary school</w:t>
      </w:r>
      <w:r w:rsidR="00CE64B6" w:rsidRPr="00EA58B4">
        <w:rPr>
          <w:rFonts w:cs="Arial"/>
          <w:bCs/>
          <w:iCs/>
        </w:rPr>
        <w:t xml:space="preserve"> buildings</w:t>
      </w:r>
    </w:p>
    <w:p w14:paraId="027C4CED" w14:textId="023FC268" w:rsidR="0067270E" w:rsidRPr="00EA58B4" w:rsidRDefault="0067270E" w:rsidP="00EF2D16">
      <w:pPr>
        <w:pStyle w:val="ListParagraph"/>
        <w:numPr>
          <w:ilvl w:val="0"/>
          <w:numId w:val="47"/>
        </w:numPr>
        <w:spacing w:line="360" w:lineRule="auto"/>
        <w:jc w:val="both"/>
        <w:rPr>
          <w:rFonts w:cs="Arial"/>
          <w:bCs/>
          <w:iCs/>
        </w:rPr>
      </w:pPr>
      <w:r w:rsidRPr="00EA58B4">
        <w:rPr>
          <w:rFonts w:cs="Arial"/>
          <w:bCs/>
          <w:iCs/>
        </w:rPr>
        <w:t xml:space="preserve">Class 9c </w:t>
      </w:r>
      <w:r w:rsidR="001204D4">
        <w:rPr>
          <w:rFonts w:cs="Arial"/>
          <w:bCs/>
          <w:iCs/>
        </w:rPr>
        <w:t xml:space="preserve">residential </w:t>
      </w:r>
      <w:r w:rsidRPr="00EA58B4">
        <w:rPr>
          <w:rFonts w:cs="Arial"/>
          <w:bCs/>
          <w:iCs/>
        </w:rPr>
        <w:t>care buildings</w:t>
      </w:r>
    </w:p>
    <w:p w14:paraId="2038DEDC" w14:textId="08523045" w:rsidR="009011A6" w:rsidRPr="00EF2D16" w:rsidRDefault="00EF2D16" w:rsidP="00EF2D16">
      <w:pPr>
        <w:spacing w:line="360" w:lineRule="auto"/>
        <w:jc w:val="both"/>
        <w:rPr>
          <w:rFonts w:cs="Arial"/>
          <w:bCs/>
          <w:iCs/>
        </w:rPr>
      </w:pPr>
      <w:r w:rsidRPr="00EA58B4">
        <w:rPr>
          <w:rFonts w:cs="Arial"/>
          <w:bCs/>
          <w:iCs/>
        </w:rPr>
        <w:t>Other Class 9 buildings and all other building classifications are excluded from the scope of this analysis.</w:t>
      </w:r>
      <w:r w:rsidRPr="00EF2D16">
        <w:rPr>
          <w:rFonts w:cs="Arial"/>
          <w:bCs/>
          <w:iCs/>
        </w:rPr>
        <w:t xml:space="preserve"> </w:t>
      </w:r>
    </w:p>
    <w:p w14:paraId="7915505C" w14:textId="77777777" w:rsidR="00C51AA9" w:rsidRPr="00EA58B4" w:rsidRDefault="00C51AA9" w:rsidP="00CE2317">
      <w:pPr>
        <w:pStyle w:val="Heading1"/>
        <w:spacing w:before="240"/>
        <w:rPr>
          <w:rFonts w:ascii="Arial" w:hAnsi="Arial" w:cs="Arial"/>
          <w:b w:val="0"/>
          <w:bCs w:val="0"/>
          <w:szCs w:val="32"/>
        </w:rPr>
      </w:pPr>
      <w:bookmarkStart w:id="12" w:name="_Toc71195731"/>
      <w:bookmarkStart w:id="13" w:name="_Toc97023775"/>
      <w:r w:rsidRPr="00EA58B4">
        <w:rPr>
          <w:rFonts w:ascii="Arial" w:hAnsi="Arial" w:cs="Arial"/>
          <w:b w:val="0"/>
          <w:bCs w:val="0"/>
          <w:szCs w:val="32"/>
        </w:rPr>
        <w:t>Problem</w:t>
      </w:r>
      <w:bookmarkEnd w:id="12"/>
      <w:bookmarkEnd w:id="13"/>
    </w:p>
    <w:p w14:paraId="5E2DBDE8" w14:textId="1FAAD88B" w:rsidR="000159B8" w:rsidRDefault="000159B8" w:rsidP="00AA63D4">
      <w:pPr>
        <w:spacing w:before="240" w:after="120" w:line="360" w:lineRule="auto"/>
        <w:jc w:val="both"/>
        <w:rPr>
          <w:rFonts w:cs="Arial"/>
        </w:rPr>
      </w:pPr>
      <w:r>
        <w:rPr>
          <w:rFonts w:cs="Arial"/>
        </w:rPr>
        <w:t xml:space="preserve">The nature of the problem relates to users of </w:t>
      </w:r>
      <w:r w:rsidR="007C6CF5">
        <w:rPr>
          <w:rFonts w:cs="Arial"/>
        </w:rPr>
        <w:t xml:space="preserve">certain </w:t>
      </w:r>
      <w:r>
        <w:rPr>
          <w:rFonts w:cs="Arial"/>
        </w:rPr>
        <w:t>Class 9 buildings being more v</w:t>
      </w:r>
      <w:r w:rsidRPr="007645EF">
        <w:rPr>
          <w:rFonts w:cs="Arial"/>
        </w:rPr>
        <w:t xml:space="preserve">ulnerable </w:t>
      </w:r>
      <w:r>
        <w:rPr>
          <w:rFonts w:cs="Arial"/>
        </w:rPr>
        <w:t>than the general population in the event of a bushfire. Over time, the risk of bushfire occurring is increasing due to climate change. Population growth also means that more communities are living in bushfire</w:t>
      </w:r>
      <w:r w:rsidR="005A71A0">
        <w:rPr>
          <w:rFonts w:cs="Arial"/>
        </w:rPr>
        <w:t xml:space="preserve"> </w:t>
      </w:r>
      <w:r>
        <w:rPr>
          <w:rFonts w:cs="Arial"/>
        </w:rPr>
        <w:t xml:space="preserve">prone areas. </w:t>
      </w:r>
    </w:p>
    <w:p w14:paraId="2CE3E0E1" w14:textId="1D65088B" w:rsidR="000159B8" w:rsidRPr="000852BC" w:rsidRDefault="000159B8" w:rsidP="00AA63D4">
      <w:pPr>
        <w:pStyle w:val="Heading2"/>
      </w:pPr>
      <w:bookmarkStart w:id="14" w:name="_Toc97023776"/>
      <w:r w:rsidRPr="000852BC">
        <w:t>Population at risk of the problem</w:t>
      </w:r>
      <w:bookmarkEnd w:id="14"/>
    </w:p>
    <w:p w14:paraId="3E73CF73" w14:textId="77777777" w:rsidR="000159B8" w:rsidRPr="007645EF" w:rsidRDefault="000159B8" w:rsidP="00CE2317">
      <w:pPr>
        <w:spacing w:before="240" w:after="120" w:line="360" w:lineRule="auto"/>
        <w:jc w:val="both"/>
        <w:rPr>
          <w:rFonts w:cs="Arial"/>
        </w:rPr>
      </w:pPr>
      <w:r w:rsidRPr="00F623C7">
        <w:rPr>
          <w:rFonts w:cs="Arial"/>
        </w:rPr>
        <w:t xml:space="preserve">Vulnerable people can be defined as individuals who may be unable to take care of themselves or are unable to protect themselves against harm. Vulnerable people can include individuals </w:t>
      </w:r>
      <w:r>
        <w:rPr>
          <w:rFonts w:cs="Arial"/>
        </w:rPr>
        <w:t>in</w:t>
      </w:r>
      <w:r w:rsidRPr="00F623C7">
        <w:rPr>
          <w:rFonts w:cs="Arial"/>
        </w:rPr>
        <w:t xml:space="preserve"> one or more of the following </w:t>
      </w:r>
      <w:r>
        <w:rPr>
          <w:rFonts w:cs="Arial"/>
        </w:rPr>
        <w:t>categories</w:t>
      </w:r>
      <w:r w:rsidRPr="00F623C7">
        <w:rPr>
          <w:rFonts w:cs="Arial"/>
        </w:rPr>
        <w:t>:</w:t>
      </w:r>
    </w:p>
    <w:p w14:paraId="7BEA361B" w14:textId="77777777" w:rsidR="000159B8" w:rsidRPr="007645EF" w:rsidRDefault="000159B8" w:rsidP="004C4CF8">
      <w:pPr>
        <w:numPr>
          <w:ilvl w:val="0"/>
          <w:numId w:val="36"/>
        </w:numPr>
        <w:spacing w:before="120" w:after="120" w:line="360" w:lineRule="auto"/>
        <w:jc w:val="both"/>
        <w:rPr>
          <w:rFonts w:cs="Arial"/>
        </w:rPr>
      </w:pPr>
      <w:r w:rsidRPr="00F623C7">
        <w:rPr>
          <w:rFonts w:cs="Arial"/>
        </w:rPr>
        <w:t>Minors under the age of 18;</w:t>
      </w:r>
    </w:p>
    <w:p w14:paraId="632AA703" w14:textId="77777777" w:rsidR="000159B8" w:rsidRPr="007645EF" w:rsidRDefault="000159B8" w:rsidP="004C4CF8">
      <w:pPr>
        <w:numPr>
          <w:ilvl w:val="0"/>
          <w:numId w:val="36"/>
        </w:numPr>
        <w:spacing w:before="120" w:after="120" w:line="360" w:lineRule="auto"/>
        <w:jc w:val="both"/>
        <w:rPr>
          <w:rFonts w:cs="Arial"/>
        </w:rPr>
      </w:pPr>
      <w:r w:rsidRPr="00F623C7">
        <w:rPr>
          <w:rFonts w:cs="Arial"/>
        </w:rPr>
        <w:t>Senior citizens with some physical or cognitive impairment;</w:t>
      </w:r>
    </w:p>
    <w:p w14:paraId="76560C02" w14:textId="77777777" w:rsidR="000159B8" w:rsidRPr="007645EF" w:rsidRDefault="000159B8" w:rsidP="004C4CF8">
      <w:pPr>
        <w:numPr>
          <w:ilvl w:val="0"/>
          <w:numId w:val="36"/>
        </w:numPr>
        <w:spacing w:before="120" w:after="120" w:line="360" w:lineRule="auto"/>
        <w:jc w:val="both"/>
        <w:rPr>
          <w:rFonts w:cs="Arial"/>
        </w:rPr>
      </w:pPr>
      <w:r w:rsidRPr="00F623C7">
        <w:rPr>
          <w:rFonts w:cs="Arial"/>
        </w:rPr>
        <w:t>People with impaired intellectual or physical functioning;</w:t>
      </w:r>
    </w:p>
    <w:p w14:paraId="5E179479" w14:textId="07F0CB46" w:rsidR="000159B8" w:rsidRPr="007645EF" w:rsidRDefault="000159B8" w:rsidP="004C4CF8">
      <w:pPr>
        <w:numPr>
          <w:ilvl w:val="0"/>
          <w:numId w:val="36"/>
        </w:numPr>
        <w:spacing w:before="120" w:after="120" w:line="360" w:lineRule="auto"/>
        <w:jc w:val="both"/>
        <w:rPr>
          <w:rFonts w:cs="Arial"/>
        </w:rPr>
      </w:pPr>
      <w:r w:rsidRPr="00F623C7">
        <w:rPr>
          <w:rFonts w:cs="Arial"/>
        </w:rPr>
        <w:t xml:space="preserve">People with low levels </w:t>
      </w:r>
      <w:r w:rsidR="006A3CF4">
        <w:rPr>
          <w:rFonts w:cs="Arial"/>
        </w:rPr>
        <w:t xml:space="preserve">of </w:t>
      </w:r>
      <w:r w:rsidRPr="00F623C7">
        <w:rPr>
          <w:rFonts w:cs="Arial"/>
        </w:rPr>
        <w:t>English comprehension, literacy and/or education; and</w:t>
      </w:r>
    </w:p>
    <w:p w14:paraId="09EDF498" w14:textId="4805827B" w:rsidR="000159B8" w:rsidRDefault="000159B8" w:rsidP="004C4CF8">
      <w:pPr>
        <w:numPr>
          <w:ilvl w:val="0"/>
          <w:numId w:val="36"/>
        </w:numPr>
        <w:spacing w:before="120" w:after="120" w:line="360" w:lineRule="auto"/>
        <w:jc w:val="both"/>
        <w:rPr>
          <w:rFonts w:cs="Arial"/>
        </w:rPr>
      </w:pPr>
      <w:r w:rsidRPr="00F623C7">
        <w:rPr>
          <w:rFonts w:cs="Arial"/>
        </w:rPr>
        <w:t>People suffering acute or chronic illness.</w:t>
      </w:r>
    </w:p>
    <w:p w14:paraId="166B7530" w14:textId="6756974C" w:rsidR="000159B8" w:rsidRPr="000852BC" w:rsidRDefault="000159B8" w:rsidP="00AA63D4">
      <w:pPr>
        <w:pStyle w:val="Heading2"/>
      </w:pPr>
      <w:bookmarkStart w:id="15" w:name="_Toc97023777"/>
      <w:r w:rsidRPr="000852BC">
        <w:t>Challenges evacuating people at risk</w:t>
      </w:r>
      <w:bookmarkEnd w:id="15"/>
      <w:r w:rsidRPr="000852BC">
        <w:t xml:space="preserve"> </w:t>
      </w:r>
    </w:p>
    <w:p w14:paraId="4C0BE98D" w14:textId="6583347E" w:rsidR="00FC131F" w:rsidRPr="00FC131F" w:rsidRDefault="00FC131F" w:rsidP="00AA63D4">
      <w:pPr>
        <w:pStyle w:val="Heading3"/>
        <w:spacing w:after="240"/>
      </w:pPr>
      <w:r w:rsidRPr="00FC131F">
        <w:t>Children</w:t>
      </w:r>
    </w:p>
    <w:p w14:paraId="61E21968" w14:textId="0E36168D" w:rsidR="005D3DC5" w:rsidRDefault="005D3DC5" w:rsidP="005D3DC5">
      <w:pPr>
        <w:pStyle w:val="NormalWeb"/>
        <w:spacing w:before="0" w:beforeAutospacing="0" w:after="160" w:afterAutospacing="0" w:line="360" w:lineRule="auto"/>
        <w:jc w:val="both"/>
        <w:rPr>
          <w:rFonts w:ascii="Arial" w:hAnsi="Arial" w:cs="Arial"/>
          <w:sz w:val="22"/>
          <w:szCs w:val="22"/>
        </w:rPr>
      </w:pPr>
      <w:r w:rsidRPr="005E3794">
        <w:rPr>
          <w:rFonts w:ascii="Arial" w:hAnsi="Arial" w:cs="Arial"/>
          <w:sz w:val="22"/>
          <w:szCs w:val="22"/>
        </w:rPr>
        <w:t xml:space="preserve">The Tasmanian State Emergency Management Committee (SEMC) </w:t>
      </w:r>
      <w:r w:rsidR="00FC131F" w:rsidRPr="00FC131F">
        <w:rPr>
          <w:rFonts w:ascii="Arial" w:hAnsi="Arial" w:cs="Arial"/>
          <w:i/>
          <w:iCs/>
          <w:sz w:val="22"/>
          <w:szCs w:val="22"/>
        </w:rPr>
        <w:t>“</w:t>
      </w:r>
      <w:r w:rsidRPr="00FC131F">
        <w:rPr>
          <w:rFonts w:ascii="Arial" w:hAnsi="Arial" w:cs="Arial"/>
          <w:i/>
          <w:iCs/>
          <w:sz w:val="22"/>
          <w:szCs w:val="22"/>
        </w:rPr>
        <w:t>Policy Statement - Emergency Management Framework for Vulnerable People</w:t>
      </w:r>
      <w:r w:rsidR="00FC131F" w:rsidRPr="00FC131F">
        <w:rPr>
          <w:rFonts w:ascii="Arial" w:hAnsi="Arial" w:cs="Arial"/>
          <w:i/>
          <w:iCs/>
          <w:sz w:val="22"/>
          <w:szCs w:val="22"/>
        </w:rPr>
        <w:t>”</w:t>
      </w:r>
      <w:r w:rsidR="00FC131F">
        <w:rPr>
          <w:rFonts w:ascii="Arial" w:hAnsi="Arial" w:cs="Arial"/>
          <w:sz w:val="22"/>
          <w:szCs w:val="22"/>
        </w:rPr>
        <w:t xml:space="preserve"> </w:t>
      </w:r>
      <w:r>
        <w:rPr>
          <w:rFonts w:ascii="Arial" w:hAnsi="Arial" w:cs="Arial"/>
          <w:sz w:val="22"/>
          <w:szCs w:val="22"/>
        </w:rPr>
        <w:t>acknowledges that c</w:t>
      </w:r>
      <w:r w:rsidRPr="00B40563">
        <w:rPr>
          <w:rFonts w:ascii="Arial" w:hAnsi="Arial" w:cs="Arial"/>
          <w:sz w:val="22"/>
          <w:szCs w:val="22"/>
        </w:rPr>
        <w:t xml:space="preserve">hildren can behave unpredictably in response to stressful situations or may be overwhelmed because of their level of physical, cognitive and emotional development. </w:t>
      </w:r>
    </w:p>
    <w:p w14:paraId="39F58406" w14:textId="5F49F677" w:rsidR="005D3DC5" w:rsidRPr="00F623C7" w:rsidRDefault="005D3DC5" w:rsidP="005D3DC5">
      <w:pPr>
        <w:pStyle w:val="NormalWeb"/>
        <w:spacing w:before="0" w:beforeAutospacing="0" w:after="160" w:afterAutospacing="0" w:line="360" w:lineRule="auto"/>
        <w:jc w:val="both"/>
        <w:rPr>
          <w:rFonts w:ascii="Arial" w:hAnsi="Arial" w:cs="Arial"/>
          <w:sz w:val="22"/>
          <w:szCs w:val="22"/>
        </w:rPr>
      </w:pPr>
      <w:r w:rsidRPr="00B40563">
        <w:rPr>
          <w:rFonts w:ascii="Arial" w:hAnsi="Arial" w:cs="Arial"/>
          <w:sz w:val="22"/>
          <w:szCs w:val="22"/>
        </w:rPr>
        <w:t xml:space="preserve">Typical vulnerabilities include: </w:t>
      </w:r>
      <w:r>
        <w:rPr>
          <w:rFonts w:ascii="Arial" w:hAnsi="Arial" w:cs="Arial"/>
          <w:sz w:val="22"/>
          <w:szCs w:val="22"/>
        </w:rPr>
        <w:t>l</w:t>
      </w:r>
      <w:r w:rsidRPr="00B40563">
        <w:rPr>
          <w:rFonts w:ascii="Arial" w:hAnsi="Arial" w:cs="Arial"/>
          <w:sz w:val="22"/>
          <w:szCs w:val="22"/>
        </w:rPr>
        <w:t xml:space="preserve">ack </w:t>
      </w:r>
      <w:r>
        <w:rPr>
          <w:rFonts w:ascii="Arial" w:hAnsi="Arial" w:cs="Arial"/>
          <w:sz w:val="22"/>
          <w:szCs w:val="22"/>
        </w:rPr>
        <w:t>of</w:t>
      </w:r>
      <w:r w:rsidRPr="00B40563">
        <w:rPr>
          <w:rFonts w:ascii="Arial" w:hAnsi="Arial" w:cs="Arial"/>
          <w:sz w:val="22"/>
          <w:szCs w:val="22"/>
        </w:rPr>
        <w:t xml:space="preserve"> ability to independently access transportation assistance and services</w:t>
      </w:r>
      <w:r>
        <w:rPr>
          <w:rFonts w:ascii="Arial" w:hAnsi="Arial" w:cs="Arial"/>
          <w:sz w:val="22"/>
          <w:szCs w:val="22"/>
        </w:rPr>
        <w:t>;</w:t>
      </w:r>
      <w:r w:rsidRPr="00B40563">
        <w:rPr>
          <w:rFonts w:ascii="Arial" w:hAnsi="Arial" w:cs="Arial"/>
          <w:sz w:val="22"/>
          <w:szCs w:val="22"/>
        </w:rPr>
        <w:t xml:space="preserve"> suffer</w:t>
      </w:r>
      <w:r>
        <w:rPr>
          <w:rFonts w:ascii="Arial" w:hAnsi="Arial" w:cs="Arial"/>
          <w:sz w:val="22"/>
          <w:szCs w:val="22"/>
        </w:rPr>
        <w:t>ing</w:t>
      </w:r>
      <w:r w:rsidRPr="00B40563">
        <w:rPr>
          <w:rFonts w:ascii="Arial" w:hAnsi="Arial" w:cs="Arial"/>
          <w:sz w:val="22"/>
          <w:szCs w:val="22"/>
        </w:rPr>
        <w:t xml:space="preserve"> greater harm from exposure to smoke </w:t>
      </w:r>
      <w:r w:rsidRPr="005E3794">
        <w:rPr>
          <w:rFonts w:ascii="Arial" w:hAnsi="Arial" w:cs="Arial"/>
          <w:sz w:val="22"/>
          <w:szCs w:val="22"/>
        </w:rPr>
        <w:t>or chemical agents because of their size, metabolisms, respiratory rates and other factors</w:t>
      </w:r>
      <w:r>
        <w:rPr>
          <w:rFonts w:ascii="Arial" w:hAnsi="Arial" w:cs="Arial"/>
          <w:sz w:val="22"/>
          <w:szCs w:val="22"/>
        </w:rPr>
        <w:t>;</w:t>
      </w:r>
      <w:r w:rsidRPr="005E3794">
        <w:rPr>
          <w:rFonts w:ascii="Arial" w:hAnsi="Arial" w:cs="Arial"/>
          <w:sz w:val="22"/>
          <w:szCs w:val="22"/>
        </w:rPr>
        <w:t xml:space="preserve"> </w:t>
      </w:r>
      <w:r>
        <w:rPr>
          <w:rFonts w:ascii="Arial" w:hAnsi="Arial" w:cs="Arial"/>
          <w:sz w:val="22"/>
          <w:szCs w:val="22"/>
        </w:rPr>
        <w:t>m</w:t>
      </w:r>
      <w:r w:rsidRPr="005E3794">
        <w:rPr>
          <w:rFonts w:ascii="Arial" w:hAnsi="Arial" w:cs="Arial"/>
          <w:sz w:val="22"/>
          <w:szCs w:val="22"/>
        </w:rPr>
        <w:t>ore likely to develop dehydration, malnutrition and exhaustion quicker than adults</w:t>
      </w:r>
      <w:r>
        <w:rPr>
          <w:rFonts w:ascii="Arial" w:hAnsi="Arial" w:cs="Arial"/>
          <w:sz w:val="22"/>
          <w:szCs w:val="22"/>
        </w:rPr>
        <w:t>;</w:t>
      </w:r>
      <w:r w:rsidRPr="005E3794">
        <w:rPr>
          <w:rFonts w:ascii="Arial" w:hAnsi="Arial" w:cs="Arial"/>
          <w:sz w:val="22"/>
          <w:szCs w:val="22"/>
        </w:rPr>
        <w:t xml:space="preserve"> and more susceptib</w:t>
      </w:r>
      <w:r w:rsidR="00411A47">
        <w:rPr>
          <w:rFonts w:ascii="Arial" w:hAnsi="Arial" w:cs="Arial"/>
          <w:sz w:val="22"/>
          <w:szCs w:val="22"/>
        </w:rPr>
        <w:t>ility</w:t>
      </w:r>
      <w:r w:rsidRPr="005E3794">
        <w:rPr>
          <w:rFonts w:ascii="Arial" w:hAnsi="Arial" w:cs="Arial"/>
          <w:sz w:val="22"/>
          <w:szCs w:val="22"/>
        </w:rPr>
        <w:t xml:space="preserve"> to infectious diseases and severe forms of illness. </w:t>
      </w:r>
    </w:p>
    <w:p w14:paraId="1AD69A79" w14:textId="33811FCD" w:rsidR="005D3DC5" w:rsidRPr="007645EF" w:rsidRDefault="00A108FB" w:rsidP="005D3DC5">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A</w:t>
      </w:r>
      <w:r w:rsidR="005D3DC5" w:rsidRPr="00000FF0">
        <w:rPr>
          <w:rFonts w:ascii="Arial" w:hAnsi="Arial" w:cs="Arial"/>
          <w:sz w:val="22"/>
          <w:szCs w:val="22"/>
        </w:rPr>
        <w:t xml:space="preserve"> study undertaken into the prevalence and fire safety implications of early childhood centres by Page and Norman</w:t>
      </w:r>
      <w:r w:rsidR="005D3DC5">
        <w:rPr>
          <w:rFonts w:ascii="Arial" w:hAnsi="Arial" w:cs="Arial"/>
          <w:sz w:val="22"/>
          <w:szCs w:val="22"/>
        </w:rPr>
        <w:t xml:space="preserve"> </w:t>
      </w:r>
      <w:r w:rsidR="005D3DC5" w:rsidRPr="00000FF0">
        <w:rPr>
          <w:rFonts w:ascii="Arial" w:hAnsi="Arial" w:cs="Arial"/>
          <w:sz w:val="22"/>
          <w:szCs w:val="22"/>
        </w:rPr>
        <w:t>summarised the findings of Taciuc and Dederichs</w:t>
      </w:r>
      <w:r w:rsidR="005D3DC5">
        <w:rPr>
          <w:rFonts w:ascii="Arial" w:hAnsi="Arial" w:cs="Arial"/>
          <w:sz w:val="22"/>
          <w:szCs w:val="22"/>
        </w:rPr>
        <w:t xml:space="preserve"> </w:t>
      </w:r>
      <w:r w:rsidR="005D3DC5" w:rsidRPr="00000FF0">
        <w:rPr>
          <w:rFonts w:ascii="Arial" w:hAnsi="Arial" w:cs="Arial"/>
          <w:sz w:val="22"/>
          <w:szCs w:val="22"/>
        </w:rPr>
        <w:t>based on surveys with 87 responses (62 teachers and 25 fire experts) from USA, Germany, Denmark, Romania, and Canada as follows</w:t>
      </w:r>
      <w:r>
        <w:rPr>
          <w:rStyle w:val="FootnoteReference"/>
          <w:rFonts w:ascii="Arial" w:hAnsi="Arial" w:cs="Arial"/>
          <w:sz w:val="22"/>
          <w:szCs w:val="22"/>
        </w:rPr>
        <w:footnoteReference w:id="2"/>
      </w:r>
      <w:r w:rsidR="005D3DC5" w:rsidRPr="00000FF0">
        <w:rPr>
          <w:rFonts w:ascii="Arial" w:hAnsi="Arial" w:cs="Arial"/>
          <w:sz w:val="22"/>
          <w:szCs w:val="22"/>
        </w:rPr>
        <w:t xml:space="preserve">: </w:t>
      </w:r>
    </w:p>
    <w:p w14:paraId="35F0C197" w14:textId="77777777" w:rsidR="005D3DC5" w:rsidRDefault="005D3DC5" w:rsidP="004C4CF8">
      <w:pPr>
        <w:pStyle w:val="NormalWeb"/>
        <w:numPr>
          <w:ilvl w:val="0"/>
          <w:numId w:val="37"/>
        </w:numPr>
        <w:spacing w:before="120" w:beforeAutospacing="0" w:after="120" w:afterAutospacing="0" w:line="360" w:lineRule="auto"/>
        <w:ind w:left="714" w:hanging="357"/>
        <w:jc w:val="both"/>
        <w:rPr>
          <w:rFonts w:ascii="Arial" w:hAnsi="Arial" w:cs="Arial"/>
          <w:sz w:val="22"/>
          <w:szCs w:val="22"/>
        </w:rPr>
      </w:pPr>
      <w:r w:rsidRPr="00000FF0">
        <w:rPr>
          <w:rFonts w:ascii="Arial" w:hAnsi="Arial" w:cs="Arial"/>
          <w:sz w:val="22"/>
          <w:szCs w:val="22"/>
        </w:rPr>
        <w:t>Between 30 and 36 months, children are generally capable of understanding and following simple fire evacuation instructions</w:t>
      </w:r>
      <w:r>
        <w:rPr>
          <w:rFonts w:ascii="Arial" w:hAnsi="Arial" w:cs="Arial"/>
          <w:sz w:val="22"/>
          <w:szCs w:val="22"/>
        </w:rPr>
        <w:t>;</w:t>
      </w:r>
      <w:r w:rsidRPr="00000FF0">
        <w:rPr>
          <w:rFonts w:ascii="Arial" w:hAnsi="Arial" w:cs="Arial"/>
          <w:sz w:val="22"/>
          <w:szCs w:val="22"/>
        </w:rPr>
        <w:t xml:space="preserve"> </w:t>
      </w:r>
    </w:p>
    <w:p w14:paraId="0D74FCC0" w14:textId="298C3135" w:rsidR="005D3DC5" w:rsidRPr="005D3DC5" w:rsidRDefault="005D3DC5" w:rsidP="004C4CF8">
      <w:pPr>
        <w:pStyle w:val="NormalWeb"/>
        <w:numPr>
          <w:ilvl w:val="0"/>
          <w:numId w:val="37"/>
        </w:numPr>
        <w:spacing w:before="120" w:beforeAutospacing="0" w:after="120" w:afterAutospacing="0" w:line="360" w:lineRule="auto"/>
        <w:ind w:left="714" w:hanging="357"/>
        <w:jc w:val="both"/>
        <w:rPr>
          <w:rFonts w:ascii="Arial" w:hAnsi="Arial" w:cs="Arial"/>
          <w:sz w:val="22"/>
          <w:szCs w:val="22"/>
        </w:rPr>
      </w:pPr>
      <w:r w:rsidRPr="00000FF0">
        <w:rPr>
          <w:rFonts w:ascii="Arial" w:hAnsi="Arial" w:cs="Arial"/>
          <w:sz w:val="22"/>
          <w:szCs w:val="22"/>
        </w:rPr>
        <w:t>Between 24 and 30 months, they can generally walk down stairs.</w:t>
      </w:r>
    </w:p>
    <w:p w14:paraId="507AD28E" w14:textId="77777777" w:rsidR="005D3DC5" w:rsidRDefault="005D3DC5" w:rsidP="004C4CF8">
      <w:pPr>
        <w:pStyle w:val="NormalWeb"/>
        <w:numPr>
          <w:ilvl w:val="0"/>
          <w:numId w:val="37"/>
        </w:numPr>
        <w:spacing w:before="120" w:beforeAutospacing="0" w:after="120" w:afterAutospacing="0" w:line="360" w:lineRule="auto"/>
        <w:ind w:left="714" w:hanging="357"/>
        <w:jc w:val="both"/>
        <w:rPr>
          <w:rFonts w:ascii="Arial" w:hAnsi="Arial" w:cs="Arial"/>
          <w:sz w:val="22"/>
          <w:szCs w:val="22"/>
        </w:rPr>
      </w:pPr>
      <w:r w:rsidRPr="00000FF0">
        <w:rPr>
          <w:rFonts w:ascii="Arial" w:hAnsi="Arial" w:cs="Arial"/>
          <w:sz w:val="22"/>
          <w:szCs w:val="22"/>
        </w:rPr>
        <w:t>Younger than 24 months, they can evacuate horizontally without assistance (unless they are toddlers or babies)</w:t>
      </w:r>
      <w:r>
        <w:rPr>
          <w:rFonts w:ascii="Arial" w:hAnsi="Arial" w:cs="Arial"/>
          <w:sz w:val="22"/>
          <w:szCs w:val="22"/>
        </w:rPr>
        <w:t>;</w:t>
      </w:r>
    </w:p>
    <w:p w14:paraId="12EC6908" w14:textId="7034E1D1" w:rsidR="005D3DC5" w:rsidRDefault="005D3DC5" w:rsidP="004C4CF8">
      <w:pPr>
        <w:pStyle w:val="NormalWeb"/>
        <w:numPr>
          <w:ilvl w:val="0"/>
          <w:numId w:val="37"/>
        </w:numPr>
        <w:spacing w:before="120" w:beforeAutospacing="0" w:after="120" w:afterAutospacing="0" w:line="360" w:lineRule="auto"/>
        <w:ind w:left="714" w:hanging="357"/>
        <w:jc w:val="both"/>
        <w:rPr>
          <w:rFonts w:ascii="Arial" w:hAnsi="Arial" w:cs="Arial"/>
          <w:sz w:val="22"/>
          <w:szCs w:val="22"/>
        </w:rPr>
      </w:pPr>
      <w:r w:rsidRPr="00000FF0">
        <w:rPr>
          <w:rFonts w:ascii="Arial" w:hAnsi="Arial" w:cs="Arial"/>
          <w:sz w:val="22"/>
          <w:szCs w:val="22"/>
        </w:rPr>
        <w:t>Teachers say that between 24 and 30</w:t>
      </w:r>
      <w:r>
        <w:rPr>
          <w:rFonts w:ascii="Arial" w:hAnsi="Arial" w:cs="Arial"/>
          <w:sz w:val="22"/>
          <w:szCs w:val="22"/>
        </w:rPr>
        <w:t xml:space="preserve"> </w:t>
      </w:r>
      <w:r w:rsidRPr="00000FF0">
        <w:rPr>
          <w:rFonts w:ascii="Arial" w:hAnsi="Arial" w:cs="Arial"/>
          <w:sz w:val="22"/>
          <w:szCs w:val="22"/>
        </w:rPr>
        <w:t>months</w:t>
      </w:r>
      <w:r w:rsidR="00FC131F">
        <w:rPr>
          <w:rFonts w:ascii="Arial" w:hAnsi="Arial" w:cs="Arial"/>
          <w:sz w:val="22"/>
          <w:szCs w:val="22"/>
        </w:rPr>
        <w:t>,</w:t>
      </w:r>
      <w:r w:rsidRPr="00000FF0">
        <w:rPr>
          <w:rFonts w:ascii="Arial" w:hAnsi="Arial" w:cs="Arial"/>
          <w:sz w:val="22"/>
          <w:szCs w:val="22"/>
        </w:rPr>
        <w:t xml:space="preserve"> children will not become upset by unusual events (e.g. fire and emergency evacuation). </w:t>
      </w:r>
    </w:p>
    <w:p w14:paraId="5B92F64A" w14:textId="05DE440B" w:rsidR="005D3DC5" w:rsidRDefault="005D3DC5" w:rsidP="004B1C2B">
      <w:pPr>
        <w:pStyle w:val="NormalWeb"/>
        <w:numPr>
          <w:ilvl w:val="1"/>
          <w:numId w:val="37"/>
        </w:numPr>
        <w:spacing w:before="120" w:beforeAutospacing="0" w:after="120" w:afterAutospacing="0" w:line="360" w:lineRule="auto"/>
        <w:jc w:val="both"/>
        <w:rPr>
          <w:rFonts w:ascii="Arial" w:hAnsi="Arial" w:cs="Arial"/>
          <w:sz w:val="22"/>
          <w:szCs w:val="22"/>
        </w:rPr>
      </w:pPr>
      <w:r w:rsidRPr="00000FF0">
        <w:rPr>
          <w:rFonts w:ascii="Arial" w:hAnsi="Arial" w:cs="Arial"/>
          <w:sz w:val="22"/>
          <w:szCs w:val="22"/>
        </w:rPr>
        <w:t xml:space="preserve">Learning is very age-specific, and pre-schoolers remember images (e.g. of a </w:t>
      </w:r>
      <w:r w:rsidR="006841EF">
        <w:rPr>
          <w:rFonts w:ascii="Arial" w:hAnsi="Arial" w:cs="Arial"/>
          <w:sz w:val="22"/>
          <w:szCs w:val="22"/>
        </w:rPr>
        <w:t>c</w:t>
      </w:r>
      <w:r w:rsidR="004B1C2B" w:rsidRPr="004B1C2B">
        <w:rPr>
          <w:rFonts w:ascii="Arial" w:hAnsi="Arial" w:cs="Arial"/>
          <w:sz w:val="22"/>
          <w:szCs w:val="22"/>
        </w:rPr>
        <w:t xml:space="preserve">igarette </w:t>
      </w:r>
      <w:r w:rsidRPr="00000FF0">
        <w:rPr>
          <w:rFonts w:ascii="Arial" w:hAnsi="Arial" w:cs="Arial"/>
          <w:sz w:val="22"/>
          <w:szCs w:val="22"/>
        </w:rPr>
        <w:t xml:space="preserve">lighter) but not the accompanying safety message. </w:t>
      </w:r>
    </w:p>
    <w:p w14:paraId="2FFF4F2C" w14:textId="7BADDCE0" w:rsidR="005D3DC5" w:rsidRDefault="005D3DC5" w:rsidP="004C4CF8">
      <w:pPr>
        <w:pStyle w:val="NormalWeb"/>
        <w:numPr>
          <w:ilvl w:val="1"/>
          <w:numId w:val="37"/>
        </w:numPr>
        <w:spacing w:before="120" w:beforeAutospacing="0" w:after="120" w:afterAutospacing="0" w:line="360" w:lineRule="auto"/>
        <w:jc w:val="both"/>
        <w:rPr>
          <w:rFonts w:ascii="Arial" w:hAnsi="Arial" w:cs="Arial"/>
          <w:sz w:val="22"/>
          <w:szCs w:val="22"/>
        </w:rPr>
      </w:pPr>
      <w:r w:rsidRPr="00000FF0">
        <w:rPr>
          <w:rFonts w:ascii="Arial" w:hAnsi="Arial" w:cs="Arial"/>
          <w:sz w:val="22"/>
          <w:szCs w:val="22"/>
        </w:rPr>
        <w:t>Depending on the age of students</w:t>
      </w:r>
      <w:r w:rsidR="00FC131F">
        <w:rPr>
          <w:rFonts w:ascii="Arial" w:hAnsi="Arial" w:cs="Arial"/>
          <w:sz w:val="22"/>
          <w:szCs w:val="22"/>
        </w:rPr>
        <w:t>,</w:t>
      </w:r>
      <w:r w:rsidRPr="00000FF0">
        <w:rPr>
          <w:rFonts w:ascii="Arial" w:hAnsi="Arial" w:cs="Arial"/>
          <w:sz w:val="22"/>
          <w:szCs w:val="22"/>
        </w:rPr>
        <w:t xml:space="preserve"> the occupant characteristics correlate to Ambulant Type 3 or Non</w:t>
      </w:r>
      <w:r>
        <w:rPr>
          <w:rFonts w:ascii="Arial" w:hAnsi="Arial" w:cs="Arial"/>
          <w:sz w:val="22"/>
          <w:szCs w:val="22"/>
        </w:rPr>
        <w:t>-</w:t>
      </w:r>
      <w:r w:rsidRPr="00000FF0">
        <w:rPr>
          <w:rFonts w:ascii="Arial" w:hAnsi="Arial" w:cs="Arial"/>
          <w:sz w:val="22"/>
          <w:szCs w:val="22"/>
        </w:rPr>
        <w:t xml:space="preserve">ambulant Type 4 and the applicable evacuation capability type would be “Walker” or “Walker Assist” </w:t>
      </w:r>
      <w:r w:rsidR="004B1C2B">
        <w:rPr>
          <w:rFonts w:ascii="Arial" w:hAnsi="Arial" w:cs="Arial"/>
          <w:sz w:val="22"/>
          <w:szCs w:val="22"/>
        </w:rPr>
        <w:t xml:space="preserve">(i.e. </w:t>
      </w:r>
      <w:r w:rsidRPr="00000FF0">
        <w:rPr>
          <w:rFonts w:ascii="Arial" w:hAnsi="Arial" w:cs="Arial"/>
          <w:sz w:val="22"/>
          <w:szCs w:val="22"/>
        </w:rPr>
        <w:t>with a need for supervision and assistance</w:t>
      </w:r>
      <w:r w:rsidR="004B1C2B">
        <w:rPr>
          <w:rFonts w:ascii="Arial" w:hAnsi="Arial" w:cs="Arial"/>
          <w:sz w:val="22"/>
          <w:szCs w:val="22"/>
        </w:rPr>
        <w:t>)</w:t>
      </w:r>
      <w:r w:rsidRPr="00000FF0">
        <w:rPr>
          <w:rFonts w:ascii="Arial" w:hAnsi="Arial" w:cs="Arial"/>
          <w:sz w:val="22"/>
          <w:szCs w:val="22"/>
        </w:rPr>
        <w:t xml:space="preserve">. </w:t>
      </w:r>
    </w:p>
    <w:p w14:paraId="708D201A" w14:textId="2E42A001" w:rsidR="005D3DC5" w:rsidRDefault="005D3DC5" w:rsidP="004C4CF8">
      <w:pPr>
        <w:pStyle w:val="NormalWeb"/>
        <w:numPr>
          <w:ilvl w:val="1"/>
          <w:numId w:val="37"/>
        </w:numPr>
        <w:spacing w:before="120" w:beforeAutospacing="0" w:after="120" w:afterAutospacing="0" w:line="360" w:lineRule="auto"/>
        <w:jc w:val="both"/>
        <w:rPr>
          <w:rFonts w:ascii="Arial" w:hAnsi="Arial" w:cs="Arial"/>
          <w:sz w:val="22"/>
          <w:szCs w:val="22"/>
        </w:rPr>
      </w:pPr>
      <w:r w:rsidRPr="00000FF0">
        <w:rPr>
          <w:rFonts w:ascii="Arial" w:hAnsi="Arial" w:cs="Arial"/>
          <w:sz w:val="22"/>
          <w:szCs w:val="22"/>
        </w:rPr>
        <w:t xml:space="preserve">The ratio of children to supervisors necessary for orderly evacuation would tend to increase as the age of the children increases. </w:t>
      </w:r>
    </w:p>
    <w:p w14:paraId="4D010467" w14:textId="2B165E08" w:rsidR="00FC131F" w:rsidRPr="00FC131F" w:rsidRDefault="00FC131F" w:rsidP="00AA63D4">
      <w:pPr>
        <w:pStyle w:val="Heading3"/>
      </w:pPr>
      <w:r w:rsidRPr="00FC131F">
        <w:t>Elderly</w:t>
      </w:r>
    </w:p>
    <w:p w14:paraId="457B6C1F" w14:textId="6D476A83" w:rsidR="005D3DC5" w:rsidRPr="005D3DC5" w:rsidRDefault="005D3DC5" w:rsidP="00CA0DF7">
      <w:pPr>
        <w:pStyle w:val="NormalWeb"/>
        <w:spacing w:before="240" w:beforeAutospacing="0" w:after="0" w:afterAutospacing="0" w:line="360" w:lineRule="auto"/>
        <w:jc w:val="both"/>
        <w:rPr>
          <w:rFonts w:ascii="Arial" w:hAnsi="Arial" w:cs="Arial"/>
          <w:sz w:val="22"/>
          <w:szCs w:val="22"/>
        </w:rPr>
      </w:pPr>
      <w:r w:rsidRPr="005D3DC5">
        <w:rPr>
          <w:rFonts w:ascii="Arial" w:hAnsi="Arial" w:cs="Arial"/>
          <w:sz w:val="22"/>
          <w:szCs w:val="22"/>
        </w:rPr>
        <w:t>Aged-care facilities can be classified as Class 3, Class 9a or Class 9c buildings depending on the capability of the occupants. The potential exists for clients of varying care needs to be accommodated in the same building</w:t>
      </w:r>
      <w:r w:rsidR="004B1C2B">
        <w:rPr>
          <w:rFonts w:ascii="Arial" w:hAnsi="Arial" w:cs="Arial"/>
          <w:sz w:val="22"/>
          <w:szCs w:val="22"/>
        </w:rPr>
        <w:t>. A</w:t>
      </w:r>
      <w:r w:rsidRPr="005D3DC5">
        <w:rPr>
          <w:rFonts w:ascii="Arial" w:hAnsi="Arial" w:cs="Arial"/>
          <w:sz w:val="22"/>
          <w:szCs w:val="22"/>
        </w:rPr>
        <w:t xml:space="preserve"> Class 9c was developed to address </w:t>
      </w:r>
      <w:r w:rsidR="004B1C2B">
        <w:rPr>
          <w:rFonts w:ascii="Arial" w:hAnsi="Arial" w:cs="Arial"/>
          <w:sz w:val="22"/>
          <w:szCs w:val="22"/>
        </w:rPr>
        <w:t xml:space="preserve">this </w:t>
      </w:r>
      <w:r w:rsidRPr="005D3DC5">
        <w:rPr>
          <w:rFonts w:ascii="Arial" w:hAnsi="Arial" w:cs="Arial"/>
          <w:sz w:val="22"/>
          <w:szCs w:val="22"/>
        </w:rPr>
        <w:t xml:space="preserve">mix of low and high care occupants to facilitate aging in place, amongst other things. It therefore follows that the occupants of a Class 9c building may comprise a mix of evacuation capabilities varying from Type 1 to 5. The mix of occupants may vary between facilities, but there are likely to be cases where full evacuation and relocation of Class 9c </w:t>
      </w:r>
      <w:r w:rsidR="001204D4">
        <w:rPr>
          <w:rFonts w:ascii="Arial" w:hAnsi="Arial" w:cs="Arial"/>
          <w:sz w:val="22"/>
          <w:szCs w:val="22"/>
        </w:rPr>
        <w:t xml:space="preserve">residential </w:t>
      </w:r>
      <w:r w:rsidRPr="005D3DC5">
        <w:rPr>
          <w:rFonts w:ascii="Arial" w:hAnsi="Arial" w:cs="Arial"/>
          <w:sz w:val="22"/>
          <w:szCs w:val="22"/>
        </w:rPr>
        <w:t>care buildings is impractical. The vulnerability of aged occupants to exposure to smoke and heat is greater than the general population and any firefighting activities will need to be undertaken by staff and/or external resources (e.g. fire brigade).</w:t>
      </w:r>
    </w:p>
    <w:p w14:paraId="2AEFB435" w14:textId="2040D81D" w:rsidR="005D3DC5" w:rsidRPr="005D3DC5" w:rsidRDefault="005D3DC5" w:rsidP="00CE2317">
      <w:pPr>
        <w:pStyle w:val="NormalWeb"/>
        <w:spacing w:before="240" w:beforeAutospacing="0" w:after="0" w:afterAutospacing="0" w:line="360" w:lineRule="auto"/>
        <w:jc w:val="both"/>
        <w:rPr>
          <w:rFonts w:ascii="Arial" w:hAnsi="Arial" w:cs="Arial"/>
          <w:sz w:val="22"/>
          <w:szCs w:val="22"/>
        </w:rPr>
      </w:pPr>
      <w:r w:rsidRPr="005D3DC5">
        <w:rPr>
          <w:rFonts w:ascii="Arial" w:hAnsi="Arial" w:cs="Arial"/>
          <w:sz w:val="22"/>
          <w:szCs w:val="22"/>
        </w:rPr>
        <w:t>Ambulances or similar specialised transport would be required for significant numbers of occupants and there could be significant risk to life from the evacuation process for the most vulnerable occupants. This was demonstrated during the Black Saturday fires</w:t>
      </w:r>
      <w:r w:rsidR="00BA5174">
        <w:rPr>
          <w:rFonts w:ascii="Arial" w:hAnsi="Arial" w:cs="Arial"/>
          <w:sz w:val="22"/>
          <w:szCs w:val="22"/>
        </w:rPr>
        <w:t>,</w:t>
      </w:r>
      <w:r w:rsidRPr="005D3DC5">
        <w:rPr>
          <w:rFonts w:ascii="Arial" w:hAnsi="Arial" w:cs="Arial"/>
          <w:sz w:val="22"/>
          <w:szCs w:val="22"/>
        </w:rPr>
        <w:t xml:space="preserve"> where two </w:t>
      </w:r>
      <w:r w:rsidR="00744615">
        <w:rPr>
          <w:rFonts w:ascii="Arial" w:hAnsi="Arial" w:cs="Arial"/>
          <w:sz w:val="22"/>
          <w:szCs w:val="22"/>
        </w:rPr>
        <w:t xml:space="preserve">residential </w:t>
      </w:r>
      <w:r w:rsidRPr="005D3DC5">
        <w:rPr>
          <w:rFonts w:ascii="Arial" w:hAnsi="Arial" w:cs="Arial"/>
          <w:sz w:val="22"/>
          <w:szCs w:val="22"/>
        </w:rPr>
        <w:t>care facilities in the Bunyip area were evacuated. The evacuations were not undertaken prior to bushfires approaching the surrounding area and appropriate vehicles were not available for all the occupants. There were 82 occupied beds in the facilities at the time of the fire, most of which could be considered to be highly vulnerable. Four occupants of the facilit</w:t>
      </w:r>
      <w:r w:rsidR="001204D4">
        <w:rPr>
          <w:rFonts w:ascii="Arial" w:hAnsi="Arial" w:cs="Arial"/>
          <w:sz w:val="22"/>
          <w:szCs w:val="22"/>
        </w:rPr>
        <w:t>y</w:t>
      </w:r>
      <w:r w:rsidRPr="005D3DC5">
        <w:rPr>
          <w:rFonts w:ascii="Arial" w:hAnsi="Arial" w:cs="Arial"/>
          <w:sz w:val="22"/>
          <w:szCs w:val="22"/>
        </w:rPr>
        <w:t xml:space="preserve"> died in the ensuing days and it was stated in evidence</w:t>
      </w:r>
      <w:r w:rsidR="004B1C2B">
        <w:rPr>
          <w:rStyle w:val="FootnoteReference"/>
          <w:rFonts w:ascii="Arial" w:hAnsi="Arial" w:cs="Arial"/>
          <w:sz w:val="22"/>
          <w:szCs w:val="22"/>
        </w:rPr>
        <w:footnoteReference w:id="3"/>
      </w:r>
      <w:r w:rsidRPr="005D3DC5">
        <w:rPr>
          <w:rFonts w:ascii="Arial" w:hAnsi="Arial" w:cs="Arial"/>
          <w:sz w:val="22"/>
          <w:szCs w:val="22"/>
        </w:rPr>
        <w:t xml:space="preserve"> to the </w:t>
      </w:r>
      <w:r w:rsidR="0063070E">
        <w:rPr>
          <w:rFonts w:ascii="Arial" w:hAnsi="Arial" w:cs="Arial"/>
          <w:sz w:val="22"/>
          <w:szCs w:val="22"/>
        </w:rPr>
        <w:t xml:space="preserve">2009 </w:t>
      </w:r>
      <w:r w:rsidR="004B1C2B">
        <w:rPr>
          <w:rFonts w:ascii="Arial" w:hAnsi="Arial" w:cs="Arial"/>
          <w:sz w:val="22"/>
          <w:szCs w:val="22"/>
        </w:rPr>
        <w:t xml:space="preserve">Victorian </w:t>
      </w:r>
      <w:r w:rsidR="0063070E">
        <w:rPr>
          <w:rFonts w:ascii="Arial" w:hAnsi="Arial" w:cs="Arial"/>
          <w:sz w:val="22"/>
          <w:szCs w:val="22"/>
        </w:rPr>
        <w:t xml:space="preserve">Bushfires </w:t>
      </w:r>
      <w:r w:rsidRPr="005D3DC5">
        <w:rPr>
          <w:rFonts w:ascii="Arial" w:hAnsi="Arial" w:cs="Arial"/>
          <w:sz w:val="22"/>
          <w:szCs w:val="22"/>
        </w:rPr>
        <w:t>Royal Commission</w:t>
      </w:r>
      <w:r w:rsidR="006841EF">
        <w:rPr>
          <w:rFonts w:ascii="Arial" w:hAnsi="Arial" w:cs="Arial"/>
          <w:sz w:val="22"/>
          <w:szCs w:val="22"/>
        </w:rPr>
        <w:t xml:space="preserve"> </w:t>
      </w:r>
      <w:r w:rsidRPr="005D3DC5">
        <w:rPr>
          <w:rFonts w:ascii="Arial" w:hAnsi="Arial" w:cs="Arial"/>
          <w:sz w:val="22"/>
          <w:szCs w:val="22"/>
        </w:rPr>
        <w:t>that the deaths could be attributed to the disruption and shock of evacuation</w:t>
      </w:r>
      <w:r w:rsidR="00BA5174">
        <w:rPr>
          <w:rFonts w:ascii="Arial" w:hAnsi="Arial" w:cs="Arial"/>
          <w:sz w:val="22"/>
          <w:szCs w:val="22"/>
        </w:rPr>
        <w:t>.</w:t>
      </w:r>
    </w:p>
    <w:p w14:paraId="48E13204" w14:textId="65F5F448" w:rsidR="005D3DC5" w:rsidRPr="005D3DC5" w:rsidRDefault="005D3DC5" w:rsidP="00CE2317">
      <w:pPr>
        <w:pStyle w:val="NormalWeb"/>
        <w:spacing w:before="240" w:beforeAutospacing="0" w:after="0" w:afterAutospacing="0" w:line="360" w:lineRule="auto"/>
        <w:jc w:val="both"/>
        <w:rPr>
          <w:rFonts w:ascii="Arial" w:hAnsi="Arial" w:cs="Arial"/>
          <w:sz w:val="22"/>
          <w:szCs w:val="22"/>
        </w:rPr>
      </w:pPr>
      <w:r w:rsidRPr="005D3DC5">
        <w:rPr>
          <w:rFonts w:ascii="Arial" w:hAnsi="Arial" w:cs="Arial"/>
          <w:sz w:val="22"/>
          <w:szCs w:val="22"/>
        </w:rPr>
        <w:t>It is worth remembering that total evacuation of hospitals and evacuation of high dependency occupants of residential care facilities cannot be undertaken without exposing some occupants to significant risks due to the disruption to the care, increased stress and potential exposure to high temperatures and smoke during the relocation process. Whilst early evacuation of some occupants of these buildings could be achieved safely, there will, in many instances, be a need for a ‘defend-in-place’ strategy for the more vulnerable occupants. Therefore, some Class 9a and Class 9c buildings will need to maintain a tenable environment within the structure during and after exposure to bushfire and maintain essential services such as air conditioning, medical gas supplies, etc. For schools and early childhood centres, evacuation is more practical since a school can be simply closed on high</w:t>
      </w:r>
      <w:r w:rsidR="00E11B61">
        <w:rPr>
          <w:rFonts w:ascii="Arial" w:hAnsi="Arial" w:cs="Arial"/>
          <w:sz w:val="22"/>
          <w:szCs w:val="22"/>
        </w:rPr>
        <w:t>-</w:t>
      </w:r>
      <w:r w:rsidRPr="005D3DC5">
        <w:rPr>
          <w:rFonts w:ascii="Arial" w:hAnsi="Arial" w:cs="Arial"/>
          <w:sz w:val="22"/>
          <w:szCs w:val="22"/>
        </w:rPr>
        <w:t xml:space="preserve">risk days. This approach is applied on Code Red days in Victoria </w:t>
      </w:r>
      <w:r w:rsidR="00BA5174">
        <w:rPr>
          <w:rFonts w:ascii="Arial" w:hAnsi="Arial" w:cs="Arial"/>
          <w:sz w:val="22"/>
          <w:szCs w:val="22"/>
        </w:rPr>
        <w:t>and</w:t>
      </w:r>
      <w:r w:rsidRPr="005D3DC5">
        <w:rPr>
          <w:rFonts w:ascii="Arial" w:hAnsi="Arial" w:cs="Arial"/>
          <w:sz w:val="22"/>
          <w:szCs w:val="22"/>
        </w:rPr>
        <w:t xml:space="preserve"> consideration could be given to extending this to Forest Fire Danger Index (FFDI) below 100 as an alternative to providing highly protected buildings. However, this should be balanced against sending children home to residences</w:t>
      </w:r>
      <w:r w:rsidR="0024121D">
        <w:rPr>
          <w:rFonts w:ascii="Arial" w:hAnsi="Arial" w:cs="Arial"/>
          <w:sz w:val="22"/>
          <w:szCs w:val="22"/>
        </w:rPr>
        <w:t xml:space="preserve">, which </w:t>
      </w:r>
      <w:r w:rsidRPr="005D3DC5">
        <w:rPr>
          <w:rFonts w:ascii="Arial" w:hAnsi="Arial" w:cs="Arial"/>
          <w:sz w:val="22"/>
          <w:szCs w:val="22"/>
        </w:rPr>
        <w:t>may be more vulnerable to bushfire attack.</w:t>
      </w:r>
    </w:p>
    <w:p w14:paraId="27F9F513" w14:textId="619E5D3D" w:rsidR="0073038F" w:rsidRPr="0073038F" w:rsidRDefault="0073038F" w:rsidP="00AA63D4">
      <w:pPr>
        <w:pStyle w:val="Heading3"/>
      </w:pPr>
      <w:r w:rsidRPr="0073038F">
        <w:t>People with disabilities</w:t>
      </w:r>
    </w:p>
    <w:p w14:paraId="3181D61F" w14:textId="3394A7EB" w:rsidR="005D3DC5" w:rsidRDefault="005D3DC5" w:rsidP="00CE2317">
      <w:pPr>
        <w:pStyle w:val="NormalWeb"/>
        <w:spacing w:before="240" w:beforeAutospacing="0" w:after="0" w:afterAutospacing="0" w:line="360" w:lineRule="auto"/>
        <w:jc w:val="both"/>
        <w:rPr>
          <w:rFonts w:ascii="Arial" w:hAnsi="Arial" w:cs="Arial"/>
          <w:sz w:val="22"/>
          <w:szCs w:val="22"/>
        </w:rPr>
      </w:pPr>
      <w:r w:rsidRPr="005D3DC5">
        <w:rPr>
          <w:rFonts w:ascii="Arial" w:hAnsi="Arial" w:cs="Arial"/>
          <w:sz w:val="22"/>
          <w:szCs w:val="22"/>
        </w:rPr>
        <w:t xml:space="preserve">The challenge is even more difficult with certain Class 9 buildings, such as hospitals and </w:t>
      </w:r>
      <w:r w:rsidR="00B46AEC">
        <w:rPr>
          <w:rFonts w:ascii="Arial" w:hAnsi="Arial" w:cs="Arial"/>
          <w:sz w:val="22"/>
          <w:szCs w:val="22"/>
        </w:rPr>
        <w:t xml:space="preserve">residential </w:t>
      </w:r>
      <w:r w:rsidRPr="005D3DC5">
        <w:rPr>
          <w:rFonts w:ascii="Arial" w:hAnsi="Arial" w:cs="Arial"/>
          <w:sz w:val="22"/>
          <w:szCs w:val="22"/>
        </w:rPr>
        <w:t>care, where the occupants, due to their delicate physical and mental state, cannot be easily evacuated and/or that the evacuation process will be a major traumatic experience for those individuals.</w:t>
      </w:r>
    </w:p>
    <w:p w14:paraId="5C911C24" w14:textId="77777777" w:rsidR="00BA7D1F" w:rsidRDefault="005D3DC5" w:rsidP="00CE2317">
      <w:pPr>
        <w:spacing w:before="240" w:after="0" w:line="360" w:lineRule="auto"/>
        <w:jc w:val="both"/>
        <w:rPr>
          <w:rFonts w:cs="Arial"/>
        </w:rPr>
      </w:pPr>
      <w:r>
        <w:rPr>
          <w:rFonts w:cs="Arial"/>
        </w:rPr>
        <w:t>So, the benefits accruing from higher building standards are both in terms of protecting the physical lives of those considered vulnerable individuals, and also reducing the considerable stress and trauma that would be inflicted on those same individuals should they need evacuation.</w:t>
      </w:r>
    </w:p>
    <w:p w14:paraId="3D3D4389" w14:textId="28C308F2" w:rsidR="00362FEC" w:rsidRDefault="0073038F" w:rsidP="00CE2317">
      <w:pPr>
        <w:spacing w:before="240" w:after="240" w:line="360" w:lineRule="auto"/>
        <w:jc w:val="both"/>
        <w:rPr>
          <w:rFonts w:cs="Arial"/>
        </w:rPr>
      </w:pPr>
      <w:r w:rsidRPr="005D3DC5">
        <w:rPr>
          <w:rFonts w:cs="Arial"/>
        </w:rPr>
        <w:t>The evidence that certain community members</w:t>
      </w:r>
      <w:r w:rsidR="00E11B61">
        <w:rPr>
          <w:rFonts w:cs="Arial"/>
        </w:rPr>
        <w:t>,</w:t>
      </w:r>
      <w:r w:rsidRPr="005D3DC5">
        <w:rPr>
          <w:rFonts w:cs="Arial"/>
        </w:rPr>
        <w:t xml:space="preserve"> due to age, cognitive, mental or physical impairment, are more vulnerable than the general public during a bushfire event is well established. </w:t>
      </w:r>
    </w:p>
    <w:p w14:paraId="7BE60521" w14:textId="77777777" w:rsidR="00CA0DF7" w:rsidRDefault="005D3DC5" w:rsidP="00CA0DF7">
      <w:pPr>
        <w:pStyle w:val="Heading2"/>
      </w:pPr>
      <w:bookmarkStart w:id="16" w:name="_Toc97023778"/>
      <w:r w:rsidRPr="00C64E23">
        <w:t>The risk of bushfires occurring is increasing over time</w:t>
      </w:r>
      <w:bookmarkEnd w:id="16"/>
    </w:p>
    <w:p w14:paraId="2FA69FA8" w14:textId="425FBB53" w:rsidR="006B5E54" w:rsidRPr="00CA0DF7" w:rsidRDefault="006B5E54" w:rsidP="00CA0DF7">
      <w:pPr>
        <w:rPr>
          <w:rFonts w:eastAsiaTheme="majorEastAsia" w:cs="Arial"/>
          <w:sz w:val="32"/>
          <w:szCs w:val="26"/>
        </w:rPr>
      </w:pPr>
      <w:r w:rsidRPr="006B5E54">
        <w:rPr>
          <w:rFonts w:eastAsia="Times New Roman" w:cs="Arial"/>
          <w:lang w:eastAsia="en-AU"/>
        </w:rPr>
        <w:t>Bushfire risks are expected to increase in geographic spread and intensity,</w:t>
      </w:r>
      <w:r w:rsidRPr="006B5E54">
        <w:rPr>
          <w:rFonts w:eastAsia="Times New Roman" w:cs="Arial"/>
          <w:sz w:val="24"/>
          <w:szCs w:val="20"/>
          <w:lang w:eastAsia="en-AU"/>
        </w:rPr>
        <w:t xml:space="preserve"> a</w:t>
      </w:r>
      <w:r w:rsidRPr="006B5E54">
        <w:rPr>
          <w:rFonts w:eastAsia="Times New Roman" w:cs="Arial"/>
          <w:lang w:eastAsia="en-AU"/>
        </w:rPr>
        <w:t>nd are expected to become more frequent</w:t>
      </w:r>
      <w:r w:rsidRPr="006B5E54">
        <w:rPr>
          <w:rFonts w:eastAsia="Times New Roman" w:cs="Arial"/>
          <w:sz w:val="24"/>
          <w:szCs w:val="20"/>
          <w:vertAlign w:val="superscript"/>
          <w:lang w:eastAsia="en-AU"/>
        </w:rPr>
        <w:footnoteReference w:id="4"/>
      </w:r>
      <w:r w:rsidRPr="006B5E54">
        <w:rPr>
          <w:rFonts w:eastAsia="Times New Roman" w:cs="Arial"/>
          <w:sz w:val="24"/>
          <w:szCs w:val="20"/>
          <w:lang w:eastAsia="en-AU"/>
        </w:rPr>
        <w:t xml:space="preserve">. </w:t>
      </w:r>
    </w:p>
    <w:p w14:paraId="2647B4AB" w14:textId="77777777" w:rsidR="006B5E54" w:rsidRPr="006B5E54" w:rsidRDefault="006B5E54" w:rsidP="00CE2317">
      <w:pPr>
        <w:spacing w:before="240" w:after="240" w:line="360" w:lineRule="auto"/>
        <w:jc w:val="both"/>
        <w:rPr>
          <w:rFonts w:eastAsia="Times New Roman" w:cs="Arial"/>
          <w:lang w:eastAsia="en-AU"/>
        </w:rPr>
      </w:pPr>
      <w:r w:rsidRPr="006B5E54">
        <w:rPr>
          <w:rFonts w:eastAsia="Times New Roman" w:cs="Arial"/>
          <w:lang w:eastAsia="en-AU"/>
        </w:rPr>
        <w:t>This is supported by CSIRO climate scientists, findings from the National Natural Disaster Arrangements Royal Commission and research arising from the Bushfire and Natural Hazards Cooperative Research Centre.</w:t>
      </w:r>
    </w:p>
    <w:p w14:paraId="27EAC649" w14:textId="64CA6502" w:rsidR="006B5E54" w:rsidRPr="006B5E54" w:rsidRDefault="006B5E54" w:rsidP="00CE2317">
      <w:pPr>
        <w:spacing w:after="0" w:line="360" w:lineRule="auto"/>
        <w:jc w:val="both"/>
        <w:rPr>
          <w:rFonts w:eastAsia="Times New Roman" w:cs="Arial"/>
          <w:lang w:eastAsia="en-AU"/>
        </w:rPr>
      </w:pPr>
      <w:r w:rsidRPr="006B5E54">
        <w:rPr>
          <w:rFonts w:eastAsia="Times New Roman" w:cs="Arial"/>
          <w:lang w:eastAsia="en-AU"/>
        </w:rPr>
        <w:t>There is growing and extensive scientific evidence that long-term warming is leading to higher probabilities of extreme weather events, including bushfires.</w:t>
      </w:r>
    </w:p>
    <w:p w14:paraId="74C5A0E7" w14:textId="2F20B3E5" w:rsidR="006B5E54" w:rsidRPr="006B5E54" w:rsidRDefault="006B5E54" w:rsidP="00CE2317">
      <w:pPr>
        <w:spacing w:after="0" w:line="360" w:lineRule="auto"/>
        <w:jc w:val="both"/>
        <w:rPr>
          <w:rFonts w:eastAsia="Times New Roman" w:cs="Arial"/>
          <w:lang w:eastAsia="en-AU"/>
        </w:rPr>
      </w:pPr>
      <w:r w:rsidRPr="006B5E54">
        <w:rPr>
          <w:rFonts w:eastAsia="Times New Roman" w:cs="Arial"/>
          <w:lang w:eastAsia="en-AU"/>
        </w:rPr>
        <w:t xml:space="preserve">As with previous reports, CSIRO’s State of </w:t>
      </w:r>
      <w:r w:rsidR="00E11B61">
        <w:rPr>
          <w:rFonts w:eastAsia="Times New Roman" w:cs="Arial"/>
          <w:lang w:eastAsia="en-AU"/>
        </w:rPr>
        <w:t xml:space="preserve">the </w:t>
      </w:r>
      <w:r w:rsidRPr="006B5E54">
        <w:rPr>
          <w:rFonts w:eastAsia="Times New Roman" w:cs="Arial"/>
          <w:lang w:eastAsia="en-AU"/>
        </w:rPr>
        <w:t>Climate</w:t>
      </w:r>
      <w:r w:rsidR="008E440B">
        <w:rPr>
          <w:rFonts w:eastAsia="Times New Roman" w:cs="Arial"/>
          <w:lang w:eastAsia="en-AU"/>
        </w:rPr>
        <w:t xml:space="preserve"> (SoC)</w:t>
      </w:r>
      <w:r w:rsidRPr="006B5E54">
        <w:rPr>
          <w:rFonts w:eastAsia="Times New Roman" w:cs="Arial"/>
          <w:lang w:eastAsia="en-AU"/>
        </w:rPr>
        <w:t xml:space="preserve"> </w:t>
      </w:r>
      <w:r w:rsidR="008E440B">
        <w:rPr>
          <w:rFonts w:eastAsia="Times New Roman" w:cs="Arial"/>
          <w:lang w:eastAsia="en-AU"/>
        </w:rPr>
        <w:t>2020 r</w:t>
      </w:r>
      <w:r w:rsidR="0073038F">
        <w:rPr>
          <w:rFonts w:eastAsia="Times New Roman" w:cs="Arial"/>
          <w:lang w:eastAsia="en-AU"/>
        </w:rPr>
        <w:t>eport</w:t>
      </w:r>
      <w:r w:rsidRPr="006B5E54">
        <w:rPr>
          <w:rFonts w:eastAsia="Times New Roman" w:cs="Arial"/>
          <w:lang w:eastAsia="en-AU"/>
        </w:rPr>
        <w:t xml:space="preserve"> has a primary focus on the increasing frequency and severity of extreme</w:t>
      </w:r>
      <w:r w:rsidR="005730E2">
        <w:rPr>
          <w:rFonts w:eastAsia="Times New Roman" w:cs="Arial"/>
          <w:lang w:eastAsia="en-AU"/>
        </w:rPr>
        <w:t xml:space="preserve"> weather events and natural disasters</w:t>
      </w:r>
      <w:r w:rsidRPr="006B5E54">
        <w:rPr>
          <w:rFonts w:eastAsia="Times New Roman" w:cs="Arial"/>
          <w:lang w:eastAsia="en-AU"/>
        </w:rPr>
        <w:t xml:space="preserve">. This is of particular relevance to insurance and emergency management as most natural disasters affecting Australia are weather or climate related. </w:t>
      </w:r>
    </w:p>
    <w:p w14:paraId="5CBABB92" w14:textId="698976B6" w:rsidR="006B5E54" w:rsidRDefault="006B5E54" w:rsidP="00CE2317">
      <w:pPr>
        <w:spacing w:after="0" w:line="360" w:lineRule="auto"/>
        <w:jc w:val="both"/>
        <w:rPr>
          <w:rFonts w:eastAsia="Times New Roman" w:cs="Arial"/>
          <w:lang w:eastAsia="en-AU"/>
        </w:rPr>
      </w:pPr>
      <w:r w:rsidRPr="006B5E54">
        <w:rPr>
          <w:rFonts w:eastAsia="Times New Roman" w:cs="Arial"/>
          <w:lang w:eastAsia="en-AU"/>
        </w:rPr>
        <w:t>The report concludes that the science has been broadly consistent and largely accurate in the way that it has described and projected the climate system for the last several decades. Australia is experiencing climate change now, and the warming trend is continuing.</w:t>
      </w:r>
      <w:r w:rsidR="005730E2">
        <w:rPr>
          <w:rFonts w:eastAsia="Times New Roman" w:cs="Arial"/>
          <w:lang w:eastAsia="en-AU"/>
        </w:rPr>
        <w:t xml:space="preserve"> This trend is reflected in Figure 1. </w:t>
      </w:r>
    </w:p>
    <w:p w14:paraId="5F8E5C4D" w14:textId="77777777" w:rsidR="00AA63D4" w:rsidRPr="006B5E54" w:rsidRDefault="00AA63D4" w:rsidP="00CE2317">
      <w:pPr>
        <w:spacing w:after="0" w:line="360" w:lineRule="auto"/>
        <w:jc w:val="both"/>
        <w:rPr>
          <w:rFonts w:eastAsia="Times New Roman" w:cs="Arial"/>
          <w:lang w:eastAsia="en-AU"/>
        </w:rPr>
      </w:pPr>
    </w:p>
    <w:p w14:paraId="02BAC169" w14:textId="0CD44FB1" w:rsidR="006B5E54" w:rsidRPr="00EA58B4" w:rsidRDefault="006B5E54" w:rsidP="00AA63D4">
      <w:pPr>
        <w:rPr>
          <w:rFonts w:eastAsia="Times New Roman" w:cs="Times New Roman"/>
          <w:szCs w:val="20"/>
          <w:lang w:eastAsia="en-AU"/>
        </w:rPr>
      </w:pPr>
      <w:r w:rsidRPr="00AA63D4">
        <w:rPr>
          <w:rFonts w:eastAsia="Times New Roman" w:cs="Times New Roman"/>
          <w:b/>
          <w:szCs w:val="20"/>
          <w:lang w:eastAsia="en-AU"/>
        </w:rPr>
        <w:t>Figure 1.</w:t>
      </w:r>
      <w:r w:rsidRPr="00EA58B4">
        <w:rPr>
          <w:rFonts w:eastAsia="Times New Roman" w:cs="Times New Roman"/>
          <w:szCs w:val="20"/>
          <w:lang w:eastAsia="en-AU"/>
        </w:rPr>
        <w:t xml:space="preserve"> The number of days each year in which the Australian averaged daily mean temperature each month is extreme (warmest 1% of days for each month). </w:t>
      </w:r>
    </w:p>
    <w:p w14:paraId="4801ED3A" w14:textId="1B4C6AFB" w:rsidR="006B5E54" w:rsidRPr="006B5E54" w:rsidRDefault="006B5E54" w:rsidP="00AA63D4">
      <w:pPr>
        <w:rPr>
          <w:rFonts w:eastAsia="Times New Roman" w:cs="Times New Roman"/>
          <w:b/>
          <w:sz w:val="20"/>
          <w:szCs w:val="20"/>
          <w:lang w:eastAsia="en-AU"/>
        </w:rPr>
      </w:pPr>
      <w:r>
        <w:rPr>
          <w:rFonts w:eastAsia="Times New Roman" w:cs="Times New Roman"/>
          <w:b/>
          <w:noProof/>
          <w:sz w:val="20"/>
          <w:szCs w:val="20"/>
          <w:lang w:eastAsia="en-AU"/>
        </w:rPr>
        <w:drawing>
          <wp:inline distT="0" distB="0" distL="0" distR="0" wp14:anchorId="7B57034E" wp14:editId="661D7016">
            <wp:extent cx="5949950" cy="3152140"/>
            <wp:effectExtent l="19050" t="19050" r="12700" b="10160"/>
            <wp:docPr id="7" name="Picture 7" descr="Chart shows the number of days each year in which the Australian averaged daily mean temperature each month is extreme (warmest 1% of days for each month), has increased rapidly to in the last decade." title="Figur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9950" cy="3152140"/>
                    </a:xfrm>
                    <a:prstGeom prst="rect">
                      <a:avLst/>
                    </a:prstGeom>
                    <a:noFill/>
                    <a:ln>
                      <a:solidFill>
                        <a:schemeClr val="tx1"/>
                      </a:solidFill>
                    </a:ln>
                  </pic:spPr>
                </pic:pic>
              </a:graphicData>
            </a:graphic>
          </wp:inline>
        </w:drawing>
      </w:r>
    </w:p>
    <w:p w14:paraId="7FF73870" w14:textId="5E459963" w:rsidR="005D3DC5" w:rsidRDefault="006B5E54" w:rsidP="00AA63D4">
      <w:pPr>
        <w:rPr>
          <w:rFonts w:cs="Arial"/>
          <w:sz w:val="18"/>
          <w:szCs w:val="18"/>
        </w:rPr>
      </w:pPr>
      <w:r w:rsidRPr="006B5E54">
        <w:rPr>
          <w:rFonts w:cs="Arial"/>
          <w:sz w:val="18"/>
          <w:szCs w:val="18"/>
        </w:rPr>
        <w:t>Source:</w:t>
      </w:r>
      <w:r>
        <w:rPr>
          <w:rFonts w:cs="Arial"/>
          <w:sz w:val="18"/>
          <w:szCs w:val="18"/>
        </w:rPr>
        <w:t xml:space="preserve"> BOM/CSIRO (2020)</w:t>
      </w:r>
    </w:p>
    <w:p w14:paraId="59EAE032" w14:textId="67A8067B" w:rsidR="006B5E54" w:rsidRPr="00AA63D4" w:rsidRDefault="006B5E54" w:rsidP="00AA63D4">
      <w:pPr>
        <w:spacing w:after="0" w:line="360" w:lineRule="auto"/>
        <w:jc w:val="both"/>
        <w:rPr>
          <w:rFonts w:eastAsia="Times New Roman" w:cs="Arial"/>
          <w:lang w:eastAsia="en-AU"/>
        </w:rPr>
      </w:pPr>
      <w:r w:rsidRPr="00AA63D4">
        <w:rPr>
          <w:rFonts w:eastAsia="Times New Roman" w:cs="Arial"/>
          <w:lang w:eastAsia="en-AU"/>
        </w:rPr>
        <w:t xml:space="preserve">In the three years since the </w:t>
      </w:r>
      <w:r w:rsidR="00BE2A24" w:rsidRPr="00AA63D4">
        <w:rPr>
          <w:rFonts w:eastAsia="Times New Roman" w:cs="Arial"/>
          <w:lang w:eastAsia="en-AU"/>
        </w:rPr>
        <w:t>SoC</w:t>
      </w:r>
      <w:r w:rsidRPr="00AA63D4">
        <w:rPr>
          <w:rFonts w:eastAsia="Times New Roman" w:cs="Arial"/>
          <w:lang w:eastAsia="en-AU"/>
        </w:rPr>
        <w:t xml:space="preserve"> 2018 report, Australia has experienced its hottest and driest year on record: 2019/2020. These extremes, combined with anomalously windy conditions, played a pivotal role in the disastrous Black Summer fires of 2019/2020. </w:t>
      </w:r>
    </w:p>
    <w:p w14:paraId="2F1A530B" w14:textId="6DC77097" w:rsidR="006B5E54" w:rsidRPr="00AA63D4" w:rsidRDefault="006B5E54" w:rsidP="00AA63D4">
      <w:pPr>
        <w:spacing w:after="0" w:line="360" w:lineRule="auto"/>
        <w:jc w:val="both"/>
        <w:rPr>
          <w:rFonts w:eastAsia="Times New Roman" w:cs="Arial"/>
          <w:lang w:eastAsia="en-AU"/>
        </w:rPr>
      </w:pPr>
      <w:r w:rsidRPr="00AA63D4">
        <w:rPr>
          <w:rFonts w:eastAsia="Times New Roman" w:cs="Arial"/>
          <w:lang w:eastAsia="en-AU"/>
        </w:rPr>
        <w:t>SoC 2020 explains that these conditions would not be considered extreme in a 1.5-degree warmer world (best case scenario), let alone the 6 degree warmer world projected by some simulations under a ‘business as usual’ scenario.</w:t>
      </w:r>
    </w:p>
    <w:p w14:paraId="6B2C4712" w14:textId="405E9CE9" w:rsidR="006B5E54" w:rsidRPr="00AA63D4" w:rsidRDefault="006B5E54" w:rsidP="00AA63D4">
      <w:pPr>
        <w:spacing w:after="0" w:line="360" w:lineRule="auto"/>
        <w:jc w:val="both"/>
        <w:rPr>
          <w:rFonts w:eastAsia="Times New Roman" w:cs="Arial"/>
          <w:lang w:eastAsia="en-AU"/>
        </w:rPr>
      </w:pPr>
      <w:r w:rsidRPr="00AA63D4">
        <w:rPr>
          <w:rFonts w:eastAsia="Times New Roman" w:cs="Arial"/>
          <w:lang w:eastAsia="en-AU"/>
        </w:rPr>
        <w:t>Climate extremes experienced in Australia, and globally during 2019/20, are part of a continuing trend where each decade is hotter than the previous one</w:t>
      </w:r>
      <w:r w:rsidR="005730E2" w:rsidRPr="00AA63D4">
        <w:rPr>
          <w:rFonts w:eastAsia="Times New Roman" w:cs="Arial"/>
          <w:lang w:eastAsia="en-AU"/>
        </w:rPr>
        <w:t>. T</w:t>
      </w:r>
      <w:r w:rsidRPr="00AA63D4">
        <w:rPr>
          <w:rFonts w:eastAsia="Times New Roman" w:cs="Arial"/>
          <w:lang w:eastAsia="en-AU"/>
        </w:rPr>
        <w:t xml:space="preserve">his warming is entirely consistent with global climate model projections produced more than 20 years ago (Hausfather et al 2020). </w:t>
      </w:r>
    </w:p>
    <w:p w14:paraId="1CAF5F2C" w14:textId="77777777" w:rsidR="006B5E54" w:rsidRPr="00AA63D4" w:rsidRDefault="006B5E54" w:rsidP="00AA63D4">
      <w:pPr>
        <w:spacing w:before="240" w:after="0" w:line="360" w:lineRule="auto"/>
        <w:jc w:val="both"/>
        <w:rPr>
          <w:rFonts w:eastAsia="Times New Roman" w:cs="Arial"/>
          <w:lang w:eastAsia="en-AU"/>
        </w:rPr>
      </w:pPr>
      <w:r w:rsidRPr="00AA63D4">
        <w:rPr>
          <w:rFonts w:eastAsia="Times New Roman" w:cs="Arial"/>
          <w:lang w:eastAsia="en-AU"/>
        </w:rPr>
        <w:t>While swings from drought to flood are a natural and defining characteristic of Australian climate, SoC 2020 describes how long-term warming trends amplify this natural variability and will continue to do so in coming decades.</w:t>
      </w:r>
    </w:p>
    <w:p w14:paraId="17374FA3" w14:textId="3EBAD700" w:rsidR="006B5E54" w:rsidRPr="00AA63D4" w:rsidRDefault="006B5E54" w:rsidP="00AA63D4">
      <w:pPr>
        <w:spacing w:after="0" w:line="360" w:lineRule="auto"/>
        <w:jc w:val="both"/>
        <w:rPr>
          <w:rFonts w:eastAsia="Times New Roman" w:cs="Arial"/>
          <w:lang w:eastAsia="en-AU"/>
        </w:rPr>
      </w:pPr>
      <w:r w:rsidRPr="00AA63D4">
        <w:rPr>
          <w:rFonts w:eastAsia="Times New Roman" w:cs="Arial"/>
          <w:lang w:eastAsia="en-AU"/>
        </w:rPr>
        <w:t>Long-term warming increases the likelihood of extreme events beyond our historical experience, calling into question the applicability of historical records to accurately project the risk environment of the future. For this reason, ‘climate-enabled’ catastrophe loss models using the latest simulations, estimate financial losses due to extreme weather events for a range of future climate scenarios and time horizons by blending and downscaling historical and future climate model data.</w:t>
      </w:r>
    </w:p>
    <w:p w14:paraId="1BDB4BD8" w14:textId="751B6EE5" w:rsidR="000159B8" w:rsidRPr="00AA63D4" w:rsidRDefault="006B5E54" w:rsidP="00AA63D4">
      <w:pPr>
        <w:spacing w:after="0" w:line="360" w:lineRule="auto"/>
        <w:jc w:val="both"/>
        <w:rPr>
          <w:rFonts w:eastAsia="Times New Roman" w:cs="Arial"/>
          <w:lang w:eastAsia="en-AU"/>
        </w:rPr>
      </w:pPr>
      <w:r w:rsidRPr="00AA63D4">
        <w:rPr>
          <w:rFonts w:eastAsia="Times New Roman" w:cs="Arial"/>
          <w:lang w:eastAsia="en-AU"/>
        </w:rPr>
        <w:t>Despite</w:t>
      </w:r>
      <w:r w:rsidR="000159B8" w:rsidRPr="00AA63D4">
        <w:rPr>
          <w:rFonts w:eastAsia="Times New Roman" w:cs="Arial"/>
          <w:lang w:eastAsia="en-AU"/>
        </w:rPr>
        <w:t xml:space="preserve"> bushfire risk increasing geographically, there are a number of other measures in place intended to reduce risk to life in a bushfire event. These measures include: land use planning interventions, community education, emergency management and early warning systems.</w:t>
      </w:r>
    </w:p>
    <w:p w14:paraId="4782E1BB" w14:textId="77777777" w:rsidR="000852BC" w:rsidRPr="00C64E23" w:rsidRDefault="000852BC" w:rsidP="00AA63D4">
      <w:pPr>
        <w:spacing w:before="240"/>
        <w:rPr>
          <w:rFonts w:eastAsiaTheme="majorEastAsia" w:cs="Arial"/>
          <w:color w:val="002060"/>
          <w:sz w:val="32"/>
          <w:szCs w:val="26"/>
        </w:rPr>
      </w:pPr>
      <w:r w:rsidRPr="00C64E23">
        <w:rPr>
          <w:rFonts w:eastAsiaTheme="majorEastAsia" w:cs="Arial"/>
          <w:color w:val="002060"/>
          <w:sz w:val="32"/>
          <w:szCs w:val="26"/>
        </w:rPr>
        <w:t>Population growth is resulting in more development in bushfire prone areas</w:t>
      </w:r>
    </w:p>
    <w:p w14:paraId="40458802" w14:textId="3786266C"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 xml:space="preserve">Australian </w:t>
      </w:r>
      <w:r w:rsidR="00362FEC" w:rsidRPr="00AA63D4">
        <w:rPr>
          <w:rFonts w:eastAsia="Times New Roman" w:cs="Arial"/>
          <w:lang w:eastAsia="en-AU"/>
        </w:rPr>
        <w:t>S</w:t>
      </w:r>
      <w:r w:rsidRPr="00AA63D4">
        <w:rPr>
          <w:rFonts w:eastAsia="Times New Roman" w:cs="Arial"/>
          <w:lang w:eastAsia="en-AU"/>
        </w:rPr>
        <w:t xml:space="preserve">tates and </w:t>
      </w:r>
      <w:r w:rsidR="00362FEC" w:rsidRPr="00AA63D4">
        <w:rPr>
          <w:rFonts w:eastAsia="Times New Roman" w:cs="Arial"/>
          <w:lang w:eastAsia="en-AU"/>
        </w:rPr>
        <w:t>T</w:t>
      </w:r>
      <w:r w:rsidRPr="00AA63D4">
        <w:rPr>
          <w:rFonts w:eastAsia="Times New Roman" w:cs="Arial"/>
          <w:lang w:eastAsia="en-AU"/>
        </w:rPr>
        <w:t>erritories have experienced considerable population growth, demographic change, and urban development on the periphery of cities and regional centres. Construction continues to push further outward from current urban boundaries</w:t>
      </w:r>
      <w:r w:rsidRPr="00AA63D4">
        <w:rPr>
          <w:rFonts w:eastAsia="Times New Roman"/>
          <w:lang w:eastAsia="en-AU"/>
        </w:rPr>
        <w:footnoteReference w:id="5"/>
      </w:r>
      <w:r w:rsidRPr="00AA63D4">
        <w:rPr>
          <w:rFonts w:eastAsia="Times New Roman" w:cs="Arial"/>
          <w:lang w:eastAsia="en-AU"/>
        </w:rPr>
        <w:t>. This peri-urban development has the potential to place non-residential buildings and their occupants, into bushfire</w:t>
      </w:r>
      <w:r w:rsidR="005A71A0" w:rsidRPr="00AA63D4">
        <w:rPr>
          <w:rFonts w:eastAsia="Times New Roman" w:cs="Arial"/>
          <w:lang w:eastAsia="en-AU"/>
        </w:rPr>
        <w:t xml:space="preserve"> </w:t>
      </w:r>
      <w:r w:rsidRPr="00AA63D4">
        <w:rPr>
          <w:rFonts w:eastAsia="Times New Roman" w:cs="Arial"/>
          <w:lang w:eastAsia="en-AU"/>
        </w:rPr>
        <w:t xml:space="preserve">prone areas and exacerbate risk. </w:t>
      </w:r>
    </w:p>
    <w:p w14:paraId="07F7CF26" w14:textId="307CBBA7"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Understandably, given population growth, demographic change, and regional migration/lifestyle influencing factors</w:t>
      </w:r>
      <w:r w:rsidR="005730E2" w:rsidRPr="00AA63D4">
        <w:rPr>
          <w:rFonts w:eastAsia="Times New Roman" w:cs="Arial"/>
          <w:lang w:eastAsia="en-AU"/>
        </w:rPr>
        <w:t xml:space="preserve">, </w:t>
      </w:r>
      <w:r w:rsidRPr="00AA63D4">
        <w:rPr>
          <w:rFonts w:eastAsia="Times New Roman" w:cs="Arial"/>
          <w:lang w:eastAsia="en-AU"/>
        </w:rPr>
        <w:t>the number of Class 9 buildings constructed around the country in potential bushfire</w:t>
      </w:r>
      <w:r w:rsidR="005A71A0" w:rsidRPr="00AA63D4">
        <w:rPr>
          <w:rFonts w:eastAsia="Times New Roman" w:cs="Arial"/>
          <w:lang w:eastAsia="en-AU"/>
        </w:rPr>
        <w:t xml:space="preserve"> </w:t>
      </w:r>
      <w:r w:rsidRPr="00AA63D4">
        <w:rPr>
          <w:rFonts w:eastAsia="Times New Roman" w:cs="Arial"/>
          <w:lang w:eastAsia="en-AU"/>
        </w:rPr>
        <w:t xml:space="preserve">prone areas is increasing. However, it would appear that the overall scale of Class 9 building development in bushfire prone areas is not significant. </w:t>
      </w:r>
    </w:p>
    <w:p w14:paraId="47387447" w14:textId="64EFD369" w:rsidR="00C64E23" w:rsidRDefault="00AA63D4" w:rsidP="00AA63D4">
      <w:pPr>
        <w:spacing w:before="240"/>
        <w:rPr>
          <w:rFonts w:eastAsiaTheme="majorEastAsia" w:cs="Arial"/>
          <w:color w:val="002060"/>
          <w:sz w:val="32"/>
          <w:szCs w:val="26"/>
        </w:rPr>
      </w:pPr>
      <w:r>
        <w:rPr>
          <w:rFonts w:eastAsiaTheme="majorEastAsia" w:cs="Arial"/>
          <w:color w:val="002060"/>
          <w:sz w:val="32"/>
          <w:szCs w:val="26"/>
        </w:rPr>
        <w:t>E</w:t>
      </w:r>
      <w:r w:rsidRPr="00C64E23">
        <w:rPr>
          <w:rFonts w:eastAsiaTheme="majorEastAsia" w:cs="Arial"/>
          <w:color w:val="002060"/>
          <w:sz w:val="32"/>
          <w:szCs w:val="26"/>
        </w:rPr>
        <w:t xml:space="preserve">vidence of loss of buildings or life is lacking </w:t>
      </w:r>
      <w:r>
        <w:rPr>
          <w:rFonts w:eastAsiaTheme="majorEastAsia" w:cs="Arial"/>
          <w:color w:val="002060"/>
          <w:sz w:val="32"/>
          <w:szCs w:val="26"/>
        </w:rPr>
        <w:t>despite the increased risk</w:t>
      </w:r>
      <w:r w:rsidR="00C64E23" w:rsidRPr="00C64E23">
        <w:rPr>
          <w:rFonts w:eastAsiaTheme="majorEastAsia" w:cs="Arial"/>
          <w:color w:val="002060"/>
          <w:sz w:val="32"/>
          <w:szCs w:val="26"/>
        </w:rPr>
        <w:t xml:space="preserve"> </w:t>
      </w:r>
    </w:p>
    <w:p w14:paraId="11D97407" w14:textId="72F71CB4" w:rsidR="00362FEC" w:rsidRPr="00AA63D4" w:rsidRDefault="00362FEC" w:rsidP="00AA63D4">
      <w:pPr>
        <w:spacing w:after="0" w:line="360" w:lineRule="auto"/>
        <w:jc w:val="both"/>
        <w:rPr>
          <w:rFonts w:eastAsia="Times New Roman" w:cs="Arial"/>
          <w:lang w:eastAsia="en-AU"/>
        </w:rPr>
      </w:pPr>
      <w:r w:rsidRPr="00AA63D4">
        <w:rPr>
          <w:rFonts w:eastAsia="Times New Roman" w:cs="Arial"/>
          <w:lang w:eastAsia="en-AU"/>
        </w:rPr>
        <w:t xml:space="preserve">From a life safety perspective, there is an increased threat, although unquantifiable, that </w:t>
      </w:r>
      <w:r w:rsidR="008E440B" w:rsidRPr="00AA63D4">
        <w:rPr>
          <w:rFonts w:eastAsia="Times New Roman" w:cs="Arial"/>
          <w:lang w:eastAsia="en-AU"/>
        </w:rPr>
        <w:t>early childhood centres</w:t>
      </w:r>
      <w:r w:rsidRPr="00AA63D4">
        <w:rPr>
          <w:rFonts w:eastAsia="Times New Roman" w:cs="Arial"/>
          <w:lang w:eastAsia="en-AU"/>
        </w:rPr>
        <w:t xml:space="preserve">, schools, </w:t>
      </w:r>
      <w:r w:rsidR="00B46AEC" w:rsidRPr="00AA63D4">
        <w:rPr>
          <w:rFonts w:eastAsia="Times New Roman" w:cs="Arial"/>
          <w:lang w:eastAsia="en-AU"/>
        </w:rPr>
        <w:t xml:space="preserve">residential </w:t>
      </w:r>
      <w:r w:rsidRPr="00AA63D4">
        <w:rPr>
          <w:rFonts w:eastAsia="Times New Roman" w:cs="Arial"/>
          <w:lang w:eastAsia="en-AU"/>
        </w:rPr>
        <w:t xml:space="preserve">care </w:t>
      </w:r>
      <w:r w:rsidR="00B46AEC" w:rsidRPr="00AA63D4">
        <w:rPr>
          <w:rFonts w:eastAsia="Times New Roman" w:cs="Arial"/>
          <w:lang w:eastAsia="en-AU"/>
        </w:rPr>
        <w:t xml:space="preserve">facilities </w:t>
      </w:r>
      <w:r w:rsidRPr="00AA63D4">
        <w:rPr>
          <w:rFonts w:eastAsia="Times New Roman" w:cs="Arial"/>
          <w:lang w:eastAsia="en-AU"/>
        </w:rPr>
        <w:t xml:space="preserve">and hospitals face from a changing climate. This is particularly the case in those circumstances where facilities are needed by communities given their physical location, community demand and that alternative options are limited. </w:t>
      </w:r>
    </w:p>
    <w:p w14:paraId="051FA4C5" w14:textId="791DAB67"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What remains poorly understood is the actual scale of damage caused to Class 9 buildings from bushfires over the past decade and/or the extent of social, economic and environmental disruption caused by impacts of bushfires on the operations of these structures.</w:t>
      </w:r>
    </w:p>
    <w:p w14:paraId="7945ED81" w14:textId="55EA340F"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This proposal has been in development for a long time. It originates from the 2009 Victorian Bushfires Royal Commission. Since that time there have been other significant fire events, and post-event reviews. Most recently</w:t>
      </w:r>
      <w:r w:rsidR="00297876" w:rsidRPr="00AA63D4">
        <w:rPr>
          <w:rFonts w:eastAsia="Times New Roman" w:cs="Arial"/>
          <w:lang w:eastAsia="en-AU"/>
        </w:rPr>
        <w:t xml:space="preserve">, a review was undertaken in response to </w:t>
      </w:r>
      <w:r w:rsidRPr="00AA63D4">
        <w:rPr>
          <w:rFonts w:eastAsia="Times New Roman" w:cs="Arial"/>
          <w:lang w:eastAsia="en-AU"/>
        </w:rPr>
        <w:t xml:space="preserve">the Black Summer bushfires of 2019/20, which was separately reviewed by the Commonwealth, Victorian, NSW and Queensland Governments. </w:t>
      </w:r>
      <w:r w:rsidR="00297876" w:rsidRPr="00AA63D4">
        <w:rPr>
          <w:rFonts w:eastAsia="Times New Roman" w:cs="Arial"/>
          <w:lang w:eastAsia="en-AU"/>
        </w:rPr>
        <w:t>N</w:t>
      </w:r>
      <w:r w:rsidRPr="00AA63D4">
        <w:rPr>
          <w:rFonts w:eastAsia="Times New Roman" w:cs="Arial"/>
          <w:lang w:eastAsia="en-AU"/>
        </w:rPr>
        <w:t xml:space="preserve">one of these reviews identified a Class 9 building that was lost, despite the widespread nature of the fires.  </w:t>
      </w:r>
    </w:p>
    <w:p w14:paraId="0AB56BE5" w14:textId="76569D42" w:rsidR="00C64E23" w:rsidRPr="007645EF" w:rsidRDefault="008E440B" w:rsidP="00AA63D4">
      <w:pPr>
        <w:spacing w:after="0" w:line="360" w:lineRule="auto"/>
        <w:jc w:val="both"/>
        <w:rPr>
          <w:rFonts w:cs="Arial"/>
        </w:rPr>
      </w:pPr>
      <w:r w:rsidRPr="00AA63D4">
        <w:rPr>
          <w:rFonts w:eastAsia="Times New Roman" w:cs="Arial"/>
          <w:lang w:eastAsia="en-AU"/>
        </w:rPr>
        <w:t>As previously discussed,</w:t>
      </w:r>
      <w:r w:rsidR="00C64E23" w:rsidRPr="00AA63D4">
        <w:rPr>
          <w:rFonts w:eastAsia="Times New Roman" w:cs="Arial"/>
          <w:lang w:eastAsia="en-AU"/>
        </w:rPr>
        <w:t xml:space="preserve"> there were four deaths linked to the evacuation of an aged care facility in the 2009 Victorian </w:t>
      </w:r>
      <w:r w:rsidR="0063070E" w:rsidRPr="00AA63D4">
        <w:rPr>
          <w:rFonts w:eastAsia="Times New Roman" w:cs="Arial"/>
          <w:lang w:eastAsia="en-AU"/>
        </w:rPr>
        <w:t>bush</w:t>
      </w:r>
      <w:r w:rsidR="00C64E23" w:rsidRPr="00AA63D4">
        <w:rPr>
          <w:rFonts w:eastAsia="Times New Roman" w:cs="Arial"/>
          <w:lang w:eastAsia="en-AU"/>
        </w:rPr>
        <w:t>fires</w:t>
      </w:r>
      <w:r w:rsidR="0063070E" w:rsidRPr="00AA63D4">
        <w:rPr>
          <w:rFonts w:eastAsia="Times New Roman" w:cs="Arial"/>
          <w:lang w:eastAsia="en-AU"/>
        </w:rPr>
        <w:t xml:space="preserve"> when</w:t>
      </w:r>
      <w:r w:rsidR="00C64E23" w:rsidRPr="00AA63D4">
        <w:rPr>
          <w:rFonts w:eastAsia="Times New Roman" w:cs="Arial"/>
          <w:lang w:eastAsia="en-AU"/>
        </w:rPr>
        <w:t xml:space="preserve"> two aged-care facilities in the Bunyip area were evacuated. The evacuations were not undertaken prior to bushfires approaching the surrounding area and appropriate vehicles were not available for all the occupants. There </w:t>
      </w:r>
      <w:r w:rsidR="00C64E23" w:rsidRPr="009F34E0">
        <w:rPr>
          <w:rFonts w:cs="Arial"/>
        </w:rPr>
        <w:t>were 82 occupied beds in the facilities at the time of the fire</w:t>
      </w:r>
      <w:r w:rsidR="00C64E23">
        <w:rPr>
          <w:rFonts w:cs="Arial"/>
        </w:rPr>
        <w:t>,</w:t>
      </w:r>
      <w:r w:rsidR="00C64E23" w:rsidRPr="009F34E0">
        <w:rPr>
          <w:rFonts w:cs="Arial"/>
        </w:rPr>
        <w:t xml:space="preserve"> most of which could be considered to be highly vulnerable. </w:t>
      </w:r>
    </w:p>
    <w:p w14:paraId="26454623" w14:textId="4A48C6BD" w:rsidR="00C64E23" w:rsidRPr="00AA63D4" w:rsidRDefault="00297876" w:rsidP="00AA63D4">
      <w:pPr>
        <w:spacing w:after="0" w:line="360" w:lineRule="auto"/>
        <w:jc w:val="both"/>
        <w:rPr>
          <w:rFonts w:eastAsia="Times New Roman" w:cs="Arial"/>
          <w:lang w:eastAsia="en-AU"/>
        </w:rPr>
      </w:pPr>
      <w:r w:rsidRPr="00AA63D4">
        <w:rPr>
          <w:rFonts w:eastAsia="Times New Roman" w:cs="Arial"/>
          <w:lang w:eastAsia="en-AU"/>
        </w:rPr>
        <w:t xml:space="preserve">Fortunately, </w:t>
      </w:r>
      <w:r w:rsidR="00B519A7" w:rsidRPr="00AA63D4">
        <w:rPr>
          <w:rFonts w:eastAsia="Times New Roman" w:cs="Arial"/>
          <w:lang w:eastAsia="en-AU"/>
        </w:rPr>
        <w:t>a</w:t>
      </w:r>
      <w:r w:rsidRPr="00AA63D4">
        <w:rPr>
          <w:rFonts w:eastAsia="Times New Roman" w:cs="Arial"/>
          <w:lang w:eastAsia="en-AU"/>
        </w:rPr>
        <w:t xml:space="preserve"> Report prepared by</w:t>
      </w:r>
      <w:r w:rsidR="00C64E23" w:rsidRPr="00AA63D4">
        <w:rPr>
          <w:rFonts w:eastAsia="Times New Roman" w:cs="Arial"/>
          <w:lang w:eastAsia="en-AU"/>
        </w:rPr>
        <w:t xml:space="preserve"> EFT Consult</w:t>
      </w:r>
      <w:r w:rsidRPr="00AA63D4">
        <w:rPr>
          <w:rFonts w:eastAsia="Times New Roman" w:cs="Arial"/>
          <w:lang w:eastAsia="en-AU"/>
        </w:rPr>
        <w:t>ing in 2019,</w:t>
      </w:r>
      <w:r w:rsidR="00C64E23" w:rsidRPr="00AA63D4">
        <w:rPr>
          <w:rFonts w:eastAsia="Times New Roman" w:cs="Arial"/>
          <w:lang w:eastAsia="en-AU"/>
        </w:rPr>
        <w:t xml:space="preserve"> found that losses of Class 9 buildings as a result of bushfire is rare</w:t>
      </w:r>
      <w:r w:rsidR="00C64E23" w:rsidRPr="00AA63D4">
        <w:rPr>
          <w:rFonts w:eastAsia="Times New Roman"/>
          <w:lang w:eastAsia="en-AU"/>
        </w:rPr>
        <w:footnoteReference w:id="6"/>
      </w:r>
      <w:r w:rsidR="00C64E23" w:rsidRPr="00AA63D4">
        <w:rPr>
          <w:rFonts w:eastAsia="Times New Roman" w:cs="Arial"/>
          <w:lang w:eastAsia="en-AU"/>
        </w:rPr>
        <w:t>. In fact, the methodology adopted for the study used residential house loss in bushfire prone areas as a proxy for the lack of detailed information on Class 9 structures.</w:t>
      </w:r>
    </w:p>
    <w:p w14:paraId="34305590" w14:textId="04B19DD5" w:rsidR="00C64E23" w:rsidRPr="00C64E23" w:rsidRDefault="00C64E23" w:rsidP="00AA63D4">
      <w:pPr>
        <w:spacing w:before="240"/>
        <w:rPr>
          <w:rFonts w:eastAsiaTheme="majorEastAsia" w:cs="Arial"/>
          <w:color w:val="002060"/>
          <w:sz w:val="32"/>
          <w:szCs w:val="26"/>
        </w:rPr>
      </w:pPr>
      <w:r w:rsidRPr="00C64E23">
        <w:rPr>
          <w:rFonts w:eastAsiaTheme="majorEastAsia" w:cs="Arial"/>
          <w:color w:val="002060"/>
          <w:sz w:val="32"/>
          <w:szCs w:val="26"/>
        </w:rPr>
        <w:t xml:space="preserve">Planning controls are in place to reduce bushfire risk to vulnerable buildings </w:t>
      </w:r>
    </w:p>
    <w:p w14:paraId="7CF7EE6B" w14:textId="146331EF"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 xml:space="preserve">Local, state and territory government planning requirements seek to reduce the risk to buildings and their occupants, by placing spatial and design limits on where development can occur and what land uses are appropriate given strategic and planning policy contexts. </w:t>
      </w:r>
      <w:r w:rsidR="00B519A7" w:rsidRPr="00AA63D4">
        <w:rPr>
          <w:rFonts w:eastAsia="Times New Roman" w:cs="Arial"/>
          <w:lang w:eastAsia="en-AU"/>
        </w:rPr>
        <w:t>T</w:t>
      </w:r>
      <w:r w:rsidRPr="00AA63D4">
        <w:rPr>
          <w:rFonts w:eastAsia="Times New Roman" w:cs="Arial"/>
          <w:lang w:eastAsia="en-AU"/>
        </w:rPr>
        <w:t xml:space="preserve">here is </w:t>
      </w:r>
      <w:r w:rsidR="00B519A7" w:rsidRPr="00AA63D4">
        <w:rPr>
          <w:rFonts w:eastAsia="Times New Roman" w:cs="Arial"/>
          <w:lang w:eastAsia="en-AU"/>
        </w:rPr>
        <w:t xml:space="preserve">also </w:t>
      </w:r>
      <w:r w:rsidRPr="00AA63D4">
        <w:rPr>
          <w:rFonts w:eastAsia="Times New Roman" w:cs="Arial"/>
          <w:lang w:eastAsia="en-AU"/>
        </w:rPr>
        <w:t xml:space="preserve">wide-spread acceptance by all </w:t>
      </w:r>
      <w:r w:rsidR="00B8214E" w:rsidRPr="00AA63D4">
        <w:rPr>
          <w:rFonts w:eastAsia="Times New Roman" w:cs="Arial"/>
          <w:lang w:eastAsia="en-AU"/>
        </w:rPr>
        <w:t>S</w:t>
      </w:r>
      <w:r w:rsidRPr="00AA63D4">
        <w:rPr>
          <w:rFonts w:eastAsia="Times New Roman" w:cs="Arial"/>
          <w:lang w:eastAsia="en-AU"/>
        </w:rPr>
        <w:t xml:space="preserve">tates and </w:t>
      </w:r>
      <w:r w:rsidR="00B8214E" w:rsidRPr="00AA63D4">
        <w:rPr>
          <w:rFonts w:eastAsia="Times New Roman" w:cs="Arial"/>
          <w:lang w:eastAsia="en-AU"/>
        </w:rPr>
        <w:t>T</w:t>
      </w:r>
      <w:r w:rsidRPr="00AA63D4">
        <w:rPr>
          <w:rFonts w:eastAsia="Times New Roman" w:cs="Arial"/>
          <w:lang w:eastAsia="en-AU"/>
        </w:rPr>
        <w:t>erritories that appropriate risk assessments be incorporated into land use planning decisions.</w:t>
      </w:r>
    </w:p>
    <w:p w14:paraId="4E828C43" w14:textId="77777777"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Planning regulations at the local, regional and state levels, are designed to prevent inappropriate land use development, especially those subject to a range of natural hazards be they flood, land slip or bushfires. This is not something new. Increasingly, coastal development and areas of significant environmental, ecological or cultural values are uniformly protected from inappropriate development activity.</w:t>
      </w:r>
    </w:p>
    <w:p w14:paraId="014BB6E4" w14:textId="0F305551"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 xml:space="preserve">In consultations following the recommendations of the </w:t>
      </w:r>
      <w:r w:rsidR="0063070E" w:rsidRPr="00AA63D4">
        <w:rPr>
          <w:rFonts w:eastAsia="Times New Roman" w:cs="Arial"/>
          <w:lang w:eastAsia="en-AU"/>
        </w:rPr>
        <w:t xml:space="preserve">2009 </w:t>
      </w:r>
      <w:r w:rsidRPr="00AA63D4">
        <w:rPr>
          <w:rFonts w:eastAsia="Times New Roman" w:cs="Arial"/>
          <w:lang w:eastAsia="en-AU"/>
        </w:rPr>
        <w:t xml:space="preserve">Victorian </w:t>
      </w:r>
      <w:r w:rsidR="0063070E" w:rsidRPr="00AA63D4">
        <w:rPr>
          <w:rFonts w:eastAsia="Times New Roman" w:cs="Arial"/>
          <w:lang w:eastAsia="en-AU"/>
        </w:rPr>
        <w:t xml:space="preserve">bushfires </w:t>
      </w:r>
      <w:r w:rsidRPr="00AA63D4">
        <w:rPr>
          <w:rFonts w:eastAsia="Times New Roman" w:cs="Arial"/>
          <w:lang w:eastAsia="en-AU"/>
        </w:rPr>
        <w:t xml:space="preserve">Royal Commission, the ABCB Office sought evidence </w:t>
      </w:r>
      <w:r w:rsidR="0063070E" w:rsidRPr="00AA63D4">
        <w:rPr>
          <w:rFonts w:eastAsia="Times New Roman" w:cs="Arial"/>
          <w:lang w:eastAsia="en-AU"/>
        </w:rPr>
        <w:t>i</w:t>
      </w:r>
      <w:r w:rsidRPr="00AA63D4">
        <w:rPr>
          <w:rFonts w:eastAsia="Times New Roman" w:cs="Arial"/>
          <w:lang w:eastAsia="en-AU"/>
        </w:rPr>
        <w:t xml:space="preserve">n particular, </w:t>
      </w:r>
      <w:r w:rsidR="0063070E" w:rsidRPr="00AA63D4">
        <w:rPr>
          <w:rFonts w:eastAsia="Times New Roman" w:cs="Arial"/>
          <w:lang w:eastAsia="en-AU"/>
        </w:rPr>
        <w:t xml:space="preserve">from the </w:t>
      </w:r>
      <w:r w:rsidRPr="00AA63D4">
        <w:rPr>
          <w:rFonts w:eastAsia="Times New Roman" w:cs="Arial"/>
          <w:lang w:eastAsia="en-AU"/>
        </w:rPr>
        <w:t>the</w:t>
      </w:r>
      <w:r w:rsidR="00B8214E" w:rsidRPr="00AA63D4">
        <w:rPr>
          <w:rFonts w:eastAsia="Times New Roman" w:cs="Arial"/>
          <w:lang w:eastAsia="en-AU"/>
        </w:rPr>
        <w:t>n</w:t>
      </w:r>
      <w:r w:rsidRPr="00AA63D4">
        <w:rPr>
          <w:rFonts w:eastAsia="Times New Roman" w:cs="Arial"/>
          <w:lang w:eastAsia="en-AU"/>
        </w:rPr>
        <w:t xml:space="preserve"> Victorian Building Commission</w:t>
      </w:r>
      <w:r w:rsidR="00B8214E" w:rsidRPr="00AA63D4">
        <w:rPr>
          <w:rFonts w:eastAsia="Times New Roman" w:cs="Arial"/>
          <w:lang w:eastAsia="en-AU"/>
        </w:rPr>
        <w:t xml:space="preserve"> (now VBA)</w:t>
      </w:r>
      <w:r w:rsidRPr="00AA63D4">
        <w:rPr>
          <w:rFonts w:eastAsia="Times New Roman" w:cs="Arial"/>
          <w:lang w:eastAsia="en-AU"/>
        </w:rPr>
        <w:t xml:space="preserve">, the </w:t>
      </w:r>
      <w:r w:rsidR="00B8214E" w:rsidRPr="00AA63D4">
        <w:rPr>
          <w:rFonts w:eastAsia="Times New Roman" w:cs="Arial"/>
          <w:lang w:eastAsia="en-AU"/>
        </w:rPr>
        <w:t xml:space="preserve">then </w:t>
      </w:r>
      <w:r w:rsidRPr="00AA63D4">
        <w:rPr>
          <w:rFonts w:eastAsia="Times New Roman" w:cs="Arial"/>
          <w:lang w:eastAsia="en-AU"/>
        </w:rPr>
        <w:t xml:space="preserve">Australasian Fire and Emergency Services Authorities Council </w:t>
      </w:r>
      <w:r w:rsidR="00B8214E" w:rsidRPr="00AA63D4">
        <w:rPr>
          <w:rFonts w:eastAsia="Times New Roman" w:cs="Arial"/>
          <w:lang w:eastAsia="en-AU"/>
        </w:rPr>
        <w:t xml:space="preserve">(now Australian and New Zealand National Council for fire and emergency services) </w:t>
      </w:r>
      <w:r w:rsidRPr="00AA63D4">
        <w:rPr>
          <w:rFonts w:eastAsia="Times New Roman" w:cs="Arial"/>
          <w:lang w:eastAsia="en-AU"/>
        </w:rPr>
        <w:t>(AFAC) and the CSIRO</w:t>
      </w:r>
      <w:r w:rsidR="0063070E" w:rsidRPr="00AA63D4">
        <w:rPr>
          <w:rFonts w:eastAsia="Times New Roman" w:cs="Arial"/>
          <w:lang w:eastAsia="en-AU"/>
        </w:rPr>
        <w:t xml:space="preserve"> that demonstrated an existing deficiency in the NCC and the true extent of the problem</w:t>
      </w:r>
      <w:r w:rsidRPr="00AA63D4">
        <w:rPr>
          <w:rFonts w:eastAsia="Times New Roman" w:cs="Arial"/>
          <w:lang w:eastAsia="en-AU"/>
        </w:rPr>
        <w:t>. No supporting evidence was provided at the time.</w:t>
      </w:r>
    </w:p>
    <w:p w14:paraId="50B4066B" w14:textId="4C45C204"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 xml:space="preserve">The </w:t>
      </w:r>
      <w:r w:rsidR="00D66F05" w:rsidRPr="00AA63D4">
        <w:rPr>
          <w:rFonts w:eastAsia="Times New Roman" w:cs="Arial"/>
          <w:lang w:eastAsia="en-AU"/>
        </w:rPr>
        <w:t xml:space="preserve">ABCB </w:t>
      </w:r>
      <w:r w:rsidRPr="00AA63D4">
        <w:rPr>
          <w:rFonts w:eastAsia="Times New Roman" w:cs="Arial"/>
          <w:lang w:eastAsia="en-AU"/>
        </w:rPr>
        <w:t xml:space="preserve">Office also sought advice from the then COAG </w:t>
      </w:r>
      <w:r w:rsidR="0063070E" w:rsidRPr="00AA63D4">
        <w:rPr>
          <w:rFonts w:eastAsia="Times New Roman" w:cs="Arial"/>
          <w:lang w:eastAsia="en-AU"/>
        </w:rPr>
        <w:t>n</w:t>
      </w:r>
      <w:r w:rsidRPr="00AA63D4">
        <w:rPr>
          <w:rFonts w:eastAsia="Times New Roman" w:cs="Arial"/>
          <w:lang w:eastAsia="en-AU"/>
        </w:rPr>
        <w:t>ational Planning Officials Group (POG). The POG subsequently sought advice from all</w:t>
      </w:r>
      <w:r w:rsidR="00B8214E" w:rsidRPr="00AA63D4">
        <w:rPr>
          <w:rFonts w:eastAsia="Times New Roman" w:cs="Arial"/>
          <w:lang w:eastAsia="en-AU"/>
        </w:rPr>
        <w:t xml:space="preserve"> S</w:t>
      </w:r>
      <w:r w:rsidRPr="00AA63D4">
        <w:rPr>
          <w:rFonts w:eastAsia="Times New Roman" w:cs="Arial"/>
          <w:lang w:eastAsia="en-AU"/>
        </w:rPr>
        <w:t xml:space="preserve">tate and </w:t>
      </w:r>
      <w:r w:rsidR="00B8214E" w:rsidRPr="00AA63D4">
        <w:rPr>
          <w:rFonts w:eastAsia="Times New Roman" w:cs="Arial"/>
          <w:lang w:eastAsia="en-AU"/>
        </w:rPr>
        <w:t>T</w:t>
      </w:r>
      <w:r w:rsidRPr="00AA63D4">
        <w:rPr>
          <w:rFonts w:eastAsia="Times New Roman" w:cs="Arial"/>
          <w:lang w:eastAsia="en-AU"/>
        </w:rPr>
        <w:t>erritory planning authorities regarding the current planning approval requirements for ‘vulnerable occupancy’ buildings in designated bushfire</w:t>
      </w:r>
      <w:r w:rsidR="005A71A0" w:rsidRPr="00AA63D4">
        <w:rPr>
          <w:rFonts w:eastAsia="Times New Roman" w:cs="Arial"/>
          <w:lang w:eastAsia="en-AU"/>
        </w:rPr>
        <w:t xml:space="preserve"> </w:t>
      </w:r>
      <w:r w:rsidRPr="00AA63D4">
        <w:rPr>
          <w:rFonts w:eastAsia="Times New Roman" w:cs="Arial"/>
          <w:lang w:eastAsia="en-AU"/>
        </w:rPr>
        <w:t>prone areas.</w:t>
      </w:r>
    </w:p>
    <w:p w14:paraId="25671C8D" w14:textId="39A1C9EC"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 xml:space="preserve">The POG were of the collective opinion that respective jurisdictional planning systems are largely effective at the point at which development is assessed. Given the right circumstances and context, development that is deemed appropriate is usually approved with conditions that relate to </w:t>
      </w:r>
      <w:r w:rsidR="003D1AC6" w:rsidRPr="00AA63D4">
        <w:rPr>
          <w:rFonts w:eastAsia="Times New Roman" w:cs="Arial"/>
          <w:lang w:eastAsia="en-AU"/>
        </w:rPr>
        <w:t xml:space="preserve">required </w:t>
      </w:r>
      <w:r w:rsidRPr="00AA63D4">
        <w:rPr>
          <w:rFonts w:eastAsia="Times New Roman" w:cs="Arial"/>
          <w:lang w:eastAsia="en-AU"/>
        </w:rPr>
        <w:t xml:space="preserve">infrastructure, hours of use, scale of undertaking, physical design and site layout. </w:t>
      </w:r>
    </w:p>
    <w:p w14:paraId="7FBF1ED1" w14:textId="77777777" w:rsidR="00C64E23" w:rsidRPr="00AA63D4" w:rsidRDefault="00C64E23" w:rsidP="00AA63D4">
      <w:pPr>
        <w:spacing w:after="0" w:line="360" w:lineRule="auto"/>
        <w:jc w:val="both"/>
        <w:rPr>
          <w:rFonts w:eastAsia="Times New Roman" w:cs="Arial"/>
          <w:lang w:eastAsia="en-AU"/>
        </w:rPr>
      </w:pPr>
      <w:r w:rsidRPr="00AA63D4">
        <w:rPr>
          <w:rFonts w:eastAsia="Times New Roman" w:cs="Arial"/>
          <w:lang w:eastAsia="en-AU"/>
        </w:rPr>
        <w:t>Subsequent feedback indicated there were several consistent requirements being applied via planning assessment procedures, including:</w:t>
      </w:r>
    </w:p>
    <w:p w14:paraId="620E30B5" w14:textId="38978573" w:rsidR="00C64E23" w:rsidRPr="00AA63D4" w:rsidRDefault="00C64E23" w:rsidP="00AA63D4">
      <w:pPr>
        <w:pStyle w:val="ListParagraph"/>
        <w:numPr>
          <w:ilvl w:val="0"/>
          <w:numId w:val="60"/>
        </w:numPr>
        <w:spacing w:after="0" w:line="360" w:lineRule="auto"/>
        <w:ind w:left="426" w:hanging="426"/>
        <w:jc w:val="both"/>
        <w:rPr>
          <w:rFonts w:eastAsia="Times New Roman" w:cs="Arial"/>
          <w:lang w:eastAsia="en-AU"/>
        </w:rPr>
      </w:pPr>
      <w:r w:rsidRPr="00AA63D4">
        <w:rPr>
          <w:rFonts w:eastAsia="Times New Roman" w:cs="Arial"/>
          <w:lang w:eastAsia="en-AU"/>
        </w:rPr>
        <w:t>mandating compliance with the technical requirements of the B</w:t>
      </w:r>
      <w:r w:rsidR="00B8214E" w:rsidRPr="00AA63D4">
        <w:rPr>
          <w:rFonts w:eastAsia="Times New Roman" w:cs="Arial"/>
          <w:lang w:eastAsia="en-AU"/>
        </w:rPr>
        <w:t>uilding Code of Australia (B</w:t>
      </w:r>
      <w:r w:rsidRPr="00AA63D4">
        <w:rPr>
          <w:rFonts w:eastAsia="Times New Roman" w:cs="Arial"/>
          <w:lang w:eastAsia="en-AU"/>
        </w:rPr>
        <w:t>CA</w:t>
      </w:r>
      <w:r w:rsidR="00B8214E" w:rsidRPr="00AA63D4">
        <w:rPr>
          <w:rFonts w:eastAsia="Times New Roman" w:cs="Arial"/>
          <w:lang w:eastAsia="en-AU"/>
        </w:rPr>
        <w:t>)</w:t>
      </w:r>
      <w:r w:rsidRPr="00AA63D4">
        <w:rPr>
          <w:rFonts w:eastAsia="Times New Roman" w:cs="Arial"/>
          <w:lang w:eastAsia="en-AU"/>
        </w:rPr>
        <w:t>;</w:t>
      </w:r>
    </w:p>
    <w:p w14:paraId="556F8876" w14:textId="38E5FED5" w:rsidR="00C64E23" w:rsidRPr="00AA63D4" w:rsidRDefault="00C64E23" w:rsidP="00AA63D4">
      <w:pPr>
        <w:pStyle w:val="ListParagraph"/>
        <w:numPr>
          <w:ilvl w:val="0"/>
          <w:numId w:val="60"/>
        </w:numPr>
        <w:spacing w:after="0" w:line="360" w:lineRule="auto"/>
        <w:ind w:left="426" w:hanging="426"/>
        <w:jc w:val="both"/>
        <w:rPr>
          <w:rFonts w:eastAsia="Times New Roman" w:cs="Arial"/>
          <w:lang w:eastAsia="en-AU"/>
        </w:rPr>
      </w:pPr>
      <w:r w:rsidRPr="00AA63D4">
        <w:rPr>
          <w:rFonts w:eastAsia="Times New Roman" w:cs="Arial"/>
          <w:lang w:eastAsia="en-AU"/>
        </w:rPr>
        <w:t>referral of development applications to designated fire authorities for consideration or approval; and</w:t>
      </w:r>
    </w:p>
    <w:p w14:paraId="32D3089C" w14:textId="77777777" w:rsidR="00C64E23" w:rsidRPr="00AA63D4" w:rsidRDefault="00C64E23" w:rsidP="00AA63D4">
      <w:pPr>
        <w:pStyle w:val="ListParagraph"/>
        <w:numPr>
          <w:ilvl w:val="0"/>
          <w:numId w:val="60"/>
        </w:numPr>
        <w:spacing w:after="0" w:line="360" w:lineRule="auto"/>
        <w:ind w:left="426" w:hanging="436"/>
        <w:jc w:val="both"/>
        <w:rPr>
          <w:rFonts w:eastAsia="Times New Roman" w:cs="Arial"/>
          <w:lang w:eastAsia="en-AU"/>
        </w:rPr>
      </w:pPr>
      <w:r w:rsidRPr="00AA63D4">
        <w:rPr>
          <w:rFonts w:eastAsia="Times New Roman" w:cs="Arial"/>
          <w:lang w:eastAsia="en-AU"/>
        </w:rPr>
        <w:t>active consideration of bushfire safety measures such as: -</w:t>
      </w:r>
    </w:p>
    <w:p w14:paraId="64FE182B" w14:textId="02C9CF46" w:rsidR="00C64E23" w:rsidRPr="006A40E0" w:rsidRDefault="00C64E23" w:rsidP="00AA63D4">
      <w:pPr>
        <w:spacing w:before="240" w:line="360" w:lineRule="auto"/>
        <w:rPr>
          <w:rFonts w:cs="Arial"/>
        </w:rPr>
      </w:pPr>
      <w:r w:rsidRPr="001523DE">
        <w:rPr>
          <w:rFonts w:cs="Arial"/>
          <w:b/>
          <w:bCs/>
        </w:rPr>
        <w:t xml:space="preserve">Asset </w:t>
      </w:r>
      <w:r w:rsidR="003D1AC6">
        <w:rPr>
          <w:rFonts w:cs="Arial"/>
          <w:b/>
          <w:bCs/>
        </w:rPr>
        <w:t>P</w:t>
      </w:r>
      <w:r w:rsidRPr="001523DE">
        <w:rPr>
          <w:rFonts w:cs="Arial"/>
          <w:b/>
          <w:bCs/>
        </w:rPr>
        <w:t xml:space="preserve">rotection </w:t>
      </w:r>
      <w:r w:rsidR="003D1AC6">
        <w:rPr>
          <w:rFonts w:cs="Arial"/>
          <w:b/>
          <w:bCs/>
        </w:rPr>
        <w:t>Z</w:t>
      </w:r>
      <w:r w:rsidRPr="001523DE">
        <w:rPr>
          <w:rFonts w:cs="Arial"/>
          <w:b/>
          <w:bCs/>
        </w:rPr>
        <w:t>ones</w:t>
      </w:r>
      <w:r w:rsidRPr="006A40E0">
        <w:rPr>
          <w:rFonts w:cs="Arial"/>
        </w:rPr>
        <w:t xml:space="preserve"> - to provide space for fire-fighters and other emergency services personnel and ensure that their activities can be safely conducted under critical conditions of radiant heat, smoke and embers;</w:t>
      </w:r>
    </w:p>
    <w:p w14:paraId="02F21F1D" w14:textId="77777777" w:rsidR="00C64E23" w:rsidRPr="006A40E0" w:rsidRDefault="00C64E23" w:rsidP="00AA63D4">
      <w:pPr>
        <w:spacing w:line="360" w:lineRule="auto"/>
        <w:rPr>
          <w:rFonts w:cs="Arial"/>
        </w:rPr>
      </w:pPr>
      <w:r w:rsidRPr="001523DE">
        <w:rPr>
          <w:rFonts w:cs="Arial"/>
          <w:b/>
          <w:bCs/>
        </w:rPr>
        <w:t>Vehicular access</w:t>
      </w:r>
      <w:r w:rsidRPr="006A40E0">
        <w:rPr>
          <w:rFonts w:cs="Arial"/>
        </w:rPr>
        <w:t xml:space="preserve"> – via internal roads that provide safe access for emergency services personnel in suppressing a bushfire, while residents are accessing or egressing an area;</w:t>
      </w:r>
    </w:p>
    <w:p w14:paraId="1DA047D2" w14:textId="77777777" w:rsidR="00C64E23" w:rsidRPr="006A40E0" w:rsidRDefault="00C64E23" w:rsidP="00AA63D4">
      <w:pPr>
        <w:spacing w:line="360" w:lineRule="auto"/>
        <w:rPr>
          <w:rFonts w:cs="Arial"/>
        </w:rPr>
      </w:pPr>
      <w:r w:rsidRPr="001523DE">
        <w:rPr>
          <w:rFonts w:cs="Arial"/>
          <w:b/>
          <w:bCs/>
        </w:rPr>
        <w:t>Managing utility services</w:t>
      </w:r>
      <w:r w:rsidRPr="006A40E0">
        <w:rPr>
          <w:rFonts w:cs="Arial"/>
        </w:rPr>
        <w:t xml:space="preserve"> – water, gas and electricity - to provide adequate water services for the protection of buildings during and after the passage of a bushfire and to locate gas and electricity services so they do not contribute to the risk of fire spreading to associated buildings; and</w:t>
      </w:r>
    </w:p>
    <w:p w14:paraId="28F0042E" w14:textId="77777777" w:rsidR="00C64E23" w:rsidRPr="007645EF" w:rsidRDefault="00C64E23" w:rsidP="00AA63D4">
      <w:pPr>
        <w:spacing w:line="360" w:lineRule="auto"/>
        <w:rPr>
          <w:rFonts w:cs="Arial"/>
        </w:rPr>
      </w:pPr>
      <w:r w:rsidRPr="001523DE">
        <w:rPr>
          <w:rFonts w:cs="Arial"/>
          <w:b/>
          <w:bCs/>
        </w:rPr>
        <w:t>Emergency and evacuation planning</w:t>
      </w:r>
      <w:r w:rsidRPr="00F623C7">
        <w:rPr>
          <w:rFonts w:cs="Arial"/>
        </w:rPr>
        <w:t xml:space="preserve"> - to</w:t>
      </w:r>
      <w:r>
        <w:rPr>
          <w:rFonts w:cs="Arial"/>
        </w:rPr>
        <w:t xml:space="preserve"> provide suitable emergency and </w:t>
      </w:r>
      <w:r w:rsidRPr="00F623C7">
        <w:rPr>
          <w:rFonts w:cs="Arial"/>
        </w:rPr>
        <w:t>evacuation/relocation arrangements and protocols for existing residents/occupants.</w:t>
      </w:r>
    </w:p>
    <w:p w14:paraId="1ADD2EBB" w14:textId="1321699A" w:rsidR="00C64E23" w:rsidRPr="007645EF" w:rsidRDefault="00C64E23" w:rsidP="00AA63D4">
      <w:pPr>
        <w:spacing w:line="360" w:lineRule="auto"/>
        <w:rPr>
          <w:rFonts w:cs="Arial"/>
        </w:rPr>
      </w:pPr>
      <w:r>
        <w:rPr>
          <w:rFonts w:cs="Arial"/>
        </w:rPr>
        <w:t>However, w</w:t>
      </w:r>
      <w:r w:rsidRPr="00F623C7">
        <w:rPr>
          <w:rFonts w:cs="Arial"/>
        </w:rPr>
        <w:t>hile governments have a significant number of ways to reduce bushfire risk, including restricting development approvals and/or conditioning development consent, none are 100 per cent effective at preserving life or the structural integrity of the buildings they occupy</w:t>
      </w:r>
      <w:r w:rsidRPr="00FC7DB7">
        <w:rPr>
          <w:rStyle w:val="FootnoteReference"/>
          <w:rFonts w:cs="Arial"/>
        </w:rPr>
        <w:footnoteReference w:id="7"/>
      </w:r>
      <w:r w:rsidRPr="00FC7DB7">
        <w:rPr>
          <w:rFonts w:cs="Arial"/>
        </w:rPr>
        <w:t xml:space="preserve">. </w:t>
      </w:r>
    </w:p>
    <w:p w14:paraId="39247CC9" w14:textId="4BAADA2F" w:rsidR="00C64E23" w:rsidRDefault="00C64E23" w:rsidP="00AA63D4">
      <w:pPr>
        <w:spacing w:line="360" w:lineRule="auto"/>
        <w:rPr>
          <w:rFonts w:eastAsiaTheme="majorEastAsia" w:cs="Arial"/>
          <w:color w:val="002060"/>
          <w:sz w:val="32"/>
          <w:szCs w:val="26"/>
        </w:rPr>
      </w:pPr>
      <w:r w:rsidRPr="00C64E23">
        <w:rPr>
          <w:rFonts w:eastAsiaTheme="majorEastAsia" w:cs="Arial"/>
          <w:color w:val="002060"/>
          <w:sz w:val="32"/>
          <w:szCs w:val="26"/>
        </w:rPr>
        <w:t>Planning controls do not stop all development of vulnerable use buildings in bushfire prone areas</w:t>
      </w:r>
    </w:p>
    <w:p w14:paraId="0C58438F" w14:textId="1B453204" w:rsidR="004D19E6" w:rsidRPr="00FC7DB7" w:rsidRDefault="004D19E6" w:rsidP="00AA63D4">
      <w:pPr>
        <w:spacing w:line="360" w:lineRule="auto"/>
        <w:rPr>
          <w:rFonts w:cs="Arial"/>
        </w:rPr>
      </w:pPr>
      <w:r w:rsidRPr="00FC7DB7">
        <w:rPr>
          <w:rFonts w:cs="Arial"/>
        </w:rPr>
        <w:t xml:space="preserve">It is worth noting that </w:t>
      </w:r>
      <w:r w:rsidRPr="00B40563">
        <w:rPr>
          <w:rFonts w:cs="Arial"/>
        </w:rPr>
        <w:t>in certain circumstances the construction of certain Class 9 buildings in bushfire</w:t>
      </w:r>
      <w:r w:rsidR="005A71A0">
        <w:rPr>
          <w:rFonts w:cs="Arial"/>
        </w:rPr>
        <w:t xml:space="preserve"> </w:t>
      </w:r>
      <w:r w:rsidRPr="00B40563">
        <w:rPr>
          <w:rFonts w:cs="Arial"/>
        </w:rPr>
        <w:t>prone area</w:t>
      </w:r>
      <w:r w:rsidRPr="00F623C7">
        <w:rPr>
          <w:rFonts w:cs="Arial"/>
        </w:rPr>
        <w:t>s may still occur regardless of existing planning controls</w:t>
      </w:r>
      <w:r>
        <w:rPr>
          <w:rFonts w:cs="Arial"/>
        </w:rPr>
        <w:t xml:space="preserve"> and conditions of consent</w:t>
      </w:r>
      <w:r w:rsidRPr="00F623C7">
        <w:rPr>
          <w:rFonts w:cs="Arial"/>
        </w:rPr>
        <w:t>. This may be the case where existing communities, especially in regional and rural localities have a demonstrated need for these educational, health or community based facilities, and locating them at a further distance from the community in a lower risk location is deemed inappropriate for a variety of reasons</w:t>
      </w:r>
      <w:r w:rsidRPr="00FC7DB7">
        <w:rPr>
          <w:rStyle w:val="FootnoteReference"/>
          <w:rFonts w:cs="Arial"/>
        </w:rPr>
        <w:footnoteReference w:id="8"/>
      </w:r>
      <w:r w:rsidRPr="00FC7DB7">
        <w:rPr>
          <w:rFonts w:cs="Arial"/>
        </w:rPr>
        <w:t xml:space="preserve">. </w:t>
      </w:r>
    </w:p>
    <w:p w14:paraId="3124773A" w14:textId="49E8415A" w:rsidR="004D19E6" w:rsidRPr="00F623C7" w:rsidRDefault="0063070E" w:rsidP="00AA63D4">
      <w:pPr>
        <w:spacing w:line="360" w:lineRule="auto"/>
        <w:rPr>
          <w:rFonts w:cs="Arial"/>
        </w:rPr>
      </w:pPr>
      <w:r>
        <w:rPr>
          <w:rFonts w:cs="Arial"/>
        </w:rPr>
        <w:t>W</w:t>
      </w:r>
      <w:r w:rsidR="004D19E6" w:rsidRPr="00F623C7">
        <w:rPr>
          <w:rFonts w:cs="Arial"/>
        </w:rPr>
        <w:t xml:space="preserve">here </w:t>
      </w:r>
      <w:r w:rsidRPr="00F623C7">
        <w:rPr>
          <w:rFonts w:cs="Arial"/>
        </w:rPr>
        <w:t xml:space="preserve">those approving, developing or managing such facilities lack </w:t>
      </w:r>
      <w:r>
        <w:rPr>
          <w:rFonts w:cs="Arial"/>
        </w:rPr>
        <w:t>an</w:t>
      </w:r>
      <w:r w:rsidRPr="00F623C7">
        <w:rPr>
          <w:rFonts w:cs="Arial"/>
        </w:rPr>
        <w:t xml:space="preserve"> understanding or </w:t>
      </w:r>
      <w:r>
        <w:rPr>
          <w:rFonts w:cs="Arial"/>
        </w:rPr>
        <w:t xml:space="preserve">adequate </w:t>
      </w:r>
      <w:r w:rsidRPr="00F623C7">
        <w:rPr>
          <w:rFonts w:cs="Arial"/>
        </w:rPr>
        <w:t xml:space="preserve">information at the physical building design stage of </w:t>
      </w:r>
      <w:r>
        <w:rPr>
          <w:rFonts w:cs="Arial"/>
        </w:rPr>
        <w:t>construction i</w:t>
      </w:r>
      <w:r w:rsidRPr="00F623C7">
        <w:rPr>
          <w:rFonts w:cs="Arial"/>
        </w:rPr>
        <w:t>ncreased risk to building occupants may occur</w:t>
      </w:r>
      <w:r w:rsidR="004D19E6" w:rsidRPr="00F623C7">
        <w:rPr>
          <w:rFonts w:cs="Arial"/>
        </w:rPr>
        <w:t xml:space="preserve">.  </w:t>
      </w:r>
    </w:p>
    <w:p w14:paraId="5EFEC156" w14:textId="26F13967" w:rsidR="004D19E6" w:rsidRPr="00F623C7" w:rsidRDefault="003D1AC6" w:rsidP="00AA63D4">
      <w:pPr>
        <w:spacing w:line="360" w:lineRule="auto"/>
        <w:rPr>
          <w:rFonts w:cs="Arial"/>
        </w:rPr>
      </w:pPr>
      <w:r>
        <w:rPr>
          <w:rFonts w:cs="Arial"/>
        </w:rPr>
        <w:t>In these circumstances, s</w:t>
      </w:r>
      <w:r w:rsidR="004D19E6" w:rsidRPr="00F623C7">
        <w:rPr>
          <w:rFonts w:cs="Arial"/>
        </w:rPr>
        <w:t xml:space="preserve">trengthening </w:t>
      </w:r>
      <w:r>
        <w:rPr>
          <w:rFonts w:cs="Arial"/>
        </w:rPr>
        <w:t xml:space="preserve">the requirements of the NCC </w:t>
      </w:r>
      <w:r w:rsidR="004D19E6" w:rsidRPr="00F623C7">
        <w:rPr>
          <w:rFonts w:cs="Arial"/>
        </w:rPr>
        <w:t xml:space="preserve">will provide an important </w:t>
      </w:r>
      <w:r w:rsidR="003B540E">
        <w:rPr>
          <w:rFonts w:cs="Arial"/>
        </w:rPr>
        <w:t>safety</w:t>
      </w:r>
      <w:r w:rsidR="004D19E6" w:rsidRPr="00F623C7">
        <w:rPr>
          <w:rFonts w:cs="Arial"/>
        </w:rPr>
        <w:t xml:space="preserve"> net to manage </w:t>
      </w:r>
      <w:r w:rsidR="003B540E">
        <w:rPr>
          <w:rFonts w:cs="Arial"/>
        </w:rPr>
        <w:t>the life safety outcomes within these buildings</w:t>
      </w:r>
      <w:r w:rsidR="004D19E6" w:rsidRPr="00F623C7">
        <w:rPr>
          <w:rFonts w:cs="Arial"/>
        </w:rPr>
        <w:t xml:space="preserve"> </w:t>
      </w:r>
      <w:r w:rsidR="00D66F05">
        <w:rPr>
          <w:rFonts w:cs="Arial"/>
        </w:rPr>
        <w:t>while satisfying</w:t>
      </w:r>
      <w:r w:rsidR="004D19E6" w:rsidRPr="00F623C7">
        <w:rPr>
          <w:rFonts w:cs="Arial"/>
        </w:rPr>
        <w:t xml:space="preserve"> local and regional </w:t>
      </w:r>
      <w:r w:rsidR="003B540E">
        <w:rPr>
          <w:rFonts w:cs="Arial"/>
        </w:rPr>
        <w:t>needs</w:t>
      </w:r>
      <w:r w:rsidR="004D19E6" w:rsidRPr="00F623C7">
        <w:rPr>
          <w:rFonts w:cs="Arial"/>
        </w:rPr>
        <w:t xml:space="preserve">. </w:t>
      </w:r>
    </w:p>
    <w:p w14:paraId="6E4BF534" w14:textId="0F33FDBC" w:rsidR="004D19E6" w:rsidRPr="007645EF" w:rsidRDefault="004D19E6" w:rsidP="00AA63D4">
      <w:pPr>
        <w:spacing w:line="360" w:lineRule="auto"/>
        <w:rPr>
          <w:rFonts w:cs="Arial"/>
        </w:rPr>
      </w:pPr>
      <w:r w:rsidRPr="00F623C7">
        <w:rPr>
          <w:rFonts w:cs="Arial"/>
        </w:rPr>
        <w:t xml:space="preserve">Whilst the increasing bushfire risk in many parts of Australia is undisputed, the scale of the actual problem when it comes to </w:t>
      </w:r>
      <w:r>
        <w:rPr>
          <w:rFonts w:cs="Arial"/>
        </w:rPr>
        <w:t>C</w:t>
      </w:r>
      <w:r w:rsidRPr="00F623C7">
        <w:rPr>
          <w:rFonts w:cs="Arial"/>
        </w:rPr>
        <w:t>lass 9</w:t>
      </w:r>
      <w:r w:rsidR="003B540E">
        <w:rPr>
          <w:rFonts w:cs="Arial"/>
        </w:rPr>
        <w:t xml:space="preserve"> buildings</w:t>
      </w:r>
      <w:r w:rsidRPr="00F623C7">
        <w:rPr>
          <w:rFonts w:cs="Arial"/>
        </w:rPr>
        <w:t xml:space="preserve"> and the people that reside or attend them is not well understood in a quantitative sense.</w:t>
      </w:r>
      <w:r>
        <w:rPr>
          <w:rFonts w:cs="Arial"/>
        </w:rPr>
        <w:t xml:space="preserve"> </w:t>
      </w:r>
    </w:p>
    <w:p w14:paraId="42DF7D5F" w14:textId="509249A8" w:rsidR="004D19E6" w:rsidRDefault="00B8214E" w:rsidP="00AA63D4">
      <w:pPr>
        <w:spacing w:line="360" w:lineRule="auto"/>
        <w:rPr>
          <w:rFonts w:eastAsiaTheme="majorEastAsia" w:cs="Arial"/>
          <w:color w:val="002060"/>
          <w:sz w:val="32"/>
          <w:szCs w:val="26"/>
        </w:rPr>
      </w:pPr>
      <w:r>
        <w:rPr>
          <w:rFonts w:eastAsiaTheme="majorEastAsia" w:cs="Arial"/>
          <w:color w:val="002060"/>
          <w:sz w:val="32"/>
          <w:szCs w:val="26"/>
        </w:rPr>
        <w:t>Early</w:t>
      </w:r>
      <w:r w:rsidR="004D19E6" w:rsidRPr="004D19E6">
        <w:rPr>
          <w:rFonts w:eastAsiaTheme="majorEastAsia" w:cs="Arial"/>
          <w:color w:val="002060"/>
          <w:sz w:val="32"/>
          <w:szCs w:val="26"/>
        </w:rPr>
        <w:t xml:space="preserve"> evacuation of buildings significantly reduces risks to life</w:t>
      </w:r>
    </w:p>
    <w:p w14:paraId="7C60C931" w14:textId="13BEA839" w:rsidR="004D19E6" w:rsidRDefault="004D19E6" w:rsidP="00AA63D4">
      <w:pPr>
        <w:spacing w:line="360" w:lineRule="auto"/>
        <w:rPr>
          <w:rFonts w:cs="Arial"/>
        </w:rPr>
      </w:pPr>
      <w:r w:rsidRPr="00F623C7">
        <w:rPr>
          <w:rFonts w:cs="Arial"/>
        </w:rPr>
        <w:t xml:space="preserve">Total and early evacuation of a building is recognised as the best way to </w:t>
      </w:r>
      <w:r w:rsidR="00A7605D">
        <w:rPr>
          <w:rFonts w:cs="Arial"/>
        </w:rPr>
        <w:t>mitigate</w:t>
      </w:r>
      <w:r w:rsidRPr="00F623C7">
        <w:rPr>
          <w:rFonts w:cs="Arial"/>
        </w:rPr>
        <w:t xml:space="preserve"> the risk to life in a bushfire scenario, and there are various initiatives to advise operators of Class 9 facilities of appropriate actions to consider in a fire emergency</w:t>
      </w:r>
      <w:r w:rsidRPr="00FC7DB7">
        <w:rPr>
          <w:rStyle w:val="FootnoteReference"/>
          <w:rFonts w:cs="Arial"/>
        </w:rPr>
        <w:footnoteReference w:id="9"/>
      </w:r>
      <w:r w:rsidRPr="00FC7DB7">
        <w:rPr>
          <w:rFonts w:cs="Arial"/>
        </w:rPr>
        <w:t xml:space="preserve">. </w:t>
      </w:r>
      <w:r>
        <w:rPr>
          <w:rFonts w:cs="Arial"/>
        </w:rPr>
        <w:t xml:space="preserve">Early evacuation means that the benefit of having more resilient buildings is significantly reduced, as there is no risk to life in an empty building. </w:t>
      </w:r>
    </w:p>
    <w:p w14:paraId="28135211" w14:textId="77777777" w:rsidR="004D19E6" w:rsidRPr="00F623C7" w:rsidRDefault="004D19E6" w:rsidP="00AA63D4">
      <w:pPr>
        <w:spacing w:line="360" w:lineRule="auto"/>
        <w:rPr>
          <w:rFonts w:cs="Arial"/>
        </w:rPr>
      </w:pPr>
      <w:r w:rsidRPr="00FC7DB7">
        <w:rPr>
          <w:rFonts w:cs="Arial"/>
        </w:rPr>
        <w:t xml:space="preserve">Of course, </w:t>
      </w:r>
      <w:r w:rsidRPr="00B40563">
        <w:rPr>
          <w:rFonts w:cs="Arial"/>
        </w:rPr>
        <w:t>the effectiveness of early evacuation is limited where a fire behaves in an unpredictable manner</w:t>
      </w:r>
      <w:r w:rsidRPr="00F623C7">
        <w:rPr>
          <w:rFonts w:cs="Arial"/>
        </w:rPr>
        <w:t xml:space="preserve"> due to extreme circumstances. </w:t>
      </w:r>
    </w:p>
    <w:p w14:paraId="084013FF" w14:textId="17209DDB" w:rsidR="004D19E6" w:rsidRPr="00F623C7" w:rsidRDefault="004D19E6" w:rsidP="00AA63D4">
      <w:pPr>
        <w:spacing w:line="360" w:lineRule="auto"/>
        <w:rPr>
          <w:rFonts w:cs="Arial"/>
        </w:rPr>
      </w:pPr>
      <w:r w:rsidRPr="00F623C7">
        <w:rPr>
          <w:rFonts w:cs="Arial"/>
        </w:rPr>
        <w:t xml:space="preserve">It should also be noted that the complete evacuation of hospitals and </w:t>
      </w:r>
      <w:r w:rsidR="001204D4">
        <w:rPr>
          <w:rFonts w:cs="Arial"/>
        </w:rPr>
        <w:t>residential</w:t>
      </w:r>
      <w:r w:rsidR="001204D4" w:rsidRPr="00F623C7">
        <w:rPr>
          <w:rFonts w:cs="Arial"/>
        </w:rPr>
        <w:t xml:space="preserve"> </w:t>
      </w:r>
      <w:r w:rsidRPr="00F623C7">
        <w:rPr>
          <w:rFonts w:cs="Arial"/>
        </w:rPr>
        <w:t>care facilities cannot be undertaken without exposing some occupants to significant risks due to the disruption to the care, increased stress and potential exposure to high temperatures and smoke during the relocation process</w:t>
      </w:r>
      <w:r w:rsidRPr="00FC7DB7">
        <w:rPr>
          <w:rStyle w:val="FootnoteReference"/>
          <w:rFonts w:cs="Arial"/>
        </w:rPr>
        <w:footnoteReference w:id="10"/>
      </w:r>
      <w:r w:rsidRPr="00FC7DB7">
        <w:rPr>
          <w:rFonts w:cs="Arial"/>
        </w:rPr>
        <w:t xml:space="preserve">. Whilst early evacuation of some occupants of these buildings is possible, this won’t be true in </w:t>
      </w:r>
      <w:r w:rsidRPr="00F623C7">
        <w:rPr>
          <w:rFonts w:cs="Arial"/>
        </w:rPr>
        <w:t xml:space="preserve">every situation. </w:t>
      </w:r>
    </w:p>
    <w:p w14:paraId="7462A8ED" w14:textId="49109232" w:rsidR="004D19E6" w:rsidRDefault="004D19E6" w:rsidP="00AA63D4">
      <w:pPr>
        <w:spacing w:before="240"/>
        <w:rPr>
          <w:rFonts w:eastAsiaTheme="majorEastAsia" w:cs="Arial"/>
          <w:color w:val="002060"/>
          <w:sz w:val="32"/>
          <w:szCs w:val="26"/>
        </w:rPr>
      </w:pPr>
      <w:r w:rsidRPr="004D19E6">
        <w:rPr>
          <w:rFonts w:eastAsiaTheme="majorEastAsia" w:cs="Arial"/>
          <w:color w:val="002060"/>
          <w:sz w:val="32"/>
          <w:szCs w:val="26"/>
        </w:rPr>
        <w:t>Building construction methods can also reduce risk to life in the event of a bushfire</w:t>
      </w:r>
    </w:p>
    <w:p w14:paraId="7F129599" w14:textId="77777777" w:rsidR="004D19E6" w:rsidRPr="00FC7DB7" w:rsidRDefault="004D19E6" w:rsidP="00AA63D4">
      <w:pPr>
        <w:spacing w:before="240" w:line="360" w:lineRule="auto"/>
        <w:rPr>
          <w:rFonts w:cs="Arial"/>
        </w:rPr>
      </w:pPr>
      <w:r w:rsidRPr="00FC7DB7">
        <w:rPr>
          <w:rFonts w:cs="Arial"/>
        </w:rPr>
        <w:t>The way buildings are designed and constructed can help to reduce the risk</w:t>
      </w:r>
      <w:r w:rsidRPr="00FC7DB7">
        <w:rPr>
          <w:rStyle w:val="FootnoteReference"/>
          <w:rFonts w:cs="Arial"/>
        </w:rPr>
        <w:footnoteReference w:id="11"/>
      </w:r>
      <w:r w:rsidRPr="00FC7DB7">
        <w:rPr>
          <w:rFonts w:cs="Arial"/>
        </w:rPr>
        <w:t xml:space="preserve"> from bushfires. </w:t>
      </w:r>
      <w:r w:rsidRPr="00B40563">
        <w:rPr>
          <w:rFonts w:cs="Arial"/>
        </w:rPr>
        <w:t>This is done by adopting a design for the external building envelope that is resistant to the various bushfire attack mechanisms (e.g. embers, radiant heat, flame contact and impact resistance)</w:t>
      </w:r>
      <w:r w:rsidRPr="00FC7DB7">
        <w:rPr>
          <w:rStyle w:val="FootnoteReference"/>
          <w:rFonts w:cs="Arial"/>
        </w:rPr>
        <w:footnoteReference w:id="12"/>
      </w:r>
      <w:r w:rsidRPr="00FC7DB7">
        <w:rPr>
          <w:rFonts w:cs="Arial"/>
        </w:rPr>
        <w:t>.</w:t>
      </w:r>
    </w:p>
    <w:p w14:paraId="3F85FB45" w14:textId="77777777" w:rsidR="00E83168" w:rsidRDefault="004D19E6" w:rsidP="00AA63D4">
      <w:pPr>
        <w:spacing w:line="360" w:lineRule="auto"/>
        <w:rPr>
          <w:rFonts w:cs="Arial"/>
        </w:rPr>
      </w:pPr>
      <w:r w:rsidRPr="00F623C7">
        <w:rPr>
          <w:rFonts w:cs="Arial"/>
        </w:rPr>
        <w:t xml:space="preserve">Proposed changes to </w:t>
      </w:r>
      <w:r w:rsidR="00B05296">
        <w:rPr>
          <w:rFonts w:cs="Arial"/>
        </w:rPr>
        <w:t>the NCC</w:t>
      </w:r>
      <w:r w:rsidRPr="00F623C7">
        <w:rPr>
          <w:rFonts w:cs="Arial"/>
        </w:rPr>
        <w:t xml:space="preserve"> to reduce the risk from fire include: </w:t>
      </w:r>
    </w:p>
    <w:p w14:paraId="176A0130" w14:textId="59549CA5" w:rsidR="00E83168" w:rsidRPr="00AA63D4" w:rsidRDefault="004D19E6" w:rsidP="00AA63D4">
      <w:pPr>
        <w:pStyle w:val="ListParagraph"/>
        <w:numPr>
          <w:ilvl w:val="0"/>
          <w:numId w:val="61"/>
        </w:numPr>
        <w:spacing w:line="360" w:lineRule="auto"/>
        <w:rPr>
          <w:rFonts w:cs="Arial"/>
        </w:rPr>
      </w:pPr>
      <w:r w:rsidRPr="00AA63D4">
        <w:rPr>
          <w:rFonts w:cs="Arial"/>
        </w:rPr>
        <w:t>ensuring separat</w:t>
      </w:r>
      <w:r w:rsidR="00E83168" w:rsidRPr="00AA63D4">
        <w:rPr>
          <w:rFonts w:cs="Arial"/>
        </w:rPr>
        <w:t>ion</w:t>
      </w:r>
      <w:r w:rsidRPr="00AA63D4">
        <w:rPr>
          <w:rFonts w:cs="Arial"/>
        </w:rPr>
        <w:t xml:space="preserve"> distance between structures, and other potential hazards</w:t>
      </w:r>
    </w:p>
    <w:p w14:paraId="45224889" w14:textId="0B6E5FA0" w:rsidR="00E83168" w:rsidRPr="00AA63D4" w:rsidRDefault="004D19E6" w:rsidP="00AA63D4">
      <w:pPr>
        <w:pStyle w:val="ListParagraph"/>
        <w:numPr>
          <w:ilvl w:val="0"/>
          <w:numId w:val="61"/>
        </w:numPr>
        <w:spacing w:line="360" w:lineRule="auto"/>
        <w:rPr>
          <w:rFonts w:cs="Arial"/>
        </w:rPr>
      </w:pPr>
      <w:r w:rsidRPr="00AA63D4">
        <w:rPr>
          <w:rFonts w:cs="Arial"/>
        </w:rPr>
        <w:t xml:space="preserve">ensuring non-combustible paths around buildings </w:t>
      </w:r>
    </w:p>
    <w:p w14:paraId="5A836BEB" w14:textId="24572151" w:rsidR="00E83168" w:rsidRPr="00AA63D4" w:rsidRDefault="004D19E6" w:rsidP="00AA63D4">
      <w:pPr>
        <w:pStyle w:val="ListParagraph"/>
        <w:numPr>
          <w:ilvl w:val="0"/>
          <w:numId w:val="61"/>
        </w:numPr>
        <w:spacing w:line="360" w:lineRule="auto"/>
        <w:rPr>
          <w:rFonts w:cs="Arial"/>
        </w:rPr>
      </w:pPr>
      <w:r w:rsidRPr="00AA63D4">
        <w:rPr>
          <w:rFonts w:cs="Arial"/>
        </w:rPr>
        <w:t>appropriate HVA</w:t>
      </w:r>
      <w:r w:rsidR="004564B7" w:rsidRPr="00AA63D4">
        <w:rPr>
          <w:rFonts w:cs="Arial"/>
        </w:rPr>
        <w:t>C</w:t>
      </w:r>
      <w:r w:rsidRPr="00AA63D4">
        <w:rPr>
          <w:rFonts w:cs="Arial"/>
        </w:rPr>
        <w:t xml:space="preserve"> systems</w:t>
      </w:r>
    </w:p>
    <w:p w14:paraId="34A0B8C9" w14:textId="21F50618" w:rsidR="00E83168" w:rsidRPr="00AA63D4" w:rsidRDefault="004D19E6" w:rsidP="00AA63D4">
      <w:pPr>
        <w:pStyle w:val="ListParagraph"/>
        <w:numPr>
          <w:ilvl w:val="0"/>
          <w:numId w:val="61"/>
        </w:numPr>
        <w:spacing w:line="360" w:lineRule="auto"/>
        <w:rPr>
          <w:rFonts w:cs="Arial"/>
        </w:rPr>
      </w:pPr>
      <w:r w:rsidRPr="00AA63D4">
        <w:rPr>
          <w:rFonts w:cs="Arial"/>
        </w:rPr>
        <w:t>informative signage</w:t>
      </w:r>
      <w:r w:rsidR="00E83168" w:rsidRPr="00AA63D4">
        <w:rPr>
          <w:rFonts w:cs="Arial"/>
        </w:rPr>
        <w:t>;</w:t>
      </w:r>
      <w:r w:rsidRPr="00AA63D4">
        <w:rPr>
          <w:rFonts w:cs="Arial"/>
        </w:rPr>
        <w:t xml:space="preserve"> and </w:t>
      </w:r>
    </w:p>
    <w:p w14:paraId="070218FA" w14:textId="14DDD6EE" w:rsidR="004D19E6" w:rsidRPr="00AA63D4" w:rsidRDefault="004D19E6" w:rsidP="00AA63D4">
      <w:pPr>
        <w:pStyle w:val="ListParagraph"/>
        <w:numPr>
          <w:ilvl w:val="0"/>
          <w:numId w:val="61"/>
        </w:numPr>
        <w:spacing w:line="360" w:lineRule="auto"/>
        <w:rPr>
          <w:rFonts w:cs="Arial"/>
        </w:rPr>
      </w:pPr>
      <w:r w:rsidRPr="00AA63D4">
        <w:rPr>
          <w:rFonts w:cs="Arial"/>
        </w:rPr>
        <w:t>vehicular access.</w:t>
      </w:r>
    </w:p>
    <w:p w14:paraId="593FBB54" w14:textId="60FA2817" w:rsidR="004C4CF8" w:rsidRDefault="004C4CF8" w:rsidP="00AA63D4">
      <w:pPr>
        <w:spacing w:line="360" w:lineRule="auto"/>
        <w:rPr>
          <w:rFonts w:eastAsiaTheme="majorEastAsia" w:cs="Arial"/>
          <w:color w:val="002060"/>
          <w:sz w:val="32"/>
          <w:szCs w:val="26"/>
        </w:rPr>
      </w:pPr>
      <w:r w:rsidRPr="004C4CF8">
        <w:rPr>
          <w:rFonts w:eastAsiaTheme="majorEastAsia" w:cs="Arial"/>
          <w:color w:val="002060"/>
          <w:sz w:val="32"/>
          <w:szCs w:val="26"/>
        </w:rPr>
        <w:t>Bushfire threats also result in dislocation and disruption to the community</w:t>
      </w:r>
    </w:p>
    <w:p w14:paraId="72BC16E9" w14:textId="68255326" w:rsidR="00673DDA" w:rsidRPr="00F623C7" w:rsidRDefault="00673DDA" w:rsidP="00AA63D4">
      <w:pPr>
        <w:spacing w:line="360" w:lineRule="auto"/>
        <w:rPr>
          <w:rFonts w:cs="Arial"/>
        </w:rPr>
      </w:pPr>
      <w:r w:rsidRPr="00F623C7">
        <w:rPr>
          <w:rFonts w:cs="Arial"/>
        </w:rPr>
        <w:t>Non</w:t>
      </w:r>
      <w:r>
        <w:rPr>
          <w:rFonts w:cs="Arial"/>
        </w:rPr>
        <w:t>-</w:t>
      </w:r>
      <w:r w:rsidRPr="00F623C7">
        <w:rPr>
          <w:rFonts w:cs="Arial"/>
        </w:rPr>
        <w:t xml:space="preserve">residential buildings, especially </w:t>
      </w:r>
      <w:r w:rsidR="001204D4">
        <w:rPr>
          <w:rFonts w:cs="Arial"/>
        </w:rPr>
        <w:t>residential</w:t>
      </w:r>
      <w:r w:rsidR="001204D4" w:rsidRPr="00F623C7">
        <w:rPr>
          <w:rFonts w:cs="Arial"/>
        </w:rPr>
        <w:t xml:space="preserve"> </w:t>
      </w:r>
      <w:r w:rsidRPr="00F623C7">
        <w:rPr>
          <w:rFonts w:cs="Arial"/>
        </w:rPr>
        <w:t xml:space="preserve">care </w:t>
      </w:r>
      <w:r w:rsidR="001204D4">
        <w:rPr>
          <w:rFonts w:cs="Arial"/>
        </w:rPr>
        <w:t>buildings</w:t>
      </w:r>
      <w:r w:rsidRPr="00F623C7">
        <w:rPr>
          <w:rFonts w:cs="Arial"/>
        </w:rPr>
        <w:t>, hospitals and schools, can be critical community assets which cannot be replaced quickly, risking significant disruption to services</w:t>
      </w:r>
      <w:r>
        <w:rPr>
          <w:rFonts w:cs="Arial"/>
        </w:rPr>
        <w:t xml:space="preserve"> </w:t>
      </w:r>
      <w:r w:rsidRPr="00F623C7">
        <w:rPr>
          <w:rFonts w:cs="Arial"/>
        </w:rPr>
        <w:t>provided to vulnerable groups and the community generally when damaged by bushfire or other hazards.</w:t>
      </w:r>
    </w:p>
    <w:p w14:paraId="34C7E819" w14:textId="77777777" w:rsidR="00673DDA" w:rsidRDefault="00673DDA" w:rsidP="00AA63D4">
      <w:pPr>
        <w:spacing w:line="360" w:lineRule="auto"/>
        <w:rPr>
          <w:rFonts w:cs="Arial"/>
        </w:rPr>
      </w:pPr>
      <w:r w:rsidRPr="00F623C7">
        <w:rPr>
          <w:rFonts w:cs="Arial"/>
        </w:rPr>
        <w:t>This disruption can be at a significant economic and social cost. Particularly for smaller regional centres and rural/remote communities where facilities are limited in number and physical location.</w:t>
      </w:r>
    </w:p>
    <w:p w14:paraId="741FDFDF" w14:textId="77777777" w:rsidR="00673DDA" w:rsidRDefault="00673DDA" w:rsidP="00AA63D4">
      <w:pPr>
        <w:spacing w:line="360" w:lineRule="auto"/>
        <w:rPr>
          <w:rFonts w:cs="Arial"/>
        </w:rPr>
      </w:pPr>
      <w:r>
        <w:rPr>
          <w:rFonts w:cs="Arial"/>
        </w:rPr>
        <w:t>H</w:t>
      </w:r>
      <w:r w:rsidRPr="00445420">
        <w:rPr>
          <w:rFonts w:cs="Arial"/>
        </w:rPr>
        <w:t>ospitals and schools, comprise an important part of the public infrastructure of a local community. Communities rely on these buildings to provide essential facilities that must be accessed to support a thriving community. Given bushfires are inherently disruptive to the community, if vulnerable use buildings are destroyed by a bushfire, it could further disrupt the community and its ability to adjust and re</w:t>
      </w:r>
      <w:r>
        <w:rPr>
          <w:rFonts w:cs="Arial"/>
        </w:rPr>
        <w:t>-</w:t>
      </w:r>
      <w:r w:rsidRPr="00445420">
        <w:rPr>
          <w:rFonts w:cs="Arial"/>
        </w:rPr>
        <w:t xml:space="preserve">establish itself after a bushfire event. </w:t>
      </w:r>
    </w:p>
    <w:p w14:paraId="246794BF" w14:textId="4A3CAC5C" w:rsidR="00E727E5" w:rsidRDefault="00673DDA" w:rsidP="00AA63D4">
      <w:pPr>
        <w:spacing w:line="360" w:lineRule="auto"/>
        <w:rPr>
          <w:rFonts w:cs="Arial"/>
        </w:rPr>
      </w:pPr>
      <w:r w:rsidRPr="00445420">
        <w:rPr>
          <w:rFonts w:cs="Arial"/>
        </w:rPr>
        <w:t xml:space="preserve">Loss of schooling and other community services are factors that can lead to feelings of isolation by local communities. Given the level of social disruption and potential feelings of isolation, individuals may also decide not to return and this may have adverse impacts on the prosperity of towns affected by bushfire. </w:t>
      </w:r>
      <w:r w:rsidR="0063070E">
        <w:rPr>
          <w:rFonts w:cs="Arial"/>
        </w:rPr>
        <w:t>S</w:t>
      </w:r>
      <w:r w:rsidRPr="00445420">
        <w:rPr>
          <w:rFonts w:cs="Arial"/>
        </w:rPr>
        <w:t xml:space="preserve">ome individuals may leave a bushfire affected area due to a loss of support services or infrastructure. </w:t>
      </w:r>
    </w:p>
    <w:p w14:paraId="702497B3" w14:textId="76180274" w:rsidR="00673DDA" w:rsidRPr="00445420" w:rsidRDefault="00E727E5" w:rsidP="00AA63D4">
      <w:pPr>
        <w:spacing w:line="360" w:lineRule="auto"/>
        <w:rPr>
          <w:rFonts w:cs="Arial"/>
        </w:rPr>
      </w:pPr>
      <w:r>
        <w:rPr>
          <w:rFonts w:cs="Arial"/>
        </w:rPr>
        <w:t>H</w:t>
      </w:r>
      <w:r w:rsidR="00673DDA" w:rsidRPr="00445420">
        <w:rPr>
          <w:rFonts w:cs="Arial"/>
        </w:rPr>
        <w:t xml:space="preserve">ospitals are </w:t>
      </w:r>
      <w:r>
        <w:rPr>
          <w:rFonts w:cs="Arial"/>
        </w:rPr>
        <w:t xml:space="preserve">also </w:t>
      </w:r>
      <w:r w:rsidR="00673DDA" w:rsidRPr="00445420">
        <w:rPr>
          <w:rFonts w:cs="Arial"/>
        </w:rPr>
        <w:t>a crucial part of a bushfire response for individuals injured by bushfire. In the Black Saturday bushfires, Victorian public hospitals provided care to more than 800 people and admitted 130 patients with a fire-related injury or illness. To cope with the high demand for health services, Victorian Medical Assistance Teams were deployed from metropolitan hospitals to various regional and rural hospitals to assist in treating those requiring medical care. If regional and rural hospitals were destroyed or severely damaged during a bushfire, the pressure on the health system to cope with the increased demand for medical services would be even greater. There can also be broader impacts associated with loss or damage of buildings, over and above lost property value.</w:t>
      </w:r>
    </w:p>
    <w:p w14:paraId="77E0DE75" w14:textId="14AD135A" w:rsidR="004C4CF8" w:rsidRPr="00B05296" w:rsidRDefault="00673DDA" w:rsidP="00AA63D4">
      <w:pPr>
        <w:spacing w:line="360" w:lineRule="auto"/>
        <w:rPr>
          <w:rFonts w:cs="Arial"/>
        </w:rPr>
      </w:pPr>
      <w:r w:rsidRPr="00F623C7">
        <w:rPr>
          <w:rFonts w:cs="Arial"/>
        </w:rPr>
        <w:t xml:space="preserve">Though not an objective of the NCC, current bushfire standards for residential (Class 1a, 2 and 3) buildings deliver a degree of property protection. Class 9 buildings </w:t>
      </w:r>
      <w:r>
        <w:rPr>
          <w:rFonts w:cs="Arial"/>
        </w:rPr>
        <w:t>may or may not address</w:t>
      </w:r>
      <w:r w:rsidRPr="00F623C7">
        <w:rPr>
          <w:rFonts w:cs="Arial"/>
        </w:rPr>
        <w:t xml:space="preserve"> occupant safety, and </w:t>
      </w:r>
      <w:r>
        <w:rPr>
          <w:rFonts w:cs="Arial"/>
        </w:rPr>
        <w:t>may or may not provide</w:t>
      </w:r>
      <w:r w:rsidRPr="00F623C7">
        <w:rPr>
          <w:rFonts w:cs="Arial"/>
        </w:rPr>
        <w:t xml:space="preserve"> additional property protection that would allow vulnerable people additional time to </w:t>
      </w:r>
      <w:r w:rsidR="00E727E5">
        <w:rPr>
          <w:rFonts w:cs="Arial"/>
        </w:rPr>
        <w:t>re</w:t>
      </w:r>
      <w:r w:rsidRPr="00F623C7">
        <w:rPr>
          <w:rFonts w:cs="Arial"/>
        </w:rPr>
        <w:t>locate to safety or evacuate if deemed necessary.</w:t>
      </w:r>
    </w:p>
    <w:p w14:paraId="2A1AAC82" w14:textId="3375FBCE" w:rsidR="00673DDA" w:rsidRDefault="00673DDA" w:rsidP="00AA63D4">
      <w:pPr>
        <w:rPr>
          <w:rFonts w:eastAsiaTheme="majorEastAsia" w:cs="Arial"/>
          <w:color w:val="002060"/>
          <w:sz w:val="32"/>
          <w:szCs w:val="26"/>
        </w:rPr>
      </w:pPr>
      <w:r w:rsidRPr="00673DDA">
        <w:rPr>
          <w:rFonts w:eastAsiaTheme="majorEastAsia" w:cs="Arial"/>
          <w:color w:val="002060"/>
          <w:sz w:val="32"/>
          <w:szCs w:val="26"/>
        </w:rPr>
        <w:t>There are a number of market failures reducing uptake of improved construction methods for bushfire prone buildings</w:t>
      </w:r>
    </w:p>
    <w:p w14:paraId="22085D36" w14:textId="4ECC1393" w:rsidR="00673DDA" w:rsidRPr="00673DDA" w:rsidRDefault="00673DDA" w:rsidP="00AA63D4">
      <w:pPr>
        <w:spacing w:before="240" w:line="360" w:lineRule="auto"/>
        <w:rPr>
          <w:rFonts w:cs="Arial"/>
        </w:rPr>
      </w:pPr>
      <w:r w:rsidRPr="00673DDA">
        <w:rPr>
          <w:rFonts w:cs="Arial"/>
        </w:rPr>
        <w:t xml:space="preserve">An important means of reducing bushfire risk, to both the occupants and structure of Class 9 buildings, is through building </w:t>
      </w:r>
      <w:r w:rsidR="005D5CF9">
        <w:rPr>
          <w:rFonts w:cs="Arial"/>
        </w:rPr>
        <w:t xml:space="preserve">design and </w:t>
      </w:r>
      <w:r w:rsidRPr="00673DDA">
        <w:rPr>
          <w:rFonts w:cs="Arial"/>
        </w:rPr>
        <w:t xml:space="preserve">construction measures. There are a number of market failures that may prevent building owners and operators from identifying and assessing bushfire risk, and adequately addressing this risk at the time of building design, construction or redevelopment.  </w:t>
      </w:r>
    </w:p>
    <w:p w14:paraId="35ECB104" w14:textId="77777777" w:rsidR="00673DDA" w:rsidRPr="00673DDA" w:rsidRDefault="00673DDA" w:rsidP="00CE2317">
      <w:pPr>
        <w:pStyle w:val="Heading3"/>
        <w:spacing w:before="240" w:after="240"/>
        <w:rPr>
          <w:rFonts w:ascii="Arial" w:hAnsi="Arial" w:cs="Arial"/>
          <w:b w:val="0"/>
          <w:bCs w:val="0"/>
        </w:rPr>
      </w:pPr>
      <w:r w:rsidRPr="00673DDA">
        <w:rPr>
          <w:rFonts w:ascii="Arial" w:hAnsi="Arial" w:cs="Arial"/>
          <w:b w:val="0"/>
          <w:bCs w:val="0"/>
        </w:rPr>
        <w:t>Insufficient information</w:t>
      </w:r>
    </w:p>
    <w:p w14:paraId="544FBC78" w14:textId="04BB60CE" w:rsidR="00673DDA" w:rsidRPr="00673DDA" w:rsidRDefault="00673DDA" w:rsidP="00CE2317">
      <w:pPr>
        <w:spacing w:before="240" w:after="240" w:line="360" w:lineRule="auto"/>
        <w:jc w:val="both"/>
        <w:rPr>
          <w:rFonts w:cs="Arial"/>
        </w:rPr>
      </w:pPr>
      <w:r w:rsidRPr="00673DDA">
        <w:rPr>
          <w:rFonts w:cs="Arial"/>
        </w:rPr>
        <w:t xml:space="preserve">To determine the appropriate building construction standards to adopt, the building owner or person with control over the construction of the building would need to understand bushfire risk and the factors that influence it. The information required to understand this risk requires a certain level of technical expertise without which it may be difficult to make a proper evaluation of bushfire risk. It may be unrealistic to expect building owners to have the capacity to generate a fully informed view of their building’s bushfire risk and the associated bushfire risk reduction measures required. </w:t>
      </w:r>
    </w:p>
    <w:p w14:paraId="11FE3584" w14:textId="7BBDE04F" w:rsidR="00673DDA" w:rsidRPr="00673DDA" w:rsidRDefault="00673DDA" w:rsidP="00CE2317">
      <w:pPr>
        <w:spacing w:before="240" w:after="240" w:line="360" w:lineRule="auto"/>
        <w:jc w:val="both"/>
        <w:rPr>
          <w:rFonts w:cs="Arial"/>
        </w:rPr>
      </w:pPr>
      <w:r w:rsidRPr="00673DDA">
        <w:rPr>
          <w:rFonts w:cs="Arial"/>
        </w:rPr>
        <w:t xml:space="preserve">The National Resilience Taskforce found that there may be a lack of information or understanding of the risks, </w:t>
      </w:r>
      <w:r w:rsidR="005D5CF9">
        <w:rPr>
          <w:rFonts w:cs="Arial"/>
        </w:rPr>
        <w:t xml:space="preserve">for </w:t>
      </w:r>
      <w:r w:rsidRPr="00673DDA">
        <w:rPr>
          <w:rFonts w:cs="Arial"/>
        </w:rPr>
        <w:t>both those designing and constructing the building, and the building owner</w:t>
      </w:r>
      <w:r w:rsidRPr="00673DDA">
        <w:rPr>
          <w:rStyle w:val="FootnoteReference"/>
          <w:rFonts w:cs="Arial"/>
        </w:rPr>
        <w:footnoteReference w:id="13"/>
      </w:r>
      <w:r w:rsidRPr="00673DDA">
        <w:rPr>
          <w:rFonts w:cs="Arial"/>
        </w:rPr>
        <w:t>. Understanding these risks requires either technical knowledge of fire, or an awareness of the possibility of fire in the location a building will be built, resulting in technical advice being acquired through a third party</w:t>
      </w:r>
      <w:r w:rsidRPr="00673DDA">
        <w:rPr>
          <w:rStyle w:val="FootnoteReference"/>
          <w:rFonts w:cs="Arial"/>
        </w:rPr>
        <w:footnoteReference w:id="14"/>
      </w:r>
      <w:r w:rsidRPr="00673DDA">
        <w:rPr>
          <w:rFonts w:cs="Arial"/>
        </w:rPr>
        <w:t>. Determining appropriate mitigation measures for these risks, once identified, may also be challenging</w:t>
      </w:r>
      <w:r w:rsidRPr="00673DDA">
        <w:rPr>
          <w:rStyle w:val="FootnoteReference"/>
          <w:rFonts w:cs="Arial"/>
        </w:rPr>
        <w:footnoteReference w:id="15"/>
      </w:r>
      <w:r w:rsidRPr="00673DDA">
        <w:rPr>
          <w:rFonts w:cs="Arial"/>
        </w:rPr>
        <w:t>.</w:t>
      </w:r>
    </w:p>
    <w:p w14:paraId="6057CE56" w14:textId="77777777" w:rsidR="00673DDA" w:rsidRPr="00673DDA" w:rsidRDefault="00673DDA" w:rsidP="00CE2317">
      <w:pPr>
        <w:spacing w:before="240" w:after="240" w:line="360" w:lineRule="auto"/>
        <w:jc w:val="both"/>
        <w:rPr>
          <w:rFonts w:cs="Arial"/>
        </w:rPr>
      </w:pPr>
      <w:r w:rsidRPr="00673DDA">
        <w:rPr>
          <w:rFonts w:cs="Arial"/>
        </w:rPr>
        <w:t xml:space="preserve">While an expert could be commissioned to advise building owners on bushfire risk, studies have revealed that there are numerous factors influencing a person’s perception of risk and people generally consider themselves or their property to be less at risk than their locality. </w:t>
      </w:r>
    </w:p>
    <w:p w14:paraId="23939ABA" w14:textId="77777777" w:rsidR="00673DDA" w:rsidRPr="00673DDA" w:rsidRDefault="00673DDA" w:rsidP="00CE2317">
      <w:pPr>
        <w:pStyle w:val="Heading3"/>
        <w:spacing w:before="240" w:after="240"/>
        <w:rPr>
          <w:rFonts w:ascii="Arial" w:hAnsi="Arial" w:cs="Arial"/>
          <w:b w:val="0"/>
          <w:bCs w:val="0"/>
        </w:rPr>
      </w:pPr>
      <w:r w:rsidRPr="00673DDA">
        <w:rPr>
          <w:rFonts w:ascii="Arial" w:hAnsi="Arial" w:cs="Arial"/>
          <w:b w:val="0"/>
          <w:bCs w:val="0"/>
        </w:rPr>
        <w:t xml:space="preserve">Bounded rationality </w:t>
      </w:r>
    </w:p>
    <w:p w14:paraId="70A3911B" w14:textId="0409915A" w:rsidR="00673DDA" w:rsidRPr="00673DDA" w:rsidRDefault="00673DDA" w:rsidP="00CE2317">
      <w:pPr>
        <w:spacing w:before="240" w:after="240" w:line="360" w:lineRule="auto"/>
        <w:jc w:val="both"/>
        <w:rPr>
          <w:rFonts w:cs="Arial"/>
        </w:rPr>
      </w:pPr>
      <w:r w:rsidRPr="00673DDA">
        <w:rPr>
          <w:rFonts w:cs="Arial"/>
        </w:rPr>
        <w:t>One theme that emerged from the evidence before the 2009 Victorian Bushfire Royal Commission was that people underestimated the threat posed by the bushfires, and that 'community memory' of ferocious fires is difficult to maintain. As such, people may be less likely to commission technical advice when building</w:t>
      </w:r>
      <w:r w:rsidR="00985FD4">
        <w:rPr>
          <w:rFonts w:cs="Arial"/>
        </w:rPr>
        <w:t xml:space="preserve"> a Class 9 building</w:t>
      </w:r>
      <w:r w:rsidRPr="00673DDA">
        <w:rPr>
          <w:rFonts w:cs="Arial"/>
        </w:rPr>
        <w:t xml:space="preserve">. </w:t>
      </w:r>
    </w:p>
    <w:p w14:paraId="4E02BA36" w14:textId="77777777" w:rsidR="00673DDA" w:rsidRPr="00673DDA" w:rsidRDefault="00673DDA" w:rsidP="00CE2317">
      <w:pPr>
        <w:pStyle w:val="Heading3"/>
        <w:spacing w:before="240" w:after="240"/>
        <w:rPr>
          <w:rFonts w:ascii="Arial" w:hAnsi="Arial" w:cs="Arial"/>
          <w:b w:val="0"/>
          <w:bCs w:val="0"/>
        </w:rPr>
      </w:pPr>
      <w:r w:rsidRPr="00673DDA">
        <w:rPr>
          <w:rFonts w:ascii="Arial" w:hAnsi="Arial" w:cs="Arial"/>
          <w:b w:val="0"/>
          <w:bCs w:val="0"/>
        </w:rPr>
        <w:t>Split incentives</w:t>
      </w:r>
    </w:p>
    <w:p w14:paraId="59AE77C4" w14:textId="62DC2C8A" w:rsidR="00673DDA" w:rsidRPr="00673DDA" w:rsidRDefault="00673DDA" w:rsidP="00CE2317">
      <w:pPr>
        <w:spacing w:before="240" w:after="240" w:line="360" w:lineRule="auto"/>
        <w:jc w:val="both"/>
        <w:rPr>
          <w:rFonts w:cs="Arial"/>
        </w:rPr>
      </w:pPr>
      <w:r w:rsidRPr="00673DDA">
        <w:rPr>
          <w:rFonts w:cs="Arial"/>
        </w:rPr>
        <w:t>Another market failure is that the benefits of protecting a</w:t>
      </w:r>
      <w:r w:rsidR="00985FD4">
        <w:rPr>
          <w:rFonts w:cs="Arial"/>
        </w:rPr>
        <w:t xml:space="preserve"> Class 9</w:t>
      </w:r>
      <w:r w:rsidRPr="00673DDA">
        <w:rPr>
          <w:rFonts w:cs="Arial"/>
        </w:rPr>
        <w:t xml:space="preserve"> building through stricter construction standards do not accrue to the party that designs or constructs the building. Designers and builders have incentives to minimise their building costs to remain competitive in the building industry. Given owners </w:t>
      </w:r>
      <w:r w:rsidR="00E727E5">
        <w:rPr>
          <w:rFonts w:cs="Arial"/>
        </w:rPr>
        <w:t>decisions</w:t>
      </w:r>
      <w:r w:rsidR="00E727E5" w:rsidRPr="00673DDA">
        <w:rPr>
          <w:rFonts w:cs="Arial"/>
        </w:rPr>
        <w:t xml:space="preserve"> </w:t>
      </w:r>
      <w:r w:rsidR="00E727E5">
        <w:rPr>
          <w:rFonts w:cs="Arial"/>
        </w:rPr>
        <w:t xml:space="preserve">are </w:t>
      </w:r>
      <w:r w:rsidRPr="00673DDA">
        <w:rPr>
          <w:rFonts w:cs="Arial"/>
        </w:rPr>
        <w:t>likely to be price driven</w:t>
      </w:r>
      <w:r w:rsidR="005D5CF9">
        <w:rPr>
          <w:rFonts w:cs="Arial"/>
        </w:rPr>
        <w:t>,</w:t>
      </w:r>
      <w:r w:rsidRPr="00673DDA">
        <w:rPr>
          <w:rFonts w:cs="Arial"/>
        </w:rPr>
        <w:t xml:space="preserve"> </w:t>
      </w:r>
      <w:r w:rsidR="00E727E5">
        <w:rPr>
          <w:rFonts w:cs="Arial"/>
        </w:rPr>
        <w:t>they</w:t>
      </w:r>
      <w:r w:rsidR="00E727E5" w:rsidRPr="00673DDA">
        <w:rPr>
          <w:rFonts w:cs="Arial"/>
        </w:rPr>
        <w:t xml:space="preserve"> </w:t>
      </w:r>
      <w:r w:rsidRPr="00673DDA">
        <w:rPr>
          <w:rFonts w:cs="Arial"/>
        </w:rPr>
        <w:t>may be unable to verify the benefits arising from an increase in building costs</w:t>
      </w:r>
      <w:r w:rsidR="005D5CF9">
        <w:rPr>
          <w:rFonts w:cs="Arial"/>
        </w:rPr>
        <w:t>. Hence</w:t>
      </w:r>
      <w:r w:rsidRPr="00673DDA">
        <w:rPr>
          <w:rFonts w:cs="Arial"/>
        </w:rPr>
        <w:t xml:space="preserve">, the industry may have little incentive to offer </w:t>
      </w:r>
      <w:r w:rsidR="005D5CF9">
        <w:rPr>
          <w:rFonts w:cs="Arial"/>
        </w:rPr>
        <w:t>to</w:t>
      </w:r>
      <w:r w:rsidRPr="00673DDA">
        <w:rPr>
          <w:rFonts w:cs="Arial"/>
        </w:rPr>
        <w:t xml:space="preserve"> build to stricter requirements.</w:t>
      </w:r>
    </w:p>
    <w:p w14:paraId="1535855B" w14:textId="77777777" w:rsidR="00673DDA" w:rsidRPr="00673DDA" w:rsidRDefault="00673DDA" w:rsidP="00CE2317">
      <w:pPr>
        <w:pStyle w:val="Heading3"/>
        <w:spacing w:before="240" w:after="240"/>
        <w:rPr>
          <w:rFonts w:ascii="Arial" w:hAnsi="Arial" w:cs="Arial"/>
          <w:b w:val="0"/>
          <w:bCs w:val="0"/>
        </w:rPr>
      </w:pPr>
      <w:r w:rsidRPr="00673DDA">
        <w:rPr>
          <w:rFonts w:ascii="Arial" w:hAnsi="Arial" w:cs="Arial"/>
          <w:b w:val="0"/>
          <w:bCs w:val="0"/>
        </w:rPr>
        <w:t xml:space="preserve">Information asymmetry </w:t>
      </w:r>
    </w:p>
    <w:p w14:paraId="41499DCB" w14:textId="275B0A39" w:rsidR="00673DDA" w:rsidRPr="00673DDA" w:rsidRDefault="00673DDA" w:rsidP="00CE2317">
      <w:pPr>
        <w:spacing w:before="240" w:after="240" w:line="360" w:lineRule="auto"/>
        <w:jc w:val="both"/>
        <w:rPr>
          <w:rFonts w:cs="Arial"/>
          <w:b/>
        </w:rPr>
      </w:pPr>
      <w:r w:rsidRPr="00673DDA">
        <w:rPr>
          <w:rFonts w:cs="Arial"/>
        </w:rPr>
        <w:t>By the same token, evidence before the 2009 Royal Commission indicated that potential users of facilities</w:t>
      </w:r>
      <w:r w:rsidR="005D5CF9">
        <w:rPr>
          <w:rFonts w:cs="Arial"/>
        </w:rPr>
        <w:t>,</w:t>
      </w:r>
      <w:r w:rsidRPr="00673DDA">
        <w:rPr>
          <w:rFonts w:cs="Arial"/>
        </w:rPr>
        <w:t xml:space="preserve"> like </w:t>
      </w:r>
      <w:r w:rsidR="001204D4">
        <w:rPr>
          <w:rFonts w:cs="Arial"/>
        </w:rPr>
        <w:t xml:space="preserve">residential </w:t>
      </w:r>
      <w:r w:rsidRPr="00673DDA">
        <w:rPr>
          <w:rFonts w:cs="Arial"/>
        </w:rPr>
        <w:t>care facilities and schools</w:t>
      </w:r>
      <w:r w:rsidR="005D5CF9">
        <w:rPr>
          <w:rFonts w:cs="Arial"/>
        </w:rPr>
        <w:t>,</w:t>
      </w:r>
      <w:r w:rsidRPr="00673DDA">
        <w:rPr>
          <w:rFonts w:cs="Arial"/>
        </w:rPr>
        <w:t xml:space="preserve"> do not generally seek or take into account information about the building’s ability to withstand bushfire. That is, people may not place a strong focus on the level of fire resistance when choosing a facility, whether it is public or private. This is especially the case if there is a lack of choice or that alternatives are inaccessible due to distance or </w:t>
      </w:r>
      <w:r w:rsidR="00985FD4">
        <w:rPr>
          <w:rFonts w:cs="Arial"/>
        </w:rPr>
        <w:t xml:space="preserve">lack of </w:t>
      </w:r>
      <w:r w:rsidRPr="00673DDA">
        <w:rPr>
          <w:rFonts w:cs="Arial"/>
        </w:rPr>
        <w:t xml:space="preserve">alternative modes of transport </w:t>
      </w:r>
      <w:r w:rsidR="00985FD4">
        <w:rPr>
          <w:rFonts w:cs="Arial"/>
        </w:rPr>
        <w:t>to</w:t>
      </w:r>
      <w:r w:rsidRPr="00673DDA">
        <w:rPr>
          <w:rFonts w:cs="Arial"/>
        </w:rPr>
        <w:t xml:space="preserve"> other facilities and services.</w:t>
      </w:r>
    </w:p>
    <w:p w14:paraId="49392D69" w14:textId="24A653A0" w:rsidR="00673DDA" w:rsidRDefault="00673DDA" w:rsidP="00673DDA">
      <w:pPr>
        <w:pStyle w:val="Heading3"/>
        <w:spacing w:after="120"/>
        <w:rPr>
          <w:rFonts w:ascii="Arial" w:hAnsi="Arial" w:cs="Arial"/>
          <w:b w:val="0"/>
          <w:bCs w:val="0"/>
          <w:sz w:val="32"/>
          <w:szCs w:val="26"/>
        </w:rPr>
      </w:pPr>
      <w:r w:rsidRPr="00673DDA">
        <w:rPr>
          <w:rFonts w:ascii="Arial" w:hAnsi="Arial" w:cs="Arial"/>
          <w:b w:val="0"/>
          <w:bCs w:val="0"/>
          <w:sz w:val="32"/>
          <w:szCs w:val="26"/>
        </w:rPr>
        <w:t>The NCC sets a higher standard for Class 2 and Class 3 buildings in bushfire</w:t>
      </w:r>
      <w:r w:rsidR="005A71A0">
        <w:rPr>
          <w:rFonts w:ascii="Arial" w:hAnsi="Arial" w:cs="Arial"/>
          <w:b w:val="0"/>
          <w:bCs w:val="0"/>
          <w:sz w:val="32"/>
          <w:szCs w:val="26"/>
        </w:rPr>
        <w:t xml:space="preserve"> </w:t>
      </w:r>
      <w:r w:rsidRPr="00673DDA">
        <w:rPr>
          <w:rFonts w:ascii="Arial" w:hAnsi="Arial" w:cs="Arial"/>
          <w:b w:val="0"/>
          <w:bCs w:val="0"/>
          <w:sz w:val="32"/>
          <w:szCs w:val="26"/>
        </w:rPr>
        <w:t>prone areas</w:t>
      </w:r>
    </w:p>
    <w:p w14:paraId="5C636946" w14:textId="60534E94" w:rsidR="00673DDA" w:rsidRPr="00F623C7" w:rsidRDefault="00673DDA" w:rsidP="00AA63D4">
      <w:pPr>
        <w:spacing w:before="240" w:after="120" w:line="360" w:lineRule="auto"/>
        <w:jc w:val="both"/>
        <w:rPr>
          <w:rFonts w:cs="Arial"/>
        </w:rPr>
      </w:pPr>
      <w:r w:rsidRPr="00FC7DB7">
        <w:rPr>
          <w:rFonts w:cs="Arial"/>
        </w:rPr>
        <w:t xml:space="preserve">The NCC does not have a </w:t>
      </w:r>
      <w:r>
        <w:rPr>
          <w:rFonts w:cs="Arial"/>
        </w:rPr>
        <w:t>P</w:t>
      </w:r>
      <w:r w:rsidRPr="00FC7DB7">
        <w:rPr>
          <w:rFonts w:cs="Arial"/>
        </w:rPr>
        <w:t xml:space="preserve">erformance </w:t>
      </w:r>
      <w:r>
        <w:rPr>
          <w:rFonts w:cs="Arial"/>
        </w:rPr>
        <w:t>R</w:t>
      </w:r>
      <w:r w:rsidRPr="00FC7DB7">
        <w:rPr>
          <w:rFonts w:cs="Arial"/>
        </w:rPr>
        <w:t>equirement relating to the construction of Class 9 buildings in bushf</w:t>
      </w:r>
      <w:r w:rsidRPr="00F623C7">
        <w:rPr>
          <w:rFonts w:cs="Arial"/>
        </w:rPr>
        <w:t>ire</w:t>
      </w:r>
      <w:r w:rsidR="005A71A0">
        <w:rPr>
          <w:rFonts w:cs="Arial"/>
        </w:rPr>
        <w:t xml:space="preserve"> </w:t>
      </w:r>
      <w:r w:rsidRPr="00F623C7">
        <w:rPr>
          <w:rFonts w:cs="Arial"/>
        </w:rPr>
        <w:t>prone areas. However</w:t>
      </w:r>
      <w:r>
        <w:rPr>
          <w:rFonts w:cs="Arial"/>
        </w:rPr>
        <w:t>,</w:t>
      </w:r>
      <w:r w:rsidRPr="00F623C7">
        <w:rPr>
          <w:rFonts w:cs="Arial"/>
        </w:rPr>
        <w:t xml:space="preserve"> there is a </w:t>
      </w:r>
      <w:r>
        <w:rPr>
          <w:rFonts w:cs="Arial"/>
        </w:rPr>
        <w:t>P</w:t>
      </w:r>
      <w:r w:rsidRPr="00F623C7">
        <w:rPr>
          <w:rFonts w:cs="Arial"/>
        </w:rPr>
        <w:t xml:space="preserve">erformance </w:t>
      </w:r>
      <w:r>
        <w:rPr>
          <w:rFonts w:cs="Arial"/>
        </w:rPr>
        <w:t>R</w:t>
      </w:r>
      <w:r w:rsidRPr="00F623C7">
        <w:rPr>
          <w:rFonts w:cs="Arial"/>
        </w:rPr>
        <w:t xml:space="preserve">equirement (GP5.1) for Class 2 and 3 buildings (and Class 10a buildings associated with a Class 2 or 3 building). </w:t>
      </w:r>
    </w:p>
    <w:p w14:paraId="6CCA9A3D" w14:textId="77777777" w:rsidR="00673DDA" w:rsidRPr="00F623C7" w:rsidRDefault="00673DDA" w:rsidP="00673DDA">
      <w:pPr>
        <w:spacing w:before="120" w:after="120" w:line="360" w:lineRule="auto"/>
        <w:jc w:val="both"/>
        <w:rPr>
          <w:rFonts w:cs="Arial"/>
        </w:rPr>
      </w:pPr>
      <w:r w:rsidRPr="00F623C7">
        <w:rPr>
          <w:rFonts w:cs="Arial"/>
        </w:rPr>
        <w:t>GP 5.1 requires:</w:t>
      </w:r>
    </w:p>
    <w:p w14:paraId="338C0102" w14:textId="76FA64CB" w:rsidR="00673DDA" w:rsidRPr="00F623C7" w:rsidRDefault="00673DDA" w:rsidP="00673DDA">
      <w:pPr>
        <w:spacing w:before="120" w:after="120" w:line="360" w:lineRule="auto"/>
        <w:ind w:left="454"/>
        <w:jc w:val="both"/>
        <w:rPr>
          <w:rStyle w:val="Emphasis"/>
          <w:rFonts w:cs="Arial"/>
        </w:rPr>
      </w:pPr>
      <w:r w:rsidRPr="00F623C7">
        <w:rPr>
          <w:rStyle w:val="Emphasis"/>
          <w:rFonts w:cs="Arial"/>
        </w:rPr>
        <w:t>A building that is constructed in a designated bushfire</w:t>
      </w:r>
      <w:r w:rsidR="005A71A0">
        <w:rPr>
          <w:rStyle w:val="Emphasis"/>
          <w:rFonts w:cs="Arial"/>
        </w:rPr>
        <w:t xml:space="preserve"> </w:t>
      </w:r>
      <w:r w:rsidRPr="00F623C7">
        <w:rPr>
          <w:rStyle w:val="Emphasis"/>
          <w:rFonts w:cs="Arial"/>
        </w:rPr>
        <w:t>prone area must, to the degree necessary, be designed and constructed to reduce the risk of ignition from a bushfire, appropriate to the—</w:t>
      </w:r>
    </w:p>
    <w:p w14:paraId="1D0F8478" w14:textId="77777777" w:rsidR="00673DDA" w:rsidRPr="00F623C7" w:rsidRDefault="00673DDA" w:rsidP="00673DDA">
      <w:pPr>
        <w:spacing w:before="120" w:after="120" w:line="360" w:lineRule="auto"/>
        <w:ind w:left="454"/>
        <w:jc w:val="both"/>
        <w:rPr>
          <w:rStyle w:val="Emphasis"/>
          <w:rFonts w:cs="Arial"/>
        </w:rPr>
      </w:pPr>
      <w:r w:rsidRPr="00F623C7">
        <w:rPr>
          <w:rStyle w:val="Emphasis"/>
          <w:rFonts w:cs="Arial"/>
        </w:rPr>
        <w:t>(a) potential for ignition caused by burning embers, radiant heat or flame generated by a bushfire; and</w:t>
      </w:r>
    </w:p>
    <w:p w14:paraId="7759A1CB" w14:textId="77777777" w:rsidR="00673DDA" w:rsidRPr="00F623C7" w:rsidRDefault="00673DDA" w:rsidP="00673DDA">
      <w:pPr>
        <w:spacing w:before="120" w:after="120" w:line="360" w:lineRule="auto"/>
        <w:ind w:left="454"/>
        <w:jc w:val="both"/>
        <w:rPr>
          <w:rStyle w:val="Emphasis"/>
          <w:rFonts w:cs="Arial"/>
        </w:rPr>
      </w:pPr>
      <w:r w:rsidRPr="00F623C7">
        <w:rPr>
          <w:rStyle w:val="Emphasis"/>
          <w:rFonts w:cs="Arial"/>
        </w:rPr>
        <w:t>(b) intensity of the bushfire attack on the building.</w:t>
      </w:r>
    </w:p>
    <w:p w14:paraId="44A0DD69" w14:textId="3E3629B1" w:rsidR="00673DDA" w:rsidRPr="00F623C7" w:rsidRDefault="00673DDA" w:rsidP="00673DDA">
      <w:pPr>
        <w:spacing w:before="120" w:line="360" w:lineRule="auto"/>
        <w:jc w:val="both"/>
        <w:rPr>
          <w:rFonts w:cs="Arial"/>
        </w:rPr>
      </w:pPr>
      <w:r w:rsidRPr="00F623C7">
        <w:rPr>
          <w:rFonts w:cs="Arial"/>
        </w:rPr>
        <w:t xml:space="preserve">The final design and construction of a building is also </w:t>
      </w:r>
      <w:r w:rsidR="006351F8">
        <w:rPr>
          <w:rFonts w:cs="Arial"/>
        </w:rPr>
        <w:t>the</w:t>
      </w:r>
      <w:r w:rsidRPr="00F623C7">
        <w:rPr>
          <w:rFonts w:cs="Arial"/>
        </w:rPr>
        <w:t xml:space="preserve"> result of a large number of trade-offs, the most significant being trading the standard the building is built to and the cost to construct and use the building</w:t>
      </w:r>
      <w:r w:rsidRPr="00FC7DB7">
        <w:rPr>
          <w:rStyle w:val="FootnoteReference"/>
          <w:rFonts w:cs="Arial"/>
        </w:rPr>
        <w:footnoteReference w:id="16"/>
      </w:r>
      <w:r w:rsidRPr="00FC7DB7">
        <w:rPr>
          <w:rFonts w:cs="Arial"/>
        </w:rPr>
        <w:t>. Where risks aren’t known</w:t>
      </w:r>
      <w:r w:rsidRPr="00B40563">
        <w:rPr>
          <w:rFonts w:cs="Arial"/>
        </w:rPr>
        <w:t xml:space="preserve"> due to </w:t>
      </w:r>
      <w:r w:rsidR="008934A3">
        <w:rPr>
          <w:rFonts w:cs="Arial"/>
        </w:rPr>
        <w:t xml:space="preserve">a </w:t>
      </w:r>
      <w:r w:rsidRPr="00B40563">
        <w:rPr>
          <w:rFonts w:cs="Arial"/>
        </w:rPr>
        <w:t xml:space="preserve">lack of information and/or changing circumstances, </w:t>
      </w:r>
      <w:r w:rsidR="006351F8">
        <w:rPr>
          <w:rFonts w:cs="Arial"/>
        </w:rPr>
        <w:t xml:space="preserve">and in the absence of a regulatory trigger, </w:t>
      </w:r>
      <w:r w:rsidRPr="00B40563">
        <w:rPr>
          <w:rFonts w:cs="Arial"/>
        </w:rPr>
        <w:t xml:space="preserve">the building </w:t>
      </w:r>
      <w:r w:rsidRPr="00F623C7">
        <w:rPr>
          <w:rFonts w:cs="Arial"/>
        </w:rPr>
        <w:t>designer and other technical professionals may not design to reduce or manage the potential risks</w:t>
      </w:r>
      <w:r w:rsidR="008934A3">
        <w:rPr>
          <w:rFonts w:cs="Arial"/>
        </w:rPr>
        <w:t>,</w:t>
      </w:r>
      <w:r w:rsidRPr="00F623C7">
        <w:rPr>
          <w:rFonts w:cs="Arial"/>
        </w:rPr>
        <w:t xml:space="preserve"> e.g. through a larger investment in building construction and/ or relocating to another part of the site/location.</w:t>
      </w:r>
    </w:p>
    <w:p w14:paraId="3A613860" w14:textId="46DE3A94" w:rsidR="00586106" w:rsidRDefault="00586106" w:rsidP="00AA63D4">
      <w:pPr>
        <w:spacing w:before="240" w:after="120"/>
        <w:rPr>
          <w:rFonts w:eastAsiaTheme="majorEastAsia" w:cs="Arial"/>
          <w:color w:val="002060"/>
          <w:sz w:val="32"/>
          <w:szCs w:val="26"/>
        </w:rPr>
      </w:pPr>
      <w:r w:rsidRPr="00586106">
        <w:rPr>
          <w:rFonts w:eastAsiaTheme="majorEastAsia" w:cs="Arial"/>
          <w:color w:val="002060"/>
          <w:sz w:val="32"/>
          <w:szCs w:val="26"/>
        </w:rPr>
        <w:t>Regulations in some states mandate a higher standard for Class 9 buildings in bushfire prone areas</w:t>
      </w:r>
    </w:p>
    <w:p w14:paraId="766AA19C" w14:textId="3EEA3F12" w:rsidR="00C51AA9" w:rsidRPr="00586106" w:rsidRDefault="008934A3" w:rsidP="00AA63D4">
      <w:pPr>
        <w:spacing w:before="240" w:after="0" w:line="360" w:lineRule="auto"/>
        <w:jc w:val="both"/>
        <w:rPr>
          <w:rFonts w:eastAsiaTheme="majorEastAsia" w:cs="Arial"/>
          <w:color w:val="002060"/>
          <w:sz w:val="32"/>
          <w:szCs w:val="26"/>
        </w:rPr>
      </w:pPr>
      <w:r>
        <w:rPr>
          <w:rFonts w:eastAsiaTheme="minorEastAsia"/>
          <w:lang w:val="en-US"/>
        </w:rPr>
        <w:t>NCC</w:t>
      </w:r>
      <w:r w:rsidR="00586106" w:rsidRPr="02E813F5">
        <w:rPr>
          <w:rFonts w:eastAsiaTheme="minorEastAsia"/>
          <w:lang w:val="en-US"/>
        </w:rPr>
        <w:t xml:space="preserve"> variations</w:t>
      </w:r>
      <w:r>
        <w:rPr>
          <w:rFonts w:eastAsiaTheme="minorEastAsia"/>
          <w:lang w:val="en-US"/>
        </w:rPr>
        <w:t>, setting a higher bushfire standard for Class 9 buildings,</w:t>
      </w:r>
      <w:r w:rsidR="00586106" w:rsidRPr="02E813F5">
        <w:rPr>
          <w:rFonts w:eastAsiaTheme="minorEastAsia"/>
          <w:lang w:val="en-US"/>
        </w:rPr>
        <w:t xml:space="preserve"> exist in NSW, Victoria and WA, with Tasmania applying similar provisions within their building regulations rather than </w:t>
      </w:r>
      <w:r>
        <w:rPr>
          <w:rFonts w:eastAsiaTheme="minorEastAsia"/>
          <w:lang w:val="en-US"/>
        </w:rPr>
        <w:t xml:space="preserve">as </w:t>
      </w:r>
      <w:r w:rsidR="00586106" w:rsidRPr="02E813F5">
        <w:rPr>
          <w:rFonts w:eastAsiaTheme="minorEastAsia"/>
          <w:lang w:val="en-US"/>
        </w:rPr>
        <w:t xml:space="preserve">an appendix to the NCC. Therefore, the extent of the problem </w:t>
      </w:r>
      <w:r w:rsidR="00586106">
        <w:rPr>
          <w:rFonts w:eastAsiaTheme="minorEastAsia"/>
          <w:lang w:val="en-US"/>
        </w:rPr>
        <w:t>is not necessarily uniform across Australia</w:t>
      </w:r>
      <w:r w:rsidR="00586106" w:rsidRPr="02E813F5">
        <w:rPr>
          <w:rStyle w:val="FootnoteReference"/>
          <w:rFonts w:eastAsiaTheme="minorEastAsia"/>
          <w:lang w:val="en-US"/>
        </w:rPr>
        <w:footnoteReference w:id="17"/>
      </w:r>
      <w:r w:rsidR="00586106" w:rsidRPr="02E813F5">
        <w:rPr>
          <w:rFonts w:eastAsiaTheme="minorEastAsia"/>
          <w:lang w:val="en-US"/>
        </w:rPr>
        <w:t>.</w:t>
      </w:r>
    </w:p>
    <w:p w14:paraId="55235D5C" w14:textId="77777777" w:rsidR="00C51AA9" w:rsidRPr="000B675B" w:rsidRDefault="00C51AA9" w:rsidP="000B675B">
      <w:pPr>
        <w:pStyle w:val="Heading1"/>
        <w:spacing w:after="240"/>
        <w:rPr>
          <w:rFonts w:ascii="Arial" w:hAnsi="Arial" w:cs="Arial"/>
          <w:b w:val="0"/>
          <w:bCs w:val="0"/>
        </w:rPr>
      </w:pPr>
      <w:bookmarkStart w:id="17" w:name="_Toc471384392"/>
      <w:bookmarkStart w:id="18" w:name="_Toc491849690"/>
      <w:bookmarkStart w:id="19" w:name="_Toc71195749"/>
      <w:bookmarkStart w:id="20" w:name="_Toc97023779"/>
      <w:r w:rsidRPr="000B675B">
        <w:rPr>
          <w:rFonts w:ascii="Arial" w:hAnsi="Arial" w:cs="Arial"/>
          <w:b w:val="0"/>
          <w:bCs w:val="0"/>
        </w:rPr>
        <w:t>Objective</w:t>
      </w:r>
      <w:bookmarkEnd w:id="17"/>
      <w:bookmarkEnd w:id="18"/>
      <w:bookmarkEnd w:id="19"/>
      <w:bookmarkEnd w:id="20"/>
    </w:p>
    <w:p w14:paraId="48C18895" w14:textId="40BC47DF" w:rsidR="00C51AA9" w:rsidRPr="00417DDB" w:rsidRDefault="00C51AA9" w:rsidP="00CA0DF7">
      <w:pPr>
        <w:spacing w:before="240" w:line="360" w:lineRule="auto"/>
        <w:jc w:val="both"/>
        <w:rPr>
          <w:rFonts w:cs="Arial"/>
        </w:rPr>
      </w:pPr>
      <w:r w:rsidRPr="00417DDB">
        <w:rPr>
          <w:rFonts w:cs="Arial"/>
        </w:rPr>
        <w:t xml:space="preserve">A core goal of the NCC is to address safety and health in the design, construction and performance and liveability of buildings. </w:t>
      </w:r>
    </w:p>
    <w:p w14:paraId="121E0716" w14:textId="6996FAE8" w:rsidR="00586106" w:rsidRPr="00417DDB" w:rsidRDefault="00586106" w:rsidP="00662123">
      <w:pPr>
        <w:spacing w:after="120" w:line="360" w:lineRule="auto"/>
        <w:jc w:val="both"/>
        <w:rPr>
          <w:rFonts w:cs="Arial"/>
        </w:rPr>
      </w:pPr>
      <w:r w:rsidRPr="00417DDB">
        <w:rPr>
          <w:rFonts w:cs="Arial"/>
        </w:rPr>
        <w:t xml:space="preserve">Hence, the Objective of this </w:t>
      </w:r>
      <w:bookmarkStart w:id="21" w:name="_Hlk94602990"/>
      <w:r w:rsidR="00096EA0">
        <w:rPr>
          <w:rFonts w:cs="Arial"/>
        </w:rPr>
        <w:t>proposal</w:t>
      </w:r>
      <w:r w:rsidR="00096EA0" w:rsidRPr="00417DDB">
        <w:rPr>
          <w:rFonts w:cs="Arial"/>
        </w:rPr>
        <w:t xml:space="preserve"> </w:t>
      </w:r>
      <w:r w:rsidRPr="00417DDB">
        <w:rPr>
          <w:rFonts w:cs="Arial"/>
        </w:rPr>
        <w:t>is to reduce the risk of building ignition leading to fatality, injury and evacuation trauma to vulnerable occupants of Class 9 buildings in the event of a bushfire.</w:t>
      </w:r>
    </w:p>
    <w:p w14:paraId="1C701D8F" w14:textId="77777777" w:rsidR="00C51AA9" w:rsidRDefault="00C51AA9" w:rsidP="00AA63D4">
      <w:pPr>
        <w:pStyle w:val="Heading1"/>
        <w:spacing w:after="240"/>
        <w:rPr>
          <w:rFonts w:ascii="Arial" w:hAnsi="Arial" w:cs="Arial"/>
          <w:b w:val="0"/>
          <w:bCs w:val="0"/>
        </w:rPr>
      </w:pPr>
      <w:bookmarkStart w:id="22" w:name="_Toc71195750"/>
      <w:bookmarkStart w:id="23" w:name="_Toc97023780"/>
      <w:bookmarkEnd w:id="21"/>
      <w:r w:rsidRPr="000B675B">
        <w:rPr>
          <w:rFonts w:ascii="Arial" w:hAnsi="Arial" w:cs="Arial"/>
          <w:b w:val="0"/>
          <w:bCs w:val="0"/>
        </w:rPr>
        <w:t>Options</w:t>
      </w:r>
      <w:bookmarkEnd w:id="22"/>
      <w:bookmarkEnd w:id="23"/>
      <w:r w:rsidRPr="000B675B">
        <w:rPr>
          <w:rFonts w:ascii="Arial" w:hAnsi="Arial" w:cs="Arial"/>
          <w:b w:val="0"/>
          <w:bCs w:val="0"/>
        </w:rPr>
        <w:t xml:space="preserve"> </w:t>
      </w:r>
    </w:p>
    <w:p w14:paraId="142AA7E1" w14:textId="3B82723A" w:rsidR="00C51AA9" w:rsidRPr="00417DDB" w:rsidRDefault="008934A3" w:rsidP="00CA0DF7">
      <w:pPr>
        <w:spacing w:before="240" w:after="240" w:line="360" w:lineRule="auto"/>
        <w:jc w:val="both"/>
      </w:pPr>
      <w:r>
        <w:t xml:space="preserve">The </w:t>
      </w:r>
      <w:r w:rsidR="00C51AA9" w:rsidRPr="00417DDB">
        <w:t>Principles of Best Practice Regulations require that regulations are effective and proportional to the problem and there is no regulatory or non-regulatory option that would generate higher net benefits. This is also reflected in the ABCB’s Intergovernmental Agreement (IGA).</w:t>
      </w:r>
      <w:r w:rsidR="00C51AA9" w:rsidRPr="00417DDB">
        <w:rPr>
          <w:rFonts w:cs="Arial"/>
          <w:vertAlign w:val="superscript"/>
        </w:rPr>
        <w:footnoteReference w:id="18"/>
      </w:r>
      <w:r w:rsidR="00C51AA9" w:rsidRPr="00417DDB">
        <w:t xml:space="preserve"> </w:t>
      </w:r>
    </w:p>
    <w:p w14:paraId="43772DAB" w14:textId="77777777" w:rsidR="00C51AA9" w:rsidRPr="00417DDB" w:rsidRDefault="00C51AA9" w:rsidP="0083558B">
      <w:pPr>
        <w:pStyle w:val="ListBullet"/>
        <w:numPr>
          <w:ilvl w:val="0"/>
          <w:numId w:val="0"/>
        </w:numPr>
        <w:spacing w:after="240"/>
        <w:ind w:left="357" w:hanging="357"/>
        <w:jc w:val="both"/>
      </w:pPr>
      <w:r w:rsidRPr="00417DDB">
        <w:t>Having regard for these principles, there are three options presented for consideration:</w:t>
      </w:r>
    </w:p>
    <w:p w14:paraId="4E1FC52C" w14:textId="77777777" w:rsidR="00C51AA9" w:rsidRPr="00773145" w:rsidRDefault="00C51AA9" w:rsidP="00CA0DF7">
      <w:pPr>
        <w:pStyle w:val="Heading2"/>
      </w:pPr>
      <w:bookmarkStart w:id="24" w:name="_Toc47287763"/>
      <w:bookmarkStart w:id="25" w:name="_Toc47287904"/>
      <w:bookmarkStart w:id="26" w:name="_Toc97023781"/>
      <w:r w:rsidRPr="00773145">
        <w:t>Option 1: Retain the status quo</w:t>
      </w:r>
      <w:bookmarkEnd w:id="24"/>
      <w:bookmarkEnd w:id="25"/>
      <w:bookmarkEnd w:id="26"/>
    </w:p>
    <w:p w14:paraId="70365D4D" w14:textId="77777777" w:rsidR="00662123" w:rsidRPr="00417DDB" w:rsidRDefault="00C51AA9" w:rsidP="00CA0DF7">
      <w:pPr>
        <w:spacing w:before="240" w:after="120" w:line="360" w:lineRule="auto"/>
        <w:jc w:val="both"/>
        <w:rPr>
          <w:rFonts w:cs="Arial"/>
        </w:rPr>
      </w:pPr>
      <w:r w:rsidRPr="00417DDB">
        <w:rPr>
          <w:rFonts w:cs="Arial"/>
        </w:rPr>
        <w:t>The status quo is the default choice for decision-makers in considering alternatives to achieve the objectives. Where the incremental impacts of other options would result in more costs than benefits, or would be ineffective in addressing the problem or achieving the objectives, the RIS will conclude in favour of the status quo.</w:t>
      </w:r>
    </w:p>
    <w:p w14:paraId="63F35732" w14:textId="11E326EC" w:rsidR="00662123" w:rsidRPr="00662123" w:rsidRDefault="00C51AA9" w:rsidP="00CA0DF7">
      <w:pPr>
        <w:pStyle w:val="Heading2"/>
      </w:pPr>
      <w:bookmarkStart w:id="27" w:name="_Toc47287764"/>
      <w:bookmarkStart w:id="28" w:name="_Toc47287905"/>
      <w:bookmarkStart w:id="29" w:name="_Toc97023782"/>
      <w:r w:rsidRPr="00662123">
        <w:t xml:space="preserve">Option 2: </w:t>
      </w:r>
      <w:bookmarkEnd w:id="27"/>
      <w:bookmarkEnd w:id="28"/>
      <w:r w:rsidR="00992577">
        <w:t>Amend</w:t>
      </w:r>
      <w:r w:rsidR="00662123" w:rsidRPr="00662123">
        <w:t xml:space="preserve"> the Performance Requirements and </w:t>
      </w:r>
      <w:r w:rsidR="00CA0DF7">
        <w:t>DTS</w:t>
      </w:r>
      <w:r w:rsidR="00662123" w:rsidRPr="00662123">
        <w:t xml:space="preserve"> provisions of Part G of NCC Volume One</w:t>
      </w:r>
      <w:bookmarkEnd w:id="29"/>
    </w:p>
    <w:p w14:paraId="0F6B33ED" w14:textId="6116873D" w:rsidR="00662123" w:rsidRPr="00662123" w:rsidRDefault="00662123" w:rsidP="00CA0DF7">
      <w:pPr>
        <w:spacing w:before="240" w:after="120" w:line="360" w:lineRule="auto"/>
        <w:jc w:val="both"/>
        <w:rPr>
          <w:rFonts w:cs="Arial"/>
          <w:color w:val="000000" w:themeColor="text1"/>
        </w:rPr>
      </w:pPr>
      <w:r w:rsidRPr="00662123">
        <w:rPr>
          <w:rFonts w:cs="Arial"/>
          <w:color w:val="000000" w:themeColor="text1"/>
        </w:rPr>
        <w:t>This option would mandate a higher level of performance for Class 9 buildings constructed in bushfire</w:t>
      </w:r>
      <w:r w:rsidR="005A71A0">
        <w:rPr>
          <w:rFonts w:cs="Arial"/>
          <w:color w:val="000000" w:themeColor="text1"/>
        </w:rPr>
        <w:t xml:space="preserve"> </w:t>
      </w:r>
      <w:r w:rsidRPr="00662123">
        <w:rPr>
          <w:rFonts w:cs="Arial"/>
          <w:color w:val="000000" w:themeColor="text1"/>
        </w:rPr>
        <w:t xml:space="preserve">prone areas. </w:t>
      </w:r>
    </w:p>
    <w:p w14:paraId="1EB3D235" w14:textId="77777777" w:rsidR="00662123" w:rsidRPr="00662123" w:rsidRDefault="00662123" w:rsidP="00662123">
      <w:pPr>
        <w:spacing w:after="120" w:line="360" w:lineRule="auto"/>
        <w:jc w:val="both"/>
        <w:rPr>
          <w:rFonts w:cs="Arial"/>
          <w:color w:val="000000" w:themeColor="text1"/>
        </w:rPr>
      </w:pPr>
      <w:r w:rsidRPr="00662123">
        <w:rPr>
          <w:rFonts w:cs="Arial"/>
          <w:color w:val="000000" w:themeColor="text1"/>
        </w:rPr>
        <w:t>The proposed changes to the NCC include:</w:t>
      </w:r>
    </w:p>
    <w:p w14:paraId="7393FD30" w14:textId="77777777" w:rsidR="00662123" w:rsidRPr="00662123" w:rsidRDefault="00662123" w:rsidP="00662123">
      <w:pPr>
        <w:pStyle w:val="ListParagraph"/>
        <w:numPr>
          <w:ilvl w:val="0"/>
          <w:numId w:val="41"/>
        </w:numPr>
        <w:spacing w:after="120" w:line="360" w:lineRule="auto"/>
        <w:contextualSpacing w:val="0"/>
        <w:jc w:val="both"/>
        <w:rPr>
          <w:rFonts w:cs="Arial"/>
          <w:color w:val="000000" w:themeColor="text1"/>
        </w:rPr>
      </w:pPr>
      <w:r w:rsidRPr="00662123">
        <w:rPr>
          <w:rFonts w:cs="Arial"/>
          <w:color w:val="000000" w:themeColor="text1"/>
        </w:rPr>
        <w:t>Development of new Performance Requirement;</w:t>
      </w:r>
    </w:p>
    <w:p w14:paraId="0F6514A6" w14:textId="77777777" w:rsidR="00662123" w:rsidRPr="00662123" w:rsidRDefault="00662123" w:rsidP="00662123">
      <w:pPr>
        <w:pStyle w:val="ListParagraph"/>
        <w:numPr>
          <w:ilvl w:val="0"/>
          <w:numId w:val="41"/>
        </w:numPr>
        <w:spacing w:after="120" w:line="360" w:lineRule="auto"/>
        <w:contextualSpacing w:val="0"/>
        <w:jc w:val="both"/>
        <w:rPr>
          <w:rFonts w:cs="Arial"/>
          <w:color w:val="000000" w:themeColor="text1"/>
        </w:rPr>
      </w:pPr>
      <w:r w:rsidRPr="00662123">
        <w:rPr>
          <w:rFonts w:cs="Arial"/>
          <w:color w:val="000000" w:themeColor="text1"/>
        </w:rPr>
        <w:t>Modification of the existing Bushfire Verification Method;</w:t>
      </w:r>
    </w:p>
    <w:p w14:paraId="33D5E1AC" w14:textId="3D041833" w:rsidR="00662123" w:rsidRPr="00662123" w:rsidRDefault="00662123" w:rsidP="00662123">
      <w:pPr>
        <w:pStyle w:val="ListParagraph"/>
        <w:numPr>
          <w:ilvl w:val="0"/>
          <w:numId w:val="41"/>
        </w:numPr>
        <w:spacing w:after="120" w:line="360" w:lineRule="auto"/>
        <w:contextualSpacing w:val="0"/>
        <w:jc w:val="both"/>
        <w:rPr>
          <w:rFonts w:cs="Arial"/>
          <w:color w:val="000000" w:themeColor="text1"/>
        </w:rPr>
      </w:pPr>
      <w:r w:rsidRPr="00662123">
        <w:rPr>
          <w:rFonts w:cs="Arial"/>
          <w:color w:val="000000" w:themeColor="text1"/>
        </w:rPr>
        <w:t>Appropriate D</w:t>
      </w:r>
      <w:r w:rsidR="008934A3">
        <w:rPr>
          <w:rFonts w:cs="Arial"/>
          <w:color w:val="000000" w:themeColor="text1"/>
        </w:rPr>
        <w:t>T</w:t>
      </w:r>
      <w:r w:rsidRPr="00662123">
        <w:rPr>
          <w:rFonts w:cs="Arial"/>
          <w:color w:val="000000" w:themeColor="text1"/>
        </w:rPr>
        <w:t xml:space="preserve">S </w:t>
      </w:r>
      <w:r w:rsidR="0089738C">
        <w:rPr>
          <w:rFonts w:cs="Arial"/>
          <w:color w:val="000000" w:themeColor="text1"/>
        </w:rPr>
        <w:t>P</w:t>
      </w:r>
      <w:r w:rsidRPr="00662123">
        <w:rPr>
          <w:rFonts w:cs="Arial"/>
          <w:color w:val="000000" w:themeColor="text1"/>
        </w:rPr>
        <w:t>rovisions.</w:t>
      </w:r>
    </w:p>
    <w:p w14:paraId="2F3F5442" w14:textId="64883E96" w:rsidR="00662123" w:rsidRPr="00662123" w:rsidRDefault="00DB6B23" w:rsidP="00662123">
      <w:pPr>
        <w:spacing w:after="120" w:line="360" w:lineRule="auto"/>
        <w:jc w:val="both"/>
        <w:rPr>
          <w:rFonts w:cs="Arial"/>
          <w:color w:val="000000" w:themeColor="text1"/>
        </w:rPr>
      </w:pPr>
      <w:r>
        <w:rPr>
          <w:rFonts w:cs="Arial"/>
          <w:color w:val="000000" w:themeColor="text1"/>
        </w:rPr>
        <w:t>T</w:t>
      </w:r>
      <w:r w:rsidR="00662123" w:rsidRPr="00662123">
        <w:rPr>
          <w:rFonts w:cs="Arial"/>
          <w:color w:val="000000" w:themeColor="text1"/>
        </w:rPr>
        <w:t>he changes would requ</w:t>
      </w:r>
      <w:r w:rsidR="00662123" w:rsidRPr="00572201">
        <w:rPr>
          <w:rFonts w:cs="Arial"/>
          <w:color w:val="000000" w:themeColor="text1"/>
        </w:rPr>
        <w:t>ire that Class 9 buildings in bushfire prone areas facilitate temporary shelter for building occupants who may be unable to readily evacuate the building prior to a bushfire.</w:t>
      </w:r>
      <w:r w:rsidR="00662123" w:rsidRPr="00662123">
        <w:rPr>
          <w:rFonts w:cs="Arial"/>
          <w:color w:val="000000" w:themeColor="text1"/>
        </w:rPr>
        <w:t xml:space="preserve"> </w:t>
      </w:r>
    </w:p>
    <w:p w14:paraId="2B903A79" w14:textId="1B16CF96" w:rsidR="00662123" w:rsidRPr="00662123" w:rsidRDefault="00662123" w:rsidP="00662123">
      <w:pPr>
        <w:spacing w:after="120" w:line="360" w:lineRule="auto"/>
        <w:jc w:val="both"/>
        <w:rPr>
          <w:rFonts w:cs="Arial"/>
          <w:color w:val="000000" w:themeColor="text1"/>
        </w:rPr>
      </w:pPr>
      <w:r w:rsidRPr="00662123">
        <w:rPr>
          <w:rFonts w:cs="Arial"/>
          <w:color w:val="000000" w:themeColor="text1"/>
        </w:rPr>
        <w:t>These changes are intended to reflect the additional protection to these buildings when used by the occupants as a place of last resort during a bushfire when early evacuation is unsafe or impractical (sometimes referred to as a ‘defend</w:t>
      </w:r>
      <w:r w:rsidR="00322B32">
        <w:rPr>
          <w:rFonts w:cs="Arial"/>
          <w:color w:val="000000" w:themeColor="text1"/>
        </w:rPr>
        <w:t>-</w:t>
      </w:r>
      <w:r w:rsidRPr="00662123">
        <w:rPr>
          <w:rFonts w:cs="Arial"/>
          <w:color w:val="000000" w:themeColor="text1"/>
        </w:rPr>
        <w:t>in</w:t>
      </w:r>
      <w:r w:rsidR="00322B32">
        <w:rPr>
          <w:rFonts w:cs="Arial"/>
          <w:color w:val="000000" w:themeColor="text1"/>
        </w:rPr>
        <w:t>-</w:t>
      </w:r>
      <w:r w:rsidRPr="00662123">
        <w:rPr>
          <w:rFonts w:cs="Arial"/>
          <w:color w:val="000000" w:themeColor="text1"/>
        </w:rPr>
        <w:t xml:space="preserve">place’ strategy). </w:t>
      </w:r>
    </w:p>
    <w:p w14:paraId="57200D45" w14:textId="08A7CDCB" w:rsidR="00662123" w:rsidRPr="00662123" w:rsidRDefault="00662123" w:rsidP="00662123">
      <w:pPr>
        <w:spacing w:after="120" w:line="360" w:lineRule="auto"/>
        <w:jc w:val="both"/>
        <w:rPr>
          <w:rFonts w:cs="Arial"/>
          <w:color w:val="000000" w:themeColor="text1"/>
        </w:rPr>
      </w:pPr>
      <w:r w:rsidRPr="00662123">
        <w:rPr>
          <w:rFonts w:cs="Arial"/>
          <w:color w:val="000000" w:themeColor="text1"/>
        </w:rPr>
        <w:t xml:space="preserve">This option would also reduce the risk of loss of the building, </w:t>
      </w:r>
      <w:r w:rsidR="008934A3">
        <w:rPr>
          <w:rFonts w:cs="Arial"/>
          <w:color w:val="000000" w:themeColor="text1"/>
        </w:rPr>
        <w:t xml:space="preserve">thereby </w:t>
      </w:r>
      <w:r w:rsidRPr="00662123">
        <w:rPr>
          <w:rFonts w:cs="Arial"/>
          <w:color w:val="000000" w:themeColor="text1"/>
        </w:rPr>
        <w:t xml:space="preserve">reducing the risk of disruption to the </w:t>
      </w:r>
      <w:r w:rsidR="00322B32">
        <w:rPr>
          <w:rFonts w:cs="Arial"/>
          <w:color w:val="000000" w:themeColor="text1"/>
        </w:rPr>
        <w:t xml:space="preserve">current or future </w:t>
      </w:r>
      <w:r w:rsidRPr="00662123">
        <w:rPr>
          <w:rFonts w:cs="Arial"/>
          <w:color w:val="000000" w:themeColor="text1"/>
        </w:rPr>
        <w:t>users of the building.</w:t>
      </w:r>
    </w:p>
    <w:p w14:paraId="03A9FDB1" w14:textId="77777777" w:rsidR="00662123" w:rsidRPr="00662123" w:rsidRDefault="00662123" w:rsidP="00662123">
      <w:pPr>
        <w:spacing w:after="120" w:line="360" w:lineRule="auto"/>
        <w:jc w:val="both"/>
        <w:rPr>
          <w:rFonts w:cs="Arial"/>
          <w:color w:val="000000" w:themeColor="text1"/>
        </w:rPr>
      </w:pPr>
      <w:r w:rsidRPr="00662123">
        <w:rPr>
          <w:rFonts w:cs="Arial"/>
          <w:color w:val="000000" w:themeColor="text1"/>
        </w:rPr>
        <w:t>Building classifications affected by these proposed changes include:</w:t>
      </w:r>
    </w:p>
    <w:p w14:paraId="2B7618D0" w14:textId="77777777" w:rsidR="00662123" w:rsidRPr="00662123" w:rsidRDefault="00662123" w:rsidP="00662123">
      <w:pPr>
        <w:pStyle w:val="ListParagraph"/>
        <w:numPr>
          <w:ilvl w:val="0"/>
          <w:numId w:val="42"/>
        </w:numPr>
        <w:spacing w:after="120" w:line="360" w:lineRule="auto"/>
        <w:contextualSpacing w:val="0"/>
        <w:jc w:val="both"/>
        <w:rPr>
          <w:rFonts w:cs="Arial"/>
          <w:color w:val="000000" w:themeColor="text1"/>
        </w:rPr>
      </w:pPr>
      <w:r w:rsidRPr="00662123">
        <w:rPr>
          <w:rFonts w:cs="Arial"/>
          <w:color w:val="000000" w:themeColor="text1"/>
        </w:rPr>
        <w:t>Class 9a buildings which are health-care buildings;</w:t>
      </w:r>
    </w:p>
    <w:p w14:paraId="6CA2AF2A" w14:textId="77777777" w:rsidR="00662123" w:rsidRPr="00662123" w:rsidRDefault="00662123" w:rsidP="00662123">
      <w:pPr>
        <w:pStyle w:val="ListParagraph"/>
        <w:numPr>
          <w:ilvl w:val="0"/>
          <w:numId w:val="42"/>
        </w:numPr>
        <w:spacing w:after="120" w:line="360" w:lineRule="auto"/>
        <w:contextualSpacing w:val="0"/>
        <w:jc w:val="both"/>
        <w:rPr>
          <w:rFonts w:cs="Arial"/>
          <w:color w:val="000000" w:themeColor="text1"/>
        </w:rPr>
      </w:pPr>
      <w:r w:rsidRPr="00662123">
        <w:rPr>
          <w:rFonts w:cs="Arial"/>
          <w:color w:val="000000" w:themeColor="text1"/>
        </w:rPr>
        <w:t>Class 9b buildings which are used as either an early childhood centre or primary or secondary school;</w:t>
      </w:r>
    </w:p>
    <w:p w14:paraId="26B32012" w14:textId="59D5EA71" w:rsidR="00662123" w:rsidRDefault="00662123" w:rsidP="00662123">
      <w:pPr>
        <w:pStyle w:val="ListParagraph"/>
        <w:numPr>
          <w:ilvl w:val="0"/>
          <w:numId w:val="42"/>
        </w:numPr>
        <w:spacing w:after="120" w:line="360" w:lineRule="auto"/>
        <w:contextualSpacing w:val="0"/>
        <w:jc w:val="both"/>
        <w:rPr>
          <w:rFonts w:cs="Arial"/>
          <w:color w:val="000000" w:themeColor="text1"/>
        </w:rPr>
      </w:pPr>
      <w:r w:rsidRPr="00662123">
        <w:rPr>
          <w:rFonts w:cs="Arial"/>
          <w:color w:val="000000" w:themeColor="text1"/>
        </w:rPr>
        <w:t xml:space="preserve">Class 9c buildings which are </w:t>
      </w:r>
      <w:r w:rsidR="001204D4">
        <w:rPr>
          <w:rFonts w:cs="Arial"/>
          <w:color w:val="000000" w:themeColor="text1"/>
        </w:rPr>
        <w:t xml:space="preserve">residential care </w:t>
      </w:r>
      <w:r w:rsidRPr="00662123">
        <w:rPr>
          <w:rFonts w:cs="Arial"/>
          <w:color w:val="000000" w:themeColor="text1"/>
        </w:rPr>
        <w:t>buildings</w:t>
      </w:r>
      <w:r w:rsidR="001204D4">
        <w:rPr>
          <w:rFonts w:cs="Arial"/>
          <w:color w:val="000000" w:themeColor="text1"/>
        </w:rPr>
        <w:t>.</w:t>
      </w:r>
    </w:p>
    <w:p w14:paraId="5EFCE3D0" w14:textId="71782B6D" w:rsidR="00662123" w:rsidRPr="00417DDB" w:rsidRDefault="00662123" w:rsidP="00417DDB">
      <w:pPr>
        <w:spacing w:after="120" w:line="360" w:lineRule="auto"/>
        <w:jc w:val="both"/>
        <w:rPr>
          <w:rFonts w:cs="Arial"/>
          <w:color w:val="000000" w:themeColor="text1"/>
        </w:rPr>
      </w:pPr>
      <w:r w:rsidRPr="00662123">
        <w:rPr>
          <w:rFonts w:cs="Arial"/>
          <w:color w:val="000000" w:themeColor="text1"/>
        </w:rPr>
        <w:t>This option is</w:t>
      </w:r>
      <w:r w:rsidR="00DB6B23">
        <w:rPr>
          <w:rFonts w:cs="Arial"/>
          <w:color w:val="000000" w:themeColor="text1"/>
        </w:rPr>
        <w:t xml:space="preserve"> designed as</w:t>
      </w:r>
      <w:r w:rsidRPr="00662123">
        <w:rPr>
          <w:rFonts w:cs="Arial"/>
          <w:color w:val="000000" w:themeColor="text1"/>
        </w:rPr>
        <w:t xml:space="preserve"> a safety net</w:t>
      </w:r>
      <w:r w:rsidR="00DB6B23">
        <w:rPr>
          <w:rFonts w:cs="Arial"/>
          <w:color w:val="000000" w:themeColor="text1"/>
        </w:rPr>
        <w:t>,</w:t>
      </w:r>
      <w:r w:rsidRPr="00662123">
        <w:rPr>
          <w:rFonts w:cs="Arial"/>
          <w:color w:val="000000" w:themeColor="text1"/>
        </w:rPr>
        <w:t xml:space="preserve"> where </w:t>
      </w:r>
      <w:r w:rsidR="00DB6B23">
        <w:rPr>
          <w:rFonts w:cs="Arial"/>
          <w:color w:val="000000" w:themeColor="text1"/>
        </w:rPr>
        <w:t xml:space="preserve">local and state government </w:t>
      </w:r>
      <w:r w:rsidRPr="00662123">
        <w:rPr>
          <w:rFonts w:cs="Arial"/>
          <w:color w:val="000000" w:themeColor="text1"/>
        </w:rPr>
        <w:t>planning controls are not effective at preventing high-risk developments from occurring.</w:t>
      </w:r>
      <w:bookmarkStart w:id="30" w:name="_Toc47287766"/>
      <w:bookmarkStart w:id="31" w:name="_Toc47287907"/>
    </w:p>
    <w:p w14:paraId="5F72D3F6" w14:textId="55D100FC" w:rsidR="00C51AA9" w:rsidRPr="00662123" w:rsidRDefault="00C51AA9" w:rsidP="00CA0DF7">
      <w:pPr>
        <w:pStyle w:val="Heading2"/>
      </w:pPr>
      <w:bookmarkStart w:id="32" w:name="_Toc97023783"/>
      <w:r w:rsidRPr="00662123">
        <w:t xml:space="preserve">Option 3: </w:t>
      </w:r>
      <w:bookmarkStart w:id="33" w:name="_Hlk50634850"/>
      <w:bookmarkEnd w:id="30"/>
      <w:bookmarkEnd w:id="31"/>
      <w:r w:rsidR="00662123" w:rsidRPr="00662123">
        <w:t>Publish a non-mandatory Handbook.</w:t>
      </w:r>
      <w:bookmarkEnd w:id="32"/>
      <w:r w:rsidR="00662123" w:rsidRPr="00662123">
        <w:t xml:space="preserve"> </w:t>
      </w:r>
    </w:p>
    <w:bookmarkEnd w:id="33"/>
    <w:p w14:paraId="1DAAC0D4" w14:textId="1AA64664" w:rsidR="00662123" w:rsidRDefault="00322B32" w:rsidP="00CA0DF7">
      <w:pPr>
        <w:spacing w:before="240" w:after="120" w:line="360" w:lineRule="auto"/>
        <w:jc w:val="both"/>
        <w:rPr>
          <w:rFonts w:cs="Arial"/>
        </w:rPr>
      </w:pPr>
      <w:r>
        <w:rPr>
          <w:rFonts w:cs="Arial"/>
        </w:rPr>
        <w:t>As</w:t>
      </w:r>
      <w:r w:rsidR="00662123" w:rsidRPr="00F360FB">
        <w:rPr>
          <w:rFonts w:cs="Arial"/>
        </w:rPr>
        <w:t xml:space="preserve"> regulation is considered to be a </w:t>
      </w:r>
      <w:r w:rsidR="00662123" w:rsidRPr="00A70440">
        <w:rPr>
          <w:rFonts w:cs="Arial"/>
        </w:rPr>
        <w:t>last resort mechanism</w:t>
      </w:r>
      <w:r w:rsidR="00662123" w:rsidRPr="00F360FB">
        <w:rPr>
          <w:rFonts w:cs="Arial"/>
        </w:rPr>
        <w:t xml:space="preserve"> for implementing government policy, the ABCB could develop and publish an informative Handbook for use by building designers</w:t>
      </w:r>
      <w:r w:rsidR="00662123">
        <w:rPr>
          <w:rFonts w:cs="Arial"/>
        </w:rPr>
        <w:t>, architects and engineers</w:t>
      </w:r>
      <w:r w:rsidR="00662123" w:rsidRPr="00F360FB">
        <w:rPr>
          <w:rFonts w:cs="Arial"/>
        </w:rPr>
        <w:t xml:space="preserve">. </w:t>
      </w:r>
    </w:p>
    <w:p w14:paraId="5DEDF26C" w14:textId="7E8FC4BE" w:rsidR="00CD754F" w:rsidRPr="00B022FE" w:rsidRDefault="00662123" w:rsidP="00CA0DF7">
      <w:pPr>
        <w:spacing w:before="240" w:after="0" w:line="360" w:lineRule="auto"/>
        <w:jc w:val="both"/>
        <w:rPr>
          <w:rFonts w:cs="Arial"/>
        </w:rPr>
      </w:pPr>
      <w:r w:rsidRPr="00F360FB">
        <w:rPr>
          <w:rFonts w:cs="Arial"/>
        </w:rPr>
        <w:t xml:space="preserve">The Handbook could include specific technical guidance on methods of </w:t>
      </w:r>
      <w:r w:rsidRPr="0002711F">
        <w:rPr>
          <w:rFonts w:cs="Arial"/>
          <w:u w:val="single"/>
        </w:rPr>
        <w:t>minimising the potential impact of ember attack</w:t>
      </w:r>
      <w:r w:rsidRPr="00F360FB">
        <w:rPr>
          <w:rFonts w:cs="Arial"/>
        </w:rPr>
        <w:t xml:space="preserve"> on a range of common</w:t>
      </w:r>
      <w:r>
        <w:rPr>
          <w:rFonts w:cs="Arial"/>
        </w:rPr>
        <w:t xml:space="preserve"> forms of construction for the class</w:t>
      </w:r>
      <w:r w:rsidR="008934A3">
        <w:rPr>
          <w:rFonts w:cs="Arial"/>
        </w:rPr>
        <w:t>ifications</w:t>
      </w:r>
      <w:r>
        <w:rPr>
          <w:rFonts w:cs="Arial"/>
        </w:rPr>
        <w:t xml:space="preserve"> of buildings addressed by the proposal and reinforce the need for emergency management evacuation procedures in case of emergencies.</w:t>
      </w:r>
    </w:p>
    <w:p w14:paraId="0444B9FE" w14:textId="77777777" w:rsidR="00C51AA9" w:rsidRPr="000B675B" w:rsidRDefault="00C51AA9" w:rsidP="000B675B">
      <w:pPr>
        <w:pStyle w:val="Heading1"/>
        <w:spacing w:after="240"/>
        <w:rPr>
          <w:rFonts w:ascii="Arial" w:hAnsi="Arial" w:cs="Arial"/>
          <w:b w:val="0"/>
          <w:bCs w:val="0"/>
        </w:rPr>
      </w:pPr>
      <w:bookmarkStart w:id="34" w:name="_Toc71195751"/>
      <w:bookmarkStart w:id="35" w:name="_Toc97023784"/>
      <w:r w:rsidRPr="000B675B">
        <w:rPr>
          <w:rFonts w:ascii="Arial" w:hAnsi="Arial" w:cs="Arial"/>
          <w:b w:val="0"/>
          <w:bCs w:val="0"/>
        </w:rPr>
        <w:t>Impact Analysis</w:t>
      </w:r>
      <w:bookmarkEnd w:id="34"/>
      <w:bookmarkEnd w:id="35"/>
      <w:r w:rsidRPr="000B675B">
        <w:rPr>
          <w:rFonts w:ascii="Arial" w:hAnsi="Arial" w:cs="Arial"/>
          <w:b w:val="0"/>
          <w:bCs w:val="0"/>
        </w:rPr>
        <w:t xml:space="preserve"> </w:t>
      </w:r>
    </w:p>
    <w:p w14:paraId="5BA0045D" w14:textId="1117A13B" w:rsidR="00C51AA9" w:rsidRPr="00B022FE" w:rsidRDefault="00C51AA9" w:rsidP="00CA0DF7">
      <w:pPr>
        <w:spacing w:before="240" w:line="360" w:lineRule="auto"/>
        <w:jc w:val="both"/>
        <w:rPr>
          <w:rFonts w:cs="Arial"/>
        </w:rPr>
      </w:pPr>
      <w:r w:rsidRPr="00B022FE">
        <w:rPr>
          <w:rFonts w:cs="Arial"/>
        </w:rPr>
        <w:t xml:space="preserve">This section provides an assessment of the incremental costs and benefits associated with Option 2 and Option 3 when compared with </w:t>
      </w:r>
      <w:r w:rsidR="008934A3">
        <w:rPr>
          <w:rFonts w:cs="Arial"/>
        </w:rPr>
        <w:t xml:space="preserve">Option 1, i.e. </w:t>
      </w:r>
      <w:r w:rsidRPr="00B022FE">
        <w:rPr>
          <w:rFonts w:cs="Arial"/>
        </w:rPr>
        <w:t xml:space="preserve">the status quo baseline. </w:t>
      </w:r>
    </w:p>
    <w:p w14:paraId="2017A6C8" w14:textId="77777777" w:rsidR="00C51AA9" w:rsidRPr="004410B7" w:rsidRDefault="00C51AA9" w:rsidP="00AA63D4">
      <w:pPr>
        <w:pStyle w:val="Heading2"/>
      </w:pPr>
      <w:bookmarkStart w:id="36" w:name="_Toc47287768"/>
      <w:bookmarkStart w:id="37" w:name="_Toc47287909"/>
      <w:bookmarkStart w:id="38" w:name="_Toc71789279"/>
      <w:bookmarkStart w:id="39" w:name="_Toc97023785"/>
      <w:r w:rsidRPr="004410B7">
        <w:t>Option 1: Retain the status quo</w:t>
      </w:r>
      <w:bookmarkEnd w:id="36"/>
      <w:bookmarkEnd w:id="37"/>
      <w:bookmarkEnd w:id="38"/>
      <w:bookmarkEnd w:id="39"/>
    </w:p>
    <w:p w14:paraId="5C047C7F" w14:textId="77777777" w:rsidR="00B022FE" w:rsidRPr="00B022FE" w:rsidRDefault="00C51AA9" w:rsidP="00CA0DF7">
      <w:pPr>
        <w:spacing w:before="240" w:after="0" w:line="360" w:lineRule="auto"/>
        <w:jc w:val="both"/>
      </w:pPr>
      <w:r w:rsidRPr="00B022FE">
        <w:t>The impacts of the status quo are those reflected in the problem section of this RIS</w:t>
      </w:r>
      <w:r w:rsidR="00B022FE" w:rsidRPr="00B022FE">
        <w:t>.</w:t>
      </w:r>
    </w:p>
    <w:p w14:paraId="09282F36" w14:textId="225618DC" w:rsidR="00C51AA9" w:rsidRPr="00B022FE" w:rsidRDefault="00C51AA9" w:rsidP="00B022FE">
      <w:pPr>
        <w:spacing w:after="0" w:line="360" w:lineRule="auto"/>
        <w:jc w:val="both"/>
      </w:pPr>
      <w:r w:rsidRPr="00B022FE">
        <w:t xml:space="preserve">The status quo will be regarded as the baseline. Where the incremental impacts of each option result in a net cost, the status quo will be recommended. </w:t>
      </w:r>
    </w:p>
    <w:p w14:paraId="65A7DB05" w14:textId="042B682F" w:rsidR="00C51AA9" w:rsidRPr="004410B7" w:rsidRDefault="00C51AA9" w:rsidP="00CA0DF7">
      <w:pPr>
        <w:pStyle w:val="Heading2"/>
        <w:spacing w:before="240"/>
      </w:pPr>
      <w:bookmarkStart w:id="40" w:name="_Toc47287769"/>
      <w:bookmarkStart w:id="41" w:name="_Toc47287910"/>
      <w:bookmarkStart w:id="42" w:name="_Toc71789280"/>
      <w:bookmarkStart w:id="43" w:name="_Toc97023786"/>
      <w:r w:rsidRPr="004410B7">
        <w:t xml:space="preserve">Option 2: </w:t>
      </w:r>
      <w:bookmarkEnd w:id="40"/>
      <w:bookmarkEnd w:id="41"/>
      <w:bookmarkEnd w:id="42"/>
      <w:r w:rsidR="00992577">
        <w:t>Amend</w:t>
      </w:r>
      <w:r w:rsidR="00C23A6B" w:rsidRPr="004410B7">
        <w:t xml:space="preserve"> the Performance Requirements and </w:t>
      </w:r>
      <w:r w:rsidR="00CA0DF7">
        <w:t>DTS</w:t>
      </w:r>
      <w:r w:rsidR="00C23A6B" w:rsidRPr="004410B7">
        <w:t xml:space="preserve"> provisions of Part G of NCC Volume One</w:t>
      </w:r>
      <w:bookmarkEnd w:id="43"/>
    </w:p>
    <w:p w14:paraId="7B3E19C4" w14:textId="340439A3" w:rsidR="004410B7" w:rsidRPr="004410B7" w:rsidRDefault="004410B7" w:rsidP="00CA0DF7">
      <w:pPr>
        <w:spacing w:before="240" w:after="100" w:afterAutospacing="1" w:line="360" w:lineRule="auto"/>
        <w:jc w:val="both"/>
        <w:rPr>
          <w:rFonts w:eastAsia="Times New Roman" w:cs="Arial"/>
          <w:lang w:eastAsia="en-AU"/>
        </w:rPr>
      </w:pPr>
      <w:r w:rsidRPr="004410B7">
        <w:rPr>
          <w:rFonts w:eastAsia="Times New Roman" w:cs="Arial"/>
          <w:lang w:eastAsia="en-AU"/>
        </w:rPr>
        <w:t xml:space="preserve">The costs and benefits of mandating a bushfire </w:t>
      </w:r>
      <w:r w:rsidR="00B022FE">
        <w:rPr>
          <w:rFonts w:eastAsia="Times New Roman" w:cs="Arial"/>
          <w:lang w:eastAsia="en-AU"/>
        </w:rPr>
        <w:t>P</w:t>
      </w:r>
      <w:r w:rsidRPr="004410B7">
        <w:rPr>
          <w:rFonts w:eastAsia="Times New Roman" w:cs="Arial"/>
          <w:lang w:eastAsia="en-AU"/>
        </w:rPr>
        <w:t xml:space="preserve">erformance </w:t>
      </w:r>
      <w:r w:rsidR="00B022FE">
        <w:rPr>
          <w:rFonts w:eastAsia="Times New Roman" w:cs="Arial"/>
          <w:lang w:eastAsia="en-AU"/>
        </w:rPr>
        <w:t>R</w:t>
      </w:r>
      <w:r w:rsidRPr="004410B7">
        <w:rPr>
          <w:rFonts w:eastAsia="Times New Roman" w:cs="Arial"/>
          <w:lang w:eastAsia="en-AU"/>
        </w:rPr>
        <w:t xml:space="preserve">equirement for Class 9 buildings is estimated below. </w:t>
      </w:r>
    </w:p>
    <w:p w14:paraId="186F6798" w14:textId="13B5718D" w:rsidR="004410B7" w:rsidRPr="004410B7" w:rsidRDefault="004410B7" w:rsidP="00CA0DF7">
      <w:pPr>
        <w:pStyle w:val="Heading3"/>
      </w:pPr>
      <w:r w:rsidRPr="004410B7">
        <w:t xml:space="preserve">Costs </w:t>
      </w:r>
    </w:p>
    <w:p w14:paraId="04E60192" w14:textId="77777777" w:rsidR="004410B7" w:rsidRPr="004410B7" w:rsidRDefault="004410B7" w:rsidP="00CA0DF7">
      <w:pPr>
        <w:pStyle w:val="Heading4"/>
        <w:rPr>
          <w:rFonts w:eastAsia="Times New Roman"/>
          <w:lang w:eastAsia="en-AU"/>
        </w:rPr>
      </w:pPr>
      <w:r w:rsidRPr="004410B7">
        <w:rPr>
          <w:rFonts w:eastAsia="Times New Roman"/>
          <w:lang w:eastAsia="en-AU"/>
        </w:rPr>
        <w:t>Additional costs per building</w:t>
      </w:r>
    </w:p>
    <w:p w14:paraId="097244C4" w14:textId="29F735A6" w:rsidR="00C84B1D" w:rsidRDefault="00B022FE" w:rsidP="004410B7">
      <w:pPr>
        <w:spacing w:before="120" w:after="0" w:line="360" w:lineRule="auto"/>
        <w:jc w:val="both"/>
        <w:rPr>
          <w:rFonts w:eastAsia="Times New Roman" w:cs="Arial"/>
          <w:lang w:eastAsia="en-AU"/>
        </w:rPr>
      </w:pPr>
      <w:r>
        <w:rPr>
          <w:rFonts w:eastAsia="Times New Roman" w:cs="Arial"/>
          <w:lang w:eastAsia="en-AU"/>
        </w:rPr>
        <w:t xml:space="preserve">The ABCB commissioned the </w:t>
      </w:r>
      <w:r w:rsidR="008934A3">
        <w:rPr>
          <w:rFonts w:eastAsia="Times New Roman" w:cs="Arial"/>
          <w:lang w:eastAsia="en-AU"/>
        </w:rPr>
        <w:t>q</w:t>
      </w:r>
      <w:r>
        <w:rPr>
          <w:rFonts w:eastAsia="Times New Roman" w:cs="Arial"/>
          <w:lang w:eastAsia="en-AU"/>
        </w:rPr>
        <w:t xml:space="preserve">uantity </w:t>
      </w:r>
      <w:r w:rsidR="008934A3">
        <w:rPr>
          <w:rFonts w:eastAsia="Times New Roman" w:cs="Arial"/>
          <w:lang w:eastAsia="en-AU"/>
        </w:rPr>
        <w:t>s</w:t>
      </w:r>
      <w:r>
        <w:rPr>
          <w:rFonts w:eastAsia="Times New Roman" w:cs="Arial"/>
          <w:lang w:eastAsia="en-AU"/>
        </w:rPr>
        <w:t xml:space="preserve">urveying firm </w:t>
      </w:r>
      <w:r w:rsidR="004410B7" w:rsidRPr="004410B7">
        <w:rPr>
          <w:rFonts w:eastAsia="Times New Roman" w:cs="Arial"/>
          <w:lang w:eastAsia="en-AU"/>
        </w:rPr>
        <w:t xml:space="preserve">Plan Cost </w:t>
      </w:r>
      <w:r>
        <w:rPr>
          <w:rFonts w:eastAsia="Times New Roman" w:cs="Arial"/>
          <w:lang w:eastAsia="en-AU"/>
        </w:rPr>
        <w:t>to estimate</w:t>
      </w:r>
      <w:r w:rsidR="004410B7" w:rsidRPr="004410B7">
        <w:rPr>
          <w:rFonts w:eastAsia="Times New Roman" w:cs="Arial"/>
          <w:lang w:eastAsia="en-AU"/>
        </w:rPr>
        <w:t xml:space="preserve"> the cost impact of complying with the proposed requirements for designated ‘example’ buildings</w:t>
      </w:r>
      <w:r>
        <w:rPr>
          <w:rFonts w:eastAsia="Times New Roman" w:cs="Arial"/>
          <w:lang w:eastAsia="en-AU"/>
        </w:rPr>
        <w:t xml:space="preserve"> chosen </w:t>
      </w:r>
      <w:r w:rsidR="004410B7" w:rsidRPr="004410B7">
        <w:rPr>
          <w:rFonts w:eastAsia="Times New Roman" w:cs="Arial"/>
          <w:lang w:eastAsia="en-AU"/>
        </w:rPr>
        <w:t xml:space="preserve">to be </w:t>
      </w:r>
      <w:r w:rsidR="001204D4">
        <w:rPr>
          <w:rFonts w:eastAsia="Times New Roman" w:cs="Arial"/>
          <w:lang w:eastAsia="en-AU"/>
        </w:rPr>
        <w:t>‘</w:t>
      </w:r>
      <w:r w:rsidR="004410B7" w:rsidRPr="004410B7">
        <w:rPr>
          <w:rFonts w:eastAsia="Times New Roman" w:cs="Arial"/>
          <w:lang w:eastAsia="en-AU"/>
        </w:rPr>
        <w:t>typical examples</w:t>
      </w:r>
      <w:r w:rsidR="001204D4">
        <w:rPr>
          <w:rFonts w:eastAsia="Times New Roman" w:cs="Arial"/>
          <w:lang w:eastAsia="en-AU"/>
        </w:rPr>
        <w:t>’</w:t>
      </w:r>
      <w:r w:rsidR="004410B7" w:rsidRPr="004410B7">
        <w:rPr>
          <w:rFonts w:eastAsia="Times New Roman" w:cs="Arial"/>
          <w:lang w:eastAsia="en-AU"/>
        </w:rPr>
        <w:t xml:space="preserve"> of </w:t>
      </w:r>
      <w:r w:rsidR="001204D4">
        <w:rPr>
          <w:rFonts w:eastAsia="Times New Roman" w:cs="Arial"/>
          <w:lang w:eastAsia="en-AU"/>
        </w:rPr>
        <w:t xml:space="preserve">the following </w:t>
      </w:r>
      <w:r w:rsidR="004410B7" w:rsidRPr="004410B7">
        <w:rPr>
          <w:rFonts w:eastAsia="Times New Roman" w:cs="Arial"/>
          <w:lang w:eastAsia="en-AU"/>
        </w:rPr>
        <w:t xml:space="preserve">building </w:t>
      </w:r>
      <w:r w:rsidR="001204D4">
        <w:rPr>
          <w:rFonts w:eastAsia="Times New Roman" w:cs="Arial"/>
          <w:lang w:eastAsia="en-AU"/>
        </w:rPr>
        <w:t xml:space="preserve">uses found under the </w:t>
      </w:r>
      <w:r w:rsidR="00750BE3">
        <w:rPr>
          <w:rFonts w:eastAsia="Times New Roman" w:cs="Arial"/>
          <w:lang w:eastAsia="en-AU"/>
        </w:rPr>
        <w:t>building classifications</w:t>
      </w:r>
      <w:r w:rsidR="001204D4">
        <w:rPr>
          <w:rFonts w:eastAsia="Times New Roman" w:cs="Arial"/>
          <w:lang w:eastAsia="en-AU"/>
        </w:rPr>
        <w:t xml:space="preserve"> captured</w:t>
      </w:r>
      <w:r w:rsidR="004410B7" w:rsidRPr="004410B7">
        <w:rPr>
          <w:rFonts w:eastAsia="Times New Roman" w:cs="Arial"/>
          <w:lang w:eastAsia="en-AU"/>
        </w:rPr>
        <w:t xml:space="preserve">. </w:t>
      </w:r>
      <w:r w:rsidR="001204D4">
        <w:rPr>
          <w:rFonts w:eastAsia="Times New Roman" w:cs="Arial"/>
          <w:lang w:eastAsia="en-AU"/>
        </w:rPr>
        <w:t>I</w:t>
      </w:r>
      <w:r w:rsidR="00C84B1D">
        <w:rPr>
          <w:rFonts w:eastAsia="Times New Roman" w:cs="Arial"/>
          <w:lang w:eastAsia="en-AU"/>
        </w:rPr>
        <w:t xml:space="preserve">t should be noted </w:t>
      </w:r>
      <w:r w:rsidR="00AD38B4">
        <w:rPr>
          <w:rFonts w:eastAsia="Times New Roman" w:cs="Arial"/>
          <w:lang w:eastAsia="en-AU"/>
        </w:rPr>
        <w:t>the costs were based on designs representative of the average in the experience of the firm</w:t>
      </w:r>
      <w:r w:rsidR="00750BE3">
        <w:rPr>
          <w:rFonts w:eastAsia="Times New Roman" w:cs="Arial"/>
          <w:lang w:eastAsia="en-AU"/>
        </w:rPr>
        <w:t>.</w:t>
      </w:r>
      <w:r w:rsidR="00AD38B4">
        <w:rPr>
          <w:rFonts w:eastAsia="Times New Roman" w:cs="Arial"/>
          <w:lang w:eastAsia="en-AU"/>
        </w:rPr>
        <w:t xml:space="preserve"> </w:t>
      </w:r>
      <w:r w:rsidR="00750BE3">
        <w:rPr>
          <w:rFonts w:eastAsia="Times New Roman" w:cs="Arial"/>
          <w:lang w:eastAsia="en-AU"/>
        </w:rPr>
        <w:t>A</w:t>
      </w:r>
      <w:r w:rsidR="004410B7" w:rsidRPr="004410B7">
        <w:rPr>
          <w:rFonts w:eastAsia="Times New Roman" w:cs="Arial"/>
          <w:lang w:eastAsia="en-AU"/>
        </w:rPr>
        <w:t xml:space="preserve">ctual cost implications will vary considerably depending upon </w:t>
      </w:r>
      <w:r w:rsidR="001204D4">
        <w:rPr>
          <w:rFonts w:eastAsia="Times New Roman" w:cs="Arial"/>
          <w:lang w:eastAsia="en-AU"/>
        </w:rPr>
        <w:t>a</w:t>
      </w:r>
      <w:r w:rsidR="001204D4" w:rsidRPr="004410B7">
        <w:rPr>
          <w:rFonts w:eastAsia="Times New Roman" w:cs="Arial"/>
          <w:lang w:eastAsia="en-AU"/>
        </w:rPr>
        <w:t xml:space="preserve"> </w:t>
      </w:r>
      <w:r w:rsidR="004410B7" w:rsidRPr="004410B7">
        <w:rPr>
          <w:rFonts w:eastAsia="Times New Roman" w:cs="Arial"/>
          <w:lang w:eastAsia="en-AU"/>
        </w:rPr>
        <w:t>building</w:t>
      </w:r>
      <w:r w:rsidR="001204D4">
        <w:rPr>
          <w:rFonts w:eastAsia="Times New Roman" w:cs="Arial"/>
          <w:lang w:eastAsia="en-AU"/>
        </w:rPr>
        <w:t>’s particular</w:t>
      </w:r>
      <w:r w:rsidR="004410B7" w:rsidRPr="004410B7">
        <w:rPr>
          <w:rFonts w:eastAsia="Times New Roman" w:cs="Arial"/>
          <w:lang w:eastAsia="en-AU"/>
        </w:rPr>
        <w:t xml:space="preserve"> design</w:t>
      </w:r>
      <w:r w:rsidR="00C84B1D">
        <w:rPr>
          <w:rFonts w:eastAsia="Times New Roman" w:cs="Arial"/>
          <w:lang w:eastAsia="en-AU"/>
        </w:rPr>
        <w:t>, size and location</w:t>
      </w:r>
      <w:r w:rsidR="000C16CC">
        <w:rPr>
          <w:rStyle w:val="FootnoteReference"/>
          <w:rFonts w:eastAsia="Times New Roman" w:cs="Arial"/>
          <w:lang w:eastAsia="en-AU"/>
        </w:rPr>
        <w:footnoteReference w:id="19"/>
      </w:r>
      <w:r w:rsidR="001204D4">
        <w:rPr>
          <w:rFonts w:eastAsia="Times New Roman" w:cs="Arial"/>
          <w:lang w:eastAsia="en-AU"/>
        </w:rPr>
        <w:t>.</w:t>
      </w:r>
      <w:r w:rsidR="004410B7" w:rsidRPr="004410B7">
        <w:rPr>
          <w:rFonts w:eastAsia="Times New Roman" w:cs="Arial"/>
          <w:lang w:eastAsia="en-AU"/>
        </w:rPr>
        <w:t xml:space="preserve"> </w:t>
      </w:r>
    </w:p>
    <w:p w14:paraId="2A013635" w14:textId="721158AC" w:rsidR="00C84B1D" w:rsidRPr="004410B7" w:rsidRDefault="004410B7" w:rsidP="004E1FB8">
      <w:pPr>
        <w:spacing w:before="120" w:after="240" w:line="360" w:lineRule="auto"/>
        <w:jc w:val="both"/>
        <w:rPr>
          <w:rFonts w:eastAsia="Times New Roman" w:cs="Arial"/>
          <w:lang w:eastAsia="en-AU"/>
        </w:rPr>
      </w:pPr>
      <w:r w:rsidRPr="004410B7">
        <w:rPr>
          <w:rFonts w:eastAsia="Times New Roman" w:cs="Arial"/>
          <w:lang w:eastAsia="en-AU"/>
        </w:rPr>
        <w:t xml:space="preserve">The results of Plan Cost’s analysis is shown </w:t>
      </w:r>
      <w:r w:rsidR="00C84B1D">
        <w:rPr>
          <w:rFonts w:eastAsia="Times New Roman" w:cs="Arial"/>
          <w:lang w:eastAsia="en-AU"/>
        </w:rPr>
        <w:t>in the below table</w:t>
      </w:r>
      <w:r w:rsidRPr="004410B7">
        <w:rPr>
          <w:rFonts w:eastAsia="Times New Roman" w:cs="Arial"/>
          <w:lang w:eastAsia="en-AU"/>
        </w:rPr>
        <w:t>.</w:t>
      </w:r>
    </w:p>
    <w:p w14:paraId="6FCD4A34" w14:textId="393A013A" w:rsidR="004E1FB8" w:rsidRPr="00BA7D1F" w:rsidRDefault="004E1FB8" w:rsidP="00EA58B4">
      <w:r w:rsidRPr="00CA0DF7">
        <w:rPr>
          <w:b/>
        </w:rPr>
        <w:t xml:space="preserve">Table </w:t>
      </w:r>
      <w:r w:rsidR="00971B27" w:rsidRPr="00CA0DF7">
        <w:rPr>
          <w:b/>
          <w:noProof/>
        </w:rPr>
        <w:fldChar w:fldCharType="begin"/>
      </w:r>
      <w:r w:rsidR="00971B27" w:rsidRPr="00CA0DF7">
        <w:rPr>
          <w:b/>
          <w:noProof/>
        </w:rPr>
        <w:instrText xml:space="preserve"> SEQ Table \* ARABIC </w:instrText>
      </w:r>
      <w:r w:rsidR="00971B27" w:rsidRPr="00CA0DF7">
        <w:rPr>
          <w:b/>
          <w:noProof/>
        </w:rPr>
        <w:fldChar w:fldCharType="separate"/>
      </w:r>
      <w:r w:rsidR="00932DA8" w:rsidRPr="00CA0DF7">
        <w:rPr>
          <w:b/>
          <w:noProof/>
        </w:rPr>
        <w:t>1</w:t>
      </w:r>
      <w:r w:rsidR="00971B27" w:rsidRPr="00CA0DF7">
        <w:rPr>
          <w:b/>
          <w:noProof/>
        </w:rPr>
        <w:fldChar w:fldCharType="end"/>
      </w:r>
      <w:r w:rsidRPr="00CA0DF7">
        <w:rPr>
          <w:b/>
        </w:rPr>
        <w:t>:</w:t>
      </w:r>
      <w:r w:rsidRPr="00BA7D1F">
        <w:t xml:space="preserve"> Costs of Option 2</w:t>
      </w:r>
      <w:r w:rsidR="009F64D9">
        <w:t xml:space="preserve"> for example buildings</w:t>
      </w:r>
    </w:p>
    <w:tbl>
      <w:tblPr>
        <w:tblStyle w:val="TableGrid3"/>
        <w:tblW w:w="0" w:type="auto"/>
        <w:tblLook w:val="0480" w:firstRow="0" w:lastRow="0" w:firstColumn="1" w:lastColumn="0" w:noHBand="0" w:noVBand="1"/>
        <w:tblCaption w:val="Table 1: Costs of Option 2 for example buildings"/>
        <w:tblDescription w:val="The table shows the largest increase in costs as a percentage of constrcution costs occur in childcare, schools followed by hospitals and aged care."/>
      </w:tblPr>
      <w:tblGrid>
        <w:gridCol w:w="2371"/>
        <w:gridCol w:w="2371"/>
        <w:gridCol w:w="2371"/>
        <w:gridCol w:w="1342"/>
      </w:tblGrid>
      <w:tr w:rsidR="0067270E" w:rsidRPr="004410B7" w14:paraId="7A45DC0A" w14:textId="77777777" w:rsidTr="00C865CB">
        <w:trPr>
          <w:tblHeader/>
        </w:trPr>
        <w:tc>
          <w:tcPr>
            <w:tcW w:w="2371" w:type="dxa"/>
            <w:shd w:val="clear" w:color="auto" w:fill="002060"/>
          </w:tcPr>
          <w:p w14:paraId="010A2EF6"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Building type</w:t>
            </w:r>
          </w:p>
        </w:tc>
        <w:tc>
          <w:tcPr>
            <w:tcW w:w="2371" w:type="dxa"/>
            <w:shd w:val="clear" w:color="auto" w:fill="002060"/>
          </w:tcPr>
          <w:p w14:paraId="7EB85381" w14:textId="77777777" w:rsidR="004410B7" w:rsidRPr="004410B7" w:rsidRDefault="004410B7" w:rsidP="004E1FB8">
            <w:pPr>
              <w:spacing w:before="100" w:beforeAutospacing="1" w:after="100" w:afterAutospacing="1" w:line="360" w:lineRule="auto"/>
              <w:rPr>
                <w:rFonts w:cs="Arial"/>
                <w:sz w:val="22"/>
                <w:szCs w:val="22"/>
              </w:rPr>
            </w:pPr>
            <w:r w:rsidRPr="004410B7">
              <w:rPr>
                <w:rFonts w:cs="Arial"/>
                <w:sz w:val="22"/>
                <w:szCs w:val="22"/>
              </w:rPr>
              <w:t>Typical construction cost, status quo</w:t>
            </w:r>
          </w:p>
        </w:tc>
        <w:tc>
          <w:tcPr>
            <w:tcW w:w="2371" w:type="dxa"/>
            <w:shd w:val="clear" w:color="auto" w:fill="002060"/>
          </w:tcPr>
          <w:p w14:paraId="0068684A"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Additional costs, as a result of the proposal</w:t>
            </w:r>
          </w:p>
        </w:tc>
        <w:tc>
          <w:tcPr>
            <w:tcW w:w="1048" w:type="dxa"/>
            <w:shd w:val="clear" w:color="auto" w:fill="002060"/>
          </w:tcPr>
          <w:p w14:paraId="4075979B" w14:textId="5E97A42F" w:rsidR="004410B7" w:rsidRPr="004410B7" w:rsidRDefault="004E1FB8" w:rsidP="004410B7">
            <w:pPr>
              <w:spacing w:before="100" w:beforeAutospacing="1" w:after="100" w:afterAutospacing="1" w:line="360" w:lineRule="auto"/>
              <w:jc w:val="both"/>
              <w:rPr>
                <w:rFonts w:cs="Arial"/>
                <w:sz w:val="22"/>
                <w:szCs w:val="22"/>
              </w:rPr>
            </w:pPr>
            <w:r>
              <w:rPr>
                <w:rFonts w:cs="Arial"/>
                <w:sz w:val="22"/>
                <w:szCs w:val="22"/>
              </w:rPr>
              <w:t xml:space="preserve">Percentage </w:t>
            </w:r>
            <w:r w:rsidR="004410B7" w:rsidRPr="004410B7">
              <w:rPr>
                <w:rFonts w:cs="Arial"/>
                <w:sz w:val="22"/>
                <w:szCs w:val="22"/>
              </w:rPr>
              <w:t>increase</w:t>
            </w:r>
          </w:p>
        </w:tc>
      </w:tr>
      <w:tr w:rsidR="004E1FB8" w:rsidRPr="004410B7" w14:paraId="7B9F7517" w14:textId="77777777" w:rsidTr="00C865CB">
        <w:trPr>
          <w:tblHeader/>
        </w:trPr>
        <w:tc>
          <w:tcPr>
            <w:tcW w:w="2371" w:type="dxa"/>
          </w:tcPr>
          <w:p w14:paraId="651765D7"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School</w:t>
            </w:r>
          </w:p>
        </w:tc>
        <w:tc>
          <w:tcPr>
            <w:tcW w:w="2371" w:type="dxa"/>
          </w:tcPr>
          <w:p w14:paraId="4DAACCD6"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$8,820,000</w:t>
            </w:r>
          </w:p>
        </w:tc>
        <w:tc>
          <w:tcPr>
            <w:tcW w:w="2371" w:type="dxa"/>
          </w:tcPr>
          <w:p w14:paraId="2C80FE84"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$1,315,913</w:t>
            </w:r>
          </w:p>
        </w:tc>
        <w:tc>
          <w:tcPr>
            <w:tcW w:w="1048" w:type="dxa"/>
          </w:tcPr>
          <w:p w14:paraId="6BB0E072"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15.0%</w:t>
            </w:r>
          </w:p>
        </w:tc>
      </w:tr>
      <w:tr w:rsidR="004E1FB8" w:rsidRPr="004410B7" w14:paraId="02461BE2" w14:textId="77777777" w:rsidTr="00C865CB">
        <w:trPr>
          <w:tblHeader/>
        </w:trPr>
        <w:tc>
          <w:tcPr>
            <w:tcW w:w="2371" w:type="dxa"/>
          </w:tcPr>
          <w:p w14:paraId="2F5BE0FA"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Child care</w:t>
            </w:r>
          </w:p>
        </w:tc>
        <w:tc>
          <w:tcPr>
            <w:tcW w:w="2371" w:type="dxa"/>
          </w:tcPr>
          <w:p w14:paraId="72D2A6C4"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$1,890,000</w:t>
            </w:r>
          </w:p>
        </w:tc>
        <w:tc>
          <w:tcPr>
            <w:tcW w:w="2371" w:type="dxa"/>
          </w:tcPr>
          <w:p w14:paraId="1654A624"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$333,349</w:t>
            </w:r>
          </w:p>
        </w:tc>
        <w:tc>
          <w:tcPr>
            <w:tcW w:w="1048" w:type="dxa"/>
          </w:tcPr>
          <w:p w14:paraId="48766D26"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17.6%</w:t>
            </w:r>
          </w:p>
        </w:tc>
      </w:tr>
      <w:tr w:rsidR="004E1FB8" w:rsidRPr="004410B7" w14:paraId="700F7623" w14:textId="77777777" w:rsidTr="00C865CB">
        <w:trPr>
          <w:tblHeader/>
        </w:trPr>
        <w:tc>
          <w:tcPr>
            <w:tcW w:w="2371" w:type="dxa"/>
          </w:tcPr>
          <w:p w14:paraId="56A84EBE"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Aged care</w:t>
            </w:r>
          </w:p>
        </w:tc>
        <w:tc>
          <w:tcPr>
            <w:tcW w:w="2371" w:type="dxa"/>
          </w:tcPr>
          <w:p w14:paraId="11E1BE39"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$22,050,000</w:t>
            </w:r>
          </w:p>
        </w:tc>
        <w:tc>
          <w:tcPr>
            <w:tcW w:w="2371" w:type="dxa"/>
          </w:tcPr>
          <w:p w14:paraId="1C4B4A1B"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$347,533</w:t>
            </w:r>
          </w:p>
        </w:tc>
        <w:tc>
          <w:tcPr>
            <w:tcW w:w="1048" w:type="dxa"/>
          </w:tcPr>
          <w:p w14:paraId="0F66A688"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1.6%</w:t>
            </w:r>
          </w:p>
        </w:tc>
      </w:tr>
      <w:tr w:rsidR="004E1FB8" w:rsidRPr="004410B7" w14:paraId="31C9F377" w14:textId="77777777" w:rsidTr="00C865CB">
        <w:trPr>
          <w:tblHeader/>
        </w:trPr>
        <w:tc>
          <w:tcPr>
            <w:tcW w:w="2371" w:type="dxa"/>
          </w:tcPr>
          <w:p w14:paraId="1C34088A"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Hospitals</w:t>
            </w:r>
          </w:p>
        </w:tc>
        <w:tc>
          <w:tcPr>
            <w:tcW w:w="2371" w:type="dxa"/>
          </w:tcPr>
          <w:p w14:paraId="1338584C"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$23,630,000</w:t>
            </w:r>
          </w:p>
        </w:tc>
        <w:tc>
          <w:tcPr>
            <w:tcW w:w="2371" w:type="dxa"/>
          </w:tcPr>
          <w:p w14:paraId="73A01DFE"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$393,525</w:t>
            </w:r>
          </w:p>
        </w:tc>
        <w:tc>
          <w:tcPr>
            <w:tcW w:w="1048" w:type="dxa"/>
          </w:tcPr>
          <w:p w14:paraId="60AB96ED"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1.7%</w:t>
            </w:r>
          </w:p>
        </w:tc>
      </w:tr>
    </w:tbl>
    <w:p w14:paraId="709A8A04" w14:textId="6023FBF1" w:rsidR="009F64D9" w:rsidRPr="00CE2317" w:rsidRDefault="009F64D9" w:rsidP="004410B7">
      <w:pPr>
        <w:spacing w:before="100" w:beforeAutospacing="1" w:after="100" w:afterAutospacing="1" w:line="360" w:lineRule="auto"/>
        <w:jc w:val="both"/>
        <w:rPr>
          <w:rFonts w:eastAsia="Times New Roman" w:cs="Arial"/>
          <w:sz w:val="20"/>
          <w:lang w:eastAsia="en-AU"/>
        </w:rPr>
      </w:pPr>
      <w:r w:rsidRPr="00CE2317">
        <w:rPr>
          <w:rFonts w:eastAsia="Times New Roman" w:cs="Arial"/>
          <w:sz w:val="20"/>
          <w:lang w:eastAsia="en-AU"/>
        </w:rPr>
        <w:t>Source: Plan Cost, 2021</w:t>
      </w:r>
    </w:p>
    <w:p w14:paraId="2B8DEF41" w14:textId="77777777" w:rsidR="004410B7" w:rsidRPr="004410B7" w:rsidRDefault="004410B7" w:rsidP="00CA0DF7">
      <w:pPr>
        <w:pStyle w:val="Heading4"/>
        <w:rPr>
          <w:rFonts w:eastAsia="Times New Roman"/>
          <w:lang w:eastAsia="en-AU"/>
        </w:rPr>
      </w:pPr>
      <w:r w:rsidRPr="004410B7">
        <w:rPr>
          <w:rFonts w:eastAsia="Times New Roman"/>
          <w:lang w:eastAsia="en-AU"/>
        </w:rPr>
        <w:t>Estimated number of affected buildings constructed per annum</w:t>
      </w:r>
    </w:p>
    <w:p w14:paraId="6FDD790B" w14:textId="0BD1E784" w:rsidR="00F65E75" w:rsidRDefault="009F64D9" w:rsidP="004410B7">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 xml:space="preserve">There is no national data source </w:t>
      </w:r>
      <w:r w:rsidR="00F809F5">
        <w:rPr>
          <w:rFonts w:eastAsia="Times New Roman" w:cs="Arial"/>
          <w:lang w:eastAsia="en-AU"/>
        </w:rPr>
        <w:t>for</w:t>
      </w:r>
      <w:r w:rsidRPr="004410B7">
        <w:rPr>
          <w:rFonts w:eastAsia="Times New Roman" w:cs="Arial"/>
          <w:lang w:eastAsia="en-AU"/>
        </w:rPr>
        <w:t xml:space="preserve"> the number of these buildings built per annum in bushfire prone areas. Therefore, the estimate of the number of buildings affected by this proposal is based on a significant number of </w:t>
      </w:r>
      <w:r w:rsidR="00F65E75">
        <w:rPr>
          <w:rFonts w:eastAsia="Times New Roman" w:cs="Arial"/>
          <w:lang w:eastAsia="en-AU"/>
        </w:rPr>
        <w:t xml:space="preserve">different </w:t>
      </w:r>
      <w:r w:rsidR="00F809F5">
        <w:rPr>
          <w:rFonts w:eastAsia="Times New Roman" w:cs="Arial"/>
          <w:lang w:eastAsia="en-AU"/>
        </w:rPr>
        <w:t xml:space="preserve">building specific data </w:t>
      </w:r>
      <w:r w:rsidR="00F65E75">
        <w:rPr>
          <w:rFonts w:eastAsia="Times New Roman" w:cs="Arial"/>
          <w:lang w:eastAsia="en-AU"/>
        </w:rPr>
        <w:t>sources</w:t>
      </w:r>
      <w:r w:rsidR="00F809F5">
        <w:rPr>
          <w:rFonts w:eastAsia="Times New Roman" w:cs="Arial"/>
          <w:lang w:eastAsia="en-AU"/>
        </w:rPr>
        <w:t xml:space="preserve">, growth </w:t>
      </w:r>
      <w:r w:rsidR="0063070E">
        <w:rPr>
          <w:rFonts w:eastAsia="Times New Roman" w:cs="Arial"/>
          <w:lang w:eastAsia="en-AU"/>
        </w:rPr>
        <w:t xml:space="preserve">projections and </w:t>
      </w:r>
      <w:r w:rsidR="00F809F5">
        <w:rPr>
          <w:rFonts w:eastAsia="Times New Roman" w:cs="Arial"/>
          <w:lang w:eastAsia="en-AU"/>
        </w:rPr>
        <w:t>rates of development where published</w:t>
      </w:r>
      <w:r w:rsidR="00137803">
        <w:rPr>
          <w:rStyle w:val="FootnoteReference"/>
          <w:rFonts w:eastAsia="Times New Roman" w:cs="Arial"/>
          <w:lang w:eastAsia="en-AU"/>
        </w:rPr>
        <w:footnoteReference w:id="20"/>
      </w:r>
      <w:r w:rsidR="00F809F5">
        <w:rPr>
          <w:rFonts w:eastAsia="Times New Roman" w:cs="Arial"/>
          <w:lang w:eastAsia="en-AU"/>
        </w:rPr>
        <w:t>.</w:t>
      </w:r>
    </w:p>
    <w:p w14:paraId="7F204DFA" w14:textId="78E0F632" w:rsidR="004410B7" w:rsidRPr="004410B7" w:rsidRDefault="001204D4" w:rsidP="009C3702">
      <w:pPr>
        <w:spacing w:before="240" w:after="100" w:afterAutospacing="1" w:line="360" w:lineRule="auto"/>
        <w:jc w:val="both"/>
        <w:rPr>
          <w:rFonts w:eastAsia="Times New Roman" w:cs="Arial"/>
          <w:lang w:eastAsia="en-AU"/>
        </w:rPr>
      </w:pPr>
      <w:r>
        <w:rPr>
          <w:rFonts w:eastAsia="Times New Roman" w:cs="Arial"/>
          <w:lang w:eastAsia="en-AU"/>
        </w:rPr>
        <w:t xml:space="preserve">It is </w:t>
      </w:r>
      <w:r w:rsidR="004410B7" w:rsidRPr="004410B7">
        <w:rPr>
          <w:rFonts w:eastAsia="Times New Roman" w:cs="Arial"/>
          <w:lang w:eastAsia="en-AU"/>
        </w:rPr>
        <w:t xml:space="preserve">estimated that, nationally the following number of </w:t>
      </w:r>
      <w:r>
        <w:rPr>
          <w:rFonts w:eastAsia="Times New Roman" w:cs="Arial"/>
          <w:lang w:eastAsia="en-AU"/>
        </w:rPr>
        <w:t xml:space="preserve">these </w:t>
      </w:r>
      <w:r w:rsidR="004410B7" w:rsidRPr="004410B7">
        <w:rPr>
          <w:rFonts w:eastAsia="Times New Roman" w:cs="Arial"/>
          <w:lang w:eastAsia="en-AU"/>
        </w:rPr>
        <w:t xml:space="preserve">buildings are built per year in bushfire prone areas </w:t>
      </w:r>
    </w:p>
    <w:p w14:paraId="41671ACF" w14:textId="24237F6C" w:rsidR="00BA7D1F" w:rsidRDefault="00BA7D1F" w:rsidP="001B653A">
      <w:pPr>
        <w:pStyle w:val="Caption"/>
      </w:pPr>
      <w:r w:rsidRPr="00CA0DF7">
        <w:rPr>
          <w:b/>
        </w:rPr>
        <w:t xml:space="preserve">Table </w:t>
      </w:r>
      <w:r w:rsidR="00971B27" w:rsidRPr="00CA0DF7">
        <w:rPr>
          <w:b/>
          <w:noProof/>
        </w:rPr>
        <w:fldChar w:fldCharType="begin"/>
      </w:r>
      <w:r w:rsidR="00971B27" w:rsidRPr="00CA0DF7">
        <w:rPr>
          <w:b/>
          <w:noProof/>
        </w:rPr>
        <w:instrText xml:space="preserve"> SEQ Table \* ARABIC </w:instrText>
      </w:r>
      <w:r w:rsidR="00971B27" w:rsidRPr="00CA0DF7">
        <w:rPr>
          <w:b/>
          <w:noProof/>
        </w:rPr>
        <w:fldChar w:fldCharType="separate"/>
      </w:r>
      <w:r w:rsidR="00932DA8" w:rsidRPr="00CA0DF7">
        <w:rPr>
          <w:b/>
          <w:noProof/>
        </w:rPr>
        <w:t>2</w:t>
      </w:r>
      <w:r w:rsidR="00971B27" w:rsidRPr="00CA0DF7">
        <w:rPr>
          <w:b/>
          <w:noProof/>
        </w:rPr>
        <w:fldChar w:fldCharType="end"/>
      </w:r>
      <w:r w:rsidRPr="00CA0DF7">
        <w:rPr>
          <w:b/>
        </w:rPr>
        <w:t>:</w:t>
      </w:r>
      <w:r w:rsidRPr="00BA7D1F">
        <w:t xml:space="preserve"> Number of buildings constructed per annum and aggregate cost of Option 2</w:t>
      </w:r>
    </w:p>
    <w:tbl>
      <w:tblPr>
        <w:tblStyle w:val="TableGrid3"/>
        <w:tblW w:w="7112" w:type="dxa"/>
        <w:tblLook w:val="04A0" w:firstRow="1" w:lastRow="0" w:firstColumn="1" w:lastColumn="0" w:noHBand="0" w:noVBand="1"/>
        <w:tblCaption w:val="Table 2: Number of buildings constructed per annum and aggregate cost of Option 2"/>
        <w:tblDescription w:val="The table shows the increase in aggregate costs from the proposal for representative building types of $19.4 million for childcare, $6.8 million for aged care, $6.2 million for schools and 2.7 million for hospitals."/>
      </w:tblPr>
      <w:tblGrid>
        <w:gridCol w:w="2292"/>
        <w:gridCol w:w="2410"/>
        <w:gridCol w:w="2410"/>
      </w:tblGrid>
      <w:tr w:rsidR="00BA7D1F" w:rsidRPr="004410B7" w14:paraId="62ED06F6" w14:textId="77777777" w:rsidTr="00C865CB">
        <w:trPr>
          <w:tblHeader/>
        </w:trPr>
        <w:tc>
          <w:tcPr>
            <w:tcW w:w="2292" w:type="dxa"/>
            <w:shd w:val="clear" w:color="auto" w:fill="002060"/>
          </w:tcPr>
          <w:p w14:paraId="155C66F6"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Building type</w:t>
            </w:r>
          </w:p>
        </w:tc>
        <w:tc>
          <w:tcPr>
            <w:tcW w:w="2410" w:type="dxa"/>
            <w:shd w:val="clear" w:color="auto" w:fill="002060"/>
          </w:tcPr>
          <w:p w14:paraId="14E697A7" w14:textId="77777777" w:rsidR="004410B7" w:rsidRPr="004410B7" w:rsidRDefault="004410B7" w:rsidP="00BA7D1F">
            <w:pPr>
              <w:spacing w:before="100" w:beforeAutospacing="1" w:after="100" w:afterAutospacing="1" w:line="360" w:lineRule="auto"/>
              <w:rPr>
                <w:rFonts w:cs="Arial"/>
                <w:sz w:val="22"/>
                <w:szCs w:val="22"/>
              </w:rPr>
            </w:pPr>
            <w:r w:rsidRPr="004410B7">
              <w:rPr>
                <w:rFonts w:cs="Arial"/>
                <w:sz w:val="22"/>
                <w:szCs w:val="22"/>
              </w:rPr>
              <w:t>Number constructed per annum, BPA nationally</w:t>
            </w:r>
          </w:p>
        </w:tc>
        <w:tc>
          <w:tcPr>
            <w:tcW w:w="2410" w:type="dxa"/>
            <w:shd w:val="clear" w:color="auto" w:fill="002060"/>
          </w:tcPr>
          <w:p w14:paraId="6D54A28E" w14:textId="77777777" w:rsidR="004410B7" w:rsidRPr="004410B7" w:rsidRDefault="004410B7" w:rsidP="00BA7D1F">
            <w:pPr>
              <w:spacing w:before="100" w:beforeAutospacing="1" w:after="100" w:afterAutospacing="1" w:line="360" w:lineRule="auto"/>
              <w:rPr>
                <w:rFonts w:cs="Arial"/>
                <w:sz w:val="22"/>
                <w:szCs w:val="22"/>
              </w:rPr>
            </w:pPr>
            <w:r w:rsidRPr="004410B7">
              <w:rPr>
                <w:rFonts w:cs="Arial"/>
                <w:sz w:val="22"/>
                <w:szCs w:val="22"/>
              </w:rPr>
              <w:t>Estimated total additional costs, per year, national</w:t>
            </w:r>
          </w:p>
        </w:tc>
      </w:tr>
      <w:tr w:rsidR="004410B7" w:rsidRPr="004410B7" w14:paraId="19244CB8" w14:textId="77777777" w:rsidTr="00C865CB">
        <w:trPr>
          <w:tblHeader/>
        </w:trPr>
        <w:tc>
          <w:tcPr>
            <w:tcW w:w="2292" w:type="dxa"/>
          </w:tcPr>
          <w:p w14:paraId="3A31026E" w14:textId="26DB4CBF"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School</w:t>
            </w:r>
          </w:p>
        </w:tc>
        <w:tc>
          <w:tcPr>
            <w:tcW w:w="2410" w:type="dxa"/>
          </w:tcPr>
          <w:p w14:paraId="0537017E"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5</w:t>
            </w:r>
          </w:p>
        </w:tc>
        <w:tc>
          <w:tcPr>
            <w:tcW w:w="2410" w:type="dxa"/>
          </w:tcPr>
          <w:p w14:paraId="2A40F5D9"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$6,206,735</w:t>
            </w:r>
          </w:p>
        </w:tc>
      </w:tr>
      <w:tr w:rsidR="004410B7" w:rsidRPr="004410B7" w14:paraId="280FC5C4" w14:textId="77777777" w:rsidTr="00C865CB">
        <w:trPr>
          <w:tblHeader/>
        </w:trPr>
        <w:tc>
          <w:tcPr>
            <w:tcW w:w="2292" w:type="dxa"/>
          </w:tcPr>
          <w:p w14:paraId="209FDBE1"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Child care</w:t>
            </w:r>
          </w:p>
        </w:tc>
        <w:tc>
          <w:tcPr>
            <w:tcW w:w="2410" w:type="dxa"/>
          </w:tcPr>
          <w:p w14:paraId="2FC30096" w14:textId="23EB76DA" w:rsidR="004410B7" w:rsidRPr="004410B7" w:rsidRDefault="00F809F5" w:rsidP="004410B7">
            <w:pPr>
              <w:spacing w:before="100" w:beforeAutospacing="1" w:after="100" w:afterAutospacing="1" w:line="360" w:lineRule="auto"/>
              <w:jc w:val="both"/>
              <w:rPr>
                <w:rFonts w:cs="Arial"/>
                <w:sz w:val="22"/>
                <w:szCs w:val="22"/>
              </w:rPr>
            </w:pPr>
            <w:r>
              <w:rPr>
                <w:rFonts w:cs="Arial"/>
                <w:sz w:val="22"/>
                <w:szCs w:val="22"/>
              </w:rPr>
              <w:t>49</w:t>
            </w:r>
          </w:p>
        </w:tc>
        <w:tc>
          <w:tcPr>
            <w:tcW w:w="2410" w:type="dxa"/>
          </w:tcPr>
          <w:p w14:paraId="66FA36A8"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$19,411,422</w:t>
            </w:r>
          </w:p>
        </w:tc>
      </w:tr>
      <w:tr w:rsidR="004410B7" w:rsidRPr="004410B7" w14:paraId="71A10321" w14:textId="77777777" w:rsidTr="00C865CB">
        <w:trPr>
          <w:tblHeader/>
        </w:trPr>
        <w:tc>
          <w:tcPr>
            <w:tcW w:w="2292" w:type="dxa"/>
          </w:tcPr>
          <w:p w14:paraId="0022B7EA" w14:textId="655D6B81"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Aged care</w:t>
            </w:r>
          </w:p>
        </w:tc>
        <w:tc>
          <w:tcPr>
            <w:tcW w:w="2410" w:type="dxa"/>
          </w:tcPr>
          <w:p w14:paraId="4EF638F7"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20</w:t>
            </w:r>
          </w:p>
        </w:tc>
        <w:tc>
          <w:tcPr>
            <w:tcW w:w="2410" w:type="dxa"/>
          </w:tcPr>
          <w:p w14:paraId="56F434F8"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$6,804,775</w:t>
            </w:r>
          </w:p>
        </w:tc>
      </w:tr>
      <w:tr w:rsidR="004410B7" w:rsidRPr="004410B7" w14:paraId="53BA9EA7" w14:textId="77777777" w:rsidTr="00C865CB">
        <w:trPr>
          <w:tblHeader/>
        </w:trPr>
        <w:tc>
          <w:tcPr>
            <w:tcW w:w="2292" w:type="dxa"/>
          </w:tcPr>
          <w:p w14:paraId="4901FE8D" w14:textId="7CB3F67D"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Hospitals</w:t>
            </w:r>
          </w:p>
        </w:tc>
        <w:tc>
          <w:tcPr>
            <w:tcW w:w="2410" w:type="dxa"/>
          </w:tcPr>
          <w:p w14:paraId="6C8F40E9" w14:textId="1B3B5DA4" w:rsidR="004410B7" w:rsidRPr="004410B7" w:rsidRDefault="00F809F5" w:rsidP="004410B7">
            <w:pPr>
              <w:spacing w:before="100" w:beforeAutospacing="1" w:after="100" w:afterAutospacing="1" w:line="360" w:lineRule="auto"/>
              <w:jc w:val="both"/>
              <w:rPr>
                <w:rFonts w:cs="Arial"/>
                <w:sz w:val="22"/>
                <w:szCs w:val="22"/>
              </w:rPr>
            </w:pPr>
            <w:r>
              <w:rPr>
                <w:rFonts w:cs="Arial"/>
                <w:sz w:val="22"/>
                <w:szCs w:val="22"/>
              </w:rPr>
              <w:t>7</w:t>
            </w:r>
          </w:p>
        </w:tc>
        <w:tc>
          <w:tcPr>
            <w:tcW w:w="2410" w:type="dxa"/>
          </w:tcPr>
          <w:p w14:paraId="4EBA14BE" w14:textId="77777777" w:rsidR="004410B7" w:rsidRPr="004410B7" w:rsidRDefault="004410B7" w:rsidP="004410B7">
            <w:pPr>
              <w:spacing w:before="100" w:beforeAutospacing="1" w:after="100" w:afterAutospacing="1" w:line="360" w:lineRule="auto"/>
              <w:jc w:val="both"/>
              <w:rPr>
                <w:rFonts w:cs="Arial"/>
                <w:sz w:val="22"/>
                <w:szCs w:val="22"/>
              </w:rPr>
            </w:pPr>
            <w:r w:rsidRPr="004410B7">
              <w:rPr>
                <w:rFonts w:cs="Arial"/>
                <w:sz w:val="22"/>
                <w:szCs w:val="22"/>
              </w:rPr>
              <w:t>$2,687,930</w:t>
            </w:r>
          </w:p>
        </w:tc>
      </w:tr>
    </w:tbl>
    <w:p w14:paraId="48C47962" w14:textId="667A30B3" w:rsidR="009F64D9" w:rsidRPr="00CA0DF7" w:rsidRDefault="00F809F5" w:rsidP="00EA58B4">
      <w:pPr>
        <w:spacing w:before="120" w:after="0" w:line="360" w:lineRule="auto"/>
        <w:jc w:val="both"/>
        <w:rPr>
          <w:rFonts w:eastAsia="Times New Roman" w:cs="Arial"/>
          <w:color w:val="000000"/>
          <w:sz w:val="20"/>
          <w:lang w:eastAsia="en-AU"/>
        </w:rPr>
      </w:pPr>
      <w:r w:rsidRPr="00CA0DF7">
        <w:rPr>
          <w:rFonts w:eastAsia="Times New Roman" w:cs="Arial"/>
          <w:color w:val="000000"/>
          <w:sz w:val="20"/>
          <w:lang w:eastAsia="en-AU"/>
        </w:rPr>
        <w:t>Sources:</w:t>
      </w:r>
    </w:p>
    <w:p w14:paraId="58A48C44" w14:textId="04AA5998" w:rsidR="00137803" w:rsidRPr="00CA0DF7" w:rsidRDefault="00F809F5" w:rsidP="00CA0DF7">
      <w:pPr>
        <w:spacing w:after="0" w:line="240" w:lineRule="auto"/>
        <w:rPr>
          <w:rFonts w:cs="Arial"/>
          <w:sz w:val="20"/>
          <w:szCs w:val="20"/>
        </w:rPr>
      </w:pPr>
      <w:r w:rsidRPr="00CA0DF7">
        <w:rPr>
          <w:rFonts w:cs="Arial"/>
          <w:sz w:val="20"/>
          <w:szCs w:val="20"/>
        </w:rPr>
        <w:t>H</w:t>
      </w:r>
      <w:r w:rsidR="00137803" w:rsidRPr="00CA0DF7">
        <w:rPr>
          <w:rFonts w:cs="Arial"/>
          <w:sz w:val="20"/>
          <w:szCs w:val="20"/>
        </w:rPr>
        <w:t>ospital numbers and growth</w:t>
      </w:r>
      <w:r w:rsidRPr="00CA0DF7">
        <w:rPr>
          <w:rFonts w:cs="Arial"/>
          <w:sz w:val="20"/>
          <w:szCs w:val="20"/>
        </w:rPr>
        <w:t xml:space="preserve">: </w:t>
      </w:r>
    </w:p>
    <w:p w14:paraId="3F550A0F" w14:textId="640F02B2" w:rsidR="00137803" w:rsidRPr="00CA0DF7" w:rsidRDefault="00817681" w:rsidP="00857A9B">
      <w:pPr>
        <w:spacing w:after="0" w:line="240" w:lineRule="auto"/>
        <w:ind w:left="360"/>
        <w:rPr>
          <w:rFonts w:eastAsia="Times New Roman" w:cs="Arial"/>
          <w:color w:val="000000"/>
          <w:sz w:val="20"/>
          <w:szCs w:val="20"/>
          <w:lang w:eastAsia="en-AU"/>
        </w:rPr>
      </w:pPr>
      <w:hyperlink r:id="rId22" w:tooltip="Australian Institute of Health and Welfare" w:history="1">
        <w:r w:rsidR="00F809F5" w:rsidRPr="00CA0DF7">
          <w:rPr>
            <w:rStyle w:val="Hyperlink"/>
            <w:rFonts w:eastAsia="Times New Roman" w:cs="Arial"/>
            <w:sz w:val="20"/>
            <w:szCs w:val="20"/>
            <w:lang w:eastAsia="en-AU"/>
          </w:rPr>
          <w:t>https://www.aihw.gov.au/reports/hospitals/hospital-resources-2017-18-ahs/data</w:t>
        </w:r>
      </w:hyperlink>
      <w:r w:rsidR="00F809F5" w:rsidRPr="00CA0DF7">
        <w:rPr>
          <w:rFonts w:eastAsia="Times New Roman" w:cs="Arial"/>
          <w:color w:val="000000"/>
          <w:sz w:val="20"/>
          <w:szCs w:val="20"/>
          <w:lang w:eastAsia="en-AU"/>
        </w:rPr>
        <w:t xml:space="preserve">, </w:t>
      </w:r>
      <w:hyperlink r:id="rId23" w:tooltip="Australian Bureau of Statistics" w:history="1">
        <w:r w:rsidR="00F809F5" w:rsidRPr="00CA0DF7">
          <w:rPr>
            <w:rStyle w:val="Hyperlink"/>
            <w:rFonts w:eastAsia="Times New Roman" w:cs="Arial"/>
            <w:sz w:val="20"/>
            <w:szCs w:val="20"/>
            <w:lang w:eastAsia="en-AU"/>
          </w:rPr>
          <w:t>https://www.abs.gov.au/statistics/health/health-services/private-hospitals-australia/latest-release</w:t>
        </w:r>
      </w:hyperlink>
    </w:p>
    <w:p w14:paraId="2E22EB8B" w14:textId="3C6FBB97" w:rsidR="00F809F5" w:rsidRPr="00E51D82" w:rsidRDefault="00817681" w:rsidP="00857A9B">
      <w:pPr>
        <w:spacing w:after="0" w:line="240" w:lineRule="auto"/>
        <w:ind w:left="360"/>
        <w:rPr>
          <w:rStyle w:val="Hyperlink"/>
          <w:sz w:val="20"/>
        </w:rPr>
      </w:pPr>
      <w:hyperlink r:id="rId24" w:anchor="states-and-territories" w:history="1">
        <w:r w:rsidR="00F809F5" w:rsidRPr="00E51D82">
          <w:rPr>
            <w:rStyle w:val="Hyperlink"/>
            <w:sz w:val="20"/>
          </w:rPr>
          <w:t>https://www.abs.gov.au/statistics/people/population/national-state-and-territory-population/latest-release#states-and-territories</w:t>
        </w:r>
      </w:hyperlink>
    </w:p>
    <w:p w14:paraId="14FDE9CA" w14:textId="77777777" w:rsidR="00137803" w:rsidRPr="00CA0DF7" w:rsidRDefault="00F809F5" w:rsidP="00F809F5">
      <w:pPr>
        <w:pStyle w:val="NormalWeb"/>
        <w:spacing w:before="0" w:beforeAutospacing="0" w:after="0" w:afterAutospacing="0"/>
        <w:rPr>
          <w:rFonts w:ascii="Arial" w:eastAsiaTheme="minorHAnsi" w:hAnsi="Arial" w:cs="Arial"/>
          <w:sz w:val="20"/>
          <w:szCs w:val="20"/>
          <w:lang w:eastAsia="en-US"/>
        </w:rPr>
      </w:pPr>
      <w:r w:rsidRPr="00CA0DF7">
        <w:rPr>
          <w:rFonts w:ascii="Arial" w:eastAsiaTheme="minorHAnsi" w:hAnsi="Arial" w:cs="Arial"/>
          <w:sz w:val="20"/>
          <w:szCs w:val="20"/>
          <w:lang w:eastAsia="en-US"/>
        </w:rPr>
        <w:t>Aged care (excluding home care) services</w:t>
      </w:r>
      <w:r w:rsidR="00137803" w:rsidRPr="00CA0DF7">
        <w:rPr>
          <w:rFonts w:ascii="Arial" w:eastAsiaTheme="minorHAnsi" w:hAnsi="Arial" w:cs="Arial"/>
          <w:sz w:val="20"/>
          <w:szCs w:val="20"/>
          <w:lang w:eastAsia="en-US"/>
        </w:rPr>
        <w:t xml:space="preserve"> number and growth</w:t>
      </w:r>
      <w:r w:rsidRPr="00CA0DF7">
        <w:rPr>
          <w:rFonts w:ascii="Arial" w:eastAsiaTheme="minorHAnsi" w:hAnsi="Arial" w:cs="Arial"/>
          <w:sz w:val="20"/>
          <w:szCs w:val="20"/>
          <w:lang w:eastAsia="en-US"/>
        </w:rPr>
        <w:t>:</w:t>
      </w:r>
    </w:p>
    <w:p w14:paraId="3DDE889E" w14:textId="77777777" w:rsidR="009C3702" w:rsidRDefault="00817681" w:rsidP="009C3702">
      <w:pPr>
        <w:pStyle w:val="NormalWeb"/>
        <w:spacing w:before="0" w:beforeAutospacing="0" w:after="0" w:afterAutospacing="0"/>
        <w:ind w:left="360"/>
        <w:rPr>
          <w:rStyle w:val="Hyperlink"/>
          <w:rFonts w:ascii="Arial" w:hAnsi="Arial" w:cs="Arial"/>
          <w:sz w:val="20"/>
          <w:szCs w:val="20"/>
        </w:rPr>
      </w:pPr>
      <w:hyperlink r:id="rId25" w:tooltip="2019–20 Report on the Operation of the Aged Care Act 1997" w:history="1">
        <w:r w:rsidR="00F809F5" w:rsidRPr="00CA0DF7">
          <w:rPr>
            <w:rStyle w:val="Hyperlink"/>
            <w:rFonts w:ascii="Arial" w:hAnsi="Arial" w:cs="Arial"/>
            <w:sz w:val="20"/>
            <w:szCs w:val="20"/>
          </w:rPr>
          <w:t>https://gen-agedcaredata.gov.au/Resources/Reports-and-publications/2020/November/2019–20-Report-on-the-Operation-of-the-Aged-Care-A</w:t>
        </w:r>
      </w:hyperlink>
    </w:p>
    <w:p w14:paraId="0881E8B8" w14:textId="104668C8" w:rsidR="009C3702" w:rsidRDefault="00817681" w:rsidP="009C3702">
      <w:pPr>
        <w:pStyle w:val="NormalWeb"/>
        <w:spacing w:before="0" w:beforeAutospacing="0" w:after="0" w:afterAutospacing="0"/>
        <w:ind w:left="360"/>
        <w:rPr>
          <w:rStyle w:val="Hyperlink"/>
          <w:rFonts w:ascii="Arial" w:hAnsi="Arial" w:cs="Arial"/>
          <w:sz w:val="20"/>
          <w:szCs w:val="20"/>
        </w:rPr>
      </w:pPr>
      <w:hyperlink r:id="rId26" w:tooltip="People using aged care" w:history="1">
        <w:r w:rsidR="009C3702" w:rsidRPr="00FA3BA2">
          <w:rPr>
            <w:rStyle w:val="Hyperlink"/>
            <w:rFonts w:ascii="Arial" w:hAnsi="Arial" w:cs="Arial"/>
            <w:sz w:val="20"/>
            <w:szCs w:val="20"/>
          </w:rPr>
          <w:t>https://www.gen-agedcaredata.gov.au/Topics/People-using-aged-care</w:t>
        </w:r>
      </w:hyperlink>
    </w:p>
    <w:p w14:paraId="17E730A9" w14:textId="44474EC3" w:rsidR="00F809F5" w:rsidRPr="009C3702" w:rsidRDefault="004B1C2B" w:rsidP="009C3702">
      <w:pPr>
        <w:pStyle w:val="NormalWeb"/>
        <w:spacing w:before="0" w:beforeAutospacing="0" w:after="0" w:afterAutospacing="0"/>
        <w:ind w:left="360" w:hanging="360"/>
        <w:rPr>
          <w:rFonts w:ascii="Arial" w:hAnsi="Arial" w:cs="Arial"/>
          <w:color w:val="000000"/>
          <w:sz w:val="20"/>
          <w:szCs w:val="20"/>
        </w:rPr>
      </w:pPr>
      <w:r w:rsidRPr="00CA0DF7">
        <w:rPr>
          <w:rFonts w:ascii="Arial" w:hAnsi="Arial" w:cs="Arial"/>
          <w:sz w:val="20"/>
          <w:szCs w:val="20"/>
        </w:rPr>
        <w:t>Early childhood centres</w:t>
      </w:r>
      <w:r w:rsidR="00F809F5" w:rsidRPr="00CA0DF7">
        <w:rPr>
          <w:rFonts w:ascii="Arial" w:hAnsi="Arial" w:cs="Arial"/>
          <w:sz w:val="20"/>
          <w:szCs w:val="20"/>
        </w:rPr>
        <w:t xml:space="preserve"> (excluding family day c</w:t>
      </w:r>
      <w:r w:rsidR="009C3702">
        <w:rPr>
          <w:rFonts w:ascii="Arial" w:hAnsi="Arial" w:cs="Arial"/>
          <w:sz w:val="20"/>
          <w:szCs w:val="20"/>
        </w:rPr>
        <w:t>are and out-of-school hours</w:t>
      </w:r>
      <w:r w:rsidR="00F809F5" w:rsidRPr="00CA0DF7">
        <w:rPr>
          <w:rFonts w:ascii="Arial" w:hAnsi="Arial" w:cs="Arial"/>
          <w:sz w:val="20"/>
          <w:szCs w:val="20"/>
        </w:rPr>
        <w:t>)</w:t>
      </w:r>
      <w:r w:rsidR="005A71A0" w:rsidRPr="00CA0DF7">
        <w:rPr>
          <w:rFonts w:ascii="Arial" w:hAnsi="Arial" w:cs="Arial"/>
          <w:sz w:val="20"/>
          <w:szCs w:val="20"/>
        </w:rPr>
        <w:t xml:space="preserve"> numbers</w:t>
      </w:r>
      <w:r w:rsidR="009C3702">
        <w:rPr>
          <w:rFonts w:ascii="Arial" w:hAnsi="Arial" w:cs="Arial"/>
          <w:sz w:val="20"/>
          <w:szCs w:val="20"/>
        </w:rPr>
        <w:t xml:space="preserve"> and </w:t>
      </w:r>
      <w:r w:rsidR="00137803" w:rsidRPr="00CA0DF7">
        <w:rPr>
          <w:rFonts w:ascii="Arial" w:hAnsi="Arial" w:cs="Arial"/>
          <w:sz w:val="20"/>
          <w:szCs w:val="20"/>
        </w:rPr>
        <w:t>growth</w:t>
      </w:r>
      <w:r w:rsidR="00F809F5" w:rsidRPr="00CA0DF7">
        <w:rPr>
          <w:rFonts w:ascii="Arial" w:hAnsi="Arial" w:cs="Arial"/>
          <w:sz w:val="20"/>
          <w:szCs w:val="20"/>
        </w:rPr>
        <w:t>:</w:t>
      </w:r>
      <w:r w:rsidR="00F809F5" w:rsidRPr="00CA0DF7">
        <w:rPr>
          <w:rFonts w:ascii="Arial" w:hAnsi="Arial" w:cs="Arial"/>
          <w:color w:val="000000"/>
          <w:sz w:val="22"/>
        </w:rPr>
        <w:t xml:space="preserve"> </w:t>
      </w:r>
    </w:p>
    <w:p w14:paraId="52CEBC56" w14:textId="51533E62" w:rsidR="005A71A0" w:rsidRPr="00CA0DF7" w:rsidRDefault="00817681" w:rsidP="009C3702">
      <w:pPr>
        <w:pStyle w:val="NormalWeb"/>
        <w:spacing w:before="0" w:beforeAutospacing="0" w:after="0" w:afterAutospacing="0"/>
        <w:ind w:left="360"/>
        <w:rPr>
          <w:rStyle w:val="Hyperlink"/>
          <w:rFonts w:ascii="Arial" w:hAnsi="Arial" w:cs="Arial"/>
          <w:color w:val="000000"/>
          <w:sz w:val="20"/>
          <w:szCs w:val="20"/>
          <w:u w:val="none"/>
        </w:rPr>
      </w:pPr>
      <w:hyperlink r:id="rId27" w:anchor="annual-change" w:tooltip="Industry summary of childcare centres" w:history="1">
        <w:r w:rsidR="005A71A0" w:rsidRPr="00CA0DF7">
          <w:rPr>
            <w:rStyle w:val="Hyperlink"/>
            <w:rFonts w:ascii="Arial" w:hAnsi="Arial" w:cs="Arial"/>
            <w:sz w:val="20"/>
            <w:szCs w:val="20"/>
          </w:rPr>
          <w:t>https://my.ibisworld.com/au/en/industry/q8710/key-statistics#annual-change</w:t>
        </w:r>
      </w:hyperlink>
    </w:p>
    <w:p w14:paraId="1DF6D3C4" w14:textId="7E97EB3D" w:rsidR="00F809F5" w:rsidRPr="00CA0DF7" w:rsidRDefault="00817681" w:rsidP="00857A9B">
      <w:pPr>
        <w:spacing w:after="0" w:line="240" w:lineRule="auto"/>
        <w:ind w:left="360"/>
        <w:rPr>
          <w:rFonts w:eastAsia="Times New Roman" w:cs="Arial"/>
          <w:color w:val="000000"/>
          <w:lang w:eastAsia="en-AU"/>
        </w:rPr>
      </w:pPr>
      <w:hyperlink r:id="rId28" w:tooltip="Australian Children's Education &amp; Care Quality Authority " w:history="1">
        <w:r w:rsidR="005A71A0" w:rsidRPr="00CA0DF7">
          <w:rPr>
            <w:rStyle w:val="Hyperlink"/>
            <w:rFonts w:eastAsia="Times New Roman" w:cs="Arial"/>
            <w:sz w:val="20"/>
            <w:szCs w:val="20"/>
            <w:lang w:eastAsia="en-AU"/>
          </w:rPr>
          <w:t>https://www.acecqa.gov.au/nqf/snapshots</w:t>
        </w:r>
      </w:hyperlink>
    </w:p>
    <w:p w14:paraId="40FD2C55" w14:textId="3424802C" w:rsidR="005A71A0" w:rsidRPr="00CA0DF7" w:rsidRDefault="005A71A0" w:rsidP="005A71A0">
      <w:pPr>
        <w:spacing w:after="0" w:line="240" w:lineRule="auto"/>
        <w:rPr>
          <w:rFonts w:cs="Arial"/>
          <w:sz w:val="20"/>
          <w:szCs w:val="20"/>
        </w:rPr>
      </w:pPr>
      <w:r w:rsidRPr="00CA0DF7">
        <w:rPr>
          <w:rFonts w:cs="Arial"/>
          <w:sz w:val="20"/>
          <w:szCs w:val="20"/>
        </w:rPr>
        <w:t xml:space="preserve">School numbers and growth: </w:t>
      </w:r>
    </w:p>
    <w:p w14:paraId="1575AB6C" w14:textId="20D1F6E7" w:rsidR="005A71A0" w:rsidRPr="00CA0DF7" w:rsidRDefault="00817681" w:rsidP="00CA0DF7">
      <w:pPr>
        <w:spacing w:after="0" w:line="240" w:lineRule="auto"/>
        <w:ind w:left="426"/>
        <w:rPr>
          <w:rFonts w:cs="Arial"/>
          <w:sz w:val="18"/>
          <w:szCs w:val="20"/>
        </w:rPr>
      </w:pPr>
      <w:hyperlink r:id="rId29" w:tooltip="Australian Bureau of Statistics" w:history="1">
        <w:r w:rsidR="005A71A0" w:rsidRPr="00CA0DF7">
          <w:rPr>
            <w:rStyle w:val="Hyperlink"/>
            <w:rFonts w:eastAsia="Times New Roman" w:cs="Arial"/>
            <w:sz w:val="20"/>
            <w:lang w:eastAsia="en-AU"/>
          </w:rPr>
          <w:t>https://www.abs.gov.au/statistics/people/education/schools</w:t>
        </w:r>
      </w:hyperlink>
    </w:p>
    <w:p w14:paraId="7CC8C959" w14:textId="5D933438" w:rsidR="005A71A0" w:rsidRPr="00CA0DF7" w:rsidRDefault="005A71A0" w:rsidP="00CA0DF7">
      <w:pPr>
        <w:spacing w:after="0" w:line="240" w:lineRule="auto"/>
        <w:ind w:left="426"/>
        <w:rPr>
          <w:rFonts w:eastAsia="Times New Roman" w:cs="Arial"/>
          <w:color w:val="000000"/>
          <w:sz w:val="20"/>
          <w:szCs w:val="20"/>
          <w:lang w:eastAsia="en-AU"/>
        </w:rPr>
      </w:pPr>
      <w:r w:rsidRPr="00CA0DF7">
        <w:rPr>
          <w:rFonts w:eastAsia="Times New Roman" w:cs="Arial"/>
          <w:color w:val="000000"/>
          <w:sz w:val="20"/>
          <w:szCs w:val="20"/>
          <w:lang w:eastAsia="en-AU"/>
        </w:rPr>
        <w:t>NSW: NSW government school enrolments by head count (2004-2018)</w:t>
      </w:r>
      <w:r w:rsidRPr="00CA0DF7">
        <w:rPr>
          <w:rFonts w:eastAsia="Times New Roman" w:cs="Arial"/>
          <w:color w:val="000000"/>
          <w:lang w:eastAsia="en-AU"/>
        </w:rPr>
        <w:br/>
      </w:r>
      <w:hyperlink r:id="rId30" w:tooltip="NSW government school enrolments by head count (2004-2018)" w:history="1">
        <w:r w:rsidRPr="00CA0DF7">
          <w:rPr>
            <w:rStyle w:val="Hyperlink"/>
            <w:rFonts w:eastAsia="Times New Roman" w:cs="Arial"/>
            <w:sz w:val="20"/>
            <w:szCs w:val="20"/>
            <w:lang w:eastAsia="en-AU"/>
          </w:rPr>
          <w:t>https://data.cese.nsw.gov.au/data/dataset/nsw-government-school-enrolments-by-head-count</w:t>
        </w:r>
      </w:hyperlink>
    </w:p>
    <w:p w14:paraId="3DE15CF5" w14:textId="7EA3BE06" w:rsidR="005A71A0" w:rsidRPr="00CA0DF7" w:rsidRDefault="005A71A0" w:rsidP="00CA0DF7">
      <w:pPr>
        <w:spacing w:after="0" w:line="240" w:lineRule="auto"/>
        <w:ind w:left="426"/>
        <w:rPr>
          <w:rFonts w:eastAsia="Times New Roman" w:cs="Arial"/>
          <w:color w:val="000000"/>
          <w:sz w:val="20"/>
          <w:szCs w:val="20"/>
          <w:lang w:eastAsia="en-AU"/>
        </w:rPr>
      </w:pPr>
      <w:r w:rsidRPr="00CA0DF7">
        <w:rPr>
          <w:rFonts w:eastAsia="Times New Roman" w:cs="Arial"/>
          <w:color w:val="000000"/>
          <w:sz w:val="20"/>
          <w:szCs w:val="20"/>
          <w:lang w:eastAsia="en-AU"/>
        </w:rPr>
        <w:t>Queensland: Department of Education (Queensland) Change Register:</w:t>
      </w:r>
      <w:r w:rsidRPr="00CA0DF7">
        <w:rPr>
          <w:rFonts w:cs="Arial"/>
          <w:sz w:val="20"/>
          <w:szCs w:val="20"/>
        </w:rPr>
        <w:t xml:space="preserve"> </w:t>
      </w:r>
      <w:r w:rsidRPr="00CA0DF7">
        <w:rPr>
          <w:rFonts w:eastAsia="Times New Roman" w:cs="Arial"/>
          <w:color w:val="000000"/>
          <w:sz w:val="20"/>
          <w:szCs w:val="20"/>
          <w:lang w:eastAsia="en-AU"/>
        </w:rPr>
        <w:t>School Openings, Closures &amp; Name Changes</w:t>
      </w:r>
      <w:r w:rsidRPr="00CA0DF7">
        <w:rPr>
          <w:rFonts w:eastAsia="Times New Roman" w:cs="Arial"/>
          <w:color w:val="000000"/>
          <w:sz w:val="20"/>
          <w:szCs w:val="20"/>
          <w:lang w:eastAsia="en-AU"/>
        </w:rPr>
        <w:br/>
      </w:r>
      <w:hyperlink r:id="rId31" w:tooltip="School Openings, Closures &amp; Name Changes - Recent Events" w:history="1">
        <w:r w:rsidRPr="00CA0DF7">
          <w:rPr>
            <w:rStyle w:val="Hyperlink"/>
            <w:rFonts w:eastAsia="Times New Roman" w:cs="Arial"/>
            <w:sz w:val="20"/>
            <w:szCs w:val="20"/>
            <w:lang w:eastAsia="en-AU"/>
          </w:rPr>
          <w:t>https://education.qld.gov.au/parents/school-information/Documents/change-register.xls</w:t>
        </w:r>
      </w:hyperlink>
    </w:p>
    <w:p w14:paraId="01342E07" w14:textId="52F5EE84" w:rsidR="004410B7" w:rsidRPr="004410B7" w:rsidRDefault="004410B7" w:rsidP="00706588">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 xml:space="preserve">The estimated cost increase was applied to the estimated number of buildings </w:t>
      </w:r>
      <w:r w:rsidR="00EA58B4">
        <w:rPr>
          <w:rFonts w:eastAsia="Times New Roman" w:cs="Arial"/>
          <w:lang w:eastAsia="en-AU"/>
        </w:rPr>
        <w:t xml:space="preserve">forecast to be </w:t>
      </w:r>
      <w:r w:rsidRPr="004410B7">
        <w:rPr>
          <w:rFonts w:eastAsia="Times New Roman" w:cs="Arial"/>
          <w:lang w:eastAsia="en-AU"/>
        </w:rPr>
        <w:t xml:space="preserve">built to arrive at the total cost. The cost of this proposal, in </w:t>
      </w:r>
      <w:r w:rsidR="00417DDB">
        <w:rPr>
          <w:rFonts w:eastAsia="Times New Roman" w:cs="Arial"/>
          <w:lang w:eastAsia="en-AU"/>
        </w:rPr>
        <w:t>N</w:t>
      </w:r>
      <w:r w:rsidRPr="004410B7">
        <w:rPr>
          <w:rFonts w:eastAsia="Times New Roman" w:cs="Arial"/>
          <w:lang w:eastAsia="en-AU"/>
        </w:rPr>
        <w:t xml:space="preserve">et </w:t>
      </w:r>
      <w:r w:rsidR="00417DDB">
        <w:rPr>
          <w:rFonts w:eastAsia="Times New Roman" w:cs="Arial"/>
          <w:lang w:eastAsia="en-AU"/>
        </w:rPr>
        <w:t>P</w:t>
      </w:r>
      <w:r w:rsidRPr="004410B7">
        <w:rPr>
          <w:rFonts w:eastAsia="Times New Roman" w:cs="Arial"/>
          <w:lang w:eastAsia="en-AU"/>
        </w:rPr>
        <w:t xml:space="preserve">resent </w:t>
      </w:r>
      <w:r w:rsidR="00417DDB">
        <w:rPr>
          <w:rFonts w:eastAsia="Times New Roman" w:cs="Arial"/>
          <w:lang w:eastAsia="en-AU"/>
        </w:rPr>
        <w:t>V</w:t>
      </w:r>
      <w:r w:rsidRPr="004410B7">
        <w:rPr>
          <w:rFonts w:eastAsia="Times New Roman" w:cs="Arial"/>
          <w:lang w:eastAsia="en-AU"/>
        </w:rPr>
        <w:t>alue (NPV) terms is $35</w:t>
      </w:r>
      <w:r w:rsidR="008B65B6">
        <w:rPr>
          <w:rFonts w:eastAsia="Times New Roman" w:cs="Arial"/>
          <w:lang w:eastAsia="en-AU"/>
        </w:rPr>
        <w:t xml:space="preserve"> </w:t>
      </w:r>
      <w:r w:rsidRPr="004410B7">
        <w:rPr>
          <w:rFonts w:eastAsia="Times New Roman" w:cs="Arial"/>
          <w:lang w:eastAsia="en-AU"/>
        </w:rPr>
        <w:t>m</w:t>
      </w:r>
      <w:r w:rsidR="008B65B6">
        <w:rPr>
          <w:rFonts w:eastAsia="Times New Roman" w:cs="Arial"/>
          <w:lang w:eastAsia="en-AU"/>
        </w:rPr>
        <w:t>illion</w:t>
      </w:r>
      <w:r w:rsidRPr="004410B7">
        <w:rPr>
          <w:rFonts w:eastAsia="Times New Roman" w:cs="Arial"/>
          <w:lang w:eastAsia="en-AU"/>
        </w:rPr>
        <w:t xml:space="preserve"> per annum, or $264</w:t>
      </w:r>
      <w:r w:rsidR="008B65B6">
        <w:rPr>
          <w:rFonts w:eastAsia="Times New Roman" w:cs="Arial"/>
          <w:lang w:eastAsia="en-AU"/>
        </w:rPr>
        <w:t xml:space="preserve"> </w:t>
      </w:r>
      <w:r w:rsidRPr="004410B7">
        <w:rPr>
          <w:rFonts w:eastAsia="Times New Roman" w:cs="Arial"/>
          <w:lang w:eastAsia="en-AU"/>
        </w:rPr>
        <w:t>m</w:t>
      </w:r>
      <w:r w:rsidR="008B65B6">
        <w:rPr>
          <w:rFonts w:eastAsia="Times New Roman" w:cs="Arial"/>
          <w:lang w:eastAsia="en-AU"/>
        </w:rPr>
        <w:t>illion in</w:t>
      </w:r>
      <w:r w:rsidRPr="004410B7">
        <w:rPr>
          <w:rFonts w:eastAsia="Times New Roman" w:cs="Arial"/>
          <w:lang w:eastAsia="en-AU"/>
        </w:rPr>
        <w:t xml:space="preserve"> Present Value terms, estimated using a 7% p.a. discount rate.</w:t>
      </w:r>
    </w:p>
    <w:p w14:paraId="69A4E5DA" w14:textId="7EE77287" w:rsidR="00BA7D1F" w:rsidRDefault="00BA7D1F" w:rsidP="001B653A">
      <w:pPr>
        <w:pStyle w:val="Caption"/>
      </w:pPr>
      <w:r w:rsidRPr="00CA0DF7">
        <w:rPr>
          <w:b/>
        </w:rPr>
        <w:t xml:space="preserve">Table </w:t>
      </w:r>
      <w:r w:rsidR="00971B27" w:rsidRPr="00CA0DF7">
        <w:rPr>
          <w:b/>
          <w:noProof/>
        </w:rPr>
        <w:fldChar w:fldCharType="begin"/>
      </w:r>
      <w:r w:rsidR="00971B27" w:rsidRPr="00CA0DF7">
        <w:rPr>
          <w:b/>
          <w:noProof/>
        </w:rPr>
        <w:instrText xml:space="preserve"> SEQ Table \* ARABIC </w:instrText>
      </w:r>
      <w:r w:rsidR="00971B27" w:rsidRPr="00CA0DF7">
        <w:rPr>
          <w:b/>
          <w:noProof/>
        </w:rPr>
        <w:fldChar w:fldCharType="separate"/>
      </w:r>
      <w:r w:rsidR="00932DA8" w:rsidRPr="00CA0DF7">
        <w:rPr>
          <w:b/>
          <w:noProof/>
        </w:rPr>
        <w:t>3</w:t>
      </w:r>
      <w:r w:rsidR="00971B27" w:rsidRPr="00CA0DF7">
        <w:rPr>
          <w:b/>
          <w:noProof/>
        </w:rPr>
        <w:fldChar w:fldCharType="end"/>
      </w:r>
      <w:r w:rsidRPr="00CA0DF7">
        <w:rPr>
          <w:b/>
          <w:lang w:val="en-US"/>
        </w:rPr>
        <w:t xml:space="preserve">: </w:t>
      </w:r>
      <w:r>
        <w:rPr>
          <w:lang w:val="en-US"/>
        </w:rPr>
        <w:t>Present Value cost of Option 2 (by building type)</w:t>
      </w:r>
    </w:p>
    <w:tbl>
      <w:tblPr>
        <w:tblW w:w="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0"/>
        <w:gridCol w:w="2498"/>
      </w:tblGrid>
      <w:tr w:rsidR="00FF76D0" w:rsidRPr="004410B7" w14:paraId="78A52555" w14:textId="77777777" w:rsidTr="00DA7612">
        <w:trPr>
          <w:trHeight w:val="310"/>
        </w:trPr>
        <w:tc>
          <w:tcPr>
            <w:tcW w:w="1920" w:type="dxa"/>
            <w:shd w:val="clear" w:color="auto" w:fill="002060"/>
            <w:noWrap/>
            <w:vAlign w:val="bottom"/>
          </w:tcPr>
          <w:p w14:paraId="49D66B01" w14:textId="77777777" w:rsidR="004410B7" w:rsidRPr="004410B7" w:rsidRDefault="004410B7" w:rsidP="00FF76D0">
            <w:pPr>
              <w:spacing w:before="100" w:beforeAutospacing="1" w:after="100" w:afterAutospacing="1" w:line="360" w:lineRule="auto"/>
              <w:jc w:val="center"/>
              <w:rPr>
                <w:rFonts w:eastAsia="Times New Roman" w:cs="Arial"/>
                <w:color w:val="FFFFFF" w:themeColor="background1"/>
                <w:lang w:eastAsia="en-AU"/>
              </w:rPr>
            </w:pPr>
            <w:r w:rsidRPr="004410B7">
              <w:rPr>
                <w:rFonts w:eastAsia="Times New Roman" w:cs="Arial"/>
                <w:color w:val="FFFFFF" w:themeColor="background1"/>
                <w:lang w:eastAsia="en-AU"/>
              </w:rPr>
              <w:t>Building type</w:t>
            </w:r>
          </w:p>
        </w:tc>
        <w:tc>
          <w:tcPr>
            <w:tcW w:w="2498" w:type="dxa"/>
            <w:shd w:val="clear" w:color="auto" w:fill="002060"/>
            <w:noWrap/>
            <w:vAlign w:val="bottom"/>
          </w:tcPr>
          <w:p w14:paraId="41D3E280" w14:textId="0F9AEA8B" w:rsidR="004410B7" w:rsidRPr="004410B7" w:rsidRDefault="004410B7" w:rsidP="00FF76D0">
            <w:pPr>
              <w:spacing w:before="100" w:beforeAutospacing="1" w:after="100" w:afterAutospacing="1" w:line="360" w:lineRule="auto"/>
              <w:jc w:val="center"/>
              <w:rPr>
                <w:rFonts w:eastAsia="Times New Roman" w:cs="Arial"/>
                <w:color w:val="FFFFFF" w:themeColor="background1"/>
                <w:lang w:eastAsia="en-AU"/>
              </w:rPr>
            </w:pPr>
            <w:r w:rsidRPr="004410B7">
              <w:rPr>
                <w:rFonts w:eastAsia="Times New Roman" w:cs="Arial"/>
                <w:color w:val="FFFFFF" w:themeColor="background1"/>
                <w:lang w:eastAsia="en-AU"/>
              </w:rPr>
              <w:t>Total</w:t>
            </w:r>
            <w:r w:rsidR="00932DA8">
              <w:rPr>
                <w:rFonts w:eastAsia="Times New Roman" w:cs="Arial"/>
                <w:color w:val="FFFFFF" w:themeColor="background1"/>
                <w:lang w:eastAsia="en-AU"/>
              </w:rPr>
              <w:t xml:space="preserve"> PV cost of Option 2</w:t>
            </w:r>
          </w:p>
        </w:tc>
      </w:tr>
      <w:tr w:rsidR="004410B7" w:rsidRPr="004410B7" w14:paraId="19E2273B" w14:textId="77777777" w:rsidTr="00DA7612">
        <w:trPr>
          <w:trHeight w:val="310"/>
        </w:trPr>
        <w:tc>
          <w:tcPr>
            <w:tcW w:w="1920" w:type="dxa"/>
            <w:shd w:val="clear" w:color="auto" w:fill="auto"/>
            <w:noWrap/>
            <w:vAlign w:val="bottom"/>
            <w:hideMark/>
          </w:tcPr>
          <w:p w14:paraId="7296301A" w14:textId="77777777" w:rsidR="004410B7" w:rsidRPr="004410B7" w:rsidRDefault="004410B7" w:rsidP="004410B7">
            <w:pPr>
              <w:spacing w:before="100" w:beforeAutospacing="1" w:after="100" w:afterAutospacing="1" w:line="360" w:lineRule="auto"/>
              <w:ind w:left="166"/>
              <w:jc w:val="both"/>
              <w:rPr>
                <w:rFonts w:eastAsia="Times New Roman" w:cs="Arial"/>
                <w:lang w:eastAsia="en-AU"/>
              </w:rPr>
            </w:pPr>
            <w:r w:rsidRPr="004410B7">
              <w:rPr>
                <w:rFonts w:eastAsia="Times New Roman" w:cs="Arial"/>
                <w:lang w:eastAsia="en-AU"/>
              </w:rPr>
              <w:t xml:space="preserve">Hospitals </w:t>
            </w:r>
          </w:p>
        </w:tc>
        <w:tc>
          <w:tcPr>
            <w:tcW w:w="2498" w:type="dxa"/>
            <w:shd w:val="clear" w:color="auto" w:fill="auto"/>
            <w:noWrap/>
            <w:vAlign w:val="bottom"/>
            <w:hideMark/>
          </w:tcPr>
          <w:p w14:paraId="06C049F6" w14:textId="77777777" w:rsidR="004410B7" w:rsidRPr="004410B7" w:rsidRDefault="004410B7" w:rsidP="008B65B6">
            <w:pPr>
              <w:spacing w:after="0" w:line="360" w:lineRule="auto"/>
              <w:jc w:val="center"/>
              <w:rPr>
                <w:rFonts w:eastAsia="Times New Roman" w:cs="Arial"/>
                <w:color w:val="000000"/>
                <w:lang w:eastAsia="en-AU"/>
              </w:rPr>
            </w:pPr>
            <w:r w:rsidRPr="004410B7">
              <w:rPr>
                <w:rFonts w:eastAsia="Times New Roman" w:cs="Arial"/>
                <w:color w:val="000000"/>
                <w:lang w:eastAsia="en-AU"/>
              </w:rPr>
              <w:t>$20,200,421</w:t>
            </w:r>
          </w:p>
        </w:tc>
      </w:tr>
      <w:tr w:rsidR="004410B7" w:rsidRPr="004410B7" w14:paraId="16D917DD" w14:textId="77777777" w:rsidTr="00DA7612">
        <w:trPr>
          <w:trHeight w:val="310"/>
        </w:trPr>
        <w:tc>
          <w:tcPr>
            <w:tcW w:w="0" w:type="auto"/>
            <w:shd w:val="clear" w:color="auto" w:fill="auto"/>
            <w:noWrap/>
            <w:vAlign w:val="bottom"/>
            <w:hideMark/>
          </w:tcPr>
          <w:p w14:paraId="1407B324" w14:textId="77777777" w:rsidR="004410B7" w:rsidRPr="004410B7" w:rsidRDefault="004410B7" w:rsidP="004410B7">
            <w:pPr>
              <w:spacing w:before="100" w:beforeAutospacing="1" w:after="100" w:afterAutospacing="1" w:line="360" w:lineRule="auto"/>
              <w:ind w:left="166"/>
              <w:jc w:val="both"/>
              <w:rPr>
                <w:rFonts w:eastAsia="Times New Roman" w:cs="Arial"/>
                <w:lang w:eastAsia="en-AU"/>
              </w:rPr>
            </w:pPr>
            <w:r w:rsidRPr="004410B7">
              <w:rPr>
                <w:rFonts w:eastAsia="Times New Roman" w:cs="Arial"/>
                <w:lang w:eastAsia="en-AU"/>
              </w:rPr>
              <w:t>Aged care</w:t>
            </w:r>
          </w:p>
        </w:tc>
        <w:tc>
          <w:tcPr>
            <w:tcW w:w="2498" w:type="dxa"/>
            <w:shd w:val="clear" w:color="auto" w:fill="auto"/>
            <w:noWrap/>
            <w:vAlign w:val="bottom"/>
            <w:hideMark/>
          </w:tcPr>
          <w:p w14:paraId="0670221B" w14:textId="77777777" w:rsidR="004410B7" w:rsidRPr="004410B7" w:rsidRDefault="004410B7" w:rsidP="008B65B6">
            <w:pPr>
              <w:spacing w:after="0" w:line="360" w:lineRule="auto"/>
              <w:jc w:val="center"/>
              <w:rPr>
                <w:rFonts w:eastAsia="Times New Roman" w:cs="Arial"/>
                <w:color w:val="000000"/>
                <w:lang w:eastAsia="en-AU"/>
              </w:rPr>
            </w:pPr>
            <w:r w:rsidRPr="004410B7">
              <w:rPr>
                <w:rFonts w:eastAsia="Times New Roman" w:cs="Arial"/>
                <w:color w:val="000000"/>
                <w:lang w:eastAsia="en-AU"/>
              </w:rPr>
              <w:t>$51,139,463</w:t>
            </w:r>
          </w:p>
        </w:tc>
      </w:tr>
      <w:tr w:rsidR="004410B7" w:rsidRPr="004410B7" w14:paraId="68ACCE2C" w14:textId="77777777" w:rsidTr="00DA7612">
        <w:trPr>
          <w:trHeight w:val="310"/>
        </w:trPr>
        <w:tc>
          <w:tcPr>
            <w:tcW w:w="0" w:type="auto"/>
            <w:shd w:val="clear" w:color="auto" w:fill="auto"/>
            <w:noWrap/>
            <w:vAlign w:val="bottom"/>
            <w:hideMark/>
          </w:tcPr>
          <w:p w14:paraId="217539A7" w14:textId="77777777" w:rsidR="004410B7" w:rsidRPr="004410B7" w:rsidRDefault="004410B7" w:rsidP="004410B7">
            <w:pPr>
              <w:spacing w:before="100" w:beforeAutospacing="1" w:after="100" w:afterAutospacing="1" w:line="360" w:lineRule="auto"/>
              <w:ind w:left="166"/>
              <w:jc w:val="both"/>
              <w:rPr>
                <w:rFonts w:eastAsia="Times New Roman" w:cs="Arial"/>
                <w:lang w:eastAsia="en-AU"/>
              </w:rPr>
            </w:pPr>
            <w:r w:rsidRPr="004410B7">
              <w:rPr>
                <w:rFonts w:eastAsia="Times New Roman" w:cs="Arial"/>
                <w:lang w:eastAsia="en-AU"/>
              </w:rPr>
              <w:t xml:space="preserve">Schools </w:t>
            </w:r>
          </w:p>
        </w:tc>
        <w:tc>
          <w:tcPr>
            <w:tcW w:w="2498" w:type="dxa"/>
            <w:shd w:val="clear" w:color="auto" w:fill="auto"/>
            <w:noWrap/>
            <w:vAlign w:val="bottom"/>
            <w:hideMark/>
          </w:tcPr>
          <w:p w14:paraId="29317045" w14:textId="77777777" w:rsidR="004410B7" w:rsidRPr="004410B7" w:rsidRDefault="004410B7" w:rsidP="008B65B6">
            <w:pPr>
              <w:spacing w:after="0" w:line="360" w:lineRule="auto"/>
              <w:jc w:val="center"/>
              <w:rPr>
                <w:rFonts w:eastAsia="Times New Roman" w:cs="Arial"/>
                <w:color w:val="000000"/>
                <w:lang w:eastAsia="en-AU"/>
              </w:rPr>
            </w:pPr>
            <w:r w:rsidRPr="004410B7">
              <w:rPr>
                <w:rFonts w:eastAsia="Times New Roman" w:cs="Arial"/>
                <w:color w:val="000000"/>
                <w:lang w:eastAsia="en-AU"/>
              </w:rPr>
              <w:t>$46,645,057</w:t>
            </w:r>
          </w:p>
        </w:tc>
      </w:tr>
      <w:tr w:rsidR="004410B7" w:rsidRPr="004410B7" w14:paraId="77F48D70" w14:textId="77777777" w:rsidTr="00DA7612">
        <w:trPr>
          <w:trHeight w:val="310"/>
        </w:trPr>
        <w:tc>
          <w:tcPr>
            <w:tcW w:w="0" w:type="auto"/>
            <w:shd w:val="clear" w:color="auto" w:fill="auto"/>
            <w:noWrap/>
            <w:vAlign w:val="bottom"/>
            <w:hideMark/>
          </w:tcPr>
          <w:p w14:paraId="486E5649" w14:textId="77777777" w:rsidR="004410B7" w:rsidRPr="004410B7" w:rsidRDefault="004410B7" w:rsidP="004410B7">
            <w:pPr>
              <w:spacing w:before="100" w:beforeAutospacing="1" w:after="100" w:afterAutospacing="1" w:line="360" w:lineRule="auto"/>
              <w:ind w:left="166"/>
              <w:jc w:val="both"/>
              <w:rPr>
                <w:rFonts w:eastAsia="Times New Roman" w:cs="Arial"/>
                <w:lang w:eastAsia="en-AU"/>
              </w:rPr>
            </w:pPr>
            <w:r w:rsidRPr="004410B7">
              <w:rPr>
                <w:rFonts w:eastAsia="Times New Roman" w:cs="Arial"/>
                <w:lang w:eastAsia="en-AU"/>
              </w:rPr>
              <w:t xml:space="preserve">Child care </w:t>
            </w:r>
          </w:p>
        </w:tc>
        <w:tc>
          <w:tcPr>
            <w:tcW w:w="2498" w:type="dxa"/>
            <w:shd w:val="clear" w:color="auto" w:fill="auto"/>
            <w:noWrap/>
            <w:vAlign w:val="bottom"/>
            <w:hideMark/>
          </w:tcPr>
          <w:p w14:paraId="4BF1025D" w14:textId="77777777" w:rsidR="004410B7" w:rsidRPr="004410B7" w:rsidRDefault="004410B7" w:rsidP="008B65B6">
            <w:pPr>
              <w:spacing w:after="0" w:line="360" w:lineRule="auto"/>
              <w:jc w:val="center"/>
              <w:rPr>
                <w:rFonts w:eastAsia="Times New Roman" w:cs="Arial"/>
                <w:color w:val="000000"/>
                <w:lang w:eastAsia="en-AU"/>
              </w:rPr>
            </w:pPr>
            <w:r w:rsidRPr="004410B7">
              <w:rPr>
                <w:rFonts w:eastAsia="Times New Roman" w:cs="Arial"/>
                <w:color w:val="000000"/>
                <w:lang w:eastAsia="en-AU"/>
              </w:rPr>
              <w:t>$145,881,342</w:t>
            </w:r>
          </w:p>
        </w:tc>
      </w:tr>
      <w:tr w:rsidR="004410B7" w:rsidRPr="004410B7" w14:paraId="61B8B83B" w14:textId="77777777" w:rsidTr="00DA7612">
        <w:trPr>
          <w:trHeight w:val="310"/>
        </w:trPr>
        <w:tc>
          <w:tcPr>
            <w:tcW w:w="0" w:type="auto"/>
            <w:shd w:val="clear" w:color="auto" w:fill="auto"/>
            <w:noWrap/>
            <w:vAlign w:val="bottom"/>
            <w:hideMark/>
          </w:tcPr>
          <w:p w14:paraId="7BE2F1DA" w14:textId="77777777" w:rsidR="004410B7" w:rsidRPr="004410B7" w:rsidRDefault="004410B7" w:rsidP="004410B7">
            <w:pPr>
              <w:spacing w:before="100" w:beforeAutospacing="1" w:after="100" w:afterAutospacing="1" w:line="360" w:lineRule="auto"/>
              <w:ind w:left="166"/>
              <w:jc w:val="both"/>
              <w:rPr>
                <w:rFonts w:eastAsia="Times New Roman" w:cs="Arial"/>
                <w:lang w:eastAsia="en-AU"/>
              </w:rPr>
            </w:pPr>
            <w:r w:rsidRPr="004410B7">
              <w:rPr>
                <w:rFonts w:eastAsia="Times New Roman" w:cs="Arial"/>
                <w:lang w:eastAsia="en-AU"/>
              </w:rPr>
              <w:t>Total</w:t>
            </w:r>
          </w:p>
        </w:tc>
        <w:tc>
          <w:tcPr>
            <w:tcW w:w="2498" w:type="dxa"/>
            <w:shd w:val="clear" w:color="auto" w:fill="auto"/>
            <w:noWrap/>
            <w:vAlign w:val="bottom"/>
            <w:hideMark/>
          </w:tcPr>
          <w:p w14:paraId="4C653540" w14:textId="77777777" w:rsidR="004410B7" w:rsidRPr="004410B7" w:rsidRDefault="004410B7" w:rsidP="008B65B6">
            <w:pPr>
              <w:spacing w:after="0" w:line="360" w:lineRule="auto"/>
              <w:jc w:val="center"/>
              <w:rPr>
                <w:rFonts w:eastAsia="Times New Roman" w:cs="Arial"/>
                <w:b/>
                <w:color w:val="000000"/>
                <w:lang w:eastAsia="en-AU"/>
              </w:rPr>
            </w:pPr>
            <w:r w:rsidRPr="004410B7">
              <w:rPr>
                <w:rFonts w:eastAsia="Times New Roman" w:cs="Arial"/>
                <w:b/>
                <w:color w:val="000000"/>
                <w:lang w:eastAsia="en-AU"/>
              </w:rPr>
              <w:t>$263,866,283</w:t>
            </w:r>
          </w:p>
        </w:tc>
      </w:tr>
    </w:tbl>
    <w:p w14:paraId="100A46F8" w14:textId="70D59D0A" w:rsidR="004410B7" w:rsidRDefault="004410B7" w:rsidP="00EA58B4">
      <w:pPr>
        <w:keepNext/>
        <w:spacing w:before="240" w:after="120" w:line="240" w:lineRule="auto"/>
        <w:outlineLvl w:val="3"/>
        <w:rPr>
          <w:rFonts w:eastAsiaTheme="majorEastAsia" w:cs="Arial"/>
          <w:color w:val="002060"/>
          <w:sz w:val="28"/>
        </w:rPr>
      </w:pPr>
      <w:r w:rsidRPr="004410B7">
        <w:rPr>
          <w:rFonts w:eastAsiaTheme="majorEastAsia" w:cs="Arial"/>
          <w:color w:val="002060"/>
          <w:sz w:val="28"/>
        </w:rPr>
        <w:t>B</w:t>
      </w:r>
      <w:r>
        <w:rPr>
          <w:rFonts w:eastAsiaTheme="majorEastAsia" w:cs="Arial"/>
          <w:color w:val="002060"/>
          <w:sz w:val="28"/>
        </w:rPr>
        <w:t>enefits</w:t>
      </w:r>
      <w:r w:rsidRPr="004410B7">
        <w:rPr>
          <w:rFonts w:eastAsiaTheme="majorEastAsia" w:cs="Arial"/>
          <w:color w:val="002060"/>
          <w:sz w:val="28"/>
        </w:rPr>
        <w:t xml:space="preserve"> </w:t>
      </w:r>
    </w:p>
    <w:p w14:paraId="326C235D" w14:textId="77777777" w:rsidR="004410B7" w:rsidRPr="004410B7" w:rsidRDefault="004410B7" w:rsidP="000F2A03">
      <w:pPr>
        <w:keepNext/>
        <w:keepLines/>
        <w:spacing w:before="100" w:beforeAutospacing="1" w:after="100" w:afterAutospacing="1" w:line="360" w:lineRule="auto"/>
        <w:jc w:val="both"/>
        <w:rPr>
          <w:rFonts w:eastAsia="Times New Roman" w:cs="Arial"/>
          <w:color w:val="000000" w:themeColor="text1"/>
          <w:lang w:eastAsia="en-AU"/>
        </w:rPr>
      </w:pPr>
      <w:r w:rsidRPr="004410B7">
        <w:rPr>
          <w:rFonts w:eastAsia="Times New Roman" w:cs="Arial"/>
          <w:color w:val="000000" w:themeColor="text1"/>
          <w:lang w:eastAsia="en-AU"/>
        </w:rPr>
        <w:t>Benefits in commercial buildings are difficult to identify for the following reasons.</w:t>
      </w:r>
    </w:p>
    <w:p w14:paraId="79957B27" w14:textId="6951D03A" w:rsidR="004410B7" w:rsidRPr="004410B7" w:rsidRDefault="004410B7" w:rsidP="000F2A03">
      <w:pPr>
        <w:numPr>
          <w:ilvl w:val="0"/>
          <w:numId w:val="43"/>
        </w:numPr>
        <w:spacing w:before="100" w:beforeAutospacing="1" w:after="100" w:afterAutospacing="1" w:line="360" w:lineRule="auto"/>
        <w:contextualSpacing/>
        <w:jc w:val="both"/>
        <w:rPr>
          <w:rFonts w:eastAsia="Calibri" w:cs="Arial"/>
          <w:color w:val="000000" w:themeColor="text1"/>
        </w:rPr>
      </w:pPr>
      <w:r w:rsidRPr="004410B7">
        <w:rPr>
          <w:rFonts w:eastAsia="Calibri" w:cs="Arial"/>
          <w:color w:val="000000" w:themeColor="text1"/>
        </w:rPr>
        <w:t xml:space="preserve">The effectiveness </w:t>
      </w:r>
      <w:r w:rsidR="00CA6B23">
        <w:rPr>
          <w:rFonts w:eastAsia="Calibri" w:cs="Arial"/>
          <w:color w:val="000000" w:themeColor="text1"/>
        </w:rPr>
        <w:t xml:space="preserve">of </w:t>
      </w:r>
      <w:r w:rsidR="00EC5D73">
        <w:rPr>
          <w:rFonts w:eastAsia="Calibri" w:cs="Arial"/>
          <w:color w:val="000000" w:themeColor="text1"/>
        </w:rPr>
        <w:t>technical solutions</w:t>
      </w:r>
      <w:r w:rsidRPr="004410B7">
        <w:rPr>
          <w:rFonts w:eastAsia="Calibri" w:cs="Arial"/>
          <w:color w:val="000000" w:themeColor="text1"/>
        </w:rPr>
        <w:t xml:space="preserve"> addressing the risk is not known</w:t>
      </w:r>
      <w:r w:rsidR="00EC5D73">
        <w:rPr>
          <w:rFonts w:eastAsia="Calibri" w:cs="Arial"/>
          <w:color w:val="000000" w:themeColor="text1"/>
        </w:rPr>
        <w:t xml:space="preserve"> with certainty</w:t>
      </w:r>
      <w:r w:rsidRPr="004410B7">
        <w:rPr>
          <w:rFonts w:eastAsia="Calibri" w:cs="Arial"/>
          <w:color w:val="000000" w:themeColor="text1"/>
        </w:rPr>
        <w:t xml:space="preserve">. Both the proposal and the risk assessment suggest compliance with the </w:t>
      </w:r>
      <w:r w:rsidR="0002711F">
        <w:rPr>
          <w:rFonts w:eastAsia="Calibri" w:cs="Arial"/>
          <w:color w:val="000000" w:themeColor="text1"/>
        </w:rPr>
        <w:t xml:space="preserve">proposed </w:t>
      </w:r>
      <w:r w:rsidR="00750BE3">
        <w:rPr>
          <w:rFonts w:eastAsia="Calibri" w:cs="Arial"/>
          <w:color w:val="000000" w:themeColor="text1"/>
        </w:rPr>
        <w:t>NCC provisions</w:t>
      </w:r>
      <w:r w:rsidRPr="004410B7">
        <w:rPr>
          <w:rFonts w:eastAsia="Calibri" w:cs="Arial"/>
          <w:color w:val="000000" w:themeColor="text1"/>
        </w:rPr>
        <w:t xml:space="preserve"> does not guarantee the safety of building occupants or the maintenance of tenable conditions within a building during a bushfire event. </w:t>
      </w:r>
    </w:p>
    <w:p w14:paraId="76A2753C" w14:textId="6E61D642" w:rsidR="004410B7" w:rsidRPr="004410B7" w:rsidRDefault="004410B7" w:rsidP="001204D4">
      <w:pPr>
        <w:numPr>
          <w:ilvl w:val="0"/>
          <w:numId w:val="43"/>
        </w:numPr>
        <w:spacing w:before="100" w:beforeAutospacing="1" w:after="100" w:afterAutospacing="1" w:line="360" w:lineRule="auto"/>
        <w:contextualSpacing/>
        <w:jc w:val="both"/>
        <w:rPr>
          <w:rFonts w:eastAsia="Calibri" w:cs="Arial"/>
          <w:color w:val="000000" w:themeColor="text1"/>
        </w:rPr>
      </w:pPr>
      <w:r w:rsidRPr="004410B7">
        <w:rPr>
          <w:rFonts w:eastAsia="Calibri" w:cs="Arial"/>
          <w:color w:val="000000" w:themeColor="text1"/>
        </w:rPr>
        <w:t xml:space="preserve">The likelihood of a building being occupied depends heavily on the nature and use of the building, </w:t>
      </w:r>
      <w:r w:rsidR="004B1C2B">
        <w:rPr>
          <w:rFonts w:eastAsia="Calibri" w:cs="Arial"/>
          <w:color w:val="000000" w:themeColor="text1"/>
        </w:rPr>
        <w:t>early childhood centres</w:t>
      </w:r>
      <w:r w:rsidRPr="004410B7">
        <w:rPr>
          <w:rFonts w:eastAsia="Calibri" w:cs="Arial"/>
          <w:color w:val="000000" w:themeColor="text1"/>
        </w:rPr>
        <w:t xml:space="preserve"> and schools have different usage profiles to those of </w:t>
      </w:r>
      <w:r w:rsidR="001204D4">
        <w:rPr>
          <w:rFonts w:eastAsia="Calibri" w:cs="Arial"/>
          <w:color w:val="000000" w:themeColor="text1"/>
        </w:rPr>
        <w:t>residential</w:t>
      </w:r>
      <w:r w:rsidR="001204D4" w:rsidRPr="004410B7">
        <w:rPr>
          <w:rFonts w:eastAsia="Calibri" w:cs="Arial"/>
          <w:color w:val="000000" w:themeColor="text1"/>
        </w:rPr>
        <w:t xml:space="preserve"> </w:t>
      </w:r>
      <w:r w:rsidRPr="004410B7">
        <w:rPr>
          <w:rFonts w:eastAsia="Calibri" w:cs="Arial"/>
          <w:color w:val="000000" w:themeColor="text1"/>
        </w:rPr>
        <w:t xml:space="preserve">care </w:t>
      </w:r>
      <w:r w:rsidR="00B46AEC">
        <w:rPr>
          <w:rFonts w:eastAsia="Calibri" w:cs="Arial"/>
          <w:color w:val="000000" w:themeColor="text1"/>
        </w:rPr>
        <w:t xml:space="preserve">facilities </w:t>
      </w:r>
      <w:r w:rsidRPr="004410B7">
        <w:rPr>
          <w:rFonts w:eastAsia="Calibri" w:cs="Arial"/>
          <w:color w:val="000000" w:themeColor="text1"/>
        </w:rPr>
        <w:t>and hospitals.</w:t>
      </w:r>
    </w:p>
    <w:p w14:paraId="5178788E" w14:textId="4C7A3C4A" w:rsidR="004410B7" w:rsidRPr="004410B7" w:rsidRDefault="004410B7" w:rsidP="000F2A03">
      <w:pPr>
        <w:numPr>
          <w:ilvl w:val="0"/>
          <w:numId w:val="43"/>
        </w:numPr>
        <w:spacing w:before="100" w:beforeAutospacing="1" w:after="100" w:afterAutospacing="1" w:line="360" w:lineRule="auto"/>
        <w:contextualSpacing/>
        <w:jc w:val="both"/>
        <w:rPr>
          <w:rFonts w:eastAsia="Calibri" w:cs="Arial"/>
          <w:color w:val="000000" w:themeColor="text1"/>
        </w:rPr>
      </w:pPr>
      <w:r w:rsidRPr="004410B7">
        <w:rPr>
          <w:rFonts w:eastAsia="Calibri" w:cs="Arial"/>
          <w:color w:val="000000" w:themeColor="text1"/>
        </w:rPr>
        <w:t>It is not known where bushfire will occur</w:t>
      </w:r>
      <w:r w:rsidR="00EC5D73">
        <w:rPr>
          <w:rFonts w:eastAsia="Calibri" w:cs="Arial"/>
          <w:color w:val="000000" w:themeColor="text1"/>
        </w:rPr>
        <w:t xml:space="preserve"> and there is</w:t>
      </w:r>
      <w:r w:rsidRPr="004410B7">
        <w:rPr>
          <w:rFonts w:eastAsia="Calibri" w:cs="Arial"/>
          <w:color w:val="000000" w:themeColor="text1"/>
        </w:rPr>
        <w:t xml:space="preserve"> difficulty predicting the likelihood of an event.</w:t>
      </w:r>
    </w:p>
    <w:p w14:paraId="15B5BFDF" w14:textId="77777777" w:rsidR="004410B7" w:rsidRPr="004410B7" w:rsidRDefault="004410B7" w:rsidP="000F2A03">
      <w:pPr>
        <w:spacing w:after="0" w:line="360" w:lineRule="auto"/>
        <w:jc w:val="both"/>
        <w:rPr>
          <w:rFonts w:eastAsia="Times New Roman" w:cs="Arial"/>
          <w:color w:val="000000" w:themeColor="text1"/>
          <w:lang w:eastAsia="en-AU"/>
        </w:rPr>
      </w:pPr>
      <w:r w:rsidRPr="004410B7">
        <w:rPr>
          <w:rFonts w:eastAsia="Times New Roman" w:cs="Arial"/>
          <w:color w:val="000000" w:themeColor="text1"/>
          <w:lang w:eastAsia="en-AU"/>
        </w:rPr>
        <w:t>Further, the case for the generalisation of benefits is diminished by the following factors:</w:t>
      </w:r>
    </w:p>
    <w:p w14:paraId="10632F0E" w14:textId="3A65A27B" w:rsidR="004410B7" w:rsidRPr="004410B7" w:rsidRDefault="004410B7" w:rsidP="00CC7F0F">
      <w:pPr>
        <w:numPr>
          <w:ilvl w:val="0"/>
          <w:numId w:val="45"/>
        </w:numPr>
        <w:spacing w:before="240" w:after="0" w:line="360" w:lineRule="auto"/>
        <w:ind w:left="738"/>
        <w:contextualSpacing/>
        <w:jc w:val="both"/>
        <w:rPr>
          <w:rFonts w:eastAsia="Calibri" w:cs="Arial"/>
          <w:color w:val="000000" w:themeColor="text1"/>
        </w:rPr>
      </w:pPr>
      <w:r w:rsidRPr="004410B7">
        <w:rPr>
          <w:rFonts w:eastAsia="Calibri" w:cs="Arial"/>
          <w:color w:val="000000" w:themeColor="text1"/>
        </w:rPr>
        <w:t>Advice from consultation suggests other referrals and planning requirements of state or local authorities require the application of different measures to those proposed</w:t>
      </w:r>
      <w:r w:rsidR="00750BE3">
        <w:rPr>
          <w:rFonts w:eastAsia="Calibri" w:cs="Arial"/>
          <w:color w:val="000000" w:themeColor="text1"/>
        </w:rPr>
        <w:t xml:space="preserve"> in order</w:t>
      </w:r>
      <w:r w:rsidRPr="004410B7">
        <w:rPr>
          <w:rFonts w:eastAsia="Calibri" w:cs="Arial"/>
          <w:color w:val="000000" w:themeColor="text1"/>
        </w:rPr>
        <w:t xml:space="preserve"> to limit the exposure of residents to bushfire risk</w:t>
      </w:r>
      <w:r w:rsidR="00750BE3">
        <w:rPr>
          <w:rFonts w:eastAsia="Calibri" w:cs="Arial"/>
          <w:color w:val="000000" w:themeColor="text1"/>
        </w:rPr>
        <w:t>, e.g.</w:t>
      </w:r>
      <w:r w:rsidR="0002711F" w:rsidRPr="004410B7" w:rsidDel="0002711F">
        <w:rPr>
          <w:rFonts w:eastAsia="Calibri" w:cs="Arial"/>
          <w:color w:val="000000" w:themeColor="text1"/>
        </w:rPr>
        <w:t xml:space="preserve"> </w:t>
      </w:r>
      <w:r w:rsidR="0002711F">
        <w:rPr>
          <w:rFonts w:eastAsia="Calibri" w:cs="Arial"/>
          <w:color w:val="000000" w:themeColor="text1"/>
        </w:rPr>
        <w:t>t</w:t>
      </w:r>
      <w:r w:rsidR="00EC5D73">
        <w:rPr>
          <w:rFonts w:eastAsia="Calibri" w:cs="Arial"/>
          <w:color w:val="000000" w:themeColor="text1"/>
        </w:rPr>
        <w:t xml:space="preserve">he </w:t>
      </w:r>
      <w:r w:rsidRPr="004410B7">
        <w:rPr>
          <w:rFonts w:eastAsia="Calibri" w:cs="Arial"/>
          <w:color w:val="000000" w:themeColor="text1"/>
        </w:rPr>
        <w:t>bushfire requirements introduced following the Black Saturday bushfires</w:t>
      </w:r>
      <w:r w:rsidR="0002711F">
        <w:rPr>
          <w:rFonts w:eastAsia="Calibri" w:cs="Arial"/>
          <w:color w:val="000000" w:themeColor="text1"/>
        </w:rPr>
        <w:t xml:space="preserve"> in Victoria</w:t>
      </w:r>
      <w:r w:rsidRPr="004410B7">
        <w:rPr>
          <w:rFonts w:eastAsia="Calibri" w:cs="Arial"/>
          <w:color w:val="000000" w:themeColor="text1"/>
        </w:rPr>
        <w:t>.</w:t>
      </w:r>
    </w:p>
    <w:p w14:paraId="4810F43E" w14:textId="681726DE" w:rsidR="004410B7" w:rsidRPr="004410B7" w:rsidRDefault="004410B7" w:rsidP="000F2A03">
      <w:pPr>
        <w:numPr>
          <w:ilvl w:val="0"/>
          <w:numId w:val="45"/>
        </w:numPr>
        <w:spacing w:before="240" w:after="0" w:line="360" w:lineRule="auto"/>
        <w:ind w:left="738"/>
        <w:contextualSpacing/>
        <w:jc w:val="both"/>
        <w:rPr>
          <w:rFonts w:eastAsia="Calibri" w:cs="Arial"/>
          <w:color w:val="000000" w:themeColor="text1"/>
        </w:rPr>
      </w:pPr>
      <w:r w:rsidRPr="004410B7">
        <w:rPr>
          <w:rFonts w:eastAsia="Calibri" w:cs="Arial"/>
          <w:color w:val="000000" w:themeColor="text1"/>
        </w:rPr>
        <w:t xml:space="preserve">Buildings on sites which are </w:t>
      </w:r>
      <w:r w:rsidR="00857A9B">
        <w:rPr>
          <w:rFonts w:eastAsia="Calibri" w:cs="Arial"/>
          <w:color w:val="000000" w:themeColor="text1"/>
        </w:rPr>
        <w:t xml:space="preserve">assessed as being </w:t>
      </w:r>
      <w:r w:rsidRPr="004410B7">
        <w:rPr>
          <w:rFonts w:eastAsia="Calibri" w:cs="Arial"/>
          <w:color w:val="000000" w:themeColor="text1"/>
        </w:rPr>
        <w:t xml:space="preserve">higher than </w:t>
      </w:r>
      <w:r w:rsidR="00857A9B" w:rsidRPr="004410B7">
        <w:rPr>
          <w:rFonts w:eastAsia="Calibri" w:cs="Arial"/>
          <w:color w:val="000000" w:themeColor="text1"/>
        </w:rPr>
        <w:t>B</w:t>
      </w:r>
      <w:r w:rsidR="00857A9B">
        <w:rPr>
          <w:rFonts w:eastAsia="Calibri" w:cs="Arial"/>
          <w:color w:val="000000" w:themeColor="text1"/>
        </w:rPr>
        <w:t>ushfire Attack Level or B</w:t>
      </w:r>
      <w:r w:rsidRPr="004410B7">
        <w:rPr>
          <w:rFonts w:eastAsia="Calibri" w:cs="Arial"/>
          <w:color w:val="000000" w:themeColor="text1"/>
        </w:rPr>
        <w:t xml:space="preserve">AL 12.5 will be required to use a Performance Solution. The costs and benefits of those solutions are not known and </w:t>
      </w:r>
      <w:r w:rsidR="0002711F">
        <w:rPr>
          <w:rFonts w:eastAsia="Calibri" w:cs="Arial"/>
          <w:color w:val="000000" w:themeColor="text1"/>
        </w:rPr>
        <w:t xml:space="preserve">are </w:t>
      </w:r>
      <w:r w:rsidRPr="004410B7">
        <w:rPr>
          <w:rFonts w:eastAsia="Calibri" w:cs="Arial"/>
          <w:color w:val="000000" w:themeColor="text1"/>
        </w:rPr>
        <w:t>difficult to quantify.</w:t>
      </w:r>
    </w:p>
    <w:p w14:paraId="4D76C54A" w14:textId="6D55C3FA" w:rsidR="004410B7" w:rsidRPr="004410B7" w:rsidRDefault="004410B7" w:rsidP="001204D4">
      <w:pPr>
        <w:spacing w:before="100" w:beforeAutospacing="1" w:after="100" w:afterAutospacing="1" w:line="360" w:lineRule="auto"/>
        <w:jc w:val="both"/>
        <w:rPr>
          <w:rFonts w:eastAsia="Times New Roman" w:cs="Arial"/>
          <w:color w:val="000000" w:themeColor="text1"/>
          <w:lang w:eastAsia="en-AU"/>
        </w:rPr>
      </w:pPr>
      <w:r w:rsidRPr="004410B7">
        <w:rPr>
          <w:rFonts w:eastAsia="Times New Roman" w:cs="Arial"/>
          <w:color w:val="000000" w:themeColor="text1"/>
          <w:lang w:eastAsia="en-AU"/>
        </w:rPr>
        <w:t>The assessment of vulnerable use buildings in Victoria considered a reduction in the need to permanently relocate residents of an a</w:t>
      </w:r>
      <w:r w:rsidR="00BE3135">
        <w:rPr>
          <w:rFonts w:eastAsia="Times New Roman" w:cs="Arial"/>
          <w:color w:val="000000" w:themeColor="text1"/>
          <w:lang w:eastAsia="en-AU"/>
        </w:rPr>
        <w:t>g</w:t>
      </w:r>
      <w:r w:rsidRPr="004410B7">
        <w:rPr>
          <w:rFonts w:eastAsia="Times New Roman" w:cs="Arial"/>
          <w:color w:val="000000" w:themeColor="text1"/>
          <w:lang w:eastAsia="en-AU"/>
        </w:rPr>
        <w:t>ed care home</w:t>
      </w:r>
      <w:r w:rsidRPr="004410B7">
        <w:rPr>
          <w:rFonts w:eastAsia="Times New Roman" w:cs="Arial"/>
          <w:color w:val="000000" w:themeColor="text1"/>
          <w:vertAlign w:val="superscript"/>
          <w:lang w:eastAsia="en-AU"/>
        </w:rPr>
        <w:footnoteReference w:id="21"/>
      </w:r>
      <w:r w:rsidR="00750BE3">
        <w:rPr>
          <w:rFonts w:eastAsia="Times New Roman" w:cs="Arial"/>
          <w:color w:val="000000" w:themeColor="text1"/>
          <w:lang w:eastAsia="en-AU"/>
        </w:rPr>
        <w:t>.</w:t>
      </w:r>
      <w:r w:rsidRPr="004410B7">
        <w:rPr>
          <w:rFonts w:eastAsia="Times New Roman" w:cs="Arial"/>
          <w:color w:val="000000" w:themeColor="text1"/>
          <w:lang w:eastAsia="en-AU"/>
        </w:rPr>
        <w:t xml:space="preserve"> </w:t>
      </w:r>
      <w:r w:rsidR="00750BE3">
        <w:rPr>
          <w:rFonts w:eastAsia="Times New Roman" w:cs="Arial"/>
          <w:color w:val="000000" w:themeColor="text1"/>
          <w:lang w:eastAsia="en-AU"/>
        </w:rPr>
        <w:t>This assessment</w:t>
      </w:r>
      <w:r w:rsidRPr="004410B7">
        <w:rPr>
          <w:rFonts w:eastAsia="Times New Roman" w:cs="Arial"/>
          <w:color w:val="000000" w:themeColor="text1"/>
          <w:lang w:eastAsia="en-AU"/>
        </w:rPr>
        <w:t xml:space="preserve"> provides an indication of the scale of </w:t>
      </w:r>
      <w:r w:rsidR="00EC5D73">
        <w:rPr>
          <w:rFonts w:eastAsia="Times New Roman" w:cs="Arial"/>
          <w:color w:val="000000" w:themeColor="text1"/>
          <w:lang w:eastAsia="en-AU"/>
        </w:rPr>
        <w:t xml:space="preserve">avoidable financial loss </w:t>
      </w:r>
      <w:r w:rsidRPr="004410B7">
        <w:rPr>
          <w:rFonts w:eastAsia="Times New Roman" w:cs="Arial"/>
          <w:color w:val="000000" w:themeColor="text1"/>
          <w:lang w:eastAsia="en-AU"/>
        </w:rPr>
        <w:t xml:space="preserve">benefits available in these buildings.  Assuming the Option avoided the </w:t>
      </w:r>
      <w:r w:rsidR="00857A9B">
        <w:rPr>
          <w:rFonts w:eastAsia="Times New Roman" w:cs="Arial"/>
          <w:color w:val="000000" w:themeColor="text1"/>
          <w:lang w:eastAsia="en-AU"/>
        </w:rPr>
        <w:t>trauma associated with the sudden and</w:t>
      </w:r>
      <w:r w:rsidR="00857A9B" w:rsidRPr="004410B7">
        <w:rPr>
          <w:rFonts w:eastAsia="Times New Roman" w:cs="Arial"/>
          <w:color w:val="000000" w:themeColor="text1"/>
          <w:lang w:eastAsia="en-AU"/>
        </w:rPr>
        <w:t xml:space="preserve"> </w:t>
      </w:r>
      <w:r w:rsidRPr="004410B7">
        <w:rPr>
          <w:rFonts w:eastAsia="Times New Roman" w:cs="Arial"/>
          <w:color w:val="000000" w:themeColor="text1"/>
          <w:lang w:eastAsia="en-AU"/>
        </w:rPr>
        <w:t xml:space="preserve">permanent closure of </w:t>
      </w:r>
      <w:r w:rsidR="00857A9B">
        <w:rPr>
          <w:rFonts w:eastAsia="Times New Roman" w:cs="Arial"/>
          <w:color w:val="000000" w:themeColor="text1"/>
          <w:lang w:eastAsia="en-AU"/>
        </w:rPr>
        <w:t>one</w:t>
      </w:r>
      <w:r w:rsidR="00857A9B" w:rsidRPr="004410B7">
        <w:rPr>
          <w:rFonts w:eastAsia="Times New Roman" w:cs="Arial"/>
          <w:color w:val="000000" w:themeColor="text1"/>
          <w:lang w:eastAsia="en-AU"/>
        </w:rPr>
        <w:t xml:space="preserve"> </w:t>
      </w:r>
      <w:r w:rsidRPr="004410B7">
        <w:rPr>
          <w:rFonts w:eastAsia="Times New Roman" w:cs="Arial"/>
          <w:color w:val="000000" w:themeColor="text1"/>
          <w:lang w:eastAsia="en-AU"/>
        </w:rPr>
        <w:t>aged care building annually, a net benefit may be possible in aged care buildings</w:t>
      </w:r>
      <w:r w:rsidR="00750BE3">
        <w:rPr>
          <w:rFonts w:eastAsia="Times New Roman" w:cs="Arial"/>
          <w:color w:val="000000" w:themeColor="text1"/>
          <w:lang w:eastAsia="en-AU"/>
        </w:rPr>
        <w:t xml:space="preserve"> as shown in the table below</w:t>
      </w:r>
      <w:r w:rsidRPr="004410B7">
        <w:rPr>
          <w:rFonts w:eastAsia="Times New Roman" w:cs="Arial"/>
          <w:color w:val="000000" w:themeColor="text1"/>
          <w:lang w:eastAsia="en-AU"/>
        </w:rPr>
        <w:t>:</w:t>
      </w:r>
    </w:p>
    <w:p w14:paraId="54E4D630" w14:textId="1CA8DDD1" w:rsidR="00EC5D73" w:rsidRDefault="00EC5D73" w:rsidP="001B653A">
      <w:pPr>
        <w:pStyle w:val="Caption"/>
      </w:pPr>
      <w:r w:rsidRPr="00CA0DF7">
        <w:rPr>
          <w:b/>
        </w:rPr>
        <w:t xml:space="preserve">Table </w:t>
      </w:r>
      <w:r w:rsidR="00971B27" w:rsidRPr="00CA0DF7">
        <w:rPr>
          <w:b/>
          <w:noProof/>
        </w:rPr>
        <w:fldChar w:fldCharType="begin"/>
      </w:r>
      <w:r w:rsidR="00971B27" w:rsidRPr="00CA0DF7">
        <w:rPr>
          <w:b/>
          <w:noProof/>
        </w:rPr>
        <w:instrText xml:space="preserve"> SEQ Table \* ARABIC </w:instrText>
      </w:r>
      <w:r w:rsidR="00971B27" w:rsidRPr="00CA0DF7">
        <w:rPr>
          <w:b/>
          <w:noProof/>
        </w:rPr>
        <w:fldChar w:fldCharType="separate"/>
      </w:r>
      <w:r w:rsidR="00932DA8" w:rsidRPr="00CA0DF7">
        <w:rPr>
          <w:b/>
          <w:noProof/>
        </w:rPr>
        <w:t>4</w:t>
      </w:r>
      <w:r w:rsidR="00971B27" w:rsidRPr="00CA0DF7">
        <w:rPr>
          <w:b/>
          <w:noProof/>
        </w:rPr>
        <w:fldChar w:fldCharType="end"/>
      </w:r>
      <w:r w:rsidRPr="00CA0DF7">
        <w:rPr>
          <w:b/>
          <w:lang w:val="en-US"/>
        </w:rPr>
        <w:t>:</w:t>
      </w:r>
      <w:r>
        <w:rPr>
          <w:lang w:val="en-US"/>
        </w:rPr>
        <w:t xml:space="preserve"> Potential financial benefits of avoiding permanent closure </w:t>
      </w:r>
      <w:r w:rsidR="00932DA8">
        <w:rPr>
          <w:lang w:val="en-US"/>
        </w:rPr>
        <w:t xml:space="preserve">in </w:t>
      </w:r>
      <w:r>
        <w:rPr>
          <w:lang w:val="en-US"/>
        </w:rPr>
        <w:t>aged care buildings</w:t>
      </w:r>
    </w:p>
    <w:tbl>
      <w:tblPr>
        <w:tblStyle w:val="TableGrid4"/>
        <w:tblW w:w="0" w:type="auto"/>
        <w:tblLook w:val="04A0" w:firstRow="1" w:lastRow="0" w:firstColumn="1" w:lastColumn="0" w:noHBand="0" w:noVBand="1"/>
        <w:tblCaption w:val="Potential financial benefits of avoiding permanent closure in aged care buildings"/>
        <w:tblDescription w:val="The table shows the benefits of avoiding permanent closure of aged care buildings outweigh the costs by $1 million."/>
      </w:tblPr>
      <w:tblGrid>
        <w:gridCol w:w="1985"/>
        <w:gridCol w:w="1942"/>
        <w:gridCol w:w="2276"/>
      </w:tblGrid>
      <w:tr w:rsidR="004410B7" w:rsidRPr="004410B7" w14:paraId="0B48CF93" w14:textId="77777777" w:rsidTr="00C865CB">
        <w:trPr>
          <w:tblHeader/>
        </w:trPr>
        <w:tc>
          <w:tcPr>
            <w:tcW w:w="1985" w:type="dxa"/>
            <w:shd w:val="clear" w:color="auto" w:fill="002060"/>
          </w:tcPr>
          <w:p w14:paraId="607B8EC2" w14:textId="07D0BC87" w:rsidR="004410B7" w:rsidRPr="004410B7" w:rsidRDefault="004410B7" w:rsidP="008B65B6">
            <w:pPr>
              <w:spacing w:before="100" w:beforeAutospacing="1" w:after="100" w:afterAutospacing="1" w:line="360" w:lineRule="auto"/>
              <w:jc w:val="center"/>
              <w:rPr>
                <w:rFonts w:cs="Arial"/>
                <w:color w:val="FFFFFF" w:themeColor="background1"/>
                <w:sz w:val="22"/>
                <w:szCs w:val="22"/>
              </w:rPr>
            </w:pPr>
            <w:r w:rsidRPr="004410B7">
              <w:rPr>
                <w:rFonts w:cs="Arial"/>
                <w:color w:val="FFFFFF" w:themeColor="background1"/>
                <w:sz w:val="22"/>
                <w:szCs w:val="22"/>
              </w:rPr>
              <w:t>Costs</w:t>
            </w:r>
          </w:p>
        </w:tc>
        <w:tc>
          <w:tcPr>
            <w:tcW w:w="1942" w:type="dxa"/>
            <w:shd w:val="clear" w:color="auto" w:fill="002060"/>
          </w:tcPr>
          <w:p w14:paraId="7F20915F" w14:textId="6DDD2E3A" w:rsidR="004410B7" w:rsidRPr="004410B7" w:rsidRDefault="004410B7" w:rsidP="008B65B6">
            <w:pPr>
              <w:spacing w:before="100" w:beforeAutospacing="1" w:after="100" w:afterAutospacing="1" w:line="360" w:lineRule="auto"/>
              <w:jc w:val="center"/>
              <w:rPr>
                <w:rFonts w:cs="Arial"/>
                <w:color w:val="FFFFFF" w:themeColor="background1"/>
                <w:sz w:val="22"/>
                <w:szCs w:val="22"/>
              </w:rPr>
            </w:pPr>
            <w:r w:rsidRPr="004410B7">
              <w:rPr>
                <w:rFonts w:cs="Arial"/>
                <w:color w:val="FFFFFF" w:themeColor="background1"/>
                <w:sz w:val="22"/>
                <w:szCs w:val="22"/>
              </w:rPr>
              <w:t>Benefits</w:t>
            </w:r>
          </w:p>
        </w:tc>
        <w:tc>
          <w:tcPr>
            <w:tcW w:w="2276" w:type="dxa"/>
            <w:shd w:val="clear" w:color="auto" w:fill="002060"/>
          </w:tcPr>
          <w:p w14:paraId="1F75F51B" w14:textId="77777777" w:rsidR="004410B7" w:rsidRPr="004410B7" w:rsidRDefault="004410B7" w:rsidP="008B65B6">
            <w:pPr>
              <w:spacing w:before="100" w:beforeAutospacing="1" w:after="100" w:afterAutospacing="1" w:line="360" w:lineRule="auto"/>
              <w:jc w:val="center"/>
              <w:rPr>
                <w:rFonts w:cs="Arial"/>
                <w:color w:val="FFFFFF" w:themeColor="background1"/>
                <w:sz w:val="22"/>
                <w:szCs w:val="22"/>
              </w:rPr>
            </w:pPr>
            <w:r w:rsidRPr="004410B7">
              <w:rPr>
                <w:rFonts w:cs="Arial"/>
                <w:color w:val="FFFFFF" w:themeColor="background1"/>
                <w:sz w:val="22"/>
                <w:szCs w:val="22"/>
              </w:rPr>
              <w:t>Net Present Value</w:t>
            </w:r>
          </w:p>
        </w:tc>
      </w:tr>
      <w:tr w:rsidR="004410B7" w:rsidRPr="004410B7" w14:paraId="69E25F92" w14:textId="77777777" w:rsidTr="00C865CB">
        <w:trPr>
          <w:tblHeader/>
        </w:trPr>
        <w:tc>
          <w:tcPr>
            <w:tcW w:w="1985" w:type="dxa"/>
            <w:vAlign w:val="bottom"/>
          </w:tcPr>
          <w:p w14:paraId="034FE7D0" w14:textId="77777777" w:rsidR="004410B7" w:rsidRPr="004410B7" w:rsidRDefault="004410B7" w:rsidP="008B65B6">
            <w:pPr>
              <w:spacing w:line="360" w:lineRule="auto"/>
              <w:jc w:val="center"/>
              <w:rPr>
                <w:rFonts w:cs="Arial"/>
                <w:color w:val="000000" w:themeColor="text1"/>
                <w:sz w:val="22"/>
                <w:szCs w:val="22"/>
              </w:rPr>
            </w:pPr>
            <w:r w:rsidRPr="004410B7">
              <w:rPr>
                <w:rFonts w:cs="Arial"/>
                <w:color w:val="000000" w:themeColor="text1"/>
                <w:sz w:val="22"/>
                <w:szCs w:val="22"/>
              </w:rPr>
              <w:t>$51,139,463</w:t>
            </w:r>
          </w:p>
        </w:tc>
        <w:tc>
          <w:tcPr>
            <w:tcW w:w="1942" w:type="dxa"/>
            <w:vAlign w:val="bottom"/>
          </w:tcPr>
          <w:p w14:paraId="2B7CCCE3" w14:textId="77777777" w:rsidR="004410B7" w:rsidRPr="004410B7" w:rsidRDefault="004410B7" w:rsidP="008B65B6">
            <w:pPr>
              <w:spacing w:line="360" w:lineRule="auto"/>
              <w:jc w:val="center"/>
              <w:rPr>
                <w:rFonts w:cs="Arial"/>
                <w:color w:val="000000" w:themeColor="text1"/>
                <w:sz w:val="22"/>
                <w:szCs w:val="22"/>
              </w:rPr>
            </w:pPr>
            <w:r w:rsidRPr="004410B7">
              <w:rPr>
                <w:rFonts w:cs="Arial"/>
                <w:color w:val="000000" w:themeColor="text1"/>
                <w:sz w:val="22"/>
                <w:szCs w:val="22"/>
              </w:rPr>
              <w:t>$52,231,055</w:t>
            </w:r>
          </w:p>
        </w:tc>
        <w:tc>
          <w:tcPr>
            <w:tcW w:w="2276" w:type="dxa"/>
          </w:tcPr>
          <w:p w14:paraId="6DCCEE64" w14:textId="77777777" w:rsidR="004410B7" w:rsidRPr="004410B7" w:rsidRDefault="004410B7" w:rsidP="008B65B6">
            <w:pPr>
              <w:spacing w:line="360" w:lineRule="auto"/>
              <w:jc w:val="center"/>
              <w:rPr>
                <w:rFonts w:cs="Arial"/>
                <w:b/>
                <w:color w:val="000000" w:themeColor="text1"/>
                <w:sz w:val="22"/>
                <w:szCs w:val="22"/>
              </w:rPr>
            </w:pPr>
            <w:r w:rsidRPr="004410B7">
              <w:rPr>
                <w:rFonts w:cs="Arial"/>
                <w:b/>
                <w:bCs/>
                <w:color w:val="000000" w:themeColor="text1"/>
                <w:sz w:val="22"/>
                <w:szCs w:val="22"/>
              </w:rPr>
              <w:t>$1,091,592</w:t>
            </w:r>
          </w:p>
        </w:tc>
      </w:tr>
    </w:tbl>
    <w:p w14:paraId="2C795DF3" w14:textId="4707302D" w:rsidR="004410B7" w:rsidRPr="00EA58B4" w:rsidRDefault="004410B7" w:rsidP="00EA58B4">
      <w:pPr>
        <w:spacing w:before="240" w:after="0" w:line="360" w:lineRule="auto"/>
        <w:jc w:val="both"/>
        <w:rPr>
          <w:rFonts w:eastAsia="Times New Roman" w:cs="Arial"/>
          <w:color w:val="000000" w:themeColor="text1"/>
          <w:sz w:val="20"/>
          <w:lang w:eastAsia="en-AU"/>
        </w:rPr>
      </w:pPr>
      <w:r w:rsidRPr="00EA58B4">
        <w:rPr>
          <w:rFonts w:eastAsia="Times New Roman" w:cs="Arial"/>
          <w:color w:val="000000" w:themeColor="text1"/>
          <w:sz w:val="20"/>
          <w:lang w:eastAsia="en-AU"/>
        </w:rPr>
        <w:t>Assumptions and sources:</w:t>
      </w:r>
    </w:p>
    <w:p w14:paraId="4715FB0F" w14:textId="77777777" w:rsidR="004410B7" w:rsidRPr="00EA58B4" w:rsidRDefault="004410B7" w:rsidP="00EA58B4">
      <w:pPr>
        <w:numPr>
          <w:ilvl w:val="0"/>
          <w:numId w:val="44"/>
        </w:numPr>
        <w:spacing w:before="240" w:after="0" w:line="360" w:lineRule="auto"/>
        <w:contextualSpacing/>
        <w:jc w:val="both"/>
        <w:rPr>
          <w:rFonts w:eastAsia="Calibri" w:cs="Arial"/>
          <w:color w:val="000000" w:themeColor="text1"/>
          <w:sz w:val="20"/>
        </w:rPr>
      </w:pPr>
      <w:r w:rsidRPr="00EA58B4">
        <w:rPr>
          <w:rFonts w:eastAsia="Calibri" w:cs="Arial"/>
          <w:color w:val="000000" w:themeColor="text1"/>
          <w:sz w:val="20"/>
        </w:rPr>
        <w:t>One aged care home per year is assumed to avoid the need for permanent relocation of residents over the regulatory period.</w:t>
      </w:r>
    </w:p>
    <w:p w14:paraId="314D48BD" w14:textId="77777777" w:rsidR="004410B7" w:rsidRPr="00EA58B4" w:rsidRDefault="004410B7" w:rsidP="00EA58B4">
      <w:pPr>
        <w:numPr>
          <w:ilvl w:val="0"/>
          <w:numId w:val="44"/>
        </w:numPr>
        <w:spacing w:before="240" w:after="0" w:line="360" w:lineRule="auto"/>
        <w:contextualSpacing/>
        <w:jc w:val="both"/>
        <w:rPr>
          <w:rFonts w:eastAsia="Calibri" w:cs="Arial"/>
          <w:color w:val="000000" w:themeColor="text1"/>
          <w:sz w:val="20"/>
        </w:rPr>
      </w:pPr>
      <w:r w:rsidRPr="00EA58B4">
        <w:rPr>
          <w:rFonts w:eastAsia="Calibri" w:cs="Arial"/>
          <w:color w:val="000000" w:themeColor="text1"/>
          <w:sz w:val="20"/>
        </w:rPr>
        <w:t>Costs and benefits are Net Present Values calculated using a discount rate of 7%.</w:t>
      </w:r>
    </w:p>
    <w:p w14:paraId="7CEC4FC6" w14:textId="77777777" w:rsidR="004410B7" w:rsidRPr="00EA58B4" w:rsidRDefault="004410B7" w:rsidP="00EA58B4">
      <w:pPr>
        <w:numPr>
          <w:ilvl w:val="0"/>
          <w:numId w:val="44"/>
        </w:numPr>
        <w:spacing w:before="240" w:after="0" w:line="360" w:lineRule="auto"/>
        <w:contextualSpacing/>
        <w:jc w:val="both"/>
        <w:rPr>
          <w:rFonts w:eastAsia="Calibri" w:cs="Arial"/>
          <w:color w:val="000000" w:themeColor="text1"/>
          <w:sz w:val="20"/>
        </w:rPr>
      </w:pPr>
      <w:r w:rsidRPr="00EA58B4">
        <w:rPr>
          <w:rFonts w:eastAsia="Calibri" w:cs="Arial"/>
          <w:color w:val="000000" w:themeColor="text1"/>
          <w:sz w:val="20"/>
        </w:rPr>
        <w:t>Costs assume:</w:t>
      </w:r>
    </w:p>
    <w:p w14:paraId="10BD6C53" w14:textId="77777777" w:rsidR="004410B7" w:rsidRPr="00EA58B4" w:rsidRDefault="004410B7" w:rsidP="00EA58B4">
      <w:pPr>
        <w:numPr>
          <w:ilvl w:val="1"/>
          <w:numId w:val="44"/>
        </w:numPr>
        <w:spacing w:before="240" w:after="0" w:line="360" w:lineRule="auto"/>
        <w:contextualSpacing/>
        <w:jc w:val="both"/>
        <w:rPr>
          <w:rFonts w:eastAsia="Calibri" w:cs="Arial"/>
          <w:color w:val="000000" w:themeColor="text1"/>
          <w:sz w:val="20"/>
        </w:rPr>
      </w:pPr>
      <w:r w:rsidRPr="00EA58B4">
        <w:rPr>
          <w:rFonts w:eastAsia="Calibri" w:cs="Arial"/>
          <w:color w:val="000000" w:themeColor="text1"/>
          <w:sz w:val="20"/>
        </w:rPr>
        <w:t xml:space="preserve">An average increase in risk of mortality of 2.875 based on Robinson, 2002. </w:t>
      </w:r>
    </w:p>
    <w:p w14:paraId="4DF15656" w14:textId="1FD75D03" w:rsidR="004410B7" w:rsidRPr="00EA58B4" w:rsidRDefault="004410B7" w:rsidP="00EA58B4">
      <w:pPr>
        <w:numPr>
          <w:ilvl w:val="1"/>
          <w:numId w:val="44"/>
        </w:numPr>
        <w:spacing w:before="240" w:after="0" w:line="360" w:lineRule="auto"/>
        <w:contextualSpacing/>
        <w:jc w:val="both"/>
        <w:rPr>
          <w:rFonts w:eastAsia="Calibri" w:cs="Arial"/>
          <w:color w:val="000000" w:themeColor="text1"/>
          <w:sz w:val="20"/>
        </w:rPr>
      </w:pPr>
      <w:r w:rsidRPr="00EA58B4">
        <w:rPr>
          <w:rFonts w:eastAsia="Calibri" w:cs="Arial"/>
          <w:color w:val="000000" w:themeColor="text1"/>
          <w:sz w:val="20"/>
        </w:rPr>
        <w:t>Proportion of people using aged care</w:t>
      </w:r>
      <w:r w:rsidR="000F2A03" w:rsidRPr="00EA58B4">
        <w:rPr>
          <w:rFonts w:eastAsia="Calibri" w:cs="Arial"/>
          <w:color w:val="000000" w:themeColor="text1"/>
          <w:sz w:val="20"/>
        </w:rPr>
        <w:t>.</w:t>
      </w:r>
    </w:p>
    <w:p w14:paraId="3E8A0532" w14:textId="77777777" w:rsidR="004410B7" w:rsidRPr="00EA58B4" w:rsidRDefault="004410B7" w:rsidP="00EA58B4">
      <w:pPr>
        <w:numPr>
          <w:ilvl w:val="1"/>
          <w:numId w:val="44"/>
        </w:numPr>
        <w:spacing w:before="240" w:after="0" w:line="360" w:lineRule="auto"/>
        <w:contextualSpacing/>
        <w:jc w:val="both"/>
        <w:rPr>
          <w:rFonts w:eastAsia="Calibri" w:cs="Arial"/>
          <w:color w:val="000000" w:themeColor="text1"/>
          <w:sz w:val="20"/>
        </w:rPr>
      </w:pPr>
      <w:r w:rsidRPr="00EA58B4">
        <w:rPr>
          <w:rFonts w:eastAsia="Calibri" w:cs="Arial"/>
          <w:color w:val="000000" w:themeColor="text1"/>
          <w:sz w:val="20"/>
        </w:rPr>
        <w:t>Adjusted life expectancy based on aged care and ABS life tables 2017-19</w:t>
      </w:r>
    </w:p>
    <w:p w14:paraId="4FF634D7" w14:textId="454E5F59" w:rsidR="004410B7" w:rsidRPr="004410B7" w:rsidRDefault="004410B7" w:rsidP="00EA58B4">
      <w:pPr>
        <w:numPr>
          <w:ilvl w:val="1"/>
          <w:numId w:val="44"/>
        </w:numPr>
        <w:spacing w:before="240" w:after="0" w:line="360" w:lineRule="auto"/>
        <w:contextualSpacing/>
        <w:jc w:val="both"/>
        <w:rPr>
          <w:rFonts w:eastAsia="Calibri" w:cs="Arial"/>
          <w:color w:val="000000" w:themeColor="text1"/>
        </w:rPr>
      </w:pPr>
      <w:r w:rsidRPr="00EA58B4">
        <w:rPr>
          <w:rFonts w:eastAsia="Calibri" w:cs="Arial"/>
          <w:color w:val="000000" w:themeColor="text1"/>
          <w:sz w:val="20"/>
        </w:rPr>
        <w:t>Death rates based on Australian population and age specific death rates 2019 per 1000 population as of 2020 (25,687,041)</w:t>
      </w:r>
      <w:r w:rsidR="000F2A03" w:rsidRPr="00EA58B4">
        <w:rPr>
          <w:rFonts w:eastAsia="Calibri" w:cs="Arial"/>
          <w:color w:val="000000" w:themeColor="text1"/>
          <w:sz w:val="20"/>
        </w:rPr>
        <w:t>.</w:t>
      </w:r>
    </w:p>
    <w:p w14:paraId="32FD8106" w14:textId="54D4F5B9" w:rsidR="00116EF4" w:rsidRPr="00EA58B4" w:rsidRDefault="00116EF4" w:rsidP="007949BE">
      <w:pPr>
        <w:pStyle w:val="Heading3"/>
        <w:spacing w:after="240"/>
        <w:rPr>
          <w:rFonts w:ascii="Arial" w:hAnsi="Arial" w:cs="Arial"/>
          <w:b w:val="0"/>
          <w:bCs w:val="0"/>
        </w:rPr>
      </w:pPr>
      <w:r w:rsidRPr="00EA58B4">
        <w:rPr>
          <w:rFonts w:ascii="Arial" w:hAnsi="Arial" w:cs="Arial"/>
          <w:b w:val="0"/>
          <w:bCs w:val="0"/>
        </w:rPr>
        <w:t>Break-Even Analysis</w:t>
      </w:r>
    </w:p>
    <w:p w14:paraId="02B3859D" w14:textId="796B39AD" w:rsidR="007949BE" w:rsidRPr="00EA58B4" w:rsidRDefault="007949BE" w:rsidP="007949BE">
      <w:pPr>
        <w:spacing w:line="360" w:lineRule="auto"/>
        <w:jc w:val="both"/>
        <w:rPr>
          <w:rFonts w:eastAsia="Times New Roman" w:cs="Arial"/>
          <w:color w:val="000000" w:themeColor="text1"/>
          <w:lang w:eastAsia="en-AU"/>
        </w:rPr>
      </w:pPr>
      <w:r w:rsidRPr="00EA58B4">
        <w:t xml:space="preserve">While bushfires are expected to increase in frequency and severity in the future, there is continued uncertainty regarding the consequences of these events in terms of the </w:t>
      </w:r>
      <w:r w:rsidRPr="00EA58B4">
        <w:rPr>
          <w:rFonts w:eastAsia="Times New Roman" w:cs="Arial"/>
          <w:color w:val="000000" w:themeColor="text1"/>
          <w:lang w:eastAsia="en-AU"/>
        </w:rPr>
        <w:t xml:space="preserve">number of fatalities. </w:t>
      </w:r>
    </w:p>
    <w:p w14:paraId="3C19885D" w14:textId="3EB97D01" w:rsidR="007949BE" w:rsidRPr="00EA58B4" w:rsidRDefault="007949BE" w:rsidP="007949BE">
      <w:pPr>
        <w:spacing w:line="360" w:lineRule="auto"/>
        <w:jc w:val="both"/>
        <w:rPr>
          <w:rFonts w:eastAsia="Times New Roman" w:cs="Arial"/>
          <w:color w:val="000000" w:themeColor="text1"/>
          <w:lang w:eastAsia="en-AU"/>
        </w:rPr>
      </w:pPr>
      <w:r w:rsidRPr="00EA58B4">
        <w:rPr>
          <w:rFonts w:eastAsia="Times New Roman" w:cs="Arial"/>
          <w:color w:val="000000" w:themeColor="text1"/>
          <w:lang w:eastAsia="en-AU"/>
        </w:rPr>
        <w:t xml:space="preserve">In these circumstances a break-even analysis can be helpful to indicate </w:t>
      </w:r>
      <w:bookmarkStart w:id="44" w:name="_Hlk94603568"/>
      <w:r w:rsidRPr="00EA58B4">
        <w:rPr>
          <w:rFonts w:eastAsia="Times New Roman" w:cs="Arial"/>
          <w:color w:val="000000" w:themeColor="text1"/>
          <w:lang w:eastAsia="en-AU"/>
        </w:rPr>
        <w:t xml:space="preserve">the </w:t>
      </w:r>
      <w:r w:rsidR="00EB67AB" w:rsidRPr="00EA58B4">
        <w:rPr>
          <w:rFonts w:eastAsia="Times New Roman" w:cs="Arial"/>
          <w:color w:val="000000" w:themeColor="text1"/>
          <w:lang w:eastAsia="en-AU"/>
        </w:rPr>
        <w:t xml:space="preserve">required </w:t>
      </w:r>
      <w:r w:rsidRPr="00EA58B4">
        <w:rPr>
          <w:rFonts w:eastAsia="Times New Roman" w:cs="Arial"/>
          <w:color w:val="000000" w:themeColor="text1"/>
          <w:lang w:eastAsia="en-AU"/>
        </w:rPr>
        <w:t>benefits</w:t>
      </w:r>
      <w:r w:rsidR="0070711E">
        <w:rPr>
          <w:rFonts w:eastAsia="Times New Roman" w:cs="Arial"/>
          <w:color w:val="000000" w:themeColor="text1"/>
          <w:lang w:eastAsia="en-AU"/>
        </w:rPr>
        <w:t>,</w:t>
      </w:r>
      <w:r w:rsidR="00EB67AB" w:rsidRPr="00EA58B4">
        <w:rPr>
          <w:rFonts w:eastAsia="Times New Roman" w:cs="Arial"/>
          <w:color w:val="000000" w:themeColor="text1"/>
          <w:lang w:eastAsia="en-AU"/>
        </w:rPr>
        <w:t xml:space="preserve"> so </w:t>
      </w:r>
      <w:r w:rsidR="00E60FEA">
        <w:rPr>
          <w:rFonts w:eastAsia="Times New Roman" w:cs="Arial"/>
          <w:color w:val="000000" w:themeColor="text1"/>
          <w:lang w:eastAsia="en-AU"/>
        </w:rPr>
        <w:t>reasonableness can be assessed</w:t>
      </w:r>
      <w:r w:rsidRPr="00EA58B4">
        <w:rPr>
          <w:rFonts w:eastAsia="Times New Roman" w:cs="Arial"/>
          <w:color w:val="000000" w:themeColor="text1"/>
          <w:lang w:eastAsia="en-AU"/>
        </w:rPr>
        <w:t xml:space="preserve">. A break-even analysis calculates the benefits needed to equal the costs using a key assumption. In this case the key assumption is </w:t>
      </w:r>
      <w:r w:rsidR="007435E9" w:rsidRPr="00EA58B4">
        <w:rPr>
          <w:rFonts w:eastAsia="Times New Roman" w:cs="Arial"/>
          <w:color w:val="000000" w:themeColor="text1"/>
          <w:lang w:eastAsia="en-AU"/>
        </w:rPr>
        <w:t>the number of avoidable fatalities over the life of the building</w:t>
      </w:r>
      <w:r w:rsidRPr="00EA58B4">
        <w:rPr>
          <w:rFonts w:eastAsia="Times New Roman" w:cs="Arial"/>
          <w:color w:val="000000" w:themeColor="text1"/>
          <w:lang w:eastAsia="en-AU"/>
        </w:rPr>
        <w:t>.</w:t>
      </w:r>
      <w:bookmarkEnd w:id="44"/>
    </w:p>
    <w:p w14:paraId="08E3A1E9" w14:textId="128DB43F" w:rsidR="007435E9" w:rsidRPr="00EA58B4" w:rsidRDefault="007435E9" w:rsidP="000F2A03">
      <w:pPr>
        <w:spacing w:before="100" w:beforeAutospacing="1" w:after="100" w:afterAutospacing="1" w:line="360" w:lineRule="auto"/>
        <w:jc w:val="both"/>
        <w:rPr>
          <w:rFonts w:eastAsia="Times New Roman" w:cs="Arial"/>
          <w:color w:val="000000" w:themeColor="text1"/>
          <w:lang w:eastAsia="en-AU"/>
        </w:rPr>
      </w:pPr>
      <w:r w:rsidRPr="00EA58B4">
        <w:rPr>
          <w:rFonts w:eastAsia="Times New Roman" w:cs="Arial"/>
          <w:color w:val="000000" w:themeColor="text1"/>
          <w:lang w:eastAsia="en-AU"/>
        </w:rPr>
        <w:t xml:space="preserve">The below table shows the results of a breakeven analysis using the Value of Statistical Life (VoSL) to derive the number of avoided multi-fatality events </w:t>
      </w:r>
      <w:r w:rsidR="008822FA" w:rsidRPr="00EA58B4">
        <w:rPr>
          <w:rFonts w:eastAsia="Times New Roman" w:cs="Arial"/>
          <w:color w:val="000000" w:themeColor="text1"/>
          <w:lang w:eastAsia="en-AU"/>
        </w:rPr>
        <w:t xml:space="preserve">in order </w:t>
      </w:r>
      <w:r w:rsidRPr="00EA58B4">
        <w:rPr>
          <w:rFonts w:eastAsia="Times New Roman" w:cs="Arial"/>
          <w:color w:val="000000" w:themeColor="text1"/>
          <w:lang w:eastAsia="en-AU"/>
        </w:rPr>
        <w:t xml:space="preserve">for the benefits to at least </w:t>
      </w:r>
      <w:r w:rsidR="008822FA" w:rsidRPr="00EA58B4">
        <w:rPr>
          <w:rFonts w:eastAsia="Times New Roman" w:cs="Arial"/>
          <w:color w:val="000000" w:themeColor="text1"/>
          <w:lang w:eastAsia="en-AU"/>
        </w:rPr>
        <w:t>equal</w:t>
      </w:r>
      <w:r w:rsidRPr="00EA58B4">
        <w:rPr>
          <w:rFonts w:eastAsia="Times New Roman" w:cs="Arial"/>
          <w:color w:val="000000" w:themeColor="text1"/>
          <w:lang w:eastAsia="en-AU"/>
        </w:rPr>
        <w:t xml:space="preserve"> the costs. </w:t>
      </w:r>
    </w:p>
    <w:p w14:paraId="3EF71256" w14:textId="27D6AA2D" w:rsidR="000F2A03" w:rsidRPr="00AF184D" w:rsidRDefault="000F2A03" w:rsidP="007435E9">
      <w:pPr>
        <w:rPr>
          <w:rFonts w:eastAsia="Times New Roman" w:cs="Arial"/>
          <w:color w:val="000000" w:themeColor="text1"/>
          <w:highlight w:val="yellow"/>
          <w:lang w:eastAsia="en-AU"/>
        </w:rPr>
      </w:pPr>
    </w:p>
    <w:p w14:paraId="599A3FB7" w14:textId="5E5C3871" w:rsidR="00932DA8" w:rsidRDefault="00932DA8" w:rsidP="001B653A">
      <w:pPr>
        <w:pStyle w:val="Caption"/>
      </w:pPr>
      <w:r w:rsidRPr="00CA0DF7">
        <w:rPr>
          <w:b/>
        </w:rPr>
        <w:t xml:space="preserve">Table </w:t>
      </w:r>
      <w:r w:rsidR="00971B27" w:rsidRPr="00CA0DF7">
        <w:rPr>
          <w:b/>
          <w:noProof/>
        </w:rPr>
        <w:fldChar w:fldCharType="begin"/>
      </w:r>
      <w:r w:rsidR="00971B27" w:rsidRPr="00CA0DF7">
        <w:rPr>
          <w:b/>
          <w:noProof/>
        </w:rPr>
        <w:instrText xml:space="preserve"> SEQ Table \* ARABIC </w:instrText>
      </w:r>
      <w:r w:rsidR="00971B27" w:rsidRPr="00CA0DF7">
        <w:rPr>
          <w:b/>
          <w:noProof/>
        </w:rPr>
        <w:fldChar w:fldCharType="separate"/>
      </w:r>
      <w:r w:rsidRPr="00CA0DF7">
        <w:rPr>
          <w:b/>
          <w:noProof/>
        </w:rPr>
        <w:t>5</w:t>
      </w:r>
      <w:r w:rsidR="00971B27" w:rsidRPr="00CA0DF7">
        <w:rPr>
          <w:b/>
          <w:noProof/>
        </w:rPr>
        <w:fldChar w:fldCharType="end"/>
      </w:r>
      <w:r w:rsidRPr="00CA0DF7">
        <w:rPr>
          <w:b/>
          <w:lang w:val="en-US"/>
        </w:rPr>
        <w:t>:</w:t>
      </w:r>
      <w:r>
        <w:rPr>
          <w:lang w:val="en-US"/>
        </w:rPr>
        <w:t xml:space="preserve"> Breakeven analysis of Option 2</w:t>
      </w:r>
    </w:p>
    <w:tbl>
      <w:tblPr>
        <w:tblStyle w:val="TableGrid"/>
        <w:tblW w:w="0" w:type="auto"/>
        <w:tblLook w:val="04A0" w:firstRow="1" w:lastRow="0" w:firstColumn="1" w:lastColumn="0" w:noHBand="0" w:noVBand="1"/>
        <w:tblCaption w:val="Table 5: Breakeven analysis of Option 2"/>
        <w:tblDescription w:val="Breakeven analysis of Option 2 shows the range of fatalities that would need to be avioded each year to offset the costs of the proposal."/>
      </w:tblPr>
      <w:tblGrid>
        <w:gridCol w:w="1227"/>
        <w:gridCol w:w="1674"/>
        <w:gridCol w:w="2370"/>
        <w:gridCol w:w="3544"/>
      </w:tblGrid>
      <w:tr w:rsidR="00131ED4" w:rsidRPr="00AF184D" w14:paraId="7322BA03" w14:textId="42973D0F" w:rsidTr="00131ED4">
        <w:trPr>
          <w:cantSplit/>
          <w:tblHeader/>
        </w:trPr>
        <w:tc>
          <w:tcPr>
            <w:tcW w:w="1227" w:type="dxa"/>
            <w:shd w:val="clear" w:color="auto" w:fill="002060"/>
          </w:tcPr>
          <w:p w14:paraId="20EFE15F" w14:textId="7A9A10EC" w:rsidR="00131ED4" w:rsidRPr="00EA58B4" w:rsidRDefault="00131ED4" w:rsidP="006B34DA">
            <w:pPr>
              <w:spacing w:before="100" w:beforeAutospacing="1" w:after="100" w:afterAutospacing="1"/>
              <w:rPr>
                <w:rFonts w:cs="Arial"/>
                <w:bCs/>
                <w:color w:val="FFFFFF" w:themeColor="background1"/>
              </w:rPr>
            </w:pPr>
            <w:r w:rsidRPr="00EA58B4">
              <w:rPr>
                <w:rFonts w:cs="Arial"/>
                <w:bCs/>
                <w:color w:val="FFFFFF" w:themeColor="background1"/>
              </w:rPr>
              <w:t>Building type</w:t>
            </w:r>
          </w:p>
        </w:tc>
        <w:tc>
          <w:tcPr>
            <w:tcW w:w="1674" w:type="dxa"/>
            <w:shd w:val="clear" w:color="auto" w:fill="002060"/>
            <w:vAlign w:val="bottom"/>
          </w:tcPr>
          <w:p w14:paraId="2DA5AF03" w14:textId="1ED73C83" w:rsidR="00131ED4" w:rsidRPr="00EA58B4" w:rsidRDefault="00131ED4" w:rsidP="00A03D08">
            <w:pPr>
              <w:spacing w:before="100" w:beforeAutospacing="1" w:after="100" w:afterAutospacing="1"/>
              <w:jc w:val="center"/>
              <w:rPr>
                <w:rFonts w:cs="Arial"/>
                <w:bCs/>
                <w:color w:val="FFFFFF" w:themeColor="background1"/>
              </w:rPr>
            </w:pPr>
            <w:r w:rsidRPr="00EA58B4">
              <w:rPr>
                <w:rFonts w:cs="Arial"/>
                <w:bCs/>
                <w:color w:val="FFFFFF" w:themeColor="background1"/>
              </w:rPr>
              <w:t>PV Cost</w:t>
            </w:r>
          </w:p>
        </w:tc>
        <w:tc>
          <w:tcPr>
            <w:tcW w:w="2370" w:type="dxa"/>
            <w:shd w:val="clear" w:color="auto" w:fill="002060"/>
          </w:tcPr>
          <w:p w14:paraId="4837D417" w14:textId="1E6D07EA" w:rsidR="00131ED4" w:rsidRPr="00EA58B4" w:rsidRDefault="00131ED4" w:rsidP="006B34DA">
            <w:pPr>
              <w:spacing w:before="100" w:beforeAutospacing="1" w:after="100" w:afterAutospacing="1"/>
              <w:rPr>
                <w:rFonts w:cs="Arial"/>
                <w:bCs/>
                <w:color w:val="FFFFFF" w:themeColor="background1"/>
              </w:rPr>
            </w:pPr>
            <w:r w:rsidRPr="00EA58B4">
              <w:rPr>
                <w:rFonts w:cs="Arial"/>
                <w:bCs/>
                <w:color w:val="FFFFFF" w:themeColor="background1"/>
              </w:rPr>
              <w:t xml:space="preserve">Frequency of multi-fatality events required to breakeven with the PV Cost. </w:t>
            </w:r>
          </w:p>
        </w:tc>
        <w:tc>
          <w:tcPr>
            <w:tcW w:w="3544" w:type="dxa"/>
            <w:shd w:val="clear" w:color="auto" w:fill="002060"/>
          </w:tcPr>
          <w:p w14:paraId="3F0E3780" w14:textId="56AA0507" w:rsidR="00131ED4" w:rsidRPr="00EA58B4" w:rsidRDefault="00131ED4" w:rsidP="006B34DA">
            <w:pPr>
              <w:spacing w:before="100" w:beforeAutospacing="1" w:after="100" w:afterAutospacing="1"/>
              <w:rPr>
                <w:rFonts w:cs="Arial"/>
                <w:bCs/>
                <w:color w:val="FFFFFF" w:themeColor="background1"/>
              </w:rPr>
            </w:pPr>
            <w:r w:rsidRPr="00EA58B4">
              <w:rPr>
                <w:rFonts w:cs="Arial"/>
                <w:bCs/>
                <w:color w:val="FFFFFF" w:themeColor="background1"/>
              </w:rPr>
              <w:t>Annualised average avoided fatality rate required to breakeven with PV Cost</w:t>
            </w:r>
          </w:p>
        </w:tc>
      </w:tr>
      <w:tr w:rsidR="00131ED4" w:rsidRPr="00AF184D" w14:paraId="4C8BE47C" w14:textId="754F39D8" w:rsidTr="00131ED4">
        <w:trPr>
          <w:cantSplit/>
          <w:tblHeader/>
        </w:trPr>
        <w:tc>
          <w:tcPr>
            <w:tcW w:w="1227" w:type="dxa"/>
          </w:tcPr>
          <w:p w14:paraId="16470B37" w14:textId="77777777" w:rsidR="00131ED4" w:rsidRPr="00EA58B4" w:rsidRDefault="00131ED4" w:rsidP="006B34DA">
            <w:pPr>
              <w:spacing w:before="100" w:beforeAutospacing="1" w:after="100" w:afterAutospacing="1"/>
              <w:rPr>
                <w:rFonts w:cs="Arial"/>
                <w:color w:val="000000" w:themeColor="text1"/>
              </w:rPr>
            </w:pPr>
            <w:r w:rsidRPr="00EA58B4">
              <w:rPr>
                <w:rFonts w:cs="Arial"/>
                <w:color w:val="000000"/>
              </w:rPr>
              <w:t>Aged care</w:t>
            </w:r>
          </w:p>
        </w:tc>
        <w:tc>
          <w:tcPr>
            <w:tcW w:w="1674" w:type="dxa"/>
          </w:tcPr>
          <w:p w14:paraId="3E85F5DA" w14:textId="2619640D" w:rsidR="00131ED4" w:rsidRPr="00EA58B4" w:rsidRDefault="00131ED4" w:rsidP="006B34DA">
            <w:pPr>
              <w:jc w:val="center"/>
              <w:rPr>
                <w:rFonts w:cs="Arial"/>
              </w:rPr>
            </w:pPr>
            <w:r w:rsidRPr="00EA58B4">
              <w:rPr>
                <w:rFonts w:eastAsia="Times New Roman" w:cs="Arial"/>
                <w:color w:val="000000"/>
                <w:lang w:eastAsia="en-AU"/>
              </w:rPr>
              <w:t>$51,139,463</w:t>
            </w:r>
          </w:p>
        </w:tc>
        <w:tc>
          <w:tcPr>
            <w:tcW w:w="2370" w:type="dxa"/>
            <w:vAlign w:val="bottom"/>
          </w:tcPr>
          <w:p w14:paraId="343580DE" w14:textId="3C529C63" w:rsidR="00131ED4" w:rsidRPr="00EA58B4" w:rsidRDefault="00131ED4" w:rsidP="006B34DA">
            <w:pPr>
              <w:jc w:val="center"/>
              <w:rPr>
                <w:rFonts w:cs="Arial"/>
              </w:rPr>
            </w:pPr>
            <w:r w:rsidRPr="00EA58B4">
              <w:rPr>
                <w:rFonts w:cs="Arial"/>
              </w:rPr>
              <w:t>1</w:t>
            </w:r>
            <w:r w:rsidR="004C3077" w:rsidRPr="00EA58B4">
              <w:rPr>
                <w:rFonts w:cs="Arial"/>
              </w:rPr>
              <w:t xml:space="preserve">0 fatalities </w:t>
            </w:r>
            <w:r w:rsidRPr="00EA58B4">
              <w:rPr>
                <w:rFonts w:cs="Arial"/>
              </w:rPr>
              <w:t>every 9 years</w:t>
            </w:r>
          </w:p>
        </w:tc>
        <w:tc>
          <w:tcPr>
            <w:tcW w:w="3544" w:type="dxa"/>
          </w:tcPr>
          <w:p w14:paraId="7B6B0DF9" w14:textId="1285B0CB" w:rsidR="00131ED4" w:rsidRPr="00EA58B4" w:rsidRDefault="00131ED4" w:rsidP="006B34DA">
            <w:pPr>
              <w:jc w:val="center"/>
              <w:rPr>
                <w:rFonts w:cs="Arial"/>
              </w:rPr>
            </w:pPr>
            <w:r w:rsidRPr="00EA58B4">
              <w:rPr>
                <w:rFonts w:cs="Arial"/>
              </w:rPr>
              <w:t>1.1</w:t>
            </w:r>
          </w:p>
        </w:tc>
      </w:tr>
      <w:tr w:rsidR="00131ED4" w:rsidRPr="00AF184D" w14:paraId="60F75773" w14:textId="21087850" w:rsidTr="00131ED4">
        <w:trPr>
          <w:cantSplit/>
          <w:tblHeader/>
        </w:trPr>
        <w:tc>
          <w:tcPr>
            <w:tcW w:w="1227" w:type="dxa"/>
          </w:tcPr>
          <w:p w14:paraId="2DC943C9" w14:textId="77777777" w:rsidR="00131ED4" w:rsidRPr="00EA58B4" w:rsidRDefault="00131ED4" w:rsidP="006B34DA">
            <w:pPr>
              <w:spacing w:before="100" w:beforeAutospacing="1" w:after="100" w:afterAutospacing="1"/>
              <w:rPr>
                <w:rFonts w:cs="Arial"/>
                <w:color w:val="000000" w:themeColor="text1"/>
              </w:rPr>
            </w:pPr>
            <w:r w:rsidRPr="00EA58B4">
              <w:rPr>
                <w:rFonts w:cs="Arial"/>
                <w:color w:val="000000"/>
              </w:rPr>
              <w:t xml:space="preserve">Hospital </w:t>
            </w:r>
          </w:p>
        </w:tc>
        <w:tc>
          <w:tcPr>
            <w:tcW w:w="1674" w:type="dxa"/>
          </w:tcPr>
          <w:p w14:paraId="1D3A4E96" w14:textId="534FFA16" w:rsidR="00131ED4" w:rsidRPr="00EA58B4" w:rsidRDefault="00131ED4" w:rsidP="006B34DA">
            <w:pPr>
              <w:jc w:val="center"/>
              <w:rPr>
                <w:rFonts w:cs="Arial"/>
                <w:color w:val="000000" w:themeColor="text1"/>
              </w:rPr>
            </w:pPr>
            <w:r w:rsidRPr="00EA58B4">
              <w:rPr>
                <w:rFonts w:eastAsia="Times New Roman" w:cs="Arial"/>
                <w:color w:val="000000"/>
                <w:lang w:eastAsia="en-AU"/>
              </w:rPr>
              <w:t>$20,200,421</w:t>
            </w:r>
          </w:p>
        </w:tc>
        <w:tc>
          <w:tcPr>
            <w:tcW w:w="2370" w:type="dxa"/>
            <w:vAlign w:val="bottom"/>
          </w:tcPr>
          <w:p w14:paraId="60E59ECA" w14:textId="4FFB46EF" w:rsidR="00131ED4" w:rsidRPr="00EA58B4" w:rsidRDefault="00131ED4" w:rsidP="006B34DA">
            <w:pPr>
              <w:jc w:val="center"/>
              <w:rPr>
                <w:rFonts w:cs="Arial"/>
              </w:rPr>
            </w:pPr>
            <w:r w:rsidRPr="00EA58B4">
              <w:rPr>
                <w:rFonts w:cs="Arial"/>
              </w:rPr>
              <w:t>1</w:t>
            </w:r>
            <w:r w:rsidR="004C3077" w:rsidRPr="00EA58B4">
              <w:rPr>
                <w:rFonts w:cs="Arial"/>
              </w:rPr>
              <w:t xml:space="preserve">0 fatalities </w:t>
            </w:r>
            <w:r w:rsidRPr="00EA58B4">
              <w:rPr>
                <w:rFonts w:cs="Arial"/>
              </w:rPr>
              <w:t>every 16 years</w:t>
            </w:r>
          </w:p>
        </w:tc>
        <w:tc>
          <w:tcPr>
            <w:tcW w:w="3544" w:type="dxa"/>
          </w:tcPr>
          <w:p w14:paraId="5CFC5C2B" w14:textId="63BA9737" w:rsidR="00131ED4" w:rsidRPr="00EA58B4" w:rsidRDefault="00131ED4" w:rsidP="006B34DA">
            <w:pPr>
              <w:jc w:val="center"/>
              <w:rPr>
                <w:rFonts w:cs="Arial"/>
              </w:rPr>
            </w:pPr>
            <w:r w:rsidRPr="00EA58B4">
              <w:rPr>
                <w:rFonts w:cs="Arial"/>
              </w:rPr>
              <w:t>0.6</w:t>
            </w:r>
          </w:p>
        </w:tc>
      </w:tr>
      <w:tr w:rsidR="00131ED4" w:rsidRPr="00AF184D" w14:paraId="4C695B38" w14:textId="619E8B6B" w:rsidTr="00131ED4">
        <w:trPr>
          <w:cantSplit/>
          <w:tblHeader/>
        </w:trPr>
        <w:tc>
          <w:tcPr>
            <w:tcW w:w="1227" w:type="dxa"/>
          </w:tcPr>
          <w:p w14:paraId="0BE2B80A" w14:textId="77777777" w:rsidR="00131ED4" w:rsidRPr="00EA58B4" w:rsidRDefault="00131ED4" w:rsidP="006B34DA">
            <w:pPr>
              <w:spacing w:before="100" w:beforeAutospacing="1" w:after="100" w:afterAutospacing="1"/>
              <w:rPr>
                <w:rFonts w:cs="Arial"/>
                <w:color w:val="000000" w:themeColor="text1"/>
              </w:rPr>
            </w:pPr>
            <w:r w:rsidRPr="00EA58B4">
              <w:rPr>
                <w:rFonts w:cs="Arial"/>
                <w:color w:val="000000"/>
              </w:rPr>
              <w:t xml:space="preserve">School </w:t>
            </w:r>
          </w:p>
        </w:tc>
        <w:tc>
          <w:tcPr>
            <w:tcW w:w="1674" w:type="dxa"/>
          </w:tcPr>
          <w:p w14:paraId="13BB0245" w14:textId="08D0957F" w:rsidR="00131ED4" w:rsidRPr="00EA58B4" w:rsidRDefault="00131ED4" w:rsidP="006B34DA">
            <w:pPr>
              <w:jc w:val="center"/>
              <w:rPr>
                <w:rFonts w:cs="Arial"/>
                <w:color w:val="000000" w:themeColor="text1"/>
              </w:rPr>
            </w:pPr>
            <w:r w:rsidRPr="00EA58B4">
              <w:rPr>
                <w:rFonts w:eastAsia="Times New Roman" w:cs="Arial"/>
                <w:color w:val="000000"/>
                <w:lang w:eastAsia="en-AU"/>
              </w:rPr>
              <w:t>$46,645,057</w:t>
            </w:r>
          </w:p>
        </w:tc>
        <w:tc>
          <w:tcPr>
            <w:tcW w:w="2370" w:type="dxa"/>
            <w:vAlign w:val="bottom"/>
          </w:tcPr>
          <w:p w14:paraId="0852D21C" w14:textId="4CE44CDA" w:rsidR="00131ED4" w:rsidRPr="00EA58B4" w:rsidRDefault="004C3077" w:rsidP="006B34DA">
            <w:pPr>
              <w:jc w:val="center"/>
              <w:rPr>
                <w:rFonts w:cs="Arial"/>
                <w:color w:val="000000" w:themeColor="text1"/>
              </w:rPr>
            </w:pPr>
            <w:r w:rsidRPr="00EA58B4">
              <w:rPr>
                <w:rFonts w:cs="Arial"/>
                <w:color w:val="000000" w:themeColor="text1"/>
              </w:rPr>
              <w:t>10 fatalities</w:t>
            </w:r>
            <w:r w:rsidR="00131ED4" w:rsidRPr="00EA58B4">
              <w:rPr>
                <w:rFonts w:cs="Arial"/>
                <w:color w:val="000000" w:themeColor="text1"/>
              </w:rPr>
              <w:t xml:space="preserve"> every 10 years</w:t>
            </w:r>
          </w:p>
        </w:tc>
        <w:tc>
          <w:tcPr>
            <w:tcW w:w="3544" w:type="dxa"/>
          </w:tcPr>
          <w:p w14:paraId="1A57780B" w14:textId="5C291AD3" w:rsidR="00131ED4" w:rsidRPr="00EA58B4" w:rsidRDefault="00131ED4" w:rsidP="006B34DA">
            <w:pPr>
              <w:jc w:val="center"/>
              <w:rPr>
                <w:rFonts w:cs="Arial"/>
                <w:color w:val="000000" w:themeColor="text1"/>
              </w:rPr>
            </w:pPr>
            <w:r w:rsidRPr="00EA58B4">
              <w:rPr>
                <w:rFonts w:cs="Arial"/>
                <w:color w:val="000000" w:themeColor="text1"/>
              </w:rPr>
              <w:t>1.0</w:t>
            </w:r>
          </w:p>
        </w:tc>
      </w:tr>
      <w:tr w:rsidR="00131ED4" w:rsidRPr="00AF184D" w14:paraId="3CEFEFD7" w14:textId="060FB095" w:rsidTr="00131ED4">
        <w:trPr>
          <w:cantSplit/>
          <w:tblHeader/>
        </w:trPr>
        <w:tc>
          <w:tcPr>
            <w:tcW w:w="1227" w:type="dxa"/>
          </w:tcPr>
          <w:p w14:paraId="00DD5F2B" w14:textId="714B3BFD" w:rsidR="00131ED4" w:rsidRPr="00EA58B4" w:rsidRDefault="004B1C2B" w:rsidP="006B34DA">
            <w:pPr>
              <w:spacing w:before="100" w:beforeAutospacing="1" w:after="100" w:afterAutospacing="1"/>
              <w:rPr>
                <w:rFonts w:cs="Arial"/>
                <w:color w:val="000000" w:themeColor="text1"/>
              </w:rPr>
            </w:pPr>
            <w:r>
              <w:rPr>
                <w:rFonts w:cs="Arial"/>
                <w:color w:val="000000"/>
              </w:rPr>
              <w:t>Early childhood centres</w:t>
            </w:r>
          </w:p>
        </w:tc>
        <w:tc>
          <w:tcPr>
            <w:tcW w:w="1674" w:type="dxa"/>
          </w:tcPr>
          <w:p w14:paraId="4798B6B5" w14:textId="77777777" w:rsidR="00131ED4" w:rsidRPr="00EA58B4" w:rsidRDefault="00131ED4" w:rsidP="006B34DA">
            <w:pPr>
              <w:ind w:left="-108"/>
              <w:jc w:val="center"/>
              <w:rPr>
                <w:rFonts w:cs="Arial"/>
                <w:color w:val="000000" w:themeColor="text1"/>
              </w:rPr>
            </w:pPr>
            <w:r w:rsidRPr="00EA58B4">
              <w:rPr>
                <w:rFonts w:cs="Arial"/>
              </w:rPr>
              <w:t>$145,881,342</w:t>
            </w:r>
          </w:p>
        </w:tc>
        <w:tc>
          <w:tcPr>
            <w:tcW w:w="2370" w:type="dxa"/>
            <w:vAlign w:val="bottom"/>
          </w:tcPr>
          <w:p w14:paraId="48A61F89" w14:textId="78475007" w:rsidR="00131ED4" w:rsidRPr="00EA58B4" w:rsidRDefault="000403F0" w:rsidP="006B34DA">
            <w:pPr>
              <w:spacing w:before="100" w:beforeAutospacing="1" w:after="100" w:afterAutospacing="1"/>
              <w:jc w:val="center"/>
              <w:rPr>
                <w:rFonts w:cs="Arial"/>
                <w:color w:val="000000" w:themeColor="text1"/>
              </w:rPr>
            </w:pPr>
            <w:r w:rsidRPr="00EA58B4">
              <w:rPr>
                <w:rFonts w:cs="Arial"/>
                <w:color w:val="000000" w:themeColor="text1"/>
              </w:rPr>
              <w:t>8.3</w:t>
            </w:r>
            <w:r w:rsidR="004C3077" w:rsidRPr="00EA58B4">
              <w:rPr>
                <w:rFonts w:cs="Arial"/>
                <w:color w:val="000000" w:themeColor="text1"/>
              </w:rPr>
              <w:t xml:space="preserve"> fatalities </w:t>
            </w:r>
            <w:r w:rsidR="00131ED4" w:rsidRPr="00EA58B4">
              <w:rPr>
                <w:rFonts w:cs="Arial"/>
                <w:color w:val="000000" w:themeColor="text1"/>
              </w:rPr>
              <w:t>every 3 years</w:t>
            </w:r>
          </w:p>
        </w:tc>
        <w:tc>
          <w:tcPr>
            <w:tcW w:w="3544" w:type="dxa"/>
          </w:tcPr>
          <w:p w14:paraId="22F6023F" w14:textId="744BE132" w:rsidR="00131ED4" w:rsidRPr="00EA58B4" w:rsidRDefault="00734842" w:rsidP="006B34DA">
            <w:pPr>
              <w:spacing w:before="100" w:beforeAutospacing="1" w:after="100" w:afterAutospacing="1"/>
              <w:jc w:val="center"/>
              <w:rPr>
                <w:rFonts w:cs="Arial"/>
                <w:color w:val="000000" w:themeColor="text1"/>
              </w:rPr>
            </w:pPr>
            <w:r w:rsidRPr="00EA58B4">
              <w:rPr>
                <w:rFonts w:cs="Arial"/>
                <w:color w:val="000000" w:themeColor="text1"/>
              </w:rPr>
              <w:t>2.8</w:t>
            </w:r>
          </w:p>
        </w:tc>
      </w:tr>
    </w:tbl>
    <w:p w14:paraId="5BD0F055" w14:textId="77777777" w:rsidR="000F2A03" w:rsidRPr="00EA58B4" w:rsidRDefault="000F2A03" w:rsidP="00EA58B4">
      <w:pPr>
        <w:spacing w:before="240" w:after="0" w:line="360" w:lineRule="auto"/>
        <w:rPr>
          <w:rFonts w:cs="Arial"/>
          <w:sz w:val="20"/>
          <w:szCs w:val="16"/>
        </w:rPr>
      </w:pPr>
      <w:r w:rsidRPr="00EA58B4">
        <w:rPr>
          <w:rFonts w:cs="Arial"/>
          <w:sz w:val="20"/>
          <w:szCs w:val="16"/>
        </w:rPr>
        <w:t>Notes:</w:t>
      </w:r>
    </w:p>
    <w:p w14:paraId="5918BB52" w14:textId="58A88042" w:rsidR="0070711E" w:rsidRDefault="00957969" w:rsidP="00CA0DF7">
      <w:pPr>
        <w:pStyle w:val="ListParagraph"/>
        <w:numPr>
          <w:ilvl w:val="0"/>
          <w:numId w:val="46"/>
        </w:numPr>
        <w:spacing w:after="0" w:line="360" w:lineRule="auto"/>
        <w:rPr>
          <w:rFonts w:cs="Arial"/>
          <w:sz w:val="20"/>
          <w:szCs w:val="16"/>
        </w:rPr>
      </w:pPr>
      <w:r w:rsidRPr="00EA58B4">
        <w:rPr>
          <w:rFonts w:cs="Arial"/>
          <w:sz w:val="20"/>
          <w:szCs w:val="16"/>
        </w:rPr>
        <w:t>The m</w:t>
      </w:r>
      <w:r w:rsidR="00654673" w:rsidRPr="00EA58B4">
        <w:rPr>
          <w:rFonts w:cs="Arial"/>
          <w:sz w:val="20"/>
          <w:szCs w:val="16"/>
        </w:rPr>
        <w:t>onetary benefit of avoiding fatalities</w:t>
      </w:r>
      <w:r w:rsidRPr="00EA58B4">
        <w:rPr>
          <w:rFonts w:cs="Arial"/>
          <w:sz w:val="20"/>
          <w:szCs w:val="16"/>
        </w:rPr>
        <w:t xml:space="preserve"> has been</w:t>
      </w:r>
      <w:r w:rsidR="00654673" w:rsidRPr="00EA58B4">
        <w:rPr>
          <w:rFonts w:cs="Arial"/>
          <w:sz w:val="20"/>
          <w:szCs w:val="16"/>
        </w:rPr>
        <w:t xml:space="preserve"> calculated using the</w:t>
      </w:r>
      <w:r w:rsidR="000F2A03" w:rsidRPr="00EA58B4">
        <w:rPr>
          <w:rFonts w:cs="Arial"/>
          <w:sz w:val="20"/>
          <w:szCs w:val="16"/>
        </w:rPr>
        <w:t xml:space="preserve"> </w:t>
      </w:r>
      <w:r w:rsidR="0070711E">
        <w:rPr>
          <w:rFonts w:cs="Arial"/>
          <w:sz w:val="20"/>
          <w:szCs w:val="16"/>
        </w:rPr>
        <w:t>VoSL</w:t>
      </w:r>
      <w:r w:rsidRPr="00EA58B4">
        <w:rPr>
          <w:rFonts w:cs="Arial"/>
          <w:sz w:val="20"/>
          <w:szCs w:val="16"/>
        </w:rPr>
        <w:t xml:space="preserve"> discounted at a rate of 7% p.a</w:t>
      </w:r>
      <w:r w:rsidR="00654673" w:rsidRPr="00EA58B4">
        <w:rPr>
          <w:rFonts w:cs="Arial"/>
          <w:sz w:val="20"/>
          <w:szCs w:val="16"/>
        </w:rPr>
        <w:t>.</w:t>
      </w:r>
    </w:p>
    <w:p w14:paraId="2A3BD844" w14:textId="12A64401" w:rsidR="000F2A03" w:rsidRPr="00EA58B4" w:rsidRDefault="00957969" w:rsidP="00EA58B4">
      <w:pPr>
        <w:pStyle w:val="ListParagraph"/>
        <w:numPr>
          <w:ilvl w:val="0"/>
          <w:numId w:val="46"/>
        </w:numPr>
        <w:spacing w:before="240" w:after="0" w:line="360" w:lineRule="auto"/>
        <w:rPr>
          <w:rFonts w:cs="Arial"/>
          <w:sz w:val="20"/>
          <w:szCs w:val="16"/>
        </w:rPr>
      </w:pPr>
      <w:r w:rsidRPr="00EA58B4">
        <w:rPr>
          <w:rFonts w:cs="Arial"/>
          <w:sz w:val="20"/>
          <w:szCs w:val="16"/>
        </w:rPr>
        <w:t>The V</w:t>
      </w:r>
      <w:r w:rsidR="007435E9" w:rsidRPr="00EA58B4">
        <w:rPr>
          <w:rFonts w:cs="Arial"/>
          <w:sz w:val="20"/>
          <w:szCs w:val="16"/>
        </w:rPr>
        <w:t>o</w:t>
      </w:r>
      <w:r w:rsidRPr="00EA58B4">
        <w:rPr>
          <w:rFonts w:cs="Arial"/>
          <w:sz w:val="20"/>
          <w:szCs w:val="16"/>
        </w:rPr>
        <w:t>SL used i</w:t>
      </w:r>
      <w:r w:rsidR="00C865CB">
        <w:rPr>
          <w:rFonts w:cs="Arial"/>
          <w:sz w:val="20"/>
          <w:szCs w:val="16"/>
        </w:rPr>
        <w:t>n Year 1 is $4.9 million.</w:t>
      </w:r>
    </w:p>
    <w:p w14:paraId="54E46339" w14:textId="4F1CF922" w:rsidR="000F2A03" w:rsidRPr="00EA58B4" w:rsidRDefault="000F2A03" w:rsidP="00EA58B4">
      <w:pPr>
        <w:spacing w:before="240" w:line="360" w:lineRule="auto"/>
        <w:rPr>
          <w:rFonts w:cs="Arial"/>
        </w:rPr>
      </w:pPr>
      <w:r w:rsidRPr="00EA58B4">
        <w:rPr>
          <w:rFonts w:cs="Arial"/>
        </w:rPr>
        <w:t xml:space="preserve">From the </w:t>
      </w:r>
      <w:r w:rsidR="008822FA" w:rsidRPr="00EA58B4">
        <w:rPr>
          <w:rFonts w:cs="Arial"/>
        </w:rPr>
        <w:t>above table,</w:t>
      </w:r>
      <w:r w:rsidRPr="00EA58B4">
        <w:rPr>
          <w:rFonts w:cs="Arial"/>
        </w:rPr>
        <w:t xml:space="preserve"> it can be seen that the total </w:t>
      </w:r>
      <w:r w:rsidR="004C3077" w:rsidRPr="00EA58B4">
        <w:rPr>
          <w:rFonts w:cs="Arial"/>
        </w:rPr>
        <w:t xml:space="preserve">avoided fatalities required to offset the Present Value cost is low and ranges from </w:t>
      </w:r>
      <w:r w:rsidR="00AF184D" w:rsidRPr="00EA58B4">
        <w:rPr>
          <w:rFonts w:cs="Arial"/>
        </w:rPr>
        <w:t xml:space="preserve">an average annualised rate of </w:t>
      </w:r>
      <w:r w:rsidR="004C3077" w:rsidRPr="00EA58B4">
        <w:rPr>
          <w:rFonts w:cs="Arial"/>
        </w:rPr>
        <w:t xml:space="preserve">0.6 fatalities to </w:t>
      </w:r>
      <w:r w:rsidR="00734842" w:rsidRPr="00EA58B4">
        <w:rPr>
          <w:rFonts w:cs="Arial"/>
        </w:rPr>
        <w:t>2.8</w:t>
      </w:r>
      <w:r w:rsidR="004C3077" w:rsidRPr="00EA58B4">
        <w:rPr>
          <w:rFonts w:cs="Arial"/>
        </w:rPr>
        <w:t xml:space="preserve"> fatalities per year. </w:t>
      </w:r>
    </w:p>
    <w:p w14:paraId="13ADC4BB" w14:textId="44A7679A" w:rsidR="004303C1" w:rsidRPr="00EA58B4" w:rsidRDefault="00F23A50" w:rsidP="000F2A03">
      <w:pPr>
        <w:spacing w:before="240" w:line="360" w:lineRule="auto"/>
        <w:rPr>
          <w:rFonts w:cs="Arial"/>
        </w:rPr>
      </w:pPr>
      <w:bookmarkStart w:id="45" w:name="_Hlk94603735"/>
      <w:r>
        <w:rPr>
          <w:rFonts w:cs="Arial"/>
        </w:rPr>
        <w:t>In aged care t</w:t>
      </w:r>
      <w:r w:rsidR="00EB67AB">
        <w:rPr>
          <w:rFonts w:cs="Arial"/>
        </w:rPr>
        <w:t xml:space="preserve">here </w:t>
      </w:r>
      <w:r>
        <w:rPr>
          <w:rFonts w:cs="Arial"/>
        </w:rPr>
        <w:t xml:space="preserve">was </w:t>
      </w:r>
      <w:r w:rsidR="00EB67AB">
        <w:rPr>
          <w:rFonts w:cs="Arial"/>
        </w:rPr>
        <w:t>o</w:t>
      </w:r>
      <w:r w:rsidR="00EB67AB" w:rsidRPr="00EA58B4">
        <w:rPr>
          <w:rFonts w:cs="Arial"/>
        </w:rPr>
        <w:t>ne recorded multi-fatality event as a result of evacuation</w:t>
      </w:r>
      <w:r w:rsidR="00AF184D" w:rsidRPr="00EA58B4">
        <w:rPr>
          <w:rFonts w:cs="Arial"/>
        </w:rPr>
        <w:t>,</w:t>
      </w:r>
      <w:r w:rsidR="004303C1" w:rsidRPr="00EA58B4">
        <w:rPr>
          <w:rFonts w:cs="Arial"/>
        </w:rPr>
        <w:t xml:space="preserve"> which result</w:t>
      </w:r>
      <w:r w:rsidR="00EB67AB" w:rsidRPr="00EA58B4">
        <w:rPr>
          <w:rFonts w:cs="Arial"/>
        </w:rPr>
        <w:t>ed</w:t>
      </w:r>
      <w:r w:rsidR="004303C1" w:rsidRPr="00EA58B4">
        <w:rPr>
          <w:rFonts w:cs="Arial"/>
        </w:rPr>
        <w:t xml:space="preserve"> in four </w:t>
      </w:r>
      <w:r w:rsidR="00C33525" w:rsidRPr="00EA58B4">
        <w:rPr>
          <w:rFonts w:cs="Arial"/>
        </w:rPr>
        <w:t>fatalities</w:t>
      </w:r>
      <w:r w:rsidR="0070711E">
        <w:rPr>
          <w:rFonts w:cs="Arial"/>
        </w:rPr>
        <w:t>.</w:t>
      </w:r>
      <w:r w:rsidR="00EB67AB">
        <w:rPr>
          <w:rFonts w:cs="Arial"/>
        </w:rPr>
        <w:t xml:space="preserve"> The </w:t>
      </w:r>
      <w:r>
        <w:rPr>
          <w:rFonts w:cs="Arial"/>
        </w:rPr>
        <w:t xml:space="preserve">quantified benefits </w:t>
      </w:r>
      <w:r w:rsidR="00EB67AB">
        <w:rPr>
          <w:rFonts w:cs="Arial"/>
        </w:rPr>
        <w:t>recognise the unique vulnerability of these occupants to the stress and trauma of bushfire events</w:t>
      </w:r>
      <w:r>
        <w:rPr>
          <w:rFonts w:cs="Arial"/>
        </w:rPr>
        <w:t>.</w:t>
      </w:r>
      <w:r w:rsidR="00EB67AB">
        <w:rPr>
          <w:rFonts w:cs="Arial"/>
        </w:rPr>
        <w:t xml:space="preserve">  </w:t>
      </w:r>
    </w:p>
    <w:p w14:paraId="50143510" w14:textId="6537FE8D" w:rsidR="00F23A50" w:rsidRPr="00AF379D" w:rsidRDefault="00F23A50" w:rsidP="000F2A03">
      <w:pPr>
        <w:spacing w:before="240" w:line="360" w:lineRule="auto"/>
        <w:rPr>
          <w:rFonts w:cs="Arial"/>
        </w:rPr>
      </w:pPr>
      <w:bookmarkStart w:id="46" w:name="_Hlk94603884"/>
      <w:bookmarkEnd w:id="45"/>
      <w:r w:rsidRPr="00AD1942">
        <w:rPr>
          <w:rFonts w:cs="Arial"/>
        </w:rPr>
        <w:t>While the rate</w:t>
      </w:r>
      <w:r>
        <w:rPr>
          <w:rFonts w:cs="Arial"/>
        </w:rPr>
        <w:t xml:space="preserve"> in other buildings </w:t>
      </w:r>
      <w:r w:rsidRPr="00AD1942">
        <w:rPr>
          <w:rFonts w:cs="Arial"/>
        </w:rPr>
        <w:t xml:space="preserve">is considered low, it should be noted that the current rate of fatality within </w:t>
      </w:r>
      <w:r w:rsidR="00572201">
        <w:rPr>
          <w:rFonts w:cs="Arial"/>
        </w:rPr>
        <w:t xml:space="preserve">Class 9 </w:t>
      </w:r>
      <w:r>
        <w:rPr>
          <w:rFonts w:cs="Arial"/>
        </w:rPr>
        <w:t xml:space="preserve">schools, </w:t>
      </w:r>
      <w:r w:rsidR="00572201">
        <w:rPr>
          <w:rFonts w:cs="Arial"/>
        </w:rPr>
        <w:t>health</w:t>
      </w:r>
      <w:r w:rsidR="001204D4">
        <w:rPr>
          <w:rFonts w:cs="Arial"/>
        </w:rPr>
        <w:t>-</w:t>
      </w:r>
      <w:r w:rsidR="00572201">
        <w:rPr>
          <w:rFonts w:cs="Arial"/>
        </w:rPr>
        <w:t xml:space="preserve">care </w:t>
      </w:r>
      <w:r>
        <w:rPr>
          <w:rFonts w:cs="Arial"/>
        </w:rPr>
        <w:t xml:space="preserve">and </w:t>
      </w:r>
      <w:r w:rsidR="004B1C2B">
        <w:rPr>
          <w:rFonts w:cs="Arial"/>
        </w:rPr>
        <w:t>early childhood centres</w:t>
      </w:r>
      <w:r>
        <w:rPr>
          <w:rFonts w:cs="Arial"/>
        </w:rPr>
        <w:t xml:space="preserve"> </w:t>
      </w:r>
      <w:r w:rsidRPr="00AD1942">
        <w:rPr>
          <w:rFonts w:cs="Arial"/>
        </w:rPr>
        <w:t xml:space="preserve">is </w:t>
      </w:r>
      <w:r>
        <w:rPr>
          <w:rFonts w:cs="Arial"/>
        </w:rPr>
        <w:t>historically very low. N</w:t>
      </w:r>
      <w:r w:rsidRPr="00AD1942">
        <w:rPr>
          <w:rFonts w:cs="Arial"/>
        </w:rPr>
        <w:t xml:space="preserve">o </w:t>
      </w:r>
      <w:r>
        <w:rPr>
          <w:rFonts w:cs="Arial"/>
        </w:rPr>
        <w:t>bushfire</w:t>
      </w:r>
      <w:r w:rsidR="0070711E">
        <w:rPr>
          <w:rFonts w:cs="Arial"/>
        </w:rPr>
        <w:t>-</w:t>
      </w:r>
      <w:r>
        <w:rPr>
          <w:rFonts w:cs="Arial"/>
        </w:rPr>
        <w:t xml:space="preserve">related </w:t>
      </w:r>
      <w:r w:rsidRPr="00AD1942">
        <w:rPr>
          <w:rFonts w:cs="Arial"/>
        </w:rPr>
        <w:t xml:space="preserve">fatalities </w:t>
      </w:r>
      <w:r w:rsidR="0070711E">
        <w:rPr>
          <w:rFonts w:cs="Arial"/>
        </w:rPr>
        <w:t xml:space="preserve">are </w:t>
      </w:r>
      <w:r>
        <w:rPr>
          <w:rFonts w:cs="Arial"/>
        </w:rPr>
        <w:t>recorded to have occurred</w:t>
      </w:r>
      <w:r w:rsidRPr="00AD1942">
        <w:rPr>
          <w:rFonts w:cs="Arial"/>
        </w:rPr>
        <w:t xml:space="preserve"> within these building types</w:t>
      </w:r>
      <w:r w:rsidRPr="00F23A50">
        <w:rPr>
          <w:rFonts w:cs="Arial"/>
        </w:rPr>
        <w:t xml:space="preserve">. </w:t>
      </w:r>
      <w:r w:rsidRPr="00EA58B4" w:rsidDel="00F23A50">
        <w:rPr>
          <w:rFonts w:cs="Arial"/>
        </w:rPr>
        <w:t xml:space="preserve">In evaluating the </w:t>
      </w:r>
      <w:r w:rsidRPr="00EA58B4">
        <w:rPr>
          <w:rFonts w:cs="Arial"/>
        </w:rPr>
        <w:t xml:space="preserve">reasonableness of the </w:t>
      </w:r>
      <w:r w:rsidRPr="00EA58B4" w:rsidDel="00F23A50">
        <w:rPr>
          <w:rFonts w:cs="Arial"/>
        </w:rPr>
        <w:t xml:space="preserve">breakeven results, it should also be noted that there are important differences in the uses of Class 9 buildings which impact the likelihood of fatality. </w:t>
      </w:r>
      <w:r w:rsidR="004303C1" w:rsidRPr="00EA58B4">
        <w:rPr>
          <w:rFonts w:cs="Arial"/>
        </w:rPr>
        <w:t>For example</w:t>
      </w:r>
      <w:r w:rsidR="00AF184D" w:rsidRPr="00EA58B4">
        <w:rPr>
          <w:rFonts w:cs="Arial"/>
        </w:rPr>
        <w:t>,</w:t>
      </w:r>
      <w:r w:rsidR="004303C1" w:rsidRPr="00EA58B4">
        <w:rPr>
          <w:rFonts w:cs="Arial"/>
        </w:rPr>
        <w:t xml:space="preserve"> not all Class 9 buildings are </w:t>
      </w:r>
      <w:r w:rsidR="000F2A03" w:rsidRPr="00EA58B4">
        <w:rPr>
          <w:rFonts w:cs="Arial"/>
        </w:rPr>
        <w:t>occupied overnight</w:t>
      </w:r>
      <w:r w:rsidR="004303C1" w:rsidRPr="00EA58B4">
        <w:rPr>
          <w:rFonts w:cs="Arial"/>
        </w:rPr>
        <w:t xml:space="preserve"> or on weekends</w:t>
      </w:r>
      <w:r w:rsidR="00AF184D" w:rsidRPr="00EA58B4">
        <w:rPr>
          <w:rFonts w:cs="Arial"/>
        </w:rPr>
        <w:t xml:space="preserve"> and</w:t>
      </w:r>
      <w:r w:rsidR="0070711E">
        <w:rPr>
          <w:rFonts w:cs="Arial"/>
        </w:rPr>
        <w:t>,</w:t>
      </w:r>
      <w:r w:rsidR="00AF184D" w:rsidRPr="00EA58B4">
        <w:rPr>
          <w:rFonts w:cs="Arial"/>
        </w:rPr>
        <w:t xml:space="preserve"> in </w:t>
      </w:r>
      <w:r w:rsidR="004303C1" w:rsidRPr="00EA58B4">
        <w:rPr>
          <w:rFonts w:cs="Arial"/>
        </w:rPr>
        <w:t>the case of schools, these buildings may be evacuated voluntarily ahead of the fire front passing the building</w:t>
      </w:r>
      <w:r w:rsidR="00AF184D" w:rsidRPr="00EA58B4">
        <w:rPr>
          <w:rFonts w:cs="Arial"/>
        </w:rPr>
        <w:t>, minimising the risk to occupants</w:t>
      </w:r>
      <w:r w:rsidR="004303C1" w:rsidRPr="00EA58B4">
        <w:rPr>
          <w:rFonts w:cs="Arial"/>
        </w:rPr>
        <w:t>.</w:t>
      </w:r>
      <w:r w:rsidR="000F2A03" w:rsidRPr="00EA58B4">
        <w:rPr>
          <w:rStyle w:val="FootnoteReference"/>
          <w:rFonts w:cs="Arial"/>
        </w:rPr>
        <w:footnoteReference w:id="22"/>
      </w:r>
      <w:r w:rsidR="000F2A03" w:rsidRPr="00EA58B4">
        <w:rPr>
          <w:rFonts w:cs="Arial"/>
        </w:rPr>
        <w:t xml:space="preserve"> </w:t>
      </w:r>
      <w:r w:rsidRPr="00AF379D">
        <w:rPr>
          <w:rFonts w:cs="Arial"/>
        </w:rPr>
        <w:t xml:space="preserve">Whereas hospitals, like </w:t>
      </w:r>
      <w:r w:rsidR="001204D4" w:rsidRPr="00AF379D">
        <w:rPr>
          <w:rFonts w:cs="Arial"/>
        </w:rPr>
        <w:t xml:space="preserve">residential </w:t>
      </w:r>
      <w:r w:rsidR="000F2A03" w:rsidRPr="00AF379D">
        <w:rPr>
          <w:rFonts w:cs="Arial"/>
        </w:rPr>
        <w:t>care facilities</w:t>
      </w:r>
      <w:r w:rsidR="0070711E">
        <w:rPr>
          <w:rFonts w:cs="Arial"/>
        </w:rPr>
        <w:t>,</w:t>
      </w:r>
      <w:r w:rsidR="000F2A03" w:rsidRPr="00AF379D">
        <w:rPr>
          <w:rFonts w:cs="Arial"/>
        </w:rPr>
        <w:t xml:space="preserve"> are occupied continuously</w:t>
      </w:r>
      <w:r w:rsidR="00AF184D" w:rsidRPr="00AF379D">
        <w:rPr>
          <w:rFonts w:cs="Arial"/>
        </w:rPr>
        <w:t xml:space="preserve"> and at night</w:t>
      </w:r>
      <w:r w:rsidRPr="00AF379D">
        <w:rPr>
          <w:rFonts w:cs="Arial"/>
        </w:rPr>
        <w:t xml:space="preserve">. </w:t>
      </w:r>
    </w:p>
    <w:p w14:paraId="3FC2602F" w14:textId="60F33132" w:rsidR="00116EF4" w:rsidRPr="00AF379D" w:rsidRDefault="00F23A50" w:rsidP="000F2A03">
      <w:pPr>
        <w:spacing w:before="240" w:line="360" w:lineRule="auto"/>
        <w:rPr>
          <w:rFonts w:cs="Arial"/>
        </w:rPr>
      </w:pPr>
      <w:r w:rsidRPr="00AF379D">
        <w:rPr>
          <w:rFonts w:cs="Arial"/>
        </w:rPr>
        <w:t>T</w:t>
      </w:r>
      <w:r w:rsidR="000F2A03" w:rsidRPr="00AF379D">
        <w:rPr>
          <w:rFonts w:cs="Arial"/>
        </w:rPr>
        <w:t xml:space="preserve">he breakeven </w:t>
      </w:r>
      <w:r w:rsidR="00AF184D" w:rsidRPr="00AF379D">
        <w:rPr>
          <w:rFonts w:cs="Arial"/>
        </w:rPr>
        <w:t xml:space="preserve">results </w:t>
      </w:r>
      <w:r w:rsidRPr="00AF379D">
        <w:rPr>
          <w:rFonts w:cs="Arial"/>
        </w:rPr>
        <w:t>allow a direct comparison between the number fatalities that would need to be avoided</w:t>
      </w:r>
      <w:r w:rsidR="007C015E" w:rsidRPr="00AF379D">
        <w:rPr>
          <w:rFonts w:cs="Arial"/>
        </w:rPr>
        <w:t xml:space="preserve"> in different </w:t>
      </w:r>
      <w:r w:rsidR="004469A4" w:rsidRPr="00AF379D">
        <w:rPr>
          <w:rFonts w:cs="Arial"/>
        </w:rPr>
        <w:t>Class 9 buildings</w:t>
      </w:r>
      <w:r w:rsidR="007C015E" w:rsidRPr="00AF379D">
        <w:rPr>
          <w:rFonts w:cs="Arial"/>
        </w:rPr>
        <w:t xml:space="preserve">. </w:t>
      </w:r>
      <w:r w:rsidR="00137803">
        <w:rPr>
          <w:rFonts w:cs="Arial"/>
        </w:rPr>
        <w:t>B</w:t>
      </w:r>
      <w:r w:rsidR="007C015E" w:rsidRPr="00AF379D">
        <w:rPr>
          <w:rFonts w:cs="Arial"/>
        </w:rPr>
        <w:t xml:space="preserve">ased on historical fatalities in </w:t>
      </w:r>
      <w:r w:rsidR="00137803">
        <w:rPr>
          <w:rFonts w:cs="Arial"/>
        </w:rPr>
        <w:t>residential aged, q</w:t>
      </w:r>
      <w:r w:rsidR="00137803" w:rsidRPr="00AF379D">
        <w:rPr>
          <w:rFonts w:cs="Arial"/>
        </w:rPr>
        <w:t xml:space="preserve">uantified benefits </w:t>
      </w:r>
      <w:r w:rsidR="007C015E" w:rsidRPr="00AF379D">
        <w:rPr>
          <w:rFonts w:cs="Arial"/>
        </w:rPr>
        <w:t xml:space="preserve">present </w:t>
      </w:r>
      <w:r w:rsidR="004469A4" w:rsidRPr="00AF379D">
        <w:rPr>
          <w:rFonts w:cs="Arial"/>
        </w:rPr>
        <w:t>a strong</w:t>
      </w:r>
      <w:r w:rsidR="00572201" w:rsidRPr="00AF379D">
        <w:rPr>
          <w:rFonts w:cs="Arial"/>
        </w:rPr>
        <w:t>er</w:t>
      </w:r>
      <w:r w:rsidR="004469A4" w:rsidRPr="00AF379D">
        <w:rPr>
          <w:rFonts w:cs="Arial"/>
        </w:rPr>
        <w:t xml:space="preserve"> case</w:t>
      </w:r>
      <w:r w:rsidR="007C015E" w:rsidRPr="00AF379D">
        <w:rPr>
          <w:rFonts w:cs="Arial"/>
        </w:rPr>
        <w:t xml:space="preserve"> for the</w:t>
      </w:r>
      <w:r w:rsidR="004469A4" w:rsidRPr="00AF379D">
        <w:rPr>
          <w:rFonts w:cs="Arial"/>
        </w:rPr>
        <w:t>ir</w:t>
      </w:r>
      <w:r w:rsidR="007C015E" w:rsidRPr="00AF379D">
        <w:rPr>
          <w:rFonts w:cs="Arial"/>
        </w:rPr>
        <w:t xml:space="preserve"> </w:t>
      </w:r>
      <w:r w:rsidRPr="00AF379D">
        <w:rPr>
          <w:rFonts w:cs="Arial"/>
        </w:rPr>
        <w:t>reasonableness.</w:t>
      </w:r>
      <w:r w:rsidR="00B46AEC" w:rsidRPr="00AF379D">
        <w:rPr>
          <w:rFonts w:cs="Arial"/>
        </w:rPr>
        <w:t xml:space="preserve"> As </w:t>
      </w:r>
      <w:r w:rsidR="004469A4" w:rsidRPr="00AF379D">
        <w:rPr>
          <w:rFonts w:cs="Arial"/>
        </w:rPr>
        <w:t>h</w:t>
      </w:r>
      <w:r w:rsidR="00572201" w:rsidRPr="00AF379D">
        <w:rPr>
          <w:rFonts w:cs="Arial"/>
        </w:rPr>
        <w:t>ospital buildings</w:t>
      </w:r>
      <w:r w:rsidRPr="00AF379D">
        <w:rPr>
          <w:rFonts w:cs="Arial"/>
        </w:rPr>
        <w:t xml:space="preserve"> </w:t>
      </w:r>
      <w:r w:rsidR="007C015E" w:rsidRPr="00AF379D">
        <w:rPr>
          <w:rFonts w:cs="Arial"/>
        </w:rPr>
        <w:t xml:space="preserve">have both </w:t>
      </w:r>
      <w:r w:rsidR="004469A4" w:rsidRPr="00AF379D">
        <w:rPr>
          <w:rFonts w:cs="Arial"/>
        </w:rPr>
        <w:t xml:space="preserve">a lower breakeven and </w:t>
      </w:r>
      <w:r w:rsidRPr="00AF379D">
        <w:rPr>
          <w:rFonts w:cs="Arial"/>
        </w:rPr>
        <w:t xml:space="preserve">share similar </w:t>
      </w:r>
      <w:r w:rsidR="00572201" w:rsidRPr="00AF379D">
        <w:rPr>
          <w:rFonts w:cs="Arial"/>
        </w:rPr>
        <w:t xml:space="preserve">occupant </w:t>
      </w:r>
      <w:r w:rsidRPr="00AF379D">
        <w:rPr>
          <w:rFonts w:cs="Arial"/>
        </w:rPr>
        <w:t>characteristics</w:t>
      </w:r>
      <w:r w:rsidR="00572201" w:rsidRPr="00AF379D">
        <w:rPr>
          <w:rFonts w:cs="Arial"/>
        </w:rPr>
        <w:t xml:space="preserve"> and evacuation challenges</w:t>
      </w:r>
      <w:r w:rsidR="007C015E" w:rsidRPr="00AF379D">
        <w:rPr>
          <w:rFonts w:cs="Arial"/>
        </w:rPr>
        <w:t xml:space="preserve">, benefits </w:t>
      </w:r>
      <w:r w:rsidR="00AF184D" w:rsidRPr="00AF379D">
        <w:rPr>
          <w:rFonts w:cs="Arial"/>
        </w:rPr>
        <w:t>are</w:t>
      </w:r>
      <w:r w:rsidR="000F2A03" w:rsidRPr="00AF379D">
        <w:rPr>
          <w:rFonts w:cs="Arial"/>
        </w:rPr>
        <w:t xml:space="preserve"> considered more likely to be </w:t>
      </w:r>
      <w:r w:rsidR="00300456" w:rsidRPr="00AF379D">
        <w:rPr>
          <w:rFonts w:cs="Arial"/>
        </w:rPr>
        <w:t>achieved relative</w:t>
      </w:r>
      <w:r w:rsidR="00AF184D" w:rsidRPr="00AF379D">
        <w:rPr>
          <w:rFonts w:cs="Arial"/>
        </w:rPr>
        <w:t xml:space="preserve"> to schools and </w:t>
      </w:r>
      <w:r w:rsidR="004B1C2B">
        <w:rPr>
          <w:rFonts w:cs="Arial"/>
        </w:rPr>
        <w:t>early childhood centres</w:t>
      </w:r>
      <w:r w:rsidR="00AF184D" w:rsidRPr="00AF379D">
        <w:rPr>
          <w:rFonts w:cs="Arial"/>
        </w:rPr>
        <w:t xml:space="preserve"> </w:t>
      </w:r>
      <w:r w:rsidR="0070711E">
        <w:rPr>
          <w:rFonts w:cs="Arial"/>
        </w:rPr>
        <w:t>when</w:t>
      </w:r>
      <w:r w:rsidR="004303C1" w:rsidRPr="00AF379D">
        <w:rPr>
          <w:rFonts w:cs="Arial"/>
        </w:rPr>
        <w:t xml:space="preserve"> holding</w:t>
      </w:r>
      <w:r w:rsidR="000F2A03" w:rsidRPr="00AF379D">
        <w:rPr>
          <w:rFonts w:cs="Arial"/>
        </w:rPr>
        <w:t xml:space="preserve"> all other assumptions</w:t>
      </w:r>
      <w:r w:rsidR="004303C1" w:rsidRPr="00AF379D">
        <w:rPr>
          <w:rFonts w:cs="Arial"/>
        </w:rPr>
        <w:t xml:space="preserve"> </w:t>
      </w:r>
      <w:r w:rsidR="000F2A03" w:rsidRPr="00AF379D">
        <w:rPr>
          <w:rFonts w:cs="Arial"/>
        </w:rPr>
        <w:t xml:space="preserve">equal. </w:t>
      </w:r>
    </w:p>
    <w:p w14:paraId="3537E7F5" w14:textId="06F4E664" w:rsidR="00B668EE" w:rsidRPr="00AF379D" w:rsidRDefault="00B668EE" w:rsidP="00AA63D4">
      <w:pPr>
        <w:pStyle w:val="Heading2"/>
      </w:pPr>
      <w:bookmarkStart w:id="47" w:name="_Toc71789281"/>
      <w:bookmarkStart w:id="48" w:name="_Toc97023787"/>
      <w:bookmarkStart w:id="49" w:name="_Toc71195752"/>
      <w:bookmarkEnd w:id="46"/>
      <w:r w:rsidRPr="00AF379D">
        <w:t xml:space="preserve">Option 3: </w:t>
      </w:r>
      <w:bookmarkEnd w:id="47"/>
      <w:r w:rsidR="004410B7" w:rsidRPr="00AF379D">
        <w:t>Publish a non-mandatory Handbook.</w:t>
      </w:r>
      <w:bookmarkEnd w:id="48"/>
    </w:p>
    <w:bookmarkEnd w:id="49"/>
    <w:p w14:paraId="7D852D9C" w14:textId="5CF088C6" w:rsidR="004410B7" w:rsidRPr="004410B7" w:rsidRDefault="004410B7" w:rsidP="004410B7">
      <w:pPr>
        <w:spacing w:before="100" w:beforeAutospacing="1" w:after="100" w:afterAutospacing="1" w:line="360" w:lineRule="auto"/>
        <w:jc w:val="both"/>
        <w:rPr>
          <w:rFonts w:eastAsia="Times New Roman" w:cs="Arial"/>
          <w:lang w:eastAsia="en-AU"/>
        </w:rPr>
      </w:pPr>
      <w:r w:rsidRPr="00AF379D">
        <w:rPr>
          <w:rFonts w:eastAsia="Times New Roman" w:cs="Arial"/>
          <w:lang w:eastAsia="en-AU"/>
        </w:rPr>
        <w:t>This option may provide a viable cost</w:t>
      </w:r>
      <w:r w:rsidR="0070711E">
        <w:rPr>
          <w:rFonts w:eastAsia="Times New Roman" w:cs="Arial"/>
          <w:lang w:eastAsia="en-AU"/>
        </w:rPr>
        <w:t>-</w:t>
      </w:r>
      <w:r w:rsidRPr="00AF379D">
        <w:rPr>
          <w:rFonts w:eastAsia="Times New Roman" w:cs="Arial"/>
          <w:lang w:eastAsia="en-AU"/>
        </w:rPr>
        <w:t>effective means of addressing problems</w:t>
      </w:r>
      <w:r w:rsidR="0070711E">
        <w:rPr>
          <w:rFonts w:eastAsia="Times New Roman" w:cs="Arial"/>
          <w:lang w:eastAsia="en-AU"/>
        </w:rPr>
        <w:t>,</w:t>
      </w:r>
      <w:r w:rsidRPr="00AF379D">
        <w:rPr>
          <w:rFonts w:eastAsia="Times New Roman" w:cs="Arial"/>
          <w:lang w:eastAsia="en-AU"/>
        </w:rPr>
        <w:t xml:space="preserve"> primarily related to information asymmetry of builders, designers, plannin</w:t>
      </w:r>
      <w:r w:rsidRPr="004410B7">
        <w:rPr>
          <w:rFonts w:eastAsia="Times New Roman" w:cs="Arial"/>
          <w:lang w:eastAsia="en-AU"/>
        </w:rPr>
        <w:t>g authorities, developers or owners of non-residential buildings</w:t>
      </w:r>
      <w:r w:rsidR="00857A9B">
        <w:rPr>
          <w:rFonts w:eastAsia="Times New Roman" w:cs="Arial"/>
          <w:lang w:eastAsia="en-AU"/>
        </w:rPr>
        <w:t>. It would achieve this</w:t>
      </w:r>
      <w:r w:rsidRPr="004410B7">
        <w:rPr>
          <w:rFonts w:eastAsia="Times New Roman" w:cs="Arial"/>
          <w:lang w:eastAsia="en-AU"/>
        </w:rPr>
        <w:t xml:space="preserve"> by highlighting the critical importance of preventing ember attack, and </w:t>
      </w:r>
      <w:r w:rsidR="00857A9B">
        <w:rPr>
          <w:rFonts w:eastAsia="Times New Roman" w:cs="Arial"/>
          <w:lang w:eastAsia="en-AU"/>
        </w:rPr>
        <w:t>responsibilities of</w:t>
      </w:r>
      <w:r w:rsidR="00CE2317">
        <w:rPr>
          <w:rFonts w:eastAsia="Times New Roman" w:cs="Arial"/>
          <w:lang w:eastAsia="en-AU"/>
        </w:rPr>
        <w:t xml:space="preserve"> </w:t>
      </w:r>
      <w:r w:rsidRPr="004410B7">
        <w:rPr>
          <w:rFonts w:eastAsia="Times New Roman" w:cs="Arial"/>
          <w:lang w:eastAsia="en-AU"/>
        </w:rPr>
        <w:t xml:space="preserve">dealing with vulnerable people under bushfire and related natural hazard threats. This is a legitimate response option that can </w:t>
      </w:r>
      <w:r w:rsidR="00857A9B">
        <w:rPr>
          <w:rFonts w:eastAsia="Times New Roman" w:cs="Arial"/>
          <w:lang w:eastAsia="en-AU"/>
        </w:rPr>
        <w:t xml:space="preserve">be applied by </w:t>
      </w:r>
      <w:r w:rsidRPr="004410B7">
        <w:rPr>
          <w:rFonts w:eastAsia="Times New Roman" w:cs="Arial"/>
          <w:lang w:eastAsia="en-AU"/>
        </w:rPr>
        <w:t>jurisdictio</w:t>
      </w:r>
      <w:r w:rsidR="00857A9B">
        <w:rPr>
          <w:rFonts w:eastAsia="Times New Roman" w:cs="Arial"/>
          <w:lang w:eastAsia="en-AU"/>
        </w:rPr>
        <w:t xml:space="preserve">ns with a particular need is identified </w:t>
      </w:r>
      <w:r w:rsidRPr="004410B7">
        <w:rPr>
          <w:rFonts w:eastAsia="Times New Roman" w:cs="Arial"/>
          <w:lang w:eastAsia="en-AU"/>
        </w:rPr>
        <w:t xml:space="preserve">  pending discovery of contemporary evidence of the true extent of the problem. </w:t>
      </w:r>
    </w:p>
    <w:p w14:paraId="7933AE08" w14:textId="21A0B047" w:rsidR="004410B7" w:rsidRPr="004410B7" w:rsidRDefault="004410B7" w:rsidP="004410B7">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 xml:space="preserve">In the event that future monitoring and evaluation demonstrates a change in the risk profile </w:t>
      </w:r>
      <w:r w:rsidR="004469A4">
        <w:rPr>
          <w:rFonts w:eastAsia="Times New Roman" w:cs="Arial"/>
          <w:lang w:eastAsia="en-AU"/>
        </w:rPr>
        <w:t xml:space="preserve">different </w:t>
      </w:r>
      <w:r w:rsidRPr="004410B7">
        <w:rPr>
          <w:rFonts w:eastAsia="Times New Roman" w:cs="Arial"/>
          <w:lang w:eastAsia="en-AU"/>
        </w:rPr>
        <w:t>t</w:t>
      </w:r>
      <w:r w:rsidR="0070711E">
        <w:rPr>
          <w:rFonts w:eastAsia="Times New Roman" w:cs="Arial"/>
          <w:lang w:eastAsia="en-AU"/>
        </w:rPr>
        <w:t>o</w:t>
      </w:r>
      <w:r w:rsidRPr="004410B7">
        <w:rPr>
          <w:rFonts w:eastAsia="Times New Roman" w:cs="Arial"/>
          <w:lang w:eastAsia="en-AU"/>
        </w:rPr>
        <w:t xml:space="preserve"> </w:t>
      </w:r>
      <w:r w:rsidR="004469A4">
        <w:rPr>
          <w:rFonts w:eastAsia="Times New Roman" w:cs="Arial"/>
          <w:lang w:eastAsia="en-AU"/>
        </w:rPr>
        <w:t xml:space="preserve">that </w:t>
      </w:r>
      <w:r w:rsidRPr="004410B7">
        <w:rPr>
          <w:rFonts w:eastAsia="Times New Roman" w:cs="Arial"/>
          <w:lang w:eastAsia="en-AU"/>
        </w:rPr>
        <w:t>determined, the introduction of new regulations c</w:t>
      </w:r>
      <w:r w:rsidR="00857A9B">
        <w:rPr>
          <w:rFonts w:eastAsia="Times New Roman" w:cs="Arial"/>
          <w:lang w:eastAsia="en-AU"/>
        </w:rPr>
        <w:t>ould</w:t>
      </w:r>
      <w:r w:rsidRPr="004410B7">
        <w:rPr>
          <w:rFonts w:eastAsia="Times New Roman" w:cs="Arial"/>
          <w:lang w:eastAsia="en-AU"/>
        </w:rPr>
        <w:t xml:space="preserve"> then be revisited in the future. </w:t>
      </w:r>
    </w:p>
    <w:p w14:paraId="4EA86C8E" w14:textId="77777777" w:rsidR="004410B7" w:rsidRPr="004410B7" w:rsidRDefault="004410B7" w:rsidP="004410B7">
      <w:pPr>
        <w:pStyle w:val="Heading3"/>
        <w:rPr>
          <w:rFonts w:ascii="Arial" w:hAnsi="Arial" w:cs="Arial"/>
          <w:b w:val="0"/>
          <w:bCs w:val="0"/>
        </w:rPr>
      </w:pPr>
      <w:r w:rsidRPr="004410B7">
        <w:rPr>
          <w:rFonts w:ascii="Arial" w:hAnsi="Arial" w:cs="Arial"/>
          <w:b w:val="0"/>
          <w:bCs w:val="0"/>
        </w:rPr>
        <w:t>Costs</w:t>
      </w:r>
    </w:p>
    <w:p w14:paraId="2E5962F9" w14:textId="0E96922A" w:rsidR="004410B7" w:rsidRPr="004410B7" w:rsidRDefault="004410B7" w:rsidP="004410B7">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 xml:space="preserve">There are low costs to produce non-mandatory guidance for practitioners to assist in the development of buildings that are more resilient to bushfire attack. Costs will be borne by the ABCB and governments to develop and consult on guidance, and potentially produce printed and electronic materials for distribution to industry. </w:t>
      </w:r>
    </w:p>
    <w:p w14:paraId="3636A6B3" w14:textId="77777777" w:rsidR="004410B7" w:rsidRPr="004410B7" w:rsidRDefault="004410B7" w:rsidP="004410B7">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 xml:space="preserve">Developing non-mandatory guidance allows industry to implement required changes in the most effective manner for individual buildings. Costs borne by industry due to the time and effort needed to understand the guidance and ensure it is implemented in the design of new buildings under this option would be voluntarily incurred, as would costs associated with following the advice. </w:t>
      </w:r>
    </w:p>
    <w:p w14:paraId="69A5FC5D" w14:textId="77777777" w:rsidR="004410B7" w:rsidRPr="004410B7" w:rsidRDefault="004410B7" w:rsidP="004410B7">
      <w:pPr>
        <w:pStyle w:val="Heading3"/>
        <w:rPr>
          <w:rFonts w:ascii="Arial" w:hAnsi="Arial" w:cs="Arial"/>
          <w:b w:val="0"/>
          <w:bCs w:val="0"/>
        </w:rPr>
      </w:pPr>
      <w:r w:rsidRPr="004410B7">
        <w:rPr>
          <w:rFonts w:ascii="Arial" w:hAnsi="Arial" w:cs="Arial"/>
          <w:b w:val="0"/>
          <w:bCs w:val="0"/>
        </w:rPr>
        <w:t>Benefits</w:t>
      </w:r>
    </w:p>
    <w:p w14:paraId="1FCF65BC" w14:textId="77777777" w:rsidR="004410B7" w:rsidRPr="004410B7" w:rsidRDefault="004410B7" w:rsidP="004410B7">
      <w:pPr>
        <w:spacing w:before="100" w:beforeAutospacing="1" w:after="100" w:afterAutospacing="1" w:line="360" w:lineRule="auto"/>
        <w:jc w:val="both"/>
        <w:rPr>
          <w:rFonts w:eastAsia="Times New Roman" w:cs="DaunPenh"/>
          <w:lang w:val="en-US"/>
        </w:rPr>
      </w:pPr>
      <w:r w:rsidRPr="004410B7">
        <w:rPr>
          <w:rFonts w:eastAsia="Times New Roman" w:cs="Arial"/>
          <w:lang w:eastAsia="en-AU"/>
        </w:rPr>
        <w:t xml:space="preserve">The main benefit of guidance material will be national consistency. </w:t>
      </w:r>
      <w:r w:rsidRPr="004410B7">
        <w:rPr>
          <w:rFonts w:eastAsia="Times New Roman" w:cs="DaunPenh"/>
          <w:lang w:val="en-US"/>
        </w:rPr>
        <w:t>The Productivity Commission’s 2004 research report on reform of building regulation suggests that a nationally consistent approach to bushfire provisions would be beneficial.</w:t>
      </w:r>
    </w:p>
    <w:p w14:paraId="727EB0FD" w14:textId="77777777" w:rsidR="004410B7" w:rsidRPr="004410B7" w:rsidRDefault="004410B7" w:rsidP="004410B7">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 xml:space="preserve">Guidance material also provides flexibility to apply the requirements. Local governments and approval authorities will be able to rely on the guidance material, and refer to it in approving buildings, rather than developing their own codes, rules, etc. </w:t>
      </w:r>
    </w:p>
    <w:p w14:paraId="0158D5FF" w14:textId="2C97677D" w:rsidR="004410B7" w:rsidRPr="004410B7" w:rsidRDefault="004410B7" w:rsidP="004410B7">
      <w:pPr>
        <w:spacing w:before="100" w:beforeAutospacing="1" w:after="100" w:afterAutospacing="1" w:line="360" w:lineRule="auto"/>
        <w:jc w:val="both"/>
        <w:rPr>
          <w:rFonts w:eastAsia="Times New Roman" w:cs="Arial"/>
          <w:lang w:eastAsia="en-AU"/>
        </w:rPr>
      </w:pPr>
      <w:r w:rsidRPr="004410B7">
        <w:rPr>
          <w:rFonts w:eastAsia="Times New Roman" w:cs="Arial"/>
          <w:lang w:eastAsia="en-AU"/>
        </w:rPr>
        <w:t>The quantum of benefits is extremely difficult to calculate, and depends on the take</w:t>
      </w:r>
      <w:r w:rsidR="00360447">
        <w:rPr>
          <w:rFonts w:eastAsia="Times New Roman" w:cs="Arial"/>
          <w:lang w:eastAsia="en-AU"/>
        </w:rPr>
        <w:t>-</w:t>
      </w:r>
      <w:r w:rsidRPr="004410B7">
        <w:rPr>
          <w:rFonts w:eastAsia="Times New Roman" w:cs="Arial"/>
          <w:lang w:eastAsia="en-AU"/>
        </w:rPr>
        <w:t>up rate.</w:t>
      </w:r>
    </w:p>
    <w:p w14:paraId="48164352" w14:textId="61CE9A9D" w:rsidR="004410B7" w:rsidRPr="004410B7" w:rsidRDefault="004410B7" w:rsidP="004410B7">
      <w:pPr>
        <w:pStyle w:val="Heading3"/>
        <w:rPr>
          <w:rFonts w:ascii="Arial" w:hAnsi="Arial" w:cs="Arial"/>
          <w:b w:val="0"/>
          <w:bCs w:val="0"/>
        </w:rPr>
      </w:pPr>
      <w:r w:rsidRPr="004410B7">
        <w:rPr>
          <w:rFonts w:ascii="Arial" w:hAnsi="Arial" w:cs="Arial"/>
          <w:b w:val="0"/>
          <w:bCs w:val="0"/>
        </w:rPr>
        <w:t xml:space="preserve">Effectiveness of </w:t>
      </w:r>
      <w:r w:rsidR="004469A4">
        <w:rPr>
          <w:rFonts w:ascii="Arial" w:hAnsi="Arial" w:cs="Arial"/>
          <w:b w:val="0"/>
          <w:bCs w:val="0"/>
        </w:rPr>
        <w:t>non-regulatory</w:t>
      </w:r>
      <w:r w:rsidR="004469A4" w:rsidRPr="004410B7">
        <w:rPr>
          <w:rFonts w:ascii="Arial" w:hAnsi="Arial" w:cs="Arial"/>
          <w:b w:val="0"/>
          <w:bCs w:val="0"/>
        </w:rPr>
        <w:t xml:space="preserve"> </w:t>
      </w:r>
      <w:r w:rsidRPr="004410B7">
        <w:rPr>
          <w:rFonts w:ascii="Arial" w:hAnsi="Arial" w:cs="Arial"/>
          <w:b w:val="0"/>
          <w:bCs w:val="0"/>
        </w:rPr>
        <w:t>option</w:t>
      </w:r>
    </w:p>
    <w:p w14:paraId="192176A9" w14:textId="4BFFB45A" w:rsidR="004410B7" w:rsidRPr="004410B7" w:rsidRDefault="004410B7" w:rsidP="00EA58B4">
      <w:pPr>
        <w:spacing w:before="240" w:after="0" w:line="360" w:lineRule="auto"/>
        <w:jc w:val="both"/>
        <w:rPr>
          <w:rFonts w:eastAsia="Times New Roman" w:cs="DaunPenh"/>
          <w:lang w:val="en-US"/>
        </w:rPr>
      </w:pPr>
      <w:r w:rsidRPr="004410B7">
        <w:rPr>
          <w:rFonts w:eastAsia="Times New Roman" w:cs="DaunPenh"/>
          <w:lang w:val="en-US"/>
        </w:rPr>
        <w:t>Achieving a national approach by attempting to harmonise existing state/territory variations may</w:t>
      </w:r>
      <w:r w:rsidR="00360447">
        <w:rPr>
          <w:rFonts w:eastAsia="Times New Roman" w:cs="DaunPenh"/>
          <w:lang w:val="en-US"/>
        </w:rPr>
        <w:t>,</w:t>
      </w:r>
      <w:r w:rsidRPr="004410B7">
        <w:rPr>
          <w:rFonts w:eastAsia="Times New Roman" w:cs="DaunPenh"/>
          <w:lang w:val="en-US"/>
        </w:rPr>
        <w:t xml:space="preserve"> in this case</w:t>
      </w:r>
      <w:r w:rsidR="00360447">
        <w:rPr>
          <w:rFonts w:eastAsia="Times New Roman" w:cs="DaunPenh"/>
          <w:lang w:val="en-US"/>
        </w:rPr>
        <w:t>,</w:t>
      </w:r>
      <w:r w:rsidRPr="004410B7">
        <w:rPr>
          <w:rFonts w:eastAsia="Times New Roman" w:cs="DaunPenh"/>
          <w:lang w:val="en-US"/>
        </w:rPr>
        <w:t xml:space="preserve"> be difficult. </w:t>
      </w:r>
      <w:r w:rsidR="00857A9B">
        <w:rPr>
          <w:rFonts w:eastAsia="Times New Roman" w:cs="DaunPenh"/>
          <w:lang w:val="en-US"/>
        </w:rPr>
        <w:t>E</w:t>
      </w:r>
      <w:r w:rsidRPr="004410B7">
        <w:rPr>
          <w:rFonts w:eastAsia="Times New Roman" w:cs="DaunPenh"/>
          <w:lang w:val="en-US"/>
        </w:rPr>
        <w:t>ach of the existing variations includes technical provisions and reference to planning legislation</w:t>
      </w:r>
      <w:r w:rsidR="00B949FC">
        <w:rPr>
          <w:rFonts w:eastAsia="Times New Roman" w:cs="DaunPenh"/>
          <w:lang w:val="en-US"/>
        </w:rPr>
        <w:t xml:space="preserve"> rather than the NCC</w:t>
      </w:r>
      <w:r w:rsidRPr="004410B7">
        <w:rPr>
          <w:rFonts w:eastAsia="Times New Roman" w:cs="DaunPenh"/>
          <w:lang w:val="en-US"/>
        </w:rPr>
        <w:t xml:space="preserve">. </w:t>
      </w:r>
    </w:p>
    <w:p w14:paraId="33D1F67B" w14:textId="1978B7C0" w:rsidR="004410B7" w:rsidRPr="004410B7" w:rsidRDefault="004410B7" w:rsidP="00EA58B4">
      <w:pPr>
        <w:spacing w:before="240" w:after="0" w:line="360" w:lineRule="auto"/>
        <w:jc w:val="both"/>
        <w:rPr>
          <w:rFonts w:eastAsia="Times New Roman" w:cs="Arial"/>
          <w:lang w:eastAsia="en-AU"/>
        </w:rPr>
      </w:pPr>
      <w:r w:rsidRPr="004410B7">
        <w:rPr>
          <w:rFonts w:eastAsia="Times New Roman" w:cs="DaunPenh"/>
          <w:lang w:val="en-US"/>
        </w:rPr>
        <w:t xml:space="preserve">For a national approach to be feasible, these legislative measures would need to be </w:t>
      </w:r>
      <w:r w:rsidR="004469A4">
        <w:rPr>
          <w:rFonts w:eastAsia="Times New Roman" w:cs="DaunPenh"/>
          <w:lang w:val="en-US"/>
        </w:rPr>
        <w:t>harmonised,</w:t>
      </w:r>
      <w:r w:rsidRPr="004410B7">
        <w:rPr>
          <w:rFonts w:eastAsia="Times New Roman" w:cs="DaunPenh"/>
          <w:lang w:val="en-US"/>
        </w:rPr>
        <w:t xml:space="preserve"> or removed.</w:t>
      </w:r>
    </w:p>
    <w:p w14:paraId="29FB4FF6" w14:textId="77777777" w:rsidR="00C51AA9" w:rsidRPr="001D338F" w:rsidRDefault="00C51AA9" w:rsidP="00CA0DF7">
      <w:pPr>
        <w:pStyle w:val="Heading1"/>
        <w:rPr>
          <w:rFonts w:ascii="Arial" w:hAnsi="Arial" w:cs="Arial"/>
          <w:b w:val="0"/>
        </w:rPr>
      </w:pPr>
      <w:bookmarkStart w:id="50" w:name="_Toc97023788"/>
      <w:r w:rsidRPr="001D338F">
        <w:rPr>
          <w:rFonts w:ascii="Arial" w:hAnsi="Arial" w:cs="Arial"/>
          <w:b w:val="0"/>
        </w:rPr>
        <w:t>Unintended Consequences</w:t>
      </w:r>
      <w:bookmarkEnd w:id="50"/>
    </w:p>
    <w:p w14:paraId="29376184" w14:textId="74C6E4C1" w:rsidR="00C51AA9" w:rsidRPr="001D338F" w:rsidRDefault="00C51AA9" w:rsidP="00EA58B4">
      <w:pPr>
        <w:spacing w:before="240" w:line="360" w:lineRule="auto"/>
        <w:jc w:val="both"/>
        <w:rPr>
          <w:rFonts w:cs="Arial"/>
        </w:rPr>
      </w:pPr>
      <w:r w:rsidRPr="001D338F">
        <w:rPr>
          <w:rFonts w:cs="Arial"/>
        </w:rPr>
        <w:t xml:space="preserve">Any unintended consequences of regulatory options need to be considered by the </w:t>
      </w:r>
      <w:r w:rsidR="00B440AB" w:rsidRPr="001D338F">
        <w:rPr>
          <w:rFonts w:cs="Arial"/>
        </w:rPr>
        <w:t>Decision</w:t>
      </w:r>
      <w:r w:rsidR="002B6A24" w:rsidRPr="001D338F">
        <w:rPr>
          <w:rFonts w:cs="Arial"/>
        </w:rPr>
        <w:t xml:space="preserve"> </w:t>
      </w:r>
      <w:r w:rsidRPr="001D338F">
        <w:rPr>
          <w:rFonts w:cs="Arial"/>
        </w:rPr>
        <w:t xml:space="preserve">RIS. </w:t>
      </w:r>
    </w:p>
    <w:p w14:paraId="0C29FF45" w14:textId="2BB6CF5E" w:rsidR="000F2A03" w:rsidRPr="001D338F" w:rsidRDefault="000F2A03" w:rsidP="000F2A03">
      <w:pPr>
        <w:spacing w:after="160" w:line="360" w:lineRule="auto"/>
        <w:jc w:val="both"/>
        <w:rPr>
          <w:rFonts w:eastAsia="Times New Roman" w:cs="DaunPenh"/>
          <w:lang w:val="en-US"/>
        </w:rPr>
      </w:pPr>
      <w:r w:rsidRPr="001D338F">
        <w:rPr>
          <w:rFonts w:eastAsia="Times New Roman" w:cs="DaunPenh"/>
          <w:lang w:val="en-US"/>
        </w:rPr>
        <w:t>The proposed changes to the NCC under this option are based on an ABCB Handbook about Community Bushfire Refuges</w:t>
      </w:r>
      <w:r w:rsidR="009119A5" w:rsidRPr="001D338F">
        <w:rPr>
          <w:rFonts w:eastAsia="Times New Roman" w:cs="DaunPenh"/>
          <w:lang w:val="en-US"/>
        </w:rPr>
        <w:t xml:space="preserve"> and AS</w:t>
      </w:r>
      <w:r w:rsidR="004469A4">
        <w:rPr>
          <w:rFonts w:eastAsia="Times New Roman" w:cs="DaunPenh"/>
          <w:lang w:val="en-US"/>
        </w:rPr>
        <w:t xml:space="preserve"> </w:t>
      </w:r>
      <w:r w:rsidR="009119A5" w:rsidRPr="001D338F">
        <w:rPr>
          <w:rFonts w:eastAsia="Times New Roman" w:cs="DaunPenh"/>
          <w:lang w:val="en-US"/>
        </w:rPr>
        <w:t>3959</w:t>
      </w:r>
      <w:r w:rsidR="009D7D87" w:rsidRPr="001D338F">
        <w:rPr>
          <w:rFonts w:eastAsia="Times New Roman" w:cs="DaunPenh"/>
          <w:lang w:val="en-US"/>
        </w:rPr>
        <w:t xml:space="preserve"> </w:t>
      </w:r>
      <w:r w:rsidR="009D7D87" w:rsidRPr="00EA58B4">
        <w:rPr>
          <w:rFonts w:eastAsia="Times New Roman" w:cs="DaunPenh"/>
          <w:i/>
          <w:lang w:val="en-US"/>
        </w:rPr>
        <w:t>Construction of building in bushfire prone areas</w:t>
      </w:r>
      <w:r w:rsidRPr="001D338F">
        <w:rPr>
          <w:rFonts w:eastAsia="Times New Roman" w:cs="DaunPenh"/>
          <w:lang w:val="en-US"/>
        </w:rPr>
        <w:t>. The EFT Consult</w:t>
      </w:r>
      <w:r w:rsidR="004469A4">
        <w:rPr>
          <w:rFonts w:eastAsia="Times New Roman" w:cs="DaunPenh"/>
          <w:lang w:val="en-US"/>
        </w:rPr>
        <w:t>ing</w:t>
      </w:r>
      <w:r w:rsidRPr="001D338F">
        <w:rPr>
          <w:rFonts w:eastAsia="Times New Roman" w:cs="DaunPenh"/>
          <w:lang w:val="en-US"/>
        </w:rPr>
        <w:t xml:space="preserve"> report </w:t>
      </w:r>
      <w:r w:rsidR="002359D7">
        <w:rPr>
          <w:rFonts w:eastAsia="Times New Roman" w:cs="DaunPenh"/>
          <w:lang w:val="en-US"/>
        </w:rPr>
        <w:t>notes</w:t>
      </w:r>
      <w:r w:rsidRPr="001D338F">
        <w:rPr>
          <w:rFonts w:eastAsia="Times New Roman" w:cs="DaunPenh"/>
          <w:lang w:val="en-US"/>
        </w:rPr>
        <w:t xml:space="preserve"> that Class 9 buildings could also provide a refuge for people other than the building’s normal occupants. </w:t>
      </w:r>
    </w:p>
    <w:p w14:paraId="4232B5C9" w14:textId="77777777" w:rsidR="000F2A03" w:rsidRPr="001D338F" w:rsidRDefault="000F2A03" w:rsidP="000F2A03">
      <w:pPr>
        <w:spacing w:after="160" w:line="360" w:lineRule="auto"/>
        <w:jc w:val="both"/>
        <w:rPr>
          <w:rFonts w:eastAsia="Times New Roman" w:cs="DaunPenh"/>
          <w:lang w:val="en-US"/>
        </w:rPr>
      </w:pPr>
      <w:r w:rsidRPr="001D338F">
        <w:rPr>
          <w:rFonts w:eastAsia="Times New Roman" w:cs="DaunPenh"/>
          <w:lang w:val="en-US"/>
        </w:rPr>
        <w:t>Logically, it can be argued that if the occupants of a building are unable to evacuate the building during a bushfire, then that building would need to act as a refuge. However, it was not within the scope of the project to suggest a role beyond providing refuge for people other than the normal occupants of the building.</w:t>
      </w:r>
    </w:p>
    <w:p w14:paraId="2E74B0F2" w14:textId="3DA57FB0" w:rsidR="000F2A03" w:rsidRPr="001D338F" w:rsidRDefault="000F2A03" w:rsidP="000F2A03">
      <w:pPr>
        <w:spacing w:after="160" w:line="360" w:lineRule="auto"/>
        <w:jc w:val="both"/>
        <w:rPr>
          <w:rFonts w:eastAsia="Times New Roman" w:cs="DaunPenh"/>
          <w:lang w:val="en-US"/>
        </w:rPr>
      </w:pPr>
      <w:r w:rsidRPr="001D338F">
        <w:rPr>
          <w:rFonts w:eastAsia="Times New Roman" w:cs="DaunPenh"/>
          <w:lang w:val="en-US"/>
        </w:rPr>
        <w:t xml:space="preserve">Concerns were also raised by Victoria that, unless the proposed changes recommended by the report provide assurance that the building can act as a refuge during a bushfire event, the term ‘refuge’ should not be used. The basis of those concerns is the </w:t>
      </w:r>
      <w:r w:rsidR="004469A4">
        <w:rPr>
          <w:rFonts w:eastAsia="Times New Roman" w:cs="DaunPenh"/>
          <w:lang w:val="en-US"/>
        </w:rPr>
        <w:t>concern</w:t>
      </w:r>
      <w:r w:rsidR="004469A4" w:rsidRPr="001D338F">
        <w:rPr>
          <w:rFonts w:eastAsia="Times New Roman" w:cs="DaunPenh"/>
          <w:lang w:val="en-US"/>
        </w:rPr>
        <w:t xml:space="preserve"> </w:t>
      </w:r>
      <w:r w:rsidRPr="001D338F">
        <w:rPr>
          <w:rFonts w:eastAsia="Times New Roman" w:cs="DaunPenh"/>
          <w:lang w:val="en-US"/>
        </w:rPr>
        <w:t xml:space="preserve">that calling the building a ‘refuge’ is likely to provide a false sense of security about the building’s ability to withstand a bushfire. For example, it could influence a decision by occupants to stay rather than leave early (assuming this is possible), which could result in loss of life. </w:t>
      </w:r>
    </w:p>
    <w:p w14:paraId="0D42B514" w14:textId="20C51947" w:rsidR="000F2A03" w:rsidRPr="009536EF" w:rsidRDefault="004469A4" w:rsidP="009536EF">
      <w:pPr>
        <w:spacing w:after="0" w:line="360" w:lineRule="auto"/>
        <w:jc w:val="both"/>
        <w:rPr>
          <w:rFonts w:ascii="Times New Roman" w:eastAsia="Times New Roman" w:hAnsi="Times New Roman" w:cs="Times New Roman"/>
          <w:sz w:val="24"/>
          <w:szCs w:val="20"/>
          <w:lang w:eastAsia="en-AU"/>
        </w:rPr>
      </w:pPr>
      <w:r>
        <w:rPr>
          <w:rFonts w:eastAsia="Times New Roman" w:cs="DaunPenh"/>
          <w:lang w:val="en-US"/>
        </w:rPr>
        <w:t>Justifying</w:t>
      </w:r>
      <w:r w:rsidR="000F2A03" w:rsidRPr="001D338F">
        <w:rPr>
          <w:rFonts w:eastAsia="Times New Roman" w:cs="DaunPenh"/>
          <w:lang w:val="en-US"/>
        </w:rPr>
        <w:t xml:space="preserve"> this concern is the uncertainty that even if a Class 9 building was constructed to comply with the requirements proposed by the report, this would still not necessarily guarantee the safety of the occupants.</w:t>
      </w:r>
    </w:p>
    <w:p w14:paraId="3CD028F5" w14:textId="6FE3B152" w:rsidR="00C51AA9" w:rsidRPr="00606555" w:rsidRDefault="00C51AA9" w:rsidP="00CA0DF7">
      <w:pPr>
        <w:pStyle w:val="Heading2"/>
      </w:pPr>
      <w:bookmarkStart w:id="51" w:name="_Toc456699922"/>
      <w:bookmarkStart w:id="52" w:name="_Toc471734639"/>
      <w:bookmarkStart w:id="53" w:name="_Toc483834469"/>
      <w:bookmarkStart w:id="54" w:name="_Toc491078347"/>
      <w:bookmarkStart w:id="55" w:name="_Toc507170737"/>
      <w:bookmarkStart w:id="56" w:name="_Toc71195753"/>
      <w:bookmarkStart w:id="57" w:name="_Toc97023789"/>
      <w:r w:rsidRPr="00606555">
        <w:t>Business compliance costs</w:t>
      </w:r>
      <w:bookmarkEnd w:id="51"/>
      <w:bookmarkEnd w:id="52"/>
      <w:bookmarkEnd w:id="53"/>
      <w:bookmarkEnd w:id="54"/>
      <w:bookmarkEnd w:id="55"/>
      <w:bookmarkEnd w:id="56"/>
      <w:bookmarkEnd w:id="57"/>
    </w:p>
    <w:p w14:paraId="18C01BB1" w14:textId="77777777" w:rsidR="00C51AA9" w:rsidRPr="00EA58B4" w:rsidRDefault="00C51AA9" w:rsidP="004E234A">
      <w:pPr>
        <w:spacing w:after="120" w:line="360" w:lineRule="auto"/>
        <w:jc w:val="both"/>
        <w:rPr>
          <w:rFonts w:cs="Arial"/>
        </w:rPr>
      </w:pPr>
      <w:r w:rsidRPr="00EA58B4">
        <w:rPr>
          <w:rFonts w:cs="Arial"/>
        </w:rPr>
        <w:t>Business compliance costs are assessed under the following checklist:</w:t>
      </w:r>
    </w:p>
    <w:p w14:paraId="1CF3233B" w14:textId="77777777" w:rsidR="00C51AA9" w:rsidRPr="00EA58B4" w:rsidRDefault="00C51AA9" w:rsidP="004C4CF8">
      <w:pPr>
        <w:numPr>
          <w:ilvl w:val="0"/>
          <w:numId w:val="6"/>
        </w:numPr>
        <w:spacing w:line="360" w:lineRule="auto"/>
        <w:contextualSpacing/>
        <w:jc w:val="both"/>
        <w:rPr>
          <w:rFonts w:cs="Arial"/>
        </w:rPr>
      </w:pPr>
      <w:r w:rsidRPr="00EA58B4">
        <w:rPr>
          <w:rFonts w:cs="Arial"/>
        </w:rPr>
        <w:t>Notification – businesses will not be required to report certain events.</w:t>
      </w:r>
    </w:p>
    <w:p w14:paraId="369B3E50" w14:textId="77777777" w:rsidR="00C51AA9" w:rsidRPr="00EA58B4" w:rsidRDefault="00C51AA9" w:rsidP="004C4CF8">
      <w:pPr>
        <w:numPr>
          <w:ilvl w:val="0"/>
          <w:numId w:val="6"/>
        </w:numPr>
        <w:spacing w:line="360" w:lineRule="auto"/>
        <w:contextualSpacing/>
        <w:jc w:val="both"/>
        <w:rPr>
          <w:rFonts w:cs="Arial"/>
        </w:rPr>
      </w:pPr>
      <w:r w:rsidRPr="00EA58B4">
        <w:rPr>
          <w:rFonts w:cs="Arial"/>
        </w:rPr>
        <w:t>Education – businesses will be required to keep abreast of regulatory requirements.</w:t>
      </w:r>
    </w:p>
    <w:p w14:paraId="7CB25F85" w14:textId="097CAB1F" w:rsidR="00C51AA9" w:rsidRPr="00EA58B4" w:rsidRDefault="00C51AA9" w:rsidP="004C4CF8">
      <w:pPr>
        <w:numPr>
          <w:ilvl w:val="0"/>
          <w:numId w:val="6"/>
        </w:numPr>
        <w:spacing w:line="360" w:lineRule="auto"/>
        <w:contextualSpacing/>
        <w:jc w:val="both"/>
        <w:rPr>
          <w:rFonts w:cs="Arial"/>
        </w:rPr>
      </w:pPr>
      <w:r w:rsidRPr="00EA58B4">
        <w:rPr>
          <w:rFonts w:cs="Arial"/>
        </w:rPr>
        <w:t xml:space="preserve">Permission – businesses will not need to seek </w:t>
      </w:r>
      <w:r w:rsidR="004469A4" w:rsidRPr="00EA58B4">
        <w:rPr>
          <w:rFonts w:cs="Arial"/>
        </w:rPr>
        <w:t xml:space="preserve">new </w:t>
      </w:r>
      <w:r w:rsidRPr="00EA58B4">
        <w:rPr>
          <w:rFonts w:cs="Arial"/>
        </w:rPr>
        <w:t>permission to conduct an activity.</w:t>
      </w:r>
    </w:p>
    <w:p w14:paraId="62077710" w14:textId="52D8F4E3" w:rsidR="00C51AA9" w:rsidRPr="00EA58B4" w:rsidRDefault="00C51AA9" w:rsidP="004C4CF8">
      <w:pPr>
        <w:numPr>
          <w:ilvl w:val="0"/>
          <w:numId w:val="6"/>
        </w:numPr>
        <w:spacing w:line="360" w:lineRule="auto"/>
        <w:contextualSpacing/>
        <w:jc w:val="both"/>
        <w:rPr>
          <w:rFonts w:cs="Arial"/>
        </w:rPr>
      </w:pPr>
      <w:r w:rsidRPr="00EA58B4">
        <w:rPr>
          <w:rFonts w:cs="Arial"/>
        </w:rPr>
        <w:t xml:space="preserve">Purchase cost – businesses </w:t>
      </w:r>
      <w:r w:rsidR="009536EF" w:rsidRPr="00EA58B4">
        <w:rPr>
          <w:rFonts w:cs="Arial"/>
        </w:rPr>
        <w:t xml:space="preserve">will </w:t>
      </w:r>
      <w:r w:rsidRPr="00EA58B4">
        <w:rPr>
          <w:rFonts w:cs="Arial"/>
        </w:rPr>
        <w:t>be required to purchase items</w:t>
      </w:r>
      <w:r w:rsidR="009536EF" w:rsidRPr="00EA58B4">
        <w:rPr>
          <w:rFonts w:cs="Arial"/>
        </w:rPr>
        <w:t>, namely additional bushfire protection features</w:t>
      </w:r>
      <w:r w:rsidRPr="00EA58B4">
        <w:rPr>
          <w:rFonts w:cs="Arial"/>
        </w:rPr>
        <w:t xml:space="preserve">. This impact is </w:t>
      </w:r>
      <w:r w:rsidR="004469A4" w:rsidRPr="00EA58B4">
        <w:rPr>
          <w:rFonts w:cs="Arial"/>
        </w:rPr>
        <w:t>covered under</w:t>
      </w:r>
      <w:r w:rsidRPr="00EA58B4">
        <w:rPr>
          <w:rFonts w:cs="Arial"/>
        </w:rPr>
        <w:t xml:space="preserve"> the impacts of Option 2. </w:t>
      </w:r>
    </w:p>
    <w:p w14:paraId="536F837E" w14:textId="77777777" w:rsidR="00C51AA9" w:rsidRPr="00EA58B4" w:rsidRDefault="00C51AA9" w:rsidP="004C4CF8">
      <w:pPr>
        <w:numPr>
          <w:ilvl w:val="0"/>
          <w:numId w:val="6"/>
        </w:numPr>
        <w:spacing w:line="360" w:lineRule="auto"/>
        <w:contextualSpacing/>
        <w:jc w:val="both"/>
        <w:rPr>
          <w:rFonts w:cs="Arial"/>
        </w:rPr>
      </w:pPr>
      <w:r w:rsidRPr="00EA58B4">
        <w:rPr>
          <w:rFonts w:cs="Arial"/>
        </w:rPr>
        <w:t>Record keeping – businesses will not be required to update their records.</w:t>
      </w:r>
    </w:p>
    <w:p w14:paraId="78145B14" w14:textId="77777777" w:rsidR="00C51AA9" w:rsidRPr="00EA58B4" w:rsidRDefault="00C51AA9" w:rsidP="004C4CF8">
      <w:pPr>
        <w:numPr>
          <w:ilvl w:val="0"/>
          <w:numId w:val="6"/>
        </w:numPr>
        <w:spacing w:line="360" w:lineRule="auto"/>
        <w:contextualSpacing/>
        <w:jc w:val="both"/>
        <w:rPr>
          <w:rFonts w:cs="Arial"/>
        </w:rPr>
      </w:pPr>
      <w:r w:rsidRPr="00EA58B4">
        <w:rPr>
          <w:rFonts w:cs="Arial"/>
        </w:rPr>
        <w:t>Enforcement – businesses will not incur additional costs when cooperating with audits or inspections.</w:t>
      </w:r>
    </w:p>
    <w:p w14:paraId="3FF6F418" w14:textId="77777777" w:rsidR="00C51AA9" w:rsidRPr="00EA58B4" w:rsidRDefault="00C51AA9" w:rsidP="004C4CF8">
      <w:pPr>
        <w:numPr>
          <w:ilvl w:val="0"/>
          <w:numId w:val="6"/>
        </w:numPr>
        <w:spacing w:line="360" w:lineRule="auto"/>
        <w:contextualSpacing/>
        <w:jc w:val="both"/>
        <w:rPr>
          <w:rFonts w:cs="Arial"/>
        </w:rPr>
      </w:pPr>
      <w:r w:rsidRPr="00EA58B4">
        <w:rPr>
          <w:rFonts w:cs="Arial"/>
        </w:rPr>
        <w:t>Publication and documentation – businesses will not incur costs of producing documents for third parties.</w:t>
      </w:r>
    </w:p>
    <w:p w14:paraId="7FFF10DC" w14:textId="77777777" w:rsidR="00C51AA9" w:rsidRPr="00EA58B4" w:rsidRDefault="00C51AA9" w:rsidP="004C4CF8">
      <w:pPr>
        <w:numPr>
          <w:ilvl w:val="0"/>
          <w:numId w:val="6"/>
        </w:numPr>
        <w:spacing w:line="360" w:lineRule="auto"/>
        <w:contextualSpacing/>
        <w:jc w:val="both"/>
        <w:rPr>
          <w:rFonts w:cs="Arial"/>
        </w:rPr>
      </w:pPr>
      <w:r w:rsidRPr="00EA58B4">
        <w:rPr>
          <w:rFonts w:cs="Arial"/>
        </w:rPr>
        <w:t>Procedural – businesses will not incur cost of a non-administrative nature.</w:t>
      </w:r>
    </w:p>
    <w:p w14:paraId="7736C772" w14:textId="77777777" w:rsidR="00C51AA9" w:rsidRPr="00EA58B4" w:rsidRDefault="00C51AA9" w:rsidP="004C4CF8">
      <w:pPr>
        <w:numPr>
          <w:ilvl w:val="0"/>
          <w:numId w:val="6"/>
        </w:numPr>
        <w:spacing w:after="0" w:line="360" w:lineRule="auto"/>
        <w:ind w:left="714" w:hanging="357"/>
        <w:contextualSpacing/>
        <w:jc w:val="both"/>
        <w:rPr>
          <w:rFonts w:cs="Arial"/>
        </w:rPr>
      </w:pPr>
      <w:r w:rsidRPr="00EA58B4">
        <w:rPr>
          <w:rFonts w:cs="Arial"/>
        </w:rPr>
        <w:t>Other – businesses will not incur any other costs other than those identified by the analysis.</w:t>
      </w:r>
      <w:bookmarkStart w:id="58" w:name="_Toc471734640"/>
      <w:bookmarkStart w:id="59" w:name="_Toc483834470"/>
      <w:bookmarkStart w:id="60" w:name="_Toc491078348"/>
      <w:bookmarkStart w:id="61" w:name="_Toc507170738"/>
    </w:p>
    <w:p w14:paraId="0B8E669D" w14:textId="77777777" w:rsidR="00D10CF8" w:rsidRPr="00BA7D1F" w:rsidRDefault="00D10CF8">
      <w:pPr>
        <w:rPr>
          <w:rFonts w:eastAsiaTheme="majorEastAsia" w:cs="Arial"/>
          <w:color w:val="002060"/>
        </w:rPr>
      </w:pPr>
      <w:r w:rsidRPr="00BA7D1F">
        <w:rPr>
          <w:rFonts w:cs="Arial"/>
          <w:b/>
          <w:bCs/>
        </w:rPr>
        <w:br w:type="page"/>
      </w:r>
    </w:p>
    <w:p w14:paraId="710354CC" w14:textId="407A3031" w:rsidR="00C51AA9" w:rsidRPr="000B675B" w:rsidRDefault="006841EF" w:rsidP="008C63A9">
      <w:pPr>
        <w:pStyle w:val="Heading1"/>
        <w:spacing w:before="240"/>
        <w:rPr>
          <w:rFonts w:ascii="Arial" w:hAnsi="Arial" w:cs="Arial"/>
          <w:b w:val="0"/>
          <w:bCs w:val="0"/>
        </w:rPr>
      </w:pPr>
      <w:bookmarkStart w:id="62" w:name="_Toc71195754"/>
      <w:bookmarkStart w:id="63" w:name="_Toc97023790"/>
      <w:r>
        <w:rPr>
          <w:rFonts w:ascii="Arial" w:hAnsi="Arial" w:cs="Arial"/>
          <w:b w:val="0"/>
          <w:bCs w:val="0"/>
        </w:rPr>
        <w:t>Regulatory B</w:t>
      </w:r>
      <w:r w:rsidR="00C51AA9" w:rsidRPr="000B675B">
        <w:rPr>
          <w:rFonts w:ascii="Arial" w:hAnsi="Arial" w:cs="Arial"/>
          <w:b w:val="0"/>
          <w:bCs w:val="0"/>
        </w:rPr>
        <w:t>urden</w:t>
      </w:r>
      <w:bookmarkEnd w:id="58"/>
      <w:bookmarkEnd w:id="59"/>
      <w:bookmarkEnd w:id="60"/>
      <w:bookmarkEnd w:id="61"/>
      <w:bookmarkEnd w:id="62"/>
      <w:bookmarkEnd w:id="63"/>
    </w:p>
    <w:p w14:paraId="27D9060E" w14:textId="77777777" w:rsidR="00C51AA9" w:rsidRPr="00EA58B4" w:rsidRDefault="00C51AA9" w:rsidP="00CE2317">
      <w:pPr>
        <w:spacing w:before="240" w:after="120" w:line="360" w:lineRule="auto"/>
        <w:jc w:val="both"/>
        <w:rPr>
          <w:rFonts w:cs="Arial"/>
        </w:rPr>
      </w:pPr>
      <w:r w:rsidRPr="00EA58B4">
        <w:rPr>
          <w:rFonts w:cs="Arial"/>
        </w:rPr>
        <w:t>The Australian Government has introduced the ‘Guide to Regulation’, which discusses the importance of cutting red tape.</w:t>
      </w:r>
    </w:p>
    <w:p w14:paraId="4BCA08F3" w14:textId="77777777" w:rsidR="00C51AA9" w:rsidRPr="00EA58B4" w:rsidRDefault="00C51AA9" w:rsidP="00606555">
      <w:pPr>
        <w:spacing w:after="120" w:line="360" w:lineRule="auto"/>
        <w:jc w:val="both"/>
        <w:rPr>
          <w:rFonts w:cs="Arial"/>
        </w:rPr>
      </w:pPr>
      <w:r w:rsidRPr="00EA58B4">
        <w:rPr>
          <w:rFonts w:cs="Arial"/>
        </w:rPr>
        <w:t>A key principle for Australian Government policy makers in the Guide to Regulation is that:</w:t>
      </w:r>
    </w:p>
    <w:p w14:paraId="20C61F28" w14:textId="77777777" w:rsidR="00C51AA9" w:rsidRPr="00EA58B4" w:rsidRDefault="00C51AA9" w:rsidP="00606555">
      <w:pPr>
        <w:spacing w:after="120" w:line="360" w:lineRule="auto"/>
        <w:jc w:val="both"/>
        <w:rPr>
          <w:rFonts w:cs="Arial"/>
          <w:i/>
        </w:rPr>
      </w:pPr>
      <w:r w:rsidRPr="00EA58B4">
        <w:rPr>
          <w:rFonts w:cs="Arial"/>
          <w:i/>
        </w:rPr>
        <w:t>The cost burden of new regulation must be fully offset by reductions in existing regulatory burden.</w:t>
      </w:r>
    </w:p>
    <w:p w14:paraId="6BA602F1" w14:textId="20392B31" w:rsidR="00C51AA9" w:rsidRPr="00EA58B4" w:rsidRDefault="00C51AA9" w:rsidP="00606555">
      <w:pPr>
        <w:spacing w:after="120" w:line="360" w:lineRule="auto"/>
        <w:jc w:val="both"/>
        <w:rPr>
          <w:rFonts w:cs="Arial"/>
        </w:rPr>
      </w:pPr>
      <w:r w:rsidRPr="00EA58B4">
        <w:rPr>
          <w:rFonts w:cs="Arial"/>
        </w:rPr>
        <w:t xml:space="preserve">All regulatory costs, whether arising from new regulations or changes to existing regulation, must be quantified using the Regulatory Burden Measurement </w:t>
      </w:r>
      <w:r w:rsidR="004119BC">
        <w:rPr>
          <w:rFonts w:cs="Arial"/>
        </w:rPr>
        <w:t xml:space="preserve">(RBM) </w:t>
      </w:r>
      <w:r w:rsidRPr="00EA58B4">
        <w:rPr>
          <w:rFonts w:cs="Arial"/>
        </w:rPr>
        <w:t>framework. The framework must also be used for quantifying offsetting regulatory savings, where applicable.</w:t>
      </w:r>
    </w:p>
    <w:p w14:paraId="5ACBC758" w14:textId="62C14F11" w:rsidR="00643E2F" w:rsidRPr="00EA58B4" w:rsidRDefault="00C51AA9" w:rsidP="00606555">
      <w:pPr>
        <w:spacing w:after="120" w:line="360" w:lineRule="auto"/>
        <w:jc w:val="both"/>
        <w:rPr>
          <w:rFonts w:cs="Arial"/>
        </w:rPr>
      </w:pPr>
      <w:r w:rsidRPr="00EA58B4">
        <w:rPr>
          <w:rFonts w:cs="Arial"/>
        </w:rPr>
        <w:t>As measured in accordance with the framework, the regulatory offset required to implement Option 2 would be a total of $</w:t>
      </w:r>
      <w:r w:rsidR="00DD0FC6" w:rsidRPr="00EA58B4">
        <w:rPr>
          <w:rFonts w:cs="Arial"/>
        </w:rPr>
        <w:t xml:space="preserve">26.4 </w:t>
      </w:r>
      <w:r w:rsidRPr="00EA58B4">
        <w:rPr>
          <w:rFonts w:cs="Arial"/>
        </w:rPr>
        <w:t>million annually. The Commonwealth’s share of this is $2</w:t>
      </w:r>
      <w:r w:rsidR="00DD0FC6" w:rsidRPr="00EA58B4">
        <w:rPr>
          <w:rFonts w:cs="Arial"/>
        </w:rPr>
        <w:t>.9</w:t>
      </w:r>
      <w:r w:rsidRPr="00EA58B4">
        <w:rPr>
          <w:rFonts w:cs="Arial"/>
        </w:rPr>
        <w:t xml:space="preserve"> million annually.</w:t>
      </w:r>
      <w:r w:rsidRPr="00EA58B4">
        <w:rPr>
          <w:rStyle w:val="FootnoteReference"/>
          <w:rFonts w:cs="Arial"/>
        </w:rPr>
        <w:footnoteReference w:id="23"/>
      </w:r>
      <w:r w:rsidRPr="00EA58B4">
        <w:rPr>
          <w:rFonts w:cs="Arial"/>
        </w:rPr>
        <w:t xml:space="preserve"> </w:t>
      </w:r>
    </w:p>
    <w:p w14:paraId="56AB551B" w14:textId="3C8B52EF" w:rsidR="00EF198E" w:rsidRPr="00FA6E24" w:rsidRDefault="00643E2F" w:rsidP="00017489">
      <w:pPr>
        <w:spacing w:after="0" w:line="360" w:lineRule="auto"/>
        <w:jc w:val="both"/>
        <w:rPr>
          <w:rFonts w:cs="Arial"/>
        </w:rPr>
      </w:pPr>
      <w:r w:rsidRPr="00EA58B4">
        <w:rPr>
          <w:rFonts w:cs="Arial"/>
        </w:rPr>
        <w:t xml:space="preserve">Governments of the </w:t>
      </w:r>
      <w:r w:rsidR="004469A4">
        <w:rPr>
          <w:rFonts w:cs="Arial"/>
        </w:rPr>
        <w:t>S</w:t>
      </w:r>
      <w:r w:rsidRPr="00EA58B4">
        <w:rPr>
          <w:rFonts w:cs="Arial"/>
        </w:rPr>
        <w:t xml:space="preserve">tates and </w:t>
      </w:r>
      <w:r w:rsidR="004469A4">
        <w:rPr>
          <w:rFonts w:cs="Arial"/>
        </w:rPr>
        <w:t>T</w:t>
      </w:r>
      <w:r w:rsidRPr="00EA58B4">
        <w:rPr>
          <w:rFonts w:cs="Arial"/>
        </w:rPr>
        <w:t xml:space="preserve">erritories are not required under </w:t>
      </w:r>
      <w:r w:rsidR="004469A4">
        <w:rPr>
          <w:rFonts w:cs="Arial"/>
        </w:rPr>
        <w:t>the</w:t>
      </w:r>
      <w:r w:rsidR="004469A4" w:rsidRPr="00EA58B4">
        <w:rPr>
          <w:rFonts w:cs="Arial"/>
        </w:rPr>
        <w:t xml:space="preserve"> </w:t>
      </w:r>
      <w:r w:rsidRPr="00EA58B4">
        <w:rPr>
          <w:rFonts w:cs="Arial"/>
        </w:rPr>
        <w:t>policy to identify regulatory offsets.</w:t>
      </w:r>
      <w:r w:rsidR="00871C19" w:rsidRPr="00EA58B4">
        <w:rPr>
          <w:rFonts w:cs="Arial"/>
        </w:rPr>
        <w:t xml:space="preserve"> </w:t>
      </w:r>
      <w:r w:rsidRPr="00EA58B4">
        <w:rPr>
          <w:rFonts w:cs="Arial"/>
        </w:rPr>
        <w:t>Some jurisdictions may have their own mechanisms regarding regulatory offsets, which would be a matter for those jurisdictions to consider.</w:t>
      </w:r>
    </w:p>
    <w:p w14:paraId="05ECDA5C" w14:textId="77777777" w:rsidR="00017489" w:rsidRDefault="00017489">
      <w:pPr>
        <w:rPr>
          <w:rFonts w:eastAsiaTheme="majorEastAsia" w:cs="Arial"/>
          <w:color w:val="002060"/>
          <w:sz w:val="40"/>
          <w:szCs w:val="28"/>
        </w:rPr>
      </w:pPr>
      <w:r>
        <w:rPr>
          <w:rFonts w:cs="Arial"/>
          <w:b/>
          <w:bCs/>
        </w:rPr>
        <w:br w:type="page"/>
      </w:r>
    </w:p>
    <w:p w14:paraId="6A819DF6" w14:textId="77777777" w:rsidR="00250D14" w:rsidRPr="00EF198E" w:rsidRDefault="00856CBA" w:rsidP="008C63A9">
      <w:pPr>
        <w:pStyle w:val="Heading1"/>
        <w:rPr>
          <w:rFonts w:ascii="Arial" w:hAnsi="Arial" w:cs="Arial"/>
        </w:rPr>
      </w:pPr>
      <w:bookmarkStart w:id="64" w:name="_Toc71195755"/>
      <w:bookmarkStart w:id="65" w:name="_Toc97023791"/>
      <w:r w:rsidRPr="000B675B">
        <w:rPr>
          <w:rFonts w:ascii="Arial" w:hAnsi="Arial" w:cs="Arial"/>
          <w:b w:val="0"/>
          <w:bCs w:val="0"/>
        </w:rPr>
        <w:t>Consultation</w:t>
      </w:r>
      <w:bookmarkEnd w:id="64"/>
      <w:bookmarkEnd w:id="65"/>
      <w:r w:rsidRPr="000F113D">
        <w:rPr>
          <w:rFonts w:ascii="Arial" w:hAnsi="Arial" w:cs="Arial"/>
        </w:rPr>
        <w:t xml:space="preserve"> </w:t>
      </w:r>
    </w:p>
    <w:p w14:paraId="0995DC75" w14:textId="77777777" w:rsidR="00AC2964" w:rsidRPr="00DD0FC6" w:rsidRDefault="00643E2F" w:rsidP="00CE2317">
      <w:pPr>
        <w:spacing w:before="240" w:after="240" w:line="360" w:lineRule="auto"/>
        <w:jc w:val="both"/>
        <w:rPr>
          <w:rFonts w:cs="Arial"/>
        </w:rPr>
      </w:pPr>
      <w:r w:rsidRPr="00DD0FC6">
        <w:rPr>
          <w:rFonts w:cs="Arial"/>
        </w:rPr>
        <w:t>Consultation is the cornerstone of the ABCB’s commitment to create a contemporary and relevant N</w:t>
      </w:r>
      <w:r w:rsidR="00B95724" w:rsidRPr="00DD0FC6">
        <w:rPr>
          <w:rFonts w:cs="Arial"/>
        </w:rPr>
        <w:t>CC</w:t>
      </w:r>
      <w:r w:rsidRPr="00DD0FC6">
        <w:rPr>
          <w:rFonts w:cs="Arial"/>
        </w:rPr>
        <w:t xml:space="preserve"> that delivers good societal outcomes for health, safety, amenity and sustainability in the built environment. This must be achieved in the context of good regulatory practice that evaluates the costs and benefits to society, as per the objective of the ABCB’s Intergovernmental Agreement. The ABCB recognises the value of engaging constructively with the community and industry in order to achieve this.</w:t>
      </w:r>
    </w:p>
    <w:p w14:paraId="5B7BE724" w14:textId="45D2A864" w:rsidR="000F2A03" w:rsidRPr="00DD0FC6" w:rsidRDefault="000F2A03" w:rsidP="000F2A03">
      <w:pPr>
        <w:spacing w:after="120" w:line="360" w:lineRule="auto"/>
        <w:jc w:val="both"/>
        <w:rPr>
          <w:rFonts w:cs="Arial"/>
        </w:rPr>
      </w:pPr>
      <w:r w:rsidRPr="00DD0FC6">
        <w:rPr>
          <w:rFonts w:cs="Arial"/>
        </w:rPr>
        <w:t xml:space="preserve">This proposal has been considered </w:t>
      </w:r>
      <w:r w:rsidR="00DD0FC6">
        <w:rPr>
          <w:rFonts w:cs="Arial"/>
        </w:rPr>
        <w:t>several times</w:t>
      </w:r>
      <w:r w:rsidRPr="00DD0FC6">
        <w:rPr>
          <w:rFonts w:cs="Arial"/>
        </w:rPr>
        <w:t xml:space="preserve"> by the ABCB</w:t>
      </w:r>
      <w:r w:rsidR="00DD0FC6">
        <w:rPr>
          <w:rFonts w:cs="Arial"/>
        </w:rPr>
        <w:t>’s</w:t>
      </w:r>
      <w:r w:rsidRPr="00DD0FC6">
        <w:rPr>
          <w:rFonts w:cs="Arial"/>
        </w:rPr>
        <w:t xml:space="preserve"> Building Codes Committee and the Board</w:t>
      </w:r>
      <w:r w:rsidR="00DD0FC6">
        <w:rPr>
          <w:rFonts w:cs="Arial"/>
        </w:rPr>
        <w:t xml:space="preserve"> and on</w:t>
      </w:r>
      <w:r w:rsidRPr="00DD0FC6">
        <w:rPr>
          <w:rFonts w:cs="Arial"/>
        </w:rPr>
        <w:t xml:space="preserve"> each occasion there has been</w:t>
      </w:r>
      <w:r w:rsidR="00DD0FC6">
        <w:rPr>
          <w:rFonts w:cs="Arial"/>
        </w:rPr>
        <w:t xml:space="preserve"> meaningful</w:t>
      </w:r>
      <w:r w:rsidRPr="00DD0FC6">
        <w:rPr>
          <w:rFonts w:cs="Arial"/>
        </w:rPr>
        <w:t xml:space="preserve"> consultation with </w:t>
      </w:r>
      <w:r w:rsidR="00DD0FC6">
        <w:rPr>
          <w:rFonts w:cs="Arial"/>
        </w:rPr>
        <w:t xml:space="preserve">key </w:t>
      </w:r>
      <w:r w:rsidRPr="00DD0FC6">
        <w:rPr>
          <w:rFonts w:cs="Arial"/>
        </w:rPr>
        <w:t xml:space="preserve">stakeholders. </w:t>
      </w:r>
      <w:r w:rsidR="00DD0FC6">
        <w:rPr>
          <w:rFonts w:cs="Arial"/>
        </w:rPr>
        <w:t xml:space="preserve">Each iteration of consultation has </w:t>
      </w:r>
      <w:r w:rsidR="00F7082A">
        <w:rPr>
          <w:rFonts w:cs="Arial"/>
        </w:rPr>
        <w:t>revealed the</w:t>
      </w:r>
      <w:r w:rsidR="00DD0FC6">
        <w:rPr>
          <w:rFonts w:cs="Arial"/>
        </w:rPr>
        <w:t xml:space="preserve"> </w:t>
      </w:r>
      <w:r w:rsidRPr="00DD0FC6">
        <w:rPr>
          <w:rFonts w:cs="Arial"/>
        </w:rPr>
        <w:t>difficulty in obtaining sufficient evidence to justify a regulatory change to the NCC, as well as documenting the benefits that would be accrued from introducing new regulations into the NCC.</w:t>
      </w:r>
    </w:p>
    <w:p w14:paraId="3B5F36CE" w14:textId="70D8C25C" w:rsidR="000F2A03" w:rsidRPr="00DD0FC6" w:rsidRDefault="000F2A03" w:rsidP="000F2A03">
      <w:pPr>
        <w:spacing w:after="120" w:line="360" w:lineRule="auto"/>
        <w:jc w:val="both"/>
        <w:rPr>
          <w:rFonts w:cs="Arial"/>
        </w:rPr>
      </w:pPr>
      <w:r w:rsidRPr="00DD0FC6">
        <w:rPr>
          <w:rFonts w:cs="Arial"/>
        </w:rPr>
        <w:t xml:space="preserve">Below is a summary of some of the consultation undertaken, and the outcomes of this consultation. </w:t>
      </w:r>
    </w:p>
    <w:p w14:paraId="7CD927AF" w14:textId="77777777" w:rsidR="000F2A03" w:rsidRPr="000F2A03" w:rsidRDefault="000F2A03" w:rsidP="00CA0DF7">
      <w:pPr>
        <w:pStyle w:val="Heading2"/>
      </w:pPr>
      <w:bookmarkStart w:id="66" w:name="_Toc97023792"/>
      <w:r w:rsidRPr="000F2A03">
        <w:t>COAG Planning Officials Group – 2010</w:t>
      </w:r>
      <w:bookmarkEnd w:id="66"/>
      <w:r w:rsidRPr="000F2A03">
        <w:t xml:space="preserve"> </w:t>
      </w:r>
    </w:p>
    <w:p w14:paraId="31D44E99" w14:textId="6FB5C3D9" w:rsidR="000F2A03" w:rsidRPr="000F2A03" w:rsidRDefault="000F2A03" w:rsidP="000F2A03">
      <w:pPr>
        <w:spacing w:after="120" w:line="360" w:lineRule="auto"/>
        <w:jc w:val="both"/>
        <w:rPr>
          <w:rFonts w:cs="Arial"/>
        </w:rPr>
      </w:pPr>
      <w:r w:rsidRPr="000F2A03">
        <w:rPr>
          <w:rFonts w:cs="Arial"/>
        </w:rPr>
        <w:t xml:space="preserve">In 2010, the ABCB reviewed all relevant state/territory planning policies, in consultation with the then COAG Planning Officials Group (POG). Feedback was inconclusive that there was a major issue with Class 9 buildings being approved in potential bushfire prone areas. </w:t>
      </w:r>
    </w:p>
    <w:p w14:paraId="38D81E52" w14:textId="1DE43F3C" w:rsidR="000F2A03" w:rsidRDefault="000F2A03" w:rsidP="000F2A03">
      <w:pPr>
        <w:spacing w:after="120" w:line="360" w:lineRule="auto"/>
        <w:jc w:val="both"/>
        <w:rPr>
          <w:rFonts w:cs="Arial"/>
        </w:rPr>
      </w:pPr>
      <w:r w:rsidRPr="000F2A03">
        <w:rPr>
          <w:rFonts w:cs="Arial"/>
        </w:rPr>
        <w:t xml:space="preserve">In 2011 the ABCB requested further information from jurisdictions regarding the risk to safety of </w:t>
      </w:r>
      <w:r w:rsidR="00F7082A">
        <w:rPr>
          <w:rFonts w:cs="Arial"/>
        </w:rPr>
        <w:t>C</w:t>
      </w:r>
      <w:r w:rsidRPr="000F2A03">
        <w:rPr>
          <w:rFonts w:cs="Arial"/>
        </w:rPr>
        <w:t xml:space="preserve">lass 9 buildings before the </w:t>
      </w:r>
      <w:r w:rsidR="004119BC">
        <w:rPr>
          <w:rFonts w:cs="Arial"/>
        </w:rPr>
        <w:t xml:space="preserve">ABCB </w:t>
      </w:r>
      <w:r w:rsidRPr="000F2A03">
        <w:rPr>
          <w:rFonts w:cs="Arial"/>
        </w:rPr>
        <w:t xml:space="preserve">Board </w:t>
      </w:r>
      <w:r w:rsidR="00F7082A">
        <w:rPr>
          <w:rFonts w:cs="Arial"/>
        </w:rPr>
        <w:t>further</w:t>
      </w:r>
      <w:r w:rsidR="00F7082A" w:rsidRPr="000F2A03">
        <w:rPr>
          <w:rFonts w:cs="Arial"/>
        </w:rPr>
        <w:t xml:space="preserve"> </w:t>
      </w:r>
      <w:r w:rsidRPr="000F2A03">
        <w:rPr>
          <w:rFonts w:cs="Arial"/>
        </w:rPr>
        <w:t>consider whether there needs to be stronger building regulations.</w:t>
      </w:r>
    </w:p>
    <w:p w14:paraId="2C2CDAD3" w14:textId="77777777" w:rsidR="000F2A03" w:rsidRPr="000F2A03" w:rsidRDefault="000F2A03" w:rsidP="00CA0DF7">
      <w:pPr>
        <w:pStyle w:val="Heading2"/>
      </w:pPr>
      <w:bookmarkStart w:id="67" w:name="_Toc97023793"/>
      <w:r w:rsidRPr="000F2A03">
        <w:t>Victorian Building Commission – 2012</w:t>
      </w:r>
      <w:bookmarkEnd w:id="67"/>
      <w:r w:rsidRPr="000F2A03">
        <w:t xml:space="preserve"> </w:t>
      </w:r>
    </w:p>
    <w:p w14:paraId="4FD3AB5A" w14:textId="1D7940CB" w:rsidR="000F2A03" w:rsidRDefault="000F2A03" w:rsidP="00EA58B4">
      <w:pPr>
        <w:spacing w:before="240" w:after="120" w:line="360" w:lineRule="auto"/>
        <w:jc w:val="both"/>
        <w:rPr>
          <w:rFonts w:cs="Arial"/>
        </w:rPr>
      </w:pPr>
      <w:r w:rsidRPr="007645EF">
        <w:rPr>
          <w:rFonts w:cs="Arial"/>
        </w:rPr>
        <w:t>In 2012 ABCB officers met with the</w:t>
      </w:r>
      <w:r w:rsidR="00F7082A">
        <w:rPr>
          <w:rFonts w:cs="Arial"/>
        </w:rPr>
        <w:t xml:space="preserve"> then</w:t>
      </w:r>
      <w:r w:rsidRPr="007645EF">
        <w:rPr>
          <w:rFonts w:cs="Arial"/>
        </w:rPr>
        <w:t xml:space="preserve"> Victorian Building Commission (VBC) to </w:t>
      </w:r>
      <w:r w:rsidR="00F7082A">
        <w:rPr>
          <w:rFonts w:cs="Arial"/>
        </w:rPr>
        <w:t>gather</w:t>
      </w:r>
      <w:r w:rsidR="00F7082A" w:rsidRPr="007645EF">
        <w:rPr>
          <w:rFonts w:cs="Arial"/>
        </w:rPr>
        <w:t xml:space="preserve"> </w:t>
      </w:r>
      <w:r w:rsidRPr="007645EF">
        <w:rPr>
          <w:rFonts w:cs="Arial"/>
        </w:rPr>
        <w:t xml:space="preserve">information on characteristics of </w:t>
      </w:r>
      <w:r w:rsidRPr="008B7879">
        <w:rPr>
          <w:rFonts w:cs="Arial"/>
        </w:rPr>
        <w:t>‘</w:t>
      </w:r>
      <w:r w:rsidRPr="007645EF">
        <w:rPr>
          <w:rFonts w:cs="Arial"/>
        </w:rPr>
        <w:t xml:space="preserve">non–residential’ buildings destroyed in bushfires and to identify potential deficiencies in current NCC (2012) provisions. The VBC was unable to provide specific information or assist in identifying specific deficiencies. </w:t>
      </w:r>
      <w:r w:rsidR="004119BC">
        <w:rPr>
          <w:rFonts w:cs="Arial"/>
        </w:rPr>
        <w:t xml:space="preserve">The </w:t>
      </w:r>
      <w:r w:rsidRPr="007645EF">
        <w:rPr>
          <w:rFonts w:cs="Arial"/>
        </w:rPr>
        <w:t>ABCB subsequently contacted CSIRO and AFAC seeking their advice on the availability of information.</w:t>
      </w:r>
    </w:p>
    <w:p w14:paraId="610062AC" w14:textId="35D63604" w:rsidR="000F2A03" w:rsidRPr="000F2A03" w:rsidRDefault="000F2A03" w:rsidP="00CA0DF7">
      <w:pPr>
        <w:pStyle w:val="Heading2"/>
      </w:pPr>
      <w:bookmarkStart w:id="68" w:name="_Toc97023794"/>
      <w:r w:rsidRPr="000F2A03">
        <w:t xml:space="preserve">State and </w:t>
      </w:r>
      <w:r w:rsidR="00CE2317">
        <w:t>T</w:t>
      </w:r>
      <w:r w:rsidRPr="000F2A03">
        <w:t>erritory administrations – 2016</w:t>
      </w:r>
      <w:bookmarkEnd w:id="68"/>
      <w:r w:rsidRPr="000F2A03">
        <w:t xml:space="preserve"> </w:t>
      </w:r>
    </w:p>
    <w:p w14:paraId="66D65B97" w14:textId="51964EDA" w:rsidR="000F2A03" w:rsidRDefault="000F2A03" w:rsidP="00EA58B4">
      <w:pPr>
        <w:spacing w:before="240" w:after="120" w:line="360" w:lineRule="auto"/>
        <w:jc w:val="both"/>
        <w:rPr>
          <w:rFonts w:cs="Arial"/>
        </w:rPr>
      </w:pPr>
      <w:r w:rsidRPr="007645EF">
        <w:rPr>
          <w:rFonts w:cs="Arial"/>
        </w:rPr>
        <w:t xml:space="preserve">In late 2016, further correspondence was sent to </w:t>
      </w:r>
      <w:r w:rsidR="00F7082A">
        <w:rPr>
          <w:rFonts w:cs="Arial"/>
        </w:rPr>
        <w:t>S</w:t>
      </w:r>
      <w:r w:rsidRPr="007645EF">
        <w:rPr>
          <w:rFonts w:cs="Arial"/>
        </w:rPr>
        <w:t xml:space="preserve">tate and </w:t>
      </w:r>
      <w:r w:rsidR="00F7082A">
        <w:rPr>
          <w:rFonts w:cs="Arial"/>
        </w:rPr>
        <w:t>T</w:t>
      </w:r>
      <w:r w:rsidRPr="007645EF">
        <w:rPr>
          <w:rFonts w:cs="Arial"/>
        </w:rPr>
        <w:t xml:space="preserve">erritory administrations requesting further information on the jurisdictional approaches of dealing with non- residential buildings in bushfire prone areas. </w:t>
      </w:r>
      <w:r w:rsidRPr="008B7879">
        <w:rPr>
          <w:rFonts w:cs="Arial"/>
        </w:rPr>
        <w:t>The</w:t>
      </w:r>
      <w:r w:rsidRPr="007645EF">
        <w:rPr>
          <w:rFonts w:cs="Arial"/>
        </w:rPr>
        <w:t xml:space="preserve"> findings were shared with the </w:t>
      </w:r>
      <w:r w:rsidR="00DA0CF8">
        <w:rPr>
          <w:rFonts w:cs="Arial"/>
        </w:rPr>
        <w:t>S</w:t>
      </w:r>
      <w:r w:rsidR="004119BC">
        <w:rPr>
          <w:rFonts w:cs="Arial"/>
        </w:rPr>
        <w:t xml:space="preserve">tate and </w:t>
      </w:r>
      <w:r w:rsidR="00DA0CF8">
        <w:rPr>
          <w:rFonts w:cs="Arial"/>
        </w:rPr>
        <w:t>T</w:t>
      </w:r>
      <w:r w:rsidR="004119BC">
        <w:rPr>
          <w:rFonts w:cs="Arial"/>
        </w:rPr>
        <w:t xml:space="preserve">erritory </w:t>
      </w:r>
      <w:r w:rsidR="00F7082A">
        <w:rPr>
          <w:rFonts w:cs="Arial"/>
        </w:rPr>
        <w:t>building a</w:t>
      </w:r>
      <w:r w:rsidRPr="007645EF">
        <w:rPr>
          <w:rFonts w:cs="Arial"/>
        </w:rPr>
        <w:t>dministrations.</w:t>
      </w:r>
    </w:p>
    <w:p w14:paraId="58AB453C" w14:textId="77777777" w:rsidR="00B748CC" w:rsidRPr="00B748CC" w:rsidRDefault="00B748CC" w:rsidP="00CA0DF7">
      <w:pPr>
        <w:pStyle w:val="Heading2"/>
      </w:pPr>
      <w:bookmarkStart w:id="69" w:name="_Toc97023795"/>
      <w:r w:rsidRPr="00B748CC">
        <w:t>Stakeholder working group consultations – 2017</w:t>
      </w:r>
      <w:bookmarkEnd w:id="69"/>
      <w:r w:rsidRPr="00B748CC">
        <w:t xml:space="preserve"> </w:t>
      </w:r>
    </w:p>
    <w:p w14:paraId="3D8BF2D4" w14:textId="75E2FA49" w:rsidR="00B748CC" w:rsidRPr="007645EF" w:rsidRDefault="00B748CC" w:rsidP="00EA58B4">
      <w:pPr>
        <w:spacing w:before="240" w:after="120" w:line="360" w:lineRule="auto"/>
        <w:jc w:val="both"/>
        <w:rPr>
          <w:rFonts w:cs="Arial"/>
        </w:rPr>
      </w:pPr>
      <w:r w:rsidRPr="007645EF">
        <w:rPr>
          <w:rFonts w:cs="Arial"/>
        </w:rPr>
        <w:t>In late 2017</w:t>
      </w:r>
      <w:r w:rsidR="00F7082A">
        <w:rPr>
          <w:rFonts w:cs="Arial"/>
        </w:rPr>
        <w:t xml:space="preserve"> a</w:t>
      </w:r>
      <w:r w:rsidRPr="007645EF">
        <w:rPr>
          <w:rFonts w:cs="Arial"/>
        </w:rPr>
        <w:t xml:space="preserve"> working group was formed to progress the work on </w:t>
      </w:r>
      <w:r w:rsidR="00F7082A">
        <w:rPr>
          <w:rFonts w:cs="Arial"/>
        </w:rPr>
        <w:t>bushfire protection measures for C</w:t>
      </w:r>
      <w:r w:rsidRPr="007645EF">
        <w:rPr>
          <w:rFonts w:cs="Arial"/>
        </w:rPr>
        <w:t xml:space="preserve">lass 9 buildings. </w:t>
      </w:r>
    </w:p>
    <w:p w14:paraId="3CEF754D" w14:textId="3DEA1F5D" w:rsidR="00B748CC" w:rsidRPr="007645EF" w:rsidRDefault="00B748CC" w:rsidP="00B748CC">
      <w:pPr>
        <w:spacing w:after="120" w:line="360" w:lineRule="auto"/>
        <w:jc w:val="both"/>
        <w:rPr>
          <w:rFonts w:cs="Arial"/>
        </w:rPr>
      </w:pPr>
      <w:r w:rsidRPr="007645EF">
        <w:rPr>
          <w:rFonts w:cs="Arial"/>
        </w:rPr>
        <w:t xml:space="preserve">The </w:t>
      </w:r>
      <w:r w:rsidR="004119BC">
        <w:rPr>
          <w:rFonts w:cs="Arial"/>
        </w:rPr>
        <w:t>w</w:t>
      </w:r>
      <w:r w:rsidRPr="007645EF">
        <w:rPr>
          <w:rFonts w:cs="Arial"/>
        </w:rPr>
        <w:t xml:space="preserve">orking </w:t>
      </w:r>
      <w:r w:rsidR="004119BC">
        <w:rPr>
          <w:rFonts w:cs="Arial"/>
        </w:rPr>
        <w:t>g</w:t>
      </w:r>
      <w:r w:rsidRPr="007645EF">
        <w:rPr>
          <w:rFonts w:cs="Arial"/>
        </w:rPr>
        <w:t>roup consult</w:t>
      </w:r>
      <w:r w:rsidR="004119BC">
        <w:rPr>
          <w:rFonts w:cs="Arial"/>
        </w:rPr>
        <w:t>ed</w:t>
      </w:r>
      <w:r w:rsidRPr="007645EF">
        <w:rPr>
          <w:rFonts w:cs="Arial"/>
        </w:rPr>
        <w:t xml:space="preserve"> with jurisdictions and selected stakeholders</w:t>
      </w:r>
      <w:r w:rsidR="004119BC">
        <w:rPr>
          <w:rFonts w:cs="Arial"/>
        </w:rPr>
        <w:t>,</w:t>
      </w:r>
      <w:r w:rsidRPr="007645EF">
        <w:rPr>
          <w:rFonts w:cs="Arial"/>
        </w:rPr>
        <w:t xml:space="preserve"> such as the Australian Institute of Architects (AIA), Fire and Emergency services agencies and planning departments</w:t>
      </w:r>
      <w:r w:rsidR="004119BC">
        <w:rPr>
          <w:rFonts w:cs="Arial"/>
        </w:rPr>
        <w:t>. This revealed</w:t>
      </w:r>
      <w:r w:rsidRPr="007645EF">
        <w:rPr>
          <w:rFonts w:cs="Arial"/>
        </w:rPr>
        <w:t xml:space="preserve"> that many jurisdictions had developed their own mechanisms to deal with development of </w:t>
      </w:r>
      <w:r w:rsidR="00F7082A">
        <w:rPr>
          <w:rFonts w:cs="Arial"/>
        </w:rPr>
        <w:t>C</w:t>
      </w:r>
      <w:r w:rsidRPr="007645EF">
        <w:rPr>
          <w:rFonts w:cs="Arial"/>
        </w:rPr>
        <w:t xml:space="preserve">lass 9 buildings in potential bushfire prone areas, and that planning systems generally ensure that development is only permitted where the risk </w:t>
      </w:r>
      <w:r w:rsidR="004119BC">
        <w:rPr>
          <w:rFonts w:cs="Arial"/>
        </w:rPr>
        <w:t>to</w:t>
      </w:r>
      <w:r w:rsidRPr="007645EF">
        <w:rPr>
          <w:rFonts w:cs="Arial"/>
        </w:rPr>
        <w:t xml:space="preserve"> life and property from bushfire can be reduced to acceptable levels.</w:t>
      </w:r>
    </w:p>
    <w:p w14:paraId="4973CCFC" w14:textId="043018D1" w:rsidR="00B748CC" w:rsidRPr="007645EF" w:rsidRDefault="00B748CC" w:rsidP="00B748CC">
      <w:pPr>
        <w:spacing w:after="120" w:line="360" w:lineRule="auto"/>
        <w:jc w:val="both"/>
        <w:rPr>
          <w:rFonts w:cs="Arial"/>
        </w:rPr>
      </w:pPr>
      <w:r w:rsidRPr="007645EF">
        <w:rPr>
          <w:rFonts w:cs="Arial"/>
        </w:rPr>
        <w:t>The AIA supported the expansion of stronger bushfire provisions to other building</w:t>
      </w:r>
      <w:r w:rsidR="00BE5803">
        <w:rPr>
          <w:rFonts w:cs="Arial"/>
        </w:rPr>
        <w:t xml:space="preserve"> classifications</w:t>
      </w:r>
      <w:r w:rsidRPr="007645EF">
        <w:rPr>
          <w:rFonts w:cs="Arial"/>
        </w:rPr>
        <w:t xml:space="preserve"> to improve life safety</w:t>
      </w:r>
      <w:r w:rsidR="00BE5803">
        <w:rPr>
          <w:rFonts w:cs="Arial"/>
        </w:rPr>
        <w:t>,</w:t>
      </w:r>
      <w:r w:rsidRPr="007645EF">
        <w:rPr>
          <w:rFonts w:cs="Arial"/>
        </w:rPr>
        <w:t xml:space="preserve"> but also believed that a non-mandatory handbook would be useful, given the fact that most buildings housing vulnerable people normally have evacuation procedures in place.</w:t>
      </w:r>
    </w:p>
    <w:p w14:paraId="1A179840" w14:textId="77777777" w:rsidR="00B748CC" w:rsidRPr="00B748CC" w:rsidRDefault="00B748CC" w:rsidP="00CA0DF7">
      <w:pPr>
        <w:pStyle w:val="Heading2"/>
      </w:pPr>
      <w:bookmarkStart w:id="70" w:name="_Toc97023796"/>
      <w:r w:rsidRPr="00B748CC">
        <w:t>Building Code Committee consultations – 2017</w:t>
      </w:r>
      <w:bookmarkEnd w:id="70"/>
    </w:p>
    <w:p w14:paraId="163882E1" w14:textId="06249C0E" w:rsidR="00B748CC" w:rsidRPr="007645EF" w:rsidRDefault="00B748CC" w:rsidP="00EA58B4">
      <w:pPr>
        <w:spacing w:before="240" w:after="120" w:line="360" w:lineRule="auto"/>
        <w:jc w:val="both"/>
        <w:rPr>
          <w:rFonts w:cs="Arial"/>
        </w:rPr>
      </w:pPr>
      <w:r w:rsidRPr="007645EF">
        <w:rPr>
          <w:rFonts w:cs="Arial"/>
        </w:rPr>
        <w:t>The Building Code</w:t>
      </w:r>
      <w:r w:rsidR="00F7082A">
        <w:rPr>
          <w:rFonts w:cs="Arial"/>
        </w:rPr>
        <w:t>s</w:t>
      </w:r>
      <w:r w:rsidRPr="007645EF">
        <w:rPr>
          <w:rFonts w:cs="Arial"/>
        </w:rPr>
        <w:t xml:space="preserve"> Committee (BCC) were consulted in October 2017 and requested to assist in determining whether sufficient evidence was available to support the project proceeding.</w:t>
      </w:r>
    </w:p>
    <w:p w14:paraId="1101AAFD" w14:textId="5AB01450" w:rsidR="00B748CC" w:rsidRPr="007645EF" w:rsidRDefault="00B748CC" w:rsidP="00B748CC">
      <w:pPr>
        <w:spacing w:after="120" w:line="360" w:lineRule="auto"/>
        <w:jc w:val="both"/>
        <w:rPr>
          <w:rFonts w:cs="Arial"/>
        </w:rPr>
      </w:pPr>
      <w:r w:rsidRPr="007645EF">
        <w:rPr>
          <w:rFonts w:cs="Arial"/>
        </w:rPr>
        <w:t xml:space="preserve">A total of seven responses were received. Four from Fire Authorities and three from </w:t>
      </w:r>
      <w:r w:rsidR="00F7082A">
        <w:rPr>
          <w:rFonts w:cs="Arial"/>
        </w:rPr>
        <w:t>S</w:t>
      </w:r>
      <w:r w:rsidRPr="007645EF">
        <w:rPr>
          <w:rFonts w:cs="Arial"/>
        </w:rPr>
        <w:t xml:space="preserve">tate or </w:t>
      </w:r>
      <w:r w:rsidR="00F7082A">
        <w:rPr>
          <w:rFonts w:cs="Arial"/>
        </w:rPr>
        <w:t>T</w:t>
      </w:r>
      <w:r w:rsidRPr="007645EF">
        <w:rPr>
          <w:rFonts w:cs="Arial"/>
        </w:rPr>
        <w:t>erritory building administrations. The feedback to introduce regulatory change was mixed. Some jurisdictions supported changes to the NCC (SA), others ha</w:t>
      </w:r>
      <w:r w:rsidR="00F7082A">
        <w:rPr>
          <w:rFonts w:cs="Arial"/>
        </w:rPr>
        <w:t>d</w:t>
      </w:r>
      <w:r w:rsidRPr="007645EF">
        <w:rPr>
          <w:rFonts w:cs="Arial"/>
        </w:rPr>
        <w:t xml:space="preserve"> enhanced systems in place (Victoria and NSW), </w:t>
      </w:r>
      <w:r w:rsidRPr="008B7879">
        <w:rPr>
          <w:rFonts w:cs="Arial"/>
        </w:rPr>
        <w:t>and</w:t>
      </w:r>
      <w:r w:rsidRPr="007645EF">
        <w:rPr>
          <w:rFonts w:cs="Arial"/>
        </w:rPr>
        <w:t xml:space="preserve"> others argued that more work is required to define stricter criteria for development and building approvals of Class 9 buildings in bushfire prone areas (ACT). </w:t>
      </w:r>
      <w:r w:rsidR="00F7082A">
        <w:rPr>
          <w:rFonts w:cs="Arial"/>
        </w:rPr>
        <w:t xml:space="preserve">The </w:t>
      </w:r>
      <w:r w:rsidRPr="007645EF">
        <w:rPr>
          <w:rFonts w:cs="Arial"/>
        </w:rPr>
        <w:t>NT did not have any evidence to provide as there were no declared bushfire prone areas in the Territory at th</w:t>
      </w:r>
      <w:r w:rsidR="00F7082A">
        <w:rPr>
          <w:rFonts w:cs="Arial"/>
        </w:rPr>
        <w:t>at</w:t>
      </w:r>
      <w:r w:rsidRPr="007645EF">
        <w:rPr>
          <w:rFonts w:cs="Arial"/>
        </w:rPr>
        <w:t xml:space="preserve"> time.</w:t>
      </w:r>
    </w:p>
    <w:p w14:paraId="415EA6A5" w14:textId="77777777" w:rsidR="008C63A9" w:rsidRPr="008C63A9" w:rsidRDefault="008C63A9" w:rsidP="00CA0DF7">
      <w:pPr>
        <w:pStyle w:val="Heading2"/>
      </w:pPr>
      <w:bookmarkStart w:id="71" w:name="_Toc97023797"/>
      <w:r w:rsidRPr="008C63A9">
        <w:t>Cross industry-administration working group – 2018</w:t>
      </w:r>
      <w:bookmarkEnd w:id="71"/>
      <w:r w:rsidRPr="008C63A9">
        <w:t xml:space="preserve"> </w:t>
      </w:r>
    </w:p>
    <w:p w14:paraId="55E13FEE" w14:textId="44446756" w:rsidR="008C63A9" w:rsidRPr="007645EF" w:rsidRDefault="008C63A9" w:rsidP="00EA58B4">
      <w:pPr>
        <w:spacing w:before="240" w:after="120" w:line="360" w:lineRule="auto"/>
        <w:jc w:val="both"/>
        <w:rPr>
          <w:rFonts w:cs="Arial"/>
        </w:rPr>
      </w:pPr>
      <w:r w:rsidRPr="007645EF">
        <w:rPr>
          <w:rFonts w:cs="Arial"/>
        </w:rPr>
        <w:t>In 2018, the ABCB Board established a working group to determine whether the bushfire construction requirements of the NCC should be extended to capture non-residential Class 9</w:t>
      </w:r>
      <w:r>
        <w:rPr>
          <w:rFonts w:cs="Arial"/>
        </w:rPr>
        <w:t xml:space="preserve"> </w:t>
      </w:r>
      <w:r w:rsidRPr="007645EF">
        <w:rPr>
          <w:rFonts w:cs="Arial"/>
        </w:rPr>
        <w:t xml:space="preserve">buildings. This working group consisted of two representatives of industry and two from </w:t>
      </w:r>
      <w:r w:rsidR="00F7082A">
        <w:rPr>
          <w:rFonts w:cs="Arial"/>
        </w:rPr>
        <w:t>S</w:t>
      </w:r>
      <w:r w:rsidRPr="007645EF">
        <w:rPr>
          <w:rFonts w:cs="Arial"/>
        </w:rPr>
        <w:t xml:space="preserve">tate and </w:t>
      </w:r>
      <w:r w:rsidR="00F7082A">
        <w:rPr>
          <w:rFonts w:cs="Arial"/>
        </w:rPr>
        <w:t>T</w:t>
      </w:r>
      <w:r w:rsidRPr="007645EF">
        <w:rPr>
          <w:rFonts w:cs="Arial"/>
        </w:rPr>
        <w:t xml:space="preserve">erritory </w:t>
      </w:r>
      <w:r w:rsidR="00F7082A">
        <w:rPr>
          <w:rFonts w:cs="Arial"/>
        </w:rPr>
        <w:t xml:space="preserve">building </w:t>
      </w:r>
      <w:r w:rsidRPr="008B7879">
        <w:rPr>
          <w:rFonts w:cs="Arial"/>
        </w:rPr>
        <w:t>administrations.</w:t>
      </w:r>
      <w:r w:rsidRPr="007645EF">
        <w:rPr>
          <w:rFonts w:cs="Arial"/>
        </w:rPr>
        <w:t xml:space="preserve"> </w:t>
      </w:r>
    </w:p>
    <w:p w14:paraId="79AF41FF" w14:textId="4434C545" w:rsidR="000F2A03" w:rsidRPr="000F2A03" w:rsidRDefault="008C63A9" w:rsidP="000F2A03">
      <w:pPr>
        <w:spacing w:after="120" w:line="360" w:lineRule="auto"/>
        <w:jc w:val="both"/>
        <w:rPr>
          <w:rFonts w:cs="Arial"/>
        </w:rPr>
      </w:pPr>
      <w:r w:rsidRPr="007645EF">
        <w:rPr>
          <w:rFonts w:cs="Arial"/>
        </w:rPr>
        <w:t>The working group undertook a gap analysis and agreed on the need to engage an expert consultant to inform the life safety risk of occupants of Class 9 buildings located in a bushfire</w:t>
      </w:r>
      <w:r w:rsidR="00CE2317">
        <w:rPr>
          <w:rFonts w:cs="Arial"/>
        </w:rPr>
        <w:t xml:space="preserve"> </w:t>
      </w:r>
      <w:r w:rsidRPr="007645EF">
        <w:rPr>
          <w:rFonts w:cs="Arial"/>
        </w:rPr>
        <w:t>prone area, and the need to undertake a survey of buildings (age, numbers, classifications and location) to inform the evidence base.</w:t>
      </w:r>
    </w:p>
    <w:p w14:paraId="46A52581" w14:textId="6F00E928" w:rsidR="000F2A03" w:rsidRPr="00E60FEA" w:rsidRDefault="00DD0FC6" w:rsidP="00CA0DF7">
      <w:pPr>
        <w:pStyle w:val="Heading2"/>
      </w:pPr>
      <w:bookmarkStart w:id="72" w:name="_Toc97023798"/>
      <w:r w:rsidRPr="00ED717C">
        <w:t>B</w:t>
      </w:r>
      <w:r w:rsidRPr="00DE47A6">
        <w:t>uilding Codes Committee meeting – 20</w:t>
      </w:r>
      <w:r w:rsidR="00ED717C" w:rsidRPr="00DE47A6">
        <w:t>21</w:t>
      </w:r>
      <w:bookmarkEnd w:id="72"/>
    </w:p>
    <w:p w14:paraId="458EB244" w14:textId="287FB52C" w:rsidR="00ED717C" w:rsidRPr="00EA58B4" w:rsidRDefault="00ED717C" w:rsidP="00EA58B4">
      <w:pPr>
        <w:spacing w:before="240" w:after="120" w:line="360" w:lineRule="auto"/>
        <w:jc w:val="both"/>
        <w:rPr>
          <w:rFonts w:cs="Arial"/>
        </w:rPr>
      </w:pPr>
      <w:r w:rsidRPr="00EA58B4">
        <w:rPr>
          <w:rFonts w:cs="Arial"/>
        </w:rPr>
        <w:t xml:space="preserve">Proposed changes to the bushfire provisions were reflected in the </w:t>
      </w:r>
      <w:r w:rsidR="00DA0CF8">
        <w:rPr>
          <w:rFonts w:cs="Arial"/>
        </w:rPr>
        <w:t xml:space="preserve">NCC </w:t>
      </w:r>
      <w:r w:rsidRPr="00EA58B4">
        <w:rPr>
          <w:rFonts w:cs="Arial"/>
        </w:rPr>
        <w:t xml:space="preserve">2022 Public Comment Draft </w:t>
      </w:r>
      <w:r w:rsidR="008822FA" w:rsidRPr="00EA58B4">
        <w:rPr>
          <w:rFonts w:cs="Arial"/>
        </w:rPr>
        <w:t xml:space="preserve">(PCD) </w:t>
      </w:r>
      <w:r w:rsidRPr="00EA58B4">
        <w:rPr>
          <w:rFonts w:cs="Arial"/>
        </w:rPr>
        <w:t>and attracted a high number of public comments</w:t>
      </w:r>
      <w:r w:rsidR="00C85315" w:rsidRPr="00EA58B4">
        <w:rPr>
          <w:rFonts w:cs="Arial"/>
        </w:rPr>
        <w:t>, which were mostly supportive of the proposed provisions for Class 9 buildings. In November 2021, t</w:t>
      </w:r>
      <w:r w:rsidRPr="00EA58B4">
        <w:rPr>
          <w:rFonts w:cs="Arial"/>
        </w:rPr>
        <w:t xml:space="preserve">he </w:t>
      </w:r>
      <w:r w:rsidR="003A3E62" w:rsidRPr="00EA58B4">
        <w:rPr>
          <w:rFonts w:cs="Arial"/>
        </w:rPr>
        <w:t>BCC</w:t>
      </w:r>
      <w:r w:rsidRPr="00EA58B4">
        <w:rPr>
          <w:rFonts w:cs="Arial"/>
        </w:rPr>
        <w:t xml:space="preserve"> met to consider endorsing the proposed changes </w:t>
      </w:r>
      <w:r w:rsidR="00C85315" w:rsidRPr="00EA58B4">
        <w:rPr>
          <w:rFonts w:cs="Arial"/>
        </w:rPr>
        <w:t xml:space="preserve">for NCC 2022. </w:t>
      </w:r>
      <w:r w:rsidRPr="00EA58B4">
        <w:rPr>
          <w:rFonts w:cs="Arial"/>
        </w:rPr>
        <w:t>While comments</w:t>
      </w:r>
      <w:r w:rsidR="00C85315" w:rsidRPr="00EA58B4">
        <w:rPr>
          <w:rFonts w:cs="Arial"/>
        </w:rPr>
        <w:t xml:space="preserve"> at the meeting</w:t>
      </w:r>
      <w:r w:rsidRPr="00EA58B4">
        <w:rPr>
          <w:rFonts w:cs="Arial"/>
        </w:rPr>
        <w:t xml:space="preserve"> were supportive of the amendments, some BCC members suggested further analysis was required before the D</w:t>
      </w:r>
      <w:r w:rsidR="005E112D">
        <w:rPr>
          <w:rFonts w:cs="Arial"/>
        </w:rPr>
        <w:t>T</w:t>
      </w:r>
      <w:r w:rsidRPr="00EA58B4">
        <w:rPr>
          <w:rFonts w:cs="Arial"/>
        </w:rPr>
        <w:t xml:space="preserve">S </w:t>
      </w:r>
      <w:r w:rsidR="00186F87" w:rsidRPr="00EA58B4">
        <w:rPr>
          <w:rFonts w:cs="Arial"/>
        </w:rPr>
        <w:t>P</w:t>
      </w:r>
      <w:r w:rsidRPr="00EA58B4">
        <w:rPr>
          <w:rFonts w:cs="Arial"/>
        </w:rPr>
        <w:t>rovisions were included in NCC 2022.</w:t>
      </w:r>
    </w:p>
    <w:p w14:paraId="304DCF49" w14:textId="796B885E" w:rsidR="00C85315" w:rsidRPr="00EA58B4" w:rsidRDefault="00C85315" w:rsidP="00EA58B4">
      <w:pPr>
        <w:spacing w:after="120" w:line="360" w:lineRule="auto"/>
        <w:jc w:val="both"/>
        <w:rPr>
          <w:rFonts w:cs="Arial"/>
        </w:rPr>
      </w:pPr>
      <w:r w:rsidRPr="00EA58B4">
        <w:rPr>
          <w:rFonts w:cs="Arial"/>
        </w:rPr>
        <w:t xml:space="preserve">The </w:t>
      </w:r>
      <w:r w:rsidR="004D3312" w:rsidRPr="00EA58B4">
        <w:rPr>
          <w:rFonts w:cs="Arial"/>
        </w:rPr>
        <w:t xml:space="preserve">agreed </w:t>
      </w:r>
      <w:r w:rsidRPr="00EA58B4">
        <w:rPr>
          <w:rFonts w:cs="Arial"/>
        </w:rPr>
        <w:t>BCC position was that</w:t>
      </w:r>
      <w:r w:rsidR="00E619E5" w:rsidRPr="00EA58B4">
        <w:t xml:space="preserve"> </w:t>
      </w:r>
      <w:r w:rsidR="00E619E5" w:rsidRPr="00EA58B4">
        <w:rPr>
          <w:rFonts w:cs="Arial"/>
        </w:rPr>
        <w:t>t</w:t>
      </w:r>
      <w:r w:rsidRPr="00EA58B4">
        <w:rPr>
          <w:rFonts w:cs="Arial"/>
        </w:rPr>
        <w:t xml:space="preserve">he proposed </w:t>
      </w:r>
      <w:r w:rsidR="005E112D">
        <w:rPr>
          <w:rFonts w:cs="Arial"/>
        </w:rPr>
        <w:t>DT</w:t>
      </w:r>
      <w:r w:rsidR="00177DC0" w:rsidRPr="00EA58B4">
        <w:rPr>
          <w:rFonts w:cs="Arial"/>
        </w:rPr>
        <w:t xml:space="preserve">S </w:t>
      </w:r>
      <w:r w:rsidRPr="00EA58B4">
        <w:rPr>
          <w:rFonts w:cs="Arial"/>
        </w:rPr>
        <w:t xml:space="preserve">provisions be relocated to the Guide to Volume One and Performance Solutions be required for these building types. </w:t>
      </w:r>
    </w:p>
    <w:p w14:paraId="6C493C42" w14:textId="2C4D1A08" w:rsidR="00C85315" w:rsidRPr="00EA58B4" w:rsidRDefault="00C85315" w:rsidP="004D3312">
      <w:pPr>
        <w:spacing w:after="120" w:line="360" w:lineRule="auto"/>
        <w:jc w:val="both"/>
        <w:rPr>
          <w:rFonts w:cs="Arial"/>
        </w:rPr>
      </w:pPr>
      <w:r w:rsidRPr="00EA58B4">
        <w:rPr>
          <w:rFonts w:cs="Arial"/>
        </w:rPr>
        <w:t xml:space="preserve">This </w:t>
      </w:r>
      <w:r w:rsidR="004D3312" w:rsidRPr="00EA58B4">
        <w:rPr>
          <w:rFonts w:cs="Arial"/>
        </w:rPr>
        <w:t>recommendation was given on the basis</w:t>
      </w:r>
      <w:r w:rsidRPr="00EA58B4">
        <w:rPr>
          <w:rFonts w:cs="Arial"/>
        </w:rPr>
        <w:t xml:space="preserve"> that</w:t>
      </w:r>
      <w:r w:rsidR="00FB2D27" w:rsidRPr="00EA58B4">
        <w:rPr>
          <w:rFonts w:cs="Arial"/>
        </w:rPr>
        <w:t xml:space="preserve"> some BCC members felt</w:t>
      </w:r>
      <w:r w:rsidRPr="00EA58B4">
        <w:rPr>
          <w:rFonts w:cs="Arial"/>
        </w:rPr>
        <w:t xml:space="preserve"> the provisions were not suitable for Type A and Type B </w:t>
      </w:r>
      <w:r w:rsidR="00E619E5" w:rsidRPr="00EA58B4">
        <w:rPr>
          <w:rFonts w:cs="Arial"/>
        </w:rPr>
        <w:t xml:space="preserve">construction (the most fire resistant) </w:t>
      </w:r>
      <w:r w:rsidRPr="00EA58B4">
        <w:rPr>
          <w:rFonts w:cs="Arial"/>
        </w:rPr>
        <w:t>and should be limited to Type C construction</w:t>
      </w:r>
      <w:r w:rsidR="00FB2D27" w:rsidRPr="00EA58B4">
        <w:rPr>
          <w:rFonts w:cs="Arial"/>
        </w:rPr>
        <w:t xml:space="preserve"> (i.e. low</w:t>
      </w:r>
      <w:r w:rsidR="00DA0CF8">
        <w:rPr>
          <w:rFonts w:cs="Arial"/>
        </w:rPr>
        <w:t>-</w:t>
      </w:r>
      <w:r w:rsidR="00FB2D27" w:rsidRPr="00EA58B4">
        <w:rPr>
          <w:rFonts w:cs="Arial"/>
        </w:rPr>
        <w:t>rise construction)</w:t>
      </w:r>
      <w:r w:rsidRPr="00EA58B4">
        <w:rPr>
          <w:rFonts w:cs="Arial"/>
        </w:rPr>
        <w:t xml:space="preserve">. </w:t>
      </w:r>
      <w:r w:rsidR="004D3312" w:rsidRPr="00EA58B4">
        <w:rPr>
          <w:rFonts w:cs="Arial"/>
        </w:rPr>
        <w:t xml:space="preserve"> </w:t>
      </w:r>
      <w:r w:rsidR="00FB2D27" w:rsidRPr="00EA58B4">
        <w:rPr>
          <w:rFonts w:cs="Arial"/>
        </w:rPr>
        <w:t>While this was the agreed position of the BCC,</w:t>
      </w:r>
      <w:r w:rsidR="004D3312" w:rsidRPr="00EA58B4">
        <w:rPr>
          <w:rFonts w:cs="Arial"/>
        </w:rPr>
        <w:t xml:space="preserve"> it should be noted that </w:t>
      </w:r>
      <w:r w:rsidRPr="00EA58B4">
        <w:t>support for this position came from non-</w:t>
      </w:r>
      <w:r w:rsidR="00FB2D27" w:rsidRPr="00EA58B4">
        <w:t>g</w:t>
      </w:r>
      <w:r w:rsidRPr="00EA58B4">
        <w:t xml:space="preserve">overnment </w:t>
      </w:r>
      <w:r w:rsidR="00FB2D27" w:rsidRPr="00EA58B4">
        <w:t>BCC representatives</w:t>
      </w:r>
      <w:r w:rsidRPr="00EA58B4">
        <w:t>.</w:t>
      </w:r>
    </w:p>
    <w:p w14:paraId="4E7F2144" w14:textId="2F1ADFB4" w:rsidR="004D3312" w:rsidRPr="004D3312" w:rsidRDefault="004D3312" w:rsidP="004D3312">
      <w:pPr>
        <w:spacing w:line="360" w:lineRule="auto"/>
        <w:jc w:val="both"/>
        <w:rPr>
          <w:rFonts w:cs="Arial"/>
        </w:rPr>
      </w:pPr>
      <w:r w:rsidRPr="00EA58B4">
        <w:rPr>
          <w:rFonts w:cs="Arial"/>
        </w:rPr>
        <w:t xml:space="preserve">The ABCB Office </w:t>
      </w:r>
      <w:r w:rsidR="00DA0CF8">
        <w:rPr>
          <w:rFonts w:cs="Arial"/>
        </w:rPr>
        <w:t>developed</w:t>
      </w:r>
      <w:r w:rsidR="00E619E5" w:rsidRPr="00EA58B4">
        <w:rPr>
          <w:rFonts w:cs="Arial"/>
        </w:rPr>
        <w:t xml:space="preserve"> the </w:t>
      </w:r>
      <w:r w:rsidRPr="00EA58B4">
        <w:rPr>
          <w:rFonts w:cs="Arial"/>
        </w:rPr>
        <w:t>proposed</w:t>
      </w:r>
      <w:r w:rsidR="005E112D">
        <w:rPr>
          <w:rFonts w:cs="Arial"/>
        </w:rPr>
        <w:t xml:space="preserve"> DT</w:t>
      </w:r>
      <w:r w:rsidR="00FB2D27" w:rsidRPr="00EA58B4">
        <w:rPr>
          <w:rFonts w:cs="Arial"/>
        </w:rPr>
        <w:t xml:space="preserve">S </w:t>
      </w:r>
      <w:r w:rsidR="00E619E5" w:rsidRPr="00EA58B4">
        <w:rPr>
          <w:rFonts w:cs="Arial"/>
        </w:rPr>
        <w:t>Provisions through</w:t>
      </w:r>
      <w:r w:rsidRPr="00EA58B4">
        <w:rPr>
          <w:rFonts w:cs="Arial"/>
        </w:rPr>
        <w:t xml:space="preserve"> a comprehensive risk assessment, informed by a specific BCC </w:t>
      </w:r>
      <w:r w:rsidR="00DA0CF8">
        <w:rPr>
          <w:rFonts w:cs="Arial"/>
        </w:rPr>
        <w:t>w</w:t>
      </w:r>
      <w:r w:rsidRPr="00EA58B4">
        <w:rPr>
          <w:rFonts w:cs="Arial"/>
        </w:rPr>
        <w:t xml:space="preserve">orking </w:t>
      </w:r>
      <w:r w:rsidR="00DA0CF8">
        <w:rPr>
          <w:rFonts w:cs="Arial"/>
        </w:rPr>
        <w:t>g</w:t>
      </w:r>
      <w:r w:rsidRPr="00EA58B4">
        <w:rPr>
          <w:rFonts w:cs="Arial"/>
        </w:rPr>
        <w:t>roup and public consultation.  Given the dynamic and complex nature of the bushfire hazard and the scope of buildings covered, it is inevitable that the provisions may</w:t>
      </w:r>
      <w:r w:rsidR="00E619E5" w:rsidRPr="00EA58B4">
        <w:rPr>
          <w:rFonts w:cs="Arial"/>
        </w:rPr>
        <w:t xml:space="preserve"> </w:t>
      </w:r>
      <w:r w:rsidRPr="00EA58B4">
        <w:rPr>
          <w:rFonts w:cs="Arial"/>
        </w:rPr>
        <w:t xml:space="preserve">be conservative in some scenarios. For </w:t>
      </w:r>
      <w:r w:rsidR="00DE47A6" w:rsidRPr="00EA58B4">
        <w:rPr>
          <w:rFonts w:cs="Arial"/>
        </w:rPr>
        <w:t xml:space="preserve">such </w:t>
      </w:r>
      <w:r w:rsidRPr="00EA58B4">
        <w:rPr>
          <w:rFonts w:cs="Arial"/>
        </w:rPr>
        <w:t>scenarios</w:t>
      </w:r>
      <w:r w:rsidR="00FB2D27" w:rsidRPr="00EA58B4">
        <w:rPr>
          <w:rFonts w:cs="Arial"/>
        </w:rPr>
        <w:t>,</w:t>
      </w:r>
      <w:r w:rsidRPr="00EA58B4">
        <w:rPr>
          <w:rFonts w:cs="Arial"/>
        </w:rPr>
        <w:t xml:space="preserve"> </w:t>
      </w:r>
      <w:r w:rsidR="00DE47A6" w:rsidRPr="00EA58B4">
        <w:rPr>
          <w:rFonts w:cs="Arial"/>
        </w:rPr>
        <w:t>on sites ex</w:t>
      </w:r>
      <w:r w:rsidR="005E112D">
        <w:rPr>
          <w:rFonts w:cs="Arial"/>
        </w:rPr>
        <w:t>ceeding BAL 12.5 or where the DT</w:t>
      </w:r>
      <w:r w:rsidR="00DE47A6" w:rsidRPr="00EA58B4">
        <w:rPr>
          <w:rFonts w:cs="Arial"/>
        </w:rPr>
        <w:t xml:space="preserve">S is considered too conservative, </w:t>
      </w:r>
      <w:r w:rsidRPr="00EA58B4">
        <w:rPr>
          <w:rFonts w:cs="Arial"/>
        </w:rPr>
        <w:t xml:space="preserve">the NCC </w:t>
      </w:r>
      <w:r w:rsidR="00DE47A6" w:rsidRPr="00EA58B4">
        <w:rPr>
          <w:rFonts w:cs="Arial"/>
        </w:rPr>
        <w:t xml:space="preserve">provides more flexibility through the use of </w:t>
      </w:r>
      <w:r w:rsidRPr="00EA58B4">
        <w:rPr>
          <w:rFonts w:cs="Arial"/>
        </w:rPr>
        <w:t>Performance Solution</w:t>
      </w:r>
      <w:r w:rsidR="00DE47A6" w:rsidRPr="00EA58B4">
        <w:rPr>
          <w:rFonts w:cs="Arial"/>
        </w:rPr>
        <w:t>s</w:t>
      </w:r>
      <w:r w:rsidRPr="00EA58B4">
        <w:rPr>
          <w:rFonts w:cs="Arial"/>
        </w:rPr>
        <w:t xml:space="preserve">. </w:t>
      </w:r>
      <w:r w:rsidR="005E112D">
        <w:rPr>
          <w:rFonts w:cs="Arial"/>
        </w:rPr>
        <w:t>However, in either case the DT</w:t>
      </w:r>
      <w:r w:rsidR="00DE47A6" w:rsidRPr="00EA58B4">
        <w:rPr>
          <w:rFonts w:cs="Arial"/>
        </w:rPr>
        <w:t>S or guidance will set the basis for comparison and a</w:t>
      </w:r>
      <w:r w:rsidRPr="00EA58B4">
        <w:rPr>
          <w:rFonts w:cs="Arial"/>
        </w:rPr>
        <w:t xml:space="preserve">s such, it is the proposed </w:t>
      </w:r>
      <w:r w:rsidR="005E112D">
        <w:rPr>
          <w:rFonts w:cs="Arial"/>
        </w:rPr>
        <w:t>DT</w:t>
      </w:r>
      <w:r w:rsidR="00A37D83" w:rsidRPr="00EA58B4">
        <w:rPr>
          <w:rFonts w:cs="Arial"/>
        </w:rPr>
        <w:t xml:space="preserve">S </w:t>
      </w:r>
      <w:r w:rsidR="00572201">
        <w:rPr>
          <w:rFonts w:cs="Arial"/>
        </w:rPr>
        <w:t>P</w:t>
      </w:r>
      <w:r w:rsidRPr="00EA58B4">
        <w:rPr>
          <w:rFonts w:cs="Arial"/>
        </w:rPr>
        <w:t xml:space="preserve">rovisions </w:t>
      </w:r>
      <w:r w:rsidR="00572201">
        <w:rPr>
          <w:rFonts w:cs="Arial"/>
        </w:rPr>
        <w:t xml:space="preserve">for </w:t>
      </w:r>
      <w:r w:rsidRPr="00EA58B4">
        <w:rPr>
          <w:rFonts w:cs="Arial"/>
        </w:rPr>
        <w:t>NCC 2022</w:t>
      </w:r>
      <w:r w:rsidR="008822FA" w:rsidRPr="00EA58B4">
        <w:rPr>
          <w:rFonts w:cs="Arial"/>
        </w:rPr>
        <w:t xml:space="preserve"> </w:t>
      </w:r>
      <w:r w:rsidR="00DA0CF8">
        <w:rPr>
          <w:rFonts w:cs="Arial"/>
        </w:rPr>
        <w:t xml:space="preserve">which </w:t>
      </w:r>
      <w:r w:rsidR="00DE47A6" w:rsidRPr="00EA58B4">
        <w:rPr>
          <w:rFonts w:cs="Arial"/>
        </w:rPr>
        <w:t xml:space="preserve">are </w:t>
      </w:r>
      <w:r w:rsidR="00572201">
        <w:rPr>
          <w:rFonts w:cs="Arial"/>
        </w:rPr>
        <w:t xml:space="preserve">the </w:t>
      </w:r>
      <w:r w:rsidR="00DE47A6" w:rsidRPr="00EA58B4">
        <w:rPr>
          <w:rFonts w:cs="Arial"/>
        </w:rPr>
        <w:t xml:space="preserve">subject </w:t>
      </w:r>
      <w:r w:rsidR="00572201">
        <w:rPr>
          <w:rFonts w:cs="Arial"/>
        </w:rPr>
        <w:t>of</w:t>
      </w:r>
      <w:r w:rsidR="00DE47A6" w:rsidRPr="00EA58B4">
        <w:rPr>
          <w:rFonts w:cs="Arial"/>
        </w:rPr>
        <w:t xml:space="preserve"> this assessment</w:t>
      </w:r>
      <w:r w:rsidRPr="00EA58B4">
        <w:rPr>
          <w:rFonts w:cs="Arial"/>
        </w:rPr>
        <w:t>.</w:t>
      </w:r>
    </w:p>
    <w:p w14:paraId="3CA717F8" w14:textId="77777777" w:rsidR="00C85315" w:rsidRPr="00ED717C" w:rsidRDefault="00C85315" w:rsidP="00ED717C">
      <w:pPr>
        <w:spacing w:after="120" w:line="360" w:lineRule="auto"/>
        <w:jc w:val="both"/>
        <w:rPr>
          <w:rFonts w:cs="Arial"/>
        </w:rPr>
      </w:pPr>
    </w:p>
    <w:p w14:paraId="0AA8854A" w14:textId="0E59C63B" w:rsidR="009C3E42" w:rsidRDefault="009C3E42" w:rsidP="00ED717C">
      <w:pPr>
        <w:spacing w:line="360" w:lineRule="auto"/>
        <w:rPr>
          <w:rFonts w:cs="Arial"/>
          <w:color w:val="002060"/>
          <w:sz w:val="24"/>
          <w:szCs w:val="24"/>
        </w:rPr>
      </w:pPr>
      <w:r>
        <w:rPr>
          <w:rFonts w:cs="Arial"/>
          <w:color w:val="002060"/>
          <w:sz w:val="24"/>
          <w:szCs w:val="24"/>
        </w:rPr>
        <w:br w:type="page"/>
      </w:r>
    </w:p>
    <w:p w14:paraId="7E2E0ABD" w14:textId="77777777" w:rsidR="00856CBA" w:rsidRPr="000B675B" w:rsidRDefault="00856CBA" w:rsidP="003E0606">
      <w:pPr>
        <w:pStyle w:val="Heading1"/>
        <w:rPr>
          <w:rFonts w:ascii="Arial" w:hAnsi="Arial" w:cs="Arial"/>
          <w:b w:val="0"/>
          <w:bCs w:val="0"/>
        </w:rPr>
      </w:pPr>
      <w:bookmarkStart w:id="73" w:name="_Toc71195756"/>
      <w:bookmarkStart w:id="74" w:name="_Toc97023799"/>
      <w:r w:rsidRPr="000B675B">
        <w:rPr>
          <w:rFonts w:ascii="Arial" w:hAnsi="Arial" w:cs="Arial"/>
          <w:b w:val="0"/>
          <w:bCs w:val="0"/>
        </w:rPr>
        <w:t>Conclusion</w:t>
      </w:r>
      <w:bookmarkEnd w:id="73"/>
      <w:bookmarkEnd w:id="74"/>
      <w:r w:rsidRPr="000B675B">
        <w:rPr>
          <w:rFonts w:ascii="Arial" w:hAnsi="Arial" w:cs="Arial"/>
          <w:b w:val="0"/>
          <w:bCs w:val="0"/>
        </w:rPr>
        <w:t xml:space="preserve"> </w:t>
      </w:r>
    </w:p>
    <w:p w14:paraId="48FFC8E8" w14:textId="21839186" w:rsidR="008C63A9" w:rsidRPr="00EA58B4" w:rsidRDefault="008C63A9" w:rsidP="00CE2317">
      <w:pPr>
        <w:spacing w:before="240" w:after="240" w:line="360" w:lineRule="auto"/>
        <w:jc w:val="both"/>
        <w:rPr>
          <w:rFonts w:cs="Arial"/>
        </w:rPr>
      </w:pPr>
      <w:r w:rsidRPr="00EA58B4">
        <w:rPr>
          <w:rFonts w:cs="Arial"/>
        </w:rPr>
        <w:t xml:space="preserve">Due to increasing population, expansion of urban boundaries, and climate change, </w:t>
      </w:r>
      <w:r w:rsidR="00FA6E24" w:rsidRPr="00EA58B4">
        <w:rPr>
          <w:rFonts w:cs="Arial"/>
        </w:rPr>
        <w:t>vulnerable occupants within some new Class 9 buildings</w:t>
      </w:r>
      <w:r w:rsidRPr="00EA58B4">
        <w:rPr>
          <w:rFonts w:cs="Arial"/>
        </w:rPr>
        <w:t xml:space="preserve"> </w:t>
      </w:r>
      <w:r w:rsidR="00130E0C" w:rsidRPr="00EA58B4">
        <w:rPr>
          <w:rFonts w:cs="Arial"/>
        </w:rPr>
        <w:t>will be exposed to higher risk</w:t>
      </w:r>
      <w:r w:rsidRPr="00EA58B4">
        <w:rPr>
          <w:rFonts w:cs="Arial"/>
        </w:rPr>
        <w:t xml:space="preserve"> </w:t>
      </w:r>
      <w:r w:rsidR="00FA6E24" w:rsidRPr="00EA58B4">
        <w:rPr>
          <w:rFonts w:cs="Arial"/>
        </w:rPr>
        <w:t xml:space="preserve">of fatality </w:t>
      </w:r>
      <w:r w:rsidR="00C432A9" w:rsidRPr="00EA58B4">
        <w:rPr>
          <w:rFonts w:cs="Arial"/>
        </w:rPr>
        <w:t>during</w:t>
      </w:r>
      <w:r w:rsidRPr="00EA58B4">
        <w:rPr>
          <w:rFonts w:cs="Arial"/>
        </w:rPr>
        <w:t xml:space="preserve"> </w:t>
      </w:r>
      <w:r w:rsidR="00FA6E24" w:rsidRPr="00EA58B4">
        <w:rPr>
          <w:rFonts w:cs="Arial"/>
        </w:rPr>
        <w:t xml:space="preserve">future </w:t>
      </w:r>
      <w:r w:rsidRPr="00EA58B4">
        <w:rPr>
          <w:rFonts w:cs="Arial"/>
        </w:rPr>
        <w:t>bushfire</w:t>
      </w:r>
      <w:r w:rsidR="00130E0C" w:rsidRPr="00EA58B4">
        <w:rPr>
          <w:rFonts w:cs="Arial"/>
        </w:rPr>
        <w:t xml:space="preserve"> events</w:t>
      </w:r>
      <w:r w:rsidR="00C432A9" w:rsidRPr="00EA58B4">
        <w:rPr>
          <w:rFonts w:cs="Arial"/>
        </w:rPr>
        <w:t xml:space="preserve"> relative to historical </w:t>
      </w:r>
      <w:r w:rsidR="00FA6E24" w:rsidRPr="00EA58B4">
        <w:rPr>
          <w:rFonts w:cs="Arial"/>
        </w:rPr>
        <w:t>incidences of fatality</w:t>
      </w:r>
      <w:r w:rsidRPr="00EA58B4">
        <w:rPr>
          <w:rFonts w:cs="Arial"/>
        </w:rPr>
        <w:t xml:space="preserve">. </w:t>
      </w:r>
    </w:p>
    <w:p w14:paraId="7762EB8F" w14:textId="763750D7" w:rsidR="00C432A9" w:rsidRPr="00EA58B4" w:rsidRDefault="00C432A9" w:rsidP="00CE2317">
      <w:pPr>
        <w:spacing w:after="240" w:line="360" w:lineRule="auto"/>
        <w:jc w:val="both"/>
        <w:rPr>
          <w:rFonts w:cs="Arial"/>
        </w:rPr>
      </w:pPr>
      <w:r w:rsidRPr="00EA58B4">
        <w:rPr>
          <w:rFonts w:cs="Arial"/>
        </w:rPr>
        <w:t xml:space="preserve">The objective of this analysis is to evaluate whether the current NCC </w:t>
      </w:r>
      <w:r w:rsidR="00DE47A6" w:rsidRPr="00EA58B4">
        <w:rPr>
          <w:rFonts w:cs="Arial"/>
        </w:rPr>
        <w:t>P</w:t>
      </w:r>
      <w:r w:rsidRPr="00EA58B4">
        <w:rPr>
          <w:rFonts w:cs="Arial"/>
        </w:rPr>
        <w:t xml:space="preserve">rovisions relating to construction in bushfire prone areas need to be revised to reduce the risk of building ignition leading to fatality, injury </w:t>
      </w:r>
      <w:r w:rsidR="00FA6E24" w:rsidRPr="00EA58B4">
        <w:rPr>
          <w:rFonts w:cs="Arial"/>
        </w:rPr>
        <w:t>or</w:t>
      </w:r>
      <w:r w:rsidRPr="00EA58B4">
        <w:rPr>
          <w:rFonts w:cs="Arial"/>
        </w:rPr>
        <w:t xml:space="preserve"> evacuation trauma to vulnerable occupants of new Class 9 buildings.</w:t>
      </w:r>
    </w:p>
    <w:p w14:paraId="2727989F" w14:textId="77777777" w:rsidR="00837AF4" w:rsidRPr="00EA58B4" w:rsidRDefault="008C63A9" w:rsidP="00CE2317">
      <w:pPr>
        <w:spacing w:after="240" w:line="360" w:lineRule="auto"/>
        <w:jc w:val="both"/>
        <w:rPr>
          <w:rFonts w:cs="Arial"/>
        </w:rPr>
      </w:pPr>
      <w:r w:rsidRPr="00EA58B4">
        <w:rPr>
          <w:rFonts w:cs="Arial"/>
        </w:rPr>
        <w:t xml:space="preserve">Option </w:t>
      </w:r>
      <w:r w:rsidR="00130E0C" w:rsidRPr="00EA58B4">
        <w:rPr>
          <w:rFonts w:cs="Arial"/>
        </w:rPr>
        <w:t>2</w:t>
      </w:r>
      <w:r w:rsidR="00C432A9" w:rsidRPr="00EA58B4">
        <w:rPr>
          <w:rFonts w:cs="Arial"/>
        </w:rPr>
        <w:t xml:space="preserve"> has been developed to reduce the risk to vulnerable occupants of Class 9 buildings by requiring specific consideration to bushfire protection via a new mandatory Performance Requirement and optional </w:t>
      </w:r>
      <w:r w:rsidR="00E57B52" w:rsidRPr="00EA58B4">
        <w:rPr>
          <w:rFonts w:cs="Arial"/>
        </w:rPr>
        <w:t>D</w:t>
      </w:r>
      <w:r w:rsidR="00C432A9" w:rsidRPr="00EA58B4">
        <w:rPr>
          <w:rFonts w:cs="Arial"/>
        </w:rPr>
        <w:t>eemed-to-</w:t>
      </w:r>
      <w:r w:rsidR="00E57B52" w:rsidRPr="00EA58B4">
        <w:rPr>
          <w:rFonts w:cs="Arial"/>
        </w:rPr>
        <w:t>S</w:t>
      </w:r>
      <w:r w:rsidR="00C432A9" w:rsidRPr="00EA58B4">
        <w:rPr>
          <w:rFonts w:cs="Arial"/>
        </w:rPr>
        <w:t xml:space="preserve">atisfy </w:t>
      </w:r>
      <w:r w:rsidR="00E57B52" w:rsidRPr="00EA58B4">
        <w:rPr>
          <w:rFonts w:cs="Arial"/>
        </w:rPr>
        <w:t>P</w:t>
      </w:r>
      <w:r w:rsidR="00264B4A" w:rsidRPr="00EA58B4">
        <w:rPr>
          <w:rFonts w:cs="Arial"/>
        </w:rPr>
        <w:t xml:space="preserve">rovisions as </w:t>
      </w:r>
      <w:r w:rsidR="00E57B52" w:rsidRPr="00EA58B4">
        <w:rPr>
          <w:rFonts w:cs="Arial"/>
        </w:rPr>
        <w:t xml:space="preserve">a </w:t>
      </w:r>
      <w:r w:rsidR="00FA6E24" w:rsidRPr="00EA58B4">
        <w:rPr>
          <w:rFonts w:cs="Arial"/>
        </w:rPr>
        <w:t>compliance pathway</w:t>
      </w:r>
      <w:r w:rsidRPr="00EA58B4">
        <w:rPr>
          <w:rFonts w:cs="Arial"/>
        </w:rPr>
        <w:t xml:space="preserve">. </w:t>
      </w:r>
      <w:r w:rsidR="00837AF4" w:rsidRPr="00EA58B4">
        <w:rPr>
          <w:rFonts w:cs="Arial"/>
        </w:rPr>
        <w:t xml:space="preserve">The cost of Option 2 is estimated to be $264 million in Present Value terms, using a discount rate of 7% over 10 years. This aggregate cost is considered small in effort to improve the life safety outcomes for vulnerable occupants of Class 9 buildings in bushfire prone areas. </w:t>
      </w:r>
    </w:p>
    <w:p w14:paraId="6A4E3BF4" w14:textId="3F2CA794" w:rsidR="008C63A9" w:rsidRPr="00EA58B4" w:rsidRDefault="00837AF4" w:rsidP="00856BBF">
      <w:pPr>
        <w:spacing w:after="120" w:line="360" w:lineRule="auto"/>
        <w:jc w:val="both"/>
        <w:rPr>
          <w:rFonts w:cs="Arial"/>
        </w:rPr>
      </w:pPr>
      <w:r w:rsidRPr="00EA58B4">
        <w:rPr>
          <w:rFonts w:cs="Arial"/>
        </w:rPr>
        <w:t>It was also noted through consultation that there are a number of other mitigations in place that have reduced the risk to vulnerable occupants, namely planning and land controls.</w:t>
      </w:r>
      <w:r>
        <w:rPr>
          <w:rFonts w:cs="Arial"/>
        </w:rPr>
        <w:t xml:space="preserve"> </w:t>
      </w:r>
      <w:r w:rsidR="00C432A9" w:rsidRPr="00EA58B4">
        <w:rPr>
          <w:rFonts w:cs="Arial"/>
        </w:rPr>
        <w:t>T</w:t>
      </w:r>
      <w:r w:rsidR="008C63A9" w:rsidRPr="00EA58B4">
        <w:rPr>
          <w:rFonts w:cs="Arial"/>
        </w:rPr>
        <w:t>he risk reduction</w:t>
      </w:r>
      <w:r w:rsidR="00C432A9" w:rsidRPr="00EA58B4">
        <w:rPr>
          <w:rFonts w:cs="Arial"/>
        </w:rPr>
        <w:t xml:space="preserve"> of Option 2</w:t>
      </w:r>
      <w:r w:rsidR="008C63A9" w:rsidRPr="00EA58B4">
        <w:rPr>
          <w:rFonts w:cs="Arial"/>
        </w:rPr>
        <w:t xml:space="preserve"> in absolute terms is </w:t>
      </w:r>
      <w:r>
        <w:rPr>
          <w:rFonts w:cs="Arial"/>
        </w:rPr>
        <w:t xml:space="preserve">therefore </w:t>
      </w:r>
      <w:r w:rsidR="008C63A9" w:rsidRPr="00EA58B4">
        <w:rPr>
          <w:rFonts w:cs="Arial"/>
        </w:rPr>
        <w:t>relatively small</w:t>
      </w:r>
      <w:r>
        <w:rPr>
          <w:rFonts w:cs="Arial"/>
        </w:rPr>
        <w:t xml:space="preserve">, with the risk perceived as highest in aged care where historical fatalities have been associated with permanent evacuation. For costs to breakeven, the proposal would need to avoid the sudden and permanent closure of one new residential </w:t>
      </w:r>
      <w:r w:rsidR="001204D4">
        <w:rPr>
          <w:rFonts w:cs="Arial"/>
        </w:rPr>
        <w:t>aged</w:t>
      </w:r>
      <w:r w:rsidR="00DE47A6" w:rsidRPr="00EA58B4">
        <w:rPr>
          <w:rFonts w:cs="Arial"/>
        </w:rPr>
        <w:t xml:space="preserve"> care </w:t>
      </w:r>
      <w:r>
        <w:rPr>
          <w:rFonts w:cs="Arial"/>
        </w:rPr>
        <w:t xml:space="preserve">building each year. </w:t>
      </w:r>
      <w:r w:rsidR="008C63A9" w:rsidRPr="00EA58B4">
        <w:rPr>
          <w:rFonts w:cs="Arial"/>
        </w:rPr>
        <w:t xml:space="preserve"> </w:t>
      </w:r>
    </w:p>
    <w:p w14:paraId="1D9B770A" w14:textId="098B4071" w:rsidR="00130E0C" w:rsidRPr="00EA58B4" w:rsidRDefault="00837AF4" w:rsidP="00856BBF">
      <w:pPr>
        <w:spacing w:after="120" w:line="360" w:lineRule="auto"/>
        <w:jc w:val="both"/>
        <w:rPr>
          <w:rFonts w:cs="Arial"/>
        </w:rPr>
      </w:pPr>
      <w:r>
        <w:rPr>
          <w:rFonts w:cs="Arial"/>
        </w:rPr>
        <w:t xml:space="preserve">No data or evidence was provided at consultation which could inform the benefits. </w:t>
      </w:r>
      <w:r w:rsidR="0001188E" w:rsidRPr="00EA58B4">
        <w:rPr>
          <w:rFonts w:cs="Arial"/>
        </w:rPr>
        <w:t>Given the</w:t>
      </w:r>
      <w:r w:rsidR="00130E0C" w:rsidRPr="00EA58B4">
        <w:rPr>
          <w:rFonts w:cs="Arial"/>
        </w:rPr>
        <w:t xml:space="preserve"> continued uncertainty regarding the frequency and severity of future bushfire events</w:t>
      </w:r>
      <w:r w:rsidR="0001188E" w:rsidRPr="00EA58B4">
        <w:rPr>
          <w:rFonts w:cs="Arial"/>
        </w:rPr>
        <w:t xml:space="preserve">, a breakeven analysis was conducted to </w:t>
      </w:r>
      <w:r w:rsidR="00E60FEA" w:rsidRPr="00EA58B4">
        <w:rPr>
          <w:rFonts w:cs="Arial"/>
        </w:rPr>
        <w:t xml:space="preserve">provide a means to gauge </w:t>
      </w:r>
      <w:r w:rsidR="00264B4A" w:rsidRPr="00EA58B4">
        <w:rPr>
          <w:rFonts w:cs="Arial"/>
        </w:rPr>
        <w:t xml:space="preserve">the reasonableness of the </w:t>
      </w:r>
      <w:r>
        <w:rPr>
          <w:rFonts w:cs="Arial"/>
        </w:rPr>
        <w:t>costs being offset by the</w:t>
      </w:r>
      <w:r w:rsidRPr="00EA58B4">
        <w:rPr>
          <w:rFonts w:cs="Arial"/>
        </w:rPr>
        <w:t xml:space="preserve"> </w:t>
      </w:r>
      <w:r w:rsidR="00264B4A" w:rsidRPr="00EA58B4">
        <w:rPr>
          <w:rFonts w:cs="Arial"/>
        </w:rPr>
        <w:t>benefits</w:t>
      </w:r>
      <w:r w:rsidR="000E1879" w:rsidRPr="00EA58B4">
        <w:rPr>
          <w:rFonts w:cs="Arial"/>
        </w:rPr>
        <w:t xml:space="preserve"> of Option 2</w:t>
      </w:r>
      <w:r w:rsidR="00264B4A" w:rsidRPr="00EA58B4">
        <w:rPr>
          <w:rFonts w:cs="Arial"/>
        </w:rPr>
        <w:t xml:space="preserve">. </w:t>
      </w:r>
    </w:p>
    <w:p w14:paraId="45E3F94F" w14:textId="56865BDB" w:rsidR="000E1879" w:rsidRPr="00EA58B4" w:rsidRDefault="00264B4A" w:rsidP="00856BBF">
      <w:pPr>
        <w:spacing w:after="120" w:line="360" w:lineRule="auto"/>
        <w:jc w:val="both"/>
        <w:rPr>
          <w:rFonts w:cs="Arial"/>
        </w:rPr>
      </w:pPr>
      <w:r w:rsidRPr="00EA58B4">
        <w:rPr>
          <w:rFonts w:cs="Arial"/>
        </w:rPr>
        <w:t xml:space="preserve">The breakeven analysis </w:t>
      </w:r>
      <w:r w:rsidR="000E1879" w:rsidRPr="00EA58B4">
        <w:rPr>
          <w:rFonts w:cs="Arial"/>
        </w:rPr>
        <w:t>shows</w:t>
      </w:r>
      <w:r w:rsidRPr="00EA58B4">
        <w:rPr>
          <w:rFonts w:cs="Arial"/>
        </w:rPr>
        <w:t xml:space="preserve"> a</w:t>
      </w:r>
      <w:r w:rsidR="00572201">
        <w:rPr>
          <w:rFonts w:cs="Arial"/>
        </w:rPr>
        <w:t xml:space="preserve"> required</w:t>
      </w:r>
      <w:r w:rsidR="00E60FEA" w:rsidRPr="00EA58B4">
        <w:rPr>
          <w:rFonts w:cs="Arial"/>
        </w:rPr>
        <w:t xml:space="preserve"> </w:t>
      </w:r>
      <w:r w:rsidRPr="00EA58B4">
        <w:rPr>
          <w:rFonts w:cs="Arial"/>
        </w:rPr>
        <w:t xml:space="preserve">annual avoided fatality rate </w:t>
      </w:r>
      <w:r w:rsidR="000E1879" w:rsidRPr="00EA58B4">
        <w:rPr>
          <w:rFonts w:cs="Arial"/>
        </w:rPr>
        <w:t xml:space="preserve">to offset the PV costs, </w:t>
      </w:r>
      <w:r w:rsidRPr="00EA58B4">
        <w:rPr>
          <w:rFonts w:cs="Arial"/>
        </w:rPr>
        <w:t>rang</w:t>
      </w:r>
      <w:r w:rsidR="00837AF4">
        <w:rPr>
          <w:rFonts w:cs="Arial"/>
        </w:rPr>
        <w:t>ing</w:t>
      </w:r>
      <w:r w:rsidRPr="00EA58B4">
        <w:rPr>
          <w:rFonts w:cs="Arial"/>
        </w:rPr>
        <w:t xml:space="preserve"> from 0.6 fatalities for </w:t>
      </w:r>
      <w:r w:rsidR="00E60FEA" w:rsidRPr="00EA58B4">
        <w:rPr>
          <w:rFonts w:cs="Arial"/>
        </w:rPr>
        <w:t xml:space="preserve">Class 9 </w:t>
      </w:r>
      <w:r w:rsidRPr="00EA58B4">
        <w:rPr>
          <w:rFonts w:cs="Arial"/>
        </w:rPr>
        <w:t>health</w:t>
      </w:r>
      <w:r w:rsidR="001204D4">
        <w:rPr>
          <w:rFonts w:cs="Arial"/>
        </w:rPr>
        <w:t>-</w:t>
      </w:r>
      <w:r w:rsidRPr="00EA58B4">
        <w:rPr>
          <w:rFonts w:cs="Arial"/>
        </w:rPr>
        <w:t>care buildings</w:t>
      </w:r>
      <w:r w:rsidR="00572201">
        <w:rPr>
          <w:rFonts w:cs="Arial"/>
        </w:rPr>
        <w:t xml:space="preserve">, </w:t>
      </w:r>
      <w:r w:rsidR="00837AF4">
        <w:rPr>
          <w:rFonts w:cs="Arial"/>
        </w:rPr>
        <w:t>1 fatalit</w:t>
      </w:r>
      <w:r w:rsidR="007A0537">
        <w:rPr>
          <w:rFonts w:cs="Arial"/>
        </w:rPr>
        <w:t>y</w:t>
      </w:r>
      <w:r w:rsidR="00837AF4">
        <w:rPr>
          <w:rFonts w:cs="Arial"/>
        </w:rPr>
        <w:t xml:space="preserve"> for schools and </w:t>
      </w:r>
      <w:r w:rsidR="001E54D0" w:rsidRPr="00EA58B4">
        <w:rPr>
          <w:rFonts w:cs="Arial"/>
        </w:rPr>
        <w:t>2.8</w:t>
      </w:r>
      <w:r w:rsidRPr="00EA58B4">
        <w:rPr>
          <w:rFonts w:cs="Arial"/>
        </w:rPr>
        <w:t xml:space="preserve"> fatalities </w:t>
      </w:r>
      <w:r w:rsidR="00837AF4">
        <w:rPr>
          <w:rFonts w:cs="Arial"/>
        </w:rPr>
        <w:t xml:space="preserve">in </w:t>
      </w:r>
      <w:r w:rsidR="00682236">
        <w:rPr>
          <w:rFonts w:cs="Arial"/>
        </w:rPr>
        <w:t xml:space="preserve">Class 9 </w:t>
      </w:r>
      <w:r w:rsidR="004B1C2B">
        <w:rPr>
          <w:rFonts w:cs="Arial"/>
        </w:rPr>
        <w:t>early childhood centres</w:t>
      </w:r>
      <w:r w:rsidRPr="00EA58B4">
        <w:rPr>
          <w:rFonts w:cs="Arial"/>
        </w:rPr>
        <w:t>.</w:t>
      </w:r>
    </w:p>
    <w:p w14:paraId="55E03559" w14:textId="137CAD59" w:rsidR="000E1879" w:rsidRPr="00EA58B4" w:rsidRDefault="00E60FEA" w:rsidP="000E1879">
      <w:pPr>
        <w:spacing w:before="240" w:line="360" w:lineRule="auto"/>
        <w:jc w:val="both"/>
        <w:rPr>
          <w:rFonts w:cs="Arial"/>
        </w:rPr>
      </w:pPr>
      <w:r w:rsidRPr="00EA58B4">
        <w:rPr>
          <w:rFonts w:cs="Arial"/>
        </w:rPr>
        <w:t xml:space="preserve">In </w:t>
      </w:r>
      <w:r w:rsidR="00EB360C" w:rsidRPr="00EA58B4">
        <w:rPr>
          <w:rFonts w:cs="Arial"/>
        </w:rPr>
        <w:t xml:space="preserve">the case of </w:t>
      </w:r>
      <w:r w:rsidRPr="00EA58B4">
        <w:rPr>
          <w:rFonts w:cs="Arial"/>
        </w:rPr>
        <w:t>aged care</w:t>
      </w:r>
      <w:r w:rsidR="001D6C9A">
        <w:rPr>
          <w:rFonts w:cs="Arial"/>
        </w:rPr>
        <w:t>,</w:t>
      </w:r>
      <w:r w:rsidR="00EB360C" w:rsidRPr="00EA58B4">
        <w:rPr>
          <w:rFonts w:cs="Arial"/>
        </w:rPr>
        <w:t xml:space="preserve"> one </w:t>
      </w:r>
      <w:r w:rsidR="00837AF4">
        <w:rPr>
          <w:rFonts w:cs="Arial"/>
        </w:rPr>
        <w:t xml:space="preserve">evacuation in response to a bushfire caused a </w:t>
      </w:r>
      <w:r w:rsidR="00EB360C" w:rsidRPr="00EA58B4">
        <w:rPr>
          <w:rFonts w:cs="Arial"/>
        </w:rPr>
        <w:t xml:space="preserve">multi-fatality event, </w:t>
      </w:r>
      <w:r w:rsidR="00837AF4">
        <w:rPr>
          <w:rFonts w:cs="Arial"/>
        </w:rPr>
        <w:t xml:space="preserve">which </w:t>
      </w:r>
      <w:r w:rsidR="00EB360C" w:rsidRPr="00EA58B4">
        <w:rPr>
          <w:rFonts w:cs="Arial"/>
        </w:rPr>
        <w:t>support</w:t>
      </w:r>
      <w:r w:rsidR="001D6C9A">
        <w:rPr>
          <w:rFonts w:cs="Arial"/>
        </w:rPr>
        <w:t>s</w:t>
      </w:r>
      <w:r w:rsidR="00EB360C" w:rsidRPr="00EA58B4">
        <w:rPr>
          <w:rFonts w:cs="Arial"/>
        </w:rPr>
        <w:t xml:space="preserve"> the reasonableness</w:t>
      </w:r>
      <w:r w:rsidR="00837AF4">
        <w:rPr>
          <w:rFonts w:cs="Arial"/>
        </w:rPr>
        <w:t xml:space="preserve"> of the estimate. </w:t>
      </w:r>
      <w:r w:rsidR="00EB360C" w:rsidRPr="00EA58B4">
        <w:rPr>
          <w:rFonts w:cs="Arial"/>
        </w:rPr>
        <w:t xml:space="preserve"> </w:t>
      </w:r>
      <w:r w:rsidR="00837AF4">
        <w:rPr>
          <w:rFonts w:cs="Arial"/>
        </w:rPr>
        <w:t>Similarly, for Class 9 health-care</w:t>
      </w:r>
      <w:r w:rsidR="001D6C9A">
        <w:rPr>
          <w:rFonts w:cs="Arial"/>
        </w:rPr>
        <w:t>,</w:t>
      </w:r>
      <w:r w:rsidR="00837AF4" w:rsidRPr="00EA58B4">
        <w:rPr>
          <w:rFonts w:cs="Arial"/>
        </w:rPr>
        <w:t xml:space="preserve"> which share</w:t>
      </w:r>
      <w:r w:rsidR="00837AF4">
        <w:rPr>
          <w:rFonts w:cs="Arial"/>
        </w:rPr>
        <w:t>s</w:t>
      </w:r>
      <w:r w:rsidR="00837AF4" w:rsidRPr="00EA58B4">
        <w:rPr>
          <w:rFonts w:cs="Arial"/>
        </w:rPr>
        <w:t xml:space="preserve"> </w:t>
      </w:r>
      <w:r w:rsidR="00837AF4">
        <w:rPr>
          <w:rFonts w:cs="Arial"/>
        </w:rPr>
        <w:t xml:space="preserve">usage </w:t>
      </w:r>
      <w:r w:rsidR="00837AF4" w:rsidRPr="00EA58B4">
        <w:rPr>
          <w:rFonts w:cs="Arial"/>
        </w:rPr>
        <w:t>characteristics with aged care</w:t>
      </w:r>
      <w:r w:rsidR="00837AF4">
        <w:rPr>
          <w:rFonts w:cs="Arial"/>
        </w:rPr>
        <w:t xml:space="preserve"> </w:t>
      </w:r>
      <w:r w:rsidR="001D6C9A">
        <w:rPr>
          <w:rFonts w:cs="Arial"/>
        </w:rPr>
        <w:t>(</w:t>
      </w:r>
      <w:r w:rsidR="00837AF4">
        <w:rPr>
          <w:rFonts w:cs="Arial"/>
        </w:rPr>
        <w:t>both around the nature and hours of occupation and challenges with evacuation</w:t>
      </w:r>
      <w:r w:rsidR="001D6C9A">
        <w:rPr>
          <w:rFonts w:cs="Arial"/>
        </w:rPr>
        <w:t>),</w:t>
      </w:r>
      <w:r w:rsidR="00837AF4">
        <w:rPr>
          <w:rFonts w:cs="Arial"/>
        </w:rPr>
        <w:t xml:space="preserve"> t</w:t>
      </w:r>
      <w:r w:rsidR="00EB360C" w:rsidRPr="00EA58B4">
        <w:rPr>
          <w:rFonts w:cs="Arial"/>
        </w:rPr>
        <w:t xml:space="preserve">he breakeven </w:t>
      </w:r>
      <w:r w:rsidR="00682236">
        <w:rPr>
          <w:rFonts w:cs="Arial"/>
        </w:rPr>
        <w:t xml:space="preserve">rate </w:t>
      </w:r>
      <w:r w:rsidR="00EB360C" w:rsidRPr="00EA58B4">
        <w:rPr>
          <w:rFonts w:cs="Arial"/>
        </w:rPr>
        <w:t>is lowe</w:t>
      </w:r>
      <w:r w:rsidR="00837AF4">
        <w:rPr>
          <w:rFonts w:cs="Arial"/>
        </w:rPr>
        <w:t>r</w:t>
      </w:r>
      <w:r w:rsidR="00EB360C" w:rsidRPr="00EA58B4">
        <w:rPr>
          <w:rFonts w:cs="Arial"/>
        </w:rPr>
        <w:t xml:space="preserve">. In other </w:t>
      </w:r>
      <w:r w:rsidR="00682236">
        <w:rPr>
          <w:rFonts w:cs="Arial"/>
        </w:rPr>
        <w:t xml:space="preserve">Class 9 </w:t>
      </w:r>
      <w:r w:rsidR="00EB360C" w:rsidRPr="00EA58B4">
        <w:rPr>
          <w:rFonts w:cs="Arial"/>
        </w:rPr>
        <w:t xml:space="preserve">buildings, </w:t>
      </w:r>
      <w:r w:rsidR="00837AF4" w:rsidRPr="00EA58B4">
        <w:rPr>
          <w:rFonts w:cs="Arial"/>
        </w:rPr>
        <w:t>there are important differences in the uses of</w:t>
      </w:r>
      <w:r w:rsidR="00837AF4">
        <w:rPr>
          <w:rFonts w:cs="Arial"/>
        </w:rPr>
        <w:t xml:space="preserve"> </w:t>
      </w:r>
      <w:r w:rsidR="00837AF4" w:rsidRPr="00EA58B4">
        <w:rPr>
          <w:rFonts w:cs="Arial"/>
        </w:rPr>
        <w:t>Class 9</w:t>
      </w:r>
      <w:r w:rsidR="00837AF4">
        <w:rPr>
          <w:rFonts w:cs="Arial"/>
        </w:rPr>
        <w:t xml:space="preserve"> schools and early childcare centres including </w:t>
      </w:r>
      <w:r w:rsidR="001D6C9A">
        <w:rPr>
          <w:rFonts w:cs="Arial"/>
        </w:rPr>
        <w:t xml:space="preserve">not </w:t>
      </w:r>
      <w:r w:rsidR="00837AF4">
        <w:rPr>
          <w:rFonts w:cs="Arial"/>
        </w:rPr>
        <w:t>being continually</w:t>
      </w:r>
      <w:r w:rsidR="00837AF4" w:rsidRPr="00EA58B4">
        <w:rPr>
          <w:rFonts w:cs="Arial"/>
        </w:rPr>
        <w:t xml:space="preserve"> occupied</w:t>
      </w:r>
      <w:r w:rsidR="00837AF4">
        <w:rPr>
          <w:rFonts w:cs="Arial"/>
        </w:rPr>
        <w:t xml:space="preserve"> by</w:t>
      </w:r>
      <w:r w:rsidR="00837AF4" w:rsidRPr="00EA58B4">
        <w:rPr>
          <w:rFonts w:cs="Arial"/>
        </w:rPr>
        <w:t xml:space="preserve"> incapacitated occupants</w:t>
      </w:r>
      <w:r w:rsidR="00837AF4">
        <w:rPr>
          <w:rFonts w:cs="Arial"/>
        </w:rPr>
        <w:t xml:space="preserve">, </w:t>
      </w:r>
      <w:r w:rsidR="00837AF4" w:rsidRPr="00EA58B4">
        <w:rPr>
          <w:rFonts w:cs="Arial"/>
        </w:rPr>
        <w:t xml:space="preserve">overnight or after business hours. </w:t>
      </w:r>
      <w:r w:rsidR="00837AF4">
        <w:rPr>
          <w:rFonts w:cs="Arial"/>
        </w:rPr>
        <w:t>W</w:t>
      </w:r>
      <w:r w:rsidR="000E1879" w:rsidRPr="00EA58B4">
        <w:rPr>
          <w:rFonts w:cs="Arial"/>
        </w:rPr>
        <w:t>hile the breakeven rate is low</w:t>
      </w:r>
      <w:r w:rsidR="00EB360C" w:rsidRPr="00EA58B4">
        <w:rPr>
          <w:rFonts w:cs="Arial"/>
        </w:rPr>
        <w:t xml:space="preserve"> in absolute terms</w:t>
      </w:r>
      <w:r w:rsidR="000E1879" w:rsidRPr="00EA58B4">
        <w:rPr>
          <w:rFonts w:cs="Arial"/>
        </w:rPr>
        <w:t>, it should be noted that the current rate of fatality within these building types is</w:t>
      </w:r>
      <w:r w:rsidR="00682236">
        <w:rPr>
          <w:rFonts w:cs="Arial"/>
        </w:rPr>
        <w:t xml:space="preserve"> also</w:t>
      </w:r>
      <w:r w:rsidR="000E1879" w:rsidRPr="00EA58B4">
        <w:rPr>
          <w:rFonts w:cs="Arial"/>
        </w:rPr>
        <w:t xml:space="preserve"> very low, with no recorded historic fatalities occurring within these building types. </w:t>
      </w:r>
    </w:p>
    <w:p w14:paraId="565EDDAD" w14:textId="3112DC5D" w:rsidR="008C63A9" w:rsidRPr="00EA58B4" w:rsidRDefault="008C63A9" w:rsidP="00CE2317">
      <w:pPr>
        <w:spacing w:before="240" w:after="240" w:line="360" w:lineRule="auto"/>
        <w:jc w:val="both"/>
        <w:rPr>
          <w:rFonts w:cs="Arial"/>
        </w:rPr>
      </w:pPr>
      <w:r w:rsidRPr="00EA58B4">
        <w:rPr>
          <w:rFonts w:cs="Arial"/>
        </w:rPr>
        <w:t xml:space="preserve">Based on </w:t>
      </w:r>
      <w:r w:rsidR="00ED2AD5" w:rsidRPr="00EA58B4">
        <w:rPr>
          <w:rFonts w:cs="Arial"/>
        </w:rPr>
        <w:t>the breakeven results</w:t>
      </w:r>
      <w:r w:rsidR="001D6C9A">
        <w:rPr>
          <w:rFonts w:cs="Arial"/>
        </w:rPr>
        <w:t>,</w:t>
      </w:r>
      <w:r w:rsidR="00ED2AD5" w:rsidRPr="00EA58B4">
        <w:rPr>
          <w:rFonts w:cs="Arial"/>
        </w:rPr>
        <w:t xml:space="preserve"> and having regard to the </w:t>
      </w:r>
      <w:r w:rsidR="00837AF4">
        <w:rPr>
          <w:rFonts w:cs="Arial"/>
        </w:rPr>
        <w:t>breakeven</w:t>
      </w:r>
      <w:r w:rsidR="00ED2AD5" w:rsidRPr="00EA58B4">
        <w:rPr>
          <w:rFonts w:cs="Arial"/>
        </w:rPr>
        <w:t xml:space="preserve"> analysis</w:t>
      </w:r>
      <w:r w:rsidRPr="00EA58B4">
        <w:rPr>
          <w:rFonts w:cs="Arial"/>
        </w:rPr>
        <w:t xml:space="preserve">, it is considered unlikely that the benefits of Option </w:t>
      </w:r>
      <w:r w:rsidR="00130E0C" w:rsidRPr="00EA58B4">
        <w:rPr>
          <w:rFonts w:cs="Arial"/>
        </w:rPr>
        <w:t>2</w:t>
      </w:r>
      <w:r w:rsidRPr="00EA58B4">
        <w:rPr>
          <w:rFonts w:cs="Arial"/>
        </w:rPr>
        <w:t xml:space="preserve"> will be greater than the cost in all </w:t>
      </w:r>
      <w:r w:rsidR="006202E9" w:rsidRPr="00EA58B4">
        <w:rPr>
          <w:rFonts w:cs="Arial"/>
        </w:rPr>
        <w:t>cases</w:t>
      </w:r>
      <w:r w:rsidRPr="00EA58B4">
        <w:rPr>
          <w:rFonts w:cs="Arial"/>
        </w:rPr>
        <w:t xml:space="preserve">. </w:t>
      </w:r>
      <w:r w:rsidR="00837AF4">
        <w:rPr>
          <w:rFonts w:cs="Arial"/>
        </w:rPr>
        <w:t>T</w:t>
      </w:r>
      <w:r w:rsidR="000D1009" w:rsidRPr="00EA58B4">
        <w:rPr>
          <w:rFonts w:cs="Arial"/>
        </w:rPr>
        <w:t xml:space="preserve">here is a stronger case for new requirements for </w:t>
      </w:r>
      <w:r w:rsidR="00572201">
        <w:rPr>
          <w:rFonts w:cs="Arial"/>
        </w:rPr>
        <w:t xml:space="preserve">Class 9 </w:t>
      </w:r>
      <w:r w:rsidR="001204D4">
        <w:rPr>
          <w:rFonts w:cs="Arial"/>
        </w:rPr>
        <w:t>residential</w:t>
      </w:r>
      <w:r w:rsidR="001204D4" w:rsidRPr="00EA58B4">
        <w:rPr>
          <w:rFonts w:cs="Arial"/>
        </w:rPr>
        <w:t xml:space="preserve"> </w:t>
      </w:r>
      <w:r w:rsidR="000D1009" w:rsidRPr="00EA58B4">
        <w:rPr>
          <w:rFonts w:cs="Arial"/>
        </w:rPr>
        <w:t xml:space="preserve">care </w:t>
      </w:r>
      <w:r w:rsidR="00B46AEC">
        <w:rPr>
          <w:rFonts w:cs="Arial"/>
        </w:rPr>
        <w:t xml:space="preserve">facilities </w:t>
      </w:r>
      <w:r w:rsidR="000D1009" w:rsidRPr="00EA58B4">
        <w:rPr>
          <w:rFonts w:cs="Arial"/>
        </w:rPr>
        <w:t xml:space="preserve">and </w:t>
      </w:r>
      <w:r w:rsidR="001204D4">
        <w:rPr>
          <w:rFonts w:cs="Arial"/>
        </w:rPr>
        <w:t>health-care</w:t>
      </w:r>
      <w:r w:rsidR="00572201">
        <w:rPr>
          <w:rFonts w:cs="Arial"/>
        </w:rPr>
        <w:t>;</w:t>
      </w:r>
      <w:r w:rsidR="000D1009" w:rsidRPr="00EA58B4">
        <w:rPr>
          <w:rFonts w:cs="Arial"/>
        </w:rPr>
        <w:t xml:space="preserve"> relative to</w:t>
      </w:r>
      <w:r w:rsidR="00572201">
        <w:rPr>
          <w:rFonts w:cs="Arial"/>
        </w:rPr>
        <w:t xml:space="preserve"> Class 9 </w:t>
      </w:r>
      <w:r w:rsidR="000D1009" w:rsidRPr="00EA58B4">
        <w:rPr>
          <w:rFonts w:cs="Arial"/>
        </w:rPr>
        <w:t>school</w:t>
      </w:r>
      <w:r w:rsidR="008D2753">
        <w:rPr>
          <w:rFonts w:cs="Arial"/>
        </w:rPr>
        <w:t>s</w:t>
      </w:r>
      <w:r w:rsidR="000D1009" w:rsidRPr="00EA58B4">
        <w:rPr>
          <w:rFonts w:cs="Arial"/>
        </w:rPr>
        <w:t xml:space="preserve"> and childcare buildings. </w:t>
      </w:r>
      <w:r w:rsidR="00EC5D73" w:rsidRPr="00EA58B4">
        <w:rPr>
          <w:rFonts w:cs="Arial"/>
        </w:rPr>
        <w:t>This is also emphasised when considering other benefits which may result from higher building standards, such as avoiding the need for long</w:t>
      </w:r>
      <w:r w:rsidR="008D2753">
        <w:rPr>
          <w:rFonts w:cs="Arial"/>
        </w:rPr>
        <w:t>-</w:t>
      </w:r>
      <w:r w:rsidR="00EC5D73" w:rsidRPr="00EA58B4">
        <w:rPr>
          <w:rFonts w:cs="Arial"/>
        </w:rPr>
        <w:t xml:space="preserve">term or permanent closure of these buildings. </w:t>
      </w:r>
    </w:p>
    <w:p w14:paraId="5D021E5B" w14:textId="3BE444E8" w:rsidR="008C63A9" w:rsidRPr="00EA58B4" w:rsidRDefault="000D1009" w:rsidP="00CE2317">
      <w:pPr>
        <w:spacing w:before="240" w:after="240" w:line="360" w:lineRule="auto"/>
        <w:jc w:val="both"/>
        <w:rPr>
          <w:rFonts w:cs="Arial"/>
        </w:rPr>
      </w:pPr>
      <w:r w:rsidRPr="00EA58B4">
        <w:rPr>
          <w:rFonts w:cs="Arial"/>
        </w:rPr>
        <w:t>The non-regulatory option (</w:t>
      </w:r>
      <w:r w:rsidR="008C63A9" w:rsidRPr="00EA58B4">
        <w:rPr>
          <w:rFonts w:cs="Arial"/>
        </w:rPr>
        <w:t xml:space="preserve">Option </w:t>
      </w:r>
      <w:r w:rsidR="00C33525" w:rsidRPr="00EA58B4">
        <w:rPr>
          <w:rFonts w:cs="Arial"/>
        </w:rPr>
        <w:t>3</w:t>
      </w:r>
      <w:r w:rsidRPr="00EA58B4">
        <w:rPr>
          <w:rFonts w:cs="Arial"/>
        </w:rPr>
        <w:t>)</w:t>
      </w:r>
      <w:r w:rsidR="008C63A9" w:rsidRPr="00EA58B4">
        <w:rPr>
          <w:rFonts w:cs="Arial"/>
        </w:rPr>
        <w:t xml:space="preserve"> would assist in instances where planning decisions allow certain</w:t>
      </w:r>
      <w:r w:rsidR="00C33525" w:rsidRPr="00EA58B4">
        <w:rPr>
          <w:rFonts w:cs="Arial"/>
        </w:rPr>
        <w:t xml:space="preserve"> Class 9 buildings</w:t>
      </w:r>
      <w:r w:rsidR="008C63A9" w:rsidRPr="00EA58B4">
        <w:rPr>
          <w:rFonts w:cs="Arial"/>
        </w:rPr>
        <w:t xml:space="preserve"> to be constructed in </w:t>
      </w:r>
      <w:r w:rsidR="00C33525" w:rsidRPr="00EA58B4">
        <w:rPr>
          <w:rFonts w:cs="Arial"/>
        </w:rPr>
        <w:t>bushfire prone areas</w:t>
      </w:r>
      <w:r w:rsidR="008C63A9" w:rsidRPr="00EA58B4">
        <w:rPr>
          <w:rFonts w:cs="Arial"/>
        </w:rPr>
        <w:t xml:space="preserve"> (to meet community needs), and </w:t>
      </w:r>
      <w:r w:rsidR="00C33525" w:rsidRPr="00EA58B4">
        <w:rPr>
          <w:rFonts w:cs="Arial"/>
        </w:rPr>
        <w:t xml:space="preserve">where </w:t>
      </w:r>
      <w:r w:rsidR="008C63A9" w:rsidRPr="00EA58B4">
        <w:rPr>
          <w:rFonts w:cs="Arial"/>
        </w:rPr>
        <w:t>those approving, developing or managing such facilities possess a lack of understanding or information at the physical building design stage of construction.</w:t>
      </w:r>
      <w:r w:rsidR="00C33525" w:rsidRPr="00EA58B4">
        <w:rPr>
          <w:rFonts w:cs="Arial"/>
        </w:rPr>
        <w:t xml:space="preserve"> </w:t>
      </w:r>
    </w:p>
    <w:p w14:paraId="73A25342" w14:textId="64B6592C" w:rsidR="00C33525" w:rsidRPr="00EA58B4" w:rsidRDefault="00C33525" w:rsidP="00CE2317">
      <w:pPr>
        <w:spacing w:before="240" w:after="240" w:line="360" w:lineRule="auto"/>
        <w:jc w:val="both"/>
        <w:rPr>
          <w:rFonts w:cs="Arial"/>
        </w:rPr>
      </w:pPr>
      <w:r w:rsidRPr="00EA58B4">
        <w:rPr>
          <w:rFonts w:cs="Arial"/>
        </w:rPr>
        <w:t xml:space="preserve">However, Option 3 inherently involves voluntary uptake of higher standards, which may not be achieved due to several plausible market failures. As such, the </w:t>
      </w:r>
      <w:r w:rsidR="00682236" w:rsidRPr="00EA58B4">
        <w:rPr>
          <w:rFonts w:cs="Arial"/>
        </w:rPr>
        <w:t xml:space="preserve">increased </w:t>
      </w:r>
      <w:r w:rsidRPr="00EA58B4">
        <w:rPr>
          <w:rFonts w:cs="Arial"/>
        </w:rPr>
        <w:t>effectiveness of this option relative to the status quo is likely to be i</w:t>
      </w:r>
      <w:r w:rsidR="00ED2AD5" w:rsidRPr="00EA58B4">
        <w:rPr>
          <w:rFonts w:cs="Arial"/>
        </w:rPr>
        <w:t>mmaterial</w:t>
      </w:r>
      <w:r w:rsidR="00856BBF" w:rsidRPr="00EA58B4">
        <w:rPr>
          <w:rFonts w:cs="Arial"/>
        </w:rPr>
        <w:t xml:space="preserve">. </w:t>
      </w:r>
    </w:p>
    <w:p w14:paraId="3F82DA0E" w14:textId="70DA8743" w:rsidR="00EE6202" w:rsidRPr="00682236" w:rsidRDefault="00856BBF" w:rsidP="00CE2317">
      <w:pPr>
        <w:spacing w:before="240" w:after="240" w:line="360" w:lineRule="auto"/>
        <w:jc w:val="both"/>
        <w:rPr>
          <w:rFonts w:cs="Arial"/>
        </w:rPr>
      </w:pPr>
      <w:bookmarkStart w:id="75" w:name="_Toc71195757"/>
      <w:r w:rsidRPr="00EA58B4">
        <w:rPr>
          <w:rFonts w:cs="Arial"/>
        </w:rPr>
        <w:t>Based on the findings of this analysis, it is recommended that decision makers consider the likelihood of higher future risk</w:t>
      </w:r>
      <w:r w:rsidR="002020CC" w:rsidRPr="00EA58B4">
        <w:rPr>
          <w:rFonts w:cs="Arial"/>
        </w:rPr>
        <w:t xml:space="preserve"> relative to current risk </w:t>
      </w:r>
      <w:r w:rsidR="00A1161C" w:rsidRPr="00EA58B4">
        <w:rPr>
          <w:rFonts w:cs="Arial"/>
        </w:rPr>
        <w:t>for</w:t>
      </w:r>
      <w:r w:rsidRPr="00EA58B4">
        <w:rPr>
          <w:rFonts w:cs="Arial"/>
        </w:rPr>
        <w:t xml:space="preserve"> vulnerable</w:t>
      </w:r>
      <w:r w:rsidR="00A1161C" w:rsidRPr="00EA58B4">
        <w:rPr>
          <w:rFonts w:cs="Arial"/>
        </w:rPr>
        <w:t xml:space="preserve"> </w:t>
      </w:r>
      <w:r w:rsidRPr="00EA58B4">
        <w:rPr>
          <w:rFonts w:cs="Arial"/>
        </w:rPr>
        <w:t xml:space="preserve">occupants of Class 9 buildings </w:t>
      </w:r>
      <w:r w:rsidR="00495EEF" w:rsidRPr="00EA58B4">
        <w:rPr>
          <w:rFonts w:cs="Arial"/>
        </w:rPr>
        <w:t xml:space="preserve">in bushfire prone areas </w:t>
      </w:r>
      <w:r w:rsidRPr="00EA58B4">
        <w:rPr>
          <w:rFonts w:cs="Arial"/>
        </w:rPr>
        <w:t>and determine whether the breakeven results are plausible for all building types considered by this analysis</w:t>
      </w:r>
      <w:r w:rsidR="00495EEF" w:rsidRPr="00682236">
        <w:rPr>
          <w:rFonts w:cs="Arial"/>
        </w:rPr>
        <w:t>.</w:t>
      </w:r>
    </w:p>
    <w:p w14:paraId="12702BE0" w14:textId="3B9CBBFE" w:rsidR="008C63A9" w:rsidRPr="00572201" w:rsidRDefault="00DA664F" w:rsidP="00CE2317">
      <w:pPr>
        <w:spacing w:before="240" w:after="240" w:line="360" w:lineRule="auto"/>
        <w:jc w:val="both"/>
        <w:rPr>
          <w:rFonts w:cs="Arial"/>
        </w:rPr>
      </w:pPr>
      <w:r w:rsidRPr="00EA58B4">
        <w:rPr>
          <w:rFonts w:cs="Arial"/>
        </w:rPr>
        <w:t xml:space="preserve">On the basis </w:t>
      </w:r>
      <w:r w:rsidR="00682236" w:rsidRPr="00EA58B4">
        <w:rPr>
          <w:rFonts w:cs="Arial"/>
        </w:rPr>
        <w:t xml:space="preserve">of belief </w:t>
      </w:r>
      <w:r w:rsidRPr="00EA58B4">
        <w:rPr>
          <w:rFonts w:cs="Arial"/>
        </w:rPr>
        <w:t>that the</w:t>
      </w:r>
      <w:r w:rsidR="00EE6202" w:rsidRPr="00EA58B4">
        <w:rPr>
          <w:rFonts w:cs="Arial"/>
        </w:rPr>
        <w:t xml:space="preserve"> future risk o</w:t>
      </w:r>
      <w:r w:rsidR="002751B7" w:rsidRPr="00EA58B4">
        <w:rPr>
          <w:rFonts w:cs="Arial"/>
        </w:rPr>
        <w:t xml:space="preserve">f </w:t>
      </w:r>
      <w:r w:rsidR="00437E92" w:rsidRPr="00EA58B4">
        <w:rPr>
          <w:rFonts w:cs="Arial"/>
        </w:rPr>
        <w:t xml:space="preserve">bushfire is increasing and the consequences of this increased risk </w:t>
      </w:r>
      <w:r w:rsidR="000C19E3" w:rsidRPr="00EA58B4">
        <w:rPr>
          <w:rFonts w:cs="Arial"/>
        </w:rPr>
        <w:t xml:space="preserve">to vulnerable occupants of Class 9 buildings </w:t>
      </w:r>
      <w:r w:rsidR="00437E92" w:rsidRPr="00EA58B4">
        <w:rPr>
          <w:rFonts w:cs="Arial"/>
        </w:rPr>
        <w:t>is</w:t>
      </w:r>
      <w:r w:rsidR="00682236" w:rsidRPr="00EA58B4">
        <w:rPr>
          <w:rFonts w:cs="Arial"/>
        </w:rPr>
        <w:t xml:space="preserve"> not sufficiently mitigated by other </w:t>
      </w:r>
      <w:r w:rsidR="00572201" w:rsidRPr="00A108FB">
        <w:rPr>
          <w:rFonts w:cs="Arial"/>
        </w:rPr>
        <w:t>interventions</w:t>
      </w:r>
      <w:r w:rsidR="002751B7" w:rsidRPr="00EA58B4">
        <w:rPr>
          <w:rFonts w:cs="Arial"/>
        </w:rPr>
        <w:t xml:space="preserve">, it </w:t>
      </w:r>
      <w:r w:rsidR="00682236" w:rsidRPr="00EA58B4">
        <w:rPr>
          <w:rFonts w:cs="Arial"/>
        </w:rPr>
        <w:t xml:space="preserve">would be desirable </w:t>
      </w:r>
      <w:r w:rsidR="002751B7" w:rsidRPr="00EA58B4">
        <w:rPr>
          <w:rFonts w:cs="Arial"/>
        </w:rPr>
        <w:t xml:space="preserve">that </w:t>
      </w:r>
      <w:r w:rsidRPr="00EA58B4">
        <w:rPr>
          <w:rFonts w:cs="Arial"/>
        </w:rPr>
        <w:t>decision makers</w:t>
      </w:r>
      <w:r w:rsidR="004303A8" w:rsidRPr="00EA58B4">
        <w:rPr>
          <w:rFonts w:cs="Arial"/>
        </w:rPr>
        <w:t xml:space="preserve"> ad</w:t>
      </w:r>
      <w:r w:rsidR="00373145" w:rsidRPr="00EA58B4">
        <w:rPr>
          <w:rFonts w:cs="Arial"/>
        </w:rPr>
        <w:t>o</w:t>
      </w:r>
      <w:r w:rsidR="004303A8" w:rsidRPr="00EA58B4">
        <w:rPr>
          <w:rFonts w:cs="Arial"/>
        </w:rPr>
        <w:t xml:space="preserve">pt a </w:t>
      </w:r>
      <w:r w:rsidR="00837AF4">
        <w:rPr>
          <w:rFonts w:cs="Arial"/>
        </w:rPr>
        <w:t>consistent</w:t>
      </w:r>
      <w:r w:rsidR="008D2753">
        <w:rPr>
          <w:rFonts w:cs="Arial"/>
        </w:rPr>
        <w:t>,</w:t>
      </w:r>
      <w:r w:rsidR="00837AF4">
        <w:rPr>
          <w:rFonts w:cs="Arial"/>
        </w:rPr>
        <w:t xml:space="preserve"> albeit </w:t>
      </w:r>
      <w:r w:rsidR="004303A8" w:rsidRPr="00EA58B4">
        <w:rPr>
          <w:rFonts w:cs="Arial"/>
        </w:rPr>
        <w:t>precautionary</w:t>
      </w:r>
      <w:r w:rsidR="008D2753">
        <w:rPr>
          <w:rFonts w:cs="Arial"/>
        </w:rPr>
        <w:t>,</w:t>
      </w:r>
      <w:r w:rsidR="004303A8" w:rsidRPr="00EA58B4">
        <w:rPr>
          <w:rFonts w:cs="Arial"/>
        </w:rPr>
        <w:t xml:space="preserve"> approach</w:t>
      </w:r>
      <w:r w:rsidR="00373145" w:rsidRPr="00EA58B4">
        <w:rPr>
          <w:rFonts w:cs="Arial"/>
        </w:rPr>
        <w:t xml:space="preserve"> to the problem</w:t>
      </w:r>
      <w:r w:rsidR="004303A8" w:rsidRPr="00EA58B4">
        <w:rPr>
          <w:rFonts w:cs="Arial"/>
        </w:rPr>
        <w:t xml:space="preserve"> </w:t>
      </w:r>
      <w:r w:rsidR="00373145" w:rsidRPr="00EA58B4">
        <w:rPr>
          <w:rFonts w:cs="Arial"/>
        </w:rPr>
        <w:t>and</w:t>
      </w:r>
      <w:r w:rsidR="00437E92" w:rsidRPr="00EA58B4">
        <w:rPr>
          <w:rFonts w:cs="Arial"/>
        </w:rPr>
        <w:t xml:space="preserve"> implement Option 2.</w:t>
      </w:r>
      <w:r w:rsidR="00437E92" w:rsidRPr="00572201">
        <w:rPr>
          <w:rFonts w:cs="Arial"/>
        </w:rPr>
        <w:t xml:space="preserve"> </w:t>
      </w:r>
      <w:r w:rsidR="00856BBF" w:rsidRPr="00572201">
        <w:rPr>
          <w:rFonts w:cs="Arial"/>
        </w:rPr>
        <w:t xml:space="preserve"> </w:t>
      </w:r>
      <w:r w:rsidR="008C63A9" w:rsidRPr="00A108FB">
        <w:rPr>
          <w:rFonts w:cs="Arial"/>
          <w:b/>
          <w:bCs/>
        </w:rPr>
        <w:br w:type="page"/>
      </w:r>
    </w:p>
    <w:p w14:paraId="0361D788" w14:textId="5964FDF9" w:rsidR="00250D14" w:rsidRPr="00572201" w:rsidRDefault="00856CBA" w:rsidP="008C63A9">
      <w:pPr>
        <w:pStyle w:val="Heading1"/>
        <w:spacing w:before="240"/>
        <w:rPr>
          <w:rFonts w:ascii="Arial" w:hAnsi="Arial" w:cs="Arial"/>
          <w:b w:val="0"/>
          <w:bCs w:val="0"/>
        </w:rPr>
      </w:pPr>
      <w:bookmarkStart w:id="76" w:name="_Toc97023800"/>
      <w:r w:rsidRPr="00572201">
        <w:rPr>
          <w:rFonts w:ascii="Arial" w:hAnsi="Arial" w:cs="Arial"/>
          <w:b w:val="0"/>
          <w:bCs w:val="0"/>
        </w:rPr>
        <w:t>Implementation and Review</w:t>
      </w:r>
      <w:bookmarkEnd w:id="75"/>
      <w:bookmarkEnd w:id="76"/>
      <w:r w:rsidRPr="00572201">
        <w:rPr>
          <w:rFonts w:ascii="Arial" w:hAnsi="Arial" w:cs="Arial"/>
          <w:b w:val="0"/>
          <w:bCs w:val="0"/>
        </w:rPr>
        <w:t xml:space="preserve"> </w:t>
      </w:r>
    </w:p>
    <w:p w14:paraId="5B962EC2" w14:textId="0214D7F8" w:rsidR="00F14D4F" w:rsidRPr="00EA58B4" w:rsidRDefault="00B65E59" w:rsidP="00CE2317">
      <w:pPr>
        <w:spacing w:before="240" w:line="360" w:lineRule="auto"/>
        <w:jc w:val="both"/>
      </w:pPr>
      <w:r w:rsidRPr="00EA58B4">
        <w:t xml:space="preserve">If decision makers support </w:t>
      </w:r>
      <w:r w:rsidR="00AD6AF1">
        <w:t xml:space="preserve">the proposed </w:t>
      </w:r>
      <w:r w:rsidRPr="00EA58B4">
        <w:t xml:space="preserve">changes to the </w:t>
      </w:r>
      <w:r w:rsidR="00CC7F0F" w:rsidRPr="00EA58B4">
        <w:t>NCC</w:t>
      </w:r>
      <w:r w:rsidRPr="00EA58B4">
        <w:t xml:space="preserve">, the provisions will be included in NCC 2022. </w:t>
      </w:r>
      <w:r w:rsidR="004F2CBE" w:rsidRPr="00EA58B4">
        <w:t xml:space="preserve">As a matter of policy, proposed changes to the </w:t>
      </w:r>
      <w:r w:rsidR="00CC7F0F" w:rsidRPr="00EA58B4">
        <w:t>NCC</w:t>
      </w:r>
      <w:r w:rsidR="004F2CBE" w:rsidRPr="00EA58B4">
        <w:t xml:space="preserve"> are released in advance of implementation to allow time for familiarisation and education and for industry to modify its practices to accommodate the changes. </w:t>
      </w:r>
      <w:r w:rsidR="00D51DC6" w:rsidRPr="00EA58B4">
        <w:t xml:space="preserve">It is also anticipated that </w:t>
      </w:r>
      <w:r w:rsidR="00224C51" w:rsidRPr="00EA58B4">
        <w:t xml:space="preserve">the ABCB, in association with </w:t>
      </w:r>
      <w:r w:rsidR="00572201" w:rsidRPr="00EA58B4">
        <w:t>S</w:t>
      </w:r>
      <w:r w:rsidR="00D51DC6" w:rsidRPr="00EA58B4">
        <w:t xml:space="preserve">tate and </w:t>
      </w:r>
      <w:r w:rsidR="00572201" w:rsidRPr="00EA58B4">
        <w:t>T</w:t>
      </w:r>
      <w:r w:rsidR="00D51DC6" w:rsidRPr="00EA58B4">
        <w:t xml:space="preserve">erritory </w:t>
      </w:r>
      <w:r w:rsidR="00CC7F0F" w:rsidRPr="00EA58B4">
        <w:t xml:space="preserve">building </w:t>
      </w:r>
      <w:r w:rsidR="00F6703E" w:rsidRPr="00EA58B4">
        <w:t>a</w:t>
      </w:r>
      <w:r w:rsidR="00D51DC6" w:rsidRPr="00EA58B4">
        <w:t xml:space="preserve">dministrations and industry </w:t>
      </w:r>
      <w:r w:rsidR="00A95B2C" w:rsidRPr="00EA58B4">
        <w:t>organisations, would</w:t>
      </w:r>
      <w:r w:rsidR="00D51DC6" w:rsidRPr="00EA58B4">
        <w:t xml:space="preserve"> conduct information and awareness raising </w:t>
      </w:r>
      <w:r w:rsidR="00AD6AF1">
        <w:t>activities</w:t>
      </w:r>
      <w:r w:rsidR="00D51DC6" w:rsidRPr="00EA58B4">
        <w:t>.</w:t>
      </w:r>
    </w:p>
    <w:p w14:paraId="0FD08F8F" w14:textId="4FA1BC2C" w:rsidR="00AF7F96" w:rsidRPr="00CC7F0F" w:rsidRDefault="00AF7F96" w:rsidP="00CC7F0F">
      <w:pPr>
        <w:spacing w:line="360" w:lineRule="auto"/>
        <w:jc w:val="both"/>
      </w:pPr>
      <w:r w:rsidRPr="00EA58B4">
        <w:t xml:space="preserve">A specific review of the preferred option is not planned following its implementation. The NCC is amended on a three yearly cycle and the ABCB maintains regular and extensive consultative relationships with a wide range of stakeholders. It relies on this process to identify emerging concerns, and through these relationships can evaluate the uptake of the alternative </w:t>
      </w:r>
      <w:r w:rsidR="00AD6AF1">
        <w:t>provisions</w:t>
      </w:r>
      <w:r w:rsidRPr="00EA58B4">
        <w:t xml:space="preserve"> proposed, which would serve as an indicator of acceptance and cost</w:t>
      </w:r>
      <w:r w:rsidR="00F9426D">
        <w:t>-</w:t>
      </w:r>
      <w:r w:rsidRPr="00EA58B4">
        <w:t>effectiveness.</w:t>
      </w:r>
    </w:p>
    <w:sectPr w:rsidR="00AF7F96" w:rsidRPr="00CC7F0F" w:rsidSect="00CA0136">
      <w:footerReference w:type="default" r:id="rId3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AC3E7" w14:textId="77777777" w:rsidR="00817681" w:rsidRDefault="00817681" w:rsidP="00AE1F7F">
      <w:pPr>
        <w:spacing w:after="0" w:line="240" w:lineRule="auto"/>
      </w:pPr>
      <w:r>
        <w:separator/>
      </w:r>
    </w:p>
  </w:endnote>
  <w:endnote w:type="continuationSeparator" w:id="0">
    <w:p w14:paraId="0CD0E62E" w14:textId="77777777" w:rsidR="00817681" w:rsidRDefault="00817681" w:rsidP="00AE1F7F">
      <w:pPr>
        <w:spacing w:after="0" w:line="240" w:lineRule="auto"/>
      </w:pPr>
      <w:r>
        <w:continuationSeparator/>
      </w:r>
    </w:p>
  </w:endnote>
  <w:endnote w:type="continuationNotice" w:id="1">
    <w:p w14:paraId="3D753288" w14:textId="77777777" w:rsidR="00817681" w:rsidRDefault="00817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2ECC" w14:textId="77777777" w:rsidR="006D7C24" w:rsidRDefault="006D7C24">
    <w:pPr>
      <w:ind w:right="260"/>
      <w:rPr>
        <w:color w:val="0F243E" w:themeColor="text2" w:themeShade="80"/>
        <w:sz w:val="26"/>
        <w:szCs w:val="26"/>
      </w:rPr>
    </w:pPr>
  </w:p>
  <w:p w14:paraId="3E8F2492" w14:textId="77777777" w:rsidR="006D7C24" w:rsidRDefault="006D7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6D7C24" w14:paraId="31B53D00" w14:textId="77777777">
      <w:tc>
        <w:tcPr>
          <w:tcW w:w="500" w:type="pct"/>
          <w:tcBorders>
            <w:top w:val="single" w:sz="4" w:space="0" w:color="943634" w:themeColor="accent2" w:themeShade="BF"/>
          </w:tcBorders>
          <w:shd w:val="clear" w:color="auto" w:fill="943634" w:themeFill="accent2" w:themeFillShade="BF"/>
        </w:tcPr>
        <w:p w14:paraId="473415D7" w14:textId="77777777" w:rsidR="006D7C24" w:rsidRDefault="006D7C24">
          <w:pPr>
            <w:pStyle w:val="Footer"/>
            <w:jc w:val="right"/>
            <w:rPr>
              <w:b/>
              <w:bCs/>
              <w:color w:val="FFFFFF" w:themeColor="background1"/>
            </w:rPr>
          </w:pPr>
          <w:r>
            <w:fldChar w:fldCharType="begin"/>
          </w:r>
          <w:r>
            <w:instrText xml:space="preserve"> PAGE   \* MERGEFORMAT </w:instrText>
          </w:r>
          <w:r>
            <w:fldChar w:fldCharType="separate"/>
          </w:r>
          <w:r w:rsidRPr="004822D3">
            <w:rPr>
              <w:noProof/>
              <w:color w:val="FFFFFF" w:themeColor="background1"/>
            </w:rPr>
            <w:t>1</w:t>
          </w:r>
          <w:r>
            <w:rPr>
              <w:noProof/>
              <w:color w:val="FFFFFF" w:themeColor="background1"/>
            </w:rPr>
            <w:fldChar w:fldCharType="end"/>
          </w:r>
        </w:p>
      </w:tc>
      <w:tc>
        <w:tcPr>
          <w:tcW w:w="4500" w:type="pct"/>
          <w:tcBorders>
            <w:top w:val="single" w:sz="4" w:space="0" w:color="auto"/>
          </w:tcBorders>
        </w:tcPr>
        <w:p w14:paraId="3436B472" w14:textId="77777777" w:rsidR="006D7C24" w:rsidRDefault="006D7C24">
          <w:pPr>
            <w:pStyle w:val="Footer"/>
          </w:pPr>
          <w:r>
            <w:fldChar w:fldCharType="begin"/>
          </w:r>
          <w:r>
            <w:instrText xml:space="preserve"> STYLEREF  "1"  </w:instrText>
          </w:r>
          <w:r>
            <w:rPr>
              <w:noProof/>
            </w:rPr>
            <w:fldChar w:fldCharType="end"/>
          </w:r>
          <w:r>
            <w:t xml:space="preserve"> | </w:t>
          </w:r>
          <w:sdt>
            <w:sdtPr>
              <w:alias w:val="Company"/>
              <w:id w:val="75914618"/>
              <w:dataBinding w:prefixMappings="xmlns:ns0='http://schemas.openxmlformats.org/officeDocument/2006/extended-properties'" w:xpath="/ns0:Properties[1]/ns0:Company[1]" w:storeItemID="{6668398D-A668-4E3E-A5EB-62B293D839F1}"/>
              <w:text/>
            </w:sdtPr>
            <w:sdtEndPr/>
            <w:sdtContent>
              <w:r>
                <w:t>INDUSTRY</w:t>
              </w:r>
            </w:sdtContent>
          </w:sdt>
        </w:p>
      </w:tc>
    </w:tr>
  </w:tbl>
  <w:p w14:paraId="10F1FCB3" w14:textId="77777777" w:rsidR="006D7C24" w:rsidRDefault="006D7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00922817"/>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14:paraId="4ECC97A6" w14:textId="1D86656E" w:rsidR="006D7C24" w:rsidRPr="00FB1FD6" w:rsidRDefault="006D7C24" w:rsidP="00D742B0">
            <w:pPr>
              <w:pStyle w:val="Footer"/>
              <w:tabs>
                <w:tab w:val="left" w:pos="3557"/>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34CC3">
              <w:rPr>
                <w:rFonts w:cs="Arial"/>
              </w:rPr>
              <w:t xml:space="preserve">Page </w:t>
            </w:r>
            <w:r w:rsidRPr="00D34CC3">
              <w:rPr>
                <w:rFonts w:cs="Arial"/>
                <w:b/>
                <w:bCs/>
              </w:rPr>
              <w:fldChar w:fldCharType="begin"/>
            </w:r>
            <w:r w:rsidRPr="00D34CC3">
              <w:rPr>
                <w:rFonts w:cs="Arial"/>
                <w:b/>
                <w:bCs/>
              </w:rPr>
              <w:instrText xml:space="preserve"> PAGE </w:instrText>
            </w:r>
            <w:r w:rsidRPr="00D34CC3">
              <w:rPr>
                <w:rFonts w:cs="Arial"/>
                <w:b/>
                <w:bCs/>
              </w:rPr>
              <w:fldChar w:fldCharType="separate"/>
            </w:r>
            <w:r w:rsidR="00551055">
              <w:rPr>
                <w:rFonts w:cs="Arial"/>
                <w:b/>
                <w:bCs/>
                <w:noProof/>
              </w:rPr>
              <w:t>5</w:t>
            </w:r>
            <w:r w:rsidRPr="00D34CC3">
              <w:rPr>
                <w:rFonts w:cs="Arial"/>
                <w:b/>
                <w:bCs/>
              </w:rPr>
              <w:fldChar w:fldCharType="end"/>
            </w:r>
            <w:r w:rsidRPr="00D34CC3">
              <w:rPr>
                <w:rFonts w:cs="Arial"/>
              </w:rPr>
              <w:t xml:space="preserve"> of </w:t>
            </w:r>
            <w:r w:rsidRPr="00D34CC3">
              <w:rPr>
                <w:rFonts w:cs="Arial"/>
                <w:b/>
                <w:bCs/>
              </w:rPr>
              <w:fldChar w:fldCharType="begin"/>
            </w:r>
            <w:r w:rsidRPr="00D34CC3">
              <w:rPr>
                <w:rFonts w:cs="Arial"/>
                <w:b/>
                <w:bCs/>
              </w:rPr>
              <w:instrText xml:space="preserve"> NUMPAGES  </w:instrText>
            </w:r>
            <w:r w:rsidRPr="00D34CC3">
              <w:rPr>
                <w:rFonts w:cs="Arial"/>
                <w:b/>
                <w:bCs/>
              </w:rPr>
              <w:fldChar w:fldCharType="separate"/>
            </w:r>
            <w:r w:rsidR="00551055">
              <w:rPr>
                <w:rFonts w:cs="Arial"/>
                <w:b/>
                <w:bCs/>
                <w:noProof/>
              </w:rPr>
              <w:t>5</w:t>
            </w:r>
            <w:r w:rsidRPr="00D34CC3">
              <w:rPr>
                <w:rFonts w:cs="Arial"/>
                <w:b/>
                <w:bCs/>
              </w:rPr>
              <w:fldChar w:fldCharType="end"/>
            </w:r>
          </w:p>
        </w:sdtContent>
      </w:sdt>
    </w:sdtContent>
  </w:sdt>
  <w:p w14:paraId="19E2912D" w14:textId="77777777" w:rsidR="006D7C24" w:rsidRDefault="006D7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7B01" w14:textId="77777777" w:rsidR="00817681" w:rsidRDefault="00817681" w:rsidP="00AE1F7F">
      <w:pPr>
        <w:spacing w:after="0" w:line="240" w:lineRule="auto"/>
      </w:pPr>
      <w:r>
        <w:separator/>
      </w:r>
    </w:p>
  </w:footnote>
  <w:footnote w:type="continuationSeparator" w:id="0">
    <w:p w14:paraId="72028A9B" w14:textId="77777777" w:rsidR="00817681" w:rsidRDefault="00817681" w:rsidP="00AE1F7F">
      <w:pPr>
        <w:spacing w:after="0" w:line="240" w:lineRule="auto"/>
      </w:pPr>
      <w:r>
        <w:continuationSeparator/>
      </w:r>
    </w:p>
  </w:footnote>
  <w:footnote w:type="continuationNotice" w:id="1">
    <w:p w14:paraId="2F8CB8F2" w14:textId="77777777" w:rsidR="00817681" w:rsidRDefault="00817681">
      <w:pPr>
        <w:spacing w:after="0" w:line="240" w:lineRule="auto"/>
      </w:pPr>
    </w:p>
  </w:footnote>
  <w:footnote w:id="2">
    <w:p w14:paraId="5C5CC9EA" w14:textId="7D444606" w:rsidR="006D7C24" w:rsidRPr="004D19E6" w:rsidRDefault="006D7C24" w:rsidP="00A108FB">
      <w:pPr>
        <w:pStyle w:val="FootnoteText"/>
        <w:rPr>
          <w:sz w:val="16"/>
          <w:szCs w:val="16"/>
        </w:rPr>
      </w:pPr>
      <w:r>
        <w:rPr>
          <w:rStyle w:val="FootnoteReference"/>
        </w:rPr>
        <w:footnoteRef/>
      </w:r>
      <w:r>
        <w:t xml:space="preserve"> </w:t>
      </w:r>
      <w:r>
        <w:rPr>
          <w:sz w:val="16"/>
          <w:szCs w:val="16"/>
        </w:rPr>
        <w:t>Taken from E</w:t>
      </w:r>
      <w:r w:rsidRPr="004D19E6">
        <w:rPr>
          <w:sz w:val="16"/>
          <w:szCs w:val="16"/>
        </w:rPr>
        <w:t xml:space="preserve">TF Consulting, Risk to Vulnerable Occupants in Class 9 Buildings Associated with Bushfire Attack, 2019, </w:t>
      </w:r>
      <w:r>
        <w:rPr>
          <w:sz w:val="16"/>
          <w:szCs w:val="16"/>
        </w:rPr>
        <w:t>Page 26.</w:t>
      </w:r>
    </w:p>
    <w:p w14:paraId="6EBAF324" w14:textId="77777777" w:rsidR="006D7C24" w:rsidRDefault="006D7C24" w:rsidP="00A108FB">
      <w:pPr>
        <w:pStyle w:val="FootnoteText"/>
      </w:pPr>
    </w:p>
  </w:footnote>
  <w:footnote w:id="3">
    <w:p w14:paraId="4D209BC0" w14:textId="6DD41B12" w:rsidR="006D7C24" w:rsidRDefault="006D7C24" w:rsidP="004B1C2B">
      <w:pPr>
        <w:pStyle w:val="FootnoteText"/>
      </w:pPr>
      <w:r>
        <w:rPr>
          <w:rStyle w:val="FootnoteReference"/>
        </w:rPr>
        <w:footnoteRef/>
      </w:r>
      <w:r>
        <w:t xml:space="preserve"> Bunyip fire submissions: Submissions of counsel assisting</w:t>
      </w:r>
      <w:r w:rsidRPr="004B1C2B">
        <w:t xml:space="preserve"> </w:t>
      </w:r>
      <w:r>
        <w:t xml:space="preserve">the Victorian bushfires Royal Commission issued 16 February 2009 </w:t>
      </w:r>
      <w:hyperlink r:id="rId1" w:tooltip="Victorian bushfires royal commission" w:history="1">
        <w:r w:rsidRPr="00DD7EB2">
          <w:rPr>
            <w:rStyle w:val="Hyperlink"/>
          </w:rPr>
          <w:t>http://royalcommission.vic.gov.au/getdoc/063443b4-b222-455c-8445-56947726eb08/SUBM.202.002.0001.pdf</w:t>
        </w:r>
      </w:hyperlink>
      <w:r>
        <w:t xml:space="preserve"> accessed 14 February 2022.</w:t>
      </w:r>
    </w:p>
  </w:footnote>
  <w:footnote w:id="4">
    <w:p w14:paraId="519A85CD" w14:textId="2C68C1CC" w:rsidR="006D7C24" w:rsidRPr="004D19E6" w:rsidRDefault="006D7C24" w:rsidP="006B5E54">
      <w:pPr>
        <w:pStyle w:val="FootnoteText"/>
        <w:rPr>
          <w:sz w:val="16"/>
          <w:szCs w:val="16"/>
        </w:rPr>
      </w:pPr>
      <w:r w:rsidRPr="004D19E6">
        <w:rPr>
          <w:rStyle w:val="FootnoteReference"/>
          <w:sz w:val="16"/>
          <w:szCs w:val="16"/>
        </w:rPr>
        <w:footnoteRef/>
      </w:r>
      <w:r w:rsidRPr="004D19E6">
        <w:rPr>
          <w:sz w:val="16"/>
          <w:szCs w:val="16"/>
        </w:rPr>
        <w:t xml:space="preserve"> Royal Commission into National Natural Disaster Arrangements, Report, 2020, Page 55.</w:t>
      </w:r>
    </w:p>
  </w:footnote>
  <w:footnote w:id="5">
    <w:p w14:paraId="248D795F" w14:textId="3358DF13" w:rsidR="006D7C24" w:rsidRPr="004D19E6" w:rsidRDefault="006D7C24" w:rsidP="00C64E23">
      <w:pPr>
        <w:pStyle w:val="FootnoteText"/>
        <w:rPr>
          <w:sz w:val="16"/>
          <w:szCs w:val="16"/>
        </w:rPr>
      </w:pPr>
      <w:r w:rsidRPr="004D19E6">
        <w:rPr>
          <w:rStyle w:val="FootnoteReference"/>
          <w:sz w:val="16"/>
          <w:szCs w:val="16"/>
        </w:rPr>
        <w:footnoteRef/>
      </w:r>
      <w:r w:rsidRPr="004D19E6">
        <w:rPr>
          <w:sz w:val="16"/>
          <w:szCs w:val="16"/>
        </w:rPr>
        <w:t xml:space="preserve"> Final Report of the NSW Bushfire Inquiry, 2020, Page 191.</w:t>
      </w:r>
    </w:p>
  </w:footnote>
  <w:footnote w:id="6">
    <w:p w14:paraId="4AA067FC" w14:textId="422053BB" w:rsidR="006D7C24" w:rsidRPr="004D19E6" w:rsidRDefault="006D7C24" w:rsidP="00C64E23">
      <w:pPr>
        <w:pStyle w:val="FootnoteText"/>
        <w:rPr>
          <w:sz w:val="16"/>
          <w:szCs w:val="16"/>
        </w:rPr>
      </w:pPr>
      <w:r w:rsidRPr="004D19E6">
        <w:rPr>
          <w:rStyle w:val="FootnoteReference"/>
          <w:sz w:val="16"/>
          <w:szCs w:val="16"/>
        </w:rPr>
        <w:footnoteRef/>
      </w:r>
      <w:r w:rsidRPr="004D19E6">
        <w:rPr>
          <w:sz w:val="16"/>
          <w:szCs w:val="16"/>
        </w:rPr>
        <w:t xml:space="preserve"> ETF Consulting, Risk to Vulnerable Occupants in Class 9 Buildings Associated with Bushfire Attack, 2019, </w:t>
      </w:r>
      <w:r>
        <w:rPr>
          <w:sz w:val="16"/>
          <w:szCs w:val="16"/>
        </w:rPr>
        <w:t>P</w:t>
      </w:r>
      <w:r w:rsidRPr="004D19E6">
        <w:rPr>
          <w:sz w:val="16"/>
          <w:szCs w:val="16"/>
        </w:rPr>
        <w:t>age 27</w:t>
      </w:r>
      <w:r>
        <w:rPr>
          <w:sz w:val="16"/>
          <w:szCs w:val="16"/>
        </w:rPr>
        <w:t>.</w:t>
      </w:r>
    </w:p>
  </w:footnote>
  <w:footnote w:id="7">
    <w:p w14:paraId="3256837E" w14:textId="2C3E6584" w:rsidR="006D7C24" w:rsidRPr="004D19E6" w:rsidRDefault="006D7C24" w:rsidP="004D19E6">
      <w:pPr>
        <w:pStyle w:val="FootnoteText"/>
        <w:jc w:val="both"/>
        <w:rPr>
          <w:sz w:val="16"/>
          <w:szCs w:val="16"/>
        </w:rPr>
      </w:pPr>
      <w:r w:rsidRPr="004D19E6">
        <w:rPr>
          <w:rStyle w:val="FootnoteReference"/>
          <w:sz w:val="16"/>
          <w:szCs w:val="16"/>
        </w:rPr>
        <w:footnoteRef/>
      </w:r>
      <w:r w:rsidRPr="004D19E6">
        <w:rPr>
          <w:sz w:val="16"/>
          <w:szCs w:val="16"/>
        </w:rPr>
        <w:t xml:space="preserve"> This is highlighted by the Report of the Royal Commission into National Natural Disaster Arrangements. The Report contains a significant number of recommendations to reduce the risk of negative impacts from bushfires, including better provision of information and educating the community, changing planning regulations, improving emergency response capabilit</w:t>
      </w:r>
      <w:r>
        <w:rPr>
          <w:sz w:val="16"/>
          <w:szCs w:val="16"/>
        </w:rPr>
        <w:t>ies</w:t>
      </w:r>
      <w:r w:rsidRPr="004D19E6">
        <w:rPr>
          <w:sz w:val="16"/>
          <w:szCs w:val="16"/>
        </w:rPr>
        <w:t xml:space="preserve">, improving evacuation procedures, </w:t>
      </w:r>
      <w:r>
        <w:rPr>
          <w:sz w:val="16"/>
          <w:szCs w:val="16"/>
        </w:rPr>
        <w:t xml:space="preserve">improved </w:t>
      </w:r>
      <w:r w:rsidRPr="004D19E6">
        <w:rPr>
          <w:sz w:val="16"/>
          <w:szCs w:val="16"/>
        </w:rPr>
        <w:t xml:space="preserve">land management, and others. None of these recommendations are proposed to solve the issue on their own, but each reduces the risk to a certain extent. </w:t>
      </w:r>
    </w:p>
  </w:footnote>
  <w:footnote w:id="8">
    <w:p w14:paraId="25414F7D" w14:textId="77777777" w:rsidR="006D7C24" w:rsidRDefault="006D7C24" w:rsidP="004D19E6">
      <w:pPr>
        <w:pStyle w:val="FootnoteText"/>
        <w:jc w:val="both"/>
      </w:pPr>
      <w:r w:rsidRPr="004D19E6">
        <w:rPr>
          <w:rStyle w:val="FootnoteReference"/>
          <w:sz w:val="16"/>
          <w:szCs w:val="16"/>
        </w:rPr>
        <w:footnoteRef/>
      </w:r>
      <w:r w:rsidRPr="004D19E6">
        <w:rPr>
          <w:sz w:val="16"/>
          <w:szCs w:val="16"/>
        </w:rPr>
        <w:t xml:space="preserve"> ETF Consulting, Risk to Vulnerable Occupants in Class 9 Buildings Associated with Bushfire Attack, 2019, page 3</w:t>
      </w:r>
    </w:p>
  </w:footnote>
  <w:footnote w:id="9">
    <w:p w14:paraId="1D4BCB7F" w14:textId="56599AD4" w:rsidR="006D7C24" w:rsidRPr="004D19E6" w:rsidRDefault="006D7C24" w:rsidP="004D19E6">
      <w:pPr>
        <w:pStyle w:val="FootnoteText"/>
        <w:rPr>
          <w:sz w:val="16"/>
          <w:szCs w:val="16"/>
        </w:rPr>
      </w:pPr>
      <w:r w:rsidRPr="004D19E6">
        <w:rPr>
          <w:rStyle w:val="FootnoteReference"/>
          <w:sz w:val="16"/>
          <w:szCs w:val="16"/>
        </w:rPr>
        <w:footnoteRef/>
      </w:r>
      <w:r w:rsidRPr="004D19E6">
        <w:rPr>
          <w:sz w:val="16"/>
          <w:szCs w:val="16"/>
        </w:rPr>
        <w:t xml:space="preserve"> ETF Consulting, Risk to Vulnerable Occupants in Class 9 Buildings Associated with Bushfire Attack, 2019, </w:t>
      </w:r>
      <w:r>
        <w:rPr>
          <w:sz w:val="16"/>
          <w:szCs w:val="16"/>
        </w:rPr>
        <w:t>P</w:t>
      </w:r>
      <w:r w:rsidRPr="004D19E6">
        <w:rPr>
          <w:sz w:val="16"/>
          <w:szCs w:val="16"/>
        </w:rPr>
        <w:t>age 50</w:t>
      </w:r>
      <w:r>
        <w:rPr>
          <w:sz w:val="16"/>
          <w:szCs w:val="16"/>
        </w:rPr>
        <w:t>.</w:t>
      </w:r>
    </w:p>
  </w:footnote>
  <w:footnote w:id="10">
    <w:p w14:paraId="7FCA80E7" w14:textId="02F263F3" w:rsidR="006D7C24" w:rsidRPr="004D19E6" w:rsidRDefault="006D7C24" w:rsidP="004D19E6">
      <w:pPr>
        <w:pStyle w:val="FootnoteText"/>
        <w:rPr>
          <w:sz w:val="16"/>
          <w:szCs w:val="16"/>
        </w:rPr>
      </w:pPr>
      <w:r w:rsidRPr="004D19E6">
        <w:rPr>
          <w:rStyle w:val="FootnoteReference"/>
          <w:sz w:val="16"/>
          <w:szCs w:val="16"/>
        </w:rPr>
        <w:footnoteRef/>
      </w:r>
      <w:r w:rsidRPr="004D19E6">
        <w:rPr>
          <w:sz w:val="16"/>
          <w:szCs w:val="16"/>
        </w:rPr>
        <w:t xml:space="preserve"> ETF Consulting, Risk to Vulnerable Occupants in Class 9 Buildings Associated with Bushfire Attack, 2019, </w:t>
      </w:r>
      <w:r>
        <w:rPr>
          <w:sz w:val="16"/>
          <w:szCs w:val="16"/>
        </w:rPr>
        <w:t>P</w:t>
      </w:r>
      <w:r w:rsidRPr="004D19E6">
        <w:rPr>
          <w:sz w:val="16"/>
          <w:szCs w:val="16"/>
        </w:rPr>
        <w:t>age 38</w:t>
      </w:r>
      <w:r>
        <w:rPr>
          <w:sz w:val="16"/>
          <w:szCs w:val="16"/>
        </w:rPr>
        <w:t>.</w:t>
      </w:r>
    </w:p>
  </w:footnote>
  <w:footnote w:id="11">
    <w:p w14:paraId="7684F52D" w14:textId="7E11034D" w:rsidR="006D7C24" w:rsidRPr="004D19E6" w:rsidRDefault="006D7C24" w:rsidP="004D19E6">
      <w:pPr>
        <w:pStyle w:val="FootnoteText"/>
        <w:rPr>
          <w:sz w:val="16"/>
          <w:szCs w:val="16"/>
        </w:rPr>
      </w:pPr>
      <w:r w:rsidRPr="004D19E6">
        <w:rPr>
          <w:rStyle w:val="FootnoteReference"/>
          <w:sz w:val="16"/>
          <w:szCs w:val="16"/>
        </w:rPr>
        <w:footnoteRef/>
      </w:r>
      <w:r w:rsidRPr="004D19E6">
        <w:rPr>
          <w:sz w:val="16"/>
          <w:szCs w:val="16"/>
        </w:rPr>
        <w:t xml:space="preserve"> Royal Commission into National Natural Disaster Arrangements, Report, 2020, </w:t>
      </w:r>
      <w:r>
        <w:rPr>
          <w:sz w:val="16"/>
          <w:szCs w:val="16"/>
        </w:rPr>
        <w:t>P</w:t>
      </w:r>
      <w:r w:rsidRPr="004D19E6">
        <w:rPr>
          <w:sz w:val="16"/>
          <w:szCs w:val="16"/>
        </w:rPr>
        <w:t>age 411</w:t>
      </w:r>
      <w:r>
        <w:rPr>
          <w:sz w:val="16"/>
          <w:szCs w:val="16"/>
        </w:rPr>
        <w:t>.</w:t>
      </w:r>
    </w:p>
  </w:footnote>
  <w:footnote w:id="12">
    <w:p w14:paraId="65BEAEB0" w14:textId="7A4DE000" w:rsidR="006D7C24" w:rsidRDefault="006D7C24" w:rsidP="004D19E6">
      <w:pPr>
        <w:pStyle w:val="FootnoteText"/>
      </w:pPr>
      <w:r w:rsidRPr="004D19E6">
        <w:rPr>
          <w:rStyle w:val="FootnoteReference"/>
          <w:sz w:val="16"/>
          <w:szCs w:val="16"/>
        </w:rPr>
        <w:footnoteRef/>
      </w:r>
      <w:r w:rsidRPr="004D19E6">
        <w:rPr>
          <w:sz w:val="16"/>
          <w:szCs w:val="16"/>
        </w:rPr>
        <w:t xml:space="preserve"> ETF Consulting, Risk to Vulnerable Occupants in Class 9 Buildings Associated with Bushfire Attack, 2019, </w:t>
      </w:r>
      <w:r>
        <w:rPr>
          <w:sz w:val="16"/>
          <w:szCs w:val="16"/>
        </w:rPr>
        <w:t>P</w:t>
      </w:r>
      <w:r w:rsidRPr="004D19E6">
        <w:rPr>
          <w:sz w:val="16"/>
          <w:szCs w:val="16"/>
        </w:rPr>
        <w:t>age 45</w:t>
      </w:r>
      <w:r>
        <w:rPr>
          <w:sz w:val="16"/>
          <w:szCs w:val="16"/>
        </w:rPr>
        <w:t>.</w:t>
      </w:r>
    </w:p>
  </w:footnote>
  <w:footnote w:id="13">
    <w:p w14:paraId="40375541" w14:textId="73149058" w:rsidR="006D7C24" w:rsidRPr="00673DDA" w:rsidRDefault="006D7C24" w:rsidP="00673DDA">
      <w:pPr>
        <w:pStyle w:val="FootnoteText"/>
        <w:jc w:val="both"/>
        <w:rPr>
          <w:sz w:val="16"/>
          <w:szCs w:val="16"/>
        </w:rPr>
      </w:pPr>
      <w:r w:rsidRPr="00673DDA">
        <w:rPr>
          <w:rStyle w:val="FootnoteReference"/>
          <w:sz w:val="16"/>
          <w:szCs w:val="16"/>
        </w:rPr>
        <w:footnoteRef/>
      </w:r>
      <w:r w:rsidRPr="00673DDA">
        <w:rPr>
          <w:sz w:val="16"/>
          <w:szCs w:val="16"/>
        </w:rPr>
        <w:t xml:space="preserve"> National Resilience Taskforce, </w:t>
      </w:r>
      <w:r w:rsidRPr="00673DDA">
        <w:rPr>
          <w:i/>
          <w:iCs/>
          <w:sz w:val="16"/>
          <w:szCs w:val="16"/>
        </w:rPr>
        <w:t>Profiling Australia’s Vulnerability: The interconnected causes and cascading effects of systemic disaster risk</w:t>
      </w:r>
      <w:r w:rsidRPr="00673DDA">
        <w:rPr>
          <w:sz w:val="16"/>
          <w:szCs w:val="16"/>
        </w:rPr>
        <w:t xml:space="preserve">, 2018, </w:t>
      </w:r>
      <w:r>
        <w:rPr>
          <w:sz w:val="16"/>
          <w:szCs w:val="16"/>
        </w:rPr>
        <w:t>P</w:t>
      </w:r>
      <w:r w:rsidRPr="00673DDA">
        <w:rPr>
          <w:sz w:val="16"/>
          <w:szCs w:val="16"/>
        </w:rPr>
        <w:t>age 18</w:t>
      </w:r>
      <w:r>
        <w:rPr>
          <w:sz w:val="16"/>
          <w:szCs w:val="16"/>
        </w:rPr>
        <w:t>.</w:t>
      </w:r>
    </w:p>
  </w:footnote>
  <w:footnote w:id="14">
    <w:p w14:paraId="25CE76A8" w14:textId="77777777" w:rsidR="006D7C24" w:rsidRPr="00673DDA" w:rsidRDefault="006D7C24" w:rsidP="00673DDA">
      <w:pPr>
        <w:pStyle w:val="FootnoteText"/>
        <w:jc w:val="both"/>
        <w:rPr>
          <w:sz w:val="16"/>
          <w:szCs w:val="16"/>
        </w:rPr>
      </w:pPr>
      <w:r w:rsidRPr="00673DDA">
        <w:rPr>
          <w:rStyle w:val="FootnoteReference"/>
          <w:sz w:val="16"/>
          <w:szCs w:val="16"/>
        </w:rPr>
        <w:footnoteRef/>
      </w:r>
      <w:r w:rsidRPr="00673DDA">
        <w:rPr>
          <w:sz w:val="16"/>
          <w:szCs w:val="16"/>
        </w:rPr>
        <w:t xml:space="preserve"> Department of Planning and Community Development, </w:t>
      </w:r>
      <w:r w:rsidRPr="00673DDA">
        <w:rPr>
          <w:i/>
          <w:iCs/>
          <w:sz w:val="16"/>
          <w:szCs w:val="16"/>
        </w:rPr>
        <w:t>Bushfire protection for vulnerable use buildings</w:t>
      </w:r>
      <w:r w:rsidRPr="00673DDA">
        <w:rPr>
          <w:sz w:val="16"/>
          <w:szCs w:val="16"/>
        </w:rPr>
        <w:t>, 2012</w:t>
      </w:r>
    </w:p>
  </w:footnote>
  <w:footnote w:id="15">
    <w:p w14:paraId="7CAACEEA" w14:textId="53D259D6" w:rsidR="006D7C24" w:rsidRDefault="006D7C24" w:rsidP="00673DDA">
      <w:pPr>
        <w:pStyle w:val="FootnoteText"/>
        <w:jc w:val="both"/>
      </w:pPr>
      <w:r w:rsidRPr="00673DDA">
        <w:rPr>
          <w:rStyle w:val="FootnoteReference"/>
          <w:sz w:val="16"/>
          <w:szCs w:val="16"/>
        </w:rPr>
        <w:footnoteRef/>
      </w:r>
      <w:r w:rsidRPr="00673DDA">
        <w:rPr>
          <w:sz w:val="16"/>
          <w:szCs w:val="16"/>
        </w:rPr>
        <w:t xml:space="preserve"> CSIRO, </w:t>
      </w:r>
      <w:r w:rsidRPr="00673DDA">
        <w:rPr>
          <w:i/>
          <w:iCs/>
          <w:sz w:val="16"/>
          <w:szCs w:val="16"/>
        </w:rPr>
        <w:t>Report on Climate and Disaster Resilience</w:t>
      </w:r>
      <w:r w:rsidRPr="00673DDA">
        <w:rPr>
          <w:sz w:val="16"/>
          <w:szCs w:val="16"/>
        </w:rPr>
        <w:t xml:space="preserve">, 2020, </w:t>
      </w:r>
      <w:r>
        <w:rPr>
          <w:sz w:val="16"/>
          <w:szCs w:val="16"/>
        </w:rPr>
        <w:t>P</w:t>
      </w:r>
      <w:r w:rsidRPr="00673DDA">
        <w:rPr>
          <w:sz w:val="16"/>
          <w:szCs w:val="16"/>
        </w:rPr>
        <w:t>age 239</w:t>
      </w:r>
      <w:r>
        <w:rPr>
          <w:sz w:val="16"/>
          <w:szCs w:val="16"/>
        </w:rPr>
        <w:t>.</w:t>
      </w:r>
    </w:p>
  </w:footnote>
  <w:footnote w:id="16">
    <w:p w14:paraId="6A5AD7F0" w14:textId="6B952C85" w:rsidR="006D7C24" w:rsidRPr="00673DDA" w:rsidRDefault="006D7C24" w:rsidP="00673DDA">
      <w:pPr>
        <w:pStyle w:val="FootnoteText"/>
        <w:rPr>
          <w:sz w:val="16"/>
          <w:szCs w:val="16"/>
        </w:rPr>
      </w:pPr>
      <w:r w:rsidRPr="00673DDA">
        <w:rPr>
          <w:rStyle w:val="FootnoteReference"/>
          <w:sz w:val="16"/>
          <w:szCs w:val="16"/>
        </w:rPr>
        <w:footnoteRef/>
      </w:r>
      <w:r w:rsidRPr="00673DDA">
        <w:rPr>
          <w:sz w:val="16"/>
          <w:szCs w:val="16"/>
        </w:rPr>
        <w:t xml:space="preserve"> National Resilience Taskforce, </w:t>
      </w:r>
      <w:r w:rsidRPr="00673DDA">
        <w:rPr>
          <w:i/>
          <w:iCs/>
          <w:sz w:val="16"/>
          <w:szCs w:val="16"/>
        </w:rPr>
        <w:t>Profiling Australia’s Vulnerability: The interconnected causes and cascading effects of systemic disaster risk</w:t>
      </w:r>
      <w:r w:rsidRPr="00673DDA">
        <w:rPr>
          <w:sz w:val="16"/>
          <w:szCs w:val="16"/>
        </w:rPr>
        <w:t>, 2018, Page 18.</w:t>
      </w:r>
    </w:p>
  </w:footnote>
  <w:footnote w:id="17">
    <w:p w14:paraId="62742FAC" w14:textId="77777777" w:rsidR="006D7C24" w:rsidRPr="00662123" w:rsidRDefault="006D7C24" w:rsidP="00586106">
      <w:pPr>
        <w:pStyle w:val="FootnoteText"/>
        <w:rPr>
          <w:sz w:val="16"/>
          <w:szCs w:val="16"/>
        </w:rPr>
      </w:pPr>
      <w:r w:rsidRPr="00662123">
        <w:rPr>
          <w:rStyle w:val="FootnoteReference"/>
          <w:sz w:val="16"/>
          <w:szCs w:val="16"/>
        </w:rPr>
        <w:footnoteRef/>
      </w:r>
      <w:r w:rsidRPr="00662123">
        <w:rPr>
          <w:sz w:val="16"/>
          <w:szCs w:val="16"/>
        </w:rPr>
        <w:t xml:space="preserve"> The EFT report’s consideration of State/Territory variations was only based only on the NCC appendices and for Tasmania and no consideration was given to other jurisdictional variations.</w:t>
      </w:r>
    </w:p>
  </w:footnote>
  <w:footnote w:id="18">
    <w:p w14:paraId="76F4BF9A" w14:textId="31FDE921" w:rsidR="006D7C24" w:rsidRPr="009A1C04" w:rsidRDefault="006D7C24" w:rsidP="009A1C04">
      <w:pPr>
        <w:pStyle w:val="FootnoteText"/>
        <w:rPr>
          <w:rFonts w:cs="Arial"/>
          <w:sz w:val="18"/>
          <w:szCs w:val="18"/>
        </w:rPr>
      </w:pPr>
      <w:r w:rsidRPr="00662123">
        <w:rPr>
          <w:rStyle w:val="FootnoteReference"/>
          <w:rFonts w:cs="Arial"/>
          <w:sz w:val="16"/>
          <w:szCs w:val="16"/>
        </w:rPr>
        <w:footnoteRef/>
      </w:r>
      <w:r w:rsidRPr="00662123">
        <w:rPr>
          <w:rStyle w:val="FootnoteReference"/>
          <w:rFonts w:cs="Arial"/>
          <w:sz w:val="16"/>
          <w:szCs w:val="16"/>
        </w:rPr>
        <w:t xml:space="preserve"> </w:t>
      </w:r>
      <w:r w:rsidRPr="00662123">
        <w:rPr>
          <w:rFonts w:cs="Arial"/>
          <w:sz w:val="16"/>
          <w:szCs w:val="16"/>
        </w:rPr>
        <w:t>ABCB Intergovernmental agreement (2017). &gt;</w:t>
      </w:r>
      <w:r w:rsidRPr="00F7082A">
        <w:t xml:space="preserve"> </w:t>
      </w:r>
      <w:r w:rsidRPr="00F7082A">
        <w:rPr>
          <w:rStyle w:val="Hyperlink"/>
          <w:rFonts w:cs="Arial"/>
          <w:sz w:val="16"/>
          <w:szCs w:val="16"/>
          <w:u w:val="none"/>
        </w:rPr>
        <w:t>https://www.abcb.gov.au/sites/default/files/resources/2020//2020_ABCB_IGA.pdf</w:t>
      </w:r>
      <w:r w:rsidRPr="00F7082A" w:rsidDel="00F7082A">
        <w:rPr>
          <w:rStyle w:val="Hyperlink"/>
          <w:rFonts w:cs="Arial"/>
          <w:sz w:val="16"/>
          <w:szCs w:val="16"/>
          <w:u w:val="none"/>
        </w:rPr>
        <w:t xml:space="preserve"> </w:t>
      </w:r>
      <w:r w:rsidRPr="00662123">
        <w:rPr>
          <w:rFonts w:cs="Arial"/>
          <w:sz w:val="16"/>
          <w:szCs w:val="16"/>
        </w:rPr>
        <w:t>&lt; Accessed 7 December 2020.</w:t>
      </w:r>
    </w:p>
  </w:footnote>
  <w:footnote w:id="19">
    <w:p w14:paraId="21FD76DD" w14:textId="2BD15004" w:rsidR="006D7C24" w:rsidRDefault="006D7C24" w:rsidP="000C16CC">
      <w:pPr>
        <w:pStyle w:val="FootnoteText"/>
      </w:pPr>
      <w:r>
        <w:rPr>
          <w:rStyle w:val="FootnoteReference"/>
        </w:rPr>
        <w:footnoteRef/>
      </w:r>
      <w:r>
        <w:t xml:space="preserve"> Cost Study: The cost impact of complying with proposed 2022 changes to section G of NCC Volume One in Non-residential Class 9 Buildings 31 May 2021, Plan Cost.</w:t>
      </w:r>
    </w:p>
  </w:footnote>
  <w:footnote w:id="20">
    <w:p w14:paraId="5A27488A" w14:textId="0038E39C" w:rsidR="006D7C24" w:rsidRPr="00EA58B4" w:rsidRDefault="006D7C24" w:rsidP="00EA58B4">
      <w:pPr>
        <w:spacing w:after="0" w:line="240" w:lineRule="auto"/>
        <w:rPr>
          <w:rFonts w:ascii="Calibri" w:eastAsia="Times New Roman" w:hAnsi="Calibri" w:cs="Calibri"/>
          <w:color w:val="000000"/>
          <w:lang w:eastAsia="en-AU"/>
        </w:rPr>
      </w:pPr>
      <w:r>
        <w:rPr>
          <w:rStyle w:val="FootnoteReference"/>
        </w:rPr>
        <w:footnoteRef/>
      </w:r>
      <w:r>
        <w:t xml:space="preserve"> </w:t>
      </w:r>
      <w:r w:rsidRPr="00EA58B4">
        <w:rPr>
          <w:sz w:val="20"/>
          <w:szCs w:val="20"/>
        </w:rPr>
        <w:t xml:space="preserve">For schools and childcare centres a national average </w:t>
      </w:r>
      <w:r>
        <w:rPr>
          <w:sz w:val="20"/>
          <w:szCs w:val="20"/>
        </w:rPr>
        <w:t>based on</w:t>
      </w:r>
      <w:r w:rsidRPr="00EA58B4">
        <w:rPr>
          <w:sz w:val="20"/>
          <w:szCs w:val="20"/>
        </w:rPr>
        <w:t xml:space="preserve"> Victoria: Department of Education (Victoria) Bushfire At-Risk Register (BARR)</w:t>
      </w:r>
      <w:r>
        <w:rPr>
          <w:rFonts w:ascii="Calibri" w:eastAsia="Times New Roman" w:hAnsi="Calibri" w:cs="Calibri"/>
          <w:color w:val="000000"/>
          <w:lang w:eastAsia="en-AU"/>
        </w:rPr>
        <w:t xml:space="preserve"> </w:t>
      </w:r>
      <w:hyperlink r:id="rId2" w:tooltip="Bushfire At-Risk Register (BARR)" w:history="1">
        <w:r w:rsidRPr="00EA58B4">
          <w:rPr>
            <w:rStyle w:val="Hyperlink"/>
            <w:rFonts w:ascii="Calibri" w:eastAsia="Times New Roman" w:hAnsi="Calibri" w:cs="Calibri"/>
            <w:lang w:eastAsia="en-AU"/>
          </w:rPr>
          <w:t>https://www.education.vic.gov.au/about/programs/health/Pages/bushfirerisk.aspx</w:t>
        </w:r>
      </w:hyperlink>
    </w:p>
    <w:p w14:paraId="3016C733" w14:textId="63AF9A93" w:rsidR="006D7C24" w:rsidRPr="00EA58B4" w:rsidRDefault="006D7C24" w:rsidP="00EA58B4">
      <w:pPr>
        <w:spacing w:after="0" w:line="240" w:lineRule="auto"/>
        <w:rPr>
          <w:rFonts w:ascii="Calibri" w:eastAsia="Times New Roman" w:hAnsi="Calibri" w:cs="Calibri"/>
          <w:color w:val="000000"/>
          <w:lang w:eastAsia="en-AU"/>
        </w:rPr>
      </w:pPr>
      <w:r w:rsidRPr="00EA58B4">
        <w:rPr>
          <w:sz w:val="20"/>
          <w:szCs w:val="20"/>
        </w:rPr>
        <w:t xml:space="preserve">NSW: NSW government schools by bushfire category (2017) </w:t>
      </w:r>
      <w:hyperlink r:id="rId3" w:tooltip="NSW government schools by bushfire category" w:history="1">
        <w:r w:rsidRPr="00EA58B4">
          <w:rPr>
            <w:rStyle w:val="Hyperlink"/>
            <w:rFonts w:ascii="Calibri" w:eastAsia="Times New Roman" w:hAnsi="Calibri" w:cs="Calibri"/>
            <w:lang w:eastAsia="en-AU"/>
          </w:rPr>
          <w:t>https://data.cese.nsw.gov.au/data/dataset/nsw-government-schools-by-bushfire-category</w:t>
        </w:r>
      </w:hyperlink>
    </w:p>
    <w:p w14:paraId="74E4CD09" w14:textId="147FB784" w:rsidR="006D7C24" w:rsidRPr="00EA58B4" w:rsidRDefault="006D7C24" w:rsidP="00EA58B4">
      <w:pPr>
        <w:spacing w:after="0" w:line="240" w:lineRule="auto"/>
        <w:rPr>
          <w:rFonts w:ascii="Calibri" w:eastAsia="Times New Roman" w:hAnsi="Calibri" w:cs="Calibri"/>
          <w:color w:val="000000"/>
          <w:lang w:eastAsia="en-AU"/>
        </w:rPr>
      </w:pPr>
      <w:r w:rsidRPr="00EA58B4">
        <w:rPr>
          <w:sz w:val="20"/>
          <w:szCs w:val="20"/>
        </w:rPr>
        <w:t xml:space="preserve">SA: Department of Education (SA) </w:t>
      </w:r>
      <w:hyperlink r:id="rId4" w:tooltip="List of high bushfire risk schools, preschools and kindergartens" w:history="1">
        <w:r w:rsidRPr="00EA58B4">
          <w:rPr>
            <w:rStyle w:val="Hyperlink"/>
            <w:rFonts w:ascii="Calibri" w:eastAsia="Times New Roman" w:hAnsi="Calibri" w:cs="Calibri"/>
            <w:lang w:eastAsia="en-AU"/>
          </w:rPr>
          <w:t>https://www.education.sa.gov.au/parents-and-families/safety-and-wellbeing/bushfires/list-high-bushfire-risk-schools-preschools-and-kindergartens</w:t>
        </w:r>
      </w:hyperlink>
    </w:p>
    <w:p w14:paraId="50BA77BD" w14:textId="4499EC69" w:rsidR="006D7C24" w:rsidRDefault="006D7C24" w:rsidP="00137803">
      <w:pPr>
        <w:pStyle w:val="FootnoteText"/>
      </w:pPr>
      <w:r>
        <w:t xml:space="preserve">For Hospitals one third were assumed to be built in BPA to reflect population growth </w:t>
      </w:r>
    </w:p>
    <w:p w14:paraId="067B4D86" w14:textId="600F446B" w:rsidR="006D7C24" w:rsidRDefault="006D7C24" w:rsidP="00137803">
      <w:pPr>
        <w:pStyle w:val="FootnoteText"/>
      </w:pPr>
      <w:r>
        <w:t>For aged care, weighted by the estimated share of the state which is bushfire prone.</w:t>
      </w:r>
    </w:p>
  </w:footnote>
  <w:footnote w:id="21">
    <w:p w14:paraId="0694D663" w14:textId="77777777" w:rsidR="006D7C24" w:rsidRPr="000F2A03" w:rsidRDefault="006D7C24" w:rsidP="004410B7">
      <w:pPr>
        <w:pStyle w:val="FootnoteText"/>
        <w:rPr>
          <w:sz w:val="16"/>
          <w:szCs w:val="16"/>
        </w:rPr>
      </w:pPr>
      <w:r w:rsidRPr="000F2A03">
        <w:rPr>
          <w:rStyle w:val="FootnoteReference"/>
          <w:sz w:val="16"/>
          <w:szCs w:val="16"/>
        </w:rPr>
        <w:footnoteRef/>
      </w:r>
      <w:r w:rsidRPr="000F2A03">
        <w:rPr>
          <w:sz w:val="16"/>
          <w:szCs w:val="16"/>
        </w:rPr>
        <w:t xml:space="preserve"> </w:t>
      </w:r>
      <w:r w:rsidRPr="000F2A03">
        <w:rPr>
          <w:rFonts w:cs="Arial"/>
          <w:sz w:val="16"/>
          <w:szCs w:val="16"/>
        </w:rPr>
        <w:t>Bushfire protection for vulnerable use buildings, Department of Planning and Community Development Regulatory Impact Statement, May 2012.</w:t>
      </w:r>
    </w:p>
  </w:footnote>
  <w:footnote w:id="22">
    <w:p w14:paraId="3F5BC4B7" w14:textId="0913D47B" w:rsidR="006D7C24" w:rsidRPr="000F2A03" w:rsidRDefault="006D7C24" w:rsidP="000F2A03">
      <w:pPr>
        <w:pStyle w:val="FootnoteText"/>
        <w:rPr>
          <w:rFonts w:cs="Arial"/>
          <w:sz w:val="16"/>
          <w:szCs w:val="16"/>
        </w:rPr>
      </w:pPr>
      <w:r w:rsidRPr="000F2A03">
        <w:rPr>
          <w:rStyle w:val="FootnoteReference"/>
          <w:sz w:val="16"/>
          <w:szCs w:val="16"/>
        </w:rPr>
        <w:footnoteRef/>
      </w:r>
      <w:r w:rsidRPr="000F2A03">
        <w:rPr>
          <w:sz w:val="16"/>
          <w:szCs w:val="16"/>
        </w:rPr>
        <w:t xml:space="preserve"> </w:t>
      </w:r>
      <w:r w:rsidRPr="000F2A03">
        <w:rPr>
          <w:rFonts w:cs="Arial"/>
          <w:sz w:val="16"/>
          <w:szCs w:val="16"/>
        </w:rPr>
        <w:t xml:space="preserve">For example, </w:t>
      </w:r>
      <w:r>
        <w:rPr>
          <w:rFonts w:cs="Arial"/>
          <w:sz w:val="16"/>
          <w:szCs w:val="16"/>
        </w:rPr>
        <w:t xml:space="preserve">in Victoria </w:t>
      </w:r>
      <w:r w:rsidRPr="000F2A03">
        <w:rPr>
          <w:rFonts w:cs="Arial"/>
          <w:sz w:val="16"/>
          <w:szCs w:val="16"/>
        </w:rPr>
        <w:t>all schools and early childhood services on the Department’s Bushfire At-Risk Register (BARR), and schools and early childhood services listed at risk of grassfire (Category 4), must close on all days declared Code Red for their fire weather district.</w:t>
      </w:r>
      <w:r w:rsidRPr="000F2A03">
        <w:rPr>
          <w:sz w:val="16"/>
          <w:szCs w:val="16"/>
        </w:rPr>
        <w:t xml:space="preserve"> </w:t>
      </w:r>
      <w:hyperlink r:id="rId5" w:tooltip="Bushfire At-Risk Register (BARR)" w:history="1">
        <w:r w:rsidRPr="000F2A03">
          <w:rPr>
            <w:rStyle w:val="Hyperlink"/>
            <w:rFonts w:cs="Arial"/>
            <w:sz w:val="16"/>
            <w:szCs w:val="16"/>
          </w:rPr>
          <w:t>https://www2.education.vic.gov.au/pal/bushfire-and-grassfire-preparedness/policy</w:t>
        </w:r>
      </w:hyperlink>
    </w:p>
  </w:footnote>
  <w:footnote w:id="23">
    <w:p w14:paraId="558C9248" w14:textId="77777777" w:rsidR="006D7C24" w:rsidRPr="00225399" w:rsidRDefault="006D7C24" w:rsidP="009A1C04">
      <w:pPr>
        <w:pStyle w:val="FootnoteText"/>
        <w:rPr>
          <w:rFonts w:cs="Arial"/>
          <w:sz w:val="16"/>
          <w:szCs w:val="16"/>
          <w:lang w:val="en-US"/>
        </w:rPr>
      </w:pPr>
      <w:r w:rsidRPr="00225399">
        <w:rPr>
          <w:rStyle w:val="FootnoteReference"/>
          <w:rFonts w:cs="Arial"/>
          <w:sz w:val="16"/>
          <w:szCs w:val="16"/>
        </w:rPr>
        <w:footnoteRef/>
      </w:r>
      <w:r w:rsidRPr="00225399">
        <w:rPr>
          <w:rFonts w:cs="Arial"/>
          <w:sz w:val="16"/>
          <w:szCs w:val="16"/>
        </w:rPr>
        <w:t xml:space="preserve"> </w:t>
      </w:r>
      <w:r w:rsidRPr="00225399">
        <w:rPr>
          <w:rFonts w:cs="Arial"/>
          <w:sz w:val="16"/>
          <w:szCs w:val="16"/>
          <w:lang w:val="en-US"/>
        </w:rPr>
        <w:t xml:space="preserve">Regulatory burden has been calculated in accordance with the RBM framework. Annual burden calculated by dividing the Present Value costs by 10 and then dividing the total annual burden by 9 to reflect the Commonwealth’s contribution to the decision making.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4CDD9E"/>
    <w:lvl w:ilvl="0">
      <w:start w:val="1"/>
      <w:numFmt w:val="decimal"/>
      <w:pStyle w:val="ListNumber"/>
      <w:lvlText w:val="%1."/>
      <w:lvlJc w:val="left"/>
      <w:pPr>
        <w:tabs>
          <w:tab w:val="num" w:pos="2610"/>
        </w:tabs>
        <w:ind w:left="2610" w:hanging="360"/>
      </w:pPr>
    </w:lvl>
  </w:abstractNum>
  <w:abstractNum w:abstractNumId="1" w15:restartNumberingAfterBreak="0">
    <w:nsid w:val="FFFFFF89"/>
    <w:multiLevelType w:val="singleLevel"/>
    <w:tmpl w:val="E92E2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63937"/>
    <w:multiLevelType w:val="hybridMultilevel"/>
    <w:tmpl w:val="B504E6F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509AF"/>
    <w:multiLevelType w:val="hybridMultilevel"/>
    <w:tmpl w:val="7CC2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E4B27"/>
    <w:multiLevelType w:val="hybridMultilevel"/>
    <w:tmpl w:val="934E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30859"/>
    <w:multiLevelType w:val="hybridMultilevel"/>
    <w:tmpl w:val="0048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13EC2"/>
    <w:multiLevelType w:val="hybridMultilevel"/>
    <w:tmpl w:val="A51EF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71695"/>
    <w:multiLevelType w:val="hybridMultilevel"/>
    <w:tmpl w:val="1FE4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57262"/>
    <w:multiLevelType w:val="hybridMultilevel"/>
    <w:tmpl w:val="CE0E6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D40DDC"/>
    <w:multiLevelType w:val="hybridMultilevel"/>
    <w:tmpl w:val="BC3CFF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0A2EA9"/>
    <w:multiLevelType w:val="hybridMultilevel"/>
    <w:tmpl w:val="906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07A13"/>
    <w:multiLevelType w:val="hybridMultilevel"/>
    <w:tmpl w:val="D6CE2148"/>
    <w:lvl w:ilvl="0" w:tplc="B85AE848">
      <w:start w:val="1"/>
      <w:numFmt w:val="lowerRoman"/>
      <w:lvlText w:val="%1."/>
      <w:lvlJc w:val="left"/>
      <w:pPr>
        <w:ind w:left="1133" w:hanging="72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2" w15:restartNumberingAfterBreak="0">
    <w:nsid w:val="1A946275"/>
    <w:multiLevelType w:val="hybridMultilevel"/>
    <w:tmpl w:val="F1CA886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B6C4182"/>
    <w:multiLevelType w:val="hybridMultilevel"/>
    <w:tmpl w:val="A756096C"/>
    <w:lvl w:ilvl="0" w:tplc="F688572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07A80"/>
    <w:multiLevelType w:val="hybridMultilevel"/>
    <w:tmpl w:val="935E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3068E"/>
    <w:multiLevelType w:val="hybridMultilevel"/>
    <w:tmpl w:val="2FD4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550B5F"/>
    <w:multiLevelType w:val="hybridMultilevel"/>
    <w:tmpl w:val="C420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8D6965"/>
    <w:multiLevelType w:val="hybridMultilevel"/>
    <w:tmpl w:val="3814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75368C"/>
    <w:multiLevelType w:val="hybridMultilevel"/>
    <w:tmpl w:val="B6A0C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5E4AED"/>
    <w:multiLevelType w:val="hybridMultilevel"/>
    <w:tmpl w:val="BBC63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795F00"/>
    <w:multiLevelType w:val="hybridMultilevel"/>
    <w:tmpl w:val="2DE4E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15D06"/>
    <w:multiLevelType w:val="hybridMultilevel"/>
    <w:tmpl w:val="8FA071C4"/>
    <w:lvl w:ilvl="0" w:tplc="7DCC65E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282B3AA1"/>
    <w:multiLevelType w:val="hybridMultilevel"/>
    <w:tmpl w:val="E5FCA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3116B2"/>
    <w:multiLevelType w:val="hybridMultilevel"/>
    <w:tmpl w:val="A07C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FF0528"/>
    <w:multiLevelType w:val="hybridMultilevel"/>
    <w:tmpl w:val="6E3A124E"/>
    <w:lvl w:ilvl="0" w:tplc="C8FC0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265EDB"/>
    <w:multiLevelType w:val="hybridMultilevel"/>
    <w:tmpl w:val="8D4C063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2E4E1F30"/>
    <w:multiLevelType w:val="hybridMultilevel"/>
    <w:tmpl w:val="DA0E08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6B737A"/>
    <w:multiLevelType w:val="hybridMultilevel"/>
    <w:tmpl w:val="BFDA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F499D"/>
    <w:multiLevelType w:val="multilevel"/>
    <w:tmpl w:val="7256DDAE"/>
    <w:lvl w:ilvl="0">
      <w:start w:val="1"/>
      <w:numFmt w:val="bullet"/>
      <w:pStyle w:val="Multileve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9AB0893"/>
    <w:multiLevelType w:val="hybridMultilevel"/>
    <w:tmpl w:val="5E9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7E4819"/>
    <w:multiLevelType w:val="hybridMultilevel"/>
    <w:tmpl w:val="47FE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C37529"/>
    <w:multiLevelType w:val="hybridMultilevel"/>
    <w:tmpl w:val="129C7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202AAC"/>
    <w:multiLevelType w:val="hybridMultilevel"/>
    <w:tmpl w:val="9C1A0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772333"/>
    <w:multiLevelType w:val="hybridMultilevel"/>
    <w:tmpl w:val="0450E4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77278E"/>
    <w:multiLevelType w:val="hybridMultilevel"/>
    <w:tmpl w:val="6E7E5804"/>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4CB571A0"/>
    <w:multiLevelType w:val="hybridMultilevel"/>
    <w:tmpl w:val="976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F177A4"/>
    <w:multiLevelType w:val="hybridMultilevel"/>
    <w:tmpl w:val="4EB02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6E1814"/>
    <w:multiLevelType w:val="hybridMultilevel"/>
    <w:tmpl w:val="CFBC0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9A0356"/>
    <w:multiLevelType w:val="hybridMultilevel"/>
    <w:tmpl w:val="850E0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4D3083"/>
    <w:multiLevelType w:val="hybridMultilevel"/>
    <w:tmpl w:val="E0360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64037A"/>
    <w:multiLevelType w:val="hybridMultilevel"/>
    <w:tmpl w:val="3EDE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10454A"/>
    <w:multiLevelType w:val="hybridMultilevel"/>
    <w:tmpl w:val="E20A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114C6C"/>
    <w:multiLevelType w:val="hybridMultilevel"/>
    <w:tmpl w:val="1D56C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E006EBF"/>
    <w:multiLevelType w:val="hybridMultilevel"/>
    <w:tmpl w:val="B7E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003DC5"/>
    <w:multiLevelType w:val="hybridMultilevel"/>
    <w:tmpl w:val="C13C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CD62E3"/>
    <w:multiLevelType w:val="hybridMultilevel"/>
    <w:tmpl w:val="F6B88D2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6" w15:restartNumberingAfterBreak="0">
    <w:nsid w:val="63BD28A8"/>
    <w:multiLevelType w:val="hybridMultilevel"/>
    <w:tmpl w:val="CC82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E1F3C"/>
    <w:multiLevelType w:val="hybridMultilevel"/>
    <w:tmpl w:val="6ED65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DF2DE6"/>
    <w:multiLevelType w:val="hybridMultilevel"/>
    <w:tmpl w:val="225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E56E16"/>
    <w:multiLevelType w:val="hybridMultilevel"/>
    <w:tmpl w:val="371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046E5C"/>
    <w:multiLevelType w:val="hybridMultilevel"/>
    <w:tmpl w:val="2346A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D2648F"/>
    <w:multiLevelType w:val="hybridMultilevel"/>
    <w:tmpl w:val="2D92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DB5A02"/>
    <w:multiLevelType w:val="hybridMultilevel"/>
    <w:tmpl w:val="9C00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2B4385C"/>
    <w:multiLevelType w:val="hybridMultilevel"/>
    <w:tmpl w:val="E21A9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C5423D"/>
    <w:multiLevelType w:val="multilevel"/>
    <w:tmpl w:val="B31A591C"/>
    <w:lvl w:ilvl="0">
      <w:start w:val="1"/>
      <w:numFmt w:val="decimal"/>
      <w:pStyle w:val="Multi-levelNumbered"/>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31E1605"/>
    <w:multiLevelType w:val="multilevel"/>
    <w:tmpl w:val="0C09001D"/>
    <w:styleLink w:val="Multi-levelnumbere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57D7E29"/>
    <w:multiLevelType w:val="hybridMultilevel"/>
    <w:tmpl w:val="8AC66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76415AA5"/>
    <w:multiLevelType w:val="hybridMultilevel"/>
    <w:tmpl w:val="53E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4053B5"/>
    <w:multiLevelType w:val="hybridMultilevel"/>
    <w:tmpl w:val="10BEB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B1C3BAF"/>
    <w:multiLevelType w:val="hybridMultilevel"/>
    <w:tmpl w:val="DA742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7DCA0AB4"/>
    <w:multiLevelType w:val="hybridMultilevel"/>
    <w:tmpl w:val="5C080E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55"/>
  </w:num>
  <w:num w:numId="5">
    <w:abstractNumId w:val="54"/>
  </w:num>
  <w:num w:numId="6">
    <w:abstractNumId w:val="6"/>
  </w:num>
  <w:num w:numId="7">
    <w:abstractNumId w:val="26"/>
  </w:num>
  <w:num w:numId="8">
    <w:abstractNumId w:val="15"/>
  </w:num>
  <w:num w:numId="9">
    <w:abstractNumId w:val="30"/>
  </w:num>
  <w:num w:numId="10">
    <w:abstractNumId w:val="39"/>
  </w:num>
  <w:num w:numId="11">
    <w:abstractNumId w:val="11"/>
  </w:num>
  <w:num w:numId="12">
    <w:abstractNumId w:val="12"/>
  </w:num>
  <w:num w:numId="13">
    <w:abstractNumId w:val="7"/>
  </w:num>
  <w:num w:numId="14">
    <w:abstractNumId w:val="40"/>
  </w:num>
  <w:num w:numId="15">
    <w:abstractNumId w:val="45"/>
  </w:num>
  <w:num w:numId="16">
    <w:abstractNumId w:val="17"/>
  </w:num>
  <w:num w:numId="17">
    <w:abstractNumId w:val="53"/>
  </w:num>
  <w:num w:numId="18">
    <w:abstractNumId w:val="16"/>
  </w:num>
  <w:num w:numId="19">
    <w:abstractNumId w:val="10"/>
  </w:num>
  <w:num w:numId="20">
    <w:abstractNumId w:val="57"/>
  </w:num>
  <w:num w:numId="21">
    <w:abstractNumId w:val="41"/>
  </w:num>
  <w:num w:numId="22">
    <w:abstractNumId w:val="27"/>
  </w:num>
  <w:num w:numId="23">
    <w:abstractNumId w:val="14"/>
  </w:num>
  <w:num w:numId="24">
    <w:abstractNumId w:val="23"/>
  </w:num>
  <w:num w:numId="25">
    <w:abstractNumId w:val="46"/>
  </w:num>
  <w:num w:numId="26">
    <w:abstractNumId w:val="43"/>
  </w:num>
  <w:num w:numId="27">
    <w:abstractNumId w:val="29"/>
  </w:num>
  <w:num w:numId="28">
    <w:abstractNumId w:val="5"/>
  </w:num>
  <w:num w:numId="29">
    <w:abstractNumId w:val="13"/>
  </w:num>
  <w:num w:numId="30">
    <w:abstractNumId w:val="3"/>
  </w:num>
  <w:num w:numId="31">
    <w:abstractNumId w:val="8"/>
  </w:num>
  <w:num w:numId="32">
    <w:abstractNumId w:val="56"/>
  </w:num>
  <w:num w:numId="33">
    <w:abstractNumId w:val="24"/>
  </w:num>
  <w:num w:numId="34">
    <w:abstractNumId w:val="48"/>
  </w:num>
  <w:num w:numId="35">
    <w:abstractNumId w:val="49"/>
  </w:num>
  <w:num w:numId="36">
    <w:abstractNumId w:val="21"/>
  </w:num>
  <w:num w:numId="37">
    <w:abstractNumId w:val="19"/>
  </w:num>
  <w:num w:numId="38">
    <w:abstractNumId w:val="31"/>
  </w:num>
  <w:num w:numId="39">
    <w:abstractNumId w:val="25"/>
  </w:num>
  <w:num w:numId="40">
    <w:abstractNumId w:val="34"/>
  </w:num>
  <w:num w:numId="41">
    <w:abstractNumId w:val="52"/>
  </w:num>
  <w:num w:numId="42">
    <w:abstractNumId w:val="37"/>
  </w:num>
  <w:num w:numId="43">
    <w:abstractNumId w:val="47"/>
  </w:num>
  <w:num w:numId="44">
    <w:abstractNumId w:val="60"/>
  </w:num>
  <w:num w:numId="45">
    <w:abstractNumId w:val="59"/>
  </w:num>
  <w:num w:numId="46">
    <w:abstractNumId w:val="42"/>
  </w:num>
  <w:num w:numId="47">
    <w:abstractNumId w:val="44"/>
  </w:num>
  <w:num w:numId="48">
    <w:abstractNumId w:val="2"/>
  </w:num>
  <w:num w:numId="49">
    <w:abstractNumId w:val="35"/>
  </w:num>
  <w:num w:numId="50">
    <w:abstractNumId w:val="33"/>
  </w:num>
  <w:num w:numId="51">
    <w:abstractNumId w:val="32"/>
  </w:num>
  <w:num w:numId="52">
    <w:abstractNumId w:val="22"/>
  </w:num>
  <w:num w:numId="53">
    <w:abstractNumId w:val="18"/>
  </w:num>
  <w:num w:numId="54">
    <w:abstractNumId w:val="58"/>
  </w:num>
  <w:num w:numId="55">
    <w:abstractNumId w:val="36"/>
  </w:num>
  <w:num w:numId="56">
    <w:abstractNumId w:val="50"/>
  </w:num>
  <w:num w:numId="57">
    <w:abstractNumId w:val="38"/>
  </w:num>
  <w:num w:numId="58">
    <w:abstractNumId w:val="9"/>
  </w:num>
  <w:num w:numId="59">
    <w:abstractNumId w:val="20"/>
  </w:num>
  <w:num w:numId="60">
    <w:abstractNumId w:val="4"/>
  </w:num>
  <w:num w:numId="61">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73"/>
    <w:rsid w:val="0000327B"/>
    <w:rsid w:val="000038B2"/>
    <w:rsid w:val="00003B67"/>
    <w:rsid w:val="00003E4D"/>
    <w:rsid w:val="00005180"/>
    <w:rsid w:val="0000523D"/>
    <w:rsid w:val="00006839"/>
    <w:rsid w:val="00010C77"/>
    <w:rsid w:val="0001119A"/>
    <w:rsid w:val="00011207"/>
    <w:rsid w:val="0001188E"/>
    <w:rsid w:val="000118C0"/>
    <w:rsid w:val="00012167"/>
    <w:rsid w:val="000135EF"/>
    <w:rsid w:val="00014164"/>
    <w:rsid w:val="00014973"/>
    <w:rsid w:val="00014B17"/>
    <w:rsid w:val="00014E4F"/>
    <w:rsid w:val="000153AF"/>
    <w:rsid w:val="0001542C"/>
    <w:rsid w:val="00015487"/>
    <w:rsid w:val="000159B8"/>
    <w:rsid w:val="000163A9"/>
    <w:rsid w:val="000172E4"/>
    <w:rsid w:val="00017489"/>
    <w:rsid w:val="00017B53"/>
    <w:rsid w:val="00020230"/>
    <w:rsid w:val="0002214A"/>
    <w:rsid w:val="00023216"/>
    <w:rsid w:val="00026055"/>
    <w:rsid w:val="0002711F"/>
    <w:rsid w:val="00032A29"/>
    <w:rsid w:val="00032CC5"/>
    <w:rsid w:val="0003744F"/>
    <w:rsid w:val="00037D84"/>
    <w:rsid w:val="000403F0"/>
    <w:rsid w:val="000407A6"/>
    <w:rsid w:val="00041F8E"/>
    <w:rsid w:val="000420DF"/>
    <w:rsid w:val="0004257C"/>
    <w:rsid w:val="00042CC9"/>
    <w:rsid w:val="00043C34"/>
    <w:rsid w:val="00044537"/>
    <w:rsid w:val="0005012D"/>
    <w:rsid w:val="0005021A"/>
    <w:rsid w:val="00050E8B"/>
    <w:rsid w:val="0005118F"/>
    <w:rsid w:val="000519EA"/>
    <w:rsid w:val="00052B7F"/>
    <w:rsid w:val="00052EE2"/>
    <w:rsid w:val="00053173"/>
    <w:rsid w:val="00054A01"/>
    <w:rsid w:val="00054A2D"/>
    <w:rsid w:val="00055070"/>
    <w:rsid w:val="0005627E"/>
    <w:rsid w:val="000565F0"/>
    <w:rsid w:val="000566D4"/>
    <w:rsid w:val="000573FE"/>
    <w:rsid w:val="00057D4D"/>
    <w:rsid w:val="00061F8C"/>
    <w:rsid w:val="000636A6"/>
    <w:rsid w:val="00064661"/>
    <w:rsid w:val="00064E67"/>
    <w:rsid w:val="000650DA"/>
    <w:rsid w:val="00065442"/>
    <w:rsid w:val="00066599"/>
    <w:rsid w:val="00067B0B"/>
    <w:rsid w:val="000701EA"/>
    <w:rsid w:val="00073A11"/>
    <w:rsid w:val="00073D18"/>
    <w:rsid w:val="0007404F"/>
    <w:rsid w:val="0007442B"/>
    <w:rsid w:val="00074AFF"/>
    <w:rsid w:val="00075060"/>
    <w:rsid w:val="00076C09"/>
    <w:rsid w:val="000774E5"/>
    <w:rsid w:val="000827FB"/>
    <w:rsid w:val="00084772"/>
    <w:rsid w:val="000852BC"/>
    <w:rsid w:val="000867DF"/>
    <w:rsid w:val="00086C30"/>
    <w:rsid w:val="0008702B"/>
    <w:rsid w:val="00091B59"/>
    <w:rsid w:val="000921CB"/>
    <w:rsid w:val="000936C5"/>
    <w:rsid w:val="00093AD6"/>
    <w:rsid w:val="00093F54"/>
    <w:rsid w:val="00094235"/>
    <w:rsid w:val="000945E0"/>
    <w:rsid w:val="00094646"/>
    <w:rsid w:val="00094770"/>
    <w:rsid w:val="00095070"/>
    <w:rsid w:val="0009699B"/>
    <w:rsid w:val="00096EA0"/>
    <w:rsid w:val="000977B6"/>
    <w:rsid w:val="000977C6"/>
    <w:rsid w:val="000A28FA"/>
    <w:rsid w:val="000A2979"/>
    <w:rsid w:val="000A2EB0"/>
    <w:rsid w:val="000A39BA"/>
    <w:rsid w:val="000A3B2C"/>
    <w:rsid w:val="000A44E5"/>
    <w:rsid w:val="000A47F9"/>
    <w:rsid w:val="000A6F46"/>
    <w:rsid w:val="000B1BE6"/>
    <w:rsid w:val="000B1D79"/>
    <w:rsid w:val="000B224C"/>
    <w:rsid w:val="000B28CF"/>
    <w:rsid w:val="000B3077"/>
    <w:rsid w:val="000B39DB"/>
    <w:rsid w:val="000B3CD7"/>
    <w:rsid w:val="000B4D3C"/>
    <w:rsid w:val="000B513F"/>
    <w:rsid w:val="000B51BE"/>
    <w:rsid w:val="000B5D46"/>
    <w:rsid w:val="000B6076"/>
    <w:rsid w:val="000B675B"/>
    <w:rsid w:val="000B6E8F"/>
    <w:rsid w:val="000C0475"/>
    <w:rsid w:val="000C16CC"/>
    <w:rsid w:val="000C1823"/>
    <w:rsid w:val="000C19E3"/>
    <w:rsid w:val="000C2778"/>
    <w:rsid w:val="000C2D76"/>
    <w:rsid w:val="000C3AA6"/>
    <w:rsid w:val="000C5633"/>
    <w:rsid w:val="000C69BE"/>
    <w:rsid w:val="000C71AF"/>
    <w:rsid w:val="000C7300"/>
    <w:rsid w:val="000C744A"/>
    <w:rsid w:val="000D06AB"/>
    <w:rsid w:val="000D1009"/>
    <w:rsid w:val="000D1D74"/>
    <w:rsid w:val="000D24E8"/>
    <w:rsid w:val="000D24EC"/>
    <w:rsid w:val="000D3639"/>
    <w:rsid w:val="000D3A57"/>
    <w:rsid w:val="000D4510"/>
    <w:rsid w:val="000D5762"/>
    <w:rsid w:val="000E120E"/>
    <w:rsid w:val="000E1667"/>
    <w:rsid w:val="000E1879"/>
    <w:rsid w:val="000E3779"/>
    <w:rsid w:val="000E439B"/>
    <w:rsid w:val="000E45DF"/>
    <w:rsid w:val="000E4DE7"/>
    <w:rsid w:val="000E4F12"/>
    <w:rsid w:val="000E5109"/>
    <w:rsid w:val="000E6D7A"/>
    <w:rsid w:val="000E74DC"/>
    <w:rsid w:val="000E7D44"/>
    <w:rsid w:val="000F04C3"/>
    <w:rsid w:val="000F113D"/>
    <w:rsid w:val="000F1272"/>
    <w:rsid w:val="000F187D"/>
    <w:rsid w:val="000F2111"/>
    <w:rsid w:val="000F270D"/>
    <w:rsid w:val="000F2A03"/>
    <w:rsid w:val="000F3286"/>
    <w:rsid w:val="000F3ED8"/>
    <w:rsid w:val="000F582D"/>
    <w:rsid w:val="000F69AD"/>
    <w:rsid w:val="000F6FC9"/>
    <w:rsid w:val="000F743C"/>
    <w:rsid w:val="00100956"/>
    <w:rsid w:val="00101F28"/>
    <w:rsid w:val="0010312A"/>
    <w:rsid w:val="00103869"/>
    <w:rsid w:val="00103F52"/>
    <w:rsid w:val="00106216"/>
    <w:rsid w:val="001062BF"/>
    <w:rsid w:val="001065FF"/>
    <w:rsid w:val="0010786B"/>
    <w:rsid w:val="0011208C"/>
    <w:rsid w:val="001120D7"/>
    <w:rsid w:val="001126B9"/>
    <w:rsid w:val="001144DB"/>
    <w:rsid w:val="00115E0A"/>
    <w:rsid w:val="00116924"/>
    <w:rsid w:val="00116EF4"/>
    <w:rsid w:val="001177C7"/>
    <w:rsid w:val="00117AE3"/>
    <w:rsid w:val="00117AE7"/>
    <w:rsid w:val="001204D4"/>
    <w:rsid w:val="00120C78"/>
    <w:rsid w:val="00120F96"/>
    <w:rsid w:val="001217FF"/>
    <w:rsid w:val="00121AF6"/>
    <w:rsid w:val="001220CA"/>
    <w:rsid w:val="00125218"/>
    <w:rsid w:val="00125723"/>
    <w:rsid w:val="00125EB3"/>
    <w:rsid w:val="00125F15"/>
    <w:rsid w:val="001274DD"/>
    <w:rsid w:val="00127D3A"/>
    <w:rsid w:val="00130A54"/>
    <w:rsid w:val="00130E0C"/>
    <w:rsid w:val="0013100A"/>
    <w:rsid w:val="001317C6"/>
    <w:rsid w:val="00131B8F"/>
    <w:rsid w:val="00131ED4"/>
    <w:rsid w:val="0013257B"/>
    <w:rsid w:val="00132754"/>
    <w:rsid w:val="00134ED7"/>
    <w:rsid w:val="001353C7"/>
    <w:rsid w:val="001363C9"/>
    <w:rsid w:val="00136905"/>
    <w:rsid w:val="001371B8"/>
    <w:rsid w:val="00137803"/>
    <w:rsid w:val="00140290"/>
    <w:rsid w:val="00140BCB"/>
    <w:rsid w:val="001415B4"/>
    <w:rsid w:val="00141F7A"/>
    <w:rsid w:val="00142215"/>
    <w:rsid w:val="0014298F"/>
    <w:rsid w:val="0014416F"/>
    <w:rsid w:val="00144AC8"/>
    <w:rsid w:val="00145840"/>
    <w:rsid w:val="001465C2"/>
    <w:rsid w:val="00146B51"/>
    <w:rsid w:val="00146FA2"/>
    <w:rsid w:val="001537A0"/>
    <w:rsid w:val="00156820"/>
    <w:rsid w:val="00157A48"/>
    <w:rsid w:val="0016339C"/>
    <w:rsid w:val="001636FF"/>
    <w:rsid w:val="0016589D"/>
    <w:rsid w:val="00165A27"/>
    <w:rsid w:val="0016746A"/>
    <w:rsid w:val="00170617"/>
    <w:rsid w:val="001724D7"/>
    <w:rsid w:val="00173E9D"/>
    <w:rsid w:val="00173EF2"/>
    <w:rsid w:val="001743BE"/>
    <w:rsid w:val="00174569"/>
    <w:rsid w:val="00174FD9"/>
    <w:rsid w:val="0017584D"/>
    <w:rsid w:val="0017590E"/>
    <w:rsid w:val="001765FB"/>
    <w:rsid w:val="00177033"/>
    <w:rsid w:val="00177DC0"/>
    <w:rsid w:val="001802FA"/>
    <w:rsid w:val="00180ED0"/>
    <w:rsid w:val="001834FD"/>
    <w:rsid w:val="00184209"/>
    <w:rsid w:val="001846F3"/>
    <w:rsid w:val="001849CA"/>
    <w:rsid w:val="00185C9F"/>
    <w:rsid w:val="001868C5"/>
    <w:rsid w:val="00186F87"/>
    <w:rsid w:val="001874B3"/>
    <w:rsid w:val="00187548"/>
    <w:rsid w:val="0019023C"/>
    <w:rsid w:val="00191223"/>
    <w:rsid w:val="0019189B"/>
    <w:rsid w:val="00191C58"/>
    <w:rsid w:val="00191EE1"/>
    <w:rsid w:val="00192759"/>
    <w:rsid w:val="00194762"/>
    <w:rsid w:val="00194774"/>
    <w:rsid w:val="00194953"/>
    <w:rsid w:val="00195067"/>
    <w:rsid w:val="00195593"/>
    <w:rsid w:val="00195E78"/>
    <w:rsid w:val="00196411"/>
    <w:rsid w:val="00196566"/>
    <w:rsid w:val="0019798B"/>
    <w:rsid w:val="001A0103"/>
    <w:rsid w:val="001A0104"/>
    <w:rsid w:val="001A0555"/>
    <w:rsid w:val="001A3635"/>
    <w:rsid w:val="001A4EBE"/>
    <w:rsid w:val="001A557C"/>
    <w:rsid w:val="001A5753"/>
    <w:rsid w:val="001A6888"/>
    <w:rsid w:val="001A6C57"/>
    <w:rsid w:val="001A6DD9"/>
    <w:rsid w:val="001A7300"/>
    <w:rsid w:val="001B27F1"/>
    <w:rsid w:val="001B30D2"/>
    <w:rsid w:val="001B36F1"/>
    <w:rsid w:val="001B619B"/>
    <w:rsid w:val="001B653A"/>
    <w:rsid w:val="001B654A"/>
    <w:rsid w:val="001B7A84"/>
    <w:rsid w:val="001C02DE"/>
    <w:rsid w:val="001C048B"/>
    <w:rsid w:val="001C0852"/>
    <w:rsid w:val="001C0D54"/>
    <w:rsid w:val="001C2680"/>
    <w:rsid w:val="001C2B1D"/>
    <w:rsid w:val="001C2DF8"/>
    <w:rsid w:val="001C3135"/>
    <w:rsid w:val="001C4FF0"/>
    <w:rsid w:val="001C5786"/>
    <w:rsid w:val="001C5FF8"/>
    <w:rsid w:val="001C652E"/>
    <w:rsid w:val="001C69C1"/>
    <w:rsid w:val="001C6ABB"/>
    <w:rsid w:val="001C6CDF"/>
    <w:rsid w:val="001D057E"/>
    <w:rsid w:val="001D0636"/>
    <w:rsid w:val="001D207B"/>
    <w:rsid w:val="001D2898"/>
    <w:rsid w:val="001D338F"/>
    <w:rsid w:val="001D3B21"/>
    <w:rsid w:val="001D3ED0"/>
    <w:rsid w:val="001D4A89"/>
    <w:rsid w:val="001D581B"/>
    <w:rsid w:val="001D5F32"/>
    <w:rsid w:val="001D6C9A"/>
    <w:rsid w:val="001D70B9"/>
    <w:rsid w:val="001D7AEE"/>
    <w:rsid w:val="001D7CFE"/>
    <w:rsid w:val="001E0011"/>
    <w:rsid w:val="001E0109"/>
    <w:rsid w:val="001E1A8F"/>
    <w:rsid w:val="001E4155"/>
    <w:rsid w:val="001E4541"/>
    <w:rsid w:val="001E4B6E"/>
    <w:rsid w:val="001E4D9D"/>
    <w:rsid w:val="001E54D0"/>
    <w:rsid w:val="001E6840"/>
    <w:rsid w:val="001E7B8C"/>
    <w:rsid w:val="001E7E08"/>
    <w:rsid w:val="001F0E1D"/>
    <w:rsid w:val="001F1CE3"/>
    <w:rsid w:val="001F1D39"/>
    <w:rsid w:val="001F2ECA"/>
    <w:rsid w:val="001F3179"/>
    <w:rsid w:val="001F36F1"/>
    <w:rsid w:val="001F45AB"/>
    <w:rsid w:val="001F50BD"/>
    <w:rsid w:val="001F6711"/>
    <w:rsid w:val="001F7B2B"/>
    <w:rsid w:val="00200450"/>
    <w:rsid w:val="0020060B"/>
    <w:rsid w:val="00201F97"/>
    <w:rsid w:val="002020CC"/>
    <w:rsid w:val="00202421"/>
    <w:rsid w:val="00202B70"/>
    <w:rsid w:val="002047F6"/>
    <w:rsid w:val="00204D37"/>
    <w:rsid w:val="002050B4"/>
    <w:rsid w:val="00205BFC"/>
    <w:rsid w:val="00205C8D"/>
    <w:rsid w:val="00207CD1"/>
    <w:rsid w:val="002104C7"/>
    <w:rsid w:val="002109AD"/>
    <w:rsid w:val="00210A59"/>
    <w:rsid w:val="00212245"/>
    <w:rsid w:val="00212651"/>
    <w:rsid w:val="00212B54"/>
    <w:rsid w:val="002136C2"/>
    <w:rsid w:val="00214186"/>
    <w:rsid w:val="0021554E"/>
    <w:rsid w:val="00215764"/>
    <w:rsid w:val="00216E96"/>
    <w:rsid w:val="0021707B"/>
    <w:rsid w:val="002207A1"/>
    <w:rsid w:val="00220D4C"/>
    <w:rsid w:val="00224C51"/>
    <w:rsid w:val="00225399"/>
    <w:rsid w:val="002254D3"/>
    <w:rsid w:val="00225AAA"/>
    <w:rsid w:val="00225B36"/>
    <w:rsid w:val="00226382"/>
    <w:rsid w:val="002276B5"/>
    <w:rsid w:val="00227999"/>
    <w:rsid w:val="0023019F"/>
    <w:rsid w:val="002304B0"/>
    <w:rsid w:val="00230580"/>
    <w:rsid w:val="002314DF"/>
    <w:rsid w:val="00234168"/>
    <w:rsid w:val="002350E1"/>
    <w:rsid w:val="002359D7"/>
    <w:rsid w:val="00236A96"/>
    <w:rsid w:val="002379FC"/>
    <w:rsid w:val="00240E00"/>
    <w:rsid w:val="0024121D"/>
    <w:rsid w:val="002414E7"/>
    <w:rsid w:val="00242579"/>
    <w:rsid w:val="00242732"/>
    <w:rsid w:val="00242CB3"/>
    <w:rsid w:val="002436A6"/>
    <w:rsid w:val="00250D14"/>
    <w:rsid w:val="00250FC7"/>
    <w:rsid w:val="00251B11"/>
    <w:rsid w:val="00251D69"/>
    <w:rsid w:val="00253BA0"/>
    <w:rsid w:val="00253BF7"/>
    <w:rsid w:val="00253CB2"/>
    <w:rsid w:val="0025443D"/>
    <w:rsid w:val="00254564"/>
    <w:rsid w:val="00254705"/>
    <w:rsid w:val="002553D0"/>
    <w:rsid w:val="0025628B"/>
    <w:rsid w:val="0025648A"/>
    <w:rsid w:val="00260019"/>
    <w:rsid w:val="00260526"/>
    <w:rsid w:val="00260C7F"/>
    <w:rsid w:val="0026258F"/>
    <w:rsid w:val="00262619"/>
    <w:rsid w:val="00262951"/>
    <w:rsid w:val="00262FF5"/>
    <w:rsid w:val="00263CBB"/>
    <w:rsid w:val="00264B4A"/>
    <w:rsid w:val="00264E94"/>
    <w:rsid w:val="00265519"/>
    <w:rsid w:val="002661B0"/>
    <w:rsid w:val="00267B1B"/>
    <w:rsid w:val="00267BFC"/>
    <w:rsid w:val="00270623"/>
    <w:rsid w:val="00271624"/>
    <w:rsid w:val="00271D86"/>
    <w:rsid w:val="00272606"/>
    <w:rsid w:val="00273505"/>
    <w:rsid w:val="00273618"/>
    <w:rsid w:val="0027396C"/>
    <w:rsid w:val="00274253"/>
    <w:rsid w:val="002747AF"/>
    <w:rsid w:val="00274BC8"/>
    <w:rsid w:val="002751B7"/>
    <w:rsid w:val="002753AA"/>
    <w:rsid w:val="002754C8"/>
    <w:rsid w:val="002758CC"/>
    <w:rsid w:val="00275E8E"/>
    <w:rsid w:val="0027640E"/>
    <w:rsid w:val="00276588"/>
    <w:rsid w:val="002773B1"/>
    <w:rsid w:val="0027772D"/>
    <w:rsid w:val="0028005A"/>
    <w:rsid w:val="002800B1"/>
    <w:rsid w:val="002800E2"/>
    <w:rsid w:val="002833C0"/>
    <w:rsid w:val="002850C9"/>
    <w:rsid w:val="00285886"/>
    <w:rsid w:val="0028610A"/>
    <w:rsid w:val="0028611D"/>
    <w:rsid w:val="00287506"/>
    <w:rsid w:val="00287D79"/>
    <w:rsid w:val="00287E0F"/>
    <w:rsid w:val="00290C66"/>
    <w:rsid w:val="00291D45"/>
    <w:rsid w:val="0029410F"/>
    <w:rsid w:val="00294870"/>
    <w:rsid w:val="00297876"/>
    <w:rsid w:val="002978C2"/>
    <w:rsid w:val="002A00B0"/>
    <w:rsid w:val="002A0518"/>
    <w:rsid w:val="002A10E0"/>
    <w:rsid w:val="002A2088"/>
    <w:rsid w:val="002A298F"/>
    <w:rsid w:val="002A4798"/>
    <w:rsid w:val="002A497D"/>
    <w:rsid w:val="002A57E9"/>
    <w:rsid w:val="002A599D"/>
    <w:rsid w:val="002A674A"/>
    <w:rsid w:val="002B20C8"/>
    <w:rsid w:val="002B4856"/>
    <w:rsid w:val="002B5CEF"/>
    <w:rsid w:val="002B68DE"/>
    <w:rsid w:val="002B6A24"/>
    <w:rsid w:val="002B7A22"/>
    <w:rsid w:val="002C070A"/>
    <w:rsid w:val="002C0F7C"/>
    <w:rsid w:val="002C323E"/>
    <w:rsid w:val="002C4107"/>
    <w:rsid w:val="002C7456"/>
    <w:rsid w:val="002D1A8C"/>
    <w:rsid w:val="002D4B7F"/>
    <w:rsid w:val="002D5DB8"/>
    <w:rsid w:val="002D6349"/>
    <w:rsid w:val="002D66CB"/>
    <w:rsid w:val="002D7896"/>
    <w:rsid w:val="002D7F2E"/>
    <w:rsid w:val="002E0B28"/>
    <w:rsid w:val="002E2BE7"/>
    <w:rsid w:val="002E388B"/>
    <w:rsid w:val="002E4BE2"/>
    <w:rsid w:val="002E521F"/>
    <w:rsid w:val="002E5ABB"/>
    <w:rsid w:val="002E73D2"/>
    <w:rsid w:val="002F0158"/>
    <w:rsid w:val="002F0489"/>
    <w:rsid w:val="002F101C"/>
    <w:rsid w:val="002F324F"/>
    <w:rsid w:val="002F46AD"/>
    <w:rsid w:val="002F51FD"/>
    <w:rsid w:val="002F5D73"/>
    <w:rsid w:val="002F5E52"/>
    <w:rsid w:val="002F620F"/>
    <w:rsid w:val="002F6507"/>
    <w:rsid w:val="002F6CEC"/>
    <w:rsid w:val="002F7D66"/>
    <w:rsid w:val="00300456"/>
    <w:rsid w:val="00301067"/>
    <w:rsid w:val="00305350"/>
    <w:rsid w:val="003064D2"/>
    <w:rsid w:val="00307419"/>
    <w:rsid w:val="00307D42"/>
    <w:rsid w:val="00310236"/>
    <w:rsid w:val="00310431"/>
    <w:rsid w:val="003108B7"/>
    <w:rsid w:val="003117B2"/>
    <w:rsid w:val="003151CC"/>
    <w:rsid w:val="003165DA"/>
    <w:rsid w:val="00322A0E"/>
    <w:rsid w:val="00322B32"/>
    <w:rsid w:val="00323B6E"/>
    <w:rsid w:val="003250DB"/>
    <w:rsid w:val="00327565"/>
    <w:rsid w:val="0033021D"/>
    <w:rsid w:val="00330E14"/>
    <w:rsid w:val="00332205"/>
    <w:rsid w:val="00332F13"/>
    <w:rsid w:val="00334B36"/>
    <w:rsid w:val="00334DA7"/>
    <w:rsid w:val="0033540A"/>
    <w:rsid w:val="003358E4"/>
    <w:rsid w:val="00335DAB"/>
    <w:rsid w:val="00335EED"/>
    <w:rsid w:val="00337EEB"/>
    <w:rsid w:val="00341117"/>
    <w:rsid w:val="00341F42"/>
    <w:rsid w:val="00342F4A"/>
    <w:rsid w:val="003431D6"/>
    <w:rsid w:val="003437FF"/>
    <w:rsid w:val="00343833"/>
    <w:rsid w:val="00344F48"/>
    <w:rsid w:val="00346B73"/>
    <w:rsid w:val="0034700D"/>
    <w:rsid w:val="00347748"/>
    <w:rsid w:val="0035005F"/>
    <w:rsid w:val="00350E1C"/>
    <w:rsid w:val="00351842"/>
    <w:rsid w:val="00353323"/>
    <w:rsid w:val="0035511F"/>
    <w:rsid w:val="003551FB"/>
    <w:rsid w:val="003552EB"/>
    <w:rsid w:val="00356BB3"/>
    <w:rsid w:val="00356BDA"/>
    <w:rsid w:val="00356CDA"/>
    <w:rsid w:val="00357C40"/>
    <w:rsid w:val="00360447"/>
    <w:rsid w:val="0036103E"/>
    <w:rsid w:val="00361D41"/>
    <w:rsid w:val="003626E8"/>
    <w:rsid w:val="00362FEC"/>
    <w:rsid w:val="00364A4F"/>
    <w:rsid w:val="00364D82"/>
    <w:rsid w:val="0037076E"/>
    <w:rsid w:val="00372F41"/>
    <w:rsid w:val="00373145"/>
    <w:rsid w:val="0037510E"/>
    <w:rsid w:val="00377233"/>
    <w:rsid w:val="00377A36"/>
    <w:rsid w:val="00381014"/>
    <w:rsid w:val="00381FF2"/>
    <w:rsid w:val="003820D7"/>
    <w:rsid w:val="00382493"/>
    <w:rsid w:val="003839DE"/>
    <w:rsid w:val="00385645"/>
    <w:rsid w:val="00385FF8"/>
    <w:rsid w:val="0038772B"/>
    <w:rsid w:val="0038775A"/>
    <w:rsid w:val="00387A21"/>
    <w:rsid w:val="00387D91"/>
    <w:rsid w:val="00390095"/>
    <w:rsid w:val="00391D58"/>
    <w:rsid w:val="003926C3"/>
    <w:rsid w:val="003926C7"/>
    <w:rsid w:val="00392774"/>
    <w:rsid w:val="0039350A"/>
    <w:rsid w:val="00394BB7"/>
    <w:rsid w:val="00394DE6"/>
    <w:rsid w:val="003962CC"/>
    <w:rsid w:val="00397754"/>
    <w:rsid w:val="003A05C9"/>
    <w:rsid w:val="003A1598"/>
    <w:rsid w:val="003A1687"/>
    <w:rsid w:val="003A218B"/>
    <w:rsid w:val="003A22A1"/>
    <w:rsid w:val="003A26E3"/>
    <w:rsid w:val="003A3677"/>
    <w:rsid w:val="003A3E62"/>
    <w:rsid w:val="003A49AD"/>
    <w:rsid w:val="003A53FA"/>
    <w:rsid w:val="003A7571"/>
    <w:rsid w:val="003B0155"/>
    <w:rsid w:val="003B0AD7"/>
    <w:rsid w:val="003B1079"/>
    <w:rsid w:val="003B13B3"/>
    <w:rsid w:val="003B14D9"/>
    <w:rsid w:val="003B2B07"/>
    <w:rsid w:val="003B2CE6"/>
    <w:rsid w:val="003B3F4D"/>
    <w:rsid w:val="003B540E"/>
    <w:rsid w:val="003B58FB"/>
    <w:rsid w:val="003B79A7"/>
    <w:rsid w:val="003C09C4"/>
    <w:rsid w:val="003C1974"/>
    <w:rsid w:val="003C2547"/>
    <w:rsid w:val="003C3171"/>
    <w:rsid w:val="003C4E93"/>
    <w:rsid w:val="003C62B5"/>
    <w:rsid w:val="003C786B"/>
    <w:rsid w:val="003C7902"/>
    <w:rsid w:val="003D0C4A"/>
    <w:rsid w:val="003D1734"/>
    <w:rsid w:val="003D1AC6"/>
    <w:rsid w:val="003D1D21"/>
    <w:rsid w:val="003D274F"/>
    <w:rsid w:val="003D276E"/>
    <w:rsid w:val="003D3347"/>
    <w:rsid w:val="003D3F5E"/>
    <w:rsid w:val="003D61DF"/>
    <w:rsid w:val="003D63D5"/>
    <w:rsid w:val="003D6681"/>
    <w:rsid w:val="003D78D5"/>
    <w:rsid w:val="003E0606"/>
    <w:rsid w:val="003E21EE"/>
    <w:rsid w:val="003E2C39"/>
    <w:rsid w:val="003E37C8"/>
    <w:rsid w:val="003E445C"/>
    <w:rsid w:val="003E5B19"/>
    <w:rsid w:val="003E6178"/>
    <w:rsid w:val="003E62FB"/>
    <w:rsid w:val="003E6535"/>
    <w:rsid w:val="003E6552"/>
    <w:rsid w:val="003E751F"/>
    <w:rsid w:val="003F0220"/>
    <w:rsid w:val="003F028C"/>
    <w:rsid w:val="003F1DAB"/>
    <w:rsid w:val="003F255F"/>
    <w:rsid w:val="003F3C58"/>
    <w:rsid w:val="003F565D"/>
    <w:rsid w:val="003F5977"/>
    <w:rsid w:val="003F76D4"/>
    <w:rsid w:val="003F77D8"/>
    <w:rsid w:val="003F7922"/>
    <w:rsid w:val="004015BF"/>
    <w:rsid w:val="004018BB"/>
    <w:rsid w:val="004041B3"/>
    <w:rsid w:val="00404E61"/>
    <w:rsid w:val="004058A9"/>
    <w:rsid w:val="00405D95"/>
    <w:rsid w:val="004071F1"/>
    <w:rsid w:val="004106C2"/>
    <w:rsid w:val="004116C1"/>
    <w:rsid w:val="004119BC"/>
    <w:rsid w:val="00411A47"/>
    <w:rsid w:val="00411AC8"/>
    <w:rsid w:val="00413658"/>
    <w:rsid w:val="00413784"/>
    <w:rsid w:val="004138DE"/>
    <w:rsid w:val="00413DCC"/>
    <w:rsid w:val="00414831"/>
    <w:rsid w:val="004161B2"/>
    <w:rsid w:val="00416BE5"/>
    <w:rsid w:val="00416EB1"/>
    <w:rsid w:val="00417057"/>
    <w:rsid w:val="00417D65"/>
    <w:rsid w:val="00417DDB"/>
    <w:rsid w:val="0042208C"/>
    <w:rsid w:val="004238E1"/>
    <w:rsid w:val="00423A39"/>
    <w:rsid w:val="00424275"/>
    <w:rsid w:val="0042554F"/>
    <w:rsid w:val="00425CE4"/>
    <w:rsid w:val="004269F3"/>
    <w:rsid w:val="004303A8"/>
    <w:rsid w:val="004303C1"/>
    <w:rsid w:val="00430720"/>
    <w:rsid w:val="00430AEE"/>
    <w:rsid w:val="00432B8F"/>
    <w:rsid w:val="00433637"/>
    <w:rsid w:val="004339DE"/>
    <w:rsid w:val="004346EF"/>
    <w:rsid w:val="00435EB5"/>
    <w:rsid w:val="00437358"/>
    <w:rsid w:val="00437E92"/>
    <w:rsid w:val="00440490"/>
    <w:rsid w:val="004410B7"/>
    <w:rsid w:val="00441B8F"/>
    <w:rsid w:val="00442A0C"/>
    <w:rsid w:val="00443069"/>
    <w:rsid w:val="004446CE"/>
    <w:rsid w:val="004447F8"/>
    <w:rsid w:val="0044535F"/>
    <w:rsid w:val="00446274"/>
    <w:rsid w:val="004469A4"/>
    <w:rsid w:val="004507E2"/>
    <w:rsid w:val="00450BC2"/>
    <w:rsid w:val="0045164F"/>
    <w:rsid w:val="00452294"/>
    <w:rsid w:val="00453F3D"/>
    <w:rsid w:val="004564B7"/>
    <w:rsid w:val="00456B59"/>
    <w:rsid w:val="00457141"/>
    <w:rsid w:val="00457755"/>
    <w:rsid w:val="00460C14"/>
    <w:rsid w:val="00460C6E"/>
    <w:rsid w:val="00461698"/>
    <w:rsid w:val="00461BDE"/>
    <w:rsid w:val="00463383"/>
    <w:rsid w:val="00465229"/>
    <w:rsid w:val="00465912"/>
    <w:rsid w:val="0046714C"/>
    <w:rsid w:val="00470E00"/>
    <w:rsid w:val="00472A5F"/>
    <w:rsid w:val="00475386"/>
    <w:rsid w:val="004754FE"/>
    <w:rsid w:val="00476CD1"/>
    <w:rsid w:val="0048101F"/>
    <w:rsid w:val="004810C4"/>
    <w:rsid w:val="00481277"/>
    <w:rsid w:val="004813F6"/>
    <w:rsid w:val="004822D3"/>
    <w:rsid w:val="004827B9"/>
    <w:rsid w:val="004832C6"/>
    <w:rsid w:val="00483441"/>
    <w:rsid w:val="00483F2F"/>
    <w:rsid w:val="0048572D"/>
    <w:rsid w:val="004857C1"/>
    <w:rsid w:val="004874BA"/>
    <w:rsid w:val="00490EF0"/>
    <w:rsid w:val="00491187"/>
    <w:rsid w:val="00492D8B"/>
    <w:rsid w:val="00493CA5"/>
    <w:rsid w:val="00493F78"/>
    <w:rsid w:val="00494FA7"/>
    <w:rsid w:val="00495310"/>
    <w:rsid w:val="00495395"/>
    <w:rsid w:val="00495EEF"/>
    <w:rsid w:val="00496132"/>
    <w:rsid w:val="0049684D"/>
    <w:rsid w:val="004976F4"/>
    <w:rsid w:val="004A0524"/>
    <w:rsid w:val="004A0717"/>
    <w:rsid w:val="004A07E8"/>
    <w:rsid w:val="004A0BB6"/>
    <w:rsid w:val="004A18BA"/>
    <w:rsid w:val="004A1DC2"/>
    <w:rsid w:val="004A2FC2"/>
    <w:rsid w:val="004A3DE1"/>
    <w:rsid w:val="004A4AD5"/>
    <w:rsid w:val="004A62E9"/>
    <w:rsid w:val="004A6A9F"/>
    <w:rsid w:val="004A6C5F"/>
    <w:rsid w:val="004A749E"/>
    <w:rsid w:val="004B0A11"/>
    <w:rsid w:val="004B1C2B"/>
    <w:rsid w:val="004B2099"/>
    <w:rsid w:val="004B24EC"/>
    <w:rsid w:val="004B28EF"/>
    <w:rsid w:val="004B3728"/>
    <w:rsid w:val="004B3E62"/>
    <w:rsid w:val="004B46A3"/>
    <w:rsid w:val="004B59A0"/>
    <w:rsid w:val="004B5F8D"/>
    <w:rsid w:val="004B60DE"/>
    <w:rsid w:val="004B63BD"/>
    <w:rsid w:val="004B6644"/>
    <w:rsid w:val="004B6C86"/>
    <w:rsid w:val="004B7258"/>
    <w:rsid w:val="004B77D5"/>
    <w:rsid w:val="004C0444"/>
    <w:rsid w:val="004C1453"/>
    <w:rsid w:val="004C228D"/>
    <w:rsid w:val="004C2348"/>
    <w:rsid w:val="004C28DF"/>
    <w:rsid w:val="004C2B53"/>
    <w:rsid w:val="004C3077"/>
    <w:rsid w:val="004C4CF8"/>
    <w:rsid w:val="004C6304"/>
    <w:rsid w:val="004C6A2C"/>
    <w:rsid w:val="004C6B89"/>
    <w:rsid w:val="004C6BF1"/>
    <w:rsid w:val="004C6FA2"/>
    <w:rsid w:val="004D0723"/>
    <w:rsid w:val="004D19E6"/>
    <w:rsid w:val="004D23A1"/>
    <w:rsid w:val="004D3312"/>
    <w:rsid w:val="004D3A57"/>
    <w:rsid w:val="004D3E25"/>
    <w:rsid w:val="004D467E"/>
    <w:rsid w:val="004D47B1"/>
    <w:rsid w:val="004D57AA"/>
    <w:rsid w:val="004D68C8"/>
    <w:rsid w:val="004D6C08"/>
    <w:rsid w:val="004E0924"/>
    <w:rsid w:val="004E10D9"/>
    <w:rsid w:val="004E1A8B"/>
    <w:rsid w:val="004E1FB8"/>
    <w:rsid w:val="004E2007"/>
    <w:rsid w:val="004E234A"/>
    <w:rsid w:val="004E31EE"/>
    <w:rsid w:val="004E36C7"/>
    <w:rsid w:val="004E4EB1"/>
    <w:rsid w:val="004E5C8A"/>
    <w:rsid w:val="004E5E29"/>
    <w:rsid w:val="004E6DBC"/>
    <w:rsid w:val="004E705C"/>
    <w:rsid w:val="004E77EA"/>
    <w:rsid w:val="004F0578"/>
    <w:rsid w:val="004F1F71"/>
    <w:rsid w:val="004F1FBB"/>
    <w:rsid w:val="004F2CBE"/>
    <w:rsid w:val="004F355E"/>
    <w:rsid w:val="004F50C7"/>
    <w:rsid w:val="004F5A90"/>
    <w:rsid w:val="004F5F2E"/>
    <w:rsid w:val="005009C1"/>
    <w:rsid w:val="00502D23"/>
    <w:rsid w:val="005055F0"/>
    <w:rsid w:val="005056A9"/>
    <w:rsid w:val="00506674"/>
    <w:rsid w:val="005070C9"/>
    <w:rsid w:val="0050738A"/>
    <w:rsid w:val="0051057A"/>
    <w:rsid w:val="00510812"/>
    <w:rsid w:val="00510DC6"/>
    <w:rsid w:val="00511E66"/>
    <w:rsid w:val="00512E1F"/>
    <w:rsid w:val="0051360D"/>
    <w:rsid w:val="0051385E"/>
    <w:rsid w:val="00513B2A"/>
    <w:rsid w:val="00513F62"/>
    <w:rsid w:val="0051431C"/>
    <w:rsid w:val="00514E77"/>
    <w:rsid w:val="00516951"/>
    <w:rsid w:val="005178A8"/>
    <w:rsid w:val="00520803"/>
    <w:rsid w:val="00520844"/>
    <w:rsid w:val="00521121"/>
    <w:rsid w:val="00522288"/>
    <w:rsid w:val="005222C8"/>
    <w:rsid w:val="00523BCC"/>
    <w:rsid w:val="005245E6"/>
    <w:rsid w:val="00524895"/>
    <w:rsid w:val="00525251"/>
    <w:rsid w:val="005275F4"/>
    <w:rsid w:val="00527CD6"/>
    <w:rsid w:val="0053046F"/>
    <w:rsid w:val="00531EBC"/>
    <w:rsid w:val="00532855"/>
    <w:rsid w:val="00532A5F"/>
    <w:rsid w:val="00533A80"/>
    <w:rsid w:val="005353A0"/>
    <w:rsid w:val="00536EF9"/>
    <w:rsid w:val="00537379"/>
    <w:rsid w:val="0054153E"/>
    <w:rsid w:val="00541A21"/>
    <w:rsid w:val="00542FDE"/>
    <w:rsid w:val="005433CA"/>
    <w:rsid w:val="0054355A"/>
    <w:rsid w:val="00543F99"/>
    <w:rsid w:val="005445C2"/>
    <w:rsid w:val="00544629"/>
    <w:rsid w:val="00545604"/>
    <w:rsid w:val="005458A4"/>
    <w:rsid w:val="00545F8B"/>
    <w:rsid w:val="00547334"/>
    <w:rsid w:val="005477D0"/>
    <w:rsid w:val="0055036C"/>
    <w:rsid w:val="00550496"/>
    <w:rsid w:val="005506DF"/>
    <w:rsid w:val="00551055"/>
    <w:rsid w:val="0055269C"/>
    <w:rsid w:val="0055428E"/>
    <w:rsid w:val="00554AE0"/>
    <w:rsid w:val="0055507A"/>
    <w:rsid w:val="0055765F"/>
    <w:rsid w:val="005615DD"/>
    <w:rsid w:val="00563859"/>
    <w:rsid w:val="0056432D"/>
    <w:rsid w:val="00564743"/>
    <w:rsid w:val="005655C0"/>
    <w:rsid w:val="00565C44"/>
    <w:rsid w:val="00565E58"/>
    <w:rsid w:val="0056682B"/>
    <w:rsid w:val="0056755F"/>
    <w:rsid w:val="00567FD4"/>
    <w:rsid w:val="005703D9"/>
    <w:rsid w:val="00570BFC"/>
    <w:rsid w:val="00572201"/>
    <w:rsid w:val="005726F7"/>
    <w:rsid w:val="005730E2"/>
    <w:rsid w:val="0057376C"/>
    <w:rsid w:val="00573892"/>
    <w:rsid w:val="0057485E"/>
    <w:rsid w:val="00576459"/>
    <w:rsid w:val="00577430"/>
    <w:rsid w:val="00577490"/>
    <w:rsid w:val="0058035D"/>
    <w:rsid w:val="005806FB"/>
    <w:rsid w:val="00580732"/>
    <w:rsid w:val="00581F83"/>
    <w:rsid w:val="005851C9"/>
    <w:rsid w:val="005854AA"/>
    <w:rsid w:val="0058550F"/>
    <w:rsid w:val="00586106"/>
    <w:rsid w:val="005866D9"/>
    <w:rsid w:val="00586791"/>
    <w:rsid w:val="00586AE8"/>
    <w:rsid w:val="00590322"/>
    <w:rsid w:val="00592406"/>
    <w:rsid w:val="00592823"/>
    <w:rsid w:val="00593185"/>
    <w:rsid w:val="00593DFE"/>
    <w:rsid w:val="00593E6E"/>
    <w:rsid w:val="00594915"/>
    <w:rsid w:val="0059507F"/>
    <w:rsid w:val="00595E1A"/>
    <w:rsid w:val="00595FFE"/>
    <w:rsid w:val="00596576"/>
    <w:rsid w:val="0059689F"/>
    <w:rsid w:val="00596D35"/>
    <w:rsid w:val="005976A8"/>
    <w:rsid w:val="005979A1"/>
    <w:rsid w:val="00597A91"/>
    <w:rsid w:val="005A15B2"/>
    <w:rsid w:val="005A31F4"/>
    <w:rsid w:val="005A3590"/>
    <w:rsid w:val="005A65ED"/>
    <w:rsid w:val="005A6FE8"/>
    <w:rsid w:val="005A71A0"/>
    <w:rsid w:val="005A72C1"/>
    <w:rsid w:val="005B0AD1"/>
    <w:rsid w:val="005B13BC"/>
    <w:rsid w:val="005B2490"/>
    <w:rsid w:val="005B3B0C"/>
    <w:rsid w:val="005B46AC"/>
    <w:rsid w:val="005B5ECA"/>
    <w:rsid w:val="005B6952"/>
    <w:rsid w:val="005B714E"/>
    <w:rsid w:val="005B7717"/>
    <w:rsid w:val="005B7D3E"/>
    <w:rsid w:val="005B7F33"/>
    <w:rsid w:val="005C042F"/>
    <w:rsid w:val="005C266F"/>
    <w:rsid w:val="005C3417"/>
    <w:rsid w:val="005C3742"/>
    <w:rsid w:val="005C42DA"/>
    <w:rsid w:val="005C5929"/>
    <w:rsid w:val="005C5C02"/>
    <w:rsid w:val="005D0CB0"/>
    <w:rsid w:val="005D0FB1"/>
    <w:rsid w:val="005D12DC"/>
    <w:rsid w:val="005D12F2"/>
    <w:rsid w:val="005D1493"/>
    <w:rsid w:val="005D292B"/>
    <w:rsid w:val="005D2EE9"/>
    <w:rsid w:val="005D3054"/>
    <w:rsid w:val="005D3DC5"/>
    <w:rsid w:val="005D52BB"/>
    <w:rsid w:val="005D5AFC"/>
    <w:rsid w:val="005D5CF9"/>
    <w:rsid w:val="005D63F3"/>
    <w:rsid w:val="005D66B4"/>
    <w:rsid w:val="005D672B"/>
    <w:rsid w:val="005D76F0"/>
    <w:rsid w:val="005E112D"/>
    <w:rsid w:val="005E4C78"/>
    <w:rsid w:val="005E5A3E"/>
    <w:rsid w:val="005F0883"/>
    <w:rsid w:val="005F1847"/>
    <w:rsid w:val="005F1BA6"/>
    <w:rsid w:val="005F2040"/>
    <w:rsid w:val="005F3D16"/>
    <w:rsid w:val="005F3D91"/>
    <w:rsid w:val="005F4B28"/>
    <w:rsid w:val="005F6750"/>
    <w:rsid w:val="005F6F84"/>
    <w:rsid w:val="005F70C3"/>
    <w:rsid w:val="005F75AF"/>
    <w:rsid w:val="006008AA"/>
    <w:rsid w:val="006019A1"/>
    <w:rsid w:val="00601AF0"/>
    <w:rsid w:val="00601DFF"/>
    <w:rsid w:val="00601ED7"/>
    <w:rsid w:val="00602C17"/>
    <w:rsid w:val="00602C39"/>
    <w:rsid w:val="00603170"/>
    <w:rsid w:val="0060372E"/>
    <w:rsid w:val="00604394"/>
    <w:rsid w:val="00604D1B"/>
    <w:rsid w:val="00605806"/>
    <w:rsid w:val="00605B52"/>
    <w:rsid w:val="00605C25"/>
    <w:rsid w:val="00605D17"/>
    <w:rsid w:val="0060605A"/>
    <w:rsid w:val="00606555"/>
    <w:rsid w:val="00607DD8"/>
    <w:rsid w:val="006118A5"/>
    <w:rsid w:val="0061338A"/>
    <w:rsid w:val="00614966"/>
    <w:rsid w:val="00615D0C"/>
    <w:rsid w:val="006202E9"/>
    <w:rsid w:val="0062034C"/>
    <w:rsid w:val="0062039B"/>
    <w:rsid w:val="006203F6"/>
    <w:rsid w:val="00620690"/>
    <w:rsid w:val="00621141"/>
    <w:rsid w:val="006212B6"/>
    <w:rsid w:val="00621CB0"/>
    <w:rsid w:val="00624F5E"/>
    <w:rsid w:val="006251DB"/>
    <w:rsid w:val="00625BC8"/>
    <w:rsid w:val="00627279"/>
    <w:rsid w:val="0063042E"/>
    <w:rsid w:val="0063070E"/>
    <w:rsid w:val="00630858"/>
    <w:rsid w:val="006313B6"/>
    <w:rsid w:val="006313FE"/>
    <w:rsid w:val="00632E3D"/>
    <w:rsid w:val="00632E81"/>
    <w:rsid w:val="006351F8"/>
    <w:rsid w:val="006363C5"/>
    <w:rsid w:val="00636DBC"/>
    <w:rsid w:val="0063771E"/>
    <w:rsid w:val="00637831"/>
    <w:rsid w:val="006379CF"/>
    <w:rsid w:val="00641D27"/>
    <w:rsid w:val="006428C0"/>
    <w:rsid w:val="0064346A"/>
    <w:rsid w:val="006434E1"/>
    <w:rsid w:val="006435FE"/>
    <w:rsid w:val="00643920"/>
    <w:rsid w:val="00643B6B"/>
    <w:rsid w:val="00643E2F"/>
    <w:rsid w:val="0064423A"/>
    <w:rsid w:val="00644EA4"/>
    <w:rsid w:val="00645CAA"/>
    <w:rsid w:val="00646C14"/>
    <w:rsid w:val="006503AD"/>
    <w:rsid w:val="006503E6"/>
    <w:rsid w:val="00652431"/>
    <w:rsid w:val="0065313E"/>
    <w:rsid w:val="00654154"/>
    <w:rsid w:val="00654673"/>
    <w:rsid w:val="00655BE1"/>
    <w:rsid w:val="006562EE"/>
    <w:rsid w:val="00656DA8"/>
    <w:rsid w:val="00657004"/>
    <w:rsid w:val="00662123"/>
    <w:rsid w:val="00663022"/>
    <w:rsid w:val="006630F3"/>
    <w:rsid w:val="00663D8A"/>
    <w:rsid w:val="00665008"/>
    <w:rsid w:val="00666746"/>
    <w:rsid w:val="00666830"/>
    <w:rsid w:val="00671701"/>
    <w:rsid w:val="0067270E"/>
    <w:rsid w:val="00673DDA"/>
    <w:rsid w:val="0067441A"/>
    <w:rsid w:val="00674B7E"/>
    <w:rsid w:val="006765D5"/>
    <w:rsid w:val="00677690"/>
    <w:rsid w:val="006776ED"/>
    <w:rsid w:val="0068118F"/>
    <w:rsid w:val="0068186C"/>
    <w:rsid w:val="00681E62"/>
    <w:rsid w:val="00682236"/>
    <w:rsid w:val="00682CBE"/>
    <w:rsid w:val="006841EF"/>
    <w:rsid w:val="00684448"/>
    <w:rsid w:val="0068445E"/>
    <w:rsid w:val="006846AB"/>
    <w:rsid w:val="0068492F"/>
    <w:rsid w:val="00684AB9"/>
    <w:rsid w:val="006863CF"/>
    <w:rsid w:val="0068640A"/>
    <w:rsid w:val="00686F13"/>
    <w:rsid w:val="00691941"/>
    <w:rsid w:val="00692B5B"/>
    <w:rsid w:val="0069309C"/>
    <w:rsid w:val="0069362C"/>
    <w:rsid w:val="006A0FAC"/>
    <w:rsid w:val="006A1425"/>
    <w:rsid w:val="006A28B4"/>
    <w:rsid w:val="006A34BA"/>
    <w:rsid w:val="006A3CF4"/>
    <w:rsid w:val="006A4305"/>
    <w:rsid w:val="006A43ED"/>
    <w:rsid w:val="006A4A98"/>
    <w:rsid w:val="006A5BB4"/>
    <w:rsid w:val="006A7248"/>
    <w:rsid w:val="006B1058"/>
    <w:rsid w:val="006B1FA3"/>
    <w:rsid w:val="006B1FB4"/>
    <w:rsid w:val="006B34DA"/>
    <w:rsid w:val="006B5E54"/>
    <w:rsid w:val="006B5F38"/>
    <w:rsid w:val="006B655F"/>
    <w:rsid w:val="006B6BC5"/>
    <w:rsid w:val="006C08F0"/>
    <w:rsid w:val="006C19A8"/>
    <w:rsid w:val="006C2AD0"/>
    <w:rsid w:val="006C2CAE"/>
    <w:rsid w:val="006C2FA6"/>
    <w:rsid w:val="006C3F31"/>
    <w:rsid w:val="006C496D"/>
    <w:rsid w:val="006C4A06"/>
    <w:rsid w:val="006C4AF3"/>
    <w:rsid w:val="006C5374"/>
    <w:rsid w:val="006C53B8"/>
    <w:rsid w:val="006C56BF"/>
    <w:rsid w:val="006C6561"/>
    <w:rsid w:val="006C6687"/>
    <w:rsid w:val="006C7128"/>
    <w:rsid w:val="006D0B89"/>
    <w:rsid w:val="006D155D"/>
    <w:rsid w:val="006D1C3A"/>
    <w:rsid w:val="006D27BC"/>
    <w:rsid w:val="006D4177"/>
    <w:rsid w:val="006D4738"/>
    <w:rsid w:val="006D495C"/>
    <w:rsid w:val="006D5DBB"/>
    <w:rsid w:val="006D6560"/>
    <w:rsid w:val="006D6A3A"/>
    <w:rsid w:val="006D7C24"/>
    <w:rsid w:val="006E1135"/>
    <w:rsid w:val="006E198C"/>
    <w:rsid w:val="006E2283"/>
    <w:rsid w:val="006E324F"/>
    <w:rsid w:val="006E3C95"/>
    <w:rsid w:val="006E4438"/>
    <w:rsid w:val="006E694B"/>
    <w:rsid w:val="006E7A64"/>
    <w:rsid w:val="006F0CF1"/>
    <w:rsid w:val="006F1C0E"/>
    <w:rsid w:val="006F1D0C"/>
    <w:rsid w:val="006F2A6A"/>
    <w:rsid w:val="006F2E25"/>
    <w:rsid w:val="006F44B6"/>
    <w:rsid w:val="006F7A34"/>
    <w:rsid w:val="00700A53"/>
    <w:rsid w:val="00702045"/>
    <w:rsid w:val="007043AB"/>
    <w:rsid w:val="007049F2"/>
    <w:rsid w:val="00704D10"/>
    <w:rsid w:val="00705924"/>
    <w:rsid w:val="00706588"/>
    <w:rsid w:val="00706D90"/>
    <w:rsid w:val="00707006"/>
    <w:rsid w:val="007070A5"/>
    <w:rsid w:val="0070711E"/>
    <w:rsid w:val="00707179"/>
    <w:rsid w:val="0070732E"/>
    <w:rsid w:val="007101D0"/>
    <w:rsid w:val="007108AC"/>
    <w:rsid w:val="007120CB"/>
    <w:rsid w:val="00712915"/>
    <w:rsid w:val="007131A9"/>
    <w:rsid w:val="00714B99"/>
    <w:rsid w:val="00714FF5"/>
    <w:rsid w:val="00716323"/>
    <w:rsid w:val="00717284"/>
    <w:rsid w:val="0072087E"/>
    <w:rsid w:val="00720CA6"/>
    <w:rsid w:val="00721D43"/>
    <w:rsid w:val="00721FEB"/>
    <w:rsid w:val="007222C2"/>
    <w:rsid w:val="0072244C"/>
    <w:rsid w:val="00722519"/>
    <w:rsid w:val="00723592"/>
    <w:rsid w:val="0072479C"/>
    <w:rsid w:val="00725306"/>
    <w:rsid w:val="00725F40"/>
    <w:rsid w:val="00726B83"/>
    <w:rsid w:val="00726F21"/>
    <w:rsid w:val="0072738F"/>
    <w:rsid w:val="0073038F"/>
    <w:rsid w:val="0073119C"/>
    <w:rsid w:val="00731B5D"/>
    <w:rsid w:val="00732672"/>
    <w:rsid w:val="007329B9"/>
    <w:rsid w:val="00733682"/>
    <w:rsid w:val="007339BC"/>
    <w:rsid w:val="00733AA6"/>
    <w:rsid w:val="0073400C"/>
    <w:rsid w:val="0073432C"/>
    <w:rsid w:val="0073478D"/>
    <w:rsid w:val="00734842"/>
    <w:rsid w:val="00734E0B"/>
    <w:rsid w:val="007358A7"/>
    <w:rsid w:val="00736B52"/>
    <w:rsid w:val="0073785A"/>
    <w:rsid w:val="00737C03"/>
    <w:rsid w:val="0074172C"/>
    <w:rsid w:val="00742929"/>
    <w:rsid w:val="007435E9"/>
    <w:rsid w:val="00744615"/>
    <w:rsid w:val="00744E8C"/>
    <w:rsid w:val="0074594D"/>
    <w:rsid w:val="00745A4E"/>
    <w:rsid w:val="00745C43"/>
    <w:rsid w:val="0074601F"/>
    <w:rsid w:val="0075035F"/>
    <w:rsid w:val="0075079C"/>
    <w:rsid w:val="00750A44"/>
    <w:rsid w:val="00750BE3"/>
    <w:rsid w:val="00750C77"/>
    <w:rsid w:val="00751CE5"/>
    <w:rsid w:val="00751F25"/>
    <w:rsid w:val="007537DC"/>
    <w:rsid w:val="00753949"/>
    <w:rsid w:val="00753A93"/>
    <w:rsid w:val="00754591"/>
    <w:rsid w:val="00754F12"/>
    <w:rsid w:val="0075596D"/>
    <w:rsid w:val="00760F52"/>
    <w:rsid w:val="00761B79"/>
    <w:rsid w:val="00762172"/>
    <w:rsid w:val="007639EA"/>
    <w:rsid w:val="007645B5"/>
    <w:rsid w:val="00765051"/>
    <w:rsid w:val="007662A8"/>
    <w:rsid w:val="00766920"/>
    <w:rsid w:val="007700E5"/>
    <w:rsid w:val="00770852"/>
    <w:rsid w:val="00771525"/>
    <w:rsid w:val="007716C6"/>
    <w:rsid w:val="00771733"/>
    <w:rsid w:val="00773145"/>
    <w:rsid w:val="007759E1"/>
    <w:rsid w:val="00776AE2"/>
    <w:rsid w:val="00777035"/>
    <w:rsid w:val="00777D42"/>
    <w:rsid w:val="00780DB7"/>
    <w:rsid w:val="00781E80"/>
    <w:rsid w:val="00782692"/>
    <w:rsid w:val="00782CDA"/>
    <w:rsid w:val="007832B8"/>
    <w:rsid w:val="00784EAA"/>
    <w:rsid w:val="00786EBE"/>
    <w:rsid w:val="00787B60"/>
    <w:rsid w:val="00792D34"/>
    <w:rsid w:val="0079307F"/>
    <w:rsid w:val="0079412B"/>
    <w:rsid w:val="007949BE"/>
    <w:rsid w:val="007951B7"/>
    <w:rsid w:val="00795E53"/>
    <w:rsid w:val="00797282"/>
    <w:rsid w:val="007A0537"/>
    <w:rsid w:val="007A0ACA"/>
    <w:rsid w:val="007A0D51"/>
    <w:rsid w:val="007A1771"/>
    <w:rsid w:val="007A35E3"/>
    <w:rsid w:val="007A5001"/>
    <w:rsid w:val="007A52EA"/>
    <w:rsid w:val="007A7074"/>
    <w:rsid w:val="007B015C"/>
    <w:rsid w:val="007B109B"/>
    <w:rsid w:val="007B1A87"/>
    <w:rsid w:val="007B31D2"/>
    <w:rsid w:val="007B40CE"/>
    <w:rsid w:val="007B5944"/>
    <w:rsid w:val="007B6F07"/>
    <w:rsid w:val="007C015E"/>
    <w:rsid w:val="007C0B77"/>
    <w:rsid w:val="007C112D"/>
    <w:rsid w:val="007C2E6A"/>
    <w:rsid w:val="007C3A40"/>
    <w:rsid w:val="007C62AF"/>
    <w:rsid w:val="007C6840"/>
    <w:rsid w:val="007C6CF5"/>
    <w:rsid w:val="007D0635"/>
    <w:rsid w:val="007D1A53"/>
    <w:rsid w:val="007D23E2"/>
    <w:rsid w:val="007D3594"/>
    <w:rsid w:val="007D6EC9"/>
    <w:rsid w:val="007E1EF3"/>
    <w:rsid w:val="007E264B"/>
    <w:rsid w:val="007E2C53"/>
    <w:rsid w:val="007E2D6C"/>
    <w:rsid w:val="007E30E9"/>
    <w:rsid w:val="007E47D3"/>
    <w:rsid w:val="007E47F3"/>
    <w:rsid w:val="007E5E58"/>
    <w:rsid w:val="007E6E7B"/>
    <w:rsid w:val="007E74D3"/>
    <w:rsid w:val="007F0590"/>
    <w:rsid w:val="007F062A"/>
    <w:rsid w:val="007F069A"/>
    <w:rsid w:val="007F161E"/>
    <w:rsid w:val="007F20A0"/>
    <w:rsid w:val="007F2E89"/>
    <w:rsid w:val="007F3479"/>
    <w:rsid w:val="007F61D1"/>
    <w:rsid w:val="007F6ADE"/>
    <w:rsid w:val="007F6E60"/>
    <w:rsid w:val="008000F2"/>
    <w:rsid w:val="008026BE"/>
    <w:rsid w:val="00803BEF"/>
    <w:rsid w:val="00804692"/>
    <w:rsid w:val="0080485C"/>
    <w:rsid w:val="0080489F"/>
    <w:rsid w:val="008073B3"/>
    <w:rsid w:val="00810D4B"/>
    <w:rsid w:val="00811516"/>
    <w:rsid w:val="00811A47"/>
    <w:rsid w:val="00811EAD"/>
    <w:rsid w:val="00812307"/>
    <w:rsid w:val="00812339"/>
    <w:rsid w:val="00815670"/>
    <w:rsid w:val="0081656B"/>
    <w:rsid w:val="00817681"/>
    <w:rsid w:val="00817D3C"/>
    <w:rsid w:val="0082008B"/>
    <w:rsid w:val="0082148C"/>
    <w:rsid w:val="00823C99"/>
    <w:rsid w:val="00824955"/>
    <w:rsid w:val="00824E07"/>
    <w:rsid w:val="0082530A"/>
    <w:rsid w:val="008253F3"/>
    <w:rsid w:val="00825B98"/>
    <w:rsid w:val="00825C6A"/>
    <w:rsid w:val="008262F6"/>
    <w:rsid w:val="00832F09"/>
    <w:rsid w:val="008331B3"/>
    <w:rsid w:val="00833969"/>
    <w:rsid w:val="008339FA"/>
    <w:rsid w:val="008342BB"/>
    <w:rsid w:val="008343C4"/>
    <w:rsid w:val="00834D16"/>
    <w:rsid w:val="0083558B"/>
    <w:rsid w:val="0083643A"/>
    <w:rsid w:val="00836692"/>
    <w:rsid w:val="008368A5"/>
    <w:rsid w:val="0083755F"/>
    <w:rsid w:val="00837AF4"/>
    <w:rsid w:val="00840AFE"/>
    <w:rsid w:val="008412B3"/>
    <w:rsid w:val="00841C18"/>
    <w:rsid w:val="008444C2"/>
    <w:rsid w:val="008454A4"/>
    <w:rsid w:val="00845747"/>
    <w:rsid w:val="008458A6"/>
    <w:rsid w:val="00845C97"/>
    <w:rsid w:val="00845D31"/>
    <w:rsid w:val="0084608A"/>
    <w:rsid w:val="008469A6"/>
    <w:rsid w:val="008475F3"/>
    <w:rsid w:val="00850496"/>
    <w:rsid w:val="00851173"/>
    <w:rsid w:val="00851A9D"/>
    <w:rsid w:val="0085236F"/>
    <w:rsid w:val="0085274D"/>
    <w:rsid w:val="00853CBB"/>
    <w:rsid w:val="00856BBF"/>
    <w:rsid w:val="00856CBA"/>
    <w:rsid w:val="008570DA"/>
    <w:rsid w:val="00857A9B"/>
    <w:rsid w:val="00857C2A"/>
    <w:rsid w:val="0086031C"/>
    <w:rsid w:val="00860D46"/>
    <w:rsid w:val="0086201F"/>
    <w:rsid w:val="0086282F"/>
    <w:rsid w:val="00862D97"/>
    <w:rsid w:val="00865FD8"/>
    <w:rsid w:val="0086653F"/>
    <w:rsid w:val="00867963"/>
    <w:rsid w:val="00871C19"/>
    <w:rsid w:val="00872AB9"/>
    <w:rsid w:val="00872F93"/>
    <w:rsid w:val="008734AE"/>
    <w:rsid w:val="00873CA3"/>
    <w:rsid w:val="00875138"/>
    <w:rsid w:val="008758F9"/>
    <w:rsid w:val="008777D6"/>
    <w:rsid w:val="00880129"/>
    <w:rsid w:val="00880212"/>
    <w:rsid w:val="00881050"/>
    <w:rsid w:val="00881D68"/>
    <w:rsid w:val="008822FA"/>
    <w:rsid w:val="0088285B"/>
    <w:rsid w:val="00882B16"/>
    <w:rsid w:val="00883D8A"/>
    <w:rsid w:val="008841D6"/>
    <w:rsid w:val="00885B9E"/>
    <w:rsid w:val="00886E79"/>
    <w:rsid w:val="008873E0"/>
    <w:rsid w:val="00890675"/>
    <w:rsid w:val="00890AF6"/>
    <w:rsid w:val="00892042"/>
    <w:rsid w:val="00892B99"/>
    <w:rsid w:val="00892F42"/>
    <w:rsid w:val="00892FC7"/>
    <w:rsid w:val="008934A3"/>
    <w:rsid w:val="0089410D"/>
    <w:rsid w:val="00895614"/>
    <w:rsid w:val="00895876"/>
    <w:rsid w:val="0089689E"/>
    <w:rsid w:val="0089738C"/>
    <w:rsid w:val="008A022D"/>
    <w:rsid w:val="008A0FBE"/>
    <w:rsid w:val="008A1493"/>
    <w:rsid w:val="008A440C"/>
    <w:rsid w:val="008A64BC"/>
    <w:rsid w:val="008A6516"/>
    <w:rsid w:val="008A7865"/>
    <w:rsid w:val="008B1589"/>
    <w:rsid w:val="008B1B5F"/>
    <w:rsid w:val="008B339E"/>
    <w:rsid w:val="008B374F"/>
    <w:rsid w:val="008B4CA0"/>
    <w:rsid w:val="008B65B6"/>
    <w:rsid w:val="008B7B34"/>
    <w:rsid w:val="008C050B"/>
    <w:rsid w:val="008C29AF"/>
    <w:rsid w:val="008C2D8E"/>
    <w:rsid w:val="008C37CE"/>
    <w:rsid w:val="008C3A92"/>
    <w:rsid w:val="008C429E"/>
    <w:rsid w:val="008C62D7"/>
    <w:rsid w:val="008C63A9"/>
    <w:rsid w:val="008C7796"/>
    <w:rsid w:val="008D01DB"/>
    <w:rsid w:val="008D131F"/>
    <w:rsid w:val="008D252C"/>
    <w:rsid w:val="008D2753"/>
    <w:rsid w:val="008D3399"/>
    <w:rsid w:val="008D35EA"/>
    <w:rsid w:val="008D4061"/>
    <w:rsid w:val="008D597A"/>
    <w:rsid w:val="008D64BF"/>
    <w:rsid w:val="008D69C4"/>
    <w:rsid w:val="008D6C92"/>
    <w:rsid w:val="008D6FB1"/>
    <w:rsid w:val="008D7B1D"/>
    <w:rsid w:val="008E0AAA"/>
    <w:rsid w:val="008E0B48"/>
    <w:rsid w:val="008E20D7"/>
    <w:rsid w:val="008E440B"/>
    <w:rsid w:val="008E44F0"/>
    <w:rsid w:val="008E4735"/>
    <w:rsid w:val="008E637B"/>
    <w:rsid w:val="008E73EC"/>
    <w:rsid w:val="008E7556"/>
    <w:rsid w:val="008F19AA"/>
    <w:rsid w:val="008F23C5"/>
    <w:rsid w:val="008F2E5E"/>
    <w:rsid w:val="008F35AC"/>
    <w:rsid w:val="008F472B"/>
    <w:rsid w:val="008F48C5"/>
    <w:rsid w:val="008F48F4"/>
    <w:rsid w:val="008F4C78"/>
    <w:rsid w:val="008F5578"/>
    <w:rsid w:val="008F5B14"/>
    <w:rsid w:val="008F7B64"/>
    <w:rsid w:val="008F7E2F"/>
    <w:rsid w:val="00900045"/>
    <w:rsid w:val="00900D05"/>
    <w:rsid w:val="00900EC4"/>
    <w:rsid w:val="009011A6"/>
    <w:rsid w:val="00901E24"/>
    <w:rsid w:val="00901F92"/>
    <w:rsid w:val="0090327F"/>
    <w:rsid w:val="009035E3"/>
    <w:rsid w:val="00903870"/>
    <w:rsid w:val="0090413B"/>
    <w:rsid w:val="00904DAC"/>
    <w:rsid w:val="00907D74"/>
    <w:rsid w:val="00910192"/>
    <w:rsid w:val="009119A5"/>
    <w:rsid w:val="00912A9F"/>
    <w:rsid w:val="00912FCD"/>
    <w:rsid w:val="009137F9"/>
    <w:rsid w:val="009141ED"/>
    <w:rsid w:val="0091528F"/>
    <w:rsid w:val="00916592"/>
    <w:rsid w:val="0091714F"/>
    <w:rsid w:val="009200DD"/>
    <w:rsid w:val="00920DBC"/>
    <w:rsid w:val="00920FBE"/>
    <w:rsid w:val="009218B8"/>
    <w:rsid w:val="009218CE"/>
    <w:rsid w:val="009231B4"/>
    <w:rsid w:val="00924FF0"/>
    <w:rsid w:val="009257ED"/>
    <w:rsid w:val="00926CC1"/>
    <w:rsid w:val="00927D59"/>
    <w:rsid w:val="00927FF5"/>
    <w:rsid w:val="00930819"/>
    <w:rsid w:val="00930E09"/>
    <w:rsid w:val="00930EFB"/>
    <w:rsid w:val="0093239D"/>
    <w:rsid w:val="009328CF"/>
    <w:rsid w:val="00932DA8"/>
    <w:rsid w:val="00932F7C"/>
    <w:rsid w:val="009332D8"/>
    <w:rsid w:val="00934F6A"/>
    <w:rsid w:val="0093503D"/>
    <w:rsid w:val="00935603"/>
    <w:rsid w:val="0093704B"/>
    <w:rsid w:val="0094095F"/>
    <w:rsid w:val="00941512"/>
    <w:rsid w:val="00942826"/>
    <w:rsid w:val="00943152"/>
    <w:rsid w:val="00943367"/>
    <w:rsid w:val="00944BB8"/>
    <w:rsid w:val="00947351"/>
    <w:rsid w:val="00947CE9"/>
    <w:rsid w:val="0095115A"/>
    <w:rsid w:val="009519AA"/>
    <w:rsid w:val="00951E70"/>
    <w:rsid w:val="009523B0"/>
    <w:rsid w:val="00952F99"/>
    <w:rsid w:val="009536EF"/>
    <w:rsid w:val="009541EA"/>
    <w:rsid w:val="009548F2"/>
    <w:rsid w:val="00954BA5"/>
    <w:rsid w:val="00954FDF"/>
    <w:rsid w:val="009556DD"/>
    <w:rsid w:val="00956A29"/>
    <w:rsid w:val="00957969"/>
    <w:rsid w:val="00960B70"/>
    <w:rsid w:val="009654AD"/>
    <w:rsid w:val="009668C6"/>
    <w:rsid w:val="00967060"/>
    <w:rsid w:val="009670A3"/>
    <w:rsid w:val="00970492"/>
    <w:rsid w:val="00970EDC"/>
    <w:rsid w:val="00971B27"/>
    <w:rsid w:val="00971CC4"/>
    <w:rsid w:val="0097436A"/>
    <w:rsid w:val="00974BB7"/>
    <w:rsid w:val="009772E0"/>
    <w:rsid w:val="00980CD9"/>
    <w:rsid w:val="0098131A"/>
    <w:rsid w:val="00982808"/>
    <w:rsid w:val="00983BA5"/>
    <w:rsid w:val="00985FD4"/>
    <w:rsid w:val="009907B8"/>
    <w:rsid w:val="009911A5"/>
    <w:rsid w:val="009919B1"/>
    <w:rsid w:val="00992577"/>
    <w:rsid w:val="00992BEA"/>
    <w:rsid w:val="00992E38"/>
    <w:rsid w:val="00993D18"/>
    <w:rsid w:val="0099470E"/>
    <w:rsid w:val="00994FE9"/>
    <w:rsid w:val="00995A11"/>
    <w:rsid w:val="00996C94"/>
    <w:rsid w:val="00996D01"/>
    <w:rsid w:val="00996FEB"/>
    <w:rsid w:val="00997723"/>
    <w:rsid w:val="009A0DE1"/>
    <w:rsid w:val="009A14B1"/>
    <w:rsid w:val="009A1AFD"/>
    <w:rsid w:val="009A1C04"/>
    <w:rsid w:val="009A2806"/>
    <w:rsid w:val="009A559C"/>
    <w:rsid w:val="009A5804"/>
    <w:rsid w:val="009A64FA"/>
    <w:rsid w:val="009A73B8"/>
    <w:rsid w:val="009A7721"/>
    <w:rsid w:val="009B2253"/>
    <w:rsid w:val="009B22BF"/>
    <w:rsid w:val="009B2C01"/>
    <w:rsid w:val="009B2E8C"/>
    <w:rsid w:val="009B322C"/>
    <w:rsid w:val="009B3AD0"/>
    <w:rsid w:val="009B446C"/>
    <w:rsid w:val="009B56A3"/>
    <w:rsid w:val="009B62EE"/>
    <w:rsid w:val="009C04B9"/>
    <w:rsid w:val="009C074D"/>
    <w:rsid w:val="009C0A5D"/>
    <w:rsid w:val="009C0EA8"/>
    <w:rsid w:val="009C2113"/>
    <w:rsid w:val="009C31D8"/>
    <w:rsid w:val="009C3702"/>
    <w:rsid w:val="009C3893"/>
    <w:rsid w:val="009C3B59"/>
    <w:rsid w:val="009C3C7E"/>
    <w:rsid w:val="009C3E42"/>
    <w:rsid w:val="009C41F3"/>
    <w:rsid w:val="009C5118"/>
    <w:rsid w:val="009C56DD"/>
    <w:rsid w:val="009C65EE"/>
    <w:rsid w:val="009C7304"/>
    <w:rsid w:val="009D0C36"/>
    <w:rsid w:val="009D3028"/>
    <w:rsid w:val="009D37F3"/>
    <w:rsid w:val="009D49D4"/>
    <w:rsid w:val="009D61BE"/>
    <w:rsid w:val="009D68D9"/>
    <w:rsid w:val="009D7D87"/>
    <w:rsid w:val="009E0770"/>
    <w:rsid w:val="009E07E8"/>
    <w:rsid w:val="009E0831"/>
    <w:rsid w:val="009E121A"/>
    <w:rsid w:val="009E12E1"/>
    <w:rsid w:val="009E17DB"/>
    <w:rsid w:val="009E202F"/>
    <w:rsid w:val="009E3605"/>
    <w:rsid w:val="009E449A"/>
    <w:rsid w:val="009E4C67"/>
    <w:rsid w:val="009E4E47"/>
    <w:rsid w:val="009E55FF"/>
    <w:rsid w:val="009E7629"/>
    <w:rsid w:val="009F28BE"/>
    <w:rsid w:val="009F2C92"/>
    <w:rsid w:val="009F3431"/>
    <w:rsid w:val="009F3FDB"/>
    <w:rsid w:val="009F525F"/>
    <w:rsid w:val="009F580A"/>
    <w:rsid w:val="009F6281"/>
    <w:rsid w:val="009F64D9"/>
    <w:rsid w:val="009F67A9"/>
    <w:rsid w:val="009F6903"/>
    <w:rsid w:val="009F6CAC"/>
    <w:rsid w:val="009F7425"/>
    <w:rsid w:val="009F7B64"/>
    <w:rsid w:val="009F7CB6"/>
    <w:rsid w:val="00A00D99"/>
    <w:rsid w:val="00A02180"/>
    <w:rsid w:val="00A03D08"/>
    <w:rsid w:val="00A03F04"/>
    <w:rsid w:val="00A04188"/>
    <w:rsid w:val="00A04984"/>
    <w:rsid w:val="00A05289"/>
    <w:rsid w:val="00A05E8F"/>
    <w:rsid w:val="00A06A08"/>
    <w:rsid w:val="00A06FC4"/>
    <w:rsid w:val="00A076D5"/>
    <w:rsid w:val="00A076DC"/>
    <w:rsid w:val="00A07B61"/>
    <w:rsid w:val="00A07F9C"/>
    <w:rsid w:val="00A108FB"/>
    <w:rsid w:val="00A10A3B"/>
    <w:rsid w:val="00A1161C"/>
    <w:rsid w:val="00A11EE3"/>
    <w:rsid w:val="00A12F32"/>
    <w:rsid w:val="00A134AE"/>
    <w:rsid w:val="00A13F6C"/>
    <w:rsid w:val="00A14BA7"/>
    <w:rsid w:val="00A15142"/>
    <w:rsid w:val="00A15D85"/>
    <w:rsid w:val="00A171BF"/>
    <w:rsid w:val="00A20A40"/>
    <w:rsid w:val="00A21732"/>
    <w:rsid w:val="00A219F5"/>
    <w:rsid w:val="00A222A1"/>
    <w:rsid w:val="00A227B6"/>
    <w:rsid w:val="00A233D5"/>
    <w:rsid w:val="00A26C1D"/>
    <w:rsid w:val="00A274BC"/>
    <w:rsid w:val="00A27C73"/>
    <w:rsid w:val="00A319B2"/>
    <w:rsid w:val="00A31C80"/>
    <w:rsid w:val="00A32367"/>
    <w:rsid w:val="00A32DEC"/>
    <w:rsid w:val="00A332FE"/>
    <w:rsid w:val="00A3749B"/>
    <w:rsid w:val="00A37D83"/>
    <w:rsid w:val="00A4031B"/>
    <w:rsid w:val="00A414B4"/>
    <w:rsid w:val="00A41A8C"/>
    <w:rsid w:val="00A41ACE"/>
    <w:rsid w:val="00A44DC4"/>
    <w:rsid w:val="00A46FD1"/>
    <w:rsid w:val="00A47B0C"/>
    <w:rsid w:val="00A50A78"/>
    <w:rsid w:val="00A50E1E"/>
    <w:rsid w:val="00A51F5C"/>
    <w:rsid w:val="00A5388F"/>
    <w:rsid w:val="00A53FE3"/>
    <w:rsid w:val="00A54A9F"/>
    <w:rsid w:val="00A54B31"/>
    <w:rsid w:val="00A559DB"/>
    <w:rsid w:val="00A5683B"/>
    <w:rsid w:val="00A573B1"/>
    <w:rsid w:val="00A60AEB"/>
    <w:rsid w:val="00A60CCD"/>
    <w:rsid w:val="00A6414C"/>
    <w:rsid w:val="00A6460B"/>
    <w:rsid w:val="00A64A9C"/>
    <w:rsid w:val="00A657EE"/>
    <w:rsid w:val="00A66963"/>
    <w:rsid w:val="00A67232"/>
    <w:rsid w:val="00A70A0B"/>
    <w:rsid w:val="00A70BC5"/>
    <w:rsid w:val="00A71B86"/>
    <w:rsid w:val="00A71ED4"/>
    <w:rsid w:val="00A7393A"/>
    <w:rsid w:val="00A74192"/>
    <w:rsid w:val="00A75355"/>
    <w:rsid w:val="00A7605D"/>
    <w:rsid w:val="00A80677"/>
    <w:rsid w:val="00A80A82"/>
    <w:rsid w:val="00A818C3"/>
    <w:rsid w:val="00A8260C"/>
    <w:rsid w:val="00A82731"/>
    <w:rsid w:val="00A8385A"/>
    <w:rsid w:val="00A84912"/>
    <w:rsid w:val="00A860C9"/>
    <w:rsid w:val="00A8676B"/>
    <w:rsid w:val="00A86FFA"/>
    <w:rsid w:val="00A91F20"/>
    <w:rsid w:val="00A92F95"/>
    <w:rsid w:val="00A92F98"/>
    <w:rsid w:val="00A9412F"/>
    <w:rsid w:val="00A9425E"/>
    <w:rsid w:val="00A9487A"/>
    <w:rsid w:val="00A955E3"/>
    <w:rsid w:val="00A95B2C"/>
    <w:rsid w:val="00AA1DCD"/>
    <w:rsid w:val="00AA1F29"/>
    <w:rsid w:val="00AA27D5"/>
    <w:rsid w:val="00AA4B13"/>
    <w:rsid w:val="00AA529B"/>
    <w:rsid w:val="00AA612F"/>
    <w:rsid w:val="00AA63D4"/>
    <w:rsid w:val="00AA7088"/>
    <w:rsid w:val="00AB08DC"/>
    <w:rsid w:val="00AB27F1"/>
    <w:rsid w:val="00AB4376"/>
    <w:rsid w:val="00AB55EA"/>
    <w:rsid w:val="00AB5885"/>
    <w:rsid w:val="00AB7893"/>
    <w:rsid w:val="00AB7EEF"/>
    <w:rsid w:val="00AC0FE7"/>
    <w:rsid w:val="00AC15F1"/>
    <w:rsid w:val="00AC1656"/>
    <w:rsid w:val="00AC216A"/>
    <w:rsid w:val="00AC2964"/>
    <w:rsid w:val="00AC2ACD"/>
    <w:rsid w:val="00AC30C5"/>
    <w:rsid w:val="00AC5FDC"/>
    <w:rsid w:val="00AC63DE"/>
    <w:rsid w:val="00AC6406"/>
    <w:rsid w:val="00AC7A17"/>
    <w:rsid w:val="00AD0B55"/>
    <w:rsid w:val="00AD12F5"/>
    <w:rsid w:val="00AD238A"/>
    <w:rsid w:val="00AD38B4"/>
    <w:rsid w:val="00AD4FCC"/>
    <w:rsid w:val="00AD5025"/>
    <w:rsid w:val="00AD6A10"/>
    <w:rsid w:val="00AD6AF1"/>
    <w:rsid w:val="00AD6D16"/>
    <w:rsid w:val="00AD6FCF"/>
    <w:rsid w:val="00AE0271"/>
    <w:rsid w:val="00AE1199"/>
    <w:rsid w:val="00AE11D5"/>
    <w:rsid w:val="00AE195C"/>
    <w:rsid w:val="00AE1E89"/>
    <w:rsid w:val="00AE1F7F"/>
    <w:rsid w:val="00AE36FD"/>
    <w:rsid w:val="00AE5CEA"/>
    <w:rsid w:val="00AF01D7"/>
    <w:rsid w:val="00AF089B"/>
    <w:rsid w:val="00AF184D"/>
    <w:rsid w:val="00AF1AB9"/>
    <w:rsid w:val="00AF25CE"/>
    <w:rsid w:val="00AF36CD"/>
    <w:rsid w:val="00AF379D"/>
    <w:rsid w:val="00AF46A1"/>
    <w:rsid w:val="00AF5362"/>
    <w:rsid w:val="00AF6297"/>
    <w:rsid w:val="00AF669F"/>
    <w:rsid w:val="00AF698F"/>
    <w:rsid w:val="00AF7F96"/>
    <w:rsid w:val="00B008D9"/>
    <w:rsid w:val="00B022FE"/>
    <w:rsid w:val="00B046FF"/>
    <w:rsid w:val="00B04801"/>
    <w:rsid w:val="00B05296"/>
    <w:rsid w:val="00B05BFC"/>
    <w:rsid w:val="00B0609C"/>
    <w:rsid w:val="00B076B6"/>
    <w:rsid w:val="00B07AE8"/>
    <w:rsid w:val="00B11B66"/>
    <w:rsid w:val="00B121F2"/>
    <w:rsid w:val="00B133EE"/>
    <w:rsid w:val="00B135FB"/>
    <w:rsid w:val="00B14389"/>
    <w:rsid w:val="00B1533F"/>
    <w:rsid w:val="00B15366"/>
    <w:rsid w:val="00B210B0"/>
    <w:rsid w:val="00B214E5"/>
    <w:rsid w:val="00B2178E"/>
    <w:rsid w:val="00B2257F"/>
    <w:rsid w:val="00B253B0"/>
    <w:rsid w:val="00B2621A"/>
    <w:rsid w:val="00B26B4A"/>
    <w:rsid w:val="00B27047"/>
    <w:rsid w:val="00B270D1"/>
    <w:rsid w:val="00B3067B"/>
    <w:rsid w:val="00B30DA5"/>
    <w:rsid w:val="00B3106F"/>
    <w:rsid w:val="00B321B3"/>
    <w:rsid w:val="00B3383C"/>
    <w:rsid w:val="00B34883"/>
    <w:rsid w:val="00B376C4"/>
    <w:rsid w:val="00B37F72"/>
    <w:rsid w:val="00B4081D"/>
    <w:rsid w:val="00B4162C"/>
    <w:rsid w:val="00B41EB9"/>
    <w:rsid w:val="00B42EBC"/>
    <w:rsid w:val="00B439FB"/>
    <w:rsid w:val="00B440AB"/>
    <w:rsid w:val="00B440FD"/>
    <w:rsid w:val="00B44667"/>
    <w:rsid w:val="00B44B86"/>
    <w:rsid w:val="00B4574B"/>
    <w:rsid w:val="00B45793"/>
    <w:rsid w:val="00B457C6"/>
    <w:rsid w:val="00B4588D"/>
    <w:rsid w:val="00B45B0D"/>
    <w:rsid w:val="00B46AEC"/>
    <w:rsid w:val="00B476A7"/>
    <w:rsid w:val="00B47B1D"/>
    <w:rsid w:val="00B50E27"/>
    <w:rsid w:val="00B51798"/>
    <w:rsid w:val="00B519A7"/>
    <w:rsid w:val="00B539AE"/>
    <w:rsid w:val="00B539D0"/>
    <w:rsid w:val="00B54DFB"/>
    <w:rsid w:val="00B56CB5"/>
    <w:rsid w:val="00B5722F"/>
    <w:rsid w:val="00B57527"/>
    <w:rsid w:val="00B5773D"/>
    <w:rsid w:val="00B60707"/>
    <w:rsid w:val="00B62404"/>
    <w:rsid w:val="00B65A77"/>
    <w:rsid w:val="00B65E59"/>
    <w:rsid w:val="00B668EE"/>
    <w:rsid w:val="00B66A07"/>
    <w:rsid w:val="00B67185"/>
    <w:rsid w:val="00B7008C"/>
    <w:rsid w:val="00B7124D"/>
    <w:rsid w:val="00B72225"/>
    <w:rsid w:val="00B724CC"/>
    <w:rsid w:val="00B7330E"/>
    <w:rsid w:val="00B73E20"/>
    <w:rsid w:val="00B748CC"/>
    <w:rsid w:val="00B74A31"/>
    <w:rsid w:val="00B75481"/>
    <w:rsid w:val="00B7664B"/>
    <w:rsid w:val="00B80D2A"/>
    <w:rsid w:val="00B81E23"/>
    <w:rsid w:val="00B8214E"/>
    <w:rsid w:val="00B831B7"/>
    <w:rsid w:val="00B83448"/>
    <w:rsid w:val="00B83DDE"/>
    <w:rsid w:val="00B84AAF"/>
    <w:rsid w:val="00B85C7D"/>
    <w:rsid w:val="00B87166"/>
    <w:rsid w:val="00B87C37"/>
    <w:rsid w:val="00B9118F"/>
    <w:rsid w:val="00B929A1"/>
    <w:rsid w:val="00B9443F"/>
    <w:rsid w:val="00B949FC"/>
    <w:rsid w:val="00B9520C"/>
    <w:rsid w:val="00B95724"/>
    <w:rsid w:val="00B95ECE"/>
    <w:rsid w:val="00BA1672"/>
    <w:rsid w:val="00BA22F0"/>
    <w:rsid w:val="00BA2452"/>
    <w:rsid w:val="00BA33D4"/>
    <w:rsid w:val="00BA3EAA"/>
    <w:rsid w:val="00BA4987"/>
    <w:rsid w:val="00BA4C37"/>
    <w:rsid w:val="00BA4F6C"/>
    <w:rsid w:val="00BA5048"/>
    <w:rsid w:val="00BA5174"/>
    <w:rsid w:val="00BA773B"/>
    <w:rsid w:val="00BA7D1F"/>
    <w:rsid w:val="00BB089B"/>
    <w:rsid w:val="00BB21C2"/>
    <w:rsid w:val="00BB24A4"/>
    <w:rsid w:val="00BB263D"/>
    <w:rsid w:val="00BB3884"/>
    <w:rsid w:val="00BB38F6"/>
    <w:rsid w:val="00BB4D60"/>
    <w:rsid w:val="00BB5056"/>
    <w:rsid w:val="00BB5DBA"/>
    <w:rsid w:val="00BB66B3"/>
    <w:rsid w:val="00BB66EA"/>
    <w:rsid w:val="00BB7847"/>
    <w:rsid w:val="00BC0370"/>
    <w:rsid w:val="00BC1B4E"/>
    <w:rsid w:val="00BC2E59"/>
    <w:rsid w:val="00BC4697"/>
    <w:rsid w:val="00BC4C10"/>
    <w:rsid w:val="00BC6477"/>
    <w:rsid w:val="00BC7C68"/>
    <w:rsid w:val="00BD1344"/>
    <w:rsid w:val="00BD14F8"/>
    <w:rsid w:val="00BD1558"/>
    <w:rsid w:val="00BD2C03"/>
    <w:rsid w:val="00BD2DE2"/>
    <w:rsid w:val="00BD3BE5"/>
    <w:rsid w:val="00BD3F66"/>
    <w:rsid w:val="00BD403B"/>
    <w:rsid w:val="00BD4484"/>
    <w:rsid w:val="00BD5355"/>
    <w:rsid w:val="00BD6B1F"/>
    <w:rsid w:val="00BE1FAE"/>
    <w:rsid w:val="00BE2786"/>
    <w:rsid w:val="00BE2A24"/>
    <w:rsid w:val="00BE2D07"/>
    <w:rsid w:val="00BE3135"/>
    <w:rsid w:val="00BE4ABB"/>
    <w:rsid w:val="00BE5803"/>
    <w:rsid w:val="00BE646E"/>
    <w:rsid w:val="00BE6808"/>
    <w:rsid w:val="00BE7644"/>
    <w:rsid w:val="00BF0EB6"/>
    <w:rsid w:val="00BF1A2F"/>
    <w:rsid w:val="00BF29D3"/>
    <w:rsid w:val="00BF3F00"/>
    <w:rsid w:val="00BF41D0"/>
    <w:rsid w:val="00BF4C36"/>
    <w:rsid w:val="00BF52BE"/>
    <w:rsid w:val="00BF54E3"/>
    <w:rsid w:val="00BF5B25"/>
    <w:rsid w:val="00BF77A7"/>
    <w:rsid w:val="00BF797C"/>
    <w:rsid w:val="00C00497"/>
    <w:rsid w:val="00C03E38"/>
    <w:rsid w:val="00C0505C"/>
    <w:rsid w:val="00C057F4"/>
    <w:rsid w:val="00C060C0"/>
    <w:rsid w:val="00C07444"/>
    <w:rsid w:val="00C10D10"/>
    <w:rsid w:val="00C116F4"/>
    <w:rsid w:val="00C11F51"/>
    <w:rsid w:val="00C131FE"/>
    <w:rsid w:val="00C13527"/>
    <w:rsid w:val="00C13B3E"/>
    <w:rsid w:val="00C14138"/>
    <w:rsid w:val="00C14760"/>
    <w:rsid w:val="00C14D13"/>
    <w:rsid w:val="00C15F31"/>
    <w:rsid w:val="00C1674F"/>
    <w:rsid w:val="00C169E8"/>
    <w:rsid w:val="00C20601"/>
    <w:rsid w:val="00C21425"/>
    <w:rsid w:val="00C21B38"/>
    <w:rsid w:val="00C21D51"/>
    <w:rsid w:val="00C22556"/>
    <w:rsid w:val="00C22F7B"/>
    <w:rsid w:val="00C23587"/>
    <w:rsid w:val="00C23A6B"/>
    <w:rsid w:val="00C247B6"/>
    <w:rsid w:val="00C254CC"/>
    <w:rsid w:val="00C25A8A"/>
    <w:rsid w:val="00C25EAD"/>
    <w:rsid w:val="00C26944"/>
    <w:rsid w:val="00C2744D"/>
    <w:rsid w:val="00C30F2F"/>
    <w:rsid w:val="00C33525"/>
    <w:rsid w:val="00C3418F"/>
    <w:rsid w:val="00C3612E"/>
    <w:rsid w:val="00C36B1A"/>
    <w:rsid w:val="00C36FEE"/>
    <w:rsid w:val="00C36FF6"/>
    <w:rsid w:val="00C403F7"/>
    <w:rsid w:val="00C40504"/>
    <w:rsid w:val="00C42861"/>
    <w:rsid w:val="00C432A9"/>
    <w:rsid w:val="00C44D62"/>
    <w:rsid w:val="00C470D2"/>
    <w:rsid w:val="00C50420"/>
    <w:rsid w:val="00C5071B"/>
    <w:rsid w:val="00C50EF8"/>
    <w:rsid w:val="00C513D2"/>
    <w:rsid w:val="00C51AA9"/>
    <w:rsid w:val="00C56A7A"/>
    <w:rsid w:val="00C60D0C"/>
    <w:rsid w:val="00C61828"/>
    <w:rsid w:val="00C626C0"/>
    <w:rsid w:val="00C634B4"/>
    <w:rsid w:val="00C64E23"/>
    <w:rsid w:val="00C65BC0"/>
    <w:rsid w:val="00C6638D"/>
    <w:rsid w:val="00C668CD"/>
    <w:rsid w:val="00C670BB"/>
    <w:rsid w:val="00C671BB"/>
    <w:rsid w:val="00C67B68"/>
    <w:rsid w:val="00C716B7"/>
    <w:rsid w:val="00C72D5D"/>
    <w:rsid w:val="00C74584"/>
    <w:rsid w:val="00C754E9"/>
    <w:rsid w:val="00C755FF"/>
    <w:rsid w:val="00C758DC"/>
    <w:rsid w:val="00C75A3D"/>
    <w:rsid w:val="00C77A11"/>
    <w:rsid w:val="00C77BB5"/>
    <w:rsid w:val="00C80A8D"/>
    <w:rsid w:val="00C80C46"/>
    <w:rsid w:val="00C81225"/>
    <w:rsid w:val="00C81C6C"/>
    <w:rsid w:val="00C81CE2"/>
    <w:rsid w:val="00C8230E"/>
    <w:rsid w:val="00C82568"/>
    <w:rsid w:val="00C825AD"/>
    <w:rsid w:val="00C8366A"/>
    <w:rsid w:val="00C83BAC"/>
    <w:rsid w:val="00C84B1D"/>
    <w:rsid w:val="00C85315"/>
    <w:rsid w:val="00C85C1C"/>
    <w:rsid w:val="00C865CB"/>
    <w:rsid w:val="00C86CB8"/>
    <w:rsid w:val="00C9039E"/>
    <w:rsid w:val="00C907F5"/>
    <w:rsid w:val="00C90955"/>
    <w:rsid w:val="00C914DC"/>
    <w:rsid w:val="00C919B2"/>
    <w:rsid w:val="00C92DBD"/>
    <w:rsid w:val="00C932A7"/>
    <w:rsid w:val="00C952E9"/>
    <w:rsid w:val="00C95B52"/>
    <w:rsid w:val="00C9632A"/>
    <w:rsid w:val="00C96974"/>
    <w:rsid w:val="00C96B0C"/>
    <w:rsid w:val="00C97FA2"/>
    <w:rsid w:val="00CA0136"/>
    <w:rsid w:val="00CA0190"/>
    <w:rsid w:val="00CA01FA"/>
    <w:rsid w:val="00CA0211"/>
    <w:rsid w:val="00CA0291"/>
    <w:rsid w:val="00CA0DF7"/>
    <w:rsid w:val="00CA1995"/>
    <w:rsid w:val="00CA1CF0"/>
    <w:rsid w:val="00CA2B01"/>
    <w:rsid w:val="00CA41D7"/>
    <w:rsid w:val="00CA49C3"/>
    <w:rsid w:val="00CA4C10"/>
    <w:rsid w:val="00CA4D06"/>
    <w:rsid w:val="00CA6B23"/>
    <w:rsid w:val="00CA740B"/>
    <w:rsid w:val="00CB0C74"/>
    <w:rsid w:val="00CB12AF"/>
    <w:rsid w:val="00CB2045"/>
    <w:rsid w:val="00CB3B92"/>
    <w:rsid w:val="00CB4EB0"/>
    <w:rsid w:val="00CB510C"/>
    <w:rsid w:val="00CB7045"/>
    <w:rsid w:val="00CC0FF6"/>
    <w:rsid w:val="00CC1433"/>
    <w:rsid w:val="00CC147A"/>
    <w:rsid w:val="00CC20F6"/>
    <w:rsid w:val="00CC2575"/>
    <w:rsid w:val="00CC268F"/>
    <w:rsid w:val="00CC3034"/>
    <w:rsid w:val="00CC31B4"/>
    <w:rsid w:val="00CC37FD"/>
    <w:rsid w:val="00CC44CF"/>
    <w:rsid w:val="00CC4B92"/>
    <w:rsid w:val="00CC5D6C"/>
    <w:rsid w:val="00CC66C1"/>
    <w:rsid w:val="00CC7F0F"/>
    <w:rsid w:val="00CD16A0"/>
    <w:rsid w:val="00CD279E"/>
    <w:rsid w:val="00CD40AF"/>
    <w:rsid w:val="00CD4BB3"/>
    <w:rsid w:val="00CD5320"/>
    <w:rsid w:val="00CD5474"/>
    <w:rsid w:val="00CD6ED1"/>
    <w:rsid w:val="00CD754F"/>
    <w:rsid w:val="00CE0B2D"/>
    <w:rsid w:val="00CE0B41"/>
    <w:rsid w:val="00CE1C33"/>
    <w:rsid w:val="00CE2317"/>
    <w:rsid w:val="00CE4750"/>
    <w:rsid w:val="00CE54BB"/>
    <w:rsid w:val="00CE64B6"/>
    <w:rsid w:val="00CF396B"/>
    <w:rsid w:val="00CF55AC"/>
    <w:rsid w:val="00CF65A7"/>
    <w:rsid w:val="00CF6A9B"/>
    <w:rsid w:val="00CF6B9A"/>
    <w:rsid w:val="00CF705B"/>
    <w:rsid w:val="00D00058"/>
    <w:rsid w:val="00D025F0"/>
    <w:rsid w:val="00D02E49"/>
    <w:rsid w:val="00D03FB6"/>
    <w:rsid w:val="00D04F67"/>
    <w:rsid w:val="00D057EA"/>
    <w:rsid w:val="00D05BD6"/>
    <w:rsid w:val="00D06A47"/>
    <w:rsid w:val="00D07DED"/>
    <w:rsid w:val="00D10157"/>
    <w:rsid w:val="00D10272"/>
    <w:rsid w:val="00D10CF8"/>
    <w:rsid w:val="00D10ECD"/>
    <w:rsid w:val="00D13B6B"/>
    <w:rsid w:val="00D14A98"/>
    <w:rsid w:val="00D1561D"/>
    <w:rsid w:val="00D16682"/>
    <w:rsid w:val="00D16703"/>
    <w:rsid w:val="00D17186"/>
    <w:rsid w:val="00D21673"/>
    <w:rsid w:val="00D21D3F"/>
    <w:rsid w:val="00D2240B"/>
    <w:rsid w:val="00D23884"/>
    <w:rsid w:val="00D238B9"/>
    <w:rsid w:val="00D23B79"/>
    <w:rsid w:val="00D2488D"/>
    <w:rsid w:val="00D25AF2"/>
    <w:rsid w:val="00D267BA"/>
    <w:rsid w:val="00D27564"/>
    <w:rsid w:val="00D304C3"/>
    <w:rsid w:val="00D30B57"/>
    <w:rsid w:val="00D30C38"/>
    <w:rsid w:val="00D3176C"/>
    <w:rsid w:val="00D329C6"/>
    <w:rsid w:val="00D32A04"/>
    <w:rsid w:val="00D3354C"/>
    <w:rsid w:val="00D34CC3"/>
    <w:rsid w:val="00D34D79"/>
    <w:rsid w:val="00D36D63"/>
    <w:rsid w:val="00D36DE0"/>
    <w:rsid w:val="00D37365"/>
    <w:rsid w:val="00D425C4"/>
    <w:rsid w:val="00D42A4E"/>
    <w:rsid w:val="00D44F4B"/>
    <w:rsid w:val="00D45581"/>
    <w:rsid w:val="00D462F9"/>
    <w:rsid w:val="00D47214"/>
    <w:rsid w:val="00D51DC6"/>
    <w:rsid w:val="00D524D5"/>
    <w:rsid w:val="00D52B63"/>
    <w:rsid w:val="00D54495"/>
    <w:rsid w:val="00D5543B"/>
    <w:rsid w:val="00D56110"/>
    <w:rsid w:val="00D6023B"/>
    <w:rsid w:val="00D61202"/>
    <w:rsid w:val="00D6245B"/>
    <w:rsid w:val="00D62A3F"/>
    <w:rsid w:val="00D65A97"/>
    <w:rsid w:val="00D66F05"/>
    <w:rsid w:val="00D67006"/>
    <w:rsid w:val="00D6735E"/>
    <w:rsid w:val="00D70F43"/>
    <w:rsid w:val="00D71D9C"/>
    <w:rsid w:val="00D73704"/>
    <w:rsid w:val="00D742B0"/>
    <w:rsid w:val="00D7558E"/>
    <w:rsid w:val="00D75CE5"/>
    <w:rsid w:val="00D76FF5"/>
    <w:rsid w:val="00D77525"/>
    <w:rsid w:val="00D77AEC"/>
    <w:rsid w:val="00D77EC6"/>
    <w:rsid w:val="00D81DAC"/>
    <w:rsid w:val="00D825E3"/>
    <w:rsid w:val="00D83D6E"/>
    <w:rsid w:val="00D83F76"/>
    <w:rsid w:val="00D8417D"/>
    <w:rsid w:val="00D85C42"/>
    <w:rsid w:val="00D86167"/>
    <w:rsid w:val="00D87B3C"/>
    <w:rsid w:val="00D91C8C"/>
    <w:rsid w:val="00D92B20"/>
    <w:rsid w:val="00D92E52"/>
    <w:rsid w:val="00D938A1"/>
    <w:rsid w:val="00D960F8"/>
    <w:rsid w:val="00D963F6"/>
    <w:rsid w:val="00D977AC"/>
    <w:rsid w:val="00DA025B"/>
    <w:rsid w:val="00DA0CF8"/>
    <w:rsid w:val="00DA1228"/>
    <w:rsid w:val="00DA1390"/>
    <w:rsid w:val="00DA13B3"/>
    <w:rsid w:val="00DA2E60"/>
    <w:rsid w:val="00DA3D71"/>
    <w:rsid w:val="00DA488D"/>
    <w:rsid w:val="00DA4FEF"/>
    <w:rsid w:val="00DA555E"/>
    <w:rsid w:val="00DA6376"/>
    <w:rsid w:val="00DA664F"/>
    <w:rsid w:val="00DA6D3C"/>
    <w:rsid w:val="00DA7612"/>
    <w:rsid w:val="00DB1CE1"/>
    <w:rsid w:val="00DB2BDC"/>
    <w:rsid w:val="00DB3CA0"/>
    <w:rsid w:val="00DB51F8"/>
    <w:rsid w:val="00DB526E"/>
    <w:rsid w:val="00DB6B23"/>
    <w:rsid w:val="00DB73C2"/>
    <w:rsid w:val="00DC095E"/>
    <w:rsid w:val="00DC1A24"/>
    <w:rsid w:val="00DC1A26"/>
    <w:rsid w:val="00DC1A75"/>
    <w:rsid w:val="00DC1F7F"/>
    <w:rsid w:val="00DC5724"/>
    <w:rsid w:val="00DC67DA"/>
    <w:rsid w:val="00DC78E0"/>
    <w:rsid w:val="00DD0FC6"/>
    <w:rsid w:val="00DD168C"/>
    <w:rsid w:val="00DD19DA"/>
    <w:rsid w:val="00DD3AA5"/>
    <w:rsid w:val="00DD41A6"/>
    <w:rsid w:val="00DD4A17"/>
    <w:rsid w:val="00DD55CB"/>
    <w:rsid w:val="00DD56AB"/>
    <w:rsid w:val="00DD5BB0"/>
    <w:rsid w:val="00DD698C"/>
    <w:rsid w:val="00DD7AE0"/>
    <w:rsid w:val="00DE47A6"/>
    <w:rsid w:val="00DE4D29"/>
    <w:rsid w:val="00DE625E"/>
    <w:rsid w:val="00DE6B76"/>
    <w:rsid w:val="00DF0014"/>
    <w:rsid w:val="00DF1318"/>
    <w:rsid w:val="00DF1D36"/>
    <w:rsid w:val="00DF1D98"/>
    <w:rsid w:val="00DF3266"/>
    <w:rsid w:val="00DF4835"/>
    <w:rsid w:val="00DF50F2"/>
    <w:rsid w:val="00DF662E"/>
    <w:rsid w:val="00DF6F32"/>
    <w:rsid w:val="00DF71FD"/>
    <w:rsid w:val="00DF72A9"/>
    <w:rsid w:val="00DF77AA"/>
    <w:rsid w:val="00E00560"/>
    <w:rsid w:val="00E008CA"/>
    <w:rsid w:val="00E009C5"/>
    <w:rsid w:val="00E02E77"/>
    <w:rsid w:val="00E02EB3"/>
    <w:rsid w:val="00E03356"/>
    <w:rsid w:val="00E04E85"/>
    <w:rsid w:val="00E050E5"/>
    <w:rsid w:val="00E0520F"/>
    <w:rsid w:val="00E07F29"/>
    <w:rsid w:val="00E101E1"/>
    <w:rsid w:val="00E10F9A"/>
    <w:rsid w:val="00E11B61"/>
    <w:rsid w:val="00E12376"/>
    <w:rsid w:val="00E1254E"/>
    <w:rsid w:val="00E12834"/>
    <w:rsid w:val="00E13A94"/>
    <w:rsid w:val="00E13FFB"/>
    <w:rsid w:val="00E16F40"/>
    <w:rsid w:val="00E17195"/>
    <w:rsid w:val="00E17EE3"/>
    <w:rsid w:val="00E22320"/>
    <w:rsid w:val="00E22508"/>
    <w:rsid w:val="00E2263D"/>
    <w:rsid w:val="00E22689"/>
    <w:rsid w:val="00E2268C"/>
    <w:rsid w:val="00E233D0"/>
    <w:rsid w:val="00E237D3"/>
    <w:rsid w:val="00E2647B"/>
    <w:rsid w:val="00E2695F"/>
    <w:rsid w:val="00E26D15"/>
    <w:rsid w:val="00E27947"/>
    <w:rsid w:val="00E3144E"/>
    <w:rsid w:val="00E31650"/>
    <w:rsid w:val="00E31980"/>
    <w:rsid w:val="00E32B68"/>
    <w:rsid w:val="00E339CE"/>
    <w:rsid w:val="00E339F0"/>
    <w:rsid w:val="00E34C2F"/>
    <w:rsid w:val="00E3573E"/>
    <w:rsid w:val="00E35D90"/>
    <w:rsid w:val="00E373F2"/>
    <w:rsid w:val="00E3746A"/>
    <w:rsid w:val="00E37C4C"/>
    <w:rsid w:val="00E37EEE"/>
    <w:rsid w:val="00E40032"/>
    <w:rsid w:val="00E40E1C"/>
    <w:rsid w:val="00E414DF"/>
    <w:rsid w:val="00E42705"/>
    <w:rsid w:val="00E42744"/>
    <w:rsid w:val="00E4320D"/>
    <w:rsid w:val="00E43370"/>
    <w:rsid w:val="00E43685"/>
    <w:rsid w:val="00E44666"/>
    <w:rsid w:val="00E44684"/>
    <w:rsid w:val="00E44EEE"/>
    <w:rsid w:val="00E4500E"/>
    <w:rsid w:val="00E462AD"/>
    <w:rsid w:val="00E4729A"/>
    <w:rsid w:val="00E4775D"/>
    <w:rsid w:val="00E51D82"/>
    <w:rsid w:val="00E57B52"/>
    <w:rsid w:val="00E609E8"/>
    <w:rsid w:val="00E60E21"/>
    <w:rsid w:val="00E60FEA"/>
    <w:rsid w:val="00E619E5"/>
    <w:rsid w:val="00E629D6"/>
    <w:rsid w:val="00E637F8"/>
    <w:rsid w:val="00E63843"/>
    <w:rsid w:val="00E64A1F"/>
    <w:rsid w:val="00E659D6"/>
    <w:rsid w:val="00E65EC5"/>
    <w:rsid w:val="00E66B43"/>
    <w:rsid w:val="00E66D83"/>
    <w:rsid w:val="00E674A8"/>
    <w:rsid w:val="00E7018C"/>
    <w:rsid w:val="00E70EEC"/>
    <w:rsid w:val="00E718F5"/>
    <w:rsid w:val="00E71A83"/>
    <w:rsid w:val="00E71C81"/>
    <w:rsid w:val="00E71D93"/>
    <w:rsid w:val="00E727E5"/>
    <w:rsid w:val="00E73717"/>
    <w:rsid w:val="00E738C2"/>
    <w:rsid w:val="00E74D9D"/>
    <w:rsid w:val="00E7604C"/>
    <w:rsid w:val="00E7693B"/>
    <w:rsid w:val="00E76E07"/>
    <w:rsid w:val="00E772B7"/>
    <w:rsid w:val="00E80C94"/>
    <w:rsid w:val="00E81526"/>
    <w:rsid w:val="00E81EEC"/>
    <w:rsid w:val="00E82908"/>
    <w:rsid w:val="00E83168"/>
    <w:rsid w:val="00E832E9"/>
    <w:rsid w:val="00E834A5"/>
    <w:rsid w:val="00E839CF"/>
    <w:rsid w:val="00E84224"/>
    <w:rsid w:val="00E8468A"/>
    <w:rsid w:val="00E85AED"/>
    <w:rsid w:val="00E864B6"/>
    <w:rsid w:val="00E914EB"/>
    <w:rsid w:val="00E930C4"/>
    <w:rsid w:val="00E93B63"/>
    <w:rsid w:val="00E95034"/>
    <w:rsid w:val="00E952A9"/>
    <w:rsid w:val="00E95F85"/>
    <w:rsid w:val="00E9757A"/>
    <w:rsid w:val="00E97BFD"/>
    <w:rsid w:val="00EA0AB3"/>
    <w:rsid w:val="00EA18A9"/>
    <w:rsid w:val="00EA227E"/>
    <w:rsid w:val="00EA415E"/>
    <w:rsid w:val="00EA567C"/>
    <w:rsid w:val="00EA58B4"/>
    <w:rsid w:val="00EA5B01"/>
    <w:rsid w:val="00EA78AD"/>
    <w:rsid w:val="00EA7F0E"/>
    <w:rsid w:val="00EB0132"/>
    <w:rsid w:val="00EB0238"/>
    <w:rsid w:val="00EB20F4"/>
    <w:rsid w:val="00EB360C"/>
    <w:rsid w:val="00EB469A"/>
    <w:rsid w:val="00EB5723"/>
    <w:rsid w:val="00EB580A"/>
    <w:rsid w:val="00EB5E06"/>
    <w:rsid w:val="00EB67AB"/>
    <w:rsid w:val="00EB686D"/>
    <w:rsid w:val="00EC0030"/>
    <w:rsid w:val="00EC0938"/>
    <w:rsid w:val="00EC109C"/>
    <w:rsid w:val="00EC4DC4"/>
    <w:rsid w:val="00EC4F9C"/>
    <w:rsid w:val="00EC5D73"/>
    <w:rsid w:val="00EC5DDA"/>
    <w:rsid w:val="00ED0861"/>
    <w:rsid w:val="00ED18B8"/>
    <w:rsid w:val="00ED2399"/>
    <w:rsid w:val="00ED2672"/>
    <w:rsid w:val="00ED2AD5"/>
    <w:rsid w:val="00ED3DF5"/>
    <w:rsid w:val="00ED410E"/>
    <w:rsid w:val="00ED54DC"/>
    <w:rsid w:val="00ED6793"/>
    <w:rsid w:val="00ED717C"/>
    <w:rsid w:val="00ED71D1"/>
    <w:rsid w:val="00ED71D7"/>
    <w:rsid w:val="00EE0F56"/>
    <w:rsid w:val="00EE2658"/>
    <w:rsid w:val="00EE318C"/>
    <w:rsid w:val="00EE3EDF"/>
    <w:rsid w:val="00EE44F3"/>
    <w:rsid w:val="00EE462F"/>
    <w:rsid w:val="00EE52C2"/>
    <w:rsid w:val="00EE6202"/>
    <w:rsid w:val="00EE63A8"/>
    <w:rsid w:val="00EE70FD"/>
    <w:rsid w:val="00EF1715"/>
    <w:rsid w:val="00EF198E"/>
    <w:rsid w:val="00EF19F5"/>
    <w:rsid w:val="00EF2D16"/>
    <w:rsid w:val="00EF4481"/>
    <w:rsid w:val="00EF476F"/>
    <w:rsid w:val="00EF48AF"/>
    <w:rsid w:val="00EF4B25"/>
    <w:rsid w:val="00EF61F9"/>
    <w:rsid w:val="00EF6379"/>
    <w:rsid w:val="00EF6B3B"/>
    <w:rsid w:val="00EF6F8B"/>
    <w:rsid w:val="00F01722"/>
    <w:rsid w:val="00F0369F"/>
    <w:rsid w:val="00F044BD"/>
    <w:rsid w:val="00F04B35"/>
    <w:rsid w:val="00F05A4C"/>
    <w:rsid w:val="00F05D18"/>
    <w:rsid w:val="00F05E4E"/>
    <w:rsid w:val="00F067A7"/>
    <w:rsid w:val="00F07AEB"/>
    <w:rsid w:val="00F113E3"/>
    <w:rsid w:val="00F11A7B"/>
    <w:rsid w:val="00F11C96"/>
    <w:rsid w:val="00F11D9D"/>
    <w:rsid w:val="00F121D9"/>
    <w:rsid w:val="00F1357D"/>
    <w:rsid w:val="00F13ED3"/>
    <w:rsid w:val="00F13F50"/>
    <w:rsid w:val="00F14D4F"/>
    <w:rsid w:val="00F15665"/>
    <w:rsid w:val="00F157BE"/>
    <w:rsid w:val="00F1649D"/>
    <w:rsid w:val="00F16FBD"/>
    <w:rsid w:val="00F17952"/>
    <w:rsid w:val="00F2060A"/>
    <w:rsid w:val="00F20835"/>
    <w:rsid w:val="00F2244D"/>
    <w:rsid w:val="00F23A50"/>
    <w:rsid w:val="00F23DD9"/>
    <w:rsid w:val="00F25F21"/>
    <w:rsid w:val="00F26778"/>
    <w:rsid w:val="00F31EF6"/>
    <w:rsid w:val="00F32279"/>
    <w:rsid w:val="00F330B8"/>
    <w:rsid w:val="00F33BE3"/>
    <w:rsid w:val="00F33E3D"/>
    <w:rsid w:val="00F34601"/>
    <w:rsid w:val="00F359DB"/>
    <w:rsid w:val="00F35C2C"/>
    <w:rsid w:val="00F418B2"/>
    <w:rsid w:val="00F418BE"/>
    <w:rsid w:val="00F44FC4"/>
    <w:rsid w:val="00F45431"/>
    <w:rsid w:val="00F45F16"/>
    <w:rsid w:val="00F45FEC"/>
    <w:rsid w:val="00F4608D"/>
    <w:rsid w:val="00F47055"/>
    <w:rsid w:val="00F47095"/>
    <w:rsid w:val="00F5105E"/>
    <w:rsid w:val="00F51F0E"/>
    <w:rsid w:val="00F5333D"/>
    <w:rsid w:val="00F53599"/>
    <w:rsid w:val="00F53C0F"/>
    <w:rsid w:val="00F60263"/>
    <w:rsid w:val="00F6176F"/>
    <w:rsid w:val="00F6191A"/>
    <w:rsid w:val="00F644DD"/>
    <w:rsid w:val="00F65E75"/>
    <w:rsid w:val="00F66510"/>
    <w:rsid w:val="00F666CA"/>
    <w:rsid w:val="00F6703E"/>
    <w:rsid w:val="00F67DF0"/>
    <w:rsid w:val="00F705C4"/>
    <w:rsid w:val="00F7082A"/>
    <w:rsid w:val="00F71134"/>
    <w:rsid w:val="00F71C11"/>
    <w:rsid w:val="00F72B1E"/>
    <w:rsid w:val="00F72CA1"/>
    <w:rsid w:val="00F7394A"/>
    <w:rsid w:val="00F74065"/>
    <w:rsid w:val="00F74FB2"/>
    <w:rsid w:val="00F75116"/>
    <w:rsid w:val="00F75460"/>
    <w:rsid w:val="00F7766B"/>
    <w:rsid w:val="00F8024A"/>
    <w:rsid w:val="00F8066E"/>
    <w:rsid w:val="00F809F5"/>
    <w:rsid w:val="00F81D24"/>
    <w:rsid w:val="00F83DAE"/>
    <w:rsid w:val="00F8549F"/>
    <w:rsid w:val="00F854B6"/>
    <w:rsid w:val="00F85893"/>
    <w:rsid w:val="00F862A1"/>
    <w:rsid w:val="00F875B7"/>
    <w:rsid w:val="00F91172"/>
    <w:rsid w:val="00F92273"/>
    <w:rsid w:val="00F936A9"/>
    <w:rsid w:val="00F93E07"/>
    <w:rsid w:val="00F9426D"/>
    <w:rsid w:val="00F9525C"/>
    <w:rsid w:val="00FA1252"/>
    <w:rsid w:val="00FA159F"/>
    <w:rsid w:val="00FA1A1F"/>
    <w:rsid w:val="00FA336C"/>
    <w:rsid w:val="00FA38BF"/>
    <w:rsid w:val="00FA474D"/>
    <w:rsid w:val="00FA531E"/>
    <w:rsid w:val="00FA53C3"/>
    <w:rsid w:val="00FA5FAA"/>
    <w:rsid w:val="00FA6E24"/>
    <w:rsid w:val="00FB13C2"/>
    <w:rsid w:val="00FB1444"/>
    <w:rsid w:val="00FB1C39"/>
    <w:rsid w:val="00FB1CE3"/>
    <w:rsid w:val="00FB1FD6"/>
    <w:rsid w:val="00FB2351"/>
    <w:rsid w:val="00FB2D27"/>
    <w:rsid w:val="00FB377B"/>
    <w:rsid w:val="00FB3F36"/>
    <w:rsid w:val="00FB4B0F"/>
    <w:rsid w:val="00FB4B87"/>
    <w:rsid w:val="00FB50EB"/>
    <w:rsid w:val="00FC01C2"/>
    <w:rsid w:val="00FC05CD"/>
    <w:rsid w:val="00FC131F"/>
    <w:rsid w:val="00FC28B3"/>
    <w:rsid w:val="00FC314D"/>
    <w:rsid w:val="00FC3AE9"/>
    <w:rsid w:val="00FC3E8A"/>
    <w:rsid w:val="00FC5381"/>
    <w:rsid w:val="00FC5716"/>
    <w:rsid w:val="00FC6521"/>
    <w:rsid w:val="00FC66F0"/>
    <w:rsid w:val="00FC7351"/>
    <w:rsid w:val="00FC77AF"/>
    <w:rsid w:val="00FC790C"/>
    <w:rsid w:val="00FC7B28"/>
    <w:rsid w:val="00FD23A4"/>
    <w:rsid w:val="00FD306F"/>
    <w:rsid w:val="00FD3909"/>
    <w:rsid w:val="00FD6DD4"/>
    <w:rsid w:val="00FD73EF"/>
    <w:rsid w:val="00FE2AF9"/>
    <w:rsid w:val="00FE32BC"/>
    <w:rsid w:val="00FE3F02"/>
    <w:rsid w:val="00FE62EB"/>
    <w:rsid w:val="00FE6F22"/>
    <w:rsid w:val="00FE76E2"/>
    <w:rsid w:val="00FE7996"/>
    <w:rsid w:val="00FF0A34"/>
    <w:rsid w:val="00FF0FD9"/>
    <w:rsid w:val="00FF1824"/>
    <w:rsid w:val="00FF3EA3"/>
    <w:rsid w:val="00FF4DC3"/>
    <w:rsid w:val="00FF5A95"/>
    <w:rsid w:val="00FF76D0"/>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47C19"/>
  <w15:docId w15:val="{AB1D8D0F-F0BD-4DA4-A6CF-BD8A2B97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8B"/>
    <w:rPr>
      <w:rFonts w:ascii="Arial" w:hAnsi="Arial"/>
    </w:rPr>
  </w:style>
  <w:style w:type="paragraph" w:styleId="Heading1">
    <w:name w:val="heading 1"/>
    <w:basedOn w:val="Normal"/>
    <w:next w:val="Normal"/>
    <w:link w:val="Heading1Char"/>
    <w:uiPriority w:val="9"/>
    <w:qFormat/>
    <w:rsid w:val="00AF669F"/>
    <w:pPr>
      <w:keepNext/>
      <w:keepLines/>
      <w:spacing w:before="480" w:after="0"/>
      <w:jc w:val="both"/>
      <w:outlineLvl w:val="0"/>
    </w:pPr>
    <w:rPr>
      <w:rFonts w:asciiTheme="majorHAnsi" w:eastAsiaTheme="majorEastAsia" w:hAnsiTheme="majorHAnsi" w:cstheme="majorBidi"/>
      <w:b/>
      <w:bCs/>
      <w:color w:val="002060"/>
      <w:sz w:val="40"/>
      <w:szCs w:val="28"/>
    </w:rPr>
  </w:style>
  <w:style w:type="paragraph" w:styleId="Heading2">
    <w:name w:val="heading 2"/>
    <w:basedOn w:val="Normal"/>
    <w:next w:val="Normal"/>
    <w:link w:val="Heading2Char"/>
    <w:uiPriority w:val="9"/>
    <w:unhideWhenUsed/>
    <w:qFormat/>
    <w:rsid w:val="00AA63D4"/>
    <w:pPr>
      <w:keepNext/>
      <w:keepLines/>
      <w:spacing w:before="200" w:after="120"/>
      <w:jc w:val="both"/>
      <w:outlineLvl w:val="1"/>
    </w:pPr>
    <w:rPr>
      <w:rFonts w:eastAsiaTheme="majorEastAsia" w:cs="Arial"/>
      <w:color w:val="002060"/>
      <w:sz w:val="32"/>
      <w:szCs w:val="26"/>
    </w:rPr>
  </w:style>
  <w:style w:type="paragraph" w:styleId="Heading3">
    <w:name w:val="heading 3"/>
    <w:basedOn w:val="Normal"/>
    <w:next w:val="Normal"/>
    <w:link w:val="Heading3Char"/>
    <w:uiPriority w:val="9"/>
    <w:unhideWhenUsed/>
    <w:qFormat/>
    <w:rsid w:val="00C26944"/>
    <w:pPr>
      <w:keepNext/>
      <w:keepLines/>
      <w:spacing w:before="200" w:after="0"/>
      <w:jc w:val="both"/>
      <w:outlineLvl w:val="2"/>
    </w:pPr>
    <w:rPr>
      <w:rFonts w:asciiTheme="majorHAnsi" w:eastAsiaTheme="majorEastAsia" w:hAnsiTheme="majorHAnsi" w:cstheme="majorBidi"/>
      <w:b/>
      <w:bCs/>
      <w:color w:val="002060"/>
      <w:sz w:val="28"/>
    </w:rPr>
  </w:style>
  <w:style w:type="paragraph" w:styleId="Heading4">
    <w:name w:val="heading 4"/>
    <w:basedOn w:val="Normal"/>
    <w:next w:val="Normal"/>
    <w:link w:val="Heading4Char"/>
    <w:uiPriority w:val="9"/>
    <w:unhideWhenUsed/>
    <w:qFormat/>
    <w:rsid w:val="00C26944"/>
    <w:pPr>
      <w:keepNext/>
      <w:keepLines/>
      <w:spacing w:before="200" w:after="0"/>
      <w:jc w:val="both"/>
      <w:outlineLvl w:val="3"/>
    </w:pPr>
    <w:rPr>
      <w:rFonts w:asciiTheme="majorHAnsi" w:eastAsiaTheme="majorEastAsia" w:hAnsiTheme="majorHAnsi" w:cstheme="majorBidi"/>
      <w:b/>
      <w:bCs/>
      <w:iCs/>
      <w:color w:val="002060"/>
    </w:rPr>
  </w:style>
  <w:style w:type="paragraph" w:styleId="Heading5">
    <w:name w:val="heading 5"/>
    <w:basedOn w:val="Normal"/>
    <w:next w:val="Normal"/>
    <w:link w:val="Heading5Char"/>
    <w:uiPriority w:val="9"/>
    <w:unhideWhenUsed/>
    <w:qFormat/>
    <w:rsid w:val="003A22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D9"/>
    <w:rPr>
      <w:rFonts w:ascii="Tahoma" w:hAnsi="Tahoma" w:cs="Tahoma"/>
      <w:sz w:val="16"/>
      <w:szCs w:val="16"/>
    </w:rPr>
  </w:style>
  <w:style w:type="paragraph" w:styleId="Title">
    <w:name w:val="Title"/>
    <w:basedOn w:val="Normal"/>
    <w:next w:val="Normal"/>
    <w:link w:val="TitleChar"/>
    <w:uiPriority w:val="10"/>
    <w:qFormat/>
    <w:rsid w:val="001F0E1D"/>
    <w:pPr>
      <w:spacing w:before="1560" w:after="300" w:line="240" w:lineRule="auto"/>
      <w:contextualSpacing/>
      <w:jc w:val="center"/>
    </w:pPr>
    <w:rPr>
      <w:rFonts w:asciiTheme="majorHAnsi" w:eastAsiaTheme="majorEastAsia" w:hAnsiTheme="majorHAnsi"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1F0E1D"/>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1F0E1D"/>
    <w:pPr>
      <w:numPr>
        <w:ilvl w:val="1"/>
      </w:numPr>
      <w:spacing w:before="720"/>
      <w:jc w:val="center"/>
    </w:pPr>
    <w:rPr>
      <w:rFonts w:asciiTheme="majorHAnsi" w:eastAsiaTheme="majorEastAsia" w:hAnsiTheme="majorHAnsi" w:cstheme="majorBidi"/>
      <w:b/>
      <w:iCs/>
      <w:color w:val="17365D" w:themeColor="text2" w:themeShade="BF"/>
      <w:spacing w:val="15"/>
      <w:sz w:val="40"/>
      <w:szCs w:val="40"/>
    </w:rPr>
  </w:style>
  <w:style w:type="character" w:customStyle="1" w:styleId="SubtitleChar">
    <w:name w:val="Subtitle Char"/>
    <w:basedOn w:val="DefaultParagraphFont"/>
    <w:link w:val="Subtitle"/>
    <w:uiPriority w:val="11"/>
    <w:rsid w:val="001F0E1D"/>
    <w:rPr>
      <w:rFonts w:asciiTheme="majorHAnsi" w:eastAsiaTheme="majorEastAsia" w:hAnsiTheme="majorHAnsi" w:cstheme="majorBidi"/>
      <w:b/>
      <w:iCs/>
      <w:color w:val="17365D" w:themeColor="text2" w:themeShade="BF"/>
      <w:spacing w:val="15"/>
      <w:sz w:val="40"/>
      <w:szCs w:val="40"/>
    </w:rPr>
  </w:style>
  <w:style w:type="paragraph" w:customStyle="1" w:styleId="TitlePagedate">
    <w:name w:val="TitlePage date"/>
    <w:basedOn w:val="Normal"/>
    <w:link w:val="TitlePagedateChar"/>
    <w:qFormat/>
    <w:rsid w:val="00753949"/>
    <w:pPr>
      <w:numPr>
        <w:ilvl w:val="1"/>
      </w:numPr>
      <w:spacing w:before="1920"/>
      <w:jc w:val="center"/>
    </w:pPr>
    <w:rPr>
      <w:rFonts w:asciiTheme="majorHAnsi" w:eastAsiaTheme="majorEastAsia" w:hAnsiTheme="majorHAnsi" w:cstheme="majorBidi"/>
      <w:b/>
      <w:iCs/>
      <w:color w:val="17365D" w:themeColor="text2" w:themeShade="BF"/>
      <w:spacing w:val="15"/>
      <w:sz w:val="40"/>
      <w:szCs w:val="40"/>
    </w:rPr>
  </w:style>
  <w:style w:type="paragraph" w:customStyle="1" w:styleId="TitlePageStatement">
    <w:name w:val="Title Page Statement"/>
    <w:basedOn w:val="Normal"/>
    <w:link w:val="TitlePageStatementChar"/>
    <w:rsid w:val="00EC0938"/>
    <w:pPr>
      <w:spacing w:before="1680"/>
    </w:pPr>
    <w:rPr>
      <w:color w:val="000000" w:themeColor="text1"/>
    </w:rPr>
  </w:style>
  <w:style w:type="character" w:customStyle="1" w:styleId="TitlePagedateChar">
    <w:name w:val="TitlePage date Char"/>
    <w:basedOn w:val="DefaultParagraphFont"/>
    <w:link w:val="TitlePagedate"/>
    <w:rsid w:val="00753949"/>
    <w:rPr>
      <w:rFonts w:asciiTheme="majorHAnsi" w:eastAsiaTheme="majorEastAsia" w:hAnsiTheme="majorHAnsi" w:cstheme="majorBidi"/>
      <w:b/>
      <w:iCs/>
      <w:color w:val="17365D" w:themeColor="text2" w:themeShade="BF"/>
      <w:spacing w:val="15"/>
      <w:sz w:val="40"/>
      <w:szCs w:val="40"/>
    </w:rPr>
  </w:style>
  <w:style w:type="character" w:customStyle="1" w:styleId="TitlePageStatementChar">
    <w:name w:val="Title Page Statement Char"/>
    <w:basedOn w:val="DefaultParagraphFont"/>
    <w:link w:val="TitlePageStatement"/>
    <w:rsid w:val="00EC0938"/>
    <w:rPr>
      <w:color w:val="000000" w:themeColor="text1"/>
    </w:rPr>
  </w:style>
  <w:style w:type="character" w:customStyle="1" w:styleId="Heading1Char">
    <w:name w:val="Heading 1 Char"/>
    <w:basedOn w:val="DefaultParagraphFont"/>
    <w:link w:val="Heading1"/>
    <w:uiPriority w:val="9"/>
    <w:rsid w:val="00AF669F"/>
    <w:rPr>
      <w:rFonts w:asciiTheme="majorHAnsi" w:eastAsiaTheme="majorEastAsia" w:hAnsiTheme="majorHAnsi" w:cstheme="majorBidi"/>
      <w:b/>
      <w:bCs/>
      <w:color w:val="002060"/>
      <w:sz w:val="40"/>
      <w:szCs w:val="28"/>
    </w:rPr>
  </w:style>
  <w:style w:type="character" w:customStyle="1" w:styleId="Heading2Char">
    <w:name w:val="Heading 2 Char"/>
    <w:basedOn w:val="DefaultParagraphFont"/>
    <w:link w:val="Heading2"/>
    <w:uiPriority w:val="9"/>
    <w:rsid w:val="00AA63D4"/>
    <w:rPr>
      <w:rFonts w:ascii="Arial" w:eastAsiaTheme="majorEastAsia" w:hAnsi="Arial" w:cs="Arial"/>
      <w:color w:val="002060"/>
      <w:sz w:val="32"/>
      <w:szCs w:val="26"/>
    </w:rPr>
  </w:style>
  <w:style w:type="character" w:customStyle="1" w:styleId="Heading3Char">
    <w:name w:val="Heading 3 Char"/>
    <w:basedOn w:val="DefaultParagraphFont"/>
    <w:link w:val="Heading3"/>
    <w:uiPriority w:val="9"/>
    <w:rsid w:val="00C26944"/>
    <w:rPr>
      <w:rFonts w:asciiTheme="majorHAnsi" w:eastAsiaTheme="majorEastAsia" w:hAnsiTheme="majorHAnsi" w:cstheme="majorBidi"/>
      <w:b/>
      <w:bCs/>
      <w:color w:val="002060"/>
      <w:sz w:val="28"/>
    </w:rPr>
  </w:style>
  <w:style w:type="character" w:customStyle="1" w:styleId="Heading4Char">
    <w:name w:val="Heading 4 Char"/>
    <w:basedOn w:val="DefaultParagraphFont"/>
    <w:link w:val="Heading4"/>
    <w:uiPriority w:val="9"/>
    <w:rsid w:val="00C26944"/>
    <w:rPr>
      <w:rFonts w:asciiTheme="majorHAnsi" w:eastAsiaTheme="majorEastAsia" w:hAnsiTheme="majorHAnsi" w:cstheme="majorBidi"/>
      <w:b/>
      <w:bCs/>
      <w:iCs/>
      <w:color w:val="002060"/>
    </w:rPr>
  </w:style>
  <w:style w:type="table" w:styleId="TableGrid">
    <w:name w:val="Table Grid"/>
    <w:basedOn w:val="TableNormal"/>
    <w:rsid w:val="0076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1B653A"/>
    <w:pPr>
      <w:keepNext/>
      <w:spacing w:line="240" w:lineRule="auto"/>
    </w:pPr>
    <w:rPr>
      <w:sz w:val="24"/>
      <w:szCs w:val="24"/>
    </w:rPr>
  </w:style>
  <w:style w:type="paragraph" w:styleId="Header">
    <w:name w:val="header"/>
    <w:basedOn w:val="Normal"/>
    <w:link w:val="HeaderChar"/>
    <w:uiPriority w:val="99"/>
    <w:unhideWhenUsed/>
    <w:rsid w:val="00AE1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7F"/>
  </w:style>
  <w:style w:type="paragraph" w:styleId="Footer">
    <w:name w:val="footer"/>
    <w:basedOn w:val="Normal"/>
    <w:link w:val="FooterChar"/>
    <w:uiPriority w:val="99"/>
    <w:unhideWhenUsed/>
    <w:rsid w:val="00AE1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7F"/>
  </w:style>
  <w:style w:type="paragraph" w:styleId="FootnoteText">
    <w:name w:val="footnote text"/>
    <w:basedOn w:val="Normal"/>
    <w:link w:val="FootnoteTextChar"/>
    <w:unhideWhenUsed/>
    <w:rsid w:val="00AE1F7F"/>
    <w:pPr>
      <w:spacing w:after="0" w:line="240" w:lineRule="auto"/>
    </w:pPr>
    <w:rPr>
      <w:sz w:val="20"/>
      <w:szCs w:val="20"/>
    </w:rPr>
  </w:style>
  <w:style w:type="character" w:customStyle="1" w:styleId="FootnoteTextChar">
    <w:name w:val="Footnote Text Char"/>
    <w:basedOn w:val="DefaultParagraphFont"/>
    <w:link w:val="FootnoteText"/>
    <w:rsid w:val="00AE1F7F"/>
    <w:rPr>
      <w:sz w:val="20"/>
      <w:szCs w:val="20"/>
    </w:rPr>
  </w:style>
  <w:style w:type="character" w:styleId="FootnoteReference">
    <w:name w:val="footnote reference"/>
    <w:basedOn w:val="DefaultParagraphFont"/>
    <w:semiHidden/>
    <w:unhideWhenUsed/>
    <w:rsid w:val="00AE1F7F"/>
    <w:rPr>
      <w:vertAlign w:val="superscript"/>
    </w:rPr>
  </w:style>
  <w:style w:type="paragraph" w:customStyle="1" w:styleId="BlockQuote">
    <w:name w:val="Block Quote"/>
    <w:basedOn w:val="Normal"/>
    <w:link w:val="BlockQuoteChar"/>
    <w:qFormat/>
    <w:rsid w:val="003358E4"/>
    <w:pPr>
      <w:pBdr>
        <w:bottom w:val="single" w:sz="4" w:space="4" w:color="4F81BD" w:themeColor="accent1"/>
      </w:pBdr>
      <w:spacing w:before="200" w:after="280"/>
      <w:ind w:left="936" w:right="936"/>
      <w:jc w:val="both"/>
    </w:pPr>
    <w:rPr>
      <w:b/>
      <w:bCs/>
      <w:i/>
      <w:iCs/>
      <w:lang w:val="en"/>
    </w:rPr>
  </w:style>
  <w:style w:type="paragraph" w:styleId="TOCHeading">
    <w:name w:val="TOC Heading"/>
    <w:basedOn w:val="Heading1"/>
    <w:next w:val="Normal"/>
    <w:uiPriority w:val="39"/>
    <w:semiHidden/>
    <w:unhideWhenUsed/>
    <w:qFormat/>
    <w:rsid w:val="003A22A1"/>
    <w:pPr>
      <w:jc w:val="left"/>
      <w:outlineLvl w:val="9"/>
    </w:pPr>
    <w:rPr>
      <w:color w:val="365F91" w:themeColor="accent1" w:themeShade="BF"/>
      <w:sz w:val="28"/>
      <w:lang w:val="en-US" w:eastAsia="ja-JP"/>
    </w:rPr>
  </w:style>
  <w:style w:type="character" w:customStyle="1" w:styleId="BlockQuoteChar">
    <w:name w:val="Block Quote Char"/>
    <w:basedOn w:val="DefaultParagraphFont"/>
    <w:link w:val="BlockQuote"/>
    <w:rsid w:val="003358E4"/>
    <w:rPr>
      <w:b/>
      <w:bCs/>
      <w:i/>
      <w:iCs/>
      <w:lang w:val="en"/>
    </w:rPr>
  </w:style>
  <w:style w:type="paragraph" w:styleId="TOC1">
    <w:name w:val="toc 1"/>
    <w:basedOn w:val="Normal"/>
    <w:next w:val="Normal"/>
    <w:autoRedefine/>
    <w:uiPriority w:val="39"/>
    <w:unhideWhenUsed/>
    <w:rsid w:val="003108B7"/>
    <w:pPr>
      <w:tabs>
        <w:tab w:val="right" w:leader="dot" w:pos="9016"/>
      </w:tabs>
      <w:spacing w:after="100"/>
    </w:pPr>
  </w:style>
  <w:style w:type="paragraph" w:styleId="TOC2">
    <w:name w:val="toc 2"/>
    <w:basedOn w:val="Normal"/>
    <w:next w:val="Normal"/>
    <w:autoRedefine/>
    <w:uiPriority w:val="39"/>
    <w:unhideWhenUsed/>
    <w:rsid w:val="003108B7"/>
    <w:pPr>
      <w:tabs>
        <w:tab w:val="right" w:leader="dot" w:pos="9016"/>
      </w:tabs>
      <w:spacing w:after="100"/>
      <w:ind w:left="220"/>
    </w:pPr>
  </w:style>
  <w:style w:type="paragraph" w:styleId="TOC3">
    <w:name w:val="toc 3"/>
    <w:basedOn w:val="Normal"/>
    <w:next w:val="Normal"/>
    <w:autoRedefine/>
    <w:uiPriority w:val="39"/>
    <w:unhideWhenUsed/>
    <w:rsid w:val="003108B7"/>
    <w:pPr>
      <w:tabs>
        <w:tab w:val="right" w:leader="dot" w:pos="9016"/>
      </w:tabs>
      <w:spacing w:after="100"/>
      <w:ind w:left="440"/>
    </w:pPr>
  </w:style>
  <w:style w:type="character" w:styleId="Hyperlink">
    <w:name w:val="Hyperlink"/>
    <w:basedOn w:val="DefaultParagraphFont"/>
    <w:uiPriority w:val="99"/>
    <w:unhideWhenUsed/>
    <w:rsid w:val="003A22A1"/>
    <w:rPr>
      <w:color w:val="0000FF" w:themeColor="hyperlink"/>
      <w:u w:val="single"/>
    </w:rPr>
  </w:style>
  <w:style w:type="character" w:customStyle="1" w:styleId="Heading5Char">
    <w:name w:val="Heading 5 Char"/>
    <w:basedOn w:val="DefaultParagraphFont"/>
    <w:link w:val="Heading5"/>
    <w:uiPriority w:val="9"/>
    <w:rsid w:val="003A22A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qFormat/>
    <w:rsid w:val="003A22A1"/>
    <w:pPr>
      <w:spacing w:after="120"/>
    </w:pPr>
  </w:style>
  <w:style w:type="character" w:customStyle="1" w:styleId="BodyTextChar">
    <w:name w:val="Body Text Char"/>
    <w:basedOn w:val="DefaultParagraphFont"/>
    <w:link w:val="BodyText"/>
    <w:uiPriority w:val="99"/>
    <w:rsid w:val="003A22A1"/>
  </w:style>
  <w:style w:type="paragraph" w:styleId="BodyTextIndent">
    <w:name w:val="Body Text Indent"/>
    <w:basedOn w:val="Normal"/>
    <w:link w:val="BodyTextIndentChar"/>
    <w:uiPriority w:val="99"/>
    <w:rsid w:val="00054A01"/>
    <w:pPr>
      <w:spacing w:after="120"/>
      <w:ind w:left="283"/>
    </w:pPr>
  </w:style>
  <w:style w:type="character" w:customStyle="1" w:styleId="BodyTextIndentChar">
    <w:name w:val="Body Text Indent Char"/>
    <w:basedOn w:val="DefaultParagraphFont"/>
    <w:link w:val="BodyTextIndent"/>
    <w:uiPriority w:val="99"/>
    <w:rsid w:val="00054A01"/>
  </w:style>
  <w:style w:type="paragraph" w:styleId="BlockText">
    <w:name w:val="Block Text"/>
    <w:basedOn w:val="Normal"/>
    <w:uiPriority w:val="99"/>
    <w:rsid w:val="00CC5D6C"/>
    <w:pPr>
      <w:ind w:left="284" w:right="284"/>
    </w:pPr>
    <w:rPr>
      <w:rFonts w:eastAsiaTheme="minorEastAsia"/>
      <w:i/>
      <w:iCs/>
    </w:rPr>
  </w:style>
  <w:style w:type="character" w:styleId="Emphasis">
    <w:name w:val="Emphasis"/>
    <w:basedOn w:val="DefaultParagraphFont"/>
    <w:qFormat/>
    <w:rsid w:val="00E2695F"/>
    <w:rPr>
      <w:i/>
      <w:iCs/>
    </w:rPr>
  </w:style>
  <w:style w:type="character" w:styleId="Strong">
    <w:name w:val="Strong"/>
    <w:basedOn w:val="DefaultParagraphFont"/>
    <w:uiPriority w:val="22"/>
    <w:qFormat/>
    <w:rsid w:val="00E2695F"/>
    <w:rPr>
      <w:b/>
      <w:bCs/>
    </w:rPr>
  </w:style>
  <w:style w:type="paragraph" w:styleId="ListBullet">
    <w:name w:val="List Bullet"/>
    <w:basedOn w:val="Normal"/>
    <w:link w:val="ListBulletChar"/>
    <w:uiPriority w:val="99"/>
    <w:rsid w:val="00337EEB"/>
    <w:pPr>
      <w:numPr>
        <w:numId w:val="1"/>
      </w:numPr>
      <w:contextualSpacing/>
    </w:pPr>
  </w:style>
  <w:style w:type="paragraph" w:styleId="ListNumber">
    <w:name w:val="List Number"/>
    <w:basedOn w:val="Normal"/>
    <w:uiPriority w:val="99"/>
    <w:rsid w:val="00916592"/>
    <w:pPr>
      <w:numPr>
        <w:numId w:val="2"/>
      </w:numPr>
      <w:contextualSpacing/>
    </w:pPr>
  </w:style>
  <w:style w:type="paragraph" w:styleId="ListParagraph">
    <w:name w:val="List Paragraph"/>
    <w:basedOn w:val="Normal"/>
    <w:uiPriority w:val="34"/>
    <w:qFormat/>
    <w:rsid w:val="00DA4FEF"/>
    <w:pPr>
      <w:ind w:left="720"/>
      <w:contextualSpacing/>
    </w:pPr>
  </w:style>
  <w:style w:type="paragraph" w:customStyle="1" w:styleId="Multilevelbullet">
    <w:name w:val="Multi level bullet"/>
    <w:basedOn w:val="ListBullet"/>
    <w:link w:val="MultilevelbulletChar"/>
    <w:qFormat/>
    <w:rsid w:val="009A5804"/>
    <w:pPr>
      <w:numPr>
        <w:numId w:val="3"/>
      </w:numPr>
    </w:pPr>
  </w:style>
  <w:style w:type="numbering" w:customStyle="1" w:styleId="Multi-levelnumbered0">
    <w:name w:val="Multi-level numbered"/>
    <w:uiPriority w:val="99"/>
    <w:rsid w:val="009A5804"/>
    <w:pPr>
      <w:numPr>
        <w:numId w:val="4"/>
      </w:numPr>
    </w:pPr>
  </w:style>
  <w:style w:type="character" w:customStyle="1" w:styleId="ListBulletChar">
    <w:name w:val="List Bullet Char"/>
    <w:basedOn w:val="DefaultParagraphFont"/>
    <w:link w:val="ListBullet"/>
    <w:uiPriority w:val="99"/>
    <w:rsid w:val="009A5804"/>
    <w:rPr>
      <w:rFonts w:ascii="Arial" w:hAnsi="Arial"/>
    </w:rPr>
  </w:style>
  <w:style w:type="character" w:customStyle="1" w:styleId="MultilevelbulletChar">
    <w:name w:val="Multi level bullet Char"/>
    <w:basedOn w:val="ListBulletChar"/>
    <w:link w:val="Multilevelbullet"/>
    <w:rsid w:val="009A5804"/>
    <w:rPr>
      <w:rFonts w:ascii="Arial" w:hAnsi="Arial"/>
    </w:rPr>
  </w:style>
  <w:style w:type="paragraph" w:customStyle="1" w:styleId="Multi-levelNumbered">
    <w:name w:val="Multi-level Numbered"/>
    <w:basedOn w:val="ListBullet"/>
    <w:link w:val="Multi-levelNumberedChar"/>
    <w:qFormat/>
    <w:rsid w:val="009A5804"/>
    <w:pPr>
      <w:numPr>
        <w:numId w:val="5"/>
      </w:numPr>
    </w:pPr>
  </w:style>
  <w:style w:type="character" w:customStyle="1" w:styleId="Multi-levelNumberedChar">
    <w:name w:val="Multi-level Numbered Char"/>
    <w:basedOn w:val="ListBulletChar"/>
    <w:link w:val="Multi-levelNumbered"/>
    <w:rsid w:val="009A5804"/>
    <w:rPr>
      <w:rFonts w:ascii="Arial" w:hAnsi="Arial"/>
    </w:rPr>
  </w:style>
  <w:style w:type="character" w:styleId="FollowedHyperlink">
    <w:name w:val="FollowedHyperlink"/>
    <w:basedOn w:val="DefaultParagraphFont"/>
    <w:uiPriority w:val="99"/>
    <w:semiHidden/>
    <w:unhideWhenUsed/>
    <w:rsid w:val="00B476A7"/>
    <w:rPr>
      <w:color w:val="800080" w:themeColor="followedHyperlink"/>
      <w:u w:val="single"/>
    </w:rPr>
  </w:style>
  <w:style w:type="paragraph" w:customStyle="1" w:styleId="Default">
    <w:name w:val="Default"/>
    <w:rsid w:val="00250D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33A80"/>
    <w:rPr>
      <w:sz w:val="16"/>
      <w:szCs w:val="16"/>
    </w:rPr>
  </w:style>
  <w:style w:type="paragraph" w:styleId="CommentText">
    <w:name w:val="annotation text"/>
    <w:basedOn w:val="Normal"/>
    <w:link w:val="CommentTextChar"/>
    <w:uiPriority w:val="99"/>
    <w:unhideWhenUsed/>
    <w:rsid w:val="00533A80"/>
    <w:pPr>
      <w:spacing w:line="240" w:lineRule="auto"/>
    </w:pPr>
    <w:rPr>
      <w:sz w:val="20"/>
      <w:szCs w:val="20"/>
    </w:rPr>
  </w:style>
  <w:style w:type="character" w:customStyle="1" w:styleId="CommentTextChar">
    <w:name w:val="Comment Text Char"/>
    <w:basedOn w:val="DefaultParagraphFont"/>
    <w:link w:val="CommentText"/>
    <w:uiPriority w:val="99"/>
    <w:rsid w:val="00533A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3A80"/>
    <w:rPr>
      <w:b/>
      <w:bCs/>
    </w:rPr>
  </w:style>
  <w:style w:type="character" w:customStyle="1" w:styleId="CommentSubjectChar">
    <w:name w:val="Comment Subject Char"/>
    <w:basedOn w:val="CommentTextChar"/>
    <w:link w:val="CommentSubject"/>
    <w:uiPriority w:val="99"/>
    <w:semiHidden/>
    <w:rsid w:val="00533A80"/>
    <w:rPr>
      <w:rFonts w:ascii="Arial" w:hAnsi="Arial"/>
      <w:b/>
      <w:bCs/>
      <w:sz w:val="20"/>
      <w:szCs w:val="20"/>
    </w:rPr>
  </w:style>
  <w:style w:type="paragraph" w:customStyle="1" w:styleId="Heading-Legal">
    <w:name w:val="Heading-Legal"/>
    <w:basedOn w:val="Normal"/>
    <w:link w:val="Heading-LegalChar"/>
    <w:rsid w:val="004507E2"/>
    <w:pPr>
      <w:keepLines/>
      <w:pBdr>
        <w:top w:val="single" w:sz="24" w:space="1" w:color="17365F"/>
        <w:bottom w:val="single" w:sz="24" w:space="1" w:color="17365F"/>
      </w:pBdr>
      <w:shd w:val="clear" w:color="auto" w:fill="17365F"/>
      <w:spacing w:before="240" w:after="120" w:line="360" w:lineRule="auto"/>
      <w:ind w:firstLine="284"/>
      <w:jc w:val="both"/>
    </w:pPr>
    <w:rPr>
      <w:rFonts w:eastAsia="Times New Roman" w:cs="Times"/>
      <w:b/>
      <w:color w:val="FFFFFF"/>
      <w:sz w:val="24"/>
      <w:szCs w:val="24"/>
    </w:rPr>
  </w:style>
  <w:style w:type="character" w:customStyle="1" w:styleId="Heading-LegalChar">
    <w:name w:val="Heading-Legal Char"/>
    <w:basedOn w:val="DefaultParagraphFont"/>
    <w:link w:val="Heading-Legal"/>
    <w:rsid w:val="004507E2"/>
    <w:rPr>
      <w:rFonts w:ascii="Arial" w:eastAsia="Times New Roman" w:hAnsi="Arial" w:cs="Times"/>
      <w:b/>
      <w:color w:val="FFFFFF"/>
      <w:sz w:val="24"/>
      <w:szCs w:val="24"/>
      <w:shd w:val="clear" w:color="auto" w:fill="17365F"/>
    </w:rPr>
  </w:style>
  <w:style w:type="paragraph" w:customStyle="1" w:styleId="TableBody">
    <w:name w:val="Table Body"/>
    <w:basedOn w:val="BodyText"/>
    <w:qFormat/>
    <w:rsid w:val="009C0A5D"/>
    <w:pPr>
      <w:spacing w:before="60" w:after="60" w:line="240" w:lineRule="auto"/>
    </w:pPr>
    <w:rPr>
      <w:rFonts w:eastAsia="Times New Roman" w:cs="Times New Roman"/>
      <w:sz w:val="24"/>
      <w:szCs w:val="24"/>
      <w:lang w:eastAsia="en-AU"/>
    </w:rPr>
  </w:style>
  <w:style w:type="paragraph" w:customStyle="1" w:styleId="TableHeading">
    <w:name w:val="Table Heading"/>
    <w:basedOn w:val="TableBody"/>
    <w:autoRedefine/>
    <w:qFormat/>
    <w:rsid w:val="009C0A5D"/>
    <w:pPr>
      <w:keepNext/>
    </w:pPr>
    <w:rPr>
      <w:b/>
      <w:color w:val="FFFFFF" w:themeColor="background1"/>
    </w:rPr>
  </w:style>
  <w:style w:type="table" w:customStyle="1" w:styleId="TableGrid1">
    <w:name w:val="Table Grid1"/>
    <w:basedOn w:val="TableNormal"/>
    <w:next w:val="TableGrid"/>
    <w:uiPriority w:val="39"/>
    <w:rsid w:val="009C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73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56682B"/>
  </w:style>
  <w:style w:type="character" w:customStyle="1" w:styleId="ref-vol">
    <w:name w:val="ref-vol"/>
    <w:basedOn w:val="DefaultParagraphFont"/>
    <w:rsid w:val="0056682B"/>
  </w:style>
  <w:style w:type="character" w:customStyle="1" w:styleId="UnresolvedMention1">
    <w:name w:val="Unresolved Mention1"/>
    <w:basedOn w:val="DefaultParagraphFont"/>
    <w:uiPriority w:val="99"/>
    <w:semiHidden/>
    <w:unhideWhenUsed/>
    <w:rsid w:val="00D00058"/>
    <w:rPr>
      <w:color w:val="605E5C"/>
      <w:shd w:val="clear" w:color="auto" w:fill="E1DFDD"/>
    </w:rPr>
  </w:style>
  <w:style w:type="character" w:customStyle="1" w:styleId="author">
    <w:name w:val="author"/>
    <w:basedOn w:val="DefaultParagraphFont"/>
    <w:rsid w:val="00EC5DDA"/>
  </w:style>
  <w:style w:type="character" w:customStyle="1" w:styleId="articletitle">
    <w:name w:val="articletitle"/>
    <w:basedOn w:val="DefaultParagraphFont"/>
    <w:rsid w:val="00EC5DDA"/>
  </w:style>
  <w:style w:type="character" w:customStyle="1" w:styleId="pubyear">
    <w:name w:val="pubyear"/>
    <w:basedOn w:val="DefaultParagraphFont"/>
    <w:rsid w:val="00EC5DDA"/>
  </w:style>
  <w:style w:type="character" w:customStyle="1" w:styleId="vol">
    <w:name w:val="vol"/>
    <w:basedOn w:val="DefaultParagraphFont"/>
    <w:rsid w:val="00EC5DDA"/>
  </w:style>
  <w:style w:type="character" w:customStyle="1" w:styleId="pagefirst">
    <w:name w:val="pagefirst"/>
    <w:basedOn w:val="DefaultParagraphFont"/>
    <w:rsid w:val="00EC5DDA"/>
  </w:style>
  <w:style w:type="character" w:customStyle="1" w:styleId="pagelast">
    <w:name w:val="pagelast"/>
    <w:basedOn w:val="DefaultParagraphFont"/>
    <w:rsid w:val="00EC5DDA"/>
  </w:style>
  <w:style w:type="paragraph" w:styleId="EndnoteText">
    <w:name w:val="endnote text"/>
    <w:basedOn w:val="Normal"/>
    <w:link w:val="EndnoteTextChar"/>
    <w:uiPriority w:val="99"/>
    <w:semiHidden/>
    <w:unhideWhenUsed/>
    <w:rsid w:val="007247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79C"/>
    <w:rPr>
      <w:rFonts w:ascii="Arial" w:hAnsi="Arial"/>
      <w:sz w:val="20"/>
      <w:szCs w:val="20"/>
    </w:rPr>
  </w:style>
  <w:style w:type="character" w:styleId="EndnoteReference">
    <w:name w:val="endnote reference"/>
    <w:basedOn w:val="DefaultParagraphFont"/>
    <w:uiPriority w:val="99"/>
    <w:semiHidden/>
    <w:unhideWhenUsed/>
    <w:rsid w:val="0072479C"/>
    <w:rPr>
      <w:vertAlign w:val="superscript"/>
    </w:rPr>
  </w:style>
  <w:style w:type="paragraph" w:styleId="Quote">
    <w:name w:val="Quote"/>
    <w:basedOn w:val="Normal"/>
    <w:next w:val="Normal"/>
    <w:link w:val="QuoteChar"/>
    <w:uiPriority w:val="29"/>
    <w:qFormat/>
    <w:rsid w:val="00EC4F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4F9C"/>
    <w:rPr>
      <w:rFonts w:ascii="Arial" w:hAnsi="Arial"/>
      <w:i/>
      <w:iCs/>
      <w:color w:val="404040" w:themeColor="text1" w:themeTint="BF"/>
    </w:rPr>
  </w:style>
  <w:style w:type="paragraph" w:styleId="NormalWeb">
    <w:name w:val="Normal (Web)"/>
    <w:basedOn w:val="Normal"/>
    <w:uiPriority w:val="99"/>
    <w:unhideWhenUsed/>
    <w:rsid w:val="005473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4B3728"/>
  </w:style>
  <w:style w:type="character" w:customStyle="1" w:styleId="author-ref">
    <w:name w:val="author-ref"/>
    <w:basedOn w:val="DefaultParagraphFont"/>
    <w:rsid w:val="004B3728"/>
  </w:style>
  <w:style w:type="character" w:styleId="PlaceholderText">
    <w:name w:val="Placeholder Text"/>
    <w:basedOn w:val="DefaultParagraphFont"/>
    <w:uiPriority w:val="99"/>
    <w:semiHidden/>
    <w:rsid w:val="00053173"/>
    <w:rPr>
      <w:color w:val="808080"/>
    </w:rPr>
  </w:style>
  <w:style w:type="paragraph" w:styleId="Revision">
    <w:name w:val="Revision"/>
    <w:hidden/>
    <w:uiPriority w:val="99"/>
    <w:semiHidden/>
    <w:rsid w:val="00942826"/>
    <w:pPr>
      <w:spacing w:after="0" w:line="240" w:lineRule="auto"/>
    </w:pPr>
    <w:rPr>
      <w:rFonts w:ascii="Arial" w:hAnsi="Arial"/>
    </w:rPr>
  </w:style>
  <w:style w:type="character" w:customStyle="1" w:styleId="UnresolvedMention2">
    <w:name w:val="Unresolved Mention2"/>
    <w:basedOn w:val="DefaultParagraphFont"/>
    <w:uiPriority w:val="99"/>
    <w:semiHidden/>
    <w:unhideWhenUsed/>
    <w:rsid w:val="009A1C04"/>
    <w:rPr>
      <w:color w:val="605E5C"/>
      <w:shd w:val="clear" w:color="auto" w:fill="E1DFDD"/>
    </w:rPr>
  </w:style>
  <w:style w:type="character" w:customStyle="1" w:styleId="UnresolvedMention3">
    <w:name w:val="Unresolved Mention3"/>
    <w:basedOn w:val="DefaultParagraphFont"/>
    <w:uiPriority w:val="99"/>
    <w:semiHidden/>
    <w:unhideWhenUsed/>
    <w:rsid w:val="00FE6F22"/>
    <w:rPr>
      <w:color w:val="605E5C"/>
      <w:shd w:val="clear" w:color="auto" w:fill="E1DFDD"/>
    </w:rPr>
  </w:style>
  <w:style w:type="character" w:customStyle="1" w:styleId="UnresolvedMention4">
    <w:name w:val="Unresolved Mention4"/>
    <w:basedOn w:val="DefaultParagraphFont"/>
    <w:uiPriority w:val="99"/>
    <w:semiHidden/>
    <w:unhideWhenUsed/>
    <w:rsid w:val="007E264B"/>
    <w:rPr>
      <w:color w:val="605E5C"/>
      <w:shd w:val="clear" w:color="auto" w:fill="E1DFDD"/>
    </w:rPr>
  </w:style>
  <w:style w:type="character" w:customStyle="1" w:styleId="UnresolvedMention5">
    <w:name w:val="Unresolved Mention5"/>
    <w:basedOn w:val="DefaultParagraphFont"/>
    <w:uiPriority w:val="99"/>
    <w:semiHidden/>
    <w:unhideWhenUsed/>
    <w:rsid w:val="008D6FB1"/>
    <w:rPr>
      <w:color w:val="605E5C"/>
      <w:shd w:val="clear" w:color="auto" w:fill="E1DFDD"/>
    </w:rPr>
  </w:style>
  <w:style w:type="paragraph" w:styleId="NoSpacing">
    <w:name w:val="No Spacing"/>
    <w:uiPriority w:val="1"/>
    <w:qFormat/>
    <w:rsid w:val="009E7629"/>
    <w:pPr>
      <w:spacing w:after="0" w:line="240" w:lineRule="auto"/>
    </w:pPr>
    <w:rPr>
      <w:rFonts w:ascii="Arial" w:hAnsi="Arial"/>
    </w:rPr>
  </w:style>
  <w:style w:type="table" w:customStyle="1" w:styleId="TableGrid2">
    <w:name w:val="Table Grid2"/>
    <w:basedOn w:val="TableNormal"/>
    <w:next w:val="TableGrid"/>
    <w:rsid w:val="002F6CE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10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410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389">
      <w:bodyDiv w:val="1"/>
      <w:marLeft w:val="0"/>
      <w:marRight w:val="0"/>
      <w:marTop w:val="0"/>
      <w:marBottom w:val="0"/>
      <w:divBdr>
        <w:top w:val="none" w:sz="0" w:space="0" w:color="auto"/>
        <w:left w:val="none" w:sz="0" w:space="0" w:color="auto"/>
        <w:bottom w:val="none" w:sz="0" w:space="0" w:color="auto"/>
        <w:right w:val="none" w:sz="0" w:space="0" w:color="auto"/>
      </w:divBdr>
    </w:div>
    <w:div w:id="34233090">
      <w:bodyDiv w:val="1"/>
      <w:marLeft w:val="0"/>
      <w:marRight w:val="0"/>
      <w:marTop w:val="0"/>
      <w:marBottom w:val="0"/>
      <w:divBdr>
        <w:top w:val="none" w:sz="0" w:space="0" w:color="auto"/>
        <w:left w:val="none" w:sz="0" w:space="0" w:color="auto"/>
        <w:bottom w:val="none" w:sz="0" w:space="0" w:color="auto"/>
        <w:right w:val="none" w:sz="0" w:space="0" w:color="auto"/>
      </w:divBdr>
    </w:div>
    <w:div w:id="64956874">
      <w:bodyDiv w:val="1"/>
      <w:marLeft w:val="0"/>
      <w:marRight w:val="0"/>
      <w:marTop w:val="0"/>
      <w:marBottom w:val="0"/>
      <w:divBdr>
        <w:top w:val="none" w:sz="0" w:space="0" w:color="auto"/>
        <w:left w:val="none" w:sz="0" w:space="0" w:color="auto"/>
        <w:bottom w:val="none" w:sz="0" w:space="0" w:color="auto"/>
        <w:right w:val="none" w:sz="0" w:space="0" w:color="auto"/>
      </w:divBdr>
    </w:div>
    <w:div w:id="66151304">
      <w:bodyDiv w:val="1"/>
      <w:marLeft w:val="0"/>
      <w:marRight w:val="0"/>
      <w:marTop w:val="0"/>
      <w:marBottom w:val="0"/>
      <w:divBdr>
        <w:top w:val="none" w:sz="0" w:space="0" w:color="auto"/>
        <w:left w:val="none" w:sz="0" w:space="0" w:color="auto"/>
        <w:bottom w:val="none" w:sz="0" w:space="0" w:color="auto"/>
        <w:right w:val="none" w:sz="0" w:space="0" w:color="auto"/>
      </w:divBdr>
    </w:div>
    <w:div w:id="81875407">
      <w:bodyDiv w:val="1"/>
      <w:marLeft w:val="0"/>
      <w:marRight w:val="0"/>
      <w:marTop w:val="0"/>
      <w:marBottom w:val="0"/>
      <w:divBdr>
        <w:top w:val="none" w:sz="0" w:space="0" w:color="auto"/>
        <w:left w:val="none" w:sz="0" w:space="0" w:color="auto"/>
        <w:bottom w:val="none" w:sz="0" w:space="0" w:color="auto"/>
        <w:right w:val="none" w:sz="0" w:space="0" w:color="auto"/>
      </w:divBdr>
    </w:div>
    <w:div w:id="85005923">
      <w:bodyDiv w:val="1"/>
      <w:marLeft w:val="0"/>
      <w:marRight w:val="0"/>
      <w:marTop w:val="0"/>
      <w:marBottom w:val="0"/>
      <w:divBdr>
        <w:top w:val="none" w:sz="0" w:space="0" w:color="auto"/>
        <w:left w:val="none" w:sz="0" w:space="0" w:color="auto"/>
        <w:bottom w:val="none" w:sz="0" w:space="0" w:color="auto"/>
        <w:right w:val="none" w:sz="0" w:space="0" w:color="auto"/>
      </w:divBdr>
    </w:div>
    <w:div w:id="102044901">
      <w:bodyDiv w:val="1"/>
      <w:marLeft w:val="0"/>
      <w:marRight w:val="0"/>
      <w:marTop w:val="0"/>
      <w:marBottom w:val="0"/>
      <w:divBdr>
        <w:top w:val="none" w:sz="0" w:space="0" w:color="auto"/>
        <w:left w:val="none" w:sz="0" w:space="0" w:color="auto"/>
        <w:bottom w:val="none" w:sz="0" w:space="0" w:color="auto"/>
        <w:right w:val="none" w:sz="0" w:space="0" w:color="auto"/>
      </w:divBdr>
      <w:divsChild>
        <w:div w:id="1941135080">
          <w:marLeft w:val="0"/>
          <w:marRight w:val="0"/>
          <w:marTop w:val="0"/>
          <w:marBottom w:val="0"/>
          <w:divBdr>
            <w:top w:val="none" w:sz="0" w:space="0" w:color="auto"/>
            <w:left w:val="none" w:sz="0" w:space="0" w:color="auto"/>
            <w:bottom w:val="none" w:sz="0" w:space="0" w:color="auto"/>
            <w:right w:val="none" w:sz="0" w:space="0" w:color="auto"/>
          </w:divBdr>
        </w:div>
      </w:divsChild>
    </w:div>
    <w:div w:id="125123809">
      <w:bodyDiv w:val="1"/>
      <w:marLeft w:val="0"/>
      <w:marRight w:val="0"/>
      <w:marTop w:val="0"/>
      <w:marBottom w:val="0"/>
      <w:divBdr>
        <w:top w:val="none" w:sz="0" w:space="0" w:color="auto"/>
        <w:left w:val="none" w:sz="0" w:space="0" w:color="auto"/>
        <w:bottom w:val="none" w:sz="0" w:space="0" w:color="auto"/>
        <w:right w:val="none" w:sz="0" w:space="0" w:color="auto"/>
      </w:divBdr>
    </w:div>
    <w:div w:id="140539533">
      <w:bodyDiv w:val="1"/>
      <w:marLeft w:val="0"/>
      <w:marRight w:val="0"/>
      <w:marTop w:val="0"/>
      <w:marBottom w:val="0"/>
      <w:divBdr>
        <w:top w:val="none" w:sz="0" w:space="0" w:color="auto"/>
        <w:left w:val="none" w:sz="0" w:space="0" w:color="auto"/>
        <w:bottom w:val="none" w:sz="0" w:space="0" w:color="auto"/>
        <w:right w:val="none" w:sz="0" w:space="0" w:color="auto"/>
      </w:divBdr>
    </w:div>
    <w:div w:id="161549259">
      <w:bodyDiv w:val="1"/>
      <w:marLeft w:val="0"/>
      <w:marRight w:val="0"/>
      <w:marTop w:val="0"/>
      <w:marBottom w:val="0"/>
      <w:divBdr>
        <w:top w:val="none" w:sz="0" w:space="0" w:color="auto"/>
        <w:left w:val="none" w:sz="0" w:space="0" w:color="auto"/>
        <w:bottom w:val="none" w:sz="0" w:space="0" w:color="auto"/>
        <w:right w:val="none" w:sz="0" w:space="0" w:color="auto"/>
      </w:divBdr>
    </w:div>
    <w:div w:id="190725601">
      <w:bodyDiv w:val="1"/>
      <w:marLeft w:val="0"/>
      <w:marRight w:val="0"/>
      <w:marTop w:val="0"/>
      <w:marBottom w:val="0"/>
      <w:divBdr>
        <w:top w:val="none" w:sz="0" w:space="0" w:color="auto"/>
        <w:left w:val="none" w:sz="0" w:space="0" w:color="auto"/>
        <w:bottom w:val="none" w:sz="0" w:space="0" w:color="auto"/>
        <w:right w:val="none" w:sz="0" w:space="0" w:color="auto"/>
      </w:divBdr>
    </w:div>
    <w:div w:id="195507429">
      <w:bodyDiv w:val="1"/>
      <w:marLeft w:val="0"/>
      <w:marRight w:val="0"/>
      <w:marTop w:val="0"/>
      <w:marBottom w:val="0"/>
      <w:divBdr>
        <w:top w:val="none" w:sz="0" w:space="0" w:color="auto"/>
        <w:left w:val="none" w:sz="0" w:space="0" w:color="auto"/>
        <w:bottom w:val="none" w:sz="0" w:space="0" w:color="auto"/>
        <w:right w:val="none" w:sz="0" w:space="0" w:color="auto"/>
      </w:divBdr>
    </w:div>
    <w:div w:id="201330720">
      <w:bodyDiv w:val="1"/>
      <w:marLeft w:val="0"/>
      <w:marRight w:val="0"/>
      <w:marTop w:val="0"/>
      <w:marBottom w:val="0"/>
      <w:divBdr>
        <w:top w:val="none" w:sz="0" w:space="0" w:color="auto"/>
        <w:left w:val="none" w:sz="0" w:space="0" w:color="auto"/>
        <w:bottom w:val="none" w:sz="0" w:space="0" w:color="auto"/>
        <w:right w:val="none" w:sz="0" w:space="0" w:color="auto"/>
      </w:divBdr>
    </w:div>
    <w:div w:id="224535459">
      <w:bodyDiv w:val="1"/>
      <w:marLeft w:val="0"/>
      <w:marRight w:val="0"/>
      <w:marTop w:val="0"/>
      <w:marBottom w:val="0"/>
      <w:divBdr>
        <w:top w:val="none" w:sz="0" w:space="0" w:color="auto"/>
        <w:left w:val="none" w:sz="0" w:space="0" w:color="auto"/>
        <w:bottom w:val="none" w:sz="0" w:space="0" w:color="auto"/>
        <w:right w:val="none" w:sz="0" w:space="0" w:color="auto"/>
      </w:divBdr>
    </w:div>
    <w:div w:id="229193742">
      <w:bodyDiv w:val="1"/>
      <w:marLeft w:val="0"/>
      <w:marRight w:val="0"/>
      <w:marTop w:val="0"/>
      <w:marBottom w:val="0"/>
      <w:divBdr>
        <w:top w:val="none" w:sz="0" w:space="0" w:color="auto"/>
        <w:left w:val="none" w:sz="0" w:space="0" w:color="auto"/>
        <w:bottom w:val="none" w:sz="0" w:space="0" w:color="auto"/>
        <w:right w:val="none" w:sz="0" w:space="0" w:color="auto"/>
      </w:divBdr>
    </w:div>
    <w:div w:id="234560195">
      <w:bodyDiv w:val="1"/>
      <w:marLeft w:val="0"/>
      <w:marRight w:val="0"/>
      <w:marTop w:val="0"/>
      <w:marBottom w:val="0"/>
      <w:divBdr>
        <w:top w:val="none" w:sz="0" w:space="0" w:color="auto"/>
        <w:left w:val="none" w:sz="0" w:space="0" w:color="auto"/>
        <w:bottom w:val="none" w:sz="0" w:space="0" w:color="auto"/>
        <w:right w:val="none" w:sz="0" w:space="0" w:color="auto"/>
      </w:divBdr>
    </w:div>
    <w:div w:id="382679597">
      <w:bodyDiv w:val="1"/>
      <w:marLeft w:val="0"/>
      <w:marRight w:val="0"/>
      <w:marTop w:val="0"/>
      <w:marBottom w:val="0"/>
      <w:divBdr>
        <w:top w:val="none" w:sz="0" w:space="0" w:color="auto"/>
        <w:left w:val="none" w:sz="0" w:space="0" w:color="auto"/>
        <w:bottom w:val="none" w:sz="0" w:space="0" w:color="auto"/>
        <w:right w:val="none" w:sz="0" w:space="0" w:color="auto"/>
      </w:divBdr>
    </w:div>
    <w:div w:id="424544755">
      <w:bodyDiv w:val="1"/>
      <w:marLeft w:val="0"/>
      <w:marRight w:val="0"/>
      <w:marTop w:val="0"/>
      <w:marBottom w:val="0"/>
      <w:divBdr>
        <w:top w:val="none" w:sz="0" w:space="0" w:color="auto"/>
        <w:left w:val="none" w:sz="0" w:space="0" w:color="auto"/>
        <w:bottom w:val="none" w:sz="0" w:space="0" w:color="auto"/>
        <w:right w:val="none" w:sz="0" w:space="0" w:color="auto"/>
      </w:divBdr>
    </w:div>
    <w:div w:id="449515409">
      <w:bodyDiv w:val="1"/>
      <w:marLeft w:val="0"/>
      <w:marRight w:val="0"/>
      <w:marTop w:val="0"/>
      <w:marBottom w:val="0"/>
      <w:divBdr>
        <w:top w:val="none" w:sz="0" w:space="0" w:color="auto"/>
        <w:left w:val="none" w:sz="0" w:space="0" w:color="auto"/>
        <w:bottom w:val="none" w:sz="0" w:space="0" w:color="auto"/>
        <w:right w:val="none" w:sz="0" w:space="0" w:color="auto"/>
      </w:divBdr>
    </w:div>
    <w:div w:id="493303414">
      <w:bodyDiv w:val="1"/>
      <w:marLeft w:val="0"/>
      <w:marRight w:val="0"/>
      <w:marTop w:val="0"/>
      <w:marBottom w:val="0"/>
      <w:divBdr>
        <w:top w:val="none" w:sz="0" w:space="0" w:color="auto"/>
        <w:left w:val="none" w:sz="0" w:space="0" w:color="auto"/>
        <w:bottom w:val="none" w:sz="0" w:space="0" w:color="auto"/>
        <w:right w:val="none" w:sz="0" w:space="0" w:color="auto"/>
      </w:divBdr>
    </w:div>
    <w:div w:id="503276581">
      <w:bodyDiv w:val="1"/>
      <w:marLeft w:val="0"/>
      <w:marRight w:val="0"/>
      <w:marTop w:val="0"/>
      <w:marBottom w:val="0"/>
      <w:divBdr>
        <w:top w:val="none" w:sz="0" w:space="0" w:color="auto"/>
        <w:left w:val="none" w:sz="0" w:space="0" w:color="auto"/>
        <w:bottom w:val="none" w:sz="0" w:space="0" w:color="auto"/>
        <w:right w:val="none" w:sz="0" w:space="0" w:color="auto"/>
      </w:divBdr>
    </w:div>
    <w:div w:id="556627269">
      <w:bodyDiv w:val="1"/>
      <w:marLeft w:val="0"/>
      <w:marRight w:val="0"/>
      <w:marTop w:val="0"/>
      <w:marBottom w:val="0"/>
      <w:divBdr>
        <w:top w:val="none" w:sz="0" w:space="0" w:color="auto"/>
        <w:left w:val="none" w:sz="0" w:space="0" w:color="auto"/>
        <w:bottom w:val="none" w:sz="0" w:space="0" w:color="auto"/>
        <w:right w:val="none" w:sz="0" w:space="0" w:color="auto"/>
      </w:divBdr>
    </w:div>
    <w:div w:id="568423351">
      <w:bodyDiv w:val="1"/>
      <w:marLeft w:val="0"/>
      <w:marRight w:val="0"/>
      <w:marTop w:val="0"/>
      <w:marBottom w:val="0"/>
      <w:divBdr>
        <w:top w:val="none" w:sz="0" w:space="0" w:color="auto"/>
        <w:left w:val="none" w:sz="0" w:space="0" w:color="auto"/>
        <w:bottom w:val="none" w:sz="0" w:space="0" w:color="auto"/>
        <w:right w:val="none" w:sz="0" w:space="0" w:color="auto"/>
      </w:divBdr>
    </w:div>
    <w:div w:id="568660932">
      <w:bodyDiv w:val="1"/>
      <w:marLeft w:val="0"/>
      <w:marRight w:val="0"/>
      <w:marTop w:val="0"/>
      <w:marBottom w:val="0"/>
      <w:divBdr>
        <w:top w:val="none" w:sz="0" w:space="0" w:color="auto"/>
        <w:left w:val="none" w:sz="0" w:space="0" w:color="auto"/>
        <w:bottom w:val="none" w:sz="0" w:space="0" w:color="auto"/>
        <w:right w:val="none" w:sz="0" w:space="0" w:color="auto"/>
      </w:divBdr>
    </w:div>
    <w:div w:id="588195912">
      <w:bodyDiv w:val="1"/>
      <w:marLeft w:val="0"/>
      <w:marRight w:val="0"/>
      <w:marTop w:val="0"/>
      <w:marBottom w:val="0"/>
      <w:divBdr>
        <w:top w:val="none" w:sz="0" w:space="0" w:color="auto"/>
        <w:left w:val="none" w:sz="0" w:space="0" w:color="auto"/>
        <w:bottom w:val="none" w:sz="0" w:space="0" w:color="auto"/>
        <w:right w:val="none" w:sz="0" w:space="0" w:color="auto"/>
      </w:divBdr>
    </w:div>
    <w:div w:id="600384023">
      <w:bodyDiv w:val="1"/>
      <w:marLeft w:val="0"/>
      <w:marRight w:val="0"/>
      <w:marTop w:val="0"/>
      <w:marBottom w:val="0"/>
      <w:divBdr>
        <w:top w:val="none" w:sz="0" w:space="0" w:color="auto"/>
        <w:left w:val="none" w:sz="0" w:space="0" w:color="auto"/>
        <w:bottom w:val="none" w:sz="0" w:space="0" w:color="auto"/>
        <w:right w:val="none" w:sz="0" w:space="0" w:color="auto"/>
      </w:divBdr>
    </w:div>
    <w:div w:id="608397032">
      <w:bodyDiv w:val="1"/>
      <w:marLeft w:val="0"/>
      <w:marRight w:val="0"/>
      <w:marTop w:val="0"/>
      <w:marBottom w:val="0"/>
      <w:divBdr>
        <w:top w:val="none" w:sz="0" w:space="0" w:color="auto"/>
        <w:left w:val="none" w:sz="0" w:space="0" w:color="auto"/>
        <w:bottom w:val="none" w:sz="0" w:space="0" w:color="auto"/>
        <w:right w:val="none" w:sz="0" w:space="0" w:color="auto"/>
      </w:divBdr>
    </w:div>
    <w:div w:id="641693876">
      <w:bodyDiv w:val="1"/>
      <w:marLeft w:val="0"/>
      <w:marRight w:val="0"/>
      <w:marTop w:val="0"/>
      <w:marBottom w:val="0"/>
      <w:divBdr>
        <w:top w:val="none" w:sz="0" w:space="0" w:color="auto"/>
        <w:left w:val="none" w:sz="0" w:space="0" w:color="auto"/>
        <w:bottom w:val="none" w:sz="0" w:space="0" w:color="auto"/>
        <w:right w:val="none" w:sz="0" w:space="0" w:color="auto"/>
      </w:divBdr>
    </w:div>
    <w:div w:id="656037558">
      <w:bodyDiv w:val="1"/>
      <w:marLeft w:val="0"/>
      <w:marRight w:val="0"/>
      <w:marTop w:val="0"/>
      <w:marBottom w:val="0"/>
      <w:divBdr>
        <w:top w:val="none" w:sz="0" w:space="0" w:color="auto"/>
        <w:left w:val="none" w:sz="0" w:space="0" w:color="auto"/>
        <w:bottom w:val="none" w:sz="0" w:space="0" w:color="auto"/>
        <w:right w:val="none" w:sz="0" w:space="0" w:color="auto"/>
      </w:divBdr>
    </w:div>
    <w:div w:id="659816625">
      <w:bodyDiv w:val="1"/>
      <w:marLeft w:val="0"/>
      <w:marRight w:val="0"/>
      <w:marTop w:val="0"/>
      <w:marBottom w:val="0"/>
      <w:divBdr>
        <w:top w:val="none" w:sz="0" w:space="0" w:color="auto"/>
        <w:left w:val="none" w:sz="0" w:space="0" w:color="auto"/>
        <w:bottom w:val="none" w:sz="0" w:space="0" w:color="auto"/>
        <w:right w:val="none" w:sz="0" w:space="0" w:color="auto"/>
      </w:divBdr>
    </w:div>
    <w:div w:id="707025181">
      <w:bodyDiv w:val="1"/>
      <w:marLeft w:val="0"/>
      <w:marRight w:val="0"/>
      <w:marTop w:val="0"/>
      <w:marBottom w:val="0"/>
      <w:divBdr>
        <w:top w:val="none" w:sz="0" w:space="0" w:color="auto"/>
        <w:left w:val="none" w:sz="0" w:space="0" w:color="auto"/>
        <w:bottom w:val="none" w:sz="0" w:space="0" w:color="auto"/>
        <w:right w:val="none" w:sz="0" w:space="0" w:color="auto"/>
      </w:divBdr>
    </w:div>
    <w:div w:id="787359592">
      <w:bodyDiv w:val="1"/>
      <w:marLeft w:val="0"/>
      <w:marRight w:val="0"/>
      <w:marTop w:val="0"/>
      <w:marBottom w:val="0"/>
      <w:divBdr>
        <w:top w:val="none" w:sz="0" w:space="0" w:color="auto"/>
        <w:left w:val="none" w:sz="0" w:space="0" w:color="auto"/>
        <w:bottom w:val="none" w:sz="0" w:space="0" w:color="auto"/>
        <w:right w:val="none" w:sz="0" w:space="0" w:color="auto"/>
      </w:divBdr>
    </w:div>
    <w:div w:id="805003059">
      <w:bodyDiv w:val="1"/>
      <w:marLeft w:val="0"/>
      <w:marRight w:val="0"/>
      <w:marTop w:val="0"/>
      <w:marBottom w:val="0"/>
      <w:divBdr>
        <w:top w:val="none" w:sz="0" w:space="0" w:color="auto"/>
        <w:left w:val="none" w:sz="0" w:space="0" w:color="auto"/>
        <w:bottom w:val="none" w:sz="0" w:space="0" w:color="auto"/>
        <w:right w:val="none" w:sz="0" w:space="0" w:color="auto"/>
      </w:divBdr>
    </w:div>
    <w:div w:id="810442484">
      <w:bodyDiv w:val="1"/>
      <w:marLeft w:val="0"/>
      <w:marRight w:val="0"/>
      <w:marTop w:val="0"/>
      <w:marBottom w:val="0"/>
      <w:divBdr>
        <w:top w:val="none" w:sz="0" w:space="0" w:color="auto"/>
        <w:left w:val="none" w:sz="0" w:space="0" w:color="auto"/>
        <w:bottom w:val="none" w:sz="0" w:space="0" w:color="auto"/>
        <w:right w:val="none" w:sz="0" w:space="0" w:color="auto"/>
      </w:divBdr>
    </w:div>
    <w:div w:id="832180528">
      <w:bodyDiv w:val="1"/>
      <w:marLeft w:val="0"/>
      <w:marRight w:val="0"/>
      <w:marTop w:val="0"/>
      <w:marBottom w:val="0"/>
      <w:divBdr>
        <w:top w:val="none" w:sz="0" w:space="0" w:color="auto"/>
        <w:left w:val="none" w:sz="0" w:space="0" w:color="auto"/>
        <w:bottom w:val="none" w:sz="0" w:space="0" w:color="auto"/>
        <w:right w:val="none" w:sz="0" w:space="0" w:color="auto"/>
      </w:divBdr>
    </w:div>
    <w:div w:id="839656007">
      <w:bodyDiv w:val="1"/>
      <w:marLeft w:val="0"/>
      <w:marRight w:val="0"/>
      <w:marTop w:val="0"/>
      <w:marBottom w:val="0"/>
      <w:divBdr>
        <w:top w:val="none" w:sz="0" w:space="0" w:color="auto"/>
        <w:left w:val="none" w:sz="0" w:space="0" w:color="auto"/>
        <w:bottom w:val="none" w:sz="0" w:space="0" w:color="auto"/>
        <w:right w:val="none" w:sz="0" w:space="0" w:color="auto"/>
      </w:divBdr>
    </w:div>
    <w:div w:id="855078932">
      <w:bodyDiv w:val="1"/>
      <w:marLeft w:val="0"/>
      <w:marRight w:val="0"/>
      <w:marTop w:val="0"/>
      <w:marBottom w:val="0"/>
      <w:divBdr>
        <w:top w:val="none" w:sz="0" w:space="0" w:color="auto"/>
        <w:left w:val="none" w:sz="0" w:space="0" w:color="auto"/>
        <w:bottom w:val="none" w:sz="0" w:space="0" w:color="auto"/>
        <w:right w:val="none" w:sz="0" w:space="0" w:color="auto"/>
      </w:divBdr>
    </w:div>
    <w:div w:id="865365532">
      <w:bodyDiv w:val="1"/>
      <w:marLeft w:val="0"/>
      <w:marRight w:val="0"/>
      <w:marTop w:val="0"/>
      <w:marBottom w:val="0"/>
      <w:divBdr>
        <w:top w:val="none" w:sz="0" w:space="0" w:color="auto"/>
        <w:left w:val="none" w:sz="0" w:space="0" w:color="auto"/>
        <w:bottom w:val="none" w:sz="0" w:space="0" w:color="auto"/>
        <w:right w:val="none" w:sz="0" w:space="0" w:color="auto"/>
      </w:divBdr>
    </w:div>
    <w:div w:id="870219572">
      <w:bodyDiv w:val="1"/>
      <w:marLeft w:val="0"/>
      <w:marRight w:val="0"/>
      <w:marTop w:val="0"/>
      <w:marBottom w:val="0"/>
      <w:divBdr>
        <w:top w:val="none" w:sz="0" w:space="0" w:color="auto"/>
        <w:left w:val="none" w:sz="0" w:space="0" w:color="auto"/>
        <w:bottom w:val="none" w:sz="0" w:space="0" w:color="auto"/>
        <w:right w:val="none" w:sz="0" w:space="0" w:color="auto"/>
      </w:divBdr>
    </w:div>
    <w:div w:id="903680816">
      <w:bodyDiv w:val="1"/>
      <w:marLeft w:val="0"/>
      <w:marRight w:val="0"/>
      <w:marTop w:val="0"/>
      <w:marBottom w:val="0"/>
      <w:divBdr>
        <w:top w:val="none" w:sz="0" w:space="0" w:color="auto"/>
        <w:left w:val="none" w:sz="0" w:space="0" w:color="auto"/>
        <w:bottom w:val="none" w:sz="0" w:space="0" w:color="auto"/>
        <w:right w:val="none" w:sz="0" w:space="0" w:color="auto"/>
      </w:divBdr>
    </w:div>
    <w:div w:id="923488797">
      <w:bodyDiv w:val="1"/>
      <w:marLeft w:val="0"/>
      <w:marRight w:val="0"/>
      <w:marTop w:val="0"/>
      <w:marBottom w:val="0"/>
      <w:divBdr>
        <w:top w:val="none" w:sz="0" w:space="0" w:color="auto"/>
        <w:left w:val="none" w:sz="0" w:space="0" w:color="auto"/>
        <w:bottom w:val="none" w:sz="0" w:space="0" w:color="auto"/>
        <w:right w:val="none" w:sz="0" w:space="0" w:color="auto"/>
      </w:divBdr>
    </w:div>
    <w:div w:id="930968303">
      <w:bodyDiv w:val="1"/>
      <w:marLeft w:val="0"/>
      <w:marRight w:val="0"/>
      <w:marTop w:val="0"/>
      <w:marBottom w:val="0"/>
      <w:divBdr>
        <w:top w:val="none" w:sz="0" w:space="0" w:color="auto"/>
        <w:left w:val="none" w:sz="0" w:space="0" w:color="auto"/>
        <w:bottom w:val="none" w:sz="0" w:space="0" w:color="auto"/>
        <w:right w:val="none" w:sz="0" w:space="0" w:color="auto"/>
      </w:divBdr>
      <w:divsChild>
        <w:div w:id="1177503523">
          <w:marLeft w:val="0"/>
          <w:marRight w:val="0"/>
          <w:marTop w:val="0"/>
          <w:marBottom w:val="0"/>
          <w:divBdr>
            <w:top w:val="none" w:sz="0" w:space="0" w:color="auto"/>
            <w:left w:val="none" w:sz="0" w:space="0" w:color="auto"/>
            <w:bottom w:val="none" w:sz="0" w:space="0" w:color="auto"/>
            <w:right w:val="none" w:sz="0" w:space="0" w:color="auto"/>
          </w:divBdr>
        </w:div>
      </w:divsChild>
    </w:div>
    <w:div w:id="939147345">
      <w:bodyDiv w:val="1"/>
      <w:marLeft w:val="0"/>
      <w:marRight w:val="0"/>
      <w:marTop w:val="0"/>
      <w:marBottom w:val="0"/>
      <w:divBdr>
        <w:top w:val="none" w:sz="0" w:space="0" w:color="auto"/>
        <w:left w:val="none" w:sz="0" w:space="0" w:color="auto"/>
        <w:bottom w:val="none" w:sz="0" w:space="0" w:color="auto"/>
        <w:right w:val="none" w:sz="0" w:space="0" w:color="auto"/>
      </w:divBdr>
    </w:div>
    <w:div w:id="940065045">
      <w:bodyDiv w:val="1"/>
      <w:marLeft w:val="0"/>
      <w:marRight w:val="0"/>
      <w:marTop w:val="0"/>
      <w:marBottom w:val="0"/>
      <w:divBdr>
        <w:top w:val="none" w:sz="0" w:space="0" w:color="auto"/>
        <w:left w:val="none" w:sz="0" w:space="0" w:color="auto"/>
        <w:bottom w:val="none" w:sz="0" w:space="0" w:color="auto"/>
        <w:right w:val="none" w:sz="0" w:space="0" w:color="auto"/>
      </w:divBdr>
    </w:div>
    <w:div w:id="1030305663">
      <w:bodyDiv w:val="1"/>
      <w:marLeft w:val="0"/>
      <w:marRight w:val="0"/>
      <w:marTop w:val="0"/>
      <w:marBottom w:val="0"/>
      <w:divBdr>
        <w:top w:val="none" w:sz="0" w:space="0" w:color="auto"/>
        <w:left w:val="none" w:sz="0" w:space="0" w:color="auto"/>
        <w:bottom w:val="none" w:sz="0" w:space="0" w:color="auto"/>
        <w:right w:val="none" w:sz="0" w:space="0" w:color="auto"/>
      </w:divBdr>
    </w:div>
    <w:div w:id="1040864500">
      <w:bodyDiv w:val="1"/>
      <w:marLeft w:val="0"/>
      <w:marRight w:val="0"/>
      <w:marTop w:val="0"/>
      <w:marBottom w:val="0"/>
      <w:divBdr>
        <w:top w:val="none" w:sz="0" w:space="0" w:color="auto"/>
        <w:left w:val="none" w:sz="0" w:space="0" w:color="auto"/>
        <w:bottom w:val="none" w:sz="0" w:space="0" w:color="auto"/>
        <w:right w:val="none" w:sz="0" w:space="0" w:color="auto"/>
      </w:divBdr>
    </w:div>
    <w:div w:id="1120150577">
      <w:bodyDiv w:val="1"/>
      <w:marLeft w:val="0"/>
      <w:marRight w:val="0"/>
      <w:marTop w:val="0"/>
      <w:marBottom w:val="0"/>
      <w:divBdr>
        <w:top w:val="none" w:sz="0" w:space="0" w:color="auto"/>
        <w:left w:val="none" w:sz="0" w:space="0" w:color="auto"/>
        <w:bottom w:val="none" w:sz="0" w:space="0" w:color="auto"/>
        <w:right w:val="none" w:sz="0" w:space="0" w:color="auto"/>
      </w:divBdr>
    </w:div>
    <w:div w:id="1139491612">
      <w:bodyDiv w:val="1"/>
      <w:marLeft w:val="0"/>
      <w:marRight w:val="0"/>
      <w:marTop w:val="0"/>
      <w:marBottom w:val="0"/>
      <w:divBdr>
        <w:top w:val="none" w:sz="0" w:space="0" w:color="auto"/>
        <w:left w:val="none" w:sz="0" w:space="0" w:color="auto"/>
        <w:bottom w:val="none" w:sz="0" w:space="0" w:color="auto"/>
        <w:right w:val="none" w:sz="0" w:space="0" w:color="auto"/>
      </w:divBdr>
    </w:div>
    <w:div w:id="1164202579">
      <w:bodyDiv w:val="1"/>
      <w:marLeft w:val="0"/>
      <w:marRight w:val="0"/>
      <w:marTop w:val="0"/>
      <w:marBottom w:val="0"/>
      <w:divBdr>
        <w:top w:val="none" w:sz="0" w:space="0" w:color="auto"/>
        <w:left w:val="none" w:sz="0" w:space="0" w:color="auto"/>
        <w:bottom w:val="none" w:sz="0" w:space="0" w:color="auto"/>
        <w:right w:val="none" w:sz="0" w:space="0" w:color="auto"/>
      </w:divBdr>
    </w:div>
    <w:div w:id="1214849738">
      <w:bodyDiv w:val="1"/>
      <w:marLeft w:val="0"/>
      <w:marRight w:val="0"/>
      <w:marTop w:val="0"/>
      <w:marBottom w:val="0"/>
      <w:divBdr>
        <w:top w:val="none" w:sz="0" w:space="0" w:color="auto"/>
        <w:left w:val="none" w:sz="0" w:space="0" w:color="auto"/>
        <w:bottom w:val="none" w:sz="0" w:space="0" w:color="auto"/>
        <w:right w:val="none" w:sz="0" w:space="0" w:color="auto"/>
      </w:divBdr>
    </w:div>
    <w:div w:id="1245258091">
      <w:bodyDiv w:val="1"/>
      <w:marLeft w:val="0"/>
      <w:marRight w:val="0"/>
      <w:marTop w:val="0"/>
      <w:marBottom w:val="0"/>
      <w:divBdr>
        <w:top w:val="none" w:sz="0" w:space="0" w:color="auto"/>
        <w:left w:val="none" w:sz="0" w:space="0" w:color="auto"/>
        <w:bottom w:val="none" w:sz="0" w:space="0" w:color="auto"/>
        <w:right w:val="none" w:sz="0" w:space="0" w:color="auto"/>
      </w:divBdr>
    </w:div>
    <w:div w:id="1255092106">
      <w:bodyDiv w:val="1"/>
      <w:marLeft w:val="0"/>
      <w:marRight w:val="0"/>
      <w:marTop w:val="0"/>
      <w:marBottom w:val="0"/>
      <w:divBdr>
        <w:top w:val="none" w:sz="0" w:space="0" w:color="auto"/>
        <w:left w:val="none" w:sz="0" w:space="0" w:color="auto"/>
        <w:bottom w:val="none" w:sz="0" w:space="0" w:color="auto"/>
        <w:right w:val="none" w:sz="0" w:space="0" w:color="auto"/>
      </w:divBdr>
    </w:div>
    <w:div w:id="1312253298">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84410074">
      <w:bodyDiv w:val="1"/>
      <w:marLeft w:val="0"/>
      <w:marRight w:val="0"/>
      <w:marTop w:val="0"/>
      <w:marBottom w:val="0"/>
      <w:divBdr>
        <w:top w:val="none" w:sz="0" w:space="0" w:color="auto"/>
        <w:left w:val="none" w:sz="0" w:space="0" w:color="auto"/>
        <w:bottom w:val="none" w:sz="0" w:space="0" w:color="auto"/>
        <w:right w:val="none" w:sz="0" w:space="0" w:color="auto"/>
      </w:divBdr>
    </w:div>
    <w:div w:id="1438476799">
      <w:bodyDiv w:val="1"/>
      <w:marLeft w:val="0"/>
      <w:marRight w:val="0"/>
      <w:marTop w:val="0"/>
      <w:marBottom w:val="0"/>
      <w:divBdr>
        <w:top w:val="none" w:sz="0" w:space="0" w:color="auto"/>
        <w:left w:val="none" w:sz="0" w:space="0" w:color="auto"/>
        <w:bottom w:val="none" w:sz="0" w:space="0" w:color="auto"/>
        <w:right w:val="none" w:sz="0" w:space="0" w:color="auto"/>
      </w:divBdr>
    </w:div>
    <w:div w:id="1473258031">
      <w:bodyDiv w:val="1"/>
      <w:marLeft w:val="0"/>
      <w:marRight w:val="0"/>
      <w:marTop w:val="0"/>
      <w:marBottom w:val="0"/>
      <w:divBdr>
        <w:top w:val="none" w:sz="0" w:space="0" w:color="auto"/>
        <w:left w:val="none" w:sz="0" w:space="0" w:color="auto"/>
        <w:bottom w:val="none" w:sz="0" w:space="0" w:color="auto"/>
        <w:right w:val="none" w:sz="0" w:space="0" w:color="auto"/>
      </w:divBdr>
    </w:div>
    <w:div w:id="1488748263">
      <w:bodyDiv w:val="1"/>
      <w:marLeft w:val="0"/>
      <w:marRight w:val="0"/>
      <w:marTop w:val="0"/>
      <w:marBottom w:val="0"/>
      <w:divBdr>
        <w:top w:val="none" w:sz="0" w:space="0" w:color="auto"/>
        <w:left w:val="none" w:sz="0" w:space="0" w:color="auto"/>
        <w:bottom w:val="none" w:sz="0" w:space="0" w:color="auto"/>
        <w:right w:val="none" w:sz="0" w:space="0" w:color="auto"/>
      </w:divBdr>
    </w:div>
    <w:div w:id="1494369247">
      <w:bodyDiv w:val="1"/>
      <w:marLeft w:val="0"/>
      <w:marRight w:val="0"/>
      <w:marTop w:val="0"/>
      <w:marBottom w:val="0"/>
      <w:divBdr>
        <w:top w:val="none" w:sz="0" w:space="0" w:color="auto"/>
        <w:left w:val="none" w:sz="0" w:space="0" w:color="auto"/>
        <w:bottom w:val="none" w:sz="0" w:space="0" w:color="auto"/>
        <w:right w:val="none" w:sz="0" w:space="0" w:color="auto"/>
      </w:divBdr>
    </w:div>
    <w:div w:id="1562129142">
      <w:bodyDiv w:val="1"/>
      <w:marLeft w:val="0"/>
      <w:marRight w:val="0"/>
      <w:marTop w:val="0"/>
      <w:marBottom w:val="0"/>
      <w:divBdr>
        <w:top w:val="none" w:sz="0" w:space="0" w:color="auto"/>
        <w:left w:val="none" w:sz="0" w:space="0" w:color="auto"/>
        <w:bottom w:val="none" w:sz="0" w:space="0" w:color="auto"/>
        <w:right w:val="none" w:sz="0" w:space="0" w:color="auto"/>
      </w:divBdr>
    </w:div>
    <w:div w:id="1580022821">
      <w:bodyDiv w:val="1"/>
      <w:marLeft w:val="0"/>
      <w:marRight w:val="0"/>
      <w:marTop w:val="0"/>
      <w:marBottom w:val="0"/>
      <w:divBdr>
        <w:top w:val="none" w:sz="0" w:space="0" w:color="auto"/>
        <w:left w:val="none" w:sz="0" w:space="0" w:color="auto"/>
        <w:bottom w:val="none" w:sz="0" w:space="0" w:color="auto"/>
        <w:right w:val="none" w:sz="0" w:space="0" w:color="auto"/>
      </w:divBdr>
    </w:div>
    <w:div w:id="1608729918">
      <w:bodyDiv w:val="1"/>
      <w:marLeft w:val="0"/>
      <w:marRight w:val="0"/>
      <w:marTop w:val="0"/>
      <w:marBottom w:val="0"/>
      <w:divBdr>
        <w:top w:val="none" w:sz="0" w:space="0" w:color="auto"/>
        <w:left w:val="none" w:sz="0" w:space="0" w:color="auto"/>
        <w:bottom w:val="none" w:sz="0" w:space="0" w:color="auto"/>
        <w:right w:val="none" w:sz="0" w:space="0" w:color="auto"/>
      </w:divBdr>
    </w:div>
    <w:div w:id="1615866550">
      <w:bodyDiv w:val="1"/>
      <w:marLeft w:val="0"/>
      <w:marRight w:val="0"/>
      <w:marTop w:val="0"/>
      <w:marBottom w:val="0"/>
      <w:divBdr>
        <w:top w:val="none" w:sz="0" w:space="0" w:color="auto"/>
        <w:left w:val="none" w:sz="0" w:space="0" w:color="auto"/>
        <w:bottom w:val="none" w:sz="0" w:space="0" w:color="auto"/>
        <w:right w:val="none" w:sz="0" w:space="0" w:color="auto"/>
      </w:divBdr>
    </w:div>
    <w:div w:id="1667392767">
      <w:bodyDiv w:val="1"/>
      <w:marLeft w:val="0"/>
      <w:marRight w:val="0"/>
      <w:marTop w:val="0"/>
      <w:marBottom w:val="0"/>
      <w:divBdr>
        <w:top w:val="none" w:sz="0" w:space="0" w:color="auto"/>
        <w:left w:val="none" w:sz="0" w:space="0" w:color="auto"/>
        <w:bottom w:val="none" w:sz="0" w:space="0" w:color="auto"/>
        <w:right w:val="none" w:sz="0" w:space="0" w:color="auto"/>
      </w:divBdr>
    </w:div>
    <w:div w:id="1668284863">
      <w:bodyDiv w:val="1"/>
      <w:marLeft w:val="0"/>
      <w:marRight w:val="0"/>
      <w:marTop w:val="0"/>
      <w:marBottom w:val="0"/>
      <w:divBdr>
        <w:top w:val="none" w:sz="0" w:space="0" w:color="auto"/>
        <w:left w:val="none" w:sz="0" w:space="0" w:color="auto"/>
        <w:bottom w:val="none" w:sz="0" w:space="0" w:color="auto"/>
        <w:right w:val="none" w:sz="0" w:space="0" w:color="auto"/>
      </w:divBdr>
    </w:div>
    <w:div w:id="1732575605">
      <w:bodyDiv w:val="1"/>
      <w:marLeft w:val="0"/>
      <w:marRight w:val="0"/>
      <w:marTop w:val="0"/>
      <w:marBottom w:val="0"/>
      <w:divBdr>
        <w:top w:val="none" w:sz="0" w:space="0" w:color="auto"/>
        <w:left w:val="none" w:sz="0" w:space="0" w:color="auto"/>
        <w:bottom w:val="none" w:sz="0" w:space="0" w:color="auto"/>
        <w:right w:val="none" w:sz="0" w:space="0" w:color="auto"/>
      </w:divBdr>
    </w:div>
    <w:div w:id="1745492307">
      <w:bodyDiv w:val="1"/>
      <w:marLeft w:val="0"/>
      <w:marRight w:val="0"/>
      <w:marTop w:val="0"/>
      <w:marBottom w:val="0"/>
      <w:divBdr>
        <w:top w:val="none" w:sz="0" w:space="0" w:color="auto"/>
        <w:left w:val="none" w:sz="0" w:space="0" w:color="auto"/>
        <w:bottom w:val="none" w:sz="0" w:space="0" w:color="auto"/>
        <w:right w:val="none" w:sz="0" w:space="0" w:color="auto"/>
      </w:divBdr>
    </w:div>
    <w:div w:id="1771923438">
      <w:bodyDiv w:val="1"/>
      <w:marLeft w:val="0"/>
      <w:marRight w:val="0"/>
      <w:marTop w:val="0"/>
      <w:marBottom w:val="0"/>
      <w:divBdr>
        <w:top w:val="none" w:sz="0" w:space="0" w:color="auto"/>
        <w:left w:val="none" w:sz="0" w:space="0" w:color="auto"/>
        <w:bottom w:val="none" w:sz="0" w:space="0" w:color="auto"/>
        <w:right w:val="none" w:sz="0" w:space="0" w:color="auto"/>
      </w:divBdr>
    </w:div>
    <w:div w:id="1808886922">
      <w:bodyDiv w:val="1"/>
      <w:marLeft w:val="0"/>
      <w:marRight w:val="0"/>
      <w:marTop w:val="0"/>
      <w:marBottom w:val="0"/>
      <w:divBdr>
        <w:top w:val="none" w:sz="0" w:space="0" w:color="auto"/>
        <w:left w:val="none" w:sz="0" w:space="0" w:color="auto"/>
        <w:bottom w:val="none" w:sz="0" w:space="0" w:color="auto"/>
        <w:right w:val="none" w:sz="0" w:space="0" w:color="auto"/>
      </w:divBdr>
    </w:div>
    <w:div w:id="1812743278">
      <w:bodyDiv w:val="1"/>
      <w:marLeft w:val="0"/>
      <w:marRight w:val="0"/>
      <w:marTop w:val="0"/>
      <w:marBottom w:val="0"/>
      <w:divBdr>
        <w:top w:val="none" w:sz="0" w:space="0" w:color="auto"/>
        <w:left w:val="none" w:sz="0" w:space="0" w:color="auto"/>
        <w:bottom w:val="none" w:sz="0" w:space="0" w:color="auto"/>
        <w:right w:val="none" w:sz="0" w:space="0" w:color="auto"/>
      </w:divBdr>
    </w:div>
    <w:div w:id="1848903564">
      <w:bodyDiv w:val="1"/>
      <w:marLeft w:val="0"/>
      <w:marRight w:val="0"/>
      <w:marTop w:val="0"/>
      <w:marBottom w:val="0"/>
      <w:divBdr>
        <w:top w:val="none" w:sz="0" w:space="0" w:color="auto"/>
        <w:left w:val="none" w:sz="0" w:space="0" w:color="auto"/>
        <w:bottom w:val="none" w:sz="0" w:space="0" w:color="auto"/>
        <w:right w:val="none" w:sz="0" w:space="0" w:color="auto"/>
      </w:divBdr>
    </w:div>
    <w:div w:id="1878084099">
      <w:bodyDiv w:val="1"/>
      <w:marLeft w:val="0"/>
      <w:marRight w:val="0"/>
      <w:marTop w:val="0"/>
      <w:marBottom w:val="0"/>
      <w:divBdr>
        <w:top w:val="none" w:sz="0" w:space="0" w:color="auto"/>
        <w:left w:val="none" w:sz="0" w:space="0" w:color="auto"/>
        <w:bottom w:val="none" w:sz="0" w:space="0" w:color="auto"/>
        <w:right w:val="none" w:sz="0" w:space="0" w:color="auto"/>
      </w:divBdr>
    </w:div>
    <w:div w:id="1882398102">
      <w:bodyDiv w:val="1"/>
      <w:marLeft w:val="0"/>
      <w:marRight w:val="0"/>
      <w:marTop w:val="0"/>
      <w:marBottom w:val="0"/>
      <w:divBdr>
        <w:top w:val="none" w:sz="0" w:space="0" w:color="auto"/>
        <w:left w:val="none" w:sz="0" w:space="0" w:color="auto"/>
        <w:bottom w:val="none" w:sz="0" w:space="0" w:color="auto"/>
        <w:right w:val="none" w:sz="0" w:space="0" w:color="auto"/>
      </w:divBdr>
    </w:div>
    <w:div w:id="1901938913">
      <w:bodyDiv w:val="1"/>
      <w:marLeft w:val="0"/>
      <w:marRight w:val="0"/>
      <w:marTop w:val="0"/>
      <w:marBottom w:val="0"/>
      <w:divBdr>
        <w:top w:val="none" w:sz="0" w:space="0" w:color="auto"/>
        <w:left w:val="none" w:sz="0" w:space="0" w:color="auto"/>
        <w:bottom w:val="none" w:sz="0" w:space="0" w:color="auto"/>
        <w:right w:val="none" w:sz="0" w:space="0" w:color="auto"/>
      </w:divBdr>
    </w:div>
    <w:div w:id="1924560823">
      <w:bodyDiv w:val="1"/>
      <w:marLeft w:val="0"/>
      <w:marRight w:val="0"/>
      <w:marTop w:val="0"/>
      <w:marBottom w:val="0"/>
      <w:divBdr>
        <w:top w:val="none" w:sz="0" w:space="0" w:color="auto"/>
        <w:left w:val="none" w:sz="0" w:space="0" w:color="auto"/>
        <w:bottom w:val="none" w:sz="0" w:space="0" w:color="auto"/>
        <w:right w:val="none" w:sz="0" w:space="0" w:color="auto"/>
      </w:divBdr>
    </w:div>
    <w:div w:id="1958901282">
      <w:bodyDiv w:val="1"/>
      <w:marLeft w:val="0"/>
      <w:marRight w:val="0"/>
      <w:marTop w:val="0"/>
      <w:marBottom w:val="0"/>
      <w:divBdr>
        <w:top w:val="none" w:sz="0" w:space="0" w:color="auto"/>
        <w:left w:val="none" w:sz="0" w:space="0" w:color="auto"/>
        <w:bottom w:val="none" w:sz="0" w:space="0" w:color="auto"/>
        <w:right w:val="none" w:sz="0" w:space="0" w:color="auto"/>
      </w:divBdr>
    </w:div>
    <w:div w:id="2003047749">
      <w:bodyDiv w:val="1"/>
      <w:marLeft w:val="0"/>
      <w:marRight w:val="0"/>
      <w:marTop w:val="0"/>
      <w:marBottom w:val="0"/>
      <w:divBdr>
        <w:top w:val="none" w:sz="0" w:space="0" w:color="auto"/>
        <w:left w:val="none" w:sz="0" w:space="0" w:color="auto"/>
        <w:bottom w:val="none" w:sz="0" w:space="0" w:color="auto"/>
        <w:right w:val="none" w:sz="0" w:space="0" w:color="auto"/>
      </w:divBdr>
    </w:div>
    <w:div w:id="2024280760">
      <w:bodyDiv w:val="1"/>
      <w:marLeft w:val="0"/>
      <w:marRight w:val="0"/>
      <w:marTop w:val="0"/>
      <w:marBottom w:val="0"/>
      <w:divBdr>
        <w:top w:val="none" w:sz="0" w:space="0" w:color="auto"/>
        <w:left w:val="none" w:sz="0" w:space="0" w:color="auto"/>
        <w:bottom w:val="none" w:sz="0" w:space="0" w:color="auto"/>
        <w:right w:val="none" w:sz="0" w:space="0" w:color="auto"/>
      </w:divBdr>
    </w:div>
    <w:div w:id="2056004805">
      <w:bodyDiv w:val="1"/>
      <w:marLeft w:val="0"/>
      <w:marRight w:val="0"/>
      <w:marTop w:val="0"/>
      <w:marBottom w:val="0"/>
      <w:divBdr>
        <w:top w:val="none" w:sz="0" w:space="0" w:color="auto"/>
        <w:left w:val="none" w:sz="0" w:space="0" w:color="auto"/>
        <w:bottom w:val="none" w:sz="0" w:space="0" w:color="auto"/>
        <w:right w:val="none" w:sz="0" w:space="0" w:color="auto"/>
      </w:divBdr>
      <w:divsChild>
        <w:div w:id="1527867756">
          <w:marLeft w:val="75"/>
          <w:marRight w:val="0"/>
          <w:marTop w:val="0"/>
          <w:marBottom w:val="0"/>
          <w:divBdr>
            <w:top w:val="none" w:sz="0" w:space="0" w:color="auto"/>
            <w:left w:val="none" w:sz="0" w:space="0" w:color="auto"/>
            <w:bottom w:val="none" w:sz="0" w:space="0" w:color="auto"/>
            <w:right w:val="none" w:sz="0" w:space="0" w:color="auto"/>
          </w:divBdr>
          <w:divsChild>
            <w:div w:id="1522358300">
              <w:marLeft w:val="-1650"/>
              <w:marRight w:val="0"/>
              <w:marTop w:val="0"/>
              <w:marBottom w:val="0"/>
              <w:divBdr>
                <w:top w:val="single" w:sz="6" w:space="4" w:color="DC9179"/>
                <w:left w:val="single" w:sz="6" w:space="2" w:color="DC9179"/>
                <w:bottom w:val="single" w:sz="6" w:space="4" w:color="DC9179"/>
                <w:right w:val="single" w:sz="6" w:space="2" w:color="DC9179"/>
              </w:divBdr>
            </w:div>
          </w:divsChild>
        </w:div>
      </w:divsChild>
    </w:div>
    <w:div w:id="2073502865">
      <w:bodyDiv w:val="1"/>
      <w:marLeft w:val="0"/>
      <w:marRight w:val="0"/>
      <w:marTop w:val="0"/>
      <w:marBottom w:val="0"/>
      <w:divBdr>
        <w:top w:val="none" w:sz="0" w:space="0" w:color="auto"/>
        <w:left w:val="none" w:sz="0" w:space="0" w:color="auto"/>
        <w:bottom w:val="none" w:sz="0" w:space="0" w:color="auto"/>
        <w:right w:val="none" w:sz="0" w:space="0" w:color="auto"/>
      </w:divBdr>
      <w:divsChild>
        <w:div w:id="473763583">
          <w:marLeft w:val="0"/>
          <w:marRight w:val="0"/>
          <w:marTop w:val="0"/>
          <w:marBottom w:val="0"/>
          <w:divBdr>
            <w:top w:val="none" w:sz="0" w:space="0" w:color="auto"/>
            <w:left w:val="none" w:sz="0" w:space="0" w:color="auto"/>
            <w:bottom w:val="none" w:sz="0" w:space="0" w:color="auto"/>
            <w:right w:val="none" w:sz="0" w:space="0" w:color="auto"/>
          </w:divBdr>
        </w:div>
        <w:div w:id="930892769">
          <w:marLeft w:val="0"/>
          <w:marRight w:val="0"/>
          <w:marTop w:val="0"/>
          <w:marBottom w:val="0"/>
          <w:divBdr>
            <w:top w:val="none" w:sz="0" w:space="0" w:color="auto"/>
            <w:left w:val="none" w:sz="0" w:space="0" w:color="auto"/>
            <w:bottom w:val="none" w:sz="0" w:space="0" w:color="auto"/>
            <w:right w:val="none" w:sz="0" w:space="0" w:color="auto"/>
          </w:divBdr>
        </w:div>
        <w:div w:id="1215653233">
          <w:marLeft w:val="0"/>
          <w:marRight w:val="0"/>
          <w:marTop w:val="0"/>
          <w:marBottom w:val="0"/>
          <w:divBdr>
            <w:top w:val="none" w:sz="0" w:space="0" w:color="auto"/>
            <w:left w:val="none" w:sz="0" w:space="0" w:color="auto"/>
            <w:bottom w:val="none" w:sz="0" w:space="0" w:color="auto"/>
            <w:right w:val="none" w:sz="0" w:space="0" w:color="auto"/>
          </w:divBdr>
        </w:div>
        <w:div w:id="1523280981">
          <w:marLeft w:val="0"/>
          <w:marRight w:val="0"/>
          <w:marTop w:val="0"/>
          <w:marBottom w:val="0"/>
          <w:divBdr>
            <w:top w:val="none" w:sz="0" w:space="0" w:color="auto"/>
            <w:left w:val="none" w:sz="0" w:space="0" w:color="auto"/>
            <w:bottom w:val="none" w:sz="0" w:space="0" w:color="auto"/>
            <w:right w:val="none" w:sz="0" w:space="0" w:color="auto"/>
          </w:divBdr>
        </w:div>
      </w:divsChild>
    </w:div>
    <w:div w:id="2099013140">
      <w:bodyDiv w:val="1"/>
      <w:marLeft w:val="0"/>
      <w:marRight w:val="0"/>
      <w:marTop w:val="0"/>
      <w:marBottom w:val="0"/>
      <w:divBdr>
        <w:top w:val="none" w:sz="0" w:space="0" w:color="auto"/>
        <w:left w:val="none" w:sz="0" w:space="0" w:color="auto"/>
        <w:bottom w:val="none" w:sz="0" w:space="0" w:color="auto"/>
        <w:right w:val="none" w:sz="0" w:space="0" w:color="auto"/>
      </w:divBdr>
    </w:div>
    <w:div w:id="2108229665">
      <w:bodyDiv w:val="1"/>
      <w:marLeft w:val="0"/>
      <w:marRight w:val="0"/>
      <w:marTop w:val="0"/>
      <w:marBottom w:val="0"/>
      <w:divBdr>
        <w:top w:val="none" w:sz="0" w:space="0" w:color="auto"/>
        <w:left w:val="none" w:sz="0" w:space="0" w:color="auto"/>
        <w:bottom w:val="none" w:sz="0" w:space="0" w:color="auto"/>
        <w:right w:val="none" w:sz="0" w:space="0" w:color="auto"/>
      </w:divBdr>
    </w:div>
    <w:div w:id="2146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cb.gov.au/" TargetMode="External"/><Relationship Id="rId18" Type="http://schemas.openxmlformats.org/officeDocument/2006/relationships/hyperlink" Target="https://www.abcb.gov.au/" TargetMode="External"/><Relationship Id="rId26" Type="http://schemas.openxmlformats.org/officeDocument/2006/relationships/hyperlink" Target="https://www.gen-agedcaredata.gov.au/Topics/People-using-aged-care"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abcb.gov.au/" TargetMode="External"/><Relationship Id="rId25" Type="http://schemas.openxmlformats.org/officeDocument/2006/relationships/hyperlink" Target="https://gen-agedcaredata.gov.au/Resources/Reports-and-publications/2020/November/2019&#8211;20-Report-on-the-Operation-of-the-Aged-Care-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cc@abcb.gov.au" TargetMode="External"/><Relationship Id="rId20" Type="http://schemas.openxmlformats.org/officeDocument/2006/relationships/footer" Target="footer2.xml"/><Relationship Id="rId29" Type="http://schemas.openxmlformats.org/officeDocument/2006/relationships/hyperlink" Target="https://www.abs.gov.au/statistics/people/education/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statistics/people/population/national-state-and-territory-population/latest-releas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reativecommons.org/licenses/by/4.0" TargetMode="External"/><Relationship Id="rId23" Type="http://schemas.openxmlformats.org/officeDocument/2006/relationships/hyperlink" Target="https://www.abs.gov.au/statistics/health/health-services/private-hospitals-australia/latest-release" TargetMode="External"/><Relationship Id="rId28" Type="http://schemas.openxmlformats.org/officeDocument/2006/relationships/hyperlink" Target="https://www.acecqa.gov.au/nqf/snapshots"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education.qld.gov.au/parents/school-information/Documents/change-register.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aihw.gov.au/reports/hospitals/hospital-resources-2017-18-ahs/data" TargetMode="External"/><Relationship Id="rId27" Type="http://schemas.openxmlformats.org/officeDocument/2006/relationships/hyperlink" Target="https://my.ibisworld.com/au/en/industry/q8710/key-statistics" TargetMode="External"/><Relationship Id="rId30" Type="http://schemas.openxmlformats.org/officeDocument/2006/relationships/hyperlink" Target="https://data.cese.nsw.gov.au/data/dataset/nsw-government-school-enrolments-by-head-cou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cese.nsw.gov.au/data/dataset/nsw-government-schools-by-bushfire-category" TargetMode="External"/><Relationship Id="rId2" Type="http://schemas.openxmlformats.org/officeDocument/2006/relationships/hyperlink" Target="https://www.education.vic.gov.au/about/programs/health/Pages/bushfirerisk.aspx" TargetMode="External"/><Relationship Id="rId1" Type="http://schemas.openxmlformats.org/officeDocument/2006/relationships/hyperlink" Target="http://royalcommission.vic.gov.au/getdoc/063443b4-b222-455c-8445-56947726eb08/SUBM.202.002.0001.pdf" TargetMode="External"/><Relationship Id="rId5" Type="http://schemas.openxmlformats.org/officeDocument/2006/relationships/hyperlink" Target="https://www2.education.vic.gov.au/pal/bushfire-and-grassfire-preparedness/policy" TargetMode="External"/><Relationship Id="rId4" Type="http://schemas.openxmlformats.org/officeDocument/2006/relationships/hyperlink" Target="https://www.education.sa.gov.au/parents-and-families/safety-and-wellbeing/bushfires/list-high-bushfire-risk-schools-preschools-and-kindergart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DOCID-322795542-12101</_dlc_DocId>
    <_dlc_DocIdUrl xmlns="4195ad5f-cdf2-4c4a-8d9b-b7944a108e98">
      <Url>https://pmc01.sharepoint.com/sites/CRMOBPR/_layouts/15/DocIdRedir.aspx?ID=DOCID-322795542-12101</Url>
      <Description>DOCID-322795542-12101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C5DC-D9EC-4AAD-B06A-DC7CA982EC8F}"/>
</file>

<file path=customXml/itemProps2.xml><?xml version="1.0" encoding="utf-8"?>
<ds:datastoreItem xmlns:ds="http://schemas.openxmlformats.org/officeDocument/2006/customXml" ds:itemID="{071882DE-BA06-485F-BA33-1D4A4E732C32}">
  <ds:schemaRefs>
    <ds:schemaRef ds:uri="http://schemas.microsoft.com/office/2006/metadata/properties"/>
    <ds:schemaRef ds:uri="http://schemas.microsoft.com/office/infopath/2007/PartnerControls"/>
    <ds:schemaRef ds:uri="d064c82f-d8ab-4a3d-94af-5f326bc58d2d"/>
    <ds:schemaRef ds:uri="http://schemas.microsoft.com/sharepoint/v4"/>
    <ds:schemaRef ds:uri="3f1aeb51-4fdd-4d4f-be9c-84114083ce18"/>
    <ds:schemaRef ds:uri="http://schemas.microsoft.com/sharepoint/v3"/>
  </ds:schemaRefs>
</ds:datastoreItem>
</file>

<file path=customXml/itemProps3.xml><?xml version="1.0" encoding="utf-8"?>
<ds:datastoreItem xmlns:ds="http://schemas.openxmlformats.org/officeDocument/2006/customXml" ds:itemID="{FA2E83E1-DA3C-4B1B-8387-CD70097A15C2}"/>
</file>

<file path=customXml/itemProps4.xml><?xml version="1.0" encoding="utf-8"?>
<ds:datastoreItem xmlns:ds="http://schemas.openxmlformats.org/officeDocument/2006/customXml" ds:itemID="{6C619887-2911-4A75-865F-0D7B9B97D602}">
  <ds:schemaRefs>
    <ds:schemaRef ds:uri="http://schemas.microsoft.com/sharepoint/v3/contenttype/forms"/>
  </ds:schemaRefs>
</ds:datastoreItem>
</file>

<file path=customXml/itemProps5.xml><?xml version="1.0" encoding="utf-8"?>
<ds:datastoreItem xmlns:ds="http://schemas.openxmlformats.org/officeDocument/2006/customXml" ds:itemID="{00911712-5D16-48AE-903D-18F9542E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10288</Words>
  <Characters>58644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ABCB</dc:creator>
  <cp:keywords/>
  <dc:description/>
  <cp:lastModifiedBy>Fisher, Courtney</cp:lastModifiedBy>
  <cp:revision>2</cp:revision>
  <cp:lastPrinted>2021-05-07T04:58:00Z</cp:lastPrinted>
  <dcterms:created xsi:type="dcterms:W3CDTF">2022-03-28T04:38:00Z</dcterms:created>
  <dcterms:modified xsi:type="dcterms:W3CDTF">2022-03-28T04:38:00Z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0x0101009CA239676470E04B809DDC4E24CF2322</vt:lpwstr>
  </property>
  <property fmtid="{D5CDD505-2E9C-101B-9397-08002B2CF9AE}" pid="7" name="_dlc_DocIdItemGuid">
    <vt:lpwstr>b4651d31-e0dd-43eb-8f48-6d4b3aa3f6b0</vt:lpwstr>
  </property>
  <property fmtid="{D5CDD505-2E9C-101B-9397-08002B2CF9AE}" pid="8" name="DocHub_Year">
    <vt:lpwstr>89;#2019|7e451fe0-4dc6-437a-a849-bab7965a9aee</vt:lpwstr>
  </property>
  <property fmtid="{D5CDD505-2E9C-101B-9397-08002B2CF9AE}" pid="9" name="DocHub_Project">
    <vt:lpwstr>1911;#Bushfire provisions for Class 9 buildings|4a53bb2a-f186-4a29-85fe-7ed93a4fe347</vt:lpwstr>
  </property>
  <property fmtid="{D5CDD505-2E9C-101B-9397-08002B2CF9AE}" pid="10" name="DocHub_DocumentType">
    <vt:lpwstr>128;#Regulatory Impact Statement|b67cf5e3-3946-4a1a-b234-9cb1fda6ff32</vt:lpwstr>
  </property>
  <property fmtid="{D5CDD505-2E9C-101B-9397-08002B2CF9AE}" pid="11" name="DocHub_SecurityClassification">
    <vt:lpwstr>3;#OFFICIAL|6106d03b-a1a0-4e30-9d91-d5e9fb4314f9</vt:lpwstr>
  </property>
  <property fmtid="{D5CDD505-2E9C-101B-9397-08002B2CF9AE}" pid="12" name="DocHub_Keywords">
    <vt:lpwstr>499;#impact assessment|7cab251f-72f3-4ca1-91d8-783887f95bff</vt:lpwstr>
  </property>
  <property fmtid="{D5CDD505-2E9C-101B-9397-08002B2CF9AE}" pid="13" name="DocHub_WorkActivity">
    <vt:lpwstr>16;#Analysis|f03549ca-48e3-445d-9616-5df11514ff56</vt:lpwstr>
  </property>
  <property fmtid="{D5CDD505-2E9C-101B-9397-08002B2CF9AE}" pid="14" name="DocHub_Lifecycle1">
    <vt:lpwstr>578;#Final|21f488c8-8e5c-4bb0-bc93-482cbb072704</vt:lpwstr>
  </property>
</Properties>
</file>