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0"/>
        <w:gridCol w:w="3969"/>
      </w:tblGrid>
      <w:tr w:rsidR="003345EC" w:rsidRPr="003345EC" w14:paraId="5756A0FF" w14:textId="77777777" w:rsidTr="005F271B">
        <w:trPr>
          <w:trHeight w:val="1414"/>
        </w:trPr>
        <w:tc>
          <w:tcPr>
            <w:tcW w:w="5670" w:type="dxa"/>
          </w:tcPr>
          <w:bookmarkStart w:id="0" w:name="_GoBack" w:displacedByCustomXml="next"/>
          <w:bookmarkEnd w:id="0" w:displacedByCustomXml="next"/>
          <w:sdt>
            <w:sdtPr>
              <w:rPr>
                <w:szCs w:val="22"/>
              </w:rPr>
              <w:id w:val="-786043055"/>
              <w:placeholder>
                <w:docPart w:val="AD7ED904F7814A5CB85D1ADADA30EFBD"/>
              </w:placeholder>
            </w:sdtPr>
            <w:sdtEndPr/>
            <w:sdtContent>
              <w:p w14:paraId="70509510" w14:textId="77777777" w:rsidR="00B3648E" w:rsidRDefault="00B3648E" w:rsidP="00B3648E">
                <w:pPr>
                  <w:ind w:left="-5"/>
                </w:pPr>
                <w:r>
                  <w:t xml:space="preserve">Mr Jason Lange </w:t>
                </w:r>
              </w:p>
              <w:p w14:paraId="5E736C7D" w14:textId="77777777" w:rsidR="00B3648E" w:rsidRDefault="00B3648E" w:rsidP="00B3648E">
                <w:pPr>
                  <w:ind w:left="-5"/>
                </w:pPr>
                <w:r>
                  <w:t xml:space="preserve">Executive Director </w:t>
                </w:r>
              </w:p>
              <w:p w14:paraId="0D15E3FC" w14:textId="77777777" w:rsidR="00B3648E" w:rsidRDefault="00B3648E" w:rsidP="00B3648E">
                <w:pPr>
                  <w:ind w:left="-5"/>
                </w:pPr>
                <w:r>
                  <w:t xml:space="preserve">Office of Best Practice Regulation </w:t>
                </w:r>
              </w:p>
              <w:p w14:paraId="2ABACD47" w14:textId="3C04D88F" w:rsidR="003345EC" w:rsidRPr="00B3648E" w:rsidRDefault="00B3648E" w:rsidP="00B3648E">
                <w:pPr>
                  <w:ind w:left="-5"/>
                </w:pPr>
                <w:r>
                  <w:t>Department of the Prime Minister and Cabinet</w:t>
                </w:r>
              </w:p>
            </w:sdtContent>
          </w:sdt>
        </w:tc>
        <w:tc>
          <w:tcPr>
            <w:tcW w:w="3969" w:type="dxa"/>
          </w:tcPr>
          <w:p w14:paraId="5B61F090" w14:textId="77777777" w:rsidR="003345EC" w:rsidRPr="003345EC" w:rsidRDefault="003345EC" w:rsidP="005F271B">
            <w:pPr>
              <w:tabs>
                <w:tab w:val="left" w:pos="1890"/>
              </w:tabs>
              <w:rPr>
                <w:sz w:val="22"/>
                <w:szCs w:val="22"/>
              </w:rPr>
            </w:pPr>
          </w:p>
        </w:tc>
      </w:tr>
      <w:tr w:rsidR="003345EC" w:rsidRPr="003345EC" w14:paraId="7966B14B" w14:textId="77777777" w:rsidTr="005F271B">
        <w:tc>
          <w:tcPr>
            <w:tcW w:w="5670" w:type="dxa"/>
          </w:tcPr>
          <w:p w14:paraId="316B4AED" w14:textId="1AD56F8C" w:rsidR="003345EC" w:rsidRPr="002B49B4" w:rsidRDefault="00AE4644" w:rsidP="005F271B">
            <w:pPr>
              <w:tabs>
                <w:tab w:val="right" w:pos="4253"/>
              </w:tabs>
              <w:rPr>
                <w:b/>
                <w:bCs/>
                <w:sz w:val="22"/>
                <w:szCs w:val="22"/>
              </w:rPr>
            </w:pPr>
            <w:r w:rsidRPr="002B49B4">
              <w:rPr>
                <w:b/>
                <w:bCs/>
                <w:sz w:val="22"/>
                <w:szCs w:val="22"/>
              </w:rPr>
              <w:t>By e</w:t>
            </w:r>
            <w:r w:rsidR="000C1B8D" w:rsidRPr="002B49B4">
              <w:rPr>
                <w:b/>
                <w:bCs/>
                <w:sz w:val="22"/>
                <w:szCs w:val="22"/>
              </w:rPr>
              <w:t xml:space="preserve">mail: </w:t>
            </w:r>
            <w:hyperlink r:id="rId11" w:history="1">
              <w:r w:rsidR="000C1B8D" w:rsidRPr="002B49B4">
                <w:rPr>
                  <w:rStyle w:val="Hyperlink"/>
                  <w:b/>
                  <w:bCs/>
                  <w:szCs w:val="22"/>
                </w:rPr>
                <w:t>helpdesk-OBPR@pmc.gov.au</w:t>
              </w:r>
            </w:hyperlink>
            <w:r w:rsidR="000C1B8D" w:rsidRPr="002B49B4">
              <w:rPr>
                <w:b/>
                <w:bCs/>
                <w:sz w:val="22"/>
                <w:szCs w:val="22"/>
              </w:rPr>
              <w:t xml:space="preserve"> </w:t>
            </w:r>
          </w:p>
        </w:tc>
        <w:tc>
          <w:tcPr>
            <w:tcW w:w="3969" w:type="dxa"/>
          </w:tcPr>
          <w:p w14:paraId="62950BFF" w14:textId="77777777" w:rsidR="003345EC" w:rsidRDefault="003345EC" w:rsidP="005F271B">
            <w:pPr>
              <w:tabs>
                <w:tab w:val="left" w:pos="1890"/>
              </w:tabs>
              <w:rPr>
                <w:sz w:val="22"/>
                <w:szCs w:val="22"/>
              </w:rPr>
            </w:pPr>
          </w:p>
          <w:p w14:paraId="43ED15B6" w14:textId="79210657" w:rsidR="00D817FF" w:rsidRPr="003345EC" w:rsidRDefault="00D817FF" w:rsidP="005F271B">
            <w:pPr>
              <w:tabs>
                <w:tab w:val="left" w:pos="1890"/>
              </w:tabs>
              <w:rPr>
                <w:sz w:val="22"/>
                <w:szCs w:val="22"/>
              </w:rPr>
            </w:pPr>
            <w:r>
              <w:rPr>
                <w:sz w:val="22"/>
                <w:szCs w:val="22"/>
              </w:rPr>
              <w:t xml:space="preserve">Your reference: ID </w:t>
            </w:r>
            <w:r w:rsidR="00FC7EFE" w:rsidRPr="00FC7EFE">
              <w:rPr>
                <w:sz w:val="22"/>
                <w:szCs w:val="22"/>
              </w:rPr>
              <w:t>21-01020</w:t>
            </w:r>
          </w:p>
        </w:tc>
      </w:tr>
    </w:tbl>
    <w:p w14:paraId="73AC83B4" w14:textId="1A66F200" w:rsidR="003345EC" w:rsidRDefault="003345EC" w:rsidP="003345EC">
      <w:pPr>
        <w:rPr>
          <w:szCs w:val="22"/>
        </w:rPr>
      </w:pPr>
    </w:p>
    <w:p w14:paraId="7A5EA2CB" w14:textId="1B9839D0" w:rsidR="00D817FF" w:rsidRDefault="00D817FF" w:rsidP="003345EC">
      <w:pPr>
        <w:rPr>
          <w:szCs w:val="22"/>
        </w:rPr>
      </w:pPr>
    </w:p>
    <w:sdt>
      <w:sdtPr>
        <w:rPr>
          <w:szCs w:val="22"/>
        </w:rPr>
        <w:id w:val="-515231889"/>
        <w:placeholder>
          <w:docPart w:val="BF58A6B1BAAA4F93BA2BBCFD1B78463F"/>
        </w:placeholder>
        <w:date w:fullDate="2022-03-29T00:00:00Z">
          <w:dateFormat w:val="d MMMM yyyy"/>
          <w:lid w:val="en-AU"/>
          <w:storeMappedDataAs w:val="dateTime"/>
          <w:calendar w:val="gregorian"/>
        </w:date>
      </w:sdtPr>
      <w:sdtEndPr/>
      <w:sdtContent>
        <w:p w14:paraId="5092CDF4" w14:textId="56E11627" w:rsidR="003345EC" w:rsidRPr="003345EC" w:rsidRDefault="00C31455" w:rsidP="003345EC">
          <w:pPr>
            <w:rPr>
              <w:szCs w:val="22"/>
            </w:rPr>
          </w:pPr>
          <w:r>
            <w:rPr>
              <w:szCs w:val="22"/>
            </w:rPr>
            <w:t>29</w:t>
          </w:r>
          <w:r w:rsidR="009D33AB">
            <w:rPr>
              <w:szCs w:val="22"/>
            </w:rPr>
            <w:t xml:space="preserve"> March 2022</w:t>
          </w:r>
        </w:p>
      </w:sdtContent>
    </w:sdt>
    <w:p w14:paraId="2AF3DF5C" w14:textId="77777777" w:rsidR="003345EC" w:rsidRPr="003345EC" w:rsidRDefault="003345EC" w:rsidP="003345EC">
      <w:pPr>
        <w:rPr>
          <w:szCs w:val="22"/>
        </w:rPr>
      </w:pPr>
    </w:p>
    <w:p w14:paraId="68CC9E77" w14:textId="77777777" w:rsidR="003345EC" w:rsidRPr="003345EC" w:rsidRDefault="003345EC" w:rsidP="003345EC">
      <w:pPr>
        <w:jc w:val="center"/>
        <w:rPr>
          <w:szCs w:val="22"/>
        </w:rPr>
      </w:pPr>
    </w:p>
    <w:p w14:paraId="0CE83777" w14:textId="3C17C570" w:rsidR="003345EC" w:rsidRPr="00B3648E" w:rsidRDefault="003345EC" w:rsidP="003345EC">
      <w:pPr>
        <w:rPr>
          <w:rFonts w:asciiTheme="minorHAnsi" w:hAnsiTheme="minorHAnsi"/>
          <w:szCs w:val="22"/>
        </w:rPr>
      </w:pPr>
      <w:r w:rsidRPr="00B3648E">
        <w:rPr>
          <w:rFonts w:asciiTheme="minorHAnsi" w:hAnsiTheme="minorHAnsi"/>
          <w:szCs w:val="22"/>
        </w:rPr>
        <w:t xml:space="preserve">Dear </w:t>
      </w:r>
      <w:sdt>
        <w:sdtPr>
          <w:rPr>
            <w:rFonts w:asciiTheme="minorHAnsi" w:hAnsiTheme="minorHAnsi"/>
            <w:szCs w:val="22"/>
          </w:rPr>
          <w:id w:val="-1792897319"/>
          <w:placeholder>
            <w:docPart w:val="AD2ADBBCA25F478C82B0F92F11099780"/>
          </w:placeholder>
        </w:sdtPr>
        <w:sdtEndPr/>
        <w:sdtContent>
          <w:r w:rsidR="00B3648E" w:rsidRPr="00B3648E">
            <w:rPr>
              <w:rFonts w:asciiTheme="minorHAnsi" w:hAnsiTheme="minorHAnsi"/>
              <w:szCs w:val="22"/>
            </w:rPr>
            <w:t>Mr Lange</w:t>
          </w:r>
        </w:sdtContent>
      </w:sdt>
    </w:p>
    <w:p w14:paraId="43A489DA" w14:textId="77777777" w:rsidR="003345EC" w:rsidRPr="00B3648E" w:rsidRDefault="003345EC" w:rsidP="003345EC">
      <w:pPr>
        <w:rPr>
          <w:rFonts w:asciiTheme="minorHAnsi" w:hAnsiTheme="minorHAnsi"/>
          <w:szCs w:val="22"/>
        </w:rPr>
      </w:pPr>
    </w:p>
    <w:p w14:paraId="1A493DD3" w14:textId="77777777" w:rsidR="003345EC" w:rsidRPr="00B3648E" w:rsidRDefault="003345EC" w:rsidP="003345EC">
      <w:pPr>
        <w:rPr>
          <w:rFonts w:asciiTheme="minorHAnsi" w:hAnsiTheme="minorHAnsi"/>
          <w:szCs w:val="22"/>
        </w:rPr>
        <w:sectPr w:rsidR="003345EC" w:rsidRPr="00B3648E" w:rsidSect="005F271B">
          <w:headerReference w:type="even" r:id="rId12"/>
          <w:headerReference w:type="default" r:id="rId13"/>
          <w:footerReference w:type="even" r:id="rId14"/>
          <w:footerReference w:type="default" r:id="rId15"/>
          <w:headerReference w:type="first" r:id="rId16"/>
          <w:footerReference w:type="first" r:id="rId17"/>
          <w:pgSz w:w="11907" w:h="16840" w:code="9"/>
          <w:pgMar w:top="3261" w:right="1797" w:bottom="1440" w:left="1797" w:header="839" w:footer="720" w:gutter="0"/>
          <w:paperSrc w:first="15" w:other="15"/>
          <w:cols w:space="720"/>
          <w:titlePg/>
        </w:sectPr>
      </w:pPr>
    </w:p>
    <w:p w14:paraId="1A297677" w14:textId="2C3DFBDA" w:rsidR="00B3648E" w:rsidRPr="00FC7EFE" w:rsidRDefault="00FC7EFE" w:rsidP="00B3648E">
      <w:pPr>
        <w:ind w:left="-5"/>
        <w:rPr>
          <w:rFonts w:asciiTheme="minorHAnsi" w:hAnsiTheme="minorHAnsi"/>
          <w:b/>
          <w:bCs/>
        </w:rPr>
      </w:pPr>
      <w:r w:rsidRPr="00FC7EFE">
        <w:rPr>
          <w:b/>
          <w:bCs/>
        </w:rPr>
        <w:t>ASIC Corporations (Repeal and Transitional) Instrument 2017/186 (ASIC Instrument 2017/186)</w:t>
      </w:r>
    </w:p>
    <w:p w14:paraId="2F4E9197" w14:textId="77777777" w:rsidR="00B3648E" w:rsidRDefault="00B3648E" w:rsidP="00B3648E">
      <w:pPr>
        <w:ind w:left="-5"/>
        <w:rPr>
          <w:rFonts w:asciiTheme="minorHAnsi" w:hAnsiTheme="minorHAnsi"/>
        </w:rPr>
      </w:pPr>
    </w:p>
    <w:p w14:paraId="10479AE5" w14:textId="272792E6" w:rsidR="00FF30D0" w:rsidRDefault="00B3648E">
      <w:pPr>
        <w:ind w:left="-5"/>
        <w:rPr>
          <w:rFonts w:asciiTheme="minorHAnsi" w:hAnsiTheme="minorHAnsi"/>
          <w:szCs w:val="22"/>
        </w:rPr>
      </w:pPr>
      <w:r w:rsidRPr="00377F0B">
        <w:rPr>
          <w:rFonts w:asciiTheme="minorHAnsi" w:hAnsiTheme="minorHAnsi"/>
          <w:szCs w:val="22"/>
        </w:rPr>
        <w:t>I am writing to the Office of Best Practice Regulation (</w:t>
      </w:r>
      <w:r w:rsidRPr="002B49B4">
        <w:rPr>
          <w:rFonts w:asciiTheme="minorHAnsi" w:hAnsiTheme="minorHAnsi"/>
          <w:b/>
          <w:bCs/>
          <w:szCs w:val="22"/>
        </w:rPr>
        <w:t>OBPR</w:t>
      </w:r>
      <w:r w:rsidRPr="00377F0B">
        <w:rPr>
          <w:rFonts w:asciiTheme="minorHAnsi" w:hAnsiTheme="minorHAnsi"/>
          <w:szCs w:val="22"/>
        </w:rPr>
        <w:t xml:space="preserve">) regarding </w:t>
      </w:r>
      <w:hyperlink r:id="rId18" w:history="1">
        <w:r w:rsidRPr="003B5891">
          <w:rPr>
            <w:rStyle w:val="Hyperlink"/>
            <w:rFonts w:asciiTheme="minorHAnsi" w:hAnsiTheme="minorHAnsi"/>
            <w:i/>
            <w:iCs/>
            <w:szCs w:val="22"/>
          </w:rPr>
          <w:t>ASIC</w:t>
        </w:r>
        <w:r w:rsidR="00034343">
          <w:rPr>
            <w:rStyle w:val="Hyperlink"/>
            <w:rFonts w:asciiTheme="minorHAnsi" w:hAnsiTheme="minorHAnsi"/>
            <w:i/>
            <w:iCs/>
            <w:szCs w:val="22"/>
          </w:rPr>
          <w:t xml:space="preserve"> Corporations (Repeal and Transitional)</w:t>
        </w:r>
        <w:r w:rsidRPr="003B5891">
          <w:rPr>
            <w:rStyle w:val="Hyperlink"/>
            <w:rFonts w:asciiTheme="minorHAnsi" w:hAnsiTheme="minorHAnsi"/>
            <w:i/>
            <w:iCs/>
            <w:szCs w:val="22"/>
          </w:rPr>
          <w:t xml:space="preserve"> </w:t>
        </w:r>
        <w:r w:rsidR="00FC7EFE" w:rsidRPr="003B5891">
          <w:rPr>
            <w:rStyle w:val="Hyperlink"/>
            <w:rFonts w:asciiTheme="minorHAnsi" w:hAnsiTheme="minorHAnsi"/>
            <w:i/>
            <w:iCs/>
            <w:szCs w:val="22"/>
          </w:rPr>
          <w:t>Instrument 2017/186</w:t>
        </w:r>
      </w:hyperlink>
      <w:r w:rsidR="00FC7EFE">
        <w:rPr>
          <w:rFonts w:asciiTheme="minorHAnsi" w:hAnsiTheme="minorHAnsi"/>
          <w:szCs w:val="22"/>
        </w:rPr>
        <w:t xml:space="preserve"> </w:t>
      </w:r>
      <w:r w:rsidR="00FC7EFE" w:rsidRPr="00C707BF">
        <w:rPr>
          <w:rFonts w:asciiTheme="minorHAnsi" w:hAnsiTheme="minorHAnsi"/>
          <w:szCs w:val="22"/>
        </w:rPr>
        <w:t>(</w:t>
      </w:r>
      <w:r w:rsidR="00FC7EFE" w:rsidRPr="0058721D">
        <w:rPr>
          <w:rFonts w:asciiTheme="minorHAnsi" w:hAnsiTheme="minorHAnsi"/>
          <w:b/>
          <w:bCs/>
          <w:szCs w:val="22"/>
        </w:rPr>
        <w:t>Instrument</w:t>
      </w:r>
      <w:r w:rsidR="00C707BF" w:rsidRPr="00C707BF">
        <w:rPr>
          <w:rFonts w:asciiTheme="minorHAnsi" w:hAnsiTheme="minorHAnsi"/>
          <w:szCs w:val="22"/>
        </w:rPr>
        <w:t>),</w:t>
      </w:r>
      <w:r w:rsidR="00C707BF">
        <w:rPr>
          <w:rFonts w:asciiTheme="minorHAnsi" w:hAnsiTheme="minorHAnsi"/>
          <w:b/>
          <w:bCs/>
          <w:szCs w:val="22"/>
        </w:rPr>
        <w:t xml:space="preserve"> </w:t>
      </w:r>
      <w:r w:rsidR="00E70DB0">
        <w:rPr>
          <w:rFonts w:asciiTheme="minorHAnsi" w:hAnsiTheme="minorHAnsi"/>
          <w:szCs w:val="22"/>
        </w:rPr>
        <w:t>which</w:t>
      </w:r>
      <w:r w:rsidR="00AB1822">
        <w:rPr>
          <w:rFonts w:asciiTheme="minorHAnsi" w:hAnsiTheme="minorHAnsi"/>
          <w:szCs w:val="22"/>
        </w:rPr>
        <w:t>,</w:t>
      </w:r>
      <w:r w:rsidR="00E70DB0">
        <w:rPr>
          <w:rFonts w:asciiTheme="minorHAnsi" w:hAnsiTheme="minorHAnsi"/>
          <w:szCs w:val="22"/>
        </w:rPr>
        <w:t xml:space="preserve"> as per the </w:t>
      </w:r>
      <w:r w:rsidR="00E70DB0">
        <w:rPr>
          <w:rFonts w:asciiTheme="minorHAnsi" w:hAnsiTheme="minorHAnsi"/>
          <w:i/>
          <w:iCs/>
          <w:szCs w:val="22"/>
        </w:rPr>
        <w:t>Legislation Act 2003</w:t>
      </w:r>
      <w:r w:rsidR="00E70DB0">
        <w:rPr>
          <w:rFonts w:asciiTheme="minorHAnsi" w:hAnsiTheme="minorHAnsi"/>
          <w:szCs w:val="22"/>
        </w:rPr>
        <w:t xml:space="preserve">, has been scheduled to sunset on 1 April 2022. </w:t>
      </w:r>
    </w:p>
    <w:p w14:paraId="43D92352" w14:textId="7C2CD5D4" w:rsidR="00AB1822" w:rsidRDefault="00AB1822">
      <w:pPr>
        <w:ind w:left="-5"/>
        <w:rPr>
          <w:rFonts w:asciiTheme="minorHAnsi" w:hAnsiTheme="minorHAnsi"/>
          <w:szCs w:val="22"/>
        </w:rPr>
      </w:pPr>
    </w:p>
    <w:p w14:paraId="23F9996F" w14:textId="3C84AEFE" w:rsidR="00AB1822" w:rsidRPr="008C6241" w:rsidRDefault="00AB1822" w:rsidP="003B5891">
      <w:pPr>
        <w:ind w:left="-5"/>
      </w:pPr>
      <w:r w:rsidRPr="00DC4471">
        <w:t xml:space="preserve">In March 2002, </w:t>
      </w:r>
      <w:r w:rsidR="00F46175">
        <w:t xml:space="preserve">the </w:t>
      </w:r>
      <w:r w:rsidR="00F46175">
        <w:rPr>
          <w:rFonts w:asciiTheme="minorHAnsi" w:hAnsiTheme="minorHAnsi"/>
          <w:szCs w:val="22"/>
        </w:rPr>
        <w:t>Australian Securities and Investments Commission (</w:t>
      </w:r>
      <w:r w:rsidR="00F46175">
        <w:rPr>
          <w:rFonts w:asciiTheme="minorHAnsi" w:hAnsiTheme="minorHAnsi"/>
          <w:b/>
          <w:bCs/>
          <w:szCs w:val="22"/>
        </w:rPr>
        <w:t>ASIC</w:t>
      </w:r>
      <w:r w:rsidR="00F46175">
        <w:rPr>
          <w:rFonts w:asciiTheme="minorHAnsi" w:hAnsiTheme="minorHAnsi"/>
          <w:szCs w:val="22"/>
        </w:rPr>
        <w:t xml:space="preserve">) </w:t>
      </w:r>
      <w:r w:rsidRPr="00DC4471">
        <w:t xml:space="preserve">issued </w:t>
      </w:r>
      <w:hyperlink r:id="rId19" w:history="1">
        <w:r w:rsidRPr="0043279E">
          <w:rPr>
            <w:rStyle w:val="Hyperlink"/>
          </w:rPr>
          <w:t>Class Order [CO 02/273] </w:t>
        </w:r>
        <w:r w:rsidRPr="0043279E">
          <w:rPr>
            <w:rStyle w:val="Hyperlink"/>
            <w:i/>
            <w:iCs/>
          </w:rPr>
          <w:t>Business introduction or matching services</w:t>
        </w:r>
      </w:hyperlink>
      <w:r>
        <w:t xml:space="preserve">. </w:t>
      </w:r>
      <w:r w:rsidR="00034343">
        <w:t>The Instrument</w:t>
      </w:r>
      <w:r>
        <w:t xml:space="preserve"> repealed [CO 02/273] but </w:t>
      </w:r>
      <w:r w:rsidR="00E156B8">
        <w:t>had</w:t>
      </w:r>
      <w:r>
        <w:t xml:space="preserve"> preserved its effect until </w:t>
      </w:r>
      <w:r w:rsidR="009A1EBD">
        <w:t>23 March 2019</w:t>
      </w:r>
      <w:r>
        <w:t>.</w:t>
      </w:r>
      <w:r w:rsidR="009B0EB5">
        <w:t xml:space="preserve"> </w:t>
      </w:r>
      <w:hyperlink r:id="rId20" w:history="1">
        <w:r w:rsidR="009B0EB5" w:rsidRPr="00034343">
          <w:rPr>
            <w:rStyle w:val="Hyperlink"/>
            <w:i/>
            <w:iCs/>
          </w:rPr>
          <w:t>ASIC Corporations (Amendment) Instrument 2019/</w:t>
        </w:r>
        <w:r w:rsidR="009E43CD" w:rsidRPr="00034343">
          <w:rPr>
            <w:rStyle w:val="Hyperlink"/>
            <w:i/>
            <w:iCs/>
          </w:rPr>
          <w:t>216</w:t>
        </w:r>
      </w:hyperlink>
      <w:r w:rsidR="00EC3266">
        <w:rPr>
          <w:i/>
          <w:iCs/>
        </w:rPr>
        <w:t xml:space="preserve"> </w:t>
      </w:r>
      <w:r w:rsidR="00034343">
        <w:t>preserves</w:t>
      </w:r>
      <w:r w:rsidR="009B0EB5">
        <w:t xml:space="preserve"> the </w:t>
      </w:r>
      <w:r w:rsidR="00E156B8">
        <w:t xml:space="preserve">relief provided by </w:t>
      </w:r>
      <w:hyperlink r:id="rId21" w:history="1">
        <w:r w:rsidR="00E156B8" w:rsidRPr="00034343">
          <w:rPr>
            <w:rStyle w:val="Hyperlink"/>
          </w:rPr>
          <w:t>[CO 02/273]</w:t>
        </w:r>
      </w:hyperlink>
      <w:r w:rsidR="00E156B8">
        <w:t xml:space="preserve"> until 1 April 2022. This extension was to allow ASIC to review and consult on the policy settings in the original </w:t>
      </w:r>
      <w:hyperlink r:id="rId22" w:history="1">
        <w:r w:rsidR="00E156B8" w:rsidRPr="00034343">
          <w:rPr>
            <w:rStyle w:val="Hyperlink"/>
          </w:rPr>
          <w:t>[CO 02/273]</w:t>
        </w:r>
      </w:hyperlink>
      <w:r w:rsidR="00E156B8">
        <w:t xml:space="preserve"> and asses</w:t>
      </w:r>
      <w:r w:rsidR="00561457">
        <w:t>s</w:t>
      </w:r>
      <w:r w:rsidR="00E156B8">
        <w:t xml:space="preserve"> the impact of the crowd-sourced funding (</w:t>
      </w:r>
      <w:r w:rsidR="00E156B8">
        <w:rPr>
          <w:b/>
          <w:bCs/>
        </w:rPr>
        <w:t>CSF</w:t>
      </w:r>
      <w:r w:rsidR="00E156B8">
        <w:t xml:space="preserve">) regime on the relief. </w:t>
      </w:r>
    </w:p>
    <w:p w14:paraId="216CFD85" w14:textId="7D46710E" w:rsidR="00FF30D0" w:rsidRDefault="00FF30D0" w:rsidP="003B5891">
      <w:pPr>
        <w:rPr>
          <w:rFonts w:asciiTheme="minorHAnsi" w:hAnsiTheme="minorHAnsi"/>
          <w:szCs w:val="22"/>
        </w:rPr>
      </w:pPr>
    </w:p>
    <w:p w14:paraId="112379A0" w14:textId="0B33D541" w:rsidR="00FF30D0" w:rsidRDefault="00FF30D0" w:rsidP="00FF30D0">
      <w:pPr>
        <w:ind w:left="-5"/>
        <w:rPr>
          <w:rFonts w:asciiTheme="minorHAnsi" w:hAnsiTheme="minorHAnsi"/>
          <w:szCs w:val="22"/>
        </w:rPr>
      </w:pPr>
      <w:r>
        <w:rPr>
          <w:rFonts w:asciiTheme="minorHAnsi" w:hAnsiTheme="minorHAnsi"/>
          <w:szCs w:val="22"/>
        </w:rPr>
        <w:t xml:space="preserve">The </w:t>
      </w:r>
      <w:r w:rsidR="00AB1822">
        <w:rPr>
          <w:rFonts w:asciiTheme="minorHAnsi" w:hAnsiTheme="minorHAnsi"/>
          <w:szCs w:val="22"/>
        </w:rPr>
        <w:t>Instrument</w:t>
      </w:r>
      <w:r>
        <w:rPr>
          <w:rFonts w:asciiTheme="minorHAnsi" w:hAnsiTheme="minorHAnsi"/>
          <w:szCs w:val="22"/>
        </w:rPr>
        <w:t xml:space="preserve"> provides relief to persons who are involved in a business introduction service from the fundraising (Part</w:t>
      </w:r>
      <w:r w:rsidR="007C1FDE">
        <w:rPr>
          <w:rFonts w:asciiTheme="minorHAnsi" w:hAnsiTheme="minorHAnsi"/>
          <w:szCs w:val="22"/>
        </w:rPr>
        <w:t>s</w:t>
      </w:r>
      <w:r>
        <w:rPr>
          <w:rFonts w:asciiTheme="minorHAnsi" w:hAnsiTheme="minorHAnsi"/>
          <w:szCs w:val="22"/>
        </w:rPr>
        <w:t xml:space="preserve"> 6D.2 </w:t>
      </w:r>
      <w:r w:rsidR="007C1FDE">
        <w:rPr>
          <w:rFonts w:asciiTheme="minorHAnsi" w:hAnsiTheme="minorHAnsi"/>
          <w:szCs w:val="22"/>
        </w:rPr>
        <w:t xml:space="preserve">and 6D.3 </w:t>
      </w:r>
      <w:r>
        <w:rPr>
          <w:rFonts w:asciiTheme="minorHAnsi" w:hAnsiTheme="minorHAnsi"/>
          <w:szCs w:val="22"/>
        </w:rPr>
        <w:t xml:space="preserve">of the </w:t>
      </w:r>
      <w:r>
        <w:rPr>
          <w:rFonts w:asciiTheme="minorHAnsi" w:hAnsiTheme="minorHAnsi"/>
          <w:i/>
          <w:iCs/>
          <w:szCs w:val="22"/>
        </w:rPr>
        <w:t xml:space="preserve">Corporations Act 2001 </w:t>
      </w:r>
      <w:r>
        <w:rPr>
          <w:rFonts w:asciiTheme="minorHAnsi" w:hAnsiTheme="minorHAnsi"/>
          <w:szCs w:val="22"/>
        </w:rPr>
        <w:t xml:space="preserve">(the </w:t>
      </w:r>
      <w:r>
        <w:rPr>
          <w:rFonts w:asciiTheme="minorHAnsi" w:hAnsiTheme="minorHAnsi"/>
          <w:b/>
          <w:bCs/>
          <w:szCs w:val="22"/>
        </w:rPr>
        <w:t>Act</w:t>
      </w:r>
      <w:r>
        <w:rPr>
          <w:rFonts w:asciiTheme="minorHAnsi" w:hAnsiTheme="minorHAnsi"/>
          <w:szCs w:val="22"/>
        </w:rPr>
        <w:t xml:space="preserve">)), debenture (Parts 2L.1 to 2L.5 of the Act), financial product disclosure (Part 7.9 of the Act) and the </w:t>
      </w:r>
      <w:r w:rsidR="00034343">
        <w:rPr>
          <w:rFonts w:asciiTheme="minorHAnsi" w:hAnsiTheme="minorHAnsi"/>
          <w:szCs w:val="22"/>
        </w:rPr>
        <w:t>anti-</w:t>
      </w:r>
      <w:r>
        <w:rPr>
          <w:rFonts w:asciiTheme="minorHAnsi" w:hAnsiTheme="minorHAnsi"/>
          <w:szCs w:val="22"/>
        </w:rPr>
        <w:t>hawking and advertising requirements (section 992A(1) of the Act). A business introduction service connects potential investors and issuers or sellers by circulating information about small to medium enterprise (</w:t>
      </w:r>
      <w:r>
        <w:rPr>
          <w:rFonts w:asciiTheme="minorHAnsi" w:hAnsiTheme="minorHAnsi"/>
          <w:b/>
          <w:bCs/>
          <w:szCs w:val="22"/>
        </w:rPr>
        <w:t>SME</w:t>
      </w:r>
      <w:r>
        <w:rPr>
          <w:rFonts w:asciiTheme="minorHAnsi" w:hAnsiTheme="minorHAnsi"/>
          <w:szCs w:val="22"/>
        </w:rPr>
        <w:t xml:space="preserve">) investment opportunities. </w:t>
      </w:r>
    </w:p>
    <w:p w14:paraId="76B6C3EC" w14:textId="5C871A8F" w:rsidR="00E70DB0" w:rsidRDefault="00E70DB0" w:rsidP="003B5891">
      <w:pPr>
        <w:rPr>
          <w:rFonts w:asciiTheme="minorHAnsi" w:hAnsiTheme="minorHAnsi"/>
          <w:szCs w:val="22"/>
        </w:rPr>
      </w:pPr>
    </w:p>
    <w:p w14:paraId="57D4D00F" w14:textId="6F644AAC" w:rsidR="0001172F" w:rsidRDefault="00E70DB0" w:rsidP="00E70DB0">
      <w:pPr>
        <w:ind w:left="-5"/>
        <w:rPr>
          <w:rFonts w:asciiTheme="minorHAnsi" w:hAnsiTheme="minorHAnsi"/>
          <w:szCs w:val="22"/>
        </w:rPr>
      </w:pPr>
      <w:r>
        <w:rPr>
          <w:rFonts w:asciiTheme="minorHAnsi" w:hAnsiTheme="minorHAnsi"/>
          <w:szCs w:val="22"/>
        </w:rPr>
        <w:t xml:space="preserve">It has been decided by </w:t>
      </w:r>
      <w:r w:rsidR="00F46175">
        <w:rPr>
          <w:rFonts w:asciiTheme="minorHAnsi" w:hAnsiTheme="minorHAnsi"/>
          <w:szCs w:val="22"/>
        </w:rPr>
        <w:t xml:space="preserve">ASIC </w:t>
      </w:r>
      <w:r>
        <w:rPr>
          <w:rFonts w:asciiTheme="minorHAnsi" w:hAnsiTheme="minorHAnsi"/>
          <w:szCs w:val="22"/>
        </w:rPr>
        <w:t>that</w:t>
      </w:r>
      <w:r w:rsidR="0001172F">
        <w:rPr>
          <w:rFonts w:asciiTheme="minorHAnsi" w:hAnsiTheme="minorHAnsi"/>
          <w:szCs w:val="22"/>
        </w:rPr>
        <w:t xml:space="preserve">: </w:t>
      </w:r>
    </w:p>
    <w:p w14:paraId="6E24144C" w14:textId="77777777" w:rsidR="008972A2" w:rsidRDefault="008972A2" w:rsidP="00E70DB0">
      <w:pPr>
        <w:ind w:left="-5"/>
        <w:rPr>
          <w:rFonts w:asciiTheme="minorHAnsi" w:hAnsiTheme="minorHAnsi"/>
          <w:szCs w:val="22"/>
        </w:rPr>
      </w:pPr>
    </w:p>
    <w:p w14:paraId="2D7E676F" w14:textId="77777777" w:rsidR="007C1FDE" w:rsidRPr="008C39AC" w:rsidRDefault="0001172F" w:rsidP="003B5891">
      <w:pPr>
        <w:pStyle w:val="ListParagraph"/>
        <w:numPr>
          <w:ilvl w:val="0"/>
          <w:numId w:val="4"/>
        </w:numPr>
        <w:rPr>
          <w:rFonts w:asciiTheme="minorHAnsi" w:hAnsiTheme="minorHAnsi"/>
          <w:i/>
          <w:iCs/>
          <w:szCs w:val="22"/>
        </w:rPr>
      </w:pPr>
      <w:r>
        <w:rPr>
          <w:rFonts w:asciiTheme="minorHAnsi" w:hAnsiTheme="minorHAnsi"/>
          <w:szCs w:val="22"/>
        </w:rPr>
        <w:t>o</w:t>
      </w:r>
      <w:r w:rsidRPr="003B5891">
        <w:rPr>
          <w:rFonts w:asciiTheme="minorHAnsi" w:hAnsiTheme="minorHAnsi"/>
          <w:szCs w:val="22"/>
        </w:rPr>
        <w:t xml:space="preserve">n 1 April 2022, </w:t>
      </w:r>
      <w:r w:rsidR="00901DED">
        <w:rPr>
          <w:rFonts w:asciiTheme="minorHAnsi" w:hAnsiTheme="minorHAnsi"/>
          <w:szCs w:val="22"/>
        </w:rPr>
        <w:t>the</w:t>
      </w:r>
      <w:r>
        <w:rPr>
          <w:rFonts w:asciiTheme="minorHAnsi" w:hAnsiTheme="minorHAnsi"/>
          <w:szCs w:val="22"/>
        </w:rPr>
        <w:t xml:space="preserve"> relief </w:t>
      </w:r>
      <w:r w:rsidR="00E156B8">
        <w:rPr>
          <w:rFonts w:asciiTheme="minorHAnsi" w:hAnsiTheme="minorHAnsi"/>
          <w:szCs w:val="22"/>
        </w:rPr>
        <w:t xml:space="preserve">in the Instrument </w:t>
      </w:r>
      <w:r w:rsidR="00034343">
        <w:rPr>
          <w:rFonts w:asciiTheme="minorHAnsi" w:hAnsiTheme="minorHAnsi"/>
          <w:szCs w:val="22"/>
        </w:rPr>
        <w:t>will be</w:t>
      </w:r>
      <w:r w:rsidR="00901DED">
        <w:rPr>
          <w:rFonts w:asciiTheme="minorHAnsi" w:hAnsiTheme="minorHAnsi"/>
          <w:szCs w:val="22"/>
        </w:rPr>
        <w:t xml:space="preserve"> extended </w:t>
      </w:r>
      <w:r>
        <w:rPr>
          <w:rFonts w:asciiTheme="minorHAnsi" w:hAnsiTheme="minorHAnsi"/>
          <w:szCs w:val="22"/>
        </w:rPr>
        <w:t>until 1</w:t>
      </w:r>
      <w:r w:rsidR="00034343">
        <w:rPr>
          <w:rFonts w:asciiTheme="minorHAnsi" w:hAnsiTheme="minorHAnsi"/>
          <w:szCs w:val="22"/>
        </w:rPr>
        <w:t xml:space="preserve"> </w:t>
      </w:r>
      <w:r>
        <w:rPr>
          <w:rFonts w:asciiTheme="minorHAnsi" w:hAnsiTheme="minorHAnsi"/>
          <w:szCs w:val="22"/>
        </w:rPr>
        <w:t xml:space="preserve">October 2022, subject to </w:t>
      </w:r>
      <w:r w:rsidR="00901DED">
        <w:rPr>
          <w:rFonts w:asciiTheme="minorHAnsi" w:hAnsiTheme="minorHAnsi"/>
          <w:szCs w:val="22"/>
        </w:rPr>
        <w:t>an additional</w:t>
      </w:r>
      <w:r>
        <w:rPr>
          <w:rFonts w:asciiTheme="minorHAnsi" w:hAnsiTheme="minorHAnsi"/>
          <w:szCs w:val="22"/>
        </w:rPr>
        <w:t xml:space="preserve"> requirement that</w:t>
      </w:r>
      <w:r w:rsidR="007C1FDE">
        <w:rPr>
          <w:rFonts w:asciiTheme="minorHAnsi" w:hAnsiTheme="minorHAnsi"/>
          <w:szCs w:val="22"/>
        </w:rPr>
        <w:t>:</w:t>
      </w:r>
    </w:p>
    <w:p w14:paraId="036ABAF3" w14:textId="1C701FEA" w:rsidR="007C1FDE" w:rsidRPr="008C39AC" w:rsidRDefault="00E07E28" w:rsidP="007C1FDE">
      <w:pPr>
        <w:pStyle w:val="ListParagraph"/>
        <w:numPr>
          <w:ilvl w:val="1"/>
          <w:numId w:val="4"/>
        </w:numPr>
        <w:rPr>
          <w:rFonts w:asciiTheme="minorHAnsi" w:hAnsiTheme="minorHAnsi"/>
          <w:i/>
          <w:iCs/>
          <w:szCs w:val="22"/>
        </w:rPr>
      </w:pPr>
      <w:r>
        <w:rPr>
          <w:rFonts w:asciiTheme="minorHAnsi" w:hAnsiTheme="minorHAnsi"/>
          <w:szCs w:val="22"/>
        </w:rPr>
        <w:lastRenderedPageBreak/>
        <w:t xml:space="preserve">the relief </w:t>
      </w:r>
      <w:r w:rsidRPr="00D52AAB">
        <w:t xml:space="preserve">applies if </w:t>
      </w:r>
      <w:r>
        <w:t xml:space="preserve">a </w:t>
      </w:r>
      <w:r w:rsidRPr="00D52AAB">
        <w:t>person who is relying on the relief on 31 March 2022</w:t>
      </w:r>
      <w:r>
        <w:t xml:space="preserve"> </w:t>
      </w:r>
      <w:r w:rsidR="007C1FDE">
        <w:rPr>
          <w:rFonts w:asciiTheme="minorHAnsi" w:hAnsiTheme="minorHAnsi"/>
          <w:szCs w:val="22"/>
        </w:rPr>
        <w:t>provide</w:t>
      </w:r>
      <w:r>
        <w:rPr>
          <w:rFonts w:asciiTheme="minorHAnsi" w:hAnsiTheme="minorHAnsi"/>
          <w:szCs w:val="22"/>
        </w:rPr>
        <w:t>s</w:t>
      </w:r>
      <w:r w:rsidR="007C1FDE">
        <w:rPr>
          <w:rFonts w:asciiTheme="minorHAnsi" w:hAnsiTheme="minorHAnsi"/>
          <w:szCs w:val="22"/>
        </w:rPr>
        <w:t xml:space="preserve"> </w:t>
      </w:r>
      <w:r w:rsidR="004571A3">
        <w:rPr>
          <w:rFonts w:asciiTheme="minorHAnsi" w:hAnsiTheme="minorHAnsi"/>
          <w:szCs w:val="22"/>
        </w:rPr>
        <w:t>notice</w:t>
      </w:r>
      <w:r w:rsidR="007C1FDE">
        <w:rPr>
          <w:rFonts w:asciiTheme="minorHAnsi" w:hAnsiTheme="minorHAnsi"/>
          <w:szCs w:val="22"/>
        </w:rPr>
        <w:t xml:space="preserve"> to ASIC by 2 May 2022 (known as the </w:t>
      </w:r>
      <w:r w:rsidR="007C1FDE">
        <w:rPr>
          <w:rFonts w:asciiTheme="minorHAnsi" w:hAnsiTheme="minorHAnsi"/>
          <w:b/>
          <w:bCs/>
          <w:i/>
          <w:iCs/>
          <w:szCs w:val="22"/>
        </w:rPr>
        <w:t>Continuing Reliance Notice</w:t>
      </w:r>
      <w:r w:rsidR="007C1FDE">
        <w:rPr>
          <w:rFonts w:asciiTheme="minorHAnsi" w:hAnsiTheme="minorHAnsi"/>
          <w:szCs w:val="22"/>
        </w:rPr>
        <w:t>)</w:t>
      </w:r>
      <w:r w:rsidR="004571A3">
        <w:rPr>
          <w:rFonts w:asciiTheme="minorHAnsi" w:hAnsiTheme="minorHAnsi"/>
          <w:szCs w:val="22"/>
        </w:rPr>
        <w:t xml:space="preserve"> if they want to continue relying on the relief after this date; and  </w:t>
      </w:r>
    </w:p>
    <w:p w14:paraId="374CB030" w14:textId="76A9958F" w:rsidR="004571A3" w:rsidRPr="008C39AC" w:rsidRDefault="004571A3" w:rsidP="007C1FDE">
      <w:pPr>
        <w:pStyle w:val="ListParagraph"/>
        <w:numPr>
          <w:ilvl w:val="1"/>
          <w:numId w:val="4"/>
        </w:numPr>
        <w:rPr>
          <w:rFonts w:asciiTheme="minorHAnsi" w:hAnsiTheme="minorHAnsi"/>
          <w:i/>
          <w:iCs/>
          <w:szCs w:val="22"/>
        </w:rPr>
      </w:pPr>
      <w:r>
        <w:rPr>
          <w:rFonts w:asciiTheme="minorHAnsi" w:hAnsiTheme="minorHAnsi"/>
          <w:szCs w:val="22"/>
        </w:rPr>
        <w:t>from 1 April 2022,</w:t>
      </w:r>
      <w:r w:rsidR="00E07E28">
        <w:rPr>
          <w:rFonts w:asciiTheme="minorHAnsi" w:hAnsiTheme="minorHAnsi"/>
          <w:szCs w:val="22"/>
        </w:rPr>
        <w:t xml:space="preserve"> the relief </w:t>
      </w:r>
      <w:r w:rsidR="00E07E28" w:rsidRPr="00D52AAB">
        <w:t>applies</w:t>
      </w:r>
      <w:r w:rsidR="00E07E28">
        <w:t xml:space="preserve"> </w:t>
      </w:r>
      <w:r w:rsidR="00FA3322">
        <w:rPr>
          <w:rFonts w:asciiTheme="minorHAnsi" w:hAnsiTheme="minorHAnsi"/>
          <w:szCs w:val="22"/>
        </w:rPr>
        <w:t xml:space="preserve">if </w:t>
      </w:r>
      <w:r>
        <w:rPr>
          <w:rFonts w:asciiTheme="minorHAnsi" w:hAnsiTheme="minorHAnsi"/>
          <w:szCs w:val="22"/>
        </w:rPr>
        <w:t>persons</w:t>
      </w:r>
      <w:r w:rsidR="00E07E28">
        <w:rPr>
          <w:rFonts w:asciiTheme="minorHAnsi" w:hAnsiTheme="minorHAnsi"/>
          <w:szCs w:val="22"/>
        </w:rPr>
        <w:t xml:space="preserve"> who were </w:t>
      </w:r>
      <w:r w:rsidR="00E07E28">
        <w:t>not relying on the</w:t>
      </w:r>
      <w:r>
        <w:rPr>
          <w:rFonts w:asciiTheme="minorHAnsi" w:hAnsiTheme="minorHAnsi"/>
          <w:szCs w:val="22"/>
        </w:rPr>
        <w:t xml:space="preserve"> </w:t>
      </w:r>
      <w:r w:rsidR="00E07E28">
        <w:rPr>
          <w:rFonts w:asciiTheme="minorHAnsi" w:hAnsiTheme="minorHAnsi"/>
          <w:szCs w:val="22"/>
        </w:rPr>
        <w:t>relief on 31 March 2022 ha</w:t>
      </w:r>
      <w:r w:rsidR="00C25803">
        <w:rPr>
          <w:rFonts w:asciiTheme="minorHAnsi" w:hAnsiTheme="minorHAnsi"/>
          <w:szCs w:val="22"/>
        </w:rPr>
        <w:t>ve</w:t>
      </w:r>
      <w:r w:rsidR="00E07E28">
        <w:rPr>
          <w:rFonts w:asciiTheme="minorHAnsi" w:hAnsiTheme="minorHAnsi"/>
          <w:szCs w:val="22"/>
        </w:rPr>
        <w:t xml:space="preserve"> given ASIC </w:t>
      </w:r>
      <w:r>
        <w:rPr>
          <w:rFonts w:asciiTheme="minorHAnsi" w:hAnsiTheme="minorHAnsi"/>
          <w:szCs w:val="22"/>
        </w:rPr>
        <w:t xml:space="preserve">notice (known as the </w:t>
      </w:r>
      <w:r>
        <w:rPr>
          <w:rFonts w:asciiTheme="minorHAnsi" w:hAnsiTheme="minorHAnsi"/>
          <w:b/>
          <w:bCs/>
          <w:i/>
          <w:iCs/>
          <w:szCs w:val="22"/>
        </w:rPr>
        <w:t>Opt-In Notice</w:t>
      </w:r>
      <w:r>
        <w:rPr>
          <w:rFonts w:asciiTheme="minorHAnsi" w:hAnsiTheme="minorHAnsi"/>
          <w:szCs w:val="22"/>
        </w:rPr>
        <w:t>). The relief does not take effect until the Opt-In Notice is given to ASIC</w:t>
      </w:r>
      <w:r w:rsidR="00B63CA1">
        <w:rPr>
          <w:rFonts w:asciiTheme="minorHAnsi" w:hAnsiTheme="minorHAnsi"/>
          <w:szCs w:val="22"/>
        </w:rPr>
        <w:t xml:space="preserve">; </w:t>
      </w:r>
      <w:r w:rsidR="00BA24F7">
        <w:rPr>
          <w:rFonts w:asciiTheme="minorHAnsi" w:hAnsiTheme="minorHAnsi"/>
          <w:szCs w:val="22"/>
        </w:rPr>
        <w:t xml:space="preserve">and </w:t>
      </w:r>
    </w:p>
    <w:p w14:paraId="2430A03F" w14:textId="0C61D683" w:rsidR="0001172F" w:rsidRPr="003B5891" w:rsidRDefault="0001172F" w:rsidP="003B5891">
      <w:pPr>
        <w:pStyle w:val="ListParagraph"/>
        <w:numPr>
          <w:ilvl w:val="0"/>
          <w:numId w:val="4"/>
        </w:numPr>
        <w:rPr>
          <w:rFonts w:asciiTheme="minorHAnsi" w:hAnsiTheme="minorHAnsi"/>
          <w:i/>
          <w:iCs/>
          <w:szCs w:val="22"/>
        </w:rPr>
      </w:pPr>
      <w:r>
        <w:rPr>
          <w:rFonts w:asciiTheme="minorHAnsi" w:hAnsiTheme="minorHAnsi"/>
          <w:szCs w:val="22"/>
        </w:rPr>
        <w:t xml:space="preserve">on 1 October 2022, </w:t>
      </w:r>
      <w:r w:rsidR="002039AD">
        <w:rPr>
          <w:rFonts w:asciiTheme="minorHAnsi" w:hAnsiTheme="minorHAnsi"/>
          <w:szCs w:val="22"/>
        </w:rPr>
        <w:t xml:space="preserve">ASIC will confer relief that replaces </w:t>
      </w:r>
      <w:hyperlink r:id="rId23" w:history="1">
        <w:r w:rsidR="002039AD" w:rsidRPr="002039AD">
          <w:rPr>
            <w:rStyle w:val="Hyperlink"/>
            <w:rFonts w:asciiTheme="minorHAnsi" w:hAnsiTheme="minorHAnsi"/>
            <w:szCs w:val="22"/>
          </w:rPr>
          <w:t>[CO 02/273]</w:t>
        </w:r>
      </w:hyperlink>
      <w:r w:rsidR="002039AD">
        <w:rPr>
          <w:rFonts w:asciiTheme="minorHAnsi" w:hAnsiTheme="minorHAnsi"/>
          <w:szCs w:val="22"/>
        </w:rPr>
        <w:t xml:space="preserve"> to</w:t>
      </w:r>
      <w:r>
        <w:rPr>
          <w:rFonts w:asciiTheme="minorHAnsi" w:hAnsiTheme="minorHAnsi"/>
          <w:szCs w:val="22"/>
        </w:rPr>
        <w:t xml:space="preserve">: </w:t>
      </w:r>
    </w:p>
    <w:p w14:paraId="37DE4E81" w14:textId="33E674BF" w:rsidR="0001172F" w:rsidRPr="003B5891" w:rsidRDefault="00034343" w:rsidP="003B5891">
      <w:pPr>
        <w:pStyle w:val="ListParagraph"/>
        <w:numPr>
          <w:ilvl w:val="1"/>
          <w:numId w:val="4"/>
        </w:numPr>
        <w:rPr>
          <w:rFonts w:asciiTheme="minorHAnsi" w:hAnsiTheme="minorHAnsi"/>
          <w:i/>
          <w:iCs/>
          <w:szCs w:val="22"/>
        </w:rPr>
      </w:pPr>
      <w:r>
        <w:rPr>
          <w:rFonts w:asciiTheme="minorHAnsi" w:hAnsiTheme="minorHAnsi"/>
          <w:szCs w:val="22"/>
        </w:rPr>
        <w:t xml:space="preserve">provide that </w:t>
      </w:r>
      <w:r w:rsidR="0001172F">
        <w:rPr>
          <w:rFonts w:asciiTheme="minorHAnsi" w:hAnsiTheme="minorHAnsi"/>
          <w:szCs w:val="22"/>
        </w:rPr>
        <w:t>the relief for the offer, issue or recommendation of interests in a managed investment scheme (</w:t>
      </w:r>
      <w:r w:rsidR="0001172F">
        <w:rPr>
          <w:rFonts w:asciiTheme="minorHAnsi" w:hAnsiTheme="minorHAnsi"/>
          <w:b/>
          <w:bCs/>
          <w:szCs w:val="22"/>
        </w:rPr>
        <w:t>scheme interests</w:t>
      </w:r>
      <w:r w:rsidR="0001172F">
        <w:rPr>
          <w:rFonts w:asciiTheme="minorHAnsi" w:hAnsiTheme="minorHAnsi"/>
          <w:szCs w:val="22"/>
        </w:rPr>
        <w:t>) will continue until 1 April 2025, subject to the notification requirement above;</w:t>
      </w:r>
    </w:p>
    <w:p w14:paraId="6C861112" w14:textId="2269A263" w:rsidR="0001172F" w:rsidRPr="003B5891" w:rsidRDefault="00034343" w:rsidP="003B5891">
      <w:pPr>
        <w:pStyle w:val="ListParagraph"/>
        <w:numPr>
          <w:ilvl w:val="1"/>
          <w:numId w:val="4"/>
        </w:numPr>
        <w:rPr>
          <w:rFonts w:asciiTheme="minorHAnsi" w:hAnsiTheme="minorHAnsi"/>
          <w:i/>
          <w:iCs/>
          <w:szCs w:val="22"/>
        </w:rPr>
      </w:pPr>
      <w:r>
        <w:rPr>
          <w:rFonts w:asciiTheme="minorHAnsi" w:hAnsiTheme="minorHAnsi"/>
          <w:szCs w:val="22"/>
        </w:rPr>
        <w:t xml:space="preserve">provide that </w:t>
      </w:r>
      <w:r w:rsidR="0001172F">
        <w:rPr>
          <w:rFonts w:asciiTheme="minorHAnsi" w:hAnsiTheme="minorHAnsi"/>
          <w:szCs w:val="22"/>
        </w:rPr>
        <w:t xml:space="preserve">the relief for the </w:t>
      </w:r>
      <w:r w:rsidR="00C45137">
        <w:rPr>
          <w:rFonts w:asciiTheme="minorHAnsi" w:hAnsiTheme="minorHAnsi"/>
          <w:szCs w:val="22"/>
        </w:rPr>
        <w:t xml:space="preserve">offer, issue or recommendation of </w:t>
      </w:r>
      <w:r w:rsidR="008A559B" w:rsidRPr="00D30ED5">
        <w:rPr>
          <w:shd w:val="clear" w:color="auto" w:fill="FFFFFF" w:themeFill="background1"/>
        </w:rPr>
        <w:t>Ch</w:t>
      </w:r>
      <w:r w:rsidR="008A559B">
        <w:rPr>
          <w:shd w:val="clear" w:color="auto" w:fill="FFFFFF" w:themeFill="background1"/>
        </w:rPr>
        <w:t xml:space="preserve">apter </w:t>
      </w:r>
      <w:r w:rsidR="008A559B" w:rsidRPr="00D30ED5">
        <w:rPr>
          <w:shd w:val="clear" w:color="auto" w:fill="FFFFFF" w:themeFill="background1"/>
        </w:rPr>
        <w:t xml:space="preserve">6D securities </w:t>
      </w:r>
      <w:r w:rsidR="008A559B">
        <w:rPr>
          <w:shd w:val="clear" w:color="auto" w:fill="FFFFFF" w:themeFill="background1"/>
        </w:rPr>
        <w:t>(including Chapter 2L debentures)</w:t>
      </w:r>
      <w:r w:rsidR="008A559B" w:rsidRPr="005B0E72">
        <w:rPr>
          <w:rFonts w:cstheme="minorHAnsi"/>
          <w:color w:val="000000"/>
          <w:szCs w:val="24"/>
          <w:lang w:eastAsia="en-AU"/>
        </w:rPr>
        <w:t xml:space="preserve"> </w:t>
      </w:r>
      <w:r w:rsidR="00C45137">
        <w:rPr>
          <w:rFonts w:asciiTheme="minorHAnsi" w:hAnsiTheme="minorHAnsi"/>
          <w:szCs w:val="22"/>
        </w:rPr>
        <w:t xml:space="preserve">will </w:t>
      </w:r>
      <w:r w:rsidR="002039AD">
        <w:rPr>
          <w:rFonts w:asciiTheme="minorHAnsi" w:hAnsiTheme="minorHAnsi"/>
          <w:szCs w:val="22"/>
        </w:rPr>
        <w:t>expire on 1 October 2022</w:t>
      </w:r>
      <w:r w:rsidR="00C45137">
        <w:rPr>
          <w:rFonts w:asciiTheme="minorHAnsi" w:hAnsiTheme="minorHAnsi"/>
          <w:szCs w:val="22"/>
        </w:rPr>
        <w:t>; and</w:t>
      </w:r>
    </w:p>
    <w:p w14:paraId="38EE4991" w14:textId="41803F36" w:rsidR="00C45137" w:rsidRPr="003B5891" w:rsidRDefault="00034343" w:rsidP="003B5891">
      <w:pPr>
        <w:pStyle w:val="ListParagraph"/>
        <w:numPr>
          <w:ilvl w:val="1"/>
          <w:numId w:val="4"/>
        </w:numPr>
        <w:rPr>
          <w:rFonts w:asciiTheme="minorHAnsi" w:hAnsiTheme="minorHAnsi"/>
          <w:i/>
          <w:iCs/>
          <w:szCs w:val="22"/>
        </w:rPr>
      </w:pPr>
      <w:r>
        <w:rPr>
          <w:rFonts w:asciiTheme="minorHAnsi" w:hAnsiTheme="minorHAnsi"/>
          <w:szCs w:val="22"/>
        </w:rPr>
        <w:t xml:space="preserve">clarify that </w:t>
      </w:r>
      <w:r w:rsidR="00C45137">
        <w:rPr>
          <w:rFonts w:asciiTheme="minorHAnsi" w:hAnsiTheme="minorHAnsi"/>
          <w:szCs w:val="22"/>
        </w:rPr>
        <w:t xml:space="preserve">the design and distribution </w:t>
      </w:r>
      <w:r w:rsidR="000A7803">
        <w:rPr>
          <w:rFonts w:asciiTheme="minorHAnsi" w:hAnsiTheme="minorHAnsi"/>
          <w:szCs w:val="22"/>
        </w:rPr>
        <w:t>obligations (</w:t>
      </w:r>
      <w:r w:rsidR="000A7803">
        <w:rPr>
          <w:rFonts w:asciiTheme="minorHAnsi" w:hAnsiTheme="minorHAnsi"/>
          <w:b/>
          <w:bCs/>
          <w:szCs w:val="22"/>
        </w:rPr>
        <w:t>DDO</w:t>
      </w:r>
      <w:r>
        <w:rPr>
          <w:rFonts w:asciiTheme="minorHAnsi" w:hAnsiTheme="minorHAnsi"/>
          <w:b/>
          <w:bCs/>
          <w:szCs w:val="22"/>
        </w:rPr>
        <w:t>s</w:t>
      </w:r>
      <w:r w:rsidR="000A7803">
        <w:rPr>
          <w:rFonts w:asciiTheme="minorHAnsi" w:hAnsiTheme="minorHAnsi"/>
          <w:szCs w:val="22"/>
        </w:rPr>
        <w:t>) in P</w:t>
      </w:r>
      <w:r w:rsidR="00625620">
        <w:rPr>
          <w:rFonts w:asciiTheme="minorHAnsi" w:hAnsiTheme="minorHAnsi"/>
          <w:szCs w:val="22"/>
        </w:rPr>
        <w:t>ar</w:t>
      </w:r>
      <w:r w:rsidR="000A7803">
        <w:rPr>
          <w:rFonts w:asciiTheme="minorHAnsi" w:hAnsiTheme="minorHAnsi"/>
          <w:szCs w:val="22"/>
        </w:rPr>
        <w:t xml:space="preserve">t 7.8A of the </w:t>
      </w:r>
      <w:r w:rsidR="00901DED">
        <w:rPr>
          <w:rFonts w:asciiTheme="minorHAnsi" w:hAnsiTheme="minorHAnsi"/>
          <w:szCs w:val="22"/>
        </w:rPr>
        <w:t>Act</w:t>
      </w:r>
      <w:r w:rsidR="000A7803">
        <w:rPr>
          <w:rFonts w:asciiTheme="minorHAnsi" w:hAnsiTheme="minorHAnsi"/>
          <w:szCs w:val="22"/>
        </w:rPr>
        <w:t xml:space="preserve"> apply to persons who rely on the relief where they would need to presently comply with the obligations under P</w:t>
      </w:r>
      <w:r w:rsidR="00625620">
        <w:rPr>
          <w:rFonts w:asciiTheme="minorHAnsi" w:hAnsiTheme="minorHAnsi"/>
          <w:szCs w:val="22"/>
        </w:rPr>
        <w:t>ar</w:t>
      </w:r>
      <w:r w:rsidR="000A7803">
        <w:rPr>
          <w:rFonts w:asciiTheme="minorHAnsi" w:hAnsiTheme="minorHAnsi"/>
          <w:szCs w:val="22"/>
        </w:rPr>
        <w:t>t 7.8A of the Act.</w:t>
      </w:r>
    </w:p>
    <w:p w14:paraId="35A21F5A" w14:textId="77777777" w:rsidR="00C707BF" w:rsidRPr="00377F0B" w:rsidRDefault="00C707BF" w:rsidP="003B5891">
      <w:pPr>
        <w:rPr>
          <w:rFonts w:asciiTheme="minorHAnsi" w:hAnsiTheme="minorHAnsi"/>
          <w:szCs w:val="22"/>
        </w:rPr>
      </w:pPr>
    </w:p>
    <w:p w14:paraId="2D417AC5" w14:textId="464109FC" w:rsidR="00C707BF" w:rsidRPr="00C707BF" w:rsidRDefault="00B82336" w:rsidP="00C707BF">
      <w:pPr>
        <w:overflowPunct/>
        <w:autoSpaceDE/>
        <w:adjustRightInd/>
        <w:spacing w:after="160" w:line="256" w:lineRule="auto"/>
        <w:rPr>
          <w:rFonts w:asciiTheme="minorHAnsi" w:eastAsia="Calibri" w:hAnsiTheme="minorHAnsi"/>
          <w:szCs w:val="22"/>
        </w:rPr>
      </w:pPr>
      <w:r>
        <w:rPr>
          <w:rFonts w:asciiTheme="minorHAnsi" w:eastAsia="Calibri" w:hAnsiTheme="minorHAnsi"/>
          <w:szCs w:val="22"/>
        </w:rPr>
        <w:t xml:space="preserve">ASIC </w:t>
      </w:r>
      <w:r w:rsidR="00C707BF" w:rsidRPr="00C707BF">
        <w:rPr>
          <w:rFonts w:asciiTheme="minorHAnsi" w:eastAsia="Calibri" w:hAnsiTheme="minorHAnsi"/>
          <w:szCs w:val="22"/>
        </w:rPr>
        <w:t xml:space="preserve">certifies </w:t>
      </w:r>
      <w:r w:rsidR="00CA3490">
        <w:rPr>
          <w:rFonts w:asciiTheme="minorHAnsi" w:eastAsia="Calibri" w:hAnsiTheme="minorHAnsi"/>
          <w:szCs w:val="22"/>
        </w:rPr>
        <w:t>the Instrument is operating</w:t>
      </w:r>
      <w:r w:rsidR="00967EDC">
        <w:rPr>
          <w:rFonts w:asciiTheme="minorHAnsi" w:eastAsia="Calibri" w:hAnsiTheme="minorHAnsi"/>
          <w:szCs w:val="22"/>
        </w:rPr>
        <w:t xml:space="preserve"> </w:t>
      </w:r>
      <w:r w:rsidR="00C707BF" w:rsidRPr="00C707BF">
        <w:rPr>
          <w:rFonts w:asciiTheme="minorHAnsi" w:eastAsia="Calibri" w:hAnsiTheme="minorHAnsi"/>
          <w:szCs w:val="22"/>
        </w:rPr>
        <w:t>effectively and efficiently</w:t>
      </w:r>
      <w:r w:rsidR="00CA3490">
        <w:rPr>
          <w:rFonts w:asciiTheme="minorHAnsi" w:eastAsia="Calibri" w:hAnsiTheme="minorHAnsi"/>
          <w:szCs w:val="22"/>
        </w:rPr>
        <w:t xml:space="preserve"> and therefore a</w:t>
      </w:r>
      <w:r w:rsidR="00C707BF" w:rsidRPr="00C707BF">
        <w:rPr>
          <w:rFonts w:asciiTheme="minorHAnsi" w:eastAsia="Calibri" w:hAnsiTheme="minorHAnsi"/>
          <w:szCs w:val="22"/>
        </w:rPr>
        <w:t xml:space="preserve"> </w:t>
      </w:r>
      <w:r w:rsidR="00C707BF" w:rsidRPr="00C707BF">
        <w:rPr>
          <w:rFonts w:asciiTheme="minorHAnsi" w:eastAsia="Calibri" w:hAnsiTheme="minorHAnsi"/>
          <w:i/>
          <w:iCs/>
          <w:szCs w:val="22"/>
        </w:rPr>
        <w:t>Regulation Impact Statement</w:t>
      </w:r>
      <w:r w:rsidR="00C707BF" w:rsidRPr="00C707BF">
        <w:rPr>
          <w:rFonts w:asciiTheme="minorHAnsi" w:eastAsia="Calibri" w:hAnsiTheme="minorHAnsi"/>
          <w:szCs w:val="22"/>
        </w:rPr>
        <w:t xml:space="preserve"> is not required for this Instrument to be remade. </w:t>
      </w:r>
    </w:p>
    <w:p w14:paraId="552F0ED5" w14:textId="6BDF49A7" w:rsidR="00004F25" w:rsidRDefault="00967EDC" w:rsidP="00B3648E">
      <w:pPr>
        <w:ind w:left="-5"/>
        <w:rPr>
          <w:rFonts w:asciiTheme="minorHAnsi" w:hAnsiTheme="minorHAnsi"/>
          <w:szCs w:val="22"/>
          <w:lang w:val="en-US"/>
        </w:rPr>
      </w:pPr>
      <w:r>
        <w:rPr>
          <w:rFonts w:asciiTheme="minorHAnsi" w:hAnsiTheme="minorHAnsi"/>
          <w:szCs w:val="22"/>
        </w:rPr>
        <w:t>This assessment</w:t>
      </w:r>
      <w:r w:rsidR="00B3648E" w:rsidRPr="00377F0B">
        <w:rPr>
          <w:rFonts w:asciiTheme="minorHAnsi" w:hAnsiTheme="minorHAnsi"/>
          <w:szCs w:val="22"/>
        </w:rPr>
        <w:t xml:space="preserve"> has been informed by a consultation process </w:t>
      </w:r>
      <w:r w:rsidR="00B94505">
        <w:rPr>
          <w:rFonts w:asciiTheme="minorHAnsi" w:hAnsiTheme="minorHAnsi"/>
          <w:szCs w:val="22"/>
        </w:rPr>
        <w:t>during</w:t>
      </w:r>
      <w:r w:rsidR="00B3648E" w:rsidRPr="00377F0B">
        <w:rPr>
          <w:rFonts w:asciiTheme="minorHAnsi" w:hAnsiTheme="minorHAnsi"/>
          <w:szCs w:val="22"/>
        </w:rPr>
        <w:t xml:space="preserve"> the period</w:t>
      </w:r>
      <w:r w:rsidR="00AE4644">
        <w:rPr>
          <w:rFonts w:asciiTheme="minorHAnsi" w:hAnsiTheme="minorHAnsi"/>
          <w:szCs w:val="22"/>
        </w:rPr>
        <w:t xml:space="preserve"> from</w:t>
      </w:r>
      <w:r w:rsidR="00B3648E" w:rsidRPr="00377F0B">
        <w:rPr>
          <w:rFonts w:asciiTheme="minorHAnsi" w:hAnsiTheme="minorHAnsi"/>
          <w:szCs w:val="22"/>
        </w:rPr>
        <w:t xml:space="preserve"> </w:t>
      </w:r>
      <w:r w:rsidR="00A0747A" w:rsidRPr="00A0747A">
        <w:rPr>
          <w:rFonts w:asciiTheme="minorHAnsi" w:hAnsiTheme="minorHAnsi"/>
          <w:szCs w:val="22"/>
        </w:rPr>
        <w:t>2</w:t>
      </w:r>
      <w:r w:rsidR="00720440">
        <w:rPr>
          <w:rFonts w:asciiTheme="minorHAnsi" w:hAnsiTheme="minorHAnsi"/>
          <w:szCs w:val="22"/>
        </w:rPr>
        <w:t>5 January 2</w:t>
      </w:r>
      <w:r w:rsidR="00B3648E" w:rsidRPr="00A0747A">
        <w:rPr>
          <w:rFonts w:asciiTheme="minorHAnsi" w:hAnsiTheme="minorHAnsi"/>
          <w:szCs w:val="22"/>
        </w:rPr>
        <w:t>02</w:t>
      </w:r>
      <w:r w:rsidR="00720440">
        <w:rPr>
          <w:rFonts w:asciiTheme="minorHAnsi" w:hAnsiTheme="minorHAnsi"/>
          <w:szCs w:val="22"/>
        </w:rPr>
        <w:t>2</w:t>
      </w:r>
      <w:r w:rsidR="00B3648E" w:rsidRPr="00A0747A">
        <w:rPr>
          <w:rFonts w:asciiTheme="minorHAnsi" w:hAnsiTheme="minorHAnsi"/>
          <w:szCs w:val="22"/>
        </w:rPr>
        <w:t xml:space="preserve"> to </w:t>
      </w:r>
      <w:r w:rsidR="00720440">
        <w:rPr>
          <w:rFonts w:asciiTheme="minorHAnsi" w:hAnsiTheme="minorHAnsi"/>
          <w:szCs w:val="22"/>
        </w:rPr>
        <w:t xml:space="preserve">15 February </w:t>
      </w:r>
      <w:r w:rsidR="00B3648E" w:rsidRPr="00A0747A">
        <w:rPr>
          <w:rFonts w:asciiTheme="minorHAnsi" w:hAnsiTheme="minorHAnsi"/>
          <w:szCs w:val="22"/>
        </w:rPr>
        <w:t>202</w:t>
      </w:r>
      <w:r w:rsidR="00720440">
        <w:rPr>
          <w:rFonts w:asciiTheme="minorHAnsi" w:hAnsiTheme="minorHAnsi"/>
          <w:szCs w:val="22"/>
        </w:rPr>
        <w:t>2, with additional submissions received up to 21 February 2022</w:t>
      </w:r>
      <w:r w:rsidR="00B3648E" w:rsidRPr="00377F0B">
        <w:rPr>
          <w:rFonts w:asciiTheme="minorHAnsi" w:hAnsiTheme="minorHAnsi"/>
          <w:szCs w:val="22"/>
        </w:rPr>
        <w:t>.</w:t>
      </w:r>
      <w:r w:rsidR="00B94505">
        <w:rPr>
          <w:rFonts w:asciiTheme="minorHAnsi" w:hAnsiTheme="minorHAnsi"/>
          <w:szCs w:val="22"/>
        </w:rPr>
        <w:t xml:space="preserve"> </w:t>
      </w:r>
      <w:r w:rsidR="00F46175">
        <w:rPr>
          <w:rFonts w:asciiTheme="minorHAnsi" w:hAnsiTheme="minorHAnsi"/>
          <w:szCs w:val="22"/>
          <w:lang w:val="en-US"/>
        </w:rPr>
        <w:t xml:space="preserve">ASIC </w:t>
      </w:r>
      <w:r w:rsidR="001A5710">
        <w:rPr>
          <w:rFonts w:asciiTheme="minorHAnsi" w:hAnsiTheme="minorHAnsi"/>
          <w:szCs w:val="22"/>
          <w:lang w:val="en-US"/>
        </w:rPr>
        <w:t xml:space="preserve">consulted publicly </w:t>
      </w:r>
      <w:r w:rsidR="00B82336">
        <w:rPr>
          <w:rFonts w:asciiTheme="minorHAnsi" w:hAnsiTheme="minorHAnsi"/>
          <w:szCs w:val="22"/>
          <w:lang w:val="en-US"/>
        </w:rPr>
        <w:t xml:space="preserve">through </w:t>
      </w:r>
      <w:hyperlink r:id="rId24" w:history="1">
        <w:r w:rsidR="00B82336" w:rsidRPr="00034343">
          <w:rPr>
            <w:rStyle w:val="Hyperlink"/>
            <w:rFonts w:asciiTheme="minorHAnsi" w:hAnsiTheme="minorHAnsi"/>
            <w:szCs w:val="22"/>
            <w:lang w:val="en-US"/>
          </w:rPr>
          <w:t xml:space="preserve">Consultation Paper </w:t>
        </w:r>
        <w:r w:rsidR="001A5710" w:rsidRPr="00034343">
          <w:rPr>
            <w:rStyle w:val="Hyperlink"/>
            <w:rFonts w:asciiTheme="minorHAnsi" w:hAnsiTheme="minorHAnsi"/>
            <w:szCs w:val="22"/>
            <w:lang w:val="en-US"/>
          </w:rPr>
          <w:t>357</w:t>
        </w:r>
      </w:hyperlink>
      <w:r w:rsidR="001A5710">
        <w:rPr>
          <w:rFonts w:asciiTheme="minorHAnsi" w:hAnsiTheme="minorHAnsi"/>
          <w:szCs w:val="22"/>
          <w:lang w:val="en-US"/>
        </w:rPr>
        <w:t xml:space="preserve"> </w:t>
      </w:r>
      <w:r w:rsidR="001A5710" w:rsidRPr="001A5710">
        <w:rPr>
          <w:rFonts w:asciiTheme="minorHAnsi" w:hAnsiTheme="minorHAnsi"/>
          <w:i/>
          <w:iCs/>
          <w:szCs w:val="22"/>
          <w:lang w:val="en-US"/>
        </w:rPr>
        <w:t>Remaking relief for business introduction services: ASIC Instrument 2017/186</w:t>
      </w:r>
      <w:r w:rsidR="001A5710">
        <w:rPr>
          <w:rFonts w:asciiTheme="minorHAnsi" w:hAnsiTheme="minorHAnsi"/>
          <w:szCs w:val="22"/>
          <w:lang w:val="en-US"/>
        </w:rPr>
        <w:t xml:space="preserve"> </w:t>
      </w:r>
      <w:r w:rsidR="001A5710" w:rsidRPr="001A5710">
        <w:rPr>
          <w:rFonts w:asciiTheme="minorHAnsi" w:hAnsiTheme="minorHAnsi"/>
          <w:szCs w:val="22"/>
          <w:lang w:val="en-US"/>
        </w:rPr>
        <w:t>(</w:t>
      </w:r>
      <w:r w:rsidR="001A5710" w:rsidRPr="001A5710">
        <w:rPr>
          <w:rFonts w:asciiTheme="minorHAnsi" w:hAnsiTheme="minorHAnsi"/>
          <w:b/>
          <w:bCs/>
          <w:szCs w:val="22"/>
          <w:lang w:val="en-US"/>
        </w:rPr>
        <w:t>CP 357</w:t>
      </w:r>
      <w:r w:rsidR="001A5710" w:rsidRPr="001A5710">
        <w:rPr>
          <w:rFonts w:asciiTheme="minorHAnsi" w:hAnsiTheme="minorHAnsi"/>
          <w:szCs w:val="22"/>
          <w:lang w:val="en-US"/>
        </w:rPr>
        <w:t>)</w:t>
      </w:r>
      <w:r w:rsidR="001A5710">
        <w:rPr>
          <w:rFonts w:asciiTheme="minorHAnsi" w:hAnsiTheme="minorHAnsi"/>
          <w:szCs w:val="22"/>
          <w:lang w:val="en-US"/>
        </w:rPr>
        <w:t xml:space="preserve"> and received feedback </w:t>
      </w:r>
      <w:r w:rsidR="001612EA" w:rsidRPr="0017448E">
        <w:rPr>
          <w:rFonts w:asciiTheme="minorHAnsi" w:hAnsiTheme="minorHAnsi"/>
          <w:szCs w:val="22"/>
          <w:lang w:val="en-US"/>
        </w:rPr>
        <w:t xml:space="preserve">from </w:t>
      </w:r>
      <w:r w:rsidR="00B82336">
        <w:rPr>
          <w:rFonts w:asciiTheme="minorHAnsi" w:hAnsiTheme="minorHAnsi"/>
          <w:szCs w:val="22"/>
          <w:lang w:val="en-US"/>
        </w:rPr>
        <w:t>various stakeholders</w:t>
      </w:r>
      <w:r w:rsidR="00034343">
        <w:rPr>
          <w:rFonts w:asciiTheme="minorHAnsi" w:hAnsiTheme="minorHAnsi"/>
          <w:szCs w:val="22"/>
          <w:lang w:val="en-US"/>
        </w:rPr>
        <w:t xml:space="preserve">, including </w:t>
      </w:r>
      <w:r w:rsidR="00BF5985">
        <w:rPr>
          <w:rFonts w:asciiTheme="minorHAnsi" w:hAnsiTheme="minorHAnsi"/>
          <w:szCs w:val="22"/>
          <w:lang w:val="en-US"/>
        </w:rPr>
        <w:t xml:space="preserve">existing business introduction service operators, the Law Council of Australia and a CSF intermediary. </w:t>
      </w:r>
    </w:p>
    <w:p w14:paraId="70197ED5" w14:textId="6E85BF8F" w:rsidR="00225369" w:rsidRDefault="00225369" w:rsidP="00B3648E">
      <w:pPr>
        <w:ind w:left="-5"/>
        <w:rPr>
          <w:rFonts w:asciiTheme="minorHAnsi" w:hAnsiTheme="minorHAnsi"/>
          <w:szCs w:val="22"/>
          <w:lang w:val="en-US"/>
        </w:rPr>
      </w:pPr>
      <w:r>
        <w:rPr>
          <w:rFonts w:asciiTheme="minorHAnsi" w:hAnsiTheme="minorHAnsi"/>
          <w:szCs w:val="22"/>
          <w:lang w:val="en-US"/>
        </w:rPr>
        <w:br/>
        <w:t xml:space="preserve">I enclose a copy of CP 357 and a draft feedback report </w:t>
      </w:r>
      <w:r w:rsidR="008D195E">
        <w:rPr>
          <w:rFonts w:asciiTheme="minorHAnsi" w:hAnsiTheme="minorHAnsi"/>
          <w:szCs w:val="22"/>
          <w:lang w:val="en-US"/>
        </w:rPr>
        <w:t>on</w:t>
      </w:r>
      <w:r>
        <w:rPr>
          <w:rFonts w:asciiTheme="minorHAnsi" w:hAnsiTheme="minorHAnsi"/>
          <w:szCs w:val="22"/>
          <w:lang w:val="en-US"/>
        </w:rPr>
        <w:t xml:space="preserve"> CP 357</w:t>
      </w:r>
      <w:r w:rsidR="00FD1D33">
        <w:rPr>
          <w:rFonts w:asciiTheme="minorHAnsi" w:hAnsiTheme="minorHAnsi"/>
          <w:szCs w:val="22"/>
          <w:lang w:val="en-US"/>
        </w:rPr>
        <w:t xml:space="preserve"> for your </w:t>
      </w:r>
      <w:r>
        <w:rPr>
          <w:rFonts w:asciiTheme="minorHAnsi" w:hAnsiTheme="minorHAnsi"/>
          <w:szCs w:val="22"/>
          <w:lang w:val="en-US"/>
        </w:rPr>
        <w:t xml:space="preserve">consideration. </w:t>
      </w:r>
    </w:p>
    <w:p w14:paraId="45703C27" w14:textId="77777777" w:rsidR="00004F25" w:rsidRDefault="00004F25" w:rsidP="003B5891">
      <w:pPr>
        <w:rPr>
          <w:rFonts w:asciiTheme="minorHAnsi" w:hAnsiTheme="minorHAnsi"/>
          <w:szCs w:val="22"/>
          <w:lang w:val="en-US"/>
        </w:rPr>
      </w:pPr>
    </w:p>
    <w:p w14:paraId="19B4666A" w14:textId="0486F414" w:rsidR="008F4151" w:rsidRDefault="008C0CE5">
      <w:pPr>
        <w:ind w:left="-5"/>
        <w:rPr>
          <w:rFonts w:asciiTheme="minorHAnsi" w:hAnsiTheme="minorHAnsi"/>
          <w:szCs w:val="22"/>
          <w:lang w:val="en-US"/>
        </w:rPr>
      </w:pPr>
      <w:r w:rsidRPr="008C0CE5">
        <w:rPr>
          <w:rFonts w:asciiTheme="minorHAnsi" w:hAnsiTheme="minorHAnsi"/>
          <w:szCs w:val="22"/>
        </w:rPr>
        <w:t xml:space="preserve">The feedback from industry stakeholders confirmed that </w:t>
      </w:r>
      <w:r w:rsidR="00B22779">
        <w:rPr>
          <w:rFonts w:asciiTheme="minorHAnsi" w:hAnsiTheme="minorHAnsi"/>
          <w:szCs w:val="22"/>
          <w:lang w:val="en-US"/>
        </w:rPr>
        <w:t>the Instrument</w:t>
      </w:r>
      <w:r w:rsidR="001A5710">
        <w:rPr>
          <w:rFonts w:asciiTheme="minorHAnsi" w:hAnsiTheme="minorHAnsi"/>
          <w:szCs w:val="22"/>
          <w:lang w:val="en-US"/>
        </w:rPr>
        <w:t xml:space="preserve"> </w:t>
      </w:r>
      <w:r w:rsidRPr="008C0CE5">
        <w:rPr>
          <w:rFonts w:asciiTheme="minorHAnsi" w:hAnsiTheme="minorHAnsi"/>
          <w:szCs w:val="22"/>
        </w:rPr>
        <w:t>ha</w:t>
      </w:r>
      <w:r w:rsidR="00AE4644">
        <w:rPr>
          <w:rFonts w:asciiTheme="minorHAnsi" w:hAnsiTheme="minorHAnsi"/>
          <w:szCs w:val="22"/>
        </w:rPr>
        <w:t>s</w:t>
      </w:r>
      <w:r w:rsidRPr="008C0CE5">
        <w:rPr>
          <w:rFonts w:asciiTheme="minorHAnsi" w:hAnsiTheme="minorHAnsi"/>
          <w:szCs w:val="22"/>
        </w:rPr>
        <w:t xml:space="preserve"> been operating efficiently and effectively</w:t>
      </w:r>
      <w:r w:rsidR="00D817FF">
        <w:rPr>
          <w:rFonts w:asciiTheme="minorHAnsi" w:hAnsiTheme="minorHAnsi"/>
          <w:szCs w:val="22"/>
        </w:rPr>
        <w:t xml:space="preserve">. This feedback </w:t>
      </w:r>
      <w:r w:rsidR="00967EDC">
        <w:rPr>
          <w:rFonts w:asciiTheme="minorHAnsi" w:hAnsiTheme="minorHAnsi"/>
          <w:szCs w:val="22"/>
        </w:rPr>
        <w:t>also broadly supports</w:t>
      </w:r>
      <w:r w:rsidR="00582F00">
        <w:rPr>
          <w:rFonts w:asciiTheme="minorHAnsi" w:hAnsiTheme="minorHAnsi"/>
          <w:szCs w:val="22"/>
        </w:rPr>
        <w:t xml:space="preserve"> </w:t>
      </w:r>
      <w:r w:rsidRPr="008C0CE5">
        <w:rPr>
          <w:rFonts w:asciiTheme="minorHAnsi" w:hAnsiTheme="minorHAnsi"/>
          <w:szCs w:val="22"/>
        </w:rPr>
        <w:t>ASIC remak</w:t>
      </w:r>
      <w:r w:rsidR="00582F00">
        <w:rPr>
          <w:rFonts w:asciiTheme="minorHAnsi" w:hAnsiTheme="minorHAnsi"/>
          <w:szCs w:val="22"/>
        </w:rPr>
        <w:t>ing</w:t>
      </w:r>
      <w:r w:rsidR="001A5710">
        <w:rPr>
          <w:rFonts w:asciiTheme="minorHAnsi" w:hAnsiTheme="minorHAnsi"/>
          <w:szCs w:val="22"/>
        </w:rPr>
        <w:t xml:space="preserve"> </w:t>
      </w:r>
      <w:r w:rsidR="00B22779">
        <w:rPr>
          <w:rFonts w:asciiTheme="minorHAnsi" w:hAnsiTheme="minorHAnsi"/>
          <w:szCs w:val="22"/>
          <w:lang w:val="en-US"/>
        </w:rPr>
        <w:t>the Instrument</w:t>
      </w:r>
      <w:r w:rsidR="00967EDC">
        <w:rPr>
          <w:rFonts w:asciiTheme="minorHAnsi" w:hAnsiTheme="minorHAnsi"/>
          <w:szCs w:val="22"/>
          <w:lang w:val="en-US"/>
        </w:rPr>
        <w:t xml:space="preserve"> based on the </w:t>
      </w:r>
      <w:r w:rsidR="00B82336">
        <w:rPr>
          <w:rFonts w:asciiTheme="minorHAnsi" w:hAnsiTheme="minorHAnsi"/>
          <w:szCs w:val="22"/>
          <w:lang w:val="en-US"/>
        </w:rPr>
        <w:t xml:space="preserve">approach that ASIC has decided on. </w:t>
      </w:r>
    </w:p>
    <w:p w14:paraId="14572EDD" w14:textId="77777777" w:rsidR="00CF5389" w:rsidRDefault="00CF5389" w:rsidP="00CF5389">
      <w:pPr>
        <w:rPr>
          <w:rFonts w:asciiTheme="minorHAnsi" w:hAnsiTheme="minorHAnsi"/>
          <w:iCs/>
          <w:szCs w:val="22"/>
          <w:lang w:val="en-US"/>
        </w:rPr>
      </w:pPr>
    </w:p>
    <w:p w14:paraId="1644F67D" w14:textId="457D4625" w:rsidR="00A57A9A" w:rsidRDefault="00CF5389" w:rsidP="007B4B48">
      <w:pPr>
        <w:ind w:left="-5"/>
        <w:rPr>
          <w:rFonts w:asciiTheme="minorHAnsi" w:hAnsiTheme="minorHAnsi"/>
          <w:iCs/>
          <w:szCs w:val="22"/>
          <w:lang w:val="en-US"/>
        </w:rPr>
      </w:pPr>
      <w:r>
        <w:rPr>
          <w:rFonts w:asciiTheme="minorHAnsi" w:hAnsiTheme="minorHAnsi"/>
          <w:szCs w:val="22"/>
          <w:lang w:val="en-US"/>
        </w:rPr>
        <w:t xml:space="preserve">The </w:t>
      </w:r>
      <w:r w:rsidRPr="000C1B8D">
        <w:rPr>
          <w:rFonts w:asciiTheme="minorHAnsi" w:hAnsiTheme="minorHAnsi"/>
          <w:szCs w:val="22"/>
          <w:lang w:val="en-US"/>
        </w:rPr>
        <w:t>regulatory burden to business, community organisations or individuals</w:t>
      </w:r>
      <w:r>
        <w:rPr>
          <w:rFonts w:asciiTheme="minorHAnsi" w:hAnsiTheme="minorHAnsi"/>
          <w:szCs w:val="22"/>
          <w:lang w:val="en-US"/>
        </w:rPr>
        <w:t xml:space="preserve"> of the instrument being remade </w:t>
      </w:r>
      <w:r w:rsidRPr="000C1B8D">
        <w:rPr>
          <w:rFonts w:asciiTheme="minorHAnsi" w:hAnsiTheme="minorHAnsi"/>
          <w:szCs w:val="22"/>
          <w:lang w:val="en-US"/>
        </w:rPr>
        <w:t xml:space="preserve">has been </w:t>
      </w:r>
      <w:r>
        <w:rPr>
          <w:rFonts w:asciiTheme="minorHAnsi" w:hAnsiTheme="minorHAnsi"/>
          <w:szCs w:val="22"/>
          <w:lang w:val="en-US"/>
        </w:rPr>
        <w:t>assessed</w:t>
      </w:r>
      <w:r w:rsidRPr="000C1B8D">
        <w:rPr>
          <w:rFonts w:asciiTheme="minorHAnsi" w:hAnsiTheme="minorHAnsi"/>
          <w:szCs w:val="22"/>
          <w:lang w:val="en-US"/>
        </w:rPr>
        <w:t xml:space="preserve"> using the Australian Government’s </w:t>
      </w:r>
      <w:r w:rsidRPr="000C1B8D">
        <w:rPr>
          <w:rFonts w:asciiTheme="minorHAnsi" w:hAnsiTheme="minorHAnsi"/>
          <w:i/>
          <w:szCs w:val="22"/>
          <w:lang w:val="en-US"/>
        </w:rPr>
        <w:t>Regulatory Burden Measurement framework</w:t>
      </w:r>
      <w:r>
        <w:rPr>
          <w:rFonts w:asciiTheme="minorHAnsi" w:hAnsiTheme="minorHAnsi"/>
          <w:iCs/>
          <w:szCs w:val="22"/>
          <w:lang w:val="en-US"/>
        </w:rPr>
        <w:t xml:space="preserve">. </w:t>
      </w:r>
      <w:r w:rsidR="00F46175">
        <w:rPr>
          <w:rFonts w:asciiTheme="minorHAnsi" w:hAnsiTheme="minorHAnsi"/>
          <w:iCs/>
          <w:szCs w:val="22"/>
          <w:lang w:val="en-US"/>
        </w:rPr>
        <w:t xml:space="preserve">I </w:t>
      </w:r>
      <w:r w:rsidR="001F5BFF">
        <w:rPr>
          <w:rFonts w:asciiTheme="minorHAnsi" w:hAnsiTheme="minorHAnsi"/>
          <w:iCs/>
          <w:szCs w:val="22"/>
          <w:lang w:val="en-US"/>
        </w:rPr>
        <w:t xml:space="preserve">summarise our assessment below. </w:t>
      </w:r>
    </w:p>
    <w:p w14:paraId="180F063B" w14:textId="136EC833" w:rsidR="001F5BFF" w:rsidRDefault="001F5BFF" w:rsidP="007B4B48">
      <w:pPr>
        <w:ind w:left="-5"/>
        <w:rPr>
          <w:rFonts w:asciiTheme="minorHAnsi" w:hAnsiTheme="minorHAnsi"/>
          <w:iCs/>
          <w:szCs w:val="22"/>
          <w:lang w:val="en-US"/>
        </w:rPr>
      </w:pPr>
    </w:p>
    <w:p w14:paraId="1C02F9F0" w14:textId="6C96B9D9" w:rsidR="001F5BFF" w:rsidRPr="003B5891" w:rsidRDefault="001F5BFF" w:rsidP="007B4B48">
      <w:pPr>
        <w:ind w:left="-5"/>
        <w:rPr>
          <w:rFonts w:asciiTheme="minorHAnsi" w:hAnsiTheme="minorHAnsi"/>
          <w:iCs/>
          <w:szCs w:val="22"/>
          <w:u w:val="single"/>
          <w:lang w:val="en-US"/>
        </w:rPr>
      </w:pPr>
      <w:r>
        <w:rPr>
          <w:rFonts w:asciiTheme="minorHAnsi" w:hAnsiTheme="minorHAnsi"/>
          <w:iCs/>
          <w:szCs w:val="22"/>
          <w:u w:val="single"/>
          <w:lang w:val="en-US"/>
        </w:rPr>
        <w:t xml:space="preserve">Sunsetting </w:t>
      </w:r>
      <w:r w:rsidR="00873B14" w:rsidRPr="008C39AC">
        <w:rPr>
          <w:u w:val="single"/>
          <w:shd w:val="clear" w:color="auto" w:fill="FFFFFF" w:themeFill="background1"/>
        </w:rPr>
        <w:t>Chapter 6D securities (including Chapter 2L debentures)</w:t>
      </w:r>
      <w:r>
        <w:rPr>
          <w:rFonts w:asciiTheme="minorHAnsi" w:hAnsiTheme="minorHAnsi"/>
          <w:iCs/>
          <w:szCs w:val="22"/>
          <w:u w:val="single"/>
          <w:lang w:val="en-US"/>
        </w:rPr>
        <w:t xml:space="preserve"> </w:t>
      </w:r>
    </w:p>
    <w:p w14:paraId="15F48D77" w14:textId="77777777" w:rsidR="009B35F7" w:rsidRDefault="009B35F7" w:rsidP="00387ED3">
      <w:pPr>
        <w:ind w:left="-5"/>
        <w:rPr>
          <w:rFonts w:asciiTheme="minorHAnsi" w:hAnsiTheme="minorHAnsi"/>
          <w:iCs/>
          <w:szCs w:val="22"/>
          <w:lang w:val="en-US"/>
        </w:rPr>
      </w:pPr>
    </w:p>
    <w:p w14:paraId="7B039D7B" w14:textId="4781D3A5" w:rsidR="009B35F7" w:rsidRDefault="00873B14" w:rsidP="009B35F7">
      <w:pPr>
        <w:ind w:left="-5"/>
        <w:rPr>
          <w:rFonts w:asciiTheme="minorHAnsi" w:hAnsiTheme="minorHAnsi"/>
          <w:iCs/>
          <w:szCs w:val="22"/>
          <w:lang w:val="en-US"/>
        </w:rPr>
      </w:pPr>
      <w:r w:rsidRPr="00D30ED5">
        <w:rPr>
          <w:shd w:val="clear" w:color="auto" w:fill="FFFFFF" w:themeFill="background1"/>
        </w:rPr>
        <w:t>Ch</w:t>
      </w:r>
      <w:r>
        <w:rPr>
          <w:shd w:val="clear" w:color="auto" w:fill="FFFFFF" w:themeFill="background1"/>
        </w:rPr>
        <w:t xml:space="preserve">apter </w:t>
      </w:r>
      <w:r w:rsidRPr="00D30ED5">
        <w:rPr>
          <w:shd w:val="clear" w:color="auto" w:fill="FFFFFF" w:themeFill="background1"/>
        </w:rPr>
        <w:t xml:space="preserve">6D securities </w:t>
      </w:r>
      <w:r>
        <w:rPr>
          <w:shd w:val="clear" w:color="auto" w:fill="FFFFFF" w:themeFill="background1"/>
        </w:rPr>
        <w:t>(including Chapter 2L debentures)</w:t>
      </w:r>
      <w:r w:rsidR="009B35F7">
        <w:rPr>
          <w:rFonts w:asciiTheme="minorHAnsi" w:hAnsiTheme="minorHAnsi"/>
          <w:iCs/>
          <w:szCs w:val="22"/>
          <w:lang w:val="en-US"/>
        </w:rPr>
        <w:t xml:space="preserve"> relief</w:t>
      </w:r>
      <w:r w:rsidR="00CA3490">
        <w:rPr>
          <w:rFonts w:asciiTheme="minorHAnsi" w:hAnsiTheme="minorHAnsi"/>
          <w:iCs/>
          <w:szCs w:val="22"/>
          <w:lang w:val="en-US"/>
        </w:rPr>
        <w:t xml:space="preserve"> will be allowed</w:t>
      </w:r>
      <w:r w:rsidR="009B35F7">
        <w:rPr>
          <w:rFonts w:asciiTheme="minorHAnsi" w:hAnsiTheme="minorHAnsi"/>
          <w:iCs/>
          <w:szCs w:val="22"/>
          <w:lang w:val="en-US"/>
        </w:rPr>
        <w:t xml:space="preserve"> to expire, </w:t>
      </w:r>
      <w:r w:rsidR="009B35F7">
        <w:rPr>
          <w:rFonts w:asciiTheme="minorHAnsi" w:hAnsiTheme="minorHAnsi"/>
          <w:szCs w:val="22"/>
          <w:lang w:val="en-US"/>
        </w:rPr>
        <w:t>given that the CSF regime alr</w:t>
      </w:r>
      <w:r w:rsidR="00474BC4">
        <w:rPr>
          <w:rFonts w:asciiTheme="minorHAnsi" w:hAnsiTheme="minorHAnsi"/>
          <w:szCs w:val="22"/>
          <w:lang w:val="en-US"/>
        </w:rPr>
        <w:t xml:space="preserve">eady </w:t>
      </w:r>
      <w:r w:rsidR="00B34E97">
        <w:rPr>
          <w:rFonts w:asciiTheme="minorHAnsi" w:hAnsiTheme="minorHAnsi"/>
          <w:szCs w:val="22"/>
          <w:lang w:val="en-US"/>
        </w:rPr>
        <w:t xml:space="preserve">facilitates </w:t>
      </w:r>
      <w:r w:rsidR="00474BC4">
        <w:rPr>
          <w:rFonts w:asciiTheme="minorHAnsi" w:hAnsiTheme="minorHAnsi"/>
          <w:szCs w:val="22"/>
          <w:lang w:val="en-US"/>
        </w:rPr>
        <w:t xml:space="preserve">fundraising by SMEs </w:t>
      </w:r>
      <w:r w:rsidR="003F1116">
        <w:rPr>
          <w:rFonts w:asciiTheme="minorHAnsi" w:hAnsiTheme="minorHAnsi"/>
          <w:szCs w:val="22"/>
          <w:lang w:val="en-US"/>
        </w:rPr>
        <w:t xml:space="preserve">with more effective investor protections. </w:t>
      </w:r>
    </w:p>
    <w:p w14:paraId="5AD1339B" w14:textId="78D13FE0" w:rsidR="003F1116" w:rsidRDefault="00A57A9A" w:rsidP="00387ED3">
      <w:pPr>
        <w:ind w:left="-5"/>
        <w:rPr>
          <w:rFonts w:asciiTheme="minorHAnsi" w:hAnsiTheme="minorHAnsi"/>
          <w:iCs/>
          <w:szCs w:val="22"/>
          <w:lang w:val="en-US"/>
        </w:rPr>
      </w:pPr>
      <w:r>
        <w:rPr>
          <w:rFonts w:asciiTheme="minorHAnsi" w:hAnsiTheme="minorHAnsi"/>
          <w:iCs/>
          <w:szCs w:val="22"/>
          <w:lang w:val="en-US"/>
        </w:rPr>
        <w:lastRenderedPageBreak/>
        <w:br/>
      </w:r>
      <w:r w:rsidR="00CA3490">
        <w:rPr>
          <w:rFonts w:asciiTheme="minorHAnsi" w:hAnsiTheme="minorHAnsi"/>
          <w:iCs/>
          <w:szCs w:val="22"/>
          <w:lang w:val="en-US"/>
        </w:rPr>
        <w:t>ASIC’s</w:t>
      </w:r>
      <w:r w:rsidR="00A579BA">
        <w:rPr>
          <w:rFonts w:asciiTheme="minorHAnsi" w:hAnsiTheme="minorHAnsi"/>
          <w:iCs/>
          <w:szCs w:val="22"/>
          <w:lang w:val="en-US"/>
        </w:rPr>
        <w:t xml:space="preserve"> proposal </w:t>
      </w:r>
      <w:r w:rsidR="0091600C">
        <w:rPr>
          <w:rFonts w:asciiTheme="minorHAnsi" w:hAnsiTheme="minorHAnsi"/>
          <w:iCs/>
          <w:szCs w:val="22"/>
          <w:lang w:val="en-US"/>
        </w:rPr>
        <w:t>to</w:t>
      </w:r>
      <w:r w:rsidR="004E305C">
        <w:rPr>
          <w:rFonts w:asciiTheme="minorHAnsi" w:hAnsiTheme="minorHAnsi"/>
          <w:iCs/>
          <w:szCs w:val="22"/>
          <w:lang w:val="en-US"/>
        </w:rPr>
        <w:t xml:space="preserve"> </w:t>
      </w:r>
      <w:r w:rsidR="0091600C">
        <w:rPr>
          <w:rFonts w:asciiTheme="minorHAnsi" w:hAnsiTheme="minorHAnsi"/>
          <w:iCs/>
          <w:szCs w:val="22"/>
          <w:lang w:val="en-US"/>
        </w:rPr>
        <w:t>allow</w:t>
      </w:r>
      <w:r w:rsidR="004E305C">
        <w:rPr>
          <w:rFonts w:asciiTheme="minorHAnsi" w:hAnsiTheme="minorHAnsi"/>
          <w:iCs/>
          <w:szCs w:val="22"/>
          <w:lang w:val="en-US"/>
        </w:rPr>
        <w:t xml:space="preserve"> the </w:t>
      </w:r>
      <w:r w:rsidR="00873B14" w:rsidRPr="00D30ED5">
        <w:rPr>
          <w:shd w:val="clear" w:color="auto" w:fill="FFFFFF" w:themeFill="background1"/>
        </w:rPr>
        <w:t>Ch</w:t>
      </w:r>
      <w:r w:rsidR="00873B14">
        <w:rPr>
          <w:shd w:val="clear" w:color="auto" w:fill="FFFFFF" w:themeFill="background1"/>
        </w:rPr>
        <w:t xml:space="preserve">apter </w:t>
      </w:r>
      <w:r w:rsidR="00873B14" w:rsidRPr="00D30ED5">
        <w:rPr>
          <w:shd w:val="clear" w:color="auto" w:fill="FFFFFF" w:themeFill="background1"/>
        </w:rPr>
        <w:t xml:space="preserve">6D securities </w:t>
      </w:r>
      <w:r w:rsidR="00873B14">
        <w:rPr>
          <w:shd w:val="clear" w:color="auto" w:fill="FFFFFF" w:themeFill="background1"/>
        </w:rPr>
        <w:t xml:space="preserve">(including Chapter 2L debentures) </w:t>
      </w:r>
      <w:r w:rsidR="004E305C">
        <w:rPr>
          <w:rFonts w:asciiTheme="minorHAnsi" w:hAnsiTheme="minorHAnsi"/>
          <w:iCs/>
          <w:szCs w:val="22"/>
          <w:lang w:val="en-US"/>
        </w:rPr>
        <w:t xml:space="preserve">relief to expire received two submissions from entities who operate business introduction services. </w:t>
      </w:r>
      <w:r w:rsidR="003F1116">
        <w:rPr>
          <w:rFonts w:asciiTheme="minorHAnsi" w:hAnsiTheme="minorHAnsi"/>
          <w:iCs/>
          <w:szCs w:val="22"/>
          <w:lang w:val="en-US"/>
        </w:rPr>
        <w:t xml:space="preserve">These entities objected to our proposal based on the perception that the CSF regime </w:t>
      </w:r>
      <w:r w:rsidR="00966B85">
        <w:rPr>
          <w:rFonts w:asciiTheme="minorHAnsi" w:hAnsiTheme="minorHAnsi"/>
          <w:iCs/>
          <w:szCs w:val="22"/>
          <w:lang w:val="en-US"/>
        </w:rPr>
        <w:t>has more onerous regulatory requirements</w:t>
      </w:r>
      <w:r w:rsidR="003F1116">
        <w:rPr>
          <w:rFonts w:asciiTheme="minorHAnsi" w:hAnsiTheme="minorHAnsi"/>
          <w:iCs/>
          <w:szCs w:val="22"/>
          <w:lang w:val="en-US"/>
        </w:rPr>
        <w:t xml:space="preserve"> </w:t>
      </w:r>
      <w:r w:rsidR="00C23FC6">
        <w:rPr>
          <w:rFonts w:asciiTheme="minorHAnsi" w:hAnsiTheme="minorHAnsi"/>
          <w:iCs/>
          <w:szCs w:val="22"/>
          <w:lang w:val="en-US"/>
        </w:rPr>
        <w:t xml:space="preserve">(which reflect the increased investor protections under the CSF regime) </w:t>
      </w:r>
      <w:r w:rsidR="003F1116">
        <w:rPr>
          <w:rFonts w:asciiTheme="minorHAnsi" w:hAnsiTheme="minorHAnsi"/>
          <w:iCs/>
          <w:szCs w:val="22"/>
          <w:lang w:val="en-US"/>
        </w:rPr>
        <w:t>than relying on the business introduction service relief</w:t>
      </w:r>
      <w:r w:rsidR="00C23FC6">
        <w:rPr>
          <w:rFonts w:asciiTheme="minorHAnsi" w:hAnsiTheme="minorHAnsi"/>
          <w:iCs/>
          <w:szCs w:val="22"/>
          <w:lang w:val="en-US"/>
        </w:rPr>
        <w:t xml:space="preserve">. </w:t>
      </w:r>
      <w:r w:rsidR="00966B85">
        <w:rPr>
          <w:rFonts w:asciiTheme="minorHAnsi" w:hAnsiTheme="minorHAnsi"/>
          <w:iCs/>
          <w:szCs w:val="22"/>
          <w:lang w:val="en-US"/>
        </w:rPr>
        <w:t xml:space="preserve"> </w:t>
      </w:r>
    </w:p>
    <w:p w14:paraId="016342CB" w14:textId="58061A6B" w:rsidR="003F1116" w:rsidRDefault="003F1116" w:rsidP="008C39AC">
      <w:pPr>
        <w:rPr>
          <w:rFonts w:asciiTheme="minorHAnsi" w:hAnsiTheme="minorHAnsi"/>
          <w:iCs/>
          <w:szCs w:val="22"/>
          <w:lang w:val="en-US"/>
        </w:rPr>
      </w:pPr>
    </w:p>
    <w:p w14:paraId="56337AF8" w14:textId="2BD7B908" w:rsidR="00842B12" w:rsidRDefault="003F1116" w:rsidP="00387ED3">
      <w:pPr>
        <w:ind w:left="-5"/>
        <w:rPr>
          <w:rFonts w:asciiTheme="minorHAnsi" w:hAnsiTheme="minorHAnsi"/>
          <w:iCs/>
          <w:szCs w:val="22"/>
          <w:lang w:val="en-US"/>
        </w:rPr>
      </w:pPr>
      <w:r>
        <w:rPr>
          <w:rFonts w:asciiTheme="minorHAnsi" w:hAnsiTheme="minorHAnsi"/>
          <w:iCs/>
          <w:szCs w:val="22"/>
          <w:lang w:val="en-US"/>
        </w:rPr>
        <w:t xml:space="preserve">Based on the feedback </w:t>
      </w:r>
      <w:r w:rsidR="00CA3490">
        <w:rPr>
          <w:rFonts w:asciiTheme="minorHAnsi" w:hAnsiTheme="minorHAnsi"/>
          <w:iCs/>
          <w:szCs w:val="22"/>
          <w:lang w:val="en-US"/>
        </w:rPr>
        <w:t>ASIC has</w:t>
      </w:r>
      <w:r>
        <w:rPr>
          <w:rFonts w:asciiTheme="minorHAnsi" w:hAnsiTheme="minorHAnsi"/>
          <w:iCs/>
          <w:szCs w:val="22"/>
          <w:lang w:val="en-US"/>
        </w:rPr>
        <w:t xml:space="preserve"> received through public consultation, </w:t>
      </w:r>
      <w:r w:rsidR="00750880">
        <w:rPr>
          <w:rFonts w:asciiTheme="minorHAnsi" w:hAnsiTheme="minorHAnsi"/>
          <w:iCs/>
          <w:szCs w:val="22"/>
          <w:lang w:val="en-US"/>
        </w:rPr>
        <w:t>ASIC considers</w:t>
      </w:r>
      <w:r>
        <w:rPr>
          <w:rFonts w:asciiTheme="minorHAnsi" w:hAnsiTheme="minorHAnsi"/>
          <w:iCs/>
          <w:szCs w:val="22"/>
          <w:lang w:val="en-US"/>
        </w:rPr>
        <w:t xml:space="preserve"> that sunsetting the </w:t>
      </w:r>
      <w:r w:rsidR="00873B14" w:rsidRPr="00D30ED5">
        <w:rPr>
          <w:shd w:val="clear" w:color="auto" w:fill="FFFFFF" w:themeFill="background1"/>
        </w:rPr>
        <w:t>Ch</w:t>
      </w:r>
      <w:r w:rsidR="00873B14">
        <w:rPr>
          <w:shd w:val="clear" w:color="auto" w:fill="FFFFFF" w:themeFill="background1"/>
        </w:rPr>
        <w:t xml:space="preserve">apter </w:t>
      </w:r>
      <w:r w:rsidR="00873B14" w:rsidRPr="00D30ED5">
        <w:rPr>
          <w:shd w:val="clear" w:color="auto" w:fill="FFFFFF" w:themeFill="background1"/>
        </w:rPr>
        <w:t xml:space="preserve">6D securities </w:t>
      </w:r>
      <w:r w:rsidR="00873B14">
        <w:rPr>
          <w:shd w:val="clear" w:color="auto" w:fill="FFFFFF" w:themeFill="background1"/>
        </w:rPr>
        <w:t>(including Chapter 2L debentures)</w:t>
      </w:r>
      <w:r w:rsidR="00212B66">
        <w:rPr>
          <w:shd w:val="clear" w:color="auto" w:fill="FFFFFF" w:themeFill="background1"/>
        </w:rPr>
        <w:t xml:space="preserve"> </w:t>
      </w:r>
      <w:r>
        <w:rPr>
          <w:rFonts w:asciiTheme="minorHAnsi" w:hAnsiTheme="minorHAnsi"/>
          <w:iCs/>
          <w:szCs w:val="22"/>
          <w:lang w:val="en-US"/>
        </w:rPr>
        <w:t xml:space="preserve">relief will have a minor regulatory impact. </w:t>
      </w:r>
      <w:r w:rsidR="00E00626">
        <w:rPr>
          <w:rFonts w:asciiTheme="minorHAnsi" w:hAnsiTheme="minorHAnsi"/>
          <w:iCs/>
          <w:szCs w:val="22"/>
          <w:lang w:val="en-US"/>
        </w:rPr>
        <w:t>This is principally because</w:t>
      </w:r>
      <w:r w:rsidR="00842B12">
        <w:rPr>
          <w:rFonts w:asciiTheme="minorHAnsi" w:hAnsiTheme="minorHAnsi"/>
          <w:iCs/>
          <w:szCs w:val="22"/>
          <w:lang w:val="en-US"/>
        </w:rPr>
        <w:t>:</w:t>
      </w:r>
    </w:p>
    <w:p w14:paraId="49E19DBB" w14:textId="23150462" w:rsidR="00842B12" w:rsidRDefault="003F1116" w:rsidP="00842B12">
      <w:pPr>
        <w:pStyle w:val="ListParagraph"/>
        <w:numPr>
          <w:ilvl w:val="0"/>
          <w:numId w:val="7"/>
        </w:numPr>
        <w:rPr>
          <w:rFonts w:asciiTheme="minorHAnsi" w:hAnsiTheme="minorHAnsi"/>
          <w:iCs/>
          <w:szCs w:val="22"/>
          <w:lang w:val="en-US"/>
        </w:rPr>
      </w:pPr>
      <w:r w:rsidRPr="003B5891">
        <w:rPr>
          <w:rFonts w:asciiTheme="minorHAnsi" w:hAnsiTheme="minorHAnsi"/>
          <w:iCs/>
          <w:szCs w:val="22"/>
          <w:lang w:val="en-US"/>
        </w:rPr>
        <w:t>there appears to be minimal reliance on the relief, with the two respondents</w:t>
      </w:r>
      <w:r w:rsidR="004E1F1F" w:rsidRPr="003B5891">
        <w:rPr>
          <w:rFonts w:asciiTheme="minorHAnsi" w:hAnsiTheme="minorHAnsi"/>
          <w:iCs/>
          <w:szCs w:val="22"/>
          <w:lang w:val="en-US"/>
        </w:rPr>
        <w:t xml:space="preserve"> to CP 357</w:t>
      </w:r>
      <w:r w:rsidRPr="003B5891">
        <w:rPr>
          <w:rFonts w:asciiTheme="minorHAnsi" w:hAnsiTheme="minorHAnsi"/>
          <w:iCs/>
          <w:szCs w:val="22"/>
          <w:lang w:val="en-US"/>
        </w:rPr>
        <w:t xml:space="preserve"> that offer business introduction services having only raised a total of approximately $5.3 million for a small number of companies</w:t>
      </w:r>
      <w:r w:rsidR="004E1F1F" w:rsidRPr="003B5891">
        <w:rPr>
          <w:rFonts w:asciiTheme="minorHAnsi" w:hAnsiTheme="minorHAnsi"/>
          <w:iCs/>
          <w:szCs w:val="22"/>
          <w:lang w:val="en-US"/>
        </w:rPr>
        <w:t xml:space="preserve"> over the 20-year life of the relief</w:t>
      </w:r>
      <w:r w:rsidR="00842B12">
        <w:rPr>
          <w:rFonts w:asciiTheme="minorHAnsi" w:hAnsiTheme="minorHAnsi"/>
          <w:iCs/>
          <w:szCs w:val="22"/>
          <w:lang w:val="en-US"/>
        </w:rPr>
        <w:t xml:space="preserve">; and </w:t>
      </w:r>
    </w:p>
    <w:p w14:paraId="6962543F" w14:textId="3D8B7BE8" w:rsidR="00CE5591" w:rsidRDefault="00C23FC6" w:rsidP="003A2936">
      <w:pPr>
        <w:pStyle w:val="ListParagraph"/>
        <w:numPr>
          <w:ilvl w:val="0"/>
          <w:numId w:val="7"/>
        </w:numPr>
        <w:rPr>
          <w:rFonts w:asciiTheme="minorHAnsi" w:hAnsiTheme="minorHAnsi"/>
          <w:iCs/>
          <w:szCs w:val="22"/>
          <w:lang w:val="en-US"/>
        </w:rPr>
      </w:pPr>
      <w:r>
        <w:rPr>
          <w:rFonts w:asciiTheme="minorHAnsi" w:hAnsiTheme="minorHAnsi"/>
          <w:iCs/>
          <w:szCs w:val="22"/>
          <w:lang w:val="en-US"/>
        </w:rPr>
        <w:t xml:space="preserve">SMEs can continue to engage in small-scale public fundraising through </w:t>
      </w:r>
      <w:r w:rsidR="00842B12" w:rsidRPr="00842B12">
        <w:rPr>
          <w:rFonts w:asciiTheme="minorHAnsi" w:hAnsiTheme="minorHAnsi"/>
          <w:iCs/>
          <w:szCs w:val="22"/>
          <w:lang w:val="en-US"/>
        </w:rPr>
        <w:t>the CSF regime</w:t>
      </w:r>
      <w:r w:rsidR="00714A83">
        <w:rPr>
          <w:rFonts w:asciiTheme="minorHAnsi" w:hAnsiTheme="minorHAnsi"/>
          <w:iCs/>
          <w:szCs w:val="22"/>
          <w:lang w:val="en-US"/>
        </w:rPr>
        <w:t xml:space="preserve">. This </w:t>
      </w:r>
      <w:r>
        <w:rPr>
          <w:rFonts w:asciiTheme="minorHAnsi" w:hAnsiTheme="minorHAnsi"/>
          <w:iCs/>
          <w:szCs w:val="22"/>
          <w:lang w:val="en-US"/>
        </w:rPr>
        <w:t xml:space="preserve">regime also </w:t>
      </w:r>
      <w:r w:rsidR="00714A83">
        <w:rPr>
          <w:rFonts w:asciiTheme="minorHAnsi" w:hAnsiTheme="minorHAnsi"/>
          <w:iCs/>
          <w:szCs w:val="22"/>
          <w:lang w:val="en-US"/>
        </w:rPr>
        <w:t>reduces</w:t>
      </w:r>
      <w:r>
        <w:rPr>
          <w:rFonts w:asciiTheme="minorHAnsi" w:hAnsiTheme="minorHAnsi"/>
          <w:iCs/>
          <w:szCs w:val="22"/>
          <w:lang w:val="en-US"/>
        </w:rPr>
        <w:t xml:space="preserve"> the requirements for public fundraising while also maintaining </w:t>
      </w:r>
      <w:r w:rsidR="00842B12">
        <w:rPr>
          <w:rFonts w:asciiTheme="minorHAnsi" w:hAnsiTheme="minorHAnsi"/>
          <w:iCs/>
          <w:szCs w:val="22"/>
          <w:lang w:val="en-US"/>
        </w:rPr>
        <w:t xml:space="preserve">appropriate investor protection measures. </w:t>
      </w:r>
    </w:p>
    <w:p w14:paraId="7A8261FE" w14:textId="77777777" w:rsidR="00842B12" w:rsidRPr="00842B12" w:rsidRDefault="00842B12">
      <w:pPr>
        <w:rPr>
          <w:rFonts w:asciiTheme="minorHAnsi" w:hAnsiTheme="minorHAnsi"/>
          <w:iCs/>
          <w:szCs w:val="22"/>
          <w:lang w:val="en-US"/>
        </w:rPr>
      </w:pPr>
    </w:p>
    <w:p w14:paraId="1B6CCF3C" w14:textId="385DB7F6" w:rsidR="00714A83" w:rsidRDefault="00CE5591">
      <w:pPr>
        <w:rPr>
          <w:rFonts w:asciiTheme="minorHAnsi" w:hAnsiTheme="minorHAnsi"/>
          <w:iCs/>
          <w:szCs w:val="22"/>
          <w:lang w:val="en-US"/>
        </w:rPr>
      </w:pPr>
      <w:r>
        <w:rPr>
          <w:rFonts w:asciiTheme="minorHAnsi" w:hAnsiTheme="minorHAnsi"/>
          <w:iCs/>
          <w:szCs w:val="22"/>
          <w:lang w:val="en-US"/>
        </w:rPr>
        <w:t>Further,</w:t>
      </w:r>
      <w:r w:rsidR="00714A83">
        <w:rPr>
          <w:rFonts w:asciiTheme="minorHAnsi" w:hAnsiTheme="minorHAnsi"/>
          <w:iCs/>
          <w:szCs w:val="22"/>
          <w:lang w:val="en-US"/>
        </w:rPr>
        <w:t xml:space="preserve"> sunsetting the </w:t>
      </w:r>
      <w:r w:rsidR="00873B14" w:rsidRPr="00D30ED5">
        <w:rPr>
          <w:shd w:val="clear" w:color="auto" w:fill="FFFFFF" w:themeFill="background1"/>
        </w:rPr>
        <w:t>Ch</w:t>
      </w:r>
      <w:r w:rsidR="00873B14">
        <w:rPr>
          <w:shd w:val="clear" w:color="auto" w:fill="FFFFFF" w:themeFill="background1"/>
        </w:rPr>
        <w:t xml:space="preserve">apter </w:t>
      </w:r>
      <w:r w:rsidR="00873B14" w:rsidRPr="00D30ED5">
        <w:rPr>
          <w:shd w:val="clear" w:color="auto" w:fill="FFFFFF" w:themeFill="background1"/>
        </w:rPr>
        <w:t xml:space="preserve">6D securities </w:t>
      </w:r>
      <w:r w:rsidR="00873B14">
        <w:rPr>
          <w:shd w:val="clear" w:color="auto" w:fill="FFFFFF" w:themeFill="background1"/>
        </w:rPr>
        <w:t xml:space="preserve">(including Chapter 2L debentures) </w:t>
      </w:r>
      <w:r w:rsidR="00714A83">
        <w:rPr>
          <w:rFonts w:asciiTheme="minorHAnsi" w:hAnsiTheme="minorHAnsi"/>
          <w:iCs/>
          <w:szCs w:val="22"/>
          <w:lang w:val="en-US"/>
        </w:rPr>
        <w:t xml:space="preserve">relief does not change anything that would have happened, had ASIC done nothing and allowed the relief to lapse on 1 April 2022. Given this, sunsetting the Chapter 6D </w:t>
      </w:r>
      <w:r w:rsidR="0095250D">
        <w:rPr>
          <w:shd w:val="clear" w:color="auto" w:fill="FFFFFF" w:themeFill="background1"/>
        </w:rPr>
        <w:t>(including Chapter 2L debentures)</w:t>
      </w:r>
      <w:r w:rsidR="00714A83">
        <w:rPr>
          <w:rFonts w:asciiTheme="minorHAnsi" w:hAnsiTheme="minorHAnsi"/>
          <w:iCs/>
          <w:szCs w:val="22"/>
          <w:lang w:val="en-US"/>
        </w:rPr>
        <w:t xml:space="preserve"> relief does not change the status quo. </w:t>
      </w:r>
    </w:p>
    <w:p w14:paraId="35779CDF" w14:textId="36066EDD" w:rsidR="00714A83" w:rsidRDefault="00714A83">
      <w:pPr>
        <w:rPr>
          <w:rFonts w:asciiTheme="minorHAnsi" w:hAnsiTheme="minorHAnsi"/>
          <w:iCs/>
          <w:szCs w:val="22"/>
          <w:lang w:val="en-US"/>
        </w:rPr>
      </w:pPr>
    </w:p>
    <w:p w14:paraId="202674B1" w14:textId="56CD3AA2" w:rsidR="00B34E97" w:rsidRDefault="00CE5591">
      <w:pPr>
        <w:rPr>
          <w:rFonts w:asciiTheme="minorHAnsi" w:hAnsiTheme="minorHAnsi"/>
          <w:iCs/>
          <w:szCs w:val="22"/>
          <w:lang w:val="en-US"/>
        </w:rPr>
      </w:pPr>
      <w:r>
        <w:rPr>
          <w:rFonts w:asciiTheme="minorHAnsi" w:hAnsiTheme="minorHAnsi"/>
          <w:iCs/>
          <w:szCs w:val="22"/>
          <w:lang w:val="en-US"/>
        </w:rPr>
        <w:t xml:space="preserve">While persons who rely on the </w:t>
      </w:r>
      <w:r w:rsidR="00873B14" w:rsidRPr="00D30ED5">
        <w:rPr>
          <w:shd w:val="clear" w:color="auto" w:fill="FFFFFF" w:themeFill="background1"/>
        </w:rPr>
        <w:t>Ch</w:t>
      </w:r>
      <w:r w:rsidR="00873B14">
        <w:rPr>
          <w:shd w:val="clear" w:color="auto" w:fill="FFFFFF" w:themeFill="background1"/>
        </w:rPr>
        <w:t xml:space="preserve">apter </w:t>
      </w:r>
      <w:r w:rsidR="00873B14" w:rsidRPr="00D30ED5">
        <w:rPr>
          <w:shd w:val="clear" w:color="auto" w:fill="FFFFFF" w:themeFill="background1"/>
        </w:rPr>
        <w:t xml:space="preserve">6D securities </w:t>
      </w:r>
      <w:r w:rsidR="00873B14">
        <w:rPr>
          <w:shd w:val="clear" w:color="auto" w:fill="FFFFFF" w:themeFill="background1"/>
        </w:rPr>
        <w:t xml:space="preserve">(including Chapter 2L debentures) </w:t>
      </w:r>
      <w:r>
        <w:rPr>
          <w:rFonts w:asciiTheme="minorHAnsi" w:hAnsiTheme="minorHAnsi"/>
          <w:iCs/>
          <w:szCs w:val="22"/>
          <w:lang w:val="en-US"/>
        </w:rPr>
        <w:t xml:space="preserve">relief may transition into the CSF regime, </w:t>
      </w:r>
      <w:r w:rsidR="00F46175">
        <w:rPr>
          <w:rFonts w:asciiTheme="minorHAnsi" w:hAnsiTheme="minorHAnsi"/>
          <w:iCs/>
          <w:szCs w:val="22"/>
          <w:lang w:val="en-US"/>
        </w:rPr>
        <w:t xml:space="preserve">ASIC </w:t>
      </w:r>
      <w:r w:rsidR="00EE64B8">
        <w:rPr>
          <w:rFonts w:asciiTheme="minorHAnsi" w:hAnsiTheme="minorHAnsi"/>
          <w:iCs/>
          <w:szCs w:val="22"/>
          <w:lang w:val="en-US"/>
        </w:rPr>
        <w:t>will not</w:t>
      </w:r>
      <w:r w:rsidR="00842B12">
        <w:rPr>
          <w:rFonts w:asciiTheme="minorHAnsi" w:hAnsiTheme="minorHAnsi"/>
          <w:iCs/>
          <w:szCs w:val="22"/>
          <w:lang w:val="en-US"/>
        </w:rPr>
        <w:t xml:space="preserve"> introduce any new obligations that mandate this transition</w:t>
      </w:r>
      <w:r w:rsidR="0034365E">
        <w:rPr>
          <w:rFonts w:asciiTheme="minorHAnsi" w:hAnsiTheme="minorHAnsi"/>
          <w:iCs/>
          <w:szCs w:val="22"/>
          <w:lang w:val="en-US"/>
        </w:rPr>
        <w:t xml:space="preserve">, nor any other obligations as part of allowing the relief to expire. Given this, no new regulatory costs are imposed through the expiry of the </w:t>
      </w:r>
      <w:r w:rsidR="00873B14" w:rsidRPr="00D30ED5">
        <w:rPr>
          <w:shd w:val="clear" w:color="auto" w:fill="FFFFFF" w:themeFill="background1"/>
        </w:rPr>
        <w:t>Ch</w:t>
      </w:r>
      <w:r w:rsidR="00873B14">
        <w:rPr>
          <w:shd w:val="clear" w:color="auto" w:fill="FFFFFF" w:themeFill="background1"/>
        </w:rPr>
        <w:t xml:space="preserve">apter </w:t>
      </w:r>
      <w:r w:rsidR="00873B14" w:rsidRPr="00D30ED5">
        <w:rPr>
          <w:shd w:val="clear" w:color="auto" w:fill="FFFFFF" w:themeFill="background1"/>
        </w:rPr>
        <w:t xml:space="preserve">6D securities </w:t>
      </w:r>
      <w:r w:rsidR="00873B14">
        <w:rPr>
          <w:shd w:val="clear" w:color="auto" w:fill="FFFFFF" w:themeFill="background1"/>
        </w:rPr>
        <w:t>(including Chapter 2L debentures)</w:t>
      </w:r>
      <w:r w:rsidR="00212B66">
        <w:rPr>
          <w:shd w:val="clear" w:color="auto" w:fill="FFFFFF" w:themeFill="background1"/>
        </w:rPr>
        <w:t xml:space="preserve"> </w:t>
      </w:r>
      <w:r w:rsidR="0034365E">
        <w:rPr>
          <w:rFonts w:asciiTheme="minorHAnsi" w:hAnsiTheme="minorHAnsi"/>
          <w:iCs/>
          <w:szCs w:val="22"/>
          <w:lang w:val="en-US"/>
        </w:rPr>
        <w:t xml:space="preserve">relief. </w:t>
      </w:r>
    </w:p>
    <w:p w14:paraId="78BA2B4B" w14:textId="77777777" w:rsidR="0034365E" w:rsidRDefault="0034365E">
      <w:pPr>
        <w:rPr>
          <w:rFonts w:asciiTheme="minorHAnsi" w:hAnsiTheme="minorHAnsi"/>
          <w:iCs/>
          <w:szCs w:val="22"/>
          <w:lang w:val="en-US"/>
        </w:rPr>
      </w:pPr>
    </w:p>
    <w:p w14:paraId="7C6A0249" w14:textId="1A4F4114" w:rsidR="00B34E97" w:rsidRDefault="00B34E97" w:rsidP="003B5891">
      <w:pPr>
        <w:rPr>
          <w:rFonts w:asciiTheme="minorHAnsi" w:hAnsiTheme="minorHAnsi"/>
          <w:iCs/>
          <w:szCs w:val="22"/>
          <w:lang w:val="en-US"/>
        </w:rPr>
      </w:pPr>
      <w:r>
        <w:rPr>
          <w:rFonts w:asciiTheme="minorHAnsi" w:hAnsiTheme="minorHAnsi"/>
          <w:iCs/>
          <w:szCs w:val="22"/>
          <w:lang w:val="en-US"/>
        </w:rPr>
        <w:t xml:space="preserve">Overall, </w:t>
      </w:r>
      <w:r w:rsidR="00F46175">
        <w:rPr>
          <w:rFonts w:asciiTheme="minorHAnsi" w:hAnsiTheme="minorHAnsi"/>
          <w:iCs/>
          <w:szCs w:val="22"/>
          <w:lang w:val="en-US"/>
        </w:rPr>
        <w:t xml:space="preserve">ASIC considers </w:t>
      </w:r>
      <w:r>
        <w:rPr>
          <w:rFonts w:asciiTheme="minorHAnsi" w:hAnsiTheme="minorHAnsi"/>
          <w:iCs/>
          <w:szCs w:val="22"/>
          <w:lang w:val="en-US"/>
        </w:rPr>
        <w:t xml:space="preserve">that given the impact of the CSF regime, allowing the </w:t>
      </w:r>
      <w:r w:rsidR="00873B14" w:rsidRPr="00D30ED5">
        <w:rPr>
          <w:shd w:val="clear" w:color="auto" w:fill="FFFFFF" w:themeFill="background1"/>
        </w:rPr>
        <w:t>Ch</w:t>
      </w:r>
      <w:r w:rsidR="00873B14">
        <w:rPr>
          <w:shd w:val="clear" w:color="auto" w:fill="FFFFFF" w:themeFill="background1"/>
        </w:rPr>
        <w:t xml:space="preserve">apter </w:t>
      </w:r>
      <w:r w:rsidR="00873B14" w:rsidRPr="00D30ED5">
        <w:rPr>
          <w:shd w:val="clear" w:color="auto" w:fill="FFFFFF" w:themeFill="background1"/>
        </w:rPr>
        <w:t xml:space="preserve">6D securities </w:t>
      </w:r>
      <w:r w:rsidR="00873B14">
        <w:rPr>
          <w:shd w:val="clear" w:color="auto" w:fill="FFFFFF" w:themeFill="background1"/>
        </w:rPr>
        <w:t>(including Chapter 2L debentures)</w:t>
      </w:r>
      <w:r w:rsidR="00212B66">
        <w:rPr>
          <w:shd w:val="clear" w:color="auto" w:fill="FFFFFF" w:themeFill="background1"/>
        </w:rPr>
        <w:t xml:space="preserve"> </w:t>
      </w:r>
      <w:r>
        <w:rPr>
          <w:rFonts w:asciiTheme="minorHAnsi" w:hAnsiTheme="minorHAnsi"/>
          <w:iCs/>
          <w:szCs w:val="22"/>
          <w:lang w:val="en-US"/>
        </w:rPr>
        <w:t xml:space="preserve">relief to sunset will ensure that the relief will </w:t>
      </w:r>
      <w:r w:rsidR="00F46175">
        <w:rPr>
          <w:rFonts w:asciiTheme="minorHAnsi" w:hAnsiTheme="minorHAnsi"/>
          <w:iCs/>
          <w:szCs w:val="22"/>
          <w:lang w:val="en-US"/>
        </w:rPr>
        <w:t xml:space="preserve">continue to </w:t>
      </w:r>
      <w:r>
        <w:rPr>
          <w:rFonts w:asciiTheme="minorHAnsi" w:hAnsiTheme="minorHAnsi"/>
          <w:iCs/>
          <w:szCs w:val="22"/>
          <w:lang w:val="en-US"/>
        </w:rPr>
        <w:t xml:space="preserve">operate effectively and efficiently. </w:t>
      </w:r>
    </w:p>
    <w:p w14:paraId="673A163F" w14:textId="36ECB12E" w:rsidR="001F5BFF" w:rsidRDefault="001F5BFF" w:rsidP="007B4B48">
      <w:pPr>
        <w:ind w:left="-5"/>
        <w:rPr>
          <w:rFonts w:asciiTheme="minorHAnsi" w:hAnsiTheme="minorHAnsi"/>
          <w:iCs/>
          <w:szCs w:val="22"/>
          <w:lang w:val="en-US"/>
        </w:rPr>
      </w:pPr>
    </w:p>
    <w:p w14:paraId="1BAC2702" w14:textId="1643038A" w:rsidR="001F5BFF" w:rsidRPr="001F5BFF" w:rsidRDefault="001F5BFF" w:rsidP="007B4B48">
      <w:pPr>
        <w:ind w:left="-5"/>
        <w:rPr>
          <w:rFonts w:asciiTheme="minorHAnsi" w:hAnsiTheme="minorHAnsi"/>
          <w:iCs/>
          <w:szCs w:val="22"/>
          <w:lang w:val="en-US"/>
        </w:rPr>
      </w:pPr>
      <w:r>
        <w:rPr>
          <w:rFonts w:asciiTheme="minorHAnsi" w:hAnsiTheme="minorHAnsi"/>
          <w:iCs/>
          <w:szCs w:val="22"/>
          <w:u w:val="single"/>
          <w:lang w:val="en-US"/>
        </w:rPr>
        <w:t>Design and distribution obligations</w:t>
      </w:r>
    </w:p>
    <w:p w14:paraId="62B16249" w14:textId="4A14670E" w:rsidR="00606B73" w:rsidRDefault="00606B73" w:rsidP="007B4B48">
      <w:pPr>
        <w:ind w:left="-5"/>
        <w:rPr>
          <w:rFonts w:asciiTheme="minorHAnsi" w:hAnsiTheme="minorHAnsi"/>
          <w:iCs/>
          <w:szCs w:val="22"/>
          <w:lang w:val="en-US"/>
        </w:rPr>
      </w:pPr>
    </w:p>
    <w:p w14:paraId="72994968" w14:textId="711DDAA0" w:rsidR="000C2318" w:rsidRDefault="000C2318" w:rsidP="000C2318">
      <w:pPr>
        <w:ind w:left="-5"/>
        <w:rPr>
          <w:rFonts w:asciiTheme="minorHAnsi" w:hAnsiTheme="minorHAnsi"/>
          <w:szCs w:val="22"/>
          <w:lang w:val="en-US"/>
        </w:rPr>
      </w:pPr>
      <w:r>
        <w:rPr>
          <w:rFonts w:asciiTheme="minorHAnsi" w:hAnsiTheme="minorHAnsi"/>
          <w:szCs w:val="22"/>
          <w:lang w:val="en-US"/>
        </w:rPr>
        <w:t xml:space="preserve">The DDO regime </w:t>
      </w:r>
      <w:r w:rsidR="00C576CF">
        <w:rPr>
          <w:rFonts w:asciiTheme="minorHAnsi" w:hAnsiTheme="minorHAnsi"/>
          <w:szCs w:val="22"/>
          <w:lang w:val="en-US"/>
        </w:rPr>
        <w:t>came into force</w:t>
      </w:r>
      <w:r>
        <w:rPr>
          <w:rFonts w:asciiTheme="minorHAnsi" w:hAnsiTheme="minorHAnsi"/>
          <w:szCs w:val="22"/>
          <w:lang w:val="en-US"/>
        </w:rPr>
        <w:t xml:space="preserve"> on 5 October 2021, after the Instrument was made. The relief will seek to avoid any confusion about whether DDOs apply to persons who rely on the relief. </w:t>
      </w:r>
    </w:p>
    <w:p w14:paraId="50117A5C" w14:textId="77777777" w:rsidR="000C2318" w:rsidRDefault="000C2318" w:rsidP="000C2318">
      <w:pPr>
        <w:ind w:left="-5"/>
        <w:rPr>
          <w:rFonts w:asciiTheme="minorHAnsi" w:hAnsiTheme="minorHAnsi"/>
          <w:szCs w:val="22"/>
          <w:lang w:val="en-US"/>
        </w:rPr>
      </w:pPr>
    </w:p>
    <w:p w14:paraId="35394090" w14:textId="3E35EBA5" w:rsidR="000C2318" w:rsidRDefault="000C2318" w:rsidP="000C2318">
      <w:pPr>
        <w:ind w:left="-5"/>
        <w:rPr>
          <w:rFonts w:asciiTheme="minorHAnsi" w:hAnsiTheme="minorHAnsi"/>
          <w:szCs w:val="22"/>
          <w:lang w:val="en-US"/>
        </w:rPr>
      </w:pPr>
      <w:r>
        <w:rPr>
          <w:rFonts w:asciiTheme="minorHAnsi" w:hAnsiTheme="minorHAnsi"/>
          <w:szCs w:val="22"/>
          <w:lang w:val="en-US"/>
        </w:rPr>
        <w:t xml:space="preserve">From 1 October 2022, </w:t>
      </w:r>
      <w:r w:rsidR="001F5BFF">
        <w:rPr>
          <w:rFonts w:asciiTheme="minorHAnsi" w:hAnsiTheme="minorHAnsi"/>
          <w:szCs w:val="22"/>
          <w:lang w:val="en-US"/>
        </w:rPr>
        <w:t>the relief will clarify that the DDOs apply to persons who rely on the relief where they would need to presently comply with the obligations under Part 7.8A of the Act.</w:t>
      </w:r>
      <w:r w:rsidR="001F5BFF" w:rsidRPr="004E097D">
        <w:rPr>
          <w:rFonts w:asciiTheme="minorHAnsi" w:hAnsiTheme="minorHAnsi"/>
          <w:szCs w:val="22"/>
          <w:lang w:val="en-US"/>
        </w:rPr>
        <w:t xml:space="preserve"> </w:t>
      </w:r>
    </w:p>
    <w:p w14:paraId="2D6793FC" w14:textId="79A50715" w:rsidR="000C2318" w:rsidRDefault="000C2318" w:rsidP="000C2318">
      <w:pPr>
        <w:ind w:left="-5"/>
        <w:rPr>
          <w:rFonts w:asciiTheme="minorHAnsi" w:hAnsiTheme="minorHAnsi"/>
          <w:szCs w:val="22"/>
          <w:lang w:val="en-US"/>
        </w:rPr>
      </w:pPr>
    </w:p>
    <w:p w14:paraId="4B0D96FB" w14:textId="27AC8195" w:rsidR="000C2318" w:rsidRDefault="000C2318" w:rsidP="000C2318">
      <w:pPr>
        <w:ind w:left="-5"/>
        <w:rPr>
          <w:rFonts w:asciiTheme="minorHAnsi" w:hAnsiTheme="minorHAnsi"/>
          <w:szCs w:val="22"/>
          <w:lang w:val="en-US"/>
        </w:rPr>
      </w:pPr>
      <w:r>
        <w:rPr>
          <w:rFonts w:asciiTheme="minorHAnsi" w:hAnsiTheme="minorHAnsi"/>
          <w:szCs w:val="22"/>
          <w:lang w:val="en-US"/>
        </w:rPr>
        <w:t xml:space="preserve">No new costs would be imposed through this measure, as it merely clarifies the operation of the new DDO regime and ensures that the relief </w:t>
      </w:r>
      <w:r w:rsidR="00B34E97">
        <w:rPr>
          <w:rFonts w:asciiTheme="minorHAnsi" w:hAnsiTheme="minorHAnsi"/>
          <w:szCs w:val="22"/>
          <w:lang w:val="en-US"/>
        </w:rPr>
        <w:t>will operate</w:t>
      </w:r>
      <w:r>
        <w:rPr>
          <w:rFonts w:asciiTheme="minorHAnsi" w:hAnsiTheme="minorHAnsi"/>
          <w:szCs w:val="22"/>
          <w:lang w:val="en-US"/>
        </w:rPr>
        <w:t xml:space="preserve"> effectively and efficiently. </w:t>
      </w:r>
    </w:p>
    <w:p w14:paraId="12AA1103" w14:textId="049F15EE" w:rsidR="00E37497" w:rsidRDefault="00E37497" w:rsidP="001F5BFF">
      <w:pPr>
        <w:ind w:left="-5"/>
        <w:rPr>
          <w:rFonts w:asciiTheme="minorHAnsi" w:hAnsiTheme="minorHAnsi"/>
          <w:szCs w:val="22"/>
          <w:lang w:val="en-US"/>
        </w:rPr>
      </w:pPr>
    </w:p>
    <w:p w14:paraId="21BB36E7" w14:textId="7A42CDBB" w:rsidR="009700FB" w:rsidRDefault="00E37497">
      <w:pPr>
        <w:ind w:left="-5"/>
        <w:rPr>
          <w:rFonts w:asciiTheme="minorHAnsi" w:hAnsiTheme="minorHAnsi"/>
          <w:szCs w:val="22"/>
        </w:rPr>
      </w:pPr>
      <w:r>
        <w:rPr>
          <w:rFonts w:asciiTheme="minorHAnsi" w:hAnsiTheme="minorHAnsi"/>
          <w:szCs w:val="22"/>
          <w:u w:val="single"/>
          <w:lang w:val="en-US"/>
        </w:rPr>
        <w:t>Notification requirement</w:t>
      </w:r>
    </w:p>
    <w:p w14:paraId="50FFE973" w14:textId="6FDB8833" w:rsidR="00601492" w:rsidRDefault="006D277C" w:rsidP="008A5AC9">
      <w:pPr>
        <w:spacing w:before="240"/>
        <w:rPr>
          <w:rFonts w:asciiTheme="minorHAnsi" w:hAnsiTheme="minorHAnsi"/>
          <w:szCs w:val="22"/>
        </w:rPr>
      </w:pPr>
      <w:r>
        <w:rPr>
          <w:rFonts w:asciiTheme="minorHAnsi" w:hAnsiTheme="minorHAnsi"/>
          <w:szCs w:val="22"/>
        </w:rPr>
        <w:t xml:space="preserve">ASIC </w:t>
      </w:r>
      <w:r w:rsidR="00824097">
        <w:rPr>
          <w:rFonts w:asciiTheme="minorHAnsi" w:hAnsiTheme="minorHAnsi"/>
          <w:szCs w:val="22"/>
        </w:rPr>
        <w:t>estimate</w:t>
      </w:r>
      <w:r>
        <w:rPr>
          <w:rFonts w:asciiTheme="minorHAnsi" w:hAnsiTheme="minorHAnsi"/>
          <w:szCs w:val="22"/>
        </w:rPr>
        <w:t>s</w:t>
      </w:r>
      <w:r w:rsidR="00824097">
        <w:rPr>
          <w:rFonts w:asciiTheme="minorHAnsi" w:hAnsiTheme="minorHAnsi"/>
          <w:szCs w:val="22"/>
        </w:rPr>
        <w:t xml:space="preserve"> that </w:t>
      </w:r>
      <w:r w:rsidR="00B63CA1">
        <w:rPr>
          <w:rFonts w:asciiTheme="minorHAnsi" w:hAnsiTheme="minorHAnsi"/>
          <w:szCs w:val="22"/>
        </w:rPr>
        <w:t>a Continuing Reliance Notice or Opt-In Notice</w:t>
      </w:r>
      <w:r w:rsidR="00824097">
        <w:rPr>
          <w:rFonts w:asciiTheme="minorHAnsi" w:hAnsiTheme="minorHAnsi"/>
          <w:szCs w:val="22"/>
        </w:rPr>
        <w:t xml:space="preserve"> will take roughly an hour or less to complete and will involve a one-off cost of roughly $50, assuming a rate of $50 per hour </w:t>
      </w:r>
      <w:r w:rsidR="000C2318">
        <w:rPr>
          <w:rFonts w:asciiTheme="minorHAnsi" w:hAnsiTheme="minorHAnsi"/>
          <w:szCs w:val="22"/>
        </w:rPr>
        <w:t>for a person to complete the notification</w:t>
      </w:r>
      <w:r w:rsidR="00824097">
        <w:rPr>
          <w:rFonts w:asciiTheme="minorHAnsi" w:hAnsiTheme="minorHAnsi"/>
          <w:szCs w:val="22"/>
        </w:rPr>
        <w:t xml:space="preserve">. </w:t>
      </w:r>
    </w:p>
    <w:p w14:paraId="160E8910" w14:textId="5F6D4333" w:rsidR="008A5AC9" w:rsidRDefault="00387ED3" w:rsidP="008A5AC9">
      <w:pPr>
        <w:spacing w:before="240"/>
        <w:rPr>
          <w:rFonts w:asciiTheme="minorHAnsi" w:hAnsiTheme="minorHAnsi"/>
          <w:szCs w:val="22"/>
        </w:rPr>
      </w:pPr>
      <w:r>
        <w:rPr>
          <w:rFonts w:asciiTheme="minorHAnsi" w:hAnsiTheme="minorHAnsi"/>
          <w:szCs w:val="22"/>
        </w:rPr>
        <w:t xml:space="preserve">Table 1 below sets out the regulatory burden estimate if ASIC were to introduce the notification requirement on 1 April 2022. It would represent an approximate change </w:t>
      </w:r>
      <w:r w:rsidR="00FB24E8">
        <w:rPr>
          <w:rFonts w:asciiTheme="minorHAnsi" w:hAnsiTheme="minorHAnsi"/>
          <w:szCs w:val="22"/>
        </w:rPr>
        <w:t>of $</w:t>
      </w:r>
      <w:r w:rsidR="00372DD0">
        <w:rPr>
          <w:rFonts w:asciiTheme="minorHAnsi" w:hAnsiTheme="minorHAnsi"/>
          <w:szCs w:val="22"/>
        </w:rPr>
        <w:t>12,850</w:t>
      </w:r>
      <w:r w:rsidR="00FB24E8">
        <w:rPr>
          <w:rFonts w:asciiTheme="minorHAnsi" w:hAnsiTheme="minorHAnsi"/>
          <w:szCs w:val="22"/>
        </w:rPr>
        <w:t xml:space="preserve"> over a three-year period. This is the estimated cost to the entire industry. </w:t>
      </w:r>
    </w:p>
    <w:p w14:paraId="14BEAF19" w14:textId="51F19CD0" w:rsidR="00FB24E8" w:rsidRPr="003C1AED" w:rsidRDefault="00FB24E8" w:rsidP="003B5891">
      <w:pPr>
        <w:pStyle w:val="Caption"/>
        <w:ind w:left="0"/>
        <w:rPr>
          <w:szCs w:val="22"/>
        </w:rPr>
      </w:pPr>
      <w:bookmarkStart w:id="1" w:name="_Ref84426516"/>
      <w:r>
        <w:t xml:space="preserve">Table </w:t>
      </w:r>
      <w:bookmarkEnd w:id="1"/>
      <w:r w:rsidR="00CA3490">
        <w:t>1</w:t>
      </w:r>
      <w:r w:rsidRPr="003C1AED">
        <w:t>:</w:t>
      </w:r>
      <w:r>
        <w:t xml:space="preserve"> Regulatory costs for notification requirement over a three-year period</w:t>
      </w:r>
    </w:p>
    <w:tbl>
      <w:tblPr>
        <w:tblW w:w="4092"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4744"/>
        <w:gridCol w:w="2059"/>
      </w:tblGrid>
      <w:tr w:rsidR="00FB24E8" w:rsidRPr="00A06E90" w14:paraId="71B11347" w14:textId="77777777" w:rsidTr="003B5891">
        <w:trPr>
          <w:cantSplit/>
        </w:trPr>
        <w:tc>
          <w:tcPr>
            <w:tcW w:w="3487" w:type="pct"/>
            <w:shd w:val="clear" w:color="auto" w:fill="C2E3FF"/>
          </w:tcPr>
          <w:p w14:paraId="725015F7" w14:textId="77777777" w:rsidR="00FB24E8" w:rsidRPr="0025311B" w:rsidRDefault="00FB24E8" w:rsidP="00913DBB">
            <w:pPr>
              <w:pStyle w:val="tablehead"/>
            </w:pPr>
            <w:r>
              <w:t>Sector</w:t>
            </w:r>
          </w:p>
        </w:tc>
        <w:tc>
          <w:tcPr>
            <w:tcW w:w="1513" w:type="pct"/>
            <w:shd w:val="clear" w:color="auto" w:fill="C2E3FF"/>
          </w:tcPr>
          <w:p w14:paraId="0567944D" w14:textId="77777777" w:rsidR="00FB24E8" w:rsidRPr="00A06E90" w:rsidRDefault="00FB24E8" w:rsidP="00913DBB">
            <w:pPr>
              <w:pStyle w:val="tablehead"/>
              <w:jc w:val="right"/>
            </w:pPr>
            <w:r>
              <w:t>C</w:t>
            </w:r>
            <w:r w:rsidRPr="0025311B">
              <w:t>hange in cost</w:t>
            </w:r>
            <w:r>
              <w:t>s</w:t>
            </w:r>
          </w:p>
        </w:tc>
      </w:tr>
      <w:tr w:rsidR="00FB24E8" w:rsidRPr="00A06E90" w14:paraId="7E7FAB1A" w14:textId="77777777" w:rsidTr="003B5891">
        <w:trPr>
          <w:cantSplit/>
        </w:trPr>
        <w:tc>
          <w:tcPr>
            <w:tcW w:w="3487" w:type="pct"/>
            <w:shd w:val="clear" w:color="auto" w:fill="auto"/>
          </w:tcPr>
          <w:p w14:paraId="313D8BAC" w14:textId="77777777" w:rsidR="00FB24E8" w:rsidRPr="0025311B" w:rsidRDefault="00FB24E8" w:rsidP="00913DBB">
            <w:pPr>
              <w:pStyle w:val="tbltext"/>
            </w:pPr>
            <w:r w:rsidRPr="0025311B">
              <w:t>Business</w:t>
            </w:r>
          </w:p>
        </w:tc>
        <w:tc>
          <w:tcPr>
            <w:tcW w:w="1513" w:type="pct"/>
          </w:tcPr>
          <w:p w14:paraId="21240926" w14:textId="10DA64D0" w:rsidR="00FB24E8" w:rsidRPr="00A06E90" w:rsidRDefault="00FB24E8" w:rsidP="00913DBB">
            <w:pPr>
              <w:pStyle w:val="tbltext"/>
              <w:jc w:val="right"/>
            </w:pPr>
            <w:r>
              <w:t>$</w:t>
            </w:r>
            <w:r w:rsidR="00372DD0">
              <w:t>12,850</w:t>
            </w:r>
          </w:p>
        </w:tc>
      </w:tr>
      <w:tr w:rsidR="00FB24E8" w:rsidRPr="00A06E90" w14:paraId="6956211C" w14:textId="77777777" w:rsidTr="003B5891">
        <w:trPr>
          <w:cantSplit/>
        </w:trPr>
        <w:tc>
          <w:tcPr>
            <w:tcW w:w="3487" w:type="pct"/>
            <w:shd w:val="clear" w:color="auto" w:fill="auto"/>
          </w:tcPr>
          <w:p w14:paraId="02D3FC69" w14:textId="77777777" w:rsidR="00FB24E8" w:rsidRPr="0025311B" w:rsidDel="001817F4" w:rsidRDefault="00FB24E8" w:rsidP="00913DBB">
            <w:pPr>
              <w:pStyle w:val="tbltext"/>
            </w:pPr>
            <w:r w:rsidRPr="0025311B">
              <w:t>Community organisations</w:t>
            </w:r>
          </w:p>
        </w:tc>
        <w:tc>
          <w:tcPr>
            <w:tcW w:w="1513" w:type="pct"/>
          </w:tcPr>
          <w:p w14:paraId="1986F448" w14:textId="77777777" w:rsidR="00FB24E8" w:rsidRDefault="00FB24E8" w:rsidP="00913DBB">
            <w:pPr>
              <w:pStyle w:val="tbltext"/>
              <w:jc w:val="right"/>
            </w:pPr>
            <w:r>
              <w:t>$</w:t>
            </w:r>
            <w:r w:rsidRPr="00A06E90">
              <w:t>0</w:t>
            </w:r>
          </w:p>
        </w:tc>
      </w:tr>
      <w:tr w:rsidR="00FB24E8" w:rsidRPr="00A06E90" w14:paraId="27033EC8" w14:textId="77777777" w:rsidTr="003B5891">
        <w:trPr>
          <w:cantSplit/>
        </w:trPr>
        <w:tc>
          <w:tcPr>
            <w:tcW w:w="3487" w:type="pct"/>
            <w:shd w:val="clear" w:color="auto" w:fill="auto"/>
          </w:tcPr>
          <w:p w14:paraId="28410D6F" w14:textId="77777777" w:rsidR="00FB24E8" w:rsidRPr="0025311B" w:rsidDel="001817F4" w:rsidRDefault="00FB24E8" w:rsidP="00913DBB">
            <w:pPr>
              <w:pStyle w:val="tbltext"/>
            </w:pPr>
            <w:r w:rsidRPr="0025311B">
              <w:t>Individuals</w:t>
            </w:r>
          </w:p>
        </w:tc>
        <w:tc>
          <w:tcPr>
            <w:tcW w:w="1513" w:type="pct"/>
          </w:tcPr>
          <w:p w14:paraId="62AD2221" w14:textId="77777777" w:rsidR="00FB24E8" w:rsidRDefault="00FB24E8" w:rsidP="00913DBB">
            <w:pPr>
              <w:pStyle w:val="tbltext"/>
              <w:jc w:val="right"/>
            </w:pPr>
            <w:r>
              <w:t>$</w:t>
            </w:r>
            <w:r w:rsidRPr="00A06E90">
              <w:t>0</w:t>
            </w:r>
          </w:p>
        </w:tc>
      </w:tr>
      <w:tr w:rsidR="00FB24E8" w:rsidRPr="00A06E90" w14:paraId="76CAEC42" w14:textId="77777777" w:rsidTr="003B5891">
        <w:trPr>
          <w:cantSplit/>
        </w:trPr>
        <w:tc>
          <w:tcPr>
            <w:tcW w:w="3487" w:type="pct"/>
            <w:shd w:val="clear" w:color="auto" w:fill="auto"/>
          </w:tcPr>
          <w:p w14:paraId="428C3C9F" w14:textId="77777777" w:rsidR="00FB24E8" w:rsidRPr="00696CA9" w:rsidRDefault="00FB24E8" w:rsidP="00913DBB">
            <w:pPr>
              <w:pStyle w:val="tbltext"/>
              <w:rPr>
                <w:b/>
                <w:bCs/>
              </w:rPr>
            </w:pPr>
            <w:r w:rsidRPr="00696CA9">
              <w:rPr>
                <w:b/>
                <w:bCs/>
              </w:rPr>
              <w:t>Total change in costs</w:t>
            </w:r>
          </w:p>
        </w:tc>
        <w:tc>
          <w:tcPr>
            <w:tcW w:w="1513" w:type="pct"/>
          </w:tcPr>
          <w:p w14:paraId="18FE81EC" w14:textId="14306C98" w:rsidR="00FB24E8" w:rsidRPr="00696CA9" w:rsidRDefault="00FB24E8" w:rsidP="00913DBB">
            <w:pPr>
              <w:pStyle w:val="tbltext"/>
              <w:jc w:val="right"/>
              <w:rPr>
                <w:b/>
                <w:bCs/>
              </w:rPr>
            </w:pPr>
            <w:r w:rsidRPr="00696CA9">
              <w:rPr>
                <w:b/>
                <w:bCs/>
              </w:rPr>
              <w:t>$</w:t>
            </w:r>
            <w:r w:rsidR="00372DD0">
              <w:rPr>
                <w:b/>
                <w:bCs/>
              </w:rPr>
              <w:t>12,850</w:t>
            </w:r>
          </w:p>
        </w:tc>
      </w:tr>
    </w:tbl>
    <w:p w14:paraId="20D25A5B" w14:textId="18B4B84E" w:rsidR="008A5AC9" w:rsidRDefault="00FB24E8" w:rsidP="008A5AC9">
      <w:pPr>
        <w:spacing w:before="240"/>
        <w:rPr>
          <w:rFonts w:asciiTheme="minorHAnsi" w:hAnsiTheme="minorHAnsi"/>
          <w:szCs w:val="22"/>
        </w:rPr>
      </w:pPr>
      <w:r>
        <w:rPr>
          <w:rFonts w:asciiTheme="minorHAnsi" w:hAnsiTheme="minorHAnsi"/>
          <w:szCs w:val="22"/>
        </w:rPr>
        <w:t xml:space="preserve">This regulatory burden estimate </w:t>
      </w:r>
      <w:r w:rsidR="007518C4">
        <w:rPr>
          <w:rFonts w:asciiTheme="minorHAnsi" w:hAnsiTheme="minorHAnsi"/>
          <w:szCs w:val="22"/>
        </w:rPr>
        <w:t xml:space="preserve">assumes a maximum of </w:t>
      </w:r>
      <w:r w:rsidR="00372DD0">
        <w:rPr>
          <w:rFonts w:asciiTheme="minorHAnsi" w:hAnsiTheme="minorHAnsi"/>
          <w:szCs w:val="22"/>
        </w:rPr>
        <w:t xml:space="preserve">257 </w:t>
      </w:r>
      <w:r w:rsidR="007518C4">
        <w:rPr>
          <w:rFonts w:asciiTheme="minorHAnsi" w:hAnsiTheme="minorHAnsi"/>
          <w:szCs w:val="22"/>
        </w:rPr>
        <w:t>notifications being made between 1 April 2022 and 1 April 2025</w:t>
      </w:r>
      <w:r w:rsidR="00B428D0">
        <w:rPr>
          <w:rFonts w:asciiTheme="minorHAnsi" w:hAnsiTheme="minorHAnsi"/>
          <w:szCs w:val="22"/>
        </w:rPr>
        <w:t xml:space="preserve"> (noting that existing users of the relief have until 2 May 2022 to </w:t>
      </w:r>
      <w:r w:rsidR="004D0751">
        <w:rPr>
          <w:rFonts w:asciiTheme="minorHAnsi" w:hAnsiTheme="minorHAnsi"/>
          <w:szCs w:val="22"/>
        </w:rPr>
        <w:t>notify ASIC</w:t>
      </w:r>
      <w:r w:rsidR="00B428D0">
        <w:rPr>
          <w:rFonts w:asciiTheme="minorHAnsi" w:hAnsiTheme="minorHAnsi"/>
          <w:szCs w:val="22"/>
        </w:rPr>
        <w:t>)</w:t>
      </w:r>
      <w:r w:rsidR="007518C4">
        <w:rPr>
          <w:rFonts w:asciiTheme="minorHAnsi" w:hAnsiTheme="minorHAnsi"/>
          <w:szCs w:val="22"/>
        </w:rPr>
        <w:t>, with 207 notifications from existing persons who rely on the relief</w:t>
      </w:r>
      <w:r w:rsidR="00372DD0">
        <w:rPr>
          <w:rFonts w:asciiTheme="minorHAnsi" w:hAnsiTheme="minorHAnsi"/>
          <w:szCs w:val="22"/>
        </w:rPr>
        <w:t xml:space="preserve"> and</w:t>
      </w:r>
      <w:r w:rsidR="007518C4">
        <w:rPr>
          <w:rFonts w:asciiTheme="minorHAnsi" w:hAnsiTheme="minorHAnsi"/>
          <w:szCs w:val="22"/>
        </w:rPr>
        <w:t xml:space="preserve"> 50 notifications from new entrants</w:t>
      </w:r>
      <w:r w:rsidR="00372DD0">
        <w:rPr>
          <w:rFonts w:asciiTheme="minorHAnsi" w:hAnsiTheme="minorHAnsi"/>
          <w:szCs w:val="22"/>
        </w:rPr>
        <w:t xml:space="preserve">. </w:t>
      </w:r>
      <w:r w:rsidR="000371CC">
        <w:rPr>
          <w:rFonts w:asciiTheme="minorHAnsi" w:hAnsiTheme="minorHAnsi"/>
          <w:szCs w:val="22"/>
        </w:rPr>
        <w:t>These numbers are based on the</w:t>
      </w:r>
      <w:r w:rsidR="00944BDF">
        <w:rPr>
          <w:rFonts w:asciiTheme="minorHAnsi" w:hAnsiTheme="minorHAnsi"/>
          <w:szCs w:val="22"/>
        </w:rPr>
        <w:t xml:space="preserve"> limited</w:t>
      </w:r>
      <w:r w:rsidR="000371CC">
        <w:rPr>
          <w:rFonts w:asciiTheme="minorHAnsi" w:hAnsiTheme="minorHAnsi"/>
          <w:szCs w:val="22"/>
        </w:rPr>
        <w:t xml:space="preserve"> data that ASIC has received </w:t>
      </w:r>
      <w:r w:rsidR="008E0229">
        <w:rPr>
          <w:rFonts w:asciiTheme="minorHAnsi" w:hAnsiTheme="minorHAnsi"/>
          <w:szCs w:val="22"/>
        </w:rPr>
        <w:t>under</w:t>
      </w:r>
      <w:r w:rsidR="00944BDF">
        <w:rPr>
          <w:rFonts w:asciiTheme="minorHAnsi" w:hAnsiTheme="minorHAnsi"/>
          <w:szCs w:val="22"/>
        </w:rPr>
        <w:t xml:space="preserve"> the requirement for a business introduction service operator to give ASIC details of any publication made through a business introduction service. </w:t>
      </w:r>
    </w:p>
    <w:p w14:paraId="147D53EB" w14:textId="684FE085" w:rsidR="006F670C" w:rsidRDefault="006F670C" w:rsidP="008A5AC9">
      <w:pPr>
        <w:spacing w:before="240"/>
        <w:rPr>
          <w:rFonts w:asciiTheme="minorHAnsi" w:hAnsiTheme="minorHAnsi"/>
          <w:szCs w:val="22"/>
        </w:rPr>
      </w:pPr>
      <w:r>
        <w:rPr>
          <w:rFonts w:asciiTheme="minorHAnsi" w:hAnsiTheme="minorHAnsi"/>
          <w:szCs w:val="22"/>
        </w:rPr>
        <w:t xml:space="preserve">The notification requirement will supply ASIC with important data about </w:t>
      </w:r>
      <w:r w:rsidR="00C16FFE">
        <w:rPr>
          <w:rFonts w:asciiTheme="minorHAnsi" w:hAnsiTheme="minorHAnsi"/>
          <w:szCs w:val="22"/>
        </w:rPr>
        <w:t xml:space="preserve">the </w:t>
      </w:r>
      <w:r>
        <w:rPr>
          <w:rFonts w:asciiTheme="minorHAnsi" w:hAnsiTheme="minorHAnsi"/>
          <w:szCs w:val="22"/>
        </w:rPr>
        <w:t xml:space="preserve">use of the relief in industry. This data will play an important role for </w:t>
      </w:r>
      <w:r w:rsidR="00C16FFE">
        <w:rPr>
          <w:rFonts w:asciiTheme="minorHAnsi" w:hAnsiTheme="minorHAnsi"/>
          <w:szCs w:val="22"/>
        </w:rPr>
        <w:t>Government</w:t>
      </w:r>
      <w:r>
        <w:rPr>
          <w:rFonts w:asciiTheme="minorHAnsi" w:hAnsiTheme="minorHAnsi"/>
          <w:szCs w:val="22"/>
        </w:rPr>
        <w:t xml:space="preserve"> to determine whether to make the relief permanent via primary law upon its expiry</w:t>
      </w:r>
      <w:r w:rsidR="003D793E">
        <w:rPr>
          <w:rFonts w:asciiTheme="minorHAnsi" w:hAnsiTheme="minorHAnsi"/>
          <w:szCs w:val="22"/>
        </w:rPr>
        <w:t xml:space="preserve"> on 1 April 2025</w:t>
      </w:r>
      <w:r>
        <w:rPr>
          <w:rFonts w:asciiTheme="minorHAnsi" w:hAnsiTheme="minorHAnsi"/>
          <w:szCs w:val="22"/>
        </w:rPr>
        <w:t xml:space="preserve">. </w:t>
      </w:r>
      <w:r w:rsidR="00CA3490">
        <w:rPr>
          <w:rFonts w:asciiTheme="minorHAnsi" w:hAnsiTheme="minorHAnsi"/>
          <w:szCs w:val="22"/>
        </w:rPr>
        <w:t>ASIC finds</w:t>
      </w:r>
      <w:r>
        <w:rPr>
          <w:rFonts w:asciiTheme="minorHAnsi" w:hAnsiTheme="minorHAnsi"/>
          <w:szCs w:val="22"/>
        </w:rPr>
        <w:t xml:space="preserve"> this requirement is fit for purpose and will ensure the relief continues to operate efficiently and effectively. </w:t>
      </w:r>
    </w:p>
    <w:p w14:paraId="050DEC1C" w14:textId="77777777" w:rsidR="001A5710" w:rsidRDefault="001A5710" w:rsidP="00B3648E">
      <w:pPr>
        <w:ind w:left="-5"/>
        <w:rPr>
          <w:rFonts w:asciiTheme="minorHAnsi" w:hAnsiTheme="minorHAnsi"/>
          <w:szCs w:val="22"/>
        </w:rPr>
      </w:pPr>
    </w:p>
    <w:p w14:paraId="1EC2E586" w14:textId="145F4624" w:rsidR="00B3648E" w:rsidRDefault="00B3648E" w:rsidP="00B3648E">
      <w:pPr>
        <w:ind w:left="-5"/>
        <w:rPr>
          <w:rFonts w:asciiTheme="minorHAnsi" w:hAnsiTheme="minorHAnsi"/>
          <w:szCs w:val="22"/>
        </w:rPr>
      </w:pPr>
      <w:r w:rsidRPr="00B3648E">
        <w:rPr>
          <w:rFonts w:asciiTheme="minorHAnsi" w:hAnsiTheme="minorHAnsi"/>
          <w:szCs w:val="22"/>
        </w:rPr>
        <w:t xml:space="preserve">I acknowledge that OBPR will publish this letter for transparency purposes. </w:t>
      </w:r>
    </w:p>
    <w:p w14:paraId="261290F9" w14:textId="31505548" w:rsidR="00CF5389" w:rsidRDefault="00CF5389" w:rsidP="00B3648E">
      <w:pPr>
        <w:ind w:left="-5"/>
        <w:rPr>
          <w:rFonts w:asciiTheme="minorHAnsi" w:hAnsiTheme="minorHAnsi"/>
          <w:szCs w:val="22"/>
        </w:rPr>
      </w:pPr>
    </w:p>
    <w:p w14:paraId="329BEF9F" w14:textId="23447297" w:rsidR="00872175" w:rsidRDefault="00872175" w:rsidP="00CF5389">
      <w:pPr>
        <w:keepNext/>
        <w:keepLines/>
        <w:rPr>
          <w:rFonts w:asciiTheme="minorHAnsi" w:hAnsiTheme="minorHAnsi"/>
          <w:szCs w:val="22"/>
        </w:rPr>
      </w:pPr>
    </w:p>
    <w:p w14:paraId="13ECDDCE" w14:textId="77777777" w:rsidR="00872175" w:rsidRPr="00B3648E" w:rsidRDefault="00872175" w:rsidP="000C1B8D">
      <w:pPr>
        <w:keepNext/>
        <w:keepLines/>
        <w:ind w:left="-6"/>
        <w:rPr>
          <w:rFonts w:asciiTheme="minorHAnsi" w:hAnsiTheme="minorHAnsi"/>
          <w:szCs w:val="22"/>
        </w:rPr>
      </w:pPr>
    </w:p>
    <w:p w14:paraId="0F7C2E93" w14:textId="404FDD89" w:rsidR="00B3648E" w:rsidRPr="00B3648E" w:rsidRDefault="00B3648E" w:rsidP="000C1B8D">
      <w:pPr>
        <w:keepNext/>
        <w:keepLines/>
        <w:ind w:left="-6"/>
        <w:rPr>
          <w:rFonts w:asciiTheme="minorHAnsi" w:hAnsiTheme="minorHAnsi"/>
          <w:szCs w:val="22"/>
        </w:rPr>
      </w:pPr>
      <w:r w:rsidRPr="00B3648E">
        <w:rPr>
          <w:rFonts w:asciiTheme="minorHAnsi" w:hAnsiTheme="minorHAnsi"/>
          <w:szCs w:val="22"/>
        </w:rPr>
        <w:t xml:space="preserve">Yours sincerely </w:t>
      </w:r>
    </w:p>
    <w:p w14:paraId="2A136FFB" w14:textId="562A29D2" w:rsidR="00B3648E" w:rsidRPr="00B3648E" w:rsidRDefault="00B3648E" w:rsidP="000C1B8D">
      <w:pPr>
        <w:keepNext/>
        <w:keepLines/>
        <w:ind w:left="-6"/>
        <w:rPr>
          <w:rFonts w:asciiTheme="minorHAnsi" w:hAnsiTheme="minorHAnsi"/>
          <w:szCs w:val="22"/>
        </w:rPr>
      </w:pPr>
      <w:r w:rsidRPr="00B3648E">
        <w:rPr>
          <w:rFonts w:asciiTheme="minorHAnsi" w:hAnsiTheme="minorHAnsi"/>
          <w:szCs w:val="22"/>
        </w:rPr>
        <w:t xml:space="preserve"> </w:t>
      </w:r>
    </w:p>
    <w:p w14:paraId="46BBBAF6" w14:textId="63F9BDC7" w:rsidR="00B3648E" w:rsidRPr="00B3648E" w:rsidRDefault="00B3648E" w:rsidP="000C1B8D">
      <w:pPr>
        <w:keepNext/>
        <w:keepLines/>
        <w:ind w:left="-6"/>
        <w:rPr>
          <w:rFonts w:asciiTheme="minorHAnsi" w:hAnsiTheme="minorHAnsi"/>
          <w:szCs w:val="22"/>
        </w:rPr>
      </w:pPr>
      <w:r w:rsidRPr="00B3648E">
        <w:rPr>
          <w:rFonts w:asciiTheme="minorHAnsi" w:hAnsiTheme="minorHAnsi"/>
          <w:szCs w:val="22"/>
        </w:rPr>
        <w:t xml:space="preserve">  </w:t>
      </w:r>
      <w:r w:rsidR="004C134E">
        <w:rPr>
          <w:rFonts w:asciiTheme="minorHAnsi" w:hAnsiTheme="minorHAnsi"/>
          <w:noProof/>
          <w:szCs w:val="22"/>
          <w:lang w:eastAsia="en-AU"/>
        </w:rPr>
        <w:drawing>
          <wp:inline distT="0" distB="0" distL="0" distR="0" wp14:anchorId="402AFDF1" wp14:editId="41F8AB3A">
            <wp:extent cx="2564130" cy="7353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64130" cy="735330"/>
                    </a:xfrm>
                    <a:prstGeom prst="rect">
                      <a:avLst/>
                    </a:prstGeom>
                    <a:noFill/>
                    <a:ln>
                      <a:noFill/>
                    </a:ln>
                  </pic:spPr>
                </pic:pic>
              </a:graphicData>
            </a:graphic>
          </wp:inline>
        </w:drawing>
      </w:r>
    </w:p>
    <w:p w14:paraId="2B0053D9" w14:textId="77777777" w:rsidR="00B3648E" w:rsidRPr="00B3648E" w:rsidRDefault="00B3648E" w:rsidP="000C1B8D">
      <w:pPr>
        <w:keepNext/>
        <w:keepLines/>
        <w:ind w:left="-6"/>
        <w:rPr>
          <w:rFonts w:asciiTheme="minorHAnsi" w:hAnsiTheme="minorHAnsi"/>
          <w:szCs w:val="22"/>
        </w:rPr>
      </w:pPr>
      <w:r w:rsidRPr="00B3648E">
        <w:rPr>
          <w:rFonts w:asciiTheme="minorHAnsi" w:hAnsiTheme="minorHAnsi"/>
          <w:szCs w:val="22"/>
        </w:rPr>
        <w:t xml:space="preserve"> </w:t>
      </w:r>
    </w:p>
    <w:p w14:paraId="469D7590" w14:textId="2FEA1018" w:rsidR="00B3648E" w:rsidRPr="00B3648E" w:rsidRDefault="001A5710" w:rsidP="000C1B8D">
      <w:pPr>
        <w:keepNext/>
        <w:keepLines/>
        <w:ind w:left="-6"/>
        <w:rPr>
          <w:rFonts w:asciiTheme="minorHAnsi" w:hAnsiTheme="minorHAnsi"/>
          <w:szCs w:val="22"/>
        </w:rPr>
      </w:pPr>
      <w:r>
        <w:rPr>
          <w:rFonts w:asciiTheme="minorHAnsi" w:hAnsiTheme="minorHAnsi"/>
          <w:szCs w:val="22"/>
        </w:rPr>
        <w:t>Kate Metz</w:t>
      </w:r>
    </w:p>
    <w:p w14:paraId="0986E699" w14:textId="60A4D781" w:rsidR="000C1B8D" w:rsidRDefault="001A5710" w:rsidP="00B3648E">
      <w:pPr>
        <w:ind w:left="-5"/>
        <w:rPr>
          <w:rFonts w:asciiTheme="minorHAnsi" w:hAnsiTheme="minorHAnsi"/>
          <w:szCs w:val="22"/>
        </w:rPr>
      </w:pPr>
      <w:r>
        <w:rPr>
          <w:rFonts w:asciiTheme="minorHAnsi" w:hAnsiTheme="minorHAnsi"/>
          <w:szCs w:val="22"/>
        </w:rPr>
        <w:t xml:space="preserve">Senior </w:t>
      </w:r>
      <w:r w:rsidR="00B3648E" w:rsidRPr="00B3648E">
        <w:rPr>
          <w:rFonts w:asciiTheme="minorHAnsi" w:hAnsiTheme="minorHAnsi"/>
          <w:szCs w:val="22"/>
        </w:rPr>
        <w:t xml:space="preserve">Executive </w:t>
      </w:r>
      <w:r>
        <w:rPr>
          <w:rFonts w:asciiTheme="minorHAnsi" w:hAnsiTheme="minorHAnsi"/>
          <w:szCs w:val="22"/>
        </w:rPr>
        <w:t>Leader</w:t>
      </w:r>
      <w:r w:rsidR="000D0080">
        <w:rPr>
          <w:rFonts w:asciiTheme="minorHAnsi" w:hAnsiTheme="minorHAnsi"/>
          <w:szCs w:val="22"/>
        </w:rPr>
        <w:t xml:space="preserve"> – Investment </w:t>
      </w:r>
      <w:r w:rsidR="00214434">
        <w:rPr>
          <w:rFonts w:asciiTheme="minorHAnsi" w:hAnsiTheme="minorHAnsi"/>
          <w:szCs w:val="22"/>
        </w:rPr>
        <w:t>Ma</w:t>
      </w:r>
      <w:r w:rsidR="000D0080">
        <w:rPr>
          <w:rFonts w:asciiTheme="minorHAnsi" w:hAnsiTheme="minorHAnsi"/>
          <w:szCs w:val="22"/>
        </w:rPr>
        <w:t>nagers</w:t>
      </w:r>
    </w:p>
    <w:p w14:paraId="7346A4B9" w14:textId="2B6A6E46" w:rsidR="0008778A" w:rsidRPr="003345EC" w:rsidRDefault="00B3648E" w:rsidP="008C39AC">
      <w:pPr>
        <w:ind w:left="-5"/>
        <w:rPr>
          <w:szCs w:val="22"/>
        </w:rPr>
      </w:pPr>
      <w:r w:rsidRPr="00B3648E">
        <w:rPr>
          <w:rFonts w:asciiTheme="minorHAnsi" w:hAnsiTheme="minorHAnsi"/>
          <w:szCs w:val="22"/>
        </w:rPr>
        <w:t>Australian Securities and Investments Commission</w:t>
      </w:r>
    </w:p>
    <w:sectPr w:rsidR="0008778A" w:rsidRPr="003345EC" w:rsidSect="001D16B0">
      <w:type w:val="continuous"/>
      <w:pgSz w:w="11907" w:h="16840" w:code="9"/>
      <w:pgMar w:top="1418" w:right="1797" w:bottom="1440" w:left="1797" w:header="839" w:footer="720" w:gutter="0"/>
      <w:paperSrc w:first="15" w:other="15"/>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1F4AF" w14:textId="77777777" w:rsidR="00FD4BB1" w:rsidRDefault="00FD4BB1">
      <w:r>
        <w:separator/>
      </w:r>
    </w:p>
  </w:endnote>
  <w:endnote w:type="continuationSeparator" w:id="0">
    <w:p w14:paraId="4756A231" w14:textId="77777777" w:rsidR="00FD4BB1" w:rsidRDefault="00FD4BB1">
      <w:r>
        <w:continuationSeparator/>
      </w:r>
    </w:p>
  </w:endnote>
  <w:endnote w:type="continuationNotice" w:id="1">
    <w:p w14:paraId="461B92DD" w14:textId="77777777" w:rsidR="00FD4BB1" w:rsidRDefault="00FD4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ECD51" w14:textId="77777777" w:rsidR="00FD4BB1" w:rsidRDefault="00FD4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979EA" w14:textId="77777777" w:rsidR="00FD4BB1" w:rsidRDefault="00FD4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79D31" w14:textId="77777777" w:rsidR="00FD4BB1" w:rsidRDefault="00FD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83122" w14:textId="77777777" w:rsidR="00FD4BB1" w:rsidRDefault="00FD4BB1">
      <w:r>
        <w:separator/>
      </w:r>
    </w:p>
  </w:footnote>
  <w:footnote w:type="continuationSeparator" w:id="0">
    <w:p w14:paraId="5F78C042" w14:textId="77777777" w:rsidR="00FD4BB1" w:rsidRDefault="00FD4BB1">
      <w:r>
        <w:continuationSeparator/>
      </w:r>
    </w:p>
  </w:footnote>
  <w:footnote w:type="continuationNotice" w:id="1">
    <w:p w14:paraId="307B5089" w14:textId="77777777" w:rsidR="00FD4BB1" w:rsidRDefault="00FD4B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0DB56" w14:textId="0FDAC0DB" w:rsidR="00FD4BB1" w:rsidRDefault="00FD4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F3A2" w14:textId="2CE42FF8" w:rsidR="00FD4BB1" w:rsidRDefault="00FD4BB1">
    <w:pPr>
      <w:pStyle w:val="Header"/>
      <w:jc w:val="center"/>
    </w:pPr>
    <w:r>
      <w:fldChar w:fldCharType="begin"/>
    </w:r>
    <w:r>
      <w:instrText>PAGE</w:instrText>
    </w:r>
    <w:r>
      <w:fldChar w:fldCharType="separate"/>
    </w:r>
    <w:r w:rsidR="00160795">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EA645" w14:textId="474BDFA4" w:rsidR="00FD4BB1" w:rsidRPr="00160795" w:rsidRDefault="00FD4BB1" w:rsidP="005F271B">
    <w:pPr>
      <w:pStyle w:val="Header"/>
    </w:pPr>
    <w:r w:rsidRPr="00C0750D">
      <w:rPr>
        <w:noProof/>
        <w:lang w:eastAsia="en-AU"/>
      </w:rPr>
      <mc:AlternateContent>
        <mc:Choice Requires="wps">
          <w:drawing>
            <wp:anchor distT="0" distB="0" distL="114300" distR="114300" simplePos="0" relativeHeight="251658240" behindDoc="0" locked="0" layoutInCell="1" allowOverlap="1" wp14:anchorId="16F00C46" wp14:editId="1213A6D5">
              <wp:simplePos x="0" y="0"/>
              <wp:positionH relativeFrom="page">
                <wp:posOffset>5572125</wp:posOffset>
              </wp:positionH>
              <wp:positionV relativeFrom="page">
                <wp:posOffset>571500</wp:posOffset>
              </wp:positionV>
              <wp:extent cx="1828800" cy="22288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28850"/>
                      </a:xfrm>
                      <a:prstGeom prst="rect">
                        <a:avLst/>
                      </a:prstGeom>
                      <a:solidFill>
                        <a:srgbClr val="FFFFFF"/>
                      </a:solidFill>
                      <a:ln w="9525">
                        <a:noFill/>
                        <a:miter lim="800000"/>
                        <a:headEnd/>
                        <a:tailEnd/>
                      </a:ln>
                    </wps:spPr>
                    <wps:txbx>
                      <w:txbxContent>
                        <w:p w14:paraId="6F00A249" w14:textId="77777777" w:rsidR="00FD4BB1" w:rsidRPr="000F5B45" w:rsidRDefault="00FD4BB1" w:rsidP="005F271B">
                          <w:pPr>
                            <w:spacing w:after="120" w:line="288" w:lineRule="auto"/>
                            <w:rPr>
                              <w:b/>
                              <w:sz w:val="15"/>
                              <w:szCs w:val="15"/>
                            </w:rPr>
                          </w:pPr>
                          <w:r w:rsidRPr="000F5B45">
                            <w:rPr>
                              <w:b/>
                              <w:sz w:val="15"/>
                              <w:szCs w:val="15"/>
                            </w:rPr>
                            <w:t>Australian Securities</w:t>
                          </w:r>
                          <w:r w:rsidRPr="000F5B45">
                            <w:rPr>
                              <w:b/>
                              <w:sz w:val="15"/>
                              <w:szCs w:val="15"/>
                            </w:rPr>
                            <w:br/>
                            <w:t>and Investments Commission</w:t>
                          </w:r>
                        </w:p>
                        <w:p w14:paraId="065EC5C8" w14:textId="77777777" w:rsidR="00FD4BB1" w:rsidRDefault="00FD4BB1" w:rsidP="005F271B">
                          <w:pPr>
                            <w:spacing w:after="120" w:line="288" w:lineRule="auto"/>
                            <w:rPr>
                              <w:sz w:val="15"/>
                              <w:szCs w:val="15"/>
                            </w:rPr>
                          </w:pPr>
                          <w:r>
                            <w:rPr>
                              <w:sz w:val="15"/>
                              <w:szCs w:val="15"/>
                            </w:rPr>
                            <w:t>Office address (inc courier deliveries):</w:t>
                          </w:r>
                          <w:r>
                            <w:rPr>
                              <w:sz w:val="15"/>
                              <w:szCs w:val="15"/>
                            </w:rPr>
                            <w:br/>
                            <w:t>Level 5, 100 Market Street,</w:t>
                          </w:r>
                          <w:r>
                            <w:rPr>
                              <w:sz w:val="15"/>
                              <w:szCs w:val="15"/>
                            </w:rPr>
                            <w:br/>
                            <w:t>Sydney NSW 2000</w:t>
                          </w:r>
                        </w:p>
                        <w:p w14:paraId="7CD6357C" w14:textId="77777777" w:rsidR="00FD4BB1" w:rsidRPr="000F5B45" w:rsidRDefault="00FD4BB1" w:rsidP="005F271B">
                          <w:pPr>
                            <w:spacing w:after="120" w:line="288" w:lineRule="auto"/>
                            <w:rPr>
                              <w:sz w:val="15"/>
                              <w:szCs w:val="15"/>
                            </w:rPr>
                          </w:pPr>
                          <w:r>
                            <w:rPr>
                              <w:sz w:val="15"/>
                              <w:szCs w:val="15"/>
                            </w:rPr>
                            <w:t>Mail address for Sydney office:</w:t>
                          </w:r>
                          <w:r>
                            <w:rPr>
                              <w:sz w:val="15"/>
                              <w:szCs w:val="15"/>
                            </w:rPr>
                            <w:br/>
                            <w:t>GPO Box 9827</w:t>
                          </w:r>
                          <w:r w:rsidRPr="000F5B45">
                            <w:rPr>
                              <w:sz w:val="15"/>
                              <w:szCs w:val="15"/>
                            </w:rPr>
                            <w:t>,</w:t>
                          </w:r>
                          <w:r>
                            <w:rPr>
                              <w:sz w:val="15"/>
                              <w:szCs w:val="15"/>
                            </w:rPr>
                            <w:br/>
                            <w:t>Brisbane QLD 400</w:t>
                          </w:r>
                          <w:r w:rsidRPr="000F5B45">
                            <w:rPr>
                              <w:sz w:val="15"/>
                              <w:szCs w:val="15"/>
                            </w:rPr>
                            <w:t>1</w:t>
                          </w:r>
                        </w:p>
                        <w:p w14:paraId="40CEE037" w14:textId="77777777" w:rsidR="00FD4BB1" w:rsidRPr="000F5B45" w:rsidRDefault="00FD4BB1" w:rsidP="005F271B">
                          <w:pPr>
                            <w:spacing w:line="242" w:lineRule="atLeast"/>
                            <w:rPr>
                              <w:sz w:val="15"/>
                              <w:szCs w:val="15"/>
                            </w:rPr>
                          </w:pPr>
                          <w:r w:rsidRPr="009755BF">
                            <w:rPr>
                              <w:sz w:val="15"/>
                              <w:szCs w:val="15"/>
                            </w:rPr>
                            <w:t>Tel</w:t>
                          </w:r>
                          <w:r>
                            <w:rPr>
                              <w:sz w:val="15"/>
                              <w:szCs w:val="15"/>
                            </w:rPr>
                            <w:t xml:space="preserve">: </w:t>
                          </w:r>
                          <w:r w:rsidRPr="000F5B45">
                            <w:rPr>
                              <w:sz w:val="15"/>
                              <w:szCs w:val="15"/>
                            </w:rPr>
                            <w:t>+</w:t>
                          </w:r>
                          <w:r>
                            <w:rPr>
                              <w:sz w:val="15"/>
                              <w:szCs w:val="15"/>
                            </w:rPr>
                            <w:t>61 1300 935 075</w:t>
                          </w:r>
                          <w:r w:rsidRPr="00C0750D">
                            <w:rPr>
                              <w:sz w:val="15"/>
                              <w:szCs w:val="15"/>
                            </w:rPr>
                            <w:br/>
                          </w:r>
                          <w:r w:rsidRPr="000F5B45">
                            <w:rPr>
                              <w:sz w:val="15"/>
                              <w:szCs w:val="15"/>
                            </w:rPr>
                            <w:t>Fa</w:t>
                          </w:r>
                          <w:r>
                            <w:rPr>
                              <w:sz w:val="15"/>
                              <w:szCs w:val="15"/>
                            </w:rPr>
                            <w:t>x</w:t>
                          </w:r>
                          <w:r w:rsidRPr="000F5B45">
                            <w:rPr>
                              <w:sz w:val="15"/>
                              <w:szCs w:val="15"/>
                            </w:rPr>
                            <w:t xml:space="preserve">: +61 </w:t>
                          </w:r>
                          <w:r>
                            <w:rPr>
                              <w:sz w:val="15"/>
                              <w:szCs w:val="15"/>
                            </w:rPr>
                            <w:t xml:space="preserve">1300 729 000 </w:t>
                          </w:r>
                        </w:p>
                        <w:p w14:paraId="5B7C75B8" w14:textId="4B3468C3" w:rsidR="00FD4BB1" w:rsidRPr="000F5B45" w:rsidRDefault="00160795" w:rsidP="005F271B">
                          <w:pPr>
                            <w:spacing w:before="40" w:line="242" w:lineRule="atLeast"/>
                            <w:rPr>
                              <w:sz w:val="15"/>
                              <w:szCs w:val="15"/>
                            </w:rPr>
                          </w:pPr>
                          <w:hyperlink r:id="rId1" w:history="1">
                            <w:r w:rsidR="00FD4BB1" w:rsidRPr="00C0750D">
                              <w:rPr>
                                <w:rStyle w:val="Hyperlink"/>
                                <w:sz w:val="15"/>
                                <w:szCs w:val="15"/>
                              </w:rPr>
                              <w:t>www.asic.gov.au</w:t>
                            </w:r>
                          </w:hyperlink>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00C46" id="_x0000_t202" coordsize="21600,21600" o:spt="202" path="m,l,21600r21600,l21600,xe">
              <v:stroke joinstyle="miter"/>
              <v:path gradientshapeok="t" o:connecttype="rect"/>
            </v:shapetype>
            <v:shape id="Text Box 2" o:spid="_x0000_s1026" type="#_x0000_t202" style="position:absolute;margin-left:438.75pt;margin-top:45pt;width:2in;height:1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" stroked="f">
              <v:textbox inset="1mm,1mm,1mm,1mm">
                <w:txbxContent>
                  <w:p w14:paraId="6F00A249" w14:textId="77777777" w:rsidR="00FD4BB1" w:rsidRPr="000F5B45" w:rsidRDefault="00FD4BB1" w:rsidP="005F271B">
                    <w:pPr>
                      <w:spacing w:after="120" w:line="288" w:lineRule="auto"/>
                      <w:rPr>
                        <w:b/>
                        <w:sz w:val="15"/>
                        <w:szCs w:val="15"/>
                      </w:rPr>
                    </w:pPr>
                    <w:r w:rsidRPr="000F5B45">
                      <w:rPr>
                        <w:b/>
                        <w:sz w:val="15"/>
                        <w:szCs w:val="15"/>
                      </w:rPr>
                      <w:t>Australian Securities</w:t>
                    </w:r>
                    <w:r w:rsidRPr="000F5B45">
                      <w:rPr>
                        <w:b/>
                        <w:sz w:val="15"/>
                        <w:szCs w:val="15"/>
                      </w:rPr>
                      <w:br/>
                      <w:t>and Investments Commission</w:t>
                    </w:r>
                  </w:p>
                  <w:p w14:paraId="065EC5C8" w14:textId="77777777" w:rsidR="00FD4BB1" w:rsidRDefault="00FD4BB1" w:rsidP="005F271B">
                    <w:pPr>
                      <w:spacing w:after="120" w:line="288" w:lineRule="auto"/>
                      <w:rPr>
                        <w:sz w:val="15"/>
                        <w:szCs w:val="15"/>
                      </w:rPr>
                    </w:pPr>
                    <w:r>
                      <w:rPr>
                        <w:sz w:val="15"/>
                        <w:szCs w:val="15"/>
                      </w:rPr>
                      <w:t>Office address (inc courier deliveries):</w:t>
                    </w:r>
                    <w:r>
                      <w:rPr>
                        <w:sz w:val="15"/>
                        <w:szCs w:val="15"/>
                      </w:rPr>
                      <w:br/>
                      <w:t>Level 5, 100 Market Street,</w:t>
                    </w:r>
                    <w:r>
                      <w:rPr>
                        <w:sz w:val="15"/>
                        <w:szCs w:val="15"/>
                      </w:rPr>
                      <w:br/>
                      <w:t>Sydney NSW 2000</w:t>
                    </w:r>
                  </w:p>
                  <w:p w14:paraId="7CD6357C" w14:textId="77777777" w:rsidR="00FD4BB1" w:rsidRPr="000F5B45" w:rsidRDefault="00FD4BB1" w:rsidP="005F271B">
                    <w:pPr>
                      <w:spacing w:after="120" w:line="288" w:lineRule="auto"/>
                      <w:rPr>
                        <w:sz w:val="15"/>
                        <w:szCs w:val="15"/>
                      </w:rPr>
                    </w:pPr>
                    <w:r>
                      <w:rPr>
                        <w:sz w:val="15"/>
                        <w:szCs w:val="15"/>
                      </w:rPr>
                      <w:t>Mail address for Sydney office:</w:t>
                    </w:r>
                    <w:r>
                      <w:rPr>
                        <w:sz w:val="15"/>
                        <w:szCs w:val="15"/>
                      </w:rPr>
                      <w:br/>
                      <w:t>GPO Box 9827</w:t>
                    </w:r>
                    <w:r w:rsidRPr="000F5B45">
                      <w:rPr>
                        <w:sz w:val="15"/>
                        <w:szCs w:val="15"/>
                      </w:rPr>
                      <w:t>,</w:t>
                    </w:r>
                    <w:r>
                      <w:rPr>
                        <w:sz w:val="15"/>
                        <w:szCs w:val="15"/>
                      </w:rPr>
                      <w:br/>
                      <w:t>Brisbane QLD 400</w:t>
                    </w:r>
                    <w:r w:rsidRPr="000F5B45">
                      <w:rPr>
                        <w:sz w:val="15"/>
                        <w:szCs w:val="15"/>
                      </w:rPr>
                      <w:t>1</w:t>
                    </w:r>
                  </w:p>
                  <w:p w14:paraId="40CEE037" w14:textId="77777777" w:rsidR="00FD4BB1" w:rsidRPr="000F5B45" w:rsidRDefault="00FD4BB1" w:rsidP="005F271B">
                    <w:pPr>
                      <w:spacing w:line="242" w:lineRule="atLeast"/>
                      <w:rPr>
                        <w:sz w:val="15"/>
                        <w:szCs w:val="15"/>
                      </w:rPr>
                    </w:pPr>
                    <w:r w:rsidRPr="009755BF">
                      <w:rPr>
                        <w:sz w:val="15"/>
                        <w:szCs w:val="15"/>
                      </w:rPr>
                      <w:t>Tel</w:t>
                    </w:r>
                    <w:r>
                      <w:rPr>
                        <w:sz w:val="15"/>
                        <w:szCs w:val="15"/>
                      </w:rPr>
                      <w:t xml:space="preserve">: </w:t>
                    </w:r>
                    <w:r w:rsidRPr="000F5B45">
                      <w:rPr>
                        <w:sz w:val="15"/>
                        <w:szCs w:val="15"/>
                      </w:rPr>
                      <w:t>+</w:t>
                    </w:r>
                    <w:r>
                      <w:rPr>
                        <w:sz w:val="15"/>
                        <w:szCs w:val="15"/>
                      </w:rPr>
                      <w:t>61 1300 935 075</w:t>
                    </w:r>
                    <w:r w:rsidRPr="00C0750D">
                      <w:rPr>
                        <w:sz w:val="15"/>
                        <w:szCs w:val="15"/>
                      </w:rPr>
                      <w:br/>
                    </w:r>
                    <w:r w:rsidRPr="000F5B45">
                      <w:rPr>
                        <w:sz w:val="15"/>
                        <w:szCs w:val="15"/>
                      </w:rPr>
                      <w:t>Fa</w:t>
                    </w:r>
                    <w:r>
                      <w:rPr>
                        <w:sz w:val="15"/>
                        <w:szCs w:val="15"/>
                      </w:rPr>
                      <w:t>x</w:t>
                    </w:r>
                    <w:r w:rsidRPr="000F5B45">
                      <w:rPr>
                        <w:sz w:val="15"/>
                        <w:szCs w:val="15"/>
                      </w:rPr>
                      <w:t xml:space="preserve">: +61 </w:t>
                    </w:r>
                    <w:r>
                      <w:rPr>
                        <w:sz w:val="15"/>
                        <w:szCs w:val="15"/>
                      </w:rPr>
                      <w:t xml:space="preserve">1300 729 000 </w:t>
                    </w:r>
                  </w:p>
                  <w:p w14:paraId="5B7C75B8" w14:textId="4B3468C3" w:rsidR="00FD4BB1" w:rsidRPr="000F5B45" w:rsidRDefault="00160795" w:rsidP="005F271B">
                    <w:pPr>
                      <w:spacing w:before="40" w:line="242" w:lineRule="atLeast"/>
                      <w:rPr>
                        <w:sz w:val="15"/>
                        <w:szCs w:val="15"/>
                      </w:rPr>
                    </w:pPr>
                    <w:hyperlink r:id="rId2" w:history="1">
                      <w:r w:rsidR="00FD4BB1" w:rsidRPr="00C0750D">
                        <w:rPr>
                          <w:rStyle w:val="Hyperlink"/>
                          <w:sz w:val="15"/>
                          <w:szCs w:val="15"/>
                        </w:rPr>
                        <w:t>www.asic.gov.au</w:t>
                      </w:r>
                    </w:hyperlink>
                  </w:p>
                </w:txbxContent>
              </v:textbox>
              <w10:wrap anchorx="page" anchory="page"/>
            </v:shape>
          </w:pict>
        </mc:Fallback>
      </mc:AlternateContent>
    </w:r>
    <w:r w:rsidRPr="00C0750D">
      <w:rPr>
        <w:noProof/>
        <w:lang w:eastAsia="en-AU"/>
      </w:rPr>
      <w:drawing>
        <wp:anchor distT="0" distB="0" distL="114300" distR="114300" simplePos="0" relativeHeight="251658241" behindDoc="0" locked="0" layoutInCell="1" allowOverlap="1" wp14:anchorId="16F40536" wp14:editId="2A789533">
          <wp:simplePos x="0" y="0"/>
          <wp:positionH relativeFrom="page">
            <wp:posOffset>629920</wp:posOffset>
          </wp:positionH>
          <wp:positionV relativeFrom="page">
            <wp:posOffset>696036</wp:posOffset>
          </wp:positionV>
          <wp:extent cx="2491920" cy="528480"/>
          <wp:effectExtent l="0" t="0" r="381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C Logo EXT 1 (Master logo for external use).jpg"/>
                  <pic:cNvPicPr/>
                </pic:nvPicPr>
                <pic:blipFill>
                  <a:blip r:embed="rId3">
                    <a:extLst>
                      <a:ext uri="{28A0092B-C50C-407E-A947-70E740481C1C}">
                        <a14:useLocalDpi xmlns:a14="http://schemas.microsoft.com/office/drawing/2010/main" val="0"/>
                      </a:ext>
                    </a:extLst>
                  </a:blip>
                  <a:stretch>
                    <a:fillRect/>
                  </a:stretch>
                </pic:blipFill>
                <pic:spPr>
                  <a:xfrm>
                    <a:off x="0" y="0"/>
                    <a:ext cx="2491920" cy="528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226C"/>
    <w:multiLevelType w:val="hybridMultilevel"/>
    <w:tmpl w:val="61B6E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3E7291"/>
    <w:multiLevelType w:val="hybridMultilevel"/>
    <w:tmpl w:val="D43457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EC54C69"/>
    <w:multiLevelType w:val="hybridMultilevel"/>
    <w:tmpl w:val="1C44C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52E0795"/>
    <w:multiLevelType w:val="hybridMultilevel"/>
    <w:tmpl w:val="F8067F8C"/>
    <w:lvl w:ilvl="0" w:tplc="AB705CFA">
      <w:start w:val="1"/>
      <w:numFmt w:val="decimal"/>
      <w:lvlText w:val="%1."/>
      <w:lvlJc w:val="left"/>
      <w:pPr>
        <w:ind w:left="720" w:hanging="360"/>
      </w:pPr>
      <w:rPr>
        <w:i w:val="0"/>
        <w:iCs w:val="0"/>
      </w:rPr>
    </w:lvl>
    <w:lvl w:ilvl="1" w:tplc="8C1219F2">
      <w:start w:val="1"/>
      <w:numFmt w:val="lowerLetter"/>
      <w:lvlText w:val="%2."/>
      <w:lvlJc w:val="left"/>
      <w:pPr>
        <w:ind w:left="1440" w:hanging="360"/>
      </w:pPr>
      <w:rPr>
        <w:i w:val="0"/>
        <w:i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1866D34"/>
    <w:multiLevelType w:val="hybridMultilevel"/>
    <w:tmpl w:val="87FC51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28653C5"/>
    <w:multiLevelType w:val="multilevel"/>
    <w:tmpl w:val="D8A820DC"/>
    <w:lvl w:ilvl="0">
      <w:start w:val="1"/>
      <w:numFmt w:val="none"/>
      <w:pStyle w:val="Heading1"/>
      <w:lvlText w:val=""/>
      <w:lvlJc w:val="left"/>
      <w:pPr>
        <w:ind w:left="0" w:firstLine="0"/>
      </w:pPr>
      <w:rPr>
        <w:rFonts w:ascii="Century Gothic" w:hAnsi="Century Gothic" w:hint="default"/>
        <w:b/>
        <w:i w:val="0"/>
        <w:color w:val="0070C0"/>
        <w:sz w:val="28"/>
      </w:rPr>
    </w:lvl>
    <w:lvl w:ilvl="1">
      <w:start w:val="1"/>
      <w:numFmt w:val="decimal"/>
      <w:lvlRestart w:val="0"/>
      <w:pStyle w:val="ListPara1"/>
      <w:lvlText w:val="%2."/>
      <w:lvlJc w:val="left"/>
      <w:pPr>
        <w:ind w:left="680" w:hanging="340"/>
      </w:pPr>
      <w:rPr>
        <w:rFonts w:ascii="Century Gothic" w:hAnsi="Century Gothic" w:hint="default"/>
        <w:sz w:val="22"/>
        <w:szCs w:val="22"/>
      </w:rPr>
    </w:lvl>
    <w:lvl w:ilvl="2">
      <w:start w:val="1"/>
      <w:numFmt w:val="decimal"/>
      <w:pStyle w:val="ListPara2"/>
      <w:lvlText w:val="%2.%3"/>
      <w:lvlJc w:val="left"/>
      <w:pPr>
        <w:ind w:left="1163" w:hanging="45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FA06D58"/>
    <w:multiLevelType w:val="hybridMultilevel"/>
    <w:tmpl w:val="137A8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EC"/>
    <w:rsid w:val="0000309E"/>
    <w:rsid w:val="00004F25"/>
    <w:rsid w:val="0001172F"/>
    <w:rsid w:val="00021096"/>
    <w:rsid w:val="00034343"/>
    <w:rsid w:val="000371CC"/>
    <w:rsid w:val="000511A0"/>
    <w:rsid w:val="00082B02"/>
    <w:rsid w:val="0008778A"/>
    <w:rsid w:val="000A7803"/>
    <w:rsid w:val="000B1629"/>
    <w:rsid w:val="000B2162"/>
    <w:rsid w:val="000B49C7"/>
    <w:rsid w:val="000C1B8D"/>
    <w:rsid w:val="000C2318"/>
    <w:rsid w:val="000C5B0E"/>
    <w:rsid w:val="000C5D2F"/>
    <w:rsid w:val="000C7F9E"/>
    <w:rsid w:val="000D0080"/>
    <w:rsid w:val="00115AB9"/>
    <w:rsid w:val="00120CA7"/>
    <w:rsid w:val="00132267"/>
    <w:rsid w:val="00160795"/>
    <w:rsid w:val="001612EA"/>
    <w:rsid w:val="00162C99"/>
    <w:rsid w:val="00167664"/>
    <w:rsid w:val="0017448E"/>
    <w:rsid w:val="001850DD"/>
    <w:rsid w:val="00190709"/>
    <w:rsid w:val="00192881"/>
    <w:rsid w:val="00196820"/>
    <w:rsid w:val="001A5710"/>
    <w:rsid w:val="001A649D"/>
    <w:rsid w:val="001D16B0"/>
    <w:rsid w:val="001F5BFF"/>
    <w:rsid w:val="00202992"/>
    <w:rsid w:val="002039AD"/>
    <w:rsid w:val="00212B66"/>
    <w:rsid w:val="00214434"/>
    <w:rsid w:val="00225369"/>
    <w:rsid w:val="00226A84"/>
    <w:rsid w:val="00253CB9"/>
    <w:rsid w:val="00255059"/>
    <w:rsid w:val="00256EBF"/>
    <w:rsid w:val="00265CE4"/>
    <w:rsid w:val="00284EAA"/>
    <w:rsid w:val="002A345D"/>
    <w:rsid w:val="002B1633"/>
    <w:rsid w:val="002B49B4"/>
    <w:rsid w:val="002E50A8"/>
    <w:rsid w:val="003215F4"/>
    <w:rsid w:val="003345EC"/>
    <w:rsid w:val="0034365E"/>
    <w:rsid w:val="003534B7"/>
    <w:rsid w:val="00371E98"/>
    <w:rsid w:val="00372DD0"/>
    <w:rsid w:val="00376CF8"/>
    <w:rsid w:val="00377F0B"/>
    <w:rsid w:val="00387ED3"/>
    <w:rsid w:val="003A2936"/>
    <w:rsid w:val="003B523E"/>
    <w:rsid w:val="003B5891"/>
    <w:rsid w:val="003C2B45"/>
    <w:rsid w:val="003D3817"/>
    <w:rsid w:val="003D793E"/>
    <w:rsid w:val="003E57B3"/>
    <w:rsid w:val="003E7B8C"/>
    <w:rsid w:val="003F1116"/>
    <w:rsid w:val="00403E9F"/>
    <w:rsid w:val="00430D9D"/>
    <w:rsid w:val="004342A1"/>
    <w:rsid w:val="004571A3"/>
    <w:rsid w:val="00474BC4"/>
    <w:rsid w:val="004768F9"/>
    <w:rsid w:val="00486B5D"/>
    <w:rsid w:val="004A1B39"/>
    <w:rsid w:val="004A46D7"/>
    <w:rsid w:val="004A4729"/>
    <w:rsid w:val="004A5A99"/>
    <w:rsid w:val="004C134E"/>
    <w:rsid w:val="004D0751"/>
    <w:rsid w:val="004D46E8"/>
    <w:rsid w:val="004E097D"/>
    <w:rsid w:val="004E1F1F"/>
    <w:rsid w:val="004E305C"/>
    <w:rsid w:val="004E433F"/>
    <w:rsid w:val="004E5C6E"/>
    <w:rsid w:val="005070D5"/>
    <w:rsid w:val="00510B6F"/>
    <w:rsid w:val="005165C5"/>
    <w:rsid w:val="00542AFB"/>
    <w:rsid w:val="00561457"/>
    <w:rsid w:val="00571887"/>
    <w:rsid w:val="00582BA2"/>
    <w:rsid w:val="00582F00"/>
    <w:rsid w:val="0058721D"/>
    <w:rsid w:val="005A43B6"/>
    <w:rsid w:val="005B2D81"/>
    <w:rsid w:val="005D3EFB"/>
    <w:rsid w:val="005F0B6B"/>
    <w:rsid w:val="005F271B"/>
    <w:rsid w:val="005F7B36"/>
    <w:rsid w:val="00601492"/>
    <w:rsid w:val="00606B73"/>
    <w:rsid w:val="00625620"/>
    <w:rsid w:val="006639D9"/>
    <w:rsid w:val="00674A85"/>
    <w:rsid w:val="00695B94"/>
    <w:rsid w:val="006D277C"/>
    <w:rsid w:val="006D4090"/>
    <w:rsid w:val="006E0091"/>
    <w:rsid w:val="006F5D36"/>
    <w:rsid w:val="006F670C"/>
    <w:rsid w:val="00714A83"/>
    <w:rsid w:val="00720440"/>
    <w:rsid w:val="00732926"/>
    <w:rsid w:val="00744E8F"/>
    <w:rsid w:val="00746A83"/>
    <w:rsid w:val="00750880"/>
    <w:rsid w:val="007518C4"/>
    <w:rsid w:val="007657AC"/>
    <w:rsid w:val="00771738"/>
    <w:rsid w:val="007B4B48"/>
    <w:rsid w:val="007C1DC6"/>
    <w:rsid w:val="007C1FDE"/>
    <w:rsid w:val="007C32AA"/>
    <w:rsid w:val="007C4514"/>
    <w:rsid w:val="007D256C"/>
    <w:rsid w:val="007E679F"/>
    <w:rsid w:val="00824097"/>
    <w:rsid w:val="008262EF"/>
    <w:rsid w:val="00833430"/>
    <w:rsid w:val="00842B12"/>
    <w:rsid w:val="0084520F"/>
    <w:rsid w:val="00851757"/>
    <w:rsid w:val="00872175"/>
    <w:rsid w:val="00873B14"/>
    <w:rsid w:val="008939EF"/>
    <w:rsid w:val="008972A2"/>
    <w:rsid w:val="008A13E9"/>
    <w:rsid w:val="008A2FD2"/>
    <w:rsid w:val="008A559B"/>
    <w:rsid w:val="008A5AC9"/>
    <w:rsid w:val="008B3112"/>
    <w:rsid w:val="008B5B25"/>
    <w:rsid w:val="008C0CE5"/>
    <w:rsid w:val="008C39AC"/>
    <w:rsid w:val="008C6241"/>
    <w:rsid w:val="008D195E"/>
    <w:rsid w:val="008D4F71"/>
    <w:rsid w:val="008E0229"/>
    <w:rsid w:val="008E13C1"/>
    <w:rsid w:val="008F4151"/>
    <w:rsid w:val="008F5666"/>
    <w:rsid w:val="00901DED"/>
    <w:rsid w:val="00913DBB"/>
    <w:rsid w:val="0091600C"/>
    <w:rsid w:val="00934FA5"/>
    <w:rsid w:val="00942F9F"/>
    <w:rsid w:val="00944BDF"/>
    <w:rsid w:val="0095250D"/>
    <w:rsid w:val="00953027"/>
    <w:rsid w:val="00960952"/>
    <w:rsid w:val="00966B85"/>
    <w:rsid w:val="00967EDC"/>
    <w:rsid w:val="009700FB"/>
    <w:rsid w:val="00986DCB"/>
    <w:rsid w:val="0099256E"/>
    <w:rsid w:val="009A1EBD"/>
    <w:rsid w:val="009B0EB5"/>
    <w:rsid w:val="009B35F7"/>
    <w:rsid w:val="009C722C"/>
    <w:rsid w:val="009D33AB"/>
    <w:rsid w:val="009D4AD7"/>
    <w:rsid w:val="009D4FCE"/>
    <w:rsid w:val="009D5756"/>
    <w:rsid w:val="009E3C4C"/>
    <w:rsid w:val="009E43CD"/>
    <w:rsid w:val="00A0747A"/>
    <w:rsid w:val="00A579BA"/>
    <w:rsid w:val="00A57A9A"/>
    <w:rsid w:val="00A661A0"/>
    <w:rsid w:val="00A71E5F"/>
    <w:rsid w:val="00A80A23"/>
    <w:rsid w:val="00AB1822"/>
    <w:rsid w:val="00AB4ADC"/>
    <w:rsid w:val="00AD3346"/>
    <w:rsid w:val="00AD7A9B"/>
    <w:rsid w:val="00AE4167"/>
    <w:rsid w:val="00AE4644"/>
    <w:rsid w:val="00AF7BD4"/>
    <w:rsid w:val="00B0484A"/>
    <w:rsid w:val="00B22779"/>
    <w:rsid w:val="00B34E97"/>
    <w:rsid w:val="00B3648E"/>
    <w:rsid w:val="00B428D0"/>
    <w:rsid w:val="00B452A6"/>
    <w:rsid w:val="00B63C82"/>
    <w:rsid w:val="00B63CA1"/>
    <w:rsid w:val="00B7188B"/>
    <w:rsid w:val="00B82336"/>
    <w:rsid w:val="00B83654"/>
    <w:rsid w:val="00B9269D"/>
    <w:rsid w:val="00B94505"/>
    <w:rsid w:val="00BA24F7"/>
    <w:rsid w:val="00BC7516"/>
    <w:rsid w:val="00BC75B4"/>
    <w:rsid w:val="00BD17E0"/>
    <w:rsid w:val="00BD3519"/>
    <w:rsid w:val="00BE3CFA"/>
    <w:rsid w:val="00BE46DE"/>
    <w:rsid w:val="00BF5985"/>
    <w:rsid w:val="00C12BA7"/>
    <w:rsid w:val="00C16FFE"/>
    <w:rsid w:val="00C23FC6"/>
    <w:rsid w:val="00C25803"/>
    <w:rsid w:val="00C31455"/>
    <w:rsid w:val="00C3281C"/>
    <w:rsid w:val="00C45137"/>
    <w:rsid w:val="00C47696"/>
    <w:rsid w:val="00C50482"/>
    <w:rsid w:val="00C5163E"/>
    <w:rsid w:val="00C55F91"/>
    <w:rsid w:val="00C576CF"/>
    <w:rsid w:val="00C630F9"/>
    <w:rsid w:val="00C707BF"/>
    <w:rsid w:val="00C73FC7"/>
    <w:rsid w:val="00CA3490"/>
    <w:rsid w:val="00CC5A80"/>
    <w:rsid w:val="00CD639A"/>
    <w:rsid w:val="00CE5591"/>
    <w:rsid w:val="00CF5389"/>
    <w:rsid w:val="00D141BF"/>
    <w:rsid w:val="00D17E67"/>
    <w:rsid w:val="00D34B80"/>
    <w:rsid w:val="00D416D8"/>
    <w:rsid w:val="00D513E9"/>
    <w:rsid w:val="00D57092"/>
    <w:rsid w:val="00D666A0"/>
    <w:rsid w:val="00D73EC0"/>
    <w:rsid w:val="00D817FF"/>
    <w:rsid w:val="00D92209"/>
    <w:rsid w:val="00DB06B6"/>
    <w:rsid w:val="00DB555B"/>
    <w:rsid w:val="00DB65AD"/>
    <w:rsid w:val="00DF6823"/>
    <w:rsid w:val="00E00626"/>
    <w:rsid w:val="00E07E28"/>
    <w:rsid w:val="00E10C6F"/>
    <w:rsid w:val="00E156B8"/>
    <w:rsid w:val="00E15E58"/>
    <w:rsid w:val="00E3353D"/>
    <w:rsid w:val="00E37497"/>
    <w:rsid w:val="00E51D65"/>
    <w:rsid w:val="00E66081"/>
    <w:rsid w:val="00E70DB0"/>
    <w:rsid w:val="00E72802"/>
    <w:rsid w:val="00EC3266"/>
    <w:rsid w:val="00EE64B8"/>
    <w:rsid w:val="00F046E2"/>
    <w:rsid w:val="00F212F7"/>
    <w:rsid w:val="00F259EF"/>
    <w:rsid w:val="00F46175"/>
    <w:rsid w:val="00F54C37"/>
    <w:rsid w:val="00F57885"/>
    <w:rsid w:val="00F70923"/>
    <w:rsid w:val="00F870E6"/>
    <w:rsid w:val="00F9256A"/>
    <w:rsid w:val="00FA3322"/>
    <w:rsid w:val="00FB24E8"/>
    <w:rsid w:val="00FC0D03"/>
    <w:rsid w:val="00FC7EFE"/>
    <w:rsid w:val="00FD1D33"/>
    <w:rsid w:val="00FD4BB1"/>
    <w:rsid w:val="00FD6079"/>
    <w:rsid w:val="00FE5266"/>
    <w:rsid w:val="00FE7E05"/>
    <w:rsid w:val="00FE7F41"/>
    <w:rsid w:val="00FF11E7"/>
    <w:rsid w:val="00FF3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D01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5EC"/>
    <w:pPr>
      <w:overflowPunct w:val="0"/>
      <w:autoSpaceDE w:val="0"/>
      <w:autoSpaceDN w:val="0"/>
      <w:adjustRightInd w:val="0"/>
      <w:spacing w:after="0" w:line="240" w:lineRule="auto"/>
      <w:textAlignment w:val="baseline"/>
    </w:pPr>
    <w:rPr>
      <w:rFonts w:ascii="Century Gothic" w:eastAsia="Times New Roman" w:hAnsi="Century Gothic" w:cs="Times New Roman"/>
      <w:szCs w:val="20"/>
    </w:rPr>
  </w:style>
  <w:style w:type="paragraph" w:styleId="Heading1">
    <w:name w:val="heading 1"/>
    <w:basedOn w:val="Normal"/>
    <w:next w:val="Normal"/>
    <w:link w:val="Heading1Char"/>
    <w:uiPriority w:val="9"/>
    <w:qFormat/>
    <w:rsid w:val="00AB1822"/>
    <w:pPr>
      <w:keepNext/>
      <w:keepLines/>
      <w:numPr>
        <w:numId w:val="6"/>
      </w:numPr>
      <w:overflowPunct/>
      <w:autoSpaceDE/>
      <w:autoSpaceDN/>
      <w:adjustRightInd/>
      <w:spacing w:before="120" w:after="120" w:line="259" w:lineRule="auto"/>
      <w:textAlignment w:val="auto"/>
      <w:outlineLvl w:val="0"/>
    </w:pPr>
    <w:rPr>
      <w:rFonts w:eastAsia="SimSun" w:cstheme="majorBidi"/>
      <w:b/>
      <w:color w:val="0070CE"/>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345EC"/>
    <w:pPr>
      <w:tabs>
        <w:tab w:val="center" w:pos="4819"/>
        <w:tab w:val="right" w:pos="9071"/>
      </w:tabs>
    </w:pPr>
  </w:style>
  <w:style w:type="character" w:customStyle="1" w:styleId="HeaderChar">
    <w:name w:val="Header Char"/>
    <w:basedOn w:val="DefaultParagraphFont"/>
    <w:link w:val="Header"/>
    <w:semiHidden/>
    <w:rsid w:val="003345EC"/>
    <w:rPr>
      <w:rFonts w:ascii="Century Gothic" w:eastAsia="Times New Roman" w:hAnsi="Century Gothic" w:cs="Times New Roman"/>
      <w:szCs w:val="20"/>
    </w:rPr>
  </w:style>
  <w:style w:type="paragraph" w:styleId="Footer">
    <w:name w:val="footer"/>
    <w:basedOn w:val="Normal"/>
    <w:link w:val="FooterChar"/>
    <w:uiPriority w:val="99"/>
    <w:unhideWhenUsed/>
    <w:rsid w:val="003345EC"/>
    <w:pPr>
      <w:tabs>
        <w:tab w:val="center" w:pos="4513"/>
        <w:tab w:val="right" w:pos="9026"/>
      </w:tabs>
    </w:pPr>
  </w:style>
  <w:style w:type="character" w:customStyle="1" w:styleId="FooterChar">
    <w:name w:val="Footer Char"/>
    <w:basedOn w:val="DefaultParagraphFont"/>
    <w:link w:val="Footer"/>
    <w:uiPriority w:val="99"/>
    <w:rsid w:val="003345EC"/>
    <w:rPr>
      <w:rFonts w:ascii="Century Gothic" w:eastAsia="Times New Roman" w:hAnsi="Century Gothic" w:cs="Times New Roman"/>
      <w:szCs w:val="20"/>
    </w:rPr>
  </w:style>
  <w:style w:type="character" w:styleId="Hyperlink">
    <w:name w:val="Hyperlink"/>
    <w:basedOn w:val="DefaultParagraphFont"/>
    <w:uiPriority w:val="99"/>
    <w:unhideWhenUsed/>
    <w:rsid w:val="003345EC"/>
    <w:rPr>
      <w:color w:val="0071CE" w:themeColor="hyperlink"/>
      <w:u w:val="single"/>
    </w:rPr>
  </w:style>
  <w:style w:type="table" w:styleId="TableGrid">
    <w:name w:val="Table Grid"/>
    <w:basedOn w:val="TableNormal"/>
    <w:uiPriority w:val="59"/>
    <w:rsid w:val="003345EC"/>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D416D8"/>
    <w:pPr>
      <w:overflowPunct/>
      <w:autoSpaceDE/>
      <w:autoSpaceDN/>
      <w:adjustRightInd/>
      <w:spacing w:before="120" w:after="120"/>
      <w:textAlignment w:val="auto"/>
    </w:pPr>
    <w:rPr>
      <w:rFonts w:eastAsiaTheme="majorEastAsia" w:cs="Arial"/>
      <w:bCs/>
      <w:sz w:val="20"/>
    </w:rPr>
  </w:style>
  <w:style w:type="table" w:styleId="LightGrid-Accent2">
    <w:name w:val="Light Grid Accent 2"/>
    <w:basedOn w:val="TableNormal"/>
    <w:uiPriority w:val="62"/>
    <w:semiHidden/>
    <w:unhideWhenUsed/>
    <w:rsid w:val="00D416D8"/>
    <w:pPr>
      <w:spacing w:after="0" w:line="240" w:lineRule="auto"/>
    </w:pPr>
    <w:rPr>
      <w:rFonts w:eastAsiaTheme="minorEastAsia"/>
      <w:sz w:val="24"/>
      <w:szCs w:val="24"/>
    </w:rPr>
    <w:tblPr>
      <w:tblStyleRowBandSize w:val="1"/>
      <w:tblStyleColBandSize w:val="1"/>
      <w:tblInd w:w="0" w:type="nil"/>
      <w:tblBorders>
        <w:top w:val="single" w:sz="8" w:space="0" w:color="0070CE" w:themeColor="accent2"/>
        <w:left w:val="single" w:sz="8" w:space="0" w:color="0070CE" w:themeColor="accent2"/>
        <w:bottom w:val="single" w:sz="8" w:space="0" w:color="0070CE" w:themeColor="accent2"/>
        <w:right w:val="single" w:sz="8" w:space="0" w:color="0070CE" w:themeColor="accent2"/>
        <w:insideH w:val="single" w:sz="8" w:space="0" w:color="0070CE" w:themeColor="accent2"/>
        <w:insideV w:val="single" w:sz="8" w:space="0" w:color="0070CE"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shd w:val="clear" w:color="auto" w:fill="CD0920"/>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70CE" w:themeColor="accent2"/>
          <w:left w:val="single" w:sz="8" w:space="0" w:color="0070CE" w:themeColor="accent2"/>
          <w:bottom w:val="single" w:sz="8" w:space="0" w:color="0070CE" w:themeColor="accent2"/>
          <w:right w:val="single" w:sz="8" w:space="0" w:color="0070CE" w:themeColor="accent2"/>
          <w:insideH w:val="nil"/>
          <w:insideV w:val="single" w:sz="8" w:space="0" w:color="0070CE"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70CE" w:themeColor="accent2"/>
          <w:left w:val="single" w:sz="8" w:space="0" w:color="0070CE" w:themeColor="accent2"/>
          <w:bottom w:val="single" w:sz="8" w:space="0" w:color="0070CE" w:themeColor="accent2"/>
          <w:right w:val="single" w:sz="8" w:space="0" w:color="0070CE" w:themeColor="accent2"/>
        </w:tcBorders>
      </w:tcPr>
    </w:tblStylePr>
    <w:tblStylePr w:type="band2Horz">
      <w:tblPr/>
      <w:tcPr>
        <w:tcBorders>
          <w:top w:val="single" w:sz="8" w:space="0" w:color="0070CE" w:themeColor="accent2"/>
          <w:left w:val="single" w:sz="8" w:space="0" w:color="0070CE" w:themeColor="accent2"/>
          <w:bottom w:val="single" w:sz="8" w:space="0" w:color="0070CE" w:themeColor="accent2"/>
          <w:right w:val="single" w:sz="8" w:space="0" w:color="0070CE" w:themeColor="accent2"/>
          <w:insideV w:val="single" w:sz="8" w:space="0" w:color="0070CE" w:themeColor="accent2"/>
        </w:tcBorders>
      </w:tcPr>
    </w:tblStylePr>
  </w:style>
  <w:style w:type="paragraph" w:styleId="BalloonText">
    <w:name w:val="Balloon Text"/>
    <w:basedOn w:val="Normal"/>
    <w:link w:val="BalloonTextChar"/>
    <w:uiPriority w:val="99"/>
    <w:semiHidden/>
    <w:unhideWhenUsed/>
    <w:rsid w:val="00BD1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7E0"/>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377F0B"/>
    <w:rPr>
      <w:color w:val="605E5C"/>
      <w:shd w:val="clear" w:color="auto" w:fill="E1DFDD"/>
    </w:rPr>
  </w:style>
  <w:style w:type="character" w:styleId="CommentReference">
    <w:name w:val="annotation reference"/>
    <w:basedOn w:val="DefaultParagraphFont"/>
    <w:uiPriority w:val="99"/>
    <w:semiHidden/>
    <w:unhideWhenUsed/>
    <w:rsid w:val="007D256C"/>
    <w:rPr>
      <w:sz w:val="16"/>
      <w:szCs w:val="16"/>
    </w:rPr>
  </w:style>
  <w:style w:type="paragraph" w:styleId="CommentText">
    <w:name w:val="annotation text"/>
    <w:basedOn w:val="Normal"/>
    <w:link w:val="CommentTextChar"/>
    <w:uiPriority w:val="99"/>
    <w:semiHidden/>
    <w:unhideWhenUsed/>
    <w:rsid w:val="007D256C"/>
    <w:rPr>
      <w:sz w:val="20"/>
    </w:rPr>
  </w:style>
  <w:style w:type="character" w:customStyle="1" w:styleId="CommentTextChar">
    <w:name w:val="Comment Text Char"/>
    <w:basedOn w:val="DefaultParagraphFont"/>
    <w:link w:val="CommentText"/>
    <w:uiPriority w:val="99"/>
    <w:semiHidden/>
    <w:rsid w:val="007D256C"/>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D256C"/>
    <w:rPr>
      <w:b/>
      <w:bCs/>
    </w:rPr>
  </w:style>
  <w:style w:type="character" w:customStyle="1" w:styleId="CommentSubjectChar">
    <w:name w:val="Comment Subject Char"/>
    <w:basedOn w:val="CommentTextChar"/>
    <w:link w:val="CommentSubject"/>
    <w:uiPriority w:val="99"/>
    <w:semiHidden/>
    <w:rsid w:val="007D256C"/>
    <w:rPr>
      <w:rFonts w:ascii="Century Gothic" w:eastAsia="Times New Roman" w:hAnsi="Century Gothic" w:cs="Times New Roman"/>
      <w:b/>
      <w:bCs/>
      <w:sz w:val="20"/>
      <w:szCs w:val="20"/>
    </w:rPr>
  </w:style>
  <w:style w:type="paragraph" w:styleId="ListParagraph">
    <w:name w:val="List Paragraph"/>
    <w:basedOn w:val="Normal"/>
    <w:uiPriority w:val="34"/>
    <w:qFormat/>
    <w:rsid w:val="00E70DB0"/>
    <w:pPr>
      <w:ind w:left="720"/>
      <w:contextualSpacing/>
    </w:pPr>
  </w:style>
  <w:style w:type="character" w:customStyle="1" w:styleId="Heading1Char">
    <w:name w:val="Heading 1 Char"/>
    <w:basedOn w:val="DefaultParagraphFont"/>
    <w:link w:val="Heading1"/>
    <w:uiPriority w:val="9"/>
    <w:rsid w:val="00AB1822"/>
    <w:rPr>
      <w:rFonts w:ascii="Century Gothic" w:eastAsia="SimSun" w:hAnsi="Century Gothic" w:cstheme="majorBidi"/>
      <w:b/>
      <w:color w:val="0070CE"/>
      <w:sz w:val="28"/>
      <w:szCs w:val="28"/>
      <w:lang w:val="en-GB" w:eastAsia="zh-CN"/>
    </w:rPr>
  </w:style>
  <w:style w:type="paragraph" w:customStyle="1" w:styleId="ListPara1">
    <w:name w:val="List Para 1"/>
    <w:basedOn w:val="Normal"/>
    <w:link w:val="ListPara1Char"/>
    <w:uiPriority w:val="4"/>
    <w:qFormat/>
    <w:rsid w:val="00AB1822"/>
    <w:pPr>
      <w:numPr>
        <w:ilvl w:val="1"/>
        <w:numId w:val="6"/>
      </w:numPr>
      <w:overflowPunct/>
      <w:autoSpaceDE/>
      <w:autoSpaceDN/>
      <w:adjustRightInd/>
      <w:spacing w:after="200" w:line="276" w:lineRule="auto"/>
      <w:textAlignment w:val="auto"/>
    </w:pPr>
    <w:rPr>
      <w:rFonts w:cs="Arial"/>
      <w:szCs w:val="22"/>
      <w:lang w:val="en-US" w:eastAsia="en-AU"/>
    </w:rPr>
  </w:style>
  <w:style w:type="character" w:customStyle="1" w:styleId="ListPara1Char">
    <w:name w:val="List Para 1 Char"/>
    <w:basedOn w:val="DefaultParagraphFont"/>
    <w:link w:val="ListPara1"/>
    <w:uiPriority w:val="4"/>
    <w:rsid w:val="00AB1822"/>
    <w:rPr>
      <w:rFonts w:ascii="Century Gothic" w:eastAsia="Times New Roman" w:hAnsi="Century Gothic" w:cs="Arial"/>
      <w:lang w:val="en-US" w:eastAsia="en-AU"/>
    </w:rPr>
  </w:style>
  <w:style w:type="paragraph" w:customStyle="1" w:styleId="ListPara2">
    <w:name w:val="List Para 2"/>
    <w:basedOn w:val="Normal"/>
    <w:qFormat/>
    <w:rsid w:val="00AB1822"/>
    <w:pPr>
      <w:numPr>
        <w:ilvl w:val="2"/>
        <w:numId w:val="6"/>
      </w:numPr>
      <w:overflowPunct/>
      <w:autoSpaceDE/>
      <w:autoSpaceDN/>
      <w:adjustRightInd/>
      <w:spacing w:after="160" w:line="259" w:lineRule="auto"/>
      <w:textAlignment w:val="auto"/>
    </w:pPr>
    <w:rPr>
      <w:rFonts w:eastAsiaTheme="minorHAnsi" w:cstheme="minorBidi"/>
    </w:rPr>
  </w:style>
  <w:style w:type="paragraph" w:styleId="Revision">
    <w:name w:val="Revision"/>
    <w:hidden/>
    <w:uiPriority w:val="99"/>
    <w:semiHidden/>
    <w:rsid w:val="003215F4"/>
    <w:pPr>
      <w:spacing w:after="0" w:line="240" w:lineRule="auto"/>
    </w:pPr>
    <w:rPr>
      <w:rFonts w:ascii="Century Gothic" w:eastAsia="Times New Roman" w:hAnsi="Century Gothic" w:cs="Times New Roman"/>
      <w:szCs w:val="20"/>
    </w:rPr>
  </w:style>
  <w:style w:type="paragraph" w:customStyle="1" w:styleId="tbltext">
    <w:name w:val="tbl text"/>
    <w:basedOn w:val="Normal"/>
    <w:link w:val="tbltextChar"/>
    <w:rsid w:val="00FB24E8"/>
    <w:pPr>
      <w:widowControl w:val="0"/>
      <w:overflowPunct/>
      <w:autoSpaceDE/>
      <w:autoSpaceDN/>
      <w:adjustRightInd/>
      <w:spacing w:before="120" w:line="276" w:lineRule="auto"/>
      <w:textAlignment w:val="auto"/>
    </w:pPr>
    <w:rPr>
      <w:rFonts w:cs="Arial"/>
      <w:sz w:val="18"/>
      <w:szCs w:val="18"/>
      <w:lang w:eastAsia="en-AU"/>
    </w:rPr>
  </w:style>
  <w:style w:type="paragraph" w:customStyle="1" w:styleId="tablehead">
    <w:name w:val="table head"/>
    <w:basedOn w:val="Normal"/>
    <w:rsid w:val="00FB24E8"/>
    <w:pPr>
      <w:keepNext/>
      <w:overflowPunct/>
      <w:autoSpaceDE/>
      <w:autoSpaceDN/>
      <w:adjustRightInd/>
      <w:spacing w:before="120" w:line="240" w:lineRule="atLeast"/>
      <w:textAlignment w:val="auto"/>
    </w:pPr>
    <w:rPr>
      <w:rFonts w:cs="Arial"/>
      <w:b/>
      <w:sz w:val="18"/>
      <w:szCs w:val="18"/>
      <w:lang w:eastAsia="en-AU"/>
    </w:rPr>
  </w:style>
  <w:style w:type="character" w:customStyle="1" w:styleId="tbltextChar">
    <w:name w:val="tbl text Char"/>
    <w:basedOn w:val="DefaultParagraphFont"/>
    <w:link w:val="tbltext"/>
    <w:rsid w:val="00FB24E8"/>
    <w:rPr>
      <w:rFonts w:ascii="Century Gothic" w:eastAsia="Times New Roman" w:hAnsi="Century Gothic" w:cs="Arial"/>
      <w:sz w:val="18"/>
      <w:szCs w:val="18"/>
      <w:lang w:eastAsia="en-AU"/>
    </w:rPr>
  </w:style>
  <w:style w:type="paragraph" w:styleId="Caption">
    <w:name w:val="caption"/>
    <w:basedOn w:val="Normal"/>
    <w:next w:val="Normal"/>
    <w:uiPriority w:val="35"/>
    <w:unhideWhenUsed/>
    <w:qFormat/>
    <w:rsid w:val="00FB24E8"/>
    <w:pPr>
      <w:keepNext/>
      <w:tabs>
        <w:tab w:val="left" w:pos="1418"/>
      </w:tabs>
      <w:spacing w:before="240" w:after="120"/>
      <w:ind w:left="567"/>
      <w:textAlignment w:val="auto"/>
    </w:pPr>
    <w:rPr>
      <w:b/>
      <w:bCs/>
      <w:sz w:val="18"/>
      <w:szCs w:val="18"/>
    </w:rPr>
  </w:style>
  <w:style w:type="character" w:customStyle="1" w:styleId="UnresolvedMention">
    <w:name w:val="Unresolved Mention"/>
    <w:basedOn w:val="DefaultParagraphFont"/>
    <w:uiPriority w:val="99"/>
    <w:semiHidden/>
    <w:unhideWhenUsed/>
    <w:rsid w:val="00203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89470">
      <w:bodyDiv w:val="1"/>
      <w:marLeft w:val="0"/>
      <w:marRight w:val="0"/>
      <w:marTop w:val="0"/>
      <w:marBottom w:val="0"/>
      <w:divBdr>
        <w:top w:val="none" w:sz="0" w:space="0" w:color="auto"/>
        <w:left w:val="none" w:sz="0" w:space="0" w:color="auto"/>
        <w:bottom w:val="none" w:sz="0" w:space="0" w:color="auto"/>
        <w:right w:val="none" w:sz="0" w:space="0" w:color="auto"/>
      </w:divBdr>
    </w:div>
    <w:div w:id="668946244">
      <w:bodyDiv w:val="1"/>
      <w:marLeft w:val="0"/>
      <w:marRight w:val="0"/>
      <w:marTop w:val="0"/>
      <w:marBottom w:val="0"/>
      <w:divBdr>
        <w:top w:val="none" w:sz="0" w:space="0" w:color="auto"/>
        <w:left w:val="none" w:sz="0" w:space="0" w:color="auto"/>
        <w:bottom w:val="none" w:sz="0" w:space="0" w:color="auto"/>
        <w:right w:val="none" w:sz="0" w:space="0" w:color="auto"/>
      </w:divBdr>
    </w:div>
    <w:div w:id="1258058311">
      <w:bodyDiv w:val="1"/>
      <w:marLeft w:val="0"/>
      <w:marRight w:val="0"/>
      <w:marTop w:val="0"/>
      <w:marBottom w:val="0"/>
      <w:divBdr>
        <w:top w:val="none" w:sz="0" w:space="0" w:color="auto"/>
        <w:left w:val="none" w:sz="0" w:space="0" w:color="auto"/>
        <w:bottom w:val="none" w:sz="0" w:space="0" w:color="auto"/>
        <w:right w:val="none" w:sz="0" w:space="0" w:color="auto"/>
      </w:divBdr>
    </w:div>
    <w:div w:id="1352606256">
      <w:bodyDiv w:val="1"/>
      <w:marLeft w:val="0"/>
      <w:marRight w:val="0"/>
      <w:marTop w:val="0"/>
      <w:marBottom w:val="0"/>
      <w:divBdr>
        <w:top w:val="none" w:sz="0" w:space="0" w:color="auto"/>
        <w:left w:val="none" w:sz="0" w:space="0" w:color="auto"/>
        <w:bottom w:val="none" w:sz="0" w:space="0" w:color="auto"/>
        <w:right w:val="none" w:sz="0" w:space="0" w:color="auto"/>
      </w:divBdr>
    </w:div>
    <w:div w:id="1527253704">
      <w:bodyDiv w:val="1"/>
      <w:marLeft w:val="0"/>
      <w:marRight w:val="0"/>
      <w:marTop w:val="0"/>
      <w:marBottom w:val="0"/>
      <w:divBdr>
        <w:top w:val="none" w:sz="0" w:space="0" w:color="auto"/>
        <w:left w:val="none" w:sz="0" w:space="0" w:color="auto"/>
        <w:bottom w:val="none" w:sz="0" w:space="0" w:color="auto"/>
        <w:right w:val="none" w:sz="0" w:space="0" w:color="auto"/>
      </w:divBdr>
    </w:div>
    <w:div w:id="1656228511">
      <w:bodyDiv w:val="1"/>
      <w:marLeft w:val="0"/>
      <w:marRight w:val="0"/>
      <w:marTop w:val="0"/>
      <w:marBottom w:val="0"/>
      <w:divBdr>
        <w:top w:val="none" w:sz="0" w:space="0" w:color="auto"/>
        <w:left w:val="none" w:sz="0" w:space="0" w:color="auto"/>
        <w:bottom w:val="none" w:sz="0" w:space="0" w:color="auto"/>
        <w:right w:val="none" w:sz="0" w:space="0" w:color="auto"/>
      </w:divBdr>
    </w:div>
    <w:div w:id="175770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ogle.com/url?sa=t&amp;rct=j&amp;q=&amp;esrc=s&amp;source=web&amp;cd=&amp;cad=rja&amp;uact=8&amp;ved=2ahUKEwjrhs_rw7f2AhVnSWwGHZabBDUQFnoECAMQAQ&amp;url=https%3A%2F%2Fwww.legislation.gov.au%2FDetails%2FF2019C00217&amp;usg=AOvVaw2l2HzQ6U0Je5UdBYrk1SK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au/Details/F2007B00368"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islation.gov.au/current/F2017L002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OBPR@pmc.gov.au" TargetMode="External"/><Relationship Id="rId24" Type="http://schemas.openxmlformats.org/officeDocument/2006/relationships/hyperlink" Target="https://www.google.com/url?sa=t&amp;rct=j&amp;q=&amp;esrc=s&amp;source=web&amp;cd=&amp;cad=rja&amp;uact=8&amp;ved=2ahUKEwiw_reyxbf2AhVPyzgGHbVyDLYQFnoECAYQAQ&amp;url=https%3A%2F%2Fdownload.asic.gov.au%2Fmedia%2Fviwhdjpu%2Fcp357-published-25-january-2022.pdf&amp;usg=AOvVaw3GkKGIkf4tCnqluYZVDEgP"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gov.au/Details/F2007B00368"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au/Details/F2007B003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gov.au/Details/F2007B00368" TargetMode="Externa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file:///C:/Users/marie-christine.de/AppData/Local/Microsoft/Windows/INetCache/Content.Outlook/YWTQW2O8/www.asic.gov.au" TargetMode="External"/><Relationship Id="rId1" Type="http://schemas.openxmlformats.org/officeDocument/2006/relationships/hyperlink" Target="file:///C:/Users/marie-christine.de/AppData/Local/Microsoft/Windows/INetCache/Content.Outlook/YWTQW2O8/www.asi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7ED904F7814A5CB85D1ADADA30EFBD"/>
        <w:category>
          <w:name w:val="General"/>
          <w:gallery w:val="placeholder"/>
        </w:category>
        <w:types>
          <w:type w:val="bbPlcHdr"/>
        </w:types>
        <w:behaviors>
          <w:behavior w:val="content"/>
        </w:behaviors>
        <w:guid w:val="{789349A8-6831-43F5-A7F4-A77713B01E2E}"/>
      </w:docPartPr>
      <w:docPartBody>
        <w:p w:rsidR="00AE6A28" w:rsidRDefault="00616217" w:rsidP="00616217">
          <w:pPr>
            <w:pStyle w:val="AD7ED904F7814A5CB85D1ADADA30EFBD"/>
          </w:pPr>
          <w:r w:rsidRPr="00866A64">
            <w:t xml:space="preserve">Click to enter </w:t>
          </w:r>
          <w:r>
            <w:t>address details</w:t>
          </w:r>
        </w:p>
      </w:docPartBody>
    </w:docPart>
    <w:docPart>
      <w:docPartPr>
        <w:name w:val="BF58A6B1BAAA4F93BA2BBCFD1B78463F"/>
        <w:category>
          <w:name w:val="General"/>
          <w:gallery w:val="placeholder"/>
        </w:category>
        <w:types>
          <w:type w:val="bbPlcHdr"/>
        </w:types>
        <w:behaviors>
          <w:behavior w:val="content"/>
        </w:behaviors>
        <w:guid w:val="{9929DC7A-B157-4151-B165-966AF5CCF4B1}"/>
      </w:docPartPr>
      <w:docPartBody>
        <w:p w:rsidR="00AE6A28" w:rsidRDefault="00616217" w:rsidP="00616217">
          <w:pPr>
            <w:pStyle w:val="BF58A6B1BAAA4F93BA2BBCFD1B78463F"/>
          </w:pPr>
          <w:r w:rsidRPr="00866A64">
            <w:t>Click to enter a date</w:t>
          </w:r>
        </w:p>
      </w:docPartBody>
    </w:docPart>
    <w:docPart>
      <w:docPartPr>
        <w:name w:val="AD2ADBBCA25F478C82B0F92F11099780"/>
        <w:category>
          <w:name w:val="General"/>
          <w:gallery w:val="placeholder"/>
        </w:category>
        <w:types>
          <w:type w:val="bbPlcHdr"/>
        </w:types>
        <w:behaviors>
          <w:behavior w:val="content"/>
        </w:behaviors>
        <w:guid w:val="{1C188835-D608-4902-BD08-85C96D4BD489}"/>
      </w:docPartPr>
      <w:docPartBody>
        <w:p w:rsidR="00AE6A28" w:rsidRDefault="00616217" w:rsidP="00616217">
          <w:pPr>
            <w:pStyle w:val="AD2ADBBCA25F478C82B0F92F11099780"/>
          </w:pPr>
          <w:r w:rsidRPr="00866A64">
            <w:t>Recipient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17"/>
    <w:rsid w:val="00554F2E"/>
    <w:rsid w:val="00616217"/>
    <w:rsid w:val="00725709"/>
    <w:rsid w:val="00917FDA"/>
    <w:rsid w:val="00A91549"/>
    <w:rsid w:val="00AE5EED"/>
    <w:rsid w:val="00AE6A28"/>
    <w:rsid w:val="00B84F16"/>
    <w:rsid w:val="00CB7CC5"/>
    <w:rsid w:val="00F740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7ED904F7814A5CB85D1ADADA30EFBD">
    <w:name w:val="AD7ED904F7814A5CB85D1ADADA30EFBD"/>
    <w:rsid w:val="00616217"/>
  </w:style>
  <w:style w:type="paragraph" w:customStyle="1" w:styleId="BF58A6B1BAAA4F93BA2BBCFD1B78463F">
    <w:name w:val="BF58A6B1BAAA4F93BA2BBCFD1B78463F"/>
    <w:rsid w:val="00616217"/>
  </w:style>
  <w:style w:type="paragraph" w:customStyle="1" w:styleId="AD2ADBBCA25F478C82B0F92F11099780">
    <w:name w:val="AD2ADBBCA25F478C82B0F92F11099780"/>
    <w:rsid w:val="00616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ASIC corporate palette">
  <a:themeElements>
    <a:clrScheme name="Custom 1 ASIC">
      <a:dk1>
        <a:srgbClr val="243645"/>
      </a:dk1>
      <a:lt1>
        <a:srgbClr val="FFFFFF"/>
      </a:lt1>
      <a:dk2>
        <a:srgbClr val="243645"/>
      </a:dk2>
      <a:lt2>
        <a:srgbClr val="D0CCBD"/>
      </a:lt2>
      <a:accent1>
        <a:srgbClr val="243645"/>
      </a:accent1>
      <a:accent2>
        <a:srgbClr val="0070CE"/>
      </a:accent2>
      <a:accent3>
        <a:srgbClr val="3AB2E5"/>
      </a:accent3>
      <a:accent4>
        <a:srgbClr val="83DADE"/>
      </a:accent4>
      <a:accent5>
        <a:srgbClr val="CFCCBD"/>
      </a:accent5>
      <a:accent6>
        <a:srgbClr val="1D242B"/>
      </a:accent6>
      <a:hlink>
        <a:srgbClr val="0071CE"/>
      </a:hlink>
      <a:folHlink>
        <a:srgbClr val="0071C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1" ma:contentTypeDescription="Create a new document." ma:contentTypeScope="" ma:versionID="59e167facbd9e776d6599421bbce5fe9">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77a0628d3abd3daff5cf9c84b73c7fc9"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DOCID-322795542-12449</_dlc_DocId>
    <_dlc_DocIdUrl xmlns="4195ad5f-cdf2-4c4a-8d9b-b7944a108e98">
      <Url>https://pmc01.sharepoint.com/sites/CRMOBPR/_layouts/15/DocIdRedir.aspx?ID=DOCID-322795542-12449</Url>
      <Description>DOCID-322795542-12449</Description>
    </_dlc_DocIdUrl>
  </documentManagement>
</p:properties>
</file>

<file path=customXml/itemProps1.xml><?xml version="1.0" encoding="utf-8"?>
<ds:datastoreItem xmlns:ds="http://schemas.openxmlformats.org/officeDocument/2006/customXml" ds:itemID="{8BD072A3-D17B-44CE-BC0B-FA078CEAE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98C7FC-563A-4F5F-8888-10EAF3D83A33}">
  <ds:schemaRefs>
    <ds:schemaRef ds:uri="http://schemas.microsoft.com/sharepoint/events"/>
  </ds:schemaRefs>
</ds:datastoreItem>
</file>

<file path=customXml/itemProps3.xml><?xml version="1.0" encoding="utf-8"?>
<ds:datastoreItem xmlns:ds="http://schemas.openxmlformats.org/officeDocument/2006/customXml" ds:itemID="{F49F2A97-DA62-4ECF-81B9-F5408EF79592}">
  <ds:schemaRefs>
    <ds:schemaRef ds:uri="http://schemas.microsoft.com/sharepoint/v3/contenttype/forms"/>
  </ds:schemaRefs>
</ds:datastoreItem>
</file>

<file path=customXml/itemProps4.xml><?xml version="1.0" encoding="utf-8"?>
<ds:datastoreItem xmlns:ds="http://schemas.openxmlformats.org/officeDocument/2006/customXml" ds:itemID="{972EFE6E-D3B9-4756-A467-8527A1FE96E4}">
  <ds:schemaRefs>
    <ds:schemaRef ds:uri="4195ad5f-cdf2-4c4a-8d9b-b7944a108e98"/>
    <ds:schemaRef ds:uri="http://purl.org/dc/terms/"/>
    <ds:schemaRef ds:uri="http://schemas.microsoft.com/office/2006/documentManagement/types"/>
    <ds:schemaRef ds:uri="http://purl.org/dc/elements/1.1/"/>
    <ds:schemaRef ds:uri="http://schemas.microsoft.com/office/2006/metadata/properties"/>
    <ds:schemaRef ds:uri="26285671-540d-468b-b7a1-f3e0438dd51a"/>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2022-03-31T02:43:00Z</dcterms:created>
  <dcterms:modified xsi:type="dcterms:W3CDTF">2022-03-31T02:43:00Z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bd32f655-e2af-4434-a56d-b71fd439b0ce</vt:lpwstr>
  </property>
</Properties>
</file>