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637C1" w14:textId="77777777" w:rsidR="00656BF7" w:rsidRDefault="00B13289">
      <w:pPr>
        <w:pStyle w:val="BodyText"/>
        <w:spacing w:before="5"/>
        <w:rPr>
          <w:rFonts w:ascii="Times New Roman"/>
          <w:sz w:val="4"/>
        </w:rPr>
      </w:pPr>
      <w:r>
        <w:rPr>
          <w:noProof/>
          <w:lang w:eastAsia="en-AU"/>
        </w:rPr>
        <w:drawing>
          <wp:anchor distT="0" distB="0" distL="0" distR="0" simplePos="0" relativeHeight="487541760" behindDoc="1" locked="0" layoutInCell="1" allowOverlap="1" wp14:anchorId="5C1637E8" wp14:editId="5C1637E9">
            <wp:simplePos x="0" y="0"/>
            <wp:positionH relativeFrom="page">
              <wp:posOffset>180022</wp:posOffset>
            </wp:positionH>
            <wp:positionV relativeFrom="page">
              <wp:posOffset>8615093</wp:posOffset>
            </wp:positionV>
            <wp:extent cx="7199235" cy="11291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235" cy="1129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1637C2" w14:textId="77777777" w:rsidR="00656BF7" w:rsidRDefault="00B13289">
      <w:pPr>
        <w:pStyle w:val="BodyText"/>
        <w:ind w:left="2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5C1637EA" wp14:editId="5C1637EB">
            <wp:extent cx="2344250" cy="5303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250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637C3" w14:textId="77777777" w:rsidR="00656BF7" w:rsidRDefault="00656BF7">
      <w:pPr>
        <w:pStyle w:val="BodyText"/>
        <w:spacing w:before="2"/>
        <w:rPr>
          <w:rFonts w:ascii="Times New Roman"/>
          <w:sz w:val="15"/>
        </w:rPr>
      </w:pPr>
    </w:p>
    <w:p w14:paraId="5C1637C4" w14:textId="77777777" w:rsidR="00656BF7" w:rsidRDefault="00B13289">
      <w:pPr>
        <w:pStyle w:val="BodyText"/>
        <w:spacing w:before="59"/>
        <w:ind w:left="8228"/>
      </w:pPr>
      <w:r>
        <w:t>5</w:t>
      </w:r>
      <w:r>
        <w:rPr>
          <w:spacing w:val="-5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2021</w:t>
      </w:r>
    </w:p>
    <w:p w14:paraId="5C1637C5" w14:textId="77777777" w:rsidR="00656BF7" w:rsidRDefault="00B13289">
      <w:pPr>
        <w:pStyle w:val="BodyText"/>
        <w:spacing w:before="3" w:line="242" w:lineRule="auto"/>
        <w:ind w:left="195" w:right="7537"/>
      </w:pPr>
      <w:r>
        <w:t>Mr Jason Lange</w:t>
      </w:r>
      <w:r>
        <w:rPr>
          <w:spacing w:val="1"/>
        </w:rPr>
        <w:t xml:space="preserve"> </w:t>
      </w:r>
      <w:bookmarkStart w:id="0" w:name="_GoBack"/>
      <w:bookmarkEnd w:id="0"/>
      <w:r>
        <w:t>Executive</w:t>
      </w:r>
      <w:r>
        <w:rPr>
          <w:spacing w:val="-6"/>
        </w:rPr>
        <w:t xml:space="preserve"> </w:t>
      </w:r>
      <w:r>
        <w:t>Director</w:t>
      </w:r>
    </w:p>
    <w:p w14:paraId="5C1637C6" w14:textId="77777777" w:rsidR="00656BF7" w:rsidRDefault="00B13289">
      <w:pPr>
        <w:pStyle w:val="BodyText"/>
        <w:spacing w:line="254" w:lineRule="exact"/>
        <w:ind w:left="195"/>
      </w:pPr>
      <w:r>
        <w:t>Office</w:t>
      </w:r>
      <w:r>
        <w:rPr>
          <w:spacing w:val="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Regulation</w:t>
      </w:r>
    </w:p>
    <w:p w14:paraId="5C1637C7" w14:textId="77777777" w:rsidR="00656BF7" w:rsidRDefault="00B13289">
      <w:pPr>
        <w:pStyle w:val="BodyText"/>
        <w:spacing w:before="4" w:line="242" w:lineRule="auto"/>
        <w:ind w:left="195" w:right="5491"/>
      </w:pPr>
      <w:r>
        <w:t>Department of the Prime Minister and Cabinet</w:t>
      </w:r>
      <w:r>
        <w:rPr>
          <w:spacing w:val="-4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Circuit</w:t>
      </w:r>
    </w:p>
    <w:p w14:paraId="5C1637C8" w14:textId="77777777" w:rsidR="00656BF7" w:rsidRDefault="00B13289">
      <w:pPr>
        <w:pStyle w:val="BodyText"/>
        <w:spacing w:before="1"/>
        <w:ind w:left="195"/>
      </w:pPr>
      <w:r>
        <w:t>BARTON</w:t>
      </w:r>
      <w:r>
        <w:rPr>
          <w:spacing w:val="42"/>
        </w:rPr>
        <w:t xml:space="preserve"> </w:t>
      </w:r>
      <w:r>
        <w:t>ACT</w:t>
      </w:r>
      <w:r>
        <w:rPr>
          <w:spacing w:val="93"/>
        </w:rPr>
        <w:t xml:space="preserve"> </w:t>
      </w:r>
      <w:r>
        <w:t>2600</w:t>
      </w:r>
    </w:p>
    <w:p w14:paraId="5C1637C9" w14:textId="77777777" w:rsidR="00656BF7" w:rsidRDefault="00656BF7">
      <w:pPr>
        <w:pStyle w:val="BodyText"/>
        <w:spacing w:before="3"/>
        <w:rPr>
          <w:sz w:val="21"/>
        </w:rPr>
      </w:pPr>
    </w:p>
    <w:p w14:paraId="5C1637CA" w14:textId="77777777" w:rsidR="00656BF7" w:rsidRDefault="00B13289">
      <w:pPr>
        <w:pStyle w:val="BodyText"/>
        <w:spacing w:line="458" w:lineRule="auto"/>
        <w:ind w:left="195" w:right="6138"/>
      </w:pPr>
      <w:r>
        <w:t>Email:</w:t>
      </w:r>
      <w:r>
        <w:rPr>
          <w:spacing w:val="11"/>
        </w:rPr>
        <w:t xml:space="preserve"> </w:t>
      </w:r>
      <w:hyperlink r:id="rId8">
        <w:r>
          <w:t>helpdesk-OBPR@pmc.gov.au</w:t>
        </w:r>
      </w:hyperlink>
      <w:r>
        <w:rPr>
          <w:spacing w:val="-47"/>
        </w:rPr>
        <w:t xml:space="preserve"> </w:t>
      </w:r>
      <w:r>
        <w:t>Dear</w:t>
      </w:r>
      <w:r>
        <w:rPr>
          <w:spacing w:val="-16"/>
        </w:rPr>
        <w:t xml:space="preserve"> </w:t>
      </w:r>
      <w:r>
        <w:t>Mr</w:t>
      </w:r>
      <w:r>
        <w:rPr>
          <w:spacing w:val="-15"/>
        </w:rPr>
        <w:t xml:space="preserve"> </w:t>
      </w:r>
      <w:r>
        <w:t>Lange</w:t>
      </w:r>
    </w:p>
    <w:p w14:paraId="5C1637CB" w14:textId="77777777" w:rsidR="00656BF7" w:rsidRDefault="00B13289">
      <w:pPr>
        <w:spacing w:before="46"/>
        <w:ind w:left="195"/>
        <w:jc w:val="both"/>
        <w:rPr>
          <w:b/>
        </w:rPr>
      </w:pPr>
      <w:r>
        <w:rPr>
          <w:b/>
        </w:rPr>
        <w:t>REGULATION</w:t>
      </w:r>
      <w:r>
        <w:rPr>
          <w:b/>
          <w:spacing w:val="-10"/>
        </w:rPr>
        <w:t xml:space="preserve"> </w:t>
      </w:r>
      <w:r>
        <w:rPr>
          <w:b/>
        </w:rPr>
        <w:t>IMPACT</w:t>
      </w:r>
      <w:r>
        <w:rPr>
          <w:b/>
          <w:spacing w:val="-2"/>
        </w:rPr>
        <w:t xml:space="preserve"> </w:t>
      </w:r>
      <w:r>
        <w:rPr>
          <w:b/>
        </w:rPr>
        <w:t>STATEMENT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HOME</w:t>
      </w:r>
      <w:r>
        <w:rPr>
          <w:b/>
          <w:spacing w:val="1"/>
        </w:rPr>
        <w:t xml:space="preserve"> </w:t>
      </w:r>
      <w:r>
        <w:rPr>
          <w:b/>
        </w:rPr>
        <w:t>GUARANTEE SCHEME –</w:t>
      </w:r>
      <w:r>
        <w:rPr>
          <w:b/>
          <w:spacing w:val="-4"/>
        </w:rPr>
        <w:t xml:space="preserve"> </w:t>
      </w:r>
      <w:r>
        <w:rPr>
          <w:b/>
        </w:rPr>
        <w:t>SECOND PASS</w:t>
      </w:r>
      <w:r>
        <w:rPr>
          <w:b/>
          <w:spacing w:val="5"/>
        </w:rPr>
        <w:t xml:space="preserve"> </w:t>
      </w:r>
      <w:r>
        <w:rPr>
          <w:b/>
        </w:rPr>
        <w:t>FINAL</w:t>
      </w:r>
      <w:r>
        <w:rPr>
          <w:b/>
          <w:spacing w:val="-2"/>
        </w:rPr>
        <w:t xml:space="preserve"> </w:t>
      </w:r>
      <w:r>
        <w:rPr>
          <w:b/>
        </w:rPr>
        <w:t>ASSESSMENT</w:t>
      </w:r>
    </w:p>
    <w:p w14:paraId="5C1637CC" w14:textId="77777777" w:rsidR="00656BF7" w:rsidRDefault="00656BF7">
      <w:pPr>
        <w:pStyle w:val="BodyText"/>
        <w:spacing w:before="12"/>
        <w:rPr>
          <w:b/>
          <w:sz w:val="19"/>
        </w:rPr>
      </w:pPr>
    </w:p>
    <w:p w14:paraId="5C1637CD" w14:textId="77777777" w:rsidR="00656BF7" w:rsidRDefault="00B13289">
      <w:pPr>
        <w:pStyle w:val="BodyText"/>
        <w:spacing w:line="271" w:lineRule="auto"/>
        <w:ind w:left="195" w:right="543"/>
        <w:jc w:val="both"/>
      </w:pPr>
      <w:r>
        <w:t>Thank you for your response and comments on the formal first pass Regulation Impact Statement (RIS)</w:t>
      </w:r>
      <w:r>
        <w:rPr>
          <w:spacing w:val="-47"/>
        </w:rPr>
        <w:t xml:space="preserve"> </w:t>
      </w:r>
      <w:r>
        <w:t>prepared for the analysis of the Home Guarantee Scheme. I am satisfied that the attached updated RIS</w:t>
      </w:r>
      <w:r>
        <w:rPr>
          <w:spacing w:val="-47"/>
        </w:rPr>
        <w:t xml:space="preserve"> </w:t>
      </w:r>
      <w:r>
        <w:t>addresses</w:t>
      </w:r>
      <w:r>
        <w:rPr>
          <w:spacing w:val="-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matters</w:t>
      </w:r>
      <w:r>
        <w:rPr>
          <w:spacing w:val="-8"/>
        </w:rPr>
        <w:t xml:space="preserve"> </w:t>
      </w:r>
      <w:r>
        <w:t>raised</w:t>
      </w:r>
      <w:r>
        <w:rPr>
          <w:spacing w:val="-2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 first</w:t>
      </w:r>
      <w:r>
        <w:rPr>
          <w:spacing w:val="-11"/>
        </w:rPr>
        <w:t xml:space="preserve"> </w:t>
      </w:r>
      <w:r>
        <w:t>pass</w:t>
      </w:r>
      <w:r>
        <w:rPr>
          <w:spacing w:val="-9"/>
        </w:rPr>
        <w:t xml:space="preserve"> </w:t>
      </w:r>
      <w:r>
        <w:t>assessment.</w:t>
      </w:r>
    </w:p>
    <w:p w14:paraId="5C1637CE" w14:textId="77777777" w:rsidR="00656BF7" w:rsidRDefault="00656BF7">
      <w:pPr>
        <w:pStyle w:val="BodyText"/>
        <w:spacing w:before="9"/>
        <w:rPr>
          <w:sz w:val="19"/>
        </w:rPr>
      </w:pPr>
    </w:p>
    <w:p w14:paraId="5C1637CF" w14:textId="77777777" w:rsidR="00656BF7" w:rsidRDefault="00B13289">
      <w:pPr>
        <w:pStyle w:val="BodyText"/>
        <w:spacing w:line="266" w:lineRule="auto"/>
        <w:ind w:left="195" w:right="254"/>
      </w:pPr>
      <w:r>
        <w:t>Consistent with your correspondence, the second-pass RIS further develops its analysis of the policy</w:t>
      </w:r>
      <w:r>
        <w:rPr>
          <w:spacing w:val="1"/>
        </w:rPr>
        <w:t xml:space="preserve"> </w:t>
      </w:r>
      <w:r>
        <w:t>problem and analyses the factors contributing to declining rates of home ownership. It articulates the role</w:t>
      </w:r>
      <w:r>
        <w:rPr>
          <w:spacing w:val="-47"/>
        </w:rPr>
        <w:t xml:space="preserve"> </w:t>
      </w:r>
      <w:r>
        <w:t>the RIS has and will play in the policy development process and assumptions underpinning the regulatory</w:t>
      </w:r>
      <w:r>
        <w:rPr>
          <w:spacing w:val="1"/>
        </w:rPr>
        <w:t xml:space="preserve"> </w:t>
      </w:r>
      <w:r>
        <w:t>burden</w:t>
      </w:r>
      <w:r>
        <w:rPr>
          <w:spacing w:val="8"/>
        </w:rPr>
        <w:t xml:space="preserve"> </w:t>
      </w:r>
      <w:r>
        <w:t>estimates</w:t>
      </w:r>
      <w:r>
        <w:rPr>
          <w:spacing w:val="-10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been</w:t>
      </w:r>
      <w:r>
        <w:rPr>
          <w:spacing w:val="-24"/>
        </w:rPr>
        <w:t xml:space="preserve"> </w:t>
      </w:r>
      <w:r>
        <w:t>included.</w:t>
      </w:r>
    </w:p>
    <w:p w14:paraId="5C1637D0" w14:textId="77777777" w:rsidR="00656BF7" w:rsidRDefault="00656BF7">
      <w:pPr>
        <w:pStyle w:val="BodyText"/>
        <w:spacing w:before="4"/>
        <w:rPr>
          <w:sz w:val="20"/>
        </w:rPr>
      </w:pPr>
    </w:p>
    <w:p w14:paraId="5C1637D1" w14:textId="77777777" w:rsidR="00656BF7" w:rsidRDefault="00B13289">
      <w:pPr>
        <w:pStyle w:val="BodyText"/>
        <w:ind w:left="195"/>
      </w:pPr>
      <w:r>
        <w:t>The</w:t>
      </w:r>
      <w:r>
        <w:rPr>
          <w:spacing w:val="1"/>
        </w:rPr>
        <w:t xml:space="preserve"> </w:t>
      </w:r>
      <w:r>
        <w:t>RIS</w:t>
      </w:r>
      <w:r>
        <w:rPr>
          <w:spacing w:val="-23"/>
        </w:rPr>
        <w:t xml:space="preserve"> </w:t>
      </w:r>
      <w:r>
        <w:t>draws</w:t>
      </w:r>
      <w:r>
        <w:rPr>
          <w:spacing w:val="-6"/>
        </w:rPr>
        <w:t xml:space="preserve"> </w:t>
      </w:r>
      <w:r>
        <w:t>heavily</w:t>
      </w:r>
      <w:r>
        <w:rPr>
          <w:spacing w:val="12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consultation</w:t>
      </w:r>
      <w:r>
        <w:rPr>
          <w:spacing w:val="-22"/>
        </w:rPr>
        <w:t xml:space="preserve"> </w:t>
      </w:r>
      <w:r>
        <w:t>undertaken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stakeholders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recent</w:t>
      </w:r>
    </w:p>
    <w:p w14:paraId="5C1637D2" w14:textId="77777777" w:rsidR="00656BF7" w:rsidRDefault="00B13289">
      <w:pPr>
        <w:pStyle w:val="BodyText"/>
        <w:spacing w:before="35" w:line="268" w:lineRule="auto"/>
        <w:ind w:left="195" w:right="152"/>
      </w:pPr>
      <w:r>
        <w:t xml:space="preserve">Statutory Review of the Operation of the </w:t>
      </w:r>
      <w:r>
        <w:rPr>
          <w:i/>
        </w:rPr>
        <w:t>National Housing and Finance Investment Corporation Act 2018</w:t>
      </w:r>
      <w:r>
        <w:rPr>
          <w:i/>
          <w:spacing w:val="1"/>
        </w:rPr>
        <w:t xml:space="preserve"> </w:t>
      </w:r>
      <w:r>
        <w:t>which included a review of the First Home Loan Deposit Scheme and examines the feedback and options</w:t>
      </w:r>
      <w:r>
        <w:rPr>
          <w:spacing w:val="1"/>
        </w:rPr>
        <w:t xml:space="preserve"> </w:t>
      </w:r>
      <w:r>
        <w:t>suggested as part of these consultations. This consultation process included the major stakeholders</w:t>
      </w:r>
      <w:r>
        <w:rPr>
          <w:spacing w:val="1"/>
        </w:rPr>
        <w:t xml:space="preserve"> </w:t>
      </w:r>
      <w:r>
        <w:t>relevant to this proposal and comprehensively assessed the impacts of government home buyer guarantee</w:t>
      </w:r>
      <w:r>
        <w:rPr>
          <w:spacing w:val="-47"/>
        </w:rPr>
        <w:t xml:space="preserve"> </w:t>
      </w:r>
      <w:r>
        <w:t>schemes. This RIS also considers the recommendations which the Statutory Review made in relation to</w:t>
      </w:r>
      <w:r>
        <w:rPr>
          <w:spacing w:val="1"/>
        </w:rPr>
        <w:t xml:space="preserve"> </w:t>
      </w:r>
      <w:r>
        <w:t>government</w:t>
      </w:r>
      <w:r>
        <w:rPr>
          <w:spacing w:val="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buyer guarantee</w:t>
      </w:r>
      <w:r>
        <w:rPr>
          <w:spacing w:val="-18"/>
        </w:rPr>
        <w:t xml:space="preserve"> </w:t>
      </w:r>
      <w:r>
        <w:t>schemes.</w:t>
      </w:r>
    </w:p>
    <w:p w14:paraId="5C1637D3" w14:textId="77777777" w:rsidR="00656BF7" w:rsidRDefault="00656BF7">
      <w:pPr>
        <w:pStyle w:val="BodyText"/>
        <w:spacing w:before="8"/>
        <w:rPr>
          <w:sz w:val="18"/>
        </w:rPr>
      </w:pPr>
    </w:p>
    <w:p w14:paraId="5C1637D4" w14:textId="77777777" w:rsidR="00656BF7" w:rsidRDefault="00B13289">
      <w:pPr>
        <w:pStyle w:val="BodyText"/>
        <w:spacing w:line="271" w:lineRule="auto"/>
        <w:ind w:left="195" w:right="390"/>
      </w:pPr>
      <w:r>
        <w:t>Analysis of the policy options presented in the RIS have been expanded to more fully take account of the</w:t>
      </w:r>
      <w:r>
        <w:rPr>
          <w:spacing w:val="-48"/>
        </w:rPr>
        <w:t xml:space="preserve"> </w:t>
      </w:r>
      <w:r>
        <w:t>impacts on individuals, the lenders mortgage insurance sector and the broader impacts on the housing</w:t>
      </w:r>
      <w:r>
        <w:rPr>
          <w:spacing w:val="1"/>
        </w:rPr>
        <w:t xml:space="preserve"> </w:t>
      </w:r>
      <w:r>
        <w:t>market. Analysis of the impact to Government from expansion of the guarantee scheme is also included</w:t>
      </w:r>
      <w:r>
        <w:rPr>
          <w:spacing w:val="1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default</w:t>
      </w:r>
      <w:r>
        <w:rPr>
          <w:spacing w:val="4"/>
        </w:rPr>
        <w:t xml:space="preserve"> </w:t>
      </w:r>
      <w:r>
        <w:t>risks</w:t>
      </w:r>
      <w:r>
        <w:rPr>
          <w:spacing w:val="-10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scheme</w:t>
      </w:r>
      <w:r>
        <w:rPr>
          <w:spacing w:val="-1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associated</w:t>
      </w:r>
      <w:r>
        <w:rPr>
          <w:spacing w:val="-23"/>
        </w:rPr>
        <w:t xml:space="preserve"> </w:t>
      </w:r>
      <w:r>
        <w:t>costs</w:t>
      </w:r>
      <w:r>
        <w:rPr>
          <w:spacing w:val="-9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Government.</w:t>
      </w:r>
    </w:p>
    <w:p w14:paraId="5C1637D5" w14:textId="77777777" w:rsidR="00656BF7" w:rsidRDefault="00656BF7">
      <w:pPr>
        <w:pStyle w:val="BodyText"/>
        <w:spacing w:before="6"/>
        <w:rPr>
          <w:sz w:val="18"/>
        </w:rPr>
      </w:pPr>
    </w:p>
    <w:p w14:paraId="5C1637D6" w14:textId="77777777" w:rsidR="00656BF7" w:rsidRDefault="00B13289">
      <w:pPr>
        <w:pStyle w:val="BodyText"/>
        <w:spacing w:line="271" w:lineRule="auto"/>
        <w:ind w:left="196"/>
      </w:pPr>
      <w:r>
        <w:t>Given this RIS is being prepared to inform a decision which is yet to be taken by Government, the first</w:t>
      </w:r>
      <w:r>
        <w:rPr>
          <w:spacing w:val="1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point</w:t>
      </w:r>
      <w:r>
        <w:rPr>
          <w:spacing w:val="22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reached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RIS</w:t>
      </w:r>
      <w:r>
        <w:rPr>
          <w:spacing w:val="-24"/>
        </w:rPr>
        <w:t xml:space="preserve"> </w:t>
      </w:r>
      <w:r>
        <w:t>constitutes</w:t>
      </w:r>
      <w:r>
        <w:rPr>
          <w:spacing w:val="-6"/>
        </w:rPr>
        <w:t xml:space="preserve"> </w:t>
      </w:r>
      <w:r>
        <w:t>advice</w:t>
      </w:r>
      <w:r>
        <w:rPr>
          <w:spacing w:val="-1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Government</w:t>
      </w:r>
      <w:r>
        <w:rPr>
          <w:spacing w:val="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t>making</w:t>
      </w:r>
      <w:r>
        <w:rPr>
          <w:spacing w:val="4"/>
        </w:rPr>
        <w:t xml:space="preserve"> </w:t>
      </w:r>
      <w:r>
        <w:t>process.</w:t>
      </w:r>
    </w:p>
    <w:p w14:paraId="5C1637D7" w14:textId="77777777" w:rsidR="00656BF7" w:rsidRDefault="00656BF7">
      <w:pPr>
        <w:pStyle w:val="BodyText"/>
        <w:rPr>
          <w:sz w:val="20"/>
        </w:rPr>
      </w:pPr>
    </w:p>
    <w:p w14:paraId="5C1637D8" w14:textId="77777777" w:rsidR="00656BF7" w:rsidRDefault="00656BF7">
      <w:pPr>
        <w:pStyle w:val="BodyText"/>
        <w:rPr>
          <w:sz w:val="20"/>
        </w:rPr>
      </w:pPr>
    </w:p>
    <w:p w14:paraId="5C1637D9" w14:textId="77777777" w:rsidR="00656BF7" w:rsidRDefault="00656BF7">
      <w:pPr>
        <w:pStyle w:val="BodyText"/>
        <w:spacing w:before="10"/>
        <w:rPr>
          <w:sz w:val="24"/>
        </w:rPr>
      </w:pPr>
    </w:p>
    <w:p w14:paraId="5C1637DA" w14:textId="77777777" w:rsidR="00656BF7" w:rsidRDefault="00B13289">
      <w:pPr>
        <w:spacing w:before="71" w:line="235" w:lineRule="auto"/>
        <w:ind w:left="195" w:right="6577"/>
        <w:rPr>
          <w:sz w:val="16"/>
        </w:rPr>
      </w:pPr>
      <w:r>
        <w:rPr>
          <w:color w:val="FFFFFF"/>
          <w:sz w:val="16"/>
        </w:rPr>
        <w:t>Langton Crescent, PARKES ACT 2600, AUSTRALIA</w:t>
      </w:r>
      <w:r>
        <w:rPr>
          <w:color w:val="FFFFFF"/>
          <w:spacing w:val="-34"/>
          <w:sz w:val="16"/>
        </w:rPr>
        <w:t xml:space="preserve"> </w:t>
      </w:r>
      <w:r>
        <w:rPr>
          <w:color w:val="FFFFFF"/>
          <w:sz w:val="16"/>
        </w:rPr>
        <w:t>P:</w:t>
      </w:r>
      <w:r>
        <w:rPr>
          <w:color w:val="FFFFFF"/>
          <w:spacing w:val="31"/>
          <w:sz w:val="16"/>
        </w:rPr>
        <w:t xml:space="preserve"> </w:t>
      </w:r>
      <w:r>
        <w:rPr>
          <w:color w:val="FFFFFF"/>
          <w:sz w:val="16"/>
        </w:rPr>
        <w:t>61</w:t>
      </w:r>
      <w:r>
        <w:rPr>
          <w:color w:val="FFFFFF"/>
          <w:spacing w:val="9"/>
          <w:sz w:val="16"/>
        </w:rPr>
        <w:t xml:space="preserve"> </w:t>
      </w:r>
      <w:r>
        <w:rPr>
          <w:color w:val="FFFFFF"/>
          <w:sz w:val="16"/>
        </w:rPr>
        <w:t>2</w:t>
      </w:r>
      <w:r>
        <w:rPr>
          <w:color w:val="FFFFFF"/>
          <w:spacing w:val="-6"/>
          <w:sz w:val="16"/>
        </w:rPr>
        <w:t xml:space="preserve"> </w:t>
      </w:r>
      <w:r>
        <w:rPr>
          <w:color w:val="FFFFFF"/>
          <w:sz w:val="16"/>
        </w:rPr>
        <w:t>6263</w:t>
      </w:r>
      <w:r>
        <w:rPr>
          <w:color w:val="FFFFFF"/>
          <w:spacing w:val="9"/>
          <w:sz w:val="16"/>
        </w:rPr>
        <w:t xml:space="preserve"> </w:t>
      </w:r>
      <w:r>
        <w:rPr>
          <w:color w:val="FFFFFF"/>
          <w:sz w:val="16"/>
        </w:rPr>
        <w:t>3324</w:t>
      </w:r>
      <w:r>
        <w:rPr>
          <w:color w:val="FFFFFF"/>
          <w:spacing w:val="25"/>
          <w:sz w:val="16"/>
        </w:rPr>
        <w:t xml:space="preserve"> </w:t>
      </w:r>
      <w:r>
        <w:rPr>
          <w:color w:val="FFFFFF"/>
          <w:sz w:val="16"/>
        </w:rPr>
        <w:t>F:</w:t>
      </w:r>
      <w:r>
        <w:rPr>
          <w:color w:val="FFFFFF"/>
          <w:spacing w:val="32"/>
          <w:sz w:val="16"/>
        </w:rPr>
        <w:t xml:space="preserve"> </w:t>
      </w:r>
      <w:r>
        <w:rPr>
          <w:color w:val="FFFFFF"/>
          <w:sz w:val="16"/>
        </w:rPr>
        <w:t>61</w:t>
      </w:r>
      <w:r>
        <w:rPr>
          <w:color w:val="FFFFFF"/>
          <w:spacing w:val="9"/>
          <w:sz w:val="16"/>
        </w:rPr>
        <w:t xml:space="preserve"> </w:t>
      </w:r>
      <w:r>
        <w:rPr>
          <w:color w:val="FFFFFF"/>
          <w:sz w:val="16"/>
        </w:rPr>
        <w:t>2</w:t>
      </w:r>
      <w:r>
        <w:rPr>
          <w:color w:val="FFFFFF"/>
          <w:spacing w:val="-7"/>
          <w:sz w:val="16"/>
        </w:rPr>
        <w:t xml:space="preserve"> </w:t>
      </w:r>
      <w:r>
        <w:rPr>
          <w:color w:val="FFFFFF"/>
          <w:sz w:val="16"/>
        </w:rPr>
        <w:t>6263</w:t>
      </w:r>
    </w:p>
    <w:p w14:paraId="5C1637DB" w14:textId="77777777" w:rsidR="00656BF7" w:rsidRDefault="006B0B32">
      <w:pPr>
        <w:spacing w:line="193" w:lineRule="exact"/>
        <w:ind w:left="195"/>
        <w:rPr>
          <w:sz w:val="16"/>
        </w:rPr>
      </w:pPr>
      <w:hyperlink r:id="rId9">
        <w:r w:rsidR="00B13289">
          <w:rPr>
            <w:color w:val="FFFFFF"/>
            <w:sz w:val="16"/>
          </w:rPr>
          <w:t>www.treasury.gov.au</w:t>
        </w:r>
      </w:hyperlink>
    </w:p>
    <w:p w14:paraId="5C1637DC" w14:textId="77777777" w:rsidR="00656BF7" w:rsidRDefault="00656BF7">
      <w:pPr>
        <w:spacing w:line="193" w:lineRule="exact"/>
        <w:rPr>
          <w:sz w:val="16"/>
        </w:rPr>
        <w:sectPr w:rsidR="00656B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50"/>
          <w:pgMar w:top="1560" w:right="1020" w:bottom="1400" w:left="940" w:header="716" w:footer="1212" w:gutter="0"/>
          <w:pgNumType w:start="1"/>
          <w:cols w:space="720"/>
        </w:sectPr>
      </w:pPr>
    </w:p>
    <w:p w14:paraId="5C1637DD" w14:textId="77777777" w:rsidR="00656BF7" w:rsidRDefault="00B13289">
      <w:pPr>
        <w:pStyle w:val="BodyText"/>
        <w:spacing w:before="48"/>
        <w:ind w:left="65"/>
        <w:jc w:val="center"/>
      </w:pPr>
      <w:r>
        <w:rPr>
          <w:w w:val="101"/>
        </w:rPr>
        <w:lastRenderedPageBreak/>
        <w:t>2</w:t>
      </w:r>
    </w:p>
    <w:p w14:paraId="5C1637DE" w14:textId="77777777" w:rsidR="00656BF7" w:rsidRDefault="00656BF7">
      <w:pPr>
        <w:pStyle w:val="BodyText"/>
        <w:spacing w:before="10"/>
        <w:rPr>
          <w:sz w:val="13"/>
        </w:rPr>
      </w:pPr>
    </w:p>
    <w:p w14:paraId="5C1637DF" w14:textId="77777777" w:rsidR="00656BF7" w:rsidRDefault="00B13289">
      <w:pPr>
        <w:pStyle w:val="BodyText"/>
        <w:spacing w:before="59"/>
        <w:ind w:left="195"/>
      </w:pPr>
      <w:r>
        <w:rPr>
          <w:noProof/>
          <w:lang w:eastAsia="en-AU"/>
        </w:rPr>
        <w:drawing>
          <wp:anchor distT="0" distB="0" distL="0" distR="0" simplePos="0" relativeHeight="487542272" behindDoc="1" locked="0" layoutInCell="1" allowOverlap="1" wp14:anchorId="5C1637EC" wp14:editId="5C1637ED">
            <wp:simplePos x="0" y="0"/>
            <wp:positionH relativeFrom="page">
              <wp:posOffset>740819</wp:posOffset>
            </wp:positionH>
            <wp:positionV relativeFrom="paragraph">
              <wp:posOffset>812782</wp:posOffset>
            </wp:positionV>
            <wp:extent cx="1529542" cy="33832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542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14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RIS</w:t>
      </w:r>
      <w:r>
        <w:rPr>
          <w:spacing w:val="-21"/>
        </w:rPr>
        <w:t xml:space="preserve"> </w:t>
      </w:r>
      <w:r>
        <w:t>to the</w:t>
      </w:r>
      <w:r>
        <w:rPr>
          <w:spacing w:val="6"/>
        </w:rPr>
        <w:t xml:space="preserve"> </w:t>
      </w:r>
      <w:r>
        <w:t>Office</w:t>
      </w:r>
      <w:r>
        <w:rPr>
          <w:spacing w:val="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Regulation</w:t>
      </w:r>
      <w:r>
        <w:rPr>
          <w:spacing w:val="-1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formal</w:t>
      </w:r>
      <w:r>
        <w:rPr>
          <w:spacing w:val="2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assessment.</w:t>
      </w:r>
    </w:p>
    <w:p w14:paraId="5C1637E0" w14:textId="77777777" w:rsidR="00656BF7" w:rsidRDefault="00656BF7">
      <w:pPr>
        <w:pStyle w:val="BodyText"/>
        <w:spacing w:before="12"/>
        <w:rPr>
          <w:sz w:val="25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5"/>
      </w:tblGrid>
      <w:tr w:rsidR="00656BF7" w14:paraId="5C1637E2" w14:textId="77777777">
        <w:trPr>
          <w:trHeight w:val="839"/>
        </w:trPr>
        <w:tc>
          <w:tcPr>
            <w:tcW w:w="3465" w:type="dxa"/>
          </w:tcPr>
          <w:p w14:paraId="5C1637E1" w14:textId="77777777" w:rsidR="00656BF7" w:rsidRDefault="00B13289">
            <w:pPr>
              <w:pStyle w:val="TableParagraph"/>
              <w:spacing w:line="227" w:lineRule="exact"/>
            </w:pPr>
            <w:r>
              <w:t>Yours</w:t>
            </w:r>
            <w:r>
              <w:rPr>
                <w:spacing w:val="-7"/>
              </w:rPr>
              <w:t xml:space="preserve"> </w:t>
            </w:r>
            <w:r>
              <w:t>sincerely</w:t>
            </w:r>
          </w:p>
        </w:tc>
      </w:tr>
      <w:tr w:rsidR="00656BF7" w14:paraId="5C1637E7" w14:textId="77777777">
        <w:trPr>
          <w:trHeight w:val="1383"/>
        </w:trPr>
        <w:tc>
          <w:tcPr>
            <w:tcW w:w="3465" w:type="dxa"/>
          </w:tcPr>
          <w:p w14:paraId="5C1637E3" w14:textId="77777777" w:rsidR="00656BF7" w:rsidRDefault="00656BF7">
            <w:pPr>
              <w:pStyle w:val="TableParagraph"/>
              <w:ind w:left="0"/>
            </w:pPr>
          </w:p>
          <w:p w14:paraId="5C1637E4" w14:textId="77777777" w:rsidR="00656BF7" w:rsidRDefault="00656BF7">
            <w:pPr>
              <w:pStyle w:val="TableParagraph"/>
              <w:ind w:left="0"/>
              <w:rPr>
                <w:sz w:val="25"/>
              </w:rPr>
            </w:pPr>
          </w:p>
          <w:p w14:paraId="5C1637E5" w14:textId="77777777" w:rsidR="00656BF7" w:rsidRDefault="00B13289">
            <w:pPr>
              <w:pStyle w:val="TableParagraph"/>
            </w:pPr>
            <w:r>
              <w:t>Brenton</w:t>
            </w:r>
            <w:r>
              <w:rPr>
                <w:spacing w:val="-5"/>
              </w:rPr>
              <w:t xml:space="preserve"> </w:t>
            </w:r>
            <w:r>
              <w:t>Goldsworthy</w:t>
            </w:r>
          </w:p>
          <w:p w14:paraId="5C1637E6" w14:textId="77777777" w:rsidR="00656BF7" w:rsidRDefault="00B13289">
            <w:pPr>
              <w:pStyle w:val="TableParagraph"/>
              <w:spacing w:line="270" w:lineRule="atLeast"/>
              <w:ind w:right="33"/>
            </w:pPr>
            <w:r>
              <w:t>Acting Deputy Secretary, Fiscal Group</w:t>
            </w:r>
            <w:r>
              <w:rPr>
                <w:spacing w:val="-47"/>
              </w:rPr>
              <w:t xml:space="preserve"> </w:t>
            </w:r>
            <w:r>
              <w:t>Treasury</w:t>
            </w:r>
          </w:p>
        </w:tc>
      </w:tr>
    </w:tbl>
    <w:p w14:paraId="5C1637E8" w14:textId="77777777" w:rsidR="00B13289" w:rsidRDefault="00B13289"/>
    <w:sectPr w:rsidR="00B13289">
      <w:pgSz w:w="11910" w:h="16850"/>
      <w:pgMar w:top="1560" w:right="1020" w:bottom="1400" w:left="940" w:header="716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AEFAA" w14:textId="77777777" w:rsidR="006B0B32" w:rsidRDefault="006B0B32">
      <w:r>
        <w:separator/>
      </w:r>
    </w:p>
  </w:endnote>
  <w:endnote w:type="continuationSeparator" w:id="0">
    <w:p w14:paraId="7DFBB7AB" w14:textId="77777777" w:rsidR="006B0B32" w:rsidRDefault="006B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38D85" w14:textId="77777777" w:rsidR="00AC2EAC" w:rsidRDefault="00AC2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37EF" w14:textId="6C29527F" w:rsidR="00656BF7" w:rsidRDefault="00AC2EAC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5C1637F1" wp14:editId="7C65E5AF">
              <wp:simplePos x="0" y="0"/>
              <wp:positionH relativeFrom="page">
                <wp:posOffset>3116580</wp:posOffset>
              </wp:positionH>
              <wp:positionV relativeFrom="page">
                <wp:posOffset>9789160</wp:posOffset>
              </wp:positionV>
              <wp:extent cx="1317625" cy="4419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637F5" w14:textId="2F538991" w:rsidR="00656BF7" w:rsidRDefault="00656BF7">
                          <w:pPr>
                            <w:spacing w:before="123"/>
                            <w:ind w:left="5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1637F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45.4pt;margin-top:770.8pt;width:103.75pt;height:34.8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" filled="f" stroked="f">
              <v:textbox inset="0,0,0,0">
                <w:txbxContent>
                  <w:p w14:paraId="5C1637F5" w14:textId="2F538991" w:rsidR="00656BF7" w:rsidRDefault="00656BF7">
                    <w:pPr>
                      <w:spacing w:before="123"/>
                      <w:ind w:left="5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8F80F" w14:textId="77777777" w:rsidR="00AC2EAC" w:rsidRDefault="00AC2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BFBA3" w14:textId="77777777" w:rsidR="006B0B32" w:rsidRDefault="006B0B32">
      <w:r>
        <w:separator/>
      </w:r>
    </w:p>
  </w:footnote>
  <w:footnote w:type="continuationSeparator" w:id="0">
    <w:p w14:paraId="53445093" w14:textId="77777777" w:rsidR="006B0B32" w:rsidRDefault="006B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3C382" w14:textId="77777777" w:rsidR="00AC2EAC" w:rsidRDefault="00AC2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37EE" w14:textId="6CE06D1E" w:rsidR="00656BF7" w:rsidRDefault="00AC2EAC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487541760" behindDoc="1" locked="0" layoutInCell="1" allowOverlap="1" wp14:anchorId="5C1637F0" wp14:editId="0A7CB2B5">
              <wp:simplePos x="0" y="0"/>
              <wp:positionH relativeFrom="page">
                <wp:posOffset>3116580</wp:posOffset>
              </wp:positionH>
              <wp:positionV relativeFrom="page">
                <wp:posOffset>441960</wp:posOffset>
              </wp:positionV>
              <wp:extent cx="1317625" cy="44196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637F3" w14:textId="175191D0" w:rsidR="00656BF7" w:rsidRDefault="00656BF7">
                          <w:pPr>
                            <w:spacing w:before="123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1637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45.4pt;margin-top:34.8pt;width:103.75pt;height:34.8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" filled="f" stroked="f">
              <v:textbox inset="0,0,0,0">
                <w:txbxContent>
                  <w:p w14:paraId="5C1637F3" w14:textId="175191D0" w:rsidR="00656BF7" w:rsidRDefault="00656BF7">
                    <w:pPr>
                      <w:spacing w:before="123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ACE4" w14:textId="77777777" w:rsidR="00AC2EAC" w:rsidRDefault="00AC2E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F7"/>
    <w:rsid w:val="00021453"/>
    <w:rsid w:val="00264B6D"/>
    <w:rsid w:val="00284554"/>
    <w:rsid w:val="00534CCB"/>
    <w:rsid w:val="005C055A"/>
    <w:rsid w:val="00656BF7"/>
    <w:rsid w:val="006B0B32"/>
    <w:rsid w:val="00A10AC4"/>
    <w:rsid w:val="00AC2EAC"/>
    <w:rsid w:val="00AE0718"/>
    <w:rsid w:val="00B13289"/>
    <w:rsid w:val="00E3284E"/>
    <w:rsid w:val="00F1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63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AC2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EAC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2E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EAC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BPR@pmc.gov.a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reasury.gov.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2022-03-30T05:49:00Z</dcterms:created>
  <dcterms:modified xsi:type="dcterms:W3CDTF">2022-03-30T06:15:00Z</dcterms:modified>
</cp:coreProperties>
</file>