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BCC8" w14:textId="22D048D3" w:rsidR="005F6F02" w:rsidRDefault="00437881">
      <w:pPr>
        <w:pStyle w:val="SinglePara"/>
        <w:jc w:val="right"/>
        <w:rPr>
          <w:rFonts w:asciiTheme="minorHAnsi" w:hAnsiTheme="minorHAnsi" w:cstheme="minorHAnsi"/>
          <w:noProof/>
        </w:rPr>
      </w:pPr>
      <w:r w:rsidRPr="00A348AE">
        <w:rPr>
          <w:rFonts w:asciiTheme="minorHAnsi" w:hAnsiTheme="minorHAnsi" w:cstheme="minorHAnsi"/>
        </w:rPr>
        <w:fldChar w:fldCharType="begin"/>
      </w:r>
      <w:r w:rsidRPr="00A348AE">
        <w:rPr>
          <w:rFonts w:asciiTheme="minorHAnsi" w:hAnsiTheme="minorHAnsi" w:cstheme="minorHAnsi"/>
        </w:rPr>
        <w:instrText xml:space="preserve"> CREATEDATE \@ "d MMMM, yyyy" \* MERGEFORMAT </w:instrText>
      </w:r>
      <w:r w:rsidRPr="00A348AE">
        <w:rPr>
          <w:rFonts w:asciiTheme="minorHAnsi" w:hAnsiTheme="minorHAnsi" w:cstheme="minorHAnsi"/>
        </w:rPr>
        <w:fldChar w:fldCharType="separate"/>
      </w:r>
      <w:r w:rsidR="00E87489" w:rsidRPr="00BD0052">
        <w:rPr>
          <w:rFonts w:asciiTheme="minorHAnsi" w:hAnsiTheme="minorHAnsi" w:cstheme="minorHAnsi"/>
          <w:noProof/>
        </w:rPr>
        <w:t>1</w:t>
      </w:r>
      <w:r w:rsidR="00654E84">
        <w:rPr>
          <w:rFonts w:asciiTheme="minorHAnsi" w:hAnsiTheme="minorHAnsi" w:cstheme="minorHAnsi"/>
          <w:noProof/>
        </w:rPr>
        <w:t>9</w:t>
      </w:r>
      <w:r w:rsidR="00043D9A">
        <w:rPr>
          <w:rFonts w:asciiTheme="minorHAnsi" w:hAnsiTheme="minorHAnsi" w:cstheme="minorHAnsi"/>
          <w:noProof/>
        </w:rPr>
        <w:t xml:space="preserve"> </w:t>
      </w:r>
      <w:r w:rsidR="00A348AE" w:rsidRPr="00A348AE">
        <w:rPr>
          <w:rFonts w:asciiTheme="minorHAnsi" w:hAnsiTheme="minorHAnsi" w:cstheme="minorHAnsi"/>
          <w:noProof/>
        </w:rPr>
        <w:t>January, 2022</w:t>
      </w:r>
      <w:r w:rsidRPr="00A348AE">
        <w:rPr>
          <w:rFonts w:asciiTheme="minorHAnsi" w:hAnsiTheme="minorHAnsi" w:cstheme="minorHAnsi"/>
          <w:noProof/>
        </w:rPr>
        <w:fldChar w:fldCharType="end"/>
      </w:r>
    </w:p>
    <w:p w14:paraId="006BF1AA" w14:textId="6F9B291F" w:rsidR="00534EBB" w:rsidRDefault="00534EBB">
      <w:pPr>
        <w:pStyle w:val="SinglePara"/>
        <w:jc w:val="right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Reference: OBPR21-01137</w:t>
      </w:r>
    </w:p>
    <w:p w14:paraId="7749D804" w14:textId="59CBF9F2" w:rsidR="00A348AE" w:rsidRPr="00A348AE" w:rsidRDefault="00A348AE" w:rsidP="00A348AE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Mr Jason Lange</w:t>
      </w:r>
    </w:p>
    <w:p w14:paraId="66F0FAE0" w14:textId="77777777" w:rsidR="00A348AE" w:rsidRPr="00A348AE" w:rsidRDefault="00A348AE" w:rsidP="00A348AE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Executive Director</w:t>
      </w:r>
    </w:p>
    <w:p w14:paraId="45D55318" w14:textId="77777777" w:rsidR="00A348AE" w:rsidRPr="00A348AE" w:rsidRDefault="00A348AE" w:rsidP="00A348AE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Office of Best Practice Regulation</w:t>
      </w:r>
    </w:p>
    <w:p w14:paraId="23E192E4" w14:textId="77777777" w:rsidR="00A348AE" w:rsidRPr="00A348AE" w:rsidRDefault="00A348AE" w:rsidP="00A348AE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 xml:space="preserve">Department of the Prime Minister and Cabinet </w:t>
      </w:r>
    </w:p>
    <w:p w14:paraId="1FCD0022" w14:textId="77777777" w:rsidR="00A348AE" w:rsidRPr="00A348AE" w:rsidRDefault="00A348AE" w:rsidP="00A348AE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1 National Circuit</w:t>
      </w:r>
    </w:p>
    <w:p w14:paraId="168AE0E3" w14:textId="77777777" w:rsidR="00A348AE" w:rsidRPr="00A348AE" w:rsidRDefault="00A348AE" w:rsidP="00A348AE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BARTON ACT 2600</w:t>
      </w:r>
    </w:p>
    <w:p w14:paraId="3BBADFC9" w14:textId="2C9C34EA" w:rsidR="005F6F02" w:rsidRDefault="005F6F02">
      <w:pPr>
        <w:rPr>
          <w:rFonts w:asciiTheme="minorHAnsi" w:hAnsiTheme="minorHAnsi" w:cstheme="minorHAnsi"/>
        </w:rPr>
      </w:pPr>
    </w:p>
    <w:p w14:paraId="1FF407EC" w14:textId="77777777" w:rsidR="00876394" w:rsidRPr="00A348AE" w:rsidRDefault="00876394" w:rsidP="008763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Email: helpdesk-OBPR@pmc.gov.au</w:t>
      </w:r>
    </w:p>
    <w:p w14:paraId="1B9FC22A" w14:textId="77777777" w:rsidR="00A348AE" w:rsidRPr="00A348AE" w:rsidRDefault="00A348AE" w:rsidP="00A348AE">
      <w:pPr>
        <w:spacing w:before="240" w:after="0" w:line="300" w:lineRule="exact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 xml:space="preserve">Dear Mr Lange </w:t>
      </w:r>
    </w:p>
    <w:p w14:paraId="5AE883F9" w14:textId="463F1F72" w:rsidR="00A348AE" w:rsidRPr="00A348AE" w:rsidRDefault="00A348AE" w:rsidP="00A348AE">
      <w:pPr>
        <w:spacing w:before="240" w:after="0" w:line="300" w:lineRule="exact"/>
        <w:rPr>
          <w:rFonts w:asciiTheme="minorHAnsi" w:hAnsiTheme="minorHAnsi" w:cstheme="minorHAnsi"/>
          <w:b/>
          <w:sz w:val="24"/>
        </w:rPr>
      </w:pPr>
      <w:r w:rsidRPr="00A348AE">
        <w:rPr>
          <w:rFonts w:asciiTheme="minorHAnsi" w:hAnsiTheme="minorHAnsi" w:cstheme="minorHAnsi"/>
          <w:b/>
          <w:sz w:val="24"/>
        </w:rPr>
        <w:t xml:space="preserve">Regulation Impact Statement – </w:t>
      </w:r>
      <w:r w:rsidR="00F4510D">
        <w:rPr>
          <w:rFonts w:asciiTheme="minorHAnsi" w:hAnsiTheme="minorHAnsi" w:cstheme="minorHAnsi"/>
          <w:b/>
          <w:sz w:val="24"/>
        </w:rPr>
        <w:t xml:space="preserve">Patent Box Concessional Tax </w:t>
      </w:r>
      <w:r w:rsidR="00F4510D" w:rsidRPr="00007F60">
        <w:rPr>
          <w:rFonts w:asciiTheme="minorHAnsi" w:hAnsiTheme="minorHAnsi" w:cstheme="minorHAnsi"/>
          <w:b/>
          <w:sz w:val="24"/>
        </w:rPr>
        <w:t xml:space="preserve">Regime </w:t>
      </w:r>
      <w:r w:rsidRPr="00007F60">
        <w:rPr>
          <w:rFonts w:asciiTheme="minorHAnsi" w:hAnsiTheme="minorHAnsi" w:cstheme="minorHAnsi"/>
          <w:b/>
          <w:sz w:val="24"/>
        </w:rPr>
        <w:t xml:space="preserve">– </w:t>
      </w:r>
      <w:r w:rsidR="00E87489">
        <w:rPr>
          <w:rFonts w:asciiTheme="minorHAnsi" w:hAnsiTheme="minorHAnsi" w:cstheme="minorHAnsi"/>
          <w:b/>
          <w:sz w:val="24"/>
        </w:rPr>
        <w:t>Second</w:t>
      </w:r>
      <w:r w:rsidRPr="00007F60">
        <w:rPr>
          <w:rFonts w:asciiTheme="minorHAnsi" w:hAnsiTheme="minorHAnsi" w:cstheme="minorHAnsi"/>
          <w:b/>
          <w:sz w:val="24"/>
        </w:rPr>
        <w:t xml:space="preserve"> Pa</w:t>
      </w:r>
      <w:r w:rsidRPr="00A348AE">
        <w:rPr>
          <w:rFonts w:asciiTheme="minorHAnsi" w:hAnsiTheme="minorHAnsi" w:cstheme="minorHAnsi"/>
          <w:b/>
          <w:sz w:val="24"/>
        </w:rPr>
        <w:t xml:space="preserve">ss </w:t>
      </w:r>
      <w:r w:rsidR="00C70976">
        <w:rPr>
          <w:rFonts w:asciiTheme="minorHAnsi" w:hAnsiTheme="minorHAnsi" w:cstheme="minorHAnsi"/>
          <w:b/>
          <w:sz w:val="24"/>
        </w:rPr>
        <w:t xml:space="preserve">Final </w:t>
      </w:r>
      <w:r w:rsidRPr="00A348AE">
        <w:rPr>
          <w:rFonts w:asciiTheme="minorHAnsi" w:hAnsiTheme="minorHAnsi" w:cstheme="minorHAnsi"/>
          <w:b/>
          <w:sz w:val="24"/>
        </w:rPr>
        <w:t>Assessment</w:t>
      </w:r>
    </w:p>
    <w:p w14:paraId="251BC292" w14:textId="0833C3DD" w:rsidR="00A348AE" w:rsidRPr="00A348AE" w:rsidRDefault="00A348AE" w:rsidP="00A348AE">
      <w:pPr>
        <w:spacing w:before="240" w:after="0" w:line="300" w:lineRule="exact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 xml:space="preserve">I am writing in relation to the attached Regulation Impact Statement (RIS) prepared for </w:t>
      </w:r>
      <w:r w:rsidR="00E03D31">
        <w:rPr>
          <w:rFonts w:asciiTheme="minorHAnsi" w:hAnsiTheme="minorHAnsi" w:cstheme="minorHAnsi"/>
        </w:rPr>
        <w:t xml:space="preserve">the </w:t>
      </w:r>
      <w:r w:rsidR="00E03D31" w:rsidRPr="00E03D31">
        <w:rPr>
          <w:rFonts w:asciiTheme="minorHAnsi" w:hAnsiTheme="minorHAnsi" w:cstheme="minorHAnsi"/>
        </w:rPr>
        <w:t xml:space="preserve">Patent Box Concessional Tax Regime </w:t>
      </w:r>
      <w:r w:rsidR="00E03D31">
        <w:rPr>
          <w:rFonts w:asciiTheme="minorHAnsi" w:hAnsiTheme="minorHAnsi" w:cstheme="minorHAnsi"/>
        </w:rPr>
        <w:t>(Office of Best Practice Regulation Reference: OBPR21-0</w:t>
      </w:r>
      <w:r w:rsidR="00BB6913">
        <w:rPr>
          <w:rFonts w:asciiTheme="minorHAnsi" w:hAnsiTheme="minorHAnsi" w:cstheme="minorHAnsi"/>
        </w:rPr>
        <w:t>1</w:t>
      </w:r>
      <w:r w:rsidR="00E03D31">
        <w:rPr>
          <w:rFonts w:asciiTheme="minorHAnsi" w:hAnsiTheme="minorHAnsi" w:cstheme="minorHAnsi"/>
        </w:rPr>
        <w:t>137).</w:t>
      </w:r>
    </w:p>
    <w:p w14:paraId="1D4431E4" w14:textId="6522A0CF" w:rsidR="0030039D" w:rsidRDefault="00EB0AF0" w:rsidP="00876394">
      <w:pPr>
        <w:spacing w:before="240" w:after="0"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for your letter of 13 January providing OBPR’s first pass assessment of the above RIS. </w:t>
      </w:r>
      <w:r w:rsidR="00876394" w:rsidRPr="00876394">
        <w:rPr>
          <w:rFonts w:asciiTheme="minorHAnsi" w:hAnsiTheme="minorHAnsi" w:cstheme="minorHAnsi"/>
        </w:rPr>
        <w:t>I am satisfied that the</w:t>
      </w:r>
      <w:r>
        <w:rPr>
          <w:rFonts w:asciiTheme="minorHAnsi" w:hAnsiTheme="minorHAnsi" w:cstheme="minorHAnsi"/>
        </w:rPr>
        <w:t xml:space="preserve"> revised</w:t>
      </w:r>
      <w:r w:rsidR="00876394" w:rsidRPr="00876394">
        <w:rPr>
          <w:rFonts w:asciiTheme="minorHAnsi" w:hAnsiTheme="minorHAnsi" w:cstheme="minorHAnsi"/>
        </w:rPr>
        <w:t xml:space="preserve"> RIS </w:t>
      </w:r>
      <w:r>
        <w:rPr>
          <w:rFonts w:asciiTheme="minorHAnsi" w:hAnsiTheme="minorHAnsi" w:cstheme="minorHAnsi"/>
        </w:rPr>
        <w:t xml:space="preserve">attached </w:t>
      </w:r>
      <w:r w:rsidR="00876394" w:rsidRPr="00876394">
        <w:rPr>
          <w:rFonts w:asciiTheme="minorHAnsi" w:hAnsiTheme="minorHAnsi" w:cstheme="minorHAnsi"/>
        </w:rPr>
        <w:t>addresses the concerns raised in your letter. Specifically,</w:t>
      </w:r>
      <w:r w:rsidR="003003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Treasury has revised the RIS in the following ways</w:t>
      </w:r>
      <w:r w:rsidR="00AD1B05">
        <w:rPr>
          <w:rFonts w:asciiTheme="minorHAnsi" w:hAnsiTheme="minorHAnsi" w:cstheme="minorHAnsi"/>
        </w:rPr>
        <w:t>:</w:t>
      </w:r>
    </w:p>
    <w:p w14:paraId="4686F4DD" w14:textId="35327C88" w:rsidR="00AD1B05" w:rsidRDefault="00AD1B05" w:rsidP="00AD1B05">
      <w:pPr>
        <w:pStyle w:val="Bullet"/>
      </w:pPr>
      <w:r>
        <w:t xml:space="preserve">As all RISs must have </w:t>
      </w:r>
      <w:r w:rsidR="003B030F">
        <w:t xml:space="preserve">at least </w:t>
      </w:r>
      <w:r>
        <w:t xml:space="preserve">3 </w:t>
      </w:r>
      <w:r w:rsidR="003B030F">
        <w:t xml:space="preserve">viable </w:t>
      </w:r>
      <w:r>
        <w:t xml:space="preserve">options for consideration, </w:t>
      </w:r>
      <w:r w:rsidR="00EB0AF0">
        <w:t xml:space="preserve">a new </w:t>
      </w:r>
      <w:r>
        <w:t xml:space="preserve">Option </w:t>
      </w:r>
      <w:r w:rsidR="00EB0AF0">
        <w:t xml:space="preserve">3 has been included reflecting the revised design </w:t>
      </w:r>
      <w:r w:rsidR="00EB0AF0" w:rsidRPr="00876394">
        <w:t xml:space="preserve">specifications following </w:t>
      </w:r>
      <w:r w:rsidR="00EB0AF0">
        <w:t xml:space="preserve">public and targeted </w:t>
      </w:r>
      <w:r w:rsidR="00EB0AF0" w:rsidRPr="00876394">
        <w:t>industry consultation</w:t>
      </w:r>
      <w:r w:rsidR="00EB0AF0">
        <w:t xml:space="preserve">. This more clearly differentiates the differences between the 2021-22 Budget announcement (now included as Option 2) and the feedback provided by stakeholders </w:t>
      </w:r>
      <w:r w:rsidR="00073C56">
        <w:t>on that announcement</w:t>
      </w:r>
      <w:r w:rsidR="002C19A4">
        <w:t xml:space="preserve"> (Option 3)</w:t>
      </w:r>
      <w:r>
        <w:t>.</w:t>
      </w:r>
      <w:r w:rsidR="0066694D">
        <w:t xml:space="preserve"> </w:t>
      </w:r>
    </w:p>
    <w:p w14:paraId="7DBBEA97" w14:textId="7F123DE6" w:rsidR="00AD1B05" w:rsidRDefault="00073C56" w:rsidP="00AD1B05">
      <w:pPr>
        <w:pStyle w:val="Bullet"/>
      </w:pPr>
      <w:r>
        <w:t xml:space="preserve">The RIS now includes </w:t>
      </w:r>
      <w:r w:rsidR="00AD1B05">
        <w:t>further</w:t>
      </w:r>
      <w:r w:rsidR="00AD1B05" w:rsidRPr="00876394">
        <w:t xml:space="preserve"> evidence of the problem and the benefits of the proposed solutions</w:t>
      </w:r>
      <w:r w:rsidR="00AD1B05">
        <w:t xml:space="preserve">. </w:t>
      </w:r>
    </w:p>
    <w:p w14:paraId="4EEE5D16" w14:textId="2B7D5372" w:rsidR="008A536B" w:rsidRDefault="008A536B" w:rsidP="008A536B">
      <w:pPr>
        <w:pStyle w:val="Bullet"/>
      </w:pPr>
      <w:r>
        <w:t xml:space="preserve">The RIS has </w:t>
      </w:r>
      <w:r w:rsidRPr="00CE011C">
        <w:t xml:space="preserve">been re-structured to </w:t>
      </w:r>
      <w:r w:rsidR="00073C56">
        <w:t xml:space="preserve">more clearly present the evidence base </w:t>
      </w:r>
      <w:r>
        <w:t>and identif</w:t>
      </w:r>
      <w:r w:rsidR="00E24259">
        <w:t>y</w:t>
      </w:r>
      <w:r>
        <w:t xml:space="preserve"> the need for Government intervention</w:t>
      </w:r>
      <w:r w:rsidR="00F8055D">
        <w:t xml:space="preserve"> compared to the status quo of no policy action</w:t>
      </w:r>
      <w:r w:rsidR="00876314">
        <w:t>.</w:t>
      </w:r>
    </w:p>
    <w:p w14:paraId="4D65A42D" w14:textId="75455E0F" w:rsidR="00262AB1" w:rsidRDefault="003B030F" w:rsidP="00945F85">
      <w:pPr>
        <w:pStyle w:val="Bullet"/>
      </w:pPr>
      <w:r>
        <w:t>L</w:t>
      </w:r>
      <w:r w:rsidRPr="00876394">
        <w:t xml:space="preserve">anguage around the options </w:t>
      </w:r>
      <w:r>
        <w:t xml:space="preserve">has been amended </w:t>
      </w:r>
      <w:r w:rsidRPr="00876394">
        <w:t xml:space="preserve">to make it clear that a final decision has not yet been made (approval of the legislation is considered the decision point under this process, and the final RIS </w:t>
      </w:r>
      <w:r>
        <w:t>will</w:t>
      </w:r>
      <w:r w:rsidRPr="00876394">
        <w:t xml:space="preserve"> inform this decision)</w:t>
      </w:r>
      <w:r>
        <w:t>.</w:t>
      </w:r>
    </w:p>
    <w:p w14:paraId="013656AC" w14:textId="672B5C9B" w:rsidR="008A536B" w:rsidRPr="003B030F" w:rsidRDefault="008A536B" w:rsidP="00945F85">
      <w:pPr>
        <w:pStyle w:val="Bullet"/>
      </w:pPr>
      <w:r>
        <w:t>Minor formatting and editorial suggestions noted in OBPR’s marked-up version of the RIS have been noted and addressed as appropriate.</w:t>
      </w:r>
    </w:p>
    <w:p w14:paraId="25FC076E" w14:textId="2EEEC5FA" w:rsidR="00B23273" w:rsidRDefault="00B23273" w:rsidP="00974D2A">
      <w:pPr>
        <w:autoSpaceDE w:val="0"/>
        <w:autoSpaceDN w:val="0"/>
        <w:adjustRightInd w:val="0"/>
        <w:spacing w:before="240" w:after="0"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RIS shows that the primary benefit of a patent box is the retention of economically valuable IP in Australia where it has been developed here. While this provides benefits in </w:t>
      </w:r>
      <w:r w:rsidR="00F42B14">
        <w:rPr>
          <w:rFonts w:asciiTheme="minorHAnsi" w:hAnsiTheme="minorHAnsi" w:cstheme="minorHAnsi"/>
        </w:rPr>
        <w:t>the form</w:t>
      </w:r>
      <w:r>
        <w:rPr>
          <w:rFonts w:asciiTheme="minorHAnsi" w:hAnsiTheme="minorHAnsi" w:cstheme="minorHAnsi"/>
        </w:rPr>
        <w:t xml:space="preserve"> of potential economic gains to Australia and lower revenue leakage to lower tax jurisdictions, Treasury has not be</w:t>
      </w:r>
      <w:r w:rsidR="004C56E1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 able to quantify these benefits. </w:t>
      </w:r>
      <w:r w:rsidR="00131443">
        <w:rPr>
          <w:rFonts w:asciiTheme="minorHAnsi" w:hAnsiTheme="minorHAnsi" w:cstheme="minorHAnsi"/>
        </w:rPr>
        <w:t>This is in large part due to the</w:t>
      </w:r>
      <w:r w:rsidR="007B3E04">
        <w:rPr>
          <w:rFonts w:asciiTheme="minorHAnsi" w:hAnsiTheme="minorHAnsi" w:cstheme="minorHAnsi"/>
        </w:rPr>
        <w:t xml:space="preserve"> lack of data and analysis from international patent </w:t>
      </w:r>
      <w:r w:rsidR="007B3E04">
        <w:rPr>
          <w:rFonts w:asciiTheme="minorHAnsi" w:hAnsiTheme="minorHAnsi" w:cstheme="minorHAnsi"/>
        </w:rPr>
        <w:lastRenderedPageBreak/>
        <w:t>boxes that reflects changes to patent box regimes since the 2015 OECD Guidelines on BEPS Action 5: Harmful Tax Practices.</w:t>
      </w:r>
      <w:r w:rsidR="00996D4A">
        <w:rPr>
          <w:rFonts w:asciiTheme="minorHAnsi" w:hAnsiTheme="minorHAnsi" w:cstheme="minorHAnsi"/>
        </w:rPr>
        <w:t xml:space="preserve"> The RIS instead seeks to make a qualitative assessment of the relevant options.</w:t>
      </w:r>
    </w:p>
    <w:p w14:paraId="31A60DA2" w14:textId="2C507743" w:rsidR="00974D2A" w:rsidRPr="0017234E" w:rsidRDefault="00974D2A" w:rsidP="00974D2A">
      <w:pPr>
        <w:autoSpaceDE w:val="0"/>
        <w:autoSpaceDN w:val="0"/>
        <w:adjustRightInd w:val="0"/>
        <w:spacing w:before="240" w:after="0" w:line="300" w:lineRule="exact"/>
        <w:rPr>
          <w:rFonts w:asciiTheme="minorHAnsi" w:hAnsiTheme="minorHAnsi" w:cstheme="minorHAnsi"/>
        </w:rPr>
      </w:pPr>
      <w:r w:rsidRPr="0017234E">
        <w:rPr>
          <w:rFonts w:asciiTheme="minorHAnsi" w:hAnsiTheme="minorHAnsi" w:cstheme="minorHAnsi"/>
        </w:rPr>
        <w:t xml:space="preserve">The </w:t>
      </w:r>
      <w:r w:rsidR="00223454">
        <w:rPr>
          <w:rFonts w:asciiTheme="minorHAnsi" w:hAnsiTheme="minorHAnsi" w:cstheme="minorHAnsi"/>
        </w:rPr>
        <w:t xml:space="preserve">ongoing </w:t>
      </w:r>
      <w:r w:rsidRPr="0017234E">
        <w:rPr>
          <w:rFonts w:asciiTheme="minorHAnsi" w:hAnsiTheme="minorHAnsi" w:cstheme="minorHAnsi"/>
        </w:rPr>
        <w:t xml:space="preserve">regulatory costs </w:t>
      </w:r>
      <w:r w:rsidR="00EE380D">
        <w:rPr>
          <w:rFonts w:asciiTheme="minorHAnsi" w:hAnsiTheme="minorHAnsi" w:cstheme="minorHAnsi"/>
        </w:rPr>
        <w:t xml:space="preserve">for the </w:t>
      </w:r>
      <w:r w:rsidR="00223454">
        <w:rPr>
          <w:rFonts w:asciiTheme="minorHAnsi" w:hAnsiTheme="minorHAnsi" w:cstheme="minorHAnsi"/>
        </w:rPr>
        <w:t>preferred</w:t>
      </w:r>
      <w:r w:rsidR="00EE380D">
        <w:rPr>
          <w:rFonts w:asciiTheme="minorHAnsi" w:hAnsiTheme="minorHAnsi" w:cstheme="minorHAnsi"/>
        </w:rPr>
        <w:t xml:space="preserve"> option</w:t>
      </w:r>
      <w:r w:rsidR="00223454">
        <w:rPr>
          <w:rFonts w:asciiTheme="minorHAnsi" w:hAnsiTheme="minorHAnsi" w:cstheme="minorHAnsi"/>
        </w:rPr>
        <w:t xml:space="preserve"> provided to Government for decision</w:t>
      </w:r>
      <w:r w:rsidR="00EE380D">
        <w:rPr>
          <w:rFonts w:asciiTheme="minorHAnsi" w:hAnsiTheme="minorHAnsi" w:cstheme="minorHAnsi"/>
        </w:rPr>
        <w:t xml:space="preserve"> </w:t>
      </w:r>
      <w:r w:rsidRPr="0017234E">
        <w:rPr>
          <w:rFonts w:asciiTheme="minorHAnsi" w:hAnsiTheme="minorHAnsi" w:cstheme="minorHAnsi"/>
        </w:rPr>
        <w:t xml:space="preserve">are </w:t>
      </w:r>
      <w:r w:rsidRPr="00CC3A6E">
        <w:rPr>
          <w:rFonts w:asciiTheme="minorHAnsi" w:hAnsiTheme="minorHAnsi" w:cstheme="minorHAnsi"/>
        </w:rPr>
        <w:t>approximately $1.7 million</w:t>
      </w:r>
      <w:r w:rsidRPr="0017234E">
        <w:rPr>
          <w:rFonts w:asciiTheme="minorHAnsi" w:hAnsiTheme="minorHAnsi" w:cstheme="minorHAnsi"/>
        </w:rPr>
        <w:t xml:space="preserve"> per year. </w:t>
      </w:r>
      <w:r w:rsidR="002C19A4">
        <w:rPr>
          <w:rFonts w:asciiTheme="minorHAnsi" w:hAnsiTheme="minorHAnsi" w:cstheme="minorHAnsi"/>
        </w:rPr>
        <w:t xml:space="preserve">While </w:t>
      </w:r>
      <w:r w:rsidRPr="0017234E">
        <w:rPr>
          <w:rFonts w:asciiTheme="minorHAnsi" w:hAnsiTheme="minorHAnsi" w:cstheme="minorHAnsi"/>
        </w:rPr>
        <w:t>implementation of this proposal will increase the regulatory burden</w:t>
      </w:r>
      <w:r w:rsidR="002C19A4">
        <w:rPr>
          <w:rFonts w:asciiTheme="minorHAnsi" w:hAnsiTheme="minorHAnsi" w:cstheme="minorHAnsi"/>
        </w:rPr>
        <w:t>, the d</w:t>
      </w:r>
      <w:r w:rsidR="0017234E" w:rsidRPr="0017234E">
        <w:rPr>
          <w:rFonts w:asciiTheme="minorHAnsi" w:hAnsiTheme="minorHAnsi" w:cstheme="minorHAnsi"/>
          <w:szCs w:val="22"/>
        </w:rPr>
        <w:t xml:space="preserve">esign choices </w:t>
      </w:r>
      <w:r w:rsidR="00931D7D">
        <w:rPr>
          <w:rFonts w:asciiTheme="minorHAnsi" w:hAnsiTheme="minorHAnsi" w:cstheme="minorHAnsi"/>
          <w:szCs w:val="22"/>
        </w:rPr>
        <w:t>presented to Government</w:t>
      </w:r>
      <w:r w:rsidR="002C19A4">
        <w:rPr>
          <w:rFonts w:asciiTheme="minorHAnsi" w:hAnsiTheme="minorHAnsi" w:cstheme="minorHAnsi"/>
          <w:szCs w:val="22"/>
        </w:rPr>
        <w:t xml:space="preserve"> have been influenced by the need to reduce taxpayers</w:t>
      </w:r>
      <w:r w:rsidR="00E24259">
        <w:rPr>
          <w:rFonts w:asciiTheme="minorHAnsi" w:hAnsiTheme="minorHAnsi" w:cstheme="minorHAnsi"/>
          <w:szCs w:val="22"/>
        </w:rPr>
        <w:t>’</w:t>
      </w:r>
      <w:r w:rsidR="002C19A4">
        <w:rPr>
          <w:rFonts w:asciiTheme="minorHAnsi" w:hAnsiTheme="minorHAnsi" w:cstheme="minorHAnsi"/>
          <w:szCs w:val="22"/>
        </w:rPr>
        <w:t xml:space="preserve"> compliance costs </w:t>
      </w:r>
      <w:r w:rsidR="0017234E" w:rsidRPr="0017234E">
        <w:rPr>
          <w:rFonts w:asciiTheme="minorHAnsi" w:hAnsiTheme="minorHAnsi" w:cstheme="minorHAnsi"/>
          <w:szCs w:val="22"/>
        </w:rPr>
        <w:t xml:space="preserve">where possible. </w:t>
      </w:r>
      <w:r w:rsidR="002C19A4">
        <w:rPr>
          <w:rFonts w:asciiTheme="minorHAnsi" w:hAnsiTheme="minorHAnsi" w:cstheme="minorHAnsi"/>
          <w:szCs w:val="22"/>
        </w:rPr>
        <w:t>Moreover, access to the regime remains optional. While no</w:t>
      </w:r>
      <w:r w:rsidRPr="0017234E">
        <w:rPr>
          <w:rFonts w:asciiTheme="minorHAnsi" w:hAnsiTheme="minorHAnsi" w:cstheme="minorHAnsi"/>
        </w:rPr>
        <w:t xml:space="preserve"> offset measure</w:t>
      </w:r>
      <w:r w:rsidR="002C19A4">
        <w:rPr>
          <w:rFonts w:asciiTheme="minorHAnsi" w:hAnsiTheme="minorHAnsi" w:cstheme="minorHAnsi"/>
        </w:rPr>
        <w:t>s</w:t>
      </w:r>
      <w:r w:rsidRPr="0017234E">
        <w:rPr>
          <w:rFonts w:asciiTheme="minorHAnsi" w:hAnsiTheme="minorHAnsi" w:cstheme="minorHAnsi"/>
        </w:rPr>
        <w:t xml:space="preserve"> ha</w:t>
      </w:r>
      <w:r w:rsidR="002C19A4">
        <w:rPr>
          <w:rFonts w:asciiTheme="minorHAnsi" w:hAnsiTheme="minorHAnsi" w:cstheme="minorHAnsi"/>
        </w:rPr>
        <w:t>ve</w:t>
      </w:r>
      <w:r w:rsidRPr="0017234E">
        <w:rPr>
          <w:rFonts w:asciiTheme="minorHAnsi" w:hAnsiTheme="minorHAnsi" w:cstheme="minorHAnsi"/>
        </w:rPr>
        <w:t xml:space="preserve"> been </w:t>
      </w:r>
      <w:r w:rsidR="00AD1B05" w:rsidRPr="0017234E">
        <w:rPr>
          <w:rFonts w:asciiTheme="minorHAnsi" w:hAnsiTheme="minorHAnsi" w:cstheme="minorHAnsi"/>
        </w:rPr>
        <w:t>identified</w:t>
      </w:r>
      <w:r w:rsidR="002C19A4">
        <w:rPr>
          <w:rFonts w:asciiTheme="minorHAnsi" w:hAnsiTheme="minorHAnsi" w:cstheme="minorHAnsi"/>
        </w:rPr>
        <w:t xml:space="preserve"> as yet</w:t>
      </w:r>
      <w:r w:rsidR="00AD1B05" w:rsidRPr="0017234E">
        <w:rPr>
          <w:rFonts w:asciiTheme="minorHAnsi" w:hAnsiTheme="minorHAnsi" w:cstheme="minorHAnsi"/>
        </w:rPr>
        <w:t>;</w:t>
      </w:r>
      <w:r w:rsidRPr="0017234E">
        <w:rPr>
          <w:rFonts w:asciiTheme="minorHAnsi" w:hAnsiTheme="minorHAnsi" w:cstheme="minorHAnsi"/>
        </w:rPr>
        <w:t xml:space="preserve"> Treasury </w:t>
      </w:r>
      <w:r w:rsidR="002C19A4">
        <w:rPr>
          <w:rFonts w:asciiTheme="minorHAnsi" w:hAnsiTheme="minorHAnsi" w:cstheme="minorHAnsi"/>
        </w:rPr>
        <w:t xml:space="preserve">will </w:t>
      </w:r>
      <w:r w:rsidRPr="0017234E">
        <w:rPr>
          <w:rFonts w:asciiTheme="minorHAnsi" w:hAnsiTheme="minorHAnsi" w:cstheme="minorHAnsi"/>
        </w:rPr>
        <w:t xml:space="preserve">review whether there are regulatory burden reductions elsewhere in the 2022-23 Budget process </w:t>
      </w:r>
      <w:r w:rsidR="002C19A4">
        <w:rPr>
          <w:rFonts w:asciiTheme="minorHAnsi" w:hAnsiTheme="minorHAnsi" w:cstheme="minorHAnsi"/>
        </w:rPr>
        <w:t>that could be used as offset measures</w:t>
      </w:r>
      <w:r w:rsidRPr="0017234E">
        <w:rPr>
          <w:rFonts w:asciiTheme="minorHAnsi" w:hAnsiTheme="minorHAnsi" w:cstheme="minorHAnsi"/>
        </w:rPr>
        <w:t>.</w:t>
      </w:r>
    </w:p>
    <w:p w14:paraId="73E230CD" w14:textId="4FDB640B" w:rsidR="003E7B0D" w:rsidRDefault="003E7B0D" w:rsidP="003E7B0D">
      <w:pPr>
        <w:autoSpaceDE w:val="0"/>
        <w:autoSpaceDN w:val="0"/>
        <w:adjustRightInd w:val="0"/>
        <w:spacing w:before="240" w:after="0" w:line="300" w:lineRule="exact"/>
      </w:pPr>
      <w:r>
        <w:t xml:space="preserve">Draft RISs have been prepared for milestone decision points in this process. This is the final RIS for assessment by the OBPR. </w:t>
      </w:r>
      <w:r w:rsidR="000F34C0">
        <w:t xml:space="preserve">This RIS will be provided to the Government to be considered prior to introduction of legislation. </w:t>
      </w:r>
    </w:p>
    <w:p w14:paraId="34B8A032" w14:textId="77777777" w:rsidR="00974D2A" w:rsidRPr="0017234E" w:rsidRDefault="00974D2A" w:rsidP="00974D2A">
      <w:pPr>
        <w:autoSpaceDE w:val="0"/>
        <w:autoSpaceDN w:val="0"/>
        <w:adjustRightInd w:val="0"/>
        <w:spacing w:before="240" w:after="0" w:line="300" w:lineRule="exact"/>
        <w:rPr>
          <w:rFonts w:asciiTheme="minorHAnsi" w:hAnsiTheme="minorHAnsi" w:cstheme="minorHAnsi"/>
        </w:rPr>
      </w:pPr>
      <w:r w:rsidRPr="0017234E">
        <w:rPr>
          <w:rFonts w:asciiTheme="minorHAnsi" w:hAnsiTheme="minorHAnsi" w:cstheme="minorHAnsi"/>
        </w:rPr>
        <w:t>Accordingly, I am satisfied that the RIS is now consistent with the six principles for Australian Government policy makers as specified in the Australian Government Guide to Regulatory Impact Analysis.</w:t>
      </w:r>
    </w:p>
    <w:p w14:paraId="02D523D8" w14:textId="52C3AF6F" w:rsidR="00876394" w:rsidRDefault="00974D2A" w:rsidP="00974D2A">
      <w:pPr>
        <w:autoSpaceDE w:val="0"/>
        <w:autoSpaceDN w:val="0"/>
        <w:adjustRightInd w:val="0"/>
        <w:spacing w:before="240" w:after="0" w:line="300" w:lineRule="exact"/>
        <w:rPr>
          <w:rFonts w:asciiTheme="minorHAnsi" w:hAnsiTheme="minorHAnsi" w:cstheme="minorHAnsi"/>
        </w:rPr>
      </w:pPr>
      <w:r w:rsidRPr="0017234E">
        <w:rPr>
          <w:rFonts w:asciiTheme="minorHAnsi" w:hAnsiTheme="minorHAnsi" w:cstheme="minorHAnsi"/>
        </w:rPr>
        <w:t>I submit the RIS to the Office of Best Practice Regulation for formal final assessment.</w:t>
      </w:r>
    </w:p>
    <w:p w14:paraId="210936C0" w14:textId="77777777" w:rsidR="00945F85" w:rsidRPr="00A348AE" w:rsidRDefault="00945F85">
      <w:pPr>
        <w:rPr>
          <w:rFonts w:asciiTheme="minorHAnsi" w:hAnsiTheme="minorHAnsi" w:cstheme="minorHAnsi"/>
        </w:rPr>
      </w:pPr>
    </w:p>
    <w:p w14:paraId="3459571A" w14:textId="13886ADF" w:rsidR="00010558" w:rsidRDefault="00A348AE" w:rsidP="005A0A05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Yours sincerely</w:t>
      </w:r>
    </w:p>
    <w:p w14:paraId="7378B444" w14:textId="77777777" w:rsidR="005A0A05" w:rsidRPr="00A348AE" w:rsidRDefault="005A0A05" w:rsidP="005A0A05">
      <w:pPr>
        <w:spacing w:after="0"/>
        <w:rPr>
          <w:rFonts w:asciiTheme="minorHAnsi" w:hAnsiTheme="minorHAnsi" w:cstheme="minorHAnsi"/>
        </w:rPr>
      </w:pPr>
    </w:p>
    <w:p w14:paraId="5974E266" w14:textId="5120F3A7" w:rsidR="005A0A05" w:rsidRDefault="005A0A05" w:rsidP="00A348AE">
      <w:pPr>
        <w:spacing w:after="0"/>
        <w:rPr>
          <w:rFonts w:asciiTheme="minorHAnsi" w:hAnsiTheme="minorHAnsi" w:cstheme="minorHAnsi"/>
        </w:rPr>
      </w:pPr>
    </w:p>
    <w:p w14:paraId="78302076" w14:textId="695A440E" w:rsidR="00876394" w:rsidRDefault="00876394" w:rsidP="00A348AE">
      <w:pPr>
        <w:spacing w:after="0"/>
        <w:rPr>
          <w:rFonts w:asciiTheme="minorHAnsi" w:hAnsiTheme="minorHAnsi" w:cstheme="minorHAnsi"/>
        </w:rPr>
      </w:pPr>
    </w:p>
    <w:p w14:paraId="46F1AA39" w14:textId="77777777" w:rsidR="00876394" w:rsidRDefault="00876394" w:rsidP="00A348AE">
      <w:pPr>
        <w:spacing w:after="0"/>
        <w:rPr>
          <w:rFonts w:asciiTheme="minorHAnsi" w:hAnsiTheme="minorHAnsi" w:cstheme="minorHAnsi"/>
        </w:rPr>
      </w:pPr>
    </w:p>
    <w:p w14:paraId="5E2BD60F" w14:textId="427DC767" w:rsidR="005A0A05" w:rsidRDefault="005A0A05" w:rsidP="00A348AE">
      <w:pPr>
        <w:spacing w:after="0"/>
        <w:rPr>
          <w:rFonts w:asciiTheme="minorHAnsi" w:hAnsiTheme="minorHAnsi" w:cstheme="minorHAnsi"/>
        </w:rPr>
      </w:pPr>
    </w:p>
    <w:p w14:paraId="2E69F5F9" w14:textId="6F7B0716" w:rsidR="005A0A05" w:rsidRPr="00A348AE" w:rsidRDefault="00E87489" w:rsidP="005A0A0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Maryanne Mrakovcic</w:t>
      </w:r>
    </w:p>
    <w:p w14:paraId="320E18B7" w14:textId="4772C9D7" w:rsidR="005A0A05" w:rsidRDefault="005A0A05" w:rsidP="005A0A05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Deputy Secretary</w:t>
      </w:r>
    </w:p>
    <w:p w14:paraId="61D6F45A" w14:textId="4ACA6211" w:rsidR="005A0A05" w:rsidRDefault="005A0A05" w:rsidP="005A0A05">
      <w:pPr>
        <w:spacing w:after="0"/>
        <w:rPr>
          <w:rFonts w:asciiTheme="minorHAnsi" w:hAnsiTheme="minorHAnsi" w:cstheme="minorHAnsi"/>
        </w:rPr>
      </w:pPr>
      <w:r w:rsidRPr="00A348AE">
        <w:rPr>
          <w:rFonts w:asciiTheme="minorHAnsi" w:hAnsiTheme="minorHAnsi" w:cstheme="minorHAnsi"/>
        </w:rPr>
        <w:t>Revenue Group</w:t>
      </w:r>
    </w:p>
    <w:p w14:paraId="6E5783D8" w14:textId="77777777" w:rsidR="005A0A05" w:rsidRPr="00A348AE" w:rsidRDefault="005A0A05" w:rsidP="00A348AE">
      <w:pPr>
        <w:spacing w:after="0"/>
        <w:rPr>
          <w:rFonts w:asciiTheme="minorHAnsi" w:hAnsiTheme="minorHAnsi" w:cstheme="minorHAnsi"/>
        </w:rPr>
      </w:pPr>
    </w:p>
    <w:sectPr w:rsidR="005A0A05" w:rsidRPr="00A348AE" w:rsidSect="00A348A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985" w:left="1134" w:header="425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2CE1" w14:textId="77777777" w:rsidR="003132A1" w:rsidRDefault="003132A1">
      <w:r>
        <w:separator/>
      </w:r>
    </w:p>
  </w:endnote>
  <w:endnote w:type="continuationSeparator" w:id="0">
    <w:p w14:paraId="37BF99EB" w14:textId="77777777" w:rsidR="003132A1" w:rsidRDefault="003132A1">
      <w:r>
        <w:continuationSeparator/>
      </w:r>
    </w:p>
  </w:endnote>
  <w:endnote w:type="continuationNotice" w:id="1">
    <w:p w14:paraId="7C5E9ACE" w14:textId="77777777" w:rsidR="003132A1" w:rsidRDefault="003132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4221" w14:textId="64C7BC4E" w:rsidR="003132A1" w:rsidRDefault="003132A1">
    <w:pPr>
      <w:tabs>
        <w:tab w:val="center" w:pos="4820"/>
      </w:tabs>
      <w:spacing w:before="120" w:after="0"/>
    </w:pPr>
    <w:r>
      <w:tab/>
    </w:r>
  </w:p>
  <w:p w14:paraId="5B70D423" w14:textId="77777777" w:rsidR="003132A1" w:rsidRDefault="003132A1" w:rsidP="002B692A">
    <w:pPr>
      <w:pStyle w:val="SecurityClassification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F773" w14:textId="77777777" w:rsidR="003132A1" w:rsidRPr="00375CB3" w:rsidRDefault="003132A1" w:rsidP="00A23E22">
    <w:pPr>
      <w:pStyle w:val="FooterAddress"/>
      <w:rPr>
        <w:sz w:val="12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1" locked="0" layoutInCell="1" allowOverlap="1" wp14:anchorId="780798C0" wp14:editId="567BEB72">
          <wp:simplePos x="0" y="0"/>
          <wp:positionH relativeFrom="page">
            <wp:align>center</wp:align>
          </wp:positionH>
          <wp:positionV relativeFrom="paragraph">
            <wp:posOffset>-575945</wp:posOffset>
          </wp:positionV>
          <wp:extent cx="7200000" cy="11844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Y - Letterhead footer - 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EED81D" w14:textId="77777777" w:rsidR="003132A1" w:rsidRPr="00A23E22" w:rsidRDefault="003132A1" w:rsidP="00A23E22">
    <w:pPr>
      <w:pStyle w:val="FooterAddress"/>
      <w:rPr>
        <w:sz w:val="2"/>
      </w:rPr>
    </w:pPr>
  </w:p>
  <w:p w14:paraId="36E58223" w14:textId="77777777" w:rsidR="003132A1" w:rsidRDefault="003132A1" w:rsidP="00A348AE">
    <w:pPr>
      <w:pStyle w:val="FooterAddress"/>
    </w:pPr>
    <w:r>
      <w:t>Langton Crescent, PARKES ACT 2600, AUSTRALIA</w:t>
    </w:r>
    <w:r>
      <w:br/>
      <w:t xml:space="preserve">P:  61 2 6263   F:  61 2 6263 </w:t>
    </w:r>
    <w:r>
      <w:br/>
    </w:r>
    <w:r w:rsidRPr="00485E79">
      <w:t>www.treasury.gov.au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4DFB" w14:textId="77777777" w:rsidR="003132A1" w:rsidRDefault="003132A1">
      <w:r>
        <w:separator/>
      </w:r>
    </w:p>
  </w:footnote>
  <w:footnote w:type="continuationSeparator" w:id="0">
    <w:p w14:paraId="1C0F4BC0" w14:textId="77777777" w:rsidR="003132A1" w:rsidRDefault="003132A1">
      <w:r>
        <w:continuationSeparator/>
      </w:r>
    </w:p>
  </w:footnote>
  <w:footnote w:type="continuationNotice" w:id="1">
    <w:p w14:paraId="6AB68122" w14:textId="77777777" w:rsidR="003132A1" w:rsidRDefault="003132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8AD5" w14:textId="77777777" w:rsidR="003132A1" w:rsidRDefault="003132A1">
    <w:pPr>
      <w:jc w:val="center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CC42" w14:textId="77777777" w:rsidR="003132A1" w:rsidRPr="006A320D" w:rsidRDefault="003132A1" w:rsidP="00021A7F">
    <w:pPr>
      <w:rPr>
        <w:color w:val="000000" w:themeColor="text1"/>
      </w:rPr>
    </w:pPr>
    <w:r w:rsidRPr="006A320D">
      <w:rPr>
        <w:noProof/>
        <w:color w:val="000000" w:themeColor="text1"/>
      </w:rPr>
      <w:drawing>
        <wp:inline distT="0" distB="0" distL="0" distR="0" wp14:anchorId="6DFD41EB" wp14:editId="27D6D71F">
          <wp:extent cx="2343150" cy="533400"/>
          <wp:effectExtent l="19050" t="0" r="0" b="0"/>
          <wp:docPr id="1" name="Picture 1" descr="The Treasury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reasury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997"/>
    <w:multiLevelType w:val="multilevel"/>
    <w:tmpl w:val="B1D6DB5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B610280"/>
    <w:multiLevelType w:val="hybridMultilevel"/>
    <w:tmpl w:val="800A5E84"/>
    <w:lvl w:ilvl="0" w:tplc="68E6AE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A348AE"/>
    <w:rsid w:val="00007F60"/>
    <w:rsid w:val="00010558"/>
    <w:rsid w:val="00013C16"/>
    <w:rsid w:val="00021A7F"/>
    <w:rsid w:val="00041147"/>
    <w:rsid w:val="00043D9A"/>
    <w:rsid w:val="00070A45"/>
    <w:rsid w:val="00073C56"/>
    <w:rsid w:val="000C3D77"/>
    <w:rsid w:val="000D2875"/>
    <w:rsid w:val="000D6586"/>
    <w:rsid w:val="000E24B2"/>
    <w:rsid w:val="000E70A5"/>
    <w:rsid w:val="000F34C0"/>
    <w:rsid w:val="00125467"/>
    <w:rsid w:val="00131443"/>
    <w:rsid w:val="0017234E"/>
    <w:rsid w:val="00187181"/>
    <w:rsid w:val="001C4BE7"/>
    <w:rsid w:val="001E2CE8"/>
    <w:rsid w:val="001F4A93"/>
    <w:rsid w:val="001F5439"/>
    <w:rsid w:val="00223454"/>
    <w:rsid w:val="002554F2"/>
    <w:rsid w:val="00262AB1"/>
    <w:rsid w:val="0027509D"/>
    <w:rsid w:val="00293EEB"/>
    <w:rsid w:val="002B4ACE"/>
    <w:rsid w:val="002B692A"/>
    <w:rsid w:val="002C19A4"/>
    <w:rsid w:val="002F767C"/>
    <w:rsid w:val="0030039D"/>
    <w:rsid w:val="00307BDE"/>
    <w:rsid w:val="003132A1"/>
    <w:rsid w:val="00324E98"/>
    <w:rsid w:val="0032558D"/>
    <w:rsid w:val="00337317"/>
    <w:rsid w:val="00375CB3"/>
    <w:rsid w:val="00397633"/>
    <w:rsid w:val="003B030F"/>
    <w:rsid w:val="003B362A"/>
    <w:rsid w:val="003C2986"/>
    <w:rsid w:val="003C5AEB"/>
    <w:rsid w:val="003D5455"/>
    <w:rsid w:val="003E7B0D"/>
    <w:rsid w:val="00436CCC"/>
    <w:rsid w:val="00437881"/>
    <w:rsid w:val="00444ADC"/>
    <w:rsid w:val="0047079C"/>
    <w:rsid w:val="00485E79"/>
    <w:rsid w:val="004939FD"/>
    <w:rsid w:val="004A4B59"/>
    <w:rsid w:val="004C56E1"/>
    <w:rsid w:val="004D59F6"/>
    <w:rsid w:val="004F67D1"/>
    <w:rsid w:val="005152EA"/>
    <w:rsid w:val="00521D21"/>
    <w:rsid w:val="00524342"/>
    <w:rsid w:val="00534EBB"/>
    <w:rsid w:val="005367E2"/>
    <w:rsid w:val="0058454C"/>
    <w:rsid w:val="00585D8B"/>
    <w:rsid w:val="00587A4B"/>
    <w:rsid w:val="005A0A05"/>
    <w:rsid w:val="005C203F"/>
    <w:rsid w:val="005E3827"/>
    <w:rsid w:val="005F01D5"/>
    <w:rsid w:val="005F6F02"/>
    <w:rsid w:val="006516C8"/>
    <w:rsid w:val="00654E84"/>
    <w:rsid w:val="00661EEB"/>
    <w:rsid w:val="0066694D"/>
    <w:rsid w:val="006A1A29"/>
    <w:rsid w:val="006A320D"/>
    <w:rsid w:val="006A446E"/>
    <w:rsid w:val="006B3F4D"/>
    <w:rsid w:val="006B6899"/>
    <w:rsid w:val="006F2190"/>
    <w:rsid w:val="006F6A6C"/>
    <w:rsid w:val="007232C5"/>
    <w:rsid w:val="007B3E04"/>
    <w:rsid w:val="007D3F7E"/>
    <w:rsid w:val="007F1C54"/>
    <w:rsid w:val="00857F46"/>
    <w:rsid w:val="00876314"/>
    <w:rsid w:val="00876394"/>
    <w:rsid w:val="008906FC"/>
    <w:rsid w:val="008926E3"/>
    <w:rsid w:val="008A536B"/>
    <w:rsid w:val="008B4802"/>
    <w:rsid w:val="008D2172"/>
    <w:rsid w:val="008D374C"/>
    <w:rsid w:val="008F59FD"/>
    <w:rsid w:val="0092186E"/>
    <w:rsid w:val="00931D7D"/>
    <w:rsid w:val="00945F85"/>
    <w:rsid w:val="00974D2A"/>
    <w:rsid w:val="0098490B"/>
    <w:rsid w:val="009855A6"/>
    <w:rsid w:val="009855B2"/>
    <w:rsid w:val="00996D4A"/>
    <w:rsid w:val="009B31E0"/>
    <w:rsid w:val="009B3F58"/>
    <w:rsid w:val="009C326D"/>
    <w:rsid w:val="009C78A3"/>
    <w:rsid w:val="00A23E22"/>
    <w:rsid w:val="00A24156"/>
    <w:rsid w:val="00A348AE"/>
    <w:rsid w:val="00A36BF2"/>
    <w:rsid w:val="00A52C9D"/>
    <w:rsid w:val="00A65A97"/>
    <w:rsid w:val="00A77CF9"/>
    <w:rsid w:val="00A924F0"/>
    <w:rsid w:val="00AD1B05"/>
    <w:rsid w:val="00AD44A4"/>
    <w:rsid w:val="00AD592E"/>
    <w:rsid w:val="00B112A0"/>
    <w:rsid w:val="00B13D47"/>
    <w:rsid w:val="00B23273"/>
    <w:rsid w:val="00B27593"/>
    <w:rsid w:val="00B8256A"/>
    <w:rsid w:val="00B876C0"/>
    <w:rsid w:val="00BB63D0"/>
    <w:rsid w:val="00BB6913"/>
    <w:rsid w:val="00BD0052"/>
    <w:rsid w:val="00C02F67"/>
    <w:rsid w:val="00C052E7"/>
    <w:rsid w:val="00C105DB"/>
    <w:rsid w:val="00C439FA"/>
    <w:rsid w:val="00C52ADC"/>
    <w:rsid w:val="00C70976"/>
    <w:rsid w:val="00C8731A"/>
    <w:rsid w:val="00CA030C"/>
    <w:rsid w:val="00CC3A6E"/>
    <w:rsid w:val="00CE011C"/>
    <w:rsid w:val="00D16A3E"/>
    <w:rsid w:val="00D23521"/>
    <w:rsid w:val="00D3488E"/>
    <w:rsid w:val="00D815F8"/>
    <w:rsid w:val="00DA54C5"/>
    <w:rsid w:val="00DC76B2"/>
    <w:rsid w:val="00DF2648"/>
    <w:rsid w:val="00E03D31"/>
    <w:rsid w:val="00E2012A"/>
    <w:rsid w:val="00E217CF"/>
    <w:rsid w:val="00E24259"/>
    <w:rsid w:val="00E51C9D"/>
    <w:rsid w:val="00E87489"/>
    <w:rsid w:val="00E90177"/>
    <w:rsid w:val="00E97234"/>
    <w:rsid w:val="00EA485C"/>
    <w:rsid w:val="00EB0AF0"/>
    <w:rsid w:val="00EC2661"/>
    <w:rsid w:val="00EC5544"/>
    <w:rsid w:val="00EE380D"/>
    <w:rsid w:val="00F36FE7"/>
    <w:rsid w:val="00F37C20"/>
    <w:rsid w:val="00F42B14"/>
    <w:rsid w:val="00F43C4E"/>
    <w:rsid w:val="00F4510D"/>
    <w:rsid w:val="00F5164B"/>
    <w:rsid w:val="00F52C35"/>
    <w:rsid w:val="00F54758"/>
    <w:rsid w:val="00F652B2"/>
    <w:rsid w:val="00F8055D"/>
    <w:rsid w:val="00F917DF"/>
    <w:rsid w:val="00F91BBB"/>
    <w:rsid w:val="00F928B2"/>
    <w:rsid w:val="00F93FA4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EC7EA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MainHeading">
    <w:name w:val="Chart Main Heading"/>
    <w:basedOn w:val="Normal"/>
    <w:next w:val="Normal"/>
    <w:rsid w:val="006A1A29"/>
    <w:pPr>
      <w:spacing w:after="0"/>
      <w:jc w:val="center"/>
    </w:pPr>
    <w:rPr>
      <w:b/>
      <w:caps/>
    </w:rPr>
  </w:style>
  <w:style w:type="paragraph" w:customStyle="1" w:styleId="ChartSecondHeading">
    <w:name w:val="Chart Second Heading"/>
    <w:basedOn w:val="Normal"/>
    <w:next w:val="Normal"/>
    <w:rsid w:val="006A1A29"/>
    <w:pPr>
      <w:spacing w:after="0"/>
      <w:jc w:val="center"/>
    </w:pPr>
    <w:rPr>
      <w:b/>
    </w:rPr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D59F6"/>
    <w:rPr>
      <w:rFonts w:asciiTheme="minorHAnsi" w:hAnsiTheme="minorHAnsi"/>
      <w:b w:val="0"/>
      <w:color w:val="FFFFFF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D59F6"/>
    <w:rPr>
      <w:rFonts w:asciiTheme="minorHAnsi" w:hAnsiTheme="minorHAnsi"/>
      <w:b w:val="0"/>
      <w:color w:val="FFFFFF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Header">
    <w:name w:val="DLM Security Header"/>
    <w:link w:val="DLMSecurityHead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HeaderChar">
    <w:name w:val="DLM Security Header Char"/>
    <w:basedOn w:val="DefaultParagraphFont"/>
    <w:link w:val="DLMSecurity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DLMSecurityFooter">
    <w:name w:val="DLM Security Footer"/>
    <w:link w:val="DLMSecurityFoot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DLMSecurityFooterChar">
    <w:name w:val="DLM Security Footer Char"/>
    <w:basedOn w:val="DefaultParagraphFont"/>
    <w:link w:val="DLMSecurityFooter"/>
    <w:rsid w:val="002B692A"/>
    <w:rPr>
      <w:rFonts w:ascii="Calibri" w:hAnsi="Calibri"/>
      <w:b/>
      <w:cap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A348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LightGrid-Accent2">
    <w:name w:val="Light Grid Accent 2"/>
    <w:basedOn w:val="TableNormal"/>
    <w:uiPriority w:val="62"/>
    <w:rsid w:val="00945F85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CD0920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TableText">
    <w:name w:val="TableText"/>
    <w:basedOn w:val="Normal"/>
    <w:qFormat/>
    <w:rsid w:val="00945F85"/>
    <w:pPr>
      <w:spacing w:before="120" w:after="120"/>
    </w:pPr>
    <w:rPr>
      <w:rFonts w:ascii="Arial" w:eastAsiaTheme="majorEastAsia" w:hAnsi="Arial" w:cs="Arial"/>
      <w:bCs/>
      <w:sz w:val="20"/>
      <w:lang w:eastAsia="en-US"/>
    </w:rPr>
  </w:style>
  <w:style w:type="paragraph" w:customStyle="1" w:styleId="BodyText1">
    <w:name w:val="Body Text1"/>
    <w:basedOn w:val="Normal"/>
    <w:qFormat/>
    <w:rsid w:val="00945F85"/>
    <w:pPr>
      <w:spacing w:after="200" w:line="260" w:lineRule="exact"/>
    </w:pPr>
    <w:rPr>
      <w:rFonts w:ascii="Arial" w:hAnsi="Arial"/>
      <w:szCs w:val="24"/>
      <w:lang w:eastAsia="en-US"/>
    </w:rPr>
  </w:style>
  <w:style w:type="character" w:styleId="CommentReference">
    <w:name w:val="annotation reference"/>
    <w:basedOn w:val="DefaultParagraphFont"/>
    <w:unhideWhenUsed/>
    <w:rsid w:val="00F37C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37C2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7C2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7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7C20"/>
    <w:rPr>
      <w:rFonts w:ascii="Calibri" w:hAnsi="Calibr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34EBB"/>
    <w:rPr>
      <w:color w:val="605E5C"/>
      <w:shd w:val="clear" w:color="auto" w:fill="E1DFDD"/>
    </w:rPr>
  </w:style>
  <w:style w:type="paragraph" w:customStyle="1" w:styleId="Bullet">
    <w:name w:val="Bullet"/>
    <w:basedOn w:val="Normal"/>
    <w:link w:val="BulletChar"/>
    <w:rsid w:val="00AD1B05"/>
    <w:pPr>
      <w:numPr>
        <w:numId w:val="2"/>
      </w:numPr>
      <w:spacing w:before="240" w:after="0" w:line="300" w:lineRule="exact"/>
    </w:pPr>
    <w:rPr>
      <w:rFonts w:asciiTheme="minorHAnsi" w:hAnsiTheme="minorHAnsi" w:cstheme="minorHAnsi"/>
    </w:rPr>
  </w:style>
  <w:style w:type="character" w:customStyle="1" w:styleId="BulletChar">
    <w:name w:val="Bullet Char"/>
    <w:basedOn w:val="DefaultParagraphFont"/>
    <w:link w:val="Bullet"/>
    <w:rsid w:val="00AD1B05"/>
    <w:rPr>
      <w:rFonts w:asciiTheme="minorHAnsi" w:hAnsiTheme="minorHAnsi" w:cstheme="minorHAnsi"/>
      <w:sz w:val="22"/>
    </w:rPr>
  </w:style>
  <w:style w:type="paragraph" w:customStyle="1" w:styleId="Dash">
    <w:name w:val="Dash"/>
    <w:basedOn w:val="Normal"/>
    <w:link w:val="DashChar"/>
    <w:rsid w:val="00AD1B05"/>
    <w:pPr>
      <w:numPr>
        <w:ilvl w:val="1"/>
        <w:numId w:val="2"/>
      </w:numPr>
      <w:spacing w:before="240" w:after="0" w:line="300" w:lineRule="exact"/>
    </w:pPr>
    <w:rPr>
      <w:rFonts w:asciiTheme="minorHAnsi" w:hAnsiTheme="minorHAnsi" w:cstheme="minorHAnsi"/>
    </w:rPr>
  </w:style>
  <w:style w:type="character" w:customStyle="1" w:styleId="DashChar">
    <w:name w:val="Dash Char"/>
    <w:basedOn w:val="DefaultParagraphFont"/>
    <w:link w:val="Dash"/>
    <w:rsid w:val="00AD1B05"/>
    <w:rPr>
      <w:rFonts w:asciiTheme="minorHAnsi" w:hAnsiTheme="minorHAnsi" w:cstheme="minorHAnsi"/>
      <w:sz w:val="22"/>
    </w:rPr>
  </w:style>
  <w:style w:type="paragraph" w:customStyle="1" w:styleId="DoubleDot">
    <w:name w:val="Double Dot"/>
    <w:basedOn w:val="Normal"/>
    <w:link w:val="DoubleDotChar"/>
    <w:rsid w:val="00AD1B05"/>
    <w:pPr>
      <w:numPr>
        <w:ilvl w:val="2"/>
        <w:numId w:val="2"/>
      </w:numPr>
      <w:spacing w:before="240" w:after="0" w:line="300" w:lineRule="exact"/>
    </w:pPr>
    <w:rPr>
      <w:rFonts w:asciiTheme="minorHAnsi" w:hAnsiTheme="minorHAnsi" w:cstheme="minorHAnsi"/>
    </w:rPr>
  </w:style>
  <w:style w:type="character" w:customStyle="1" w:styleId="DoubleDotChar">
    <w:name w:val="Double Dot Char"/>
    <w:basedOn w:val="DefaultParagraphFont"/>
    <w:link w:val="DoubleDot"/>
    <w:rsid w:val="00AD1B05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1" ma:contentTypeDescription="Create a new document." ma:contentTypeScope="" ma:versionID="59e167facbd9e776d6599421bbce5fe9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77a0628d3abd3daff5cf9c84b73c7fc9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b7a547-5880-464f-83f8-cefe583c3af4" ContentTypeId="0x01010079842B7BE5DD8E409B7EECD6B050253D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DOCID-322795542-10833</_dlc_DocId>
    <_dlc_DocIdUrl xmlns="4195ad5f-cdf2-4c4a-8d9b-b7944a108e98">
      <Url>https://pmc01.sharepoint.com/sites/CRMOBPR/_layouts/15/DocIdRedir.aspx?ID=DOCID-322795542-10833</Url>
      <Description>DOCID-322795542-10833</Description>
    </_dlc_DocIdUrl>
  </documentManagement>
</p:properties>
</file>

<file path=customXml/itemProps1.xml><?xml version="1.0" encoding="utf-8"?>
<ds:datastoreItem xmlns:ds="http://schemas.openxmlformats.org/officeDocument/2006/customXml" ds:itemID="{FF979A06-DCA8-44C2-A9EA-BA6F9F450246}"/>
</file>

<file path=customXml/itemProps2.xml><?xml version="1.0" encoding="utf-8"?>
<ds:datastoreItem xmlns:ds="http://schemas.openxmlformats.org/officeDocument/2006/customXml" ds:itemID="{1A1E63CC-7225-4A70-B2D2-45CF54B3ED49}"/>
</file>

<file path=customXml/itemProps3.xml><?xml version="1.0" encoding="utf-8"?>
<ds:datastoreItem xmlns:ds="http://schemas.openxmlformats.org/officeDocument/2006/customXml" ds:itemID="{007ECC79-D8C6-48DC-8171-894C321B43BE}"/>
</file>

<file path=customXml/itemProps4.xml><?xml version="1.0" encoding="utf-8"?>
<ds:datastoreItem xmlns:ds="http://schemas.openxmlformats.org/officeDocument/2006/customXml" ds:itemID="{AB69D9E8-044E-40BC-8005-C119DBB2BF21}"/>
</file>

<file path=customXml/itemProps5.xml><?xml version="1.0" encoding="utf-8"?>
<ds:datastoreItem xmlns:ds="http://schemas.openxmlformats.org/officeDocument/2006/customXml" ds:itemID="{B33CFBB8-0223-461D-AC92-C143643BD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2022-03-10T05:33:00Z</dcterms:created>
  <dcterms:modified xsi:type="dcterms:W3CDTF">2022-03-10T05:34:00Z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eDocument_x0020_Type">
    <vt:lpwstr>181;#Regulation Impact Statement|3aebfa41-609f-4053-89bf-d50c80b1e781</vt:lpwstr>
  </property>
  <property fmtid="{D5CDD505-2E9C-101B-9397-08002B2CF9AE}" pid="4" name="eTheme/Activity/Document Type">
    <vt:lpwstr>1243;#Regulation Impact Statement|f5cf2f0d-27b0-4138-94bc-fac9ef4d752c</vt:lpwstr>
  </property>
  <property fmtid="{D5CDD505-2E9C-101B-9397-08002B2CF9AE}" pid="5" name="ContentTypeId">
    <vt:lpwstr>0x0101009CA239676470E04B809DDC4E24CF2322</vt:lpwstr>
  </property>
  <property fmtid="{D5CDD505-2E9C-101B-9397-08002B2CF9AE}" pid="6" name="Stakeholders">
    <vt:lpwstr/>
  </property>
  <property fmtid="{D5CDD505-2E9C-101B-9397-08002B2CF9AE}" pid="7" name="Input">
    <vt:lpwstr/>
  </property>
  <property fmtid="{D5CDD505-2E9C-101B-9397-08002B2CF9AE}" pid="8" name="SecurityClassification">
    <vt:lpwstr>For Official Use Only</vt:lpwstr>
  </property>
  <property fmtid="{D5CDD505-2E9C-101B-9397-08002B2CF9AE}" pid="9" name="TSYRecordClass">
    <vt:lpwstr>6;#TSY RA-9241 - Retain as national archives|f92f0150-6021-43b5-a30c-415e02490674</vt:lpwstr>
  </property>
  <property fmtid="{D5CDD505-2E9C-101B-9397-08002B2CF9AE}" pid="10" name="eTheme">
    <vt:lpwstr>31;#Taxation|e53aff8a-4a1a-4486-a4fc-f40489d68897</vt:lpwstr>
  </property>
  <property fmtid="{D5CDD505-2E9C-101B-9397-08002B2CF9AE}" pid="11" name="ceb8c4f4647046198a38a633d14483c1">
    <vt:lpwstr>Taxation|e53aff8a-4a1a-4486-a4fc-f40489d68897</vt:lpwstr>
  </property>
  <property fmtid="{D5CDD505-2E9C-101B-9397-08002B2CF9AE}" pid="12" name="aec7340661804c61a5c6d3d18e9a3b44">
    <vt:lpwstr>Concessions and Incentives|c24da2db-3fe1-444a-b3fe-9f822f716029</vt:lpwstr>
  </property>
  <property fmtid="{D5CDD505-2E9C-101B-9397-08002B2CF9AE}" pid="13" name="International Forum">
    <vt:lpwstr/>
  </property>
  <property fmtid="{D5CDD505-2E9C-101B-9397-08002B2CF9AE}" pid="14" name="_dlc_DocIdItemGuid">
    <vt:lpwstr>f9f617f0-11e1-4f80-afae-9f0e1d6aa00a</vt:lpwstr>
  </property>
  <property fmtid="{D5CDD505-2E9C-101B-9397-08002B2CF9AE}" pid="15" name="n0adeebb38644e3a8c7de3f8fea0418e">
    <vt:lpwstr>Regulation Impact Statement|3aebfa41-609f-4053-89bf-d50c80b1e781</vt:lpwstr>
  </property>
  <property fmtid="{D5CDD505-2E9C-101B-9397-08002B2CF9AE}" pid="16" name="DLMSecurityClassification">
    <vt:lpwstr/>
  </property>
  <property fmtid="{D5CDD505-2E9C-101B-9397-08002B2CF9AE}" pid="17" name="eTheme/Topic">
    <vt:lpwstr>1138;#Concessions and Incentives|f404a4fa-1caf-40c4-8e39-70e5c4c99675</vt:lpwstr>
  </property>
  <property fmtid="{D5CDD505-2E9C-101B-9397-08002B2CF9AE}" pid="18" name="n5b5f1cefb2e4f15823921d1c3115a95">
    <vt:lpwstr>Policy Development|3c21fa22-a311-4c7a-a8b0-1d9dee90bb01</vt:lpwstr>
  </property>
  <property fmtid="{D5CDD505-2E9C-101B-9397-08002B2CF9AE}" pid="19" name="eTopic">
    <vt:lpwstr>373;#Concessions and Incentives|c24da2db-3fe1-444a-b3fe-9f822f716029</vt:lpwstr>
  </property>
  <property fmtid="{D5CDD505-2E9C-101B-9397-08002B2CF9AE}" pid="20" name="Sub-topics">
    <vt:lpwstr>1262;#Patent box|1570b0e9-96eb-450e-9439-57597750ff86</vt:lpwstr>
  </property>
  <property fmtid="{D5CDD505-2E9C-101B-9397-08002B2CF9AE}" pid="21" name="WorkingDocStatus">
    <vt:lpwstr/>
  </property>
  <property fmtid="{D5CDD505-2E9C-101B-9397-08002B2CF9AE}" pid="22" name="Sector">
    <vt:lpwstr/>
  </property>
  <property fmtid="{D5CDD505-2E9C-101B-9397-08002B2CF9AE}" pid="23" name="eActivity">
    <vt:lpwstr>74;#Policy Development|3c21fa22-a311-4c7a-a8b0-1d9dee90bb01</vt:lpwstr>
  </property>
  <property fmtid="{D5CDD505-2E9C-101B-9397-08002B2CF9AE}" pid="24" name="eDocument Type">
    <vt:lpwstr>181;#Regulation Impact Statement|3aebfa41-609f-4053-89bf-d50c80b1e781</vt:lpwstr>
  </property>
</Properties>
</file>