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219" w:rsidRDefault="00BA77C3">
      <w:pPr>
        <w:pStyle w:val="BodyText"/>
        <w:rPr>
          <w:rFonts w:ascii="Times New Roman"/>
          <w:sz w:val="20"/>
        </w:rPr>
      </w:pPr>
      <w:r>
        <w:rPr>
          <w:noProof/>
        </w:rPr>
        <w:drawing>
          <wp:anchor distT="0" distB="0" distL="0" distR="0" simplePos="0" relativeHeight="251656704" behindDoc="1" locked="0" layoutInCell="1" allowOverlap="1">
            <wp:simplePos x="0" y="0"/>
            <wp:positionH relativeFrom="page">
              <wp:posOffset>0</wp:posOffset>
            </wp:positionH>
            <wp:positionV relativeFrom="page">
              <wp:posOffset>452563</wp:posOffset>
            </wp:positionV>
            <wp:extent cx="7560563" cy="1023981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60563" cy="10239817"/>
                    </a:xfrm>
                    <a:prstGeom prst="rect">
                      <a:avLst/>
                    </a:prstGeom>
                  </pic:spPr>
                </pic:pic>
              </a:graphicData>
            </a:graphic>
          </wp:anchor>
        </w:drawing>
      </w:r>
    </w:p>
    <w:p w:rsidR="006E0219" w:rsidRDefault="006E0219">
      <w:pPr>
        <w:pStyle w:val="BodyText"/>
        <w:rPr>
          <w:rFonts w:ascii="Times New Roman"/>
          <w:sz w:val="20"/>
        </w:rPr>
      </w:pPr>
    </w:p>
    <w:p w:rsidR="006E0219" w:rsidRDefault="006E0219">
      <w:pPr>
        <w:pStyle w:val="BodyText"/>
        <w:rPr>
          <w:rFonts w:ascii="Times New Roman"/>
          <w:sz w:val="20"/>
        </w:rPr>
      </w:pPr>
    </w:p>
    <w:p w:rsidR="006E0219" w:rsidRDefault="006E0219">
      <w:pPr>
        <w:pStyle w:val="BodyText"/>
        <w:rPr>
          <w:rFonts w:ascii="Times New Roman"/>
        </w:rPr>
      </w:pPr>
    </w:p>
    <w:p w:rsidR="006E0219" w:rsidRDefault="00BA77C3">
      <w:pPr>
        <w:pStyle w:val="BodyText"/>
        <w:ind w:left="180"/>
      </w:pPr>
      <w:r>
        <w:t>23 February 2022</w:t>
      </w:r>
    </w:p>
    <w:p w:rsidR="006E0219" w:rsidRDefault="006E0219">
      <w:pPr>
        <w:pStyle w:val="BodyText"/>
        <w:rPr>
          <w:sz w:val="21"/>
        </w:rPr>
      </w:pPr>
    </w:p>
    <w:p w:rsidR="006E0219" w:rsidRDefault="00BA77C3">
      <w:pPr>
        <w:pStyle w:val="BodyText"/>
        <w:ind w:left="180"/>
        <w:jc w:val="both"/>
      </w:pPr>
      <w:r>
        <w:t>OBPR ID: 25048</w:t>
      </w:r>
    </w:p>
    <w:p w:rsidR="006E0219" w:rsidRDefault="006E0219">
      <w:pPr>
        <w:pStyle w:val="BodyText"/>
        <w:spacing w:before="9"/>
        <w:rPr>
          <w:sz w:val="20"/>
        </w:rPr>
      </w:pPr>
    </w:p>
    <w:p w:rsidR="006E0219" w:rsidRDefault="00BA77C3">
      <w:pPr>
        <w:pStyle w:val="BodyText"/>
        <w:ind w:left="180" w:right="6638"/>
      </w:pPr>
      <w:r>
        <w:t>Mr Jason Lange Executive</w:t>
      </w:r>
      <w:r>
        <w:rPr>
          <w:spacing w:val="6"/>
        </w:rPr>
        <w:t xml:space="preserve"> </w:t>
      </w:r>
      <w:r>
        <w:rPr>
          <w:spacing w:val="-3"/>
        </w:rPr>
        <w:t>Director</w:t>
      </w:r>
    </w:p>
    <w:p w:rsidR="006E0219" w:rsidRDefault="00BA77C3">
      <w:pPr>
        <w:pStyle w:val="BodyText"/>
        <w:spacing w:before="1"/>
        <w:ind w:left="180" w:right="4669"/>
      </w:pPr>
      <w:r>
        <w:t>Office of Best Practice Regulation Department of the Prime Minister and Cabinet 1 National</w:t>
      </w:r>
      <w:r>
        <w:rPr>
          <w:spacing w:val="-2"/>
        </w:rPr>
        <w:t xml:space="preserve"> </w:t>
      </w:r>
      <w:r>
        <w:t>Circuit</w:t>
      </w:r>
    </w:p>
    <w:p w:rsidR="006E0219" w:rsidRDefault="00BA77C3">
      <w:pPr>
        <w:pStyle w:val="BodyText"/>
        <w:spacing w:line="252" w:lineRule="exact"/>
        <w:ind w:left="180"/>
        <w:jc w:val="both"/>
      </w:pPr>
      <w:r>
        <w:t>BARTON ACT</w:t>
      </w:r>
      <w:r>
        <w:rPr>
          <w:spacing w:val="58"/>
        </w:rPr>
        <w:t xml:space="preserve"> </w:t>
      </w:r>
      <w:r>
        <w:t>2600</w:t>
      </w:r>
    </w:p>
    <w:p w:rsidR="006E0219" w:rsidRDefault="006E0219">
      <w:pPr>
        <w:pStyle w:val="BodyText"/>
      </w:pPr>
    </w:p>
    <w:p w:rsidR="006E0219" w:rsidRDefault="00BA77C3">
      <w:pPr>
        <w:pStyle w:val="BodyText"/>
        <w:ind w:left="180"/>
      </w:pPr>
      <w:r>
        <w:t xml:space="preserve">Email: </w:t>
      </w:r>
      <w:hyperlink r:id="rId8">
        <w:r>
          <w:t>helpdesk-obpr@pmc.gov.au</w:t>
        </w:r>
      </w:hyperlink>
    </w:p>
    <w:p w:rsidR="006E0219" w:rsidRDefault="006E0219">
      <w:pPr>
        <w:pStyle w:val="BodyText"/>
        <w:rPr>
          <w:sz w:val="24"/>
        </w:rPr>
      </w:pPr>
    </w:p>
    <w:p w:rsidR="006E0219" w:rsidRDefault="006E0219">
      <w:pPr>
        <w:pStyle w:val="BodyText"/>
        <w:rPr>
          <w:sz w:val="24"/>
        </w:rPr>
      </w:pPr>
    </w:p>
    <w:p w:rsidR="006E0219" w:rsidRDefault="00BA77C3">
      <w:pPr>
        <w:pStyle w:val="BodyText"/>
        <w:spacing w:before="182"/>
        <w:ind w:left="180"/>
      </w:pPr>
      <w:r>
        <w:t>Dear Mr Lange,</w:t>
      </w:r>
    </w:p>
    <w:p w:rsidR="006E0219" w:rsidRDefault="006E0219">
      <w:pPr>
        <w:pStyle w:val="BodyText"/>
        <w:spacing w:before="9"/>
        <w:rPr>
          <w:sz w:val="20"/>
        </w:rPr>
      </w:pPr>
    </w:p>
    <w:p w:rsidR="006E0219" w:rsidRDefault="00BA77C3">
      <w:pPr>
        <w:pStyle w:val="Heading1"/>
        <w:ind w:right="115"/>
      </w:pPr>
      <w:r>
        <w:t>CERTIFICATION OF APRA’S REVIEW: REVIEW OF OFFSHORE REINSURERS AND PRUDENTIAL STANDARD LPS 117 CAPITAL ADEQUACY: ASSET CONCENTRATION RISK CHARGE (LPS 117)</w:t>
      </w:r>
    </w:p>
    <w:p w:rsidR="006E0219" w:rsidRDefault="006E0219">
      <w:pPr>
        <w:pStyle w:val="BodyText"/>
        <w:spacing w:before="10"/>
        <w:rPr>
          <w:b/>
          <w:sz w:val="20"/>
        </w:rPr>
      </w:pPr>
    </w:p>
    <w:p w:rsidR="006E0219" w:rsidRDefault="00BA77C3">
      <w:pPr>
        <w:ind w:left="180" w:right="114"/>
        <w:jc w:val="both"/>
      </w:pPr>
      <w:r>
        <w:t xml:space="preserve">I am writing to certify that APRA’s development of its review of offshore reinsurers and </w:t>
      </w:r>
      <w:r>
        <w:rPr>
          <w:i/>
        </w:rPr>
        <w:t>Prudential</w:t>
      </w:r>
      <w:r>
        <w:rPr>
          <w:i/>
          <w:spacing w:val="-5"/>
        </w:rPr>
        <w:t xml:space="preserve"> </w:t>
      </w:r>
      <w:r>
        <w:rPr>
          <w:i/>
        </w:rPr>
        <w:t>Standard</w:t>
      </w:r>
      <w:r>
        <w:rPr>
          <w:i/>
          <w:spacing w:val="-5"/>
        </w:rPr>
        <w:t xml:space="preserve"> </w:t>
      </w:r>
      <w:r>
        <w:rPr>
          <w:i/>
        </w:rPr>
        <w:t>LPS</w:t>
      </w:r>
      <w:r>
        <w:rPr>
          <w:i/>
          <w:spacing w:val="-7"/>
        </w:rPr>
        <w:t xml:space="preserve"> </w:t>
      </w:r>
      <w:r>
        <w:rPr>
          <w:i/>
        </w:rPr>
        <w:t>117</w:t>
      </w:r>
      <w:r>
        <w:rPr>
          <w:i/>
          <w:spacing w:val="-5"/>
        </w:rPr>
        <w:t xml:space="preserve"> </w:t>
      </w:r>
      <w:r>
        <w:rPr>
          <w:i/>
        </w:rPr>
        <w:t>Capital</w:t>
      </w:r>
      <w:r>
        <w:rPr>
          <w:i/>
          <w:spacing w:val="-4"/>
        </w:rPr>
        <w:t xml:space="preserve"> </w:t>
      </w:r>
      <w:r>
        <w:rPr>
          <w:i/>
        </w:rPr>
        <w:t>Adequacy:</w:t>
      </w:r>
      <w:r>
        <w:rPr>
          <w:i/>
          <w:spacing w:val="-7"/>
        </w:rPr>
        <w:t xml:space="preserve"> </w:t>
      </w:r>
      <w:r>
        <w:rPr>
          <w:i/>
        </w:rPr>
        <w:t>Asset</w:t>
      </w:r>
      <w:r>
        <w:rPr>
          <w:i/>
          <w:spacing w:val="-4"/>
        </w:rPr>
        <w:t xml:space="preserve"> </w:t>
      </w:r>
      <w:r>
        <w:rPr>
          <w:i/>
        </w:rPr>
        <w:t>Concentration</w:t>
      </w:r>
      <w:r>
        <w:rPr>
          <w:i/>
          <w:spacing w:val="-5"/>
        </w:rPr>
        <w:t xml:space="preserve"> </w:t>
      </w:r>
      <w:r>
        <w:rPr>
          <w:i/>
        </w:rPr>
        <w:t>Risk</w:t>
      </w:r>
      <w:r>
        <w:rPr>
          <w:i/>
          <w:spacing w:val="-4"/>
        </w:rPr>
        <w:t xml:space="preserve"> </w:t>
      </w:r>
      <w:r>
        <w:rPr>
          <w:i/>
        </w:rPr>
        <w:t>Charge</w:t>
      </w:r>
      <w:r>
        <w:rPr>
          <w:i/>
          <w:spacing w:val="-7"/>
        </w:rPr>
        <w:t xml:space="preserve"> </w:t>
      </w:r>
      <w:r>
        <w:t>(LPS</w:t>
      </w:r>
      <w:r>
        <w:rPr>
          <w:spacing w:val="-4"/>
        </w:rPr>
        <w:t xml:space="preserve"> </w:t>
      </w:r>
      <w:r>
        <w:t>117) involved a process and analysis equivalent to a final Regulation Impact Stateme</w:t>
      </w:r>
      <w:r>
        <w:t>nt</w:t>
      </w:r>
      <w:r>
        <w:rPr>
          <w:spacing w:val="-20"/>
        </w:rPr>
        <w:t xml:space="preserve"> </w:t>
      </w:r>
      <w:r>
        <w:t>(RIS).</w:t>
      </w:r>
    </w:p>
    <w:p w:rsidR="006E0219" w:rsidRDefault="006E0219">
      <w:pPr>
        <w:pStyle w:val="BodyText"/>
        <w:spacing w:before="9"/>
        <w:rPr>
          <w:sz w:val="20"/>
        </w:rPr>
      </w:pPr>
    </w:p>
    <w:p w:rsidR="006E0219" w:rsidRDefault="00BA77C3">
      <w:pPr>
        <w:pStyle w:val="BodyText"/>
        <w:ind w:left="180" w:right="115"/>
        <w:jc w:val="both"/>
      </w:pPr>
      <w:r>
        <w:t>I certify that the review has adequately addressed all seven RIS questions. The attached document sets out how APRA has addressed these questions.</w:t>
      </w:r>
    </w:p>
    <w:p w:rsidR="006E0219" w:rsidRDefault="006E0219">
      <w:pPr>
        <w:pStyle w:val="BodyText"/>
        <w:rPr>
          <w:sz w:val="21"/>
        </w:rPr>
      </w:pPr>
    </w:p>
    <w:p w:rsidR="006E0219" w:rsidRDefault="00BA77C3">
      <w:pPr>
        <w:pStyle w:val="BodyText"/>
        <w:ind w:left="180" w:right="114"/>
        <w:jc w:val="both"/>
      </w:pPr>
      <w:r>
        <w:t>As set out in the attachment, APRA considered a number of policy options in developing LPS</w:t>
      </w:r>
      <w:r>
        <w:rPr>
          <w:spacing w:val="-1"/>
        </w:rPr>
        <w:t xml:space="preserve"> </w:t>
      </w:r>
      <w:r>
        <w:t>117</w:t>
      </w:r>
      <w:r>
        <w:rPr>
          <w:spacing w:val="-3"/>
        </w:rPr>
        <w:t xml:space="preserve"> </w:t>
      </w:r>
      <w:r>
        <w:t>reforms.</w:t>
      </w:r>
      <w:r>
        <w:rPr>
          <w:spacing w:val="-6"/>
        </w:rPr>
        <w:t xml:space="preserve"> </w:t>
      </w:r>
      <w:r>
        <w:t>These</w:t>
      </w:r>
      <w:r>
        <w:rPr>
          <w:spacing w:val="-5"/>
        </w:rPr>
        <w:t xml:space="preserve"> </w:t>
      </w:r>
      <w:r>
        <w:t>ranged</w:t>
      </w:r>
      <w:r>
        <w:rPr>
          <w:spacing w:val="-6"/>
        </w:rPr>
        <w:t xml:space="preserve"> </w:t>
      </w:r>
      <w:r>
        <w:t>from</w:t>
      </w:r>
      <w:r>
        <w:rPr>
          <w:spacing w:val="-5"/>
        </w:rPr>
        <w:t xml:space="preserve"> </w:t>
      </w:r>
      <w:r>
        <w:t>no</w:t>
      </w:r>
      <w:r>
        <w:rPr>
          <w:spacing w:val="-3"/>
        </w:rPr>
        <w:t xml:space="preserve"> </w:t>
      </w:r>
      <w:r>
        <w:t>change</w:t>
      </w:r>
      <w:r>
        <w:rPr>
          <w:spacing w:val="-5"/>
        </w:rPr>
        <w:t xml:space="preserve"> </w:t>
      </w:r>
      <w:r>
        <w:t>to</w:t>
      </w:r>
      <w:r>
        <w:rPr>
          <w:spacing w:val="-3"/>
        </w:rPr>
        <w:t xml:space="preserve"> </w:t>
      </w:r>
      <w:r>
        <w:t>LPS</w:t>
      </w:r>
      <w:r>
        <w:rPr>
          <w:spacing w:val="-3"/>
        </w:rPr>
        <w:t xml:space="preserve"> </w:t>
      </w:r>
      <w:r>
        <w:t>117</w:t>
      </w:r>
      <w:r>
        <w:rPr>
          <w:spacing w:val="-3"/>
        </w:rPr>
        <w:t xml:space="preserve"> </w:t>
      </w:r>
      <w:r>
        <w:t>to</w:t>
      </w:r>
      <w:r>
        <w:rPr>
          <w:spacing w:val="-3"/>
        </w:rPr>
        <w:t xml:space="preserve"> </w:t>
      </w:r>
      <w:r>
        <w:t>options</w:t>
      </w:r>
      <w:r>
        <w:rPr>
          <w:spacing w:val="-2"/>
        </w:rPr>
        <w:t xml:space="preserve"> </w:t>
      </w:r>
      <w:r>
        <w:t>that</w:t>
      </w:r>
      <w:r>
        <w:rPr>
          <w:spacing w:val="-2"/>
        </w:rPr>
        <w:t xml:space="preserve"> </w:t>
      </w:r>
      <w:r>
        <w:t>would</w:t>
      </w:r>
      <w:r>
        <w:rPr>
          <w:spacing w:val="-3"/>
        </w:rPr>
        <w:t xml:space="preserve"> </w:t>
      </w:r>
      <w:r>
        <w:t>strengthen APRA’s</w:t>
      </w:r>
      <w:r>
        <w:rPr>
          <w:spacing w:val="-8"/>
        </w:rPr>
        <w:t xml:space="preserve"> </w:t>
      </w:r>
      <w:r>
        <w:t>prudential</w:t>
      </w:r>
      <w:r>
        <w:rPr>
          <w:spacing w:val="-8"/>
        </w:rPr>
        <w:t xml:space="preserve"> </w:t>
      </w:r>
      <w:r>
        <w:t>oversight</w:t>
      </w:r>
      <w:r>
        <w:rPr>
          <w:spacing w:val="-6"/>
        </w:rPr>
        <w:t xml:space="preserve"> </w:t>
      </w:r>
      <w:r>
        <w:t>of</w:t>
      </w:r>
      <w:r>
        <w:rPr>
          <w:spacing w:val="-8"/>
        </w:rPr>
        <w:t xml:space="preserve"> </w:t>
      </w:r>
      <w:r>
        <w:t>the</w:t>
      </w:r>
      <w:r>
        <w:rPr>
          <w:spacing w:val="-10"/>
        </w:rPr>
        <w:t xml:space="preserve"> </w:t>
      </w:r>
      <w:r>
        <w:t>life</w:t>
      </w:r>
      <w:r>
        <w:rPr>
          <w:spacing w:val="-10"/>
        </w:rPr>
        <w:t xml:space="preserve"> </w:t>
      </w:r>
      <w:r>
        <w:t>insurance</w:t>
      </w:r>
      <w:r>
        <w:rPr>
          <w:spacing w:val="-10"/>
        </w:rPr>
        <w:t xml:space="preserve"> </w:t>
      </w:r>
      <w:r>
        <w:t>industry,</w:t>
      </w:r>
      <w:r>
        <w:rPr>
          <w:spacing w:val="-8"/>
        </w:rPr>
        <w:t xml:space="preserve"> </w:t>
      </w:r>
      <w:r>
        <w:t>enhance</w:t>
      </w:r>
      <w:r>
        <w:rPr>
          <w:spacing w:val="-10"/>
        </w:rPr>
        <w:t xml:space="preserve"> </w:t>
      </w:r>
      <w:r>
        <w:t>the</w:t>
      </w:r>
      <w:r>
        <w:rPr>
          <w:spacing w:val="-10"/>
        </w:rPr>
        <w:t xml:space="preserve"> </w:t>
      </w:r>
      <w:r>
        <w:t>capital</w:t>
      </w:r>
      <w:r>
        <w:rPr>
          <w:spacing w:val="-8"/>
        </w:rPr>
        <w:t xml:space="preserve"> </w:t>
      </w:r>
      <w:r>
        <w:t>framework</w:t>
      </w:r>
      <w:r>
        <w:rPr>
          <w:spacing w:val="-5"/>
        </w:rPr>
        <w:t xml:space="preserve"> </w:t>
      </w:r>
      <w:r>
        <w:t>and clarify existing expectations. In developing the revised LPS 117, APRA also consi</w:t>
      </w:r>
      <w:r>
        <w:t>dered alternative options for specific amendments, many of which were suggested by stakeholders during consultation. These are discussed in APRA’s April 2021 response paper (see attached).</w:t>
      </w:r>
    </w:p>
    <w:p w:rsidR="006E0219" w:rsidRDefault="006E0219">
      <w:pPr>
        <w:pStyle w:val="BodyText"/>
        <w:spacing w:before="10"/>
        <w:rPr>
          <w:sz w:val="20"/>
        </w:rPr>
      </w:pPr>
    </w:p>
    <w:p w:rsidR="006E0219" w:rsidRDefault="00BA77C3">
      <w:pPr>
        <w:pStyle w:val="BodyText"/>
        <w:ind w:left="180" w:right="113"/>
        <w:jc w:val="both"/>
      </w:pPr>
      <w:r>
        <w:t xml:space="preserve">Using the regulatory burden measurement framework, APRA estimates </w:t>
      </w:r>
      <w:r>
        <w:t xml:space="preserve">APRA-regulated life insurers (including reinsurers) will incur additional compliance costs from APRA’s LPS 117 reforms. In aggregate, APRA estimates these costs at around $323,671 per year, over the next 10 years (see Table 1 below). In APRA’s view, these </w:t>
      </w:r>
      <w:r>
        <w:t>costs will be more than offset by the benefits from APRA’s reforms, which seek to ensure policyholders remain protected and regulatory requirements are clear and fit for purpose.</w:t>
      </w:r>
    </w:p>
    <w:p w:rsidR="006E0219" w:rsidRDefault="006E0219">
      <w:pPr>
        <w:pStyle w:val="BodyText"/>
        <w:rPr>
          <w:sz w:val="21"/>
        </w:rPr>
      </w:pPr>
    </w:p>
    <w:p w:rsidR="006E0219" w:rsidRDefault="00BA77C3">
      <w:pPr>
        <w:ind w:left="180"/>
        <w:jc w:val="both"/>
        <w:rPr>
          <w:i/>
          <w:sz w:val="20"/>
        </w:rPr>
      </w:pPr>
      <w:r>
        <w:rPr>
          <w:i/>
          <w:sz w:val="20"/>
        </w:rPr>
        <w:t>Table 1: Estimate of regulatory burden</w:t>
      </w:r>
    </w:p>
    <w:p w:rsidR="006E0219" w:rsidRDefault="006E0219">
      <w:pPr>
        <w:pStyle w:val="BodyText"/>
        <w:spacing w:before="8" w:after="1"/>
        <w:rPr>
          <w:i/>
          <w:sz w:val="20"/>
        </w:rPr>
      </w:pPr>
    </w:p>
    <w:tbl>
      <w:tblPr>
        <w:tblW w:w="0" w:type="auto"/>
        <w:tblInd w:w="1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266"/>
        <w:gridCol w:w="1691"/>
        <w:gridCol w:w="1688"/>
        <w:gridCol w:w="1690"/>
        <w:gridCol w:w="1691"/>
      </w:tblGrid>
      <w:tr w:rsidR="006E0219">
        <w:trPr>
          <w:trHeight w:val="350"/>
        </w:trPr>
        <w:tc>
          <w:tcPr>
            <w:tcW w:w="9026" w:type="dxa"/>
            <w:gridSpan w:val="5"/>
            <w:shd w:val="clear" w:color="auto" w:fill="001F5F"/>
          </w:tcPr>
          <w:p w:rsidR="006E0219" w:rsidRDefault="00BA77C3">
            <w:pPr>
              <w:pStyle w:val="TableParagraph"/>
              <w:spacing w:before="62"/>
              <w:ind w:left="107"/>
              <w:rPr>
                <w:sz w:val="20"/>
              </w:rPr>
            </w:pPr>
            <w:r>
              <w:rPr>
                <w:color w:val="FFFFFF"/>
                <w:sz w:val="20"/>
              </w:rPr>
              <w:t>Annual regulatory costs, averaged ov</w:t>
            </w:r>
            <w:r>
              <w:rPr>
                <w:color w:val="FFFFFF"/>
                <w:sz w:val="20"/>
              </w:rPr>
              <w:t>er 10 years</w:t>
            </w:r>
          </w:p>
        </w:tc>
      </w:tr>
      <w:tr w:rsidR="006E0219">
        <w:trPr>
          <w:trHeight w:val="580"/>
        </w:trPr>
        <w:tc>
          <w:tcPr>
            <w:tcW w:w="2266" w:type="dxa"/>
            <w:shd w:val="clear" w:color="auto" w:fill="001F5F"/>
          </w:tcPr>
          <w:p w:rsidR="006E0219" w:rsidRDefault="00BA77C3">
            <w:pPr>
              <w:pStyle w:val="TableParagraph"/>
              <w:spacing w:before="62"/>
              <w:ind w:left="107"/>
              <w:rPr>
                <w:sz w:val="20"/>
              </w:rPr>
            </w:pPr>
            <w:r>
              <w:rPr>
                <w:color w:val="FFFFFF"/>
                <w:sz w:val="20"/>
              </w:rPr>
              <w:t>Change in costs</w:t>
            </w:r>
          </w:p>
        </w:tc>
        <w:tc>
          <w:tcPr>
            <w:tcW w:w="1691" w:type="dxa"/>
            <w:shd w:val="clear" w:color="auto" w:fill="D9D9D9"/>
          </w:tcPr>
          <w:p w:rsidR="006E0219" w:rsidRDefault="00BA77C3">
            <w:pPr>
              <w:pStyle w:val="TableParagraph"/>
              <w:spacing w:before="62"/>
              <w:ind w:left="107"/>
              <w:rPr>
                <w:sz w:val="20"/>
              </w:rPr>
            </w:pPr>
            <w:r>
              <w:rPr>
                <w:sz w:val="20"/>
              </w:rPr>
              <w:t>Business</w:t>
            </w:r>
          </w:p>
        </w:tc>
        <w:tc>
          <w:tcPr>
            <w:tcW w:w="1688" w:type="dxa"/>
            <w:shd w:val="clear" w:color="auto" w:fill="D9D9D9"/>
          </w:tcPr>
          <w:p w:rsidR="006E0219" w:rsidRDefault="00BA77C3">
            <w:pPr>
              <w:pStyle w:val="TableParagraph"/>
              <w:ind w:left="106"/>
              <w:rPr>
                <w:sz w:val="20"/>
              </w:rPr>
            </w:pPr>
            <w:r>
              <w:rPr>
                <w:sz w:val="20"/>
              </w:rPr>
              <w:t xml:space="preserve">Community </w:t>
            </w:r>
            <w:r>
              <w:rPr>
                <w:w w:val="95"/>
                <w:sz w:val="20"/>
              </w:rPr>
              <w:t>organisations</w:t>
            </w:r>
          </w:p>
        </w:tc>
        <w:tc>
          <w:tcPr>
            <w:tcW w:w="1690" w:type="dxa"/>
            <w:shd w:val="clear" w:color="auto" w:fill="D9D9D9"/>
          </w:tcPr>
          <w:p w:rsidR="006E0219" w:rsidRDefault="00BA77C3">
            <w:pPr>
              <w:pStyle w:val="TableParagraph"/>
              <w:spacing w:before="62"/>
              <w:ind w:left="106"/>
              <w:rPr>
                <w:sz w:val="20"/>
              </w:rPr>
            </w:pPr>
            <w:r>
              <w:rPr>
                <w:sz w:val="20"/>
              </w:rPr>
              <w:t>Individuals</w:t>
            </w:r>
          </w:p>
        </w:tc>
        <w:tc>
          <w:tcPr>
            <w:tcW w:w="1691" w:type="dxa"/>
            <w:shd w:val="clear" w:color="auto" w:fill="D9D9D9"/>
          </w:tcPr>
          <w:p w:rsidR="006E0219" w:rsidRDefault="00BA77C3">
            <w:pPr>
              <w:pStyle w:val="TableParagraph"/>
              <w:ind w:left="105" w:right="188"/>
              <w:rPr>
                <w:sz w:val="20"/>
              </w:rPr>
            </w:pPr>
            <w:r>
              <w:rPr>
                <w:sz w:val="20"/>
              </w:rPr>
              <w:t>Total change in costs</w:t>
            </w:r>
          </w:p>
        </w:tc>
      </w:tr>
      <w:tr w:rsidR="006E0219">
        <w:trPr>
          <w:trHeight w:val="349"/>
        </w:trPr>
        <w:tc>
          <w:tcPr>
            <w:tcW w:w="2266" w:type="dxa"/>
            <w:shd w:val="clear" w:color="auto" w:fill="001F5F"/>
          </w:tcPr>
          <w:p w:rsidR="006E0219" w:rsidRDefault="00BA77C3">
            <w:pPr>
              <w:pStyle w:val="TableParagraph"/>
              <w:ind w:left="107"/>
              <w:rPr>
                <w:sz w:val="20"/>
              </w:rPr>
            </w:pPr>
            <w:r>
              <w:rPr>
                <w:color w:val="FFFFFF"/>
                <w:sz w:val="20"/>
              </w:rPr>
              <w:t>Total, by sector</w:t>
            </w:r>
          </w:p>
        </w:tc>
        <w:tc>
          <w:tcPr>
            <w:tcW w:w="1691" w:type="dxa"/>
            <w:shd w:val="clear" w:color="auto" w:fill="D9D9D9"/>
          </w:tcPr>
          <w:p w:rsidR="006E0219" w:rsidRDefault="00BA77C3">
            <w:pPr>
              <w:pStyle w:val="TableParagraph"/>
              <w:ind w:left="107"/>
              <w:rPr>
                <w:sz w:val="20"/>
              </w:rPr>
            </w:pPr>
            <w:r>
              <w:rPr>
                <w:sz w:val="20"/>
              </w:rPr>
              <w:t>$323,671</w:t>
            </w:r>
          </w:p>
        </w:tc>
        <w:tc>
          <w:tcPr>
            <w:tcW w:w="1688" w:type="dxa"/>
            <w:shd w:val="clear" w:color="auto" w:fill="D9D9D9"/>
          </w:tcPr>
          <w:p w:rsidR="006E0219" w:rsidRDefault="00BA77C3">
            <w:pPr>
              <w:pStyle w:val="TableParagraph"/>
              <w:ind w:left="106"/>
              <w:rPr>
                <w:sz w:val="20"/>
              </w:rPr>
            </w:pPr>
            <w:r>
              <w:rPr>
                <w:sz w:val="20"/>
              </w:rPr>
              <w:t>Nil</w:t>
            </w:r>
          </w:p>
        </w:tc>
        <w:tc>
          <w:tcPr>
            <w:tcW w:w="1690" w:type="dxa"/>
            <w:shd w:val="clear" w:color="auto" w:fill="D9D9D9"/>
          </w:tcPr>
          <w:p w:rsidR="006E0219" w:rsidRDefault="00BA77C3">
            <w:pPr>
              <w:pStyle w:val="TableParagraph"/>
              <w:ind w:left="106"/>
              <w:rPr>
                <w:sz w:val="20"/>
              </w:rPr>
            </w:pPr>
            <w:r>
              <w:rPr>
                <w:sz w:val="20"/>
              </w:rPr>
              <w:t>Nil</w:t>
            </w:r>
          </w:p>
        </w:tc>
        <w:tc>
          <w:tcPr>
            <w:tcW w:w="1691" w:type="dxa"/>
            <w:shd w:val="clear" w:color="auto" w:fill="D9D9D9"/>
          </w:tcPr>
          <w:p w:rsidR="006E0219" w:rsidRDefault="00BA77C3">
            <w:pPr>
              <w:pStyle w:val="TableParagraph"/>
              <w:ind w:left="105"/>
              <w:rPr>
                <w:sz w:val="20"/>
              </w:rPr>
            </w:pPr>
            <w:r>
              <w:rPr>
                <w:sz w:val="20"/>
              </w:rPr>
              <w:t>$323,671</w:t>
            </w:r>
          </w:p>
        </w:tc>
      </w:tr>
    </w:tbl>
    <w:p w:rsidR="006E0219" w:rsidRDefault="006E0219">
      <w:pPr>
        <w:rPr>
          <w:sz w:val="20"/>
        </w:rPr>
        <w:sectPr w:rsidR="006E0219">
          <w:type w:val="continuous"/>
          <w:pgSz w:w="11910" w:h="16840"/>
          <w:pgMar w:top="1580" w:right="1320" w:bottom="280" w:left="1260" w:header="720" w:footer="720" w:gutter="0"/>
          <w:cols w:space="720"/>
        </w:sectPr>
      </w:pPr>
    </w:p>
    <w:p w:rsidR="006E0219" w:rsidRDefault="00BA77C3">
      <w:pPr>
        <w:spacing w:before="67"/>
        <w:ind w:left="180" w:right="35"/>
      </w:pPr>
      <w:r>
        <w:lastRenderedPageBreak/>
        <w:t xml:space="preserve">Accordingly, I am satisfied that the attached report now meets best practice consistent with the </w:t>
      </w:r>
      <w:r>
        <w:rPr>
          <w:i/>
        </w:rPr>
        <w:t>Australian Government Guide to Regulation</w:t>
      </w:r>
      <w:r>
        <w:t>.</w:t>
      </w:r>
    </w:p>
    <w:p w:rsidR="006E0219" w:rsidRDefault="006E0219">
      <w:pPr>
        <w:pStyle w:val="BodyText"/>
        <w:spacing w:before="11"/>
        <w:rPr>
          <w:sz w:val="20"/>
        </w:rPr>
      </w:pPr>
    </w:p>
    <w:p w:rsidR="006E0219" w:rsidRDefault="00BA77C3">
      <w:pPr>
        <w:pStyle w:val="BodyText"/>
        <w:ind w:left="180"/>
      </w:pPr>
      <w:r>
        <w:t>Yours sincerely</w:t>
      </w:r>
    </w:p>
    <w:p w:rsidR="006E0219" w:rsidRDefault="006E0219">
      <w:pPr>
        <w:pStyle w:val="BodyText"/>
        <w:spacing w:before="10"/>
        <w:rPr>
          <w:noProof/>
        </w:rPr>
      </w:pPr>
    </w:p>
    <w:p w:rsidR="00BA77C3" w:rsidRDefault="00BA77C3">
      <w:pPr>
        <w:pStyle w:val="BodyText"/>
        <w:spacing w:before="10"/>
        <w:rPr>
          <w:sz w:val="16"/>
        </w:rPr>
      </w:pPr>
      <w:bookmarkStart w:id="0" w:name="_GoBack"/>
      <w:bookmarkEnd w:id="0"/>
    </w:p>
    <w:p w:rsidR="006E0219" w:rsidRDefault="006E0219">
      <w:pPr>
        <w:pStyle w:val="BodyText"/>
        <w:rPr>
          <w:sz w:val="23"/>
        </w:rPr>
      </w:pPr>
    </w:p>
    <w:p w:rsidR="006E0219" w:rsidRDefault="00BA77C3">
      <w:pPr>
        <w:pStyle w:val="BodyText"/>
        <w:spacing w:line="468" w:lineRule="auto"/>
        <w:ind w:left="180" w:right="7833"/>
      </w:pPr>
      <w:r>
        <w:t>Helen Rowell Deputy Chair</w:t>
      </w:r>
    </w:p>
    <w:p w:rsidR="006E0219" w:rsidRDefault="006E0219">
      <w:pPr>
        <w:pStyle w:val="BodyText"/>
        <w:rPr>
          <w:sz w:val="24"/>
        </w:rPr>
      </w:pPr>
    </w:p>
    <w:p w:rsidR="006E0219" w:rsidRDefault="00BA77C3">
      <w:pPr>
        <w:pStyle w:val="Heading1"/>
        <w:spacing w:before="216"/>
        <w:jc w:val="left"/>
      </w:pPr>
      <w:r>
        <w:t>Attachments</w:t>
      </w:r>
    </w:p>
    <w:p w:rsidR="006E0219" w:rsidRDefault="006E0219">
      <w:pPr>
        <w:pStyle w:val="BodyText"/>
        <w:rPr>
          <w:b/>
          <w:sz w:val="21"/>
        </w:rPr>
      </w:pPr>
    </w:p>
    <w:p w:rsidR="006E0219" w:rsidRDefault="00BA77C3">
      <w:pPr>
        <w:pStyle w:val="BodyText"/>
        <w:ind w:left="180"/>
      </w:pPr>
      <w:r>
        <w:t>Attachment A: APRA’s Regulation Impact Analysis</w:t>
      </w:r>
    </w:p>
    <w:p w:rsidR="006E0219" w:rsidRDefault="006E0219">
      <w:pPr>
        <w:pStyle w:val="BodyText"/>
        <w:spacing w:before="9"/>
        <w:rPr>
          <w:sz w:val="20"/>
        </w:rPr>
      </w:pPr>
    </w:p>
    <w:p w:rsidR="006E0219" w:rsidRDefault="00BA77C3">
      <w:pPr>
        <w:pStyle w:val="BodyText"/>
        <w:ind w:left="180"/>
      </w:pPr>
      <w:r>
        <w:t>Attachment B: APRA Consultation Letter – Offshore reinsurers and the review of Prudential Standard LPS 117 Capital Adequacy: Asset Concentration Risk Charge, March 2019</w:t>
      </w:r>
    </w:p>
    <w:p w:rsidR="006E0219" w:rsidRDefault="006E0219">
      <w:pPr>
        <w:pStyle w:val="BodyText"/>
        <w:spacing w:before="10"/>
        <w:rPr>
          <w:sz w:val="20"/>
        </w:rPr>
      </w:pPr>
    </w:p>
    <w:p w:rsidR="006E0219" w:rsidRDefault="00BA77C3">
      <w:pPr>
        <w:pStyle w:val="BodyText"/>
        <w:spacing w:before="1"/>
        <w:ind w:left="180"/>
      </w:pPr>
      <w:r>
        <w:t xml:space="preserve">Attachment C: APRA Response to Submissions – Revisions to Prudential Standard LPS 117 </w:t>
      </w:r>
      <w:r>
        <w:t>Capital Adequacy: Asset Concentration Risk Charge, April 2021</w:t>
      </w:r>
    </w:p>
    <w:p w:rsidR="006E0219" w:rsidRDefault="006E0219">
      <w:pPr>
        <w:sectPr w:rsidR="006E0219">
          <w:footerReference w:type="default" r:id="rId9"/>
          <w:pgSz w:w="11910" w:h="16840"/>
          <w:pgMar w:top="1460" w:right="1320" w:bottom="740" w:left="1260" w:header="0" w:footer="556" w:gutter="0"/>
          <w:pgNumType w:start="2"/>
          <w:cols w:space="720"/>
        </w:sectPr>
      </w:pPr>
    </w:p>
    <w:p w:rsidR="006E0219" w:rsidRDefault="00BA77C3">
      <w:pPr>
        <w:pStyle w:val="Heading1"/>
        <w:spacing w:before="67"/>
      </w:pPr>
      <w:r>
        <w:lastRenderedPageBreak/>
        <w:t>ATTACHMENT A: APRA’S REGULATION IMPACT ANALYSIS</w:t>
      </w:r>
    </w:p>
    <w:p w:rsidR="006E0219" w:rsidRDefault="006E0219">
      <w:pPr>
        <w:pStyle w:val="BodyText"/>
        <w:rPr>
          <w:b/>
          <w:sz w:val="21"/>
        </w:rPr>
      </w:pPr>
    </w:p>
    <w:p w:rsidR="006E0219" w:rsidRDefault="00BA77C3">
      <w:pPr>
        <w:pStyle w:val="BodyText"/>
        <w:ind w:left="180" w:right="120"/>
        <w:jc w:val="both"/>
      </w:pPr>
      <w:r>
        <w:t>Consistent</w:t>
      </w:r>
      <w:r>
        <w:rPr>
          <w:spacing w:val="-6"/>
        </w:rPr>
        <w:t xml:space="preserve"> </w:t>
      </w:r>
      <w:r>
        <w:t>with</w:t>
      </w:r>
      <w:r>
        <w:rPr>
          <w:spacing w:val="-4"/>
        </w:rPr>
        <w:t xml:space="preserve"> </w:t>
      </w:r>
      <w:r>
        <w:t>the</w:t>
      </w:r>
      <w:r>
        <w:rPr>
          <w:spacing w:val="-8"/>
        </w:rPr>
        <w:t xml:space="preserve"> </w:t>
      </w:r>
      <w:r>
        <w:t>Australian</w:t>
      </w:r>
      <w:r>
        <w:rPr>
          <w:spacing w:val="-4"/>
        </w:rPr>
        <w:t xml:space="preserve"> </w:t>
      </w:r>
      <w:r>
        <w:t>Government</w:t>
      </w:r>
      <w:r>
        <w:rPr>
          <w:spacing w:val="-5"/>
        </w:rPr>
        <w:t xml:space="preserve"> </w:t>
      </w:r>
      <w:r>
        <w:t>Guide</w:t>
      </w:r>
      <w:r>
        <w:rPr>
          <w:spacing w:val="-10"/>
        </w:rPr>
        <w:t xml:space="preserve"> </w:t>
      </w:r>
      <w:r>
        <w:t>to</w:t>
      </w:r>
      <w:r>
        <w:rPr>
          <w:spacing w:val="-4"/>
        </w:rPr>
        <w:t xml:space="preserve"> </w:t>
      </w:r>
      <w:r>
        <w:t>Regulation,</w:t>
      </w:r>
      <w:r>
        <w:rPr>
          <w:spacing w:val="-4"/>
        </w:rPr>
        <w:t xml:space="preserve"> </w:t>
      </w:r>
      <w:r>
        <w:t>APRA</w:t>
      </w:r>
      <w:r>
        <w:rPr>
          <w:spacing w:val="-4"/>
        </w:rPr>
        <w:t xml:space="preserve"> </w:t>
      </w:r>
      <w:r>
        <w:t>has</w:t>
      </w:r>
      <w:r>
        <w:rPr>
          <w:spacing w:val="-8"/>
        </w:rPr>
        <w:t xml:space="preserve"> </w:t>
      </w:r>
      <w:r>
        <w:t>followed</w:t>
      </w:r>
      <w:r>
        <w:rPr>
          <w:spacing w:val="-5"/>
        </w:rPr>
        <w:t xml:space="preserve"> </w:t>
      </w:r>
      <w:r>
        <w:t>a</w:t>
      </w:r>
      <w:r>
        <w:rPr>
          <w:spacing w:val="-4"/>
        </w:rPr>
        <w:t xml:space="preserve"> </w:t>
      </w:r>
      <w:r>
        <w:t>similar process to that required for a Regulation Impact Statement (RIS). APRA’s evaluation of the impact of policy changes to LPS 117 is summarised</w:t>
      </w:r>
      <w:r>
        <w:rPr>
          <w:spacing w:val="-6"/>
        </w:rPr>
        <w:t xml:space="preserve"> </w:t>
      </w:r>
      <w:r>
        <w:t>below.</w:t>
      </w:r>
    </w:p>
    <w:p w:rsidR="006E0219" w:rsidRDefault="006E0219">
      <w:pPr>
        <w:pStyle w:val="BodyText"/>
        <w:spacing w:before="10"/>
        <w:rPr>
          <w:sz w:val="20"/>
        </w:rPr>
      </w:pPr>
    </w:p>
    <w:p w:rsidR="006E0219" w:rsidRDefault="00BA77C3">
      <w:pPr>
        <w:pStyle w:val="BodyText"/>
        <w:ind w:left="180" w:right="114"/>
        <w:jc w:val="both"/>
      </w:pPr>
      <w:r>
        <w:t>In its 2019 Consultation Letter, APRA set out the problem and why regulatory action was needed.</w:t>
      </w:r>
      <w:r>
        <w:rPr>
          <w:color w:val="585858"/>
          <w:position w:val="6"/>
          <w:sz w:val="12"/>
        </w:rPr>
        <w:t xml:space="preserve">1 </w:t>
      </w:r>
      <w:r>
        <w:t>AP</w:t>
      </w:r>
      <w:r>
        <w:t>RA observed an increased use of offshore reinsurers. If the use of offshore reinsurers continued to increase and no regulatory action was taken, APRA's ability to effectively supervise the Australian life insurance industry could be put at risk, threatenin</w:t>
      </w:r>
      <w:r>
        <w:t>g its ability</w:t>
      </w:r>
      <w:r>
        <w:rPr>
          <w:spacing w:val="-13"/>
        </w:rPr>
        <w:t xml:space="preserve"> </w:t>
      </w:r>
      <w:r>
        <w:t>to</w:t>
      </w:r>
      <w:r>
        <w:rPr>
          <w:spacing w:val="-11"/>
        </w:rPr>
        <w:t xml:space="preserve"> </w:t>
      </w:r>
      <w:r>
        <w:t>adequately</w:t>
      </w:r>
      <w:r>
        <w:rPr>
          <w:spacing w:val="-13"/>
        </w:rPr>
        <w:t xml:space="preserve"> </w:t>
      </w:r>
      <w:r>
        <w:t>protect</w:t>
      </w:r>
      <w:r>
        <w:rPr>
          <w:spacing w:val="-13"/>
        </w:rPr>
        <w:t xml:space="preserve"> </w:t>
      </w:r>
      <w:r>
        <w:t>policyholders.</w:t>
      </w:r>
      <w:r>
        <w:rPr>
          <w:spacing w:val="-8"/>
        </w:rPr>
        <w:t xml:space="preserve"> </w:t>
      </w:r>
      <w:r>
        <w:t>Regulatory</w:t>
      </w:r>
      <w:r>
        <w:rPr>
          <w:spacing w:val="-13"/>
        </w:rPr>
        <w:t xml:space="preserve"> </w:t>
      </w:r>
      <w:r>
        <w:t>action</w:t>
      </w:r>
      <w:r>
        <w:rPr>
          <w:spacing w:val="-12"/>
        </w:rPr>
        <w:t xml:space="preserve"> </w:t>
      </w:r>
      <w:r>
        <w:t>is</w:t>
      </w:r>
      <w:r>
        <w:rPr>
          <w:spacing w:val="-13"/>
        </w:rPr>
        <w:t xml:space="preserve"> </w:t>
      </w:r>
      <w:r>
        <w:t>needed</w:t>
      </w:r>
      <w:r>
        <w:rPr>
          <w:spacing w:val="-14"/>
        </w:rPr>
        <w:t xml:space="preserve"> </w:t>
      </w:r>
      <w:r>
        <w:t>to</w:t>
      </w:r>
      <w:r>
        <w:rPr>
          <w:spacing w:val="-14"/>
        </w:rPr>
        <w:t xml:space="preserve"> </w:t>
      </w:r>
      <w:r>
        <w:t>ensure</w:t>
      </w:r>
      <w:r>
        <w:rPr>
          <w:spacing w:val="-13"/>
        </w:rPr>
        <w:t xml:space="preserve"> </w:t>
      </w:r>
      <w:r>
        <w:t>that</w:t>
      </w:r>
      <w:r>
        <w:rPr>
          <w:spacing w:val="-12"/>
        </w:rPr>
        <w:t xml:space="preserve"> </w:t>
      </w:r>
      <w:r>
        <w:t>the</w:t>
      </w:r>
      <w:r>
        <w:rPr>
          <w:spacing w:val="-14"/>
        </w:rPr>
        <w:t xml:space="preserve"> </w:t>
      </w:r>
      <w:r>
        <w:t>risks associated with the increased use of offshore reinsurance are appropriately mitigated and managed.</w:t>
      </w:r>
    </w:p>
    <w:p w:rsidR="006E0219" w:rsidRDefault="006E0219">
      <w:pPr>
        <w:pStyle w:val="BodyText"/>
        <w:spacing w:before="10"/>
        <w:rPr>
          <w:sz w:val="20"/>
        </w:rPr>
      </w:pPr>
    </w:p>
    <w:p w:rsidR="006E0219" w:rsidRDefault="00BA77C3">
      <w:pPr>
        <w:pStyle w:val="BodyText"/>
        <w:ind w:left="180" w:right="115"/>
        <w:jc w:val="both"/>
      </w:pPr>
      <w:r>
        <w:t xml:space="preserve">APRA’s 2019 Consultation Letter also outlined other </w:t>
      </w:r>
      <w:r>
        <w:t>proposed technical amendments to LPS 117 aimed at enhancing the clarity of the standard, facilitating the use of risk mitigation techniques by life insurers and ensuring requirements in the standard remain adequate</w:t>
      </w:r>
      <w:r>
        <w:rPr>
          <w:spacing w:val="-41"/>
        </w:rPr>
        <w:t xml:space="preserve"> </w:t>
      </w:r>
      <w:r>
        <w:t>given market developments. These issues a</w:t>
      </w:r>
      <w:r>
        <w:t>nd revisions are collectively referred to below as ‘technical issues’ and ‘technical</w:t>
      </w:r>
      <w:r>
        <w:rPr>
          <w:spacing w:val="-3"/>
        </w:rPr>
        <w:t xml:space="preserve"> </w:t>
      </w:r>
      <w:r>
        <w:t>amendments’.</w:t>
      </w:r>
    </w:p>
    <w:p w:rsidR="006E0219" w:rsidRDefault="006E0219">
      <w:pPr>
        <w:pStyle w:val="BodyText"/>
        <w:spacing w:before="10"/>
        <w:rPr>
          <w:sz w:val="20"/>
        </w:rPr>
      </w:pPr>
    </w:p>
    <w:p w:rsidR="006E0219" w:rsidRDefault="00BA77C3">
      <w:pPr>
        <w:pStyle w:val="BodyText"/>
        <w:spacing w:before="1"/>
        <w:ind w:left="180" w:right="112"/>
        <w:jc w:val="both"/>
        <w:rPr>
          <w:sz w:val="12"/>
        </w:rPr>
      </w:pPr>
      <w:r>
        <w:t xml:space="preserve">APRA has undertaken </w:t>
      </w:r>
      <w:r>
        <w:rPr>
          <w:spacing w:val="-2"/>
        </w:rPr>
        <w:t xml:space="preserve">two </w:t>
      </w:r>
      <w:r>
        <w:t>rounds of public consultation in revising LPS 117. While the consultations were open to all interested stakeholders, submissions were received primarily from</w:t>
      </w:r>
      <w:r>
        <w:rPr>
          <w:spacing w:val="-9"/>
        </w:rPr>
        <w:t xml:space="preserve"> </w:t>
      </w:r>
      <w:r>
        <w:t>life</w:t>
      </w:r>
      <w:r>
        <w:rPr>
          <w:spacing w:val="-9"/>
        </w:rPr>
        <w:t xml:space="preserve"> </w:t>
      </w:r>
      <w:r>
        <w:t>companies</w:t>
      </w:r>
      <w:r>
        <w:rPr>
          <w:spacing w:val="-9"/>
        </w:rPr>
        <w:t xml:space="preserve"> </w:t>
      </w:r>
      <w:r>
        <w:t>during</w:t>
      </w:r>
      <w:r>
        <w:rPr>
          <w:spacing w:val="-7"/>
        </w:rPr>
        <w:t xml:space="preserve"> </w:t>
      </w:r>
      <w:r>
        <w:t>both</w:t>
      </w:r>
      <w:r>
        <w:rPr>
          <w:spacing w:val="-9"/>
        </w:rPr>
        <w:t xml:space="preserve"> </w:t>
      </w:r>
      <w:r>
        <w:t>consultations.</w:t>
      </w:r>
      <w:r>
        <w:rPr>
          <w:spacing w:val="-9"/>
        </w:rPr>
        <w:t xml:space="preserve"> </w:t>
      </w:r>
      <w:r>
        <w:t>As</w:t>
      </w:r>
      <w:r>
        <w:rPr>
          <w:spacing w:val="-11"/>
        </w:rPr>
        <w:t xml:space="preserve"> </w:t>
      </w:r>
      <w:r>
        <w:t>detailed</w:t>
      </w:r>
      <w:r>
        <w:rPr>
          <w:spacing w:val="-6"/>
        </w:rPr>
        <w:t xml:space="preserve"> </w:t>
      </w:r>
      <w:r>
        <w:t>in</w:t>
      </w:r>
      <w:r>
        <w:rPr>
          <w:spacing w:val="-9"/>
        </w:rPr>
        <w:t xml:space="preserve"> </w:t>
      </w:r>
      <w:r>
        <w:t>its</w:t>
      </w:r>
      <w:r>
        <w:rPr>
          <w:spacing w:val="-8"/>
        </w:rPr>
        <w:t xml:space="preserve"> </w:t>
      </w:r>
      <w:r>
        <w:t>2021</w:t>
      </w:r>
      <w:r>
        <w:rPr>
          <w:spacing w:val="-10"/>
        </w:rPr>
        <w:t xml:space="preserve"> </w:t>
      </w:r>
      <w:r>
        <w:t>Response</w:t>
      </w:r>
      <w:r>
        <w:rPr>
          <w:spacing w:val="-9"/>
        </w:rPr>
        <w:t xml:space="preserve"> </w:t>
      </w:r>
      <w:r>
        <w:t>Paper,</w:t>
      </w:r>
      <w:r>
        <w:rPr>
          <w:spacing w:val="-10"/>
        </w:rPr>
        <w:t xml:space="preserve"> </w:t>
      </w:r>
      <w:r>
        <w:t>APRA has</w:t>
      </w:r>
      <w:r>
        <w:rPr>
          <w:spacing w:val="-16"/>
        </w:rPr>
        <w:t xml:space="preserve"> </w:t>
      </w:r>
      <w:r>
        <w:t>conside</w:t>
      </w:r>
      <w:r>
        <w:t>red</w:t>
      </w:r>
      <w:r>
        <w:rPr>
          <w:spacing w:val="-18"/>
        </w:rPr>
        <w:t xml:space="preserve"> </w:t>
      </w:r>
      <w:r>
        <w:t>options</w:t>
      </w:r>
      <w:r>
        <w:rPr>
          <w:spacing w:val="-15"/>
        </w:rPr>
        <w:t xml:space="preserve"> </w:t>
      </w:r>
      <w:r>
        <w:t>presented</w:t>
      </w:r>
      <w:r>
        <w:rPr>
          <w:spacing w:val="-17"/>
        </w:rPr>
        <w:t xml:space="preserve"> </w:t>
      </w:r>
      <w:r>
        <w:t>by</w:t>
      </w:r>
      <w:r>
        <w:rPr>
          <w:spacing w:val="-18"/>
        </w:rPr>
        <w:t xml:space="preserve"> </w:t>
      </w:r>
      <w:r>
        <w:t>stakeholders</w:t>
      </w:r>
      <w:r>
        <w:rPr>
          <w:spacing w:val="-17"/>
        </w:rPr>
        <w:t xml:space="preserve"> </w:t>
      </w:r>
      <w:r>
        <w:t>as</w:t>
      </w:r>
      <w:r>
        <w:rPr>
          <w:spacing w:val="-15"/>
        </w:rPr>
        <w:t xml:space="preserve"> </w:t>
      </w:r>
      <w:r>
        <w:t>well</w:t>
      </w:r>
      <w:r>
        <w:rPr>
          <w:spacing w:val="-16"/>
        </w:rPr>
        <w:t xml:space="preserve"> </w:t>
      </w:r>
      <w:r>
        <w:t>as</w:t>
      </w:r>
      <w:r>
        <w:rPr>
          <w:spacing w:val="-13"/>
        </w:rPr>
        <w:t xml:space="preserve"> </w:t>
      </w:r>
      <w:r>
        <w:t>revised</w:t>
      </w:r>
      <w:r>
        <w:rPr>
          <w:spacing w:val="-15"/>
        </w:rPr>
        <w:t xml:space="preserve"> </w:t>
      </w:r>
      <w:r>
        <w:t>and</w:t>
      </w:r>
      <w:r>
        <w:rPr>
          <w:spacing w:val="-15"/>
        </w:rPr>
        <w:t xml:space="preserve"> </w:t>
      </w:r>
      <w:r>
        <w:t>clarified</w:t>
      </w:r>
      <w:r>
        <w:rPr>
          <w:spacing w:val="-15"/>
        </w:rPr>
        <w:t xml:space="preserve"> </w:t>
      </w:r>
      <w:r>
        <w:t>its</w:t>
      </w:r>
      <w:r>
        <w:rPr>
          <w:spacing w:val="-15"/>
        </w:rPr>
        <w:t xml:space="preserve"> </w:t>
      </w:r>
      <w:r>
        <w:t>proposed revisions to LPS 117 having considered</w:t>
      </w:r>
      <w:r>
        <w:rPr>
          <w:spacing w:val="-3"/>
        </w:rPr>
        <w:t xml:space="preserve"> </w:t>
      </w:r>
      <w:r>
        <w:t>feedback.</w:t>
      </w:r>
      <w:r>
        <w:rPr>
          <w:color w:val="585858"/>
          <w:position w:val="6"/>
          <w:sz w:val="12"/>
        </w:rPr>
        <w:t>2</w:t>
      </w:r>
    </w:p>
    <w:p w:rsidR="006E0219" w:rsidRDefault="006E0219">
      <w:pPr>
        <w:pStyle w:val="BodyText"/>
        <w:spacing w:before="9"/>
        <w:rPr>
          <w:sz w:val="20"/>
        </w:rPr>
      </w:pPr>
    </w:p>
    <w:p w:rsidR="006E0219" w:rsidRDefault="00BA77C3">
      <w:pPr>
        <w:pStyle w:val="Heading1"/>
        <w:spacing w:before="1"/>
      </w:pPr>
      <w:r>
        <w:t>Summary of policy options</w:t>
      </w:r>
    </w:p>
    <w:p w:rsidR="006E0219" w:rsidRDefault="00BA77C3">
      <w:pPr>
        <w:pStyle w:val="BodyText"/>
        <w:spacing w:before="119"/>
        <w:ind w:left="180" w:right="113"/>
        <w:jc w:val="both"/>
      </w:pPr>
      <w:r>
        <w:t>APRA considered three broad policy options for responding to prudential concerns arising from i</w:t>
      </w:r>
      <w:r>
        <w:t>ncreased use of offshore reinsurers and to technical issues with LPS 117. These policy options</w:t>
      </w:r>
      <w:r>
        <w:rPr>
          <w:spacing w:val="-4"/>
        </w:rPr>
        <w:t xml:space="preserve"> </w:t>
      </w:r>
      <w:r>
        <w:t>are</w:t>
      </w:r>
      <w:r>
        <w:rPr>
          <w:spacing w:val="-4"/>
        </w:rPr>
        <w:t xml:space="preserve"> </w:t>
      </w:r>
      <w:r>
        <w:t>set</w:t>
      </w:r>
      <w:r>
        <w:rPr>
          <w:spacing w:val="-2"/>
        </w:rPr>
        <w:t xml:space="preserve"> </w:t>
      </w:r>
      <w:r>
        <w:t>out</w:t>
      </w:r>
      <w:r>
        <w:rPr>
          <w:spacing w:val="-3"/>
        </w:rPr>
        <w:t xml:space="preserve"> </w:t>
      </w:r>
      <w:r>
        <w:t>in</w:t>
      </w:r>
      <w:r>
        <w:rPr>
          <w:spacing w:val="-6"/>
        </w:rPr>
        <w:t xml:space="preserve"> </w:t>
      </w:r>
      <w:r>
        <w:t>Table</w:t>
      </w:r>
      <w:r>
        <w:rPr>
          <w:spacing w:val="-3"/>
        </w:rPr>
        <w:t xml:space="preserve"> </w:t>
      </w:r>
      <w:r>
        <w:t>2</w:t>
      </w:r>
      <w:r>
        <w:rPr>
          <w:spacing w:val="-4"/>
        </w:rPr>
        <w:t xml:space="preserve"> </w:t>
      </w:r>
      <w:r>
        <w:t>below.</w:t>
      </w:r>
      <w:r>
        <w:rPr>
          <w:spacing w:val="-5"/>
        </w:rPr>
        <w:t xml:space="preserve"> </w:t>
      </w:r>
      <w:r>
        <w:t>Within</w:t>
      </w:r>
      <w:r>
        <w:rPr>
          <w:spacing w:val="-4"/>
        </w:rPr>
        <w:t xml:space="preserve"> </w:t>
      </w:r>
      <w:r>
        <w:t>option</w:t>
      </w:r>
      <w:r>
        <w:rPr>
          <w:spacing w:val="-3"/>
        </w:rPr>
        <w:t xml:space="preserve"> </w:t>
      </w:r>
      <w:r>
        <w:t>3</w:t>
      </w:r>
      <w:r>
        <w:rPr>
          <w:spacing w:val="-4"/>
        </w:rPr>
        <w:t xml:space="preserve"> </w:t>
      </w:r>
      <w:r>
        <w:t>(revise</w:t>
      </w:r>
      <w:r>
        <w:rPr>
          <w:spacing w:val="-4"/>
        </w:rPr>
        <w:t xml:space="preserve"> </w:t>
      </w:r>
      <w:r>
        <w:t>requirements),</w:t>
      </w:r>
      <w:r>
        <w:rPr>
          <w:spacing w:val="1"/>
        </w:rPr>
        <w:t xml:space="preserve"> </w:t>
      </w:r>
      <w:r>
        <w:t>APRA</w:t>
      </w:r>
      <w:r>
        <w:rPr>
          <w:spacing w:val="-4"/>
        </w:rPr>
        <w:t xml:space="preserve"> </w:t>
      </w:r>
      <w:r>
        <w:t>considered a range of specific approaches, including a number that were raised by stakeholders through the consultation</w:t>
      </w:r>
      <w:r>
        <w:rPr>
          <w:spacing w:val="-1"/>
        </w:rPr>
        <w:t xml:space="preserve"> </w:t>
      </w:r>
      <w:r>
        <w:t>process.</w:t>
      </w:r>
    </w:p>
    <w:p w:rsidR="006E0219" w:rsidRDefault="006E0219">
      <w:pPr>
        <w:pStyle w:val="BodyText"/>
        <w:spacing w:before="9"/>
        <w:rPr>
          <w:sz w:val="20"/>
        </w:rPr>
      </w:pPr>
    </w:p>
    <w:p w:rsidR="006E0219" w:rsidRDefault="00BA77C3">
      <w:pPr>
        <w:spacing w:before="1"/>
        <w:ind w:left="180"/>
        <w:jc w:val="both"/>
        <w:rPr>
          <w:i/>
          <w:sz w:val="20"/>
        </w:rPr>
      </w:pPr>
      <w:r>
        <w:rPr>
          <w:i/>
          <w:sz w:val="20"/>
        </w:rPr>
        <w:t>Table 2: Policy options</w:t>
      </w:r>
    </w:p>
    <w:p w:rsidR="006E0219" w:rsidRDefault="006E0219">
      <w:pPr>
        <w:pStyle w:val="BodyText"/>
        <w:spacing w:before="10"/>
        <w:rPr>
          <w:i/>
          <w:sz w:val="20"/>
        </w:rPr>
      </w:pPr>
    </w:p>
    <w:tbl>
      <w:tblPr>
        <w:tblW w:w="0" w:type="auto"/>
        <w:tblInd w:w="18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560"/>
        <w:gridCol w:w="7468"/>
      </w:tblGrid>
      <w:tr w:rsidR="006E0219">
        <w:trPr>
          <w:trHeight w:val="866"/>
        </w:trPr>
        <w:tc>
          <w:tcPr>
            <w:tcW w:w="1560" w:type="dxa"/>
            <w:tcBorders>
              <w:top w:val="nil"/>
              <w:left w:val="nil"/>
            </w:tcBorders>
            <w:shd w:val="clear" w:color="auto" w:fill="002069"/>
          </w:tcPr>
          <w:p w:rsidR="006E0219" w:rsidRDefault="006E0219">
            <w:pPr>
              <w:pStyle w:val="TableParagraph"/>
              <w:spacing w:before="5"/>
              <w:ind w:left="0"/>
              <w:rPr>
                <w:i/>
                <w:sz w:val="17"/>
              </w:rPr>
            </w:pPr>
          </w:p>
          <w:p w:rsidR="006E0219" w:rsidRDefault="00BA77C3">
            <w:pPr>
              <w:pStyle w:val="TableParagraph"/>
              <w:spacing w:before="0"/>
              <w:ind w:left="108" w:right="237"/>
              <w:rPr>
                <w:sz w:val="20"/>
              </w:rPr>
            </w:pPr>
            <w:r>
              <w:rPr>
                <w:color w:val="FFFFFF"/>
                <w:sz w:val="20"/>
              </w:rPr>
              <w:t>Option 1 - No revisions</w:t>
            </w:r>
          </w:p>
        </w:tc>
        <w:tc>
          <w:tcPr>
            <w:tcW w:w="7468" w:type="dxa"/>
            <w:tcBorders>
              <w:top w:val="nil"/>
              <w:right w:val="nil"/>
            </w:tcBorders>
            <w:shd w:val="clear" w:color="auto" w:fill="EAEBED"/>
          </w:tcPr>
          <w:p w:rsidR="006E0219" w:rsidRDefault="00BA77C3">
            <w:pPr>
              <w:pStyle w:val="TableParagraph"/>
              <w:spacing w:before="86"/>
              <w:ind w:right="137"/>
              <w:rPr>
                <w:sz w:val="20"/>
              </w:rPr>
            </w:pPr>
            <w:r>
              <w:rPr>
                <w:sz w:val="20"/>
              </w:rPr>
              <w:t>Make no revisions to prudential requirements nor provide additional guidance in response to either concerns regarding offshore reinsurers or technical issues with current requirements.</w:t>
            </w:r>
          </w:p>
        </w:tc>
      </w:tr>
      <w:tr w:rsidR="006E0219">
        <w:trPr>
          <w:trHeight w:val="865"/>
        </w:trPr>
        <w:tc>
          <w:tcPr>
            <w:tcW w:w="1560" w:type="dxa"/>
            <w:tcBorders>
              <w:left w:val="nil"/>
            </w:tcBorders>
            <w:shd w:val="clear" w:color="auto" w:fill="002069"/>
          </w:tcPr>
          <w:p w:rsidR="006E0219" w:rsidRDefault="00BA77C3">
            <w:pPr>
              <w:pStyle w:val="TableParagraph"/>
              <w:spacing w:before="86"/>
              <w:ind w:left="108" w:right="568"/>
              <w:jc w:val="both"/>
              <w:rPr>
                <w:sz w:val="20"/>
              </w:rPr>
            </w:pPr>
            <w:r>
              <w:rPr>
                <w:color w:val="FFFFFF"/>
                <w:sz w:val="20"/>
              </w:rPr>
              <w:t xml:space="preserve">Option 2 - </w:t>
            </w:r>
            <w:r>
              <w:rPr>
                <w:color w:val="FFFFFF"/>
                <w:w w:val="95"/>
                <w:sz w:val="20"/>
              </w:rPr>
              <w:t xml:space="preserve">Additional </w:t>
            </w:r>
            <w:r>
              <w:rPr>
                <w:color w:val="FFFFFF"/>
                <w:sz w:val="20"/>
              </w:rPr>
              <w:t>guidance</w:t>
            </w:r>
          </w:p>
        </w:tc>
        <w:tc>
          <w:tcPr>
            <w:tcW w:w="7468" w:type="dxa"/>
            <w:tcBorders>
              <w:right w:val="nil"/>
            </w:tcBorders>
            <w:shd w:val="clear" w:color="auto" w:fill="C1C7CE"/>
          </w:tcPr>
          <w:p w:rsidR="006E0219" w:rsidRDefault="00BA77C3">
            <w:pPr>
              <w:pStyle w:val="TableParagraph"/>
              <w:spacing w:before="86"/>
              <w:ind w:right="176"/>
              <w:rPr>
                <w:sz w:val="20"/>
              </w:rPr>
            </w:pPr>
            <w:r>
              <w:rPr>
                <w:sz w:val="20"/>
              </w:rPr>
              <w:t>Provide additional guidance in response</w:t>
            </w:r>
            <w:r>
              <w:rPr>
                <w:sz w:val="20"/>
              </w:rPr>
              <w:t xml:space="preserve"> to concerns regarding offshore reinsurers and technical issues with current requirements, but make no revisions to prudential requirements.</w:t>
            </w:r>
          </w:p>
        </w:tc>
      </w:tr>
      <w:tr w:rsidR="006E0219">
        <w:trPr>
          <w:trHeight w:val="866"/>
        </w:trPr>
        <w:tc>
          <w:tcPr>
            <w:tcW w:w="1560" w:type="dxa"/>
            <w:tcBorders>
              <w:left w:val="nil"/>
              <w:bottom w:val="nil"/>
            </w:tcBorders>
            <w:shd w:val="clear" w:color="auto" w:fill="002069"/>
          </w:tcPr>
          <w:p w:rsidR="006E0219" w:rsidRDefault="00BA77C3">
            <w:pPr>
              <w:pStyle w:val="TableParagraph"/>
              <w:spacing w:before="86"/>
              <w:ind w:left="108" w:right="237"/>
              <w:rPr>
                <w:sz w:val="20"/>
              </w:rPr>
            </w:pPr>
            <w:r>
              <w:rPr>
                <w:color w:val="FFFFFF"/>
                <w:sz w:val="20"/>
              </w:rPr>
              <w:t xml:space="preserve">Option 3 - Revise </w:t>
            </w:r>
            <w:r>
              <w:rPr>
                <w:color w:val="FFFFFF"/>
                <w:w w:val="95"/>
                <w:sz w:val="20"/>
              </w:rPr>
              <w:t>requirements</w:t>
            </w:r>
          </w:p>
        </w:tc>
        <w:tc>
          <w:tcPr>
            <w:tcW w:w="7468" w:type="dxa"/>
            <w:tcBorders>
              <w:bottom w:val="nil"/>
              <w:right w:val="nil"/>
            </w:tcBorders>
            <w:shd w:val="clear" w:color="auto" w:fill="EAEBED"/>
          </w:tcPr>
          <w:p w:rsidR="006E0219" w:rsidRDefault="00BA77C3">
            <w:pPr>
              <w:pStyle w:val="TableParagraph"/>
              <w:spacing w:before="86"/>
              <w:ind w:right="137"/>
              <w:rPr>
                <w:sz w:val="20"/>
              </w:rPr>
            </w:pPr>
            <w:r>
              <w:rPr>
                <w:sz w:val="20"/>
              </w:rPr>
              <w:t>Revise prudential requirements in response to concerns regarding offshore reinsurers and to address technical issues with current requirements.</w:t>
            </w:r>
          </w:p>
        </w:tc>
      </w:tr>
    </w:tbl>
    <w:p w:rsidR="006E0219" w:rsidRDefault="006E0219">
      <w:pPr>
        <w:pStyle w:val="BodyText"/>
        <w:rPr>
          <w:i/>
          <w:sz w:val="20"/>
        </w:rPr>
      </w:pPr>
    </w:p>
    <w:p w:rsidR="006E0219" w:rsidRDefault="006E0219">
      <w:pPr>
        <w:pStyle w:val="BodyText"/>
        <w:rPr>
          <w:i/>
          <w:sz w:val="20"/>
        </w:rPr>
      </w:pPr>
    </w:p>
    <w:p w:rsidR="006E0219" w:rsidRDefault="006E0219">
      <w:pPr>
        <w:pStyle w:val="BodyText"/>
        <w:rPr>
          <w:i/>
          <w:sz w:val="20"/>
        </w:rPr>
      </w:pPr>
    </w:p>
    <w:p w:rsidR="006E0219" w:rsidRDefault="00BA77C3">
      <w:pPr>
        <w:pStyle w:val="BodyText"/>
        <w:spacing w:before="1"/>
        <w:rPr>
          <w:i/>
          <w:sz w:val="20"/>
        </w:rPr>
      </w:pPr>
      <w:r>
        <w:pict>
          <v:shape id="_x0000_s2050" style="position:absolute;margin-left:1in;margin-top:13.85pt;width:144.05pt;height:.1pt;z-index:-251657728;mso-wrap-distance-left:0;mso-wrap-distance-right:0;mso-position-horizontal-relative:page" coordorigin="1440,277" coordsize="2881,0" path="m1440,277r2881,e" filled="f" strokeweight=".21169mm">
            <v:path arrowok="t"/>
            <w10:wrap type="topAndBottom" anchorx="page"/>
          </v:shape>
        </w:pict>
      </w:r>
    </w:p>
    <w:p w:rsidR="006E0219" w:rsidRDefault="00BA77C3">
      <w:pPr>
        <w:spacing w:before="60"/>
        <w:ind w:left="180" w:right="35"/>
        <w:rPr>
          <w:sz w:val="18"/>
        </w:rPr>
      </w:pPr>
      <w:r>
        <w:rPr>
          <w:color w:val="585858"/>
          <w:position w:val="6"/>
          <w:sz w:val="12"/>
        </w:rPr>
        <w:t xml:space="preserve">1 </w:t>
      </w:r>
      <w:r>
        <w:rPr>
          <w:sz w:val="18"/>
        </w:rPr>
        <w:t xml:space="preserve">APRA, </w:t>
      </w:r>
      <w:r>
        <w:rPr>
          <w:i/>
          <w:sz w:val="18"/>
        </w:rPr>
        <w:t xml:space="preserve">Offshore reinsurers and the review of Prudential Standard LPS 117 Capital Adequacy: Asset </w:t>
      </w:r>
      <w:r>
        <w:rPr>
          <w:i/>
          <w:sz w:val="18"/>
        </w:rPr>
        <w:t xml:space="preserve">Concentration Risk Charge </w:t>
      </w:r>
      <w:r>
        <w:rPr>
          <w:sz w:val="18"/>
        </w:rPr>
        <w:t>(Consultation Letter, 4 March 2019)</w:t>
      </w:r>
    </w:p>
    <w:p w:rsidR="006E0219" w:rsidRDefault="006E0219">
      <w:pPr>
        <w:pStyle w:val="BodyText"/>
        <w:spacing w:before="5"/>
        <w:rPr>
          <w:sz w:val="20"/>
        </w:rPr>
      </w:pPr>
    </w:p>
    <w:p w:rsidR="006E0219" w:rsidRDefault="00BA77C3">
      <w:pPr>
        <w:ind w:left="180"/>
        <w:rPr>
          <w:i/>
          <w:sz w:val="18"/>
        </w:rPr>
      </w:pPr>
      <w:r>
        <w:rPr>
          <w:color w:val="585858"/>
          <w:position w:val="6"/>
          <w:sz w:val="12"/>
        </w:rPr>
        <w:t xml:space="preserve">2 </w:t>
      </w:r>
      <w:r>
        <w:rPr>
          <w:sz w:val="18"/>
        </w:rPr>
        <w:t xml:space="preserve">APRA, </w:t>
      </w:r>
      <w:r>
        <w:rPr>
          <w:i/>
          <w:sz w:val="18"/>
        </w:rPr>
        <w:t>Revisions to Prudential Standard LPS 117 Capital Adequacy: Asset Concentration Risk Charge</w:t>
      </w:r>
    </w:p>
    <w:p w:rsidR="006E0219" w:rsidRDefault="00BA77C3">
      <w:pPr>
        <w:spacing w:before="2"/>
        <w:ind w:left="180"/>
        <w:jc w:val="both"/>
        <w:rPr>
          <w:sz w:val="18"/>
        </w:rPr>
      </w:pPr>
      <w:r>
        <w:rPr>
          <w:sz w:val="18"/>
        </w:rPr>
        <w:t>(Response Paper, 8 April 2021)</w:t>
      </w:r>
    </w:p>
    <w:p w:rsidR="006E0219" w:rsidRDefault="006E0219">
      <w:pPr>
        <w:jc w:val="both"/>
        <w:rPr>
          <w:sz w:val="18"/>
        </w:rPr>
        <w:sectPr w:rsidR="006E0219">
          <w:pgSz w:w="11910" w:h="16840"/>
          <w:pgMar w:top="1460" w:right="1320" w:bottom="740" w:left="1260" w:header="0" w:footer="556" w:gutter="0"/>
          <w:cols w:space="720"/>
        </w:sectPr>
      </w:pPr>
    </w:p>
    <w:p w:rsidR="006E0219" w:rsidRDefault="00BA77C3">
      <w:pPr>
        <w:pStyle w:val="BodyText"/>
        <w:spacing w:before="67"/>
        <w:ind w:left="180"/>
      </w:pPr>
      <w:r>
        <w:lastRenderedPageBreak/>
        <w:t>APRA’s analysis of the comparative costs and benefits of each option is set out below:</w:t>
      </w:r>
    </w:p>
    <w:p w:rsidR="006E0219" w:rsidRDefault="006E0219">
      <w:pPr>
        <w:pStyle w:val="BodyText"/>
        <w:rPr>
          <w:sz w:val="21"/>
        </w:rPr>
      </w:pPr>
    </w:p>
    <w:p w:rsidR="006E0219" w:rsidRDefault="00BA77C3">
      <w:pPr>
        <w:pStyle w:val="Heading1"/>
        <w:jc w:val="left"/>
      </w:pPr>
      <w:r>
        <w:rPr>
          <w:color w:val="001F5F"/>
        </w:rPr>
        <w:t>Option 1 – No revisions to prudential requirements and no additional guidance</w:t>
      </w:r>
    </w:p>
    <w:p w:rsidR="006E0219" w:rsidRDefault="00BA77C3">
      <w:pPr>
        <w:pStyle w:val="BodyText"/>
        <w:spacing w:before="119"/>
        <w:ind w:left="180" w:right="288"/>
      </w:pPr>
      <w:r>
        <w:t>Under Option 1, there would be no change to APRA’s existing prudential requirements and no additional guidance would be provided to industry to respond to APRA’s concerns regarding offshore reinsurers. If this option were adopted, it is likely that the use</w:t>
      </w:r>
      <w:r>
        <w:t xml:space="preserve"> of offshore reinsurance would continue to grow and the risks associated with this would not be appropriately managed or mitigated.</w:t>
      </w:r>
    </w:p>
    <w:p w:rsidR="006E0219" w:rsidRDefault="006E0219">
      <w:pPr>
        <w:pStyle w:val="BodyText"/>
        <w:spacing w:before="10"/>
        <w:rPr>
          <w:sz w:val="20"/>
        </w:rPr>
      </w:pPr>
    </w:p>
    <w:p w:rsidR="006E0219" w:rsidRDefault="00BA77C3">
      <w:pPr>
        <w:pStyle w:val="BodyText"/>
        <w:ind w:left="180" w:right="113"/>
        <w:jc w:val="both"/>
      </w:pPr>
      <w:r>
        <w:t>This option would not give rise to compliance costs associated with implementing revised requirements. However, taking no a</w:t>
      </w:r>
      <w:r>
        <w:t>ction to address prudential concerns regarding the increased use of offshore reinsurers would likely reduce APRA’s ability to fulfil its mandate to protect</w:t>
      </w:r>
      <w:r>
        <w:rPr>
          <w:spacing w:val="-6"/>
        </w:rPr>
        <w:t xml:space="preserve"> </w:t>
      </w:r>
      <w:r>
        <w:t>policyholders</w:t>
      </w:r>
      <w:r>
        <w:rPr>
          <w:spacing w:val="-8"/>
        </w:rPr>
        <w:t xml:space="preserve"> </w:t>
      </w:r>
      <w:r>
        <w:t>given</w:t>
      </w:r>
      <w:r>
        <w:rPr>
          <w:spacing w:val="-8"/>
        </w:rPr>
        <w:t xml:space="preserve"> </w:t>
      </w:r>
      <w:r>
        <w:t>it</w:t>
      </w:r>
      <w:r>
        <w:rPr>
          <w:spacing w:val="-7"/>
        </w:rPr>
        <w:t xml:space="preserve"> </w:t>
      </w:r>
      <w:r>
        <w:t>is</w:t>
      </w:r>
      <w:r>
        <w:rPr>
          <w:spacing w:val="-6"/>
        </w:rPr>
        <w:t xml:space="preserve"> </w:t>
      </w:r>
      <w:r>
        <w:t>not</w:t>
      </w:r>
      <w:r>
        <w:rPr>
          <w:spacing w:val="-6"/>
        </w:rPr>
        <w:t xml:space="preserve"> </w:t>
      </w:r>
      <w:r>
        <w:t>able</w:t>
      </w:r>
      <w:r>
        <w:rPr>
          <w:spacing w:val="-9"/>
        </w:rPr>
        <w:t xml:space="preserve"> </w:t>
      </w:r>
      <w:r>
        <w:t>to</w:t>
      </w:r>
      <w:r>
        <w:rPr>
          <w:spacing w:val="-7"/>
        </w:rPr>
        <w:t xml:space="preserve"> </w:t>
      </w:r>
      <w:r>
        <w:t>effectively</w:t>
      </w:r>
      <w:r>
        <w:rPr>
          <w:spacing w:val="-9"/>
        </w:rPr>
        <w:t xml:space="preserve"> </w:t>
      </w:r>
      <w:r>
        <w:t>supervise</w:t>
      </w:r>
      <w:r>
        <w:rPr>
          <w:spacing w:val="-6"/>
        </w:rPr>
        <w:t xml:space="preserve"> </w:t>
      </w:r>
      <w:r>
        <w:t>insurance</w:t>
      </w:r>
      <w:r>
        <w:rPr>
          <w:spacing w:val="-6"/>
        </w:rPr>
        <w:t xml:space="preserve"> </w:t>
      </w:r>
      <w:r>
        <w:t>risk</w:t>
      </w:r>
      <w:r>
        <w:rPr>
          <w:spacing w:val="-7"/>
        </w:rPr>
        <w:t xml:space="preserve"> </w:t>
      </w:r>
      <w:r>
        <w:t>which</w:t>
      </w:r>
      <w:r>
        <w:rPr>
          <w:spacing w:val="-6"/>
        </w:rPr>
        <w:t xml:space="preserve"> </w:t>
      </w:r>
      <w:r>
        <w:t>is</w:t>
      </w:r>
      <w:r>
        <w:rPr>
          <w:spacing w:val="-6"/>
        </w:rPr>
        <w:t xml:space="preserve"> </w:t>
      </w:r>
      <w:r>
        <w:t>placed with an o</w:t>
      </w:r>
      <w:r>
        <w:t>ffshore</w:t>
      </w:r>
      <w:r>
        <w:rPr>
          <w:spacing w:val="-3"/>
        </w:rPr>
        <w:t xml:space="preserve"> </w:t>
      </w:r>
      <w:r>
        <w:t>reinsurer.</w:t>
      </w:r>
    </w:p>
    <w:p w:rsidR="006E0219" w:rsidRDefault="006E0219">
      <w:pPr>
        <w:pStyle w:val="BodyText"/>
        <w:spacing w:before="11"/>
        <w:rPr>
          <w:sz w:val="20"/>
        </w:rPr>
      </w:pPr>
    </w:p>
    <w:p w:rsidR="006E0219" w:rsidRDefault="00BA77C3">
      <w:pPr>
        <w:pStyle w:val="BodyText"/>
        <w:ind w:left="180" w:right="113"/>
        <w:jc w:val="both"/>
      </w:pPr>
      <w:r>
        <w:t>Unlike locally regulated reinsurers, offshore reinsurers are not subject to or familiar with APRA’s regulation or prudential requirements. APRA does not have prudential oversight of the reinsurer when it is offshore. APRA is therefore u</w:t>
      </w:r>
      <w:r>
        <w:t>nable to take regulatory actions such as issuing directions or imposing supervisory capital adjustments, as would be the case, for example, with a locally regulated reinsurer where APRA identified deficiencies in its financial or</w:t>
      </w:r>
      <w:r>
        <w:rPr>
          <w:spacing w:val="-13"/>
        </w:rPr>
        <w:t xml:space="preserve"> </w:t>
      </w:r>
      <w:r>
        <w:t>operational</w:t>
      </w:r>
      <w:r>
        <w:rPr>
          <w:spacing w:val="-15"/>
        </w:rPr>
        <w:t xml:space="preserve"> </w:t>
      </w:r>
      <w:r>
        <w:t>risk</w:t>
      </w:r>
      <w:r>
        <w:rPr>
          <w:spacing w:val="-16"/>
        </w:rPr>
        <w:t xml:space="preserve"> </w:t>
      </w:r>
      <w:r>
        <w:t>managemen</w:t>
      </w:r>
      <w:r>
        <w:t>t.</w:t>
      </w:r>
      <w:r>
        <w:rPr>
          <w:spacing w:val="-16"/>
        </w:rPr>
        <w:t xml:space="preserve"> </w:t>
      </w:r>
      <w:r>
        <w:t>There</w:t>
      </w:r>
      <w:r>
        <w:rPr>
          <w:spacing w:val="-16"/>
        </w:rPr>
        <w:t xml:space="preserve"> </w:t>
      </w:r>
      <w:r>
        <w:t>is</w:t>
      </w:r>
      <w:r>
        <w:rPr>
          <w:spacing w:val="-18"/>
        </w:rPr>
        <w:t xml:space="preserve"> </w:t>
      </w:r>
      <w:r>
        <w:t>therefore</w:t>
      </w:r>
      <w:r>
        <w:rPr>
          <w:spacing w:val="-14"/>
        </w:rPr>
        <w:t xml:space="preserve"> </w:t>
      </w:r>
      <w:r>
        <w:t>a</w:t>
      </w:r>
      <w:r>
        <w:rPr>
          <w:spacing w:val="-16"/>
        </w:rPr>
        <w:t xml:space="preserve"> </w:t>
      </w:r>
      <w:r>
        <w:t>heightened</w:t>
      </w:r>
      <w:r>
        <w:rPr>
          <w:spacing w:val="-19"/>
        </w:rPr>
        <w:t xml:space="preserve"> </w:t>
      </w:r>
      <w:r>
        <w:t>risk</w:t>
      </w:r>
      <w:r>
        <w:rPr>
          <w:spacing w:val="-13"/>
        </w:rPr>
        <w:t xml:space="preserve"> </w:t>
      </w:r>
      <w:r>
        <w:t>that</w:t>
      </w:r>
      <w:r>
        <w:rPr>
          <w:spacing w:val="-15"/>
        </w:rPr>
        <w:t xml:space="preserve"> </w:t>
      </w:r>
      <w:r>
        <w:t>the</w:t>
      </w:r>
      <w:r>
        <w:rPr>
          <w:spacing w:val="-13"/>
        </w:rPr>
        <w:t xml:space="preserve"> </w:t>
      </w:r>
      <w:r>
        <w:t>reinsurance</w:t>
      </w:r>
      <w:r>
        <w:rPr>
          <w:spacing w:val="-19"/>
        </w:rPr>
        <w:t xml:space="preserve"> </w:t>
      </w:r>
      <w:r>
        <w:t>from an offshore reinsurer is not available when</w:t>
      </w:r>
      <w:r>
        <w:rPr>
          <w:spacing w:val="-3"/>
        </w:rPr>
        <w:t xml:space="preserve"> </w:t>
      </w:r>
      <w:r>
        <w:t>needed.</w:t>
      </w:r>
    </w:p>
    <w:p w:rsidR="006E0219" w:rsidRDefault="006E0219">
      <w:pPr>
        <w:pStyle w:val="BodyText"/>
        <w:spacing w:before="10"/>
        <w:rPr>
          <w:sz w:val="20"/>
        </w:rPr>
      </w:pPr>
    </w:p>
    <w:p w:rsidR="006E0219" w:rsidRDefault="00BA77C3">
      <w:pPr>
        <w:pStyle w:val="BodyText"/>
        <w:ind w:left="180" w:right="112"/>
        <w:jc w:val="both"/>
      </w:pPr>
      <w:r>
        <w:t>Furthermore,</w:t>
      </w:r>
      <w:r>
        <w:rPr>
          <w:spacing w:val="-15"/>
        </w:rPr>
        <w:t xml:space="preserve"> </w:t>
      </w:r>
      <w:r>
        <w:t>enhancements</w:t>
      </w:r>
      <w:r>
        <w:rPr>
          <w:spacing w:val="-15"/>
        </w:rPr>
        <w:t xml:space="preserve"> </w:t>
      </w:r>
      <w:r>
        <w:t>to</w:t>
      </w:r>
      <w:r>
        <w:rPr>
          <w:spacing w:val="-15"/>
        </w:rPr>
        <w:t xml:space="preserve"> </w:t>
      </w:r>
      <w:r>
        <w:t>LPS</w:t>
      </w:r>
      <w:r>
        <w:rPr>
          <w:spacing w:val="-16"/>
        </w:rPr>
        <w:t xml:space="preserve"> </w:t>
      </w:r>
      <w:r>
        <w:t>117,</w:t>
      </w:r>
      <w:r>
        <w:rPr>
          <w:spacing w:val="-16"/>
        </w:rPr>
        <w:t xml:space="preserve"> </w:t>
      </w:r>
      <w:r>
        <w:t>to</w:t>
      </w:r>
      <w:r>
        <w:rPr>
          <w:spacing w:val="-15"/>
        </w:rPr>
        <w:t xml:space="preserve"> </w:t>
      </w:r>
      <w:r>
        <w:t>address</w:t>
      </w:r>
      <w:r>
        <w:rPr>
          <w:spacing w:val="-15"/>
        </w:rPr>
        <w:t xml:space="preserve"> </w:t>
      </w:r>
      <w:r>
        <w:t>the</w:t>
      </w:r>
      <w:r>
        <w:rPr>
          <w:spacing w:val="-13"/>
        </w:rPr>
        <w:t xml:space="preserve"> </w:t>
      </w:r>
      <w:r>
        <w:t>technical</w:t>
      </w:r>
      <w:r>
        <w:rPr>
          <w:spacing w:val="-13"/>
        </w:rPr>
        <w:t xml:space="preserve"> </w:t>
      </w:r>
      <w:r>
        <w:t>issues</w:t>
      </w:r>
      <w:r>
        <w:rPr>
          <w:spacing w:val="-15"/>
        </w:rPr>
        <w:t xml:space="preserve"> </w:t>
      </w:r>
      <w:r>
        <w:t>such</w:t>
      </w:r>
      <w:r>
        <w:rPr>
          <w:spacing w:val="-12"/>
        </w:rPr>
        <w:t xml:space="preserve"> </w:t>
      </w:r>
      <w:r>
        <w:t>as</w:t>
      </w:r>
      <w:r>
        <w:rPr>
          <w:spacing w:val="-15"/>
        </w:rPr>
        <w:t xml:space="preserve"> </w:t>
      </w:r>
      <w:r>
        <w:t>lack</w:t>
      </w:r>
      <w:r>
        <w:rPr>
          <w:spacing w:val="-11"/>
        </w:rPr>
        <w:t xml:space="preserve"> </w:t>
      </w:r>
      <w:r>
        <w:t>of</w:t>
      </w:r>
      <w:r>
        <w:rPr>
          <w:spacing w:val="-15"/>
        </w:rPr>
        <w:t xml:space="preserve"> </w:t>
      </w:r>
      <w:r>
        <w:t>clarity and</w:t>
      </w:r>
      <w:r>
        <w:rPr>
          <w:spacing w:val="-13"/>
        </w:rPr>
        <w:t xml:space="preserve"> </w:t>
      </w:r>
      <w:r>
        <w:t>restrictive</w:t>
      </w:r>
      <w:r>
        <w:rPr>
          <w:spacing w:val="-13"/>
        </w:rPr>
        <w:t xml:space="preserve"> </w:t>
      </w:r>
      <w:r>
        <w:t>requirements</w:t>
      </w:r>
      <w:r>
        <w:rPr>
          <w:spacing w:val="-12"/>
        </w:rPr>
        <w:t xml:space="preserve"> </w:t>
      </w:r>
      <w:r>
        <w:t>around</w:t>
      </w:r>
      <w:r>
        <w:rPr>
          <w:spacing w:val="-17"/>
        </w:rPr>
        <w:t xml:space="preserve"> </w:t>
      </w:r>
      <w:r>
        <w:t>use</w:t>
      </w:r>
      <w:r>
        <w:rPr>
          <w:spacing w:val="-13"/>
        </w:rPr>
        <w:t xml:space="preserve"> </w:t>
      </w:r>
      <w:r>
        <w:t>of</w:t>
      </w:r>
      <w:r>
        <w:rPr>
          <w:spacing w:val="-12"/>
        </w:rPr>
        <w:t xml:space="preserve"> </w:t>
      </w:r>
      <w:r>
        <w:t>risk</w:t>
      </w:r>
      <w:r>
        <w:rPr>
          <w:spacing w:val="-13"/>
        </w:rPr>
        <w:t xml:space="preserve"> </w:t>
      </w:r>
      <w:r>
        <w:t>mitigation</w:t>
      </w:r>
      <w:r>
        <w:rPr>
          <w:spacing w:val="-13"/>
        </w:rPr>
        <w:t xml:space="preserve"> </w:t>
      </w:r>
      <w:r>
        <w:t>techniques,</w:t>
      </w:r>
      <w:r>
        <w:rPr>
          <w:spacing w:val="-12"/>
        </w:rPr>
        <w:t xml:space="preserve"> </w:t>
      </w:r>
      <w:r>
        <w:t>would</w:t>
      </w:r>
      <w:r>
        <w:rPr>
          <w:spacing w:val="-10"/>
        </w:rPr>
        <w:t xml:space="preserve"> </w:t>
      </w:r>
      <w:r>
        <w:t>not</w:t>
      </w:r>
      <w:r>
        <w:rPr>
          <w:spacing w:val="-12"/>
        </w:rPr>
        <w:t xml:space="preserve"> </w:t>
      </w:r>
      <w:r>
        <w:t>be</w:t>
      </w:r>
      <w:r>
        <w:rPr>
          <w:spacing w:val="-16"/>
        </w:rPr>
        <w:t xml:space="preserve"> </w:t>
      </w:r>
      <w:r>
        <w:t>made.</w:t>
      </w:r>
      <w:r>
        <w:rPr>
          <w:spacing w:val="-14"/>
        </w:rPr>
        <w:t xml:space="preserve"> </w:t>
      </w:r>
      <w:r>
        <w:t>This would increase compliance costs for life companies in the medium- and long-term. Without these enhancements to address technical issues APRA may need to clarify, and sometimes amend, the requirements on a</w:t>
      </w:r>
      <w:r>
        <w:t xml:space="preserve"> case by case basis. The application and approval process to amend requirements for individual insurers can take a significant amount of time and resources for</w:t>
      </w:r>
      <w:r>
        <w:rPr>
          <w:spacing w:val="-5"/>
        </w:rPr>
        <w:t xml:space="preserve"> </w:t>
      </w:r>
      <w:r>
        <w:t>insurers.</w:t>
      </w:r>
    </w:p>
    <w:p w:rsidR="006E0219" w:rsidRDefault="006E0219">
      <w:pPr>
        <w:pStyle w:val="BodyText"/>
        <w:spacing w:before="11"/>
        <w:rPr>
          <w:sz w:val="20"/>
        </w:rPr>
      </w:pPr>
    </w:p>
    <w:p w:rsidR="006E0219" w:rsidRDefault="00BA77C3">
      <w:pPr>
        <w:pStyle w:val="BodyText"/>
        <w:ind w:left="180" w:right="113"/>
        <w:jc w:val="both"/>
      </w:pPr>
      <w:r>
        <w:t>On</w:t>
      </w:r>
      <w:r>
        <w:rPr>
          <w:spacing w:val="-4"/>
        </w:rPr>
        <w:t xml:space="preserve"> </w:t>
      </w:r>
      <w:r>
        <w:t>balance,</w:t>
      </w:r>
      <w:r>
        <w:rPr>
          <w:spacing w:val="-2"/>
        </w:rPr>
        <w:t xml:space="preserve"> </w:t>
      </w:r>
      <w:r>
        <w:t>APRA</w:t>
      </w:r>
      <w:r>
        <w:rPr>
          <w:spacing w:val="-3"/>
        </w:rPr>
        <w:t xml:space="preserve"> </w:t>
      </w:r>
      <w:r>
        <w:t>considers</w:t>
      </w:r>
      <w:r>
        <w:rPr>
          <w:spacing w:val="-3"/>
        </w:rPr>
        <w:t xml:space="preserve"> </w:t>
      </w:r>
      <w:r>
        <w:t>there</w:t>
      </w:r>
      <w:r>
        <w:rPr>
          <w:spacing w:val="-5"/>
        </w:rPr>
        <w:t xml:space="preserve"> </w:t>
      </w:r>
      <w:r>
        <w:t>to</w:t>
      </w:r>
      <w:r>
        <w:rPr>
          <w:spacing w:val="-3"/>
        </w:rPr>
        <w:t xml:space="preserve"> </w:t>
      </w:r>
      <w:r>
        <w:t>be</w:t>
      </w:r>
      <w:r>
        <w:rPr>
          <w:spacing w:val="-4"/>
        </w:rPr>
        <w:t xml:space="preserve"> </w:t>
      </w:r>
      <w:r>
        <w:t>a</w:t>
      </w:r>
      <w:r>
        <w:rPr>
          <w:spacing w:val="-3"/>
        </w:rPr>
        <w:t xml:space="preserve"> </w:t>
      </w:r>
      <w:r>
        <w:t>long-term</w:t>
      </w:r>
      <w:r>
        <w:rPr>
          <w:spacing w:val="-2"/>
        </w:rPr>
        <w:t xml:space="preserve"> </w:t>
      </w:r>
      <w:r>
        <w:t>net</w:t>
      </w:r>
      <w:r>
        <w:rPr>
          <w:spacing w:val="-3"/>
        </w:rPr>
        <w:t xml:space="preserve"> </w:t>
      </w:r>
      <w:r>
        <w:t>cost</w:t>
      </w:r>
      <w:r>
        <w:rPr>
          <w:spacing w:val="-2"/>
        </w:rPr>
        <w:t xml:space="preserve"> </w:t>
      </w:r>
      <w:r>
        <w:t>associated</w:t>
      </w:r>
      <w:r>
        <w:rPr>
          <w:spacing w:val="-3"/>
        </w:rPr>
        <w:t xml:space="preserve"> </w:t>
      </w:r>
      <w:r>
        <w:t>with</w:t>
      </w:r>
      <w:r>
        <w:rPr>
          <w:spacing w:val="-4"/>
        </w:rPr>
        <w:t xml:space="preserve"> </w:t>
      </w:r>
      <w:r>
        <w:t>option</w:t>
      </w:r>
      <w:r>
        <w:rPr>
          <w:spacing w:val="-3"/>
        </w:rPr>
        <w:t xml:space="preserve"> </w:t>
      </w:r>
      <w:r>
        <w:t>1.</w:t>
      </w:r>
      <w:r>
        <w:rPr>
          <w:spacing w:val="-9"/>
        </w:rPr>
        <w:t xml:space="preserve"> </w:t>
      </w:r>
      <w:r>
        <w:t>While there are no upfront compliance costs associated with this option, not making these enhancements would result in heightened compliance burdens for APRA and industry on an ongoing basis. This is primarily due to the likely need for APRA to take alter</w:t>
      </w:r>
      <w:r>
        <w:t>native actions to respond</w:t>
      </w:r>
      <w:r>
        <w:rPr>
          <w:spacing w:val="-6"/>
        </w:rPr>
        <w:t xml:space="preserve"> </w:t>
      </w:r>
      <w:r>
        <w:t>to</w:t>
      </w:r>
      <w:r>
        <w:rPr>
          <w:spacing w:val="-3"/>
        </w:rPr>
        <w:t xml:space="preserve"> </w:t>
      </w:r>
      <w:r>
        <w:t>heightened</w:t>
      </w:r>
      <w:r>
        <w:rPr>
          <w:spacing w:val="-6"/>
        </w:rPr>
        <w:t xml:space="preserve"> </w:t>
      </w:r>
      <w:r>
        <w:t>risks</w:t>
      </w:r>
      <w:r>
        <w:rPr>
          <w:spacing w:val="-6"/>
        </w:rPr>
        <w:t xml:space="preserve"> </w:t>
      </w:r>
      <w:r>
        <w:t>emerging</w:t>
      </w:r>
      <w:r>
        <w:rPr>
          <w:spacing w:val="-3"/>
        </w:rPr>
        <w:t xml:space="preserve"> </w:t>
      </w:r>
      <w:r>
        <w:t>in</w:t>
      </w:r>
      <w:r>
        <w:rPr>
          <w:spacing w:val="-3"/>
        </w:rPr>
        <w:t xml:space="preserve"> </w:t>
      </w:r>
      <w:r>
        <w:t>the</w:t>
      </w:r>
      <w:r>
        <w:rPr>
          <w:spacing w:val="-6"/>
        </w:rPr>
        <w:t xml:space="preserve"> </w:t>
      </w:r>
      <w:r>
        <w:t>industry</w:t>
      </w:r>
      <w:r>
        <w:rPr>
          <w:spacing w:val="-6"/>
        </w:rPr>
        <w:t xml:space="preserve"> </w:t>
      </w:r>
      <w:r>
        <w:t>and</w:t>
      </w:r>
      <w:r>
        <w:rPr>
          <w:spacing w:val="-2"/>
        </w:rPr>
        <w:t xml:space="preserve"> </w:t>
      </w:r>
      <w:r>
        <w:t>to</w:t>
      </w:r>
      <w:r>
        <w:rPr>
          <w:spacing w:val="-5"/>
        </w:rPr>
        <w:t xml:space="preserve"> </w:t>
      </w:r>
      <w:r>
        <w:t>address</w:t>
      </w:r>
      <w:r>
        <w:rPr>
          <w:spacing w:val="-5"/>
        </w:rPr>
        <w:t xml:space="preserve"> </w:t>
      </w:r>
      <w:r>
        <w:t>technical</w:t>
      </w:r>
      <w:r>
        <w:rPr>
          <w:spacing w:val="-5"/>
        </w:rPr>
        <w:t xml:space="preserve"> </w:t>
      </w:r>
      <w:r>
        <w:t>issues</w:t>
      </w:r>
      <w:r>
        <w:rPr>
          <w:spacing w:val="-3"/>
        </w:rPr>
        <w:t xml:space="preserve"> </w:t>
      </w:r>
      <w:r>
        <w:t>with</w:t>
      </w:r>
      <w:r>
        <w:rPr>
          <w:spacing w:val="-3"/>
        </w:rPr>
        <w:t xml:space="preserve"> </w:t>
      </w:r>
      <w:r>
        <w:t>the current</w:t>
      </w:r>
      <w:r>
        <w:rPr>
          <w:spacing w:val="-2"/>
        </w:rPr>
        <w:t xml:space="preserve"> </w:t>
      </w:r>
      <w:r>
        <w:t>requirements.</w:t>
      </w:r>
    </w:p>
    <w:p w:rsidR="006E0219" w:rsidRDefault="006E0219">
      <w:pPr>
        <w:pStyle w:val="BodyText"/>
        <w:spacing w:before="8"/>
        <w:rPr>
          <w:sz w:val="20"/>
        </w:rPr>
      </w:pPr>
    </w:p>
    <w:p w:rsidR="006E0219" w:rsidRDefault="00BA77C3">
      <w:pPr>
        <w:ind w:left="180"/>
        <w:jc w:val="both"/>
        <w:rPr>
          <w:i/>
          <w:sz w:val="20"/>
        </w:rPr>
      </w:pPr>
      <w:r>
        <w:rPr>
          <w:i/>
          <w:sz w:val="20"/>
        </w:rPr>
        <w:t>Table 3: Option 1 - Estimate of regulatory burden</w:t>
      </w:r>
    </w:p>
    <w:p w:rsidR="006E0219" w:rsidRDefault="006E0219">
      <w:pPr>
        <w:pStyle w:val="BodyText"/>
        <w:spacing w:before="9"/>
        <w:rPr>
          <w:i/>
          <w:sz w:val="21"/>
        </w:rPr>
      </w:pPr>
    </w:p>
    <w:tbl>
      <w:tblPr>
        <w:tblW w:w="0" w:type="auto"/>
        <w:tblCellSpacing w:w="4" w:type="dxa"/>
        <w:tblInd w:w="202" w:type="dxa"/>
        <w:tblLayout w:type="fixed"/>
        <w:tblCellMar>
          <w:left w:w="0" w:type="dxa"/>
          <w:right w:w="0" w:type="dxa"/>
        </w:tblCellMar>
        <w:tblLook w:val="01E0" w:firstRow="1" w:lastRow="1" w:firstColumn="1" w:lastColumn="1" w:noHBand="0" w:noVBand="0"/>
      </w:tblPr>
      <w:tblGrid>
        <w:gridCol w:w="2273"/>
        <w:gridCol w:w="1697"/>
        <w:gridCol w:w="1697"/>
        <w:gridCol w:w="1698"/>
        <w:gridCol w:w="1698"/>
      </w:tblGrid>
      <w:tr w:rsidR="006E0219">
        <w:trPr>
          <w:trHeight w:val="340"/>
          <w:tblCellSpacing w:w="4" w:type="dxa"/>
        </w:trPr>
        <w:tc>
          <w:tcPr>
            <w:tcW w:w="9015" w:type="dxa"/>
            <w:gridSpan w:val="5"/>
            <w:tcBorders>
              <w:top w:val="nil"/>
              <w:left w:val="nil"/>
              <w:right w:val="nil"/>
            </w:tcBorders>
            <w:shd w:val="clear" w:color="auto" w:fill="001F5F"/>
          </w:tcPr>
          <w:p w:rsidR="006E0219" w:rsidRDefault="00BA77C3">
            <w:pPr>
              <w:pStyle w:val="TableParagraph"/>
              <w:ind w:left="103"/>
              <w:rPr>
                <w:sz w:val="20"/>
              </w:rPr>
            </w:pPr>
            <w:r>
              <w:rPr>
                <w:color w:val="FFFFFF"/>
                <w:sz w:val="20"/>
              </w:rPr>
              <w:t>Annual regulatory costs, averaged over 10 years</w:t>
            </w:r>
          </w:p>
        </w:tc>
      </w:tr>
      <w:tr w:rsidR="006E0219">
        <w:trPr>
          <w:trHeight w:val="570"/>
          <w:tblCellSpacing w:w="4" w:type="dxa"/>
        </w:trPr>
        <w:tc>
          <w:tcPr>
            <w:tcW w:w="2261" w:type="dxa"/>
            <w:tcBorders>
              <w:left w:val="nil"/>
            </w:tcBorders>
            <w:shd w:val="clear" w:color="auto" w:fill="001F5F"/>
          </w:tcPr>
          <w:p w:rsidR="006E0219" w:rsidRDefault="00BA77C3">
            <w:pPr>
              <w:pStyle w:val="TableParagraph"/>
              <w:ind w:left="103"/>
              <w:rPr>
                <w:sz w:val="20"/>
              </w:rPr>
            </w:pPr>
            <w:r>
              <w:rPr>
                <w:color w:val="FFFFFF"/>
                <w:sz w:val="20"/>
              </w:rPr>
              <w:t>Change in costs</w:t>
            </w:r>
          </w:p>
        </w:tc>
        <w:tc>
          <w:tcPr>
            <w:tcW w:w="1689" w:type="dxa"/>
            <w:tcBorders>
              <w:right w:val="nil"/>
            </w:tcBorders>
            <w:shd w:val="clear" w:color="auto" w:fill="D9D9D9"/>
          </w:tcPr>
          <w:p w:rsidR="006E0219" w:rsidRDefault="00BA77C3">
            <w:pPr>
              <w:pStyle w:val="TableParagraph"/>
              <w:rPr>
                <w:sz w:val="20"/>
              </w:rPr>
            </w:pPr>
            <w:r>
              <w:rPr>
                <w:sz w:val="20"/>
              </w:rPr>
              <w:t>Business</w:t>
            </w:r>
          </w:p>
        </w:tc>
        <w:tc>
          <w:tcPr>
            <w:tcW w:w="1689" w:type="dxa"/>
            <w:tcBorders>
              <w:left w:val="nil"/>
            </w:tcBorders>
            <w:shd w:val="clear" w:color="auto" w:fill="D9D9D9"/>
          </w:tcPr>
          <w:p w:rsidR="006E0219" w:rsidRDefault="00BA77C3">
            <w:pPr>
              <w:pStyle w:val="TableParagraph"/>
              <w:ind w:left="101" w:right="378"/>
              <w:rPr>
                <w:sz w:val="20"/>
              </w:rPr>
            </w:pPr>
            <w:r>
              <w:rPr>
                <w:sz w:val="20"/>
              </w:rPr>
              <w:t>Community organisations</w:t>
            </w:r>
          </w:p>
        </w:tc>
        <w:tc>
          <w:tcPr>
            <w:tcW w:w="1690" w:type="dxa"/>
            <w:shd w:val="clear" w:color="auto" w:fill="D9D9D9"/>
          </w:tcPr>
          <w:p w:rsidR="006E0219" w:rsidRDefault="00BA77C3">
            <w:pPr>
              <w:pStyle w:val="TableParagraph"/>
              <w:rPr>
                <w:sz w:val="20"/>
              </w:rPr>
            </w:pPr>
            <w:r>
              <w:rPr>
                <w:sz w:val="20"/>
              </w:rPr>
              <w:t>Individuals</w:t>
            </w:r>
          </w:p>
        </w:tc>
        <w:tc>
          <w:tcPr>
            <w:tcW w:w="1686" w:type="dxa"/>
            <w:tcBorders>
              <w:right w:val="nil"/>
            </w:tcBorders>
            <w:shd w:val="clear" w:color="auto" w:fill="D9D9D9"/>
          </w:tcPr>
          <w:p w:rsidR="006E0219" w:rsidRDefault="00BA77C3">
            <w:pPr>
              <w:pStyle w:val="TableParagraph"/>
              <w:ind w:right="196"/>
              <w:rPr>
                <w:sz w:val="20"/>
              </w:rPr>
            </w:pPr>
            <w:r>
              <w:rPr>
                <w:sz w:val="20"/>
              </w:rPr>
              <w:t>Total change in costs</w:t>
            </w:r>
          </w:p>
        </w:tc>
      </w:tr>
      <w:tr w:rsidR="006E0219">
        <w:trPr>
          <w:trHeight w:val="340"/>
          <w:tblCellSpacing w:w="4" w:type="dxa"/>
        </w:trPr>
        <w:tc>
          <w:tcPr>
            <w:tcW w:w="2261" w:type="dxa"/>
            <w:tcBorders>
              <w:left w:val="nil"/>
              <w:bottom w:val="nil"/>
            </w:tcBorders>
            <w:shd w:val="clear" w:color="auto" w:fill="001F5F"/>
          </w:tcPr>
          <w:p w:rsidR="006E0219" w:rsidRDefault="00BA77C3">
            <w:pPr>
              <w:pStyle w:val="TableParagraph"/>
              <w:ind w:left="103"/>
              <w:rPr>
                <w:sz w:val="20"/>
              </w:rPr>
            </w:pPr>
            <w:r>
              <w:rPr>
                <w:color w:val="FFFFFF"/>
                <w:sz w:val="20"/>
              </w:rPr>
              <w:t>Total, by sector</w:t>
            </w:r>
          </w:p>
        </w:tc>
        <w:tc>
          <w:tcPr>
            <w:tcW w:w="1689" w:type="dxa"/>
            <w:tcBorders>
              <w:bottom w:val="nil"/>
              <w:right w:val="nil"/>
            </w:tcBorders>
            <w:shd w:val="clear" w:color="auto" w:fill="D9D9D9"/>
          </w:tcPr>
          <w:p w:rsidR="006E0219" w:rsidRDefault="00BA77C3">
            <w:pPr>
              <w:pStyle w:val="TableParagraph"/>
              <w:rPr>
                <w:sz w:val="20"/>
              </w:rPr>
            </w:pPr>
            <w:r>
              <w:rPr>
                <w:sz w:val="20"/>
              </w:rPr>
              <w:t>Nil</w:t>
            </w:r>
          </w:p>
        </w:tc>
        <w:tc>
          <w:tcPr>
            <w:tcW w:w="1689" w:type="dxa"/>
            <w:tcBorders>
              <w:left w:val="nil"/>
              <w:bottom w:val="nil"/>
            </w:tcBorders>
            <w:shd w:val="clear" w:color="auto" w:fill="D9D9D9"/>
          </w:tcPr>
          <w:p w:rsidR="006E0219" w:rsidRDefault="00BA77C3">
            <w:pPr>
              <w:pStyle w:val="TableParagraph"/>
              <w:ind w:left="101"/>
              <w:rPr>
                <w:sz w:val="20"/>
              </w:rPr>
            </w:pPr>
            <w:r>
              <w:rPr>
                <w:sz w:val="20"/>
              </w:rPr>
              <w:t>Nil</w:t>
            </w:r>
          </w:p>
        </w:tc>
        <w:tc>
          <w:tcPr>
            <w:tcW w:w="1690" w:type="dxa"/>
            <w:tcBorders>
              <w:bottom w:val="nil"/>
            </w:tcBorders>
            <w:shd w:val="clear" w:color="auto" w:fill="D9D9D9"/>
          </w:tcPr>
          <w:p w:rsidR="006E0219" w:rsidRDefault="00BA77C3">
            <w:pPr>
              <w:pStyle w:val="TableParagraph"/>
              <w:rPr>
                <w:sz w:val="20"/>
              </w:rPr>
            </w:pPr>
            <w:r>
              <w:rPr>
                <w:sz w:val="20"/>
              </w:rPr>
              <w:t>Nil</w:t>
            </w:r>
          </w:p>
        </w:tc>
        <w:tc>
          <w:tcPr>
            <w:tcW w:w="1686" w:type="dxa"/>
            <w:tcBorders>
              <w:bottom w:val="nil"/>
              <w:right w:val="nil"/>
            </w:tcBorders>
            <w:shd w:val="clear" w:color="auto" w:fill="D9D9D9"/>
          </w:tcPr>
          <w:p w:rsidR="006E0219" w:rsidRDefault="00BA77C3">
            <w:pPr>
              <w:pStyle w:val="TableParagraph"/>
              <w:rPr>
                <w:sz w:val="20"/>
              </w:rPr>
            </w:pPr>
            <w:r>
              <w:rPr>
                <w:sz w:val="20"/>
              </w:rPr>
              <w:t>Nil</w:t>
            </w:r>
          </w:p>
        </w:tc>
      </w:tr>
    </w:tbl>
    <w:p w:rsidR="006E0219" w:rsidRDefault="006E0219">
      <w:pPr>
        <w:pStyle w:val="BodyText"/>
        <w:rPr>
          <w:i/>
        </w:rPr>
      </w:pPr>
    </w:p>
    <w:p w:rsidR="006E0219" w:rsidRDefault="006E0219">
      <w:pPr>
        <w:pStyle w:val="BodyText"/>
        <w:spacing w:before="7"/>
        <w:rPr>
          <w:i/>
          <w:sz w:val="21"/>
        </w:rPr>
      </w:pPr>
    </w:p>
    <w:p w:rsidR="006E0219" w:rsidRDefault="00BA77C3">
      <w:pPr>
        <w:pStyle w:val="Heading1"/>
      </w:pPr>
      <w:r>
        <w:rPr>
          <w:color w:val="001F5F"/>
        </w:rPr>
        <w:t>Option 2 – Additional guidance only</w:t>
      </w:r>
    </w:p>
    <w:p w:rsidR="006E0219" w:rsidRDefault="00BA77C3">
      <w:pPr>
        <w:pStyle w:val="BodyText"/>
        <w:spacing w:before="122"/>
        <w:ind w:left="180" w:right="112"/>
        <w:jc w:val="both"/>
      </w:pPr>
      <w:r>
        <w:t>Under Option 2, APRA would issue additional guidance to industry on how insurers should manage risks associated with increased use of offshore reinsurance and also regarding the technical issues in LPS 117. No new prudential requirements would be introduce</w:t>
      </w:r>
      <w:r>
        <w:t>d under this option.</w:t>
      </w:r>
    </w:p>
    <w:p w:rsidR="006E0219" w:rsidRDefault="006E0219">
      <w:pPr>
        <w:jc w:val="both"/>
        <w:sectPr w:rsidR="006E0219">
          <w:pgSz w:w="11910" w:h="16840"/>
          <w:pgMar w:top="1460" w:right="1320" w:bottom="740" w:left="1260" w:header="0" w:footer="556" w:gutter="0"/>
          <w:cols w:space="720"/>
        </w:sectPr>
      </w:pPr>
    </w:p>
    <w:p w:rsidR="006E0219" w:rsidRDefault="00BA77C3">
      <w:pPr>
        <w:pStyle w:val="BodyText"/>
        <w:spacing w:before="67"/>
        <w:ind w:left="180" w:right="113"/>
        <w:jc w:val="both"/>
      </w:pPr>
      <w:r>
        <w:lastRenderedPageBreak/>
        <w:t>Guidance would not lead to compliance costs associated with implementation, given life companies are free to adopt guidance in a manner which reflects their business size and complexity. While this approach may addres</w:t>
      </w:r>
      <w:r>
        <w:t>s some risks and issues, life companies are not required to follow guidance, which may lead to inconsistent adoption across the industry. Inconsistent adoption may lead to additional compliance burden due to the need to address these inconsistencies and en</w:t>
      </w:r>
      <w:r>
        <w:t>sure risks are adequately mitigated where guidance is not adopted.</w:t>
      </w:r>
    </w:p>
    <w:p w:rsidR="006E0219" w:rsidRDefault="006E0219">
      <w:pPr>
        <w:pStyle w:val="BodyText"/>
        <w:spacing w:before="10"/>
        <w:rPr>
          <w:sz w:val="20"/>
        </w:rPr>
      </w:pPr>
    </w:p>
    <w:p w:rsidR="006E0219" w:rsidRDefault="00BA77C3">
      <w:pPr>
        <w:ind w:left="180"/>
        <w:jc w:val="both"/>
        <w:rPr>
          <w:i/>
          <w:sz w:val="20"/>
        </w:rPr>
      </w:pPr>
      <w:r>
        <w:rPr>
          <w:i/>
          <w:sz w:val="20"/>
        </w:rPr>
        <w:t>Table 4: Option 2 - Estimate of regulatory burden</w:t>
      </w:r>
    </w:p>
    <w:p w:rsidR="006E0219" w:rsidRDefault="006E0219">
      <w:pPr>
        <w:pStyle w:val="BodyText"/>
        <w:spacing w:before="9"/>
        <w:rPr>
          <w:i/>
          <w:sz w:val="21"/>
        </w:rPr>
      </w:pPr>
    </w:p>
    <w:tbl>
      <w:tblPr>
        <w:tblW w:w="0" w:type="auto"/>
        <w:tblCellSpacing w:w="4" w:type="dxa"/>
        <w:tblInd w:w="202" w:type="dxa"/>
        <w:tblLayout w:type="fixed"/>
        <w:tblCellMar>
          <w:left w:w="0" w:type="dxa"/>
          <w:right w:w="0" w:type="dxa"/>
        </w:tblCellMar>
        <w:tblLook w:val="01E0" w:firstRow="1" w:lastRow="1" w:firstColumn="1" w:lastColumn="1" w:noHBand="0" w:noVBand="0"/>
      </w:tblPr>
      <w:tblGrid>
        <w:gridCol w:w="2273"/>
        <w:gridCol w:w="1697"/>
        <w:gridCol w:w="1697"/>
        <w:gridCol w:w="1698"/>
        <w:gridCol w:w="1698"/>
      </w:tblGrid>
      <w:tr w:rsidR="006E0219">
        <w:trPr>
          <w:trHeight w:val="340"/>
          <w:tblCellSpacing w:w="4" w:type="dxa"/>
        </w:trPr>
        <w:tc>
          <w:tcPr>
            <w:tcW w:w="9015" w:type="dxa"/>
            <w:gridSpan w:val="5"/>
            <w:tcBorders>
              <w:top w:val="nil"/>
              <w:left w:val="nil"/>
              <w:right w:val="nil"/>
            </w:tcBorders>
            <w:shd w:val="clear" w:color="auto" w:fill="001F5F"/>
          </w:tcPr>
          <w:p w:rsidR="006E0219" w:rsidRDefault="00BA77C3">
            <w:pPr>
              <w:pStyle w:val="TableParagraph"/>
              <w:ind w:left="103"/>
              <w:rPr>
                <w:sz w:val="20"/>
              </w:rPr>
            </w:pPr>
            <w:r>
              <w:rPr>
                <w:color w:val="FFFFFF"/>
                <w:sz w:val="20"/>
              </w:rPr>
              <w:t>Annual regulatory costs, averaged over 10 years</w:t>
            </w:r>
          </w:p>
        </w:tc>
      </w:tr>
      <w:tr w:rsidR="006E0219">
        <w:trPr>
          <w:trHeight w:val="570"/>
          <w:tblCellSpacing w:w="4" w:type="dxa"/>
        </w:trPr>
        <w:tc>
          <w:tcPr>
            <w:tcW w:w="2261" w:type="dxa"/>
            <w:tcBorders>
              <w:left w:val="nil"/>
            </w:tcBorders>
            <w:shd w:val="clear" w:color="auto" w:fill="001F5F"/>
          </w:tcPr>
          <w:p w:rsidR="006E0219" w:rsidRDefault="00BA77C3">
            <w:pPr>
              <w:pStyle w:val="TableParagraph"/>
              <w:ind w:left="103"/>
              <w:rPr>
                <w:sz w:val="20"/>
              </w:rPr>
            </w:pPr>
            <w:r>
              <w:rPr>
                <w:color w:val="FFFFFF"/>
                <w:sz w:val="20"/>
              </w:rPr>
              <w:t>Change in costs</w:t>
            </w:r>
          </w:p>
        </w:tc>
        <w:tc>
          <w:tcPr>
            <w:tcW w:w="1689" w:type="dxa"/>
            <w:tcBorders>
              <w:right w:val="nil"/>
            </w:tcBorders>
            <w:shd w:val="clear" w:color="auto" w:fill="D9D9D9"/>
          </w:tcPr>
          <w:p w:rsidR="006E0219" w:rsidRDefault="00BA77C3">
            <w:pPr>
              <w:pStyle w:val="TableParagraph"/>
              <w:rPr>
                <w:sz w:val="20"/>
              </w:rPr>
            </w:pPr>
            <w:r>
              <w:rPr>
                <w:sz w:val="20"/>
              </w:rPr>
              <w:t>Business</w:t>
            </w:r>
          </w:p>
        </w:tc>
        <w:tc>
          <w:tcPr>
            <w:tcW w:w="1689" w:type="dxa"/>
            <w:tcBorders>
              <w:left w:val="nil"/>
            </w:tcBorders>
            <w:shd w:val="clear" w:color="auto" w:fill="D9D9D9"/>
          </w:tcPr>
          <w:p w:rsidR="006E0219" w:rsidRDefault="00BA77C3">
            <w:pPr>
              <w:pStyle w:val="TableParagraph"/>
              <w:ind w:left="101" w:right="378"/>
              <w:rPr>
                <w:sz w:val="20"/>
              </w:rPr>
            </w:pPr>
            <w:r>
              <w:rPr>
                <w:sz w:val="20"/>
              </w:rPr>
              <w:t>Community organisations</w:t>
            </w:r>
          </w:p>
        </w:tc>
        <w:tc>
          <w:tcPr>
            <w:tcW w:w="1690" w:type="dxa"/>
            <w:shd w:val="clear" w:color="auto" w:fill="D9D9D9"/>
          </w:tcPr>
          <w:p w:rsidR="006E0219" w:rsidRDefault="00BA77C3">
            <w:pPr>
              <w:pStyle w:val="TableParagraph"/>
              <w:rPr>
                <w:sz w:val="20"/>
              </w:rPr>
            </w:pPr>
            <w:r>
              <w:rPr>
                <w:sz w:val="20"/>
              </w:rPr>
              <w:t>Individuals</w:t>
            </w:r>
          </w:p>
        </w:tc>
        <w:tc>
          <w:tcPr>
            <w:tcW w:w="1686" w:type="dxa"/>
            <w:tcBorders>
              <w:right w:val="nil"/>
            </w:tcBorders>
            <w:shd w:val="clear" w:color="auto" w:fill="D9D9D9"/>
          </w:tcPr>
          <w:p w:rsidR="006E0219" w:rsidRDefault="00BA77C3">
            <w:pPr>
              <w:pStyle w:val="TableParagraph"/>
              <w:ind w:right="196"/>
              <w:rPr>
                <w:sz w:val="20"/>
              </w:rPr>
            </w:pPr>
            <w:r>
              <w:rPr>
                <w:sz w:val="20"/>
              </w:rPr>
              <w:t>Total change in costs</w:t>
            </w:r>
          </w:p>
        </w:tc>
      </w:tr>
      <w:tr w:rsidR="006E0219">
        <w:trPr>
          <w:trHeight w:val="340"/>
          <w:tblCellSpacing w:w="4" w:type="dxa"/>
        </w:trPr>
        <w:tc>
          <w:tcPr>
            <w:tcW w:w="2261" w:type="dxa"/>
            <w:tcBorders>
              <w:left w:val="nil"/>
              <w:bottom w:val="nil"/>
            </w:tcBorders>
            <w:shd w:val="clear" w:color="auto" w:fill="001F5F"/>
          </w:tcPr>
          <w:p w:rsidR="006E0219" w:rsidRDefault="00BA77C3">
            <w:pPr>
              <w:pStyle w:val="TableParagraph"/>
              <w:ind w:left="103"/>
              <w:rPr>
                <w:sz w:val="20"/>
              </w:rPr>
            </w:pPr>
            <w:r>
              <w:rPr>
                <w:color w:val="FFFFFF"/>
                <w:sz w:val="20"/>
              </w:rPr>
              <w:t>Total, by sector</w:t>
            </w:r>
          </w:p>
        </w:tc>
        <w:tc>
          <w:tcPr>
            <w:tcW w:w="1689" w:type="dxa"/>
            <w:tcBorders>
              <w:bottom w:val="nil"/>
              <w:right w:val="nil"/>
            </w:tcBorders>
            <w:shd w:val="clear" w:color="auto" w:fill="D9D9D9"/>
          </w:tcPr>
          <w:p w:rsidR="006E0219" w:rsidRDefault="00BA77C3">
            <w:pPr>
              <w:pStyle w:val="TableParagraph"/>
              <w:rPr>
                <w:sz w:val="20"/>
              </w:rPr>
            </w:pPr>
            <w:r>
              <w:rPr>
                <w:sz w:val="20"/>
              </w:rPr>
              <w:t>Nil</w:t>
            </w:r>
          </w:p>
        </w:tc>
        <w:tc>
          <w:tcPr>
            <w:tcW w:w="1689" w:type="dxa"/>
            <w:tcBorders>
              <w:left w:val="nil"/>
              <w:bottom w:val="nil"/>
            </w:tcBorders>
            <w:shd w:val="clear" w:color="auto" w:fill="D9D9D9"/>
          </w:tcPr>
          <w:p w:rsidR="006E0219" w:rsidRDefault="00BA77C3">
            <w:pPr>
              <w:pStyle w:val="TableParagraph"/>
              <w:ind w:left="101"/>
              <w:rPr>
                <w:sz w:val="20"/>
              </w:rPr>
            </w:pPr>
            <w:r>
              <w:rPr>
                <w:sz w:val="20"/>
              </w:rPr>
              <w:t>Nil</w:t>
            </w:r>
          </w:p>
        </w:tc>
        <w:tc>
          <w:tcPr>
            <w:tcW w:w="1690" w:type="dxa"/>
            <w:tcBorders>
              <w:bottom w:val="nil"/>
            </w:tcBorders>
            <w:shd w:val="clear" w:color="auto" w:fill="D9D9D9"/>
          </w:tcPr>
          <w:p w:rsidR="006E0219" w:rsidRDefault="00BA77C3">
            <w:pPr>
              <w:pStyle w:val="TableParagraph"/>
              <w:rPr>
                <w:sz w:val="20"/>
              </w:rPr>
            </w:pPr>
            <w:r>
              <w:rPr>
                <w:sz w:val="20"/>
              </w:rPr>
              <w:t>Nil</w:t>
            </w:r>
          </w:p>
        </w:tc>
        <w:tc>
          <w:tcPr>
            <w:tcW w:w="1686" w:type="dxa"/>
            <w:tcBorders>
              <w:bottom w:val="nil"/>
              <w:right w:val="nil"/>
            </w:tcBorders>
            <w:shd w:val="clear" w:color="auto" w:fill="D9D9D9"/>
          </w:tcPr>
          <w:p w:rsidR="006E0219" w:rsidRDefault="00BA77C3">
            <w:pPr>
              <w:pStyle w:val="TableParagraph"/>
              <w:rPr>
                <w:sz w:val="20"/>
              </w:rPr>
            </w:pPr>
            <w:r>
              <w:rPr>
                <w:sz w:val="20"/>
              </w:rPr>
              <w:t>Nil</w:t>
            </w:r>
          </w:p>
        </w:tc>
      </w:tr>
    </w:tbl>
    <w:p w:rsidR="006E0219" w:rsidRDefault="006E0219">
      <w:pPr>
        <w:pStyle w:val="BodyText"/>
        <w:rPr>
          <w:i/>
        </w:rPr>
      </w:pPr>
    </w:p>
    <w:p w:rsidR="006E0219" w:rsidRDefault="006E0219">
      <w:pPr>
        <w:pStyle w:val="BodyText"/>
        <w:spacing w:before="7"/>
        <w:rPr>
          <w:i/>
          <w:sz w:val="21"/>
        </w:rPr>
      </w:pPr>
    </w:p>
    <w:p w:rsidR="006E0219" w:rsidRDefault="00BA77C3">
      <w:pPr>
        <w:pStyle w:val="Heading1"/>
      </w:pPr>
      <w:r>
        <w:rPr>
          <w:color w:val="001F5F"/>
        </w:rPr>
        <w:t>Option 3 – Revise prudential requirements</w:t>
      </w:r>
    </w:p>
    <w:p w:rsidR="006E0219" w:rsidRDefault="00BA77C3">
      <w:pPr>
        <w:pStyle w:val="BodyText"/>
        <w:spacing w:before="122"/>
        <w:ind w:left="180" w:right="112"/>
        <w:jc w:val="both"/>
      </w:pPr>
      <w:r>
        <w:t>Under</w:t>
      </w:r>
      <w:r>
        <w:rPr>
          <w:spacing w:val="-10"/>
        </w:rPr>
        <w:t xml:space="preserve"> </w:t>
      </w:r>
      <w:r>
        <w:t>Option</w:t>
      </w:r>
      <w:r>
        <w:rPr>
          <w:spacing w:val="-12"/>
        </w:rPr>
        <w:t xml:space="preserve"> </w:t>
      </w:r>
      <w:r>
        <w:t>3,</w:t>
      </w:r>
      <w:r>
        <w:rPr>
          <w:spacing w:val="-10"/>
        </w:rPr>
        <w:t xml:space="preserve"> </w:t>
      </w:r>
      <w:r>
        <w:t>prudential</w:t>
      </w:r>
      <w:r>
        <w:rPr>
          <w:spacing w:val="-12"/>
        </w:rPr>
        <w:t xml:space="preserve"> </w:t>
      </w:r>
      <w:r>
        <w:t>requirements</w:t>
      </w:r>
      <w:r>
        <w:rPr>
          <w:spacing w:val="-13"/>
        </w:rPr>
        <w:t xml:space="preserve"> </w:t>
      </w:r>
      <w:r>
        <w:t>in</w:t>
      </w:r>
      <w:r>
        <w:rPr>
          <w:spacing w:val="-11"/>
        </w:rPr>
        <w:t xml:space="preserve"> </w:t>
      </w:r>
      <w:r>
        <w:t>LPS</w:t>
      </w:r>
      <w:r>
        <w:rPr>
          <w:spacing w:val="1"/>
        </w:rPr>
        <w:t xml:space="preserve"> </w:t>
      </w:r>
      <w:r>
        <w:t>117</w:t>
      </w:r>
      <w:r>
        <w:rPr>
          <w:spacing w:val="-11"/>
        </w:rPr>
        <w:t xml:space="preserve"> </w:t>
      </w:r>
      <w:r>
        <w:t>would</w:t>
      </w:r>
      <w:r>
        <w:rPr>
          <w:spacing w:val="-11"/>
        </w:rPr>
        <w:t xml:space="preserve"> </w:t>
      </w:r>
      <w:r>
        <w:t>be</w:t>
      </w:r>
      <w:r>
        <w:rPr>
          <w:spacing w:val="-11"/>
        </w:rPr>
        <w:t xml:space="preserve"> </w:t>
      </w:r>
      <w:r>
        <w:t>revised</w:t>
      </w:r>
      <w:r>
        <w:rPr>
          <w:spacing w:val="-11"/>
        </w:rPr>
        <w:t xml:space="preserve"> </w:t>
      </w:r>
      <w:r>
        <w:t>to</w:t>
      </w:r>
      <w:r>
        <w:rPr>
          <w:spacing w:val="-11"/>
        </w:rPr>
        <w:t xml:space="preserve"> </w:t>
      </w:r>
      <w:r>
        <w:t>respond</w:t>
      </w:r>
      <w:r>
        <w:rPr>
          <w:spacing w:val="-12"/>
        </w:rPr>
        <w:t xml:space="preserve"> </w:t>
      </w:r>
      <w:r>
        <w:t>to</w:t>
      </w:r>
      <w:r>
        <w:rPr>
          <w:spacing w:val="-14"/>
        </w:rPr>
        <w:t xml:space="preserve"> </w:t>
      </w:r>
      <w:r>
        <w:t>prudential concerns associated with the increased use of offshore reinsurers and to ensure additional risks present due to the use of offshore reinsurers are managed and mitigated. The key proposed changes are limits on the use of offshore reinsurers above</w:t>
      </w:r>
      <w:r>
        <w:t xml:space="preserve"> which additional capital charges</w:t>
      </w:r>
      <w:r>
        <w:rPr>
          <w:spacing w:val="-16"/>
        </w:rPr>
        <w:t xml:space="preserve"> </w:t>
      </w:r>
      <w:r>
        <w:t>apply.</w:t>
      </w:r>
      <w:r>
        <w:rPr>
          <w:spacing w:val="-14"/>
        </w:rPr>
        <w:t xml:space="preserve"> </w:t>
      </w:r>
      <w:r>
        <w:t>These</w:t>
      </w:r>
      <w:r>
        <w:rPr>
          <w:spacing w:val="-15"/>
        </w:rPr>
        <w:t xml:space="preserve"> </w:t>
      </w:r>
      <w:r>
        <w:t>limits</w:t>
      </w:r>
      <w:r>
        <w:rPr>
          <w:spacing w:val="-13"/>
        </w:rPr>
        <w:t xml:space="preserve"> </w:t>
      </w:r>
      <w:r>
        <w:t>would</w:t>
      </w:r>
      <w:r>
        <w:rPr>
          <w:spacing w:val="-12"/>
        </w:rPr>
        <w:t xml:space="preserve"> </w:t>
      </w:r>
      <w:r>
        <w:t>be</w:t>
      </w:r>
      <w:r>
        <w:rPr>
          <w:spacing w:val="-13"/>
        </w:rPr>
        <w:t xml:space="preserve"> </w:t>
      </w:r>
      <w:r>
        <w:t>calibrated</w:t>
      </w:r>
      <w:r>
        <w:rPr>
          <w:spacing w:val="-17"/>
        </w:rPr>
        <w:t xml:space="preserve"> </w:t>
      </w:r>
      <w:r>
        <w:t>to</w:t>
      </w:r>
      <w:r>
        <w:rPr>
          <w:spacing w:val="-18"/>
        </w:rPr>
        <w:t xml:space="preserve"> </w:t>
      </w:r>
      <w:r>
        <w:t>stop</w:t>
      </w:r>
      <w:r>
        <w:rPr>
          <w:spacing w:val="-18"/>
        </w:rPr>
        <w:t xml:space="preserve"> </w:t>
      </w:r>
      <w:r>
        <w:t>growth</w:t>
      </w:r>
      <w:r>
        <w:rPr>
          <w:spacing w:val="-12"/>
        </w:rPr>
        <w:t xml:space="preserve"> </w:t>
      </w:r>
      <w:r>
        <w:t>in</w:t>
      </w:r>
      <w:r>
        <w:rPr>
          <w:spacing w:val="-16"/>
        </w:rPr>
        <w:t xml:space="preserve"> </w:t>
      </w:r>
      <w:r>
        <w:t>the</w:t>
      </w:r>
      <w:r>
        <w:rPr>
          <w:spacing w:val="-15"/>
        </w:rPr>
        <w:t xml:space="preserve"> </w:t>
      </w:r>
      <w:r>
        <w:t>use</w:t>
      </w:r>
      <w:r>
        <w:rPr>
          <w:spacing w:val="-15"/>
        </w:rPr>
        <w:t xml:space="preserve"> </w:t>
      </w:r>
      <w:r>
        <w:t>of</w:t>
      </w:r>
      <w:r>
        <w:rPr>
          <w:spacing w:val="-14"/>
        </w:rPr>
        <w:t xml:space="preserve"> </w:t>
      </w:r>
      <w:r>
        <w:t>offshore</w:t>
      </w:r>
      <w:r>
        <w:rPr>
          <w:spacing w:val="-15"/>
        </w:rPr>
        <w:t xml:space="preserve"> </w:t>
      </w:r>
      <w:r>
        <w:t>reinsurers reaching</w:t>
      </w:r>
      <w:r>
        <w:rPr>
          <w:spacing w:val="-7"/>
        </w:rPr>
        <w:t xml:space="preserve"> </w:t>
      </w:r>
      <w:r>
        <w:t>excessive</w:t>
      </w:r>
      <w:r>
        <w:rPr>
          <w:spacing w:val="-5"/>
        </w:rPr>
        <w:t xml:space="preserve"> </w:t>
      </w:r>
      <w:r>
        <w:t>levels,</w:t>
      </w:r>
      <w:r>
        <w:rPr>
          <w:spacing w:val="-4"/>
        </w:rPr>
        <w:t xml:space="preserve"> </w:t>
      </w:r>
      <w:r>
        <w:t>rather</w:t>
      </w:r>
      <w:r>
        <w:rPr>
          <w:spacing w:val="-4"/>
        </w:rPr>
        <w:t xml:space="preserve"> </w:t>
      </w:r>
      <w:r>
        <w:t>than</w:t>
      </w:r>
      <w:r>
        <w:rPr>
          <w:spacing w:val="-8"/>
        </w:rPr>
        <w:t xml:space="preserve"> </w:t>
      </w:r>
      <w:r>
        <w:t>materially</w:t>
      </w:r>
      <w:r>
        <w:rPr>
          <w:spacing w:val="-7"/>
        </w:rPr>
        <w:t xml:space="preserve"> </w:t>
      </w:r>
      <w:r>
        <w:t>impact</w:t>
      </w:r>
      <w:r>
        <w:rPr>
          <w:spacing w:val="-6"/>
        </w:rPr>
        <w:t xml:space="preserve"> </w:t>
      </w:r>
      <w:r>
        <w:t>current</w:t>
      </w:r>
      <w:r>
        <w:rPr>
          <w:spacing w:val="-6"/>
        </w:rPr>
        <w:t xml:space="preserve"> </w:t>
      </w:r>
      <w:r>
        <w:t>practices,</w:t>
      </w:r>
      <w:r>
        <w:rPr>
          <w:spacing w:val="-9"/>
        </w:rPr>
        <w:t xml:space="preserve"> </w:t>
      </w:r>
      <w:r>
        <w:t>hence</w:t>
      </w:r>
      <w:r>
        <w:rPr>
          <w:spacing w:val="-6"/>
        </w:rPr>
        <w:t xml:space="preserve"> </w:t>
      </w:r>
      <w:r>
        <w:t>reducing</w:t>
      </w:r>
      <w:r>
        <w:rPr>
          <w:spacing w:val="-6"/>
        </w:rPr>
        <w:t xml:space="preserve"> </w:t>
      </w:r>
      <w:r>
        <w:t>the costs associated with these</w:t>
      </w:r>
      <w:r>
        <w:rPr>
          <w:spacing w:val="-4"/>
        </w:rPr>
        <w:t xml:space="preserve"> </w:t>
      </w:r>
      <w:r>
        <w:t>proposals.</w:t>
      </w:r>
    </w:p>
    <w:p w:rsidR="006E0219" w:rsidRDefault="006E0219">
      <w:pPr>
        <w:pStyle w:val="BodyText"/>
        <w:spacing w:before="8"/>
        <w:rPr>
          <w:sz w:val="20"/>
        </w:rPr>
      </w:pPr>
    </w:p>
    <w:p w:rsidR="006E0219" w:rsidRDefault="00BA77C3">
      <w:pPr>
        <w:pStyle w:val="BodyText"/>
        <w:ind w:left="180" w:right="113"/>
        <w:jc w:val="both"/>
      </w:pPr>
      <w:r>
        <w:t>APRA would also make enhancements to LPS 117 to address technical issues with how the standard is operating. These amendments aim to make the standard clearer and easier to implement, reducing the need for ad hoc clarifications and therefore also the med</w:t>
      </w:r>
      <w:r>
        <w:t>ium-term compliance burden for industry.</w:t>
      </w:r>
    </w:p>
    <w:p w:rsidR="006E0219" w:rsidRDefault="006E0219">
      <w:pPr>
        <w:pStyle w:val="BodyText"/>
        <w:spacing w:before="11"/>
        <w:rPr>
          <w:sz w:val="20"/>
        </w:rPr>
      </w:pPr>
    </w:p>
    <w:p w:rsidR="006E0219" w:rsidRDefault="00BA77C3">
      <w:pPr>
        <w:pStyle w:val="BodyText"/>
        <w:ind w:left="180" w:right="114"/>
        <w:jc w:val="both"/>
      </w:pPr>
      <w:r>
        <w:t>Option 3 would result in a small increase in compliance costs.</w:t>
      </w:r>
      <w:r>
        <w:rPr>
          <w:spacing w:val="-44"/>
        </w:rPr>
        <w:t xml:space="preserve"> </w:t>
      </w:r>
      <w:r>
        <w:t>However, addressing technical issues</w:t>
      </w:r>
      <w:r>
        <w:rPr>
          <w:spacing w:val="-13"/>
        </w:rPr>
        <w:t xml:space="preserve"> </w:t>
      </w:r>
      <w:r>
        <w:t>with</w:t>
      </w:r>
      <w:r>
        <w:rPr>
          <w:spacing w:val="-13"/>
        </w:rPr>
        <w:t xml:space="preserve"> </w:t>
      </w:r>
      <w:r>
        <w:t>LPS</w:t>
      </w:r>
      <w:r>
        <w:rPr>
          <w:spacing w:val="-13"/>
        </w:rPr>
        <w:t xml:space="preserve"> </w:t>
      </w:r>
      <w:r>
        <w:t>117</w:t>
      </w:r>
      <w:r>
        <w:rPr>
          <w:spacing w:val="-13"/>
        </w:rPr>
        <w:t xml:space="preserve"> </w:t>
      </w:r>
      <w:r>
        <w:t>and</w:t>
      </w:r>
      <w:r>
        <w:rPr>
          <w:spacing w:val="-18"/>
        </w:rPr>
        <w:t xml:space="preserve"> </w:t>
      </w:r>
      <w:r>
        <w:t>making</w:t>
      </w:r>
      <w:r>
        <w:rPr>
          <w:spacing w:val="-16"/>
        </w:rPr>
        <w:t xml:space="preserve"> </w:t>
      </w:r>
      <w:r>
        <w:t>revisions</w:t>
      </w:r>
      <w:r>
        <w:rPr>
          <w:spacing w:val="-12"/>
        </w:rPr>
        <w:t xml:space="preserve"> </w:t>
      </w:r>
      <w:r>
        <w:t>in</w:t>
      </w:r>
      <w:r>
        <w:rPr>
          <w:spacing w:val="-13"/>
        </w:rPr>
        <w:t xml:space="preserve"> </w:t>
      </w:r>
      <w:r>
        <w:t>response</w:t>
      </w:r>
      <w:r>
        <w:rPr>
          <w:spacing w:val="-14"/>
        </w:rPr>
        <w:t xml:space="preserve"> </w:t>
      </w:r>
      <w:r>
        <w:t>to</w:t>
      </w:r>
      <w:r>
        <w:rPr>
          <w:spacing w:val="-15"/>
        </w:rPr>
        <w:t xml:space="preserve"> </w:t>
      </w:r>
      <w:r>
        <w:t>the</w:t>
      </w:r>
      <w:r>
        <w:rPr>
          <w:spacing w:val="-16"/>
        </w:rPr>
        <w:t xml:space="preserve"> </w:t>
      </w:r>
      <w:r>
        <w:t>prevalence</w:t>
      </w:r>
      <w:r>
        <w:rPr>
          <w:spacing w:val="-12"/>
        </w:rPr>
        <w:t xml:space="preserve"> </w:t>
      </w:r>
      <w:r>
        <w:t>of</w:t>
      </w:r>
      <w:r>
        <w:rPr>
          <w:spacing w:val="-13"/>
        </w:rPr>
        <w:t xml:space="preserve"> </w:t>
      </w:r>
      <w:r>
        <w:t>offshore</w:t>
      </w:r>
      <w:r>
        <w:rPr>
          <w:spacing w:val="-15"/>
        </w:rPr>
        <w:t xml:space="preserve"> </w:t>
      </w:r>
      <w:r>
        <w:t>reinsurers would likely provide a net</w:t>
      </w:r>
      <w:r>
        <w:rPr>
          <w:spacing w:val="-2"/>
        </w:rPr>
        <w:t xml:space="preserve"> </w:t>
      </w:r>
      <w:r>
        <w:t>benefit.</w:t>
      </w:r>
    </w:p>
    <w:p w:rsidR="006E0219" w:rsidRDefault="006E0219">
      <w:pPr>
        <w:pStyle w:val="BodyText"/>
        <w:spacing w:before="9"/>
        <w:rPr>
          <w:sz w:val="20"/>
        </w:rPr>
      </w:pPr>
    </w:p>
    <w:p w:rsidR="006E0219" w:rsidRDefault="00BA77C3">
      <w:pPr>
        <w:spacing w:before="1"/>
        <w:ind w:left="180"/>
        <w:jc w:val="both"/>
        <w:rPr>
          <w:i/>
        </w:rPr>
      </w:pPr>
      <w:r>
        <w:rPr>
          <w:i/>
        </w:rPr>
        <w:t>Table 5: Option 3 - Estimate of regulatory burden</w:t>
      </w:r>
    </w:p>
    <w:p w:rsidR="006E0219" w:rsidRDefault="006E0219">
      <w:pPr>
        <w:pStyle w:val="BodyText"/>
        <w:spacing w:before="9"/>
        <w:rPr>
          <w:i/>
          <w:sz w:val="21"/>
        </w:rPr>
      </w:pPr>
    </w:p>
    <w:tbl>
      <w:tblPr>
        <w:tblW w:w="0" w:type="auto"/>
        <w:tblCellSpacing w:w="4" w:type="dxa"/>
        <w:tblInd w:w="202" w:type="dxa"/>
        <w:tblLayout w:type="fixed"/>
        <w:tblCellMar>
          <w:left w:w="0" w:type="dxa"/>
          <w:right w:w="0" w:type="dxa"/>
        </w:tblCellMar>
        <w:tblLook w:val="01E0" w:firstRow="1" w:lastRow="1" w:firstColumn="1" w:lastColumn="1" w:noHBand="0" w:noVBand="0"/>
      </w:tblPr>
      <w:tblGrid>
        <w:gridCol w:w="2273"/>
        <w:gridCol w:w="1697"/>
        <w:gridCol w:w="1697"/>
        <w:gridCol w:w="1698"/>
        <w:gridCol w:w="1698"/>
      </w:tblGrid>
      <w:tr w:rsidR="006E0219">
        <w:trPr>
          <w:trHeight w:val="340"/>
          <w:tblCellSpacing w:w="4" w:type="dxa"/>
        </w:trPr>
        <w:tc>
          <w:tcPr>
            <w:tcW w:w="9015" w:type="dxa"/>
            <w:gridSpan w:val="5"/>
            <w:tcBorders>
              <w:top w:val="nil"/>
              <w:left w:val="nil"/>
              <w:right w:val="nil"/>
            </w:tcBorders>
            <w:shd w:val="clear" w:color="auto" w:fill="001F5F"/>
          </w:tcPr>
          <w:p w:rsidR="006E0219" w:rsidRDefault="00BA77C3">
            <w:pPr>
              <w:pStyle w:val="TableParagraph"/>
              <w:ind w:left="103"/>
              <w:rPr>
                <w:sz w:val="20"/>
              </w:rPr>
            </w:pPr>
            <w:r>
              <w:rPr>
                <w:color w:val="FFFFFF"/>
                <w:sz w:val="20"/>
              </w:rPr>
              <w:t>Annual regulatory costs, averaged over 10 years</w:t>
            </w:r>
          </w:p>
        </w:tc>
      </w:tr>
      <w:tr w:rsidR="006E0219">
        <w:trPr>
          <w:trHeight w:val="570"/>
          <w:tblCellSpacing w:w="4" w:type="dxa"/>
        </w:trPr>
        <w:tc>
          <w:tcPr>
            <w:tcW w:w="2261" w:type="dxa"/>
            <w:tcBorders>
              <w:left w:val="nil"/>
            </w:tcBorders>
            <w:shd w:val="clear" w:color="auto" w:fill="001F5F"/>
          </w:tcPr>
          <w:p w:rsidR="006E0219" w:rsidRDefault="00BA77C3">
            <w:pPr>
              <w:pStyle w:val="TableParagraph"/>
              <w:ind w:left="103"/>
              <w:rPr>
                <w:sz w:val="20"/>
              </w:rPr>
            </w:pPr>
            <w:r>
              <w:rPr>
                <w:color w:val="FFFFFF"/>
                <w:sz w:val="20"/>
              </w:rPr>
              <w:t>Change in costs</w:t>
            </w:r>
          </w:p>
        </w:tc>
        <w:tc>
          <w:tcPr>
            <w:tcW w:w="1689" w:type="dxa"/>
            <w:tcBorders>
              <w:right w:val="nil"/>
            </w:tcBorders>
            <w:shd w:val="clear" w:color="auto" w:fill="D9D9D9"/>
          </w:tcPr>
          <w:p w:rsidR="006E0219" w:rsidRDefault="00BA77C3">
            <w:pPr>
              <w:pStyle w:val="TableParagraph"/>
              <w:rPr>
                <w:sz w:val="20"/>
              </w:rPr>
            </w:pPr>
            <w:r>
              <w:rPr>
                <w:sz w:val="20"/>
              </w:rPr>
              <w:t>Business</w:t>
            </w:r>
          </w:p>
        </w:tc>
        <w:tc>
          <w:tcPr>
            <w:tcW w:w="1689" w:type="dxa"/>
            <w:tcBorders>
              <w:left w:val="nil"/>
            </w:tcBorders>
            <w:shd w:val="clear" w:color="auto" w:fill="D9D9D9"/>
          </w:tcPr>
          <w:p w:rsidR="006E0219" w:rsidRDefault="00BA77C3">
            <w:pPr>
              <w:pStyle w:val="TableParagraph"/>
              <w:ind w:left="101" w:right="378"/>
              <w:rPr>
                <w:sz w:val="20"/>
              </w:rPr>
            </w:pPr>
            <w:r>
              <w:rPr>
                <w:sz w:val="20"/>
              </w:rPr>
              <w:t>Community organisations</w:t>
            </w:r>
          </w:p>
        </w:tc>
        <w:tc>
          <w:tcPr>
            <w:tcW w:w="1690" w:type="dxa"/>
            <w:shd w:val="clear" w:color="auto" w:fill="D9D9D9"/>
          </w:tcPr>
          <w:p w:rsidR="006E0219" w:rsidRDefault="00BA77C3">
            <w:pPr>
              <w:pStyle w:val="TableParagraph"/>
              <w:rPr>
                <w:sz w:val="20"/>
              </w:rPr>
            </w:pPr>
            <w:r>
              <w:rPr>
                <w:sz w:val="20"/>
              </w:rPr>
              <w:t>Individuals</w:t>
            </w:r>
          </w:p>
        </w:tc>
        <w:tc>
          <w:tcPr>
            <w:tcW w:w="1686" w:type="dxa"/>
            <w:tcBorders>
              <w:right w:val="nil"/>
            </w:tcBorders>
            <w:shd w:val="clear" w:color="auto" w:fill="D9D9D9"/>
          </w:tcPr>
          <w:p w:rsidR="006E0219" w:rsidRDefault="00BA77C3">
            <w:pPr>
              <w:pStyle w:val="TableParagraph"/>
              <w:ind w:right="196"/>
              <w:rPr>
                <w:sz w:val="20"/>
              </w:rPr>
            </w:pPr>
            <w:r>
              <w:rPr>
                <w:sz w:val="20"/>
              </w:rPr>
              <w:t>Total change in costs</w:t>
            </w:r>
          </w:p>
        </w:tc>
      </w:tr>
      <w:tr w:rsidR="006E0219">
        <w:trPr>
          <w:trHeight w:val="340"/>
          <w:tblCellSpacing w:w="4" w:type="dxa"/>
        </w:trPr>
        <w:tc>
          <w:tcPr>
            <w:tcW w:w="2261" w:type="dxa"/>
            <w:tcBorders>
              <w:left w:val="nil"/>
              <w:bottom w:val="nil"/>
            </w:tcBorders>
            <w:shd w:val="clear" w:color="auto" w:fill="001F5F"/>
          </w:tcPr>
          <w:p w:rsidR="006E0219" w:rsidRDefault="00BA77C3">
            <w:pPr>
              <w:pStyle w:val="TableParagraph"/>
              <w:ind w:left="103"/>
              <w:rPr>
                <w:sz w:val="20"/>
              </w:rPr>
            </w:pPr>
            <w:r>
              <w:rPr>
                <w:color w:val="FFFFFF"/>
                <w:sz w:val="20"/>
              </w:rPr>
              <w:t>Total, by sector</w:t>
            </w:r>
          </w:p>
        </w:tc>
        <w:tc>
          <w:tcPr>
            <w:tcW w:w="1689" w:type="dxa"/>
            <w:tcBorders>
              <w:bottom w:val="nil"/>
              <w:right w:val="nil"/>
            </w:tcBorders>
            <w:shd w:val="clear" w:color="auto" w:fill="D9D9D9"/>
          </w:tcPr>
          <w:p w:rsidR="006E0219" w:rsidRDefault="00BA77C3">
            <w:pPr>
              <w:pStyle w:val="TableParagraph"/>
              <w:rPr>
                <w:sz w:val="20"/>
              </w:rPr>
            </w:pPr>
            <w:r>
              <w:rPr>
                <w:sz w:val="20"/>
              </w:rPr>
              <w:t>$323,671</w:t>
            </w:r>
          </w:p>
        </w:tc>
        <w:tc>
          <w:tcPr>
            <w:tcW w:w="1689" w:type="dxa"/>
            <w:tcBorders>
              <w:left w:val="nil"/>
              <w:bottom w:val="nil"/>
            </w:tcBorders>
            <w:shd w:val="clear" w:color="auto" w:fill="D9D9D9"/>
          </w:tcPr>
          <w:p w:rsidR="006E0219" w:rsidRDefault="00BA77C3">
            <w:pPr>
              <w:pStyle w:val="TableParagraph"/>
              <w:ind w:left="101"/>
              <w:rPr>
                <w:sz w:val="20"/>
              </w:rPr>
            </w:pPr>
            <w:r>
              <w:rPr>
                <w:sz w:val="20"/>
              </w:rPr>
              <w:t>Nil</w:t>
            </w:r>
          </w:p>
        </w:tc>
        <w:tc>
          <w:tcPr>
            <w:tcW w:w="1690" w:type="dxa"/>
            <w:tcBorders>
              <w:bottom w:val="nil"/>
            </w:tcBorders>
            <w:shd w:val="clear" w:color="auto" w:fill="D9D9D9"/>
          </w:tcPr>
          <w:p w:rsidR="006E0219" w:rsidRDefault="00BA77C3">
            <w:pPr>
              <w:pStyle w:val="TableParagraph"/>
              <w:rPr>
                <w:sz w:val="20"/>
              </w:rPr>
            </w:pPr>
            <w:r>
              <w:rPr>
                <w:sz w:val="20"/>
              </w:rPr>
              <w:t>Nil</w:t>
            </w:r>
          </w:p>
        </w:tc>
        <w:tc>
          <w:tcPr>
            <w:tcW w:w="1686" w:type="dxa"/>
            <w:tcBorders>
              <w:bottom w:val="nil"/>
              <w:right w:val="nil"/>
            </w:tcBorders>
            <w:shd w:val="clear" w:color="auto" w:fill="D9D9D9"/>
          </w:tcPr>
          <w:p w:rsidR="006E0219" w:rsidRDefault="00BA77C3">
            <w:pPr>
              <w:pStyle w:val="TableParagraph"/>
              <w:rPr>
                <w:sz w:val="20"/>
              </w:rPr>
            </w:pPr>
            <w:r>
              <w:rPr>
                <w:sz w:val="20"/>
              </w:rPr>
              <w:t>$323,671</w:t>
            </w:r>
          </w:p>
        </w:tc>
      </w:tr>
    </w:tbl>
    <w:p w:rsidR="006E0219" w:rsidRDefault="006E0219">
      <w:pPr>
        <w:pStyle w:val="BodyText"/>
        <w:spacing w:before="8"/>
        <w:rPr>
          <w:i/>
          <w:sz w:val="21"/>
        </w:rPr>
      </w:pPr>
    </w:p>
    <w:p w:rsidR="006E0219" w:rsidRDefault="00BA77C3">
      <w:pPr>
        <w:pStyle w:val="Heading1"/>
      </w:pPr>
      <w:r>
        <w:t>Assessment of net benefit</w:t>
      </w:r>
    </w:p>
    <w:p w:rsidR="006E0219" w:rsidRDefault="00BA77C3">
      <w:pPr>
        <w:pStyle w:val="BodyText"/>
        <w:spacing w:before="119"/>
        <w:ind w:left="180" w:right="118"/>
        <w:jc w:val="both"/>
      </w:pPr>
      <w:r>
        <w:t>As outlined in APRA’s 2019 Consultation Letter and 2021 Response Paper, there are net benefits of APRA’s approach to revising LPS 117 (Option 3):</w:t>
      </w:r>
    </w:p>
    <w:p w:rsidR="006E0219" w:rsidRDefault="006E0219">
      <w:pPr>
        <w:pStyle w:val="BodyText"/>
        <w:spacing w:before="1"/>
        <w:rPr>
          <w:sz w:val="21"/>
        </w:rPr>
      </w:pPr>
    </w:p>
    <w:p w:rsidR="006E0219" w:rsidRDefault="00BA77C3">
      <w:pPr>
        <w:pStyle w:val="ListParagraph"/>
        <w:numPr>
          <w:ilvl w:val="0"/>
          <w:numId w:val="1"/>
        </w:numPr>
        <w:tabs>
          <w:tab w:val="left" w:pos="605"/>
          <w:tab w:val="left" w:pos="606"/>
        </w:tabs>
        <w:spacing w:line="237" w:lineRule="auto"/>
        <w:ind w:right="118"/>
      </w:pPr>
      <w:r>
        <w:t>Revising LPS 117 will allow APRA to continue to have the oversight of the life insu</w:t>
      </w:r>
      <w:r>
        <w:t>rance market needed to provide protection to</w:t>
      </w:r>
      <w:r>
        <w:rPr>
          <w:spacing w:val="-8"/>
        </w:rPr>
        <w:t xml:space="preserve"> </w:t>
      </w:r>
      <w:r>
        <w:t>policyholders.</w:t>
      </w:r>
    </w:p>
    <w:p w:rsidR="006E0219" w:rsidRDefault="006E0219">
      <w:pPr>
        <w:pStyle w:val="BodyText"/>
        <w:spacing w:before="2"/>
        <w:rPr>
          <w:sz w:val="21"/>
        </w:rPr>
      </w:pPr>
    </w:p>
    <w:p w:rsidR="006E0219" w:rsidRDefault="00BA77C3">
      <w:pPr>
        <w:pStyle w:val="ListParagraph"/>
        <w:numPr>
          <w:ilvl w:val="0"/>
          <w:numId w:val="1"/>
        </w:numPr>
        <w:tabs>
          <w:tab w:val="left" w:pos="605"/>
          <w:tab w:val="left" w:pos="606"/>
        </w:tabs>
        <w:spacing w:line="237" w:lineRule="auto"/>
        <w:ind w:right="114"/>
      </w:pPr>
      <w:r>
        <w:t>Revising</w:t>
      </w:r>
      <w:r>
        <w:rPr>
          <w:spacing w:val="-4"/>
        </w:rPr>
        <w:t xml:space="preserve"> </w:t>
      </w:r>
      <w:r>
        <w:t>LPS</w:t>
      </w:r>
      <w:r>
        <w:rPr>
          <w:spacing w:val="-7"/>
        </w:rPr>
        <w:t xml:space="preserve"> </w:t>
      </w:r>
      <w:r>
        <w:t>117</w:t>
      </w:r>
      <w:r>
        <w:rPr>
          <w:spacing w:val="-6"/>
        </w:rPr>
        <w:t xml:space="preserve"> </w:t>
      </w:r>
      <w:r>
        <w:t>allows</w:t>
      </w:r>
      <w:r>
        <w:rPr>
          <w:spacing w:val="-2"/>
        </w:rPr>
        <w:t xml:space="preserve"> </w:t>
      </w:r>
      <w:r>
        <w:t>life</w:t>
      </w:r>
      <w:r>
        <w:rPr>
          <w:spacing w:val="-6"/>
        </w:rPr>
        <w:t xml:space="preserve"> </w:t>
      </w:r>
      <w:r>
        <w:t>insurers</w:t>
      </w:r>
      <w:r>
        <w:rPr>
          <w:spacing w:val="-5"/>
        </w:rPr>
        <w:t xml:space="preserve"> </w:t>
      </w:r>
      <w:r>
        <w:t>to</w:t>
      </w:r>
      <w:r>
        <w:rPr>
          <w:spacing w:val="-6"/>
        </w:rPr>
        <w:t xml:space="preserve"> </w:t>
      </w:r>
      <w:r>
        <w:t>continue</w:t>
      </w:r>
      <w:r>
        <w:rPr>
          <w:spacing w:val="-8"/>
        </w:rPr>
        <w:t xml:space="preserve"> </w:t>
      </w:r>
      <w:r>
        <w:t>to</w:t>
      </w:r>
      <w:r>
        <w:rPr>
          <w:spacing w:val="-6"/>
        </w:rPr>
        <w:t xml:space="preserve"> </w:t>
      </w:r>
      <w:r>
        <w:t>access</w:t>
      </w:r>
      <w:r>
        <w:rPr>
          <w:spacing w:val="-6"/>
        </w:rPr>
        <w:t xml:space="preserve"> </w:t>
      </w:r>
      <w:r>
        <w:t>offshore</w:t>
      </w:r>
      <w:r>
        <w:rPr>
          <w:spacing w:val="-5"/>
        </w:rPr>
        <w:t xml:space="preserve"> </w:t>
      </w:r>
      <w:r>
        <w:t>reinsurance</w:t>
      </w:r>
      <w:r>
        <w:rPr>
          <w:spacing w:val="-6"/>
        </w:rPr>
        <w:t xml:space="preserve"> </w:t>
      </w:r>
      <w:r>
        <w:t>markets within</w:t>
      </w:r>
      <w:r>
        <w:rPr>
          <w:spacing w:val="12"/>
        </w:rPr>
        <w:t xml:space="preserve"> </w:t>
      </w:r>
      <w:r>
        <w:t>prudent</w:t>
      </w:r>
      <w:r>
        <w:rPr>
          <w:spacing w:val="13"/>
        </w:rPr>
        <w:t xml:space="preserve"> </w:t>
      </w:r>
      <w:r>
        <w:t>levels,</w:t>
      </w:r>
      <w:r>
        <w:rPr>
          <w:spacing w:val="14"/>
        </w:rPr>
        <w:t xml:space="preserve"> </w:t>
      </w:r>
      <w:r>
        <w:t>ensuring</w:t>
      </w:r>
      <w:r>
        <w:rPr>
          <w:spacing w:val="9"/>
        </w:rPr>
        <w:t xml:space="preserve"> </w:t>
      </w:r>
      <w:r>
        <w:t>greater</w:t>
      </w:r>
      <w:r>
        <w:rPr>
          <w:spacing w:val="11"/>
        </w:rPr>
        <w:t xml:space="preserve"> </w:t>
      </w:r>
      <w:r>
        <w:t>industry</w:t>
      </w:r>
      <w:r>
        <w:rPr>
          <w:spacing w:val="7"/>
        </w:rPr>
        <w:t xml:space="preserve"> </w:t>
      </w:r>
      <w:r>
        <w:t>stability.</w:t>
      </w:r>
      <w:r>
        <w:rPr>
          <w:spacing w:val="16"/>
        </w:rPr>
        <w:t xml:space="preserve"> </w:t>
      </w:r>
      <w:r>
        <w:t>If</w:t>
      </w:r>
      <w:r>
        <w:rPr>
          <w:spacing w:val="14"/>
        </w:rPr>
        <w:t xml:space="preserve"> </w:t>
      </w:r>
      <w:r>
        <w:t>an</w:t>
      </w:r>
      <w:r>
        <w:rPr>
          <w:spacing w:val="9"/>
        </w:rPr>
        <w:t xml:space="preserve"> </w:t>
      </w:r>
      <w:r>
        <w:t>insurer</w:t>
      </w:r>
      <w:r>
        <w:rPr>
          <w:spacing w:val="11"/>
        </w:rPr>
        <w:t xml:space="preserve"> </w:t>
      </w:r>
      <w:r>
        <w:t>exceeds</w:t>
      </w:r>
      <w:r>
        <w:rPr>
          <w:spacing w:val="10"/>
        </w:rPr>
        <w:t xml:space="preserve"> </w:t>
      </w:r>
      <w:r>
        <w:t>the</w:t>
      </w:r>
      <w:r>
        <w:rPr>
          <w:spacing w:val="12"/>
        </w:rPr>
        <w:t xml:space="preserve"> </w:t>
      </w:r>
      <w:r>
        <w:t>limits</w:t>
      </w:r>
    </w:p>
    <w:p w:rsidR="006E0219" w:rsidRDefault="006E0219">
      <w:pPr>
        <w:spacing w:line="237" w:lineRule="auto"/>
        <w:sectPr w:rsidR="006E0219">
          <w:pgSz w:w="11910" w:h="16840"/>
          <w:pgMar w:top="1460" w:right="1320" w:bottom="740" w:left="1260" w:header="0" w:footer="556" w:gutter="0"/>
          <w:cols w:space="720"/>
        </w:sectPr>
      </w:pPr>
    </w:p>
    <w:p w:rsidR="006E0219" w:rsidRDefault="00BA77C3">
      <w:pPr>
        <w:pStyle w:val="BodyText"/>
        <w:spacing w:before="67"/>
        <w:ind w:left="605"/>
      </w:pPr>
      <w:r>
        <w:lastRenderedPageBreak/>
        <w:t>on the use of offshore reinsurers, additional capital will need to be held to reflect the heightened levels of risk.</w:t>
      </w:r>
    </w:p>
    <w:p w:rsidR="006E0219" w:rsidRDefault="006E0219">
      <w:pPr>
        <w:pStyle w:val="BodyText"/>
        <w:spacing w:before="3"/>
        <w:rPr>
          <w:sz w:val="21"/>
        </w:rPr>
      </w:pPr>
    </w:p>
    <w:p w:rsidR="006E0219" w:rsidRDefault="00BA77C3">
      <w:pPr>
        <w:pStyle w:val="ListParagraph"/>
        <w:numPr>
          <w:ilvl w:val="0"/>
          <w:numId w:val="1"/>
        </w:numPr>
        <w:tabs>
          <w:tab w:val="left" w:pos="606"/>
        </w:tabs>
        <w:spacing w:line="237" w:lineRule="auto"/>
        <w:ind w:right="117"/>
        <w:jc w:val="both"/>
      </w:pPr>
      <w:r>
        <w:t>Revising LPS 117 will aim to ensure risks associated with using offshore reinsurers are appropriately mitigated or</w:t>
      </w:r>
      <w:r>
        <w:rPr>
          <w:spacing w:val="-4"/>
        </w:rPr>
        <w:t xml:space="preserve"> </w:t>
      </w:r>
      <w:r>
        <w:t>mana</w:t>
      </w:r>
      <w:r>
        <w:t>ged.</w:t>
      </w:r>
    </w:p>
    <w:p w:rsidR="006E0219" w:rsidRDefault="006E0219">
      <w:pPr>
        <w:pStyle w:val="BodyText"/>
        <w:rPr>
          <w:sz w:val="21"/>
        </w:rPr>
      </w:pPr>
    </w:p>
    <w:p w:rsidR="006E0219" w:rsidRDefault="00BA77C3">
      <w:pPr>
        <w:pStyle w:val="ListParagraph"/>
        <w:numPr>
          <w:ilvl w:val="0"/>
          <w:numId w:val="1"/>
        </w:numPr>
        <w:tabs>
          <w:tab w:val="left" w:pos="606"/>
        </w:tabs>
        <w:jc w:val="both"/>
      </w:pPr>
      <w:r>
        <w:t>The technical revisions made to LPS 117 will make regulatory requirements clearer, reducing the need for industry and APRA to clarify, and sometimes amend, the requirements on a case by case basis. The application and approval process to amend requir</w:t>
      </w:r>
      <w:r>
        <w:t>ements for individual insurers can take a significant amount of time and resources for</w:t>
      </w:r>
      <w:r>
        <w:rPr>
          <w:spacing w:val="-8"/>
        </w:rPr>
        <w:t xml:space="preserve"> </w:t>
      </w:r>
      <w:r>
        <w:t>insurers.</w:t>
      </w:r>
      <w:r>
        <w:rPr>
          <w:spacing w:val="-6"/>
        </w:rPr>
        <w:t xml:space="preserve"> </w:t>
      </w:r>
      <w:r>
        <w:t>Reducing</w:t>
      </w:r>
      <w:r>
        <w:rPr>
          <w:spacing w:val="-6"/>
        </w:rPr>
        <w:t xml:space="preserve"> </w:t>
      </w:r>
      <w:r>
        <w:t>the</w:t>
      </w:r>
      <w:r>
        <w:rPr>
          <w:spacing w:val="-5"/>
        </w:rPr>
        <w:t xml:space="preserve"> </w:t>
      </w:r>
      <w:r>
        <w:t>need</w:t>
      </w:r>
      <w:r>
        <w:rPr>
          <w:spacing w:val="-8"/>
        </w:rPr>
        <w:t xml:space="preserve"> </w:t>
      </w:r>
      <w:r>
        <w:t>for</w:t>
      </w:r>
      <w:r>
        <w:rPr>
          <w:spacing w:val="-7"/>
        </w:rPr>
        <w:t xml:space="preserve"> </w:t>
      </w:r>
      <w:r>
        <w:t>these</w:t>
      </w:r>
      <w:r>
        <w:rPr>
          <w:spacing w:val="-8"/>
        </w:rPr>
        <w:t xml:space="preserve"> </w:t>
      </w:r>
      <w:r>
        <w:t>individual</w:t>
      </w:r>
      <w:r>
        <w:rPr>
          <w:spacing w:val="-6"/>
        </w:rPr>
        <w:t xml:space="preserve"> </w:t>
      </w:r>
      <w:r>
        <w:t>amendments</w:t>
      </w:r>
      <w:r>
        <w:rPr>
          <w:spacing w:val="-7"/>
        </w:rPr>
        <w:t xml:space="preserve"> </w:t>
      </w:r>
      <w:r>
        <w:t>is</w:t>
      </w:r>
      <w:r>
        <w:rPr>
          <w:spacing w:val="-7"/>
        </w:rPr>
        <w:t xml:space="preserve"> </w:t>
      </w:r>
      <w:r>
        <w:t>therefore</w:t>
      </w:r>
      <w:r>
        <w:rPr>
          <w:spacing w:val="-5"/>
        </w:rPr>
        <w:t xml:space="preserve"> </w:t>
      </w:r>
      <w:r>
        <w:t>expected</w:t>
      </w:r>
      <w:r>
        <w:rPr>
          <w:spacing w:val="-8"/>
        </w:rPr>
        <w:t xml:space="preserve"> </w:t>
      </w:r>
      <w:r>
        <w:t>to reduce regulatory</w:t>
      </w:r>
      <w:r>
        <w:rPr>
          <w:spacing w:val="-5"/>
        </w:rPr>
        <w:t xml:space="preserve"> </w:t>
      </w:r>
      <w:r>
        <w:t>burden.</w:t>
      </w:r>
    </w:p>
    <w:p w:rsidR="006E0219" w:rsidRDefault="006E0219">
      <w:pPr>
        <w:pStyle w:val="BodyText"/>
        <w:spacing w:before="7"/>
        <w:rPr>
          <w:sz w:val="20"/>
        </w:rPr>
      </w:pPr>
    </w:p>
    <w:p w:rsidR="006E0219" w:rsidRDefault="00BA77C3">
      <w:pPr>
        <w:pStyle w:val="Heading1"/>
        <w:spacing w:before="1"/>
      </w:pPr>
      <w:r>
        <w:t>Conclusion: comparison of policy options</w:t>
      </w:r>
    </w:p>
    <w:p w:rsidR="006E0219" w:rsidRDefault="00BA77C3">
      <w:pPr>
        <w:pStyle w:val="BodyText"/>
        <w:spacing w:before="119"/>
        <w:ind w:left="180" w:right="118"/>
        <w:jc w:val="both"/>
      </w:pPr>
      <w:r>
        <w:t xml:space="preserve">When developing </w:t>
      </w:r>
      <w:r>
        <w:t>policy, APRA is required to balance the objectives of financial safety and efficiency, competition, contestability and competitive neutrality, while promoting financial system stability in Australia. APRA considers that, on balance, Option 3 will enhance p</w:t>
      </w:r>
      <w:r>
        <w:t>rudential outcomes and improve financial system safety and stability in Australia.</w:t>
      </w:r>
    </w:p>
    <w:p w:rsidR="006E0219" w:rsidRDefault="006E0219">
      <w:pPr>
        <w:pStyle w:val="BodyText"/>
        <w:spacing w:before="11"/>
        <w:rPr>
          <w:sz w:val="20"/>
        </w:rPr>
      </w:pPr>
    </w:p>
    <w:p w:rsidR="006E0219" w:rsidRDefault="00BA77C3">
      <w:pPr>
        <w:pStyle w:val="BodyText"/>
        <w:ind w:left="180" w:right="119"/>
        <w:jc w:val="both"/>
      </w:pPr>
      <w:r>
        <w:t>While Option 3 has a marginally higher compliance cost, the prudential benefits associated with addressing prudential concerns arising from increased use of offshore reinsu</w:t>
      </w:r>
      <w:r>
        <w:t>rers and deficiencies in the standards are materially higher.</w:t>
      </w:r>
    </w:p>
    <w:p w:rsidR="006E0219" w:rsidRDefault="006E0219">
      <w:pPr>
        <w:pStyle w:val="BodyText"/>
        <w:spacing w:before="9"/>
        <w:rPr>
          <w:sz w:val="20"/>
        </w:rPr>
      </w:pPr>
    </w:p>
    <w:p w:rsidR="006E0219" w:rsidRDefault="00BA77C3">
      <w:pPr>
        <w:spacing w:before="1"/>
        <w:ind w:left="180"/>
        <w:jc w:val="both"/>
        <w:rPr>
          <w:i/>
        </w:rPr>
      </w:pPr>
      <w:r>
        <w:rPr>
          <w:i/>
        </w:rPr>
        <w:t>Table 6: Comparison of</w:t>
      </w:r>
      <w:r>
        <w:rPr>
          <w:i/>
          <w:spacing w:val="-9"/>
        </w:rPr>
        <w:t xml:space="preserve"> </w:t>
      </w:r>
      <w:r>
        <w:rPr>
          <w:i/>
        </w:rPr>
        <w:t>options</w:t>
      </w:r>
    </w:p>
    <w:p w:rsidR="006E0219" w:rsidRDefault="006E0219">
      <w:pPr>
        <w:pStyle w:val="BodyText"/>
        <w:spacing w:before="8" w:after="1"/>
        <w:rPr>
          <w:i/>
          <w:sz w:val="20"/>
        </w:rPr>
      </w:pPr>
    </w:p>
    <w:tbl>
      <w:tblPr>
        <w:tblW w:w="0" w:type="auto"/>
        <w:tblInd w:w="187" w:type="dxa"/>
        <w:tblLayout w:type="fixed"/>
        <w:tblCellMar>
          <w:left w:w="0" w:type="dxa"/>
          <w:right w:w="0" w:type="dxa"/>
        </w:tblCellMar>
        <w:tblLook w:val="01E0" w:firstRow="1" w:lastRow="1" w:firstColumn="1" w:lastColumn="1" w:noHBand="0" w:noVBand="0"/>
      </w:tblPr>
      <w:tblGrid>
        <w:gridCol w:w="2976"/>
        <w:gridCol w:w="2015"/>
        <w:gridCol w:w="2012"/>
        <w:gridCol w:w="2023"/>
      </w:tblGrid>
      <w:tr w:rsidR="006E0219">
        <w:trPr>
          <w:trHeight w:val="398"/>
        </w:trPr>
        <w:tc>
          <w:tcPr>
            <w:tcW w:w="2976" w:type="dxa"/>
            <w:tcBorders>
              <w:bottom w:val="single" w:sz="4" w:space="0" w:color="FFFFFF"/>
            </w:tcBorders>
            <w:shd w:val="clear" w:color="auto" w:fill="001F5F"/>
          </w:tcPr>
          <w:p w:rsidR="006E0219" w:rsidRDefault="006E0219">
            <w:pPr>
              <w:pStyle w:val="TableParagraph"/>
              <w:spacing w:before="0"/>
              <w:ind w:left="0"/>
              <w:rPr>
                <w:rFonts w:ascii="Times New Roman"/>
                <w:sz w:val="20"/>
              </w:rPr>
            </w:pPr>
          </w:p>
        </w:tc>
        <w:tc>
          <w:tcPr>
            <w:tcW w:w="2015" w:type="dxa"/>
            <w:tcBorders>
              <w:bottom w:val="single" w:sz="4" w:space="0" w:color="FFFFFF"/>
            </w:tcBorders>
            <w:shd w:val="clear" w:color="auto" w:fill="001F5F"/>
          </w:tcPr>
          <w:p w:rsidR="006E0219" w:rsidRDefault="00BA77C3">
            <w:pPr>
              <w:pStyle w:val="TableParagraph"/>
              <w:spacing w:before="83"/>
              <w:ind w:left="503" w:right="503"/>
              <w:jc w:val="center"/>
              <w:rPr>
                <w:sz w:val="20"/>
              </w:rPr>
            </w:pPr>
            <w:r>
              <w:rPr>
                <w:color w:val="FFFFFF"/>
                <w:sz w:val="20"/>
              </w:rPr>
              <w:t>Option 1</w:t>
            </w:r>
          </w:p>
        </w:tc>
        <w:tc>
          <w:tcPr>
            <w:tcW w:w="2012" w:type="dxa"/>
            <w:tcBorders>
              <w:bottom w:val="single" w:sz="4" w:space="0" w:color="FFFFFF"/>
            </w:tcBorders>
            <w:shd w:val="clear" w:color="auto" w:fill="001F5F"/>
          </w:tcPr>
          <w:p w:rsidR="006E0219" w:rsidRDefault="00BA77C3">
            <w:pPr>
              <w:pStyle w:val="TableParagraph"/>
              <w:spacing w:before="83"/>
              <w:ind w:left="503" w:right="500"/>
              <w:jc w:val="center"/>
              <w:rPr>
                <w:sz w:val="20"/>
              </w:rPr>
            </w:pPr>
            <w:r>
              <w:rPr>
                <w:color w:val="FFFFFF"/>
                <w:sz w:val="20"/>
              </w:rPr>
              <w:t>Option 2</w:t>
            </w:r>
          </w:p>
        </w:tc>
        <w:tc>
          <w:tcPr>
            <w:tcW w:w="2023" w:type="dxa"/>
            <w:tcBorders>
              <w:bottom w:val="single" w:sz="4" w:space="0" w:color="FFFFFF"/>
            </w:tcBorders>
            <w:shd w:val="clear" w:color="auto" w:fill="001F5F"/>
          </w:tcPr>
          <w:p w:rsidR="006E0219" w:rsidRDefault="00BA77C3">
            <w:pPr>
              <w:pStyle w:val="TableParagraph"/>
              <w:spacing w:before="83"/>
              <w:ind w:left="152" w:right="152"/>
              <w:jc w:val="center"/>
              <w:rPr>
                <w:sz w:val="20"/>
              </w:rPr>
            </w:pPr>
            <w:r>
              <w:rPr>
                <w:color w:val="FFFFFF"/>
                <w:sz w:val="20"/>
              </w:rPr>
              <w:t>Option 3</w:t>
            </w:r>
          </w:p>
        </w:tc>
      </w:tr>
      <w:tr w:rsidR="006E0219">
        <w:trPr>
          <w:trHeight w:val="696"/>
        </w:trPr>
        <w:tc>
          <w:tcPr>
            <w:tcW w:w="2976" w:type="dxa"/>
            <w:tcBorders>
              <w:top w:val="single" w:sz="4" w:space="0" w:color="FFFFFF"/>
              <w:bottom w:val="single" w:sz="6" w:space="0" w:color="FFFFFF"/>
            </w:tcBorders>
            <w:shd w:val="clear" w:color="auto" w:fill="001F5F"/>
          </w:tcPr>
          <w:p w:rsidR="006E0219" w:rsidRDefault="006E0219">
            <w:pPr>
              <w:pStyle w:val="TableParagraph"/>
              <w:spacing w:before="4"/>
              <w:ind w:left="0"/>
              <w:rPr>
                <w:i/>
                <w:sz w:val="20"/>
              </w:rPr>
            </w:pPr>
          </w:p>
          <w:p w:rsidR="006E0219" w:rsidRDefault="00BA77C3">
            <w:pPr>
              <w:pStyle w:val="TableParagraph"/>
              <w:spacing w:before="0"/>
              <w:ind w:left="108"/>
              <w:rPr>
                <w:sz w:val="20"/>
              </w:rPr>
            </w:pPr>
            <w:r>
              <w:rPr>
                <w:color w:val="FFFFFF"/>
                <w:sz w:val="20"/>
              </w:rPr>
              <w:t>Regulatory costs</w:t>
            </w:r>
          </w:p>
        </w:tc>
        <w:tc>
          <w:tcPr>
            <w:tcW w:w="2015" w:type="dxa"/>
            <w:tcBorders>
              <w:top w:val="single" w:sz="4" w:space="0" w:color="FFFFFF"/>
              <w:bottom w:val="single" w:sz="6" w:space="0" w:color="FFFFFF"/>
            </w:tcBorders>
            <w:shd w:val="clear" w:color="auto" w:fill="F1F1F1"/>
          </w:tcPr>
          <w:p w:rsidR="006E0219" w:rsidRDefault="006E0219">
            <w:pPr>
              <w:pStyle w:val="TableParagraph"/>
              <w:spacing w:before="4"/>
              <w:ind w:left="0"/>
              <w:rPr>
                <w:i/>
                <w:sz w:val="20"/>
              </w:rPr>
            </w:pPr>
          </w:p>
          <w:p w:rsidR="006E0219" w:rsidRDefault="00BA77C3">
            <w:pPr>
              <w:pStyle w:val="TableParagraph"/>
              <w:spacing w:before="0"/>
              <w:ind w:left="503" w:right="503"/>
              <w:jc w:val="center"/>
              <w:rPr>
                <w:sz w:val="20"/>
              </w:rPr>
            </w:pPr>
            <w:r>
              <w:rPr>
                <w:sz w:val="20"/>
              </w:rPr>
              <w:t>No change</w:t>
            </w:r>
          </w:p>
        </w:tc>
        <w:tc>
          <w:tcPr>
            <w:tcW w:w="2012" w:type="dxa"/>
            <w:tcBorders>
              <w:top w:val="single" w:sz="4" w:space="0" w:color="FFFFFF"/>
              <w:bottom w:val="single" w:sz="6" w:space="0" w:color="FFFFFF"/>
            </w:tcBorders>
            <w:shd w:val="clear" w:color="auto" w:fill="F1F1F1"/>
          </w:tcPr>
          <w:p w:rsidR="006E0219" w:rsidRDefault="006E0219">
            <w:pPr>
              <w:pStyle w:val="TableParagraph"/>
              <w:spacing w:before="4"/>
              <w:ind w:left="0"/>
              <w:rPr>
                <w:i/>
                <w:sz w:val="20"/>
              </w:rPr>
            </w:pPr>
          </w:p>
          <w:p w:rsidR="006E0219" w:rsidRDefault="00BA77C3">
            <w:pPr>
              <w:pStyle w:val="TableParagraph"/>
              <w:spacing w:before="0"/>
              <w:ind w:left="503" w:right="500"/>
              <w:jc w:val="center"/>
              <w:rPr>
                <w:sz w:val="20"/>
              </w:rPr>
            </w:pPr>
            <w:r>
              <w:rPr>
                <w:sz w:val="20"/>
              </w:rPr>
              <w:t>No change</w:t>
            </w:r>
          </w:p>
        </w:tc>
        <w:tc>
          <w:tcPr>
            <w:tcW w:w="2023" w:type="dxa"/>
            <w:tcBorders>
              <w:top w:val="single" w:sz="4" w:space="0" w:color="FFFFFF"/>
              <w:bottom w:val="single" w:sz="6" w:space="0" w:color="FFFFFF"/>
            </w:tcBorders>
            <w:shd w:val="clear" w:color="auto" w:fill="F1F1F1"/>
          </w:tcPr>
          <w:p w:rsidR="006E0219" w:rsidRDefault="006E0219">
            <w:pPr>
              <w:pStyle w:val="TableParagraph"/>
              <w:spacing w:before="4"/>
              <w:ind w:left="0"/>
              <w:rPr>
                <w:i/>
                <w:sz w:val="20"/>
              </w:rPr>
            </w:pPr>
          </w:p>
          <w:p w:rsidR="006E0219" w:rsidRDefault="00BA77C3">
            <w:pPr>
              <w:pStyle w:val="TableParagraph"/>
              <w:spacing w:before="0"/>
              <w:ind w:left="152" w:right="152"/>
              <w:jc w:val="center"/>
              <w:rPr>
                <w:sz w:val="20"/>
              </w:rPr>
            </w:pPr>
            <w:r>
              <w:rPr>
                <w:sz w:val="20"/>
              </w:rPr>
              <w:t>Low to moderate</w:t>
            </w:r>
          </w:p>
        </w:tc>
      </w:tr>
      <w:tr w:rsidR="006E0219">
        <w:trPr>
          <w:trHeight w:val="697"/>
        </w:trPr>
        <w:tc>
          <w:tcPr>
            <w:tcW w:w="2976" w:type="dxa"/>
            <w:tcBorders>
              <w:top w:val="single" w:sz="6" w:space="0" w:color="FFFFFF"/>
              <w:bottom w:val="single" w:sz="4" w:space="0" w:color="FFFFFF"/>
            </w:tcBorders>
            <w:shd w:val="clear" w:color="auto" w:fill="001F5F"/>
          </w:tcPr>
          <w:p w:rsidR="006E0219" w:rsidRDefault="00BA77C3">
            <w:pPr>
              <w:pStyle w:val="TableParagraph"/>
              <w:spacing w:before="3"/>
              <w:ind w:left="108" w:right="64"/>
              <w:rPr>
                <w:sz w:val="20"/>
              </w:rPr>
            </w:pPr>
            <w:r>
              <w:rPr>
                <w:color w:val="FFFFFF"/>
                <w:sz w:val="20"/>
              </w:rPr>
              <w:t>Protection of policyholders when reinsurance is acquired</w:t>
            </w:r>
          </w:p>
          <w:p w:rsidR="006E0219" w:rsidRDefault="00BA77C3">
            <w:pPr>
              <w:pStyle w:val="TableParagraph"/>
              <w:spacing w:before="0" w:line="214" w:lineRule="exact"/>
              <w:ind w:left="108"/>
              <w:rPr>
                <w:sz w:val="20"/>
              </w:rPr>
            </w:pPr>
            <w:r>
              <w:rPr>
                <w:color w:val="FFFFFF"/>
                <w:sz w:val="20"/>
              </w:rPr>
              <w:t>from an offshore entity</w:t>
            </w:r>
          </w:p>
        </w:tc>
        <w:tc>
          <w:tcPr>
            <w:tcW w:w="2015" w:type="dxa"/>
            <w:tcBorders>
              <w:top w:val="single" w:sz="6" w:space="0" w:color="FFFFFF"/>
              <w:bottom w:val="single" w:sz="4" w:space="0" w:color="FFFFFF"/>
            </w:tcBorders>
            <w:shd w:val="clear" w:color="auto" w:fill="D9D9D9"/>
          </w:tcPr>
          <w:p w:rsidR="006E0219" w:rsidRDefault="00BA77C3">
            <w:pPr>
              <w:pStyle w:val="TableParagraph"/>
              <w:spacing w:before="116"/>
              <w:ind w:left="653" w:hanging="478"/>
              <w:rPr>
                <w:sz w:val="20"/>
              </w:rPr>
            </w:pPr>
            <w:r>
              <w:rPr>
                <w:sz w:val="20"/>
              </w:rPr>
              <w:t>Does not meet this criterion</w:t>
            </w:r>
          </w:p>
        </w:tc>
        <w:tc>
          <w:tcPr>
            <w:tcW w:w="2012" w:type="dxa"/>
            <w:tcBorders>
              <w:top w:val="single" w:sz="6" w:space="0" w:color="FFFFFF"/>
              <w:bottom w:val="single" w:sz="4" w:space="0" w:color="FFFFFF"/>
            </w:tcBorders>
            <w:shd w:val="clear" w:color="auto" w:fill="D9D9D9"/>
          </w:tcPr>
          <w:p w:rsidR="006E0219" w:rsidRDefault="00BA77C3">
            <w:pPr>
              <w:pStyle w:val="TableParagraph"/>
              <w:spacing w:before="116"/>
              <w:ind w:left="654" w:right="428" w:hanging="202"/>
              <w:rPr>
                <w:sz w:val="20"/>
              </w:rPr>
            </w:pPr>
            <w:r>
              <w:rPr>
                <w:sz w:val="20"/>
              </w:rPr>
              <w:t>Partly meets criterion</w:t>
            </w:r>
          </w:p>
        </w:tc>
        <w:tc>
          <w:tcPr>
            <w:tcW w:w="2023" w:type="dxa"/>
            <w:tcBorders>
              <w:top w:val="single" w:sz="6" w:space="0" w:color="FFFFFF"/>
              <w:bottom w:val="single" w:sz="4" w:space="0" w:color="FFFFFF"/>
            </w:tcBorders>
            <w:shd w:val="clear" w:color="auto" w:fill="D9D9D9"/>
          </w:tcPr>
          <w:p w:rsidR="006E0219" w:rsidRDefault="006E0219">
            <w:pPr>
              <w:pStyle w:val="TableParagraph"/>
              <w:spacing w:before="1"/>
              <w:ind w:left="0"/>
              <w:rPr>
                <w:i/>
                <w:sz w:val="20"/>
              </w:rPr>
            </w:pPr>
          </w:p>
          <w:p w:rsidR="006E0219" w:rsidRDefault="00BA77C3">
            <w:pPr>
              <w:pStyle w:val="TableParagraph"/>
              <w:spacing w:before="0"/>
              <w:ind w:left="152" w:right="152"/>
              <w:jc w:val="center"/>
              <w:rPr>
                <w:sz w:val="20"/>
              </w:rPr>
            </w:pPr>
            <w:r>
              <w:rPr>
                <w:sz w:val="20"/>
              </w:rPr>
              <w:t>Meets this criterion</w:t>
            </w:r>
          </w:p>
        </w:tc>
      </w:tr>
      <w:tr w:rsidR="006E0219">
        <w:trPr>
          <w:trHeight w:val="700"/>
        </w:trPr>
        <w:tc>
          <w:tcPr>
            <w:tcW w:w="2976" w:type="dxa"/>
            <w:tcBorders>
              <w:top w:val="single" w:sz="4" w:space="0" w:color="FFFFFF"/>
              <w:bottom w:val="single" w:sz="4" w:space="0" w:color="FFFFFF"/>
            </w:tcBorders>
            <w:shd w:val="clear" w:color="auto" w:fill="001F5F"/>
          </w:tcPr>
          <w:p w:rsidR="006E0219" w:rsidRDefault="00BA77C3">
            <w:pPr>
              <w:pStyle w:val="TableParagraph"/>
              <w:spacing w:before="119"/>
              <w:ind w:left="108"/>
              <w:rPr>
                <w:sz w:val="20"/>
              </w:rPr>
            </w:pPr>
            <w:r>
              <w:rPr>
                <w:color w:val="FFFFFF"/>
                <w:sz w:val="20"/>
              </w:rPr>
              <w:t>Facilitate use of risk mitigation techniques</w:t>
            </w:r>
          </w:p>
        </w:tc>
        <w:tc>
          <w:tcPr>
            <w:tcW w:w="2015" w:type="dxa"/>
            <w:tcBorders>
              <w:top w:val="single" w:sz="4" w:space="0" w:color="FFFFFF"/>
              <w:bottom w:val="single" w:sz="4" w:space="0" w:color="FFFFFF"/>
            </w:tcBorders>
            <w:shd w:val="clear" w:color="auto" w:fill="F1F1F1"/>
          </w:tcPr>
          <w:p w:rsidR="006E0219" w:rsidRDefault="00BA77C3">
            <w:pPr>
              <w:pStyle w:val="TableParagraph"/>
              <w:spacing w:before="119"/>
              <w:ind w:left="653" w:hanging="478"/>
              <w:rPr>
                <w:sz w:val="20"/>
              </w:rPr>
            </w:pPr>
            <w:r>
              <w:rPr>
                <w:sz w:val="20"/>
              </w:rPr>
              <w:t>Does not meet this criterion</w:t>
            </w:r>
          </w:p>
        </w:tc>
        <w:tc>
          <w:tcPr>
            <w:tcW w:w="2012" w:type="dxa"/>
            <w:tcBorders>
              <w:top w:val="single" w:sz="4" w:space="0" w:color="FFFFFF"/>
              <w:bottom w:val="single" w:sz="4" w:space="0" w:color="FFFFFF"/>
            </w:tcBorders>
            <w:shd w:val="clear" w:color="auto" w:fill="F1F1F1"/>
          </w:tcPr>
          <w:p w:rsidR="006E0219" w:rsidRDefault="00BA77C3">
            <w:pPr>
              <w:pStyle w:val="TableParagraph"/>
              <w:spacing w:before="119"/>
              <w:ind w:left="654" w:right="148" w:hanging="478"/>
              <w:rPr>
                <w:sz w:val="20"/>
              </w:rPr>
            </w:pPr>
            <w:r>
              <w:rPr>
                <w:sz w:val="20"/>
              </w:rPr>
              <w:t>Does not meet this criterion</w:t>
            </w:r>
          </w:p>
        </w:tc>
        <w:tc>
          <w:tcPr>
            <w:tcW w:w="2023" w:type="dxa"/>
            <w:tcBorders>
              <w:top w:val="single" w:sz="4" w:space="0" w:color="FFFFFF"/>
              <w:bottom w:val="single" w:sz="4" w:space="0" w:color="FFFFFF"/>
            </w:tcBorders>
            <w:shd w:val="clear" w:color="auto" w:fill="F1F1F1"/>
          </w:tcPr>
          <w:p w:rsidR="006E0219" w:rsidRDefault="006E0219">
            <w:pPr>
              <w:pStyle w:val="TableParagraph"/>
              <w:spacing w:before="4"/>
              <w:ind w:left="0"/>
              <w:rPr>
                <w:i/>
                <w:sz w:val="20"/>
              </w:rPr>
            </w:pPr>
          </w:p>
          <w:p w:rsidR="006E0219" w:rsidRDefault="00BA77C3">
            <w:pPr>
              <w:pStyle w:val="TableParagraph"/>
              <w:spacing w:before="0"/>
              <w:ind w:left="152" w:right="152"/>
              <w:jc w:val="center"/>
              <w:rPr>
                <w:sz w:val="20"/>
              </w:rPr>
            </w:pPr>
            <w:r>
              <w:rPr>
                <w:sz w:val="20"/>
              </w:rPr>
              <w:t>Meets this criterion</w:t>
            </w:r>
          </w:p>
        </w:tc>
      </w:tr>
      <w:tr w:rsidR="006E0219">
        <w:trPr>
          <w:trHeight w:val="700"/>
        </w:trPr>
        <w:tc>
          <w:tcPr>
            <w:tcW w:w="2976" w:type="dxa"/>
            <w:tcBorders>
              <w:top w:val="single" w:sz="4" w:space="0" w:color="FFFFFF"/>
              <w:bottom w:val="single" w:sz="4" w:space="0" w:color="FFFFFF"/>
            </w:tcBorders>
            <w:shd w:val="clear" w:color="auto" w:fill="001F5F"/>
          </w:tcPr>
          <w:p w:rsidR="006E0219" w:rsidRDefault="006E0219">
            <w:pPr>
              <w:pStyle w:val="TableParagraph"/>
              <w:spacing w:before="4"/>
              <w:ind w:left="0"/>
              <w:rPr>
                <w:i/>
                <w:sz w:val="20"/>
              </w:rPr>
            </w:pPr>
          </w:p>
          <w:p w:rsidR="006E0219" w:rsidRDefault="00BA77C3">
            <w:pPr>
              <w:pStyle w:val="TableParagraph"/>
              <w:spacing w:before="0"/>
              <w:ind w:left="108"/>
              <w:rPr>
                <w:sz w:val="20"/>
              </w:rPr>
            </w:pPr>
            <w:r>
              <w:rPr>
                <w:color w:val="FFFFFF"/>
                <w:sz w:val="20"/>
              </w:rPr>
              <w:t>Clarification of requirements</w:t>
            </w:r>
          </w:p>
        </w:tc>
        <w:tc>
          <w:tcPr>
            <w:tcW w:w="2015" w:type="dxa"/>
            <w:tcBorders>
              <w:top w:val="single" w:sz="4" w:space="0" w:color="FFFFFF"/>
              <w:bottom w:val="single" w:sz="4" w:space="0" w:color="FFFFFF"/>
            </w:tcBorders>
            <w:shd w:val="clear" w:color="auto" w:fill="D9D9D9"/>
          </w:tcPr>
          <w:p w:rsidR="006E0219" w:rsidRDefault="00BA77C3">
            <w:pPr>
              <w:pStyle w:val="TableParagraph"/>
              <w:spacing w:before="119"/>
              <w:ind w:left="653" w:hanging="478"/>
              <w:rPr>
                <w:sz w:val="20"/>
              </w:rPr>
            </w:pPr>
            <w:r>
              <w:rPr>
                <w:sz w:val="20"/>
              </w:rPr>
              <w:t>Does not meet this criterion</w:t>
            </w:r>
          </w:p>
        </w:tc>
        <w:tc>
          <w:tcPr>
            <w:tcW w:w="2012" w:type="dxa"/>
            <w:tcBorders>
              <w:top w:val="single" w:sz="4" w:space="0" w:color="FFFFFF"/>
              <w:bottom w:val="single" w:sz="4" w:space="0" w:color="FFFFFF"/>
            </w:tcBorders>
            <w:shd w:val="clear" w:color="auto" w:fill="D9D9D9"/>
          </w:tcPr>
          <w:p w:rsidR="006E0219" w:rsidRDefault="00BA77C3">
            <w:pPr>
              <w:pStyle w:val="TableParagraph"/>
              <w:spacing w:before="119"/>
              <w:ind w:left="654" w:right="428" w:hanging="202"/>
              <w:rPr>
                <w:sz w:val="20"/>
              </w:rPr>
            </w:pPr>
            <w:r>
              <w:rPr>
                <w:sz w:val="20"/>
              </w:rPr>
              <w:t>Partly meets criterion</w:t>
            </w:r>
          </w:p>
        </w:tc>
        <w:tc>
          <w:tcPr>
            <w:tcW w:w="2023" w:type="dxa"/>
            <w:tcBorders>
              <w:top w:val="single" w:sz="4" w:space="0" w:color="FFFFFF"/>
              <w:bottom w:val="single" w:sz="4" w:space="0" w:color="FFFFFF"/>
            </w:tcBorders>
            <w:shd w:val="clear" w:color="auto" w:fill="D9D9D9"/>
          </w:tcPr>
          <w:p w:rsidR="006E0219" w:rsidRDefault="006E0219">
            <w:pPr>
              <w:pStyle w:val="TableParagraph"/>
              <w:spacing w:before="4"/>
              <w:ind w:left="0"/>
              <w:rPr>
                <w:i/>
                <w:sz w:val="20"/>
              </w:rPr>
            </w:pPr>
          </w:p>
          <w:p w:rsidR="006E0219" w:rsidRDefault="00BA77C3">
            <w:pPr>
              <w:pStyle w:val="TableParagraph"/>
              <w:spacing w:before="0"/>
              <w:ind w:left="152" w:right="152"/>
              <w:jc w:val="center"/>
              <w:rPr>
                <w:sz w:val="20"/>
              </w:rPr>
            </w:pPr>
            <w:r>
              <w:rPr>
                <w:sz w:val="20"/>
              </w:rPr>
              <w:t>Meets this criterion</w:t>
            </w:r>
          </w:p>
        </w:tc>
      </w:tr>
      <w:tr w:rsidR="006E0219">
        <w:trPr>
          <w:trHeight w:val="700"/>
        </w:trPr>
        <w:tc>
          <w:tcPr>
            <w:tcW w:w="2976" w:type="dxa"/>
            <w:tcBorders>
              <w:top w:val="single" w:sz="4" w:space="0" w:color="FFFFFF"/>
              <w:bottom w:val="single" w:sz="4" w:space="0" w:color="FFFFFF"/>
            </w:tcBorders>
            <w:shd w:val="clear" w:color="auto" w:fill="001F5F"/>
          </w:tcPr>
          <w:p w:rsidR="006E0219" w:rsidRDefault="00BA77C3">
            <w:pPr>
              <w:pStyle w:val="TableParagraph"/>
              <w:spacing w:before="119"/>
              <w:ind w:left="108"/>
              <w:rPr>
                <w:sz w:val="20"/>
              </w:rPr>
            </w:pPr>
            <w:r>
              <w:rPr>
                <w:color w:val="FFFFFF"/>
                <w:sz w:val="20"/>
              </w:rPr>
              <w:t>Requirements address current market risks</w:t>
            </w:r>
          </w:p>
        </w:tc>
        <w:tc>
          <w:tcPr>
            <w:tcW w:w="2015" w:type="dxa"/>
            <w:tcBorders>
              <w:top w:val="single" w:sz="4" w:space="0" w:color="FFFFFF"/>
              <w:bottom w:val="single" w:sz="4" w:space="0" w:color="FFFFFF"/>
            </w:tcBorders>
            <w:shd w:val="clear" w:color="auto" w:fill="D9D9D9"/>
          </w:tcPr>
          <w:p w:rsidR="006E0219" w:rsidRDefault="00BA77C3">
            <w:pPr>
              <w:pStyle w:val="TableParagraph"/>
              <w:spacing w:before="119"/>
              <w:ind w:left="653" w:hanging="478"/>
              <w:rPr>
                <w:sz w:val="20"/>
              </w:rPr>
            </w:pPr>
            <w:r>
              <w:rPr>
                <w:sz w:val="20"/>
              </w:rPr>
              <w:t>Does not meet this criterion</w:t>
            </w:r>
          </w:p>
        </w:tc>
        <w:tc>
          <w:tcPr>
            <w:tcW w:w="2012" w:type="dxa"/>
            <w:tcBorders>
              <w:top w:val="single" w:sz="4" w:space="0" w:color="FFFFFF"/>
              <w:bottom w:val="single" w:sz="4" w:space="0" w:color="FFFFFF"/>
            </w:tcBorders>
            <w:shd w:val="clear" w:color="auto" w:fill="D9D9D9"/>
          </w:tcPr>
          <w:p w:rsidR="006E0219" w:rsidRDefault="00BA77C3">
            <w:pPr>
              <w:pStyle w:val="TableParagraph"/>
              <w:spacing w:before="119"/>
              <w:ind w:left="654" w:right="148" w:hanging="478"/>
              <w:rPr>
                <w:sz w:val="20"/>
              </w:rPr>
            </w:pPr>
            <w:r>
              <w:rPr>
                <w:sz w:val="20"/>
              </w:rPr>
              <w:t>Does not meet this criterion</w:t>
            </w:r>
          </w:p>
        </w:tc>
        <w:tc>
          <w:tcPr>
            <w:tcW w:w="2023" w:type="dxa"/>
            <w:tcBorders>
              <w:top w:val="single" w:sz="4" w:space="0" w:color="FFFFFF"/>
              <w:bottom w:val="single" w:sz="4" w:space="0" w:color="FFFFFF"/>
            </w:tcBorders>
            <w:shd w:val="clear" w:color="auto" w:fill="D9D9D9"/>
          </w:tcPr>
          <w:p w:rsidR="006E0219" w:rsidRDefault="006E0219">
            <w:pPr>
              <w:pStyle w:val="TableParagraph"/>
              <w:spacing w:before="4"/>
              <w:ind w:left="0"/>
              <w:rPr>
                <w:i/>
                <w:sz w:val="20"/>
              </w:rPr>
            </w:pPr>
          </w:p>
          <w:p w:rsidR="006E0219" w:rsidRDefault="00BA77C3">
            <w:pPr>
              <w:pStyle w:val="TableParagraph"/>
              <w:spacing w:before="0"/>
              <w:ind w:left="152" w:right="152"/>
              <w:jc w:val="center"/>
              <w:rPr>
                <w:sz w:val="20"/>
              </w:rPr>
            </w:pPr>
            <w:r>
              <w:rPr>
                <w:sz w:val="20"/>
              </w:rPr>
              <w:t>Meets this criterion</w:t>
            </w:r>
          </w:p>
        </w:tc>
      </w:tr>
      <w:tr w:rsidR="006E0219">
        <w:trPr>
          <w:trHeight w:val="453"/>
        </w:trPr>
        <w:tc>
          <w:tcPr>
            <w:tcW w:w="2976" w:type="dxa"/>
            <w:tcBorders>
              <w:top w:val="single" w:sz="4" w:space="0" w:color="FFFFFF"/>
            </w:tcBorders>
            <w:shd w:val="clear" w:color="auto" w:fill="001F5F"/>
          </w:tcPr>
          <w:p w:rsidR="006E0219" w:rsidRDefault="00BA77C3">
            <w:pPr>
              <w:pStyle w:val="TableParagraph"/>
              <w:spacing w:before="110"/>
              <w:ind w:left="108"/>
              <w:rPr>
                <w:sz w:val="20"/>
              </w:rPr>
            </w:pPr>
            <w:r>
              <w:rPr>
                <w:color w:val="FFFFFF"/>
                <w:sz w:val="20"/>
              </w:rPr>
              <w:t>Overall</w:t>
            </w:r>
          </w:p>
        </w:tc>
        <w:tc>
          <w:tcPr>
            <w:tcW w:w="2015" w:type="dxa"/>
            <w:tcBorders>
              <w:top w:val="single" w:sz="4" w:space="0" w:color="FFFFFF"/>
            </w:tcBorders>
            <w:shd w:val="clear" w:color="auto" w:fill="D9D9D9"/>
          </w:tcPr>
          <w:p w:rsidR="006E0219" w:rsidRDefault="00BA77C3">
            <w:pPr>
              <w:pStyle w:val="TableParagraph"/>
              <w:spacing w:before="110"/>
              <w:ind w:left="503" w:right="503"/>
              <w:jc w:val="center"/>
              <w:rPr>
                <w:b/>
                <w:sz w:val="20"/>
              </w:rPr>
            </w:pPr>
            <w:r>
              <w:rPr>
                <w:b/>
                <w:sz w:val="20"/>
              </w:rPr>
              <w:t>Net costs</w:t>
            </w:r>
          </w:p>
        </w:tc>
        <w:tc>
          <w:tcPr>
            <w:tcW w:w="2012" w:type="dxa"/>
            <w:tcBorders>
              <w:top w:val="single" w:sz="4" w:space="0" w:color="FFFFFF"/>
            </w:tcBorders>
            <w:shd w:val="clear" w:color="auto" w:fill="D9D9D9"/>
          </w:tcPr>
          <w:p w:rsidR="006E0219" w:rsidRDefault="00BA77C3">
            <w:pPr>
              <w:pStyle w:val="TableParagraph"/>
              <w:spacing w:before="110"/>
              <w:ind w:left="502" w:right="500"/>
              <w:jc w:val="center"/>
              <w:rPr>
                <w:b/>
                <w:sz w:val="20"/>
              </w:rPr>
            </w:pPr>
            <w:r>
              <w:rPr>
                <w:b/>
                <w:sz w:val="20"/>
              </w:rPr>
              <w:t>Net costs</w:t>
            </w:r>
          </w:p>
        </w:tc>
        <w:tc>
          <w:tcPr>
            <w:tcW w:w="2023" w:type="dxa"/>
            <w:tcBorders>
              <w:top w:val="single" w:sz="4" w:space="0" w:color="FFFFFF"/>
            </w:tcBorders>
            <w:shd w:val="clear" w:color="auto" w:fill="D9D9D9"/>
          </w:tcPr>
          <w:p w:rsidR="006E0219" w:rsidRDefault="00BA77C3">
            <w:pPr>
              <w:pStyle w:val="TableParagraph"/>
              <w:spacing w:before="110"/>
              <w:ind w:left="151" w:right="152"/>
              <w:jc w:val="center"/>
              <w:rPr>
                <w:b/>
                <w:sz w:val="20"/>
              </w:rPr>
            </w:pPr>
            <w:r>
              <w:rPr>
                <w:b/>
                <w:sz w:val="20"/>
              </w:rPr>
              <w:t>Net benefit</w:t>
            </w:r>
          </w:p>
        </w:tc>
      </w:tr>
    </w:tbl>
    <w:p w:rsidR="006E0219" w:rsidRDefault="006E0219">
      <w:pPr>
        <w:pStyle w:val="BodyText"/>
        <w:rPr>
          <w:i/>
          <w:sz w:val="24"/>
        </w:rPr>
      </w:pPr>
    </w:p>
    <w:p w:rsidR="006E0219" w:rsidRDefault="006E0219">
      <w:pPr>
        <w:pStyle w:val="BodyText"/>
        <w:spacing w:before="10"/>
        <w:rPr>
          <w:i/>
          <w:sz w:val="19"/>
        </w:rPr>
      </w:pPr>
    </w:p>
    <w:p w:rsidR="006E0219" w:rsidRDefault="00BA77C3">
      <w:pPr>
        <w:ind w:left="180"/>
        <w:jc w:val="both"/>
        <w:rPr>
          <w:b/>
          <w:i/>
          <w:sz w:val="24"/>
        </w:rPr>
      </w:pPr>
      <w:r>
        <w:rPr>
          <w:b/>
          <w:i/>
          <w:sz w:val="24"/>
        </w:rPr>
        <w:t>Implementation and</w:t>
      </w:r>
      <w:r>
        <w:rPr>
          <w:b/>
          <w:i/>
          <w:spacing w:val="-8"/>
          <w:sz w:val="24"/>
        </w:rPr>
        <w:t xml:space="preserve"> </w:t>
      </w:r>
      <w:r>
        <w:rPr>
          <w:b/>
          <w:i/>
          <w:sz w:val="24"/>
        </w:rPr>
        <w:t>review</w:t>
      </w:r>
    </w:p>
    <w:p w:rsidR="006E0219" w:rsidRDefault="00BA77C3">
      <w:pPr>
        <w:pStyle w:val="BodyText"/>
        <w:spacing w:before="120"/>
        <w:ind w:left="180" w:right="117"/>
        <w:jc w:val="both"/>
      </w:pPr>
      <w:r>
        <w:t>As delegated legislation, prudential standards impose enforceable obligations on APRA-regulated institutions. APRA monitors ongoing compliance with its prudential framework</w:t>
      </w:r>
      <w:r>
        <w:rPr>
          <w:spacing w:val="-11"/>
        </w:rPr>
        <w:t xml:space="preserve"> </w:t>
      </w:r>
      <w:r>
        <w:t>as</w:t>
      </w:r>
      <w:r>
        <w:rPr>
          <w:spacing w:val="-14"/>
        </w:rPr>
        <w:t xml:space="preserve"> </w:t>
      </w:r>
      <w:r>
        <w:t>part</w:t>
      </w:r>
      <w:r>
        <w:rPr>
          <w:spacing w:val="-12"/>
        </w:rPr>
        <w:t xml:space="preserve"> </w:t>
      </w:r>
      <w:r>
        <w:t>of</w:t>
      </w:r>
      <w:r>
        <w:rPr>
          <w:spacing w:val="-10"/>
        </w:rPr>
        <w:t xml:space="preserve"> </w:t>
      </w:r>
      <w:r>
        <w:t>its</w:t>
      </w:r>
      <w:r>
        <w:rPr>
          <w:spacing w:val="-13"/>
        </w:rPr>
        <w:t xml:space="preserve"> </w:t>
      </w:r>
      <w:r>
        <w:t>supervisory</w:t>
      </w:r>
      <w:r>
        <w:rPr>
          <w:spacing w:val="-13"/>
        </w:rPr>
        <w:t xml:space="preserve"> </w:t>
      </w:r>
      <w:r>
        <w:t>activities.</w:t>
      </w:r>
      <w:r>
        <w:rPr>
          <w:spacing w:val="-10"/>
        </w:rPr>
        <w:t xml:space="preserve"> </w:t>
      </w:r>
      <w:r>
        <w:t>APRA</w:t>
      </w:r>
      <w:r>
        <w:rPr>
          <w:spacing w:val="-13"/>
        </w:rPr>
        <w:t xml:space="preserve"> </w:t>
      </w:r>
      <w:r>
        <w:t>has</w:t>
      </w:r>
      <w:r>
        <w:rPr>
          <w:spacing w:val="-13"/>
        </w:rPr>
        <w:t xml:space="preserve"> </w:t>
      </w:r>
      <w:r>
        <w:t>a</w:t>
      </w:r>
      <w:r>
        <w:rPr>
          <w:spacing w:val="-13"/>
        </w:rPr>
        <w:t xml:space="preserve"> </w:t>
      </w:r>
      <w:r>
        <w:t>range</w:t>
      </w:r>
      <w:r>
        <w:rPr>
          <w:spacing w:val="-14"/>
        </w:rPr>
        <w:t xml:space="preserve"> </w:t>
      </w:r>
      <w:r>
        <w:t>o</w:t>
      </w:r>
      <w:r>
        <w:t>f</w:t>
      </w:r>
      <w:r>
        <w:rPr>
          <w:spacing w:val="-12"/>
        </w:rPr>
        <w:t xml:space="preserve"> </w:t>
      </w:r>
      <w:r>
        <w:t>remedial</w:t>
      </w:r>
      <w:r>
        <w:rPr>
          <w:spacing w:val="-13"/>
        </w:rPr>
        <w:t xml:space="preserve"> </w:t>
      </w:r>
      <w:r>
        <w:t>powers</w:t>
      </w:r>
      <w:r>
        <w:rPr>
          <w:spacing w:val="-10"/>
        </w:rPr>
        <w:t xml:space="preserve"> </w:t>
      </w:r>
      <w:r>
        <w:t>available for non-compliance with a prudential standard, including issuing a direction requiring compliance, the breach of which is a criminal offence. Other actions include imposing a condition on an APRA-regulated institution’s authorit</w:t>
      </w:r>
      <w:r>
        <w:t>y to carry on its business or increasing regulatory capital</w:t>
      </w:r>
      <w:r>
        <w:rPr>
          <w:spacing w:val="-6"/>
        </w:rPr>
        <w:t xml:space="preserve"> </w:t>
      </w:r>
      <w:r>
        <w:t>requirements.</w:t>
      </w:r>
    </w:p>
    <w:p w:rsidR="006E0219" w:rsidRDefault="006E0219">
      <w:pPr>
        <w:jc w:val="both"/>
        <w:sectPr w:rsidR="006E0219">
          <w:pgSz w:w="11910" w:h="16840"/>
          <w:pgMar w:top="1460" w:right="1320" w:bottom="740" w:left="1260" w:header="0" w:footer="556" w:gutter="0"/>
          <w:cols w:space="720"/>
        </w:sectPr>
      </w:pPr>
    </w:p>
    <w:p w:rsidR="006E0219" w:rsidRDefault="00BA77C3">
      <w:pPr>
        <w:pStyle w:val="BodyText"/>
        <w:spacing w:before="67"/>
        <w:ind w:left="180" w:right="117"/>
        <w:jc w:val="both"/>
      </w:pPr>
      <w:r>
        <w:lastRenderedPageBreak/>
        <w:t>Under</w:t>
      </w:r>
      <w:r>
        <w:rPr>
          <w:spacing w:val="-8"/>
        </w:rPr>
        <w:t xml:space="preserve"> </w:t>
      </w:r>
      <w:r>
        <w:t>APRA’s</w:t>
      </w:r>
      <w:r>
        <w:rPr>
          <w:spacing w:val="-8"/>
        </w:rPr>
        <w:t xml:space="preserve"> </w:t>
      </w:r>
      <w:r>
        <w:t>policy</w:t>
      </w:r>
      <w:r>
        <w:rPr>
          <w:spacing w:val="-10"/>
        </w:rPr>
        <w:t xml:space="preserve"> </w:t>
      </w:r>
      <w:r>
        <w:t>development</w:t>
      </w:r>
      <w:r>
        <w:rPr>
          <w:spacing w:val="-9"/>
        </w:rPr>
        <w:t xml:space="preserve"> </w:t>
      </w:r>
      <w:r>
        <w:t>process,</w:t>
      </w:r>
      <w:r>
        <w:rPr>
          <w:spacing w:val="-9"/>
        </w:rPr>
        <w:t xml:space="preserve"> </w:t>
      </w:r>
      <w:r>
        <w:t>reviews</w:t>
      </w:r>
      <w:r>
        <w:rPr>
          <w:spacing w:val="-8"/>
        </w:rPr>
        <w:t xml:space="preserve"> </w:t>
      </w:r>
      <w:r>
        <w:t>of</w:t>
      </w:r>
      <w:r>
        <w:rPr>
          <w:spacing w:val="-7"/>
        </w:rPr>
        <w:t xml:space="preserve"> </w:t>
      </w:r>
      <w:r>
        <w:t>new</w:t>
      </w:r>
      <w:r>
        <w:rPr>
          <w:spacing w:val="-10"/>
        </w:rPr>
        <w:t xml:space="preserve"> </w:t>
      </w:r>
      <w:r>
        <w:t>measures</w:t>
      </w:r>
      <w:r>
        <w:rPr>
          <w:spacing w:val="-10"/>
        </w:rPr>
        <w:t xml:space="preserve"> </w:t>
      </w:r>
      <w:r>
        <w:t>are</w:t>
      </w:r>
      <w:r>
        <w:rPr>
          <w:spacing w:val="-13"/>
        </w:rPr>
        <w:t xml:space="preserve"> </w:t>
      </w:r>
      <w:r>
        <w:t>typically</w:t>
      </w:r>
      <w:r>
        <w:rPr>
          <w:spacing w:val="-9"/>
        </w:rPr>
        <w:t xml:space="preserve"> </w:t>
      </w:r>
      <w:r>
        <w:t>scheduled following implementation. Such a review would consider whether the requirem</w:t>
      </w:r>
      <w:r>
        <w:t>ents continue to reflect good practice, remain consistent with international standards, and remain relevant and effective in facilitating sound risk management practices. APRA will also act within a shorter timeframe where there is a demonstrable need to a</w:t>
      </w:r>
      <w:r>
        <w:t>mend a prudential</w:t>
      </w:r>
      <w:r>
        <w:rPr>
          <w:spacing w:val="-24"/>
        </w:rPr>
        <w:t xml:space="preserve"> </w:t>
      </w:r>
      <w:r>
        <w:t>requirement.</w:t>
      </w:r>
    </w:p>
    <w:sectPr w:rsidR="006E0219">
      <w:pgSz w:w="11910" w:h="16840"/>
      <w:pgMar w:top="1460" w:right="1320" w:bottom="740" w:left="1260" w:header="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A77C3">
      <w:r>
        <w:separator/>
      </w:r>
    </w:p>
  </w:endnote>
  <w:endnote w:type="continuationSeparator" w:id="0">
    <w:p w:rsidR="00000000" w:rsidRDefault="00BA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219" w:rsidRDefault="00BA77C3">
    <w:pPr>
      <w:pStyle w:val="BodyText"/>
      <w:spacing w:line="14" w:lineRule="auto"/>
      <w:rPr>
        <w:sz w:val="20"/>
      </w:rPr>
    </w:pPr>
    <w:r>
      <w:rPr>
        <w:noProof/>
      </w:rPr>
      <w:drawing>
        <wp:anchor distT="0" distB="0" distL="0" distR="0" simplePos="0" relativeHeight="251179008" behindDoc="1" locked="0" layoutInCell="1" allowOverlap="1">
          <wp:simplePos x="0" y="0"/>
          <wp:positionH relativeFrom="page">
            <wp:posOffset>19050</wp:posOffset>
          </wp:positionH>
          <wp:positionV relativeFrom="page">
            <wp:posOffset>10429887</wp:posOffset>
          </wp:positionV>
          <wp:extent cx="7541514" cy="24891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41514" cy="248917"/>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1026" type="#_x0000_t202" style="position:absolute;margin-left:71.15pt;margin-top:803.15pt;width:211.75pt;height:11pt;z-index:-252136448;mso-position-horizontal-relative:page;mso-position-vertical-relative:page" filled="f" stroked="f">
          <v:textbox inset="0,0,0,0">
            <w:txbxContent>
              <w:p w:rsidR="006E0219" w:rsidRDefault="00BA77C3">
                <w:pPr>
                  <w:spacing w:before="15"/>
                  <w:ind w:left="20"/>
                  <w:rPr>
                    <w:b/>
                    <w:sz w:val="16"/>
                  </w:rPr>
                </w:pPr>
                <w:r>
                  <w:rPr>
                    <w:b/>
                    <w:color w:val="585858"/>
                    <w:sz w:val="16"/>
                  </w:rPr>
                  <w:t>AUSTRALIAN PRUDENTIAL REGULATION AUTHORITY</w:t>
                </w:r>
              </w:p>
            </w:txbxContent>
          </v:textbox>
          <w10:wrap anchorx="page" anchory="page"/>
        </v:shape>
      </w:pict>
    </w:r>
    <w:r>
      <w:pict>
        <v:shape id="_x0000_s1025" type="#_x0000_t202" style="position:absolute;margin-left:514.8pt;margin-top:803.25pt;width:10.5pt;height:11pt;z-index:-252135424;mso-position-horizontal-relative:page;mso-position-vertical-relative:page" filled="f" stroked="f">
          <v:textbox inset="0,0,0,0">
            <w:txbxContent>
              <w:p w:rsidR="006E0219" w:rsidRDefault="00BA77C3">
                <w:pPr>
                  <w:spacing w:before="15"/>
                  <w:ind w:left="60"/>
                  <w:rPr>
                    <w:b/>
                    <w:sz w:val="16"/>
                  </w:rPr>
                </w:pPr>
                <w:r>
                  <w:fldChar w:fldCharType="begin"/>
                </w:r>
                <w:r>
                  <w:rPr>
                    <w:b/>
                    <w:color w:val="585858"/>
                    <w:sz w:val="16"/>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A77C3">
      <w:r>
        <w:separator/>
      </w:r>
    </w:p>
  </w:footnote>
  <w:footnote w:type="continuationSeparator" w:id="0">
    <w:p w:rsidR="00000000" w:rsidRDefault="00BA7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46D67"/>
    <w:multiLevelType w:val="hybridMultilevel"/>
    <w:tmpl w:val="BB927DB8"/>
    <w:lvl w:ilvl="0" w:tplc="780ABD18">
      <w:numFmt w:val="bullet"/>
      <w:lvlText w:val=""/>
      <w:lvlJc w:val="left"/>
      <w:pPr>
        <w:ind w:left="605" w:hanging="425"/>
      </w:pPr>
      <w:rPr>
        <w:rFonts w:ascii="Symbol" w:eastAsia="Symbol" w:hAnsi="Symbol" w:cs="Symbol" w:hint="default"/>
        <w:w w:val="100"/>
        <w:sz w:val="22"/>
        <w:szCs w:val="22"/>
        <w:lang w:val="en-AU" w:eastAsia="en-AU" w:bidi="en-AU"/>
      </w:rPr>
    </w:lvl>
    <w:lvl w:ilvl="1" w:tplc="F2C40650">
      <w:numFmt w:val="bullet"/>
      <w:lvlText w:val="•"/>
      <w:lvlJc w:val="left"/>
      <w:pPr>
        <w:ind w:left="1472" w:hanging="425"/>
      </w:pPr>
      <w:rPr>
        <w:rFonts w:hint="default"/>
        <w:lang w:val="en-AU" w:eastAsia="en-AU" w:bidi="en-AU"/>
      </w:rPr>
    </w:lvl>
    <w:lvl w:ilvl="2" w:tplc="84A401F4">
      <w:numFmt w:val="bullet"/>
      <w:lvlText w:val="•"/>
      <w:lvlJc w:val="left"/>
      <w:pPr>
        <w:ind w:left="2345" w:hanging="425"/>
      </w:pPr>
      <w:rPr>
        <w:rFonts w:hint="default"/>
        <w:lang w:val="en-AU" w:eastAsia="en-AU" w:bidi="en-AU"/>
      </w:rPr>
    </w:lvl>
    <w:lvl w:ilvl="3" w:tplc="6396EE0C">
      <w:numFmt w:val="bullet"/>
      <w:lvlText w:val="•"/>
      <w:lvlJc w:val="left"/>
      <w:pPr>
        <w:ind w:left="3217" w:hanging="425"/>
      </w:pPr>
      <w:rPr>
        <w:rFonts w:hint="default"/>
        <w:lang w:val="en-AU" w:eastAsia="en-AU" w:bidi="en-AU"/>
      </w:rPr>
    </w:lvl>
    <w:lvl w:ilvl="4" w:tplc="CA7A6982">
      <w:numFmt w:val="bullet"/>
      <w:lvlText w:val="•"/>
      <w:lvlJc w:val="left"/>
      <w:pPr>
        <w:ind w:left="4090" w:hanging="425"/>
      </w:pPr>
      <w:rPr>
        <w:rFonts w:hint="default"/>
        <w:lang w:val="en-AU" w:eastAsia="en-AU" w:bidi="en-AU"/>
      </w:rPr>
    </w:lvl>
    <w:lvl w:ilvl="5" w:tplc="20940F96">
      <w:numFmt w:val="bullet"/>
      <w:lvlText w:val="•"/>
      <w:lvlJc w:val="left"/>
      <w:pPr>
        <w:ind w:left="4963" w:hanging="425"/>
      </w:pPr>
      <w:rPr>
        <w:rFonts w:hint="default"/>
        <w:lang w:val="en-AU" w:eastAsia="en-AU" w:bidi="en-AU"/>
      </w:rPr>
    </w:lvl>
    <w:lvl w:ilvl="6" w:tplc="3F924620">
      <w:numFmt w:val="bullet"/>
      <w:lvlText w:val="•"/>
      <w:lvlJc w:val="left"/>
      <w:pPr>
        <w:ind w:left="5835" w:hanging="425"/>
      </w:pPr>
      <w:rPr>
        <w:rFonts w:hint="default"/>
        <w:lang w:val="en-AU" w:eastAsia="en-AU" w:bidi="en-AU"/>
      </w:rPr>
    </w:lvl>
    <w:lvl w:ilvl="7" w:tplc="A87057D8">
      <w:numFmt w:val="bullet"/>
      <w:lvlText w:val="•"/>
      <w:lvlJc w:val="left"/>
      <w:pPr>
        <w:ind w:left="6708" w:hanging="425"/>
      </w:pPr>
      <w:rPr>
        <w:rFonts w:hint="default"/>
        <w:lang w:val="en-AU" w:eastAsia="en-AU" w:bidi="en-AU"/>
      </w:rPr>
    </w:lvl>
    <w:lvl w:ilvl="8" w:tplc="88E65AD8">
      <w:numFmt w:val="bullet"/>
      <w:lvlText w:val="•"/>
      <w:lvlJc w:val="left"/>
      <w:pPr>
        <w:ind w:left="7581" w:hanging="425"/>
      </w:pPr>
      <w:rPr>
        <w:rFonts w:hint="default"/>
        <w:lang w:val="en-AU" w:eastAsia="en-AU" w:bidi="en-A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E0219"/>
    <w:rsid w:val="006E0219"/>
    <w:rsid w:val="00BA77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779079"/>
  <w15:docId w15:val="{ADDA194E-B9D2-4FED-9BF9-122E9842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18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05" w:right="113" w:hanging="425"/>
    </w:pPr>
  </w:style>
  <w:style w:type="paragraph" w:customStyle="1" w:styleId="TableParagraph">
    <w:name w:val="Table Paragraph"/>
    <w:basedOn w:val="Normal"/>
    <w:uiPriority w:val="1"/>
    <w:qFormat/>
    <w:pPr>
      <w:spacing w:before="59"/>
      <w:ind w:left="1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elpdesk-obpr@pmc.gov.a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1" ma:contentTypeDescription="Create a new document." ma:contentTypeScope="" ma:versionID="59e167facbd9e776d6599421bbce5fe9">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77a0628d3abd3daff5cf9c84b73c7fc9"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DOCID-322795542-10720</_dlc_DocId>
    <_dlc_DocIdUrl xmlns="4195ad5f-cdf2-4c4a-8d9b-b7944a108e98">
      <Url>https://pmc01.sharepoint.com/sites/CRMOBPR/_layouts/15/DocIdRedir.aspx?ID=DOCID-322795542-10720</Url>
      <Description>DOCID-322795542-10720</Description>
    </_dlc_DocIdUrl>
  </documentManagement>
</p:properties>
</file>

<file path=customXml/itemProps1.xml><?xml version="1.0" encoding="utf-8"?>
<ds:datastoreItem xmlns:ds="http://schemas.openxmlformats.org/officeDocument/2006/customXml" ds:itemID="{2E72E282-1E33-4E01-9156-2C0DAA803EA8}"/>
</file>

<file path=customXml/itemProps2.xml><?xml version="1.0" encoding="utf-8"?>
<ds:datastoreItem xmlns:ds="http://schemas.openxmlformats.org/officeDocument/2006/customXml" ds:itemID="{64804689-53DC-462B-B2DC-140C85DF12B4}"/>
</file>

<file path=customXml/itemProps3.xml><?xml version="1.0" encoding="utf-8"?>
<ds:datastoreItem xmlns:ds="http://schemas.openxmlformats.org/officeDocument/2006/customXml" ds:itemID="{1C71C80C-E8CA-42E9-927F-90FC6BC19ADB}"/>
</file>

<file path=customXml/itemProps4.xml><?xml version="1.0" encoding="utf-8"?>
<ds:datastoreItem xmlns:ds="http://schemas.openxmlformats.org/officeDocument/2006/customXml" ds:itemID="{B5CD1E2E-414D-4273-A848-A921CFC32C60}"/>
</file>

<file path=docProps/app.xml><?xml version="1.0" encoding="utf-8"?>
<Properties xmlns="http://schemas.openxmlformats.org/officeDocument/2006/extended-properties" xmlns:vt="http://schemas.openxmlformats.org/officeDocument/2006/docPropsVTypes">
  <Template>Normal.dotm</Template>
  <TotalTime>1</TotalTime>
  <Pages>7</Pages>
  <Words>2145</Words>
  <Characters>12377</Characters>
  <Application>Microsoft Office Word</Application>
  <DocSecurity>0</DocSecurity>
  <Lines>375</Lines>
  <Paragraphs>165</Paragraphs>
  <ScaleCrop>false</ScaleCrop>
  <Company>APRA</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[SEC=OFFICIAL]</cp:keywords>
  <cp:lastModifiedBy>Emma Nicholson</cp:lastModifiedBy>
  <cp:revision>2</cp:revision>
  <dcterms:created xsi:type="dcterms:W3CDTF">2022-02-23T04:19:00Z</dcterms:created>
  <dcterms:modified xsi:type="dcterms:W3CDTF">2022-02-23T04:35:00Z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LastSaved">
    <vt:filetime>2022-02-23T00:00:00Z</vt:filetime>
  </property>
  <property fmtid="{D5CDD505-2E9C-101B-9397-08002B2CF9AE}" pid="4" name="PM_ProtectiveMarkingImage_Header">
    <vt:lpwstr>C:\Program Files\Common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CBDB406446F246CCAD05CD146284F8F3</vt:lpwstr>
  </property>
  <property fmtid="{D5CDD505-2E9C-101B-9397-08002B2CF9AE}" pid="11" name="PM_ProtectiveMarkingValue_Footer">
    <vt:lpwstr>OFFICIAL</vt:lpwstr>
  </property>
  <property fmtid="{D5CDD505-2E9C-101B-9397-08002B2CF9AE}" pid="12" name="PM_Originator_Hash_SHA1">
    <vt:lpwstr>FD601EB9279B81D19174D871B12407322185A007</vt:lpwstr>
  </property>
  <property fmtid="{D5CDD505-2E9C-101B-9397-08002B2CF9AE}" pid="13" name="PM_OriginationTimeStamp">
    <vt:lpwstr>2022-02-23T04:35:23Z</vt:lpwstr>
  </property>
  <property fmtid="{D5CDD505-2E9C-101B-9397-08002B2CF9AE}" pid="14" name="PM_ProtectiveMarkingValue_Header">
    <vt:lpwstr>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Uuid">
    <vt:lpwstr>ABBFF5E2-9674-55C9-B08D-C9980002FD58</vt:lpwstr>
  </property>
  <property fmtid="{D5CDD505-2E9C-101B-9397-08002B2CF9AE}" pid="22" name="PMUuidVer">
    <vt:lpwstr>2022.1</vt:lpwstr>
  </property>
  <property fmtid="{D5CDD505-2E9C-101B-9397-08002B2CF9AE}" pid="23" name="PM_Hash_Version">
    <vt:lpwstr>2018.0</vt:lpwstr>
  </property>
  <property fmtid="{D5CDD505-2E9C-101B-9397-08002B2CF9AE}" pid="24" name="PM_Hash_Salt_Prev">
    <vt:lpwstr>9EDBF7523F37F5ACECABA87A03D5CED3</vt:lpwstr>
  </property>
  <property fmtid="{D5CDD505-2E9C-101B-9397-08002B2CF9AE}" pid="25" name="PM_Hash_Salt">
    <vt:lpwstr>9EDBF7523F37F5ACECABA87A03D5CED3</vt:lpwstr>
  </property>
  <property fmtid="{D5CDD505-2E9C-101B-9397-08002B2CF9AE}" pid="26" name="PM_Hash_SHA1">
    <vt:lpwstr>33249067B1CF46EC7EDF1214BD519293BEAD912A</vt:lpwstr>
  </property>
  <property fmtid="{D5CDD505-2E9C-101B-9397-08002B2CF9AE}" pid="27" name="PM_OriginatorUserAccountName_SHA256">
    <vt:lpwstr>52CA578D49D47181320D733DE315BF8BF71643387A629D3D6BA2BF9260CD3A97</vt:lpwstr>
  </property>
  <property fmtid="{D5CDD505-2E9C-101B-9397-08002B2CF9AE}" pid="28" name="PM_OriginatorDomainName_SHA256">
    <vt:lpwstr>ECBDE2B44A971754412B3FB70606937A119CC0D4B6C1B658A40FBD41C30BE3EC</vt:lpwstr>
  </property>
  <property fmtid="{D5CDD505-2E9C-101B-9397-08002B2CF9AE}" pid="29" name="PM_MinimumSecurityClassification">
    <vt:lpwstr/>
  </property>
  <property fmtid="{D5CDD505-2E9C-101B-9397-08002B2CF9AE}" pid="30" name="ContentTypeId">
    <vt:lpwstr>0x0101009CA239676470E04B809DDC4E24CF2322</vt:lpwstr>
  </property>
  <property fmtid="{D5CDD505-2E9C-101B-9397-08002B2CF9AE}" pid="31" name="_dlc_DocIdItemGuid">
    <vt:lpwstr>c4ae8f65-5866-4447-b99d-44c137b1b53e</vt:lpwstr>
  </property>
</Properties>
</file>