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5591017"/>
        <w:docPartObj>
          <w:docPartGallery w:val="Cover Pages"/>
          <w:docPartUnique/>
        </w:docPartObj>
      </w:sdtPr>
      <w:sdtEndPr>
        <w:rPr>
          <w:noProof/>
        </w:rPr>
      </w:sdtEndPr>
      <w:sdtContent>
        <w:p w14:paraId="14BE0779" w14:textId="77777777" w:rsidR="0023294E" w:rsidRPr="00AF49E5" w:rsidRDefault="0011200A" w:rsidP="004616FF">
          <w:pPr>
            <w:pStyle w:val="BodyText"/>
          </w:pPr>
          <w:r>
            <w:rPr>
              <w:noProof/>
              <w:lang w:eastAsia="en-AU"/>
            </w:rPr>
            <mc:AlternateContent>
              <mc:Choice Requires="wps">
                <w:drawing>
                  <wp:anchor distT="0" distB="0" distL="114300" distR="114300" simplePos="0" relativeHeight="251658245" behindDoc="0" locked="0" layoutInCell="1" allowOverlap="1" wp14:anchorId="1D7C83CB" wp14:editId="371108F0">
                    <wp:simplePos x="0" y="0"/>
                    <wp:positionH relativeFrom="column">
                      <wp:posOffset>-26035</wp:posOffset>
                    </wp:positionH>
                    <wp:positionV relativeFrom="paragraph">
                      <wp:posOffset>224155</wp:posOffset>
                    </wp:positionV>
                    <wp:extent cx="3117850" cy="790575"/>
                    <wp:effectExtent l="0" t="0" r="0" b="0"/>
                    <wp:wrapNone/>
                    <wp:docPr id="2" name="Rectangle 2"/>
                    <wp:cNvGraphicFramePr/>
                    <a:graphic xmlns:a="http://schemas.openxmlformats.org/drawingml/2006/main">
                      <a:graphicData uri="http://schemas.microsoft.com/office/word/2010/wordprocessingShape">
                        <wps:wsp>
                          <wps:cNvSpPr/>
                          <wps:spPr>
                            <a:xfrm>
                              <a:off x="0" y="0"/>
                              <a:ext cx="3117850" cy="790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58C36" w14:textId="0F1A3E68" w:rsidR="006A1B40" w:rsidRDefault="006A1B40" w:rsidP="0011200A">
                                <w:pPr>
                                  <w:rPr>
                                    <w:color w:val="FFFFFF" w:themeColor="background1"/>
                                  </w:rPr>
                                </w:pPr>
                              </w:p>
                              <w:p w14:paraId="7200A96A" w14:textId="43536E20" w:rsidR="006A1B40" w:rsidRPr="0011200A" w:rsidRDefault="006A1B40" w:rsidP="0011200A">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7C83CB" id="Rectangle 2" o:spid="_x0000_s1026" style="position:absolute;margin-left:-2.05pt;margin-top:17.65pt;width:245.5pt;height:62.2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" filled="f" stroked="f" strokeweight="1pt">
                    <v:textbox>
                      <w:txbxContent>
                        <w:p w14:paraId="28A58C36" w14:textId="0F1A3E68" w:rsidR="006A1B40" w:rsidRDefault="006A1B40" w:rsidP="0011200A">
                          <w:pPr>
                            <w:rPr>
                              <w:color w:val="FFFFFF" w:themeColor="background1"/>
                            </w:rPr>
                          </w:pPr>
                        </w:p>
                        <w:p w14:paraId="7200A96A" w14:textId="43536E20" w:rsidR="006A1B40" w:rsidRPr="0011200A" w:rsidRDefault="006A1B40" w:rsidP="0011200A">
                          <w:pPr>
                            <w:rPr>
                              <w:color w:val="FFFFFF" w:themeColor="background1"/>
                            </w:rPr>
                          </w:pPr>
                        </w:p>
                      </w:txbxContent>
                    </v:textbox>
                  </v:rect>
                </w:pict>
              </mc:Fallback>
            </mc:AlternateContent>
          </w:r>
          <w:r w:rsidR="0023294E">
            <w:rPr>
              <w:noProof/>
              <w:lang w:eastAsia="en-AU"/>
            </w:rPr>
            <mc:AlternateContent>
              <mc:Choice Requires="wps">
                <w:drawing>
                  <wp:anchor distT="0" distB="0" distL="114300" distR="114300" simplePos="0" relativeHeight="251658243" behindDoc="0" locked="1" layoutInCell="1" allowOverlap="1" wp14:anchorId="3400F5C8" wp14:editId="23E1C3B0">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4D6344" id="Rectangle 70" o:spid="_x0000_s1026" style="position:absolute;margin-left:-42.7pt;margin-top:0;width:8.5pt;height:843.3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0023294E">
            <w:rPr>
              <w:noProof/>
              <w:lang w:eastAsia="en-AU"/>
            </w:rPr>
            <mc:AlternateContent>
              <mc:Choice Requires="wps">
                <w:drawing>
                  <wp:anchor distT="45720" distB="45720" distL="114300" distR="114300" simplePos="0" relativeHeight="251658240" behindDoc="1" locked="1" layoutInCell="1" allowOverlap="1" wp14:anchorId="271CFC19" wp14:editId="1E0017A9">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51234967" w14:textId="77777777" w:rsidR="006A1B40" w:rsidRPr="009B4379" w:rsidRDefault="006A1B40"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1CFC19" id="_x0000_t202" coordsize="21600,21600" o:spt="202" path="m,l,21600r21600,l21600,xe">
                    <v:stroke joinstyle="miter"/>
                    <v:path gradientshapeok="t" o:connecttype="rect"/>
                  </v:shapetype>
                  <v:shape id="Text Box 2" o:spid="_x0000_s1027"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WfHQIAABc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" fillcolor="white [3212]" stroked="f">
                    <v:textbox inset="0,10mm,0,0">
                      <w:txbxContent>
                        <w:p w14:paraId="51234967" w14:textId="77777777" w:rsidR="006A1B40" w:rsidRPr="009B4379" w:rsidRDefault="006A1B40" w:rsidP="009B4379">
                          <w:pPr>
                            <w:pStyle w:val="ProtectiveMarking"/>
                          </w:pPr>
                        </w:p>
                      </w:txbxContent>
                    </v:textbox>
                    <w10:wrap anchorx="page" anchory="page"/>
                    <w10:anchorlock/>
                  </v:shape>
                </w:pict>
              </mc:Fallback>
            </mc:AlternateContent>
          </w:r>
          <w:r w:rsidR="0023294E" w:rsidRPr="004616FF">
            <w:rPr>
              <w:noProof/>
              <w:lang w:eastAsia="en-AU"/>
            </w:rPr>
            <mc:AlternateContent>
              <mc:Choice Requires="wps">
                <w:drawing>
                  <wp:anchor distT="45720" distB="45720" distL="114300" distR="114300" simplePos="0" relativeHeight="251658244" behindDoc="1" locked="1" layoutInCell="1" allowOverlap="1" wp14:anchorId="04987A4D" wp14:editId="68988F85">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60D7DF9F" w14:textId="77777777" w:rsidR="006A1B40" w:rsidRPr="00543FDE" w:rsidRDefault="006A1B40"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87A4D" id="_x0000_s1028"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TMIWMiQCAAAlBAAADgAAAAAAAAAAAAAAAAAuAgAAZHJzL2Uyb0Rv&#10;Yy54bWxQSwECLQAUAAYACAAAACEA2H8sHOAAAAALAQAADwAAAAAAAAAAAAAAAAB+BAAAZHJzL2Rv&#10;d25yZXYueG1sUEsFBgAAAAAEAAQA8wAAAIsFAAAAAA==&#10;" fillcolor="window" stroked="f">
                    <v:textbox inset="0,0,0,0">
                      <w:txbxContent>
                        <w:p w14:paraId="60D7DF9F" w14:textId="77777777" w:rsidR="006A1B40" w:rsidRPr="00543FDE" w:rsidRDefault="006A1B40" w:rsidP="004616FF">
                          <w:pPr>
                            <w:pStyle w:val="ProtectiveMarking"/>
                          </w:pPr>
                        </w:p>
                      </w:txbxContent>
                    </v:textbox>
                    <w10:wrap anchorx="page" anchory="page"/>
                    <w10:anchorlock/>
                  </v:shape>
                </w:pict>
              </mc:Fallback>
            </mc:AlternateContent>
          </w:r>
        </w:p>
        <w:p w14:paraId="59317A5B" w14:textId="1A8CC340" w:rsidR="0023294E" w:rsidRDefault="0023294E" w:rsidP="007F5D33">
          <w:pPr>
            <w:framePr w:w="11595" w:h="6521" w:hRule="exact" w:wrap="around" w:vAnchor="page" w:hAnchor="page" w:x="171" w:y="9181" w:anchorLock="1"/>
          </w:pPr>
        </w:p>
        <w:p w14:paraId="5A2FE73F" w14:textId="77777777" w:rsidR="0023294E" w:rsidRPr="004616FF" w:rsidRDefault="0023294E" w:rsidP="00AF49E5">
          <w:pPr>
            <w:pStyle w:val="BodyText"/>
            <w:rPr>
              <w:caps/>
            </w:rPr>
            <w:sectPr w:rsidR="0023294E" w:rsidRPr="004616FF" w:rsidSect="00AF49E5">
              <w:headerReference w:type="even" r:id="rId7"/>
              <w:headerReference w:type="default" r:id="rId8"/>
              <w:footerReference w:type="even" r:id="rId9"/>
              <w:footerReference w:type="default" r:id="rId10"/>
              <w:headerReference w:type="first" r:id="rId11"/>
              <w:footerReference w:type="first" r:id="rId12"/>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58241" behindDoc="0" locked="1" layoutInCell="1" allowOverlap="1" wp14:anchorId="344F310D" wp14:editId="5D1987F4">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2F5BF" w14:textId="4B6D8350" w:rsidR="006A1B40" w:rsidRPr="00423E92" w:rsidRDefault="00A62468" w:rsidP="003C6961">
                                <w:pPr>
                                  <w:pStyle w:val="CoverTitle"/>
                                </w:pPr>
                                <w:sdt>
                                  <w:sdtPr>
                                    <w:alias w:val="Document Heading"/>
                                    <w:tag w:val="DH"/>
                                    <w:id w:val="-1577504962"/>
                                    <w:dataBinding w:xpath="/root[1]/DH[1]" w:storeItemID="{F533AE62-A212-4B26-92DA-A3B336E8AE06}"/>
                                    <w:text w:multiLine="1"/>
                                  </w:sdtPr>
                                  <w:sdtEndPr/>
                                  <w:sdtContent>
                                    <w:r w:rsidR="006A1B40">
                                      <w:t>Cyclone and related flooding reinsurance pool</w:t>
                                    </w:r>
                                  </w:sdtContent>
                                </w:sdt>
                              </w:p>
                              <w:p w14:paraId="2ADA7DE6" w14:textId="77777777" w:rsidR="006A1B40" w:rsidRDefault="006A1B40" w:rsidP="0011200A">
                                <w:pPr>
                                  <w:pStyle w:val="CoverByline"/>
                                </w:pPr>
                                <w:r w:rsidRPr="0011200A">
                                  <w:t>Regulation Impact Statement</w:t>
                                </w:r>
                              </w:p>
                              <w:p w14:paraId="1B1CAE68" w14:textId="3281C0BD" w:rsidR="006A1B40" w:rsidRPr="00AF49E5" w:rsidRDefault="006A1B40" w:rsidP="0011200A">
                                <w:pPr>
                                  <w:pStyle w:val="CoverByline"/>
                                </w:pPr>
                                <w:r>
                                  <w:t>Department of the Treasury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F310D" id="Text Box 73" o:spid="_x0000_s1029"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" filled="f" stroked="f" strokeweight=".5pt">
                    <v:textbox inset="0,0,0,0">
                      <w:txbxContent>
                        <w:p w14:paraId="3342F5BF" w14:textId="4B6D8350" w:rsidR="006A1B40" w:rsidRPr="00423E92" w:rsidRDefault="008263E5" w:rsidP="003C6961">
                          <w:pPr>
                            <w:pStyle w:val="CoverTitle"/>
                          </w:pPr>
                          <w:sdt>
                            <w:sdtPr>
                              <w:alias w:val="Document Heading"/>
                              <w:tag w:val="DH"/>
                              <w:id w:val="-1577504962"/>
                              <w:dataBinding w:xpath="/root[1]/DH[1]" w:storeItemID="{F533AE62-A212-4B26-92DA-A3B336E8AE06}"/>
                              <w:text w:multiLine="1"/>
                            </w:sdtPr>
                            <w:sdtEndPr/>
                            <w:sdtContent>
                              <w:r w:rsidR="006A1B40">
                                <w:t>Cyclone and related flooding reinsurance pool</w:t>
                              </w:r>
                            </w:sdtContent>
                          </w:sdt>
                        </w:p>
                        <w:p w14:paraId="2ADA7DE6" w14:textId="77777777" w:rsidR="006A1B40" w:rsidRDefault="006A1B40" w:rsidP="0011200A">
                          <w:pPr>
                            <w:pStyle w:val="CoverByline"/>
                          </w:pPr>
                          <w:r w:rsidRPr="0011200A">
                            <w:t>Regulation Impact Statement</w:t>
                          </w:r>
                        </w:p>
                        <w:p w14:paraId="1B1CAE68" w14:textId="3281C0BD" w:rsidR="006A1B40" w:rsidRPr="00AF49E5" w:rsidRDefault="006A1B40" w:rsidP="0011200A">
                          <w:pPr>
                            <w:pStyle w:val="CoverByline"/>
                          </w:pPr>
                          <w:r>
                            <w:t>Department of the Treasury</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58242" behindDoc="1" locked="1" layoutInCell="1" allowOverlap="1" wp14:anchorId="37817960" wp14:editId="7D1A3AA1">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85F91" id="Rectangle 74" o:spid="_x0000_s1026" style="position:absolute;margin-left:8.25pt;margin-top:57pt;width:578.25pt;height:7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" fillcolor="#014463" stroked="f" strokeweight="1pt">
                    <v:fill color2="#25303b" angle="90" focus="100%" type="gradient">
                      <o:fill v:ext="view" type="gradientUnscaled"/>
                    </v:fill>
                    <w10:wrap anchorx="page" anchory="page"/>
                    <w10:anchorlock/>
                  </v:rect>
                </w:pict>
              </mc:Fallback>
            </mc:AlternateContent>
          </w:r>
        </w:p>
      </w:sdtContent>
    </w:sdt>
    <w:p w14:paraId="7B45C25F" w14:textId="77777777" w:rsidR="00A50C1C" w:rsidRDefault="00A50C1C" w:rsidP="00A50C1C">
      <w:pPr>
        <w:spacing w:before="240"/>
      </w:pPr>
      <w:r w:rsidRPr="00661BF0">
        <w:lastRenderedPageBreak/>
        <w:t xml:space="preserve">© Commonwealth of </w:t>
      </w:r>
      <w:r w:rsidRPr="00D03789">
        <w:t>Australia 2021</w:t>
      </w:r>
    </w:p>
    <w:p w14:paraId="3E3EA196" w14:textId="77777777" w:rsidR="00A50C1C" w:rsidRPr="00086F82" w:rsidRDefault="00A50C1C" w:rsidP="00A50C1C">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3C9C0B3" w14:textId="77777777" w:rsidR="00A50C1C" w:rsidRDefault="00A50C1C" w:rsidP="00A50C1C">
      <w:pPr>
        <w:pStyle w:val="ChartGraphic"/>
        <w:jc w:val="left"/>
      </w:pPr>
      <w:r w:rsidRPr="00E56DFB">
        <w:rPr>
          <w:noProof/>
        </w:rPr>
        <w:drawing>
          <wp:inline distT="0" distB="0" distL="0" distR="0" wp14:anchorId="37AA8747" wp14:editId="24148D48">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DF25842" w14:textId="77777777" w:rsidR="00A50C1C" w:rsidRPr="006627B4" w:rsidRDefault="00A50C1C" w:rsidP="00A50C1C">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530D5E4" w14:textId="77777777" w:rsidR="00A50C1C" w:rsidRPr="002F1BC2" w:rsidRDefault="00A50C1C" w:rsidP="00A50C1C">
      <w:pPr>
        <w:ind w:left="709"/>
        <w:rPr>
          <w:i/>
        </w:rPr>
      </w:pPr>
      <w:r w:rsidRPr="002F1BC2">
        <w:rPr>
          <w:i/>
        </w:rPr>
        <w:t xml:space="preserve">Treasury material used </w:t>
      </w:r>
      <w:r>
        <w:rPr>
          <w:i/>
        </w:rPr>
        <w:t>‘</w:t>
      </w:r>
      <w:r w:rsidRPr="002F1BC2">
        <w:rPr>
          <w:i/>
        </w:rPr>
        <w:t>as supplied</w:t>
      </w:r>
      <w:r>
        <w:rPr>
          <w:i/>
        </w:rPr>
        <w:t>’.</w:t>
      </w:r>
    </w:p>
    <w:p w14:paraId="3D8A2D52" w14:textId="77777777" w:rsidR="00A50C1C" w:rsidRPr="00476F09" w:rsidRDefault="00A50C1C" w:rsidP="00A50C1C">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8F9840B" w14:textId="77777777" w:rsidR="00A50C1C" w:rsidRPr="00A13A11" w:rsidRDefault="00A50C1C" w:rsidP="00A50C1C">
      <w:pPr>
        <w:ind w:firstLine="720"/>
      </w:pPr>
      <w:r w:rsidRPr="002F1BC2">
        <w:rPr>
          <w:i/>
        </w:rPr>
        <w:t xml:space="preserve">Source: The </w:t>
      </w:r>
      <w:r w:rsidRPr="002F1BC2">
        <w:rPr>
          <w:i/>
          <w:iCs/>
        </w:rPr>
        <w:t>Australian Government the Treasury</w:t>
      </w:r>
      <w:r>
        <w:t>.</w:t>
      </w:r>
    </w:p>
    <w:p w14:paraId="174B915C" w14:textId="77777777" w:rsidR="00A50C1C" w:rsidRPr="006627B4" w:rsidRDefault="00A50C1C" w:rsidP="00A50C1C">
      <w:pPr>
        <w:spacing w:before="240"/>
      </w:pPr>
      <w:r w:rsidRPr="00CC63CC">
        <w:rPr>
          <w:b/>
        </w:rPr>
        <w:t>Derivative</w:t>
      </w:r>
      <w:r w:rsidRPr="006627B4">
        <w:t xml:space="preserve"> </w:t>
      </w:r>
      <w:r w:rsidRPr="00CC63CC">
        <w:rPr>
          <w:b/>
        </w:rPr>
        <w:t>material</w:t>
      </w:r>
    </w:p>
    <w:p w14:paraId="49143789" w14:textId="77777777" w:rsidR="00A50C1C" w:rsidRPr="006627B4" w:rsidRDefault="00A50C1C" w:rsidP="00A50C1C">
      <w:r w:rsidRPr="006627B4">
        <w:t xml:space="preserve">If you have modified or transformed Treasury material, or derived new material from those of the Treasury in any way, then Treasury prefers the following attribution: </w:t>
      </w:r>
    </w:p>
    <w:p w14:paraId="27A356B1" w14:textId="77777777" w:rsidR="00A50C1C" w:rsidRPr="006627B4" w:rsidRDefault="00A50C1C" w:rsidP="00A50C1C">
      <w:pPr>
        <w:ind w:firstLine="720"/>
      </w:pPr>
      <w:r w:rsidRPr="002F1BC2">
        <w:rPr>
          <w:i/>
        </w:rPr>
        <w:t>Based on The Australian Government the Treasury data</w:t>
      </w:r>
      <w:r>
        <w:t>.</w:t>
      </w:r>
    </w:p>
    <w:p w14:paraId="40418890" w14:textId="77777777" w:rsidR="00A50C1C" w:rsidRPr="006627B4" w:rsidRDefault="00A50C1C" w:rsidP="00A50C1C">
      <w:pPr>
        <w:spacing w:before="240"/>
        <w:rPr>
          <w:b/>
        </w:rPr>
      </w:pPr>
      <w:r w:rsidRPr="006627B4">
        <w:rPr>
          <w:b/>
        </w:rPr>
        <w:t>Use of the Coat of Arms</w:t>
      </w:r>
    </w:p>
    <w:p w14:paraId="2D20C1FF" w14:textId="77777777" w:rsidR="00A50C1C" w:rsidRPr="006627B4" w:rsidRDefault="00A50C1C" w:rsidP="00A50C1C">
      <w:r w:rsidRPr="004A7BC2">
        <w:t>The terms under which the Coat of Arms can be used are set out</w:t>
      </w:r>
      <w:r>
        <w:t xml:space="preserve"> on the Department of the Prime </w:t>
      </w:r>
      <w:r w:rsidRPr="004A7BC2">
        <w:t xml:space="preserve">Minister and Cabinet website (see </w:t>
      </w:r>
      <w:hyperlink r:id="rId17" w:history="1">
        <w:r w:rsidRPr="005A283B">
          <w:rPr>
            <w:rStyle w:val="Hyperlink"/>
          </w:rPr>
          <w:t>www.pmc.gov.au/government/commonwealth-coat-arm</w:t>
        </w:r>
      </w:hyperlink>
      <w:r w:rsidRPr="004A7BC2">
        <w:t>s).</w:t>
      </w:r>
    </w:p>
    <w:p w14:paraId="5CBF2AA1" w14:textId="77777777" w:rsidR="00A50C1C" w:rsidRPr="006627B4" w:rsidRDefault="00A50C1C" w:rsidP="00A50C1C">
      <w:pPr>
        <w:spacing w:before="240"/>
        <w:rPr>
          <w:b/>
        </w:rPr>
      </w:pPr>
      <w:r>
        <w:rPr>
          <w:b/>
        </w:rPr>
        <w:t>Other u</w:t>
      </w:r>
      <w:r w:rsidRPr="006627B4">
        <w:rPr>
          <w:b/>
        </w:rPr>
        <w:t>ses</w:t>
      </w:r>
    </w:p>
    <w:p w14:paraId="2CD337E8" w14:textId="77777777" w:rsidR="00A50C1C" w:rsidRPr="006627B4" w:rsidRDefault="00A50C1C" w:rsidP="00A50C1C">
      <w:r>
        <w:t>E</w:t>
      </w:r>
      <w:r w:rsidRPr="006627B4">
        <w:t>nquiries regarding this licence and any other use of this document are welcome at:</w:t>
      </w:r>
    </w:p>
    <w:p w14:paraId="3E149BD1" w14:textId="77777777" w:rsidR="00A50C1C" w:rsidRPr="002F1BC2" w:rsidRDefault="00A50C1C" w:rsidP="00A50C1C">
      <w:pPr>
        <w:ind w:left="720"/>
        <w:rPr>
          <w:rStyle w:val="Hyperlink"/>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Pr="000951A5">
          <w:rPr>
            <w:rStyle w:val="Hyperlink"/>
          </w:rPr>
          <w:t>media@treasury.gov.au</w:t>
        </w:r>
      </w:hyperlink>
      <w:r>
        <w:t xml:space="preserve"> </w:t>
      </w:r>
    </w:p>
    <w:p w14:paraId="084531D6" w14:textId="77777777" w:rsidR="00A50C1C" w:rsidRDefault="00A50C1C"/>
    <w:p w14:paraId="600D6F0D" w14:textId="77777777" w:rsidR="0011200A" w:rsidRDefault="0011200A">
      <w:pPr>
        <w:rPr>
          <w:rFonts w:asciiTheme="majorHAnsi" w:hAnsiTheme="majorHAnsi"/>
          <w:b/>
          <w:color w:val="014463" w:themeColor="text2"/>
          <w:sz w:val="60"/>
          <w:szCs w:val="60"/>
        </w:rPr>
      </w:pPr>
      <w:r>
        <w:br w:type="page"/>
      </w:r>
    </w:p>
    <w:p w14:paraId="7E6A2ACC" w14:textId="77777777" w:rsidR="0011200A" w:rsidRDefault="0011200A" w:rsidP="0011200A">
      <w:pPr>
        <w:pStyle w:val="Title"/>
      </w:pPr>
      <w:r>
        <w:lastRenderedPageBreak/>
        <w:t>Contents</w:t>
      </w:r>
    </w:p>
    <w:p w14:paraId="694F57D3" w14:textId="1B3CA59F" w:rsidR="00C51551" w:rsidRDefault="00C51551" w:rsidP="00C51551">
      <w:pPr>
        <w:pStyle w:val="Heading3"/>
      </w:pPr>
      <w:r>
        <w:t>1. What is the problem?</w:t>
      </w:r>
    </w:p>
    <w:p w14:paraId="79CAF99C" w14:textId="3E6E1C88" w:rsidR="00C51551" w:rsidRDefault="00C51551" w:rsidP="00C51551">
      <w:pPr>
        <w:pStyle w:val="Heading3"/>
      </w:pPr>
      <w:r>
        <w:t xml:space="preserve">2. </w:t>
      </w:r>
      <w:r w:rsidR="00DA7BB5">
        <w:t>The need for</w:t>
      </w:r>
      <w:r>
        <w:t xml:space="preserve"> government action </w:t>
      </w:r>
    </w:p>
    <w:p w14:paraId="7AD6CC81" w14:textId="296B544E" w:rsidR="00C51551" w:rsidRDefault="00C51551" w:rsidP="00C51551">
      <w:pPr>
        <w:pStyle w:val="Heading3"/>
      </w:pPr>
      <w:r>
        <w:t xml:space="preserve">3. </w:t>
      </w:r>
      <w:r w:rsidR="00501E5C">
        <w:t>P</w:t>
      </w:r>
      <w:r>
        <w:t xml:space="preserve">olicy options </w:t>
      </w:r>
    </w:p>
    <w:p w14:paraId="1D70745D" w14:textId="04D410C2" w:rsidR="00C51551" w:rsidRPr="0011200A" w:rsidRDefault="00C51551" w:rsidP="00C51551">
      <w:pPr>
        <w:pStyle w:val="Heading3"/>
      </w:pPr>
      <w:r>
        <w:t xml:space="preserve">4. </w:t>
      </w:r>
      <w:r w:rsidR="00A41200">
        <w:t>T</w:t>
      </w:r>
      <w:r>
        <w:t xml:space="preserve">he likely net benefit of each option </w:t>
      </w:r>
    </w:p>
    <w:p w14:paraId="7E2CE53B" w14:textId="56939248" w:rsidR="00C51551" w:rsidRDefault="00C51551" w:rsidP="00C51551">
      <w:pPr>
        <w:pStyle w:val="Heading3"/>
      </w:pPr>
      <w:r>
        <w:t xml:space="preserve">5. </w:t>
      </w:r>
      <w:r w:rsidR="00DA7BB5">
        <w:t>Consultation</w:t>
      </w:r>
      <w:r>
        <w:t xml:space="preserve"> </w:t>
      </w:r>
    </w:p>
    <w:p w14:paraId="1B62F349" w14:textId="3AB66F6E" w:rsidR="00C51551" w:rsidRDefault="00C51551" w:rsidP="00C51551">
      <w:pPr>
        <w:pStyle w:val="Heading3"/>
      </w:pPr>
      <w:r>
        <w:t xml:space="preserve">6. </w:t>
      </w:r>
      <w:r w:rsidR="006C010F">
        <w:t>B</w:t>
      </w:r>
      <w:r>
        <w:t xml:space="preserve">est option </w:t>
      </w:r>
      <w:r w:rsidR="006C010F">
        <w:t>of those</w:t>
      </w:r>
      <w:r>
        <w:t xml:space="preserve"> considered</w:t>
      </w:r>
    </w:p>
    <w:p w14:paraId="3E1BEBE5" w14:textId="52DE2581" w:rsidR="00C51551" w:rsidRDefault="00C51551" w:rsidP="00C51551">
      <w:pPr>
        <w:pStyle w:val="Heading3"/>
      </w:pPr>
      <w:r>
        <w:t xml:space="preserve">7. </w:t>
      </w:r>
      <w:r w:rsidR="006C010F">
        <w:t>I</w:t>
      </w:r>
      <w:r>
        <w:t>mplement</w:t>
      </w:r>
      <w:r w:rsidR="006C010F">
        <w:t>ation</w:t>
      </w:r>
      <w:r>
        <w:t xml:space="preserve"> and evaluat</w:t>
      </w:r>
      <w:r w:rsidR="006C010F">
        <w:t>ion</w:t>
      </w:r>
      <w:r>
        <w:t xml:space="preserve"> </w:t>
      </w:r>
    </w:p>
    <w:p w14:paraId="16B9AF69" w14:textId="7AA49B3A" w:rsidR="00C51551" w:rsidRPr="00D806AA" w:rsidRDefault="00C51551" w:rsidP="00D806AA">
      <w:pPr>
        <w:jc w:val="both"/>
        <w:rPr>
          <w:rFonts w:cstheme="minorHAnsi"/>
          <w:szCs w:val="22"/>
        </w:rPr>
      </w:pPr>
      <w:r>
        <w:br w:type="page"/>
      </w:r>
    </w:p>
    <w:p w14:paraId="7E598604" w14:textId="37907EC4" w:rsidR="00983E2E" w:rsidRDefault="00716A5F" w:rsidP="003F5D92">
      <w:pPr>
        <w:pStyle w:val="Title"/>
      </w:pPr>
      <w:r>
        <w:t>1. What is the problem?</w:t>
      </w:r>
    </w:p>
    <w:p w14:paraId="0421E235" w14:textId="5C5E7B97" w:rsidR="00ED18B7" w:rsidRDefault="00ED18B7" w:rsidP="00335B7A">
      <w:pPr>
        <w:pStyle w:val="Heading2"/>
        <w:spacing w:after="120"/>
      </w:pPr>
      <w:bookmarkStart w:id="0" w:name="_Toc67659610"/>
      <w:r>
        <w:t>Background</w:t>
      </w:r>
    </w:p>
    <w:p w14:paraId="6EAF1A71" w14:textId="61031DEB" w:rsidR="00262EA5" w:rsidRDefault="00867EAC" w:rsidP="00ED18B7">
      <w:pPr>
        <w:jc w:val="both"/>
        <w:rPr>
          <w:rFonts w:cstheme="minorHAnsi"/>
          <w:szCs w:val="22"/>
        </w:rPr>
      </w:pPr>
      <w:r w:rsidRPr="008130D8">
        <w:t xml:space="preserve">Insurance affordability has been a long-running concern in northern Australia, particularly in </w:t>
      </w:r>
      <w:r w:rsidR="00865156">
        <w:t>natural disaster-</w:t>
      </w:r>
      <w:r>
        <w:t xml:space="preserve">prone </w:t>
      </w:r>
      <w:r w:rsidR="00865156">
        <w:t>areas</w:t>
      </w:r>
      <w:r w:rsidRPr="008130D8">
        <w:t>.</w:t>
      </w:r>
      <w:r w:rsidR="00262EA5" w:rsidRPr="000E3946">
        <w:t xml:space="preserve"> </w:t>
      </w:r>
      <w:r>
        <w:t>N</w:t>
      </w:r>
      <w:r w:rsidR="00262EA5" w:rsidRPr="00867EAC">
        <w:t xml:space="preserve">umerous reviews </w:t>
      </w:r>
      <w:r>
        <w:t>have highlighted this issue in recent years</w:t>
      </w:r>
      <w:r w:rsidRPr="00867EAC">
        <w:t>, including the</w:t>
      </w:r>
      <w:r>
        <w:t xml:space="preserve"> 2011 Natural Disaster Insurance Review, the 2015 Northern Australia Insurance Premiums Taskforce Report, the 2020 Royal Commission into Natural Disaster Arrangements, and the Australian Competition and Consumer Commission’s</w:t>
      </w:r>
      <w:r w:rsidR="002E1B61">
        <w:t xml:space="preserve"> (ACCC)</w:t>
      </w:r>
      <w:r>
        <w:t xml:space="preserve"> Northern Australia Insurance Inquiry.</w:t>
      </w:r>
    </w:p>
    <w:p w14:paraId="2D12E4F1" w14:textId="77AD0E31" w:rsidR="00ED18B7" w:rsidRDefault="00ED18B7" w:rsidP="00ED18B7">
      <w:pPr>
        <w:jc w:val="both"/>
        <w:rPr>
          <w:rFonts w:cstheme="minorHAnsi"/>
          <w:szCs w:val="22"/>
        </w:rPr>
      </w:pPr>
      <w:r>
        <w:rPr>
          <w:rFonts w:cstheme="minorHAnsi"/>
          <w:szCs w:val="22"/>
        </w:rPr>
        <w:t>On 4 May 2021</w:t>
      </w:r>
      <w:r w:rsidRPr="00EB74DE">
        <w:rPr>
          <w:rFonts w:cstheme="minorHAnsi"/>
          <w:szCs w:val="22"/>
        </w:rPr>
        <w:t>, the Government announced</w:t>
      </w:r>
      <w:r w:rsidRPr="00D351F9">
        <w:rPr>
          <w:rFonts w:cstheme="minorHAnsi"/>
          <w:szCs w:val="22"/>
        </w:rPr>
        <w:t xml:space="preserve"> </w:t>
      </w:r>
      <w:r w:rsidRPr="00EB74DE">
        <w:rPr>
          <w:rFonts w:cstheme="minorHAnsi"/>
          <w:szCs w:val="22"/>
        </w:rPr>
        <w:t xml:space="preserve">that it intends to establish </w:t>
      </w:r>
      <w:r>
        <w:rPr>
          <w:rFonts w:cstheme="minorHAnsi"/>
          <w:szCs w:val="22"/>
        </w:rPr>
        <w:t>a</w:t>
      </w:r>
      <w:r w:rsidDel="003D2FE8">
        <w:rPr>
          <w:rFonts w:cstheme="minorHAnsi"/>
          <w:szCs w:val="22"/>
        </w:rPr>
        <w:t xml:space="preserve"> </w:t>
      </w:r>
      <w:r>
        <w:rPr>
          <w:rFonts w:cstheme="minorHAnsi"/>
          <w:szCs w:val="22"/>
        </w:rPr>
        <w:t>reinsurance pool covering the risk of property damage caused by cyclones and cyclone-related flood damage</w:t>
      </w:r>
      <w:r w:rsidR="001E615A">
        <w:rPr>
          <w:rFonts w:cstheme="minorHAnsi"/>
          <w:szCs w:val="22"/>
        </w:rPr>
        <w:t xml:space="preserve"> across Australia</w:t>
      </w:r>
      <w:r>
        <w:rPr>
          <w:rFonts w:cstheme="minorHAnsi"/>
          <w:szCs w:val="22"/>
        </w:rPr>
        <w:t xml:space="preserve">. The pool would seek to improve the accessibility and affordability of insurance for households and small businesses in cyclone-prone areas, which are mainly located in northern Australia. </w:t>
      </w:r>
    </w:p>
    <w:p w14:paraId="2FB82AAB" w14:textId="6C22EB21" w:rsidR="00ED18B7" w:rsidRPr="00ED18B7" w:rsidRDefault="00ED18B7" w:rsidP="00192009">
      <w:pPr>
        <w:jc w:val="both"/>
      </w:pPr>
      <w:r>
        <w:rPr>
          <w:rFonts w:cstheme="minorHAnsi"/>
          <w:szCs w:val="22"/>
        </w:rPr>
        <w:t>The Australian Reinsurance Pool Corporation (ARPC) would administer the pool, which would operate from</w:t>
      </w:r>
      <w:r w:rsidRPr="00BD61F4">
        <w:rPr>
          <w:rFonts w:cstheme="minorHAnsi"/>
          <w:szCs w:val="22"/>
        </w:rPr>
        <w:t xml:space="preserve"> 1 July 2022. </w:t>
      </w:r>
      <w:r>
        <w:rPr>
          <w:rFonts w:cstheme="minorHAnsi"/>
          <w:szCs w:val="22"/>
        </w:rPr>
        <w:t>A Treasury</w:t>
      </w:r>
      <w:r w:rsidR="00641AD4">
        <w:rPr>
          <w:rFonts w:cstheme="minorHAnsi"/>
          <w:szCs w:val="22"/>
        </w:rPr>
        <w:t>-</w:t>
      </w:r>
      <w:r>
        <w:rPr>
          <w:rFonts w:cstheme="minorHAnsi"/>
          <w:szCs w:val="22"/>
        </w:rPr>
        <w:t xml:space="preserve">led </w:t>
      </w:r>
      <w:r w:rsidRPr="002B214C">
        <w:rPr>
          <w:rFonts w:cstheme="minorHAnsi"/>
          <w:szCs w:val="22"/>
        </w:rPr>
        <w:t>Taskforce consult</w:t>
      </w:r>
      <w:r>
        <w:rPr>
          <w:rFonts w:cstheme="minorHAnsi"/>
          <w:szCs w:val="22"/>
        </w:rPr>
        <w:t>ed</w:t>
      </w:r>
      <w:r w:rsidRPr="002B214C">
        <w:rPr>
          <w:rFonts w:cstheme="minorHAnsi"/>
          <w:szCs w:val="22"/>
        </w:rPr>
        <w:t xml:space="preserve"> </w:t>
      </w:r>
      <w:r>
        <w:rPr>
          <w:rFonts w:cstheme="minorHAnsi"/>
          <w:szCs w:val="22"/>
        </w:rPr>
        <w:t>with industry and community representatives to inform a decision on the reinsurance pool’s final design</w:t>
      </w:r>
      <w:r>
        <w:t xml:space="preserve">. </w:t>
      </w:r>
    </w:p>
    <w:p w14:paraId="73847973" w14:textId="1AE5FCD9" w:rsidR="00335B7A" w:rsidRPr="002362AC" w:rsidRDefault="00335B7A" w:rsidP="00335B7A">
      <w:pPr>
        <w:pStyle w:val="Heading2"/>
        <w:spacing w:after="120"/>
      </w:pPr>
      <w:r w:rsidRPr="002362AC">
        <w:t>Insurance affordability in northern Australia</w:t>
      </w:r>
      <w:bookmarkEnd w:id="0"/>
    </w:p>
    <w:p w14:paraId="53E5EB44" w14:textId="727A87ED" w:rsidR="002568AA" w:rsidRDefault="00335B7A" w:rsidP="002568AA">
      <w:pPr>
        <w:jc w:val="both"/>
        <w:rPr>
          <w:rFonts w:cstheme="minorHAnsi"/>
          <w:szCs w:val="22"/>
        </w:rPr>
      </w:pPr>
      <w:r w:rsidRPr="002362AC">
        <w:t xml:space="preserve">Higher risk of natural disasters is driving significant </w:t>
      </w:r>
      <w:r w:rsidR="00FC422B">
        <w:t xml:space="preserve">insurance </w:t>
      </w:r>
      <w:r w:rsidRPr="002362AC" w:rsidDel="009D64E2">
        <w:t xml:space="preserve">affordability </w:t>
      </w:r>
      <w:r w:rsidR="009D64E2">
        <w:t xml:space="preserve">and access </w:t>
      </w:r>
      <w:r w:rsidRPr="002362AC">
        <w:t>pressures in northern Australia.</w:t>
      </w:r>
      <w:r w:rsidR="002568AA">
        <w:t xml:space="preserve"> </w:t>
      </w:r>
      <w:r w:rsidR="002568AA">
        <w:rPr>
          <w:rFonts w:cstheme="minorHAnsi"/>
          <w:szCs w:val="22"/>
        </w:rPr>
        <w:t>Northern Australia is more exposed to e</w:t>
      </w:r>
      <w:r w:rsidR="002568AA" w:rsidRPr="003D2FE8">
        <w:rPr>
          <w:rFonts w:cstheme="minorHAnsi"/>
          <w:szCs w:val="22"/>
        </w:rPr>
        <w:t>xtreme weather events</w:t>
      </w:r>
      <w:r w:rsidR="002568AA">
        <w:rPr>
          <w:rFonts w:cstheme="minorHAnsi"/>
          <w:szCs w:val="22"/>
        </w:rPr>
        <w:t xml:space="preserve"> </w:t>
      </w:r>
      <w:r w:rsidR="002568AA" w:rsidDel="00F068FF">
        <w:rPr>
          <w:rFonts w:cstheme="minorHAnsi"/>
          <w:szCs w:val="22"/>
        </w:rPr>
        <w:t>than other areas of Australia</w:t>
      </w:r>
      <w:r w:rsidR="002568AA" w:rsidRPr="003D2FE8">
        <w:rPr>
          <w:rFonts w:cstheme="minorHAnsi"/>
          <w:szCs w:val="22"/>
        </w:rPr>
        <w:t xml:space="preserve">. The damage to residential and business property caused by extreme weather events is often severe, and on a scale that leads to the displacement of people from their homes and disruption to business activity. </w:t>
      </w:r>
    </w:p>
    <w:p w14:paraId="4AE8CD2B" w14:textId="623D26DF" w:rsidR="00FC422B" w:rsidRDefault="002568AA" w:rsidP="00250E5D">
      <w:pPr>
        <w:jc w:val="both"/>
      </w:pPr>
      <w:r>
        <w:rPr>
          <w:rFonts w:cstheme="minorHAnsi"/>
          <w:szCs w:val="22"/>
        </w:rPr>
        <w:t xml:space="preserve">Due to the greater risk of extreme weather events, including cyclones, insurance premiums are significantly more expensive in northern Australia. While there are legitimate reasons for this, including the greater cost to insurers to provide property insurance in northern Australia, this has led to cover becoming less affordable and accessible for consumers </w:t>
      </w:r>
      <w:r w:rsidR="00BE4E05">
        <w:rPr>
          <w:rFonts w:cstheme="minorHAnsi"/>
          <w:szCs w:val="22"/>
        </w:rPr>
        <w:t xml:space="preserve">and small businesses </w:t>
      </w:r>
      <w:r>
        <w:rPr>
          <w:rFonts w:cstheme="minorHAnsi"/>
          <w:szCs w:val="22"/>
        </w:rPr>
        <w:t>in the region.</w:t>
      </w:r>
      <w:r w:rsidR="00335B7A" w:rsidRPr="002362AC">
        <w:t xml:space="preserve"> </w:t>
      </w:r>
    </w:p>
    <w:p w14:paraId="3C341BDA" w14:textId="41BE0550" w:rsidR="00335B7A" w:rsidRPr="00250E5D" w:rsidRDefault="00F95985" w:rsidP="00250E5D">
      <w:pPr>
        <w:jc w:val="both"/>
        <w:rPr>
          <w:rFonts w:cstheme="minorHAnsi"/>
          <w:szCs w:val="22"/>
        </w:rPr>
      </w:pPr>
      <w:r>
        <w:t>The ACCC found that</w:t>
      </w:r>
      <w:r w:rsidR="00FC422B">
        <w:t>, i</w:t>
      </w:r>
      <w:r w:rsidR="00335B7A" w:rsidRPr="002362AC">
        <w:t>n 2018</w:t>
      </w:r>
      <w:r w:rsidR="00335B7A" w:rsidRPr="002362AC">
        <w:noBreakHyphen/>
        <w:t>19, the average premium for combined home and contents insurance across northern Australia was about $2,500, almost double the average premium for the rest of Australia at about $1,400.</w:t>
      </w:r>
      <w:r w:rsidR="00335B7A">
        <w:rPr>
          <w:rStyle w:val="FootnoteReference"/>
        </w:rPr>
        <w:footnoteReference w:id="2"/>
      </w:r>
      <w:r w:rsidR="00335B7A" w:rsidRPr="002362AC">
        <w:t xml:space="preserve"> Some areas within the region have higher risk of natural peril than the average risk for the region and, within these areas, a substantial proportion of consumers pay significantly above the average premium. A particularly stark example is the case of Port Hedland, where around one quarter of households pay more than $6,200 for combined home and contents insurance, over four times the average premium for the rest of Australia.</w:t>
      </w:r>
      <w:r w:rsidR="00335B7A">
        <w:rPr>
          <w:rStyle w:val="FootnoteReference"/>
        </w:rPr>
        <w:footnoteReference w:id="3"/>
      </w:r>
      <w:r w:rsidR="00335B7A" w:rsidRPr="002362AC">
        <w:t xml:space="preserve"> </w:t>
      </w:r>
    </w:p>
    <w:p w14:paraId="361D4367" w14:textId="00E3AAEF" w:rsidR="00335B7A" w:rsidRPr="00552BD3" w:rsidRDefault="00335B7A" w:rsidP="00AB51C8">
      <w:pPr>
        <w:jc w:val="both"/>
      </w:pPr>
      <w:r w:rsidRPr="00552BD3">
        <w:t>In their inquiry, the ACCC identified that access and affordability pressures are similarly acute for strata properties. In 2018</w:t>
      </w:r>
      <w:r w:rsidR="0074327E">
        <w:noBreakHyphen/>
      </w:r>
      <w:r w:rsidRPr="00552BD3">
        <w:t>19, strata insurance premiums in northern Australia remained higher than in the rest of Australia. In northern Australia, there are more than 9,000 strata policies in insurance. The average premium was highest in north Western Australia, at $13,400, over four times the average for the rest of Australia at $3,300.</w:t>
      </w:r>
      <w:r>
        <w:rPr>
          <w:rStyle w:val="FootnoteReference"/>
        </w:rPr>
        <w:footnoteReference w:id="4"/>
      </w:r>
      <w:r w:rsidRPr="00552BD3">
        <w:t xml:space="preserve"> </w:t>
      </w:r>
    </w:p>
    <w:p w14:paraId="1BAF8BA7" w14:textId="61BD78F8" w:rsidR="00335B7A" w:rsidRDefault="00335B7A" w:rsidP="00AB51C8">
      <w:pPr>
        <w:jc w:val="both"/>
      </w:pPr>
      <w:r w:rsidRPr="00552BD3">
        <w:t xml:space="preserve">Average premiums have also increased at a </w:t>
      </w:r>
      <w:r w:rsidR="00695E7A">
        <w:t>faster</w:t>
      </w:r>
      <w:r w:rsidR="00695E7A" w:rsidRPr="00552BD3">
        <w:t xml:space="preserve"> </w:t>
      </w:r>
      <w:r w:rsidRPr="00552BD3">
        <w:t>rate than in the rest of Australia, with average combined home and contents insurance premiums rising by 122 per cent between 2007-08 and 2018-19 in real terms, compared with a 71 per cent increase for the rest of Australia.</w:t>
      </w:r>
      <w:r>
        <w:rPr>
          <w:rStyle w:val="FootnoteReference"/>
        </w:rPr>
        <w:footnoteReference w:id="5"/>
      </w:r>
      <w:r w:rsidRPr="00552BD3">
        <w:t xml:space="preserve"> More recently, there are indications the rate of premium increases is slowing. However, the ACCC note this may be in part due to higher-risk properties leaving insurance markets altogether in response to high premiums and therefore may not reflect an improvement in affordability.</w:t>
      </w:r>
    </w:p>
    <w:p w14:paraId="388D5937" w14:textId="12A3352C" w:rsidR="00335B7A" w:rsidRPr="002362AC" w:rsidRDefault="00335B7A" w:rsidP="00AB51C8">
      <w:pPr>
        <w:jc w:val="both"/>
      </w:pPr>
      <w:r w:rsidRPr="00552BD3">
        <w:t xml:space="preserve">Consumers in northern Australia have responded to higher premiums by selecting higher excess levels, as policies with higher excesses have lower premiums. However, the higher the excess level, the greater the dollar value that consumers </w:t>
      </w:r>
      <w:r w:rsidR="003A090E" w:rsidRPr="00552BD3">
        <w:t>must</w:t>
      </w:r>
      <w:r w:rsidRPr="00552BD3">
        <w:t xml:space="preserve"> contribute when submitting a claim. For this reason, excess levels impact the affordability of insurance products </w:t>
      </w:r>
      <w:r w:rsidRPr="002362AC">
        <w:t>for consumers, including the ability and likelihood of a consumer making a claim in the event of</w:t>
      </w:r>
      <w:r w:rsidR="0074327E">
        <w:t xml:space="preserve"> an</w:t>
      </w:r>
      <w:r w:rsidRPr="002362AC">
        <w:t xml:space="preserve"> extreme weather</w:t>
      </w:r>
      <w:r w:rsidR="0074327E">
        <w:t xml:space="preserve"> event</w:t>
      </w:r>
      <w:r w:rsidRPr="002362AC">
        <w:t>. Average excess levels selected by consumers in north Queensland and north Western Australia are higher than the rest of Australia, at $1,100 for buildings compared with $700.</w:t>
      </w:r>
      <w:r>
        <w:rPr>
          <w:rStyle w:val="FootnoteReference"/>
        </w:rPr>
        <w:footnoteReference w:id="6"/>
      </w:r>
      <w:r w:rsidRPr="002362AC">
        <w:t xml:space="preserve"> Claim frequency for home insurance products in northern Australia is lower for higher excess brackets, as higher brackets deter smaller claims by consumers, who may find it more cost effective to fund their own repairs.  </w:t>
      </w:r>
    </w:p>
    <w:p w14:paraId="56281C0D" w14:textId="13F485C9" w:rsidR="004C3372" w:rsidRDefault="0074327E" w:rsidP="00AB51C8">
      <w:pPr>
        <w:jc w:val="both"/>
      </w:pPr>
      <w:r>
        <w:t>Technology and g</w:t>
      </w:r>
      <w:r w:rsidR="00335B7A" w:rsidRPr="002362AC">
        <w:t xml:space="preserve">reater granularity in the pricing of cyclone and flood risk is also contributing to rising insurance premiums in northern Australia. Since 2013, insurers have moved towards address level pricing for cyclone risk, which makes up a large </w:t>
      </w:r>
      <w:r w:rsidR="003A090E" w:rsidRPr="002362AC">
        <w:t>part</w:t>
      </w:r>
      <w:r w:rsidR="00335B7A" w:rsidRPr="002362AC">
        <w:t xml:space="preserve"> of premiums. </w:t>
      </w:r>
      <w:r w:rsidRPr="002362AC">
        <w:t>Th</w:t>
      </w:r>
      <w:r>
        <w:t>e use of these technologies</w:t>
      </w:r>
      <w:r w:rsidRPr="002362AC">
        <w:t xml:space="preserve"> </w:t>
      </w:r>
      <w:r w:rsidR="00335B7A" w:rsidRPr="002362AC">
        <w:t xml:space="preserve">has led to premium increases in far north Queensland and the Northern Territory, while average premiums did not experience large changes at a national level. Address level pricing allows insurers to more directly align premiums paid to the level of risk and minimise potential overpricing of </w:t>
      </w:r>
      <w:r w:rsidRPr="002362AC">
        <w:t>low-risk</w:t>
      </w:r>
      <w:r w:rsidR="00335B7A" w:rsidRPr="002362AC">
        <w:t xml:space="preserve"> policies</w:t>
      </w:r>
      <w:r>
        <w:t xml:space="preserve"> </w:t>
      </w:r>
      <w:r>
        <w:rPr>
          <w:rFonts w:ascii="Calibri" w:hAnsi="Calibri" w:cs="Calibri"/>
        </w:rPr>
        <w:t>—</w:t>
      </w:r>
      <w:r>
        <w:t xml:space="preserve"> reducing the extent of risk pooling through insurance</w:t>
      </w:r>
      <w:r w:rsidR="00335B7A" w:rsidRPr="002362AC">
        <w:t xml:space="preserve">. However, in some cases, this change has resulted in very large increases to premiums for consumers most vulnerable to cyclone risk, exacerbating affordability issues. </w:t>
      </w:r>
      <w:r w:rsidR="003A090E">
        <w:t>For example</w:t>
      </w:r>
      <w:r w:rsidR="00335B7A" w:rsidRPr="002362AC">
        <w:t xml:space="preserve">, a consumer’s target premium increased by 70 per cent, from </w:t>
      </w:r>
      <w:r w:rsidR="003A090E" w:rsidRPr="002362AC">
        <w:t>a</w:t>
      </w:r>
      <w:r w:rsidR="003A090E">
        <w:t>bout</w:t>
      </w:r>
      <w:r w:rsidR="00335B7A" w:rsidRPr="002362AC">
        <w:t xml:space="preserve"> $3,000 to $5,000, following the adoption by the insurer of address level pricing for cyclone risks leading to cyclone component changes across the</w:t>
      </w:r>
      <w:r w:rsidR="00CB3E66">
        <w:t xml:space="preserve"> insurer’s </w:t>
      </w:r>
      <w:r w:rsidR="00335B7A" w:rsidRPr="002362AC">
        <w:t>portfolio.</w:t>
      </w:r>
      <w:r w:rsidR="00335B7A">
        <w:rPr>
          <w:rStyle w:val="FootnoteReference"/>
        </w:rPr>
        <w:footnoteReference w:id="7"/>
      </w:r>
      <w:r w:rsidR="00335B7A" w:rsidRPr="002362AC">
        <w:t xml:space="preserve"> </w:t>
      </w:r>
    </w:p>
    <w:p w14:paraId="5F9FB35A" w14:textId="00CD0A7D" w:rsidR="004C3372" w:rsidRDefault="004C3372" w:rsidP="000249D7">
      <w:pPr>
        <w:jc w:val="both"/>
      </w:pPr>
      <w:r w:rsidRPr="004C3372">
        <w:t xml:space="preserve">In addition to these factors affecting affordability in northern Australia, higher premiums mean higher </w:t>
      </w:r>
      <w:r w:rsidR="0074327E">
        <w:t>state</w:t>
      </w:r>
      <w:r w:rsidR="00CE0E77">
        <w:t xml:space="preserve"> and territory</w:t>
      </w:r>
      <w:r w:rsidR="0074327E">
        <w:t xml:space="preserve"> </w:t>
      </w:r>
      <w:r w:rsidRPr="004C3372">
        <w:t>stamp duty on home, contents and strata insurance. In northern Australia, stamp duty adds between 9 and 10 per cent to premiums, on top of the GST-inclusive amount.</w:t>
      </w:r>
      <w:r w:rsidRPr="004C3372">
        <w:rPr>
          <w:vertAlign w:val="superscript"/>
        </w:rPr>
        <w:footnoteReference w:id="8"/>
      </w:r>
      <w:r w:rsidRPr="004C3372">
        <w:t xml:space="preserve"> Stamp duty is not a cost to insurer</w:t>
      </w:r>
      <w:r w:rsidR="0074327E">
        <w:t>s</w:t>
      </w:r>
      <w:r w:rsidRPr="004C3372">
        <w:t xml:space="preserve"> but is added to the cost incurred by consumer</w:t>
      </w:r>
      <w:r w:rsidR="0074327E">
        <w:t>s</w:t>
      </w:r>
      <w:r w:rsidRPr="004C3372">
        <w:t>. Between 2007-08 and 2018</w:t>
      </w:r>
      <w:r w:rsidRPr="004C3372">
        <w:noBreakHyphen/>
        <w:t>19, the average tax (including GST) paid by consumers in northern Australia grew from $204 to $413, in real terms.</w:t>
      </w:r>
      <w:r w:rsidR="00A87539">
        <w:rPr>
          <w:rStyle w:val="FootnoteReference"/>
        </w:rPr>
        <w:footnoteReference w:id="9"/>
      </w:r>
      <w:r w:rsidRPr="004C3372">
        <w:t xml:space="preserve"> As at 2018-19, the average dollar value of stamp duty in northern Australia was almost double that in the rest of Australia ($256).</w:t>
      </w:r>
      <w:r w:rsidRPr="004C3372">
        <w:rPr>
          <w:vertAlign w:val="superscript"/>
        </w:rPr>
        <w:footnoteReference w:id="10"/>
      </w:r>
      <w:r w:rsidRPr="004C3372">
        <w:t xml:space="preserve"> As taxes are proportional to premiums, growth in stamp duty has had a compounding effect on </w:t>
      </w:r>
      <w:r w:rsidR="006B23E4">
        <w:t xml:space="preserve">insurance </w:t>
      </w:r>
      <w:r w:rsidR="00F95985" w:rsidRPr="004C3372">
        <w:t>affordability in northern Australia</w:t>
      </w:r>
      <w:r w:rsidRPr="004C3372">
        <w:t>. Other reviews have noted that state and territory insurance taxes (in the form of stamp duties in northern Australia, and stamp duties and levies elsewhere) increase the cost of insurance and thereby reduce insurance coverage.</w:t>
      </w:r>
    </w:p>
    <w:p w14:paraId="316BD7AF" w14:textId="3DF53657" w:rsidR="005538B9" w:rsidRPr="002362AC" w:rsidRDefault="005538B9" w:rsidP="005538B9">
      <w:pPr>
        <w:pStyle w:val="Heading2"/>
        <w:spacing w:after="120"/>
      </w:pPr>
      <w:bookmarkStart w:id="2" w:name="_Toc67659611"/>
      <w:r w:rsidRPr="002362AC">
        <w:t>Higher incidence of underinsurance or non</w:t>
      </w:r>
      <w:r w:rsidR="00863A46">
        <w:noBreakHyphen/>
      </w:r>
      <w:r w:rsidRPr="002362AC">
        <w:t>insurance in northern Australia</w:t>
      </w:r>
      <w:bookmarkEnd w:id="2"/>
    </w:p>
    <w:p w14:paraId="113E22BA" w14:textId="00D5B6C3" w:rsidR="005538B9" w:rsidRPr="00552BD3" w:rsidRDefault="005538B9" w:rsidP="00AB51C8">
      <w:pPr>
        <w:jc w:val="both"/>
      </w:pPr>
      <w:r w:rsidRPr="00552BD3">
        <w:t>Insurance affordability pressures have contributed to under and</w:t>
      </w:r>
      <w:r>
        <w:t xml:space="preserve"> </w:t>
      </w:r>
      <w:r w:rsidRPr="00552BD3">
        <w:t>non</w:t>
      </w:r>
      <w:r w:rsidRPr="00552BD3">
        <w:noBreakHyphen/>
        <w:t>insurance in northern Australia. High premiums mean there are likely a</w:t>
      </w:r>
      <w:r>
        <w:t xml:space="preserve"> </w:t>
      </w:r>
      <w:r w:rsidRPr="00552BD3">
        <w:t>considerable number of uninsured homes in northern Australia, as some households choose to opt out of or decrease their</w:t>
      </w:r>
      <w:r w:rsidR="00CE0E77">
        <w:t xml:space="preserve"> level of</w:t>
      </w:r>
      <w:r w:rsidRPr="00552BD3">
        <w:t xml:space="preserve"> insurance</w:t>
      </w:r>
      <w:r w:rsidR="00CE0E77">
        <w:t xml:space="preserve"> coverage</w:t>
      </w:r>
      <w:r w:rsidRPr="00552BD3">
        <w:t xml:space="preserve"> due to affordability constraints. Using 2016 Census data, the ACCC estimate</w:t>
      </w:r>
      <w:r w:rsidR="00CE0E77">
        <w:t>d</w:t>
      </w:r>
      <w:r w:rsidRPr="00552BD3">
        <w:t xml:space="preserve"> the rate of home building non-insurance in northern Australia to be </w:t>
      </w:r>
      <w:r w:rsidR="00A72133">
        <w:t>about</w:t>
      </w:r>
      <w:r w:rsidRPr="00552BD3">
        <w:t xml:space="preserve"> 20 per cent (or </w:t>
      </w:r>
      <w:r w:rsidR="00A72133">
        <w:t>about</w:t>
      </w:r>
      <w:r w:rsidRPr="00552BD3">
        <w:t xml:space="preserve"> 86,000 properties) in 2016, compared with 11 per cent for the rest of Australia.</w:t>
      </w:r>
      <w:r>
        <w:rPr>
          <w:rStyle w:val="FootnoteReference"/>
        </w:rPr>
        <w:footnoteReference w:id="11"/>
      </w:r>
    </w:p>
    <w:p w14:paraId="0F55BFE6" w14:textId="5ED618D3" w:rsidR="00250E5D" w:rsidRDefault="005538B9" w:rsidP="00250E5D">
      <w:pPr>
        <w:jc w:val="both"/>
        <w:rPr>
          <w:rStyle w:val="normaltextrun"/>
          <w:rFonts w:cstheme="minorHAnsi"/>
          <w:color w:val="000000"/>
          <w:szCs w:val="22"/>
        </w:rPr>
      </w:pPr>
      <w:r w:rsidRPr="002362AC">
        <w:t>I</w:t>
      </w:r>
      <w:r w:rsidRPr="00552BD3">
        <w:t>nsurance is an important tool for households and businesses to manage financial risks, including those associated with natural disaster</w:t>
      </w:r>
      <w:r w:rsidR="00CE0E77">
        <w:t>s</w:t>
      </w:r>
      <w:r w:rsidRPr="00552BD3">
        <w:t xml:space="preserve">. It communicates the level of risk associated with living in a particular region or building and renovating in a particular way via price signals, and therefore influences the behaviour of households and businesses. Insurance also </w:t>
      </w:r>
      <w:r w:rsidR="00E00762" w:rsidRPr="00552BD3">
        <w:t>helps</w:t>
      </w:r>
      <w:r w:rsidRPr="00552BD3">
        <w:t xml:space="preserve"> communities to fund their </w:t>
      </w:r>
      <w:r w:rsidR="00A72133">
        <w:t>recovery</w:t>
      </w:r>
      <w:r w:rsidRPr="00552BD3">
        <w:t xml:space="preserve"> from natural disasters. </w:t>
      </w:r>
      <w:r w:rsidR="00F95985" w:rsidRPr="001F59B7">
        <w:rPr>
          <w:rStyle w:val="normaltextrun"/>
          <w:rFonts w:cstheme="minorHAnsi"/>
          <w:color w:val="000000"/>
          <w:szCs w:val="22"/>
        </w:rPr>
        <w:t>The</w:t>
      </w:r>
      <w:r w:rsidR="00F036F5">
        <w:rPr>
          <w:rStyle w:val="normaltextrun"/>
          <w:rFonts w:cstheme="minorHAnsi"/>
          <w:color w:val="000000"/>
          <w:szCs w:val="22"/>
        </w:rPr>
        <w:t xml:space="preserve"> report</w:t>
      </w:r>
      <w:r w:rsidR="00504610">
        <w:rPr>
          <w:rStyle w:val="normaltextrun"/>
          <w:rFonts w:cstheme="minorHAnsi"/>
          <w:color w:val="000000"/>
          <w:szCs w:val="22"/>
        </w:rPr>
        <w:t xml:space="preserve"> of the</w:t>
      </w:r>
      <w:r w:rsidR="00F95985" w:rsidRPr="001F59B7">
        <w:rPr>
          <w:rStyle w:val="normaltextrun"/>
          <w:rFonts w:cstheme="minorHAnsi"/>
          <w:color w:val="000000"/>
          <w:szCs w:val="22"/>
        </w:rPr>
        <w:t xml:space="preserve"> Royal Commission </w:t>
      </w:r>
      <w:r w:rsidR="00F95985">
        <w:rPr>
          <w:rStyle w:val="normaltextrun"/>
          <w:rFonts w:cstheme="minorHAnsi"/>
          <w:color w:val="000000"/>
          <w:szCs w:val="22"/>
        </w:rPr>
        <w:t>into National Natural Disaster Arrangements (Royal Commission)</w:t>
      </w:r>
      <w:r w:rsidR="00250E5D" w:rsidRPr="001F59B7">
        <w:rPr>
          <w:rStyle w:val="normaltextrun"/>
          <w:rFonts w:cstheme="minorHAnsi"/>
          <w:color w:val="000000"/>
          <w:szCs w:val="22"/>
        </w:rPr>
        <w:t xml:space="preserve"> highlighted that uninsured or underinsured</w:t>
      </w:r>
      <w:r w:rsidR="00250E5D">
        <w:rPr>
          <w:rStyle w:val="normaltextrun"/>
          <w:rFonts w:cstheme="minorHAnsi"/>
          <w:color w:val="000000"/>
          <w:szCs w:val="22"/>
        </w:rPr>
        <w:t xml:space="preserve"> </w:t>
      </w:r>
      <w:r w:rsidR="00250E5D" w:rsidRPr="001F59B7">
        <w:rPr>
          <w:rStyle w:val="normaltextrun"/>
          <w:rFonts w:cstheme="minorHAnsi"/>
          <w:color w:val="000000"/>
          <w:szCs w:val="22"/>
        </w:rPr>
        <w:t>households</w:t>
      </w:r>
      <w:r w:rsidR="00250E5D">
        <w:rPr>
          <w:rStyle w:val="normaltextrun"/>
          <w:rFonts w:cstheme="minorHAnsi"/>
          <w:color w:val="000000"/>
          <w:szCs w:val="22"/>
        </w:rPr>
        <w:t xml:space="preserve"> </w:t>
      </w:r>
      <w:r w:rsidR="00250E5D" w:rsidRPr="001F59B7">
        <w:rPr>
          <w:rStyle w:val="normaltextrun"/>
          <w:rFonts w:cstheme="minorHAnsi"/>
          <w:color w:val="000000"/>
          <w:szCs w:val="22"/>
        </w:rPr>
        <w:t>have reduced financial capability to recover from a </w:t>
      </w:r>
      <w:r w:rsidR="00250E5D">
        <w:rPr>
          <w:rStyle w:val="normaltextrun"/>
          <w:rFonts w:cstheme="minorHAnsi"/>
          <w:color w:val="000000"/>
          <w:szCs w:val="22"/>
        </w:rPr>
        <w:t xml:space="preserve">natural </w:t>
      </w:r>
      <w:r w:rsidR="00250E5D" w:rsidRPr="001F59B7">
        <w:rPr>
          <w:rStyle w:val="normaltextrun"/>
          <w:rFonts w:cstheme="minorHAnsi"/>
          <w:color w:val="000000"/>
          <w:szCs w:val="22"/>
        </w:rPr>
        <w:t>disaster.</w:t>
      </w:r>
      <w:r w:rsidR="009A50BB">
        <w:rPr>
          <w:rStyle w:val="FootnoteReference"/>
          <w:rFonts w:cstheme="minorHAnsi"/>
          <w:color w:val="000000"/>
          <w:szCs w:val="22"/>
        </w:rPr>
        <w:footnoteReference w:id="12"/>
      </w:r>
      <w:r w:rsidR="00250E5D">
        <w:rPr>
          <w:rStyle w:val="normaltextrun"/>
          <w:rFonts w:cstheme="minorHAnsi"/>
          <w:color w:val="000000"/>
          <w:szCs w:val="22"/>
        </w:rPr>
        <w:t xml:space="preserve"> This can increase costs and pressures for communities and for governments, through increased pressure on health, emergency</w:t>
      </w:r>
      <w:r w:rsidR="00A87539">
        <w:rPr>
          <w:rStyle w:val="normaltextrun"/>
          <w:rFonts w:cstheme="minorHAnsi"/>
          <w:color w:val="000000"/>
          <w:szCs w:val="22"/>
        </w:rPr>
        <w:t>,</w:t>
      </w:r>
      <w:r w:rsidR="00250E5D">
        <w:rPr>
          <w:rStyle w:val="normaltextrun"/>
          <w:rFonts w:cstheme="minorHAnsi"/>
          <w:color w:val="000000"/>
          <w:szCs w:val="22"/>
        </w:rPr>
        <w:t xml:space="preserve"> and welfare systems. It can also slow the economic recovery of a region following a disaster. </w:t>
      </w:r>
      <w:r w:rsidR="00952BD3">
        <w:rPr>
          <w:rStyle w:val="normaltextrun"/>
          <w:rFonts w:cstheme="minorHAnsi"/>
          <w:color w:val="000000"/>
          <w:szCs w:val="22"/>
        </w:rPr>
        <w:t>Therefore, reduc</w:t>
      </w:r>
      <w:r w:rsidR="00CB3E66">
        <w:rPr>
          <w:rStyle w:val="normaltextrun"/>
          <w:rFonts w:cstheme="minorHAnsi"/>
          <w:color w:val="000000"/>
          <w:szCs w:val="22"/>
        </w:rPr>
        <w:t>ing</w:t>
      </w:r>
      <w:r w:rsidR="00952BD3">
        <w:rPr>
          <w:rStyle w:val="normaltextrun"/>
          <w:rFonts w:cstheme="minorHAnsi"/>
          <w:color w:val="000000"/>
          <w:szCs w:val="22"/>
        </w:rPr>
        <w:t xml:space="preserve"> the levels of underinsurance and non-insurance improve</w:t>
      </w:r>
      <w:r w:rsidR="00022448">
        <w:rPr>
          <w:rStyle w:val="normaltextrun"/>
          <w:rFonts w:cstheme="minorHAnsi"/>
          <w:color w:val="000000"/>
          <w:szCs w:val="22"/>
        </w:rPr>
        <w:t>s</w:t>
      </w:r>
      <w:r w:rsidR="00952BD3">
        <w:rPr>
          <w:rStyle w:val="normaltextrun"/>
          <w:rFonts w:cstheme="minorHAnsi"/>
          <w:color w:val="000000"/>
          <w:szCs w:val="22"/>
        </w:rPr>
        <w:t xml:space="preserve"> the resilience of households, businesses</w:t>
      </w:r>
      <w:r w:rsidR="00254329">
        <w:rPr>
          <w:rStyle w:val="normaltextrun"/>
          <w:rFonts w:cstheme="minorHAnsi"/>
          <w:color w:val="000000"/>
          <w:szCs w:val="22"/>
        </w:rPr>
        <w:t>,</w:t>
      </w:r>
      <w:r w:rsidR="00952BD3">
        <w:rPr>
          <w:rStyle w:val="normaltextrun"/>
          <w:rFonts w:cstheme="minorHAnsi"/>
          <w:color w:val="000000"/>
          <w:szCs w:val="22"/>
        </w:rPr>
        <w:t xml:space="preserve"> and communities. </w:t>
      </w:r>
    </w:p>
    <w:p w14:paraId="36E86AD8" w14:textId="77777777" w:rsidR="005538B9" w:rsidRPr="00552BD3" w:rsidRDefault="005538B9" w:rsidP="005538B9">
      <w:pPr>
        <w:pStyle w:val="Heading2"/>
        <w:spacing w:after="120"/>
      </w:pPr>
      <w:bookmarkStart w:id="3" w:name="_Toc67659612"/>
      <w:r w:rsidRPr="00552BD3">
        <w:t>Poor profitability of insurers</w:t>
      </w:r>
      <w:bookmarkEnd w:id="3"/>
      <w:r w:rsidRPr="00552BD3">
        <w:t xml:space="preserve"> </w:t>
      </w:r>
    </w:p>
    <w:p w14:paraId="0D57B896" w14:textId="13F05498" w:rsidR="005538B9" w:rsidRPr="00552BD3" w:rsidRDefault="005538B9" w:rsidP="00AB51C8">
      <w:pPr>
        <w:jc w:val="both"/>
      </w:pPr>
      <w:r w:rsidRPr="00552BD3">
        <w:t xml:space="preserve">Insurance markets are more concentrated in northern Australia. Eight insurers supply </w:t>
      </w:r>
      <w:r w:rsidR="00ED41B9">
        <w:t>majority of</w:t>
      </w:r>
      <w:r w:rsidRPr="00552BD3">
        <w:t xml:space="preserve"> home, contents and strata insurance in the region, compared with over 20 insurers for the rest of Australia.</w:t>
      </w:r>
      <w:r w:rsidR="00D86A4E">
        <w:rPr>
          <w:rStyle w:val="FootnoteReference"/>
        </w:rPr>
        <w:footnoteReference w:id="13"/>
      </w:r>
      <w:r w:rsidRPr="00552BD3">
        <w:t xml:space="preserve"> Insurer costs are </w:t>
      </w:r>
      <w:r w:rsidR="00F02DEF">
        <w:t xml:space="preserve">also </w:t>
      </w:r>
      <w:r w:rsidRPr="00552BD3">
        <w:t xml:space="preserve">higher in northern Australia. Claims are on average larger and more frequent in northern Australia compared with the rest of Australia. </w:t>
      </w:r>
      <w:r w:rsidR="00CE0E77">
        <w:t>Higher claim costs are</w:t>
      </w:r>
      <w:r w:rsidRPr="00552BD3">
        <w:t xml:space="preserve"> due primarily to the frequency and scale of natural disaster</w:t>
      </w:r>
      <w:r w:rsidR="00CE0E77">
        <w:t>s</w:t>
      </w:r>
      <w:r w:rsidRPr="00552BD3">
        <w:t xml:space="preserve"> experienced in northern Australia</w:t>
      </w:r>
      <w:r w:rsidR="00D86A4E">
        <w:t>.</w:t>
      </w:r>
      <w:r w:rsidRPr="00552BD3">
        <w:t xml:space="preserve"> </w:t>
      </w:r>
    </w:p>
    <w:p w14:paraId="5DD975B3" w14:textId="173E4F97" w:rsidR="004C3372" w:rsidRDefault="005538B9" w:rsidP="000249D7">
      <w:pPr>
        <w:jc w:val="both"/>
      </w:pPr>
      <w:r w:rsidRPr="00552BD3">
        <w:t xml:space="preserve">Larger and more frequent claims have resulted in poor profitability of insurers in northern Australia. While </w:t>
      </w:r>
      <w:r w:rsidR="00CE0E77">
        <w:t xml:space="preserve">northern Australia </w:t>
      </w:r>
      <w:r w:rsidR="00CE0E77" w:rsidRPr="00552BD3">
        <w:t>comprise</w:t>
      </w:r>
      <w:r w:rsidR="00CE0E77">
        <w:t xml:space="preserve">d about </w:t>
      </w:r>
      <w:r w:rsidR="00CE0E77" w:rsidRPr="00552BD3">
        <w:t xml:space="preserve">5 per cent of </w:t>
      </w:r>
      <w:r w:rsidR="00CE0E77">
        <w:t xml:space="preserve">all </w:t>
      </w:r>
      <w:r w:rsidR="006C0CFC" w:rsidRPr="00552BD3">
        <w:t xml:space="preserve">home, contents, and combined home and contents insurance </w:t>
      </w:r>
      <w:r w:rsidR="00CF588E">
        <w:t>policies supplied</w:t>
      </w:r>
      <w:r w:rsidR="00446CE8">
        <w:t xml:space="preserve"> in Australia on average between 2007-08 and 2018-19</w:t>
      </w:r>
      <w:r w:rsidR="006C0CFC">
        <w:t>,</w:t>
      </w:r>
      <w:r w:rsidR="006C0CFC" w:rsidRPr="00552BD3">
        <w:t xml:space="preserve"> </w:t>
      </w:r>
      <w:r w:rsidR="006C0CFC">
        <w:t>it account</w:t>
      </w:r>
      <w:r w:rsidR="00D4081C">
        <w:t>ed</w:t>
      </w:r>
      <w:r w:rsidR="006C0CFC">
        <w:t xml:space="preserve"> for a</w:t>
      </w:r>
      <w:r w:rsidR="00486877">
        <w:t>bout</w:t>
      </w:r>
      <w:r w:rsidR="00CF588E">
        <w:t xml:space="preserve"> 9 per cent of gross written premium and</w:t>
      </w:r>
      <w:r w:rsidR="006C0CFC">
        <w:t xml:space="preserve"> </w:t>
      </w:r>
      <w:r w:rsidRPr="00552BD3">
        <w:t>11 per cent of total claims costs</w:t>
      </w:r>
      <w:r w:rsidR="006C0CFC">
        <w:t xml:space="preserve"> </w:t>
      </w:r>
      <w:r w:rsidR="00446CE8">
        <w:t>over the same period</w:t>
      </w:r>
      <w:r w:rsidRPr="00552BD3">
        <w:t>.</w:t>
      </w:r>
      <w:r>
        <w:rPr>
          <w:rStyle w:val="FootnoteReference"/>
        </w:rPr>
        <w:footnoteReference w:id="14"/>
      </w:r>
      <w:r w:rsidRPr="00552BD3">
        <w:t xml:space="preserve"> For the 12 years to 30</w:t>
      </w:r>
      <w:r w:rsidR="006C0CFC">
        <w:t> </w:t>
      </w:r>
      <w:r w:rsidRPr="00552BD3">
        <w:t>June</w:t>
      </w:r>
      <w:r w:rsidR="006C0CFC">
        <w:t> </w:t>
      </w:r>
      <w:r w:rsidRPr="00552BD3">
        <w:t>2019, insurers in northern Australia are estimated to have experienced an aggregate loss across home, contents and strata insurance products of approximately $856 million in real terms.</w:t>
      </w:r>
      <w:r>
        <w:rPr>
          <w:rStyle w:val="FootnoteReference"/>
        </w:rPr>
        <w:footnoteReference w:id="15"/>
      </w:r>
      <w:r w:rsidRPr="00552BD3">
        <w:t xml:space="preserve"> From 2010, including the 2010-11 Queensland floods, insurers have paid out almost $28 billion in claims Australia wide.</w:t>
      </w:r>
      <w:r>
        <w:rPr>
          <w:rStyle w:val="FootnoteReference"/>
        </w:rPr>
        <w:footnoteReference w:id="16"/>
      </w:r>
      <w:r w:rsidRPr="00552BD3">
        <w:t xml:space="preserve"> In response to profitability challenges, insurers are seeking to manage exposure to higher risks, including by reducing </w:t>
      </w:r>
      <w:r w:rsidR="006C0CFC">
        <w:t>their exposure to regions with these risks</w:t>
      </w:r>
      <w:r w:rsidRPr="00552BD3">
        <w:t>. The ACCC found that risk is the largest deterrent of new insurers from entering northern Australia.</w:t>
      </w:r>
      <w:r>
        <w:rPr>
          <w:rStyle w:val="FootnoteReference"/>
        </w:rPr>
        <w:footnoteReference w:id="17"/>
      </w:r>
    </w:p>
    <w:p w14:paraId="49BD9D81" w14:textId="5118DF18" w:rsidR="004C3372" w:rsidRPr="004C3372" w:rsidRDefault="004C3372" w:rsidP="004C3372">
      <w:pPr>
        <w:pStyle w:val="Heading2"/>
      </w:pPr>
      <w:r w:rsidRPr="004C3372">
        <w:t xml:space="preserve">Current government measures to address affordability </w:t>
      </w:r>
    </w:p>
    <w:p w14:paraId="0A504292" w14:textId="34835EF9" w:rsidR="004C3372" w:rsidRDefault="004C3372" w:rsidP="00AB51C8">
      <w:pPr>
        <w:jc w:val="both"/>
      </w:pPr>
      <w:r w:rsidRPr="004C3372">
        <w:t>Current government measures to improve the</w:t>
      </w:r>
      <w:r w:rsidR="00242AC5">
        <w:t xml:space="preserve"> natural disaster</w:t>
      </w:r>
      <w:r w:rsidRPr="004C3372">
        <w:t xml:space="preserve"> resilience of households, strata properties and small businesses will contribute </w:t>
      </w:r>
      <w:r w:rsidR="006C0CFC">
        <w:t xml:space="preserve">to the longer-term </w:t>
      </w:r>
      <w:r w:rsidR="00CA25C9">
        <w:t>improvement in the affordability</w:t>
      </w:r>
      <w:r w:rsidRPr="004C3372">
        <w:t xml:space="preserve"> of premiums </w:t>
      </w:r>
      <w:r w:rsidR="006C0CFC">
        <w:t>for</w:t>
      </w:r>
      <w:r w:rsidR="00F02DEF">
        <w:t xml:space="preserve"> consumers where</w:t>
      </w:r>
      <w:r w:rsidR="006C0CFC" w:rsidRPr="004C3372">
        <w:t xml:space="preserve"> </w:t>
      </w:r>
      <w:r w:rsidRPr="004C3372">
        <w:t>insurers</w:t>
      </w:r>
      <w:r w:rsidRPr="004C3372" w:rsidDel="00F02DEF">
        <w:t xml:space="preserve"> </w:t>
      </w:r>
      <w:r w:rsidRPr="004C3372">
        <w:t>acknowledge mitigation</w:t>
      </w:r>
      <w:r w:rsidR="006C0CFC">
        <w:t xml:space="preserve"> activities</w:t>
      </w:r>
      <w:r w:rsidRPr="004C3372">
        <w:t xml:space="preserve">. </w:t>
      </w:r>
    </w:p>
    <w:p w14:paraId="54AD2FD5" w14:textId="5BD94B28" w:rsidR="008E6938" w:rsidRDefault="005319E2" w:rsidP="002848D0">
      <w:pPr>
        <w:jc w:val="both"/>
      </w:pPr>
      <w:r>
        <w:t xml:space="preserve">In the 2021-22 Budget, the Government provided $1.2 billion to improve Australia's capability to better prepare, respond, and recover from natural disasters, including by establishing a new National Recovery and Resilience Agency (NRRA) to lead resilience to, and recovery from, hazards and disasters. </w:t>
      </w:r>
      <w:r w:rsidR="008E6938">
        <w:t>The NRRA will be assisted by the Australian Climate Service, which is a partnership of the Bureau of Meteorology, Geoscience Australia, CSIRO and the Australian Bureau of Statistics to better understand how natural hazards impact our society, economy, and built environment.</w:t>
      </w:r>
    </w:p>
    <w:p w14:paraId="1AE79F02" w14:textId="4EEC2751" w:rsidR="005319E2" w:rsidRDefault="005319E2" w:rsidP="005319E2">
      <w:pPr>
        <w:jc w:val="both"/>
      </w:pPr>
      <w:r>
        <w:t>As part of these measures, the Government:</w:t>
      </w:r>
    </w:p>
    <w:p w14:paraId="69396815" w14:textId="39EB8DAE" w:rsidR="005319E2" w:rsidRDefault="005319E2" w:rsidP="005319E2">
      <w:pPr>
        <w:pStyle w:val="Bullet"/>
      </w:pPr>
      <w:r>
        <w:t>provided $615.5 million for the Preparing Australia program to provide grants for projects that support public and private disaster risk reduction and resilience; and</w:t>
      </w:r>
    </w:p>
    <w:p w14:paraId="2859B042" w14:textId="6058AEF0" w:rsidR="005319E2" w:rsidRDefault="005319E2" w:rsidP="00E3789D">
      <w:pPr>
        <w:pStyle w:val="Bullet"/>
      </w:pPr>
      <w:r>
        <w:t>announced a plan to specifically reduce insurance costs for strata properties, by committing $40 million for the North Queensland Strata Title Resilience Pilot Program, to start in 2022.</w:t>
      </w:r>
    </w:p>
    <w:p w14:paraId="795A6CE4" w14:textId="6BE68B8A" w:rsidR="00132076" w:rsidRDefault="004C3372" w:rsidP="00132076">
      <w:pPr>
        <w:jc w:val="both"/>
      </w:pPr>
      <w:r w:rsidRPr="004C3372">
        <w:t>The Queensland Government</w:t>
      </w:r>
      <w:r w:rsidR="00132076">
        <w:t xml:space="preserve"> </w:t>
      </w:r>
      <w:r w:rsidR="00D24259">
        <w:t>delivered</w:t>
      </w:r>
      <w:r w:rsidR="00132076">
        <w:t xml:space="preserve"> the </w:t>
      </w:r>
      <w:r w:rsidRPr="004C3372">
        <w:t>Queensland Household Resilience Program</w:t>
      </w:r>
      <w:r w:rsidR="00132076">
        <w:t xml:space="preserve">, which included </w:t>
      </w:r>
      <w:r w:rsidR="00B51623">
        <w:t>$10 million</w:t>
      </w:r>
      <w:r w:rsidR="00132076">
        <w:t xml:space="preserve"> funding from the Australian Government. The program allows</w:t>
      </w:r>
      <w:r w:rsidRPr="004C3372">
        <w:t xml:space="preserve"> owner-occupiers who live in a house built before 1984 in identified high</w:t>
      </w:r>
      <w:r w:rsidR="0069485B">
        <w:noBreakHyphen/>
      </w:r>
      <w:r w:rsidRPr="004C3372">
        <w:t>risk area</w:t>
      </w:r>
      <w:r w:rsidR="00132076">
        <w:t>s</w:t>
      </w:r>
      <w:r w:rsidRPr="004C3372">
        <w:t xml:space="preserve"> to receive a grant of 75 per cent of the cost of improvements to improve the resilience of homes against cyclones. </w:t>
      </w:r>
    </w:p>
    <w:p w14:paraId="311E2759" w14:textId="3BC597A6" w:rsidR="004C3372" w:rsidRPr="004C3372" w:rsidRDefault="00132076" w:rsidP="00132076">
      <w:pPr>
        <w:jc w:val="both"/>
      </w:pPr>
      <w:r>
        <w:t>Moreover, i</w:t>
      </w:r>
      <w:r w:rsidR="005319E2">
        <w:t>n its 2021-22 Budget, the Queensland Government made $10 million available for the North Queensland Natural Disasters Mitigation Program. The program will support physical mitigation projects that reduce disaster risk works, as well as studies or investigations to support a better understanding of a community’s risk.</w:t>
      </w:r>
      <w:r w:rsidR="005319E2" w:rsidRPr="004636DF">
        <w:rPr>
          <w:rStyle w:val="FootnoteReference"/>
        </w:rPr>
        <w:footnoteReference w:id="18"/>
      </w:r>
    </w:p>
    <w:p w14:paraId="64CB9C14" w14:textId="59E13741" w:rsidR="004C3372" w:rsidRPr="004C3372" w:rsidRDefault="00BC5021" w:rsidP="00AB51C8">
      <w:pPr>
        <w:jc w:val="both"/>
      </w:pPr>
      <w:r>
        <w:t>C</w:t>
      </w:r>
      <w:r w:rsidRPr="00BC5021">
        <w:t xml:space="preserve">urrent government </w:t>
      </w:r>
      <w:r w:rsidR="008E6938">
        <w:t xml:space="preserve">resilience and mitigation </w:t>
      </w:r>
      <w:r>
        <w:t xml:space="preserve">measures </w:t>
      </w:r>
      <w:r w:rsidRPr="00BC5021">
        <w:t xml:space="preserve">should result in some premium relief in the long term but not in the short term. </w:t>
      </w:r>
      <w:r w:rsidR="00132076">
        <w:t xml:space="preserve">Further action beyond these </w:t>
      </w:r>
      <w:r w:rsidR="004C3372" w:rsidRPr="004C3372">
        <w:t xml:space="preserve">current government measures </w:t>
      </w:r>
      <w:r w:rsidR="008E6938">
        <w:t>is</w:t>
      </w:r>
      <w:r w:rsidR="00132076">
        <w:t xml:space="preserve"> needed to address </w:t>
      </w:r>
      <w:r w:rsidR="004C3372" w:rsidRPr="004C3372">
        <w:t xml:space="preserve">the </w:t>
      </w:r>
      <w:r w:rsidR="00746846">
        <w:t>immediate</w:t>
      </w:r>
      <w:r w:rsidR="00746846" w:rsidRPr="004C3372">
        <w:t xml:space="preserve"> </w:t>
      </w:r>
      <w:r w:rsidR="00242AC5">
        <w:t xml:space="preserve">insurance access and </w:t>
      </w:r>
      <w:r w:rsidR="004C3372" w:rsidRPr="004C3372">
        <w:t>affordability</w:t>
      </w:r>
      <w:r w:rsidR="00242AC5">
        <w:t xml:space="preserve"> pressures in northern </w:t>
      </w:r>
      <w:r w:rsidR="005319E2">
        <w:t>Australia</w:t>
      </w:r>
      <w:r w:rsidR="004C3372" w:rsidRPr="004C3372">
        <w:t xml:space="preserve">. </w:t>
      </w:r>
    </w:p>
    <w:p w14:paraId="409691B8" w14:textId="77777777" w:rsidR="004C3372" w:rsidRPr="002362AC" w:rsidRDefault="004C3372" w:rsidP="00514DEA">
      <w:pPr>
        <w:jc w:val="both"/>
      </w:pPr>
    </w:p>
    <w:p w14:paraId="0239A4DD" w14:textId="19215C71" w:rsidR="00716A5F" w:rsidRPr="00514DEA" w:rsidRDefault="00716A5F" w:rsidP="00514DEA">
      <w:pPr>
        <w:jc w:val="both"/>
      </w:pPr>
      <w:r>
        <w:br w:type="page"/>
      </w:r>
    </w:p>
    <w:p w14:paraId="787654AD" w14:textId="1FD60494" w:rsidR="00716A5F" w:rsidRDefault="00716A5F" w:rsidP="00716A5F">
      <w:pPr>
        <w:pStyle w:val="Title"/>
      </w:pPr>
      <w:r>
        <w:t xml:space="preserve">2. </w:t>
      </w:r>
      <w:r w:rsidR="00837C4D">
        <w:t>The need for</w:t>
      </w:r>
      <w:r>
        <w:t xml:space="preserve"> Government action</w:t>
      </w:r>
    </w:p>
    <w:p w14:paraId="28F300C6" w14:textId="30993DB0" w:rsidR="00CA4796" w:rsidRDefault="00CA4796" w:rsidP="00AB51C8">
      <w:pPr>
        <w:jc w:val="both"/>
      </w:pPr>
      <w:r w:rsidRPr="002362AC">
        <w:t>There is an opportunity for the</w:t>
      </w:r>
      <w:r w:rsidR="00132076" w:rsidRPr="002362AC">
        <w:t xml:space="preserve"> </w:t>
      </w:r>
      <w:r w:rsidRPr="002362AC">
        <w:t>Government to assist in reducing the cost of high</w:t>
      </w:r>
      <w:r w:rsidRPr="002362AC">
        <w:noBreakHyphen/>
        <w:t>risk insurance premiums,</w:t>
      </w:r>
      <w:r w:rsidR="00132076">
        <w:t xml:space="preserve"> which is the largest </w:t>
      </w:r>
      <w:r w:rsidRPr="002362AC">
        <w:t xml:space="preserve">barrier to adequate insurance coverage. Without </w:t>
      </w:r>
      <w:r w:rsidR="00132076">
        <w:t>action</w:t>
      </w:r>
      <w:r w:rsidRPr="002362AC">
        <w:t xml:space="preserve">, increasing levels of underinsurance and non-insurance may lead to decreased resilience to natural disasters and </w:t>
      </w:r>
      <w:r w:rsidR="00C93C02">
        <w:t xml:space="preserve">a </w:t>
      </w:r>
      <w:r w:rsidRPr="002362AC">
        <w:t xml:space="preserve">deterioration in households’ ability to financially recover from disasters. </w:t>
      </w:r>
      <w:r w:rsidR="00F95985" w:rsidRPr="002362AC">
        <w:t>This in turn can increase costs to governments through increased pressure on health, emergency services, and welfare systems.</w:t>
      </w:r>
      <w:r w:rsidR="00F036F5">
        <w:rPr>
          <w:rStyle w:val="FootnoteReference"/>
        </w:rPr>
        <w:footnoteReference w:id="19"/>
      </w:r>
      <w:r w:rsidR="00F95985" w:rsidRPr="002362AC">
        <w:t xml:space="preserve"> It may also jeopardise progress made towards the economic development, and the improved liveability and prosperity, of northern Australia.</w:t>
      </w:r>
    </w:p>
    <w:p w14:paraId="6F506E93" w14:textId="77777777" w:rsidR="00CA4796" w:rsidRPr="002362AC" w:rsidRDefault="00CA4796" w:rsidP="00AB51C8">
      <w:pPr>
        <w:jc w:val="both"/>
      </w:pPr>
      <w:r w:rsidRPr="002362AC">
        <w:t xml:space="preserve">A lack of effective insurance coverage in a region can have long-term economic consequences, particularly in regional areas with a narrow economic base. Following the initial shock of a natural disaster, insurance can provide an economic stimulus through claims, increasing the speed of communities’ efforts to rebuild and providing a boost to business activity. </w:t>
      </w:r>
    </w:p>
    <w:p w14:paraId="7BAEFAC1" w14:textId="30119065" w:rsidR="00CA4796" w:rsidRPr="002362AC" w:rsidRDefault="00CA4796" w:rsidP="00AB51C8">
      <w:pPr>
        <w:jc w:val="both"/>
      </w:pPr>
      <w:r w:rsidRPr="002362AC">
        <w:t xml:space="preserve">By </w:t>
      </w:r>
      <w:r w:rsidR="002848D0" w:rsidRPr="002362AC">
        <w:t>addressing</w:t>
      </w:r>
      <w:r w:rsidRPr="002362AC">
        <w:t xml:space="preserve"> both acute and longer-term </w:t>
      </w:r>
      <w:r w:rsidR="00132076">
        <w:t xml:space="preserve">insurance affordability </w:t>
      </w:r>
      <w:r w:rsidRPr="002362AC">
        <w:t xml:space="preserve">pressures, the Government can: </w:t>
      </w:r>
    </w:p>
    <w:p w14:paraId="02D6B9F9" w14:textId="77777777" w:rsidR="00CA4796" w:rsidRPr="00CA4796" w:rsidRDefault="00CA4796" w:rsidP="00AB51C8">
      <w:pPr>
        <w:pStyle w:val="Bullet"/>
        <w:numPr>
          <w:ilvl w:val="0"/>
          <w:numId w:val="38"/>
        </w:numPr>
        <w:spacing w:after="160" w:line="259" w:lineRule="auto"/>
        <w:jc w:val="both"/>
        <w:rPr>
          <w:rFonts w:cstheme="minorHAnsi"/>
          <w:color w:val="auto"/>
        </w:rPr>
      </w:pPr>
      <w:r w:rsidRPr="00CA4796">
        <w:rPr>
          <w:rFonts w:cstheme="minorHAnsi"/>
          <w:color w:val="auto"/>
        </w:rPr>
        <w:t xml:space="preserve">improve insurance access and affordability in northern Australia; </w:t>
      </w:r>
    </w:p>
    <w:p w14:paraId="02A942AD" w14:textId="2CDD3155" w:rsidR="00CA4796" w:rsidRPr="00CA4796" w:rsidRDefault="00CA4796" w:rsidP="00AB51C8">
      <w:pPr>
        <w:pStyle w:val="Bullet"/>
        <w:numPr>
          <w:ilvl w:val="0"/>
          <w:numId w:val="38"/>
        </w:numPr>
        <w:spacing w:after="160" w:line="259" w:lineRule="auto"/>
        <w:jc w:val="both"/>
        <w:rPr>
          <w:rFonts w:cstheme="minorHAnsi"/>
          <w:color w:val="auto"/>
        </w:rPr>
      </w:pPr>
      <w:r w:rsidRPr="00CA4796">
        <w:rPr>
          <w:rFonts w:cstheme="minorHAnsi"/>
          <w:color w:val="auto"/>
        </w:rPr>
        <w:t xml:space="preserve">strengthen northern Australia’s resilience to natural disasters; </w:t>
      </w:r>
    </w:p>
    <w:p w14:paraId="18976A02" w14:textId="77777777" w:rsidR="008C3AE8" w:rsidRDefault="00CA4796" w:rsidP="00AB51C8">
      <w:pPr>
        <w:pStyle w:val="Bullet"/>
        <w:numPr>
          <w:ilvl w:val="0"/>
          <w:numId w:val="38"/>
        </w:numPr>
        <w:spacing w:after="160" w:line="259" w:lineRule="auto"/>
        <w:jc w:val="both"/>
        <w:rPr>
          <w:rFonts w:cstheme="minorHAnsi"/>
          <w:color w:val="auto"/>
        </w:rPr>
      </w:pPr>
      <w:r w:rsidRPr="00CA4796">
        <w:rPr>
          <w:rFonts w:cstheme="minorHAnsi"/>
          <w:color w:val="auto"/>
        </w:rPr>
        <w:t>build the financial capability of people and businesses to support a disaster resilient Australia</w:t>
      </w:r>
      <w:r w:rsidR="008C3AE8">
        <w:rPr>
          <w:rFonts w:cstheme="minorHAnsi"/>
          <w:color w:val="auto"/>
        </w:rPr>
        <w:t>; and</w:t>
      </w:r>
    </w:p>
    <w:p w14:paraId="326FA9B0" w14:textId="6C89B0BF" w:rsidR="00CA4796" w:rsidRPr="00CA4796" w:rsidRDefault="006024BD" w:rsidP="00AB51C8">
      <w:pPr>
        <w:pStyle w:val="Bullet"/>
        <w:numPr>
          <w:ilvl w:val="0"/>
          <w:numId w:val="38"/>
        </w:numPr>
        <w:spacing w:after="160" w:line="259" w:lineRule="auto"/>
        <w:jc w:val="both"/>
        <w:rPr>
          <w:rFonts w:cstheme="minorHAnsi"/>
          <w:color w:val="auto"/>
        </w:rPr>
      </w:pPr>
      <w:r>
        <w:rPr>
          <w:rFonts w:cstheme="minorHAnsi"/>
          <w:color w:val="auto"/>
        </w:rPr>
        <w:t>reduce</w:t>
      </w:r>
      <w:r w:rsidR="008C3AE8">
        <w:rPr>
          <w:rFonts w:cstheme="minorHAnsi"/>
          <w:color w:val="auto"/>
        </w:rPr>
        <w:t xml:space="preserve"> </w:t>
      </w:r>
      <w:r>
        <w:rPr>
          <w:rFonts w:cstheme="minorHAnsi"/>
          <w:color w:val="auto"/>
        </w:rPr>
        <w:t xml:space="preserve">costs to governments due to </w:t>
      </w:r>
      <w:r w:rsidR="008C3AE8">
        <w:rPr>
          <w:rFonts w:cstheme="minorHAnsi"/>
          <w:color w:val="auto"/>
        </w:rPr>
        <w:t>pressure on health, emergency services, and welfare systems</w:t>
      </w:r>
      <w:r w:rsidR="00CA4796" w:rsidRPr="00CA4796">
        <w:rPr>
          <w:rFonts w:cstheme="minorHAnsi"/>
          <w:color w:val="auto"/>
        </w:rPr>
        <w:t>.</w:t>
      </w:r>
    </w:p>
    <w:p w14:paraId="00CD9051" w14:textId="1F87FA59" w:rsidR="00CA4796" w:rsidRPr="002362AC" w:rsidRDefault="00CA4796" w:rsidP="00AB51C8">
      <w:pPr>
        <w:jc w:val="both"/>
      </w:pPr>
      <w:r w:rsidRPr="002362AC">
        <w:t xml:space="preserve">In pursuing these objectives, the Government </w:t>
      </w:r>
      <w:r w:rsidR="00132076">
        <w:t xml:space="preserve">can </w:t>
      </w:r>
      <w:r w:rsidRPr="002362AC">
        <w:t xml:space="preserve">also promote increased competition in insurance markets in northern Australia, </w:t>
      </w:r>
      <w:r w:rsidR="00703DD4">
        <w:t>improving co</w:t>
      </w:r>
      <w:r w:rsidRPr="002362AC">
        <w:t>nsumers’ ability to access affordable insurance.</w:t>
      </w:r>
      <w:r w:rsidR="008E5C29">
        <w:t xml:space="preserve"> </w:t>
      </w:r>
    </w:p>
    <w:p w14:paraId="692614EB" w14:textId="372B7011" w:rsidR="00CA4796" w:rsidRPr="002362AC" w:rsidRDefault="00CA4796" w:rsidP="00AB51C8">
      <w:pPr>
        <w:jc w:val="both"/>
      </w:pPr>
      <w:r w:rsidRPr="002362AC">
        <w:t>The</w:t>
      </w:r>
      <w:r w:rsidR="00703DD4" w:rsidRPr="002362AC">
        <w:t xml:space="preserve"> </w:t>
      </w:r>
      <w:r w:rsidRPr="002362AC">
        <w:t xml:space="preserve">Government has the capacity, and is well-placed, to address insurance affordability and access </w:t>
      </w:r>
      <w:r w:rsidR="002848D0">
        <w:t>pressures</w:t>
      </w:r>
      <w:r w:rsidRPr="002362AC">
        <w:t xml:space="preserve"> in northern Australia, through</w:t>
      </w:r>
      <w:r w:rsidR="00894A00">
        <w:t xml:space="preserve"> leveraging</w:t>
      </w:r>
      <w:r w:rsidRPr="002362AC">
        <w:t xml:space="preserve">: </w:t>
      </w:r>
    </w:p>
    <w:p w14:paraId="74FD5CA0" w14:textId="34F0D070" w:rsidR="00CA4796" w:rsidRPr="00CA4796" w:rsidRDefault="00894A00" w:rsidP="00AB51C8">
      <w:pPr>
        <w:pStyle w:val="Bullet"/>
        <w:numPr>
          <w:ilvl w:val="0"/>
          <w:numId w:val="37"/>
        </w:numPr>
        <w:spacing w:after="200" w:line="276" w:lineRule="auto"/>
        <w:jc w:val="both"/>
        <w:rPr>
          <w:rFonts w:cstheme="minorHAnsi"/>
          <w:color w:val="auto"/>
        </w:rPr>
      </w:pPr>
      <w:r>
        <w:rPr>
          <w:rFonts w:cstheme="minorHAnsi"/>
          <w:color w:val="auto"/>
        </w:rPr>
        <w:t>the Government’s</w:t>
      </w:r>
      <w:r w:rsidR="00CA4796" w:rsidRPr="00CA4796">
        <w:rPr>
          <w:rFonts w:cstheme="minorHAnsi"/>
          <w:color w:val="auto"/>
        </w:rPr>
        <w:t xml:space="preserve"> balance sheet, while minimising risk and cost to the Government; and </w:t>
      </w:r>
    </w:p>
    <w:p w14:paraId="36D768F3" w14:textId="6A8E4CF9" w:rsidR="00CA4796" w:rsidRPr="00CA4796" w:rsidRDefault="00C12C29" w:rsidP="00AB51C8">
      <w:pPr>
        <w:pStyle w:val="Bullet"/>
        <w:numPr>
          <w:ilvl w:val="0"/>
          <w:numId w:val="37"/>
        </w:numPr>
        <w:spacing w:after="200" w:line="276" w:lineRule="auto"/>
        <w:jc w:val="both"/>
        <w:rPr>
          <w:rFonts w:cstheme="minorHAnsi"/>
          <w:color w:val="auto"/>
        </w:rPr>
      </w:pPr>
      <w:r>
        <w:rPr>
          <w:rFonts w:cstheme="minorHAnsi"/>
          <w:color w:val="auto"/>
        </w:rPr>
        <w:t xml:space="preserve">the existing expertise of the </w:t>
      </w:r>
      <w:r w:rsidR="00E63396">
        <w:rPr>
          <w:rFonts w:cstheme="minorHAnsi"/>
          <w:color w:val="auto"/>
        </w:rPr>
        <w:t>ARPC</w:t>
      </w:r>
      <w:r w:rsidR="00894A00">
        <w:rPr>
          <w:rFonts w:cstheme="minorHAnsi"/>
          <w:color w:val="auto"/>
        </w:rPr>
        <w:t xml:space="preserve"> in running a reinsurance pool.</w:t>
      </w:r>
    </w:p>
    <w:p w14:paraId="3DD35429" w14:textId="69F272AC" w:rsidR="00CA4796" w:rsidRDefault="003A6F0D" w:rsidP="00AB51C8">
      <w:pPr>
        <w:jc w:val="both"/>
      </w:pPr>
      <w:r>
        <w:t>Without further action from the Government</w:t>
      </w:r>
      <w:r w:rsidR="00F24C40">
        <w:t>, insurance</w:t>
      </w:r>
      <w:r>
        <w:t xml:space="preserve"> accessibility and affordability pressures for households and small businesses in northern Australia will continue</w:t>
      </w:r>
      <w:r w:rsidR="00F24C40">
        <w:t xml:space="preserve">. </w:t>
      </w:r>
      <w:r w:rsidR="00014A28">
        <w:t>In the short to medium-term, t</w:t>
      </w:r>
      <w:r>
        <w:t xml:space="preserve">he </w:t>
      </w:r>
      <w:r w:rsidR="00F24C40">
        <w:t xml:space="preserve">insurance market </w:t>
      </w:r>
      <w:r>
        <w:t xml:space="preserve">is unlikely </w:t>
      </w:r>
      <w:r w:rsidR="00014A28">
        <w:t xml:space="preserve">to unilaterally </w:t>
      </w:r>
      <w:r w:rsidR="00F24C40">
        <w:t xml:space="preserve">assist </w:t>
      </w:r>
      <w:r>
        <w:t xml:space="preserve">with </w:t>
      </w:r>
      <w:r w:rsidR="00F24C40">
        <w:t xml:space="preserve">these pressures, </w:t>
      </w:r>
      <w:r w:rsidR="00014A28">
        <w:t>given that higher premiums reflect the level of natural disaster risk in northern Australia.</w:t>
      </w:r>
    </w:p>
    <w:p w14:paraId="19A3AE30" w14:textId="0BC1C2C2" w:rsidR="00046CFB" w:rsidRDefault="00046CFB" w:rsidP="00046CFB">
      <w:pPr>
        <w:pStyle w:val="Heading2"/>
      </w:pPr>
      <w:r>
        <w:t>A range of options have been considered previously</w:t>
      </w:r>
    </w:p>
    <w:p w14:paraId="29720393" w14:textId="77777777" w:rsidR="00046CFB" w:rsidRPr="002362AC" w:rsidRDefault="00046CFB" w:rsidP="00046CFB">
      <w:pPr>
        <w:pStyle w:val="Heading3"/>
      </w:pPr>
      <w:r w:rsidRPr="00CC2AC0">
        <w:t>Government insurer</w:t>
      </w:r>
    </w:p>
    <w:p w14:paraId="15FFDB2C" w14:textId="22F69BDF" w:rsidR="00046CFB" w:rsidRDefault="00046CFB" w:rsidP="00514DEA">
      <w:pPr>
        <w:jc w:val="both"/>
      </w:pPr>
      <w:r>
        <w:t xml:space="preserve">One </w:t>
      </w:r>
      <w:r w:rsidRPr="002362AC">
        <w:t xml:space="preserve">method of government intervention is for the government to act as an insurer. For certain events, the government can act as an insurer and hold the risk of the event occurring instead of a private insurer. While this model is like a government reinsurance pool, the government’s interaction with the market is greater and, in this respect, may represent a more intrusive market intervention than establishing a government reinsurance pool. Although </w:t>
      </w:r>
      <w:r w:rsidR="00685B85">
        <w:t>the level of</w:t>
      </w:r>
      <w:r w:rsidRPr="002362AC" w:rsidDel="00685B85">
        <w:t xml:space="preserve"> </w:t>
      </w:r>
      <w:r w:rsidR="00685B85" w:rsidRPr="002362AC">
        <w:t>competiti</w:t>
      </w:r>
      <w:r w:rsidR="00685B85">
        <w:t>ve pressure</w:t>
      </w:r>
      <w:r w:rsidR="00685B85" w:rsidRPr="002362AC">
        <w:t xml:space="preserve"> </w:t>
      </w:r>
      <w:r w:rsidRPr="002362AC">
        <w:t xml:space="preserve">in the northern Australian insurance market is </w:t>
      </w:r>
      <w:r w:rsidR="00685B85">
        <w:t>weakening (</w:t>
      </w:r>
      <w:r w:rsidR="00CF4AF1">
        <w:t>with some</w:t>
      </w:r>
      <w:r w:rsidR="00685B85">
        <w:t xml:space="preserve"> insurers seek</w:t>
      </w:r>
      <w:r w:rsidR="00CF4AF1">
        <w:t>ing</w:t>
      </w:r>
      <w:r w:rsidR="00685B85">
        <w:t xml:space="preserve"> to reduce their exposure in </w:t>
      </w:r>
      <w:r w:rsidR="00CF4AF1">
        <w:t>high-risk</w:t>
      </w:r>
      <w:r w:rsidR="00685B85">
        <w:t xml:space="preserve"> areas)</w:t>
      </w:r>
      <w:r w:rsidRPr="002362AC">
        <w:t xml:space="preserve">, private insurers continue to service this market, and the introduction of a government insurer for cyclone risk would likely crowd out private cyclone cover. </w:t>
      </w:r>
    </w:p>
    <w:p w14:paraId="1387E660" w14:textId="030CB179" w:rsidR="00046CFB" w:rsidRPr="00A91A85" w:rsidRDefault="00046CFB" w:rsidP="00514DEA">
      <w:pPr>
        <w:jc w:val="both"/>
      </w:pPr>
      <w:r>
        <w:t xml:space="preserve">Government insurers in the past have proved to be problematic and very costly for governments. One of the main examples of a government insurer internationally is the </w:t>
      </w:r>
      <w:r w:rsidRPr="0086243C">
        <w:t>National Flood Insurance Program</w:t>
      </w:r>
      <w:r>
        <w:t xml:space="preserve"> (NFIP) in the United States. NFIP has required additional funding on several occasions and since 2004 has borrowed $US39.4 billion from the federal government to pay out claims. Other schemes such as </w:t>
      </w:r>
      <w:r w:rsidRPr="00666034">
        <w:t>New Zealand’s Earthquake Commission</w:t>
      </w:r>
      <w:r>
        <w:t xml:space="preserve"> and</w:t>
      </w:r>
      <w:r w:rsidRPr="00666034">
        <w:t xml:space="preserve"> the California Earthquake Authority</w:t>
      </w:r>
      <w:r>
        <w:t xml:space="preserve"> have both required additional funding from levies to provide subsidised premiums, and also limit the total amount that can be paid in claims. </w:t>
      </w:r>
      <w:r w:rsidRPr="002362AC">
        <w:t>Further concerns include a complex and costly establishment process.</w:t>
      </w:r>
    </w:p>
    <w:p w14:paraId="5F9DBDFA" w14:textId="35C6958B" w:rsidR="00046CFB" w:rsidRDefault="00046CFB" w:rsidP="00514DEA">
      <w:pPr>
        <w:jc w:val="both"/>
      </w:pPr>
      <w:r>
        <w:t xml:space="preserve">The </w:t>
      </w:r>
      <w:r w:rsidR="00A87CA0">
        <w:t>Northern Australia Insurance Premiums Taskforce (</w:t>
      </w:r>
      <w:r>
        <w:t>NAIPT</w:t>
      </w:r>
      <w:r w:rsidR="00A87CA0">
        <w:t>)</w:t>
      </w:r>
      <w:r>
        <w:t xml:space="preserve"> also investigated the feasibility of a reinsurance pool in its report in 2015 as compared to an insurer subsidised by the government</w:t>
      </w:r>
      <w:r w:rsidR="002848D0">
        <w:t>.</w:t>
      </w:r>
      <w:r w:rsidR="00EB2697">
        <w:rPr>
          <w:rStyle w:val="FootnoteReference"/>
        </w:rPr>
        <w:footnoteReference w:id="20"/>
      </w:r>
      <w:r w:rsidR="002848D0">
        <w:t xml:space="preserve"> It</w:t>
      </w:r>
      <w:r>
        <w:t xml:space="preserve"> found </w:t>
      </w:r>
      <w:r w:rsidR="002848D0">
        <w:t>a</w:t>
      </w:r>
      <w:r w:rsidRPr="0029656B">
        <w:t xml:space="preserve"> </w:t>
      </w:r>
      <w:r>
        <w:t>reinsurance pool to be the more feasible option</w:t>
      </w:r>
      <w:r w:rsidR="002848D0">
        <w:t>, with the potential to</w:t>
      </w:r>
      <w:r>
        <w:t xml:space="preserve"> deliver premium reductions and promote competition through new entrants to the northern Australia market.</w:t>
      </w:r>
    </w:p>
    <w:p w14:paraId="418DF623" w14:textId="77777777" w:rsidR="00046CFB" w:rsidRPr="002362AC" w:rsidRDefault="00046CFB" w:rsidP="00046CFB">
      <w:pPr>
        <w:pStyle w:val="Heading3"/>
      </w:pPr>
      <w:r w:rsidRPr="00A91A85">
        <w:t>Direct subsidies</w:t>
      </w:r>
    </w:p>
    <w:p w14:paraId="7E288024" w14:textId="4D9F524D" w:rsidR="00046CFB" w:rsidRDefault="00046CFB" w:rsidP="00514DEA">
      <w:pPr>
        <w:jc w:val="both"/>
      </w:pPr>
      <w:r w:rsidRPr="002362AC">
        <w:t xml:space="preserve">Direct government subsidies involve government subsidising part of the cost of insurance premiums that are currently sold in the market. Schemes may vary in terms of duration, scope and size and </w:t>
      </w:r>
      <w:r w:rsidR="00284B8D">
        <w:t>could be used</w:t>
      </w:r>
      <w:r w:rsidRPr="002362AC">
        <w:t xml:space="preserve"> as a measure to address the most acute affordability issues facing consumers in northern Australia. Subsidies</w:t>
      </w:r>
      <w:r>
        <w:t xml:space="preserve"> come at a fiscal cost each year,</w:t>
      </w:r>
      <w:r w:rsidRPr="002362AC">
        <w:t xml:space="preserve"> are often unsustainable as a long-term solution</w:t>
      </w:r>
      <w:r w:rsidR="009D55A7">
        <w:t>,</w:t>
      </w:r>
      <w:r w:rsidRPr="002362AC">
        <w:t xml:space="preserve"> and </w:t>
      </w:r>
      <w:r w:rsidR="009D55A7">
        <w:t>are</w:t>
      </w:r>
      <w:r w:rsidRPr="002362AC">
        <w:t xml:space="preserve"> difficult to withdraw. </w:t>
      </w:r>
    </w:p>
    <w:p w14:paraId="20476A86" w14:textId="3AF02E03" w:rsidR="00046CFB" w:rsidRDefault="005F4538" w:rsidP="00514DEA">
      <w:pPr>
        <w:jc w:val="both"/>
      </w:pPr>
      <w:r w:rsidRPr="005F4538">
        <w:t>In its report, the ACCC recommended</w:t>
      </w:r>
      <w:r>
        <w:t xml:space="preserve"> direct subsidies as a means of providing immediate relief to consumers facing acute affordability pressures.</w:t>
      </w:r>
      <w:r w:rsidR="00762337">
        <w:rPr>
          <w:rStyle w:val="FootnoteReference"/>
        </w:rPr>
        <w:footnoteReference w:id="21"/>
      </w:r>
      <w:r>
        <w:t xml:space="preserve"> They noted that several risks exist when implementing subsidies. </w:t>
      </w:r>
      <w:r w:rsidR="00046CFB">
        <w:t xml:space="preserve">Depending on the design of a subsidy, future price increases would either reduce the effectiveness of the subsidy or increase its cost to government. Direct subsidies are also only likely to </w:t>
      </w:r>
      <w:r w:rsidR="00046CFB" w:rsidRPr="00280489">
        <w:t xml:space="preserve">temporarily </w:t>
      </w:r>
      <w:r w:rsidR="00046CFB">
        <w:t>reduce</w:t>
      </w:r>
      <w:r w:rsidR="00046CFB" w:rsidRPr="00280489">
        <w:t xml:space="preserve"> the </w:t>
      </w:r>
      <w:r w:rsidR="00046CFB">
        <w:t>issues of affordability</w:t>
      </w:r>
      <w:r w:rsidR="00046CFB" w:rsidRPr="00280489">
        <w:t>, without making any lasting improvements to</w:t>
      </w:r>
      <w:r w:rsidR="00046CFB">
        <w:t xml:space="preserve"> insurance</w:t>
      </w:r>
      <w:r w:rsidR="00046CFB" w:rsidRPr="00280489">
        <w:t xml:space="preserve"> affordability because the underlying </w:t>
      </w:r>
      <w:r w:rsidR="00046CFB">
        <w:t xml:space="preserve">issues will remain </w:t>
      </w:r>
      <w:r w:rsidR="00046CFB" w:rsidRPr="00280489">
        <w:t>unchanged</w:t>
      </w:r>
      <w:r w:rsidR="00046CFB">
        <w:t xml:space="preserve"> and</w:t>
      </w:r>
      <w:r w:rsidR="00284B8D">
        <w:t>,</w:t>
      </w:r>
      <w:r w:rsidR="00046CFB">
        <w:t xml:space="preserve"> unless designed carefully, subsidies </w:t>
      </w:r>
      <w:r w:rsidR="00284B8D">
        <w:t>could</w:t>
      </w:r>
      <w:r w:rsidR="00046CFB">
        <w:t xml:space="preserve"> facilitate inappropriate development in high-risk areas.</w:t>
      </w:r>
      <w:r w:rsidR="00C7671A">
        <w:t xml:space="preserve"> </w:t>
      </w:r>
    </w:p>
    <w:p w14:paraId="6ECE5624" w14:textId="7F4F1335" w:rsidR="00046CFB" w:rsidRDefault="00046CFB" w:rsidP="00514DEA">
      <w:pPr>
        <w:jc w:val="both"/>
      </w:pPr>
      <w:r>
        <w:rPr>
          <w:rFonts w:cstheme="minorHAnsi"/>
          <w:szCs w:val="22"/>
        </w:rPr>
        <w:t xml:space="preserve">The Productivity Commission, in their 2013 report </w:t>
      </w:r>
      <w:r>
        <w:rPr>
          <w:rFonts w:cstheme="minorHAnsi"/>
          <w:i/>
          <w:iCs/>
          <w:szCs w:val="22"/>
        </w:rPr>
        <w:t>Barriers to Effective Climate Change Adaption</w:t>
      </w:r>
      <w:r>
        <w:rPr>
          <w:rFonts w:cstheme="minorHAnsi"/>
          <w:szCs w:val="22"/>
        </w:rPr>
        <w:t>,</w:t>
      </w:r>
      <w:r w:rsidR="0016234D">
        <w:rPr>
          <w:rStyle w:val="FootnoteReference"/>
          <w:rFonts w:cstheme="minorHAnsi"/>
          <w:szCs w:val="22"/>
        </w:rPr>
        <w:footnoteReference w:id="22"/>
      </w:r>
      <w:r>
        <w:rPr>
          <w:rFonts w:cstheme="minorHAnsi"/>
          <w:szCs w:val="22"/>
        </w:rPr>
        <w:t xml:space="preserve"> </w:t>
      </w:r>
      <w:r>
        <w:t>opposed government</w:t>
      </w:r>
      <w:r w:rsidR="00B37A50">
        <w:noBreakHyphen/>
      </w:r>
      <w:r>
        <w:t>funded subsidies to address high insurance premiums. They considered that subsidies would dull incentives to manage risks and would be a short term and potentially costly solution. The then Government accepted the view of the Productivity Commission and decided against proceeding with the proposal.</w:t>
      </w:r>
    </w:p>
    <w:p w14:paraId="7E86DDCD" w14:textId="3AE2FECC" w:rsidR="00046CFB" w:rsidRPr="002362AC" w:rsidRDefault="00046CFB" w:rsidP="00046CFB">
      <w:pPr>
        <w:pStyle w:val="Heading3"/>
      </w:pPr>
      <w:r w:rsidRPr="00A91A85">
        <w:t>Mitigation</w:t>
      </w:r>
    </w:p>
    <w:p w14:paraId="298B30A3" w14:textId="36480B2D" w:rsidR="00046CFB" w:rsidRDefault="00046CFB" w:rsidP="00514DEA">
      <w:pPr>
        <w:jc w:val="both"/>
      </w:pPr>
      <w:r w:rsidRPr="002362AC">
        <w:t xml:space="preserve">Mitigation of natural disaster risk is an important part of long-term risk reduction. Investing in public and private mitigation actions, such as the building of levees and dams, as well as household level interventions, increases properties’ resilience. </w:t>
      </w:r>
    </w:p>
    <w:p w14:paraId="6651D138" w14:textId="40CC524A" w:rsidR="003A306B" w:rsidRDefault="003A306B" w:rsidP="003A306B">
      <w:r>
        <w:t xml:space="preserve">The ACCC has identified that there is a key role for the insurance industry to play in identifying possible </w:t>
      </w:r>
      <w:r w:rsidR="00762337">
        <w:t xml:space="preserve">mitigation </w:t>
      </w:r>
      <w:r>
        <w:t>measures and resulting premium reductions for consumers.</w:t>
      </w:r>
      <w:r w:rsidR="006C1BC7">
        <w:rPr>
          <w:rStyle w:val="FootnoteReference"/>
        </w:rPr>
        <w:footnoteReference w:id="23"/>
      </w:r>
      <w:r>
        <w:t xml:space="preserve"> This sentiment was echoed by the Royal Commission who recommended that the insurance industry and state and territory governments should work together to provide and circulate to consumers clear guidance on individual-level mitigation actions that will be recognised by insurers when setting premiums.</w:t>
      </w:r>
      <w:r w:rsidR="006B7BA2">
        <w:rPr>
          <w:rStyle w:val="FootnoteReference"/>
        </w:rPr>
        <w:footnoteReference w:id="24"/>
      </w:r>
      <w:r>
        <w:t xml:space="preserve"> </w:t>
      </w:r>
    </w:p>
    <w:p w14:paraId="6BD43153" w14:textId="2689F5E7" w:rsidR="003A306B" w:rsidRDefault="003A306B" w:rsidP="003A306B">
      <w:r>
        <w:t>The NAIPT also made a similar recommendation noting that one way to sustainably reduce premiums is through mitigation activities that reduce the risk of damage from cyclones. It recommended that the insurance industry develop insurance pricing systems that provide greater recognition of mitigation action and that, where mitigation actions are unaffordable for consumers, the Government may subsidise the cost.</w:t>
      </w:r>
      <w:r w:rsidR="004639D7">
        <w:rPr>
          <w:rStyle w:val="FootnoteReference"/>
        </w:rPr>
        <w:footnoteReference w:id="25"/>
      </w:r>
    </w:p>
    <w:p w14:paraId="46753124" w14:textId="77777777" w:rsidR="003A306B" w:rsidRDefault="003A306B" w:rsidP="003A306B">
      <w:pPr>
        <w:jc w:val="both"/>
        <w:rPr>
          <w:rFonts w:cstheme="minorHAnsi"/>
          <w:szCs w:val="22"/>
        </w:rPr>
      </w:pPr>
      <w:r>
        <w:rPr>
          <w:rFonts w:cstheme="minorHAnsi"/>
          <w:szCs w:val="22"/>
        </w:rPr>
        <w:t>Following the NAIPT’s report recommendation that the insurance industry develops insurance pricing systems that provide greater recognition of mitigation action, the ACCC found an increased level of mitigation recognition in the market. The insurance industry calculates premiums based on individual risk profile of properties and can provide discounts for mitigation that is quantifiable and verifiable. The ACCC Report indicates that Suncorp, Sure Insurance and RACQ explicitly offer premium discounts to properties where activity has been undertaken to improve the property’s cyclone resilience.</w:t>
      </w:r>
      <w:r>
        <w:rPr>
          <w:rFonts w:cstheme="minorHAnsi"/>
          <w:szCs w:val="22"/>
          <w:vertAlign w:val="superscript"/>
        </w:rPr>
        <w:footnoteReference w:id="26"/>
      </w:r>
      <w:r>
        <w:rPr>
          <w:rFonts w:cstheme="minorHAnsi"/>
          <w:szCs w:val="22"/>
        </w:rPr>
        <w:t xml:space="preserve"> </w:t>
      </w:r>
    </w:p>
    <w:p w14:paraId="0C464001" w14:textId="207725C1" w:rsidR="00B37A50" w:rsidRDefault="00B37A50" w:rsidP="00514DEA">
      <w:pPr>
        <w:jc w:val="both"/>
      </w:pPr>
      <w:r>
        <w:t>As noted above</w:t>
      </w:r>
      <w:r w:rsidR="00046CFB">
        <w:t xml:space="preserve">, the Government </w:t>
      </w:r>
      <w:r w:rsidR="00BE2DE6">
        <w:t>has</w:t>
      </w:r>
      <w:r w:rsidR="00046CFB">
        <w:t xml:space="preserve"> establi</w:t>
      </w:r>
      <w:r w:rsidR="00BE2DE6">
        <w:t>shed</w:t>
      </w:r>
      <w:r w:rsidR="00046CFB">
        <w:t xml:space="preserve"> the</w:t>
      </w:r>
      <w:r w:rsidR="00046CFB" w:rsidRPr="000A0431">
        <w:t xml:space="preserve"> National Recovery and Resilience Agency </w:t>
      </w:r>
      <w:r w:rsidR="00BE2DE6">
        <w:t xml:space="preserve">following the </w:t>
      </w:r>
      <w:r w:rsidR="00BE2DE6" w:rsidRPr="00BE2DE6">
        <w:t>2020 Royal Commission into Natural Disaster Arrangements</w:t>
      </w:r>
      <w:r w:rsidR="00046CFB" w:rsidRPr="000A0431">
        <w:t xml:space="preserve">. </w:t>
      </w:r>
      <w:r>
        <w:t>In establishing</w:t>
      </w:r>
      <w:r w:rsidR="00046CFB" w:rsidRPr="000A0431">
        <w:t xml:space="preserve"> the new agency</w:t>
      </w:r>
      <w:r>
        <w:t xml:space="preserve">, the Government provided $615.5 million for the </w:t>
      </w:r>
      <w:r w:rsidR="00046CFB" w:rsidRPr="000A0431">
        <w:t xml:space="preserve">Preparing Australia program to </w:t>
      </w:r>
      <w:r>
        <w:t>provide grants for</w:t>
      </w:r>
      <w:r w:rsidR="00046CFB" w:rsidRPr="000A0431">
        <w:t xml:space="preserve"> projects that </w:t>
      </w:r>
      <w:r w:rsidR="00046CFB" w:rsidRPr="002E30D1">
        <w:t xml:space="preserve">support </w:t>
      </w:r>
      <w:r>
        <w:t>public and private disaster</w:t>
      </w:r>
      <w:r w:rsidR="00046CFB" w:rsidRPr="002E30D1">
        <w:t xml:space="preserve"> risk reduction </w:t>
      </w:r>
      <w:r>
        <w:t>and resilience. The Government also established</w:t>
      </w:r>
      <w:r w:rsidR="00046CFB" w:rsidRPr="002E30D1">
        <w:t xml:space="preserve"> the Australian Climate Service</w:t>
      </w:r>
      <w:r w:rsidR="00BA27BD">
        <w:t>,</w:t>
      </w:r>
      <w:r w:rsidR="00046CFB" w:rsidRPr="002E30D1">
        <w:t xml:space="preserve"> </w:t>
      </w:r>
      <w:r w:rsidRPr="00B37A50">
        <w:t xml:space="preserve">which is a partnership of the </w:t>
      </w:r>
      <w:r w:rsidR="00046CFB" w:rsidRPr="002E30D1">
        <w:t xml:space="preserve">Bureau of Meteorology, Geoscience Australia, CSIRO and the Australian Bureau of Statistics to better </w:t>
      </w:r>
      <w:r w:rsidRPr="00B37A50">
        <w:t>understand how natural hazards impact our society, economy, and built environment</w:t>
      </w:r>
      <w:r>
        <w:t>.</w:t>
      </w:r>
    </w:p>
    <w:p w14:paraId="02C2EDCF" w14:textId="77777777" w:rsidR="00046CFB" w:rsidRPr="002362AC" w:rsidRDefault="00046CFB" w:rsidP="00046CFB">
      <w:pPr>
        <w:pStyle w:val="Heading3"/>
      </w:pPr>
      <w:r w:rsidRPr="00A91A85">
        <w:t>Removal of stamp duty</w:t>
      </w:r>
      <w:r w:rsidRPr="002362AC">
        <w:t xml:space="preserve">    </w:t>
      </w:r>
    </w:p>
    <w:p w14:paraId="219E76F5" w14:textId="3ACCBD09" w:rsidR="003D460A" w:rsidRPr="002362AC" w:rsidRDefault="003D460A" w:rsidP="00514DEA">
      <w:pPr>
        <w:jc w:val="both"/>
      </w:pPr>
      <w:r w:rsidRPr="002362AC">
        <w:t xml:space="preserve">In </w:t>
      </w:r>
      <w:r>
        <w:t xml:space="preserve">its </w:t>
      </w:r>
      <w:r w:rsidRPr="002362AC">
        <w:t>report, the ACCC recommended that the governments of Western Australia, the Northern Territory and Queensland abolish stamp duty on home, contents and strata insurance products.</w:t>
      </w:r>
      <w:r w:rsidR="00E13FEF">
        <w:t xml:space="preserve"> </w:t>
      </w:r>
    </w:p>
    <w:p w14:paraId="096F4501" w14:textId="50E53C95" w:rsidR="00E30826" w:rsidRDefault="00B8188C" w:rsidP="00E30826">
      <w:pPr>
        <w:jc w:val="both"/>
      </w:pPr>
      <w:r>
        <w:t>The 20</w:t>
      </w:r>
      <w:r w:rsidR="00A249F7">
        <w:t>20</w:t>
      </w:r>
      <w:r>
        <w:t xml:space="preserve"> </w:t>
      </w:r>
      <w:r w:rsidR="00E30826">
        <w:t>NSW Review of Federal Financial Relations</w:t>
      </w:r>
      <w:r>
        <w:t xml:space="preserve"> </w:t>
      </w:r>
      <w:r w:rsidR="00E30826">
        <w:t>considered the efficiency of insurance taxes.</w:t>
      </w:r>
      <w:r w:rsidR="00E30826">
        <w:rPr>
          <w:rStyle w:val="FootnoteReference"/>
        </w:rPr>
        <w:footnoteReference w:id="27"/>
      </w:r>
      <w:r w:rsidR="00E30826">
        <w:t xml:space="preserve"> The review found that ‘insurance taxes are unfair, inefficient, and shift risk on to those least able to bear it’.</w:t>
      </w:r>
      <w:r w:rsidR="00E30826">
        <w:rPr>
          <w:rStyle w:val="FootnoteReference"/>
        </w:rPr>
        <w:footnoteReference w:id="28"/>
      </w:r>
      <w:r w:rsidR="00E30826">
        <w:t xml:space="preserve"> The </w:t>
      </w:r>
      <w:r w:rsidR="00B16C86">
        <w:t>r</w:t>
      </w:r>
      <w:r w:rsidR="00E30826">
        <w:t xml:space="preserve">eview recommended that all specific taxes on insurance products should be removed and replaced by more efficient and broad tax bases (such as a levy on property owners, combined with a future broad-based land tax), to improve the affordability and uptake of insurance (see </w:t>
      </w:r>
      <w:r w:rsidR="00B16C86">
        <w:t>review r</w:t>
      </w:r>
      <w:r w:rsidR="00E30826">
        <w:t xml:space="preserve">ecommendations 10 and 11). </w:t>
      </w:r>
    </w:p>
    <w:p w14:paraId="76E711D2" w14:textId="5B32E1F6" w:rsidR="00046CFB" w:rsidRDefault="003D460A" w:rsidP="00AB51C8">
      <w:pPr>
        <w:jc w:val="both"/>
      </w:pPr>
      <w:r>
        <w:t>Removing or reducing insurance taxes would be one of the most direct, immediate, and effective state government levers to improve insurance affordability. State insurance taxes are also economically inefficient as they change consumer behaviour by increasing the cost of insurance above what it would otherwise be, leading to under- and non-insurance.</w:t>
      </w:r>
    </w:p>
    <w:p w14:paraId="6C1FE0CE" w14:textId="77777777" w:rsidR="00A3359D" w:rsidRPr="00514DEA" w:rsidRDefault="00A3359D" w:rsidP="00514DEA">
      <w:pPr>
        <w:jc w:val="both"/>
      </w:pPr>
      <w:r>
        <w:br w:type="page"/>
      </w:r>
    </w:p>
    <w:p w14:paraId="5419FC29" w14:textId="1F531B21" w:rsidR="00651F89" w:rsidRDefault="00651F89" w:rsidP="00651F89">
      <w:pPr>
        <w:pStyle w:val="Title"/>
      </w:pPr>
      <w:r>
        <w:t xml:space="preserve">3. </w:t>
      </w:r>
      <w:r w:rsidR="00E70DB1">
        <w:t>P</w:t>
      </w:r>
      <w:r>
        <w:t xml:space="preserve">olicy options </w:t>
      </w:r>
    </w:p>
    <w:p w14:paraId="1255F7F3" w14:textId="726149ED" w:rsidR="00366F0F" w:rsidRDefault="00651F89" w:rsidP="000249D7">
      <w:pPr>
        <w:pStyle w:val="Heading2"/>
      </w:pPr>
      <w:r>
        <w:t xml:space="preserve">3.1 Option 1 – Status </w:t>
      </w:r>
      <w:r w:rsidR="001A38C6">
        <w:t>q</w:t>
      </w:r>
      <w:r>
        <w:t>uo</w:t>
      </w:r>
    </w:p>
    <w:p w14:paraId="04F3C4B4" w14:textId="5FC0A55F" w:rsidR="006138C1" w:rsidRDefault="00366F0F" w:rsidP="004438FB">
      <w:pPr>
        <w:jc w:val="both"/>
      </w:pPr>
      <w:r w:rsidRPr="002362AC">
        <w:t xml:space="preserve">Under Option </w:t>
      </w:r>
      <w:r>
        <w:t>1</w:t>
      </w:r>
      <w:r w:rsidRPr="002362AC">
        <w:t>, no policy action w</w:t>
      </w:r>
      <w:r w:rsidR="00700154">
        <w:t>ould</w:t>
      </w:r>
      <w:r w:rsidRPr="002362AC">
        <w:t xml:space="preserve"> be implemented. </w:t>
      </w:r>
    </w:p>
    <w:p w14:paraId="13B4CE5A" w14:textId="00467D94" w:rsidR="00366F0F" w:rsidRDefault="00366F0F" w:rsidP="004438FB">
      <w:pPr>
        <w:jc w:val="both"/>
      </w:pPr>
      <w:r w:rsidRPr="002362AC">
        <w:t xml:space="preserve">Under this </w:t>
      </w:r>
      <w:r w:rsidR="00B140A0">
        <w:t>o</w:t>
      </w:r>
      <w:r w:rsidRPr="002362AC">
        <w:t xml:space="preserve">ption, </w:t>
      </w:r>
      <w:r w:rsidR="00091394">
        <w:t>no additional measures or</w:t>
      </w:r>
      <w:r w:rsidR="006138C1">
        <w:t xml:space="preserve"> a</w:t>
      </w:r>
      <w:r w:rsidR="00091394">
        <w:t xml:space="preserve"> reinsurance pool w</w:t>
      </w:r>
      <w:r w:rsidR="00700154">
        <w:t>ould</w:t>
      </w:r>
      <w:r w:rsidR="00091394">
        <w:t xml:space="preserve"> be introduced to support insurance affordability. </w:t>
      </w:r>
      <w:r w:rsidR="001B02E2">
        <w:t>High and rising insurance premiums in cyclone-prone areas in northern Australia is a long-running issue, leading to greater levels of underinsurance in the community.</w:t>
      </w:r>
      <w:r w:rsidR="00091394">
        <w:t xml:space="preserve"> I</w:t>
      </w:r>
      <w:r w:rsidRPr="002362AC">
        <w:t>t is likely that</w:t>
      </w:r>
      <w:r w:rsidR="001B02E2">
        <w:t>, without government action,</w:t>
      </w:r>
      <w:r w:rsidRPr="002362AC">
        <w:t xml:space="preserve"> insurance affordability and access conditions in northern Australia w</w:t>
      </w:r>
      <w:r w:rsidR="00700154">
        <w:t xml:space="preserve">ould </w:t>
      </w:r>
      <w:r w:rsidRPr="002362AC">
        <w:t xml:space="preserve">continue to deteriorate. Should a natural disaster occur, </w:t>
      </w:r>
      <w:r w:rsidR="006138C1">
        <w:t>households and small businesses</w:t>
      </w:r>
      <w:r w:rsidR="006138C1" w:rsidRPr="002362AC">
        <w:t xml:space="preserve"> </w:t>
      </w:r>
      <w:r w:rsidRPr="002362AC">
        <w:t xml:space="preserve">with no or reduced insurance may </w:t>
      </w:r>
      <w:r w:rsidR="00801863">
        <w:t xml:space="preserve">have </w:t>
      </w:r>
      <w:r w:rsidR="00ED3F94">
        <w:t>limit</w:t>
      </w:r>
      <w:r w:rsidR="00801863">
        <w:t>ed</w:t>
      </w:r>
      <w:r w:rsidRPr="002362AC">
        <w:t xml:space="preserve"> financial capability to recover from the </w:t>
      </w:r>
      <w:r w:rsidR="006138C1">
        <w:t xml:space="preserve">natural </w:t>
      </w:r>
      <w:r w:rsidRPr="002362AC">
        <w:t>disaster</w:t>
      </w:r>
      <w:r w:rsidR="006138C1">
        <w:t xml:space="preserve"> event</w:t>
      </w:r>
      <w:r w:rsidRPr="002362AC">
        <w:t>. They could then face challenges to their economic and personal wellbeing, which in turn can ca</w:t>
      </w:r>
      <w:bookmarkStart w:id="4" w:name="_Hlk83287568"/>
      <w:r w:rsidRPr="002362AC">
        <w:t>use wider impacts in their communities and increase the fiscal burden on public health</w:t>
      </w:r>
      <w:r w:rsidR="00132A9E">
        <w:t>, emergency services</w:t>
      </w:r>
      <w:r w:rsidRPr="002362AC">
        <w:t xml:space="preserve"> and welfare systems.</w:t>
      </w:r>
    </w:p>
    <w:p w14:paraId="6C79B229" w14:textId="78185D04" w:rsidR="00366F0F" w:rsidRPr="004A4775" w:rsidRDefault="00BE14A5" w:rsidP="00192009">
      <w:r>
        <w:t xml:space="preserve">The current work the Commonwealth government is undertaking to improve </w:t>
      </w:r>
      <w:r w:rsidR="00F72CFB">
        <w:t>disaster</w:t>
      </w:r>
      <w:r>
        <w:t xml:space="preserve"> resilience through the National Recovery and Resilience Agency, including the Preparing Australia Program, along with the state and local government ef</w:t>
      </w:r>
      <w:bookmarkEnd w:id="4"/>
      <w:r>
        <w:t xml:space="preserve">forts </w:t>
      </w:r>
      <w:r w:rsidR="00F72CFB">
        <w:t>w</w:t>
      </w:r>
      <w:r w:rsidR="00700154">
        <w:t>ould</w:t>
      </w:r>
      <w:r w:rsidR="00F72CFB">
        <w:t xml:space="preserve"> continue. </w:t>
      </w:r>
      <w:r w:rsidR="00BB72C8">
        <w:t xml:space="preserve">This should result in </w:t>
      </w:r>
      <w:r w:rsidR="00850275">
        <w:t xml:space="preserve">some </w:t>
      </w:r>
      <w:r w:rsidR="00BB72C8">
        <w:t>premium relief in the long term but not in the short term.</w:t>
      </w:r>
    </w:p>
    <w:p w14:paraId="4209CCB2" w14:textId="72A3BBE1" w:rsidR="00651F89" w:rsidRDefault="00651F89" w:rsidP="00651F89">
      <w:pPr>
        <w:pStyle w:val="Heading2"/>
      </w:pPr>
      <w:r>
        <w:t xml:space="preserve">3.2 Option 2 – </w:t>
      </w:r>
      <w:r w:rsidR="00366F0F">
        <w:t>Establish</w:t>
      </w:r>
      <w:r w:rsidR="00DE0688">
        <w:t>ing</w:t>
      </w:r>
      <w:r w:rsidR="00366F0F">
        <w:t xml:space="preserve"> a reinsurance pool with mandatory participation </w:t>
      </w:r>
    </w:p>
    <w:p w14:paraId="2BFE7FA6" w14:textId="3CF71444" w:rsidR="00C71832" w:rsidRDefault="003D59DF" w:rsidP="00AA6872">
      <w:pPr>
        <w:jc w:val="both"/>
      </w:pPr>
      <w:r>
        <w:t>Under this option, i</w:t>
      </w:r>
      <w:r w:rsidR="00C71832" w:rsidRPr="002362AC">
        <w:t xml:space="preserve">t is proposed that the Government </w:t>
      </w:r>
      <w:r w:rsidR="000451F5">
        <w:t xml:space="preserve">would </w:t>
      </w:r>
      <w:r w:rsidR="00C71832" w:rsidRPr="00783465">
        <w:t>establish</w:t>
      </w:r>
      <w:r w:rsidR="00C71832" w:rsidRPr="002362AC">
        <w:t xml:space="preserve"> a reinsurance pool for cyclones and flooding related to cyclones, to improve the accessibility and affordability of insurance for high-risk properties.</w:t>
      </w:r>
      <w:r w:rsidR="004130A0">
        <w:t xml:space="preserve"> </w:t>
      </w:r>
    </w:p>
    <w:p w14:paraId="1DFD92CE" w14:textId="77E99536" w:rsidR="00990DAF" w:rsidRPr="00783465" w:rsidRDefault="00990DAF" w:rsidP="00990DAF">
      <w:pPr>
        <w:jc w:val="both"/>
        <w:rPr>
          <w:rFonts w:cstheme="minorHAnsi"/>
        </w:rPr>
      </w:pPr>
      <w:r w:rsidRPr="00783465">
        <w:rPr>
          <w:rFonts w:cstheme="minorHAnsi"/>
        </w:rPr>
        <w:t xml:space="preserve">Reinsurance is insurance for insurers; it is purchased by insurers to manage their exposure to large losses resulting from insurance claims made in response to a major event, such as a severe natural disaster. </w:t>
      </w:r>
    </w:p>
    <w:p w14:paraId="23F599FE" w14:textId="77777777" w:rsidR="00990DAF" w:rsidRPr="00783465" w:rsidRDefault="00990DAF" w:rsidP="00990DAF">
      <w:pPr>
        <w:jc w:val="both"/>
        <w:rPr>
          <w:rFonts w:cstheme="minorHAnsi"/>
        </w:rPr>
      </w:pPr>
      <w:r w:rsidRPr="00783465">
        <w:rPr>
          <w:rFonts w:cstheme="minorHAnsi"/>
        </w:rPr>
        <w:t xml:space="preserve">Reinsurance can take different forms and there exists a global private reinsurance market that provides reinsurance in Australia for natural hazard risks. Private reinsurers diversify their exposure across many regions globally and, like any commercial business, ensure that the prices they charge will allow them to remain solvent and profitable. </w:t>
      </w:r>
    </w:p>
    <w:p w14:paraId="6124A511" w14:textId="737D3609" w:rsidR="00990DAF" w:rsidRPr="00783465" w:rsidRDefault="00990DAF" w:rsidP="00990DAF">
      <w:pPr>
        <w:jc w:val="both"/>
        <w:rPr>
          <w:rFonts w:cstheme="minorHAnsi"/>
        </w:rPr>
      </w:pPr>
      <w:r w:rsidRPr="00783465">
        <w:rPr>
          <w:rFonts w:cstheme="minorHAnsi"/>
        </w:rPr>
        <w:t xml:space="preserve">Internationally, there are </w:t>
      </w:r>
      <w:r w:rsidR="00A35D94">
        <w:rPr>
          <w:rFonts w:cstheme="minorHAnsi"/>
        </w:rPr>
        <w:t>many examples of</w:t>
      </w:r>
      <w:r w:rsidR="00A35D94" w:rsidRPr="00783465">
        <w:rPr>
          <w:rFonts w:cstheme="minorHAnsi"/>
        </w:rPr>
        <w:t xml:space="preserve"> </w:t>
      </w:r>
      <w:r w:rsidRPr="00783465">
        <w:rPr>
          <w:rFonts w:cstheme="minorHAnsi"/>
        </w:rPr>
        <w:t>government-supported reinsurance pools</w:t>
      </w:r>
      <w:r w:rsidR="00935D18">
        <w:rPr>
          <w:rFonts w:cstheme="minorHAnsi"/>
        </w:rPr>
        <w:t xml:space="preserve"> for natural disaster risks</w:t>
      </w:r>
      <w:r w:rsidRPr="00783465">
        <w:rPr>
          <w:rFonts w:cstheme="minorHAnsi"/>
        </w:rPr>
        <w:t>, such as</w:t>
      </w:r>
      <w:r w:rsidRPr="00783465" w:rsidDel="008D26ED">
        <w:rPr>
          <w:rFonts w:cstheme="minorHAnsi"/>
        </w:rPr>
        <w:t xml:space="preserve"> </w:t>
      </w:r>
      <w:r w:rsidRPr="00783465">
        <w:rPr>
          <w:rFonts w:cstheme="minorHAnsi"/>
        </w:rPr>
        <w:t xml:space="preserve">the French government’s national catastrophe reinsurer Caisse Centrale de Reassurance, Flood Re in the United Kingdom (UK), and the Florida Hurricane Catastrophe Fund in the United States of America. </w:t>
      </w:r>
      <w:r w:rsidR="007F7193">
        <w:rPr>
          <w:rFonts w:cstheme="minorHAnsi"/>
        </w:rPr>
        <w:t>I</w:t>
      </w:r>
      <w:r w:rsidR="009619B2">
        <w:rPr>
          <w:rFonts w:cstheme="minorHAnsi"/>
        </w:rPr>
        <w:t xml:space="preserve">nternational experience shows that </w:t>
      </w:r>
      <w:r w:rsidR="000D646C">
        <w:rPr>
          <w:rFonts w:cstheme="minorHAnsi"/>
        </w:rPr>
        <w:t xml:space="preserve">such pools can be successful at improving </w:t>
      </w:r>
      <w:r w:rsidR="00617577">
        <w:rPr>
          <w:rFonts w:cstheme="minorHAnsi"/>
        </w:rPr>
        <w:t xml:space="preserve">insurance </w:t>
      </w:r>
      <w:r w:rsidR="000D646C">
        <w:rPr>
          <w:rFonts w:cstheme="minorHAnsi"/>
        </w:rPr>
        <w:t>access and affordability</w:t>
      </w:r>
      <w:r w:rsidR="00617577">
        <w:rPr>
          <w:rFonts w:cstheme="minorHAnsi"/>
        </w:rPr>
        <w:t>.</w:t>
      </w:r>
      <w:r w:rsidR="00617577">
        <w:rPr>
          <w:rStyle w:val="FootnoteReference"/>
          <w:rFonts w:cstheme="minorHAnsi"/>
        </w:rPr>
        <w:footnoteReference w:id="29"/>
      </w:r>
    </w:p>
    <w:p w14:paraId="6E14B48F" w14:textId="6DD14A32" w:rsidR="00990DAF" w:rsidRPr="00783465" w:rsidRDefault="00990DAF" w:rsidP="00990DAF">
      <w:pPr>
        <w:jc w:val="both"/>
        <w:rPr>
          <w:rFonts w:cstheme="minorHAnsi"/>
        </w:rPr>
      </w:pPr>
      <w:r w:rsidRPr="00783465">
        <w:rPr>
          <w:rFonts w:cstheme="minorHAnsi"/>
        </w:rPr>
        <w:t xml:space="preserve">Establishing a </w:t>
      </w:r>
      <w:r w:rsidR="000C6473">
        <w:rPr>
          <w:rFonts w:cstheme="minorHAnsi"/>
        </w:rPr>
        <w:t>G</w:t>
      </w:r>
      <w:r w:rsidR="000C6473" w:rsidRPr="00783465">
        <w:rPr>
          <w:rFonts w:cstheme="minorHAnsi"/>
        </w:rPr>
        <w:t xml:space="preserve">overnment </w:t>
      </w:r>
      <w:r w:rsidRPr="00783465">
        <w:rPr>
          <w:rFonts w:cstheme="minorHAnsi"/>
        </w:rPr>
        <w:t>reinsurance pool for cyclones and related flood damage in Australia would allow insurers to reinsure the risk of losses from claims at a lower cost than in the private reinsurance market, as the pool would:</w:t>
      </w:r>
    </w:p>
    <w:p w14:paraId="2B5FC664" w14:textId="77777777" w:rsidR="00990DAF" w:rsidRPr="00783465" w:rsidRDefault="00990DAF" w:rsidP="00AA6872">
      <w:pPr>
        <w:pStyle w:val="Bullet"/>
        <w:numPr>
          <w:ilvl w:val="0"/>
          <w:numId w:val="45"/>
        </w:numPr>
        <w:spacing w:line="240" w:lineRule="auto"/>
        <w:jc w:val="both"/>
        <w:rPr>
          <w:rFonts w:cstheme="minorHAnsi"/>
        </w:rPr>
      </w:pPr>
      <w:r w:rsidRPr="00783465">
        <w:rPr>
          <w:rFonts w:cstheme="minorHAnsi"/>
        </w:rPr>
        <w:t xml:space="preserve">forgo a commercial profit margin and charge premiums that correspond to the long term expected cost of cyclone and related flood damage events and administration of the reinsurance pool; and </w:t>
      </w:r>
    </w:p>
    <w:p w14:paraId="2CCE65B0" w14:textId="11ABE244" w:rsidR="00990DAF" w:rsidRPr="007E4010" w:rsidRDefault="00990DAF" w:rsidP="00204275">
      <w:pPr>
        <w:pStyle w:val="Bullet"/>
        <w:numPr>
          <w:ilvl w:val="0"/>
          <w:numId w:val="45"/>
        </w:numPr>
        <w:spacing w:line="240" w:lineRule="auto"/>
        <w:jc w:val="both"/>
        <w:rPr>
          <w:rFonts w:cstheme="minorHAnsi"/>
        </w:rPr>
      </w:pPr>
      <w:r w:rsidRPr="00783465">
        <w:rPr>
          <w:rFonts w:cstheme="minorHAnsi"/>
        </w:rPr>
        <w:t>be backed</w:t>
      </w:r>
      <w:r w:rsidRPr="003071E6">
        <w:t xml:space="preserve"> by a government guarantee</w:t>
      </w:r>
      <w:r>
        <w:t>,</w:t>
      </w:r>
      <w:r w:rsidDel="00EE139C">
        <w:t xml:space="preserve"> </w:t>
      </w:r>
      <w:r>
        <w:t>so</w:t>
      </w:r>
      <w:r w:rsidRPr="003071E6">
        <w:t xml:space="preserve"> the reinsurance pool would not have to charge higher premiums to ensure it has enough liquidity (that is, cash on hand) to cover the cost of rare and catastrophic events.</w:t>
      </w:r>
    </w:p>
    <w:p w14:paraId="54BB04CA" w14:textId="4397C44B" w:rsidR="00C71832" w:rsidRPr="002362AC" w:rsidRDefault="00F95985" w:rsidP="00AA6872">
      <w:pPr>
        <w:jc w:val="both"/>
      </w:pPr>
      <w:r>
        <w:rPr>
          <w:rFonts w:cstheme="minorHAnsi"/>
        </w:rPr>
        <w:t>A</w:t>
      </w:r>
      <w:r w:rsidRPr="00783465">
        <w:rPr>
          <w:rFonts w:cstheme="minorHAnsi"/>
        </w:rPr>
        <w:t xml:space="preserve"> reinsurance pool would lower insurance premiums for households and small businesses by decreasing the cost of reinsurance, which is a significant cost component of premiums for policies with high cyclone and related flood damage risk.</w:t>
      </w:r>
      <w:r w:rsidRPr="00783465" w:rsidDel="00581CCB">
        <w:rPr>
          <w:rFonts w:cstheme="minorHAnsi"/>
        </w:rPr>
        <w:t xml:space="preserve"> </w:t>
      </w:r>
      <w:r w:rsidR="00C71832" w:rsidRPr="002362AC">
        <w:t xml:space="preserve">Insurers would be expected to benefit from lower reinsurance </w:t>
      </w:r>
      <w:r w:rsidR="00ED3F94" w:rsidRPr="002362AC">
        <w:t>costs but</w:t>
      </w:r>
      <w:r w:rsidR="00C71832" w:rsidRPr="002362AC">
        <w:t xml:space="preserve"> w</w:t>
      </w:r>
      <w:r w:rsidR="00453D7D">
        <w:t xml:space="preserve">ould </w:t>
      </w:r>
      <w:r w:rsidR="00C71832" w:rsidRPr="002362AC">
        <w:t>face some disruption to their existing reinsurance arrangements. Reinsurers w</w:t>
      </w:r>
      <w:r w:rsidR="0064086E">
        <w:t>ould</w:t>
      </w:r>
      <w:r w:rsidR="00C71832" w:rsidRPr="002362AC">
        <w:t xml:space="preserve"> also face disruption and lose access to the reinsurance business that would be covered by the pool. </w:t>
      </w:r>
    </w:p>
    <w:p w14:paraId="25B3AB80" w14:textId="5D45076F" w:rsidR="00C71832" w:rsidRPr="002362AC" w:rsidRDefault="00C71832" w:rsidP="00AA6872">
      <w:pPr>
        <w:jc w:val="both"/>
      </w:pPr>
      <w:r w:rsidRPr="002362AC">
        <w:t xml:space="preserve">A lower cost of reinsurance paid by insurers </w:t>
      </w:r>
      <w:r w:rsidR="00F95985">
        <w:t xml:space="preserve">would </w:t>
      </w:r>
      <w:r w:rsidR="00F95985" w:rsidRPr="002362AC">
        <w:t xml:space="preserve">lead to a lower cost </w:t>
      </w:r>
      <w:r w:rsidR="00D437D7">
        <w:t xml:space="preserve">that is </w:t>
      </w:r>
      <w:r w:rsidR="00F95985" w:rsidRPr="002362AC">
        <w:t xml:space="preserve">passed through to the consumer in </w:t>
      </w:r>
      <w:r w:rsidR="008D66D7">
        <w:t xml:space="preserve">lower </w:t>
      </w:r>
      <w:r w:rsidR="00F95985" w:rsidRPr="002362AC">
        <w:t>premiums</w:t>
      </w:r>
      <w:r w:rsidRPr="002362AC">
        <w:t xml:space="preserve">. </w:t>
      </w:r>
      <w:r w:rsidR="008D66D7">
        <w:t xml:space="preserve">Pass through </w:t>
      </w:r>
      <w:r w:rsidR="00A6366D">
        <w:t>would</w:t>
      </w:r>
      <w:r w:rsidR="00BE79AC">
        <w:t xml:space="preserve"> </w:t>
      </w:r>
      <w:r w:rsidRPr="002362AC">
        <w:t xml:space="preserve">be </w:t>
      </w:r>
      <w:r w:rsidR="00377CE6">
        <w:t>ensured</w:t>
      </w:r>
      <w:r w:rsidR="00377CE6" w:rsidRPr="002362AC">
        <w:t xml:space="preserve"> </w:t>
      </w:r>
      <w:r w:rsidRPr="002362AC">
        <w:t xml:space="preserve">through </w:t>
      </w:r>
      <w:r w:rsidR="00BE79AC">
        <w:t xml:space="preserve">monitoring </w:t>
      </w:r>
      <w:r w:rsidR="00A6366D">
        <w:t>undertaken by the ACCC</w:t>
      </w:r>
      <w:r w:rsidRPr="002362AC">
        <w:t xml:space="preserve">. Downward pressure on premiums may also arise from </w:t>
      </w:r>
      <w:r w:rsidR="007C6257">
        <w:t xml:space="preserve">the pool encouraging </w:t>
      </w:r>
      <w:r w:rsidRPr="002362AC">
        <w:t xml:space="preserve">increased </w:t>
      </w:r>
      <w:r w:rsidR="007C6257">
        <w:t xml:space="preserve">insurer competition in cyclone-prone </w:t>
      </w:r>
      <w:r w:rsidR="007C6257" w:rsidRPr="00783465">
        <w:t>areas</w:t>
      </w:r>
      <w:r w:rsidRPr="002362AC">
        <w:t xml:space="preserve"> and</w:t>
      </w:r>
      <w:r w:rsidR="00BD6134">
        <w:t>, over time,</w:t>
      </w:r>
      <w:r w:rsidRPr="002362AC">
        <w:t xml:space="preserve"> </w:t>
      </w:r>
      <w:r w:rsidR="00DC7833">
        <w:t>from</w:t>
      </w:r>
      <w:r w:rsidRPr="002362AC" w:rsidDel="007C6257">
        <w:t xml:space="preserve"> </w:t>
      </w:r>
      <w:r w:rsidRPr="002362AC">
        <w:t>the pool</w:t>
      </w:r>
      <w:r w:rsidRPr="002362AC" w:rsidDel="007C6257">
        <w:t xml:space="preserve"> </w:t>
      </w:r>
      <w:r w:rsidR="00BE79AC">
        <w:t xml:space="preserve">providing </w:t>
      </w:r>
      <w:r w:rsidR="007C6257" w:rsidRPr="00783465">
        <w:t>a</w:t>
      </w:r>
      <w:r w:rsidR="00BD6134">
        <w:t xml:space="preserve"> stronger</w:t>
      </w:r>
      <w:r w:rsidR="007C6257">
        <w:t xml:space="preserve"> financial incentive for natural hazard risk mitigation through its pricing of premiums</w:t>
      </w:r>
      <w:r w:rsidR="00BD6134">
        <w:t xml:space="preserve"> (including discounts for mitigation actions)</w:t>
      </w:r>
      <w:r w:rsidR="00BE79AC">
        <w:t xml:space="preserve">. </w:t>
      </w:r>
    </w:p>
    <w:p w14:paraId="114665C6" w14:textId="79A0C859" w:rsidR="00C71832" w:rsidRDefault="00C71832" w:rsidP="00AA6872">
      <w:pPr>
        <w:jc w:val="both"/>
      </w:pPr>
      <w:r w:rsidRPr="002362AC">
        <w:t>Reductions in the cost of high-risk insurance premiums w</w:t>
      </w:r>
      <w:r w:rsidR="0064086E">
        <w:t>ould</w:t>
      </w:r>
      <w:r w:rsidRPr="002362AC">
        <w:t xml:space="preserve"> contribute to the Government’s priorities of developing northern Australia, increasing access to more affordable insurance, and – in conjunction with mitigation proposals – reducing the expected harm of natural disasters to individuals and communities. </w:t>
      </w:r>
    </w:p>
    <w:p w14:paraId="3E2A345A" w14:textId="4B2EE861" w:rsidR="00C71832" w:rsidRDefault="00C71832" w:rsidP="00C71832">
      <w:pPr>
        <w:pStyle w:val="Heading3"/>
      </w:pPr>
      <w:r>
        <w:t>Administration</w:t>
      </w:r>
    </w:p>
    <w:p w14:paraId="2C3C2C74" w14:textId="38A66341" w:rsidR="00BB72C8" w:rsidRDefault="00C71832" w:rsidP="00AA6872">
      <w:pPr>
        <w:pStyle w:val="BodyText"/>
        <w:jc w:val="both"/>
      </w:pPr>
      <w:r>
        <w:t>T</w:t>
      </w:r>
      <w:r w:rsidRPr="002362AC">
        <w:t xml:space="preserve">he ARPC </w:t>
      </w:r>
      <w:r w:rsidR="000A6F2B">
        <w:t xml:space="preserve">would </w:t>
      </w:r>
      <w:r w:rsidR="00377CE6">
        <w:t>operate</w:t>
      </w:r>
      <w:r w:rsidR="00150540">
        <w:t xml:space="preserve"> </w:t>
      </w:r>
      <w:r w:rsidRPr="002362AC">
        <w:t xml:space="preserve">the reinsurance pool. The ARPC is a public financial corporation established by the </w:t>
      </w:r>
      <w:r w:rsidRPr="00AA6872">
        <w:rPr>
          <w:i/>
        </w:rPr>
        <w:t>Terrorism Insurance Act 2003</w:t>
      </w:r>
      <w:r w:rsidRPr="002362AC">
        <w:t xml:space="preserve"> </w:t>
      </w:r>
      <w:r w:rsidR="00B3469B">
        <w:t xml:space="preserve">(TI Act) </w:t>
      </w:r>
      <w:r w:rsidRPr="002362AC">
        <w:t>to administer the terrorism reinsurance scheme, which provides primary insurers with reinsurance for commercial property and associated business interruption losses arising from a declared terrorist incident.</w:t>
      </w:r>
    </w:p>
    <w:p w14:paraId="3F739793" w14:textId="27FA4758" w:rsidR="00C71832" w:rsidRDefault="00C71832" w:rsidP="00C71832">
      <w:pPr>
        <w:pStyle w:val="Heading3"/>
      </w:pPr>
      <w:r>
        <w:t>Coverage</w:t>
      </w:r>
    </w:p>
    <w:p w14:paraId="1B3DBB7F" w14:textId="030ED202" w:rsidR="00C71832" w:rsidRDefault="0041491D" w:rsidP="00DC7833">
      <w:pPr>
        <w:jc w:val="both"/>
      </w:pPr>
      <w:r>
        <w:t>T</w:t>
      </w:r>
      <w:r w:rsidR="00C71832" w:rsidRPr="002362AC">
        <w:t xml:space="preserve">he pool </w:t>
      </w:r>
      <w:r w:rsidR="0064086E">
        <w:t>would</w:t>
      </w:r>
      <w:r w:rsidR="00C71832" w:rsidRPr="002362AC">
        <w:t xml:space="preserve"> offer reinsurance for </w:t>
      </w:r>
      <w:r w:rsidR="00452F9D">
        <w:t>eligible risks, including</w:t>
      </w:r>
      <w:r w:rsidR="00C71832" w:rsidRPr="002362AC">
        <w:t xml:space="preserve"> </w:t>
      </w:r>
      <w:r w:rsidR="00FF3800">
        <w:t xml:space="preserve">household, </w:t>
      </w:r>
      <w:r w:rsidR="00ED3F94">
        <w:t>strata,</w:t>
      </w:r>
      <w:r w:rsidR="00FF3800">
        <w:t xml:space="preserve"> and small business property insurance </w:t>
      </w:r>
      <w:r w:rsidR="00DA047E">
        <w:t xml:space="preserve">policies. </w:t>
      </w:r>
      <w:r w:rsidR="002F0C33">
        <w:t xml:space="preserve">This </w:t>
      </w:r>
      <w:r w:rsidR="00C21246">
        <w:t xml:space="preserve">would also </w:t>
      </w:r>
      <w:r w:rsidR="002F0C33">
        <w:t>include</w:t>
      </w:r>
      <w:r w:rsidR="00951B1E">
        <w:t xml:space="preserve"> charities and not-for profits. </w:t>
      </w:r>
    </w:p>
    <w:p w14:paraId="0A4F38A6" w14:textId="24500812" w:rsidR="0041491D" w:rsidRDefault="0041491D" w:rsidP="00DC7833">
      <w:pPr>
        <w:jc w:val="both"/>
      </w:pPr>
      <w:r>
        <w:t>The pool would cover mainland Australia, coastal islands that are part of Australia and extra-territorial jurisdictions, such as Christmas Island and the Cocos (Keeling) Islands.</w:t>
      </w:r>
    </w:p>
    <w:p w14:paraId="124B72DA" w14:textId="18149D53" w:rsidR="0041491D" w:rsidRDefault="00192009" w:rsidP="00E066FD">
      <w:pPr>
        <w:jc w:val="both"/>
      </w:pPr>
      <w:r w:rsidRPr="0041491D">
        <w:t>The pool w</w:t>
      </w:r>
      <w:r w:rsidR="0041491D" w:rsidRPr="0041491D">
        <w:t>ould</w:t>
      </w:r>
      <w:r w:rsidRPr="0041491D">
        <w:t xml:space="preserve"> cover cyclone and cyclone-related flood damage. This refers to all wind, rain, rainwater, rainwater run-off, and storm surge and riverine flood damage caused by a cyclone.</w:t>
      </w:r>
      <w:r w:rsidR="00DA047E" w:rsidRPr="0041491D">
        <w:t xml:space="preserve"> </w:t>
      </w:r>
      <w:r w:rsidRPr="0041491D">
        <w:t xml:space="preserve">The definition of </w:t>
      </w:r>
      <w:r w:rsidR="0041491D" w:rsidRPr="0041491D">
        <w:t>’cyclone’ would be defined in law based on the current definition of tropical cyclone given by the Bureau of Meteorology.</w:t>
      </w:r>
      <w:r w:rsidRPr="00192009">
        <w:t xml:space="preserve"> </w:t>
      </w:r>
    </w:p>
    <w:p w14:paraId="119EC065" w14:textId="3453EA2C" w:rsidR="00C71832" w:rsidRDefault="00C71832" w:rsidP="00C71832">
      <w:pPr>
        <w:pStyle w:val="Heading3"/>
      </w:pPr>
      <w:r>
        <w:t xml:space="preserve">Guarantee </w:t>
      </w:r>
    </w:p>
    <w:p w14:paraId="0EBA19EA" w14:textId="45A746A4" w:rsidR="00C71832" w:rsidRPr="00C71832" w:rsidRDefault="00C71832" w:rsidP="002859E6">
      <w:pPr>
        <w:jc w:val="both"/>
      </w:pPr>
      <w:r w:rsidRPr="002362AC">
        <w:t>The pool w</w:t>
      </w:r>
      <w:r w:rsidR="00662572">
        <w:t>ould</w:t>
      </w:r>
      <w:r w:rsidRPr="002362AC">
        <w:t xml:space="preserve"> be backed by </w:t>
      </w:r>
      <w:r w:rsidR="00DA047E" w:rsidRPr="002362AC">
        <w:t xml:space="preserve">a </w:t>
      </w:r>
      <w:r w:rsidR="006B56C4">
        <w:t xml:space="preserve">Government </w:t>
      </w:r>
      <w:r w:rsidR="00DA047E" w:rsidRPr="002362AC">
        <w:t>guarantee</w:t>
      </w:r>
      <w:r w:rsidRPr="002362AC">
        <w:t xml:space="preserve"> and </w:t>
      </w:r>
      <w:r w:rsidR="00234A9C">
        <w:t xml:space="preserve">the ARPC </w:t>
      </w:r>
      <w:r w:rsidRPr="002362AC">
        <w:t>w</w:t>
      </w:r>
      <w:r w:rsidR="00453D7D">
        <w:t>ould</w:t>
      </w:r>
      <w:r w:rsidRPr="002362AC">
        <w:t xml:space="preserve"> charge premiums only to cover expected </w:t>
      </w:r>
      <w:r w:rsidR="00377CE6">
        <w:t xml:space="preserve">administration and claims </w:t>
      </w:r>
      <w:r w:rsidRPr="002362AC">
        <w:t>costs</w:t>
      </w:r>
      <w:r w:rsidR="000C6473">
        <w:t xml:space="preserve"> (</w:t>
      </w:r>
      <w:r w:rsidR="00923165">
        <w:t>that is</w:t>
      </w:r>
      <w:r w:rsidR="00ED3F94">
        <w:t>,</w:t>
      </w:r>
      <w:r w:rsidR="000C6473">
        <w:t xml:space="preserve"> be cost</w:t>
      </w:r>
      <w:r w:rsidR="000C6473">
        <w:noBreakHyphen/>
        <w:t>neutral to Government over time)</w:t>
      </w:r>
      <w:r w:rsidRPr="002362AC">
        <w:t xml:space="preserve">. </w:t>
      </w:r>
    </w:p>
    <w:p w14:paraId="528A8C9F" w14:textId="48AE21B9" w:rsidR="00366F0F" w:rsidRDefault="00C71832" w:rsidP="00C71832">
      <w:pPr>
        <w:pStyle w:val="Heading3"/>
      </w:pPr>
      <w:r>
        <w:t xml:space="preserve">Participation </w:t>
      </w:r>
    </w:p>
    <w:p w14:paraId="0316D70A" w14:textId="33FB7BA1" w:rsidR="00D85C03" w:rsidRDefault="005E68EA" w:rsidP="00B23AF5">
      <w:pPr>
        <w:jc w:val="both"/>
      </w:pPr>
      <w:r>
        <w:t xml:space="preserve">Under this option, insurers must obtain reinsurance for all eligible cyclone and related flood </w:t>
      </w:r>
      <w:r w:rsidR="00ED3F94">
        <w:t>risks and</w:t>
      </w:r>
      <w:r>
        <w:t xml:space="preserve"> must obtain it from the ARPC.</w:t>
      </w:r>
      <w:r w:rsidR="00150540">
        <w:rPr>
          <w:rStyle w:val="FootnoteReference"/>
        </w:rPr>
        <w:footnoteReference w:id="30"/>
      </w:r>
      <w:r w:rsidR="00273320" w:rsidRPr="002362AC">
        <w:t xml:space="preserve"> </w:t>
      </w:r>
      <w:r w:rsidR="00470CF6">
        <w:t>Insurers would still be able to obtain additional reinsurance alongside that offered by the pool</w:t>
      </w:r>
      <w:r w:rsidR="004644FD">
        <w:t>, and would do so to manage their exposures in line with their risk appetites.</w:t>
      </w:r>
      <w:r w:rsidR="00470CF6">
        <w:t xml:space="preserve"> </w:t>
      </w:r>
    </w:p>
    <w:p w14:paraId="5E9654C9" w14:textId="62D28F28" w:rsidR="00470CF6" w:rsidRDefault="00470CF6" w:rsidP="00B23AF5">
      <w:pPr>
        <w:jc w:val="both"/>
      </w:pPr>
      <w:r>
        <w:t>Mandatory participation maximises participation in the scheme and enables the greatest potential premium reductions.</w:t>
      </w:r>
      <w:r w:rsidR="00F95985">
        <w:t xml:space="preserve"> It negates the risk that insurers only pass on their ‘worst’ risks to the pool or that only insurers with the riskiest portfolios participate, thereby undermining the pool’s ability to offer premium reductions</w:t>
      </w:r>
      <w:r>
        <w:t>. It w</w:t>
      </w:r>
      <w:r w:rsidR="00453D7D">
        <w:t>ould</w:t>
      </w:r>
      <w:r>
        <w:t xml:space="preserve"> allow for the greatest diversification of risk for the reinsurance pool. </w:t>
      </w:r>
    </w:p>
    <w:p w14:paraId="6AF2E632" w14:textId="4C56A1A0" w:rsidR="004A04B5" w:rsidRDefault="004A04B5" w:rsidP="004A04B5">
      <w:pPr>
        <w:pStyle w:val="Heading3"/>
      </w:pPr>
      <w:r>
        <w:t xml:space="preserve">Transition </w:t>
      </w:r>
      <w:r w:rsidR="001A38C6">
        <w:t>p</w:t>
      </w:r>
      <w:r>
        <w:t>eriod</w:t>
      </w:r>
    </w:p>
    <w:p w14:paraId="376E6F88" w14:textId="0A6D1236" w:rsidR="00B11F97" w:rsidRDefault="00AD5EA0" w:rsidP="00D806AA">
      <w:pPr>
        <w:jc w:val="both"/>
      </w:pPr>
      <w:bookmarkStart w:id="5" w:name="_Hlk83048142"/>
      <w:r>
        <w:t xml:space="preserve">Under this option, </w:t>
      </w:r>
      <w:bookmarkStart w:id="6" w:name="_Hlk85805295"/>
      <w:r>
        <w:t>t</w:t>
      </w:r>
      <w:r w:rsidR="004A04B5">
        <w:t xml:space="preserve">he reinsurance pool would </w:t>
      </w:r>
      <w:r w:rsidR="00951B1E">
        <w:t>include an initial transition</w:t>
      </w:r>
      <w:r>
        <w:t>al</w:t>
      </w:r>
      <w:r w:rsidR="00951B1E">
        <w:t xml:space="preserve"> period </w:t>
      </w:r>
      <w:r>
        <w:t>to</w:t>
      </w:r>
      <w:r w:rsidR="004A04B5">
        <w:t xml:space="preserve"> allow insurers </w:t>
      </w:r>
      <w:r>
        <w:t xml:space="preserve">sufficient </w:t>
      </w:r>
      <w:r w:rsidR="004A04B5">
        <w:t xml:space="preserve">time to transition their </w:t>
      </w:r>
      <w:r>
        <w:t xml:space="preserve">existing </w:t>
      </w:r>
      <w:r w:rsidR="004A04B5">
        <w:t xml:space="preserve">reinsurance </w:t>
      </w:r>
      <w:r>
        <w:t xml:space="preserve">contracts, upgrade their IT systems, update their capital management, underwriting and pricing processes, and communicate any changes to policyholders. </w:t>
      </w:r>
    </w:p>
    <w:p w14:paraId="018BAAAF" w14:textId="7ED6A11C" w:rsidR="00176A65" w:rsidRPr="00EC1A7A" w:rsidRDefault="00176A65" w:rsidP="00D806AA">
      <w:pPr>
        <w:jc w:val="both"/>
      </w:pPr>
      <w:r>
        <w:t xml:space="preserve">Insurers would be able to sign up any time between the pool’s commencement </w:t>
      </w:r>
      <w:r w:rsidR="00695E59">
        <w:t>on 1 July 2022 and the end of 2023</w:t>
      </w:r>
      <w:r w:rsidR="00A47DF7">
        <w:t>, with an additional year for small insurers</w:t>
      </w:r>
      <w:r>
        <w:t xml:space="preserve">. There would be an incentive for insurers to transition early to the pool to access cheaper reinsurance. </w:t>
      </w:r>
    </w:p>
    <w:p w14:paraId="57F1FDAE" w14:textId="16068ED6" w:rsidR="004A04B5" w:rsidRDefault="00176A65" w:rsidP="00D806AA">
      <w:pPr>
        <w:jc w:val="both"/>
      </w:pPr>
      <w:r>
        <w:t xml:space="preserve">Once signed up, new and renewing </w:t>
      </w:r>
      <w:r w:rsidR="002539E8">
        <w:t xml:space="preserve">insurance </w:t>
      </w:r>
      <w:r>
        <w:t xml:space="preserve">policies from that date would be ceded to the pool. As most </w:t>
      </w:r>
      <w:r w:rsidR="002539E8">
        <w:t>insurance</w:t>
      </w:r>
      <w:r>
        <w:t xml:space="preserve"> </w:t>
      </w:r>
      <w:r w:rsidR="007A3DC8">
        <w:t xml:space="preserve">policies </w:t>
      </w:r>
      <w:r>
        <w:t xml:space="preserve">renew on an annual basis, most eligible policies would be covered by the pool within 12 months of the insurer signing up for coverage. Existing policies could be covered from the sign-up date by agreement between the pool and the insurer. </w:t>
      </w:r>
      <w:bookmarkEnd w:id="5"/>
    </w:p>
    <w:bookmarkEnd w:id="6"/>
    <w:p w14:paraId="5B508D6C" w14:textId="574EF0CB" w:rsidR="00C71832" w:rsidRDefault="001E3088" w:rsidP="001E3088">
      <w:pPr>
        <w:pStyle w:val="Heading3"/>
      </w:pPr>
      <w:r>
        <w:t xml:space="preserve">Monitoring </w:t>
      </w:r>
    </w:p>
    <w:p w14:paraId="19F94009" w14:textId="167B5785" w:rsidR="00513B3A" w:rsidRDefault="005B3081" w:rsidP="00D806AA">
      <w:pPr>
        <w:pStyle w:val="BodyText"/>
        <w:jc w:val="both"/>
      </w:pPr>
      <w:r w:rsidRPr="00602BED">
        <w:t>A monitoring program to ensure there is a pass-through of premium savings to consumers would be undertaken by</w:t>
      </w:r>
      <w:r w:rsidR="00DA047E">
        <w:t xml:space="preserve"> the ACCC. The objectives of </w:t>
      </w:r>
      <w:r w:rsidR="009640F5">
        <w:t>the</w:t>
      </w:r>
      <w:r w:rsidR="00DA047E">
        <w:t xml:space="preserve"> monitoring program would be to monitor the impact of the pool in improving the affordability of property insurance for households and small </w:t>
      </w:r>
      <w:r w:rsidR="00ED3F94">
        <w:t>business and</w:t>
      </w:r>
      <w:r w:rsidR="00DA047E">
        <w:t xml:space="preserve"> monitoring the pass through of insurer savings to policyholders. </w:t>
      </w:r>
    </w:p>
    <w:p w14:paraId="44C9F957" w14:textId="20580968" w:rsidR="00E5138F" w:rsidRDefault="00E5138F" w:rsidP="00D806AA">
      <w:pPr>
        <w:pStyle w:val="BodyText"/>
        <w:jc w:val="both"/>
      </w:pPr>
      <w:r>
        <w:t>The ACCC would publish an annual report on its monitoring activities that would identify any insurers that are not passing on savings to policyholders. The ACCC’s analysis would also inform future evaluation</w:t>
      </w:r>
      <w:r w:rsidR="009640F5">
        <w:t>s</w:t>
      </w:r>
      <w:r>
        <w:t xml:space="preserve"> of the reinsurance pool </w:t>
      </w:r>
      <w:r w:rsidR="009640F5">
        <w:t>as well as any subsequent adjustments to its design.</w:t>
      </w:r>
    </w:p>
    <w:p w14:paraId="1FB2C047" w14:textId="785343C2" w:rsidR="00651F89" w:rsidRDefault="00651F89" w:rsidP="00651F89">
      <w:pPr>
        <w:pStyle w:val="Heading2"/>
      </w:pPr>
      <w:r>
        <w:t xml:space="preserve">3.3 Option 3 – </w:t>
      </w:r>
      <w:r w:rsidR="00B162D0">
        <w:t>Establish</w:t>
      </w:r>
      <w:r w:rsidR="001A0709">
        <w:t>ing</w:t>
      </w:r>
      <w:r w:rsidR="00B162D0">
        <w:t xml:space="preserve"> a reinsurance pool with voluntary participation</w:t>
      </w:r>
    </w:p>
    <w:p w14:paraId="0DF85261" w14:textId="4DBAB87B" w:rsidR="00AB672B" w:rsidRPr="00AB672B" w:rsidRDefault="002D3467" w:rsidP="00AB672B">
      <w:pPr>
        <w:pStyle w:val="BodyText"/>
      </w:pPr>
      <w:r>
        <w:t xml:space="preserve">As for </w:t>
      </w:r>
      <w:r w:rsidR="003079BD">
        <w:t xml:space="preserve">Option </w:t>
      </w:r>
      <w:r>
        <w:t xml:space="preserve">2, except in relation to participation and transition arrangements. </w:t>
      </w:r>
    </w:p>
    <w:p w14:paraId="72847FAC" w14:textId="23C20820" w:rsidR="00C71832" w:rsidRDefault="00C71832" w:rsidP="00C71832">
      <w:pPr>
        <w:pStyle w:val="Heading3"/>
      </w:pPr>
      <w:r>
        <w:t>Participation</w:t>
      </w:r>
    </w:p>
    <w:p w14:paraId="561ACA4E" w14:textId="510553C0" w:rsidR="00CC4C04" w:rsidRDefault="00781E50" w:rsidP="00D806AA">
      <w:pPr>
        <w:jc w:val="both"/>
      </w:pPr>
      <w:r>
        <w:t>It would be optional for insurers to purchase</w:t>
      </w:r>
      <w:r w:rsidR="00C71832" w:rsidRPr="002362AC">
        <w:t xml:space="preserve"> insurance for cyclone related flood risk from the </w:t>
      </w:r>
      <w:r>
        <w:t>ARPC</w:t>
      </w:r>
      <w:r w:rsidR="00C71832" w:rsidRPr="002362AC">
        <w:t xml:space="preserve">. </w:t>
      </w:r>
      <w:r>
        <w:t>However, if</w:t>
      </w:r>
      <w:r w:rsidR="00A60F95">
        <w:t xml:space="preserve"> insurers</w:t>
      </w:r>
      <w:r>
        <w:t xml:space="preserve"> choose</w:t>
      </w:r>
      <w:r w:rsidR="00A60F95">
        <w:t xml:space="preserve"> to participate in the pool, they must reinsure all </w:t>
      </w:r>
      <w:r w:rsidR="00F95985">
        <w:t xml:space="preserve">eligible cyclone risks </w:t>
      </w:r>
      <w:r w:rsidR="00A60F95">
        <w:t>in their portfolio</w:t>
      </w:r>
      <w:r w:rsidR="00CC4C04">
        <w:t xml:space="preserve"> with the ARPC</w:t>
      </w:r>
      <w:r w:rsidR="00A60F95">
        <w:t>.</w:t>
      </w:r>
      <w:r w:rsidR="00340F50">
        <w:rPr>
          <w:rStyle w:val="FootnoteReference"/>
        </w:rPr>
        <w:footnoteReference w:id="31"/>
      </w:r>
      <w:r w:rsidR="00A60F95">
        <w:t xml:space="preserve"> </w:t>
      </w:r>
      <w:r w:rsidR="00CC4C04">
        <w:t xml:space="preserve">As with </w:t>
      </w:r>
      <w:r w:rsidR="003079BD">
        <w:t>Option </w:t>
      </w:r>
      <w:r w:rsidR="00CC4C04">
        <w:t>2, insurers would still be able to obtain additional reinsurance alongside that offered by the pool.</w:t>
      </w:r>
    </w:p>
    <w:p w14:paraId="65BE74BC" w14:textId="7EDEA3DD" w:rsidR="00C71832" w:rsidRPr="00C71832" w:rsidRDefault="00176A65" w:rsidP="00D806AA">
      <w:pPr>
        <w:jc w:val="both"/>
      </w:pPr>
      <w:r w:rsidRPr="002D3467">
        <w:t xml:space="preserve">Insurers </w:t>
      </w:r>
      <w:r w:rsidR="00773F43">
        <w:t>would be</w:t>
      </w:r>
      <w:r w:rsidR="00773F43" w:rsidRPr="002D3467">
        <w:t xml:space="preserve"> </w:t>
      </w:r>
      <w:r w:rsidRPr="002D3467">
        <w:t xml:space="preserve">likely to </w:t>
      </w:r>
      <w:r w:rsidR="00345302" w:rsidRPr="002D3467">
        <w:t>take part</w:t>
      </w:r>
      <w:r w:rsidRPr="002D3467">
        <w:t xml:space="preserve"> in the pool if the reinsurance pool offers a rate that is less than what is available in the market. This would reduce costs for insurers and participating in the pool would be a financial incentive </w:t>
      </w:r>
      <w:r w:rsidR="00345302">
        <w:t>that</w:t>
      </w:r>
      <w:r w:rsidRPr="002D3467">
        <w:t xml:space="preserve"> would then allow them to pass on savings to consumers</w:t>
      </w:r>
      <w:r w:rsidR="00773F43">
        <w:t xml:space="preserve"> and better compete against other insurers</w:t>
      </w:r>
      <w:r w:rsidRPr="002D3467">
        <w:t xml:space="preserve">. </w:t>
      </w:r>
    </w:p>
    <w:p w14:paraId="275B8979" w14:textId="7B1D79F7" w:rsidR="002859E6" w:rsidRDefault="002859E6" w:rsidP="002859E6">
      <w:pPr>
        <w:pStyle w:val="Heading3"/>
      </w:pPr>
      <w:r>
        <w:t>Transition</w:t>
      </w:r>
    </w:p>
    <w:p w14:paraId="34DCEC1F" w14:textId="6852CF8F" w:rsidR="002859E6" w:rsidRDefault="002859E6" w:rsidP="00D806AA">
      <w:pPr>
        <w:pStyle w:val="BodyText"/>
        <w:jc w:val="both"/>
      </w:pPr>
      <w:r>
        <w:t xml:space="preserve">Under this option, the reinsurance pool is voluntary and no special transition arrangements are required. Insurers would be able to sign up any time from the pool’s commencement. </w:t>
      </w:r>
    </w:p>
    <w:p w14:paraId="3AB4097C" w14:textId="10E51EE8" w:rsidR="002859E6" w:rsidRPr="002859E6" w:rsidRDefault="002859E6" w:rsidP="00D806AA">
      <w:pPr>
        <w:pStyle w:val="BodyText"/>
        <w:jc w:val="both"/>
      </w:pPr>
      <w:r w:rsidRPr="002859E6">
        <w:t xml:space="preserve">Once signed up, new and renewing </w:t>
      </w:r>
      <w:r w:rsidR="00345302">
        <w:t>insurance</w:t>
      </w:r>
      <w:r w:rsidRPr="002859E6">
        <w:t xml:space="preserve"> policies from that date would be </w:t>
      </w:r>
      <w:r w:rsidR="00345302">
        <w:t>passed on</w:t>
      </w:r>
      <w:r w:rsidRPr="002859E6">
        <w:t xml:space="preserve"> to the pool. As most renew on an annual basis, most eligible policies would be covered by the pool within 12 months of the insurer signing up for coverage. Existing policies could be covered from the sign-up date by agreement between the pool and the insurer. </w:t>
      </w:r>
    </w:p>
    <w:p w14:paraId="0679165F" w14:textId="77777777" w:rsidR="00A91A85" w:rsidRPr="002362AC" w:rsidRDefault="00A91A85" w:rsidP="00D806AA">
      <w:pPr>
        <w:jc w:val="both"/>
      </w:pPr>
    </w:p>
    <w:p w14:paraId="29E9A83F" w14:textId="5662F5F2" w:rsidR="00651F89" w:rsidRPr="000371FE" w:rsidRDefault="00651F89" w:rsidP="0096115A">
      <w:pPr>
        <w:pStyle w:val="Heading1"/>
      </w:pPr>
      <w:r>
        <w:br w:type="page"/>
        <w:t xml:space="preserve">4. </w:t>
      </w:r>
      <w:r w:rsidR="00D03E56">
        <w:t>T</w:t>
      </w:r>
      <w:r>
        <w:t>he likely net benefit of each option</w:t>
      </w:r>
    </w:p>
    <w:p w14:paraId="00EEF715" w14:textId="776F385C" w:rsidR="005349EC" w:rsidRDefault="00651F89" w:rsidP="00C75CF5">
      <w:pPr>
        <w:pStyle w:val="Heading2"/>
      </w:pPr>
      <w:r>
        <w:t xml:space="preserve">4.1 Option 1 – Status </w:t>
      </w:r>
      <w:r w:rsidR="00DD3F2A">
        <w:t>q</w:t>
      </w:r>
      <w:r>
        <w:t>uo</w:t>
      </w:r>
      <w:r w:rsidR="008D43E3">
        <w:t xml:space="preserve"> </w:t>
      </w:r>
    </w:p>
    <w:p w14:paraId="79F4BDBC" w14:textId="390F650A" w:rsidR="00F73CD5" w:rsidRPr="00C75CF5" w:rsidRDefault="00F73CD5" w:rsidP="00C75CF5">
      <w:pPr>
        <w:pStyle w:val="Heading3"/>
      </w:pPr>
      <w:r w:rsidRPr="00C75CF5">
        <w:t xml:space="preserve">Who is affected and what is the </w:t>
      </w:r>
      <w:r w:rsidR="00674B1A">
        <w:t>impact</w:t>
      </w:r>
      <w:r w:rsidRPr="00C75CF5">
        <w:t>?</w:t>
      </w:r>
    </w:p>
    <w:p w14:paraId="3D1FD161" w14:textId="4B72F11D" w:rsidR="00F73CD5" w:rsidRPr="00DA047E" w:rsidRDefault="00FB1E03" w:rsidP="00C75CF5">
      <w:pPr>
        <w:pStyle w:val="Heading4"/>
      </w:pPr>
      <w:r w:rsidRPr="00C75CF5">
        <w:t xml:space="preserve">Policyholders </w:t>
      </w:r>
      <w:r w:rsidR="000422D5">
        <w:t>– households and businesses</w:t>
      </w:r>
    </w:p>
    <w:p w14:paraId="6B64225C" w14:textId="2A0EB953" w:rsidR="005C4EE0" w:rsidRPr="00050453" w:rsidRDefault="00602EDE" w:rsidP="00602EDE">
      <w:pPr>
        <w:rPr>
          <w:bCs/>
          <w:iCs/>
        </w:rPr>
      </w:pPr>
      <w:r>
        <w:rPr>
          <w:bCs/>
          <w:iCs/>
        </w:rPr>
        <w:t>In the absence of further government action, acute</w:t>
      </w:r>
      <w:r w:rsidR="000422D5">
        <w:rPr>
          <w:bCs/>
          <w:iCs/>
        </w:rPr>
        <w:t xml:space="preserve"> property</w:t>
      </w:r>
      <w:r>
        <w:rPr>
          <w:bCs/>
          <w:iCs/>
        </w:rPr>
        <w:t xml:space="preserve"> </w:t>
      </w:r>
      <w:r w:rsidR="000422D5">
        <w:rPr>
          <w:bCs/>
          <w:iCs/>
        </w:rPr>
        <w:t xml:space="preserve">insurance </w:t>
      </w:r>
      <w:r>
        <w:rPr>
          <w:bCs/>
          <w:iCs/>
        </w:rPr>
        <w:t xml:space="preserve">affordability issues </w:t>
      </w:r>
      <w:r w:rsidR="000422D5">
        <w:rPr>
          <w:bCs/>
          <w:iCs/>
        </w:rPr>
        <w:t xml:space="preserve">for households and businesses </w:t>
      </w:r>
      <w:r>
        <w:rPr>
          <w:bCs/>
          <w:iCs/>
        </w:rPr>
        <w:t xml:space="preserve">in high cyclone risk areas are </w:t>
      </w:r>
      <w:r w:rsidR="000422D5">
        <w:rPr>
          <w:bCs/>
          <w:iCs/>
        </w:rPr>
        <w:t>likely to continue to worsen</w:t>
      </w:r>
      <w:r>
        <w:rPr>
          <w:bCs/>
          <w:iCs/>
        </w:rPr>
        <w:t xml:space="preserve">. </w:t>
      </w:r>
      <w:r w:rsidR="005C4EE0">
        <w:rPr>
          <w:bCs/>
          <w:iCs/>
        </w:rPr>
        <w:t>This would weaken northern Australia’s resilience to natural disasters and increase costs to governments due to pressure on health, emergency services, and welfare systems.</w:t>
      </w:r>
    </w:p>
    <w:p w14:paraId="7C88A776" w14:textId="2ACB8A3D" w:rsidR="000422D5" w:rsidRPr="00B2403A" w:rsidRDefault="000422D5" w:rsidP="000422D5">
      <w:pPr>
        <w:rPr>
          <w:bCs/>
          <w:iCs/>
        </w:rPr>
      </w:pPr>
      <w:r w:rsidRPr="00B2403A">
        <w:rPr>
          <w:bCs/>
          <w:iCs/>
        </w:rPr>
        <w:t>The current work the</w:t>
      </w:r>
      <w:r w:rsidR="001547E0">
        <w:rPr>
          <w:bCs/>
          <w:iCs/>
        </w:rPr>
        <w:t xml:space="preserve"> </w:t>
      </w:r>
      <w:r w:rsidR="005540F5">
        <w:rPr>
          <w:bCs/>
          <w:iCs/>
        </w:rPr>
        <w:t>G</w:t>
      </w:r>
      <w:r w:rsidR="005540F5" w:rsidRPr="00B2403A">
        <w:rPr>
          <w:bCs/>
          <w:iCs/>
        </w:rPr>
        <w:t>overnment</w:t>
      </w:r>
      <w:r w:rsidRPr="00B2403A">
        <w:rPr>
          <w:bCs/>
          <w:iCs/>
        </w:rPr>
        <w:t xml:space="preserve"> is undertaking to improve disaster resilience through the National Recovery and Resilience Agency, including the Preparing Australia Program, along with the state and local government efforts would continue. This should result in some premium relief in the long term but not in the short term.</w:t>
      </w:r>
    </w:p>
    <w:p w14:paraId="59A9D6FA" w14:textId="0DFC8B75" w:rsidR="00F73CD5" w:rsidRPr="00C75CF5" w:rsidRDefault="000422D5" w:rsidP="00C75CF5">
      <w:pPr>
        <w:pStyle w:val="Heading4"/>
      </w:pPr>
      <w:r>
        <w:t>Insurers and reinsurers</w:t>
      </w:r>
    </w:p>
    <w:p w14:paraId="0B961CE8" w14:textId="304A803A" w:rsidR="00B05559" w:rsidRPr="00050453" w:rsidRDefault="000422D5" w:rsidP="00B706F8">
      <w:pPr>
        <w:rPr>
          <w:bCs/>
          <w:iCs/>
        </w:rPr>
      </w:pPr>
      <w:r>
        <w:rPr>
          <w:bCs/>
          <w:iCs/>
        </w:rPr>
        <w:t>No</w:t>
      </w:r>
      <w:r w:rsidR="001E45FA">
        <w:rPr>
          <w:bCs/>
          <w:iCs/>
        </w:rPr>
        <w:t xml:space="preserve"> direct</w:t>
      </w:r>
      <w:r>
        <w:rPr>
          <w:bCs/>
          <w:iCs/>
        </w:rPr>
        <w:t xml:space="preserve"> impact on i</w:t>
      </w:r>
      <w:r w:rsidR="00C959D9">
        <w:rPr>
          <w:bCs/>
          <w:iCs/>
        </w:rPr>
        <w:t>nsurer</w:t>
      </w:r>
      <w:r>
        <w:rPr>
          <w:bCs/>
          <w:iCs/>
        </w:rPr>
        <w:t>s and reinsurers</w:t>
      </w:r>
      <w:r w:rsidR="00B05559">
        <w:rPr>
          <w:bCs/>
          <w:iCs/>
        </w:rPr>
        <w:t>, although insurers may face pressure to further reduce their exposure to high</w:t>
      </w:r>
      <w:r w:rsidR="00B05559">
        <w:rPr>
          <w:bCs/>
          <w:iCs/>
        </w:rPr>
        <w:noBreakHyphen/>
        <w:t>risk regions, particularly in northern Australia.</w:t>
      </w:r>
    </w:p>
    <w:p w14:paraId="708C4C45" w14:textId="015722DB" w:rsidR="00F73CD5" w:rsidRPr="00C75CF5" w:rsidRDefault="00F73CD5" w:rsidP="00DA047E">
      <w:pPr>
        <w:pStyle w:val="Heading4"/>
      </w:pPr>
      <w:r w:rsidRPr="00C75CF5">
        <w:t>Government</w:t>
      </w:r>
    </w:p>
    <w:p w14:paraId="06E0D4B3" w14:textId="04E2F2CD" w:rsidR="00C959D9" w:rsidRPr="00B23AF5" w:rsidRDefault="00265BFE" w:rsidP="00F73CD5">
      <w:pPr>
        <w:keepNext/>
      </w:pPr>
      <w:r>
        <w:rPr>
          <w:iCs/>
        </w:rPr>
        <w:t>G</w:t>
      </w:r>
      <w:r w:rsidR="00C959D9">
        <w:rPr>
          <w:iCs/>
        </w:rPr>
        <w:t>overnment</w:t>
      </w:r>
      <w:r>
        <w:rPr>
          <w:iCs/>
        </w:rPr>
        <w:t>s</w:t>
      </w:r>
      <w:r w:rsidR="00C959D9">
        <w:rPr>
          <w:iCs/>
        </w:rPr>
        <w:t xml:space="preserve"> w</w:t>
      </w:r>
      <w:r w:rsidR="00700154">
        <w:rPr>
          <w:iCs/>
        </w:rPr>
        <w:t>ould</w:t>
      </w:r>
      <w:r w:rsidR="00C959D9">
        <w:rPr>
          <w:iCs/>
        </w:rPr>
        <w:t xml:space="preserve"> continue to </w:t>
      </w:r>
      <w:r>
        <w:rPr>
          <w:iCs/>
        </w:rPr>
        <w:t>bear increased costs</w:t>
      </w:r>
      <w:r w:rsidR="00C959D9">
        <w:rPr>
          <w:iCs/>
        </w:rPr>
        <w:t xml:space="preserve"> after cyclones for communities where there are high level</w:t>
      </w:r>
      <w:r w:rsidR="00A3373F">
        <w:rPr>
          <w:iCs/>
        </w:rPr>
        <w:t>s</w:t>
      </w:r>
      <w:r w:rsidR="00C959D9">
        <w:rPr>
          <w:iCs/>
        </w:rPr>
        <w:t xml:space="preserve"> of underinsurance and no insurance. </w:t>
      </w:r>
      <w:r>
        <w:rPr>
          <w:iCs/>
        </w:rPr>
        <w:t>This would be</w:t>
      </w:r>
      <w:r w:rsidR="00BC75F5">
        <w:rPr>
          <w:iCs/>
        </w:rPr>
        <w:t xml:space="preserve"> through increased pressure on health, emergency services, and welfare systems. </w:t>
      </w:r>
    </w:p>
    <w:p w14:paraId="1E8DFFBA" w14:textId="2872E6FB" w:rsidR="001C31C5" w:rsidRDefault="001C31C5" w:rsidP="001C31C5">
      <w:pPr>
        <w:spacing w:before="240"/>
        <w:outlineLvl w:val="3"/>
        <w:rPr>
          <w:rFonts w:asciiTheme="majorHAnsi" w:hAnsiTheme="majorHAnsi"/>
          <w:color w:val="014463" w:themeColor="text2"/>
          <w:sz w:val="24"/>
          <w:szCs w:val="24"/>
        </w:rPr>
      </w:pPr>
      <w:r w:rsidRPr="001C31C5">
        <w:rPr>
          <w:rFonts w:asciiTheme="majorHAnsi" w:hAnsiTheme="majorHAnsi"/>
          <w:color w:val="014463" w:themeColor="text2"/>
          <w:sz w:val="24"/>
          <w:szCs w:val="24"/>
        </w:rPr>
        <w:t>Estimate of regulatory impact</w:t>
      </w:r>
    </w:p>
    <w:p w14:paraId="5B13FB5B" w14:textId="2EB9AB61" w:rsidR="006B5573" w:rsidRDefault="006B5573" w:rsidP="006B5573">
      <w:pPr>
        <w:pStyle w:val="Bullet"/>
        <w:numPr>
          <w:ilvl w:val="0"/>
          <w:numId w:val="0"/>
        </w:numPr>
        <w:ind w:left="472" w:hanging="472"/>
      </w:pPr>
      <w:r>
        <w:t>There is no regulatory impact imposed under the status quo.</w:t>
      </w:r>
    </w:p>
    <w:p w14:paraId="4898452E" w14:textId="7265676C" w:rsidR="001C31C5" w:rsidRPr="001C31C5" w:rsidRDefault="001C31C5" w:rsidP="001C31C5">
      <w:pPr>
        <w:spacing w:before="240"/>
        <w:outlineLvl w:val="3"/>
        <w:rPr>
          <w:rFonts w:asciiTheme="majorHAnsi" w:hAnsiTheme="majorHAnsi"/>
          <w:color w:val="014463" w:themeColor="text2"/>
          <w:sz w:val="24"/>
          <w:szCs w:val="24"/>
        </w:rPr>
      </w:pPr>
      <w:r w:rsidRPr="001C31C5">
        <w:rPr>
          <w:rFonts w:asciiTheme="majorHAnsi" w:hAnsiTheme="majorHAnsi"/>
          <w:color w:val="014463" w:themeColor="text2"/>
          <w:sz w:val="24"/>
          <w:szCs w:val="24"/>
        </w:rPr>
        <w:t>Regulatory burden estimate (RBE) table</w:t>
      </w:r>
    </w:p>
    <w:p w14:paraId="14A2E1E9" w14:textId="3BDAC1DC" w:rsidR="001C31C5" w:rsidRPr="001C31C5" w:rsidRDefault="001C31C5" w:rsidP="001C31C5"/>
    <w:tbl>
      <w:tblPr>
        <w:tblStyle w:val="PMCTableStyle2"/>
        <w:tblW w:w="0" w:type="auto"/>
        <w:tblLook w:val="0660" w:firstRow="1" w:lastRow="1" w:firstColumn="0" w:lastColumn="0" w:noHBand="1" w:noVBand="1"/>
      </w:tblPr>
      <w:tblGrid>
        <w:gridCol w:w="2731"/>
        <w:gridCol w:w="1354"/>
        <w:gridCol w:w="1482"/>
        <w:gridCol w:w="2531"/>
        <w:gridCol w:w="334"/>
        <w:gridCol w:w="1762"/>
      </w:tblGrid>
      <w:tr w:rsidR="001C31C5" w:rsidRPr="001C31C5" w14:paraId="617AF2CB" w14:textId="77777777" w:rsidTr="00163E7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47C16636" w14:textId="77777777" w:rsidR="001C31C5" w:rsidRPr="001C31C5" w:rsidRDefault="001C31C5" w:rsidP="001C31C5">
            <w:pPr>
              <w:rPr>
                <w:bCs/>
              </w:rPr>
            </w:pPr>
            <w:r w:rsidRPr="001C31C5">
              <w:rPr>
                <w:bCs/>
              </w:rPr>
              <w:t>Average annual regulatory costs</w:t>
            </w:r>
          </w:p>
        </w:tc>
      </w:tr>
      <w:tr w:rsidR="001C31C5" w:rsidRPr="001C31C5" w14:paraId="537B30A4" w14:textId="77777777" w:rsidTr="00163E7B">
        <w:trPr>
          <w:trHeight w:val="350"/>
        </w:trPr>
        <w:tc>
          <w:tcPr>
            <w:tcW w:w="2830" w:type="dxa"/>
          </w:tcPr>
          <w:p w14:paraId="44C13308" w14:textId="77777777" w:rsidR="001C31C5" w:rsidRPr="001C31C5" w:rsidRDefault="001C31C5" w:rsidP="001C31C5">
            <w:pPr>
              <w:spacing w:before="40" w:after="40"/>
              <w:rPr>
                <w:sz w:val="18"/>
              </w:rPr>
            </w:pPr>
            <w:r w:rsidRPr="001C31C5">
              <w:rPr>
                <w:color w:val="000000" w:themeColor="text1"/>
                <w:sz w:val="18"/>
              </w:rPr>
              <w:t>Change in costs ($ million)</w:t>
            </w:r>
          </w:p>
        </w:tc>
        <w:tc>
          <w:tcPr>
            <w:tcW w:w="1132" w:type="dxa"/>
          </w:tcPr>
          <w:p w14:paraId="42CF9937" w14:textId="77777777" w:rsidR="001C31C5" w:rsidRPr="001C31C5" w:rsidRDefault="001C31C5" w:rsidP="001C31C5">
            <w:pPr>
              <w:spacing w:before="40" w:after="40"/>
              <w:rPr>
                <w:sz w:val="18"/>
              </w:rPr>
            </w:pPr>
            <w:r w:rsidRPr="001C31C5">
              <w:rPr>
                <w:color w:val="000000" w:themeColor="text1"/>
                <w:sz w:val="18"/>
              </w:rPr>
              <w:t>Individuals</w:t>
            </w:r>
          </w:p>
        </w:tc>
        <w:tc>
          <w:tcPr>
            <w:tcW w:w="1482" w:type="dxa"/>
          </w:tcPr>
          <w:p w14:paraId="3135AE9E" w14:textId="77777777" w:rsidR="001C31C5" w:rsidRPr="001C31C5" w:rsidRDefault="001C31C5" w:rsidP="001C31C5">
            <w:pPr>
              <w:spacing w:before="40" w:after="40"/>
              <w:ind w:left="284"/>
              <w:rPr>
                <w:sz w:val="18"/>
              </w:rPr>
            </w:pPr>
            <w:r w:rsidRPr="001C31C5">
              <w:rPr>
                <w:sz w:val="18"/>
              </w:rPr>
              <w:t xml:space="preserve">Business </w:t>
            </w:r>
          </w:p>
        </w:tc>
        <w:tc>
          <w:tcPr>
            <w:tcW w:w="2592" w:type="dxa"/>
          </w:tcPr>
          <w:p w14:paraId="7378C2DB" w14:textId="77777777" w:rsidR="001C31C5" w:rsidRPr="001C31C5" w:rsidRDefault="001C31C5" w:rsidP="001C31C5">
            <w:pPr>
              <w:spacing w:before="40" w:after="40"/>
              <w:rPr>
                <w:color w:val="000000" w:themeColor="text1"/>
                <w:sz w:val="18"/>
              </w:rPr>
            </w:pPr>
            <w:r w:rsidRPr="001C31C5">
              <w:rPr>
                <w:color w:val="000000" w:themeColor="text1"/>
                <w:sz w:val="18"/>
              </w:rPr>
              <w:t>Community organisations</w:t>
            </w:r>
          </w:p>
        </w:tc>
        <w:tc>
          <w:tcPr>
            <w:tcW w:w="2158" w:type="dxa"/>
            <w:gridSpan w:val="2"/>
          </w:tcPr>
          <w:p w14:paraId="7AD83521" w14:textId="77777777" w:rsidR="001C31C5" w:rsidRPr="001C31C5" w:rsidRDefault="001C31C5" w:rsidP="001C31C5">
            <w:pPr>
              <w:spacing w:before="40" w:after="40"/>
              <w:rPr>
                <w:color w:val="000000" w:themeColor="text1"/>
                <w:sz w:val="18"/>
              </w:rPr>
            </w:pPr>
            <w:r w:rsidRPr="001C31C5">
              <w:rPr>
                <w:color w:val="000000" w:themeColor="text1"/>
                <w:sz w:val="18"/>
              </w:rPr>
              <w:t>Total change in cost</w:t>
            </w:r>
          </w:p>
        </w:tc>
      </w:tr>
      <w:tr w:rsidR="001C31C5" w:rsidRPr="001C31C5" w14:paraId="008C95B1" w14:textId="77777777" w:rsidTr="00163E7B">
        <w:trPr>
          <w:cnfStyle w:val="010000000000" w:firstRow="0" w:lastRow="1" w:firstColumn="0" w:lastColumn="0" w:oddVBand="0" w:evenVBand="0" w:oddHBand="0" w:evenHBand="0" w:firstRowFirstColumn="0" w:firstRowLastColumn="0" w:lastRowFirstColumn="0" w:lastRowLastColumn="0"/>
          <w:trHeight w:val="350"/>
        </w:trPr>
        <w:tc>
          <w:tcPr>
            <w:tcW w:w="2830" w:type="dxa"/>
          </w:tcPr>
          <w:p w14:paraId="3805F4F2" w14:textId="77777777" w:rsidR="001C31C5" w:rsidRPr="001C31C5" w:rsidRDefault="001C31C5" w:rsidP="001C31C5">
            <w:pPr>
              <w:spacing w:before="40" w:after="40"/>
              <w:rPr>
                <w:sz w:val="18"/>
              </w:rPr>
            </w:pPr>
            <w:r w:rsidRPr="001C31C5">
              <w:rPr>
                <w:color w:val="000000" w:themeColor="text1"/>
                <w:sz w:val="18"/>
              </w:rPr>
              <w:t>Total, by sector</w:t>
            </w:r>
          </w:p>
        </w:tc>
        <w:tc>
          <w:tcPr>
            <w:tcW w:w="1132" w:type="dxa"/>
          </w:tcPr>
          <w:p w14:paraId="5792BAEF" w14:textId="0606A6C9" w:rsidR="001C31C5" w:rsidRPr="001C31C5" w:rsidRDefault="001C31C5" w:rsidP="001C31C5">
            <w:pPr>
              <w:spacing w:before="40" w:after="40"/>
              <w:rPr>
                <w:sz w:val="18"/>
              </w:rPr>
            </w:pPr>
            <w:r w:rsidRPr="001C31C5">
              <w:rPr>
                <w:sz w:val="18"/>
              </w:rPr>
              <w:t>$</w:t>
            </w:r>
            <w:r w:rsidR="00090C9C">
              <w:rPr>
                <w:sz w:val="18"/>
              </w:rPr>
              <w:t>0</w:t>
            </w:r>
          </w:p>
        </w:tc>
        <w:tc>
          <w:tcPr>
            <w:tcW w:w="1482" w:type="dxa"/>
          </w:tcPr>
          <w:p w14:paraId="331A468E" w14:textId="483911CF" w:rsidR="001C31C5" w:rsidRPr="001C31C5" w:rsidRDefault="001C31C5" w:rsidP="001C31C5">
            <w:pPr>
              <w:spacing w:before="40" w:after="40"/>
              <w:ind w:left="284"/>
              <w:rPr>
                <w:sz w:val="18"/>
              </w:rPr>
            </w:pPr>
            <w:r w:rsidRPr="001C31C5">
              <w:rPr>
                <w:sz w:val="18"/>
              </w:rPr>
              <w:t>$</w:t>
            </w:r>
            <w:r w:rsidR="00090C9C">
              <w:rPr>
                <w:sz w:val="18"/>
              </w:rPr>
              <w:t>0</w:t>
            </w:r>
          </w:p>
        </w:tc>
        <w:tc>
          <w:tcPr>
            <w:tcW w:w="2943" w:type="dxa"/>
            <w:gridSpan w:val="2"/>
          </w:tcPr>
          <w:p w14:paraId="1211865D" w14:textId="506D1328" w:rsidR="001C31C5" w:rsidRPr="001C31C5" w:rsidRDefault="001C31C5" w:rsidP="001C31C5">
            <w:pPr>
              <w:spacing w:before="40" w:after="40"/>
              <w:ind w:left="284" w:hanging="284"/>
              <w:rPr>
                <w:color w:val="000000" w:themeColor="text1"/>
                <w:sz w:val="18"/>
              </w:rPr>
            </w:pPr>
            <w:r w:rsidRPr="001C31C5">
              <w:rPr>
                <w:color w:val="000000" w:themeColor="text1"/>
                <w:sz w:val="18"/>
              </w:rPr>
              <w:t>$</w:t>
            </w:r>
            <w:r w:rsidR="00090C9C">
              <w:rPr>
                <w:color w:val="000000" w:themeColor="text1"/>
                <w:sz w:val="18"/>
              </w:rPr>
              <w:t>0</w:t>
            </w:r>
          </w:p>
        </w:tc>
        <w:tc>
          <w:tcPr>
            <w:tcW w:w="1807" w:type="dxa"/>
          </w:tcPr>
          <w:p w14:paraId="455C49EB" w14:textId="0384C106" w:rsidR="001C31C5" w:rsidRPr="001C31C5" w:rsidRDefault="001C31C5" w:rsidP="001C31C5">
            <w:pPr>
              <w:spacing w:before="40" w:after="40"/>
              <w:ind w:left="284" w:hanging="284"/>
              <w:rPr>
                <w:color w:val="000000" w:themeColor="text1"/>
                <w:sz w:val="18"/>
              </w:rPr>
            </w:pPr>
            <w:r w:rsidRPr="001C31C5">
              <w:rPr>
                <w:color w:val="000000" w:themeColor="text1"/>
                <w:sz w:val="18"/>
              </w:rPr>
              <w:t>$</w:t>
            </w:r>
            <w:r w:rsidR="00090C9C">
              <w:rPr>
                <w:color w:val="000000" w:themeColor="text1"/>
                <w:sz w:val="18"/>
              </w:rPr>
              <w:t>0</w:t>
            </w:r>
          </w:p>
        </w:tc>
      </w:tr>
    </w:tbl>
    <w:p w14:paraId="6F17358D" w14:textId="77777777" w:rsidR="006B5573" w:rsidRPr="001C31C5" w:rsidRDefault="006B5573" w:rsidP="001C31C5">
      <w:pPr>
        <w:pStyle w:val="BodyText"/>
      </w:pPr>
    </w:p>
    <w:p w14:paraId="4AC76999" w14:textId="080DF4BF" w:rsidR="008D43E3" w:rsidRDefault="008D43E3" w:rsidP="008D43E3">
      <w:pPr>
        <w:pStyle w:val="Heading2"/>
      </w:pPr>
      <w:r>
        <w:t>4.2 Option 2 – Establishing a reinsurance pool with mandatory participation</w:t>
      </w:r>
    </w:p>
    <w:p w14:paraId="1A72FA89" w14:textId="08364299" w:rsidR="00C30431" w:rsidRDefault="00C30431" w:rsidP="00C30431">
      <w:pPr>
        <w:pStyle w:val="Heading3"/>
      </w:pPr>
      <w:r>
        <w:t xml:space="preserve">Who is affected and what is the </w:t>
      </w:r>
      <w:r w:rsidR="00674B1A">
        <w:t>impact</w:t>
      </w:r>
      <w:r>
        <w:t>?</w:t>
      </w:r>
    </w:p>
    <w:p w14:paraId="7E681706" w14:textId="573936F6" w:rsidR="00C30431" w:rsidRDefault="00C728D4" w:rsidP="00C30431">
      <w:pPr>
        <w:pStyle w:val="Heading4"/>
      </w:pPr>
      <w:r>
        <w:t>Policyholders (i</w:t>
      </w:r>
      <w:r w:rsidR="00C30431">
        <w:t>ndividual</w:t>
      </w:r>
      <w:r>
        <w:t xml:space="preserve">s, </w:t>
      </w:r>
      <w:r w:rsidR="00C30431">
        <w:t>households</w:t>
      </w:r>
      <w:r>
        <w:t xml:space="preserve"> and small businesses)</w:t>
      </w:r>
    </w:p>
    <w:p w14:paraId="383ECC63" w14:textId="40B610D7" w:rsidR="00C30431" w:rsidRDefault="00C30431" w:rsidP="005614EE">
      <w:pPr>
        <w:pStyle w:val="BodyText"/>
        <w:jc w:val="both"/>
        <w:rPr>
          <w:bCs/>
        </w:rPr>
      </w:pPr>
      <w:r w:rsidRPr="002362AC">
        <w:rPr>
          <w:bCs/>
        </w:rPr>
        <w:t>Individual</w:t>
      </w:r>
      <w:r w:rsidR="00B5237C">
        <w:rPr>
          <w:bCs/>
        </w:rPr>
        <w:t>,</w:t>
      </w:r>
      <w:r w:rsidRPr="002362AC">
        <w:rPr>
          <w:bCs/>
        </w:rPr>
        <w:t xml:space="preserve"> households</w:t>
      </w:r>
      <w:r w:rsidR="00B5237C">
        <w:rPr>
          <w:bCs/>
        </w:rPr>
        <w:t xml:space="preserve"> and small businesses</w:t>
      </w:r>
      <w:r w:rsidRPr="002362AC">
        <w:rPr>
          <w:bCs/>
        </w:rPr>
        <w:t xml:space="preserve"> in </w:t>
      </w:r>
      <w:r>
        <w:rPr>
          <w:bCs/>
        </w:rPr>
        <w:t>cyclone risk areas</w:t>
      </w:r>
      <w:r w:rsidRPr="002362AC">
        <w:rPr>
          <w:bCs/>
        </w:rPr>
        <w:t xml:space="preserve"> would be expected to benefit from reduced</w:t>
      </w:r>
      <w:r w:rsidR="00C728D4">
        <w:rPr>
          <w:bCs/>
        </w:rPr>
        <w:t xml:space="preserve"> property</w:t>
      </w:r>
      <w:r w:rsidRPr="002362AC">
        <w:rPr>
          <w:bCs/>
        </w:rPr>
        <w:t xml:space="preserve"> insurance premiums and improved access to </w:t>
      </w:r>
      <w:r w:rsidRPr="002362AC">
        <w:t>home, contents</w:t>
      </w:r>
      <w:r w:rsidR="00C728D4">
        <w:t>,</w:t>
      </w:r>
      <w:r w:rsidRPr="002362AC">
        <w:t xml:space="preserve"> strata</w:t>
      </w:r>
      <w:r w:rsidR="00C728D4">
        <w:t xml:space="preserve"> and commercial property</w:t>
      </w:r>
      <w:r w:rsidRPr="002362AC">
        <w:rPr>
          <w:bCs/>
        </w:rPr>
        <w:t xml:space="preserve"> insurance.</w:t>
      </w:r>
      <w:r w:rsidR="00C728D4">
        <w:rPr>
          <w:bCs/>
        </w:rPr>
        <w:t xml:space="preserve"> Charities and not-for-profits would also be eligible and therefore expected to benefit.</w:t>
      </w:r>
    </w:p>
    <w:p w14:paraId="2CAE09EC" w14:textId="52F8DB71" w:rsidR="00B74AFD" w:rsidRPr="00B74AFD" w:rsidRDefault="00B40865" w:rsidP="005614EE">
      <w:pPr>
        <w:pStyle w:val="Bullet"/>
        <w:numPr>
          <w:ilvl w:val="0"/>
          <w:numId w:val="0"/>
        </w:numPr>
        <w:jc w:val="both"/>
      </w:pPr>
      <w:r>
        <w:t>Modelling indicates that t</w:t>
      </w:r>
      <w:r w:rsidR="00823D89">
        <w:t xml:space="preserve">he pool </w:t>
      </w:r>
      <w:r>
        <w:t>c</w:t>
      </w:r>
      <w:r w:rsidR="00823D89">
        <w:t xml:space="preserve">ould </w:t>
      </w:r>
      <w:r w:rsidR="006617C4">
        <w:t>generate</w:t>
      </w:r>
      <w:r w:rsidR="003E3F59">
        <w:t xml:space="preserve"> annual total</w:t>
      </w:r>
      <w:r w:rsidR="006617C4">
        <w:t xml:space="preserve"> </w:t>
      </w:r>
      <w:r w:rsidR="00823D89">
        <w:t>premium savings of</w:t>
      </w:r>
      <w:r w:rsidR="006617C4">
        <w:t xml:space="preserve"> about</w:t>
      </w:r>
      <w:r w:rsidR="00823D89">
        <w:t xml:space="preserve"> </w:t>
      </w:r>
      <w:r w:rsidR="003E3F59" w:rsidRPr="006A1B40">
        <w:t>$</w:t>
      </w:r>
      <w:r w:rsidR="00495D45" w:rsidRPr="006A1B40">
        <w:t>290</w:t>
      </w:r>
      <w:r w:rsidR="003E3F59" w:rsidRPr="006A1B40">
        <w:t xml:space="preserve"> million</w:t>
      </w:r>
      <w:r w:rsidR="00D132CF">
        <w:t xml:space="preserve"> </w:t>
      </w:r>
      <w:r w:rsidR="00823D89">
        <w:t>for</w:t>
      </w:r>
      <w:r w:rsidR="006617C4">
        <w:t xml:space="preserve"> eligible</w:t>
      </w:r>
      <w:r w:rsidR="00823D89">
        <w:t xml:space="preserve"> insurance policies </w:t>
      </w:r>
      <w:r w:rsidR="003E3F59">
        <w:t xml:space="preserve">across </w:t>
      </w:r>
      <w:r w:rsidR="00823D89">
        <w:t>Australia</w:t>
      </w:r>
      <w:r w:rsidR="003E3F59">
        <w:t>, with a higher proportion of savings going to household policies.</w:t>
      </w:r>
      <w:r w:rsidR="003E3F59">
        <w:rPr>
          <w:rStyle w:val="FootnoteReference"/>
        </w:rPr>
        <w:footnoteReference w:id="32"/>
      </w:r>
      <w:r w:rsidR="003E3F59">
        <w:t xml:space="preserve"> P</w:t>
      </w:r>
      <w:r w:rsidR="006617C4">
        <w:t xml:space="preserve">remium reductions </w:t>
      </w:r>
      <w:r w:rsidR="003E3F59">
        <w:t xml:space="preserve">would be </w:t>
      </w:r>
      <w:r w:rsidR="006617C4">
        <w:t>targeted to high-risk areas</w:t>
      </w:r>
      <w:r w:rsidR="003E3F59">
        <w:t xml:space="preserve">, </w:t>
      </w:r>
      <w:r w:rsidR="00B07879">
        <w:t>which are largely located in</w:t>
      </w:r>
      <w:r w:rsidR="003E3F59">
        <w:t xml:space="preserve"> northern Australia</w:t>
      </w:r>
      <w:r w:rsidR="006617C4">
        <w:t xml:space="preserve">. </w:t>
      </w:r>
      <w:r w:rsidR="00B74AFD">
        <w:t xml:space="preserve">The pool would not be expected to significantly affect average premiums outside of cyclone-risk areas. </w:t>
      </w:r>
      <w:r w:rsidR="005540F5" w:rsidRPr="005540F5">
        <w:rPr>
          <w:bCs/>
        </w:rPr>
        <w:t xml:space="preserve"> </w:t>
      </w:r>
    </w:p>
    <w:p w14:paraId="2EB41023" w14:textId="63C85460" w:rsidR="001C31C5" w:rsidRDefault="001C31C5" w:rsidP="005614EE">
      <w:pPr>
        <w:pStyle w:val="BodyText"/>
        <w:jc w:val="both"/>
        <w:rPr>
          <w:bCs/>
        </w:rPr>
      </w:pPr>
      <w:r w:rsidRPr="002362AC">
        <w:rPr>
          <w:iCs/>
        </w:rPr>
        <w:t>Th</w:t>
      </w:r>
      <w:r w:rsidR="00D732B8">
        <w:rPr>
          <w:iCs/>
        </w:rPr>
        <w:t>e</w:t>
      </w:r>
      <w:r w:rsidRPr="002362AC">
        <w:rPr>
          <w:iCs/>
        </w:rPr>
        <w:t xml:space="preserve"> saving</w:t>
      </w:r>
      <w:r w:rsidR="00D732B8">
        <w:rPr>
          <w:iCs/>
        </w:rPr>
        <w:t>s</w:t>
      </w:r>
      <w:r w:rsidRPr="002362AC">
        <w:rPr>
          <w:iCs/>
        </w:rPr>
        <w:t xml:space="preserve"> arise from the elimination of commercial profit margin</w:t>
      </w:r>
      <w:r w:rsidR="00D732B8">
        <w:rPr>
          <w:iCs/>
        </w:rPr>
        <w:t>s</w:t>
      </w:r>
      <w:r w:rsidRPr="002362AC">
        <w:rPr>
          <w:iCs/>
        </w:rPr>
        <w:t xml:space="preserve"> through the mandatory participation of insurers and is also supported by </w:t>
      </w:r>
      <w:r w:rsidR="00D84C65">
        <w:rPr>
          <w:iCs/>
        </w:rPr>
        <w:t>the</w:t>
      </w:r>
      <w:r w:rsidR="00D84C65" w:rsidRPr="002362AC">
        <w:rPr>
          <w:iCs/>
        </w:rPr>
        <w:t xml:space="preserve"> </w:t>
      </w:r>
      <w:r w:rsidR="00D84C65">
        <w:rPr>
          <w:iCs/>
        </w:rPr>
        <w:t>G</w:t>
      </w:r>
      <w:r w:rsidR="00D84C65" w:rsidRPr="002362AC">
        <w:rPr>
          <w:iCs/>
        </w:rPr>
        <w:t>overnment</w:t>
      </w:r>
      <w:r w:rsidRPr="002362AC">
        <w:rPr>
          <w:iCs/>
        </w:rPr>
        <w:t xml:space="preserve"> guarantee.</w:t>
      </w:r>
      <w:r w:rsidR="00C83A46">
        <w:rPr>
          <w:iCs/>
        </w:rPr>
        <w:t xml:space="preserve"> </w:t>
      </w:r>
      <w:r w:rsidR="00653C9F">
        <w:rPr>
          <w:iCs/>
        </w:rPr>
        <w:t xml:space="preserve">The discounts available to consumers </w:t>
      </w:r>
      <w:r w:rsidR="00D732B8">
        <w:rPr>
          <w:iCs/>
        </w:rPr>
        <w:t>are</w:t>
      </w:r>
      <w:r w:rsidR="00653C9F">
        <w:rPr>
          <w:iCs/>
        </w:rPr>
        <w:t xml:space="preserve"> greatest under a reinsurance pool with mandatory participation. </w:t>
      </w:r>
    </w:p>
    <w:p w14:paraId="38B21A70" w14:textId="40C14722" w:rsidR="00653C9F" w:rsidRDefault="00C728D4" w:rsidP="005614EE">
      <w:pPr>
        <w:pStyle w:val="BodyText"/>
        <w:jc w:val="both"/>
        <w:rPr>
          <w:iCs/>
        </w:rPr>
      </w:pPr>
      <w:r>
        <w:rPr>
          <w:iCs/>
        </w:rPr>
        <w:t>Policyholders</w:t>
      </w:r>
      <w:r w:rsidR="00653C9F">
        <w:rPr>
          <w:iCs/>
        </w:rPr>
        <w:t xml:space="preserve"> would not experience any regulatory burden impact from the adoption of </w:t>
      </w:r>
      <w:r w:rsidR="009B26D6">
        <w:rPr>
          <w:iCs/>
        </w:rPr>
        <w:t xml:space="preserve">Option </w:t>
      </w:r>
      <w:r w:rsidR="00653C9F">
        <w:rPr>
          <w:iCs/>
        </w:rPr>
        <w:t xml:space="preserve">2 as they do not have direct interaction with reinsurers or reinsurance, which is handled by insurers instead. </w:t>
      </w:r>
    </w:p>
    <w:p w14:paraId="403EA461" w14:textId="4139CEB8" w:rsidR="00C30431" w:rsidRDefault="00C30431" w:rsidP="00C30431">
      <w:pPr>
        <w:pStyle w:val="Heading4"/>
      </w:pPr>
      <w:r w:rsidRPr="00C30431">
        <w:t>Insurers</w:t>
      </w:r>
    </w:p>
    <w:p w14:paraId="119A5A25" w14:textId="3617A81F" w:rsidR="00C30431" w:rsidRPr="002362AC" w:rsidRDefault="00C30431" w:rsidP="005614EE">
      <w:pPr>
        <w:jc w:val="both"/>
        <w:rPr>
          <w:bCs/>
        </w:rPr>
      </w:pPr>
      <w:r w:rsidRPr="002362AC">
        <w:rPr>
          <w:bCs/>
        </w:rPr>
        <w:t xml:space="preserve">The ACCC found that there are eight insurers who underwrite the vast majority of home, contents and strata insurance in the high-risk region of northern Australia. There are also others who supply a small number of policies in northern Australia. </w:t>
      </w:r>
      <w:r w:rsidR="00AF6699">
        <w:rPr>
          <w:bCs/>
        </w:rPr>
        <w:t xml:space="preserve">The commercial property insurance market is similarly concentrated. </w:t>
      </w:r>
      <w:r w:rsidRPr="002362AC">
        <w:rPr>
          <w:bCs/>
        </w:rPr>
        <w:t xml:space="preserve">These insurers would be expected to benefit from reduced reinsurance costs. </w:t>
      </w:r>
    </w:p>
    <w:p w14:paraId="6B6F695A" w14:textId="1759E5CE" w:rsidR="00DA7147" w:rsidRDefault="00C30431" w:rsidP="005614EE">
      <w:pPr>
        <w:pStyle w:val="BodyText"/>
        <w:jc w:val="both"/>
        <w:rPr>
          <w:bCs/>
        </w:rPr>
      </w:pPr>
      <w:bookmarkStart w:id="7" w:name="_Hlk85804986"/>
      <w:r>
        <w:rPr>
          <w:bCs/>
        </w:rPr>
        <w:t>I</w:t>
      </w:r>
      <w:r w:rsidRPr="002362AC">
        <w:rPr>
          <w:bCs/>
        </w:rPr>
        <w:t>nsurers may experience some disruption in transitioning from their existing reinsurance arrangements to reinsuring with the pool</w:t>
      </w:r>
      <w:r>
        <w:rPr>
          <w:bCs/>
        </w:rPr>
        <w:t>.</w:t>
      </w:r>
      <w:bookmarkEnd w:id="7"/>
      <w:r>
        <w:rPr>
          <w:bCs/>
        </w:rPr>
        <w:t xml:space="preserve"> </w:t>
      </w:r>
      <w:r w:rsidRPr="002362AC">
        <w:rPr>
          <w:bCs/>
        </w:rPr>
        <w:t xml:space="preserve">Local reinsurance cover renews at various points in the year, with the majority </w:t>
      </w:r>
      <w:r w:rsidR="008E6732" w:rsidRPr="002362AC">
        <w:rPr>
          <w:bCs/>
        </w:rPr>
        <w:t>on</w:t>
      </w:r>
      <w:r w:rsidRPr="002362AC">
        <w:rPr>
          <w:bCs/>
        </w:rPr>
        <w:t xml:space="preserve"> 1 July or 1 January, but with a few at various other points in the year. </w:t>
      </w:r>
      <w:r w:rsidR="00EF7F6F">
        <w:rPr>
          <w:bCs/>
        </w:rPr>
        <w:t xml:space="preserve">While </w:t>
      </w:r>
      <w:r w:rsidR="00D84C65">
        <w:rPr>
          <w:bCs/>
        </w:rPr>
        <w:t>most</w:t>
      </w:r>
      <w:r w:rsidR="00EF7F6F">
        <w:rPr>
          <w:bCs/>
        </w:rPr>
        <w:t xml:space="preserve"> reinsurance contracts are estimated to renew on an annual basis, some insurers enter</w:t>
      </w:r>
      <w:r w:rsidRPr="002362AC">
        <w:rPr>
          <w:bCs/>
        </w:rPr>
        <w:t xml:space="preserve"> into multi-year agreements which run up to three years</w:t>
      </w:r>
      <w:r w:rsidR="00D077CD">
        <w:rPr>
          <w:bCs/>
        </w:rPr>
        <w:t xml:space="preserve"> </w:t>
      </w:r>
      <w:r w:rsidR="00EF7F6F">
        <w:rPr>
          <w:bCs/>
        </w:rPr>
        <w:t>(</w:t>
      </w:r>
      <w:r w:rsidR="00D077CD">
        <w:rPr>
          <w:bCs/>
        </w:rPr>
        <w:t>or longer</w:t>
      </w:r>
      <w:r w:rsidR="00EF7F6F">
        <w:rPr>
          <w:bCs/>
        </w:rPr>
        <w:t>, in rare instances)</w:t>
      </w:r>
      <w:r w:rsidRPr="002362AC">
        <w:rPr>
          <w:bCs/>
        </w:rPr>
        <w:t xml:space="preserve">. </w:t>
      </w:r>
      <w:r>
        <w:rPr>
          <w:bCs/>
        </w:rPr>
        <w:t xml:space="preserve"> </w:t>
      </w:r>
    </w:p>
    <w:p w14:paraId="3D1B3B43" w14:textId="2FC2A1CE" w:rsidR="00DA7147" w:rsidRDefault="00DA7147" w:rsidP="005614EE">
      <w:pPr>
        <w:pStyle w:val="BodyText"/>
        <w:jc w:val="both"/>
        <w:rPr>
          <w:bCs/>
        </w:rPr>
      </w:pPr>
      <w:r>
        <w:rPr>
          <w:bCs/>
        </w:rPr>
        <w:t>M</w:t>
      </w:r>
      <w:r w:rsidRPr="002362AC">
        <w:rPr>
          <w:bCs/>
        </w:rPr>
        <w:t xml:space="preserve">any insurers will already have a relationship with the administering organisation, ARPC, through its existing provision of reinsurance for commercial property and associated business interruption losses arising from a declared terrorist incident. </w:t>
      </w:r>
      <w:bookmarkStart w:id="8" w:name="_Hlk83047956"/>
      <w:r>
        <w:rPr>
          <w:bCs/>
        </w:rPr>
        <w:t xml:space="preserve">But the contracts with the ARPC and their other reinsurance providers would need to be negotiated and signed. Insurers would need to update their systems to allow for the premium calculations and payments to the ARPC. </w:t>
      </w:r>
      <w:bookmarkEnd w:id="8"/>
    </w:p>
    <w:p w14:paraId="6DCA1151" w14:textId="7840B318" w:rsidR="00C30431" w:rsidRDefault="00EF7F6F" w:rsidP="005614EE">
      <w:pPr>
        <w:pStyle w:val="BodyText"/>
        <w:jc w:val="both"/>
        <w:rPr>
          <w:bCs/>
        </w:rPr>
      </w:pPr>
      <w:bookmarkStart w:id="9" w:name="_Hlk85805113"/>
      <w:r>
        <w:rPr>
          <w:bCs/>
        </w:rPr>
        <w:t xml:space="preserve">The proposed transitional arrangements would reduce transition costs as insurers would either be able to sign up as their current reinsurance contracts cease (without needing to renegotiate or exit existing contracts) or would have sufficient time to renegotiate longer-term multi-year contracts on favourable terms. </w:t>
      </w:r>
      <w:r w:rsidR="005972E4">
        <w:rPr>
          <w:bCs/>
        </w:rPr>
        <w:t>A</w:t>
      </w:r>
      <w:r w:rsidR="00A11673">
        <w:rPr>
          <w:bCs/>
        </w:rPr>
        <w:t>s noted in section 3</w:t>
      </w:r>
      <w:r>
        <w:rPr>
          <w:bCs/>
        </w:rPr>
        <w:t>,</w:t>
      </w:r>
      <w:r w:rsidR="00674B1A">
        <w:t xml:space="preserve"> </w:t>
      </w:r>
      <w:r w:rsidR="00674B1A" w:rsidRPr="00723D3F">
        <w:t>insurers</w:t>
      </w:r>
      <w:r w:rsidR="00674B1A">
        <w:rPr>
          <w:bCs/>
        </w:rPr>
        <w:t xml:space="preserve"> </w:t>
      </w:r>
      <w:r w:rsidR="00A11673">
        <w:rPr>
          <w:bCs/>
        </w:rPr>
        <w:t>would have the option of ceding</w:t>
      </w:r>
      <w:r w:rsidR="00674B1A">
        <w:rPr>
          <w:bCs/>
        </w:rPr>
        <w:t xml:space="preserve"> only new or renewing policies from the date they sign up for coverage, which </w:t>
      </w:r>
      <w:r w:rsidR="00DB6FD9">
        <w:rPr>
          <w:bCs/>
        </w:rPr>
        <w:t>they c</w:t>
      </w:r>
      <w:r w:rsidR="00674B1A">
        <w:rPr>
          <w:bCs/>
        </w:rPr>
        <w:t>ould</w:t>
      </w:r>
      <w:r w:rsidR="00DB6FD9">
        <w:rPr>
          <w:bCs/>
        </w:rPr>
        <w:t xml:space="preserve"> choose to do if it</w:t>
      </w:r>
      <w:r w:rsidR="00674B1A">
        <w:rPr>
          <w:bCs/>
        </w:rPr>
        <w:t xml:space="preserve"> reduce</w:t>
      </w:r>
      <w:r w:rsidR="00DB6FD9">
        <w:rPr>
          <w:bCs/>
        </w:rPr>
        <w:t>s</w:t>
      </w:r>
      <w:r w:rsidR="00674B1A">
        <w:rPr>
          <w:bCs/>
        </w:rPr>
        <w:t xml:space="preserve"> disruption to their existing reinsurance arrangements.</w:t>
      </w:r>
      <w:r w:rsidR="0080613F">
        <w:rPr>
          <w:bCs/>
        </w:rPr>
        <w:t xml:space="preserve"> Otherwise, they could agree to </w:t>
      </w:r>
      <w:r w:rsidR="00D84C65">
        <w:rPr>
          <w:bCs/>
        </w:rPr>
        <w:t>pass</w:t>
      </w:r>
      <w:r w:rsidR="0080613F">
        <w:rPr>
          <w:bCs/>
        </w:rPr>
        <w:t xml:space="preserve"> all eligible policies to the pool.</w:t>
      </w:r>
    </w:p>
    <w:bookmarkEnd w:id="9"/>
    <w:p w14:paraId="6227E244" w14:textId="0C86E747" w:rsidR="0012533D" w:rsidRDefault="003A72BE" w:rsidP="005614EE">
      <w:pPr>
        <w:pStyle w:val="BodyText"/>
        <w:jc w:val="both"/>
        <w:rPr>
          <w:bCs/>
        </w:rPr>
      </w:pPr>
      <w:r>
        <w:rPr>
          <w:rFonts w:cstheme="minorHAnsi"/>
        </w:rPr>
        <w:t>In addition, by reducing reinsurance costs and sharing the risk of meeting cyclone damage claims in northern Australia, the pool</w:t>
      </w:r>
      <w:r w:rsidRPr="001F59B7">
        <w:rPr>
          <w:rFonts w:cstheme="minorHAnsi"/>
        </w:rPr>
        <w:t xml:space="preserve"> </w:t>
      </w:r>
      <w:r>
        <w:rPr>
          <w:rFonts w:cstheme="minorHAnsi"/>
        </w:rPr>
        <w:t xml:space="preserve">would be expected to encourage additional insurers to enter </w:t>
      </w:r>
      <w:r w:rsidRPr="001F59B7">
        <w:rPr>
          <w:rFonts w:cstheme="minorHAnsi"/>
        </w:rPr>
        <w:t>the northern Australia</w:t>
      </w:r>
      <w:r>
        <w:rPr>
          <w:rFonts w:cstheme="minorHAnsi"/>
        </w:rPr>
        <w:t>n market. As high natural peril reinsurance costs are a barrier to entry</w:t>
      </w:r>
      <w:r w:rsidRPr="001F59B7">
        <w:rPr>
          <w:rFonts w:cstheme="minorHAnsi"/>
        </w:rPr>
        <w:t xml:space="preserve"> </w:t>
      </w:r>
      <w:r>
        <w:rPr>
          <w:rFonts w:cstheme="minorHAnsi"/>
        </w:rPr>
        <w:t>into this</w:t>
      </w:r>
      <w:r w:rsidRPr="001F59B7">
        <w:rPr>
          <w:rFonts w:cstheme="minorHAnsi"/>
        </w:rPr>
        <w:t xml:space="preserve"> market</w:t>
      </w:r>
      <w:r>
        <w:rPr>
          <w:rFonts w:cstheme="minorHAnsi"/>
        </w:rPr>
        <w:t xml:space="preserve">, the new pool would provide a stable and lower cost means for insurers to manage their cyclone risk exposure. The entry of additional insurers would be expected to </w:t>
      </w:r>
      <w:r w:rsidRPr="001F59B7">
        <w:rPr>
          <w:rFonts w:cstheme="minorHAnsi"/>
        </w:rPr>
        <w:t>increase competition</w:t>
      </w:r>
      <w:r>
        <w:rPr>
          <w:rFonts w:cstheme="minorHAnsi"/>
        </w:rPr>
        <w:t xml:space="preserve"> and place downward pressure on insurance premiums.</w:t>
      </w:r>
      <w:r w:rsidRPr="005A1DF3">
        <w:rPr>
          <w:rFonts w:cstheme="minorHAnsi"/>
          <w:szCs w:val="22"/>
        </w:rPr>
        <w:t xml:space="preserve"> </w:t>
      </w:r>
    </w:p>
    <w:p w14:paraId="40CE823B" w14:textId="35170152" w:rsidR="0012533D" w:rsidRDefault="0012533D" w:rsidP="005614EE">
      <w:pPr>
        <w:jc w:val="both"/>
        <w:rPr>
          <w:bCs/>
        </w:rPr>
      </w:pPr>
      <w:r w:rsidRPr="002362AC">
        <w:rPr>
          <w:bCs/>
        </w:rPr>
        <w:t>Insurers would also face one-off implementation costs to educate themselves on the new pool and implement any changes to their processes to ensure they are compatible with the reinsurance pool</w:t>
      </w:r>
      <w:r w:rsidR="00C150C6">
        <w:rPr>
          <w:bCs/>
        </w:rPr>
        <w:t>’s legislation, regulations and consequential changes to Australian Prudential Regulation of Australia</w:t>
      </w:r>
      <w:r w:rsidR="00735752">
        <w:rPr>
          <w:bCs/>
        </w:rPr>
        <w:t xml:space="preserve"> (APRA)</w:t>
      </w:r>
      <w:r w:rsidR="00C150C6">
        <w:rPr>
          <w:bCs/>
        </w:rPr>
        <w:t xml:space="preserve"> standards</w:t>
      </w:r>
      <w:r w:rsidRPr="002362AC">
        <w:rPr>
          <w:bCs/>
        </w:rPr>
        <w:t>.</w:t>
      </w:r>
      <w:r w:rsidR="00A161A8">
        <w:rPr>
          <w:bCs/>
        </w:rPr>
        <w:t xml:space="preserve"> </w:t>
      </w:r>
      <w:r w:rsidR="00DA7147">
        <w:rPr>
          <w:bCs/>
        </w:rPr>
        <w:t xml:space="preserve">Insurers would likely need to upgrade their IT systems, update their capital management, underwriting and pricing processes, and communicate any changes to policy holders. </w:t>
      </w:r>
      <w:r w:rsidR="00A161A8">
        <w:rPr>
          <w:bCs/>
        </w:rPr>
        <w:t>This would involve modelling based on the pool design, subsequent marketing, determination of their reinsurance contract structure</w:t>
      </w:r>
      <w:r w:rsidR="00D84C65">
        <w:rPr>
          <w:bCs/>
        </w:rPr>
        <w:t>,</w:t>
      </w:r>
      <w:r w:rsidR="00A161A8">
        <w:rPr>
          <w:bCs/>
        </w:rPr>
        <w:t xml:space="preserve"> which is to then be approved by the</w:t>
      </w:r>
      <w:r w:rsidR="00A53562">
        <w:rPr>
          <w:bCs/>
        </w:rPr>
        <w:t>ir</w:t>
      </w:r>
      <w:r w:rsidR="00A161A8">
        <w:rPr>
          <w:bCs/>
        </w:rPr>
        <w:t xml:space="preserve"> board. </w:t>
      </w:r>
      <w:r w:rsidRPr="002362AC">
        <w:rPr>
          <w:bCs/>
        </w:rPr>
        <w:t xml:space="preserve">However, this would not be expected to be a significant cost as it is normal business practice for insurers to </w:t>
      </w:r>
      <w:r w:rsidR="006E06F6">
        <w:rPr>
          <w:bCs/>
        </w:rPr>
        <w:t xml:space="preserve">annually </w:t>
      </w:r>
      <w:r w:rsidRPr="002362AC">
        <w:rPr>
          <w:bCs/>
        </w:rPr>
        <w:t>obtain reinsurance for natural disaster risks, so there would be little additional costs for ‘normally efficient’ insurers</w:t>
      </w:r>
      <w:r w:rsidR="00A161A8">
        <w:rPr>
          <w:bCs/>
        </w:rPr>
        <w:t>.</w:t>
      </w:r>
      <w:r w:rsidR="00340F50">
        <w:rPr>
          <w:rStyle w:val="FootnoteReference"/>
          <w:bCs/>
        </w:rPr>
        <w:footnoteReference w:id="33"/>
      </w:r>
      <w:r w:rsidRPr="002362AC">
        <w:rPr>
          <w:bCs/>
        </w:rPr>
        <w:t xml:space="preserve"> </w:t>
      </w:r>
    </w:p>
    <w:p w14:paraId="1ADA35DF" w14:textId="5EBBA79D" w:rsidR="008F7596" w:rsidRPr="002362AC" w:rsidRDefault="00A161A8" w:rsidP="005614EE">
      <w:pPr>
        <w:jc w:val="both"/>
        <w:rPr>
          <w:bCs/>
        </w:rPr>
      </w:pPr>
      <w:bookmarkStart w:id="10" w:name="_Hlk83048093"/>
      <w:r w:rsidRPr="00A161A8">
        <w:rPr>
          <w:bCs/>
        </w:rPr>
        <w:t>Insurers</w:t>
      </w:r>
      <w:r w:rsidR="005E2156">
        <w:rPr>
          <w:bCs/>
        </w:rPr>
        <w:t xml:space="preserve"> </w:t>
      </w:r>
      <w:r w:rsidR="00E03110">
        <w:rPr>
          <w:bCs/>
        </w:rPr>
        <w:t xml:space="preserve">would need to collect </w:t>
      </w:r>
      <w:r w:rsidR="00AF6699">
        <w:rPr>
          <w:bCs/>
        </w:rPr>
        <w:t xml:space="preserve">and share </w:t>
      </w:r>
      <w:r w:rsidR="00E03110">
        <w:rPr>
          <w:bCs/>
        </w:rPr>
        <w:t xml:space="preserve">data to </w:t>
      </w:r>
      <w:r w:rsidR="00DA047E">
        <w:rPr>
          <w:bCs/>
        </w:rPr>
        <w:t xml:space="preserve">comply with the </w:t>
      </w:r>
      <w:r w:rsidR="00AF6699">
        <w:rPr>
          <w:bCs/>
        </w:rPr>
        <w:t xml:space="preserve">ACCC </w:t>
      </w:r>
      <w:r w:rsidR="00DA047E">
        <w:rPr>
          <w:bCs/>
        </w:rPr>
        <w:t>monitoring program</w:t>
      </w:r>
      <w:r>
        <w:rPr>
          <w:bCs/>
        </w:rPr>
        <w:t xml:space="preserve">. </w:t>
      </w:r>
      <w:r w:rsidR="00A67CD3">
        <w:rPr>
          <w:bCs/>
        </w:rPr>
        <w:t>The</w:t>
      </w:r>
      <w:r w:rsidR="00E03110">
        <w:rPr>
          <w:bCs/>
        </w:rPr>
        <w:t xml:space="preserve"> monitoring program would request data from insurers</w:t>
      </w:r>
      <w:r w:rsidR="006E06F6">
        <w:rPr>
          <w:bCs/>
        </w:rPr>
        <w:t>,</w:t>
      </w:r>
      <w:r w:rsidR="00E03110">
        <w:rPr>
          <w:bCs/>
        </w:rPr>
        <w:t xml:space="preserve"> which would impose an additional cost on insurers. </w:t>
      </w:r>
      <w:bookmarkEnd w:id="10"/>
    </w:p>
    <w:p w14:paraId="0C7462A1" w14:textId="656DADCE" w:rsidR="00D0249E" w:rsidRDefault="00D0249E" w:rsidP="00D0249E">
      <w:pPr>
        <w:pStyle w:val="Heading4"/>
      </w:pPr>
      <w:r>
        <w:t xml:space="preserve">Insurance </w:t>
      </w:r>
      <w:r w:rsidR="00FB0353">
        <w:t>b</w:t>
      </w:r>
      <w:r>
        <w:t>rokers</w:t>
      </w:r>
    </w:p>
    <w:p w14:paraId="3BFCEA66" w14:textId="4E91DAC6" w:rsidR="00D0249E" w:rsidRPr="00D0249E" w:rsidRDefault="00D0249E" w:rsidP="005614EE">
      <w:pPr>
        <w:pStyle w:val="BodyText"/>
        <w:jc w:val="both"/>
        <w:rPr>
          <w:bCs/>
        </w:rPr>
      </w:pPr>
      <w:r>
        <w:t xml:space="preserve">The implementation of a reinsurance pool for cyclone and cyclone-related flood risks would have a minor administrative impact on insurance brokers. Reinsurance and insurance brokers would have to be briefed by insurers and like insurers would face one-off implementations costs </w:t>
      </w:r>
      <w:r w:rsidRPr="00D0249E">
        <w:rPr>
          <w:bCs/>
        </w:rPr>
        <w:t>to educate themselves on the new pool and implement any changes to their processes to ensure they are compatible with the reinsurance pool.</w:t>
      </w:r>
      <w:r>
        <w:rPr>
          <w:bCs/>
        </w:rPr>
        <w:t xml:space="preserve"> </w:t>
      </w:r>
    </w:p>
    <w:p w14:paraId="4D4E7185" w14:textId="5E0E1EF5" w:rsidR="0012533D" w:rsidRDefault="0012533D" w:rsidP="0012533D">
      <w:pPr>
        <w:pStyle w:val="Heading4"/>
      </w:pPr>
      <w:r>
        <w:t xml:space="preserve">Reinsurers </w:t>
      </w:r>
    </w:p>
    <w:p w14:paraId="23600116" w14:textId="7370AC53" w:rsidR="00F34D0E" w:rsidRDefault="0012533D" w:rsidP="005614EE">
      <w:pPr>
        <w:jc w:val="both"/>
        <w:rPr>
          <w:bCs/>
        </w:rPr>
      </w:pPr>
      <w:r w:rsidRPr="002362AC">
        <w:rPr>
          <w:bCs/>
        </w:rPr>
        <w:t xml:space="preserve">The implementation of a reinsurance pool for cyclone and cyclone-related flood risks would result in reinsurers losing some of the risks they currently cover to the pool. This would result in lost revenue for reinsurers depending on the amount of business lost to the pool. </w:t>
      </w:r>
    </w:p>
    <w:p w14:paraId="7CD2218A" w14:textId="50790340" w:rsidR="00002010" w:rsidRDefault="00591818" w:rsidP="005614EE">
      <w:pPr>
        <w:jc w:val="both"/>
        <w:rPr>
          <w:bCs/>
        </w:rPr>
      </w:pPr>
      <w:r>
        <w:rPr>
          <w:bCs/>
        </w:rPr>
        <w:t>M</w:t>
      </w:r>
      <w:r w:rsidR="00F34D0E">
        <w:rPr>
          <w:bCs/>
        </w:rPr>
        <w:t xml:space="preserve">odelling indicates that, under </w:t>
      </w:r>
      <w:r w:rsidR="007820D6">
        <w:rPr>
          <w:bCs/>
        </w:rPr>
        <w:t>O</w:t>
      </w:r>
      <w:r w:rsidR="00F34D0E">
        <w:rPr>
          <w:bCs/>
        </w:rPr>
        <w:t xml:space="preserve">ption 2, the pool </w:t>
      </w:r>
      <w:r w:rsidR="00BD59A2">
        <w:rPr>
          <w:bCs/>
        </w:rPr>
        <w:t xml:space="preserve">would </w:t>
      </w:r>
      <w:r w:rsidR="00A64960">
        <w:rPr>
          <w:bCs/>
        </w:rPr>
        <w:t xml:space="preserve">take on cyclone risks that would otherwise sit, collectively, with insurers and reinsurers and amount to </w:t>
      </w:r>
      <w:r w:rsidR="00CC6894">
        <w:rPr>
          <w:bCs/>
        </w:rPr>
        <w:t>about</w:t>
      </w:r>
      <w:r w:rsidR="00F34D0E">
        <w:rPr>
          <w:bCs/>
        </w:rPr>
        <w:t xml:space="preserve"> </w:t>
      </w:r>
      <w:r w:rsidR="00F34D0E" w:rsidRPr="006A1B40">
        <w:rPr>
          <w:bCs/>
        </w:rPr>
        <w:t>$1 billion</w:t>
      </w:r>
      <w:r w:rsidR="00F34D0E">
        <w:rPr>
          <w:bCs/>
        </w:rPr>
        <w:t xml:space="preserve"> per year in </w:t>
      </w:r>
      <w:r w:rsidR="00A64960">
        <w:rPr>
          <w:bCs/>
        </w:rPr>
        <w:t>insurance costs</w:t>
      </w:r>
      <w:r w:rsidR="00F34D0E">
        <w:rPr>
          <w:bCs/>
        </w:rPr>
        <w:t>.</w:t>
      </w:r>
      <w:bookmarkStart w:id="11" w:name="_Ref85803266"/>
      <w:r w:rsidR="00474AE2">
        <w:rPr>
          <w:rStyle w:val="FootnoteReference"/>
          <w:bCs/>
        </w:rPr>
        <w:footnoteReference w:id="34"/>
      </w:r>
      <w:bookmarkEnd w:id="11"/>
      <w:r w:rsidR="00F34D0E">
        <w:rPr>
          <w:bCs/>
        </w:rPr>
        <w:t xml:space="preserve"> The modelling also suggests that</w:t>
      </w:r>
      <w:r w:rsidR="006E06F6">
        <w:rPr>
          <w:bCs/>
        </w:rPr>
        <w:t xml:space="preserve"> the majority</w:t>
      </w:r>
      <w:r w:rsidR="00E13FEF">
        <w:rPr>
          <w:bCs/>
        </w:rPr>
        <w:t xml:space="preserve"> of these premiums are attributable </w:t>
      </w:r>
      <w:r w:rsidR="007820D6">
        <w:rPr>
          <w:bCs/>
        </w:rPr>
        <w:t xml:space="preserve">to </w:t>
      </w:r>
      <w:r w:rsidR="00157556" w:rsidRPr="00157556">
        <w:rPr>
          <w:bCs/>
        </w:rPr>
        <w:t>the expected annual average loss from cyclones and related flooding</w:t>
      </w:r>
      <w:r w:rsidR="00157556">
        <w:rPr>
          <w:bCs/>
        </w:rPr>
        <w:t>.</w:t>
      </w:r>
    </w:p>
    <w:p w14:paraId="4D27F20F" w14:textId="4D7E87F0" w:rsidR="00EF0F4E" w:rsidRDefault="000768E2" w:rsidP="005614EE">
      <w:pPr>
        <w:jc w:val="both"/>
        <w:rPr>
          <w:bCs/>
        </w:rPr>
      </w:pPr>
      <w:r>
        <w:rPr>
          <w:bCs/>
        </w:rPr>
        <w:t>Reinsurance is considered to be a competitive market, with reinsurers writing global portfolios and manag</w:t>
      </w:r>
      <w:r w:rsidR="00607693">
        <w:rPr>
          <w:bCs/>
        </w:rPr>
        <w:t>ing</w:t>
      </w:r>
      <w:r>
        <w:rPr>
          <w:bCs/>
        </w:rPr>
        <w:t xml:space="preserve"> their portfolios in this context.</w:t>
      </w:r>
      <w:r>
        <w:rPr>
          <w:rStyle w:val="FootnoteReference"/>
          <w:bCs/>
        </w:rPr>
        <w:footnoteReference w:id="35"/>
      </w:r>
      <w:r>
        <w:rPr>
          <w:bCs/>
        </w:rPr>
        <w:t xml:space="preserve"> </w:t>
      </w:r>
      <w:r w:rsidR="00F34D0E" w:rsidRPr="002362AC">
        <w:rPr>
          <w:bCs/>
        </w:rPr>
        <w:t>Australia acts as a diversification market for natural disaster insurance exposure globally, so reducing the demand for reinsurance here w</w:t>
      </w:r>
      <w:r w:rsidR="00A328BE">
        <w:rPr>
          <w:bCs/>
        </w:rPr>
        <w:t>ould</w:t>
      </w:r>
      <w:r w:rsidR="00F34D0E" w:rsidRPr="002362AC">
        <w:rPr>
          <w:bCs/>
        </w:rPr>
        <w:t xml:space="preserve"> have some effect</w:t>
      </w:r>
      <w:r w:rsidR="00586CBE">
        <w:rPr>
          <w:bCs/>
        </w:rPr>
        <w:t xml:space="preserve"> (though relatively marginal in the context of a global reinsurance market estimated to have a capital base of over </w:t>
      </w:r>
      <w:r w:rsidR="009C00C0">
        <w:rPr>
          <w:bCs/>
        </w:rPr>
        <w:t>US$650 billion</w:t>
      </w:r>
      <w:r w:rsidR="00A07BA2">
        <w:rPr>
          <w:bCs/>
        </w:rPr>
        <w:t>).</w:t>
      </w:r>
      <w:r w:rsidR="009C00C0">
        <w:rPr>
          <w:rStyle w:val="FootnoteReference"/>
          <w:bCs/>
        </w:rPr>
        <w:footnoteReference w:id="36"/>
      </w:r>
      <w:r w:rsidR="00F34D0E" w:rsidRPr="002362AC">
        <w:rPr>
          <w:bCs/>
        </w:rPr>
        <w:t xml:space="preserve"> </w:t>
      </w:r>
      <w:r w:rsidR="00243C14">
        <w:rPr>
          <w:bCs/>
        </w:rPr>
        <w:t>However, insurers do not purchase r</w:t>
      </w:r>
      <w:r w:rsidR="00A328BE">
        <w:rPr>
          <w:bCs/>
        </w:rPr>
        <w:t>einsurance just for cyclone</w:t>
      </w:r>
      <w:r w:rsidR="001837D6">
        <w:rPr>
          <w:bCs/>
        </w:rPr>
        <w:t xml:space="preserve"> and related flood</w:t>
      </w:r>
      <w:r w:rsidR="00A328BE">
        <w:rPr>
          <w:bCs/>
        </w:rPr>
        <w:t xml:space="preserve"> risk. Typical natural catastrophe reinsurance covers several natural disaster perils </w:t>
      </w:r>
      <w:r w:rsidR="00A328BE" w:rsidRPr="002362AC">
        <w:rPr>
          <w:bCs/>
        </w:rPr>
        <w:t>(including earthquake risks, all bushfire risk, non-cyclone related flood risk, and severe convective storm risk)</w:t>
      </w:r>
      <w:r w:rsidR="00A328BE">
        <w:rPr>
          <w:bCs/>
        </w:rPr>
        <w:t>. L</w:t>
      </w:r>
      <w:r w:rsidR="0012533D" w:rsidRPr="002362AC">
        <w:rPr>
          <w:bCs/>
        </w:rPr>
        <w:t>imiting the coverage of the pool to cyclone and cyclone</w:t>
      </w:r>
      <w:r w:rsidR="0012533D" w:rsidRPr="002362AC">
        <w:rPr>
          <w:bCs/>
        </w:rPr>
        <w:noBreakHyphen/>
        <w:t xml:space="preserve">related flood risks </w:t>
      </w:r>
      <w:r w:rsidR="00F34D0E" w:rsidRPr="002362AC">
        <w:rPr>
          <w:bCs/>
        </w:rPr>
        <w:t>w</w:t>
      </w:r>
      <w:r w:rsidR="00F34D0E">
        <w:rPr>
          <w:bCs/>
        </w:rPr>
        <w:t>ould</w:t>
      </w:r>
      <w:r w:rsidR="00F34D0E" w:rsidRPr="002362AC">
        <w:rPr>
          <w:bCs/>
        </w:rPr>
        <w:t xml:space="preserve"> </w:t>
      </w:r>
      <w:r w:rsidR="0012533D" w:rsidRPr="002362AC">
        <w:rPr>
          <w:bCs/>
        </w:rPr>
        <w:t xml:space="preserve">leave a material proportion of the total natural disaster loss exposure in the private reinsurance market. </w:t>
      </w:r>
    </w:p>
    <w:p w14:paraId="350278F8" w14:textId="0CBA7465" w:rsidR="00A328BE" w:rsidRDefault="00634BE2" w:rsidP="005614EE">
      <w:pPr>
        <w:jc w:val="both"/>
        <w:rPr>
          <w:bCs/>
        </w:rPr>
      </w:pPr>
      <w:r>
        <w:rPr>
          <w:bCs/>
        </w:rPr>
        <w:t>A key factor</w:t>
      </w:r>
      <w:r w:rsidR="00586CBE">
        <w:rPr>
          <w:bCs/>
        </w:rPr>
        <w:t xml:space="preserve"> in determining the impact </w:t>
      </w:r>
      <w:r w:rsidR="001837D6">
        <w:rPr>
          <w:bCs/>
        </w:rPr>
        <w:t xml:space="preserve">of the pool </w:t>
      </w:r>
      <w:r w:rsidR="00586CBE">
        <w:rPr>
          <w:bCs/>
        </w:rPr>
        <w:t>on reinsurance pricing</w:t>
      </w:r>
      <w:r>
        <w:rPr>
          <w:bCs/>
        </w:rPr>
        <w:t xml:space="preserve"> is the effect on t</w:t>
      </w:r>
      <w:r w:rsidR="00A328BE">
        <w:rPr>
          <w:bCs/>
        </w:rPr>
        <w:t>he</w:t>
      </w:r>
      <w:r w:rsidR="00FE6977">
        <w:rPr>
          <w:bCs/>
        </w:rPr>
        <w:t xml:space="preserve"> amount (or</w:t>
      </w:r>
      <w:r w:rsidR="00A328BE">
        <w:rPr>
          <w:bCs/>
        </w:rPr>
        <w:t xml:space="preserve"> </w:t>
      </w:r>
      <w:r w:rsidR="00FE6977">
        <w:rPr>
          <w:bCs/>
        </w:rPr>
        <w:t>‘</w:t>
      </w:r>
      <w:r w:rsidR="00A328BE">
        <w:rPr>
          <w:bCs/>
        </w:rPr>
        <w:t>top limit</w:t>
      </w:r>
      <w:r w:rsidR="00FE6977">
        <w:rPr>
          <w:bCs/>
        </w:rPr>
        <w:t>’)</w:t>
      </w:r>
      <w:r w:rsidR="00A328BE">
        <w:rPr>
          <w:bCs/>
        </w:rPr>
        <w:t xml:space="preserve"> of reinsurance bought by </w:t>
      </w:r>
      <w:r>
        <w:rPr>
          <w:bCs/>
        </w:rPr>
        <w:t>i</w:t>
      </w:r>
      <w:r w:rsidR="00A328BE">
        <w:rPr>
          <w:bCs/>
        </w:rPr>
        <w:t>nsurer</w:t>
      </w:r>
      <w:r>
        <w:rPr>
          <w:bCs/>
        </w:rPr>
        <w:t>s, which</w:t>
      </w:r>
      <w:r w:rsidR="00A328BE">
        <w:rPr>
          <w:bCs/>
        </w:rPr>
        <w:t xml:space="preserve"> is determined by insurer</w:t>
      </w:r>
      <w:r>
        <w:rPr>
          <w:bCs/>
        </w:rPr>
        <w:t>s</w:t>
      </w:r>
      <w:r w:rsidR="00A328BE">
        <w:rPr>
          <w:bCs/>
        </w:rPr>
        <w:t xml:space="preserve"> based on </w:t>
      </w:r>
      <w:r>
        <w:rPr>
          <w:bCs/>
        </w:rPr>
        <w:t>their</w:t>
      </w:r>
      <w:r w:rsidR="00A328BE">
        <w:rPr>
          <w:bCs/>
        </w:rPr>
        <w:t xml:space="preserve"> ‘probable maximum loss’ (or ‘PML’). The PML is defined by the </w:t>
      </w:r>
      <w:r w:rsidR="00735752">
        <w:rPr>
          <w:bCs/>
        </w:rPr>
        <w:t>APRA</w:t>
      </w:r>
      <w:r w:rsidR="00A328BE">
        <w:rPr>
          <w:bCs/>
        </w:rPr>
        <w:t xml:space="preserve"> as the largest loss that would arise with a probability of 0.5</w:t>
      </w:r>
      <w:r w:rsidR="00036F9B">
        <w:rPr>
          <w:bCs/>
        </w:rPr>
        <w:t> </w:t>
      </w:r>
      <w:r w:rsidR="00A328BE">
        <w:rPr>
          <w:bCs/>
        </w:rPr>
        <w:t>per</w:t>
      </w:r>
      <w:r w:rsidR="00036F9B">
        <w:rPr>
          <w:bCs/>
        </w:rPr>
        <w:t> </w:t>
      </w:r>
      <w:r w:rsidR="00A328BE">
        <w:rPr>
          <w:bCs/>
        </w:rPr>
        <w:t xml:space="preserve">cent over one year (referred to as a </w:t>
      </w:r>
      <w:r>
        <w:rPr>
          <w:bCs/>
        </w:rPr>
        <w:t xml:space="preserve">‘1-in-200-year’ return period), even though such an event does not occur every 200 years. Some insurers decide to buy more cover than needed for the PML, which is a commercial decision based on their </w:t>
      </w:r>
      <w:r w:rsidR="002F4839">
        <w:rPr>
          <w:bCs/>
        </w:rPr>
        <w:t xml:space="preserve">risk </w:t>
      </w:r>
      <w:r>
        <w:rPr>
          <w:bCs/>
        </w:rPr>
        <w:t>appetite.</w:t>
      </w:r>
    </w:p>
    <w:p w14:paraId="3BAB4E0D" w14:textId="3AE48C2B" w:rsidR="00634BE2" w:rsidRDefault="00634BE2" w:rsidP="005614EE">
      <w:pPr>
        <w:jc w:val="both"/>
        <w:rPr>
          <w:bCs/>
        </w:rPr>
      </w:pPr>
      <w:r>
        <w:rPr>
          <w:bCs/>
        </w:rPr>
        <w:t>For most insurers, the PML is not determined solely by their cyclone exposure (that is, cyclone is not the largest catastrophe risk they face). For many insurers</w:t>
      </w:r>
      <w:r w:rsidR="00036F9B">
        <w:rPr>
          <w:bCs/>
        </w:rPr>
        <w:t>,</w:t>
      </w:r>
      <w:r>
        <w:rPr>
          <w:bCs/>
        </w:rPr>
        <w:t xml:space="preserve"> the risk determining the PML is earthquake in Melbourne or Sydney. For many insurers, therefore, the pool would not reduce the amount of </w:t>
      </w:r>
      <w:r w:rsidR="006A763F">
        <w:rPr>
          <w:bCs/>
        </w:rPr>
        <w:t xml:space="preserve">private </w:t>
      </w:r>
      <w:r>
        <w:rPr>
          <w:bCs/>
        </w:rPr>
        <w:t>reinsurance cover bought but it should</w:t>
      </w:r>
      <w:r w:rsidR="00D173BE">
        <w:rPr>
          <w:bCs/>
        </w:rPr>
        <w:t>, all else being equal,</w:t>
      </w:r>
      <w:r w:rsidR="001837D6">
        <w:rPr>
          <w:bCs/>
        </w:rPr>
        <w:t xml:space="preserve"> </w:t>
      </w:r>
      <w:r>
        <w:rPr>
          <w:bCs/>
        </w:rPr>
        <w:t xml:space="preserve">reduce the price because there is less likelihood of claims. There may be a smaller number of insurers that have cyclone as their largest risk, and for these insurers the amount of reinsurance cover they purchase may well reduce as well as the price. </w:t>
      </w:r>
      <w:r w:rsidR="00EF0F4E">
        <w:rPr>
          <w:bCs/>
        </w:rPr>
        <w:t xml:space="preserve">Given the global scale and </w:t>
      </w:r>
      <w:r w:rsidR="00AD1021">
        <w:rPr>
          <w:bCs/>
        </w:rPr>
        <w:t>competitive nature</w:t>
      </w:r>
      <w:r w:rsidR="00EF0F4E">
        <w:rPr>
          <w:bCs/>
        </w:rPr>
        <w:t xml:space="preserve"> of the reinsurance market, as well as the material proportion of Australian natural disaster loss exposure that the reinsurance pool would leave un</w:t>
      </w:r>
      <w:r w:rsidR="00C83E18">
        <w:rPr>
          <w:bCs/>
        </w:rPr>
        <w:t>affected</w:t>
      </w:r>
      <w:r w:rsidR="00EF0F4E">
        <w:rPr>
          <w:bCs/>
        </w:rPr>
        <w:t>, it is not expected that reinsurers would attempt to ‘penalise’ Australian insurers</w:t>
      </w:r>
      <w:r w:rsidR="00B85909">
        <w:rPr>
          <w:bCs/>
        </w:rPr>
        <w:t xml:space="preserve"> </w:t>
      </w:r>
      <w:r w:rsidR="000768E2">
        <w:rPr>
          <w:bCs/>
        </w:rPr>
        <w:t xml:space="preserve">to any significant degree </w:t>
      </w:r>
      <w:r w:rsidR="00EF0F4E">
        <w:rPr>
          <w:bCs/>
        </w:rPr>
        <w:t xml:space="preserve">for </w:t>
      </w:r>
      <w:r w:rsidR="00B85909">
        <w:rPr>
          <w:bCs/>
        </w:rPr>
        <w:t xml:space="preserve">any loss of profit margins due to </w:t>
      </w:r>
      <w:r w:rsidR="00EF0F4E">
        <w:rPr>
          <w:bCs/>
        </w:rPr>
        <w:t xml:space="preserve">the transfer of cyclone risk to the reinsurance pool. </w:t>
      </w:r>
      <w:r w:rsidR="00980B58">
        <w:rPr>
          <w:bCs/>
        </w:rPr>
        <w:t>In addition, the reinsurance pool may</w:t>
      </w:r>
      <w:r w:rsidR="00D41E2D">
        <w:rPr>
          <w:bCs/>
        </w:rPr>
        <w:t xml:space="preserve"> in future</w:t>
      </w:r>
      <w:r w:rsidR="00980B58">
        <w:rPr>
          <w:bCs/>
        </w:rPr>
        <w:t xml:space="preserve"> transfer some of the risk back to private reinsurers through a retrocession program, similar to that in place for the terrorism reinsurance pool. </w:t>
      </w:r>
    </w:p>
    <w:p w14:paraId="1A68A85C" w14:textId="3591B3BB" w:rsidR="00515659" w:rsidRDefault="00B77092" w:rsidP="005614EE">
      <w:pPr>
        <w:jc w:val="both"/>
        <w:rPr>
          <w:bCs/>
        </w:rPr>
      </w:pPr>
      <w:r>
        <w:rPr>
          <w:bCs/>
        </w:rPr>
        <w:t>Rei</w:t>
      </w:r>
      <w:r w:rsidRPr="002362AC">
        <w:rPr>
          <w:bCs/>
        </w:rPr>
        <w:t>nsurers would also face one-off implementation costs to educate themselves on the new pool and implement any changes to their processes to ensure they are compatible with the reinsurance pool.</w:t>
      </w:r>
      <w:r>
        <w:rPr>
          <w:bCs/>
        </w:rPr>
        <w:t xml:space="preserve"> Primarily, r</w:t>
      </w:r>
      <w:r w:rsidR="002241EA">
        <w:rPr>
          <w:bCs/>
        </w:rPr>
        <w:t>einsurers w</w:t>
      </w:r>
      <w:r w:rsidR="005E2156">
        <w:rPr>
          <w:bCs/>
        </w:rPr>
        <w:t xml:space="preserve">ould </w:t>
      </w:r>
      <w:r w:rsidR="002241EA">
        <w:rPr>
          <w:bCs/>
        </w:rPr>
        <w:t>need to</w:t>
      </w:r>
      <w:r w:rsidR="002241EA" w:rsidRPr="002241EA">
        <w:rPr>
          <w:bCs/>
        </w:rPr>
        <w:t xml:space="preserve"> adjust </w:t>
      </w:r>
      <w:r w:rsidR="002241EA">
        <w:rPr>
          <w:bCs/>
        </w:rPr>
        <w:t>their system</w:t>
      </w:r>
      <w:r>
        <w:rPr>
          <w:bCs/>
        </w:rPr>
        <w:t>s</w:t>
      </w:r>
      <w:r w:rsidR="002241EA">
        <w:rPr>
          <w:bCs/>
        </w:rPr>
        <w:t xml:space="preserve"> to separate the risks that are </w:t>
      </w:r>
      <w:r w:rsidR="00036F9B">
        <w:rPr>
          <w:bCs/>
        </w:rPr>
        <w:t xml:space="preserve">passed </w:t>
      </w:r>
      <w:r w:rsidR="002241EA">
        <w:rPr>
          <w:bCs/>
        </w:rPr>
        <w:t>to the reinsurance pool.</w:t>
      </w:r>
      <w:r>
        <w:rPr>
          <w:bCs/>
        </w:rPr>
        <w:t xml:space="preserve"> However, this is not expected to be a significant cost for the normally efficient reinsurer.</w:t>
      </w:r>
      <w:r w:rsidR="00515659">
        <w:rPr>
          <w:bCs/>
        </w:rPr>
        <w:t xml:space="preserve"> Many reinsurers have existing relationships with the ARPC through the terrorism reinsurance pool retrocession program (that is, the ARPC purchasing reinsurance itself for the terrorism risks that insurers have transferred to the pool).</w:t>
      </w:r>
      <w:r>
        <w:rPr>
          <w:bCs/>
        </w:rPr>
        <w:t xml:space="preserve"> </w:t>
      </w:r>
      <w:r w:rsidR="00515659">
        <w:rPr>
          <w:bCs/>
        </w:rPr>
        <w:t>There are about 70 participants in the ARPC’s terrorism retrocession program.</w:t>
      </w:r>
      <w:r w:rsidR="00515659">
        <w:rPr>
          <w:rStyle w:val="FootnoteReference"/>
          <w:bCs/>
        </w:rPr>
        <w:footnoteReference w:id="37"/>
      </w:r>
    </w:p>
    <w:p w14:paraId="5EC67A96" w14:textId="3AD50D36" w:rsidR="0012533D" w:rsidRDefault="002241EA" w:rsidP="005614EE">
      <w:pPr>
        <w:jc w:val="both"/>
      </w:pPr>
      <w:r>
        <w:rPr>
          <w:bCs/>
        </w:rPr>
        <w:t xml:space="preserve">Reinsurers </w:t>
      </w:r>
      <w:r w:rsidR="00B77092">
        <w:rPr>
          <w:bCs/>
        </w:rPr>
        <w:t xml:space="preserve">would </w:t>
      </w:r>
      <w:r>
        <w:rPr>
          <w:bCs/>
        </w:rPr>
        <w:t xml:space="preserve">also </w:t>
      </w:r>
      <w:r w:rsidR="00B77092">
        <w:rPr>
          <w:bCs/>
        </w:rPr>
        <w:t>incur the cost of renegotiating reinsurance treaties with insurers (as discussed in the insurer section).</w:t>
      </w:r>
    </w:p>
    <w:p w14:paraId="7693E4A8" w14:textId="0D2ED2BF" w:rsidR="0012533D" w:rsidRDefault="0012533D" w:rsidP="0012533D">
      <w:pPr>
        <w:pStyle w:val="Heading4"/>
      </w:pPr>
      <w:r w:rsidRPr="0012533D">
        <w:t xml:space="preserve">Community and environmental </w:t>
      </w:r>
    </w:p>
    <w:p w14:paraId="23E5B013" w14:textId="3D811F63" w:rsidR="0012533D" w:rsidRPr="002362AC" w:rsidRDefault="0012533D" w:rsidP="005614EE">
      <w:pPr>
        <w:jc w:val="both"/>
        <w:rPr>
          <w:bCs/>
        </w:rPr>
      </w:pPr>
      <w:r w:rsidRPr="002362AC">
        <w:rPr>
          <w:bCs/>
        </w:rPr>
        <w:t>By increasing the availability and affordability of home, contents</w:t>
      </w:r>
      <w:r w:rsidR="00E2279E">
        <w:rPr>
          <w:bCs/>
        </w:rPr>
        <w:t xml:space="preserve">, </w:t>
      </w:r>
      <w:r w:rsidRPr="002362AC">
        <w:rPr>
          <w:bCs/>
        </w:rPr>
        <w:t xml:space="preserve">strata </w:t>
      </w:r>
      <w:r w:rsidR="00E2279E">
        <w:rPr>
          <w:bCs/>
        </w:rPr>
        <w:t xml:space="preserve">and small business property </w:t>
      </w:r>
      <w:r w:rsidRPr="002362AC">
        <w:rPr>
          <w:bCs/>
        </w:rPr>
        <w:t xml:space="preserve">insurance in </w:t>
      </w:r>
      <w:r>
        <w:rPr>
          <w:bCs/>
        </w:rPr>
        <w:t>cyclone risk areas</w:t>
      </w:r>
      <w:r w:rsidRPr="002362AC">
        <w:rPr>
          <w:bCs/>
        </w:rPr>
        <w:t>, the pool would be expected to have some effect on the decisions of individuals</w:t>
      </w:r>
      <w:r w:rsidR="00F35607">
        <w:rPr>
          <w:bCs/>
        </w:rPr>
        <w:t>,</w:t>
      </w:r>
      <w:r w:rsidR="00F35607" w:rsidRPr="002362AC">
        <w:rPr>
          <w:bCs/>
        </w:rPr>
        <w:t xml:space="preserve"> </w:t>
      </w:r>
      <w:r w:rsidR="00DA047E" w:rsidRPr="002362AC">
        <w:rPr>
          <w:bCs/>
        </w:rPr>
        <w:t>households</w:t>
      </w:r>
      <w:r w:rsidR="00115B40">
        <w:rPr>
          <w:bCs/>
        </w:rPr>
        <w:t xml:space="preserve"> and</w:t>
      </w:r>
      <w:r w:rsidR="00E2279E">
        <w:rPr>
          <w:bCs/>
        </w:rPr>
        <w:t xml:space="preserve"> small</w:t>
      </w:r>
      <w:r w:rsidR="00115B40">
        <w:rPr>
          <w:bCs/>
        </w:rPr>
        <w:t xml:space="preserve"> businesses </w:t>
      </w:r>
      <w:r w:rsidRPr="002362AC">
        <w:rPr>
          <w:bCs/>
        </w:rPr>
        <w:t xml:space="preserve">on where to </w:t>
      </w:r>
      <w:r w:rsidR="00115B40">
        <w:rPr>
          <w:bCs/>
        </w:rPr>
        <w:t>locate</w:t>
      </w:r>
      <w:r w:rsidR="00643EA5">
        <w:rPr>
          <w:bCs/>
        </w:rPr>
        <w:t xml:space="preserve"> over time</w:t>
      </w:r>
      <w:r w:rsidRPr="002362AC">
        <w:rPr>
          <w:bCs/>
        </w:rPr>
        <w:t xml:space="preserve">, with more people </w:t>
      </w:r>
      <w:r w:rsidR="00115B40">
        <w:rPr>
          <w:bCs/>
        </w:rPr>
        <w:t xml:space="preserve">and businesses </w:t>
      </w:r>
      <w:r w:rsidRPr="002362AC">
        <w:rPr>
          <w:bCs/>
        </w:rPr>
        <w:t xml:space="preserve">choosing to move to or stay in </w:t>
      </w:r>
      <w:r w:rsidR="00BB2902">
        <w:rPr>
          <w:bCs/>
        </w:rPr>
        <w:t>no</w:t>
      </w:r>
      <w:r w:rsidR="00BB2902" w:rsidRPr="002362AC">
        <w:rPr>
          <w:bCs/>
        </w:rPr>
        <w:t xml:space="preserve">rthern </w:t>
      </w:r>
      <w:r w:rsidRPr="002362AC">
        <w:rPr>
          <w:bCs/>
        </w:rPr>
        <w:t>Australia than there otherwise would be. All else being equal, this would be expected to have a flow-on effect on the locational decisions of community and government organisations. Long</w:t>
      </w:r>
      <w:r w:rsidR="00643EA5">
        <w:rPr>
          <w:bCs/>
        </w:rPr>
        <w:t>er</w:t>
      </w:r>
      <w:r w:rsidRPr="002362AC">
        <w:rPr>
          <w:bCs/>
        </w:rPr>
        <w:t xml:space="preserve"> term, this may be expected to result in greater development in </w:t>
      </w:r>
      <w:r w:rsidR="00BB2902">
        <w:rPr>
          <w:bCs/>
        </w:rPr>
        <w:t>n</w:t>
      </w:r>
      <w:r w:rsidR="00BB2902" w:rsidRPr="002362AC">
        <w:rPr>
          <w:bCs/>
        </w:rPr>
        <w:t xml:space="preserve">orthern </w:t>
      </w:r>
      <w:r w:rsidRPr="002362AC">
        <w:rPr>
          <w:bCs/>
        </w:rPr>
        <w:t xml:space="preserve">Australia. </w:t>
      </w:r>
    </w:p>
    <w:p w14:paraId="5857A3C1" w14:textId="682613D6" w:rsidR="0012533D" w:rsidRDefault="0012533D" w:rsidP="005614EE">
      <w:pPr>
        <w:jc w:val="both"/>
      </w:pPr>
      <w:r w:rsidRPr="002362AC">
        <w:rPr>
          <w:bCs/>
        </w:rPr>
        <w:t xml:space="preserve">However, it is important to note that the cost and availability of insurance is just one of many factors that informs locational decisions and likely plays a relatively minor role in informing locational decision. For example, other government policy actions contemplated by the ACCC in its report, such as raising building standards and changing planning regulations may raise </w:t>
      </w:r>
      <w:r w:rsidR="00A05A45">
        <w:rPr>
          <w:bCs/>
        </w:rPr>
        <w:t xml:space="preserve">apparent </w:t>
      </w:r>
      <w:r w:rsidRPr="002362AC">
        <w:rPr>
          <w:bCs/>
        </w:rPr>
        <w:t>living costs in disaster prone areas in northern Australia and have a corresponding impact on decisions to move to or stay in these areas.</w:t>
      </w:r>
    </w:p>
    <w:p w14:paraId="5145A066" w14:textId="24411879" w:rsidR="0012533D" w:rsidRDefault="0012533D" w:rsidP="0012533D">
      <w:pPr>
        <w:pStyle w:val="Heading4"/>
      </w:pPr>
      <w:r>
        <w:t xml:space="preserve">Government </w:t>
      </w:r>
    </w:p>
    <w:p w14:paraId="79DEE92B" w14:textId="4B76C3C9" w:rsidR="003854E8" w:rsidRPr="002362AC" w:rsidRDefault="003854E8" w:rsidP="005614EE">
      <w:pPr>
        <w:jc w:val="both"/>
      </w:pPr>
      <w:r w:rsidRPr="002362AC">
        <w:t xml:space="preserve">The </w:t>
      </w:r>
      <w:r w:rsidR="00404312">
        <w:t>ARPC</w:t>
      </w:r>
      <w:r w:rsidRPr="002362AC">
        <w:t xml:space="preserve"> would need to expand its capabilities to deal with the increased demands of running a natural hazard reinsurance pool. Currently, it manages Australia’s national terrorism reinsurance scheme.</w:t>
      </w:r>
    </w:p>
    <w:p w14:paraId="43B6E9DB" w14:textId="77777777" w:rsidR="00D52305" w:rsidRDefault="006C696C" w:rsidP="005614EE">
      <w:pPr>
        <w:jc w:val="both"/>
      </w:pPr>
      <w:bookmarkStart w:id="12" w:name="_Hlk83046884"/>
      <w:r>
        <w:t xml:space="preserve">The reinsurance pool would be expected to be cost-neutral to administer and cost-neutral to Government over time but would have </w:t>
      </w:r>
      <w:r w:rsidR="004F78C1">
        <w:t>budget</w:t>
      </w:r>
      <w:r>
        <w:t xml:space="preserve"> impacts in instances where the </w:t>
      </w:r>
      <w:r w:rsidR="004A2FB4">
        <w:t>cost of a cyclone event exceeds available funds accumulated in the reinsurance pool, causing the</w:t>
      </w:r>
      <w:r>
        <w:t xml:space="preserve"> Commonwealth’s guarantee </w:t>
      </w:r>
      <w:r w:rsidR="004A2FB4">
        <w:t>to be</w:t>
      </w:r>
      <w:r>
        <w:t xml:space="preserve"> called upon.</w:t>
      </w:r>
      <w:r w:rsidR="008C1C68">
        <w:t xml:space="preserve"> </w:t>
      </w:r>
    </w:p>
    <w:p w14:paraId="49F32D14" w14:textId="0B4E9549" w:rsidR="00980B58" w:rsidRDefault="00D52305" w:rsidP="005614EE">
      <w:pPr>
        <w:jc w:val="both"/>
      </w:pPr>
      <w:r>
        <w:t xml:space="preserve">As a historical point of reference, </w:t>
      </w:r>
      <w:r w:rsidR="008C1C68">
        <w:t>Cyclone Tracy</w:t>
      </w:r>
      <w:r w:rsidR="004C0388">
        <w:t xml:space="preserve"> was</w:t>
      </w:r>
      <w:r w:rsidR="008C1C68">
        <w:t xml:space="preserve"> </w:t>
      </w:r>
      <w:r w:rsidR="004C0388">
        <w:t>Australia’s costliest cyclone</w:t>
      </w:r>
      <w:r>
        <w:t xml:space="preserve"> – it hit</w:t>
      </w:r>
      <w:r w:rsidR="004C0388">
        <w:t xml:space="preserve"> Darwin in late 1974 and</w:t>
      </w:r>
      <w:r w:rsidR="008C1C68">
        <w:t xml:space="preserve"> resulted in </w:t>
      </w:r>
      <w:r w:rsidR="004C0388">
        <w:t xml:space="preserve">damage worth about </w:t>
      </w:r>
      <w:r w:rsidR="008C1C68">
        <w:t>$</w:t>
      </w:r>
      <w:r w:rsidR="004C0388">
        <w:t>6.5 billion (adjusted to current value).</w:t>
      </w:r>
      <w:r w:rsidR="00585F61">
        <w:t xml:space="preserve"> </w:t>
      </w:r>
    </w:p>
    <w:p w14:paraId="4F43E7A7" w14:textId="36F603AB" w:rsidR="005C4838" w:rsidRDefault="006C64CB" w:rsidP="005614EE">
      <w:pPr>
        <w:jc w:val="both"/>
      </w:pPr>
      <w:r>
        <w:t xml:space="preserve">The ACCC would require additional resourcing to undertake a monitoring role in relation to the reinsurance pool. </w:t>
      </w:r>
    </w:p>
    <w:bookmarkEnd w:id="12"/>
    <w:p w14:paraId="36106DC7" w14:textId="3240C308" w:rsidR="001C31C5" w:rsidRDefault="001C31C5" w:rsidP="001C31C5">
      <w:pPr>
        <w:pStyle w:val="Heading4"/>
      </w:pPr>
      <w:r>
        <w:t>Estimate of regulatory impact</w:t>
      </w:r>
    </w:p>
    <w:p w14:paraId="7986CC97" w14:textId="382C6397" w:rsidR="00EC6A64" w:rsidRDefault="00EC6A64" w:rsidP="005614EE">
      <w:pPr>
        <w:pStyle w:val="BodyText"/>
        <w:jc w:val="both"/>
      </w:pPr>
      <w:r>
        <w:t xml:space="preserve">There </w:t>
      </w:r>
      <w:r w:rsidR="00580E1D">
        <w:t>would be</w:t>
      </w:r>
      <w:r>
        <w:t xml:space="preserve"> a</w:t>
      </w:r>
      <w:r w:rsidR="00580E1D">
        <w:t>n estimated</w:t>
      </w:r>
      <w:r>
        <w:t xml:space="preserve"> </w:t>
      </w:r>
      <w:r w:rsidR="00580E1D">
        <w:t>$0.4</w:t>
      </w:r>
      <w:r w:rsidR="006E7BF7">
        <w:t>4</w:t>
      </w:r>
      <w:r w:rsidR="00580E1D">
        <w:t xml:space="preserve"> million average annual</w:t>
      </w:r>
      <w:r w:rsidR="00FF43CE">
        <w:t xml:space="preserve"> </w:t>
      </w:r>
      <w:r>
        <w:t xml:space="preserve">regulatory </w:t>
      </w:r>
      <w:r w:rsidR="00580E1D">
        <w:t>cost</w:t>
      </w:r>
      <w:r>
        <w:t xml:space="preserve"> on the insurance industry to support a benefit for properties in high</w:t>
      </w:r>
      <w:r w:rsidR="00FF43CE">
        <w:t>-</w:t>
      </w:r>
      <w:r>
        <w:t xml:space="preserve">risk cyclone areas. </w:t>
      </w:r>
    </w:p>
    <w:p w14:paraId="43196420" w14:textId="0F233CA3" w:rsidR="00F149B0" w:rsidRDefault="00447D49" w:rsidP="005614EE">
      <w:pPr>
        <w:pStyle w:val="BodyText"/>
        <w:jc w:val="both"/>
      </w:pPr>
      <w:r w:rsidRPr="00DC21B0">
        <w:t>The regu</w:t>
      </w:r>
      <w:r w:rsidRPr="00E8769F">
        <w:t xml:space="preserve">latory costing </w:t>
      </w:r>
      <w:r w:rsidR="001B5A7D">
        <w:t>assumes</w:t>
      </w:r>
      <w:r w:rsidR="00F149B0">
        <w:t>:</w:t>
      </w:r>
      <w:r w:rsidR="004D7B50" w:rsidRPr="00500185">
        <w:t xml:space="preserve"> </w:t>
      </w:r>
    </w:p>
    <w:p w14:paraId="2B56EFF9" w14:textId="6ECA11B2" w:rsidR="00F149B0" w:rsidRDefault="004D7B50" w:rsidP="00500185">
      <w:pPr>
        <w:pStyle w:val="Bullet"/>
      </w:pPr>
      <w:r w:rsidRPr="00DC21B0">
        <w:t>full participation</w:t>
      </w:r>
      <w:r>
        <w:t xml:space="preserve"> of insurers </w:t>
      </w:r>
      <w:r w:rsidR="00F149B0">
        <w:t xml:space="preserve">holding eligible risks </w:t>
      </w:r>
      <w:r>
        <w:t>under the mandatory model</w:t>
      </w:r>
      <w:r w:rsidR="00F149B0">
        <w:t xml:space="preserve">; </w:t>
      </w:r>
    </w:p>
    <w:p w14:paraId="4D9AFEB1" w14:textId="0CC339D9" w:rsidR="001B5A7D" w:rsidRDefault="00F149B0" w:rsidP="00500185">
      <w:pPr>
        <w:pStyle w:val="Bullet"/>
      </w:pPr>
      <w:r>
        <w:t xml:space="preserve">that </w:t>
      </w:r>
      <w:r w:rsidR="001F6358">
        <w:t>most</w:t>
      </w:r>
      <w:r>
        <w:t xml:space="preserve"> reinsurers active in the market would be affected</w:t>
      </w:r>
      <w:r w:rsidR="001B5A7D">
        <w:t>;</w:t>
      </w:r>
    </w:p>
    <w:p w14:paraId="6519AFB0" w14:textId="7C4A70A8" w:rsidR="001B5A7D" w:rsidRDefault="00F149B0" w:rsidP="00500185">
      <w:pPr>
        <w:pStyle w:val="Bullet"/>
      </w:pPr>
      <w:r>
        <w:t>that about a fifth of</w:t>
      </w:r>
      <w:r w:rsidR="001B5A7D">
        <w:t xml:space="preserve"> i</w:t>
      </w:r>
      <w:r>
        <w:t xml:space="preserve">nsurance brokers or </w:t>
      </w:r>
      <w:r w:rsidR="001B5A7D">
        <w:t>other</w:t>
      </w:r>
      <w:r>
        <w:t xml:space="preserve"> intermediaries would </w:t>
      </w:r>
      <w:r w:rsidRPr="00F149B0">
        <w:t>both</w:t>
      </w:r>
      <w:r w:rsidR="001B5A7D">
        <w:t>:</w:t>
      </w:r>
      <w:r w:rsidRPr="00F149B0">
        <w:t xml:space="preserve"> </w:t>
      </w:r>
    </w:p>
    <w:p w14:paraId="32EDFC06" w14:textId="61F1E4A3" w:rsidR="001B5A7D" w:rsidRDefault="00F149B0" w:rsidP="00500185">
      <w:pPr>
        <w:pStyle w:val="Dash"/>
      </w:pPr>
      <w:r w:rsidRPr="00F149B0">
        <w:t xml:space="preserve">deal in eligible risks (household, SME property and strata); and </w:t>
      </w:r>
    </w:p>
    <w:p w14:paraId="09B3514D" w14:textId="19694DFE" w:rsidR="00F149B0" w:rsidRDefault="00F149B0" w:rsidP="00F9535F">
      <w:pPr>
        <w:pStyle w:val="Dash"/>
      </w:pPr>
      <w:r w:rsidRPr="00F149B0">
        <w:t>deal in policies with sufficient cyclone risk that they need to adjust processes for the cyclone reinsurance pool.</w:t>
      </w:r>
    </w:p>
    <w:p w14:paraId="61A2ECA5" w14:textId="38DC0A78" w:rsidR="001F6358" w:rsidRDefault="001F6358" w:rsidP="00500185">
      <w:pPr>
        <w:pStyle w:val="Bullet"/>
      </w:pPr>
      <w:r>
        <w:t>that there is no regulatory impact on policyholders (including individuals and businesses), as they do not have any direct interaction with reinsurers; and</w:t>
      </w:r>
    </w:p>
    <w:p w14:paraId="19F55DEB" w14:textId="7B5ABC2E" w:rsidR="00447D49" w:rsidRDefault="001B5A7D" w:rsidP="00F9535F">
      <w:pPr>
        <w:pStyle w:val="Bullet"/>
      </w:pPr>
      <w:r>
        <w:t xml:space="preserve">to simplify the calculation, that </w:t>
      </w:r>
      <w:r w:rsidR="003F5F33">
        <w:t xml:space="preserve">the </w:t>
      </w:r>
      <w:r w:rsidR="001F6358">
        <w:t>regulatory impact is identical within cohorts (i.e. same impact for all insurers, same impact for all reinsurers).</w:t>
      </w:r>
    </w:p>
    <w:p w14:paraId="1ADA0028" w14:textId="7CEFA9EC" w:rsidR="001F6358" w:rsidRDefault="00500185" w:rsidP="005614EE">
      <w:pPr>
        <w:pStyle w:val="BodyText"/>
        <w:jc w:val="both"/>
        <w:rPr>
          <w:bCs/>
        </w:rPr>
      </w:pPr>
      <w:r>
        <w:rPr>
          <w:bCs/>
        </w:rPr>
        <w:t xml:space="preserve">While the </w:t>
      </w:r>
      <w:r w:rsidR="00E85892">
        <w:rPr>
          <w:bCs/>
        </w:rPr>
        <w:t>regulatory</w:t>
      </w:r>
      <w:r>
        <w:rPr>
          <w:bCs/>
        </w:rPr>
        <w:t xml:space="preserve"> costing was not directly tested with stakeholders, the assumptions and costs underpinning it were informed by stakeholder consultation as well as </w:t>
      </w:r>
      <w:r w:rsidRPr="009F4F02">
        <w:t>analysis from past reviews, including the 2011 Natural Disaster Insurance Review, the 2015 Northern Australia Insurance Premiums Taskforce Report, the 2020 Royal Commission into Natural Disaster Arrangements, and the Australian Competition and Consumer Commission’s Northern Australia Insurance Inquiry.</w:t>
      </w:r>
    </w:p>
    <w:p w14:paraId="25CB0C75" w14:textId="76BCADE4" w:rsidR="00EC6A64" w:rsidRPr="002829A5" w:rsidRDefault="00EC6A64" w:rsidP="005614EE">
      <w:pPr>
        <w:pStyle w:val="BodyText"/>
        <w:jc w:val="both"/>
        <w:rPr>
          <w:bCs/>
        </w:rPr>
      </w:pPr>
      <w:r w:rsidRPr="002829A5">
        <w:rPr>
          <w:bCs/>
        </w:rPr>
        <w:t>A mandatory reinsurance pool would address the policy objectives to:</w:t>
      </w:r>
    </w:p>
    <w:p w14:paraId="79A9ABE8" w14:textId="77777777" w:rsidR="006B5573" w:rsidRPr="00EC6A64" w:rsidRDefault="006B5573" w:rsidP="005614EE">
      <w:pPr>
        <w:pStyle w:val="Bullet"/>
        <w:jc w:val="both"/>
      </w:pPr>
      <w:r w:rsidRPr="00EC6A64">
        <w:t xml:space="preserve">improve insurance access and affordability in northern Australia; </w:t>
      </w:r>
    </w:p>
    <w:p w14:paraId="7D34E774" w14:textId="77777777" w:rsidR="006B5573" w:rsidRPr="00EC6A64" w:rsidRDefault="006B5573" w:rsidP="005614EE">
      <w:pPr>
        <w:pStyle w:val="Bullet"/>
        <w:jc w:val="both"/>
      </w:pPr>
      <w:r w:rsidRPr="00EC6A64">
        <w:t xml:space="preserve">strengthen northern Australia’s resilience to natural disasters; and </w:t>
      </w:r>
    </w:p>
    <w:p w14:paraId="54502183" w14:textId="77777777" w:rsidR="00FF43CE" w:rsidRDefault="006B5573" w:rsidP="005614EE">
      <w:pPr>
        <w:pStyle w:val="Bullet"/>
        <w:jc w:val="both"/>
      </w:pPr>
      <w:r w:rsidRPr="00EC6A64">
        <w:t>build the financial capability of people and businesses to support a disaster resilient Australia.</w:t>
      </w:r>
    </w:p>
    <w:p w14:paraId="3F1CC4D5" w14:textId="74574DCA" w:rsidR="001C31C5" w:rsidRPr="001C31C5" w:rsidRDefault="001C31C5" w:rsidP="001C31C5">
      <w:pPr>
        <w:spacing w:before="240"/>
        <w:outlineLvl w:val="3"/>
        <w:rPr>
          <w:rFonts w:asciiTheme="majorHAnsi" w:hAnsiTheme="majorHAnsi"/>
          <w:color w:val="014463" w:themeColor="text2"/>
          <w:sz w:val="24"/>
          <w:szCs w:val="24"/>
        </w:rPr>
      </w:pPr>
      <w:r w:rsidRPr="001C31C5">
        <w:rPr>
          <w:rFonts w:asciiTheme="majorHAnsi" w:hAnsiTheme="majorHAnsi"/>
          <w:color w:val="014463" w:themeColor="text2"/>
          <w:sz w:val="24"/>
          <w:szCs w:val="24"/>
        </w:rPr>
        <w:t>Regulatory burden estimate (RBE) table</w:t>
      </w:r>
    </w:p>
    <w:p w14:paraId="4DB7E849" w14:textId="390A9BF7" w:rsidR="001C31C5" w:rsidRPr="001C31C5" w:rsidRDefault="001C31C5" w:rsidP="005614EE">
      <w:pPr>
        <w:jc w:val="both"/>
      </w:pPr>
      <w:r w:rsidRPr="001C31C5">
        <w:t xml:space="preserve">This table can be used to present quantifiable impacts using the Regulatory Burden Measurement Framework. For further information, please consult the Regulatory Burden Measure Guidance Note. </w:t>
      </w:r>
    </w:p>
    <w:tbl>
      <w:tblPr>
        <w:tblStyle w:val="PMCTableStyle2"/>
        <w:tblW w:w="0" w:type="auto"/>
        <w:tblLook w:val="0660" w:firstRow="1" w:lastRow="1" w:firstColumn="0" w:lastColumn="0" w:noHBand="1" w:noVBand="1"/>
      </w:tblPr>
      <w:tblGrid>
        <w:gridCol w:w="2731"/>
        <w:gridCol w:w="1354"/>
        <w:gridCol w:w="1482"/>
        <w:gridCol w:w="2531"/>
        <w:gridCol w:w="332"/>
        <w:gridCol w:w="1764"/>
      </w:tblGrid>
      <w:tr w:rsidR="001C31C5" w:rsidRPr="001C31C5" w14:paraId="5CE4168D" w14:textId="77777777" w:rsidTr="00163E7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2357083F" w14:textId="77777777" w:rsidR="001C31C5" w:rsidRPr="001C31C5" w:rsidRDefault="001C31C5" w:rsidP="001C31C5">
            <w:pPr>
              <w:rPr>
                <w:bCs/>
              </w:rPr>
            </w:pPr>
            <w:r w:rsidRPr="001C31C5">
              <w:rPr>
                <w:bCs/>
              </w:rPr>
              <w:t>Average annual regulatory costs</w:t>
            </w:r>
          </w:p>
        </w:tc>
      </w:tr>
      <w:tr w:rsidR="001C31C5" w:rsidRPr="001C31C5" w14:paraId="737AE255" w14:textId="77777777" w:rsidTr="00163E7B">
        <w:trPr>
          <w:trHeight w:val="350"/>
        </w:trPr>
        <w:tc>
          <w:tcPr>
            <w:tcW w:w="2830" w:type="dxa"/>
          </w:tcPr>
          <w:p w14:paraId="35420BDF" w14:textId="77777777" w:rsidR="001C31C5" w:rsidRPr="001C31C5" w:rsidRDefault="001C31C5" w:rsidP="001C31C5">
            <w:pPr>
              <w:spacing w:before="40" w:after="40"/>
              <w:rPr>
                <w:sz w:val="18"/>
              </w:rPr>
            </w:pPr>
            <w:r w:rsidRPr="001C31C5">
              <w:rPr>
                <w:color w:val="000000" w:themeColor="text1"/>
                <w:sz w:val="18"/>
              </w:rPr>
              <w:t>Change in costs ($ million)</w:t>
            </w:r>
          </w:p>
        </w:tc>
        <w:tc>
          <w:tcPr>
            <w:tcW w:w="1132" w:type="dxa"/>
          </w:tcPr>
          <w:p w14:paraId="41CE2C06" w14:textId="77777777" w:rsidR="001C31C5" w:rsidRPr="001C31C5" w:rsidRDefault="001C31C5" w:rsidP="001C31C5">
            <w:pPr>
              <w:spacing w:before="40" w:after="40"/>
              <w:rPr>
                <w:sz w:val="18"/>
              </w:rPr>
            </w:pPr>
            <w:r w:rsidRPr="001C31C5">
              <w:rPr>
                <w:color w:val="000000" w:themeColor="text1"/>
                <w:sz w:val="18"/>
              </w:rPr>
              <w:t>Individuals</w:t>
            </w:r>
          </w:p>
        </w:tc>
        <w:tc>
          <w:tcPr>
            <w:tcW w:w="1482" w:type="dxa"/>
          </w:tcPr>
          <w:p w14:paraId="1D7BBCFF" w14:textId="77777777" w:rsidR="001C31C5" w:rsidRPr="001C31C5" w:rsidRDefault="001C31C5" w:rsidP="001C31C5">
            <w:pPr>
              <w:spacing w:before="40" w:after="40"/>
              <w:ind w:left="284"/>
              <w:rPr>
                <w:sz w:val="18"/>
              </w:rPr>
            </w:pPr>
            <w:r w:rsidRPr="001C31C5">
              <w:rPr>
                <w:sz w:val="18"/>
              </w:rPr>
              <w:t xml:space="preserve">Business </w:t>
            </w:r>
          </w:p>
        </w:tc>
        <w:tc>
          <w:tcPr>
            <w:tcW w:w="2592" w:type="dxa"/>
          </w:tcPr>
          <w:p w14:paraId="2F0E3BCF" w14:textId="77777777" w:rsidR="001C31C5" w:rsidRPr="001C31C5" w:rsidRDefault="001C31C5" w:rsidP="001C31C5">
            <w:pPr>
              <w:spacing w:before="40" w:after="40"/>
              <w:rPr>
                <w:color w:val="000000" w:themeColor="text1"/>
                <w:sz w:val="18"/>
              </w:rPr>
            </w:pPr>
            <w:r w:rsidRPr="001C31C5">
              <w:rPr>
                <w:color w:val="000000" w:themeColor="text1"/>
                <w:sz w:val="18"/>
              </w:rPr>
              <w:t>Community organisations</w:t>
            </w:r>
          </w:p>
        </w:tc>
        <w:tc>
          <w:tcPr>
            <w:tcW w:w="2158" w:type="dxa"/>
            <w:gridSpan w:val="2"/>
          </w:tcPr>
          <w:p w14:paraId="50193E61" w14:textId="77777777" w:rsidR="001C31C5" w:rsidRPr="001C31C5" w:rsidRDefault="001C31C5" w:rsidP="001C31C5">
            <w:pPr>
              <w:spacing w:before="40" w:after="40"/>
              <w:rPr>
                <w:color w:val="000000" w:themeColor="text1"/>
                <w:sz w:val="18"/>
              </w:rPr>
            </w:pPr>
            <w:r w:rsidRPr="001C31C5">
              <w:rPr>
                <w:color w:val="000000" w:themeColor="text1"/>
                <w:sz w:val="18"/>
              </w:rPr>
              <w:t>Total change in cost</w:t>
            </w:r>
          </w:p>
        </w:tc>
      </w:tr>
      <w:tr w:rsidR="001C31C5" w:rsidRPr="001C31C5" w14:paraId="124C8BAB" w14:textId="77777777" w:rsidTr="00163E7B">
        <w:trPr>
          <w:cnfStyle w:val="010000000000" w:firstRow="0" w:lastRow="1" w:firstColumn="0" w:lastColumn="0" w:oddVBand="0" w:evenVBand="0" w:oddHBand="0" w:evenHBand="0" w:firstRowFirstColumn="0" w:firstRowLastColumn="0" w:lastRowFirstColumn="0" w:lastRowLastColumn="0"/>
          <w:trHeight w:val="350"/>
        </w:trPr>
        <w:tc>
          <w:tcPr>
            <w:tcW w:w="2830" w:type="dxa"/>
          </w:tcPr>
          <w:p w14:paraId="4C49C194" w14:textId="77777777" w:rsidR="001C31C5" w:rsidRPr="001C31C5" w:rsidRDefault="001C31C5" w:rsidP="001C31C5">
            <w:pPr>
              <w:spacing w:before="40" w:after="40"/>
              <w:rPr>
                <w:sz w:val="18"/>
              </w:rPr>
            </w:pPr>
            <w:r w:rsidRPr="001C31C5">
              <w:rPr>
                <w:color w:val="000000" w:themeColor="text1"/>
                <w:sz w:val="18"/>
              </w:rPr>
              <w:t>Total, by sector</w:t>
            </w:r>
          </w:p>
        </w:tc>
        <w:tc>
          <w:tcPr>
            <w:tcW w:w="1132" w:type="dxa"/>
          </w:tcPr>
          <w:p w14:paraId="4494176B" w14:textId="175A1C91" w:rsidR="001C31C5" w:rsidRPr="001C31C5" w:rsidRDefault="002241EA" w:rsidP="001C31C5">
            <w:pPr>
              <w:spacing w:before="40" w:after="40"/>
              <w:rPr>
                <w:sz w:val="18"/>
              </w:rPr>
            </w:pPr>
            <w:r>
              <w:rPr>
                <w:sz w:val="18"/>
              </w:rPr>
              <w:t>-</w:t>
            </w:r>
          </w:p>
        </w:tc>
        <w:tc>
          <w:tcPr>
            <w:tcW w:w="1482" w:type="dxa"/>
          </w:tcPr>
          <w:p w14:paraId="005336BF" w14:textId="5B749BBC" w:rsidR="001C31C5" w:rsidRPr="001C31C5" w:rsidRDefault="001C31C5" w:rsidP="001C31C5">
            <w:pPr>
              <w:spacing w:before="40" w:after="40"/>
              <w:ind w:left="284"/>
              <w:rPr>
                <w:sz w:val="18"/>
              </w:rPr>
            </w:pPr>
            <w:r w:rsidRPr="00212719">
              <w:rPr>
                <w:sz w:val="18"/>
              </w:rPr>
              <w:t>$</w:t>
            </w:r>
            <w:r w:rsidR="00E65E63" w:rsidRPr="00273BED">
              <w:rPr>
                <w:sz w:val="18"/>
              </w:rPr>
              <w:t>0.4</w:t>
            </w:r>
            <w:r w:rsidR="006E7BF7">
              <w:rPr>
                <w:sz w:val="18"/>
              </w:rPr>
              <w:t>4</w:t>
            </w:r>
          </w:p>
        </w:tc>
        <w:tc>
          <w:tcPr>
            <w:tcW w:w="2943" w:type="dxa"/>
            <w:gridSpan w:val="2"/>
          </w:tcPr>
          <w:p w14:paraId="1367ECD2" w14:textId="293714ED" w:rsidR="001C31C5" w:rsidRPr="001C31C5" w:rsidRDefault="002241EA" w:rsidP="001C31C5">
            <w:pPr>
              <w:spacing w:before="40" w:after="40"/>
              <w:ind w:left="284" w:hanging="284"/>
              <w:rPr>
                <w:color w:val="000000" w:themeColor="text1"/>
                <w:sz w:val="18"/>
              </w:rPr>
            </w:pPr>
            <w:r>
              <w:rPr>
                <w:color w:val="000000" w:themeColor="text1"/>
                <w:sz w:val="18"/>
              </w:rPr>
              <w:t>-</w:t>
            </w:r>
          </w:p>
        </w:tc>
        <w:tc>
          <w:tcPr>
            <w:tcW w:w="1807" w:type="dxa"/>
          </w:tcPr>
          <w:p w14:paraId="14F4E6F2" w14:textId="2387744F" w:rsidR="001C31C5" w:rsidRPr="001C31C5" w:rsidRDefault="001C31C5" w:rsidP="001C31C5">
            <w:pPr>
              <w:spacing w:before="40" w:after="40"/>
              <w:ind w:left="284" w:hanging="284"/>
              <w:rPr>
                <w:color w:val="000000" w:themeColor="text1"/>
                <w:sz w:val="18"/>
              </w:rPr>
            </w:pPr>
            <w:r w:rsidRPr="00BE7BF6">
              <w:rPr>
                <w:color w:val="000000" w:themeColor="text1"/>
                <w:sz w:val="18"/>
              </w:rPr>
              <w:t>$</w:t>
            </w:r>
            <w:r w:rsidR="00E65E63" w:rsidRPr="00BE7BF6">
              <w:rPr>
                <w:color w:val="000000" w:themeColor="text1"/>
                <w:sz w:val="18"/>
              </w:rPr>
              <w:t>0.4</w:t>
            </w:r>
            <w:r w:rsidR="00A722BC">
              <w:rPr>
                <w:color w:val="000000" w:themeColor="text1"/>
                <w:sz w:val="18"/>
              </w:rPr>
              <w:t>4</w:t>
            </w:r>
          </w:p>
        </w:tc>
      </w:tr>
    </w:tbl>
    <w:p w14:paraId="0A0EE312" w14:textId="6340CD76" w:rsidR="0053771E" w:rsidRPr="0053771E" w:rsidRDefault="0053771E" w:rsidP="00300236">
      <w:pPr>
        <w:pStyle w:val="Heading4"/>
      </w:pPr>
      <w:r w:rsidRPr="00300236">
        <w:t>International comparison</w:t>
      </w:r>
      <w:r w:rsidRPr="0053771E">
        <w:t> </w:t>
      </w:r>
    </w:p>
    <w:p w14:paraId="7829DA04" w14:textId="2641CFB6" w:rsidR="0053771E" w:rsidRPr="0053771E" w:rsidRDefault="0053771E" w:rsidP="005614EE">
      <w:pPr>
        <w:pStyle w:val="BodyText"/>
        <w:jc w:val="both"/>
      </w:pPr>
      <w:r w:rsidRPr="0053771E">
        <w:t>Internationally, at least five countries have established natural disaster reinsurance pools to promote insurance affordability and smooth risk across regions. These include Japan, France, the United Kingdom and Indonesia. </w:t>
      </w:r>
    </w:p>
    <w:p w14:paraId="789DB94B" w14:textId="1A694C8B" w:rsidR="0053771E" w:rsidRPr="0053771E" w:rsidRDefault="00171EF8" w:rsidP="005614EE">
      <w:pPr>
        <w:pStyle w:val="BodyText"/>
        <w:jc w:val="both"/>
      </w:pPr>
      <w:r>
        <w:t>T</w:t>
      </w:r>
      <w:r w:rsidR="0053771E" w:rsidRPr="0053771E">
        <w:t xml:space="preserve">here are </w:t>
      </w:r>
      <w:r w:rsidR="00C53137" w:rsidRPr="0053771E">
        <w:t>several</w:t>
      </w:r>
      <w:r w:rsidR="0053771E" w:rsidRPr="0053771E">
        <w:t xml:space="preserve"> different ways in which a reinsurance pool can be designed, including how they are structured, how they are funded and how they approach setting premiums and paying claims. For example: </w:t>
      </w:r>
    </w:p>
    <w:p w14:paraId="55DA7D89" w14:textId="77777777" w:rsidR="0053771E" w:rsidRPr="0053771E" w:rsidRDefault="0053771E" w:rsidP="00A353BD">
      <w:pPr>
        <w:pStyle w:val="BodyText"/>
        <w:numPr>
          <w:ilvl w:val="0"/>
          <w:numId w:val="43"/>
        </w:numPr>
        <w:jc w:val="both"/>
      </w:pPr>
      <w:r w:rsidRPr="0053771E">
        <w:t>Most reinsurance pools do not set premiums at the true technical rate corresponding to the underlying risk. Most charge a flat rate fee, receive a levy from all insurers, set risk-based but discounted premiums, or a combination of these.  </w:t>
      </w:r>
    </w:p>
    <w:p w14:paraId="3A0EE462" w14:textId="77777777" w:rsidR="0053771E" w:rsidRPr="0053771E" w:rsidRDefault="0053771E" w:rsidP="00A353BD">
      <w:pPr>
        <w:pStyle w:val="BodyText"/>
        <w:numPr>
          <w:ilvl w:val="0"/>
          <w:numId w:val="43"/>
        </w:numPr>
        <w:jc w:val="both"/>
      </w:pPr>
      <w:r w:rsidRPr="0053771E">
        <w:t>Reinsurance pools are often backed by some form of government guarantee which can be called on if claims exceed reserves. Where this is not the case, or where the guarantee is limited, the pool generally limits the claims it will pay in some way. </w:t>
      </w:r>
    </w:p>
    <w:p w14:paraId="685C67DA" w14:textId="77777777" w:rsidR="0053771E" w:rsidRPr="0053771E" w:rsidRDefault="0053771E" w:rsidP="00A353BD">
      <w:pPr>
        <w:pStyle w:val="BodyText"/>
        <w:numPr>
          <w:ilvl w:val="0"/>
          <w:numId w:val="43"/>
        </w:numPr>
        <w:jc w:val="both"/>
      </w:pPr>
      <w:r w:rsidRPr="0053771E">
        <w:t>Some reinsurance pools contain measures which are intended to maintain risk signals. For example, Flood Re in the United Kingdom only provides cover to buildings built before 2009 when flood insurance issues began to arise. </w:t>
      </w:r>
    </w:p>
    <w:p w14:paraId="3C0917BF" w14:textId="77777777" w:rsidR="0053771E" w:rsidRPr="0053771E" w:rsidRDefault="0053771E" w:rsidP="00A353BD">
      <w:pPr>
        <w:pStyle w:val="BodyText"/>
        <w:numPr>
          <w:ilvl w:val="0"/>
          <w:numId w:val="43"/>
        </w:numPr>
        <w:jc w:val="both"/>
      </w:pPr>
      <w:r w:rsidRPr="0053771E">
        <w:t>Some pools are seen as temporary solutions, and contain mechanisms to be phased out. For example, Flood Re has a limited life of 25 years.  </w:t>
      </w:r>
    </w:p>
    <w:p w14:paraId="0E8F8B20" w14:textId="6F40F869" w:rsidR="00F60418" w:rsidRDefault="0053771E" w:rsidP="005614EE">
      <w:pPr>
        <w:pStyle w:val="BodyText"/>
        <w:jc w:val="both"/>
      </w:pPr>
      <w:r w:rsidRPr="0053771E">
        <w:t xml:space="preserve">Options </w:t>
      </w:r>
      <w:r>
        <w:t>2</w:t>
      </w:r>
      <w:r w:rsidRPr="0053771E">
        <w:t xml:space="preserve"> and </w:t>
      </w:r>
      <w:r>
        <w:t>3</w:t>
      </w:r>
      <w:r w:rsidRPr="0053771E">
        <w:t xml:space="preserve"> adopt some of their high-level design from </w:t>
      </w:r>
      <w:r w:rsidR="00F60418">
        <w:t xml:space="preserve">the Florida </w:t>
      </w:r>
      <w:r w:rsidR="00147A17">
        <w:t>Hurricane Catastrophe Fund, which is a mandatory reinsurance pool that is self-supported. The Florida Hurricane Catastrophe</w:t>
      </w:r>
      <w:r w:rsidR="00F60418">
        <w:t xml:space="preserve"> fund</w:t>
      </w:r>
      <w:r w:rsidR="00147A17">
        <w:t xml:space="preserve"> was established after </w:t>
      </w:r>
      <w:r w:rsidR="00300236">
        <w:t>H</w:t>
      </w:r>
      <w:r w:rsidR="00147A17">
        <w:t xml:space="preserve">urricane Andrew in 1992. It provides a stabilising force for the reinsurance market and </w:t>
      </w:r>
      <w:r w:rsidR="00E46182">
        <w:t xml:space="preserve">the level of insurer retention is set statutorily. </w:t>
      </w:r>
    </w:p>
    <w:p w14:paraId="4F1C1DF5" w14:textId="4612FCBB" w:rsidR="00300236" w:rsidRPr="00553C76" w:rsidRDefault="00300236" w:rsidP="005614EE">
      <w:pPr>
        <w:pStyle w:val="BodyText"/>
        <w:jc w:val="both"/>
      </w:pPr>
      <w:r>
        <w:t>Similarly, t</w:t>
      </w:r>
      <w:r w:rsidRPr="0053771E">
        <w:t>he Indonesian Earthquake Reinsurance Pool began operations in 2003</w:t>
      </w:r>
      <w:r>
        <w:t xml:space="preserve"> and p</w:t>
      </w:r>
      <w:r w:rsidRPr="0053771E">
        <w:t>articipation in the Earthquake Reinsurance Pool (now called MAIPARK) was made compulsory for all general insurers and reinsurers. </w:t>
      </w:r>
    </w:p>
    <w:p w14:paraId="238DE2FE" w14:textId="6BAEC5C7" w:rsidR="0053771E" w:rsidRPr="0053771E" w:rsidRDefault="00300236" w:rsidP="005614EE">
      <w:pPr>
        <w:pStyle w:val="BodyText"/>
        <w:jc w:val="both"/>
      </w:pPr>
      <w:r>
        <w:t xml:space="preserve">The </w:t>
      </w:r>
      <w:r w:rsidR="0053771E" w:rsidRPr="0053771E">
        <w:t>Flood Re in the United Kingdom, which is a voluntary reinsurance pool supported by a national levy</w:t>
      </w:r>
      <w:r w:rsidR="00F60418">
        <w:t xml:space="preserve">, </w:t>
      </w:r>
      <w:r>
        <w:t>was also considered during the policy design process</w:t>
      </w:r>
      <w:r w:rsidR="0053771E" w:rsidRPr="0053771E">
        <w:t>. Flood Re was established in 2016 to improve affordability for those households at highest risk of flooding and increase availability and choice of insurers for customers. Floo</w:t>
      </w:r>
      <w:r w:rsidR="00147A17">
        <w:t>d</w:t>
      </w:r>
      <w:r w:rsidR="0053771E" w:rsidRPr="0053771E">
        <w:t xml:space="preserve"> Re provides reinsurance cover at a subsidised rate, which is funded through a £180 million levy on household insurers in the UK. </w:t>
      </w:r>
      <w:r w:rsidR="0053771E">
        <w:t xml:space="preserve">However, a levy is not being considered. </w:t>
      </w:r>
    </w:p>
    <w:p w14:paraId="0A24CB51" w14:textId="0A31EC4A" w:rsidR="008D43E3" w:rsidRPr="008D43E3" w:rsidRDefault="008D43E3" w:rsidP="008D43E3">
      <w:pPr>
        <w:pStyle w:val="Heading2"/>
      </w:pPr>
      <w:r>
        <w:t>4.3 Option 3</w:t>
      </w:r>
      <w:r w:rsidR="0026696C">
        <w:t xml:space="preserve"> –</w:t>
      </w:r>
      <w:r>
        <w:t xml:space="preserve"> </w:t>
      </w:r>
      <w:r w:rsidR="00DE0688">
        <w:t xml:space="preserve">Establishing </w:t>
      </w:r>
      <w:r>
        <w:t>a reinsurance pool with voluntary participation</w:t>
      </w:r>
    </w:p>
    <w:p w14:paraId="7C0E4AAD" w14:textId="77777777" w:rsidR="00783FC3" w:rsidRDefault="00783FC3" w:rsidP="00783FC3">
      <w:pPr>
        <w:pStyle w:val="Heading4"/>
      </w:pPr>
      <w:r>
        <w:t>Policyholders (individuals, households and small businesses)</w:t>
      </w:r>
    </w:p>
    <w:p w14:paraId="2414BF0A" w14:textId="05A1FD41" w:rsidR="00735580" w:rsidRDefault="00783FC3" w:rsidP="00783FC3">
      <w:pPr>
        <w:pStyle w:val="BodyText"/>
        <w:jc w:val="both"/>
      </w:pPr>
      <w:r>
        <w:t xml:space="preserve">As for Option 2. However, the level of savings would be reduced and fewer individuals, households and small businesses would benefit due to the </w:t>
      </w:r>
      <w:r w:rsidRPr="00592C47">
        <w:rPr>
          <w:bCs/>
        </w:rPr>
        <w:t>reduced participation</w:t>
      </w:r>
      <w:r>
        <w:t xml:space="preserve"> of insurers in the reinsurance pool</w:t>
      </w:r>
      <w:r w:rsidR="00A74325">
        <w:t xml:space="preserve"> as well as a less balanced portfolio of risks for the reinsurance pool</w:t>
      </w:r>
      <w:r>
        <w:t>.</w:t>
      </w:r>
    </w:p>
    <w:p w14:paraId="0CAA1721" w14:textId="52E1A3C8" w:rsidR="00735580" w:rsidRDefault="00507B60" w:rsidP="00735580">
      <w:pPr>
        <w:jc w:val="both"/>
      </w:pPr>
      <w:r>
        <w:t>With voluntary participation,</w:t>
      </w:r>
      <w:r w:rsidR="00735580">
        <w:t xml:space="preserve"> the nature and extent of insurer participation in the pool would have a significant impact on the </w:t>
      </w:r>
      <w:r>
        <w:t xml:space="preserve">possible </w:t>
      </w:r>
      <w:r w:rsidR="00735580">
        <w:t>premium reductions.</w:t>
      </w:r>
    </w:p>
    <w:p w14:paraId="74460841" w14:textId="35551F13" w:rsidR="00735580" w:rsidRDefault="00735580" w:rsidP="00735580">
      <w:pPr>
        <w:pStyle w:val="Bullet"/>
        <w:jc w:val="both"/>
      </w:pPr>
      <w:r>
        <w:t xml:space="preserve">The more insurers </w:t>
      </w:r>
      <w:r w:rsidR="00507B60">
        <w:t>take part</w:t>
      </w:r>
      <w:r>
        <w:t xml:space="preserve"> and the more cyclone and related flood risk that they pass on to the pool, the greater the influence the pool can have on the cost of cyclone cover. </w:t>
      </w:r>
    </w:p>
    <w:p w14:paraId="3DB79974" w14:textId="77777777" w:rsidR="00735580" w:rsidRDefault="00735580" w:rsidP="00735580">
      <w:pPr>
        <w:pStyle w:val="Bullet"/>
        <w:jc w:val="both"/>
      </w:pPr>
      <w:r>
        <w:t xml:space="preserve">In the absence of a direct government subsidy, the pool would only be able to provide meaningful premium relief to medium-to-high cyclone risk properties if it takes on a balanced portfolio of risks from insurers. </w:t>
      </w:r>
    </w:p>
    <w:p w14:paraId="46D5A2C6" w14:textId="22A1F8F7" w:rsidR="00646FA2" w:rsidRDefault="00735580" w:rsidP="006A1B40">
      <w:pPr>
        <w:jc w:val="both"/>
      </w:pPr>
      <w:r>
        <w:t>The ‘one-in-all-in’ approach reduces adverse selection at the individual insurer level as insurers would not be ceding only the highest risk properties in their portfolios to the pool. However, this would not address the adverse selection of insurers with higher-risk portfolios (see discussion below under ‘insurers’ heading)</w:t>
      </w:r>
      <w:r w:rsidR="00B07401">
        <w:t>.</w:t>
      </w:r>
    </w:p>
    <w:p w14:paraId="23F4A944" w14:textId="5319303B" w:rsidR="00783FC3" w:rsidRPr="00783FC3" w:rsidRDefault="00783FC3" w:rsidP="00783FC3">
      <w:pPr>
        <w:pStyle w:val="BodyText"/>
        <w:jc w:val="both"/>
        <w:rPr>
          <w:bCs/>
        </w:rPr>
      </w:pPr>
      <w:r>
        <w:rPr>
          <w:bCs/>
        </w:rPr>
        <w:t>A</w:t>
      </w:r>
      <w:r w:rsidR="007324F4">
        <w:rPr>
          <w:bCs/>
        </w:rPr>
        <w:t>n</w:t>
      </w:r>
      <w:r w:rsidR="004B09A6">
        <w:rPr>
          <w:bCs/>
        </w:rPr>
        <w:t xml:space="preserve"> </w:t>
      </w:r>
      <w:r>
        <w:rPr>
          <w:bCs/>
        </w:rPr>
        <w:t xml:space="preserve">estimate informed by modelling is that about half of the premium reductions in </w:t>
      </w:r>
      <w:r w:rsidR="00062067">
        <w:rPr>
          <w:bCs/>
        </w:rPr>
        <w:t>high-risk</w:t>
      </w:r>
      <w:r>
        <w:rPr>
          <w:bCs/>
        </w:rPr>
        <w:t xml:space="preserve"> areas would be available, as compared to Option 2.</w:t>
      </w:r>
      <w:r w:rsidR="002D6397">
        <w:rPr>
          <w:rStyle w:val="FootnoteReference"/>
          <w:bCs/>
        </w:rPr>
        <w:footnoteReference w:id="38"/>
      </w:r>
      <w:r>
        <w:rPr>
          <w:bCs/>
        </w:rPr>
        <w:t xml:space="preserve"> </w:t>
      </w:r>
      <w:r w:rsidR="00B07401">
        <w:rPr>
          <w:bCs/>
        </w:rPr>
        <w:t xml:space="preserve">This indicative estimate assumes that </w:t>
      </w:r>
      <w:r w:rsidR="000A0BE6">
        <w:rPr>
          <w:bCs/>
        </w:rPr>
        <w:t xml:space="preserve">the highest risk household policies are ceded to the pool, and about half of the remaining policies are with insurers that choose not to participate in the pool. </w:t>
      </w:r>
    </w:p>
    <w:p w14:paraId="0CB3A1DA" w14:textId="79393D61" w:rsidR="00C30431" w:rsidRPr="00C30431" w:rsidRDefault="00C30431" w:rsidP="008B0796">
      <w:pPr>
        <w:pStyle w:val="Heading4"/>
        <w:keepNext/>
      </w:pPr>
      <w:r w:rsidRPr="00C30431">
        <w:t>Insurers</w:t>
      </w:r>
    </w:p>
    <w:p w14:paraId="7606AFDE" w14:textId="12E5D21B" w:rsidR="008D183F" w:rsidRDefault="00C30431" w:rsidP="005614EE">
      <w:pPr>
        <w:pStyle w:val="BodyText"/>
        <w:jc w:val="both"/>
        <w:rPr>
          <w:bCs/>
        </w:rPr>
      </w:pPr>
      <w:bookmarkStart w:id="13" w:name="_Hlk85805708"/>
      <w:r>
        <w:t xml:space="preserve">As participation for insurers is voluntary, insurers </w:t>
      </w:r>
      <w:r w:rsidR="00351C78">
        <w:t>would be</w:t>
      </w:r>
      <w:r>
        <w:t xml:space="preserve"> able </w:t>
      </w:r>
      <w:r w:rsidR="00421D05">
        <w:t xml:space="preserve">to </w:t>
      </w:r>
      <w:r w:rsidR="00421D05" w:rsidRPr="002362AC">
        <w:rPr>
          <w:bCs/>
        </w:rPr>
        <w:t>minimise</w:t>
      </w:r>
      <w:r w:rsidRPr="002362AC">
        <w:rPr>
          <w:bCs/>
        </w:rPr>
        <w:t xml:space="preserve"> any disruption to their existing reinsurance arrangements (for example, by either choosing not to reinsure with the pool at all, or timing their switch to the pool to coincide with their reinsurance contract coming up for renewal).</w:t>
      </w:r>
      <w:r w:rsidR="003D59DF">
        <w:rPr>
          <w:bCs/>
        </w:rPr>
        <w:t xml:space="preserve"> </w:t>
      </w:r>
      <w:r w:rsidR="00FC22DE">
        <w:rPr>
          <w:bCs/>
        </w:rPr>
        <w:t>Individual</w:t>
      </w:r>
      <w:r w:rsidR="003D59DF">
        <w:rPr>
          <w:bCs/>
        </w:rPr>
        <w:t xml:space="preserve"> insurers w</w:t>
      </w:r>
      <w:r w:rsidR="005E2156">
        <w:rPr>
          <w:bCs/>
        </w:rPr>
        <w:t>ould</w:t>
      </w:r>
      <w:r w:rsidR="003D59DF">
        <w:rPr>
          <w:bCs/>
        </w:rPr>
        <w:t xml:space="preserve"> only participate if the benefits to them outweigh the costs. </w:t>
      </w:r>
    </w:p>
    <w:bookmarkEnd w:id="13"/>
    <w:p w14:paraId="202D0E31" w14:textId="177B05E0" w:rsidR="008D183F" w:rsidRDefault="008D183F" w:rsidP="005614EE">
      <w:pPr>
        <w:jc w:val="both"/>
      </w:pPr>
      <w:r>
        <w:t>As noted earlier, the nature and extent of insurer participation in the pool would have a significant impact on the premium reductions that it could achieve.</w:t>
      </w:r>
    </w:p>
    <w:p w14:paraId="7B86405E" w14:textId="77777777" w:rsidR="008D183F" w:rsidRDefault="008D183F" w:rsidP="005614EE">
      <w:pPr>
        <w:pStyle w:val="Bullet"/>
        <w:jc w:val="both"/>
      </w:pPr>
      <w:r>
        <w:t xml:space="preserve">The more insurers participate and the more cyclone and related flood risk that they pass on to the pool, the greater the influence the pool can have on the cost of cyclone cover. </w:t>
      </w:r>
    </w:p>
    <w:p w14:paraId="15BA1713" w14:textId="48B9BDF2" w:rsidR="008D183F" w:rsidRDefault="008D183F" w:rsidP="005614EE">
      <w:pPr>
        <w:pStyle w:val="Bullet"/>
        <w:jc w:val="both"/>
        <w:rPr>
          <w:bCs/>
        </w:rPr>
      </w:pPr>
      <w:r>
        <w:t xml:space="preserve">In the absence of a direct government subsidy, the pool would only be able to provide meaningful premium relief to medium-to-high cyclone risk properties if it takes on a balanced portfolio of risks from insurers. </w:t>
      </w:r>
    </w:p>
    <w:p w14:paraId="420BBEAA" w14:textId="085C3822" w:rsidR="002465FF" w:rsidRPr="002361C7" w:rsidRDefault="008D183F" w:rsidP="005614EE">
      <w:pPr>
        <w:pStyle w:val="BodyText"/>
        <w:jc w:val="both"/>
        <w:rPr>
          <w:bCs/>
        </w:rPr>
      </w:pPr>
      <w:r>
        <w:rPr>
          <w:bCs/>
        </w:rPr>
        <w:t>Under this option</w:t>
      </w:r>
      <w:r w:rsidR="002465FF">
        <w:rPr>
          <w:bCs/>
        </w:rPr>
        <w:t>, the</w:t>
      </w:r>
      <w:r w:rsidR="00D825E6">
        <w:rPr>
          <w:bCs/>
        </w:rPr>
        <w:t xml:space="preserve">re </w:t>
      </w:r>
      <w:r>
        <w:rPr>
          <w:bCs/>
        </w:rPr>
        <w:t xml:space="preserve">would be </w:t>
      </w:r>
      <w:r w:rsidR="00D825E6">
        <w:rPr>
          <w:bCs/>
        </w:rPr>
        <w:t>significant uncertainty about the extent to which insurer</w:t>
      </w:r>
      <w:r w:rsidR="00351C78">
        <w:rPr>
          <w:bCs/>
        </w:rPr>
        <w:t>s</w:t>
      </w:r>
      <w:r w:rsidR="00D825E6">
        <w:rPr>
          <w:bCs/>
        </w:rPr>
        <w:t xml:space="preserve"> w</w:t>
      </w:r>
      <w:r w:rsidR="00351C78">
        <w:rPr>
          <w:bCs/>
        </w:rPr>
        <w:t>ould</w:t>
      </w:r>
      <w:r w:rsidR="00D825E6">
        <w:rPr>
          <w:bCs/>
        </w:rPr>
        <w:t xml:space="preserve"> choose to participate in the pool. </w:t>
      </w:r>
      <w:r w:rsidR="007D54B8">
        <w:rPr>
          <w:bCs/>
        </w:rPr>
        <w:t>This uncertainty arises because of the adverse selection risk discussed above, which could give rise to a ‘vicious cycle’</w:t>
      </w:r>
      <w:r w:rsidR="004715A6">
        <w:rPr>
          <w:bCs/>
        </w:rPr>
        <w:t xml:space="preserve">. </w:t>
      </w:r>
      <w:r w:rsidR="00C00835">
        <w:rPr>
          <w:bCs/>
        </w:rPr>
        <w:t>Initially, t</w:t>
      </w:r>
      <w:r w:rsidR="00D825E6">
        <w:rPr>
          <w:bCs/>
        </w:rPr>
        <w:t>here may not be sufficient take-up for the pool to offer sufficiently discounted rates</w:t>
      </w:r>
      <w:r w:rsidR="00C00835">
        <w:rPr>
          <w:bCs/>
        </w:rPr>
        <w:t xml:space="preserve"> to attract insurers with lower-risk portfolios</w:t>
      </w:r>
      <w:r w:rsidR="00D825E6">
        <w:rPr>
          <w:bCs/>
        </w:rPr>
        <w:t xml:space="preserve">. </w:t>
      </w:r>
      <w:r w:rsidR="00D825E6">
        <w:t xml:space="preserve">The levels of savings could be </w:t>
      </w:r>
      <w:r w:rsidR="004715A6">
        <w:t xml:space="preserve">further </w:t>
      </w:r>
      <w:r w:rsidR="00D825E6">
        <w:t>reduced by a lack of diversification of risk within the pool as insurers with higher-risk portfolios would cede to the pool, while insurers with lower-risk portfolios may not.</w:t>
      </w:r>
      <w:r w:rsidR="004715A6">
        <w:t xml:space="preserve"> </w:t>
      </w:r>
      <w:r w:rsidR="00C00835">
        <w:t>Consequently, t</w:t>
      </w:r>
      <w:r w:rsidR="004715A6">
        <w:t xml:space="preserve">he reduced savings offered by the pool would lead to less participation by insurers with lower-risk portfolios and the pool carrying a portfolio more heavily weighted towards high cyclone risks. </w:t>
      </w:r>
      <w:r w:rsidR="00C00835">
        <w:t xml:space="preserve">However, the extent of adverse selection and its impact on </w:t>
      </w:r>
      <w:r w:rsidR="005938A3">
        <w:t xml:space="preserve">available savings </w:t>
      </w:r>
      <w:r w:rsidR="00C00835">
        <w:t xml:space="preserve">depends on market behaviours that are </w:t>
      </w:r>
      <w:r w:rsidR="005938A3">
        <w:t>difficult to predict, let alone rigorously model.</w:t>
      </w:r>
    </w:p>
    <w:p w14:paraId="1219D99D" w14:textId="0B48B873" w:rsidR="008D183F" w:rsidRDefault="008D183F" w:rsidP="005614EE">
      <w:pPr>
        <w:pStyle w:val="BodyText"/>
        <w:jc w:val="both"/>
        <w:rPr>
          <w:bCs/>
        </w:rPr>
      </w:pPr>
      <w:bookmarkStart w:id="14" w:name="_Hlk85805349"/>
      <w:r>
        <w:rPr>
          <w:bCs/>
        </w:rPr>
        <w:t>Some i</w:t>
      </w:r>
      <w:r w:rsidRPr="008D183F">
        <w:rPr>
          <w:bCs/>
        </w:rPr>
        <w:t xml:space="preserve">nsurers have indicated that market dynamics alone </w:t>
      </w:r>
      <w:r w:rsidR="0026696C">
        <w:rPr>
          <w:bCs/>
        </w:rPr>
        <w:t>might</w:t>
      </w:r>
      <w:r>
        <w:rPr>
          <w:bCs/>
        </w:rPr>
        <w:t xml:space="preserve"> be</w:t>
      </w:r>
      <w:r w:rsidRPr="008D183F">
        <w:rPr>
          <w:bCs/>
        </w:rPr>
        <w:t xml:space="preserve"> sufficient to incentivise</w:t>
      </w:r>
      <w:r>
        <w:rPr>
          <w:bCs/>
        </w:rPr>
        <w:t xml:space="preserve"> </w:t>
      </w:r>
      <w:r w:rsidRPr="008D183F">
        <w:rPr>
          <w:bCs/>
        </w:rPr>
        <w:t>participation (that is, if the pool offers cheaper reinsurance than the commercial market,</w:t>
      </w:r>
      <w:r>
        <w:rPr>
          <w:bCs/>
        </w:rPr>
        <w:t xml:space="preserve"> </w:t>
      </w:r>
      <w:r w:rsidRPr="008D183F">
        <w:rPr>
          <w:bCs/>
        </w:rPr>
        <w:t>then insurers would use the pool as a matter of sound business decision-making).</w:t>
      </w:r>
      <w:r>
        <w:rPr>
          <w:bCs/>
        </w:rPr>
        <w:t xml:space="preserve"> </w:t>
      </w:r>
      <w:r w:rsidRPr="008D183F">
        <w:rPr>
          <w:bCs/>
        </w:rPr>
        <w:t>However, given the transitional costs of transferring existing reinsurance arrangements</w:t>
      </w:r>
      <w:r>
        <w:rPr>
          <w:bCs/>
        </w:rPr>
        <w:t xml:space="preserve"> </w:t>
      </w:r>
      <w:r w:rsidRPr="008D183F">
        <w:rPr>
          <w:bCs/>
        </w:rPr>
        <w:t>to the pool</w:t>
      </w:r>
      <w:r w:rsidR="005938A3">
        <w:rPr>
          <w:bCs/>
        </w:rPr>
        <w:t xml:space="preserve"> as well as the uncertainty around adverse selection and the impact on available savings</w:t>
      </w:r>
      <w:r w:rsidRPr="008D183F">
        <w:rPr>
          <w:bCs/>
        </w:rPr>
        <w:t>, there may not be sufficient take-up for the pool to offer sufficiently</w:t>
      </w:r>
      <w:r>
        <w:rPr>
          <w:bCs/>
        </w:rPr>
        <w:t xml:space="preserve"> </w:t>
      </w:r>
      <w:r w:rsidRPr="008D183F">
        <w:rPr>
          <w:bCs/>
        </w:rPr>
        <w:t>discounted rates.</w:t>
      </w:r>
      <w:bookmarkEnd w:id="14"/>
      <w:r w:rsidR="005938A3">
        <w:rPr>
          <w:bCs/>
        </w:rPr>
        <w:t xml:space="preserve"> </w:t>
      </w:r>
      <w:r w:rsidR="007927BE">
        <w:rPr>
          <w:bCs/>
        </w:rPr>
        <w:t>As acknowledged during stakeholder consultations, t</w:t>
      </w:r>
      <w:r w:rsidR="005938A3">
        <w:rPr>
          <w:bCs/>
        </w:rPr>
        <w:t>he greater the level of participation in the pool, and the more diverse the portfolio of risks the pool holds, the more benefit there will be for insurers to participate in the pool, including insurers with lower-risk portfolios.</w:t>
      </w:r>
    </w:p>
    <w:p w14:paraId="265E1B2B" w14:textId="292B58BC" w:rsidR="0056783D" w:rsidRDefault="0026696C" w:rsidP="005614EE">
      <w:pPr>
        <w:pStyle w:val="BodyText"/>
        <w:jc w:val="both"/>
        <w:rPr>
          <w:bCs/>
        </w:rPr>
      </w:pPr>
      <w:r>
        <w:rPr>
          <w:bCs/>
        </w:rPr>
        <w:t>Otherwise, the b</w:t>
      </w:r>
      <w:r w:rsidR="003854E8">
        <w:rPr>
          <w:bCs/>
        </w:rPr>
        <w:t xml:space="preserve">enefits and impacts otherwise </w:t>
      </w:r>
      <w:r>
        <w:rPr>
          <w:bCs/>
        </w:rPr>
        <w:t>would be</w:t>
      </w:r>
      <w:r w:rsidR="003854E8">
        <w:rPr>
          <w:bCs/>
        </w:rPr>
        <w:t xml:space="preserve"> the same as</w:t>
      </w:r>
      <w:r>
        <w:rPr>
          <w:bCs/>
        </w:rPr>
        <w:t xml:space="preserve"> for</w:t>
      </w:r>
      <w:r w:rsidR="003854E8">
        <w:rPr>
          <w:bCs/>
        </w:rPr>
        <w:t xml:space="preserve"> </w:t>
      </w:r>
      <w:r w:rsidR="009B26D6">
        <w:rPr>
          <w:bCs/>
        </w:rPr>
        <w:t xml:space="preserve">Option </w:t>
      </w:r>
      <w:r w:rsidR="003854E8">
        <w:rPr>
          <w:bCs/>
        </w:rPr>
        <w:t>2.</w:t>
      </w:r>
      <w:r w:rsidR="00F60418">
        <w:rPr>
          <w:bCs/>
        </w:rPr>
        <w:t xml:space="preserve"> </w:t>
      </w:r>
    </w:p>
    <w:p w14:paraId="76656873" w14:textId="748E4672" w:rsidR="003854E8" w:rsidRDefault="003854E8" w:rsidP="003854E8">
      <w:pPr>
        <w:pStyle w:val="Heading4"/>
      </w:pPr>
      <w:r>
        <w:t>Reinsurers</w:t>
      </w:r>
    </w:p>
    <w:p w14:paraId="113189FD" w14:textId="4727C0FD" w:rsidR="003854E8" w:rsidRPr="003854E8" w:rsidRDefault="003854E8" w:rsidP="005614EE">
      <w:pPr>
        <w:pStyle w:val="BodyText"/>
        <w:jc w:val="both"/>
      </w:pPr>
      <w:r>
        <w:t xml:space="preserve">As for </w:t>
      </w:r>
      <w:r w:rsidR="009B26D6">
        <w:t xml:space="preserve">Option </w:t>
      </w:r>
      <w:r>
        <w:t xml:space="preserve">2, however the </w:t>
      </w:r>
      <w:r w:rsidR="002C5127">
        <w:t xml:space="preserve">level of insurer participation in the reinsurance pool would be lower, which would </w:t>
      </w:r>
      <w:r>
        <w:t xml:space="preserve">result in less of a reduction of revenue and diversification for reinsurers. </w:t>
      </w:r>
    </w:p>
    <w:p w14:paraId="01520613" w14:textId="7A8D58D3" w:rsidR="003854E8" w:rsidRDefault="003854E8" w:rsidP="003854E8">
      <w:pPr>
        <w:pStyle w:val="Heading4"/>
      </w:pPr>
      <w:r>
        <w:t>Community and environment</w:t>
      </w:r>
      <w:r w:rsidR="00730A8C">
        <w:t>al</w:t>
      </w:r>
    </w:p>
    <w:p w14:paraId="7F5A74F2" w14:textId="23D5AB03" w:rsidR="003854E8" w:rsidRDefault="003854E8" w:rsidP="005614EE">
      <w:pPr>
        <w:pStyle w:val="BodyText"/>
        <w:jc w:val="both"/>
        <w:rPr>
          <w:bCs/>
        </w:rPr>
      </w:pPr>
      <w:r>
        <w:rPr>
          <w:bCs/>
        </w:rPr>
        <w:t xml:space="preserve">As for </w:t>
      </w:r>
      <w:r w:rsidR="009B26D6">
        <w:rPr>
          <w:bCs/>
        </w:rPr>
        <w:t xml:space="preserve">Option </w:t>
      </w:r>
      <w:r>
        <w:rPr>
          <w:bCs/>
        </w:rPr>
        <w:t>2.</w:t>
      </w:r>
      <w:r w:rsidR="00E2279E">
        <w:rPr>
          <w:bCs/>
        </w:rPr>
        <w:t xml:space="preserve"> However, as the improvement in affordability would be reduced and </w:t>
      </w:r>
      <w:r w:rsidR="00FC040B">
        <w:rPr>
          <w:bCs/>
        </w:rPr>
        <w:t>more narrowly distributed,</w:t>
      </w:r>
      <w:r w:rsidR="00E2279E">
        <w:rPr>
          <w:bCs/>
        </w:rPr>
        <w:t xml:space="preserve"> </w:t>
      </w:r>
      <w:r w:rsidR="00FC040B">
        <w:rPr>
          <w:bCs/>
        </w:rPr>
        <w:t xml:space="preserve">there would be less effect on the decisions of individuals, households and small businesses on where to locate, and so there would be fewer people and businesses choosing to move to or stay in disaster prone areas of </w:t>
      </w:r>
      <w:r w:rsidR="00BB2902">
        <w:rPr>
          <w:bCs/>
        </w:rPr>
        <w:t xml:space="preserve">northern </w:t>
      </w:r>
      <w:r w:rsidR="00FC040B">
        <w:rPr>
          <w:bCs/>
        </w:rPr>
        <w:t xml:space="preserve">Australia than there would be under </w:t>
      </w:r>
      <w:r w:rsidR="009B26D6">
        <w:rPr>
          <w:bCs/>
        </w:rPr>
        <w:t xml:space="preserve">Option </w:t>
      </w:r>
      <w:r w:rsidR="00FC040B">
        <w:rPr>
          <w:bCs/>
        </w:rPr>
        <w:t xml:space="preserve">2 (but still more than under </w:t>
      </w:r>
      <w:r w:rsidR="009B26D6">
        <w:rPr>
          <w:bCs/>
        </w:rPr>
        <w:t xml:space="preserve">Option </w:t>
      </w:r>
      <w:r w:rsidR="00FC040B">
        <w:rPr>
          <w:bCs/>
        </w:rPr>
        <w:t>1).</w:t>
      </w:r>
    </w:p>
    <w:p w14:paraId="155038F4" w14:textId="1BBE21B8" w:rsidR="00E2279E" w:rsidRPr="00C26DE8" w:rsidRDefault="00C26DE8" w:rsidP="005614EE">
      <w:pPr>
        <w:jc w:val="both"/>
      </w:pPr>
      <w:r>
        <w:rPr>
          <w:bCs/>
        </w:rPr>
        <w:t xml:space="preserve">As with </w:t>
      </w:r>
      <w:r w:rsidR="009B26D6">
        <w:rPr>
          <w:bCs/>
        </w:rPr>
        <w:t xml:space="preserve">Option </w:t>
      </w:r>
      <w:r>
        <w:rPr>
          <w:bCs/>
        </w:rPr>
        <w:t>2, h</w:t>
      </w:r>
      <w:r w:rsidR="00E2279E" w:rsidRPr="002362AC">
        <w:rPr>
          <w:bCs/>
        </w:rPr>
        <w:t xml:space="preserve">owever, it is important to note that the cost and availability of insurance is just one of many factors that informs locational decisions and likely plays a relatively minor role in informing locational decision. </w:t>
      </w:r>
    </w:p>
    <w:p w14:paraId="3DEB6375" w14:textId="6372D101" w:rsidR="003854E8" w:rsidRDefault="003854E8" w:rsidP="00C26DE8">
      <w:pPr>
        <w:pStyle w:val="Heading4"/>
      </w:pPr>
      <w:r>
        <w:t>Government</w:t>
      </w:r>
    </w:p>
    <w:p w14:paraId="02E6118C" w14:textId="54CD77FF" w:rsidR="00C26DE8" w:rsidRDefault="003854E8" w:rsidP="005614EE">
      <w:pPr>
        <w:pStyle w:val="BodyText"/>
        <w:jc w:val="both"/>
      </w:pPr>
      <w:r>
        <w:t xml:space="preserve">As for </w:t>
      </w:r>
      <w:r w:rsidR="00767855">
        <w:t xml:space="preserve">Option </w:t>
      </w:r>
      <w:r>
        <w:t>2</w:t>
      </w:r>
      <w:r w:rsidR="00D012B3">
        <w:t>,</w:t>
      </w:r>
      <w:r>
        <w:t xml:space="preserve"> </w:t>
      </w:r>
      <w:r w:rsidR="00C26DE8">
        <w:t xml:space="preserve">the </w:t>
      </w:r>
      <w:r w:rsidR="00732BA4">
        <w:t>APRC</w:t>
      </w:r>
      <w:r w:rsidR="00C26DE8" w:rsidRPr="002362AC">
        <w:t xml:space="preserve"> would need to expand its capabilities to deal with the increased demands of running a natural hazard reinsurance pool.</w:t>
      </w:r>
    </w:p>
    <w:p w14:paraId="316B69FD" w14:textId="045060A0" w:rsidR="00C26DE8" w:rsidRDefault="00A21D62" w:rsidP="005614EE">
      <w:pPr>
        <w:pStyle w:val="BodyText"/>
        <w:jc w:val="both"/>
      </w:pPr>
      <w:r>
        <w:t xml:space="preserve">As the extent of insurer participation would be expected to be lower than under </w:t>
      </w:r>
      <w:r w:rsidR="00767855">
        <w:t xml:space="preserve">Option </w:t>
      </w:r>
      <w:r>
        <w:t xml:space="preserve">2, there would be fewer reinsurance claims for the ARPC to process and fewer agreements to negotiate with insurers. While the ARPC would still need to expand its capabilities, it may be able to implement this option with less resourcing than under </w:t>
      </w:r>
      <w:r w:rsidR="00767855">
        <w:t xml:space="preserve">Option </w:t>
      </w:r>
      <w:r>
        <w:t>2.</w:t>
      </w:r>
    </w:p>
    <w:p w14:paraId="620F1590" w14:textId="58BCD6EA" w:rsidR="00022EEF" w:rsidRDefault="00A21D62" w:rsidP="005614EE">
      <w:pPr>
        <w:jc w:val="both"/>
      </w:pPr>
      <w:r>
        <w:t xml:space="preserve">As with </w:t>
      </w:r>
      <w:r w:rsidR="00767855">
        <w:t xml:space="preserve">Option </w:t>
      </w:r>
      <w:r>
        <w:t xml:space="preserve">2, the reinsurance </w:t>
      </w:r>
      <w:r w:rsidR="00C26DE8">
        <w:t xml:space="preserve">pool would be expected to be cost-neutral to administer and cost-neutral to Government over time but would have </w:t>
      </w:r>
      <w:r w:rsidR="00022EEF">
        <w:t xml:space="preserve">budget impacts in instances where the cost of a cyclone event exceeds available funds accumulated in the reinsurance pool, causing the Commonwealth’s guarantee to be called upon. </w:t>
      </w:r>
    </w:p>
    <w:p w14:paraId="1004A147" w14:textId="4ADB0202" w:rsidR="00DF259B" w:rsidRDefault="00022EEF" w:rsidP="005614EE">
      <w:pPr>
        <w:spacing w:before="240"/>
        <w:jc w:val="both"/>
        <w:outlineLvl w:val="3"/>
      </w:pPr>
      <w:r>
        <w:t xml:space="preserve">As a historical point of reference, Cyclone Tracy was Australia’s costliest cyclone – it hit Darwin in late 1974 and resulted in damage worth about $6.5 billion (adjusted to current value). </w:t>
      </w:r>
    </w:p>
    <w:p w14:paraId="4EE8E656" w14:textId="34E4CEC4" w:rsidR="006C64CB" w:rsidRDefault="006C64CB" w:rsidP="00497126">
      <w:pPr>
        <w:jc w:val="both"/>
      </w:pPr>
      <w:r>
        <w:t xml:space="preserve">As for Option 2, the ACCC would require additional resourcing to undertake a monitoring role in relation to the reinsurance pool. </w:t>
      </w:r>
    </w:p>
    <w:p w14:paraId="1F85A1EC" w14:textId="49EC50EB" w:rsidR="001C31C5" w:rsidRDefault="001C31C5" w:rsidP="00022EEF">
      <w:pPr>
        <w:pStyle w:val="BodyText"/>
        <w:rPr>
          <w:rFonts w:asciiTheme="majorHAnsi" w:hAnsiTheme="majorHAnsi"/>
          <w:color w:val="014463" w:themeColor="text2"/>
          <w:sz w:val="24"/>
          <w:szCs w:val="24"/>
        </w:rPr>
      </w:pPr>
      <w:r w:rsidRPr="001C31C5">
        <w:rPr>
          <w:rFonts w:asciiTheme="majorHAnsi" w:hAnsiTheme="majorHAnsi"/>
          <w:color w:val="014463" w:themeColor="text2"/>
          <w:sz w:val="24"/>
          <w:szCs w:val="24"/>
        </w:rPr>
        <w:t>Estimate of regulatory impact</w:t>
      </w:r>
    </w:p>
    <w:p w14:paraId="01D0160A" w14:textId="4E5661EF" w:rsidR="00A722BC" w:rsidRDefault="00A722BC" w:rsidP="005614EE">
      <w:pPr>
        <w:pStyle w:val="BodyText"/>
        <w:jc w:val="both"/>
      </w:pPr>
      <w:r>
        <w:t xml:space="preserve">There would be an estimated $0.25 million average annual regulatory cost on the insurance industry to support a benefit for properties in high-risk cyclone areas. </w:t>
      </w:r>
    </w:p>
    <w:p w14:paraId="100FCDD5" w14:textId="54E21BA9" w:rsidR="00DC21B0" w:rsidRDefault="00DC21B0" w:rsidP="00DC21B0">
      <w:pPr>
        <w:pStyle w:val="BodyText"/>
        <w:jc w:val="both"/>
      </w:pPr>
      <w:r w:rsidRPr="00736512">
        <w:t xml:space="preserve">The regulatory costing </w:t>
      </w:r>
      <w:r>
        <w:t>makes the same assumptions as the costing under Option 2, except it assumes</w:t>
      </w:r>
      <w:r w:rsidR="00E8769F">
        <w:t xml:space="preserve"> that</w:t>
      </w:r>
      <w:r>
        <w:t>:</w:t>
      </w:r>
      <w:r w:rsidRPr="00736512">
        <w:t xml:space="preserve"> </w:t>
      </w:r>
    </w:p>
    <w:p w14:paraId="495816CE" w14:textId="003DBC1F" w:rsidR="00DC21B0" w:rsidRDefault="00DC21B0" w:rsidP="00DC21B0">
      <w:pPr>
        <w:pStyle w:val="Bullet"/>
      </w:pPr>
      <w:r>
        <w:t>half as many insurers holding eligible risks would participate under the voluntary model; and</w:t>
      </w:r>
    </w:p>
    <w:p w14:paraId="7A108B68" w14:textId="5EBC1498" w:rsidR="00DC21B0" w:rsidRDefault="00DC21B0" w:rsidP="00DC21B0">
      <w:pPr>
        <w:pStyle w:val="Bullet"/>
      </w:pPr>
      <w:r>
        <w:t xml:space="preserve">half as many reinsurers would </w:t>
      </w:r>
      <w:r w:rsidR="00C2300C">
        <w:t xml:space="preserve">be </w:t>
      </w:r>
      <w:r>
        <w:t>affected.</w:t>
      </w:r>
    </w:p>
    <w:p w14:paraId="1C188735" w14:textId="3AD368A4" w:rsidR="00AD5D34" w:rsidRDefault="00DC21B0" w:rsidP="00DC21B0">
      <w:pPr>
        <w:pStyle w:val="BodyText"/>
        <w:jc w:val="both"/>
        <w:rPr>
          <w:bCs/>
        </w:rPr>
      </w:pPr>
      <w:r>
        <w:rPr>
          <w:bCs/>
        </w:rPr>
        <w:t>While the</w:t>
      </w:r>
      <w:r w:rsidR="006B6AC7">
        <w:rPr>
          <w:bCs/>
        </w:rPr>
        <w:t xml:space="preserve"> regulatory</w:t>
      </w:r>
      <w:r>
        <w:rPr>
          <w:bCs/>
        </w:rPr>
        <w:t xml:space="preserve"> costing was not directly tested with stakeholders, the assumptions and costs underpinning it were informed by stakeholder consultation as well as </w:t>
      </w:r>
      <w:r w:rsidRPr="009F4F02">
        <w:t>analysis from past reviews, including the 2011 Natural Disaster Insurance Review, the 2015 Northern Australia Insurance Premiums Taskforce Report, the 2020 Royal Commission into Natural Disaster Arrangements, and the Australian Competition and Consumer Commission’s Northern Australia Insurance Inquiry.</w:t>
      </w:r>
    </w:p>
    <w:p w14:paraId="4802E1B6" w14:textId="5ABC57EB" w:rsidR="0078244E" w:rsidRPr="00351C78" w:rsidRDefault="0078244E" w:rsidP="005614EE">
      <w:pPr>
        <w:jc w:val="both"/>
        <w:rPr>
          <w:bCs/>
        </w:rPr>
      </w:pPr>
      <w:r w:rsidRPr="00351C78">
        <w:rPr>
          <w:bCs/>
        </w:rPr>
        <w:t xml:space="preserve">A </w:t>
      </w:r>
      <w:r w:rsidR="007D30BC" w:rsidRPr="00351C78">
        <w:rPr>
          <w:bCs/>
        </w:rPr>
        <w:t>voluntary</w:t>
      </w:r>
      <w:r w:rsidRPr="00351C78">
        <w:rPr>
          <w:bCs/>
        </w:rPr>
        <w:t xml:space="preserve"> reinsurance pool would address the policy objectives to:</w:t>
      </w:r>
    </w:p>
    <w:p w14:paraId="3199D012" w14:textId="77777777" w:rsidR="0078244E" w:rsidRPr="0078244E" w:rsidRDefault="0078244E" w:rsidP="005614EE">
      <w:pPr>
        <w:pStyle w:val="Bullet"/>
        <w:jc w:val="both"/>
      </w:pPr>
      <w:r w:rsidRPr="0078244E">
        <w:t xml:space="preserve">improve insurance access and affordability in northern Australia; </w:t>
      </w:r>
    </w:p>
    <w:p w14:paraId="74D00AEB" w14:textId="77777777" w:rsidR="0078244E" w:rsidRPr="0078244E" w:rsidRDefault="0078244E" w:rsidP="005614EE">
      <w:pPr>
        <w:pStyle w:val="Bullet"/>
        <w:jc w:val="both"/>
      </w:pPr>
      <w:r w:rsidRPr="0078244E">
        <w:t xml:space="preserve">strengthen northern Australia’s resilience to natural disasters; and </w:t>
      </w:r>
    </w:p>
    <w:p w14:paraId="09E9214A" w14:textId="0A83F451" w:rsidR="00D012B3" w:rsidRPr="00351C78" w:rsidRDefault="0078244E" w:rsidP="005614EE">
      <w:pPr>
        <w:pStyle w:val="Bullet"/>
        <w:jc w:val="both"/>
      </w:pPr>
      <w:r w:rsidRPr="0078244E">
        <w:t>build the financial capability of people and businesses to support a disaster resilient Australia.</w:t>
      </w:r>
    </w:p>
    <w:p w14:paraId="64A1A97B" w14:textId="77777777" w:rsidR="001C31C5" w:rsidRPr="001C31C5" w:rsidRDefault="001C31C5" w:rsidP="00275247">
      <w:pPr>
        <w:keepNext/>
        <w:spacing w:before="240"/>
        <w:outlineLvl w:val="3"/>
        <w:rPr>
          <w:rFonts w:asciiTheme="majorHAnsi" w:hAnsiTheme="majorHAnsi"/>
          <w:color w:val="014463" w:themeColor="text2"/>
          <w:sz w:val="24"/>
          <w:szCs w:val="24"/>
        </w:rPr>
      </w:pPr>
      <w:r w:rsidRPr="001C31C5">
        <w:rPr>
          <w:rFonts w:asciiTheme="majorHAnsi" w:hAnsiTheme="majorHAnsi"/>
          <w:color w:val="014463" w:themeColor="text2"/>
          <w:sz w:val="24"/>
          <w:szCs w:val="24"/>
        </w:rPr>
        <w:t>Regulatory burden estimate (RBE) table</w:t>
      </w:r>
    </w:p>
    <w:p w14:paraId="28EFD037" w14:textId="4F4DA196" w:rsidR="001C31C5" w:rsidRPr="001C31C5" w:rsidRDefault="001C31C5" w:rsidP="005614EE">
      <w:pPr>
        <w:keepNext/>
        <w:jc w:val="both"/>
      </w:pPr>
      <w:r w:rsidRPr="001C31C5">
        <w:t xml:space="preserve">This table can be used to present quantifiable impacts using the Regulatory Burden Measurement Framework. For further information, please consult the Regulatory Burden Measure Guidance Note. </w:t>
      </w:r>
    </w:p>
    <w:tbl>
      <w:tblPr>
        <w:tblStyle w:val="PMCTableStyle2"/>
        <w:tblW w:w="0" w:type="auto"/>
        <w:tblLook w:val="0660" w:firstRow="1" w:lastRow="1" w:firstColumn="0" w:lastColumn="0" w:noHBand="1" w:noVBand="1"/>
      </w:tblPr>
      <w:tblGrid>
        <w:gridCol w:w="2731"/>
        <w:gridCol w:w="1354"/>
        <w:gridCol w:w="1482"/>
        <w:gridCol w:w="2531"/>
        <w:gridCol w:w="332"/>
        <w:gridCol w:w="1764"/>
      </w:tblGrid>
      <w:tr w:rsidR="001C31C5" w:rsidRPr="001C31C5" w14:paraId="73733C76" w14:textId="77777777" w:rsidTr="00163E7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1313A37A" w14:textId="77777777" w:rsidR="001C31C5" w:rsidRPr="001C31C5" w:rsidRDefault="001C31C5" w:rsidP="001C31C5">
            <w:pPr>
              <w:rPr>
                <w:bCs/>
              </w:rPr>
            </w:pPr>
            <w:r w:rsidRPr="001C31C5">
              <w:rPr>
                <w:bCs/>
              </w:rPr>
              <w:t>Average annual regulatory costs</w:t>
            </w:r>
          </w:p>
        </w:tc>
      </w:tr>
      <w:tr w:rsidR="001C31C5" w:rsidRPr="001C31C5" w14:paraId="67F73D3E" w14:textId="77777777" w:rsidTr="00163E7B">
        <w:trPr>
          <w:trHeight w:val="350"/>
        </w:trPr>
        <w:tc>
          <w:tcPr>
            <w:tcW w:w="2830" w:type="dxa"/>
          </w:tcPr>
          <w:p w14:paraId="26E35D1A" w14:textId="77777777" w:rsidR="001C31C5" w:rsidRPr="001C31C5" w:rsidRDefault="001C31C5" w:rsidP="001C31C5">
            <w:pPr>
              <w:spacing w:before="40" w:after="40"/>
              <w:rPr>
                <w:sz w:val="18"/>
              </w:rPr>
            </w:pPr>
            <w:r w:rsidRPr="001C31C5">
              <w:rPr>
                <w:color w:val="000000" w:themeColor="text1"/>
                <w:sz w:val="18"/>
              </w:rPr>
              <w:t>Change in costs ($ million)</w:t>
            </w:r>
          </w:p>
        </w:tc>
        <w:tc>
          <w:tcPr>
            <w:tcW w:w="1132" w:type="dxa"/>
          </w:tcPr>
          <w:p w14:paraId="7B776703" w14:textId="77777777" w:rsidR="001C31C5" w:rsidRPr="001C31C5" w:rsidRDefault="001C31C5" w:rsidP="001C31C5">
            <w:pPr>
              <w:spacing w:before="40" w:after="40"/>
              <w:rPr>
                <w:sz w:val="18"/>
              </w:rPr>
            </w:pPr>
            <w:r w:rsidRPr="001C31C5">
              <w:rPr>
                <w:color w:val="000000" w:themeColor="text1"/>
                <w:sz w:val="18"/>
              </w:rPr>
              <w:t>Individuals</w:t>
            </w:r>
          </w:p>
        </w:tc>
        <w:tc>
          <w:tcPr>
            <w:tcW w:w="1482" w:type="dxa"/>
          </w:tcPr>
          <w:p w14:paraId="2EB7E39D" w14:textId="77777777" w:rsidR="001C31C5" w:rsidRPr="001C31C5" w:rsidRDefault="001C31C5" w:rsidP="001C31C5">
            <w:pPr>
              <w:spacing w:before="40" w:after="40"/>
              <w:ind w:left="284"/>
              <w:rPr>
                <w:sz w:val="18"/>
              </w:rPr>
            </w:pPr>
            <w:r w:rsidRPr="001C31C5">
              <w:rPr>
                <w:sz w:val="18"/>
              </w:rPr>
              <w:t xml:space="preserve">Business </w:t>
            </w:r>
          </w:p>
        </w:tc>
        <w:tc>
          <w:tcPr>
            <w:tcW w:w="2592" w:type="dxa"/>
          </w:tcPr>
          <w:p w14:paraId="5FA3CBE2" w14:textId="77777777" w:rsidR="001C31C5" w:rsidRPr="001C31C5" w:rsidRDefault="001C31C5" w:rsidP="001C31C5">
            <w:pPr>
              <w:spacing w:before="40" w:after="40"/>
              <w:rPr>
                <w:color w:val="000000" w:themeColor="text1"/>
                <w:sz w:val="18"/>
              </w:rPr>
            </w:pPr>
            <w:r w:rsidRPr="001C31C5">
              <w:rPr>
                <w:color w:val="000000" w:themeColor="text1"/>
                <w:sz w:val="18"/>
              </w:rPr>
              <w:t>Community organisations</w:t>
            </w:r>
          </w:p>
        </w:tc>
        <w:tc>
          <w:tcPr>
            <w:tcW w:w="2158" w:type="dxa"/>
            <w:gridSpan w:val="2"/>
          </w:tcPr>
          <w:p w14:paraId="29D192BE" w14:textId="77777777" w:rsidR="001C31C5" w:rsidRPr="001C31C5" w:rsidRDefault="001C31C5" w:rsidP="001C31C5">
            <w:pPr>
              <w:spacing w:before="40" w:after="40"/>
              <w:rPr>
                <w:color w:val="000000" w:themeColor="text1"/>
                <w:sz w:val="18"/>
              </w:rPr>
            </w:pPr>
            <w:r w:rsidRPr="001C31C5">
              <w:rPr>
                <w:color w:val="000000" w:themeColor="text1"/>
                <w:sz w:val="18"/>
              </w:rPr>
              <w:t>Total change in cost</w:t>
            </w:r>
          </w:p>
        </w:tc>
      </w:tr>
      <w:tr w:rsidR="001C31C5" w:rsidRPr="001C31C5" w14:paraId="450AE8A6" w14:textId="77777777" w:rsidTr="00163E7B">
        <w:trPr>
          <w:cnfStyle w:val="010000000000" w:firstRow="0" w:lastRow="1" w:firstColumn="0" w:lastColumn="0" w:oddVBand="0" w:evenVBand="0" w:oddHBand="0" w:evenHBand="0" w:firstRowFirstColumn="0" w:firstRowLastColumn="0" w:lastRowFirstColumn="0" w:lastRowLastColumn="0"/>
          <w:trHeight w:val="350"/>
        </w:trPr>
        <w:tc>
          <w:tcPr>
            <w:tcW w:w="2830" w:type="dxa"/>
          </w:tcPr>
          <w:p w14:paraId="12F55289" w14:textId="77777777" w:rsidR="001C31C5" w:rsidRPr="001C31C5" w:rsidRDefault="001C31C5" w:rsidP="001C31C5">
            <w:pPr>
              <w:spacing w:before="40" w:after="40"/>
              <w:rPr>
                <w:sz w:val="18"/>
              </w:rPr>
            </w:pPr>
            <w:r w:rsidRPr="001C31C5">
              <w:rPr>
                <w:color w:val="000000" w:themeColor="text1"/>
                <w:sz w:val="18"/>
              </w:rPr>
              <w:t>Total, by sector</w:t>
            </w:r>
          </w:p>
        </w:tc>
        <w:tc>
          <w:tcPr>
            <w:tcW w:w="1132" w:type="dxa"/>
          </w:tcPr>
          <w:p w14:paraId="686C1188" w14:textId="192390AF" w:rsidR="001C31C5" w:rsidRPr="001C31C5" w:rsidRDefault="002241EA" w:rsidP="001C31C5">
            <w:pPr>
              <w:spacing w:before="40" w:after="40"/>
              <w:rPr>
                <w:sz w:val="18"/>
              </w:rPr>
            </w:pPr>
            <w:r>
              <w:rPr>
                <w:sz w:val="18"/>
              </w:rPr>
              <w:t>-</w:t>
            </w:r>
          </w:p>
        </w:tc>
        <w:tc>
          <w:tcPr>
            <w:tcW w:w="1482" w:type="dxa"/>
          </w:tcPr>
          <w:p w14:paraId="14E97E5A" w14:textId="5B1D680F" w:rsidR="001C31C5" w:rsidRPr="001C31C5" w:rsidRDefault="001C31C5" w:rsidP="001C31C5">
            <w:pPr>
              <w:spacing w:before="40" w:after="40"/>
              <w:ind w:left="284"/>
              <w:rPr>
                <w:sz w:val="18"/>
              </w:rPr>
            </w:pPr>
            <w:r w:rsidRPr="001C31C5">
              <w:rPr>
                <w:sz w:val="18"/>
              </w:rPr>
              <w:t>$</w:t>
            </w:r>
            <w:r w:rsidR="002241EA">
              <w:rPr>
                <w:sz w:val="18"/>
              </w:rPr>
              <w:t>0.</w:t>
            </w:r>
            <w:r w:rsidR="00A722BC">
              <w:rPr>
                <w:sz w:val="18"/>
              </w:rPr>
              <w:t>25</w:t>
            </w:r>
          </w:p>
        </w:tc>
        <w:tc>
          <w:tcPr>
            <w:tcW w:w="2943" w:type="dxa"/>
            <w:gridSpan w:val="2"/>
          </w:tcPr>
          <w:p w14:paraId="5CA10468" w14:textId="2E970225" w:rsidR="001C31C5" w:rsidRPr="001C31C5" w:rsidRDefault="002241EA" w:rsidP="001C31C5">
            <w:pPr>
              <w:spacing w:before="40" w:after="40"/>
              <w:ind w:left="284" w:hanging="284"/>
              <w:rPr>
                <w:color w:val="000000" w:themeColor="text1"/>
                <w:sz w:val="18"/>
              </w:rPr>
            </w:pPr>
            <w:r>
              <w:rPr>
                <w:color w:val="000000" w:themeColor="text1"/>
                <w:sz w:val="18"/>
              </w:rPr>
              <w:t>-</w:t>
            </w:r>
          </w:p>
        </w:tc>
        <w:tc>
          <w:tcPr>
            <w:tcW w:w="1807" w:type="dxa"/>
          </w:tcPr>
          <w:p w14:paraId="2832EF16" w14:textId="122DDD78" w:rsidR="001C31C5" w:rsidRPr="001C31C5" w:rsidRDefault="002241EA" w:rsidP="001C31C5">
            <w:pPr>
              <w:spacing w:before="40" w:after="40"/>
              <w:ind w:left="284" w:hanging="284"/>
              <w:rPr>
                <w:color w:val="000000" w:themeColor="text1"/>
                <w:sz w:val="18"/>
              </w:rPr>
            </w:pPr>
            <w:r>
              <w:rPr>
                <w:color w:val="000000" w:themeColor="text1"/>
                <w:sz w:val="18"/>
              </w:rPr>
              <w:t>$0.</w:t>
            </w:r>
            <w:r w:rsidR="00A722BC">
              <w:rPr>
                <w:color w:val="000000" w:themeColor="text1"/>
                <w:sz w:val="18"/>
              </w:rPr>
              <w:t>25</w:t>
            </w:r>
          </w:p>
        </w:tc>
      </w:tr>
    </w:tbl>
    <w:p w14:paraId="7E4A5BFA" w14:textId="77777777" w:rsidR="001C31C5" w:rsidRPr="008D43E3" w:rsidRDefault="001C31C5" w:rsidP="008D43E3">
      <w:pPr>
        <w:pStyle w:val="BodyText"/>
      </w:pPr>
    </w:p>
    <w:p w14:paraId="4515A15D" w14:textId="77777777" w:rsidR="00EA4F15" w:rsidRDefault="00EA4F15">
      <w:pPr>
        <w:rPr>
          <w:rFonts w:asciiTheme="majorHAnsi" w:hAnsiTheme="majorHAnsi"/>
          <w:b/>
          <w:color w:val="014463" w:themeColor="text2"/>
          <w:sz w:val="60"/>
          <w:szCs w:val="60"/>
        </w:rPr>
      </w:pPr>
      <w:r>
        <w:br w:type="page"/>
      </w:r>
    </w:p>
    <w:p w14:paraId="3C1BBBB7" w14:textId="12A4D661" w:rsidR="007C5FA7" w:rsidRDefault="007C5FA7" w:rsidP="007C5FA7">
      <w:pPr>
        <w:pStyle w:val="Title"/>
      </w:pPr>
      <w:r>
        <w:t xml:space="preserve">5. </w:t>
      </w:r>
      <w:r w:rsidR="00DA7BB5">
        <w:t>Consultation</w:t>
      </w:r>
    </w:p>
    <w:p w14:paraId="79AFC3C9" w14:textId="1A262D03" w:rsidR="00502FD0" w:rsidRPr="0043665E" w:rsidRDefault="00502FD0" w:rsidP="005614EE">
      <w:pPr>
        <w:jc w:val="both"/>
      </w:pPr>
      <w:r w:rsidRPr="0043665E">
        <w:t>Significant stakeholder consultation was undertaken during policy development. The purpose of consultation was to:</w:t>
      </w:r>
    </w:p>
    <w:p w14:paraId="66F6E9B5" w14:textId="77777777" w:rsidR="00502FD0" w:rsidRPr="0043665E" w:rsidRDefault="00502FD0" w:rsidP="00A353BD">
      <w:pPr>
        <w:pStyle w:val="Bullet"/>
        <w:numPr>
          <w:ilvl w:val="0"/>
          <w:numId w:val="40"/>
        </w:numPr>
        <w:spacing w:after="160" w:line="259" w:lineRule="auto"/>
        <w:jc w:val="both"/>
      </w:pPr>
      <w:r w:rsidRPr="0043665E">
        <w:t xml:space="preserve">seek industry and other stakeholder views on key features of the reinsurance pool to guide the design process; </w:t>
      </w:r>
    </w:p>
    <w:p w14:paraId="2970AFFA" w14:textId="77777777" w:rsidR="00502FD0" w:rsidRPr="00324488" w:rsidRDefault="00502FD0" w:rsidP="00A353BD">
      <w:pPr>
        <w:pStyle w:val="Bullet"/>
        <w:numPr>
          <w:ilvl w:val="0"/>
          <w:numId w:val="40"/>
        </w:numPr>
        <w:spacing w:after="160" w:line="259" w:lineRule="auto"/>
        <w:jc w:val="both"/>
      </w:pPr>
      <w:r w:rsidRPr="0043665E">
        <w:t>ensure Treasury has sufficient information to form views on key risks associated with a reinsurance pool, across short-, medium- and long</w:t>
      </w:r>
      <w:r w:rsidRPr="0043665E">
        <w:noBreakHyphen/>
        <w:t xml:space="preserve">term time horizons, and be able to advise the Government on these risks;  </w:t>
      </w:r>
    </w:p>
    <w:p w14:paraId="631BE0E3" w14:textId="3E31B3B4" w:rsidR="00502FD0" w:rsidRPr="006043D4" w:rsidRDefault="00502FD0" w:rsidP="00A353BD">
      <w:pPr>
        <w:pStyle w:val="Bullet"/>
        <w:numPr>
          <w:ilvl w:val="0"/>
          <w:numId w:val="40"/>
        </w:numPr>
        <w:spacing w:after="160" w:line="259" w:lineRule="auto"/>
        <w:jc w:val="both"/>
      </w:pPr>
      <w:r w:rsidRPr="001B3549">
        <w:t>understand industry transition ri</w:t>
      </w:r>
      <w:r w:rsidRPr="006043D4">
        <w:t>sks and consider appropriate transition arrangements; and</w:t>
      </w:r>
    </w:p>
    <w:p w14:paraId="3F8F40DA" w14:textId="215E34E4" w:rsidR="00502FD0" w:rsidRPr="00AE31CE" w:rsidRDefault="00502FD0" w:rsidP="00A353BD">
      <w:pPr>
        <w:pStyle w:val="Bullet"/>
        <w:numPr>
          <w:ilvl w:val="0"/>
          <w:numId w:val="40"/>
        </w:numPr>
        <w:spacing w:after="160" w:line="259" w:lineRule="auto"/>
        <w:jc w:val="both"/>
      </w:pPr>
      <w:r w:rsidRPr="00AE31CE">
        <w:t>understand the regulatory impact on businesses, community organisations and individuals to inform decision making.</w:t>
      </w:r>
    </w:p>
    <w:p w14:paraId="6E53504F" w14:textId="60D618E8" w:rsidR="009F4F02" w:rsidRPr="00AE31CE" w:rsidRDefault="009F4F02" w:rsidP="00D57649">
      <w:pPr>
        <w:pStyle w:val="Bullet"/>
        <w:numPr>
          <w:ilvl w:val="0"/>
          <w:numId w:val="0"/>
        </w:numPr>
        <w:spacing w:after="160" w:line="259" w:lineRule="auto"/>
        <w:jc w:val="both"/>
      </w:pPr>
      <w:r w:rsidRPr="009F4F02">
        <w:t>Policy development also relied on analysis from past reviews, including the 2011 Natural Disaster Insurance Review, the 2015 Northern Australia Insurance Premiums Taskforce Report, the 2020 Royal Commission into Natural Disaster Arrangements, and the Australian Competition and Consumer Commission’s Northern Australia Insurance Inquiry.</w:t>
      </w:r>
    </w:p>
    <w:p w14:paraId="75B7C39C" w14:textId="5DBBB64D" w:rsidR="00502FD0" w:rsidRPr="009F1F8A" w:rsidRDefault="00502FD0" w:rsidP="00502FD0">
      <w:pPr>
        <w:pStyle w:val="Heading2"/>
      </w:pPr>
      <w:r w:rsidRPr="009F1F8A">
        <w:t xml:space="preserve">Consultation </w:t>
      </w:r>
      <w:r w:rsidR="00F15FE0">
        <w:t>p</w:t>
      </w:r>
      <w:r w:rsidRPr="009F1F8A">
        <w:t>rocess</w:t>
      </w:r>
    </w:p>
    <w:p w14:paraId="271FA566" w14:textId="06895DBA" w:rsidR="007E5BBC" w:rsidRDefault="00574837" w:rsidP="00D57649">
      <w:pPr>
        <w:jc w:val="both"/>
      </w:pPr>
      <w:r w:rsidRPr="0043665E">
        <w:t xml:space="preserve">Phase one of consultation occurred prior to the 2021-22 Budget. Treasury undertook consultation across Government to test initial responses and draw out any fundamental </w:t>
      </w:r>
      <w:r w:rsidR="004E5E59" w:rsidRPr="0043665E">
        <w:t>drawbacks</w:t>
      </w:r>
      <w:r w:rsidRPr="0043665E">
        <w:t xml:space="preserve"> in the </w:t>
      </w:r>
      <w:r w:rsidR="00732BA4">
        <w:t>broad proposal</w:t>
      </w:r>
      <w:r w:rsidRPr="0043665E">
        <w:t>.</w:t>
      </w:r>
      <w:r w:rsidRPr="0043665E" w:rsidDel="00FF7C89">
        <w:t xml:space="preserve"> </w:t>
      </w:r>
      <w:r w:rsidRPr="0043665E">
        <w:t xml:space="preserve">The purpose of this consultation was to gauge the </w:t>
      </w:r>
      <w:r w:rsidR="001A7647">
        <w:t xml:space="preserve">potential </w:t>
      </w:r>
      <w:r w:rsidRPr="0043665E">
        <w:t xml:space="preserve">impact of a reinsurance pool and to better understand the state of the market. </w:t>
      </w:r>
      <w:r w:rsidR="007E5BBC">
        <w:t xml:space="preserve">This initial consultation phase </w:t>
      </w:r>
      <w:r w:rsidR="0030322E">
        <w:t>also relied on</w:t>
      </w:r>
      <w:r w:rsidR="007E5BBC">
        <w:t xml:space="preserve"> in-depth analysis of past reports, reviews and inquiries on issues related to insurance affordability in </w:t>
      </w:r>
      <w:r w:rsidR="00BB2902">
        <w:t xml:space="preserve">northern </w:t>
      </w:r>
      <w:r w:rsidR="007E5BBC">
        <w:t>Australia and the establishment of a reinsurance pool</w:t>
      </w:r>
      <w:r w:rsidR="009F4F02">
        <w:t xml:space="preserve"> (noted above)</w:t>
      </w:r>
      <w:r w:rsidR="007E5BBC">
        <w:t xml:space="preserve">. </w:t>
      </w:r>
    </w:p>
    <w:p w14:paraId="16DF3D9E" w14:textId="13C7C4A7" w:rsidR="001A7647" w:rsidRDefault="00574837" w:rsidP="005614EE">
      <w:pPr>
        <w:jc w:val="both"/>
      </w:pPr>
      <w:r w:rsidRPr="0043665E">
        <w:t xml:space="preserve">Feedback from these meetings and reports was used to inform our understanding of the insurance market in </w:t>
      </w:r>
      <w:r w:rsidR="002724B4">
        <w:t>n</w:t>
      </w:r>
      <w:r w:rsidR="002724B4" w:rsidRPr="0043665E">
        <w:t xml:space="preserve">orthern </w:t>
      </w:r>
      <w:r w:rsidRPr="0043665E">
        <w:t>Australia, the problems facing the market, options for reform, and approaches to implement these options.</w:t>
      </w:r>
    </w:p>
    <w:p w14:paraId="50FF6332" w14:textId="6AAFEAFC" w:rsidR="00846144" w:rsidRDefault="00574837" w:rsidP="005614EE">
      <w:pPr>
        <w:jc w:val="both"/>
        <w:rPr>
          <w:rFonts w:cstheme="minorHAnsi"/>
          <w:szCs w:val="22"/>
        </w:rPr>
      </w:pPr>
      <w:r w:rsidRPr="0043665E">
        <w:t>Phase two</w:t>
      </w:r>
      <w:r w:rsidR="0030322E">
        <w:t xml:space="preserve"> of consultation commenced following the Government’s </w:t>
      </w:r>
      <w:r w:rsidR="0030322E">
        <w:rPr>
          <w:rFonts w:cstheme="minorHAnsi"/>
          <w:szCs w:val="22"/>
        </w:rPr>
        <w:t xml:space="preserve">4 May 2021 </w:t>
      </w:r>
      <w:r w:rsidR="0030322E" w:rsidRPr="00EB74DE">
        <w:rPr>
          <w:rFonts w:cstheme="minorHAnsi"/>
          <w:szCs w:val="22"/>
        </w:rPr>
        <w:t>announce</w:t>
      </w:r>
      <w:r w:rsidR="0030322E">
        <w:rPr>
          <w:rFonts w:cstheme="minorHAnsi"/>
          <w:szCs w:val="22"/>
        </w:rPr>
        <w:t>ment</w:t>
      </w:r>
      <w:r w:rsidR="003A372E">
        <w:rPr>
          <w:rFonts w:cstheme="minorHAnsi"/>
          <w:szCs w:val="22"/>
        </w:rPr>
        <w:t xml:space="preserve">. This phase ran from May until September 2021, and consisted of three </w:t>
      </w:r>
      <w:r w:rsidR="00846144">
        <w:rPr>
          <w:rFonts w:cstheme="minorHAnsi"/>
          <w:szCs w:val="22"/>
        </w:rPr>
        <w:t>main methods of engagement:</w:t>
      </w:r>
    </w:p>
    <w:p w14:paraId="7B8F2354" w14:textId="336ED72F" w:rsidR="00846144" w:rsidRDefault="00AF2C1E" w:rsidP="005614EE">
      <w:pPr>
        <w:pStyle w:val="Bullet"/>
        <w:jc w:val="both"/>
      </w:pPr>
      <w:r>
        <w:t>c</w:t>
      </w:r>
      <w:r w:rsidR="00846144" w:rsidRPr="00DF4E2E">
        <w:t xml:space="preserve">onsultation via invitation to submit </w:t>
      </w:r>
      <w:r w:rsidR="004E5E59">
        <w:t xml:space="preserve">a response </w:t>
      </w:r>
      <w:r w:rsidR="00846144" w:rsidRPr="00DF4E2E">
        <w:t>to a public consultation</w:t>
      </w:r>
      <w:r w:rsidR="00846144" w:rsidRPr="008413CC">
        <w:t xml:space="preserve"> paper</w:t>
      </w:r>
      <w:r w:rsidR="00846144">
        <w:t xml:space="preserve">; </w:t>
      </w:r>
    </w:p>
    <w:p w14:paraId="620A35C7" w14:textId="3A9B6CD2" w:rsidR="00AF2C1E" w:rsidRDefault="00AF2C1E" w:rsidP="005614EE">
      <w:pPr>
        <w:pStyle w:val="Bullet"/>
        <w:jc w:val="both"/>
      </w:pPr>
      <w:r>
        <w:t xml:space="preserve">establishment of two standing roundtables; </w:t>
      </w:r>
      <w:r w:rsidR="004E5E59">
        <w:t>and</w:t>
      </w:r>
    </w:p>
    <w:p w14:paraId="1F8E49BB" w14:textId="5D055E18" w:rsidR="00846144" w:rsidRPr="00DF4E2E" w:rsidRDefault="00AF2C1E" w:rsidP="005614EE">
      <w:pPr>
        <w:pStyle w:val="Bullet"/>
        <w:jc w:val="both"/>
      </w:pPr>
      <w:r>
        <w:t xml:space="preserve">continuous, targeted, bi-lateral consultation with community, business and consumer advocacy organisations, key industry actors and groups, and other interested stakeholders.  </w:t>
      </w:r>
    </w:p>
    <w:p w14:paraId="1B965086" w14:textId="25C45B44" w:rsidR="00AF2C1E" w:rsidRDefault="00AF2C1E" w:rsidP="005614EE">
      <w:pPr>
        <w:pStyle w:val="Heading3"/>
        <w:jc w:val="both"/>
      </w:pPr>
      <w:r>
        <w:t xml:space="preserve">Public </w:t>
      </w:r>
      <w:r w:rsidR="000A6AAA">
        <w:t>c</w:t>
      </w:r>
      <w:r>
        <w:t xml:space="preserve">onsultation </w:t>
      </w:r>
    </w:p>
    <w:p w14:paraId="2EB8DFA2" w14:textId="258DF869" w:rsidR="00546FF6" w:rsidRDefault="00732BA4" w:rsidP="002811D6">
      <w:pPr>
        <w:pStyle w:val="Bullet"/>
        <w:numPr>
          <w:ilvl w:val="0"/>
          <w:numId w:val="0"/>
        </w:numPr>
        <w:jc w:val="both"/>
      </w:pPr>
      <w:r>
        <w:t>A</w:t>
      </w:r>
      <w:r w:rsidR="002724B4" w:rsidDel="00732BA4">
        <w:t xml:space="preserve"> </w:t>
      </w:r>
      <w:r w:rsidR="00546FF6" w:rsidRPr="00546FF6">
        <w:t xml:space="preserve">consultation paper </w:t>
      </w:r>
      <w:r w:rsidR="00546FF6">
        <w:t xml:space="preserve">was </w:t>
      </w:r>
      <w:r w:rsidR="003F3280">
        <w:t>published</w:t>
      </w:r>
      <w:r w:rsidR="00546FF6">
        <w:t xml:space="preserve"> on </w:t>
      </w:r>
      <w:r w:rsidR="00D67B49">
        <w:t>the Treasury website on</w:t>
      </w:r>
      <w:r w:rsidR="00546FF6">
        <w:t xml:space="preserve"> 21 May 2021</w:t>
      </w:r>
      <w:r w:rsidR="00DC3F8D">
        <w:t xml:space="preserve"> and was open for comment until 18 June 2021</w:t>
      </w:r>
      <w:r w:rsidR="00B85877">
        <w:t xml:space="preserve">. </w:t>
      </w:r>
      <w:r w:rsidR="00D67B49">
        <w:t xml:space="preserve">Subject to the Government’s discretion, submissions would also be published on the Treasury website </w:t>
      </w:r>
      <w:r w:rsidR="003915C3">
        <w:t>in due course</w:t>
      </w:r>
      <w:r w:rsidR="00D67B49">
        <w:t>.</w:t>
      </w:r>
      <w:r w:rsidR="00B85877">
        <w:t xml:space="preserve"> </w:t>
      </w:r>
      <w:r w:rsidR="00755B56">
        <w:t>The objectives of the consultation paper w</w:t>
      </w:r>
      <w:r w:rsidR="003F3280">
        <w:t>ere</w:t>
      </w:r>
      <w:r w:rsidR="00755B56">
        <w:t xml:space="preserve"> primarily to seek </w:t>
      </w:r>
      <w:r w:rsidR="00055239">
        <w:t xml:space="preserve">broad, exploratory </w:t>
      </w:r>
      <w:r w:rsidR="00755B56">
        <w:t xml:space="preserve">feedback from stakeholders to assist the Taskforce to: </w:t>
      </w:r>
    </w:p>
    <w:p w14:paraId="7CE5F500" w14:textId="2D92AEF5" w:rsidR="00755B56" w:rsidRDefault="00755B56" w:rsidP="005614EE">
      <w:pPr>
        <w:pStyle w:val="Bullet"/>
        <w:jc w:val="both"/>
      </w:pPr>
      <w:r>
        <w:t>design</w:t>
      </w:r>
      <w:r w:rsidR="003F3280" w:rsidDel="00AC51E4">
        <w:t xml:space="preserve"> </w:t>
      </w:r>
      <w:r>
        <w:t>a reinsurance pool scheme that improves the availability and affordability of insurance in cyclone</w:t>
      </w:r>
      <w:r w:rsidR="000E7F04">
        <w:noBreakHyphen/>
      </w:r>
      <w:r>
        <w:t>prone areas;</w:t>
      </w:r>
    </w:p>
    <w:p w14:paraId="7EBA73F2" w14:textId="2028C8A1" w:rsidR="00755B56" w:rsidRDefault="00755B56" w:rsidP="005614EE">
      <w:pPr>
        <w:pStyle w:val="Bullet"/>
        <w:jc w:val="both"/>
      </w:pPr>
      <w:r>
        <w:t xml:space="preserve">understand risks associated with the establishment of a reinsurance pool to be mitigated across short-, medium-, and long-term horizons; </w:t>
      </w:r>
    </w:p>
    <w:p w14:paraId="73296D2D" w14:textId="4397CCCA" w:rsidR="00755B56" w:rsidRDefault="00755B56" w:rsidP="005614EE">
      <w:pPr>
        <w:pStyle w:val="Bullet"/>
        <w:jc w:val="both"/>
      </w:pPr>
      <w:r>
        <w:t>guide the industry transition to reinsuring with the pool, by ensuring that the industry is informed adequately and in a timely manner to undertake the relevant actions; and</w:t>
      </w:r>
    </w:p>
    <w:p w14:paraId="31528066" w14:textId="08F78036" w:rsidR="00755B56" w:rsidRDefault="00755B56" w:rsidP="005614EE">
      <w:pPr>
        <w:pStyle w:val="Bullet"/>
        <w:jc w:val="both"/>
      </w:pPr>
      <w:r>
        <w:t>minimise any adverse or unintended impacts arising from the establishment of the reinsurance pool.</w:t>
      </w:r>
    </w:p>
    <w:p w14:paraId="2DF42C91" w14:textId="528BE6C3" w:rsidR="00755B56" w:rsidRPr="00546FF6" w:rsidRDefault="0000445B" w:rsidP="005614EE">
      <w:pPr>
        <w:pStyle w:val="Bullet"/>
        <w:numPr>
          <w:ilvl w:val="0"/>
          <w:numId w:val="0"/>
        </w:numPr>
        <w:jc w:val="both"/>
      </w:pPr>
      <w:r>
        <w:t>The paper</w:t>
      </w:r>
      <w:r w:rsidR="00DF4E2E">
        <w:t xml:space="preserve"> sought</w:t>
      </w:r>
      <w:r w:rsidR="00DF4E2E" w:rsidRPr="00546FF6">
        <w:t xml:space="preserve"> comments on </w:t>
      </w:r>
      <w:r w:rsidR="00DF4E2E">
        <w:t>a wide range of</w:t>
      </w:r>
      <w:r w:rsidR="00DF4E2E" w:rsidRPr="00546FF6">
        <w:t xml:space="preserve"> design features of a reinsurance pool</w:t>
      </w:r>
      <w:r w:rsidR="00DF4E2E">
        <w:t>, including</w:t>
      </w:r>
      <w:r w:rsidR="00542B79">
        <w:t xml:space="preserve"> </w:t>
      </w:r>
      <w:r w:rsidR="00DF4E2E">
        <w:t>the pool coverage (‘how should cyclone and related flooding be defined’ and ‘which insurance policies should be eligible to be covered’)</w:t>
      </w:r>
      <w:r w:rsidR="00542B79">
        <w:t xml:space="preserve">, the reinsurance </w:t>
      </w:r>
      <w:r w:rsidR="00DF4E2E">
        <w:t>pool product design and insurer participation (‘how should the reinsurance product be designed and priced’ and ‘how should insurer participation be managed’)</w:t>
      </w:r>
      <w:r w:rsidR="00542B79">
        <w:t xml:space="preserve">, </w:t>
      </w:r>
      <w:r w:rsidR="00DF4E2E">
        <w:t>as well as how a reinsurance pool should be governed and monitored over time.</w:t>
      </w:r>
    </w:p>
    <w:p w14:paraId="4B425C71" w14:textId="5423D11F" w:rsidR="00B85877" w:rsidRDefault="00B85877" w:rsidP="005614EE">
      <w:pPr>
        <w:jc w:val="both"/>
      </w:pPr>
      <w:r>
        <w:t xml:space="preserve">The paper received </w:t>
      </w:r>
      <w:r w:rsidR="006001EA">
        <w:t>strong interest and engagement</w:t>
      </w:r>
      <w:r w:rsidR="002612EE">
        <w:t>, with T</w:t>
      </w:r>
      <w:r w:rsidRPr="0043665E">
        <w:t>reasury receiv</w:t>
      </w:r>
      <w:r w:rsidR="002612EE">
        <w:t>ing</w:t>
      </w:r>
      <w:r w:rsidRPr="0043665E">
        <w:t xml:space="preserve"> 6</w:t>
      </w:r>
      <w:r w:rsidR="006A52F8">
        <w:t>4</w:t>
      </w:r>
      <w:r w:rsidRPr="0043665E">
        <w:t xml:space="preserve"> submissions </w:t>
      </w:r>
      <w:r w:rsidR="006001EA">
        <w:t xml:space="preserve">from a broad range of </w:t>
      </w:r>
      <w:r w:rsidR="0000445B">
        <w:t xml:space="preserve">relevant </w:t>
      </w:r>
      <w:r w:rsidR="006001EA">
        <w:t xml:space="preserve">industry and community </w:t>
      </w:r>
      <w:r w:rsidR="00BD1D19">
        <w:t>stakeholders</w:t>
      </w:r>
      <w:r w:rsidR="006001EA">
        <w:t xml:space="preserve">. </w:t>
      </w:r>
      <w:r w:rsidRPr="0043665E">
        <w:t>This included 3</w:t>
      </w:r>
      <w:r w:rsidR="008A55BD">
        <w:t>8</w:t>
      </w:r>
      <w:r w:rsidRPr="0043665E">
        <w:t xml:space="preserve"> consumer</w:t>
      </w:r>
      <w:r w:rsidR="006001EA">
        <w:t xml:space="preserve"> and community advocacy </w:t>
      </w:r>
      <w:r w:rsidR="00BC73E5">
        <w:t>submissions from individuals and organisations</w:t>
      </w:r>
      <w:r w:rsidRPr="0043665E">
        <w:t xml:space="preserve">, </w:t>
      </w:r>
      <w:r w:rsidR="00BC73E5">
        <w:t>1</w:t>
      </w:r>
      <w:r w:rsidRPr="0043665E">
        <w:t>5</w:t>
      </w:r>
      <w:r w:rsidR="00BC73E5">
        <w:t xml:space="preserve"> submissions from</w:t>
      </w:r>
      <w:r w:rsidRPr="0043665E">
        <w:t xml:space="preserve"> </w:t>
      </w:r>
      <w:r w:rsidR="00BC73E5">
        <w:t xml:space="preserve">insurance industry stakeholders (comprising </w:t>
      </w:r>
      <w:r w:rsidRPr="0043665E">
        <w:t>insurers</w:t>
      </w:r>
      <w:r w:rsidRPr="0043665E" w:rsidDel="00BC73E5">
        <w:t xml:space="preserve">, </w:t>
      </w:r>
      <w:r w:rsidRPr="0043665E">
        <w:t>reinsurers</w:t>
      </w:r>
      <w:r w:rsidRPr="0043665E" w:rsidDel="00BC73E5">
        <w:t xml:space="preserve">, </w:t>
      </w:r>
      <w:r w:rsidR="00BC73E5">
        <w:t xml:space="preserve">brokers, and </w:t>
      </w:r>
      <w:r w:rsidR="006001EA">
        <w:t xml:space="preserve">industry </w:t>
      </w:r>
      <w:r w:rsidRPr="0043665E">
        <w:t>expert</w:t>
      </w:r>
      <w:r w:rsidR="006001EA">
        <w:t xml:space="preserve"> bodies</w:t>
      </w:r>
      <w:r w:rsidR="00BC73E5">
        <w:t xml:space="preserve"> and peaks)</w:t>
      </w:r>
      <w:r w:rsidRPr="0043665E">
        <w:t>,</w:t>
      </w:r>
      <w:r w:rsidR="00BC73E5">
        <w:t xml:space="preserve"> and</w:t>
      </w:r>
      <w:r w:rsidRPr="0043665E">
        <w:t xml:space="preserve"> 8 government</w:t>
      </w:r>
      <w:r w:rsidR="00BC73E5">
        <w:t xml:space="preserve"> bodies</w:t>
      </w:r>
      <w:r w:rsidRPr="0043665E">
        <w:t xml:space="preserve">. </w:t>
      </w:r>
    </w:p>
    <w:p w14:paraId="35E0C49F" w14:textId="4467E08C" w:rsidR="00055239" w:rsidRDefault="00532847" w:rsidP="005614EE">
      <w:pPr>
        <w:jc w:val="both"/>
      </w:pPr>
      <w:r>
        <w:t>Accompanying</w:t>
      </w:r>
      <w:r w:rsidR="00055239">
        <w:t xml:space="preserve"> the release of a public consultation paper, the Taskforce</w:t>
      </w:r>
      <w:r w:rsidR="004F1A33">
        <w:t xml:space="preserve"> </w:t>
      </w:r>
      <w:r w:rsidR="00055239">
        <w:t xml:space="preserve">hosted </w:t>
      </w:r>
      <w:r w:rsidR="001C45A1">
        <w:t xml:space="preserve">two industry </w:t>
      </w:r>
      <w:r w:rsidR="00055239">
        <w:t>roundtable</w:t>
      </w:r>
      <w:r w:rsidR="001C45A1">
        <w:t>s,</w:t>
      </w:r>
      <w:r w:rsidR="00055239">
        <w:t xml:space="preserve"> with insurers </w:t>
      </w:r>
      <w:r w:rsidR="001C45A1">
        <w:t>and strata insurance stakeholders respectively,</w:t>
      </w:r>
      <w:r w:rsidR="00055239">
        <w:t xml:space="preserve"> </w:t>
      </w:r>
      <w:r w:rsidR="00E20114">
        <w:t>in</w:t>
      </w:r>
      <w:r w:rsidR="00055239">
        <w:t xml:space="preserve"> June 2021. A range of insurers and other stakeholders were invited to attend, and the roundtable sought feedback on the technical design questions outlined in the consultation paper</w:t>
      </w:r>
      <w:r w:rsidR="00E968D4">
        <w:t xml:space="preserve">. </w:t>
      </w:r>
      <w:r w:rsidR="002724B4">
        <w:t xml:space="preserve">Due </w:t>
      </w:r>
      <w:r w:rsidR="00A15A78">
        <w:t>to</w:t>
      </w:r>
      <w:r w:rsidR="002724B4">
        <w:t xml:space="preserve"> COVID-19 health and travel restrictions, t</w:t>
      </w:r>
      <w:r w:rsidR="00E968D4">
        <w:t>hree further roundtables were held virtually in the Whitsundays, Cairns and Townsville</w:t>
      </w:r>
      <w:r w:rsidR="00E20114">
        <w:t xml:space="preserve"> in July 2021</w:t>
      </w:r>
      <w:r w:rsidR="006A0BF1">
        <w:t xml:space="preserve">, where the Taskforce met with leaders and advocates </w:t>
      </w:r>
      <w:r>
        <w:t xml:space="preserve">from communities </w:t>
      </w:r>
      <w:r w:rsidR="006A0BF1">
        <w:t>affected by</w:t>
      </w:r>
      <w:r w:rsidR="008E376C">
        <w:t xml:space="preserve"> the issue of</w:t>
      </w:r>
      <w:r w:rsidR="006A0BF1">
        <w:t xml:space="preserve"> insurance affordability in </w:t>
      </w:r>
      <w:r w:rsidR="002A5C89">
        <w:t>n</w:t>
      </w:r>
      <w:r w:rsidR="006A0BF1">
        <w:t>orthern</w:t>
      </w:r>
      <w:r w:rsidR="003973D2">
        <w:t xml:space="preserve"> </w:t>
      </w:r>
      <w:r w:rsidR="006A0BF1">
        <w:t xml:space="preserve">Australia. </w:t>
      </w:r>
      <w:r w:rsidR="00E968D4">
        <w:t xml:space="preserve"> </w:t>
      </w:r>
    </w:p>
    <w:p w14:paraId="043B50ED" w14:textId="12FF9A9D" w:rsidR="00FB3490" w:rsidRDefault="004F1A33" w:rsidP="005614EE">
      <w:pPr>
        <w:jc w:val="both"/>
      </w:pPr>
      <w:r>
        <w:t>Both</w:t>
      </w:r>
      <w:r w:rsidR="0059757C">
        <w:t xml:space="preserve"> the</w:t>
      </w:r>
      <w:r>
        <w:t xml:space="preserve"> </w:t>
      </w:r>
      <w:r w:rsidR="003D6FC4" w:rsidRPr="0043665E" w:rsidDel="00AF2C1E">
        <w:t>submissions</w:t>
      </w:r>
      <w:r>
        <w:t xml:space="preserve"> and discussion</w:t>
      </w:r>
      <w:r w:rsidR="006A0BF1">
        <w:t>s</w:t>
      </w:r>
      <w:r>
        <w:t xml:space="preserve"> at the roundtable</w:t>
      </w:r>
      <w:r w:rsidR="006A0BF1">
        <w:t>s</w:t>
      </w:r>
      <w:r w:rsidR="003D6FC4" w:rsidRPr="0043665E">
        <w:t xml:space="preserve"> reaffirmed the </w:t>
      </w:r>
      <w:r w:rsidR="002724B4">
        <w:t>challenges</w:t>
      </w:r>
      <w:r w:rsidR="002724B4" w:rsidRPr="0043665E">
        <w:t xml:space="preserve"> </w:t>
      </w:r>
      <w:r w:rsidR="003D6FC4" w:rsidRPr="0043665E">
        <w:t>of insurance affordability</w:t>
      </w:r>
      <w:r w:rsidR="00732BA4">
        <w:t xml:space="preserve"> and access</w:t>
      </w:r>
      <w:r w:rsidR="003D6FC4" w:rsidRPr="0043665E">
        <w:t xml:space="preserve"> </w:t>
      </w:r>
      <w:r w:rsidR="00B01EC8">
        <w:t xml:space="preserve">in </w:t>
      </w:r>
      <w:r w:rsidR="002724B4">
        <w:t xml:space="preserve">northern </w:t>
      </w:r>
      <w:r w:rsidR="00B01EC8">
        <w:t>Australia</w:t>
      </w:r>
      <w:r w:rsidR="003D6FC4" w:rsidRPr="0043665E">
        <w:t>.</w:t>
      </w:r>
      <w:r w:rsidR="00881CDC">
        <w:t xml:space="preserve"> Submissions from consumer, business and community organisations shared data</w:t>
      </w:r>
      <w:r w:rsidR="00FB6EBB">
        <w:t xml:space="preserve">, case studies and anecdotes demonstrating the impact of insurance affordability issues of the lived experience of </w:t>
      </w:r>
      <w:r w:rsidR="002724B4">
        <w:t xml:space="preserve">northern </w:t>
      </w:r>
      <w:r w:rsidR="00FB6EBB">
        <w:t>Australia residents and the resilience of their communities.</w:t>
      </w:r>
      <w:r>
        <w:t xml:space="preserve"> The complexity of design</w:t>
      </w:r>
      <w:r w:rsidR="0059757C">
        <w:t>ing</w:t>
      </w:r>
      <w:r>
        <w:t xml:space="preserve"> a pool that would address these issues was also a key theme arising from the submissions and discussion</w:t>
      </w:r>
      <w:r w:rsidR="00640F94">
        <w:t>s</w:t>
      </w:r>
      <w:r>
        <w:t xml:space="preserve">. </w:t>
      </w:r>
      <w:r w:rsidR="00896EFB">
        <w:t xml:space="preserve">Through this </w:t>
      </w:r>
      <w:r w:rsidR="00C04136">
        <w:t>consultation</w:t>
      </w:r>
      <w:r w:rsidR="00896EFB">
        <w:t xml:space="preserve"> process, the Taskforce had a greater understanding of the potential complication</w:t>
      </w:r>
      <w:r w:rsidR="004415E8">
        <w:t>s</w:t>
      </w:r>
      <w:r w:rsidR="00896EFB">
        <w:t xml:space="preserve"> associated with some design features and where additional attention should be focussed during the design phase. </w:t>
      </w:r>
    </w:p>
    <w:p w14:paraId="3CC3E304" w14:textId="5BF8B8FC" w:rsidR="00055239" w:rsidRDefault="00055239" w:rsidP="005614EE">
      <w:pPr>
        <w:pStyle w:val="Heading3"/>
        <w:jc w:val="both"/>
      </w:pPr>
      <w:r>
        <w:t xml:space="preserve">Standing </w:t>
      </w:r>
      <w:r w:rsidR="000A6AAA">
        <w:t>r</w:t>
      </w:r>
      <w:r w:rsidR="00C95B53" w:rsidRPr="0043665E">
        <w:t xml:space="preserve">oundtables </w:t>
      </w:r>
    </w:p>
    <w:p w14:paraId="62C8B1F2" w14:textId="0F451806" w:rsidR="00055239" w:rsidRDefault="00055239" w:rsidP="005614EE">
      <w:pPr>
        <w:jc w:val="both"/>
      </w:pPr>
      <w:r>
        <w:t>In parallel</w:t>
      </w:r>
      <w:r w:rsidR="00CF10E6">
        <w:t xml:space="preserve"> to consultation through the public consultation paper</w:t>
      </w:r>
      <w:r>
        <w:t xml:space="preserve">, </w:t>
      </w:r>
      <w:r w:rsidR="00E20114">
        <w:t>two</w:t>
      </w:r>
      <w:r>
        <w:t xml:space="preserve"> standing roundtable</w:t>
      </w:r>
      <w:r w:rsidR="00C37714">
        <w:t>s</w:t>
      </w:r>
      <w:r>
        <w:t xml:space="preserve"> w</w:t>
      </w:r>
      <w:r w:rsidR="00E20114">
        <w:t>ere</w:t>
      </w:r>
      <w:r>
        <w:t xml:space="preserve"> established to provide industry expertise</w:t>
      </w:r>
      <w:r w:rsidR="00E20114">
        <w:t xml:space="preserve"> and advice</w:t>
      </w:r>
      <w:r>
        <w:t xml:space="preserve"> during the design of the reinsurance pool</w:t>
      </w:r>
      <w:r w:rsidR="00C04136">
        <w:t>:</w:t>
      </w:r>
    </w:p>
    <w:p w14:paraId="59B100B1" w14:textId="20EEE2BB" w:rsidR="00DE16BB" w:rsidRDefault="009C2D58" w:rsidP="005614EE">
      <w:pPr>
        <w:pStyle w:val="Bullet"/>
        <w:jc w:val="both"/>
      </w:pPr>
      <w:r>
        <w:rPr>
          <w:u w:val="single"/>
        </w:rPr>
        <w:t>Industry</w:t>
      </w:r>
      <w:r w:rsidRPr="00053E05">
        <w:rPr>
          <w:u w:val="single"/>
        </w:rPr>
        <w:t xml:space="preserve"> </w:t>
      </w:r>
      <w:r w:rsidR="00C37714" w:rsidRPr="00053E05">
        <w:rPr>
          <w:u w:val="single"/>
        </w:rPr>
        <w:t>Advisory Panel</w:t>
      </w:r>
      <w:r w:rsidR="00C37714">
        <w:t>: This panel consisted of members</w:t>
      </w:r>
      <w:r w:rsidR="00C37714" w:rsidRPr="006043D4">
        <w:t xml:space="preserve"> </w:t>
      </w:r>
      <w:r w:rsidR="00C37714">
        <w:t xml:space="preserve">with significant, deep experience in actuarial practice, insurance and reinsurance industries, as well as insurance broking. </w:t>
      </w:r>
      <w:r w:rsidR="00C04136">
        <w:t>T</w:t>
      </w:r>
      <w:r w:rsidR="00DE16BB">
        <w:t xml:space="preserve">he Panel </w:t>
      </w:r>
      <w:r w:rsidR="006F4F87">
        <w:t>provide</w:t>
      </w:r>
      <w:r w:rsidR="00C04136">
        <w:t>d</w:t>
      </w:r>
      <w:r w:rsidR="00DE16BB">
        <w:t xml:space="preserve"> technical advice on the impact of different models of reinsurance on the broader insurance and reinsurance market, and the implications for pricing of premiums (including</w:t>
      </w:r>
      <w:r w:rsidR="006F4F87">
        <w:t xml:space="preserve"> the generation of</w:t>
      </w:r>
      <w:r w:rsidR="00DE16BB">
        <w:t xml:space="preserve"> any savings). </w:t>
      </w:r>
      <w:r w:rsidR="006F4F87">
        <w:t xml:space="preserve">The Panel met </w:t>
      </w:r>
      <w:r w:rsidR="00567530">
        <w:t xml:space="preserve">regularly from mid-July </w:t>
      </w:r>
      <w:r w:rsidR="006F4F87">
        <w:t>and provided information and feedback out of session on materials prepared by the Taskforce.</w:t>
      </w:r>
    </w:p>
    <w:p w14:paraId="63B830B8" w14:textId="54C42491" w:rsidR="00C37714" w:rsidRDefault="00C37714" w:rsidP="005614EE">
      <w:pPr>
        <w:pStyle w:val="Bullet"/>
        <w:jc w:val="both"/>
      </w:pPr>
      <w:r w:rsidRPr="00053E05">
        <w:rPr>
          <w:u w:val="single"/>
        </w:rPr>
        <w:t>North Queensland Consultant Panel</w:t>
      </w:r>
      <w:r w:rsidR="00DD4B76">
        <w:t xml:space="preserve">: </w:t>
      </w:r>
      <w:r w:rsidR="00DD4B76" w:rsidRPr="00DD4B76">
        <w:t xml:space="preserve">The North Queensland </w:t>
      </w:r>
      <w:r w:rsidR="00DD4B76">
        <w:t>Consultant</w:t>
      </w:r>
      <w:r w:rsidR="00DD4B76" w:rsidRPr="00DD4B76">
        <w:t xml:space="preserve"> </w:t>
      </w:r>
      <w:r w:rsidR="00DD4B76">
        <w:t>P</w:t>
      </w:r>
      <w:r w:rsidR="00DD4B76" w:rsidRPr="00DD4B76">
        <w:t xml:space="preserve">anel was established to </w:t>
      </w:r>
      <w:r w:rsidR="00DE16BB">
        <w:t xml:space="preserve">draw on the experience and knowledge of </w:t>
      </w:r>
      <w:r w:rsidR="00DD4B76" w:rsidRPr="00DD4B76">
        <w:t xml:space="preserve">key local </w:t>
      </w:r>
      <w:r w:rsidR="00DE16BB">
        <w:t xml:space="preserve">community </w:t>
      </w:r>
      <w:r w:rsidR="00DD4B76" w:rsidRPr="00DD4B76">
        <w:t xml:space="preserve">stakeholders and </w:t>
      </w:r>
      <w:r w:rsidR="00AE420C">
        <w:t>insurance affordability</w:t>
      </w:r>
      <w:r w:rsidR="00DD4B76" w:rsidRPr="00DD4B76">
        <w:t xml:space="preserve"> advocates during </w:t>
      </w:r>
      <w:r w:rsidR="00061256">
        <w:t xml:space="preserve">the </w:t>
      </w:r>
      <w:r w:rsidR="00DD4B76" w:rsidRPr="00DD4B76">
        <w:t xml:space="preserve">development </w:t>
      </w:r>
      <w:r w:rsidR="00DD4B76">
        <w:t xml:space="preserve">of a </w:t>
      </w:r>
      <w:r w:rsidR="00DE16BB">
        <w:t>pool</w:t>
      </w:r>
      <w:r w:rsidR="00DD4B76">
        <w:t xml:space="preserve"> design</w:t>
      </w:r>
      <w:r w:rsidR="00DD4B76" w:rsidRPr="00DD4B76">
        <w:t xml:space="preserve">. The North Queensland Consultant </w:t>
      </w:r>
      <w:r w:rsidR="00BD0D0B">
        <w:t>Panel</w:t>
      </w:r>
      <w:r w:rsidR="00DD4B76" w:rsidRPr="00DD4B76">
        <w:t xml:space="preserve"> </w:t>
      </w:r>
      <w:r w:rsidR="00567530">
        <w:t xml:space="preserve">was </w:t>
      </w:r>
      <w:r w:rsidR="009C2D58">
        <w:t>met</w:t>
      </w:r>
      <w:r w:rsidR="00567530" w:rsidDel="009C2D58">
        <w:t xml:space="preserve"> </w:t>
      </w:r>
      <w:r w:rsidR="009C2D58">
        <w:t>from</w:t>
      </w:r>
      <w:r w:rsidR="00567530">
        <w:t xml:space="preserve"> mid-July and </w:t>
      </w:r>
      <w:r w:rsidR="00DD4B76">
        <w:t xml:space="preserve">provided advice on </w:t>
      </w:r>
      <w:r w:rsidR="00872E99">
        <w:t xml:space="preserve">a range of topics, including on </w:t>
      </w:r>
      <w:r w:rsidR="00DD4B76" w:rsidRPr="00DD4B76">
        <w:t xml:space="preserve">the policy coverage, hazard coverage, and type of reinsurance. </w:t>
      </w:r>
      <w:r w:rsidR="009C2D58">
        <w:t>Members of the panel provided information and feedback out of session on material prepared by the Taskforce.</w:t>
      </w:r>
    </w:p>
    <w:p w14:paraId="5DE9E94E" w14:textId="3F657FBC" w:rsidR="00C95B53" w:rsidRPr="006043D4" w:rsidRDefault="00C95B53" w:rsidP="005614EE">
      <w:pPr>
        <w:pStyle w:val="Heading3"/>
        <w:jc w:val="both"/>
      </w:pPr>
      <w:r w:rsidRPr="0043665E">
        <w:t>Targeted consultation</w:t>
      </w:r>
    </w:p>
    <w:p w14:paraId="3053B653" w14:textId="76ADFC24" w:rsidR="000F13D6" w:rsidRDefault="000F13D6" w:rsidP="005614EE">
      <w:pPr>
        <w:jc w:val="both"/>
      </w:pPr>
      <w:r>
        <w:t xml:space="preserve">In addition to testing positions through the </w:t>
      </w:r>
      <w:r w:rsidR="00CF10E6">
        <w:t>standing roundtables</w:t>
      </w:r>
      <w:r>
        <w:t xml:space="preserve">, </w:t>
      </w:r>
      <w:r w:rsidR="00061256">
        <w:t xml:space="preserve">the Taskforce </w:t>
      </w:r>
      <w:r>
        <w:t>undertook a significant level of targeted, bi</w:t>
      </w:r>
      <w:r>
        <w:noBreakHyphen/>
        <w:t>lateral consultation</w:t>
      </w:r>
      <w:r w:rsidR="000E7032">
        <w:t xml:space="preserve"> with over </w:t>
      </w:r>
      <w:r w:rsidR="00E9104E">
        <w:t>4</w:t>
      </w:r>
      <w:r w:rsidR="000E7032" w:rsidRPr="00E9104E">
        <w:t>0</w:t>
      </w:r>
      <w:r w:rsidR="000E7032">
        <w:t xml:space="preserve"> organisations</w:t>
      </w:r>
      <w:r>
        <w:t>. Th</w:t>
      </w:r>
      <w:r w:rsidR="00E9104E">
        <w:t>is</w:t>
      </w:r>
      <w:r>
        <w:t xml:space="preserve"> targeted consultation was </w:t>
      </w:r>
      <w:r w:rsidR="003D069D">
        <w:t xml:space="preserve">used </w:t>
      </w:r>
      <w:r>
        <w:t xml:space="preserve">to: </w:t>
      </w:r>
    </w:p>
    <w:p w14:paraId="14EB215D" w14:textId="5D4FBAD7" w:rsidR="000E7032" w:rsidRDefault="000E7032" w:rsidP="005614EE">
      <w:pPr>
        <w:pStyle w:val="Bullet"/>
        <w:jc w:val="both"/>
      </w:pPr>
      <w:r>
        <w:t xml:space="preserve">seek advice from specialist organisations including existing Government reinsurance pool operators, </w:t>
      </w:r>
      <w:r w:rsidR="00DD55CC">
        <w:t xml:space="preserve">catastrophe modellers, </w:t>
      </w:r>
      <w:r>
        <w:t xml:space="preserve">scientific experts, and meteorologists; </w:t>
      </w:r>
    </w:p>
    <w:p w14:paraId="7DEBB55C" w14:textId="4E22B6E3" w:rsidR="000E7032" w:rsidRDefault="000E7032" w:rsidP="005614EE">
      <w:pPr>
        <w:pStyle w:val="Bullet"/>
        <w:jc w:val="both"/>
      </w:pPr>
      <w:r>
        <w:t xml:space="preserve">explore responses to the consultation paper in further detail with </w:t>
      </w:r>
      <w:r w:rsidR="005C4621">
        <w:t>respondents</w:t>
      </w:r>
      <w:r>
        <w:t>;</w:t>
      </w:r>
    </w:p>
    <w:p w14:paraId="5E986C1C" w14:textId="521CB1B5" w:rsidR="000E7032" w:rsidRDefault="000F13D6" w:rsidP="005614EE">
      <w:pPr>
        <w:pStyle w:val="Bullet"/>
        <w:jc w:val="both"/>
      </w:pPr>
      <w:r>
        <w:t>provide an opportunity for a broad range of stakeholders, especially community organisation</w:t>
      </w:r>
      <w:r w:rsidR="000E7032">
        <w:t>s</w:t>
      </w:r>
      <w:r>
        <w:t xml:space="preserve"> </w:t>
      </w:r>
      <w:r w:rsidR="000E7032">
        <w:t xml:space="preserve">and </w:t>
      </w:r>
      <w:r>
        <w:t>industry groups, who were not panel members to provide their views to the Taskforce during the design development phase;</w:t>
      </w:r>
      <w:r w:rsidR="000E7032">
        <w:t xml:space="preserve"> and</w:t>
      </w:r>
    </w:p>
    <w:p w14:paraId="104C59A0" w14:textId="5761F150" w:rsidR="00502FD0" w:rsidRPr="006043D4" w:rsidRDefault="000F13D6" w:rsidP="005614EE">
      <w:pPr>
        <w:pStyle w:val="Bullet"/>
        <w:jc w:val="both"/>
      </w:pPr>
      <w:r>
        <w:t xml:space="preserve">address any remaining gaps in the Taskforce’s </w:t>
      </w:r>
      <w:r w:rsidR="000E7032">
        <w:t>understanding of reinsurance product design and market mechanisms</w:t>
      </w:r>
      <w:r>
        <w:t xml:space="preserve">. </w:t>
      </w:r>
    </w:p>
    <w:p w14:paraId="63737CC7" w14:textId="69F21DC9" w:rsidR="003D069D" w:rsidRPr="006043D4" w:rsidRDefault="00596DDB" w:rsidP="005614EE">
      <w:pPr>
        <w:pStyle w:val="Bullet"/>
        <w:numPr>
          <w:ilvl w:val="0"/>
          <w:numId w:val="0"/>
        </w:numPr>
        <w:jc w:val="both"/>
      </w:pPr>
      <w:r>
        <w:t>Targeted</w:t>
      </w:r>
      <w:r w:rsidR="00DD55CC">
        <w:t xml:space="preserve"> meetings, presentations, and discussions provided robust input to </w:t>
      </w:r>
      <w:r w:rsidR="00636993">
        <w:t>policy</w:t>
      </w:r>
      <w:r w:rsidR="00DD55CC">
        <w:t xml:space="preserve"> development </w:t>
      </w:r>
      <w:r w:rsidR="007922C4">
        <w:t xml:space="preserve">and the specification of </w:t>
      </w:r>
      <w:r>
        <w:t>the pool’s</w:t>
      </w:r>
      <w:r w:rsidR="00DD55CC">
        <w:t xml:space="preserve"> design parameters. </w:t>
      </w:r>
      <w:r>
        <w:t>These parameters would be</w:t>
      </w:r>
      <w:r w:rsidR="00F31C7F">
        <w:t xml:space="preserve"> </w:t>
      </w:r>
      <w:r>
        <w:t>tested through the standing roundtables, an</w:t>
      </w:r>
      <w:r w:rsidR="00F31C7F">
        <w:t>d</w:t>
      </w:r>
      <w:r>
        <w:t xml:space="preserve"> further advice would be sought through targeted consultation, in a cyclical process of refining positions through gathering additional information. </w:t>
      </w:r>
    </w:p>
    <w:p w14:paraId="34F8AB41" w14:textId="4375B469" w:rsidR="00502FD0" w:rsidRPr="006043D4" w:rsidRDefault="00636993" w:rsidP="005614EE">
      <w:pPr>
        <w:pStyle w:val="Heading2"/>
        <w:jc w:val="both"/>
      </w:pPr>
      <w:r>
        <w:t xml:space="preserve">Incorporating </w:t>
      </w:r>
      <w:r w:rsidR="00F15FE0">
        <w:t>c</w:t>
      </w:r>
      <w:r w:rsidR="00596DDB">
        <w:t xml:space="preserve">onsultation </w:t>
      </w:r>
      <w:r w:rsidR="00F15FE0">
        <w:t>o</w:t>
      </w:r>
      <w:r w:rsidR="00502FD0" w:rsidRPr="006043D4">
        <w:t>utcomes</w:t>
      </w:r>
    </w:p>
    <w:p w14:paraId="2964D3E4" w14:textId="3D7A5FBF" w:rsidR="00351D0E" w:rsidRDefault="007922C4" w:rsidP="005614EE">
      <w:pPr>
        <w:jc w:val="both"/>
      </w:pPr>
      <w:r>
        <w:t xml:space="preserve">Feedback from stakeholders was continuously incorporated into the policy development of the reinsurance pool </w:t>
      </w:r>
      <w:r w:rsidR="00F31C7F">
        <w:t xml:space="preserve">at every stage of the design process. As outlined above, the consultation program was conducted across a variety of formats to ensure that feedback could be sought </w:t>
      </w:r>
      <w:r w:rsidR="00CF10E6">
        <w:t>via</w:t>
      </w:r>
      <w:r w:rsidR="00F31C7F">
        <w:t xml:space="preserve"> the most appropriate means for the specific stage of the design process and consultation objective. </w:t>
      </w:r>
    </w:p>
    <w:p w14:paraId="2BC4C20B" w14:textId="2237D6A6" w:rsidR="009D46B7" w:rsidRDefault="009D46B7" w:rsidP="00297E3A">
      <w:pPr>
        <w:pStyle w:val="Heading4"/>
      </w:pPr>
      <w:r>
        <w:t xml:space="preserve">Overview of stakeholder feedback by </w:t>
      </w:r>
      <w:r w:rsidR="00300EBC">
        <w:t xml:space="preserve">stakeholder </w:t>
      </w:r>
      <w:r>
        <w:t xml:space="preserve">group and </w:t>
      </w:r>
      <w:r w:rsidR="00300EBC">
        <w:t>subject area</w:t>
      </w:r>
    </w:p>
    <w:p w14:paraId="36D7F88A" w14:textId="544A3156" w:rsidR="00297E3A" w:rsidRPr="00297E3A" w:rsidRDefault="00297E3A">
      <w:pPr>
        <w:jc w:val="both"/>
      </w:pPr>
      <w:r>
        <w:t>The below table outlines the feedback received by the Taskforce through the consultation process (</w:t>
      </w:r>
      <w:r w:rsidR="00300EBC">
        <w:t>comprising</w:t>
      </w:r>
      <w:r>
        <w:t xml:space="preserve"> the public consultation, roundtables, and standing panels) by stakeholder group and subject area.</w:t>
      </w:r>
    </w:p>
    <w:tbl>
      <w:tblPr>
        <w:tblStyle w:val="PMCTableStyle2"/>
        <w:tblW w:w="10201" w:type="dxa"/>
        <w:tblLayout w:type="fixed"/>
        <w:tblCellMar>
          <w:left w:w="142" w:type="dxa"/>
          <w:right w:w="142" w:type="dxa"/>
        </w:tblCellMar>
        <w:tblLook w:val="04A0" w:firstRow="1" w:lastRow="0" w:firstColumn="1" w:lastColumn="0" w:noHBand="0" w:noVBand="1"/>
      </w:tblPr>
      <w:tblGrid>
        <w:gridCol w:w="1413"/>
        <w:gridCol w:w="2834"/>
        <w:gridCol w:w="2977"/>
        <w:gridCol w:w="2977"/>
      </w:tblGrid>
      <w:tr w:rsidR="001F23C6" w14:paraId="670B06B1" w14:textId="77777777" w:rsidTr="0026071E">
        <w:trPr>
          <w:cnfStyle w:val="100000000000" w:firstRow="1" w:lastRow="0" w:firstColumn="0" w:lastColumn="0" w:oddVBand="0" w:evenVBand="0" w:oddHBand="0" w:evenHBand="0" w:firstRowFirstColumn="0" w:firstRowLastColumn="0" w:lastRowFirstColumn="0" w:lastRowLastColumn="0"/>
          <w:tblHeader/>
        </w:trPr>
        <w:tc>
          <w:tcPr>
            <w:tcW w:w="1413" w:type="dxa"/>
            <w:vAlign w:val="center"/>
          </w:tcPr>
          <w:p w14:paraId="6FC2A6C8" w14:textId="2A7269C3" w:rsidR="00C23209" w:rsidRDefault="00C23209" w:rsidP="0026071E">
            <w:pPr>
              <w:jc w:val="center"/>
            </w:pPr>
            <w:r>
              <w:t>Topic</w:t>
            </w:r>
          </w:p>
        </w:tc>
        <w:tc>
          <w:tcPr>
            <w:tcW w:w="2834" w:type="dxa"/>
            <w:vAlign w:val="center"/>
          </w:tcPr>
          <w:p w14:paraId="19852D89" w14:textId="4C9A8D16" w:rsidR="009D46B7" w:rsidRDefault="00C23209" w:rsidP="0026071E">
            <w:pPr>
              <w:jc w:val="center"/>
            </w:pPr>
            <w:r>
              <w:t>C</w:t>
            </w:r>
            <w:r w:rsidRPr="009D46B7">
              <w:t>onsumer</w:t>
            </w:r>
            <w:r w:rsidR="007023D8">
              <w:t>, business</w:t>
            </w:r>
            <w:r w:rsidRPr="009D46B7">
              <w:t xml:space="preserve"> and community advocacy</w:t>
            </w:r>
          </w:p>
        </w:tc>
        <w:tc>
          <w:tcPr>
            <w:tcW w:w="2977" w:type="dxa"/>
            <w:vAlign w:val="center"/>
          </w:tcPr>
          <w:p w14:paraId="2530A362" w14:textId="60235F21" w:rsidR="009D46B7" w:rsidRDefault="00C23209" w:rsidP="0026071E">
            <w:pPr>
              <w:jc w:val="center"/>
            </w:pPr>
            <w:r>
              <w:t>Insurance industry and subject matter experts</w:t>
            </w:r>
          </w:p>
        </w:tc>
        <w:tc>
          <w:tcPr>
            <w:tcW w:w="2977" w:type="dxa"/>
            <w:vAlign w:val="center"/>
          </w:tcPr>
          <w:p w14:paraId="55F8AC6F" w14:textId="68463E77" w:rsidR="009D46B7" w:rsidRDefault="00C23209" w:rsidP="0026071E">
            <w:pPr>
              <w:jc w:val="center"/>
            </w:pPr>
            <w:r>
              <w:t>Government</w:t>
            </w:r>
            <w:r w:rsidR="003164D0">
              <w:t xml:space="preserve"> agencies and bodies</w:t>
            </w:r>
          </w:p>
        </w:tc>
      </w:tr>
      <w:tr w:rsidR="001F23C6" w14:paraId="27B095AE" w14:textId="77777777" w:rsidTr="0026071E">
        <w:tc>
          <w:tcPr>
            <w:tcW w:w="1413" w:type="dxa"/>
          </w:tcPr>
          <w:p w14:paraId="4215A1CA" w14:textId="41B66571" w:rsidR="00C23209" w:rsidRPr="0026071E" w:rsidRDefault="00C23209" w:rsidP="0026071E">
            <w:pPr>
              <w:rPr>
                <w:rFonts w:asciiTheme="majorHAnsi" w:hAnsiTheme="majorHAnsi"/>
                <w:b/>
                <w:sz w:val="18"/>
                <w:szCs w:val="18"/>
              </w:rPr>
            </w:pPr>
            <w:r w:rsidRPr="0026071E">
              <w:rPr>
                <w:rFonts w:asciiTheme="majorHAnsi" w:hAnsiTheme="majorHAnsi"/>
                <w:b/>
                <w:sz w:val="18"/>
                <w:szCs w:val="18"/>
              </w:rPr>
              <w:t>Reinsurance pool coverage</w:t>
            </w:r>
          </w:p>
        </w:tc>
        <w:tc>
          <w:tcPr>
            <w:tcW w:w="2834" w:type="dxa"/>
          </w:tcPr>
          <w:p w14:paraId="7049C613" w14:textId="5D357E33" w:rsidR="0088724A" w:rsidRDefault="0088724A" w:rsidP="0026071E">
            <w:pPr>
              <w:pStyle w:val="Bullet"/>
              <w:ind w:left="227" w:hanging="227"/>
            </w:pPr>
            <w:r>
              <w:t xml:space="preserve">Almost all submissions supported the use of the </w:t>
            </w:r>
            <w:r w:rsidR="001574B9">
              <w:t>Bureau of Meteorology’s (BoM)</w:t>
            </w:r>
            <w:r>
              <w:t xml:space="preserve"> definition of a cyclone as the basis for defining a cyclone.</w:t>
            </w:r>
          </w:p>
          <w:p w14:paraId="1CA80F90" w14:textId="2F4E59B2" w:rsidR="007023D8" w:rsidRDefault="001A7F26" w:rsidP="0026071E">
            <w:pPr>
              <w:pStyle w:val="Bullet"/>
              <w:ind w:left="227" w:hanging="227"/>
            </w:pPr>
            <w:r>
              <w:t>There was also b</w:t>
            </w:r>
            <w:r w:rsidR="001574B9">
              <w:t>road</w:t>
            </w:r>
            <w:r w:rsidR="0088724A">
              <w:t xml:space="preserve"> support</w:t>
            </w:r>
            <w:r w:rsidR="001574B9">
              <w:t xml:space="preserve"> </w:t>
            </w:r>
            <w:r w:rsidR="00733A2A">
              <w:t xml:space="preserve">to include </w:t>
            </w:r>
            <w:r w:rsidR="0088724A">
              <w:t>storm surge in the hazard coverage of the reinsurance pool.</w:t>
            </w:r>
          </w:p>
          <w:p w14:paraId="52EC9FAB" w14:textId="551EDF6C" w:rsidR="00DA2519" w:rsidRDefault="002631F7" w:rsidP="00073A73">
            <w:pPr>
              <w:pStyle w:val="Bullet"/>
              <w:numPr>
                <w:ilvl w:val="0"/>
                <w:numId w:val="0"/>
              </w:numPr>
            </w:pPr>
            <w:r>
              <w:t xml:space="preserve">Stakeholders supported a broad </w:t>
            </w:r>
            <w:r w:rsidR="00943AE5">
              <w:t>definition of ‘</w:t>
            </w:r>
            <w:r>
              <w:t>small business</w:t>
            </w:r>
            <w:r w:rsidR="00943AE5">
              <w:t>’</w:t>
            </w:r>
            <w:r>
              <w:t xml:space="preserve"> (such as less than $10 million turnover or less than 100 employees).</w:t>
            </w:r>
            <w:r w:rsidR="003A5A9D">
              <w:t xml:space="preserve"> </w:t>
            </w:r>
            <w:r w:rsidR="006F6D4E">
              <w:t>Some stakeholders advocated for no threshold</w:t>
            </w:r>
            <w:r w:rsidR="007556F2">
              <w:t>s</w:t>
            </w:r>
            <w:r w:rsidR="006F6D4E">
              <w:t xml:space="preserve"> on the size of businesses covered by the pool. </w:t>
            </w:r>
            <w:r w:rsidR="003A5A9D">
              <w:t xml:space="preserve"> </w:t>
            </w:r>
          </w:p>
        </w:tc>
        <w:tc>
          <w:tcPr>
            <w:tcW w:w="2977" w:type="dxa"/>
          </w:tcPr>
          <w:p w14:paraId="3FF22218" w14:textId="6F7F86AD" w:rsidR="007023D8" w:rsidRDefault="0088724A" w:rsidP="0026071E">
            <w:pPr>
              <w:pStyle w:val="Bullet"/>
              <w:ind w:left="227" w:hanging="227"/>
            </w:pPr>
            <w:r>
              <w:t xml:space="preserve">Stakeholders noted </w:t>
            </w:r>
            <w:r w:rsidR="0037110B">
              <w:t xml:space="preserve">the </w:t>
            </w:r>
            <w:r>
              <w:t>importance of developing definitions of ‘cyclone’ that provide adequate clarity and contract certainty to th</w:t>
            </w:r>
            <w:bookmarkStart w:id="15" w:name="_GoBack"/>
            <w:bookmarkEnd w:id="15"/>
            <w:r>
              <w:t>e insurance industry.</w:t>
            </w:r>
          </w:p>
          <w:p w14:paraId="2B0C197B" w14:textId="1062405E" w:rsidR="007023D8" w:rsidRDefault="00943AE5" w:rsidP="00DA2519">
            <w:pPr>
              <w:pStyle w:val="Bullet"/>
              <w:ind w:left="227" w:hanging="227"/>
            </w:pPr>
            <w:r>
              <w:t>Stakeholder</w:t>
            </w:r>
            <w:r w:rsidR="00700BC0">
              <w:t>s</w:t>
            </w:r>
            <w:r>
              <w:t xml:space="preserve"> </w:t>
            </w:r>
            <w:r w:rsidR="00700BC0">
              <w:t>had</w:t>
            </w:r>
            <w:r>
              <w:t xml:space="preserve"> concern</w:t>
            </w:r>
            <w:r w:rsidR="00700BC0">
              <w:t>s</w:t>
            </w:r>
            <w:r>
              <w:t xml:space="preserve"> that using a definition of ‘small business’ that is impractical or costly for insurers or the reinsurance pool to implement poses a risk to the pool’s success</w:t>
            </w:r>
            <w:r w:rsidR="00802811">
              <w:t xml:space="preserve"> as well as compliance burdens on small businesses</w:t>
            </w:r>
            <w:r>
              <w:t>.</w:t>
            </w:r>
          </w:p>
          <w:p w14:paraId="5AB6426E" w14:textId="46128248" w:rsidR="0088724A" w:rsidRDefault="0088724A" w:rsidP="0026071E">
            <w:pPr>
              <w:pStyle w:val="Bullet"/>
              <w:ind w:left="227" w:hanging="227"/>
            </w:pPr>
            <w:r>
              <w:t>Stakeholder</w:t>
            </w:r>
            <w:r w:rsidR="001021D9">
              <w:t>s</w:t>
            </w:r>
            <w:r>
              <w:t xml:space="preserve"> suggested an eligibility threshold based on maximum property sum insured.</w:t>
            </w:r>
          </w:p>
        </w:tc>
        <w:tc>
          <w:tcPr>
            <w:tcW w:w="2977" w:type="dxa"/>
          </w:tcPr>
          <w:p w14:paraId="1C846E83" w14:textId="044F7949" w:rsidR="00C23209" w:rsidRDefault="00230AB4" w:rsidP="00DA2519">
            <w:pPr>
              <w:pStyle w:val="Bullet"/>
              <w:ind w:left="227" w:hanging="227"/>
            </w:pPr>
            <w:r>
              <w:t xml:space="preserve">Stakeholders emphasised the importance of establishing clear hazard definitions and clarity around the policy coverage scope of the pool. </w:t>
            </w:r>
          </w:p>
          <w:p w14:paraId="23577BFC" w14:textId="77777777" w:rsidR="00230AB4" w:rsidRDefault="00230AB4" w:rsidP="00DA2519">
            <w:pPr>
              <w:pStyle w:val="Bullet"/>
              <w:ind w:left="227" w:hanging="227"/>
            </w:pPr>
            <w:r>
              <w:t xml:space="preserve">Stakeholders noted that coverage should extend to Australia’s external territories. </w:t>
            </w:r>
          </w:p>
          <w:p w14:paraId="1D1F519A" w14:textId="75A9E3CE" w:rsidR="00C23209" w:rsidRDefault="003022A8" w:rsidP="0026071E">
            <w:pPr>
              <w:pStyle w:val="Bullet"/>
              <w:ind w:left="227" w:hanging="227"/>
            </w:pPr>
            <w:r>
              <w:t>S</w:t>
            </w:r>
            <w:r w:rsidR="00230AB4">
              <w:t xml:space="preserve">takeholders </w:t>
            </w:r>
            <w:r w:rsidR="003430D4">
              <w:t xml:space="preserve">considered that </w:t>
            </w:r>
            <w:r w:rsidR="001C37FF">
              <w:t xml:space="preserve">more flexible definitions </w:t>
            </w:r>
            <w:r>
              <w:t xml:space="preserve">of ‘small business’ </w:t>
            </w:r>
            <w:r w:rsidR="001C37FF">
              <w:t>were preferable.</w:t>
            </w:r>
          </w:p>
        </w:tc>
      </w:tr>
      <w:tr w:rsidR="009D46B7" w14:paraId="63025527" w14:textId="77777777" w:rsidTr="0026071E">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2F2F2" w:themeFill="background1" w:themeFillShade="F2"/>
          </w:tcPr>
          <w:p w14:paraId="6FAA6871" w14:textId="77777777" w:rsidR="00C23209" w:rsidRDefault="00C23209" w:rsidP="00C23209">
            <w:pPr>
              <w:rPr>
                <w:rFonts w:asciiTheme="majorHAnsi" w:hAnsiTheme="majorHAnsi"/>
                <w:b/>
                <w:bCs/>
                <w:sz w:val="18"/>
                <w:szCs w:val="18"/>
              </w:rPr>
            </w:pPr>
            <w:r w:rsidRPr="0026071E">
              <w:rPr>
                <w:rFonts w:asciiTheme="majorHAnsi" w:hAnsiTheme="majorHAnsi"/>
                <w:b/>
                <w:sz w:val="18"/>
                <w:szCs w:val="18"/>
              </w:rPr>
              <w:t>Reinsurance product design and insurer participation</w:t>
            </w:r>
          </w:p>
          <w:p w14:paraId="057705BD" w14:textId="77777777" w:rsidR="00711B1D" w:rsidRDefault="00711B1D" w:rsidP="00C23209">
            <w:pPr>
              <w:rPr>
                <w:rFonts w:asciiTheme="majorHAnsi" w:hAnsiTheme="majorHAnsi"/>
                <w:b/>
                <w:bCs/>
                <w:sz w:val="18"/>
                <w:szCs w:val="18"/>
              </w:rPr>
            </w:pPr>
          </w:p>
          <w:p w14:paraId="7642F164" w14:textId="77777777" w:rsidR="00711B1D" w:rsidRDefault="00711B1D" w:rsidP="00C23209">
            <w:pPr>
              <w:rPr>
                <w:rFonts w:asciiTheme="majorHAnsi" w:hAnsiTheme="majorHAnsi"/>
                <w:b/>
                <w:bCs/>
                <w:sz w:val="18"/>
                <w:szCs w:val="18"/>
              </w:rPr>
            </w:pPr>
          </w:p>
          <w:p w14:paraId="2DB7C031" w14:textId="77777777" w:rsidR="00711B1D" w:rsidRDefault="00711B1D" w:rsidP="00C23209">
            <w:pPr>
              <w:rPr>
                <w:rFonts w:asciiTheme="majorHAnsi" w:hAnsiTheme="majorHAnsi"/>
                <w:b/>
                <w:bCs/>
                <w:sz w:val="18"/>
                <w:szCs w:val="18"/>
              </w:rPr>
            </w:pPr>
          </w:p>
          <w:p w14:paraId="3C293BE3" w14:textId="77777777" w:rsidR="00711B1D" w:rsidRDefault="00711B1D" w:rsidP="00C23209">
            <w:pPr>
              <w:rPr>
                <w:rFonts w:asciiTheme="majorHAnsi" w:hAnsiTheme="majorHAnsi"/>
                <w:b/>
                <w:bCs/>
                <w:sz w:val="18"/>
                <w:szCs w:val="18"/>
              </w:rPr>
            </w:pPr>
          </w:p>
          <w:p w14:paraId="180923D5" w14:textId="752B44AE" w:rsidR="009D46B7" w:rsidRPr="0026071E" w:rsidRDefault="00711B1D" w:rsidP="0026071E">
            <w:pPr>
              <w:rPr>
                <w:rFonts w:asciiTheme="majorHAnsi" w:hAnsiTheme="majorHAnsi"/>
                <w:b/>
                <w:sz w:val="18"/>
                <w:szCs w:val="18"/>
              </w:rPr>
            </w:pPr>
            <w:r w:rsidRPr="00246F56">
              <w:rPr>
                <w:rFonts w:asciiTheme="majorHAnsi" w:hAnsiTheme="majorHAnsi"/>
                <w:b/>
                <w:bCs/>
                <w:sz w:val="18"/>
                <w:szCs w:val="18"/>
              </w:rPr>
              <w:t>Reinsurance product design and insurer participation</w:t>
            </w:r>
            <w:r>
              <w:rPr>
                <w:rFonts w:asciiTheme="majorHAnsi" w:hAnsiTheme="majorHAnsi"/>
                <w:b/>
                <w:bCs/>
                <w:sz w:val="18"/>
                <w:szCs w:val="18"/>
              </w:rPr>
              <w:t xml:space="preserve"> (cont.)</w:t>
            </w:r>
          </w:p>
        </w:tc>
        <w:tc>
          <w:tcPr>
            <w:tcW w:w="2834" w:type="dxa"/>
            <w:shd w:val="clear" w:color="auto" w:fill="F2F2F2" w:themeFill="background1" w:themeFillShade="F2"/>
          </w:tcPr>
          <w:p w14:paraId="31B05D59" w14:textId="326FBC10" w:rsidR="009D46B7" w:rsidRDefault="004162F5" w:rsidP="0026071E">
            <w:pPr>
              <w:pStyle w:val="Bullet"/>
              <w:ind w:left="227" w:hanging="227"/>
            </w:pPr>
            <w:r>
              <w:t>S</w:t>
            </w:r>
            <w:r w:rsidR="001E22D9">
              <w:t xml:space="preserve">takeholders noted a general need for the pool to take on a significant </w:t>
            </w:r>
            <w:r w:rsidR="00DE7D3E">
              <w:t>pro</w:t>
            </w:r>
            <w:r w:rsidR="001E22D9">
              <w:t>portion of cyclone risk</w:t>
            </w:r>
            <w:r w:rsidR="00DE7D3E">
              <w:t xml:space="preserve"> from insurers</w:t>
            </w:r>
            <w:r>
              <w:t xml:space="preserve"> to deliver premium savings</w:t>
            </w:r>
            <w:r w:rsidR="001E22D9">
              <w:t xml:space="preserve">.  </w:t>
            </w:r>
          </w:p>
        </w:tc>
        <w:tc>
          <w:tcPr>
            <w:tcW w:w="2977" w:type="dxa"/>
            <w:shd w:val="clear" w:color="auto" w:fill="F2F2F2" w:themeFill="background1" w:themeFillShade="F2"/>
          </w:tcPr>
          <w:p w14:paraId="464A9CED" w14:textId="1C6E27BA" w:rsidR="0088724A" w:rsidRDefault="0088724A" w:rsidP="0088724A">
            <w:pPr>
              <w:pStyle w:val="Bullet"/>
              <w:ind w:left="227" w:hanging="227"/>
            </w:pPr>
            <w:r>
              <w:t xml:space="preserve">Stakeholders recognised that the pool would need to take on a significant </w:t>
            </w:r>
            <w:r w:rsidR="004162F5">
              <w:t>pro</w:t>
            </w:r>
            <w:r>
              <w:t xml:space="preserve">portion of cyclone risk to </w:t>
            </w:r>
            <w:r w:rsidR="001F48C9">
              <w:t xml:space="preserve">generate </w:t>
            </w:r>
            <w:r>
              <w:t>material</w:t>
            </w:r>
            <w:r w:rsidR="001F48C9">
              <w:t xml:space="preserve"> premium savings</w:t>
            </w:r>
            <w:r>
              <w:t>.</w:t>
            </w:r>
          </w:p>
          <w:p w14:paraId="51DAC430" w14:textId="3FF6AD81" w:rsidR="00711B1D" w:rsidRDefault="00711B1D" w:rsidP="0088724A">
            <w:pPr>
              <w:pStyle w:val="Bullet"/>
              <w:ind w:left="227" w:hanging="227"/>
            </w:pPr>
            <w:r w:rsidRPr="00191794">
              <w:t>There was also support for a reinsurance model that provided the ability for premium pricing at a per property level to target savings.</w:t>
            </w:r>
          </w:p>
          <w:p w14:paraId="777A6A8E" w14:textId="020B95DB" w:rsidR="007023D8" w:rsidRDefault="00DE7D3E" w:rsidP="0026071E">
            <w:pPr>
              <w:pStyle w:val="Bullet"/>
              <w:ind w:left="227" w:hanging="227"/>
            </w:pPr>
            <w:r>
              <w:t xml:space="preserve">Stakeholder feedback on participation models was mixed. </w:t>
            </w:r>
            <w:r w:rsidR="00B528E7">
              <w:t xml:space="preserve">Some stakeholders </w:t>
            </w:r>
            <w:r w:rsidR="001C0F9C">
              <w:t>suggested that participation should be mandatory. Other</w:t>
            </w:r>
            <w:r w:rsidR="00B528E7">
              <w:t xml:space="preserve"> stakeholders </w:t>
            </w:r>
            <w:r w:rsidR="001C37FF">
              <w:t>preferred a voluntary participation model</w:t>
            </w:r>
            <w:r w:rsidR="004162F5">
              <w:t xml:space="preserve">, suggesting </w:t>
            </w:r>
            <w:r w:rsidR="00B528E7">
              <w:t>market dynamics alone are sufficient to incentivise participation</w:t>
            </w:r>
            <w:r w:rsidR="001C37FF">
              <w:t xml:space="preserve">. </w:t>
            </w:r>
          </w:p>
          <w:p w14:paraId="55F9F74C" w14:textId="2E3368A5" w:rsidR="009D46B7" w:rsidRDefault="00D6098A" w:rsidP="0026071E">
            <w:pPr>
              <w:pStyle w:val="Bullet"/>
              <w:ind w:left="227" w:hanging="227"/>
            </w:pPr>
            <w:r>
              <w:t>Stakeholder</w:t>
            </w:r>
            <w:r w:rsidR="00F60B2E">
              <w:t>s</w:t>
            </w:r>
            <w:r>
              <w:t xml:space="preserve"> </w:t>
            </w:r>
            <w:r w:rsidR="000A04A0">
              <w:t>emphasised</w:t>
            </w:r>
            <w:r>
              <w:t xml:space="preserve"> that appropriate transitional arrangements would be</w:t>
            </w:r>
            <w:r w:rsidR="00F60B2E">
              <w:t xml:space="preserve"> </w:t>
            </w:r>
            <w:r>
              <w:t>important</w:t>
            </w:r>
            <w:r w:rsidR="00F60B2E">
              <w:t xml:space="preserve"> to minimise </w:t>
            </w:r>
            <w:r>
              <w:t>disrupt</w:t>
            </w:r>
            <w:r w:rsidR="00F60B2E">
              <w:t>ions to</w:t>
            </w:r>
            <w:r>
              <w:t xml:space="preserve"> the market </w:t>
            </w:r>
            <w:r w:rsidR="00F60B2E">
              <w:t>and</w:t>
            </w:r>
            <w:r>
              <w:t xml:space="preserve">  transition costs for insurers </w:t>
            </w:r>
            <w:r w:rsidR="00F60B2E">
              <w:t>that</w:t>
            </w:r>
            <w:r>
              <w:t xml:space="preserve"> </w:t>
            </w:r>
            <w:r w:rsidR="00745581">
              <w:t>may incur</w:t>
            </w:r>
            <w:r w:rsidR="00F60B2E">
              <w:t xml:space="preserve">. </w:t>
            </w:r>
          </w:p>
        </w:tc>
        <w:tc>
          <w:tcPr>
            <w:tcW w:w="2977" w:type="dxa"/>
            <w:shd w:val="clear" w:color="auto" w:fill="F2F2F2" w:themeFill="background1" w:themeFillShade="F2"/>
          </w:tcPr>
          <w:p w14:paraId="719101E3" w14:textId="2D0655F8" w:rsidR="009D46B7" w:rsidRDefault="00D62DBC" w:rsidP="0026071E">
            <w:pPr>
              <w:pStyle w:val="Bullet"/>
              <w:ind w:left="227" w:hanging="227"/>
            </w:pPr>
            <w:r>
              <w:t>S</w:t>
            </w:r>
            <w:r w:rsidR="0018462B">
              <w:t>takeholder</w:t>
            </w:r>
            <w:r w:rsidR="008B450B">
              <w:t>s</w:t>
            </w:r>
            <w:r w:rsidR="0018462B">
              <w:t xml:space="preserve"> </w:t>
            </w:r>
            <w:r>
              <w:t xml:space="preserve">emphasised the importance </w:t>
            </w:r>
            <w:r w:rsidR="001C0F9C">
              <w:t>of</w:t>
            </w:r>
            <w:r>
              <w:t xml:space="preserve"> ensuring premium savings are delivered promptly and passed on to consumers in full</w:t>
            </w:r>
            <w:r w:rsidR="008B450B">
              <w:t xml:space="preserve">. </w:t>
            </w:r>
            <w:r w:rsidR="00E07F16">
              <w:t xml:space="preserve">They preferred models of reinsurance that resulted in the greatest benefit to residents in northern Australia (such as a mandatory participation model). </w:t>
            </w:r>
            <w:r w:rsidR="008B450B">
              <w:t xml:space="preserve"> </w:t>
            </w:r>
          </w:p>
        </w:tc>
      </w:tr>
      <w:tr w:rsidR="001F23C6" w14:paraId="49554E09" w14:textId="77777777" w:rsidTr="0026071E">
        <w:tc>
          <w:tcPr>
            <w:tcW w:w="1413" w:type="dxa"/>
          </w:tcPr>
          <w:p w14:paraId="32E17B35" w14:textId="55BCC677" w:rsidR="00C23209" w:rsidRPr="0026071E" w:rsidRDefault="00C23209" w:rsidP="0026071E">
            <w:pPr>
              <w:rPr>
                <w:rFonts w:asciiTheme="majorHAnsi" w:hAnsiTheme="majorHAnsi"/>
                <w:b/>
                <w:sz w:val="18"/>
                <w:szCs w:val="18"/>
              </w:rPr>
            </w:pPr>
            <w:r w:rsidRPr="0026071E">
              <w:rPr>
                <w:rFonts w:asciiTheme="majorHAnsi" w:hAnsiTheme="majorHAnsi"/>
                <w:b/>
                <w:sz w:val="18"/>
                <w:szCs w:val="18"/>
              </w:rPr>
              <w:t>Reinsurance pool governance</w:t>
            </w:r>
          </w:p>
        </w:tc>
        <w:tc>
          <w:tcPr>
            <w:tcW w:w="2834" w:type="dxa"/>
          </w:tcPr>
          <w:p w14:paraId="7415D380" w14:textId="18DABFD7" w:rsidR="00C23209" w:rsidRDefault="00906933" w:rsidP="0026071E">
            <w:pPr>
              <w:pStyle w:val="Bullet"/>
              <w:ind w:left="227" w:hanging="227"/>
            </w:pPr>
            <w:r>
              <w:t xml:space="preserve">Stakeholders emphasised the importance of monitoring </w:t>
            </w:r>
            <w:r w:rsidR="00A21A58">
              <w:t xml:space="preserve">to ensure </w:t>
            </w:r>
            <w:r>
              <w:t>savings generated by the pool are passed on to policyholders.</w:t>
            </w:r>
          </w:p>
          <w:p w14:paraId="0F407779" w14:textId="752DA1BD" w:rsidR="00DA2519" w:rsidRDefault="00A21A58" w:rsidP="0026071E">
            <w:pPr>
              <w:pStyle w:val="Bullet"/>
              <w:ind w:left="227" w:hanging="227"/>
            </w:pPr>
            <w:r>
              <w:t xml:space="preserve">Almost all stakeholders supported a regular ongoing review of </w:t>
            </w:r>
            <w:r w:rsidR="001C0F9C">
              <w:t xml:space="preserve">the </w:t>
            </w:r>
            <w:r w:rsidR="00016B90">
              <w:t xml:space="preserve">reinsurance pool. Views differed over the ideal </w:t>
            </w:r>
            <w:r w:rsidR="00186192">
              <w:t>period</w:t>
            </w:r>
            <w:r w:rsidR="00016B90">
              <w:t xml:space="preserve"> for reviews.</w:t>
            </w:r>
          </w:p>
        </w:tc>
        <w:tc>
          <w:tcPr>
            <w:tcW w:w="2977" w:type="dxa"/>
          </w:tcPr>
          <w:p w14:paraId="373420EB" w14:textId="77DE5A31" w:rsidR="00C23209" w:rsidRDefault="00B01B53" w:rsidP="0026071E">
            <w:pPr>
              <w:pStyle w:val="Bullet"/>
              <w:ind w:left="227" w:hanging="227"/>
            </w:pPr>
            <w:r>
              <w:t xml:space="preserve">Stakeholders </w:t>
            </w:r>
            <w:r w:rsidR="00F12357">
              <w:t xml:space="preserve">also </w:t>
            </w:r>
            <w:r>
              <w:t>supported an ongoing review of the pool, and review</w:t>
            </w:r>
            <w:r w:rsidR="00F12357">
              <w:t>s</w:t>
            </w:r>
            <w:r>
              <w:t xml:space="preserve"> </w:t>
            </w:r>
            <w:r w:rsidR="00F12357">
              <w:t>c</w:t>
            </w:r>
            <w:r>
              <w:t xml:space="preserve">ould </w:t>
            </w:r>
            <w:r w:rsidR="00F12357">
              <w:t>consider changes in competition and analysis of past claims events.</w:t>
            </w:r>
          </w:p>
        </w:tc>
        <w:tc>
          <w:tcPr>
            <w:tcW w:w="2977" w:type="dxa"/>
          </w:tcPr>
          <w:p w14:paraId="446712A1" w14:textId="578BE4B2" w:rsidR="003430D4" w:rsidRDefault="003430D4" w:rsidP="003430D4">
            <w:pPr>
              <w:pStyle w:val="Bullet"/>
              <w:ind w:left="227" w:hanging="227"/>
            </w:pPr>
            <w:r>
              <w:t xml:space="preserve">Where stakeholders commented, they supported a regular review of the reinsurance pool. </w:t>
            </w:r>
          </w:p>
          <w:p w14:paraId="09FEAC46" w14:textId="77777777" w:rsidR="0033333A" w:rsidRDefault="003430D4" w:rsidP="003430D4">
            <w:pPr>
              <w:pStyle w:val="Bullet"/>
              <w:ind w:left="227" w:hanging="227"/>
            </w:pPr>
            <w:r>
              <w:t>Stakeholders b</w:t>
            </w:r>
            <w:r w:rsidR="00230AB4">
              <w:t>road</w:t>
            </w:r>
            <w:r>
              <w:t>ly</w:t>
            </w:r>
            <w:r w:rsidR="00230AB4">
              <w:t xml:space="preserve"> support</w:t>
            </w:r>
            <w:r>
              <w:t>ed</w:t>
            </w:r>
            <w:r w:rsidR="00230AB4">
              <w:t xml:space="preserve"> monitoring of pass through of premium savings.</w:t>
            </w:r>
          </w:p>
          <w:p w14:paraId="65DFA78B" w14:textId="660D755D" w:rsidR="00C23209" w:rsidRDefault="00C23209" w:rsidP="00073A73">
            <w:pPr>
              <w:pStyle w:val="Bullet"/>
              <w:numPr>
                <w:ilvl w:val="0"/>
                <w:numId w:val="0"/>
              </w:numPr>
              <w:ind w:left="227"/>
            </w:pPr>
          </w:p>
        </w:tc>
      </w:tr>
    </w:tbl>
    <w:p w14:paraId="067FCA0F" w14:textId="2F15F7ED" w:rsidR="009D46B7" w:rsidRDefault="00CB67FF" w:rsidP="00477754">
      <w:pPr>
        <w:pStyle w:val="Heading4"/>
      </w:pPr>
      <w:r>
        <w:t>Overview of how consultation outcomes have been incorporated</w:t>
      </w:r>
    </w:p>
    <w:p w14:paraId="561988E0" w14:textId="0A82DC92" w:rsidR="00B04BBA" w:rsidRDefault="005F5BF4" w:rsidP="0026071E">
      <w:pPr>
        <w:pStyle w:val="BodyText"/>
      </w:pPr>
      <w:r>
        <w:t>T</w:t>
      </w:r>
      <w:r w:rsidR="00B04BBA">
        <w:t xml:space="preserve">he Taskforce used the feedback received through the consultation </w:t>
      </w:r>
      <w:r>
        <w:t>process</w:t>
      </w:r>
      <w:r w:rsidR="00B04BBA">
        <w:t xml:space="preserve"> to </w:t>
      </w:r>
      <w:r>
        <w:t xml:space="preserve">develop preliminary positions on </w:t>
      </w:r>
      <w:r w:rsidR="009D154E">
        <w:t>key elements of the</w:t>
      </w:r>
      <w:r>
        <w:t xml:space="preserve"> design </w:t>
      </w:r>
      <w:r w:rsidR="009D154E">
        <w:t>of a reinsurance pool</w:t>
      </w:r>
      <w:r>
        <w:t xml:space="preserve">. These positions, and the consultation feedback that informed them, were tested with the two standing roundtables – the </w:t>
      </w:r>
      <w:r w:rsidRPr="005F5BF4">
        <w:t>Industry Advisory Pane</w:t>
      </w:r>
      <w:r>
        <w:t xml:space="preserve">l and the </w:t>
      </w:r>
      <w:r w:rsidRPr="005F5BF4">
        <w:t>North Queensland Consultant Panel</w:t>
      </w:r>
      <w:r>
        <w:t xml:space="preserve"> – and through targeted consultation with relevant experts. Through this process, stakeholders were able to </w:t>
      </w:r>
      <w:r w:rsidR="009D154E">
        <w:t xml:space="preserve">validate </w:t>
      </w:r>
      <w:r w:rsidR="007E78DA">
        <w:t xml:space="preserve">or qualify </w:t>
      </w:r>
      <w:r w:rsidR="009D154E">
        <w:t xml:space="preserve">the </w:t>
      </w:r>
      <w:r w:rsidR="007E78DA">
        <w:t xml:space="preserve">advice received through consultation. </w:t>
      </w:r>
    </w:p>
    <w:p w14:paraId="5730DEEE" w14:textId="013129B4" w:rsidR="008D2A4F" w:rsidRPr="008D2A4F" w:rsidRDefault="008D2A4F" w:rsidP="0026071E">
      <w:pPr>
        <w:pStyle w:val="BodyText"/>
      </w:pPr>
      <w:r>
        <w:t>The table below provides an overview of how feedback received through the consultation process has been used to</w:t>
      </w:r>
      <w:r w:rsidRPr="008D2A4F">
        <w:t xml:space="preserve"> </w:t>
      </w:r>
      <w:r>
        <w:t>inform</w:t>
      </w:r>
      <w:r w:rsidRPr="008D2A4F">
        <w:t xml:space="preserve"> the development of options </w:t>
      </w:r>
      <w:r w:rsidR="00FB089F">
        <w:t xml:space="preserve">for a design of a reinsurance pool </w:t>
      </w:r>
      <w:r w:rsidRPr="008D2A4F">
        <w:t xml:space="preserve">and </w:t>
      </w:r>
      <w:r>
        <w:t xml:space="preserve">the </w:t>
      </w:r>
      <w:r w:rsidRPr="008D2A4F">
        <w:t xml:space="preserve">impact analysis </w:t>
      </w:r>
      <w:r>
        <w:t xml:space="preserve">presented in this regulatory impact statement.  </w:t>
      </w:r>
    </w:p>
    <w:tbl>
      <w:tblPr>
        <w:tblStyle w:val="PMCTableStyle2"/>
        <w:tblW w:w="10108" w:type="dxa"/>
        <w:tblCellMar>
          <w:left w:w="142" w:type="dxa"/>
          <w:right w:w="142" w:type="dxa"/>
        </w:tblCellMar>
        <w:tblLook w:val="04A0" w:firstRow="1" w:lastRow="0" w:firstColumn="1" w:lastColumn="0" w:noHBand="0" w:noVBand="1"/>
      </w:tblPr>
      <w:tblGrid>
        <w:gridCol w:w="1555"/>
        <w:gridCol w:w="8553"/>
      </w:tblGrid>
      <w:tr w:rsidR="00C23209" w14:paraId="7F021794" w14:textId="77777777" w:rsidTr="0026071E">
        <w:trPr>
          <w:cnfStyle w:val="100000000000" w:firstRow="1" w:lastRow="0" w:firstColumn="0" w:lastColumn="0" w:oddVBand="0" w:evenVBand="0" w:oddHBand="0" w:evenHBand="0" w:firstRowFirstColumn="0" w:firstRowLastColumn="0" w:lastRowFirstColumn="0" w:lastRowLastColumn="0"/>
          <w:trHeight w:val="452"/>
          <w:tblHeader/>
        </w:trPr>
        <w:tc>
          <w:tcPr>
            <w:tcW w:w="1555" w:type="dxa"/>
            <w:vAlign w:val="center"/>
          </w:tcPr>
          <w:p w14:paraId="13AC9E6F" w14:textId="01AD3F90" w:rsidR="00C23209" w:rsidRPr="0026071E" w:rsidRDefault="00C23209" w:rsidP="0026071E">
            <w:pPr>
              <w:jc w:val="center"/>
              <w:rPr>
                <w:b w:val="0"/>
              </w:rPr>
            </w:pPr>
            <w:r>
              <w:t>Topic</w:t>
            </w:r>
          </w:p>
        </w:tc>
        <w:tc>
          <w:tcPr>
            <w:tcW w:w="8553" w:type="dxa"/>
            <w:vAlign w:val="center"/>
          </w:tcPr>
          <w:p w14:paraId="6046D0DA" w14:textId="0521F4E4" w:rsidR="00C23209" w:rsidRDefault="00C23209">
            <w:pPr>
              <w:jc w:val="center"/>
            </w:pPr>
          </w:p>
        </w:tc>
      </w:tr>
      <w:tr w:rsidR="00C23209" w14:paraId="0439158B" w14:textId="77777777" w:rsidTr="0026071E">
        <w:tc>
          <w:tcPr>
            <w:tcW w:w="1555" w:type="dxa"/>
          </w:tcPr>
          <w:p w14:paraId="0E4F82C1" w14:textId="33862C6A" w:rsidR="00C23209" w:rsidRDefault="00C23209" w:rsidP="00C23209">
            <w:r w:rsidRPr="00246F56">
              <w:rPr>
                <w:rFonts w:asciiTheme="majorHAnsi" w:hAnsiTheme="majorHAnsi"/>
                <w:b/>
                <w:bCs/>
                <w:sz w:val="18"/>
                <w:szCs w:val="18"/>
              </w:rPr>
              <w:t>Reinsurance pool coverage</w:t>
            </w:r>
          </w:p>
        </w:tc>
        <w:tc>
          <w:tcPr>
            <w:tcW w:w="8553" w:type="dxa"/>
          </w:tcPr>
          <w:p w14:paraId="6EC1A39F" w14:textId="2733DAE2" w:rsidR="00732A18" w:rsidRDefault="006D72C0" w:rsidP="00305F89">
            <w:pPr>
              <w:pStyle w:val="Bullet"/>
            </w:pPr>
            <w:r>
              <w:t xml:space="preserve">In line with stakeholder </w:t>
            </w:r>
            <w:r w:rsidR="00186192">
              <w:t>feedback</w:t>
            </w:r>
            <w:r>
              <w:t>, options developed reflect a</w:t>
            </w:r>
            <w:r w:rsidR="00732A18">
              <w:t xml:space="preserve">n understanding </w:t>
            </w:r>
            <w:r>
              <w:t>of ‘cyclone</w:t>
            </w:r>
            <w:r w:rsidR="00186192">
              <w:noBreakHyphen/>
            </w:r>
            <w:r>
              <w:t>related flooding’ that includes cyclone, as well as inland (riverine) flooding, and flooding from the sea via storm-surge.</w:t>
            </w:r>
            <w:r w:rsidR="00732A18">
              <w:t xml:space="preserve"> Additionally, </w:t>
            </w:r>
            <w:r w:rsidR="002A4FBE">
              <w:t>‘</w:t>
            </w:r>
            <w:r w:rsidR="00732A18">
              <w:t>c</w:t>
            </w:r>
            <w:r w:rsidR="002A4FBE">
              <w:t>yclone’ and ‘storm surge’ would be defined in law, with the legal definition based on the current BoM definition</w:t>
            </w:r>
            <w:r w:rsidR="00732A18">
              <w:t>.</w:t>
            </w:r>
            <w:r w:rsidR="007E78DA">
              <w:t xml:space="preserve"> This approach was tested with industry experts through the </w:t>
            </w:r>
            <w:r w:rsidR="007E78DA" w:rsidRPr="007E78DA">
              <w:t>Industry Advisory Panel</w:t>
            </w:r>
            <w:r w:rsidR="007E78DA">
              <w:t xml:space="preserve"> as well as targeted consultation with Australian scientific and meteorological bodies. </w:t>
            </w:r>
          </w:p>
          <w:p w14:paraId="1B57CE81" w14:textId="52364A55" w:rsidR="00C23209" w:rsidRDefault="00732A18" w:rsidP="003A5A9D">
            <w:pPr>
              <w:pStyle w:val="Bullet"/>
            </w:pPr>
            <w:r>
              <w:t xml:space="preserve">The outcomes from the consultation process supported the use of </w:t>
            </w:r>
            <w:r w:rsidRPr="002C686C">
              <w:t xml:space="preserve">sum insured test for small business property </w:t>
            </w:r>
            <w:r>
              <w:t xml:space="preserve">eligibility (see </w:t>
            </w:r>
            <w:r w:rsidRPr="003A5A9D">
              <w:rPr>
                <w:i/>
              </w:rPr>
              <w:t>Case study: defining small business</w:t>
            </w:r>
            <w:r>
              <w:rPr>
                <w:i/>
                <w:iCs/>
              </w:rPr>
              <w:t>)</w:t>
            </w:r>
            <w:r w:rsidR="00A95D05">
              <w:rPr>
                <w:i/>
                <w:iCs/>
              </w:rPr>
              <w:t xml:space="preserve"> </w:t>
            </w:r>
            <w:r w:rsidR="00A95D05" w:rsidRPr="002033A0">
              <w:t xml:space="preserve">and </w:t>
            </w:r>
            <w:r w:rsidR="00A95D05">
              <w:t>testing with industry experts validated this approach</w:t>
            </w:r>
            <w:r>
              <w:rPr>
                <w:i/>
                <w:iCs/>
              </w:rPr>
              <w:t>.</w:t>
            </w:r>
            <w:r w:rsidR="00A95D05">
              <w:rPr>
                <w:i/>
                <w:iCs/>
              </w:rPr>
              <w:t xml:space="preserve"> </w:t>
            </w:r>
          </w:p>
        </w:tc>
      </w:tr>
      <w:tr w:rsidR="00C23209" w14:paraId="18AC2A50" w14:textId="77777777" w:rsidTr="0026071E">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F2F2F2" w:themeFill="background1" w:themeFillShade="F2"/>
          </w:tcPr>
          <w:p w14:paraId="1CFC315E" w14:textId="3D62ABE9" w:rsidR="00C23209" w:rsidRDefault="00C23209" w:rsidP="00C23209">
            <w:r w:rsidRPr="00246F56">
              <w:rPr>
                <w:rFonts w:asciiTheme="majorHAnsi" w:hAnsiTheme="majorHAnsi"/>
                <w:b/>
                <w:bCs/>
                <w:sz w:val="18"/>
                <w:szCs w:val="18"/>
              </w:rPr>
              <w:t>Reinsurance product design and insurer participation</w:t>
            </w:r>
          </w:p>
        </w:tc>
        <w:tc>
          <w:tcPr>
            <w:tcW w:w="8553" w:type="dxa"/>
            <w:shd w:val="clear" w:color="auto" w:fill="F2F2F2" w:themeFill="background1" w:themeFillShade="F2"/>
          </w:tcPr>
          <w:p w14:paraId="320128CE" w14:textId="3DB8BE5C" w:rsidR="00191794" w:rsidRDefault="00732A18" w:rsidP="00477754">
            <w:pPr>
              <w:pStyle w:val="Bullet"/>
            </w:pPr>
            <w:r>
              <w:t>S</w:t>
            </w:r>
            <w:r w:rsidR="00DE7D3E">
              <w:t xml:space="preserve">trong stakeholder feedback emphasised the importance of ensuring premium saving generated from the pool would </w:t>
            </w:r>
            <w:r w:rsidR="000B2AEB">
              <w:t xml:space="preserve">be </w:t>
            </w:r>
            <w:r w:rsidR="00DE7D3E">
              <w:t>material</w:t>
            </w:r>
            <w:r>
              <w:t>. This</w:t>
            </w:r>
            <w:r w:rsidR="009F7978">
              <w:t xml:space="preserve"> has been reflected </w:t>
            </w:r>
            <w:r w:rsidR="00736B49">
              <w:t>in</w:t>
            </w:r>
            <w:r w:rsidR="009F7978">
              <w:t xml:space="preserve"> the </w:t>
            </w:r>
            <w:r>
              <w:t>scoping and assessment</w:t>
            </w:r>
            <w:r w:rsidR="009F7978">
              <w:t xml:space="preserve"> of options for </w:t>
            </w:r>
            <w:r w:rsidR="00736B49">
              <w:t>a</w:t>
            </w:r>
            <w:r w:rsidR="009F7978">
              <w:t xml:space="preserve"> model of reinsurance</w:t>
            </w:r>
            <w:r w:rsidR="000B2AEB">
              <w:t xml:space="preserve"> that would maximise the pool’s ability to improve the affordability of </w:t>
            </w:r>
            <w:r w:rsidR="000B2AEB" w:rsidRPr="00627B69">
              <w:t xml:space="preserve">insurance for </w:t>
            </w:r>
            <w:r w:rsidR="000B2AEB">
              <w:t>household, strata and small business property policies in northern Australia</w:t>
            </w:r>
            <w:r>
              <w:t xml:space="preserve"> (options discussed further in sections 3 and 4)</w:t>
            </w:r>
            <w:r w:rsidR="000B2AEB">
              <w:t>.</w:t>
            </w:r>
            <w:r w:rsidR="00901D4F">
              <w:t xml:space="preserve"> </w:t>
            </w:r>
          </w:p>
          <w:p w14:paraId="408B4476" w14:textId="0A0E8FDB" w:rsidR="009F7978" w:rsidRDefault="0071216A" w:rsidP="00477754">
            <w:pPr>
              <w:pStyle w:val="Bullet"/>
            </w:pPr>
            <w:r>
              <w:t>F</w:t>
            </w:r>
            <w:r w:rsidR="009F7978">
              <w:t>eedback also guided the development of options for insurers’ participation in the scheme, and the criteria of assessing how a mandatory model compares with a voluntary model of participation</w:t>
            </w:r>
            <w:r w:rsidR="00732A18">
              <w:t xml:space="preserve"> (see section 6)</w:t>
            </w:r>
            <w:r w:rsidR="009F7978">
              <w:t xml:space="preserve">. </w:t>
            </w:r>
          </w:p>
          <w:p w14:paraId="74E226BB" w14:textId="04960CBD" w:rsidR="00901D4F" w:rsidRDefault="00DE7D3E" w:rsidP="003A5A9D">
            <w:pPr>
              <w:pStyle w:val="Bullet"/>
            </w:pPr>
            <w:r>
              <w:t>In response to</w:t>
            </w:r>
            <w:r w:rsidR="00BD1876">
              <w:t xml:space="preserve"> insurers’ feedback on transitional risks, particularly </w:t>
            </w:r>
            <w:r w:rsidR="00732A18">
              <w:t>for</w:t>
            </w:r>
            <w:r w:rsidR="00BD1876">
              <w:t xml:space="preserve"> small insurers, transitional arrangements have been developed for each option </w:t>
            </w:r>
            <w:r w:rsidR="00D745C6">
              <w:t>with a focus on</w:t>
            </w:r>
            <w:r w:rsidR="00BD1876">
              <w:t xml:space="preserve"> reduc</w:t>
            </w:r>
            <w:r w:rsidR="00D745C6">
              <w:t>ing</w:t>
            </w:r>
            <w:r w:rsidR="00BD1876">
              <w:t xml:space="preserve"> transition costs. They include</w:t>
            </w:r>
            <w:r w:rsidR="00BD1876" w:rsidRPr="00BD1876">
              <w:t xml:space="preserve"> an initial transition period to allow insurers sufficient time to transition their existing reinsurance contracts</w:t>
            </w:r>
            <w:r w:rsidR="00850EC7">
              <w:t xml:space="preserve"> and</w:t>
            </w:r>
            <w:r w:rsidR="00BD1876" w:rsidRPr="00BD1876">
              <w:t xml:space="preserve"> up</w:t>
            </w:r>
            <w:r w:rsidR="00CB5EE4">
              <w:t>date</w:t>
            </w:r>
            <w:r w:rsidR="00BD1876" w:rsidRPr="00BD1876">
              <w:t xml:space="preserve"> </w:t>
            </w:r>
            <w:r w:rsidR="00850EC7">
              <w:t xml:space="preserve">operations, with additional time </w:t>
            </w:r>
            <w:r w:rsidR="00CB5EE4">
              <w:t>for</w:t>
            </w:r>
            <w:r w:rsidR="00850EC7">
              <w:t xml:space="preserve"> small insurers.</w:t>
            </w:r>
          </w:p>
          <w:p w14:paraId="11FE9BA6" w14:textId="2310DC4C" w:rsidR="007023D8" w:rsidRDefault="00901D4F" w:rsidP="003A5A9D">
            <w:pPr>
              <w:pStyle w:val="Bullet"/>
            </w:pPr>
            <w:r>
              <w:t xml:space="preserve">Options for reinsurance product design and insurer participation were refined through testing with the </w:t>
            </w:r>
            <w:r w:rsidRPr="007E78DA">
              <w:t>Industry Advisory Panel</w:t>
            </w:r>
            <w:r>
              <w:t xml:space="preserve"> and </w:t>
            </w:r>
            <w:r w:rsidRPr="005F5BF4">
              <w:t>North Queensland Consultant</w:t>
            </w:r>
            <w:r>
              <w:t xml:space="preserve"> Panel. </w:t>
            </w:r>
            <w:r w:rsidR="004E683D">
              <w:t xml:space="preserve">  </w:t>
            </w:r>
          </w:p>
        </w:tc>
      </w:tr>
      <w:tr w:rsidR="00C23209" w14:paraId="2C2EA381" w14:textId="77777777" w:rsidTr="0026071E">
        <w:tc>
          <w:tcPr>
            <w:tcW w:w="1555" w:type="dxa"/>
          </w:tcPr>
          <w:p w14:paraId="1FE0050C" w14:textId="0D69D57A" w:rsidR="00C23209" w:rsidRDefault="00C23209" w:rsidP="00C23209">
            <w:r w:rsidRPr="00246F56">
              <w:rPr>
                <w:rFonts w:asciiTheme="majorHAnsi" w:hAnsiTheme="majorHAnsi"/>
                <w:b/>
                <w:bCs/>
                <w:sz w:val="18"/>
                <w:szCs w:val="18"/>
              </w:rPr>
              <w:t>Reinsurance pool governance</w:t>
            </w:r>
          </w:p>
        </w:tc>
        <w:tc>
          <w:tcPr>
            <w:tcW w:w="8553" w:type="dxa"/>
          </w:tcPr>
          <w:p w14:paraId="73EA87A4" w14:textId="58E004E2" w:rsidR="0012797B" w:rsidRDefault="00850EC7" w:rsidP="008B0564">
            <w:pPr>
              <w:pStyle w:val="Bullet"/>
            </w:pPr>
            <w:r>
              <w:t>Reflecting stakeholders</w:t>
            </w:r>
            <w:r w:rsidR="00693C3B">
              <w:t>’</w:t>
            </w:r>
            <w:r>
              <w:t xml:space="preserve"> broad support of regular ongoing review arrangements, </w:t>
            </w:r>
            <w:r w:rsidR="00ED2A61">
              <w:t xml:space="preserve">the implementation and evaluation plan for a reinsurance pool (see </w:t>
            </w:r>
            <w:r w:rsidR="00501D44">
              <w:t>s</w:t>
            </w:r>
            <w:r w:rsidR="00ED2A61">
              <w:t xml:space="preserve">ection 7) </w:t>
            </w:r>
            <w:r w:rsidR="001B3C51">
              <w:t>includes</w:t>
            </w:r>
            <w:r w:rsidR="00ED2A61">
              <w:t xml:space="preserve"> the establishment of a formal review process </w:t>
            </w:r>
            <w:r w:rsidR="001B3C51">
              <w:t>commencing</w:t>
            </w:r>
            <w:r w:rsidR="00ED2A61">
              <w:t xml:space="preserve"> first after three years (i.e. </w:t>
            </w:r>
            <w:r w:rsidR="00CB5EE4">
              <w:t>in</w:t>
            </w:r>
            <w:r w:rsidR="00ED2A61">
              <w:t xml:space="preserve"> 2025) and then at least once every five years (from 2030). </w:t>
            </w:r>
          </w:p>
          <w:p w14:paraId="702E69DC" w14:textId="25283190" w:rsidR="00C23209" w:rsidRDefault="00337AC5" w:rsidP="003A5A9D">
            <w:pPr>
              <w:pStyle w:val="Bullet"/>
            </w:pPr>
            <w:r>
              <w:t xml:space="preserve">In response to stakeholders’ </w:t>
            </w:r>
            <w:r w:rsidR="00AF77C0">
              <w:t xml:space="preserve">support of </w:t>
            </w:r>
            <w:r w:rsidR="008B0564">
              <w:t>some form of</w:t>
            </w:r>
            <w:r w:rsidR="00AF77C0">
              <w:t xml:space="preserve"> monitoring, the pool would be established with a</w:t>
            </w:r>
            <w:r w:rsidR="00AF77C0" w:rsidRPr="00602BED">
              <w:t xml:space="preserve"> monitoring program </w:t>
            </w:r>
            <w:r w:rsidR="00AF77C0">
              <w:t>to</w:t>
            </w:r>
            <w:r w:rsidR="00AF77C0" w:rsidRPr="00602BED">
              <w:t xml:space="preserve"> be undertaken by</w:t>
            </w:r>
            <w:r w:rsidR="00AF77C0">
              <w:t xml:space="preserve"> the ACCC. The objectives of the monitoring program would be to monitor the impact of the pool in improving the affordability of property insurance for households and small business and monitoring the pass through of insurer savings to policyholders. </w:t>
            </w:r>
          </w:p>
        </w:tc>
      </w:tr>
    </w:tbl>
    <w:p w14:paraId="0FEEED47" w14:textId="77777777" w:rsidR="00C23209" w:rsidRDefault="00C23209" w:rsidP="005614EE">
      <w:pPr>
        <w:jc w:val="both"/>
      </w:pPr>
    </w:p>
    <w:p w14:paraId="7423BD83" w14:textId="11824308" w:rsidR="007922C4" w:rsidRDefault="004D35A9" w:rsidP="005614EE">
      <w:pPr>
        <w:jc w:val="both"/>
      </w:pPr>
      <w:r>
        <w:t xml:space="preserve">A </w:t>
      </w:r>
      <w:r w:rsidR="00351D0E">
        <w:t xml:space="preserve">case </w:t>
      </w:r>
      <w:r>
        <w:t xml:space="preserve">study is </w:t>
      </w:r>
      <w:r w:rsidR="00351D0E">
        <w:t>provided below that demonstrate</w:t>
      </w:r>
      <w:r>
        <w:t>s</w:t>
      </w:r>
      <w:r w:rsidR="00351D0E">
        <w:t xml:space="preserve"> </w:t>
      </w:r>
      <w:r w:rsidR="00297E3A">
        <w:t>in greater detail the process of</w:t>
      </w:r>
      <w:r w:rsidR="00351D0E">
        <w:t xml:space="preserve"> how stakeholder feedback has been incorporated into the design of </w:t>
      </w:r>
      <w:r w:rsidR="00CF10E6">
        <w:t>the</w:t>
      </w:r>
      <w:r w:rsidR="00351D0E">
        <w:t xml:space="preserve"> reinsurance pool. </w:t>
      </w:r>
      <w:r w:rsidR="007922C4">
        <w:t xml:space="preserve"> </w:t>
      </w:r>
    </w:p>
    <w:p w14:paraId="196D595C" w14:textId="2350F929" w:rsidR="00AC3999" w:rsidRDefault="008E24C8" w:rsidP="005614EE">
      <w:pPr>
        <w:pStyle w:val="Heading3"/>
        <w:jc w:val="both"/>
      </w:pPr>
      <w:r>
        <w:t xml:space="preserve">Case study: defining </w:t>
      </w:r>
      <w:r w:rsidR="009D1130">
        <w:t>s</w:t>
      </w:r>
      <w:r w:rsidR="00F23DC1">
        <w:t xml:space="preserve">mall </w:t>
      </w:r>
      <w:r w:rsidR="009D1130">
        <w:t>b</w:t>
      </w:r>
      <w:r w:rsidR="00F23DC1">
        <w:t>usiness</w:t>
      </w:r>
    </w:p>
    <w:p w14:paraId="36AF3B40" w14:textId="41A24B28" w:rsidR="00121C14" w:rsidRDefault="00F23DC1" w:rsidP="005614EE">
      <w:pPr>
        <w:jc w:val="both"/>
      </w:pPr>
      <w:r>
        <w:t>On 4 May 2021, the Government announced its intention to establish a reinsurance pool that would provide coverage for small business, in addition to home and strata</w:t>
      </w:r>
      <w:r w:rsidR="00DC1347">
        <w:t xml:space="preserve"> property</w:t>
      </w:r>
      <w:r>
        <w:t xml:space="preserve">. </w:t>
      </w:r>
      <w:r w:rsidR="00B76B64">
        <w:t>T</w:t>
      </w:r>
      <w:r w:rsidR="00EF0047">
        <w:t>o captur</w:t>
      </w:r>
      <w:r w:rsidR="00B76B64">
        <w:t>e</w:t>
      </w:r>
      <w:r w:rsidR="00EF0047">
        <w:t xml:space="preserve"> small business under the pool’s coverage</w:t>
      </w:r>
      <w:r w:rsidR="00B76B64">
        <w:t xml:space="preserve">, the Taskforce needed to </w:t>
      </w:r>
      <w:r w:rsidR="00CF10E6">
        <w:t>define</w:t>
      </w:r>
      <w:r w:rsidR="00B83EE7">
        <w:t xml:space="preserve"> what </w:t>
      </w:r>
      <w:r w:rsidR="00B76B64">
        <w:t xml:space="preserve">should </w:t>
      </w:r>
      <w:r w:rsidR="00EF0047">
        <w:t>constitute</w:t>
      </w:r>
      <w:r w:rsidR="00B83EE7">
        <w:t xml:space="preserve"> a ‘small business’ for the purposes of </w:t>
      </w:r>
      <w:r w:rsidR="00CF10E6">
        <w:t xml:space="preserve">coverage </w:t>
      </w:r>
      <w:r w:rsidR="00B76B64">
        <w:t>eligibility</w:t>
      </w:r>
      <w:r w:rsidR="00EF0047">
        <w:t xml:space="preserve">. </w:t>
      </w:r>
    </w:p>
    <w:p w14:paraId="6F969984" w14:textId="3B3CD478" w:rsidR="00B76B64" w:rsidRDefault="00C968C0" w:rsidP="005614EE">
      <w:pPr>
        <w:jc w:val="both"/>
      </w:pPr>
      <w:r>
        <w:t>T</w:t>
      </w:r>
      <w:r w:rsidR="00121C14">
        <w:t xml:space="preserve">here are currently no consistent definitions of ‘small business’ or ‘small business property insurance’ in the market. </w:t>
      </w:r>
      <w:r w:rsidR="00B76B64">
        <w:t xml:space="preserve">There are many </w:t>
      </w:r>
      <w:r w:rsidR="00DC1347">
        <w:t xml:space="preserve">varied </w:t>
      </w:r>
      <w:r w:rsidR="00B76B64">
        <w:t>definitions of ‘small business’ in use, including:</w:t>
      </w:r>
    </w:p>
    <w:p w14:paraId="357C34EA" w14:textId="31991919" w:rsidR="00B76B64" w:rsidRDefault="00B76B64" w:rsidP="005614EE">
      <w:pPr>
        <w:pStyle w:val="Bullet"/>
        <w:jc w:val="both"/>
      </w:pPr>
      <w:r>
        <w:t xml:space="preserve">a business that has a turnover of less than $1 million and 5 or less full-time equivalent workers (the Insurance Contracts Regulations 2017); </w:t>
      </w:r>
    </w:p>
    <w:p w14:paraId="1DE6BDC5" w14:textId="74735443" w:rsidR="00B76B64" w:rsidRDefault="00B76B64" w:rsidP="005614EE">
      <w:pPr>
        <w:pStyle w:val="Bullet"/>
        <w:jc w:val="both"/>
      </w:pPr>
      <w:r>
        <w:t>under the General Insurance Code of Practice, a manufacturing business with fewer than 100 employees or a non</w:t>
      </w:r>
      <w:r w:rsidR="00D95D56">
        <w:noBreakHyphen/>
      </w:r>
      <w:r>
        <w:t>manufacturing business with fewer than 20 employees; and</w:t>
      </w:r>
    </w:p>
    <w:p w14:paraId="607414DE" w14:textId="77777777" w:rsidR="00BD052E" w:rsidRDefault="00B76B64" w:rsidP="005614EE">
      <w:pPr>
        <w:pStyle w:val="Bullet"/>
        <w:jc w:val="both"/>
      </w:pPr>
      <w:r>
        <w:t>for most small business tax concessions, a business that has less than $10 million in turnover.</w:t>
      </w:r>
    </w:p>
    <w:p w14:paraId="45BC1ED9" w14:textId="6D86FD2D" w:rsidR="00BD052E" w:rsidRDefault="00BD052E" w:rsidP="005614EE">
      <w:pPr>
        <w:pStyle w:val="Bullet"/>
        <w:numPr>
          <w:ilvl w:val="0"/>
          <w:numId w:val="0"/>
        </w:numPr>
        <w:jc w:val="both"/>
      </w:pPr>
      <w:r>
        <w:t>There are trade-offs when weighing different definitions. For instance, a turnover threshold could result in businesses near the threshold fluctuating between being eligible and ineligible for coverage, while other definitions may impose a greater administrative burden on businesses, insurers</w:t>
      </w:r>
      <w:r w:rsidR="00DC1347">
        <w:t>,</w:t>
      </w:r>
      <w:r>
        <w:t xml:space="preserve"> and the reinsurance pool.</w:t>
      </w:r>
    </w:p>
    <w:p w14:paraId="14BBD511" w14:textId="02801A63" w:rsidR="00C968C0" w:rsidRDefault="00B76B64" w:rsidP="005614EE">
      <w:pPr>
        <w:jc w:val="both"/>
      </w:pPr>
      <w:r>
        <w:t>During initial stages of consultation,</w:t>
      </w:r>
      <w:r w:rsidR="00BD052E">
        <w:t xml:space="preserve"> the Taskforce </w:t>
      </w:r>
      <w:r w:rsidR="00884F70">
        <w:t xml:space="preserve">considered </w:t>
      </w:r>
      <w:r w:rsidR="00BD052E">
        <w:t>a standard definition recommended by</w:t>
      </w:r>
      <w:r w:rsidR="00F23DC1">
        <w:t xml:space="preserve"> the Australian Small Business and Family Enterprise Ombudsman</w:t>
      </w:r>
      <w:r w:rsidR="00BD052E">
        <w:t xml:space="preserve"> (ASBFEO)</w:t>
      </w:r>
      <w:r w:rsidR="00F23DC1">
        <w:t xml:space="preserve"> as a business with less than $10 million in turnover or fewer than 100</w:t>
      </w:r>
      <w:r w:rsidR="00BB07D8">
        <w:t> </w:t>
      </w:r>
      <w:r w:rsidR="00F23DC1">
        <w:t>employees.</w:t>
      </w:r>
      <w:r w:rsidR="00BD052E">
        <w:t xml:space="preserve"> </w:t>
      </w:r>
      <w:r w:rsidR="00E45640">
        <w:t xml:space="preserve">Submissions </w:t>
      </w:r>
      <w:r w:rsidR="00BD052E">
        <w:t xml:space="preserve">to the </w:t>
      </w:r>
      <w:r w:rsidR="00121C14">
        <w:t>consultation paper</w:t>
      </w:r>
      <w:r w:rsidR="00E45640">
        <w:t xml:space="preserve"> from non-insurance industry actors (i.e. consumer </w:t>
      </w:r>
      <w:r w:rsidR="00A15A78">
        <w:t>advocacy</w:t>
      </w:r>
      <w:r w:rsidR="00E45640">
        <w:t xml:space="preserve"> groups) supported the inclusion of the ASBFEO test, while submissions</w:t>
      </w:r>
      <w:r w:rsidR="00121C14">
        <w:t xml:space="preserve"> </w:t>
      </w:r>
      <w:r w:rsidR="00E45640">
        <w:t xml:space="preserve">from </w:t>
      </w:r>
      <w:r w:rsidR="00121C14">
        <w:t xml:space="preserve">industry stakeholders raised concerns regarding the ability to </w:t>
      </w:r>
      <w:r w:rsidR="00DC1347">
        <w:t xml:space="preserve">operationally </w:t>
      </w:r>
      <w:r w:rsidR="00121C14">
        <w:t>implement such a test</w:t>
      </w:r>
      <w:r w:rsidR="00E45640">
        <w:t>, noting that relying on these metrics would be problematic</w:t>
      </w:r>
      <w:r w:rsidR="00121C14">
        <w:t xml:space="preserve">. </w:t>
      </w:r>
      <w:r w:rsidR="00C968C0">
        <w:t>Insurers do not collect or verify metrics that are often used by governments to define small business, such as turnover and number of employees, for the purposes of property insurance.</w:t>
      </w:r>
      <w:r w:rsidR="00884F70">
        <w:t xml:space="preserve"> Similarly, small businesses do not </w:t>
      </w:r>
      <w:r w:rsidR="00884F70" w:rsidRPr="00884F70">
        <w:t>provide</w:t>
      </w:r>
      <w:r w:rsidR="00884F70">
        <w:t xml:space="preserve"> insurers with detail of their turnover or employee counts, which can vary with throughout the year. </w:t>
      </w:r>
    </w:p>
    <w:p w14:paraId="14F4C009" w14:textId="720B4EFA" w:rsidR="00502FD0" w:rsidRPr="00AE31CE" w:rsidRDefault="009A38DA" w:rsidP="005614EE">
      <w:pPr>
        <w:jc w:val="both"/>
      </w:pPr>
      <w:r>
        <w:t xml:space="preserve">Industry </w:t>
      </w:r>
      <w:r w:rsidR="00884F70">
        <w:t>and other</w:t>
      </w:r>
      <w:r>
        <w:t xml:space="preserve"> s</w:t>
      </w:r>
      <w:r w:rsidR="00121C14">
        <w:t>takeholders suggested an alternative test of specifying a ‘sum insured’ limit. The ‘sum insured’</w:t>
      </w:r>
      <w:r w:rsidR="00C968C0">
        <w:t xml:space="preserve"> under an insurance policy</w:t>
      </w:r>
      <w:r w:rsidR="00121C14">
        <w:t xml:space="preserve"> is the maximum amount that a policyholder can claim from an insurer if their property is damaged or destroyed because of an insured event.</w:t>
      </w:r>
      <w:r w:rsidR="00C968C0">
        <w:t xml:space="preserve"> Further advice on this approach was sought through the two standing roundtables. </w:t>
      </w:r>
    </w:p>
    <w:p w14:paraId="7CDBD2D2" w14:textId="1AAA7D8F" w:rsidR="002C686C" w:rsidRDefault="003952BB" w:rsidP="005614EE">
      <w:pPr>
        <w:jc w:val="both"/>
      </w:pPr>
      <w:r w:rsidRPr="002C686C">
        <w:t xml:space="preserve">Through consultation, the Taskforce </w:t>
      </w:r>
      <w:r w:rsidR="002C686C" w:rsidRPr="002C686C">
        <w:t xml:space="preserve">considered </w:t>
      </w:r>
      <w:r w:rsidRPr="002C686C">
        <w:t xml:space="preserve">that the </w:t>
      </w:r>
      <w:r w:rsidR="00502FD0" w:rsidRPr="002C686C">
        <w:t>sum insured test provide</w:t>
      </w:r>
      <w:r w:rsidRPr="002C686C">
        <w:t>d</w:t>
      </w:r>
      <w:r w:rsidR="00502FD0" w:rsidRPr="002C686C">
        <w:t xml:space="preserve"> a relatively flexible eligibility threshold for small business property policies</w:t>
      </w:r>
      <w:r w:rsidRPr="002C686C">
        <w:t>, that would capture the intended beneficiaries of the policy, with minimal administrative impost on</w:t>
      </w:r>
      <w:r w:rsidR="002C686C" w:rsidRPr="002C686C">
        <w:t xml:space="preserve"> small business and</w:t>
      </w:r>
      <w:r w:rsidRPr="002C686C">
        <w:t xml:space="preserve"> the insurance industry.</w:t>
      </w:r>
      <w:r w:rsidR="00E45640" w:rsidRPr="002C686C">
        <w:t xml:space="preserve"> </w:t>
      </w:r>
      <w:r w:rsidRPr="002C686C">
        <w:t>It</w:t>
      </w:r>
      <w:r w:rsidR="00502FD0" w:rsidRPr="002C686C">
        <w:t xml:space="preserve"> would be neutral between business property policies where </w:t>
      </w:r>
      <w:r w:rsidR="00CD5D94" w:rsidRPr="002C686C">
        <w:t>most</w:t>
      </w:r>
      <w:r w:rsidR="00502FD0" w:rsidRPr="002C686C">
        <w:t xml:space="preserve"> of the sum insured amount is the value of the building owned by the business, and policies for business</w:t>
      </w:r>
      <w:r w:rsidR="0080106A" w:rsidRPr="002C686C">
        <w:t>es</w:t>
      </w:r>
      <w:r w:rsidR="00502FD0" w:rsidRPr="002C686C">
        <w:t xml:space="preserve"> that rent </w:t>
      </w:r>
      <w:r w:rsidR="0080106A" w:rsidRPr="002C686C">
        <w:t xml:space="preserve">the property </w:t>
      </w:r>
      <w:r w:rsidR="00502FD0" w:rsidRPr="002C686C">
        <w:t xml:space="preserve">and </w:t>
      </w:r>
      <w:r w:rsidR="00EA022C" w:rsidRPr="002C686C">
        <w:t>most</w:t>
      </w:r>
      <w:r w:rsidR="00502FD0" w:rsidRPr="002C686C">
        <w:t xml:space="preserve"> of the sum insured amount is the value of the business contents. </w:t>
      </w:r>
      <w:r w:rsidR="009A38DA" w:rsidRPr="002C686C">
        <w:t>T</w:t>
      </w:r>
      <w:r w:rsidR="0080106A" w:rsidRPr="002C686C">
        <w:t xml:space="preserve">he Taskforce sought </w:t>
      </w:r>
      <w:r w:rsidR="00502FD0" w:rsidRPr="002C686C">
        <w:t xml:space="preserve">data </w:t>
      </w:r>
      <w:r w:rsidR="0080106A" w:rsidRPr="002C686C">
        <w:t>from i</w:t>
      </w:r>
      <w:r w:rsidR="00502FD0" w:rsidRPr="002C686C">
        <w:t>nsurers</w:t>
      </w:r>
      <w:r w:rsidR="0080106A" w:rsidRPr="002C686C">
        <w:t xml:space="preserve"> </w:t>
      </w:r>
      <w:r w:rsidR="009A38DA" w:rsidRPr="002C686C">
        <w:t xml:space="preserve">through targeted consultation </w:t>
      </w:r>
      <w:r w:rsidR="0080106A" w:rsidRPr="002C686C">
        <w:t xml:space="preserve">to understand the </w:t>
      </w:r>
      <w:r w:rsidRPr="002C686C">
        <w:t>distribution of sums insured. Th</w:t>
      </w:r>
      <w:r w:rsidR="005614EE">
        <w:t>ese</w:t>
      </w:r>
      <w:r w:rsidRPr="002C686C">
        <w:t xml:space="preserve"> data </w:t>
      </w:r>
      <w:r w:rsidR="00D95D56" w:rsidRPr="002C686C">
        <w:t>helped</w:t>
      </w:r>
      <w:r w:rsidRPr="002C686C">
        <w:t xml:space="preserve"> the Taskforce </w:t>
      </w:r>
      <w:r w:rsidR="00502FD0" w:rsidRPr="002C686C">
        <w:t xml:space="preserve">to </w:t>
      </w:r>
      <w:r w:rsidRPr="002C686C">
        <w:t>specify an appropriate sum insured threshold, suggesting</w:t>
      </w:r>
      <w:r w:rsidR="00502FD0" w:rsidRPr="002C686C">
        <w:t xml:space="preserve"> that a sum insured threshold </w:t>
      </w:r>
      <w:r w:rsidR="009A38DA" w:rsidRPr="002C686C">
        <w:t>of</w:t>
      </w:r>
      <w:r w:rsidR="00502FD0" w:rsidRPr="002C686C">
        <w:t xml:space="preserve"> $5 million would capture </w:t>
      </w:r>
      <w:r w:rsidRPr="002C686C">
        <w:t>most</w:t>
      </w:r>
      <w:r w:rsidR="00502FD0" w:rsidRPr="002C686C">
        <w:t xml:space="preserve"> businesses</w:t>
      </w:r>
      <w:r w:rsidR="0080106A" w:rsidRPr="002C686C">
        <w:t>.</w:t>
      </w:r>
      <w:r w:rsidR="009A38DA" w:rsidRPr="002C686C">
        <w:t xml:space="preserve"> The sum insured threshold </w:t>
      </w:r>
      <w:r w:rsidR="00650D1E" w:rsidRPr="002C686C">
        <w:t xml:space="preserve">would </w:t>
      </w:r>
      <w:r w:rsidR="009A38DA" w:rsidRPr="002C686C">
        <w:t>be reviewed overtime to ensure it remains set at an adequate level.</w:t>
      </w:r>
      <w:r w:rsidR="009A38DA" w:rsidRPr="002C686C">
        <w:cr/>
      </w:r>
    </w:p>
    <w:p w14:paraId="2663A08B" w14:textId="77777777" w:rsidR="0008414A" w:rsidRPr="005614EE" w:rsidRDefault="0008414A" w:rsidP="005614EE">
      <w:pPr>
        <w:jc w:val="both"/>
      </w:pPr>
      <w:r>
        <w:br w:type="page"/>
      </w:r>
    </w:p>
    <w:p w14:paraId="6E3AC491" w14:textId="6D25BC66" w:rsidR="00E6567D" w:rsidRDefault="00E6567D" w:rsidP="00E6567D">
      <w:pPr>
        <w:pStyle w:val="Title"/>
      </w:pPr>
      <w:r>
        <w:t xml:space="preserve">6. </w:t>
      </w:r>
      <w:r w:rsidR="006C010F">
        <w:t>B</w:t>
      </w:r>
      <w:r>
        <w:t xml:space="preserve">est option </w:t>
      </w:r>
      <w:r w:rsidR="006C010F">
        <w:t>of those</w:t>
      </w:r>
      <w:r>
        <w:t xml:space="preserve"> considered</w:t>
      </w:r>
      <w:bookmarkStart w:id="16" w:name="_Hlk83220635"/>
    </w:p>
    <w:p w14:paraId="366A4DF4" w14:textId="690A9595" w:rsidR="00CD4AC7" w:rsidRDefault="00CD4AC7" w:rsidP="00BB07D8">
      <w:pPr>
        <w:pStyle w:val="Bullet"/>
        <w:numPr>
          <w:ilvl w:val="0"/>
          <w:numId w:val="0"/>
        </w:numPr>
        <w:spacing w:before="280" w:after="200" w:line="240" w:lineRule="auto"/>
        <w:ind w:left="472" w:hanging="472"/>
        <w:jc w:val="both"/>
      </w:pPr>
      <w:r>
        <w:t>In summary, the three options considered have been:</w:t>
      </w:r>
    </w:p>
    <w:p w14:paraId="247E6BB0" w14:textId="56060CD1" w:rsidR="00CD4AC7" w:rsidRDefault="00CD4AC7" w:rsidP="00A353BD">
      <w:pPr>
        <w:pStyle w:val="Bullet"/>
        <w:numPr>
          <w:ilvl w:val="0"/>
          <w:numId w:val="48"/>
        </w:numPr>
        <w:spacing w:before="280" w:after="200" w:line="240" w:lineRule="auto"/>
        <w:jc w:val="both"/>
      </w:pPr>
      <w:r>
        <w:t xml:space="preserve">Option </w:t>
      </w:r>
      <w:r w:rsidR="00DE47D8">
        <w:t>1</w:t>
      </w:r>
      <w:r>
        <w:t>: status quo (no reinsurance pool);</w:t>
      </w:r>
    </w:p>
    <w:p w14:paraId="273D57B8" w14:textId="4126A4C3" w:rsidR="00CD4AC7" w:rsidRDefault="00CD4AC7" w:rsidP="00A353BD">
      <w:pPr>
        <w:pStyle w:val="Bullet"/>
        <w:numPr>
          <w:ilvl w:val="0"/>
          <w:numId w:val="48"/>
        </w:numPr>
        <w:spacing w:before="280" w:after="200" w:line="240" w:lineRule="auto"/>
        <w:jc w:val="both"/>
      </w:pPr>
      <w:r>
        <w:t xml:space="preserve">Option </w:t>
      </w:r>
      <w:r w:rsidR="00DE47D8">
        <w:t>2</w:t>
      </w:r>
      <w:r>
        <w:t>: mandating in legislation that insurers must participate in the reinsurance pool if they hold eligible cyclone risks (with appropriate transition arrangements); and</w:t>
      </w:r>
    </w:p>
    <w:p w14:paraId="775AEBA8" w14:textId="028BA9D4" w:rsidR="00CD4AC7" w:rsidRDefault="00CD4AC7" w:rsidP="00A353BD">
      <w:pPr>
        <w:pStyle w:val="Bullet"/>
        <w:numPr>
          <w:ilvl w:val="0"/>
          <w:numId w:val="48"/>
        </w:numPr>
        <w:spacing w:before="280" w:after="200" w:line="240" w:lineRule="auto"/>
        <w:jc w:val="both"/>
      </w:pPr>
      <w:r>
        <w:t xml:space="preserve">Option </w:t>
      </w:r>
      <w:r w:rsidR="00DE47D8">
        <w:t>3</w:t>
      </w:r>
      <w:r>
        <w:t>: leaving it to insurers to elect to participate in the pool but requiring them to pass on a proportion of all eligible cyclone risks if they do.</w:t>
      </w:r>
    </w:p>
    <w:p w14:paraId="6F121BE0" w14:textId="1851EBFD" w:rsidR="003D451D" w:rsidRDefault="003D451D" w:rsidP="00BB07D8">
      <w:pPr>
        <w:pStyle w:val="Bullet"/>
        <w:numPr>
          <w:ilvl w:val="0"/>
          <w:numId w:val="0"/>
        </w:numPr>
        <w:spacing w:before="280" w:after="200" w:line="240" w:lineRule="auto"/>
        <w:ind w:left="472" w:hanging="472"/>
        <w:jc w:val="both"/>
      </w:pPr>
      <w:r>
        <w:t xml:space="preserve">Of these, Option </w:t>
      </w:r>
      <w:r w:rsidR="00DE47D8">
        <w:t>2</w:t>
      </w:r>
      <w:r>
        <w:t xml:space="preserve"> </w:t>
      </w:r>
      <w:r w:rsidR="009324C3">
        <w:t>is</w:t>
      </w:r>
      <w:r>
        <w:t xml:space="preserve"> the best option.</w:t>
      </w:r>
    </w:p>
    <w:p w14:paraId="0727AECB" w14:textId="48E840E7" w:rsidR="00832019" w:rsidRPr="000D5C0E" w:rsidRDefault="00832019" w:rsidP="00BB07D8">
      <w:pPr>
        <w:pStyle w:val="Heading4"/>
        <w:jc w:val="both"/>
      </w:pPr>
      <w:r>
        <w:t xml:space="preserve">Option </w:t>
      </w:r>
      <w:r w:rsidR="00DE47D8">
        <w:t>1</w:t>
      </w:r>
      <w:r w:rsidR="00174A28">
        <w:t xml:space="preserve"> (status quo)</w:t>
      </w:r>
    </w:p>
    <w:p w14:paraId="64FF92FC" w14:textId="110EAC85" w:rsidR="003D451D" w:rsidRDefault="00DC6C19" w:rsidP="00BB07D8">
      <w:pPr>
        <w:jc w:val="both"/>
      </w:pPr>
      <w:r>
        <w:t xml:space="preserve">Option </w:t>
      </w:r>
      <w:r w:rsidR="00DE47D8">
        <w:t>1</w:t>
      </w:r>
      <w:r>
        <w:t xml:space="preserve"> </w:t>
      </w:r>
      <w:r w:rsidR="008D775D">
        <w:t xml:space="preserve">has no regulatory impact. </w:t>
      </w:r>
    </w:p>
    <w:p w14:paraId="5C8A1185" w14:textId="4500537A" w:rsidR="00FC605B" w:rsidRDefault="003D451D" w:rsidP="00BB07D8">
      <w:pPr>
        <w:jc w:val="both"/>
        <w:rPr>
          <w:bCs/>
          <w:iCs/>
        </w:rPr>
      </w:pPr>
      <w:r w:rsidRPr="003D451D">
        <w:t xml:space="preserve">However, </w:t>
      </w:r>
      <w:r w:rsidRPr="00CF3329">
        <w:rPr>
          <w:bCs/>
          <w:iCs/>
        </w:rPr>
        <w:t xml:space="preserve">in the absence of further government action, acute property insurance affordability issues for households and businesses in high cyclone risk areas are likely to continue to worsen. Current mitigation efforts (including that of the </w:t>
      </w:r>
      <w:r w:rsidR="00A3373F">
        <w:rPr>
          <w:bCs/>
          <w:iCs/>
        </w:rPr>
        <w:t>G</w:t>
      </w:r>
      <w:r w:rsidR="00A3373F" w:rsidRPr="00CF3329">
        <w:rPr>
          <w:bCs/>
          <w:iCs/>
        </w:rPr>
        <w:t>overnment</w:t>
      </w:r>
      <w:r w:rsidRPr="00CF3329">
        <w:rPr>
          <w:bCs/>
          <w:iCs/>
        </w:rPr>
        <w:t xml:space="preserve"> through the National Recovery and Resilience Agency and the Preparing Australia Program) should result in some premium relief in the long term but not in the short term.</w:t>
      </w:r>
      <w:r w:rsidR="00FC605B">
        <w:rPr>
          <w:bCs/>
          <w:iCs/>
        </w:rPr>
        <w:t xml:space="preserve"> </w:t>
      </w:r>
    </w:p>
    <w:p w14:paraId="38C48CF4" w14:textId="256974DA" w:rsidR="003D451D" w:rsidRPr="00CF3329" w:rsidRDefault="00FC605B" w:rsidP="00BB07D8">
      <w:pPr>
        <w:jc w:val="both"/>
        <w:rPr>
          <w:bCs/>
          <w:iCs/>
          <w:highlight w:val="yellow"/>
        </w:rPr>
      </w:pPr>
      <w:r>
        <w:rPr>
          <w:bCs/>
          <w:iCs/>
        </w:rPr>
        <w:t xml:space="preserve">As noted in section 5, stakeholder consultation </w:t>
      </w:r>
      <w:r w:rsidRPr="0043665E">
        <w:t xml:space="preserve">reaffirmed the problem of insurance unaffordability </w:t>
      </w:r>
      <w:r>
        <w:t xml:space="preserve">in </w:t>
      </w:r>
      <w:r w:rsidR="00660F60">
        <w:t xml:space="preserve">northern </w:t>
      </w:r>
      <w:r>
        <w:t>Australia</w:t>
      </w:r>
      <w:r w:rsidRPr="0043665E">
        <w:t>.</w:t>
      </w:r>
      <w:r>
        <w:t xml:space="preserve"> Submissions from consumer, business and community organisations shared data, case studies and anecdotes demonstrating the impact of insurance affordability issues of the lived experience of </w:t>
      </w:r>
      <w:r w:rsidR="00660F60">
        <w:t xml:space="preserve">northern </w:t>
      </w:r>
      <w:r>
        <w:t>Australia residents and the resilience of their communities.</w:t>
      </w:r>
    </w:p>
    <w:p w14:paraId="23C546DA" w14:textId="2125C188" w:rsidR="003D451D" w:rsidRDefault="003D451D" w:rsidP="00BB07D8">
      <w:pPr>
        <w:jc w:val="both"/>
      </w:pPr>
      <w:r>
        <w:t xml:space="preserve">Option </w:t>
      </w:r>
      <w:r w:rsidR="00DE47D8">
        <w:t>1</w:t>
      </w:r>
      <w:r w:rsidR="008D775D">
        <w:t xml:space="preserve"> would be the best option if the costs of </w:t>
      </w:r>
      <w:r>
        <w:t xml:space="preserve">Option </w:t>
      </w:r>
      <w:r w:rsidR="00960E7C">
        <w:t>2</w:t>
      </w:r>
      <w:r>
        <w:t xml:space="preserve"> and Option </w:t>
      </w:r>
      <w:r w:rsidR="00960E7C">
        <w:t>3</w:t>
      </w:r>
      <w:r>
        <w:t xml:space="preserve"> outweighed the benefits. However, this is not supported by the analysis in section 4.</w:t>
      </w:r>
      <w:r w:rsidR="008D775D">
        <w:t xml:space="preserve"> </w:t>
      </w:r>
    </w:p>
    <w:p w14:paraId="46377C2E" w14:textId="494BA339" w:rsidR="00DC6C19" w:rsidRPr="000D5C0E" w:rsidRDefault="00832019" w:rsidP="00BB07D8">
      <w:pPr>
        <w:pStyle w:val="Heading4"/>
        <w:jc w:val="both"/>
      </w:pPr>
      <w:r>
        <w:t xml:space="preserve">Options </w:t>
      </w:r>
      <w:r w:rsidR="00DE47D8">
        <w:t>2</w:t>
      </w:r>
      <w:r>
        <w:t xml:space="preserve"> </w:t>
      </w:r>
      <w:r w:rsidR="00174A28">
        <w:t xml:space="preserve">(mandatory pool) </w:t>
      </w:r>
      <w:r>
        <w:t xml:space="preserve">and </w:t>
      </w:r>
      <w:r w:rsidR="00DE47D8">
        <w:t>3</w:t>
      </w:r>
      <w:r w:rsidR="00174A28">
        <w:t xml:space="preserve"> (voluntary pool)</w:t>
      </w:r>
    </w:p>
    <w:p w14:paraId="5A508FFB" w14:textId="4186D00A" w:rsidR="00A24C1B" w:rsidRDefault="00A24C1B" w:rsidP="00BB07D8">
      <w:pPr>
        <w:pStyle w:val="Bullet"/>
        <w:numPr>
          <w:ilvl w:val="0"/>
          <w:numId w:val="0"/>
        </w:numPr>
        <w:spacing w:before="280" w:after="200" w:line="240" w:lineRule="auto"/>
        <w:jc w:val="both"/>
      </w:pPr>
      <w:r>
        <w:t>The nature and extent of insurer participation in the pool w</w:t>
      </w:r>
      <w:r w:rsidR="00CD4AC7">
        <w:t>ould</w:t>
      </w:r>
      <w:r>
        <w:t xml:space="preserve"> have a significant impact on the premium reductions that it c</w:t>
      </w:r>
      <w:r w:rsidR="00CD4AC7">
        <w:t>ould</w:t>
      </w:r>
      <w:r>
        <w:t xml:space="preserve"> achieve</w:t>
      </w:r>
      <w:r w:rsidR="00CD4AC7">
        <w:t>:</w:t>
      </w:r>
    </w:p>
    <w:p w14:paraId="53AE4B14" w14:textId="3EE2D64C" w:rsidR="00A24C1B" w:rsidRDefault="00A24C1B" w:rsidP="00BB07D8">
      <w:pPr>
        <w:pStyle w:val="Bullet"/>
        <w:jc w:val="both"/>
      </w:pPr>
      <w:r>
        <w:t>The more insurers participate and the more cyclone and related flood risk that they pass on to the pool, the greater the influence the pool c</w:t>
      </w:r>
      <w:r w:rsidR="00CD4AC7">
        <w:t>ould</w:t>
      </w:r>
      <w:r>
        <w:t xml:space="preserve"> have on the cost of cyclone cover. </w:t>
      </w:r>
    </w:p>
    <w:p w14:paraId="71A3C4EC" w14:textId="635300E1" w:rsidR="00A24C1B" w:rsidRDefault="008A5AFC" w:rsidP="00BB07D8">
      <w:pPr>
        <w:pStyle w:val="Bullet"/>
        <w:jc w:val="both"/>
      </w:pPr>
      <w:r>
        <w:t>In the absence of a direct government subsidy</w:t>
      </w:r>
      <w:r w:rsidR="00660F60">
        <w:t xml:space="preserve"> or a levy</w:t>
      </w:r>
      <w:r>
        <w:t>, t</w:t>
      </w:r>
      <w:r w:rsidR="00A24C1B">
        <w:t>he pool w</w:t>
      </w:r>
      <w:r w:rsidR="00CD4AC7">
        <w:t xml:space="preserve">ould </w:t>
      </w:r>
      <w:r w:rsidR="00A24C1B">
        <w:t>only be able to provide meaningful premium relief to medium-to-high cyclone risk properties if it</w:t>
      </w:r>
      <w:r w:rsidR="00CD4AC7">
        <w:t xml:space="preserve"> were to</w:t>
      </w:r>
      <w:r w:rsidR="00A24C1B">
        <w:t xml:space="preserve"> take on a balanced portfolio of risks from insurers that also include</w:t>
      </w:r>
      <w:r w:rsidR="00CD4AC7">
        <w:t xml:space="preserve">d </w:t>
      </w:r>
      <w:r w:rsidR="00A24C1B">
        <w:t xml:space="preserve">lower-risk properties.   </w:t>
      </w:r>
    </w:p>
    <w:p w14:paraId="1C94D1D6" w14:textId="77777777" w:rsidR="00A24C1B" w:rsidRDefault="00A24C1B" w:rsidP="00BB07D8">
      <w:pPr>
        <w:pStyle w:val="Bullet"/>
        <w:numPr>
          <w:ilvl w:val="0"/>
          <w:numId w:val="0"/>
        </w:numPr>
        <w:spacing w:before="280" w:after="200" w:line="240" w:lineRule="auto"/>
        <w:jc w:val="both"/>
      </w:pPr>
      <w:r>
        <w:t>The primary trade-offs in considering these options are the degree of participation and premium reduction that can be achieved by the pool balanced against the extent of market disruption and regulatory burden imposed on insurers.</w:t>
      </w:r>
    </w:p>
    <w:p w14:paraId="03F4E875" w14:textId="75C1A2A9" w:rsidR="00CD4AC7" w:rsidRDefault="00517CAE" w:rsidP="00BB07D8">
      <w:pPr>
        <w:pStyle w:val="Bullet"/>
        <w:jc w:val="both"/>
      </w:pPr>
      <w:r>
        <w:t xml:space="preserve">Option </w:t>
      </w:r>
      <w:r w:rsidR="00DE47D8">
        <w:t>2</w:t>
      </w:r>
      <w:r w:rsidR="00A24C1B">
        <w:t xml:space="preserve"> maximises participation in the scheme and enables the greatest potential premium reduction.</w:t>
      </w:r>
    </w:p>
    <w:p w14:paraId="5AC6ECB4" w14:textId="77777777" w:rsidR="00AC38F7" w:rsidRPr="00B74AFD" w:rsidRDefault="00AC38F7" w:rsidP="00F1562C">
      <w:pPr>
        <w:pStyle w:val="Dash"/>
        <w:jc w:val="both"/>
      </w:pPr>
      <w:r>
        <w:t xml:space="preserve">Modelling indicates that the pool could generate annual total premium savings of about </w:t>
      </w:r>
      <w:r w:rsidRPr="006A1B40">
        <w:t>$290 million</w:t>
      </w:r>
      <w:r>
        <w:t xml:space="preserve"> for eligible insurance policies across Australia, with a higher proportion of savings going to household policies.</w:t>
      </w:r>
      <w:r>
        <w:rPr>
          <w:rStyle w:val="FootnoteReference"/>
        </w:rPr>
        <w:footnoteReference w:id="39"/>
      </w:r>
      <w:r>
        <w:t xml:space="preserve"> Premium reductions would be targeted to high-risk areas, which are largely located in northern Australia. The pool would not be expected to significantly affect average premiums outside of cyclone-risk areas. </w:t>
      </w:r>
      <w:r w:rsidRPr="005540F5">
        <w:rPr>
          <w:bCs/>
        </w:rPr>
        <w:t xml:space="preserve"> </w:t>
      </w:r>
    </w:p>
    <w:p w14:paraId="26E22474" w14:textId="208A2F3F" w:rsidR="00124397" w:rsidRDefault="00124397" w:rsidP="00BB07D8">
      <w:pPr>
        <w:pStyle w:val="Bullet"/>
        <w:jc w:val="both"/>
      </w:pPr>
      <w:r>
        <w:t xml:space="preserve">Option </w:t>
      </w:r>
      <w:r w:rsidR="00DE47D8">
        <w:t>3</w:t>
      </w:r>
      <w:r w:rsidR="00A24C1B">
        <w:t xml:space="preserve"> presents significant uncertainty about the extent to which insurers would choose to participate and consequently the pool’s efficacy</w:t>
      </w:r>
      <w:r>
        <w:t xml:space="preserve"> in improving insurance affordability.</w:t>
      </w:r>
    </w:p>
    <w:p w14:paraId="5EDE3E74" w14:textId="5C46DF42" w:rsidR="00A24C1B" w:rsidRDefault="00124397" w:rsidP="00BB07D8">
      <w:pPr>
        <w:pStyle w:val="Dash"/>
        <w:jc w:val="both"/>
      </w:pPr>
      <w:r w:rsidRPr="00124397">
        <w:t>A rough estimate informed by modelling is that about half of the premium reductions in high</w:t>
      </w:r>
      <w:r w:rsidR="00660F60" w:rsidRPr="00124397">
        <w:t>-</w:t>
      </w:r>
      <w:r w:rsidRPr="00124397">
        <w:t xml:space="preserve">risk areas would be available, as compared to </w:t>
      </w:r>
      <w:r w:rsidR="009B26D6">
        <w:t>O</w:t>
      </w:r>
      <w:r w:rsidR="009B26D6" w:rsidRPr="00124397">
        <w:t xml:space="preserve">ption </w:t>
      </w:r>
      <w:r w:rsidRPr="00124397">
        <w:t>2.</w:t>
      </w:r>
    </w:p>
    <w:p w14:paraId="0F0ED5F4" w14:textId="0AB4DEB6" w:rsidR="00A24C1B" w:rsidRDefault="0090770B" w:rsidP="00BB07D8">
      <w:pPr>
        <w:pStyle w:val="Bullet"/>
        <w:jc w:val="both"/>
      </w:pPr>
      <w:r>
        <w:rPr>
          <w:bCs/>
        </w:rPr>
        <w:t>Some i</w:t>
      </w:r>
      <w:r w:rsidRPr="008D183F">
        <w:rPr>
          <w:bCs/>
        </w:rPr>
        <w:t xml:space="preserve">nsurers have indicated that market dynamics alone </w:t>
      </w:r>
      <w:r>
        <w:rPr>
          <w:bCs/>
        </w:rPr>
        <w:t>might be</w:t>
      </w:r>
      <w:r w:rsidRPr="008D183F">
        <w:rPr>
          <w:bCs/>
        </w:rPr>
        <w:t xml:space="preserve"> sufficient to incentivise</w:t>
      </w:r>
      <w:r>
        <w:rPr>
          <w:bCs/>
        </w:rPr>
        <w:t xml:space="preserve"> </w:t>
      </w:r>
      <w:r w:rsidRPr="008D183F">
        <w:rPr>
          <w:bCs/>
        </w:rPr>
        <w:t>participation (that is, if the pool offers cheaper reinsurance than the commercial market,</w:t>
      </w:r>
      <w:r>
        <w:rPr>
          <w:bCs/>
        </w:rPr>
        <w:t xml:space="preserve"> </w:t>
      </w:r>
      <w:r w:rsidRPr="008D183F">
        <w:rPr>
          <w:bCs/>
        </w:rPr>
        <w:t>then insurers would use the pool as a matter of sound business decision-making).</w:t>
      </w:r>
      <w:r>
        <w:rPr>
          <w:bCs/>
        </w:rPr>
        <w:t xml:space="preserve"> </w:t>
      </w:r>
      <w:r w:rsidRPr="008D183F">
        <w:rPr>
          <w:bCs/>
        </w:rPr>
        <w:t>However, given the transitional costs of transferring existing reinsurance arrangements</w:t>
      </w:r>
      <w:r>
        <w:rPr>
          <w:bCs/>
        </w:rPr>
        <w:t xml:space="preserve"> </w:t>
      </w:r>
      <w:r w:rsidRPr="008D183F">
        <w:rPr>
          <w:bCs/>
        </w:rPr>
        <w:t>to the pool, there may not be sufficient take-up for the pool to offer sufficiently</w:t>
      </w:r>
      <w:r>
        <w:rPr>
          <w:bCs/>
        </w:rPr>
        <w:t xml:space="preserve"> </w:t>
      </w:r>
      <w:r w:rsidRPr="008D183F">
        <w:rPr>
          <w:bCs/>
        </w:rPr>
        <w:t>discounted rates</w:t>
      </w:r>
      <w:r w:rsidR="00A24C1B">
        <w:t>.</w:t>
      </w:r>
      <w:r w:rsidR="00A24C1B" w:rsidRPr="008026FD">
        <w:t xml:space="preserve"> </w:t>
      </w:r>
    </w:p>
    <w:p w14:paraId="7B31F5DF" w14:textId="363AE9EE" w:rsidR="00A24C1B" w:rsidRDefault="00075C20" w:rsidP="00BB07D8">
      <w:pPr>
        <w:pStyle w:val="Bullet"/>
        <w:jc w:val="both"/>
        <w:rPr>
          <w:bCs/>
        </w:rPr>
      </w:pPr>
      <w:r w:rsidRPr="00CF3329">
        <w:rPr>
          <w:bCs/>
        </w:rPr>
        <w:t xml:space="preserve">Under Option </w:t>
      </w:r>
      <w:r w:rsidR="00DE47D8">
        <w:rPr>
          <w:bCs/>
        </w:rPr>
        <w:t>2</w:t>
      </w:r>
      <w:r w:rsidRPr="00CF3329">
        <w:rPr>
          <w:bCs/>
        </w:rPr>
        <w:t xml:space="preserve">, the estimated regulatory impact ($0.44 million average annual regulatory cost) is greater than under Option </w:t>
      </w:r>
      <w:r w:rsidR="00DE47D8">
        <w:rPr>
          <w:bCs/>
        </w:rPr>
        <w:t>3</w:t>
      </w:r>
      <w:r w:rsidR="009D63A7" w:rsidRPr="00CF3329">
        <w:rPr>
          <w:bCs/>
        </w:rPr>
        <w:t xml:space="preserve"> ($0.25 million average annual regulatory cost). However</w:t>
      </w:r>
      <w:r w:rsidR="009D63A7">
        <w:rPr>
          <w:bCs/>
        </w:rPr>
        <w:t>,</w:t>
      </w:r>
      <w:r w:rsidR="009D63A7" w:rsidRPr="00CF3329">
        <w:rPr>
          <w:bCs/>
        </w:rPr>
        <w:t xml:space="preserve"> this is primarily due to the </w:t>
      </w:r>
      <w:r w:rsidR="009D63A7">
        <w:rPr>
          <w:bCs/>
        </w:rPr>
        <w:t xml:space="preserve">higher level of participation under Option </w:t>
      </w:r>
      <w:r w:rsidR="00DE47D8">
        <w:rPr>
          <w:bCs/>
        </w:rPr>
        <w:t>2</w:t>
      </w:r>
      <w:r w:rsidR="009D63A7">
        <w:rPr>
          <w:bCs/>
        </w:rPr>
        <w:t xml:space="preserve">. </w:t>
      </w:r>
    </w:p>
    <w:p w14:paraId="2F63C379" w14:textId="0D2D1EF7" w:rsidR="00996A4A" w:rsidRDefault="00996A4A" w:rsidP="00BB07D8">
      <w:pPr>
        <w:pStyle w:val="Dash"/>
        <w:jc w:val="both"/>
      </w:pPr>
      <w:bookmarkStart w:id="17" w:name="_Hlk85805610"/>
      <w:r>
        <w:t xml:space="preserve">The proposed transitional arrangements under Option </w:t>
      </w:r>
      <w:r w:rsidR="00DE47D8">
        <w:t>2</w:t>
      </w:r>
      <w:r>
        <w:t xml:space="preserve"> would reduce transition costs as insurers would either be able to sign up as their current reinsurance contracts cease (without needing to renegotiate or exit existing contracts) or would have sufficient time to renegotiate longer-term multi-year contracts on favourable terms. </w:t>
      </w:r>
    </w:p>
    <w:p w14:paraId="4DD87224" w14:textId="6545BE6B" w:rsidR="00996A4A" w:rsidRDefault="00996A4A" w:rsidP="00BB07D8">
      <w:pPr>
        <w:pStyle w:val="Dash"/>
        <w:jc w:val="both"/>
      </w:pPr>
      <w:r>
        <w:t xml:space="preserve">Under both Option </w:t>
      </w:r>
      <w:r w:rsidR="00DE47D8">
        <w:t>2</w:t>
      </w:r>
      <w:r>
        <w:t xml:space="preserve"> and </w:t>
      </w:r>
      <w:r w:rsidR="00DE47D8">
        <w:t>3</w:t>
      </w:r>
      <w:r>
        <w:t xml:space="preserve">, </w:t>
      </w:r>
      <w:r w:rsidRPr="00CF3329">
        <w:t xml:space="preserve">insurers </w:t>
      </w:r>
      <w:r>
        <w:t xml:space="preserve">would have the option of </w:t>
      </w:r>
      <w:r w:rsidR="009C2A63">
        <w:t xml:space="preserve">passing on </w:t>
      </w:r>
      <w:r>
        <w:t>only new or renewing policies from the date they sign up for coverage, which they could choose to do if it reduces disruption to their existing reinsurance arrangements. Otherwise, they could agree to cede all eligible policies to the pool.</w:t>
      </w:r>
    </w:p>
    <w:bookmarkEnd w:id="17"/>
    <w:p w14:paraId="46B26698" w14:textId="32F7DBD5" w:rsidR="00A24C1B" w:rsidRDefault="00E42B1C" w:rsidP="00BB07D8">
      <w:pPr>
        <w:pStyle w:val="Bullet"/>
        <w:numPr>
          <w:ilvl w:val="0"/>
          <w:numId w:val="0"/>
        </w:numPr>
        <w:jc w:val="both"/>
      </w:pPr>
      <w:r>
        <w:t xml:space="preserve">On </w:t>
      </w:r>
      <w:r w:rsidR="00982304">
        <w:t>the basis of a mixture of quantitative and qualitative analysis</w:t>
      </w:r>
      <w:r>
        <w:t xml:space="preserve">, Option </w:t>
      </w:r>
      <w:r w:rsidR="00DE47D8">
        <w:t>2</w:t>
      </w:r>
      <w:r>
        <w:t xml:space="preserve"> </w:t>
      </w:r>
      <w:r w:rsidR="00982304">
        <w:t xml:space="preserve">has the highest net benefits. It </w:t>
      </w:r>
      <w:r>
        <w:t>would</w:t>
      </w:r>
      <w:r w:rsidR="00A24C1B">
        <w:t xml:space="preserve"> maximise the pool’s ability to improve the affordability of </w:t>
      </w:r>
      <w:r w:rsidR="00A24C1B" w:rsidRPr="00627B69">
        <w:t xml:space="preserve">insurance for </w:t>
      </w:r>
      <w:r w:rsidR="00A24C1B">
        <w:t xml:space="preserve">household, strata and small business property policies in </w:t>
      </w:r>
      <w:r w:rsidR="00A6202D">
        <w:t xml:space="preserve">northern </w:t>
      </w:r>
      <w:r w:rsidR="00A24C1B">
        <w:t>Australia</w:t>
      </w:r>
      <w:r>
        <w:t xml:space="preserve">, and this benefit outweighs the estimated additional regulatory impact over Option </w:t>
      </w:r>
      <w:r w:rsidR="00DE47D8">
        <w:t>3</w:t>
      </w:r>
      <w:r w:rsidR="002D05CD">
        <w:t>.</w:t>
      </w:r>
    </w:p>
    <w:bookmarkEnd w:id="16"/>
    <w:p w14:paraId="707EFE1A" w14:textId="77777777" w:rsidR="00CD4AC7" w:rsidRPr="00BB07D8" w:rsidRDefault="00CD4AC7" w:rsidP="00BB07D8">
      <w:pPr>
        <w:pStyle w:val="Bullet"/>
        <w:numPr>
          <w:ilvl w:val="0"/>
          <w:numId w:val="0"/>
        </w:numPr>
        <w:jc w:val="both"/>
      </w:pPr>
      <w:r>
        <w:br w:type="page"/>
      </w:r>
    </w:p>
    <w:p w14:paraId="40F9B628" w14:textId="5CFA2321" w:rsidR="00E6567D" w:rsidRDefault="00E6567D" w:rsidP="00FC49A1">
      <w:pPr>
        <w:pStyle w:val="Title"/>
      </w:pPr>
      <w:r>
        <w:t>7</w:t>
      </w:r>
      <w:bookmarkStart w:id="18" w:name="_Hlk83220715"/>
      <w:r>
        <w:t xml:space="preserve">. </w:t>
      </w:r>
      <w:r w:rsidR="00732BA4">
        <w:t>Implementation</w:t>
      </w:r>
      <w:r w:rsidR="006C010F">
        <w:t xml:space="preserve"> and evaluation</w:t>
      </w:r>
      <w:r w:rsidR="00732BA4">
        <w:t xml:space="preserve"> </w:t>
      </w:r>
      <w:r w:rsidR="00E01B77">
        <w:t xml:space="preserve"> </w:t>
      </w:r>
    </w:p>
    <w:bookmarkEnd w:id="18"/>
    <w:p w14:paraId="4959A7D9" w14:textId="77777777" w:rsidR="00B75AF0" w:rsidRDefault="00B75AF0" w:rsidP="00E52935">
      <w:pPr>
        <w:pStyle w:val="BodyText"/>
      </w:pPr>
    </w:p>
    <w:p w14:paraId="107C1837" w14:textId="77777777" w:rsidR="00502FD0" w:rsidRPr="00A468C0" w:rsidRDefault="00502FD0" w:rsidP="00BB07D8">
      <w:pPr>
        <w:pStyle w:val="Heading2"/>
        <w:jc w:val="both"/>
      </w:pPr>
      <w:r w:rsidRPr="00A468C0">
        <w:t>Implementation plan</w:t>
      </w:r>
    </w:p>
    <w:p w14:paraId="13F198C2" w14:textId="1930A369" w:rsidR="00984845" w:rsidRDefault="00502FD0" w:rsidP="00BB07D8">
      <w:pPr>
        <w:pStyle w:val="Bullet"/>
        <w:numPr>
          <w:ilvl w:val="0"/>
          <w:numId w:val="0"/>
        </w:numPr>
        <w:jc w:val="both"/>
      </w:pPr>
      <w:r w:rsidRPr="00A468C0">
        <w:t xml:space="preserve">Implementation would commence following </w:t>
      </w:r>
      <w:r w:rsidR="002C1593">
        <w:t xml:space="preserve">the </w:t>
      </w:r>
      <w:r w:rsidRPr="00A468C0">
        <w:t>Government</w:t>
      </w:r>
      <w:r w:rsidR="002C1593">
        <w:t>’s</w:t>
      </w:r>
      <w:r w:rsidRPr="00A468C0">
        <w:t xml:space="preserve"> decision</w:t>
      </w:r>
      <w:r w:rsidR="002C1593">
        <w:t xml:space="preserve"> to proceed with a cyclone reinsurance pool and the preferred design, expected in late 2021</w:t>
      </w:r>
      <w:r w:rsidRPr="00A468C0">
        <w:t>.</w:t>
      </w:r>
      <w:r w:rsidR="002C1593">
        <w:t xml:space="preserve"> Should the Government decide to implement the reinsurance pool</w:t>
      </w:r>
      <w:r w:rsidR="00984845">
        <w:t>, the pool would commence operating on 1 July 2022.</w:t>
      </w:r>
    </w:p>
    <w:p w14:paraId="79F9A532" w14:textId="02765568" w:rsidR="00984845" w:rsidRDefault="00984845" w:rsidP="00BB07D8">
      <w:pPr>
        <w:pStyle w:val="Bullet"/>
        <w:numPr>
          <w:ilvl w:val="0"/>
          <w:numId w:val="0"/>
        </w:numPr>
        <w:jc w:val="both"/>
      </w:pPr>
      <w:r>
        <w:t>In broad terms, there are two key elements to the implementation task:</w:t>
      </w:r>
    </w:p>
    <w:p w14:paraId="10B73127" w14:textId="10579D9B" w:rsidR="00984845" w:rsidRDefault="002A724B" w:rsidP="00073A73">
      <w:pPr>
        <w:pStyle w:val="Bullet"/>
      </w:pPr>
      <w:r>
        <w:t>The ARPC undertaking necessary preparations to take on its new role</w:t>
      </w:r>
      <w:r w:rsidR="00945D79">
        <w:t xml:space="preserve">, under the oversight of </w:t>
      </w:r>
      <w:r w:rsidR="00193A08">
        <w:t>the</w:t>
      </w:r>
      <w:r w:rsidR="00945D79">
        <w:t xml:space="preserve"> independent </w:t>
      </w:r>
      <w:r w:rsidR="00193A08">
        <w:t xml:space="preserve">ARPC </w:t>
      </w:r>
      <w:r w:rsidR="00945D79">
        <w:t xml:space="preserve">board, who are the accountable authority for the financial management of the entity for the purposes of the </w:t>
      </w:r>
      <w:r w:rsidR="00945D79" w:rsidRPr="0020023F">
        <w:rPr>
          <w:i/>
          <w:iCs/>
        </w:rPr>
        <w:t>Public Governance, Performance and Accountability Act 2013</w:t>
      </w:r>
      <w:r w:rsidR="001C4A77">
        <w:rPr>
          <w:i/>
          <w:iCs/>
        </w:rPr>
        <w:t xml:space="preserve"> (PGPA Act)</w:t>
      </w:r>
      <w:r>
        <w:t>.</w:t>
      </w:r>
    </w:p>
    <w:p w14:paraId="348C16E5" w14:textId="21E3D4FA" w:rsidR="002A724B" w:rsidRDefault="00C818F3" w:rsidP="00073A73">
      <w:pPr>
        <w:pStyle w:val="Bullet"/>
      </w:pPr>
      <w:r>
        <w:t>Implementing the legislative framework for the reinsurance pool to operate within.</w:t>
      </w:r>
    </w:p>
    <w:p w14:paraId="74482000" w14:textId="1BFFD997" w:rsidR="002A724B" w:rsidRDefault="002A724B" w:rsidP="00BB07D8">
      <w:pPr>
        <w:pStyle w:val="Heading4"/>
        <w:jc w:val="both"/>
      </w:pPr>
      <w:r>
        <w:t xml:space="preserve">ARPC preparation for </w:t>
      </w:r>
      <w:r w:rsidR="00C818F3">
        <w:t>its new role</w:t>
      </w:r>
    </w:p>
    <w:p w14:paraId="7417944C" w14:textId="064ED53A" w:rsidR="00AA54AE" w:rsidRDefault="00AA54AE" w:rsidP="00BB07D8">
      <w:pPr>
        <w:pStyle w:val="BodyText"/>
        <w:jc w:val="both"/>
      </w:pPr>
      <w:r>
        <w:t xml:space="preserve">Implementing a cyclone reinsurance pool </w:t>
      </w:r>
      <w:r w:rsidR="00DE0DE5">
        <w:t xml:space="preserve">would </w:t>
      </w:r>
      <w:r>
        <w:t xml:space="preserve">require major organisational change for the ARPC and a broadening of its capabilities. The cyclone scheme </w:t>
      </w:r>
      <w:r w:rsidR="00DE0DE5">
        <w:t xml:space="preserve">would </w:t>
      </w:r>
      <w:r>
        <w:t xml:space="preserve">be significantly larger in scale and complexity than the Terrorism Insurance (TI) scheme and, unlike the TI scheme, the cyclone pool </w:t>
      </w:r>
      <w:r w:rsidR="00DE0DE5">
        <w:t>would be</w:t>
      </w:r>
      <w:r>
        <w:t xml:space="preserve"> expected to pay frequent and, occasionally substantial, claims.  </w:t>
      </w:r>
    </w:p>
    <w:p w14:paraId="235D74DD" w14:textId="1D5F3404" w:rsidR="00C818F3" w:rsidRDefault="0011433E" w:rsidP="00BB07D8">
      <w:pPr>
        <w:pStyle w:val="OutlineNumbered1"/>
        <w:numPr>
          <w:ilvl w:val="0"/>
          <w:numId w:val="0"/>
        </w:numPr>
        <w:jc w:val="both"/>
      </w:pPr>
      <w:r>
        <w:t>In particular, the ARPC w</w:t>
      </w:r>
      <w:r w:rsidR="00DE0DE5">
        <w:t>ould</w:t>
      </w:r>
      <w:r>
        <w:t xml:space="preserve"> </w:t>
      </w:r>
      <w:r w:rsidR="00F639E9">
        <w:t>need</w:t>
      </w:r>
      <w:r>
        <w:t xml:space="preserve"> </w:t>
      </w:r>
      <w:r w:rsidR="00636074">
        <w:t xml:space="preserve">to </w:t>
      </w:r>
      <w:r w:rsidR="00A34A2C">
        <w:t>develop catastrophe modelling capability, develop reinsurance contracts and processes,</w:t>
      </w:r>
      <w:r w:rsidR="00F639E9">
        <w:t xml:space="preserve"> and</w:t>
      </w:r>
      <w:r w:rsidR="00A34A2C">
        <w:t xml:space="preserve"> establish actuarial modelling and pricing</w:t>
      </w:r>
      <w:r>
        <w:t>. It w</w:t>
      </w:r>
      <w:r w:rsidR="00DE0DE5">
        <w:t>ould</w:t>
      </w:r>
      <w:r>
        <w:t xml:space="preserve"> also need to update its existing claims payment systems and IT systems, and hire new staff to manage its increased responsibilities.</w:t>
      </w:r>
    </w:p>
    <w:p w14:paraId="7B63EDDF" w14:textId="2968BA50" w:rsidR="0011433E" w:rsidRDefault="0011433E" w:rsidP="00BB07D8">
      <w:pPr>
        <w:pStyle w:val="OutlineNumbered1"/>
        <w:numPr>
          <w:ilvl w:val="0"/>
          <w:numId w:val="0"/>
        </w:numPr>
        <w:jc w:val="both"/>
      </w:pPr>
      <w:r>
        <w:t>Given the implementation challenge, the ARPC would need to commence its implementation planning as soon as possible</w:t>
      </w:r>
      <w:r w:rsidR="00636074">
        <w:t xml:space="preserve"> to mitigate any risks to commencement of the pool on 1 July 2022. </w:t>
      </w:r>
    </w:p>
    <w:p w14:paraId="58D634F3" w14:textId="7C2A1D66" w:rsidR="0011433E" w:rsidRDefault="0011433E" w:rsidP="00BB07D8">
      <w:pPr>
        <w:pStyle w:val="OutlineNumbered1"/>
        <w:numPr>
          <w:ilvl w:val="0"/>
          <w:numId w:val="0"/>
        </w:numPr>
        <w:jc w:val="both"/>
      </w:pPr>
      <w:r>
        <w:t>To manage this risk, the Government has amend</w:t>
      </w:r>
      <w:r w:rsidR="006D4B41">
        <w:t>ed</w:t>
      </w:r>
      <w:r>
        <w:t xml:space="preserve"> the Terrorism Insurance Regulations 2003 to expand the ARPC’s functions to include preparing for providing reinsurance cover from 1 July 2022 for cyclones and related flood damage. T</w:t>
      </w:r>
      <w:r w:rsidR="009A1E5B">
        <w:t xml:space="preserve">he Government </w:t>
      </w:r>
      <w:r w:rsidR="003419A4">
        <w:t>made</w:t>
      </w:r>
      <w:r w:rsidR="009A1E5B">
        <w:t xml:space="preserve"> this regulatory change before a final decision on whether to proceed with a cyclone reinsurance pool. </w:t>
      </w:r>
    </w:p>
    <w:p w14:paraId="2C414F5A" w14:textId="77777777" w:rsidR="00FE4388" w:rsidRDefault="006B41CB" w:rsidP="00BB07D8">
      <w:pPr>
        <w:pStyle w:val="OutlineNumbered1"/>
        <w:numPr>
          <w:ilvl w:val="0"/>
          <w:numId w:val="0"/>
        </w:numPr>
        <w:jc w:val="both"/>
      </w:pPr>
      <w:r>
        <w:t xml:space="preserve">This will provide sufficient time for the ARPC to commence preliminary planning and undertake preparatory work so that the </w:t>
      </w:r>
      <w:r w:rsidRPr="000A735B">
        <w:t>cyclones and related flood damage reinsurance</w:t>
      </w:r>
      <w:r>
        <w:t xml:space="preserve"> scheme can be operational, if agreed by Government, from 1 July 2022. </w:t>
      </w:r>
    </w:p>
    <w:p w14:paraId="25EEAFFB" w14:textId="45E713AD" w:rsidR="002A724B" w:rsidRPr="000D5C0E" w:rsidRDefault="00C818F3" w:rsidP="00BB07D8">
      <w:pPr>
        <w:pStyle w:val="Heading4"/>
        <w:jc w:val="both"/>
      </w:pPr>
      <w:r>
        <w:t>Implementing the necessary legislative framework</w:t>
      </w:r>
    </w:p>
    <w:p w14:paraId="04800CA1" w14:textId="2771822E" w:rsidR="00502FD0" w:rsidRPr="00A468C0" w:rsidRDefault="002A724B" w:rsidP="00BB07D8">
      <w:pPr>
        <w:pStyle w:val="BodyText"/>
        <w:jc w:val="both"/>
      </w:pPr>
      <w:r w:rsidRPr="00A468C0">
        <w:t>Following the</w:t>
      </w:r>
      <w:r w:rsidR="0073295F">
        <w:t xml:space="preserve"> decision to proceed with a cyclone reinsurance pool and the</w:t>
      </w:r>
      <w:r w:rsidRPr="00A468C0">
        <w:t xml:space="preserve"> approval of a final design, </w:t>
      </w:r>
      <w:r w:rsidR="006D4B41">
        <w:t>Treasury</w:t>
      </w:r>
      <w:r w:rsidRPr="00A468C0">
        <w:t xml:space="preserve"> </w:t>
      </w:r>
      <w:r w:rsidR="0073295F" w:rsidRPr="00A468C0">
        <w:t>w</w:t>
      </w:r>
      <w:r w:rsidR="0073295F">
        <w:t>ould</w:t>
      </w:r>
      <w:r w:rsidR="0073295F" w:rsidRPr="00A468C0">
        <w:t xml:space="preserve"> </w:t>
      </w:r>
      <w:r w:rsidRPr="00A468C0">
        <w:t xml:space="preserve">proceed to develop draft legislation </w:t>
      </w:r>
      <w:r w:rsidR="00233ECB">
        <w:t>to implement the legislative framework supporting the pool</w:t>
      </w:r>
      <w:r w:rsidRPr="00A468C0">
        <w:t xml:space="preserve">. Once the primary law has been introduced and received Royal Assent, </w:t>
      </w:r>
      <w:r w:rsidR="00AD5649">
        <w:t xml:space="preserve">supporting delegated </w:t>
      </w:r>
      <w:r w:rsidR="00F81437">
        <w:t xml:space="preserve">legislation </w:t>
      </w:r>
      <w:r w:rsidR="00AD5649">
        <w:t>w</w:t>
      </w:r>
      <w:r w:rsidR="00D42C6A">
        <w:t>ould</w:t>
      </w:r>
      <w:r w:rsidRPr="00A468C0">
        <w:t xml:space="preserve"> </w:t>
      </w:r>
      <w:r w:rsidR="00F81437">
        <w:t>be</w:t>
      </w:r>
      <w:r w:rsidRPr="00A468C0">
        <w:t xml:space="preserve"> finalised. </w:t>
      </w:r>
      <w:r w:rsidR="00AD5649">
        <w:t xml:space="preserve">Targeted stakeholder consultation would be undertaken to assist with settling matters of detail in drafting the legislation. </w:t>
      </w:r>
    </w:p>
    <w:p w14:paraId="22265D0E" w14:textId="1F0A7B50" w:rsidR="00502FD0" w:rsidRPr="00A468C0" w:rsidRDefault="00502FD0" w:rsidP="00BB07D8">
      <w:pPr>
        <w:pStyle w:val="Heading2"/>
        <w:jc w:val="both"/>
      </w:pPr>
      <w:r w:rsidRPr="00A468C0">
        <w:t xml:space="preserve">Evaluation </w:t>
      </w:r>
      <w:r w:rsidR="004A5A49">
        <w:t>p</w:t>
      </w:r>
      <w:r w:rsidRPr="00A468C0">
        <w:t xml:space="preserve">lan </w:t>
      </w:r>
    </w:p>
    <w:p w14:paraId="1917694C" w14:textId="35F036D8" w:rsidR="00F148CA" w:rsidRDefault="00F148CA" w:rsidP="00BB07D8">
      <w:pPr>
        <w:pStyle w:val="BodyText"/>
        <w:jc w:val="both"/>
      </w:pPr>
      <w:r>
        <w:t xml:space="preserve">As administrator of the scheme, the ARPC </w:t>
      </w:r>
      <w:r w:rsidR="00AD5649">
        <w:t xml:space="preserve">would </w:t>
      </w:r>
      <w:r>
        <w:t xml:space="preserve">hold considerable ongoing responsibility for ensuring that community expectations are met and that the </w:t>
      </w:r>
      <w:r w:rsidR="00AD5649">
        <w:t xml:space="preserve">pool </w:t>
      </w:r>
      <w:r>
        <w:t xml:space="preserve">is managed sustainably. Arrangements for the </w:t>
      </w:r>
      <w:r w:rsidR="00AD5649">
        <w:t xml:space="preserve">pool’s </w:t>
      </w:r>
      <w:r>
        <w:t xml:space="preserve">initial and ongoing evaluation must be fit for purpose and apply an adequate level of scrutiny to the scheme. </w:t>
      </w:r>
    </w:p>
    <w:p w14:paraId="39979774" w14:textId="5B046075" w:rsidR="007A03F8" w:rsidRPr="00D85288" w:rsidRDefault="007A03F8" w:rsidP="00BB07D8">
      <w:pPr>
        <w:pStyle w:val="Bullet"/>
        <w:numPr>
          <w:ilvl w:val="0"/>
          <w:numId w:val="0"/>
        </w:numPr>
        <w:jc w:val="both"/>
      </w:pPr>
      <w:r>
        <w:t xml:space="preserve">The success of the pool would be measured by the reduction in the price of high cyclone-risk insurance premiums, and any </w:t>
      </w:r>
      <w:r w:rsidRPr="00D85288">
        <w:t xml:space="preserve">increased coverage, attributable to reduced reinsurance costs. </w:t>
      </w:r>
    </w:p>
    <w:p w14:paraId="579C2D3A" w14:textId="39C3EF8A" w:rsidR="007567CD" w:rsidRDefault="00F148CA" w:rsidP="00095780">
      <w:pPr>
        <w:pStyle w:val="BodyText"/>
        <w:jc w:val="both"/>
      </w:pPr>
      <w:r w:rsidRPr="00D85288">
        <w:t xml:space="preserve">It is also important that regular reporting and review measures </w:t>
      </w:r>
      <w:r w:rsidR="00D84174" w:rsidRPr="00D85288">
        <w:t xml:space="preserve">be </w:t>
      </w:r>
      <w:r w:rsidRPr="00D85288">
        <w:t xml:space="preserve">established to support an active ongoing review of the financial sustainability of the </w:t>
      </w:r>
      <w:r w:rsidR="00D84174" w:rsidRPr="00D85288">
        <w:t xml:space="preserve">pool </w:t>
      </w:r>
      <w:r w:rsidRPr="00D85288">
        <w:t>and its effectiveness in meeting its objective</w:t>
      </w:r>
      <w:r w:rsidR="00D84174" w:rsidRPr="00D85288">
        <w:t>s</w:t>
      </w:r>
      <w:r w:rsidRPr="00D85288">
        <w:t xml:space="preserve">. </w:t>
      </w:r>
    </w:p>
    <w:p w14:paraId="5BC98783" w14:textId="63E836D1" w:rsidR="00545B8C" w:rsidRDefault="00545B8C" w:rsidP="00BB07D8">
      <w:pPr>
        <w:pStyle w:val="BodyText"/>
        <w:jc w:val="both"/>
      </w:pPr>
      <w:r>
        <w:t>A</w:t>
      </w:r>
      <w:r w:rsidRPr="00602BED">
        <w:t xml:space="preserve"> monitoring program would be undertaken by</w:t>
      </w:r>
      <w:r>
        <w:t xml:space="preserve"> the ACCC. The objectives of the monitoring program would be to monitor the impact of the pool in improving the affordability of property insurance for households and small business and monitoring the pass through of insurer savings to policyholders. </w:t>
      </w:r>
    </w:p>
    <w:p w14:paraId="77C9AC31" w14:textId="12D5DC9D" w:rsidR="00545B8C" w:rsidRDefault="00545B8C" w:rsidP="00BB07D8">
      <w:pPr>
        <w:pStyle w:val="BodyText"/>
        <w:jc w:val="both"/>
      </w:pPr>
      <w:r>
        <w:t>The ACCC would publish an annual report on its monitoring activities that would identify any insurers that are not passing on savings to policyholders. The ACCC’s analysis would also inform future evaluations of the reinsurance pool as well as any subsequent adjustments to its design.</w:t>
      </w:r>
    </w:p>
    <w:p w14:paraId="473149BF" w14:textId="69A15365" w:rsidR="005909C5" w:rsidRDefault="00C75D37" w:rsidP="005909C5">
      <w:pPr>
        <w:pStyle w:val="BodyText"/>
        <w:jc w:val="both"/>
      </w:pPr>
      <w:r>
        <w:t xml:space="preserve">Effective governance arrangements and, the oversight role of the ARPC Board, provide an appropriate foundation for the ongoing evaluation of the scheme.  </w:t>
      </w:r>
      <w:r w:rsidR="005909C5">
        <w:t>Under the PGPA Act, ARPC is classified as a corporate Commonwealth entity</w:t>
      </w:r>
      <w:r>
        <w:t xml:space="preserve"> and</w:t>
      </w:r>
      <w:r w:rsidR="005909C5">
        <w:t xml:space="preserve"> is subject to the financial and non-financial requirements of the PGPA Act. In 2019, an Australian National Audit Office (ANAO) performance audit found that ‘</w:t>
      </w:r>
      <w:r w:rsidR="005909C5" w:rsidRPr="00617BE6">
        <w:t>ARPC’s governance arrangements enable effective oversight and management of the</w:t>
      </w:r>
      <w:r w:rsidR="005909C5">
        <w:t xml:space="preserve"> </w:t>
      </w:r>
      <w:r w:rsidR="005909C5" w:rsidRPr="00617BE6">
        <w:t>schem</w:t>
      </w:r>
      <w:r w:rsidR="005909C5">
        <w:t>e</w:t>
      </w:r>
      <w:r w:rsidR="00FC5CD0">
        <w:t>…</w:t>
      </w:r>
      <w:r w:rsidR="005909C5">
        <w:t xml:space="preserve"> </w:t>
      </w:r>
      <w:r w:rsidR="00FC5CD0">
        <w:t>[</w:t>
      </w:r>
      <w:r w:rsidR="005909C5">
        <w:t>and that</w:t>
      </w:r>
      <w:r w:rsidR="00FC5CD0">
        <w:t>]</w:t>
      </w:r>
      <w:r w:rsidR="005909C5">
        <w:t xml:space="preserve"> t</w:t>
      </w:r>
      <w:r w:rsidR="005909C5" w:rsidRPr="00617BE6">
        <w:t>he ARPC Board is effective in overseeing the scheme</w:t>
      </w:r>
      <w:r w:rsidR="005909C5">
        <w:t>’</w:t>
      </w:r>
      <w:r w:rsidR="005909C5" w:rsidRPr="00617BE6">
        <w:t>.</w:t>
      </w:r>
      <w:r w:rsidR="005909C5">
        <w:rPr>
          <w:rStyle w:val="FootnoteReference"/>
        </w:rPr>
        <w:footnoteReference w:id="40"/>
      </w:r>
      <w:r w:rsidR="005909C5">
        <w:t xml:space="preserve"> </w:t>
      </w:r>
    </w:p>
    <w:p w14:paraId="591B29EC" w14:textId="39A4C104" w:rsidR="00F148CA" w:rsidRPr="00D85288" w:rsidRDefault="005909C5" w:rsidP="005909C5">
      <w:pPr>
        <w:pStyle w:val="BodyText"/>
        <w:jc w:val="both"/>
      </w:pPr>
      <w:r>
        <w:t xml:space="preserve">Under the TI Act and the PGPA Act, the ARPC </w:t>
      </w:r>
      <w:r w:rsidR="00FC5CD0">
        <w:t>B</w:t>
      </w:r>
      <w:r>
        <w:t xml:space="preserve">oard currently </w:t>
      </w:r>
      <w:r w:rsidR="00C75D37">
        <w:t>produces</w:t>
      </w:r>
      <w:r>
        <w:t xml:space="preserve"> regular reporting on the operational and financial performance of the ARPC each financial year, with </w:t>
      </w:r>
      <w:r w:rsidR="007E7E55">
        <w:t>financial reporting independently audited by the ANAO</w:t>
      </w:r>
      <w:r>
        <w:t>. These</w:t>
      </w:r>
      <w:r w:rsidR="00C75D37">
        <w:t xml:space="preserve"> existing review</w:t>
      </w:r>
      <w:r>
        <w:t xml:space="preserve"> </w:t>
      </w:r>
      <w:r w:rsidR="00365434">
        <w:t>mechanisms</w:t>
      </w:r>
      <w:r>
        <w:t xml:space="preserve"> would be strengthened by additional reporting requirements following the establishment of the </w:t>
      </w:r>
      <w:r w:rsidR="00C75D37">
        <w:t>cyclone</w:t>
      </w:r>
      <w:r>
        <w:t xml:space="preserve"> pool</w:t>
      </w:r>
      <w:r w:rsidR="00A932A1">
        <w:t>.</w:t>
      </w:r>
      <w:r w:rsidR="00365434">
        <w:t xml:space="preserve"> </w:t>
      </w:r>
      <w:r w:rsidR="00A932A1">
        <w:t xml:space="preserve">Evaluation measures would </w:t>
      </w:r>
      <w:r w:rsidR="00365434">
        <w:t>includ</w:t>
      </w:r>
      <w:r w:rsidR="00A932A1">
        <w:t>e</w:t>
      </w:r>
      <w:r w:rsidR="00F148CA" w:rsidRPr="00D85288">
        <w:t xml:space="preserve">: </w:t>
      </w:r>
    </w:p>
    <w:p w14:paraId="0224245F" w14:textId="50221339" w:rsidR="00F148CA" w:rsidRPr="00D85288" w:rsidRDefault="00F148CA" w:rsidP="00BB07D8">
      <w:pPr>
        <w:pStyle w:val="Bullet"/>
        <w:jc w:val="both"/>
      </w:pPr>
      <w:r w:rsidRPr="00D85288">
        <w:t>annual reporting to the Minister</w:t>
      </w:r>
      <w:r w:rsidR="00365434">
        <w:t xml:space="preserve"> by the ARPC</w:t>
      </w:r>
      <w:r w:rsidR="00C75D37">
        <w:t xml:space="preserve"> Board</w:t>
      </w:r>
      <w:r w:rsidR="00CA264F" w:rsidRPr="00D85288">
        <w:t>, that is timed to inform Budget processes,</w:t>
      </w:r>
      <w:r w:rsidRPr="00D85288">
        <w:t xml:space="preserve"> on the financial </w:t>
      </w:r>
      <w:r w:rsidR="00882CED" w:rsidRPr="00D85288">
        <w:t>position</w:t>
      </w:r>
      <w:r w:rsidRPr="00D85288">
        <w:t>, premium adequacy, and risk outlook for the scheme, with the Australian Government Actuary (AGA) playing a role in reviewing the report; and</w:t>
      </w:r>
    </w:p>
    <w:p w14:paraId="65431CAB" w14:textId="30E90036" w:rsidR="007A03F8" w:rsidRDefault="00A932A1" w:rsidP="00BB07D8">
      <w:pPr>
        <w:pStyle w:val="Bullet"/>
        <w:jc w:val="both"/>
      </w:pPr>
      <w:r>
        <w:t>a</w:t>
      </w:r>
      <w:r w:rsidRPr="00D85288">
        <w:t xml:space="preserve"> </w:t>
      </w:r>
      <w:r w:rsidR="00F148CA" w:rsidRPr="00D85288">
        <w:t>formal review</w:t>
      </w:r>
      <w:r>
        <w:t xml:space="preserve"> of the scheme, undertaken</w:t>
      </w:r>
      <w:r w:rsidR="00F148CA" w:rsidRPr="00D85288">
        <w:t xml:space="preserve"> </w:t>
      </w:r>
      <w:r w:rsidR="00514DEA">
        <w:t>first after 3 years and then</w:t>
      </w:r>
      <w:r w:rsidR="00F148CA" w:rsidRPr="00D85288">
        <w:t xml:space="preserve"> at least once every 5 years by the Treasury, in collaboration with the AGA.</w:t>
      </w:r>
    </w:p>
    <w:p w14:paraId="78309A2A" w14:textId="77777777" w:rsidR="007A03F8" w:rsidRDefault="007A03F8" w:rsidP="00BB07D8">
      <w:pPr>
        <w:pStyle w:val="Bullet"/>
        <w:numPr>
          <w:ilvl w:val="0"/>
          <w:numId w:val="0"/>
        </w:numPr>
        <w:ind w:left="472" w:hanging="472"/>
        <w:jc w:val="both"/>
      </w:pPr>
    </w:p>
    <w:p w14:paraId="11388A73" w14:textId="6850511D" w:rsidR="00502FD0" w:rsidRPr="00882CED" w:rsidRDefault="00502FD0" w:rsidP="00BB07D8">
      <w:pPr>
        <w:pStyle w:val="Bullet"/>
        <w:numPr>
          <w:ilvl w:val="0"/>
          <w:numId w:val="0"/>
        </w:numPr>
        <w:jc w:val="both"/>
      </w:pPr>
      <w:r>
        <w:br w:type="page"/>
      </w:r>
    </w:p>
    <w:p w14:paraId="3A605A7F" w14:textId="323724EE" w:rsidR="00E01B77" w:rsidRDefault="003B4AA5" w:rsidP="00DF2185">
      <w:pPr>
        <w:rPr>
          <w:rFonts w:asciiTheme="majorHAnsi" w:hAnsiTheme="majorHAnsi"/>
          <w:b/>
          <w:color w:val="014463" w:themeColor="text2"/>
          <w:sz w:val="60"/>
          <w:szCs w:val="60"/>
        </w:rPr>
      </w:pPr>
      <w:r w:rsidRPr="003B4AA5">
        <w:rPr>
          <w:rFonts w:asciiTheme="majorHAnsi" w:hAnsiTheme="majorHAnsi"/>
          <w:b/>
          <w:color w:val="014463" w:themeColor="text2"/>
          <w:sz w:val="60"/>
          <w:szCs w:val="60"/>
        </w:rPr>
        <w:t xml:space="preserve">Additional </w:t>
      </w:r>
      <w:r w:rsidR="007F2CB1">
        <w:rPr>
          <w:rFonts w:asciiTheme="majorHAnsi" w:hAnsiTheme="majorHAnsi"/>
          <w:b/>
          <w:color w:val="014463" w:themeColor="text2"/>
          <w:sz w:val="60"/>
          <w:szCs w:val="60"/>
        </w:rPr>
        <w:t>i</w:t>
      </w:r>
      <w:r w:rsidRPr="003B4AA5">
        <w:rPr>
          <w:rFonts w:asciiTheme="majorHAnsi" w:hAnsiTheme="majorHAnsi"/>
          <w:b/>
          <w:color w:val="014463" w:themeColor="text2"/>
          <w:sz w:val="60"/>
          <w:szCs w:val="60"/>
        </w:rPr>
        <w:t>nformation</w:t>
      </w:r>
    </w:p>
    <w:p w14:paraId="155DAE9F" w14:textId="77777777" w:rsidR="003B4AA5" w:rsidRDefault="003B4AA5" w:rsidP="003B4AA5">
      <w:pPr>
        <w:rPr>
          <w:rFonts w:asciiTheme="majorHAnsi" w:hAnsiTheme="majorHAnsi"/>
          <w:color w:val="014463" w:themeColor="text2"/>
          <w:sz w:val="24"/>
          <w:szCs w:val="24"/>
        </w:rPr>
      </w:pPr>
      <w:r>
        <w:rPr>
          <w:rFonts w:asciiTheme="majorHAnsi" w:hAnsiTheme="majorHAnsi"/>
          <w:color w:val="014463" w:themeColor="text2"/>
          <w:sz w:val="24"/>
          <w:szCs w:val="24"/>
        </w:rPr>
        <w:t xml:space="preserve">RIS status at each major decision point </w:t>
      </w:r>
    </w:p>
    <w:p w14:paraId="4AAB58E1" w14:textId="4651FE5D" w:rsidR="00B646F8" w:rsidRDefault="00B646F8" w:rsidP="00BB07D8">
      <w:pPr>
        <w:pStyle w:val="BodyText"/>
        <w:jc w:val="both"/>
      </w:pPr>
      <w:r>
        <w:t>A draft RIS informed the Government’s decision to announce its intention to implement a cyclone reinsurance pool. This decision was announced on 4 May 2021. The draft RIS was not assessed by the Office of Best Practice Regulation ahead of the Government’s decision to announce its intention on the cyclone reinsurance pool.</w:t>
      </w:r>
    </w:p>
    <w:p w14:paraId="071FDCBA" w14:textId="5298183D" w:rsidR="00E01B77" w:rsidRPr="00676D1F" w:rsidRDefault="00724142" w:rsidP="00BB07D8">
      <w:pPr>
        <w:pStyle w:val="BodyText"/>
        <w:jc w:val="both"/>
      </w:pPr>
      <w:r>
        <w:t xml:space="preserve">This </w:t>
      </w:r>
      <w:r w:rsidR="003B4AA5">
        <w:t xml:space="preserve">final RIS has been prepared to inform the Government’s decision on whether to proceed with a cyclone reinsurance pool. </w:t>
      </w:r>
    </w:p>
    <w:sectPr w:rsidR="00E01B77" w:rsidRPr="00676D1F" w:rsidSect="00753174">
      <w:headerReference w:type="default" r:id="rId19"/>
      <w:footerReference w:type="default" r:id="rId20"/>
      <w:headerReference w:type="first" r:id="rId21"/>
      <w:footerReference w:type="first" r:id="rId22"/>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9E282" w14:textId="77777777" w:rsidR="008263E5" w:rsidRDefault="008263E5" w:rsidP="00B95533">
      <w:pPr>
        <w:spacing w:after="0" w:line="240" w:lineRule="auto"/>
      </w:pPr>
      <w:r>
        <w:separator/>
      </w:r>
    </w:p>
  </w:endnote>
  <w:endnote w:type="continuationSeparator" w:id="0">
    <w:p w14:paraId="5B7DE3A8" w14:textId="77777777" w:rsidR="008263E5" w:rsidRDefault="008263E5" w:rsidP="00B95533">
      <w:pPr>
        <w:spacing w:after="0" w:line="240" w:lineRule="auto"/>
      </w:pPr>
      <w:r>
        <w:continuationSeparator/>
      </w:r>
    </w:p>
  </w:endnote>
  <w:endnote w:type="continuationNotice" w:id="1">
    <w:p w14:paraId="407EA39D" w14:textId="77777777" w:rsidR="008263E5" w:rsidRDefault="00826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D146" w14:textId="77777777" w:rsidR="006A1B40" w:rsidRDefault="006A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F533AE62-A212-4B26-92DA-A3B336E8AE06}"/>
      <w:text/>
    </w:sdtPr>
    <w:sdtEndPr/>
    <w:sdtContent>
      <w:p w14:paraId="1E125F07" w14:textId="77777777" w:rsidR="006A1B40" w:rsidRPr="00B87E45" w:rsidRDefault="006A1B40" w:rsidP="001007B9">
        <w:pPr>
          <w:pStyle w:val="ProtectiveMarking"/>
        </w:pPr>
        <w:r>
          <w:t>Choose Classification</w:t>
        </w:r>
      </w:p>
    </w:sdtContent>
  </w:sdt>
  <w:p w14:paraId="41D4614A" w14:textId="77777777" w:rsidR="006A1B40" w:rsidRPr="00073D52" w:rsidRDefault="006A1B40"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12F64E23" wp14:editId="0E2059CD">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CE8A722" w14:textId="6FE423CD" w:rsidR="006A1B40" w:rsidRPr="00073D52" w:rsidRDefault="006A1B4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16</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F64E23" id="_x0000_t202" coordsize="21600,21600" o:spt="202" path="m,l,21600r21600,l21600,xe">
              <v:stroke joinstyle="miter"/>
              <v:path gradientshapeok="t" o:connecttype="rect"/>
            </v:shapetype>
            <v:shape id="_x0000_s1030"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1CE8A722" w14:textId="6FE423CD" w:rsidR="006A1B40" w:rsidRPr="00073D52" w:rsidRDefault="006A1B4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16</w:t>
                    </w:r>
                    <w:r w:rsidRPr="00073D52">
                      <w:rPr>
                        <w:b w:val="0"/>
                        <w:bCs/>
                        <w:noProof/>
                        <w:sz w:val="16"/>
                        <w:szCs w:val="16"/>
                      </w:rPr>
                      <w:fldChar w:fldCharType="end"/>
                    </w:r>
                  </w:p>
                </w:txbxContent>
              </v:textbox>
              <w10:wrap anchorx="margin" anchory="page"/>
              <w10:anchorlock/>
            </v:shape>
          </w:pict>
        </mc:Fallback>
      </mc:AlternateContent>
    </w:r>
  </w:p>
  <w:p w14:paraId="0BA5343E" w14:textId="77777777" w:rsidR="006A1B40" w:rsidRPr="001007B9" w:rsidRDefault="006A1B40"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F533AE62-A212-4B26-92DA-A3B336E8AE06}"/>
      <w:text/>
    </w:sdtPr>
    <w:sdtEndPr/>
    <w:sdtContent>
      <w:p w14:paraId="05451CC1" w14:textId="77777777" w:rsidR="006A1B40" w:rsidRPr="00B87E45" w:rsidRDefault="006A1B40" w:rsidP="00917F95">
        <w:pPr>
          <w:pStyle w:val="ProtectiveMarking"/>
        </w:pPr>
        <w:r>
          <w:t>Choose Classification</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FCB1" w14:textId="77777777" w:rsidR="006A1B40" w:rsidRPr="00B87E45" w:rsidRDefault="006A1B40" w:rsidP="001007B9">
    <w:pPr>
      <w:pStyle w:val="ProtectiveMarking"/>
    </w:pPr>
  </w:p>
  <w:p w14:paraId="6BD7EB2A" w14:textId="77777777" w:rsidR="006A1B40" w:rsidRPr="00073D52" w:rsidRDefault="006A1B40"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0A21D316" wp14:editId="4EAB9CA7">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592DF7B" w14:textId="1CEFFD5B" w:rsidR="006A1B40" w:rsidRPr="00825B23" w:rsidRDefault="006A1B4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A62468">
                            <w:rPr>
                              <w:b w:val="0"/>
                              <w:bCs/>
                              <w:noProof/>
                              <w:sz w:val="16"/>
                              <w:szCs w:val="16"/>
                            </w:rPr>
                            <w:t>23</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21D316" id="_x0000_t202" coordsize="21600,21600" o:spt="202" path="m,l,21600r21600,l21600,xe">
              <v:stroke joinstyle="miter"/>
              <v:path gradientshapeok="t" o:connecttype="rect"/>
            </v:shapetype>
            <v:shape id="_x0000_s1031"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2592DF7B" w14:textId="1CEFFD5B" w:rsidR="006A1B40" w:rsidRPr="00825B23" w:rsidRDefault="006A1B4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A62468">
                      <w:rPr>
                        <w:b w:val="0"/>
                        <w:bCs/>
                        <w:noProof/>
                        <w:sz w:val="16"/>
                        <w:szCs w:val="16"/>
                      </w:rPr>
                      <w:t>23</w:t>
                    </w:r>
                    <w:r w:rsidRPr="00825B23">
                      <w:rPr>
                        <w:b w:val="0"/>
                        <w:bCs/>
                        <w:noProof/>
                        <w:sz w:val="16"/>
                        <w:szCs w:val="16"/>
                      </w:rPr>
                      <w:fldChar w:fldCharType="end"/>
                    </w:r>
                  </w:p>
                </w:txbxContent>
              </v:textbox>
              <w10:wrap anchorx="margin" anchory="page"/>
              <w10:anchorlock/>
            </v:shape>
          </w:pict>
        </mc:Fallback>
      </mc:AlternateContent>
    </w:r>
  </w:p>
  <w:p w14:paraId="5565946E" w14:textId="1CAACDDC" w:rsidR="006A1B40" w:rsidRPr="00825B23" w:rsidRDefault="006A1B40" w:rsidP="009B4379">
    <w:pPr>
      <w:pStyle w:val="Footer"/>
      <w:spacing w:after="500"/>
      <w:contextualSpacing/>
      <w:jc w:val="left"/>
      <w:rPr>
        <w:b w:val="0"/>
        <w:bCs/>
        <w:sz w:val="16"/>
        <w:szCs w:val="16"/>
      </w:rPr>
    </w:pPr>
    <w:r>
      <w:rPr>
        <w:b w:val="0"/>
        <w:bCs/>
        <w:sz w:val="16"/>
        <w:szCs w:val="16"/>
      </w:rPr>
      <w:t>DEPARTMENT OF THE tREASURY</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F533AE62-A212-4B26-92DA-A3B336E8AE06}"/>
        <w:text/>
      </w:sdtPr>
      <w:sdtEndPr/>
      <w:sdtContent>
        <w:r>
          <w:rPr>
            <w:b w:val="0"/>
            <w:bCs/>
            <w:caps w:val="0"/>
            <w:sz w:val="16"/>
            <w:szCs w:val="16"/>
          </w:rPr>
          <w:t>CYCLONE AND RELATED FLOODING REINSURANCE POOL</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23202344" w14:textId="77777777" w:rsidR="006A1B40" w:rsidRPr="00B87E45" w:rsidRDefault="006A1B40" w:rsidP="00917F95">
        <w:pPr>
          <w:pStyle w:val="ProtectiveMarking"/>
        </w:pPr>
        <w:r>
          <w:t>Choose Classification</w:t>
        </w:r>
      </w:p>
    </w:sdtContent>
  </w:sdt>
  <w:p w14:paraId="22F5BBDA" w14:textId="77777777" w:rsidR="006A1B40" w:rsidRPr="00073D52" w:rsidRDefault="006A1B40" w:rsidP="00917F95">
    <w:pPr>
      <w:pStyle w:val="Footerline"/>
    </w:pPr>
  </w:p>
  <w:p w14:paraId="48344CFF" w14:textId="77777777" w:rsidR="006A1B40" w:rsidRPr="00195BA8" w:rsidRDefault="006A1B40"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showingPlcHdr/>
        <w:dataBinding w:xpath="/root[1]/DH[1]" w:storeItemID="{F533AE62-A212-4B26-92DA-A3B336E8AE06}"/>
        <w:text/>
      </w:sdtPr>
      <w:sdtEndPr/>
      <w:sdtContent>
        <w:r w:rsidRPr="005A0DE7">
          <w:rPr>
            <w:b w:val="0"/>
            <w:bCs/>
            <w:caps w:val="0"/>
            <w:color w:val="25303B" w:themeColor="accent1"/>
            <w:sz w:val="16"/>
            <w:szCs w:val="16"/>
          </w:rPr>
          <w:t>[Document Heading]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BF050" w14:textId="77777777" w:rsidR="008263E5" w:rsidRPr="003A7E73" w:rsidRDefault="008263E5" w:rsidP="00B95533">
      <w:pPr>
        <w:spacing w:after="0" w:line="240" w:lineRule="auto"/>
        <w:rPr>
          <w:color w:val="014463" w:themeColor="accent2"/>
        </w:rPr>
      </w:pPr>
      <w:r w:rsidRPr="003A7E73">
        <w:rPr>
          <w:color w:val="014463" w:themeColor="accent2"/>
        </w:rPr>
        <w:separator/>
      </w:r>
    </w:p>
  </w:footnote>
  <w:footnote w:type="continuationSeparator" w:id="0">
    <w:p w14:paraId="3F07B563" w14:textId="77777777" w:rsidR="008263E5" w:rsidRPr="003A7E73" w:rsidRDefault="008263E5" w:rsidP="00B95533">
      <w:pPr>
        <w:spacing w:after="0" w:line="240" w:lineRule="auto"/>
        <w:rPr>
          <w:color w:val="014463" w:themeColor="accent2"/>
        </w:rPr>
      </w:pPr>
      <w:r w:rsidRPr="003A7E73">
        <w:rPr>
          <w:color w:val="014463" w:themeColor="accent2"/>
        </w:rPr>
        <w:continuationSeparator/>
      </w:r>
    </w:p>
  </w:footnote>
  <w:footnote w:type="continuationNotice" w:id="1">
    <w:p w14:paraId="477847CE" w14:textId="77777777" w:rsidR="008263E5" w:rsidRDefault="008263E5">
      <w:pPr>
        <w:spacing w:after="0" w:line="240" w:lineRule="auto"/>
      </w:pPr>
    </w:p>
  </w:footnote>
  <w:footnote w:id="2">
    <w:p w14:paraId="1EA9581C" w14:textId="269F1E40" w:rsidR="006A1B40" w:rsidRPr="00945E84" w:rsidRDefault="006A1B40" w:rsidP="00335B7A">
      <w:pPr>
        <w:pStyle w:val="FootnoteText"/>
      </w:pPr>
      <w:r>
        <w:rPr>
          <w:rStyle w:val="FootnoteReference"/>
        </w:rPr>
        <w:footnoteRef/>
      </w:r>
      <w:r>
        <w:t xml:space="preserve"> </w:t>
      </w:r>
      <w:bookmarkStart w:id="1" w:name="_Hlk85807630"/>
      <w:r>
        <w:t xml:space="preserve">Australian Competition and Consumer Commission (2020) </w:t>
      </w:r>
      <w:r>
        <w:rPr>
          <w:i/>
          <w:iCs/>
        </w:rPr>
        <w:t xml:space="preserve">Northern Australia Insurance Inquiry – Final Report, </w:t>
      </w:r>
      <w:r>
        <w:t xml:space="preserve">November 2020, p. vii. available at: </w:t>
      </w:r>
      <w:hyperlink r:id="rId1" w:history="1">
        <w:r w:rsidRPr="00BF0360">
          <w:rPr>
            <w:rStyle w:val="Hyperlink"/>
          </w:rPr>
          <w:t>www.accc.gov.au/publications/northern-australia-insurance-inquiry-final-report</w:t>
        </w:r>
      </w:hyperlink>
      <w:r>
        <w:t xml:space="preserve">. </w:t>
      </w:r>
      <w:bookmarkEnd w:id="1"/>
    </w:p>
  </w:footnote>
  <w:footnote w:id="3">
    <w:p w14:paraId="61A5EAD5" w14:textId="77777777" w:rsidR="006A1B40" w:rsidRDefault="006A1B40" w:rsidP="00335B7A">
      <w:pPr>
        <w:pStyle w:val="FootnoteText"/>
      </w:pPr>
      <w:r>
        <w:rPr>
          <w:rStyle w:val="FootnoteReference"/>
        </w:rPr>
        <w:footnoteRef/>
      </w:r>
      <w:r>
        <w:t xml:space="preserve"> Ibid, p. viii. </w:t>
      </w:r>
    </w:p>
  </w:footnote>
  <w:footnote w:id="4">
    <w:p w14:paraId="352EE437" w14:textId="77777777" w:rsidR="006A1B40" w:rsidRDefault="006A1B40" w:rsidP="00335B7A">
      <w:pPr>
        <w:pStyle w:val="FootnoteText"/>
      </w:pPr>
      <w:r>
        <w:rPr>
          <w:rStyle w:val="FootnoteReference"/>
        </w:rPr>
        <w:footnoteRef/>
      </w:r>
      <w:r>
        <w:t xml:space="preserve"> Ibid, p. 22.</w:t>
      </w:r>
    </w:p>
  </w:footnote>
  <w:footnote w:id="5">
    <w:p w14:paraId="62F5EEF7" w14:textId="77777777" w:rsidR="006A1B40" w:rsidRDefault="006A1B40" w:rsidP="00335B7A">
      <w:pPr>
        <w:pStyle w:val="FootnoteText"/>
      </w:pPr>
      <w:r>
        <w:rPr>
          <w:rStyle w:val="FootnoteReference"/>
        </w:rPr>
        <w:footnoteRef/>
      </w:r>
      <w:r>
        <w:t xml:space="preserve"> Ibid, p. viii.</w:t>
      </w:r>
    </w:p>
  </w:footnote>
  <w:footnote w:id="6">
    <w:p w14:paraId="0FDD6388" w14:textId="77777777" w:rsidR="006A1B40" w:rsidRDefault="006A1B40" w:rsidP="00335B7A">
      <w:pPr>
        <w:pStyle w:val="FootnoteText"/>
      </w:pPr>
      <w:r>
        <w:rPr>
          <w:rStyle w:val="FootnoteReference"/>
        </w:rPr>
        <w:footnoteRef/>
      </w:r>
      <w:r>
        <w:t xml:space="preserve"> Ibid, p. 22.</w:t>
      </w:r>
    </w:p>
  </w:footnote>
  <w:footnote w:id="7">
    <w:p w14:paraId="3B401E2A" w14:textId="77777777" w:rsidR="006A1B40" w:rsidRDefault="006A1B40" w:rsidP="00335B7A">
      <w:pPr>
        <w:pStyle w:val="FootnoteText"/>
      </w:pPr>
      <w:r>
        <w:rPr>
          <w:rStyle w:val="FootnoteReference"/>
        </w:rPr>
        <w:footnoteRef/>
      </w:r>
      <w:r>
        <w:t xml:space="preserve"> Ibid, p. 65.</w:t>
      </w:r>
    </w:p>
  </w:footnote>
  <w:footnote w:id="8">
    <w:p w14:paraId="09740563" w14:textId="77777777" w:rsidR="006A1B40" w:rsidRDefault="006A1B40" w:rsidP="004C3372">
      <w:pPr>
        <w:pStyle w:val="FootnoteText"/>
      </w:pPr>
      <w:r>
        <w:rPr>
          <w:rStyle w:val="FootnoteReference"/>
        </w:rPr>
        <w:footnoteRef/>
      </w:r>
      <w:r>
        <w:t xml:space="preserve"> Ibid, p. ix.</w:t>
      </w:r>
    </w:p>
  </w:footnote>
  <w:footnote w:id="9">
    <w:p w14:paraId="55181262" w14:textId="43BAD55C" w:rsidR="006A1B40" w:rsidRDefault="006A1B40">
      <w:pPr>
        <w:pStyle w:val="FootnoteText"/>
      </w:pPr>
      <w:r>
        <w:rPr>
          <w:rStyle w:val="FootnoteReference"/>
        </w:rPr>
        <w:footnoteRef/>
      </w:r>
      <w:r>
        <w:t xml:space="preserve"> Ibid, p. 55.</w:t>
      </w:r>
    </w:p>
  </w:footnote>
  <w:footnote w:id="10">
    <w:p w14:paraId="42FF5E30" w14:textId="72ECF1CA" w:rsidR="006A1B40" w:rsidRDefault="006A1B40" w:rsidP="004C3372">
      <w:pPr>
        <w:pStyle w:val="FootnoteText"/>
      </w:pPr>
      <w:r>
        <w:rPr>
          <w:rStyle w:val="FootnoteReference"/>
        </w:rPr>
        <w:footnoteRef/>
      </w:r>
      <w:r>
        <w:t xml:space="preserve"> Ibid.</w:t>
      </w:r>
    </w:p>
  </w:footnote>
  <w:footnote w:id="11">
    <w:p w14:paraId="4818B928" w14:textId="77777777" w:rsidR="006A1B40" w:rsidRDefault="006A1B40" w:rsidP="005538B9">
      <w:pPr>
        <w:pStyle w:val="FootnoteText"/>
      </w:pPr>
      <w:r>
        <w:rPr>
          <w:rStyle w:val="FootnoteReference"/>
        </w:rPr>
        <w:footnoteRef/>
      </w:r>
      <w:r>
        <w:t xml:space="preserve"> Ibid, p. 155.</w:t>
      </w:r>
    </w:p>
  </w:footnote>
  <w:footnote w:id="12">
    <w:p w14:paraId="62DB70BE" w14:textId="6802590C" w:rsidR="006A1B40" w:rsidRDefault="006A1B40">
      <w:pPr>
        <w:pStyle w:val="FootnoteText"/>
      </w:pPr>
      <w:r>
        <w:rPr>
          <w:rStyle w:val="FootnoteReference"/>
        </w:rPr>
        <w:footnoteRef/>
      </w:r>
      <w:r>
        <w:t xml:space="preserve"> Royal Commission into National Natural Disaster Arrangements (2020) </w:t>
      </w:r>
      <w:r>
        <w:rPr>
          <w:i/>
          <w:iCs/>
        </w:rPr>
        <w:t xml:space="preserve">Final Report, </w:t>
      </w:r>
      <w:r>
        <w:t>October 2020,</w:t>
      </w:r>
      <w:r>
        <w:rPr>
          <w:i/>
        </w:rPr>
        <w:t xml:space="preserve"> </w:t>
      </w:r>
      <w:r>
        <w:t xml:space="preserve">available at: </w:t>
      </w:r>
      <w:hyperlink r:id="rId2" w:history="1">
        <w:r w:rsidRPr="00EC0098">
          <w:rPr>
            <w:rStyle w:val="Hyperlink"/>
          </w:rPr>
          <w:t>https://naturaldisaster.royalcommission.gov.au/publications/html-report</w:t>
        </w:r>
      </w:hyperlink>
      <w:r>
        <w:t xml:space="preserve">. </w:t>
      </w:r>
    </w:p>
  </w:footnote>
  <w:footnote w:id="13">
    <w:p w14:paraId="0DC1B1EF" w14:textId="0704D117" w:rsidR="006A1B40" w:rsidRDefault="006A1B40">
      <w:pPr>
        <w:pStyle w:val="FootnoteText"/>
      </w:pPr>
      <w:r>
        <w:rPr>
          <w:rStyle w:val="FootnoteReference"/>
        </w:rPr>
        <w:footnoteRef/>
      </w:r>
      <w:r>
        <w:t xml:space="preserve"> Australian Competition and Consumer Commission (2020) </w:t>
      </w:r>
      <w:r>
        <w:rPr>
          <w:i/>
          <w:iCs/>
        </w:rPr>
        <w:t xml:space="preserve">Northern Australia Insurance Inquiry – Final Report, </w:t>
      </w:r>
      <w:r>
        <w:t>November 2020, p. 155.</w:t>
      </w:r>
    </w:p>
  </w:footnote>
  <w:footnote w:id="14">
    <w:p w14:paraId="37DFA46B" w14:textId="77777777" w:rsidR="006A1B40" w:rsidRDefault="006A1B40" w:rsidP="005538B9">
      <w:pPr>
        <w:pStyle w:val="FootnoteText"/>
      </w:pPr>
      <w:r>
        <w:rPr>
          <w:rStyle w:val="FootnoteReference"/>
        </w:rPr>
        <w:footnoteRef/>
      </w:r>
      <w:r>
        <w:t xml:space="preserve"> Ibid, p. 12.</w:t>
      </w:r>
    </w:p>
  </w:footnote>
  <w:footnote w:id="15">
    <w:p w14:paraId="19B362A2" w14:textId="77777777" w:rsidR="006A1B40" w:rsidRDefault="006A1B40" w:rsidP="005538B9">
      <w:pPr>
        <w:pStyle w:val="FootnoteText"/>
      </w:pPr>
      <w:r>
        <w:rPr>
          <w:rStyle w:val="FootnoteReference"/>
        </w:rPr>
        <w:footnoteRef/>
      </w:r>
      <w:r>
        <w:t xml:space="preserve"> Ibid, p. 103. </w:t>
      </w:r>
    </w:p>
  </w:footnote>
  <w:footnote w:id="16">
    <w:p w14:paraId="11DB9874" w14:textId="77777777" w:rsidR="006A1B40" w:rsidRDefault="006A1B40" w:rsidP="005538B9">
      <w:pPr>
        <w:pStyle w:val="FootnoteText"/>
      </w:pPr>
      <w:r>
        <w:rPr>
          <w:rStyle w:val="FootnoteReference"/>
        </w:rPr>
        <w:footnoteRef/>
      </w:r>
      <w:r>
        <w:t xml:space="preserve"> Ibid.</w:t>
      </w:r>
    </w:p>
  </w:footnote>
  <w:footnote w:id="17">
    <w:p w14:paraId="30744513" w14:textId="77777777" w:rsidR="006A1B40" w:rsidRDefault="006A1B40" w:rsidP="005538B9">
      <w:pPr>
        <w:pStyle w:val="FootnoteText"/>
      </w:pPr>
      <w:r>
        <w:rPr>
          <w:rStyle w:val="FootnoteReference"/>
        </w:rPr>
        <w:footnoteRef/>
      </w:r>
      <w:r>
        <w:t xml:space="preserve"> Ibid, p. 260.</w:t>
      </w:r>
    </w:p>
  </w:footnote>
  <w:footnote w:id="18">
    <w:p w14:paraId="17BECBBB" w14:textId="600D67A4" w:rsidR="006A1B40" w:rsidRDefault="006A1B40" w:rsidP="005319E2">
      <w:pPr>
        <w:pStyle w:val="FootnoteText"/>
      </w:pPr>
      <w:r>
        <w:rPr>
          <w:rStyle w:val="FootnoteReference"/>
        </w:rPr>
        <w:footnoteRef/>
      </w:r>
      <w:r>
        <w:t xml:space="preserve"> Queensland Government, </w:t>
      </w:r>
      <w:r>
        <w:rPr>
          <w:i/>
          <w:iCs/>
        </w:rPr>
        <w:t xml:space="preserve">North Queensland Natural Disasters Mitigation Program, </w:t>
      </w:r>
      <w:r>
        <w:t xml:space="preserve">available at: </w:t>
      </w:r>
      <w:hyperlink r:id="rId3" w:history="1">
        <w:r w:rsidRPr="00E3789D">
          <w:rPr>
            <w:rStyle w:val="Hyperlink"/>
          </w:rPr>
          <w:t>https://www.qra.qld.gov.au/funding-programs/resilience-funding/north-queensland-natural-disasters-mitigation-program</w:t>
        </w:r>
      </w:hyperlink>
      <w:r>
        <w:t xml:space="preserve">. </w:t>
      </w:r>
    </w:p>
  </w:footnote>
  <w:footnote w:id="19">
    <w:p w14:paraId="76E6A31B" w14:textId="1F39C46D" w:rsidR="006A1B40" w:rsidRDefault="006A1B40">
      <w:pPr>
        <w:pStyle w:val="FootnoteText"/>
      </w:pPr>
      <w:r>
        <w:rPr>
          <w:rStyle w:val="FootnoteReference"/>
        </w:rPr>
        <w:footnoteRef/>
      </w:r>
      <w:r>
        <w:t xml:space="preserve"> See, e.g., Royal Commission into National Natural Disaster Arrangements (2020) </w:t>
      </w:r>
      <w:r>
        <w:rPr>
          <w:i/>
          <w:iCs/>
        </w:rPr>
        <w:t>Final Report</w:t>
      </w:r>
      <w:r>
        <w:t>, p. 420.</w:t>
      </w:r>
    </w:p>
  </w:footnote>
  <w:footnote w:id="20">
    <w:p w14:paraId="1E63CD64" w14:textId="3704E580" w:rsidR="006A1B40" w:rsidRDefault="006A1B40">
      <w:pPr>
        <w:pStyle w:val="FootnoteText"/>
      </w:pPr>
      <w:r>
        <w:rPr>
          <w:rStyle w:val="FootnoteReference"/>
        </w:rPr>
        <w:footnoteRef/>
      </w:r>
      <w:r>
        <w:t xml:space="preserve"> The Australian Government the Treasury (2015) </w:t>
      </w:r>
      <w:r>
        <w:rPr>
          <w:i/>
          <w:iCs/>
        </w:rPr>
        <w:t>Northern Australia Insurance Premiums Taskforce Final Report</w:t>
      </w:r>
      <w:r>
        <w:t xml:space="preserve">, November 2015, available at: </w:t>
      </w:r>
      <w:hyperlink r:id="rId4" w:history="1">
        <w:r w:rsidRPr="00BF0EAE">
          <w:rPr>
            <w:rStyle w:val="Hyperlink"/>
          </w:rPr>
          <w:t>https://treasury.gov.au/publication/northern-australia-insurance-premiums-taskforce-final-report</w:t>
        </w:r>
      </w:hyperlink>
      <w:r>
        <w:t xml:space="preserve">.  </w:t>
      </w:r>
    </w:p>
  </w:footnote>
  <w:footnote w:id="21">
    <w:p w14:paraId="2B21EC27" w14:textId="2FE6CFED" w:rsidR="006A1B40" w:rsidRDefault="006A1B40">
      <w:pPr>
        <w:pStyle w:val="FootnoteText"/>
      </w:pPr>
      <w:r>
        <w:rPr>
          <w:rStyle w:val="FootnoteReference"/>
        </w:rPr>
        <w:footnoteRef/>
      </w:r>
      <w:r>
        <w:t xml:space="preserve"> Australian Competition and Consumer Commission (2020) </w:t>
      </w:r>
      <w:r>
        <w:rPr>
          <w:i/>
          <w:iCs/>
        </w:rPr>
        <w:t xml:space="preserve">Northern Australia Insurance Inquiry – Final Report, </w:t>
      </w:r>
      <w:r>
        <w:t>November 2020, p. xxiv.</w:t>
      </w:r>
    </w:p>
  </w:footnote>
  <w:footnote w:id="22">
    <w:p w14:paraId="385D7BCD" w14:textId="2F88474E" w:rsidR="006A1B40" w:rsidRDefault="006A1B40">
      <w:pPr>
        <w:pStyle w:val="FootnoteText"/>
      </w:pPr>
      <w:r>
        <w:rPr>
          <w:rStyle w:val="FootnoteReference"/>
        </w:rPr>
        <w:footnoteRef/>
      </w:r>
      <w:r>
        <w:t xml:space="preserve"> Productivity Commission (2013) </w:t>
      </w:r>
      <w:r>
        <w:rPr>
          <w:i/>
          <w:iCs/>
        </w:rPr>
        <w:t xml:space="preserve">Barriers to Effective Climate Change Adaption, </w:t>
      </w:r>
      <w:r>
        <w:t xml:space="preserve">March 2013, available at: </w:t>
      </w:r>
      <w:hyperlink r:id="rId5" w:history="1">
        <w:r w:rsidRPr="0016234D">
          <w:rPr>
            <w:rStyle w:val="Hyperlink"/>
          </w:rPr>
          <w:t>www.pc.gov.au/inquiries/completed/climate-change-adaptation/report</w:t>
        </w:r>
      </w:hyperlink>
      <w:r>
        <w:t xml:space="preserve">. </w:t>
      </w:r>
    </w:p>
  </w:footnote>
  <w:footnote w:id="23">
    <w:p w14:paraId="6D1E9092" w14:textId="63636117" w:rsidR="006A1B40" w:rsidRDefault="006A1B40">
      <w:pPr>
        <w:pStyle w:val="FootnoteText"/>
      </w:pPr>
      <w:r>
        <w:rPr>
          <w:rStyle w:val="FootnoteReference"/>
        </w:rPr>
        <w:footnoteRef/>
      </w:r>
      <w:r>
        <w:t xml:space="preserve"> Australian Competition and Consumer Commission (2020) </w:t>
      </w:r>
      <w:r>
        <w:rPr>
          <w:i/>
          <w:iCs/>
        </w:rPr>
        <w:t xml:space="preserve">Northern Australia Insurance Inquiry – Final Report, </w:t>
      </w:r>
      <w:r>
        <w:t>November 2020, p. xxi.</w:t>
      </w:r>
    </w:p>
  </w:footnote>
  <w:footnote w:id="24">
    <w:p w14:paraId="797DAE95" w14:textId="1D68A586" w:rsidR="006A1B40" w:rsidRDefault="006A1B40">
      <w:pPr>
        <w:pStyle w:val="FootnoteText"/>
      </w:pPr>
      <w:r>
        <w:rPr>
          <w:rStyle w:val="FootnoteReference"/>
        </w:rPr>
        <w:footnoteRef/>
      </w:r>
      <w:r>
        <w:t xml:space="preserve"> Royal Commission into National Natural Disaster Arrangements (2020) </w:t>
      </w:r>
      <w:r>
        <w:rPr>
          <w:i/>
          <w:iCs/>
        </w:rPr>
        <w:t>Final Report</w:t>
      </w:r>
      <w:r>
        <w:t>, p. 43.</w:t>
      </w:r>
    </w:p>
  </w:footnote>
  <w:footnote w:id="25">
    <w:p w14:paraId="15AB63B4" w14:textId="35CB5D86" w:rsidR="006A1B40" w:rsidRDefault="006A1B40">
      <w:pPr>
        <w:pStyle w:val="FootnoteText"/>
      </w:pPr>
      <w:r>
        <w:rPr>
          <w:rStyle w:val="FootnoteReference"/>
        </w:rPr>
        <w:footnoteRef/>
      </w:r>
      <w:r>
        <w:t xml:space="preserve"> The Australian Government the Treasury (2015) </w:t>
      </w:r>
      <w:r>
        <w:rPr>
          <w:i/>
          <w:iCs/>
        </w:rPr>
        <w:t>Northern Australia Insurance Premiums Taskforce Final Report</w:t>
      </w:r>
      <w:r>
        <w:t>, November 2015, p. xvii.</w:t>
      </w:r>
    </w:p>
  </w:footnote>
  <w:footnote w:id="26">
    <w:p w14:paraId="18EB12D0" w14:textId="77777777" w:rsidR="006A1B40" w:rsidRDefault="006A1B40" w:rsidP="003A306B">
      <w:pPr>
        <w:pStyle w:val="FootnoteText"/>
      </w:pPr>
      <w:r>
        <w:rPr>
          <w:rStyle w:val="FootnoteReference"/>
        </w:rPr>
        <w:footnoteRef/>
      </w:r>
      <w:r>
        <w:t xml:space="preserve"> Australian Competition and Consumer Commission (2020) </w:t>
      </w:r>
      <w:r>
        <w:rPr>
          <w:i/>
          <w:iCs/>
        </w:rPr>
        <w:t xml:space="preserve">Northern Australia Insurance Inquiry – Final Report, </w:t>
      </w:r>
      <w:r>
        <w:t>November 2020, p 304</w:t>
      </w:r>
    </w:p>
  </w:footnote>
  <w:footnote w:id="27">
    <w:p w14:paraId="0CB6FFE6" w14:textId="1AEEE9BF" w:rsidR="006A1B40" w:rsidRDefault="006A1B40" w:rsidP="00E30826">
      <w:pPr>
        <w:pStyle w:val="FootnoteText"/>
      </w:pPr>
      <w:r>
        <w:rPr>
          <w:rStyle w:val="FootnoteReference"/>
        </w:rPr>
        <w:footnoteRef/>
      </w:r>
      <w:r>
        <w:t xml:space="preserve"> NSW Treasury (2020) </w:t>
      </w:r>
      <w:r>
        <w:rPr>
          <w:i/>
          <w:iCs/>
        </w:rPr>
        <w:t>NSW Review of Federal Financial Relations Final Report,</w:t>
      </w:r>
      <w:r>
        <w:t xml:space="preserve"> October 2020, available at: </w:t>
      </w:r>
      <w:hyperlink r:id="rId6" w:history="1">
        <w:r w:rsidRPr="00DA33BA">
          <w:rPr>
            <w:rStyle w:val="Hyperlink"/>
          </w:rPr>
          <w:t>www.treasury.nsw.gov.au/four-pillars/federal-financial-relations-review/federal-financial-relations-review-final-report</w:t>
        </w:r>
      </w:hyperlink>
      <w:r>
        <w:t>.</w:t>
      </w:r>
    </w:p>
  </w:footnote>
  <w:footnote w:id="28">
    <w:p w14:paraId="6383C76F" w14:textId="41EFF3BD" w:rsidR="006A1B40" w:rsidRPr="00155500" w:rsidRDefault="006A1B40" w:rsidP="00E30826">
      <w:pPr>
        <w:pStyle w:val="FootnoteText"/>
      </w:pPr>
      <w:r>
        <w:rPr>
          <w:rStyle w:val="FootnoteReference"/>
        </w:rPr>
        <w:footnoteRef/>
      </w:r>
      <w:r>
        <w:t xml:space="preserve"> Ibid, p. 67. </w:t>
      </w:r>
    </w:p>
  </w:footnote>
  <w:footnote w:id="29">
    <w:p w14:paraId="431926CE" w14:textId="31D0E0B6" w:rsidR="006A1B40" w:rsidRDefault="006A1B40">
      <w:pPr>
        <w:pStyle w:val="FootnoteText"/>
      </w:pPr>
      <w:r>
        <w:rPr>
          <w:rStyle w:val="FootnoteReference"/>
        </w:rPr>
        <w:footnoteRef/>
      </w:r>
      <w:r>
        <w:t xml:space="preserve"> </w:t>
      </w:r>
      <w:r>
        <w:rPr>
          <w:rFonts w:cstheme="minorHAnsi"/>
        </w:rPr>
        <w:t>For example, the 2019 quinquennial review of the Flood Re scheme found that the scheme had been successful and made significant progress on its access and affordability objectives. See</w:t>
      </w:r>
      <w:r w:rsidRPr="00617577">
        <w:t xml:space="preserve"> </w:t>
      </w:r>
      <w:r>
        <w:t xml:space="preserve">Flood Re (2019) </w:t>
      </w:r>
      <w:r>
        <w:rPr>
          <w:i/>
          <w:iCs/>
        </w:rPr>
        <w:t>Regulation 27: The Quinquennial Review</w:t>
      </w:r>
      <w:r>
        <w:t xml:space="preserve">, July 2019, p. 20, available at: </w:t>
      </w:r>
      <w:hyperlink r:id="rId7" w:history="1">
        <w:r w:rsidRPr="0037145A">
          <w:rPr>
            <w:rStyle w:val="Hyperlink"/>
          </w:rPr>
          <w:t>www.floodre.co.uk/wp-content/uploads/QQR_FINAL.pdf</w:t>
        </w:r>
      </w:hyperlink>
      <w:r>
        <w:t xml:space="preserve"> </w:t>
      </w:r>
    </w:p>
  </w:footnote>
  <w:footnote w:id="30">
    <w:p w14:paraId="4FE78834" w14:textId="56F2D103" w:rsidR="006A1B40" w:rsidRDefault="006A1B40">
      <w:pPr>
        <w:pStyle w:val="FootnoteText"/>
      </w:pPr>
      <w:r>
        <w:rPr>
          <w:rStyle w:val="FootnoteReference"/>
        </w:rPr>
        <w:footnoteRef/>
      </w:r>
      <w:r>
        <w:t xml:space="preserve"> Note: no obligation to take part for insurers that do not hold eligible risks.</w:t>
      </w:r>
    </w:p>
  </w:footnote>
  <w:footnote w:id="31">
    <w:p w14:paraId="03960D73" w14:textId="244771F7" w:rsidR="006A1B40" w:rsidRDefault="006A1B40">
      <w:pPr>
        <w:pStyle w:val="FootnoteText"/>
      </w:pPr>
      <w:r>
        <w:rPr>
          <w:rStyle w:val="FootnoteReference"/>
        </w:rPr>
        <w:footnoteRef/>
      </w:r>
      <w:r>
        <w:t xml:space="preserve"> Note: eligible risks would be the same as under Option 2.</w:t>
      </w:r>
    </w:p>
  </w:footnote>
  <w:footnote w:id="32">
    <w:p w14:paraId="0E2908B2" w14:textId="77777777" w:rsidR="006A1B40" w:rsidRDefault="006A1B40" w:rsidP="003E3F59">
      <w:pPr>
        <w:pStyle w:val="FootnoteText"/>
      </w:pPr>
      <w:r>
        <w:rPr>
          <w:rStyle w:val="FootnoteReference"/>
        </w:rPr>
        <w:footnoteRef/>
      </w:r>
      <w:r>
        <w:t xml:space="preserve"> The modelling does not explicitly account for the effect of new entrants and increased competition.</w:t>
      </w:r>
    </w:p>
  </w:footnote>
  <w:footnote w:id="33">
    <w:p w14:paraId="70487260" w14:textId="77777777" w:rsidR="006A1B40" w:rsidRDefault="006A1B40" w:rsidP="00340F50">
      <w:pPr>
        <w:pStyle w:val="FootnoteText"/>
      </w:pPr>
      <w:r>
        <w:rPr>
          <w:rStyle w:val="FootnoteReference"/>
        </w:rPr>
        <w:footnoteRef/>
      </w:r>
      <w:r>
        <w:t xml:space="preserve"> Consistent with Office of Best Practice Regulation guidelines, a ‘normally efficient’ business is defined as a regulated entity that handles its regulatory tasks no better or worse than another.</w:t>
      </w:r>
    </w:p>
  </w:footnote>
  <w:footnote w:id="34">
    <w:p w14:paraId="0D645E4B" w14:textId="3549638F" w:rsidR="006A1B40" w:rsidRDefault="006A1B40">
      <w:pPr>
        <w:pStyle w:val="FootnoteText"/>
      </w:pPr>
      <w:r>
        <w:rPr>
          <w:rStyle w:val="FootnoteReference"/>
        </w:rPr>
        <w:footnoteRef/>
      </w:r>
      <w:r>
        <w:t xml:space="preserve"> </w:t>
      </w:r>
      <w:r w:rsidRPr="004E14F4">
        <w:t>The modelling was based on current market conditions, which included specialised natural catastrophe modelling to inform estimates of natural catastrophe</w:t>
      </w:r>
      <w:r>
        <w:t xml:space="preserve"> risk</w:t>
      </w:r>
      <w:r w:rsidRPr="004E14F4">
        <w:t>, and was informed by confidential insurer and industry dat</w:t>
      </w:r>
      <w:r>
        <w:t>a</w:t>
      </w:r>
      <w:r w:rsidRPr="004E14F4">
        <w:t xml:space="preserve"> to estimate the impacts of a reinsurance pool.</w:t>
      </w:r>
      <w:r>
        <w:t xml:space="preserve"> </w:t>
      </w:r>
      <w:r>
        <w:rPr>
          <w:bCs/>
        </w:rPr>
        <w:t>The methodology and assumptions underlying the modelling were tested with the Australian Government Actuary and with an Industry Expert Panel. Their feedback was incorporated and helped refine the outputs of the model.</w:t>
      </w:r>
    </w:p>
  </w:footnote>
  <w:footnote w:id="35">
    <w:p w14:paraId="3C0D6921" w14:textId="03DF39A0" w:rsidR="006A1B40" w:rsidRDefault="006A1B40">
      <w:pPr>
        <w:pStyle w:val="FootnoteText"/>
      </w:pPr>
      <w:r>
        <w:rPr>
          <w:rStyle w:val="FootnoteReference"/>
        </w:rPr>
        <w:footnoteRef/>
      </w:r>
      <w:r>
        <w:t xml:space="preserve"> Australian Competition and Consumer Commission (2020) </w:t>
      </w:r>
      <w:r>
        <w:rPr>
          <w:i/>
          <w:iCs/>
        </w:rPr>
        <w:t xml:space="preserve">Northern Australia Insurance Inquiry – Final Report, </w:t>
      </w:r>
      <w:r>
        <w:t xml:space="preserve">November 2020, p. 159. available at: </w:t>
      </w:r>
      <w:hyperlink r:id="rId8" w:history="1">
        <w:r w:rsidRPr="00BF0360">
          <w:rPr>
            <w:rStyle w:val="Hyperlink"/>
          </w:rPr>
          <w:t>www.accc.gov.au/publications/northern-australia-insurance-inquiry-final-report</w:t>
        </w:r>
      </w:hyperlink>
      <w:r>
        <w:t>.</w:t>
      </w:r>
    </w:p>
  </w:footnote>
  <w:footnote w:id="36">
    <w:p w14:paraId="09F1AE0D" w14:textId="00B944B7" w:rsidR="006A1B40" w:rsidRDefault="006A1B40">
      <w:pPr>
        <w:pStyle w:val="FootnoteText"/>
      </w:pPr>
      <w:r>
        <w:rPr>
          <w:rStyle w:val="FootnoteReference"/>
        </w:rPr>
        <w:footnoteRef/>
      </w:r>
      <w:r>
        <w:t xml:space="preserve"> Willis Towers Watson (2021) </w:t>
      </w:r>
      <w:r w:rsidRPr="00A07BA2">
        <w:rPr>
          <w:i/>
          <w:iCs/>
        </w:rPr>
        <w:t>Willis Re Reinsurance Market Report – Half Year 2021</w:t>
      </w:r>
      <w:r>
        <w:rPr>
          <w:i/>
          <w:iCs/>
        </w:rPr>
        <w:t xml:space="preserve">, </w:t>
      </w:r>
      <w:r>
        <w:t>September 2021, available at:</w:t>
      </w:r>
      <w:r w:rsidRPr="00A07BA2">
        <w:t xml:space="preserve"> </w:t>
      </w:r>
      <w:hyperlink r:id="rId9" w:history="1">
        <w:r w:rsidRPr="00A07BA2">
          <w:rPr>
            <w:rStyle w:val="Hyperlink"/>
          </w:rPr>
          <w:t>www.willistowerswatson.com/en-AU/Insights/2021/09/willis-re-reinsurance-market-report-september-2021-results-for-half-year</w:t>
        </w:r>
      </w:hyperlink>
      <w:r>
        <w:t xml:space="preserve">. </w:t>
      </w:r>
    </w:p>
  </w:footnote>
  <w:footnote w:id="37">
    <w:p w14:paraId="31A8CFFF" w14:textId="2DFF47F5" w:rsidR="006A1B40" w:rsidRDefault="006A1B40">
      <w:pPr>
        <w:pStyle w:val="FootnoteText"/>
      </w:pPr>
      <w:r>
        <w:rPr>
          <w:rStyle w:val="FootnoteReference"/>
        </w:rPr>
        <w:footnoteRef/>
      </w:r>
      <w:r>
        <w:t xml:space="preserve"> Australian Reinsurance Pool Corporation (2020) </w:t>
      </w:r>
      <w:r w:rsidRPr="00A07BA2">
        <w:rPr>
          <w:i/>
          <w:iCs/>
        </w:rPr>
        <w:t>2019-20 Annual Report</w:t>
      </w:r>
      <w:r>
        <w:rPr>
          <w:i/>
          <w:iCs/>
        </w:rPr>
        <w:t>,</w:t>
      </w:r>
      <w:r>
        <w:t xml:space="preserve"> September 2020, p. 43, available at: </w:t>
      </w:r>
      <w:hyperlink r:id="rId10" w:history="1">
        <w:r w:rsidRPr="00DA33BA">
          <w:rPr>
            <w:rStyle w:val="Hyperlink"/>
          </w:rPr>
          <w:t>www.arpc.gov.au/publications/annual-report/</w:t>
        </w:r>
      </w:hyperlink>
      <w:r>
        <w:t xml:space="preserve">. </w:t>
      </w:r>
    </w:p>
  </w:footnote>
  <w:footnote w:id="38">
    <w:p w14:paraId="585157AD" w14:textId="63EE1D5E" w:rsidR="006A1B40" w:rsidRDefault="006A1B40">
      <w:pPr>
        <w:pStyle w:val="FootnoteText"/>
      </w:pPr>
      <w:r>
        <w:rPr>
          <w:rStyle w:val="FootnoteReference"/>
        </w:rPr>
        <w:footnoteRef/>
      </w:r>
      <w:r>
        <w:t xml:space="preserve"> See footnote </w:t>
      </w:r>
      <w:r>
        <w:fldChar w:fldCharType="begin"/>
      </w:r>
      <w:r>
        <w:instrText xml:space="preserve"> NOTEREF _Ref85803266 \h </w:instrText>
      </w:r>
      <w:r>
        <w:fldChar w:fldCharType="separate"/>
      </w:r>
      <w:r>
        <w:t>28</w:t>
      </w:r>
      <w:r>
        <w:fldChar w:fldCharType="end"/>
      </w:r>
      <w:r>
        <w:t>.</w:t>
      </w:r>
    </w:p>
  </w:footnote>
  <w:footnote w:id="39">
    <w:p w14:paraId="1C73A0B1" w14:textId="77777777" w:rsidR="00AC38F7" w:rsidRDefault="00AC38F7" w:rsidP="00AC38F7">
      <w:pPr>
        <w:pStyle w:val="FootnoteText"/>
      </w:pPr>
      <w:r>
        <w:rPr>
          <w:rStyle w:val="FootnoteReference"/>
        </w:rPr>
        <w:footnoteRef/>
      </w:r>
      <w:r>
        <w:t xml:space="preserve"> The modelling does not explicitly account for the effect of new entrants and increased competition.</w:t>
      </w:r>
    </w:p>
  </w:footnote>
  <w:footnote w:id="40">
    <w:p w14:paraId="5E7D8238" w14:textId="77777777" w:rsidR="006A1B40" w:rsidRPr="00617BE6" w:rsidRDefault="006A1B40" w:rsidP="005909C5">
      <w:pPr>
        <w:pStyle w:val="FootnoteText"/>
      </w:pPr>
      <w:r>
        <w:rPr>
          <w:rStyle w:val="FootnoteReference"/>
        </w:rPr>
        <w:footnoteRef/>
      </w:r>
      <w:r>
        <w:t xml:space="preserve"> </w:t>
      </w:r>
      <w:r w:rsidRPr="00617BE6">
        <w:t>Australian National Audit Office</w:t>
      </w:r>
      <w:r>
        <w:t xml:space="preserve"> (2019) </w:t>
      </w:r>
      <w:r>
        <w:rPr>
          <w:i/>
          <w:iCs/>
        </w:rPr>
        <w:t xml:space="preserve">Management of the Terrorism Reinsurance Scheme, </w:t>
      </w:r>
      <w:r>
        <w:t xml:space="preserve">Auditor-General Report No 48, 19 June 2019, available at: </w:t>
      </w:r>
      <w:r w:rsidRPr="00617BE6">
        <w:t>www.anao.gov.au/work/performance-audit/management-the-terrorism-reinsurance-scheme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3B58" w14:textId="77777777" w:rsidR="006A1B40" w:rsidRDefault="006A1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F533AE62-A212-4B26-92DA-A3B336E8AE06}"/>
      <w:text/>
    </w:sdtPr>
    <w:sdtEndPr/>
    <w:sdtContent>
      <w:p w14:paraId="5C2EB3C9" w14:textId="77777777" w:rsidR="006A1B40" w:rsidRPr="00B87E45" w:rsidRDefault="006A1B40" w:rsidP="001007B9">
        <w:pPr>
          <w:pStyle w:val="ProtectiveMarking"/>
        </w:pPr>
        <w:r>
          <w:t>Choose Classification</w:t>
        </w:r>
      </w:p>
    </w:sdtContent>
  </w:sdt>
  <w:p w14:paraId="06B4190A" w14:textId="77777777" w:rsidR="006A1B40" w:rsidRPr="00073D52" w:rsidRDefault="006A1B40" w:rsidP="001007B9">
    <w:pPr>
      <w:pStyle w:val="Footerline"/>
    </w:pPr>
  </w:p>
  <w:p w14:paraId="46314124" w14:textId="77777777" w:rsidR="006A1B40" w:rsidRDefault="006A1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F533AE62-A212-4B26-92DA-A3B336E8AE06}"/>
      <w:text/>
    </w:sdtPr>
    <w:sdtEndPr/>
    <w:sdtContent>
      <w:p w14:paraId="213C049E" w14:textId="77777777" w:rsidR="006A1B40" w:rsidRPr="00B87E45" w:rsidRDefault="006A1B40" w:rsidP="00663EAD">
        <w:pPr>
          <w:pStyle w:val="ProtectiveMarking"/>
        </w:pPr>
        <w:r>
          <w:t>Choose Classification</w:t>
        </w:r>
      </w:p>
    </w:sdtContent>
  </w:sdt>
  <w:p w14:paraId="1689E9DB" w14:textId="77777777" w:rsidR="006A1B40" w:rsidRPr="00073D52" w:rsidRDefault="006A1B40" w:rsidP="00663EAD">
    <w:pPr>
      <w:pStyle w:val="Footerline"/>
    </w:pPr>
  </w:p>
  <w:p w14:paraId="43DD42D6" w14:textId="77777777" w:rsidR="006A1B40" w:rsidRDefault="006A1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B62F" w14:textId="77777777" w:rsidR="006A1B40" w:rsidRPr="00753174" w:rsidRDefault="006A1B40" w:rsidP="00753174">
    <w:pPr>
      <w:pStyle w:val="Header"/>
    </w:pPr>
  </w:p>
  <w:p w14:paraId="1350FD5F" w14:textId="77777777" w:rsidR="006A1B40" w:rsidRPr="00753174" w:rsidRDefault="006A1B40"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48AFC58A" w14:textId="77777777" w:rsidR="006A1B40" w:rsidRPr="00B87E45" w:rsidRDefault="006A1B40" w:rsidP="00663EAD">
        <w:pPr>
          <w:pStyle w:val="ProtectiveMarking"/>
        </w:pPr>
        <w:r>
          <w:t>Choose Classification</w:t>
        </w:r>
      </w:p>
    </w:sdtContent>
  </w:sdt>
  <w:p w14:paraId="1A3A0E2F" w14:textId="77777777" w:rsidR="006A1B40" w:rsidRPr="00073D52" w:rsidRDefault="006A1B40" w:rsidP="00663EAD">
    <w:pPr>
      <w:pStyle w:val="Footerline"/>
    </w:pPr>
  </w:p>
  <w:p w14:paraId="403EECC1" w14:textId="77777777" w:rsidR="006A1B40" w:rsidRDefault="006A1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5F93623"/>
    <w:multiLevelType w:val="multilevel"/>
    <w:tmpl w:val="2A0A0F3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C270CF"/>
    <w:multiLevelType w:val="hybridMultilevel"/>
    <w:tmpl w:val="3B2A2320"/>
    <w:lvl w:ilvl="0" w:tplc="89C6F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57B8C"/>
    <w:multiLevelType w:val="multilevel"/>
    <w:tmpl w:val="7CD0ACF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672B37"/>
    <w:multiLevelType w:val="hybridMultilevel"/>
    <w:tmpl w:val="26981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4026420A"/>
    <w:multiLevelType w:val="multilevel"/>
    <w:tmpl w:val="9440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D5AC8"/>
    <w:multiLevelType w:val="multilevel"/>
    <w:tmpl w:val="98766A7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563314"/>
    <w:multiLevelType w:val="hybridMultilevel"/>
    <w:tmpl w:val="ECA4CD84"/>
    <w:lvl w:ilvl="0" w:tplc="E94241E2">
      <w:numFmt w:val="bullet"/>
      <w:lvlText w:val="-"/>
      <w:lvlJc w:val="left"/>
      <w:pPr>
        <w:ind w:left="832" w:hanging="360"/>
      </w:pPr>
      <w:rPr>
        <w:rFonts w:ascii="Calibri" w:eastAsiaTheme="minorHAnsi" w:hAnsi="Calibri" w:cs="Calibri"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3"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4" w15:restartNumberingAfterBreak="0">
    <w:nsid w:val="5B687941"/>
    <w:multiLevelType w:val="multilevel"/>
    <w:tmpl w:val="D2BAC93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8C2900"/>
    <w:multiLevelType w:val="multilevel"/>
    <w:tmpl w:val="832E208A"/>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E42263"/>
    <w:multiLevelType w:val="multilevel"/>
    <w:tmpl w:val="2F2E7C80"/>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9" w15:restartNumberingAfterBreak="0">
    <w:nsid w:val="651820B7"/>
    <w:multiLevelType w:val="multilevel"/>
    <w:tmpl w:val="98509FF8"/>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2480" w:hanging="360"/>
      </w:pPr>
      <w:rPr>
        <w:rFonts w:hint="default"/>
      </w:rPr>
    </w:lvl>
    <w:lvl w:ilvl="4">
      <w:start w:val="1"/>
      <w:numFmt w:val="lowerLetter"/>
      <w:lvlText w:val="(%5)"/>
      <w:lvlJc w:val="left"/>
      <w:pPr>
        <w:ind w:left="2840" w:hanging="360"/>
      </w:pPr>
      <w:rPr>
        <w:rFonts w:hint="default"/>
      </w:rPr>
    </w:lvl>
    <w:lvl w:ilvl="5">
      <w:start w:val="1"/>
      <w:numFmt w:val="lowerRoman"/>
      <w:lvlText w:val="(%6)"/>
      <w:lvlJc w:val="left"/>
      <w:pPr>
        <w:ind w:left="3200" w:hanging="360"/>
      </w:pPr>
      <w:rPr>
        <w:rFonts w:hint="default"/>
      </w:rPr>
    </w:lvl>
    <w:lvl w:ilvl="6">
      <w:start w:val="1"/>
      <w:numFmt w:val="decimal"/>
      <w:lvlText w:val="%7."/>
      <w:lvlJc w:val="left"/>
      <w:pPr>
        <w:ind w:left="3560" w:hanging="360"/>
      </w:pPr>
      <w:rPr>
        <w:rFonts w:hint="default"/>
      </w:rPr>
    </w:lvl>
    <w:lvl w:ilvl="7">
      <w:start w:val="1"/>
      <w:numFmt w:val="lowerLetter"/>
      <w:lvlText w:val="%8."/>
      <w:lvlJc w:val="left"/>
      <w:pPr>
        <w:ind w:left="3920" w:hanging="360"/>
      </w:pPr>
      <w:rPr>
        <w:rFonts w:hint="default"/>
      </w:rPr>
    </w:lvl>
    <w:lvl w:ilvl="8">
      <w:start w:val="1"/>
      <w:numFmt w:val="lowerRoman"/>
      <w:lvlText w:val="%9."/>
      <w:lvlJc w:val="left"/>
      <w:pPr>
        <w:ind w:left="4280" w:hanging="360"/>
      </w:pPr>
      <w:rPr>
        <w:rFonts w:hint="default"/>
      </w:rPr>
    </w:lvl>
  </w:abstractNum>
  <w:abstractNum w:abstractNumId="20"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3" w15:restartNumberingAfterBreak="0">
    <w:nsid w:val="78B16110"/>
    <w:multiLevelType w:val="multilevel"/>
    <w:tmpl w:val="E0A83810"/>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7"/>
  </w:num>
  <w:num w:numId="3">
    <w:abstractNumId w:val="9"/>
  </w:num>
  <w:num w:numId="4">
    <w:abstractNumId w:val="21"/>
  </w:num>
  <w:num w:numId="5">
    <w:abstractNumId w:val="18"/>
  </w:num>
  <w:num w:numId="6">
    <w:abstractNumId w:val="1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9"/>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9"/>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3"/>
  </w:num>
  <w:num w:numId="20">
    <w:abstractNumId w:val="22"/>
  </w:num>
  <w:num w:numId="21">
    <w:abstractNumId w:val="1"/>
  </w:num>
  <w:num w:numId="22">
    <w:abstractNumId w:val="20"/>
  </w:num>
  <w:num w:numId="23">
    <w:abstractNumId w:val="2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15"/>
  </w:num>
  <w:num w:numId="36">
    <w:abstractNumId w:val="12"/>
  </w:num>
  <w:num w:numId="37">
    <w:abstractNumId w:val="23"/>
  </w:num>
  <w:num w:numId="38">
    <w:abstractNumId w:val="3"/>
  </w:num>
  <w:num w:numId="39">
    <w:abstractNumId w:val="14"/>
  </w:num>
  <w:num w:numId="40">
    <w:abstractNumId w:val="19"/>
  </w:num>
  <w:num w:numId="41">
    <w:abstractNumId w:val="11"/>
  </w:num>
  <w:num w:numId="42">
    <w:abstractNumId w:val="7"/>
  </w:num>
  <w:num w:numId="43">
    <w:abstractNumId w:val="10"/>
  </w:num>
  <w:num w:numId="44">
    <w:abstractNumId w:val="6"/>
  </w:num>
  <w:num w:numId="45">
    <w:abstractNumId w:val="8"/>
  </w:num>
  <w:num w:numId="46">
    <w:abstractNumId w:val="4"/>
  </w:num>
  <w:num w:numId="47">
    <w:abstractNumId w:val="15"/>
  </w:num>
  <w:num w:numId="48">
    <w:abstractNumId w:val="0"/>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0399"/>
    <w:rsid w:val="00000911"/>
    <w:rsid w:val="00000D65"/>
    <w:rsid w:val="0000130F"/>
    <w:rsid w:val="00002010"/>
    <w:rsid w:val="00002F73"/>
    <w:rsid w:val="000038A0"/>
    <w:rsid w:val="0000445B"/>
    <w:rsid w:val="000105A8"/>
    <w:rsid w:val="0001080E"/>
    <w:rsid w:val="00011E28"/>
    <w:rsid w:val="00011E3F"/>
    <w:rsid w:val="00012FFB"/>
    <w:rsid w:val="000133F6"/>
    <w:rsid w:val="00013D4A"/>
    <w:rsid w:val="00014A28"/>
    <w:rsid w:val="00016B90"/>
    <w:rsid w:val="0001725B"/>
    <w:rsid w:val="0002068D"/>
    <w:rsid w:val="000209F5"/>
    <w:rsid w:val="000212A8"/>
    <w:rsid w:val="00021B98"/>
    <w:rsid w:val="00021E28"/>
    <w:rsid w:val="00022448"/>
    <w:rsid w:val="00022EEF"/>
    <w:rsid w:val="00023AC4"/>
    <w:rsid w:val="000249D7"/>
    <w:rsid w:val="00024CEB"/>
    <w:rsid w:val="000264B8"/>
    <w:rsid w:val="000304B2"/>
    <w:rsid w:val="000309D7"/>
    <w:rsid w:val="000314BD"/>
    <w:rsid w:val="00031545"/>
    <w:rsid w:val="00031B5C"/>
    <w:rsid w:val="00031C7B"/>
    <w:rsid w:val="00033A4A"/>
    <w:rsid w:val="00034E6F"/>
    <w:rsid w:val="00034FDA"/>
    <w:rsid w:val="00034FEC"/>
    <w:rsid w:val="00036F9B"/>
    <w:rsid w:val="00037098"/>
    <w:rsid w:val="000371FE"/>
    <w:rsid w:val="00037946"/>
    <w:rsid w:val="000405EB"/>
    <w:rsid w:val="000422D5"/>
    <w:rsid w:val="00042E89"/>
    <w:rsid w:val="00044BF9"/>
    <w:rsid w:val="000451F5"/>
    <w:rsid w:val="0004578E"/>
    <w:rsid w:val="00046900"/>
    <w:rsid w:val="00046CFB"/>
    <w:rsid w:val="00047F7B"/>
    <w:rsid w:val="000503A6"/>
    <w:rsid w:val="00050453"/>
    <w:rsid w:val="00050B4E"/>
    <w:rsid w:val="000512AE"/>
    <w:rsid w:val="00051835"/>
    <w:rsid w:val="00051A80"/>
    <w:rsid w:val="000523C3"/>
    <w:rsid w:val="0005270A"/>
    <w:rsid w:val="0005304C"/>
    <w:rsid w:val="00053CD9"/>
    <w:rsid w:val="00053E05"/>
    <w:rsid w:val="00055239"/>
    <w:rsid w:val="0005681E"/>
    <w:rsid w:val="00061256"/>
    <w:rsid w:val="0006183C"/>
    <w:rsid w:val="000618D0"/>
    <w:rsid w:val="00061CCD"/>
    <w:rsid w:val="00062067"/>
    <w:rsid w:val="00062EAF"/>
    <w:rsid w:val="00062FCF"/>
    <w:rsid w:val="00063034"/>
    <w:rsid w:val="0006707D"/>
    <w:rsid w:val="0006788E"/>
    <w:rsid w:val="0007054F"/>
    <w:rsid w:val="000710EA"/>
    <w:rsid w:val="000714D7"/>
    <w:rsid w:val="00073372"/>
    <w:rsid w:val="000733E8"/>
    <w:rsid w:val="00073A73"/>
    <w:rsid w:val="00073D52"/>
    <w:rsid w:val="0007472D"/>
    <w:rsid w:val="000748E7"/>
    <w:rsid w:val="00074A14"/>
    <w:rsid w:val="00075C20"/>
    <w:rsid w:val="00075CC2"/>
    <w:rsid w:val="000768E2"/>
    <w:rsid w:val="00076AD1"/>
    <w:rsid w:val="00077171"/>
    <w:rsid w:val="000803CA"/>
    <w:rsid w:val="00082FC5"/>
    <w:rsid w:val="0008414A"/>
    <w:rsid w:val="000852B0"/>
    <w:rsid w:val="000868AD"/>
    <w:rsid w:val="00090885"/>
    <w:rsid w:val="00090C9C"/>
    <w:rsid w:val="00091394"/>
    <w:rsid w:val="00091BCD"/>
    <w:rsid w:val="0009265A"/>
    <w:rsid w:val="00092F1F"/>
    <w:rsid w:val="00093B55"/>
    <w:rsid w:val="00094303"/>
    <w:rsid w:val="000948A7"/>
    <w:rsid w:val="00095780"/>
    <w:rsid w:val="00095BF3"/>
    <w:rsid w:val="000A04A0"/>
    <w:rsid w:val="000A08CA"/>
    <w:rsid w:val="000A0BE6"/>
    <w:rsid w:val="000A0E4C"/>
    <w:rsid w:val="000A205A"/>
    <w:rsid w:val="000A2C79"/>
    <w:rsid w:val="000A37D9"/>
    <w:rsid w:val="000A4D50"/>
    <w:rsid w:val="000A511F"/>
    <w:rsid w:val="000A6AAA"/>
    <w:rsid w:val="000A6F2B"/>
    <w:rsid w:val="000A7B1F"/>
    <w:rsid w:val="000B1D1F"/>
    <w:rsid w:val="000B1EC4"/>
    <w:rsid w:val="000B252E"/>
    <w:rsid w:val="000B2AEB"/>
    <w:rsid w:val="000B3B87"/>
    <w:rsid w:val="000B40BD"/>
    <w:rsid w:val="000B45AF"/>
    <w:rsid w:val="000B58AE"/>
    <w:rsid w:val="000B5A20"/>
    <w:rsid w:val="000B72C0"/>
    <w:rsid w:val="000C0331"/>
    <w:rsid w:val="000C0A65"/>
    <w:rsid w:val="000C0B35"/>
    <w:rsid w:val="000C503E"/>
    <w:rsid w:val="000C6473"/>
    <w:rsid w:val="000D03F1"/>
    <w:rsid w:val="000D0546"/>
    <w:rsid w:val="000D32C2"/>
    <w:rsid w:val="000D3736"/>
    <w:rsid w:val="000D4890"/>
    <w:rsid w:val="000D5657"/>
    <w:rsid w:val="000D5980"/>
    <w:rsid w:val="000D5C0E"/>
    <w:rsid w:val="000D646C"/>
    <w:rsid w:val="000D6F61"/>
    <w:rsid w:val="000D7429"/>
    <w:rsid w:val="000E0276"/>
    <w:rsid w:val="000E088A"/>
    <w:rsid w:val="000E1835"/>
    <w:rsid w:val="000E3946"/>
    <w:rsid w:val="000E3C0A"/>
    <w:rsid w:val="000E4362"/>
    <w:rsid w:val="000E4C9B"/>
    <w:rsid w:val="000E5458"/>
    <w:rsid w:val="000E5B9B"/>
    <w:rsid w:val="000E699D"/>
    <w:rsid w:val="000E7032"/>
    <w:rsid w:val="000E7F04"/>
    <w:rsid w:val="000F1302"/>
    <w:rsid w:val="000F13D6"/>
    <w:rsid w:val="000F1E02"/>
    <w:rsid w:val="000F23B0"/>
    <w:rsid w:val="000F3E52"/>
    <w:rsid w:val="000F3F9A"/>
    <w:rsid w:val="000F4976"/>
    <w:rsid w:val="000F5907"/>
    <w:rsid w:val="000F6B77"/>
    <w:rsid w:val="000F75DD"/>
    <w:rsid w:val="001007B9"/>
    <w:rsid w:val="00101C2A"/>
    <w:rsid w:val="001021D9"/>
    <w:rsid w:val="001024D6"/>
    <w:rsid w:val="0010276B"/>
    <w:rsid w:val="00103B13"/>
    <w:rsid w:val="00103B5F"/>
    <w:rsid w:val="00105ECB"/>
    <w:rsid w:val="00111466"/>
    <w:rsid w:val="0011200A"/>
    <w:rsid w:val="00112476"/>
    <w:rsid w:val="00113DCF"/>
    <w:rsid w:val="0011433E"/>
    <w:rsid w:val="001149D7"/>
    <w:rsid w:val="00115A62"/>
    <w:rsid w:val="00115B40"/>
    <w:rsid w:val="00117275"/>
    <w:rsid w:val="0012055D"/>
    <w:rsid w:val="00121A78"/>
    <w:rsid w:val="00121C14"/>
    <w:rsid w:val="0012396A"/>
    <w:rsid w:val="00124397"/>
    <w:rsid w:val="0012533D"/>
    <w:rsid w:val="001253C4"/>
    <w:rsid w:val="001259A6"/>
    <w:rsid w:val="00125DBA"/>
    <w:rsid w:val="00125E37"/>
    <w:rsid w:val="00126394"/>
    <w:rsid w:val="0012797B"/>
    <w:rsid w:val="00130135"/>
    <w:rsid w:val="00130D16"/>
    <w:rsid w:val="00130D94"/>
    <w:rsid w:val="00131315"/>
    <w:rsid w:val="00131554"/>
    <w:rsid w:val="0013170A"/>
    <w:rsid w:val="00132076"/>
    <w:rsid w:val="00132268"/>
    <w:rsid w:val="00132A9E"/>
    <w:rsid w:val="00132BE6"/>
    <w:rsid w:val="001331D7"/>
    <w:rsid w:val="00133990"/>
    <w:rsid w:val="001348C3"/>
    <w:rsid w:val="0013551B"/>
    <w:rsid w:val="00137E38"/>
    <w:rsid w:val="00137F7A"/>
    <w:rsid w:val="00140867"/>
    <w:rsid w:val="00140F94"/>
    <w:rsid w:val="00141456"/>
    <w:rsid w:val="001455C6"/>
    <w:rsid w:val="00146B37"/>
    <w:rsid w:val="00146B55"/>
    <w:rsid w:val="0014761E"/>
    <w:rsid w:val="00147A17"/>
    <w:rsid w:val="00150540"/>
    <w:rsid w:val="001515B4"/>
    <w:rsid w:val="0015211F"/>
    <w:rsid w:val="001547E0"/>
    <w:rsid w:val="00154E3F"/>
    <w:rsid w:val="0015537B"/>
    <w:rsid w:val="00155500"/>
    <w:rsid w:val="001574B9"/>
    <w:rsid w:val="00157556"/>
    <w:rsid w:val="001578B4"/>
    <w:rsid w:val="00157B72"/>
    <w:rsid w:val="001621ED"/>
    <w:rsid w:val="0016234D"/>
    <w:rsid w:val="001624D9"/>
    <w:rsid w:val="00162F9D"/>
    <w:rsid w:val="00163BC3"/>
    <w:rsid w:val="00163D4F"/>
    <w:rsid w:val="00163E7B"/>
    <w:rsid w:val="0016491C"/>
    <w:rsid w:val="00171EF8"/>
    <w:rsid w:val="001724A0"/>
    <w:rsid w:val="001727AF"/>
    <w:rsid w:val="0017300C"/>
    <w:rsid w:val="00174A28"/>
    <w:rsid w:val="00174C4A"/>
    <w:rsid w:val="001764CE"/>
    <w:rsid w:val="00176A5A"/>
    <w:rsid w:val="00176A65"/>
    <w:rsid w:val="00176D54"/>
    <w:rsid w:val="00176EA5"/>
    <w:rsid w:val="00177311"/>
    <w:rsid w:val="00177611"/>
    <w:rsid w:val="0017796A"/>
    <w:rsid w:val="0017798C"/>
    <w:rsid w:val="001809C6"/>
    <w:rsid w:val="00181A51"/>
    <w:rsid w:val="001837D6"/>
    <w:rsid w:val="00184563"/>
    <w:rsid w:val="0018462B"/>
    <w:rsid w:val="00185002"/>
    <w:rsid w:val="001850B9"/>
    <w:rsid w:val="001850CB"/>
    <w:rsid w:val="001853F6"/>
    <w:rsid w:val="00185AD3"/>
    <w:rsid w:val="00185B04"/>
    <w:rsid w:val="00186192"/>
    <w:rsid w:val="001878C9"/>
    <w:rsid w:val="00191708"/>
    <w:rsid w:val="00191794"/>
    <w:rsid w:val="00191C10"/>
    <w:rsid w:val="00192009"/>
    <w:rsid w:val="00192F59"/>
    <w:rsid w:val="0019347C"/>
    <w:rsid w:val="00193A08"/>
    <w:rsid w:val="00194233"/>
    <w:rsid w:val="00195BA8"/>
    <w:rsid w:val="001961A7"/>
    <w:rsid w:val="00196C08"/>
    <w:rsid w:val="00196C7B"/>
    <w:rsid w:val="00197AC7"/>
    <w:rsid w:val="001A0709"/>
    <w:rsid w:val="001A130E"/>
    <w:rsid w:val="001A2F86"/>
    <w:rsid w:val="001A38C6"/>
    <w:rsid w:val="001A66AD"/>
    <w:rsid w:val="001A7647"/>
    <w:rsid w:val="001A7F26"/>
    <w:rsid w:val="001B00D8"/>
    <w:rsid w:val="001B0144"/>
    <w:rsid w:val="001B02E2"/>
    <w:rsid w:val="001B0472"/>
    <w:rsid w:val="001B0EB9"/>
    <w:rsid w:val="001B10ED"/>
    <w:rsid w:val="001B11A5"/>
    <w:rsid w:val="001B277B"/>
    <w:rsid w:val="001B33C7"/>
    <w:rsid w:val="001B3549"/>
    <w:rsid w:val="001B3795"/>
    <w:rsid w:val="001B3C51"/>
    <w:rsid w:val="001B3E56"/>
    <w:rsid w:val="001B469C"/>
    <w:rsid w:val="001B53C1"/>
    <w:rsid w:val="001B5A7D"/>
    <w:rsid w:val="001B6104"/>
    <w:rsid w:val="001B738B"/>
    <w:rsid w:val="001B7EA4"/>
    <w:rsid w:val="001C0F9C"/>
    <w:rsid w:val="001C224E"/>
    <w:rsid w:val="001C2EA2"/>
    <w:rsid w:val="001C31C5"/>
    <w:rsid w:val="001C3640"/>
    <w:rsid w:val="001C37FF"/>
    <w:rsid w:val="001C45A1"/>
    <w:rsid w:val="001C4A77"/>
    <w:rsid w:val="001C4DA1"/>
    <w:rsid w:val="001C55A7"/>
    <w:rsid w:val="001C55C1"/>
    <w:rsid w:val="001C706B"/>
    <w:rsid w:val="001D2783"/>
    <w:rsid w:val="001D283B"/>
    <w:rsid w:val="001D62E8"/>
    <w:rsid w:val="001E0D25"/>
    <w:rsid w:val="001E22D9"/>
    <w:rsid w:val="001E3088"/>
    <w:rsid w:val="001E45FA"/>
    <w:rsid w:val="001E49B5"/>
    <w:rsid w:val="001E615A"/>
    <w:rsid w:val="001E717A"/>
    <w:rsid w:val="001F01CA"/>
    <w:rsid w:val="001F064A"/>
    <w:rsid w:val="001F1357"/>
    <w:rsid w:val="001F23C6"/>
    <w:rsid w:val="001F26C9"/>
    <w:rsid w:val="001F3722"/>
    <w:rsid w:val="001F48C9"/>
    <w:rsid w:val="001F5C51"/>
    <w:rsid w:val="001F6358"/>
    <w:rsid w:val="001F738E"/>
    <w:rsid w:val="00200051"/>
    <w:rsid w:val="0020023F"/>
    <w:rsid w:val="0020076A"/>
    <w:rsid w:val="00200E09"/>
    <w:rsid w:val="002021DF"/>
    <w:rsid w:val="00202703"/>
    <w:rsid w:val="002033A0"/>
    <w:rsid w:val="002036A5"/>
    <w:rsid w:val="00203B54"/>
    <w:rsid w:val="00204275"/>
    <w:rsid w:val="002042DD"/>
    <w:rsid w:val="00204F16"/>
    <w:rsid w:val="0020677B"/>
    <w:rsid w:val="00207208"/>
    <w:rsid w:val="002072FC"/>
    <w:rsid w:val="002077E0"/>
    <w:rsid w:val="00211309"/>
    <w:rsid w:val="00211E87"/>
    <w:rsid w:val="0021205F"/>
    <w:rsid w:val="0021247A"/>
    <w:rsid w:val="00212719"/>
    <w:rsid w:val="00214060"/>
    <w:rsid w:val="00214BBB"/>
    <w:rsid w:val="00215841"/>
    <w:rsid w:val="00220C10"/>
    <w:rsid w:val="002237DA"/>
    <w:rsid w:val="002241EA"/>
    <w:rsid w:val="002243C2"/>
    <w:rsid w:val="00224735"/>
    <w:rsid w:val="00225A0E"/>
    <w:rsid w:val="00227321"/>
    <w:rsid w:val="00227332"/>
    <w:rsid w:val="00230AB4"/>
    <w:rsid w:val="00231B22"/>
    <w:rsid w:val="00232711"/>
    <w:rsid w:val="0023294E"/>
    <w:rsid w:val="00233794"/>
    <w:rsid w:val="00233ECB"/>
    <w:rsid w:val="0023496F"/>
    <w:rsid w:val="00234A9C"/>
    <w:rsid w:val="00235C90"/>
    <w:rsid w:val="00235F5D"/>
    <w:rsid w:val="002361C7"/>
    <w:rsid w:val="0024191E"/>
    <w:rsid w:val="00242961"/>
    <w:rsid w:val="00242A31"/>
    <w:rsid w:val="00242AC5"/>
    <w:rsid w:val="002431F5"/>
    <w:rsid w:val="002434EE"/>
    <w:rsid w:val="00243C14"/>
    <w:rsid w:val="002464C7"/>
    <w:rsid w:val="002465FF"/>
    <w:rsid w:val="00250E5D"/>
    <w:rsid w:val="00251356"/>
    <w:rsid w:val="00251BAB"/>
    <w:rsid w:val="0025253B"/>
    <w:rsid w:val="00252DB8"/>
    <w:rsid w:val="00252F38"/>
    <w:rsid w:val="0025336C"/>
    <w:rsid w:val="0025362D"/>
    <w:rsid w:val="002539E8"/>
    <w:rsid w:val="00254329"/>
    <w:rsid w:val="00254A0F"/>
    <w:rsid w:val="002568AA"/>
    <w:rsid w:val="002578CE"/>
    <w:rsid w:val="002604E0"/>
    <w:rsid w:val="0026071E"/>
    <w:rsid w:val="00260B8D"/>
    <w:rsid w:val="00260DDC"/>
    <w:rsid w:val="002612EE"/>
    <w:rsid w:val="00262B4B"/>
    <w:rsid w:val="00262DE9"/>
    <w:rsid w:val="00262EA5"/>
    <w:rsid w:val="002631F7"/>
    <w:rsid w:val="002647C6"/>
    <w:rsid w:val="00265BFE"/>
    <w:rsid w:val="002660A3"/>
    <w:rsid w:val="0026696C"/>
    <w:rsid w:val="00266F7E"/>
    <w:rsid w:val="00267EBD"/>
    <w:rsid w:val="00271DE6"/>
    <w:rsid w:val="002724B4"/>
    <w:rsid w:val="00273320"/>
    <w:rsid w:val="00273BED"/>
    <w:rsid w:val="00275247"/>
    <w:rsid w:val="00276222"/>
    <w:rsid w:val="0027769C"/>
    <w:rsid w:val="0027770B"/>
    <w:rsid w:val="002811D6"/>
    <w:rsid w:val="00281433"/>
    <w:rsid w:val="0028218B"/>
    <w:rsid w:val="002822D6"/>
    <w:rsid w:val="002829A5"/>
    <w:rsid w:val="00282F82"/>
    <w:rsid w:val="0028416C"/>
    <w:rsid w:val="00284710"/>
    <w:rsid w:val="002848D0"/>
    <w:rsid w:val="00284B8D"/>
    <w:rsid w:val="002859E6"/>
    <w:rsid w:val="002871DB"/>
    <w:rsid w:val="002876D1"/>
    <w:rsid w:val="00291036"/>
    <w:rsid w:val="002917CB"/>
    <w:rsid w:val="00292B11"/>
    <w:rsid w:val="0029321F"/>
    <w:rsid w:val="002944B8"/>
    <w:rsid w:val="00294D1D"/>
    <w:rsid w:val="00294D26"/>
    <w:rsid w:val="0029521A"/>
    <w:rsid w:val="0029544B"/>
    <w:rsid w:val="002955DD"/>
    <w:rsid w:val="002956ED"/>
    <w:rsid w:val="0029574C"/>
    <w:rsid w:val="0029656B"/>
    <w:rsid w:val="00297E3A"/>
    <w:rsid w:val="002A0289"/>
    <w:rsid w:val="002A124D"/>
    <w:rsid w:val="002A30B9"/>
    <w:rsid w:val="002A371E"/>
    <w:rsid w:val="002A4FBE"/>
    <w:rsid w:val="002A5746"/>
    <w:rsid w:val="002A5C89"/>
    <w:rsid w:val="002A5E73"/>
    <w:rsid w:val="002A6203"/>
    <w:rsid w:val="002A6E80"/>
    <w:rsid w:val="002A724B"/>
    <w:rsid w:val="002B0392"/>
    <w:rsid w:val="002B06C1"/>
    <w:rsid w:val="002B1424"/>
    <w:rsid w:val="002B1B73"/>
    <w:rsid w:val="002B4B0A"/>
    <w:rsid w:val="002B52F0"/>
    <w:rsid w:val="002B5341"/>
    <w:rsid w:val="002B6DEC"/>
    <w:rsid w:val="002B7776"/>
    <w:rsid w:val="002C039E"/>
    <w:rsid w:val="002C1593"/>
    <w:rsid w:val="002C1AA0"/>
    <w:rsid w:val="002C220B"/>
    <w:rsid w:val="002C254C"/>
    <w:rsid w:val="002C42FC"/>
    <w:rsid w:val="002C5127"/>
    <w:rsid w:val="002C5C1B"/>
    <w:rsid w:val="002C5F5B"/>
    <w:rsid w:val="002C686C"/>
    <w:rsid w:val="002C6E71"/>
    <w:rsid w:val="002C777D"/>
    <w:rsid w:val="002D05CD"/>
    <w:rsid w:val="002D15E2"/>
    <w:rsid w:val="002D2146"/>
    <w:rsid w:val="002D3467"/>
    <w:rsid w:val="002D40B1"/>
    <w:rsid w:val="002D45CD"/>
    <w:rsid w:val="002D4A77"/>
    <w:rsid w:val="002D5509"/>
    <w:rsid w:val="002D6397"/>
    <w:rsid w:val="002D6988"/>
    <w:rsid w:val="002D75F8"/>
    <w:rsid w:val="002D75F9"/>
    <w:rsid w:val="002E07AC"/>
    <w:rsid w:val="002E157B"/>
    <w:rsid w:val="002E1B61"/>
    <w:rsid w:val="002E3069"/>
    <w:rsid w:val="002E397B"/>
    <w:rsid w:val="002E3CAB"/>
    <w:rsid w:val="002E53CB"/>
    <w:rsid w:val="002E6372"/>
    <w:rsid w:val="002E6AA1"/>
    <w:rsid w:val="002F0BB3"/>
    <w:rsid w:val="002F0C33"/>
    <w:rsid w:val="002F1B15"/>
    <w:rsid w:val="002F204C"/>
    <w:rsid w:val="002F3D5F"/>
    <w:rsid w:val="002F4530"/>
    <w:rsid w:val="002F4592"/>
    <w:rsid w:val="002F4839"/>
    <w:rsid w:val="002F4D98"/>
    <w:rsid w:val="002F5127"/>
    <w:rsid w:val="002F57C6"/>
    <w:rsid w:val="002F664A"/>
    <w:rsid w:val="00300236"/>
    <w:rsid w:val="0030029C"/>
    <w:rsid w:val="00300EBC"/>
    <w:rsid w:val="00301447"/>
    <w:rsid w:val="003022A8"/>
    <w:rsid w:val="003024A5"/>
    <w:rsid w:val="0030322E"/>
    <w:rsid w:val="00303C9D"/>
    <w:rsid w:val="00304A49"/>
    <w:rsid w:val="00305F89"/>
    <w:rsid w:val="003079BD"/>
    <w:rsid w:val="00307A27"/>
    <w:rsid w:val="00307A69"/>
    <w:rsid w:val="0031082D"/>
    <w:rsid w:val="00310FF8"/>
    <w:rsid w:val="00311022"/>
    <w:rsid w:val="0031142F"/>
    <w:rsid w:val="00312E4A"/>
    <w:rsid w:val="003134EB"/>
    <w:rsid w:val="00314329"/>
    <w:rsid w:val="0031546F"/>
    <w:rsid w:val="003164D0"/>
    <w:rsid w:val="00316B0D"/>
    <w:rsid w:val="00317B4E"/>
    <w:rsid w:val="00320E99"/>
    <w:rsid w:val="00324488"/>
    <w:rsid w:val="00330019"/>
    <w:rsid w:val="003300DB"/>
    <w:rsid w:val="0033088D"/>
    <w:rsid w:val="00331746"/>
    <w:rsid w:val="003317DA"/>
    <w:rsid w:val="00331EC5"/>
    <w:rsid w:val="0033333A"/>
    <w:rsid w:val="00334CC6"/>
    <w:rsid w:val="00335425"/>
    <w:rsid w:val="00335B7A"/>
    <w:rsid w:val="003371BC"/>
    <w:rsid w:val="0033798B"/>
    <w:rsid w:val="00337AC5"/>
    <w:rsid w:val="00337C9F"/>
    <w:rsid w:val="00340F50"/>
    <w:rsid w:val="003419A4"/>
    <w:rsid w:val="003430D4"/>
    <w:rsid w:val="00343542"/>
    <w:rsid w:val="00343D35"/>
    <w:rsid w:val="00345302"/>
    <w:rsid w:val="0034627E"/>
    <w:rsid w:val="003465FB"/>
    <w:rsid w:val="00347724"/>
    <w:rsid w:val="003500C6"/>
    <w:rsid w:val="00351031"/>
    <w:rsid w:val="00351C78"/>
    <w:rsid w:val="00351D0E"/>
    <w:rsid w:val="00360F55"/>
    <w:rsid w:val="00361155"/>
    <w:rsid w:val="003613FF"/>
    <w:rsid w:val="00363AE5"/>
    <w:rsid w:val="00363E6E"/>
    <w:rsid w:val="00363FAA"/>
    <w:rsid w:val="00365434"/>
    <w:rsid w:val="00365B80"/>
    <w:rsid w:val="0036675B"/>
    <w:rsid w:val="00366F0F"/>
    <w:rsid w:val="00367AA7"/>
    <w:rsid w:val="003706F0"/>
    <w:rsid w:val="0037110B"/>
    <w:rsid w:val="0037145A"/>
    <w:rsid w:val="003721EB"/>
    <w:rsid w:val="00373C4C"/>
    <w:rsid w:val="00375CB1"/>
    <w:rsid w:val="00377CE6"/>
    <w:rsid w:val="003804EB"/>
    <w:rsid w:val="00381F37"/>
    <w:rsid w:val="00382A01"/>
    <w:rsid w:val="003842DC"/>
    <w:rsid w:val="0038434B"/>
    <w:rsid w:val="003848EF"/>
    <w:rsid w:val="003854E8"/>
    <w:rsid w:val="00385739"/>
    <w:rsid w:val="00385B65"/>
    <w:rsid w:val="00385F8C"/>
    <w:rsid w:val="00390F87"/>
    <w:rsid w:val="003915C3"/>
    <w:rsid w:val="00391929"/>
    <w:rsid w:val="00393C81"/>
    <w:rsid w:val="00393FBE"/>
    <w:rsid w:val="003944ED"/>
    <w:rsid w:val="00395124"/>
    <w:rsid w:val="003952BB"/>
    <w:rsid w:val="00395760"/>
    <w:rsid w:val="0039672C"/>
    <w:rsid w:val="00396DCF"/>
    <w:rsid w:val="00397342"/>
    <w:rsid w:val="003973D2"/>
    <w:rsid w:val="003A06C9"/>
    <w:rsid w:val="003A090E"/>
    <w:rsid w:val="003A0B71"/>
    <w:rsid w:val="003A1A1C"/>
    <w:rsid w:val="003A1DFE"/>
    <w:rsid w:val="003A306B"/>
    <w:rsid w:val="003A3544"/>
    <w:rsid w:val="003A372E"/>
    <w:rsid w:val="003A3E57"/>
    <w:rsid w:val="003A4BB7"/>
    <w:rsid w:val="003A5A9D"/>
    <w:rsid w:val="003A5C05"/>
    <w:rsid w:val="003A6F0D"/>
    <w:rsid w:val="003A72BE"/>
    <w:rsid w:val="003A7E62"/>
    <w:rsid w:val="003A7E73"/>
    <w:rsid w:val="003B0CDF"/>
    <w:rsid w:val="003B17DF"/>
    <w:rsid w:val="003B413D"/>
    <w:rsid w:val="003B45CD"/>
    <w:rsid w:val="003B4AA5"/>
    <w:rsid w:val="003B7B55"/>
    <w:rsid w:val="003C2CE0"/>
    <w:rsid w:val="003C39B7"/>
    <w:rsid w:val="003C5FF5"/>
    <w:rsid w:val="003C6961"/>
    <w:rsid w:val="003C71D8"/>
    <w:rsid w:val="003C7E86"/>
    <w:rsid w:val="003D0639"/>
    <w:rsid w:val="003D069D"/>
    <w:rsid w:val="003D21A3"/>
    <w:rsid w:val="003D3B1F"/>
    <w:rsid w:val="003D42AB"/>
    <w:rsid w:val="003D451D"/>
    <w:rsid w:val="003D460A"/>
    <w:rsid w:val="003D59DF"/>
    <w:rsid w:val="003D679D"/>
    <w:rsid w:val="003D6FC4"/>
    <w:rsid w:val="003D7510"/>
    <w:rsid w:val="003D7867"/>
    <w:rsid w:val="003D7CC0"/>
    <w:rsid w:val="003E0705"/>
    <w:rsid w:val="003E135F"/>
    <w:rsid w:val="003E1983"/>
    <w:rsid w:val="003E3DBA"/>
    <w:rsid w:val="003E3DD3"/>
    <w:rsid w:val="003E3F59"/>
    <w:rsid w:val="003E4831"/>
    <w:rsid w:val="003E51B9"/>
    <w:rsid w:val="003E553E"/>
    <w:rsid w:val="003E6B8B"/>
    <w:rsid w:val="003E7072"/>
    <w:rsid w:val="003E7CA2"/>
    <w:rsid w:val="003F017E"/>
    <w:rsid w:val="003F0D3D"/>
    <w:rsid w:val="003F17BC"/>
    <w:rsid w:val="003F1A13"/>
    <w:rsid w:val="003F1A1E"/>
    <w:rsid w:val="003F1E49"/>
    <w:rsid w:val="003F3280"/>
    <w:rsid w:val="003F470F"/>
    <w:rsid w:val="003F55DD"/>
    <w:rsid w:val="003F5B9A"/>
    <w:rsid w:val="003F5D92"/>
    <w:rsid w:val="003F5F33"/>
    <w:rsid w:val="003F7340"/>
    <w:rsid w:val="003F76B4"/>
    <w:rsid w:val="003F7E70"/>
    <w:rsid w:val="004005F3"/>
    <w:rsid w:val="00401836"/>
    <w:rsid w:val="00404312"/>
    <w:rsid w:val="00407F65"/>
    <w:rsid w:val="004126FD"/>
    <w:rsid w:val="004130A0"/>
    <w:rsid w:val="004137C1"/>
    <w:rsid w:val="00413F54"/>
    <w:rsid w:val="00413F9E"/>
    <w:rsid w:val="0041491D"/>
    <w:rsid w:val="0041589F"/>
    <w:rsid w:val="004162B5"/>
    <w:rsid w:val="004162F5"/>
    <w:rsid w:val="00416B3A"/>
    <w:rsid w:val="00420410"/>
    <w:rsid w:val="00420853"/>
    <w:rsid w:val="00421D05"/>
    <w:rsid w:val="004237C6"/>
    <w:rsid w:val="00423DE7"/>
    <w:rsid w:val="00423E92"/>
    <w:rsid w:val="00424D4E"/>
    <w:rsid w:val="00425031"/>
    <w:rsid w:val="004279EF"/>
    <w:rsid w:val="00431641"/>
    <w:rsid w:val="00431CC0"/>
    <w:rsid w:val="00432C1D"/>
    <w:rsid w:val="00433396"/>
    <w:rsid w:val="0043486C"/>
    <w:rsid w:val="0043665E"/>
    <w:rsid w:val="004366AE"/>
    <w:rsid w:val="004376F1"/>
    <w:rsid w:val="00440671"/>
    <w:rsid w:val="004409A8"/>
    <w:rsid w:val="004415E8"/>
    <w:rsid w:val="0044371A"/>
    <w:rsid w:val="004438FB"/>
    <w:rsid w:val="00444A28"/>
    <w:rsid w:val="00446CE8"/>
    <w:rsid w:val="00447D49"/>
    <w:rsid w:val="00447DCF"/>
    <w:rsid w:val="00450A82"/>
    <w:rsid w:val="00451D05"/>
    <w:rsid w:val="004528DE"/>
    <w:rsid w:val="00452B3D"/>
    <w:rsid w:val="00452F9D"/>
    <w:rsid w:val="00453D7D"/>
    <w:rsid w:val="00454630"/>
    <w:rsid w:val="00454696"/>
    <w:rsid w:val="00454C85"/>
    <w:rsid w:val="00456D14"/>
    <w:rsid w:val="00456EF5"/>
    <w:rsid w:val="00460032"/>
    <w:rsid w:val="004616FF"/>
    <w:rsid w:val="00462821"/>
    <w:rsid w:val="00462C41"/>
    <w:rsid w:val="004636DF"/>
    <w:rsid w:val="004639D7"/>
    <w:rsid w:val="004644FD"/>
    <w:rsid w:val="004654B8"/>
    <w:rsid w:val="00470CF6"/>
    <w:rsid w:val="004715A6"/>
    <w:rsid w:val="0047212D"/>
    <w:rsid w:val="0047247A"/>
    <w:rsid w:val="0047339E"/>
    <w:rsid w:val="004738DA"/>
    <w:rsid w:val="00473A1A"/>
    <w:rsid w:val="00474097"/>
    <w:rsid w:val="00474AE2"/>
    <w:rsid w:val="004759ED"/>
    <w:rsid w:val="004761F6"/>
    <w:rsid w:val="00477754"/>
    <w:rsid w:val="00483802"/>
    <w:rsid w:val="0048424A"/>
    <w:rsid w:val="004849D9"/>
    <w:rsid w:val="0048531C"/>
    <w:rsid w:val="00486877"/>
    <w:rsid w:val="004877EA"/>
    <w:rsid w:val="00491328"/>
    <w:rsid w:val="00494334"/>
    <w:rsid w:val="004957BB"/>
    <w:rsid w:val="004957C1"/>
    <w:rsid w:val="00495D45"/>
    <w:rsid w:val="0049669C"/>
    <w:rsid w:val="00496E3E"/>
    <w:rsid w:val="00497126"/>
    <w:rsid w:val="004A04B5"/>
    <w:rsid w:val="004A2FB4"/>
    <w:rsid w:val="004A411B"/>
    <w:rsid w:val="004A4775"/>
    <w:rsid w:val="004A4951"/>
    <w:rsid w:val="004A5A49"/>
    <w:rsid w:val="004A6682"/>
    <w:rsid w:val="004A6C2C"/>
    <w:rsid w:val="004A6FDA"/>
    <w:rsid w:val="004B09A6"/>
    <w:rsid w:val="004B12CF"/>
    <w:rsid w:val="004B1B02"/>
    <w:rsid w:val="004B2CB0"/>
    <w:rsid w:val="004B3F13"/>
    <w:rsid w:val="004B5A9D"/>
    <w:rsid w:val="004B61A4"/>
    <w:rsid w:val="004B7B8B"/>
    <w:rsid w:val="004C0388"/>
    <w:rsid w:val="004C2D79"/>
    <w:rsid w:val="004C3372"/>
    <w:rsid w:val="004C42F0"/>
    <w:rsid w:val="004C6518"/>
    <w:rsid w:val="004D09C1"/>
    <w:rsid w:val="004D1328"/>
    <w:rsid w:val="004D24EB"/>
    <w:rsid w:val="004D35A9"/>
    <w:rsid w:val="004D39D9"/>
    <w:rsid w:val="004D3DE9"/>
    <w:rsid w:val="004D4585"/>
    <w:rsid w:val="004D4F4B"/>
    <w:rsid w:val="004D5A3D"/>
    <w:rsid w:val="004D6AE1"/>
    <w:rsid w:val="004D6C45"/>
    <w:rsid w:val="004D7B50"/>
    <w:rsid w:val="004E125D"/>
    <w:rsid w:val="004E14F4"/>
    <w:rsid w:val="004E21CC"/>
    <w:rsid w:val="004E3091"/>
    <w:rsid w:val="004E4A59"/>
    <w:rsid w:val="004E5E59"/>
    <w:rsid w:val="004E683D"/>
    <w:rsid w:val="004F0041"/>
    <w:rsid w:val="004F0C62"/>
    <w:rsid w:val="004F0E62"/>
    <w:rsid w:val="004F1A33"/>
    <w:rsid w:val="004F289B"/>
    <w:rsid w:val="004F2906"/>
    <w:rsid w:val="004F3865"/>
    <w:rsid w:val="004F413C"/>
    <w:rsid w:val="004F678A"/>
    <w:rsid w:val="004F716D"/>
    <w:rsid w:val="004F73E8"/>
    <w:rsid w:val="004F78C1"/>
    <w:rsid w:val="00500185"/>
    <w:rsid w:val="00501D44"/>
    <w:rsid w:val="00501E5C"/>
    <w:rsid w:val="00502FD0"/>
    <w:rsid w:val="005037AA"/>
    <w:rsid w:val="00504610"/>
    <w:rsid w:val="00505CAA"/>
    <w:rsid w:val="00507B60"/>
    <w:rsid w:val="005100AE"/>
    <w:rsid w:val="0051010C"/>
    <w:rsid w:val="00513502"/>
    <w:rsid w:val="00513B3A"/>
    <w:rsid w:val="00513B3D"/>
    <w:rsid w:val="00514DEA"/>
    <w:rsid w:val="005151A3"/>
    <w:rsid w:val="00515490"/>
    <w:rsid w:val="00515659"/>
    <w:rsid w:val="00515B66"/>
    <w:rsid w:val="00517CAE"/>
    <w:rsid w:val="005203FC"/>
    <w:rsid w:val="00521CBB"/>
    <w:rsid w:val="00523958"/>
    <w:rsid w:val="00526495"/>
    <w:rsid w:val="00531359"/>
    <w:rsid w:val="005319E2"/>
    <w:rsid w:val="00532847"/>
    <w:rsid w:val="005349EC"/>
    <w:rsid w:val="00535BC1"/>
    <w:rsid w:val="0053771E"/>
    <w:rsid w:val="005400C8"/>
    <w:rsid w:val="00542145"/>
    <w:rsid w:val="00542B79"/>
    <w:rsid w:val="005430B0"/>
    <w:rsid w:val="00543B73"/>
    <w:rsid w:val="00543E44"/>
    <w:rsid w:val="00543FDE"/>
    <w:rsid w:val="0054518A"/>
    <w:rsid w:val="00545B8C"/>
    <w:rsid w:val="00545D95"/>
    <w:rsid w:val="00546B85"/>
    <w:rsid w:val="00546EDC"/>
    <w:rsid w:val="00546FF6"/>
    <w:rsid w:val="005502BB"/>
    <w:rsid w:val="005505BA"/>
    <w:rsid w:val="0055072C"/>
    <w:rsid w:val="005518B0"/>
    <w:rsid w:val="00551E22"/>
    <w:rsid w:val="00552051"/>
    <w:rsid w:val="00552827"/>
    <w:rsid w:val="005538B9"/>
    <w:rsid w:val="00553C76"/>
    <w:rsid w:val="005540F5"/>
    <w:rsid w:val="005575C0"/>
    <w:rsid w:val="00560AF2"/>
    <w:rsid w:val="005614EE"/>
    <w:rsid w:val="00561516"/>
    <w:rsid w:val="00561730"/>
    <w:rsid w:val="005649F5"/>
    <w:rsid w:val="005650A3"/>
    <w:rsid w:val="005651B5"/>
    <w:rsid w:val="00566B96"/>
    <w:rsid w:val="00567530"/>
    <w:rsid w:val="0056783D"/>
    <w:rsid w:val="00570C15"/>
    <w:rsid w:val="0057154C"/>
    <w:rsid w:val="0057186B"/>
    <w:rsid w:val="00572004"/>
    <w:rsid w:val="00574837"/>
    <w:rsid w:val="00574CCC"/>
    <w:rsid w:val="00574F28"/>
    <w:rsid w:val="005762C1"/>
    <w:rsid w:val="00580E1D"/>
    <w:rsid w:val="00580F16"/>
    <w:rsid w:val="00581097"/>
    <w:rsid w:val="0058112E"/>
    <w:rsid w:val="00581CCB"/>
    <w:rsid w:val="00582189"/>
    <w:rsid w:val="0058226E"/>
    <w:rsid w:val="0058259C"/>
    <w:rsid w:val="00584613"/>
    <w:rsid w:val="0058515C"/>
    <w:rsid w:val="00585F61"/>
    <w:rsid w:val="005869BA"/>
    <w:rsid w:val="00586CBE"/>
    <w:rsid w:val="0058793B"/>
    <w:rsid w:val="005909C5"/>
    <w:rsid w:val="00590E5B"/>
    <w:rsid w:val="00591818"/>
    <w:rsid w:val="00592501"/>
    <w:rsid w:val="00592C47"/>
    <w:rsid w:val="005933EE"/>
    <w:rsid w:val="005938A3"/>
    <w:rsid w:val="00594280"/>
    <w:rsid w:val="0059428C"/>
    <w:rsid w:val="00594EB6"/>
    <w:rsid w:val="00596DDB"/>
    <w:rsid w:val="005972E4"/>
    <w:rsid w:val="0059757C"/>
    <w:rsid w:val="00597A24"/>
    <w:rsid w:val="00597BF2"/>
    <w:rsid w:val="005A0DE7"/>
    <w:rsid w:val="005A1B8B"/>
    <w:rsid w:val="005A2E9A"/>
    <w:rsid w:val="005A31DC"/>
    <w:rsid w:val="005A3633"/>
    <w:rsid w:val="005A3802"/>
    <w:rsid w:val="005A59BD"/>
    <w:rsid w:val="005A7054"/>
    <w:rsid w:val="005A76E8"/>
    <w:rsid w:val="005B0CB8"/>
    <w:rsid w:val="005B1673"/>
    <w:rsid w:val="005B1B9A"/>
    <w:rsid w:val="005B241C"/>
    <w:rsid w:val="005B27D0"/>
    <w:rsid w:val="005B3081"/>
    <w:rsid w:val="005B394B"/>
    <w:rsid w:val="005B3A04"/>
    <w:rsid w:val="005B68AA"/>
    <w:rsid w:val="005C1591"/>
    <w:rsid w:val="005C30F7"/>
    <w:rsid w:val="005C4621"/>
    <w:rsid w:val="005C4838"/>
    <w:rsid w:val="005C4EE0"/>
    <w:rsid w:val="005C61B2"/>
    <w:rsid w:val="005C7655"/>
    <w:rsid w:val="005C7753"/>
    <w:rsid w:val="005C7C79"/>
    <w:rsid w:val="005D22DC"/>
    <w:rsid w:val="005D2D7A"/>
    <w:rsid w:val="005D30E2"/>
    <w:rsid w:val="005D3CB2"/>
    <w:rsid w:val="005D57A4"/>
    <w:rsid w:val="005D5D53"/>
    <w:rsid w:val="005E2156"/>
    <w:rsid w:val="005E423F"/>
    <w:rsid w:val="005E5589"/>
    <w:rsid w:val="005E68EA"/>
    <w:rsid w:val="005E70BD"/>
    <w:rsid w:val="005F0057"/>
    <w:rsid w:val="005F0A03"/>
    <w:rsid w:val="005F3D48"/>
    <w:rsid w:val="005F4538"/>
    <w:rsid w:val="005F5BF4"/>
    <w:rsid w:val="005F6CE1"/>
    <w:rsid w:val="005F79CC"/>
    <w:rsid w:val="006001EA"/>
    <w:rsid w:val="00600DE9"/>
    <w:rsid w:val="00600FFA"/>
    <w:rsid w:val="006018E4"/>
    <w:rsid w:val="00602110"/>
    <w:rsid w:val="006024BD"/>
    <w:rsid w:val="00602BED"/>
    <w:rsid w:val="00602EDE"/>
    <w:rsid w:val="00603FC1"/>
    <w:rsid w:val="00604301"/>
    <w:rsid w:val="006043D4"/>
    <w:rsid w:val="00604F16"/>
    <w:rsid w:val="00605EA9"/>
    <w:rsid w:val="00606B33"/>
    <w:rsid w:val="00607693"/>
    <w:rsid w:val="006134B5"/>
    <w:rsid w:val="0061381E"/>
    <w:rsid w:val="006138C1"/>
    <w:rsid w:val="00613EFA"/>
    <w:rsid w:val="006159CC"/>
    <w:rsid w:val="00615F5B"/>
    <w:rsid w:val="00616560"/>
    <w:rsid w:val="006169F7"/>
    <w:rsid w:val="006172D9"/>
    <w:rsid w:val="006173D0"/>
    <w:rsid w:val="00617577"/>
    <w:rsid w:val="00617BE6"/>
    <w:rsid w:val="006201D2"/>
    <w:rsid w:val="006201D7"/>
    <w:rsid w:val="00620F31"/>
    <w:rsid w:val="0062295D"/>
    <w:rsid w:val="00624BB8"/>
    <w:rsid w:val="00625F1A"/>
    <w:rsid w:val="00626CA4"/>
    <w:rsid w:val="00627E9D"/>
    <w:rsid w:val="00631596"/>
    <w:rsid w:val="006322D8"/>
    <w:rsid w:val="00632B3C"/>
    <w:rsid w:val="00634BE2"/>
    <w:rsid w:val="00635516"/>
    <w:rsid w:val="00635ECA"/>
    <w:rsid w:val="00636074"/>
    <w:rsid w:val="00636993"/>
    <w:rsid w:val="0063784C"/>
    <w:rsid w:val="00637D72"/>
    <w:rsid w:val="00637D96"/>
    <w:rsid w:val="0064026F"/>
    <w:rsid w:val="0064086E"/>
    <w:rsid w:val="00640F94"/>
    <w:rsid w:val="00641AD4"/>
    <w:rsid w:val="006427AA"/>
    <w:rsid w:val="006429D7"/>
    <w:rsid w:val="006429F9"/>
    <w:rsid w:val="0064351B"/>
    <w:rsid w:val="00643EA5"/>
    <w:rsid w:val="00644375"/>
    <w:rsid w:val="00645327"/>
    <w:rsid w:val="00645D4F"/>
    <w:rsid w:val="00645E65"/>
    <w:rsid w:val="0064687A"/>
    <w:rsid w:val="00646B8F"/>
    <w:rsid w:val="00646FA2"/>
    <w:rsid w:val="00646FEF"/>
    <w:rsid w:val="00647E97"/>
    <w:rsid w:val="00650BA1"/>
    <w:rsid w:val="00650D1E"/>
    <w:rsid w:val="00651F89"/>
    <w:rsid w:val="00653921"/>
    <w:rsid w:val="00653C9F"/>
    <w:rsid w:val="00654ACE"/>
    <w:rsid w:val="00657A6D"/>
    <w:rsid w:val="00657D2D"/>
    <w:rsid w:val="00660F60"/>
    <w:rsid w:val="006617C4"/>
    <w:rsid w:val="00661C9D"/>
    <w:rsid w:val="0066255C"/>
    <w:rsid w:val="00662572"/>
    <w:rsid w:val="00663EAD"/>
    <w:rsid w:val="00665D33"/>
    <w:rsid w:val="00667A4A"/>
    <w:rsid w:val="00667D1B"/>
    <w:rsid w:val="006719C9"/>
    <w:rsid w:val="006730E4"/>
    <w:rsid w:val="00673D44"/>
    <w:rsid w:val="0067405B"/>
    <w:rsid w:val="0067486D"/>
    <w:rsid w:val="00674B1A"/>
    <w:rsid w:val="00674C22"/>
    <w:rsid w:val="0067509C"/>
    <w:rsid w:val="006756B2"/>
    <w:rsid w:val="0067597C"/>
    <w:rsid w:val="00675B34"/>
    <w:rsid w:val="00675B5E"/>
    <w:rsid w:val="00676ADB"/>
    <w:rsid w:val="00676D1F"/>
    <w:rsid w:val="00677883"/>
    <w:rsid w:val="00680950"/>
    <w:rsid w:val="00681F9D"/>
    <w:rsid w:val="006828DF"/>
    <w:rsid w:val="00683C21"/>
    <w:rsid w:val="00685B85"/>
    <w:rsid w:val="00685BF1"/>
    <w:rsid w:val="006873C1"/>
    <w:rsid w:val="00691465"/>
    <w:rsid w:val="006921DB"/>
    <w:rsid w:val="00693C3B"/>
    <w:rsid w:val="0069485B"/>
    <w:rsid w:val="00694BBF"/>
    <w:rsid w:val="006952EE"/>
    <w:rsid w:val="00695403"/>
    <w:rsid w:val="00695525"/>
    <w:rsid w:val="00695A56"/>
    <w:rsid w:val="00695E59"/>
    <w:rsid w:val="00695E7A"/>
    <w:rsid w:val="006A0BF1"/>
    <w:rsid w:val="006A11B6"/>
    <w:rsid w:val="006A131D"/>
    <w:rsid w:val="006A1B40"/>
    <w:rsid w:val="006A1EC0"/>
    <w:rsid w:val="006A2795"/>
    <w:rsid w:val="006A32B6"/>
    <w:rsid w:val="006A33E9"/>
    <w:rsid w:val="006A52F8"/>
    <w:rsid w:val="006A5653"/>
    <w:rsid w:val="006A644F"/>
    <w:rsid w:val="006A7076"/>
    <w:rsid w:val="006A763F"/>
    <w:rsid w:val="006A7800"/>
    <w:rsid w:val="006B089B"/>
    <w:rsid w:val="006B1D3C"/>
    <w:rsid w:val="006B209B"/>
    <w:rsid w:val="006B23E4"/>
    <w:rsid w:val="006B3301"/>
    <w:rsid w:val="006B41CB"/>
    <w:rsid w:val="006B43C0"/>
    <w:rsid w:val="006B4E51"/>
    <w:rsid w:val="006B5573"/>
    <w:rsid w:val="006B56C4"/>
    <w:rsid w:val="006B56FC"/>
    <w:rsid w:val="006B5D47"/>
    <w:rsid w:val="006B6AC7"/>
    <w:rsid w:val="006B7BA2"/>
    <w:rsid w:val="006B7D20"/>
    <w:rsid w:val="006C010F"/>
    <w:rsid w:val="006C037D"/>
    <w:rsid w:val="006C0869"/>
    <w:rsid w:val="006C0CFC"/>
    <w:rsid w:val="006C126C"/>
    <w:rsid w:val="006C1415"/>
    <w:rsid w:val="006C1BC7"/>
    <w:rsid w:val="006C30A8"/>
    <w:rsid w:val="006C4296"/>
    <w:rsid w:val="006C64CB"/>
    <w:rsid w:val="006C696C"/>
    <w:rsid w:val="006C7517"/>
    <w:rsid w:val="006C760B"/>
    <w:rsid w:val="006C7B63"/>
    <w:rsid w:val="006C7BAD"/>
    <w:rsid w:val="006C7FC3"/>
    <w:rsid w:val="006D2973"/>
    <w:rsid w:val="006D4B41"/>
    <w:rsid w:val="006D6E6F"/>
    <w:rsid w:val="006D72C0"/>
    <w:rsid w:val="006E06F6"/>
    <w:rsid w:val="006E086B"/>
    <w:rsid w:val="006E2A9A"/>
    <w:rsid w:val="006E350F"/>
    <w:rsid w:val="006E6940"/>
    <w:rsid w:val="006E7BF7"/>
    <w:rsid w:val="006F4F87"/>
    <w:rsid w:val="006F6D4E"/>
    <w:rsid w:val="006F72F2"/>
    <w:rsid w:val="006F789C"/>
    <w:rsid w:val="00700154"/>
    <w:rsid w:val="00700BC0"/>
    <w:rsid w:val="00701364"/>
    <w:rsid w:val="0070165C"/>
    <w:rsid w:val="007023D8"/>
    <w:rsid w:val="0070367D"/>
    <w:rsid w:val="00703DD4"/>
    <w:rsid w:val="00704916"/>
    <w:rsid w:val="00704DAE"/>
    <w:rsid w:val="00706233"/>
    <w:rsid w:val="0071075C"/>
    <w:rsid w:val="00710E83"/>
    <w:rsid w:val="00711B1D"/>
    <w:rsid w:val="0071216A"/>
    <w:rsid w:val="00712338"/>
    <w:rsid w:val="0071431B"/>
    <w:rsid w:val="00714E79"/>
    <w:rsid w:val="007156FB"/>
    <w:rsid w:val="00716A5F"/>
    <w:rsid w:val="0071751C"/>
    <w:rsid w:val="0071794F"/>
    <w:rsid w:val="00721982"/>
    <w:rsid w:val="007223D5"/>
    <w:rsid w:val="0072293E"/>
    <w:rsid w:val="00722A8C"/>
    <w:rsid w:val="007239F8"/>
    <w:rsid w:val="00723B23"/>
    <w:rsid w:val="00723D3F"/>
    <w:rsid w:val="00724142"/>
    <w:rsid w:val="00726F83"/>
    <w:rsid w:val="0072709F"/>
    <w:rsid w:val="007275B1"/>
    <w:rsid w:val="00730A8C"/>
    <w:rsid w:val="00731696"/>
    <w:rsid w:val="007322D9"/>
    <w:rsid w:val="007323F8"/>
    <w:rsid w:val="007324F4"/>
    <w:rsid w:val="0073295F"/>
    <w:rsid w:val="00732A18"/>
    <w:rsid w:val="00732BA4"/>
    <w:rsid w:val="00733A2A"/>
    <w:rsid w:val="00733EA2"/>
    <w:rsid w:val="007341F0"/>
    <w:rsid w:val="00735580"/>
    <w:rsid w:val="0073574F"/>
    <w:rsid w:val="00735752"/>
    <w:rsid w:val="00735ADC"/>
    <w:rsid w:val="00736631"/>
    <w:rsid w:val="007369D4"/>
    <w:rsid w:val="00736B49"/>
    <w:rsid w:val="0074073C"/>
    <w:rsid w:val="007418F4"/>
    <w:rsid w:val="00741C87"/>
    <w:rsid w:val="00742F35"/>
    <w:rsid w:val="0074327E"/>
    <w:rsid w:val="00743D8E"/>
    <w:rsid w:val="00745581"/>
    <w:rsid w:val="00745E18"/>
    <w:rsid w:val="0074623F"/>
    <w:rsid w:val="00746846"/>
    <w:rsid w:val="00753174"/>
    <w:rsid w:val="007538E9"/>
    <w:rsid w:val="00753B4D"/>
    <w:rsid w:val="00754949"/>
    <w:rsid w:val="00754D2B"/>
    <w:rsid w:val="007556F2"/>
    <w:rsid w:val="00755B56"/>
    <w:rsid w:val="00756763"/>
    <w:rsid w:val="007567CD"/>
    <w:rsid w:val="00757D78"/>
    <w:rsid w:val="00760657"/>
    <w:rsid w:val="00762337"/>
    <w:rsid w:val="00762C5C"/>
    <w:rsid w:val="00763916"/>
    <w:rsid w:val="007660B9"/>
    <w:rsid w:val="00767855"/>
    <w:rsid w:val="0077010E"/>
    <w:rsid w:val="00772DA2"/>
    <w:rsid w:val="00772FD9"/>
    <w:rsid w:val="00773AC7"/>
    <w:rsid w:val="00773F43"/>
    <w:rsid w:val="00774156"/>
    <w:rsid w:val="00775681"/>
    <w:rsid w:val="00777D12"/>
    <w:rsid w:val="00780037"/>
    <w:rsid w:val="00780310"/>
    <w:rsid w:val="00780AC4"/>
    <w:rsid w:val="0078172B"/>
    <w:rsid w:val="00781797"/>
    <w:rsid w:val="00781E50"/>
    <w:rsid w:val="0078207E"/>
    <w:rsid w:val="007820D6"/>
    <w:rsid w:val="0078231E"/>
    <w:rsid w:val="0078244E"/>
    <w:rsid w:val="00783465"/>
    <w:rsid w:val="007839D5"/>
    <w:rsid w:val="00783FC3"/>
    <w:rsid w:val="0078448C"/>
    <w:rsid w:val="0078719E"/>
    <w:rsid w:val="007909FF"/>
    <w:rsid w:val="007922C4"/>
    <w:rsid w:val="007927BE"/>
    <w:rsid w:val="0079303B"/>
    <w:rsid w:val="00793F2D"/>
    <w:rsid w:val="007951A5"/>
    <w:rsid w:val="007956A0"/>
    <w:rsid w:val="007956C4"/>
    <w:rsid w:val="00795B05"/>
    <w:rsid w:val="00796A39"/>
    <w:rsid w:val="00797589"/>
    <w:rsid w:val="007A03F8"/>
    <w:rsid w:val="007A091B"/>
    <w:rsid w:val="007A1DDD"/>
    <w:rsid w:val="007A27C5"/>
    <w:rsid w:val="007A29FE"/>
    <w:rsid w:val="007A2E2D"/>
    <w:rsid w:val="007A3DC8"/>
    <w:rsid w:val="007A3EF8"/>
    <w:rsid w:val="007A43B7"/>
    <w:rsid w:val="007A52E1"/>
    <w:rsid w:val="007A7AAD"/>
    <w:rsid w:val="007B06D6"/>
    <w:rsid w:val="007B1BA6"/>
    <w:rsid w:val="007B7A7E"/>
    <w:rsid w:val="007C13A2"/>
    <w:rsid w:val="007C15F2"/>
    <w:rsid w:val="007C25AD"/>
    <w:rsid w:val="007C3C0C"/>
    <w:rsid w:val="007C3F60"/>
    <w:rsid w:val="007C5FA7"/>
    <w:rsid w:val="007C6257"/>
    <w:rsid w:val="007C700E"/>
    <w:rsid w:val="007C7BCB"/>
    <w:rsid w:val="007D0A50"/>
    <w:rsid w:val="007D30BC"/>
    <w:rsid w:val="007D4215"/>
    <w:rsid w:val="007D4D61"/>
    <w:rsid w:val="007D54B8"/>
    <w:rsid w:val="007D5648"/>
    <w:rsid w:val="007D56B9"/>
    <w:rsid w:val="007D680C"/>
    <w:rsid w:val="007D6D5F"/>
    <w:rsid w:val="007E14FA"/>
    <w:rsid w:val="007E3AB9"/>
    <w:rsid w:val="007E4010"/>
    <w:rsid w:val="007E43A6"/>
    <w:rsid w:val="007E4FDF"/>
    <w:rsid w:val="007E581E"/>
    <w:rsid w:val="007E5913"/>
    <w:rsid w:val="007E5BBC"/>
    <w:rsid w:val="007E745E"/>
    <w:rsid w:val="007E78DA"/>
    <w:rsid w:val="007E7E55"/>
    <w:rsid w:val="007F1016"/>
    <w:rsid w:val="007F1646"/>
    <w:rsid w:val="007F1713"/>
    <w:rsid w:val="007F20CA"/>
    <w:rsid w:val="007F2558"/>
    <w:rsid w:val="007F2CB1"/>
    <w:rsid w:val="007F3E37"/>
    <w:rsid w:val="007F4124"/>
    <w:rsid w:val="007F46AB"/>
    <w:rsid w:val="007F48D1"/>
    <w:rsid w:val="007F5D33"/>
    <w:rsid w:val="007F61C7"/>
    <w:rsid w:val="007F7193"/>
    <w:rsid w:val="007F7369"/>
    <w:rsid w:val="007F736C"/>
    <w:rsid w:val="007F7FED"/>
    <w:rsid w:val="00800261"/>
    <w:rsid w:val="0080106A"/>
    <w:rsid w:val="0080110A"/>
    <w:rsid w:val="00801863"/>
    <w:rsid w:val="00801B76"/>
    <w:rsid w:val="0080233E"/>
    <w:rsid w:val="00802811"/>
    <w:rsid w:val="00802839"/>
    <w:rsid w:val="008051C4"/>
    <w:rsid w:val="0080549B"/>
    <w:rsid w:val="00805B42"/>
    <w:rsid w:val="0080613F"/>
    <w:rsid w:val="00806393"/>
    <w:rsid w:val="008067AC"/>
    <w:rsid w:val="00806BDE"/>
    <w:rsid w:val="0081023D"/>
    <w:rsid w:val="00812720"/>
    <w:rsid w:val="00812F31"/>
    <w:rsid w:val="008130D8"/>
    <w:rsid w:val="00813852"/>
    <w:rsid w:val="0081512D"/>
    <w:rsid w:val="008175BE"/>
    <w:rsid w:val="00817F0F"/>
    <w:rsid w:val="00820530"/>
    <w:rsid w:val="00820C23"/>
    <w:rsid w:val="00820E0F"/>
    <w:rsid w:val="00821BFB"/>
    <w:rsid w:val="00823AB1"/>
    <w:rsid w:val="00823D89"/>
    <w:rsid w:val="00825B23"/>
    <w:rsid w:val="008263E5"/>
    <w:rsid w:val="008275B9"/>
    <w:rsid w:val="00832019"/>
    <w:rsid w:val="0083259F"/>
    <w:rsid w:val="0083261D"/>
    <w:rsid w:val="00832D89"/>
    <w:rsid w:val="00832FB6"/>
    <w:rsid w:val="008332B9"/>
    <w:rsid w:val="00833CAA"/>
    <w:rsid w:val="00835C7A"/>
    <w:rsid w:val="0083608C"/>
    <w:rsid w:val="00836152"/>
    <w:rsid w:val="00836BC0"/>
    <w:rsid w:val="00836E69"/>
    <w:rsid w:val="00837C4D"/>
    <w:rsid w:val="008404DF"/>
    <w:rsid w:val="00840865"/>
    <w:rsid w:val="0084089C"/>
    <w:rsid w:val="008413CC"/>
    <w:rsid w:val="00841D41"/>
    <w:rsid w:val="0084338E"/>
    <w:rsid w:val="008436AB"/>
    <w:rsid w:val="00844739"/>
    <w:rsid w:val="0084486B"/>
    <w:rsid w:val="0084609C"/>
    <w:rsid w:val="00846144"/>
    <w:rsid w:val="0084668F"/>
    <w:rsid w:val="00846F35"/>
    <w:rsid w:val="0084777B"/>
    <w:rsid w:val="00850275"/>
    <w:rsid w:val="00850EC7"/>
    <w:rsid w:val="00851513"/>
    <w:rsid w:val="0085372F"/>
    <w:rsid w:val="0085486F"/>
    <w:rsid w:val="00854E30"/>
    <w:rsid w:val="00857A87"/>
    <w:rsid w:val="00860E8A"/>
    <w:rsid w:val="0086151D"/>
    <w:rsid w:val="008615DD"/>
    <w:rsid w:val="00863A39"/>
    <w:rsid w:val="00863A46"/>
    <w:rsid w:val="0086464D"/>
    <w:rsid w:val="00865156"/>
    <w:rsid w:val="0086752B"/>
    <w:rsid w:val="008678C1"/>
    <w:rsid w:val="00867EAC"/>
    <w:rsid w:val="00872E99"/>
    <w:rsid w:val="00873DED"/>
    <w:rsid w:val="00875C69"/>
    <w:rsid w:val="00877425"/>
    <w:rsid w:val="008777F4"/>
    <w:rsid w:val="0088047E"/>
    <w:rsid w:val="00880786"/>
    <w:rsid w:val="00881CDC"/>
    <w:rsid w:val="00882CED"/>
    <w:rsid w:val="00882EAF"/>
    <w:rsid w:val="00883506"/>
    <w:rsid w:val="00884C36"/>
    <w:rsid w:val="00884F19"/>
    <w:rsid w:val="00884F70"/>
    <w:rsid w:val="0088724A"/>
    <w:rsid w:val="00890F9B"/>
    <w:rsid w:val="00894A00"/>
    <w:rsid w:val="00894B40"/>
    <w:rsid w:val="00895E4E"/>
    <w:rsid w:val="00896EFB"/>
    <w:rsid w:val="00897297"/>
    <w:rsid w:val="008A2D01"/>
    <w:rsid w:val="008A2F85"/>
    <w:rsid w:val="008A3532"/>
    <w:rsid w:val="008A3589"/>
    <w:rsid w:val="008A5593"/>
    <w:rsid w:val="008A55BD"/>
    <w:rsid w:val="008A5AFC"/>
    <w:rsid w:val="008A5F17"/>
    <w:rsid w:val="008A67CD"/>
    <w:rsid w:val="008A6ECC"/>
    <w:rsid w:val="008B0564"/>
    <w:rsid w:val="008B0796"/>
    <w:rsid w:val="008B0953"/>
    <w:rsid w:val="008B1811"/>
    <w:rsid w:val="008B3C64"/>
    <w:rsid w:val="008B3EF2"/>
    <w:rsid w:val="008B450B"/>
    <w:rsid w:val="008B493F"/>
    <w:rsid w:val="008B50E4"/>
    <w:rsid w:val="008B63CF"/>
    <w:rsid w:val="008C006C"/>
    <w:rsid w:val="008C115E"/>
    <w:rsid w:val="008C1698"/>
    <w:rsid w:val="008C1C68"/>
    <w:rsid w:val="008C2A38"/>
    <w:rsid w:val="008C3AE8"/>
    <w:rsid w:val="008C5F6D"/>
    <w:rsid w:val="008D0504"/>
    <w:rsid w:val="008D065A"/>
    <w:rsid w:val="008D1256"/>
    <w:rsid w:val="008D183F"/>
    <w:rsid w:val="008D275A"/>
    <w:rsid w:val="008D2A4F"/>
    <w:rsid w:val="008D2B0D"/>
    <w:rsid w:val="008D2BC2"/>
    <w:rsid w:val="008D4242"/>
    <w:rsid w:val="008D43E3"/>
    <w:rsid w:val="008D56B5"/>
    <w:rsid w:val="008D63F5"/>
    <w:rsid w:val="008D66D7"/>
    <w:rsid w:val="008D679D"/>
    <w:rsid w:val="008D6C37"/>
    <w:rsid w:val="008D775D"/>
    <w:rsid w:val="008E0D80"/>
    <w:rsid w:val="008E0DE8"/>
    <w:rsid w:val="008E24C8"/>
    <w:rsid w:val="008E376C"/>
    <w:rsid w:val="008E3AB3"/>
    <w:rsid w:val="008E5C29"/>
    <w:rsid w:val="008E5CD7"/>
    <w:rsid w:val="008E5D75"/>
    <w:rsid w:val="008E6732"/>
    <w:rsid w:val="008E6938"/>
    <w:rsid w:val="008E7D66"/>
    <w:rsid w:val="008F00D4"/>
    <w:rsid w:val="008F0570"/>
    <w:rsid w:val="008F0B43"/>
    <w:rsid w:val="008F1B49"/>
    <w:rsid w:val="008F24D9"/>
    <w:rsid w:val="008F2559"/>
    <w:rsid w:val="008F29BB"/>
    <w:rsid w:val="008F42BB"/>
    <w:rsid w:val="008F4C79"/>
    <w:rsid w:val="008F63BA"/>
    <w:rsid w:val="008F6826"/>
    <w:rsid w:val="008F6A97"/>
    <w:rsid w:val="008F7596"/>
    <w:rsid w:val="009008F2"/>
    <w:rsid w:val="00901C70"/>
    <w:rsid w:val="00901D4F"/>
    <w:rsid w:val="00902CAC"/>
    <w:rsid w:val="009036CA"/>
    <w:rsid w:val="009046B3"/>
    <w:rsid w:val="00904FEF"/>
    <w:rsid w:val="00905ADA"/>
    <w:rsid w:val="00906933"/>
    <w:rsid w:val="0090770B"/>
    <w:rsid w:val="00907780"/>
    <w:rsid w:val="0090778E"/>
    <w:rsid w:val="00907A2C"/>
    <w:rsid w:val="00910366"/>
    <w:rsid w:val="009127D1"/>
    <w:rsid w:val="00915449"/>
    <w:rsid w:val="0091724B"/>
    <w:rsid w:val="00917F95"/>
    <w:rsid w:val="00920309"/>
    <w:rsid w:val="0092254F"/>
    <w:rsid w:val="00923165"/>
    <w:rsid w:val="00923EDF"/>
    <w:rsid w:val="009240A4"/>
    <w:rsid w:val="00925345"/>
    <w:rsid w:val="00925C40"/>
    <w:rsid w:val="009269A4"/>
    <w:rsid w:val="009278B9"/>
    <w:rsid w:val="009324C3"/>
    <w:rsid w:val="009350C5"/>
    <w:rsid w:val="009353E9"/>
    <w:rsid w:val="00935D18"/>
    <w:rsid w:val="00936DCE"/>
    <w:rsid w:val="0093784B"/>
    <w:rsid w:val="00940FF4"/>
    <w:rsid w:val="0094320F"/>
    <w:rsid w:val="009437D1"/>
    <w:rsid w:val="00943AE5"/>
    <w:rsid w:val="009448B9"/>
    <w:rsid w:val="00945571"/>
    <w:rsid w:val="00945D79"/>
    <w:rsid w:val="009465C2"/>
    <w:rsid w:val="0094688C"/>
    <w:rsid w:val="0094704A"/>
    <w:rsid w:val="00950B91"/>
    <w:rsid w:val="00950C68"/>
    <w:rsid w:val="00951738"/>
    <w:rsid w:val="00951B1E"/>
    <w:rsid w:val="00952026"/>
    <w:rsid w:val="00952BD3"/>
    <w:rsid w:val="00954F9E"/>
    <w:rsid w:val="00956561"/>
    <w:rsid w:val="00957FD8"/>
    <w:rsid w:val="00960E7C"/>
    <w:rsid w:val="0096115A"/>
    <w:rsid w:val="009619B2"/>
    <w:rsid w:val="00961E0E"/>
    <w:rsid w:val="0096271F"/>
    <w:rsid w:val="00963FB3"/>
    <w:rsid w:val="009640F5"/>
    <w:rsid w:val="009652A8"/>
    <w:rsid w:val="00965503"/>
    <w:rsid w:val="009707E8"/>
    <w:rsid w:val="00971A14"/>
    <w:rsid w:val="009742B4"/>
    <w:rsid w:val="00980B58"/>
    <w:rsid w:val="00981FED"/>
    <w:rsid w:val="00982304"/>
    <w:rsid w:val="009832E9"/>
    <w:rsid w:val="00983E2E"/>
    <w:rsid w:val="00984845"/>
    <w:rsid w:val="0098653F"/>
    <w:rsid w:val="009868EA"/>
    <w:rsid w:val="00990AD6"/>
    <w:rsid w:val="00990DAF"/>
    <w:rsid w:val="00992AB3"/>
    <w:rsid w:val="00992AF2"/>
    <w:rsid w:val="0099315F"/>
    <w:rsid w:val="00993B67"/>
    <w:rsid w:val="0099413F"/>
    <w:rsid w:val="00995998"/>
    <w:rsid w:val="009959E0"/>
    <w:rsid w:val="00996919"/>
    <w:rsid w:val="00996A4A"/>
    <w:rsid w:val="00996BEA"/>
    <w:rsid w:val="009A1703"/>
    <w:rsid w:val="009A1B59"/>
    <w:rsid w:val="009A1E5B"/>
    <w:rsid w:val="009A283A"/>
    <w:rsid w:val="009A33FB"/>
    <w:rsid w:val="009A38DA"/>
    <w:rsid w:val="009A50BB"/>
    <w:rsid w:val="009A5DC9"/>
    <w:rsid w:val="009A767E"/>
    <w:rsid w:val="009B033C"/>
    <w:rsid w:val="009B0525"/>
    <w:rsid w:val="009B1A44"/>
    <w:rsid w:val="009B1C5B"/>
    <w:rsid w:val="009B2172"/>
    <w:rsid w:val="009B26D6"/>
    <w:rsid w:val="009B3911"/>
    <w:rsid w:val="009B4379"/>
    <w:rsid w:val="009B62CA"/>
    <w:rsid w:val="009B64F5"/>
    <w:rsid w:val="009C00C0"/>
    <w:rsid w:val="009C169E"/>
    <w:rsid w:val="009C20BD"/>
    <w:rsid w:val="009C2A63"/>
    <w:rsid w:val="009C2D58"/>
    <w:rsid w:val="009C37BE"/>
    <w:rsid w:val="009C4096"/>
    <w:rsid w:val="009C614B"/>
    <w:rsid w:val="009C7B82"/>
    <w:rsid w:val="009C7C44"/>
    <w:rsid w:val="009D1130"/>
    <w:rsid w:val="009D154E"/>
    <w:rsid w:val="009D2EF8"/>
    <w:rsid w:val="009D46B7"/>
    <w:rsid w:val="009D55A7"/>
    <w:rsid w:val="009D63A7"/>
    <w:rsid w:val="009D64E2"/>
    <w:rsid w:val="009D6916"/>
    <w:rsid w:val="009D75B2"/>
    <w:rsid w:val="009D787B"/>
    <w:rsid w:val="009D7E46"/>
    <w:rsid w:val="009E0CF1"/>
    <w:rsid w:val="009E104A"/>
    <w:rsid w:val="009E1DCF"/>
    <w:rsid w:val="009E2893"/>
    <w:rsid w:val="009E598C"/>
    <w:rsid w:val="009F1155"/>
    <w:rsid w:val="009F11A6"/>
    <w:rsid w:val="009F17AB"/>
    <w:rsid w:val="009F1F8A"/>
    <w:rsid w:val="009F22AE"/>
    <w:rsid w:val="009F2FE9"/>
    <w:rsid w:val="009F3E66"/>
    <w:rsid w:val="009F4230"/>
    <w:rsid w:val="009F4F02"/>
    <w:rsid w:val="009F4FC5"/>
    <w:rsid w:val="009F56FB"/>
    <w:rsid w:val="009F66E5"/>
    <w:rsid w:val="009F751D"/>
    <w:rsid w:val="009F7978"/>
    <w:rsid w:val="00A00EF2"/>
    <w:rsid w:val="00A03218"/>
    <w:rsid w:val="00A05A45"/>
    <w:rsid w:val="00A069F9"/>
    <w:rsid w:val="00A079CA"/>
    <w:rsid w:val="00A07BA2"/>
    <w:rsid w:val="00A10A74"/>
    <w:rsid w:val="00A10D86"/>
    <w:rsid w:val="00A11673"/>
    <w:rsid w:val="00A11FF4"/>
    <w:rsid w:val="00A12D56"/>
    <w:rsid w:val="00A15189"/>
    <w:rsid w:val="00A15A78"/>
    <w:rsid w:val="00A161A8"/>
    <w:rsid w:val="00A168C0"/>
    <w:rsid w:val="00A173EC"/>
    <w:rsid w:val="00A205EF"/>
    <w:rsid w:val="00A21A58"/>
    <w:rsid w:val="00A21D62"/>
    <w:rsid w:val="00A225C6"/>
    <w:rsid w:val="00A22878"/>
    <w:rsid w:val="00A23874"/>
    <w:rsid w:val="00A23AC6"/>
    <w:rsid w:val="00A246C6"/>
    <w:rsid w:val="00A249F7"/>
    <w:rsid w:val="00A24C1B"/>
    <w:rsid w:val="00A26442"/>
    <w:rsid w:val="00A31D1C"/>
    <w:rsid w:val="00A328BE"/>
    <w:rsid w:val="00A32D53"/>
    <w:rsid w:val="00A33177"/>
    <w:rsid w:val="00A3359D"/>
    <w:rsid w:val="00A3373F"/>
    <w:rsid w:val="00A34A2C"/>
    <w:rsid w:val="00A352F4"/>
    <w:rsid w:val="00A353BD"/>
    <w:rsid w:val="00A35D94"/>
    <w:rsid w:val="00A36243"/>
    <w:rsid w:val="00A369E3"/>
    <w:rsid w:val="00A36BB0"/>
    <w:rsid w:val="00A373E8"/>
    <w:rsid w:val="00A3756A"/>
    <w:rsid w:val="00A41200"/>
    <w:rsid w:val="00A41975"/>
    <w:rsid w:val="00A422B4"/>
    <w:rsid w:val="00A42DAB"/>
    <w:rsid w:val="00A42DC4"/>
    <w:rsid w:val="00A42EE6"/>
    <w:rsid w:val="00A44FAA"/>
    <w:rsid w:val="00A468C0"/>
    <w:rsid w:val="00A47501"/>
    <w:rsid w:val="00A47C07"/>
    <w:rsid w:val="00A47DF7"/>
    <w:rsid w:val="00A50169"/>
    <w:rsid w:val="00A50C1C"/>
    <w:rsid w:val="00A53562"/>
    <w:rsid w:val="00A60F95"/>
    <w:rsid w:val="00A61711"/>
    <w:rsid w:val="00A6202D"/>
    <w:rsid w:val="00A62468"/>
    <w:rsid w:val="00A62F19"/>
    <w:rsid w:val="00A6366D"/>
    <w:rsid w:val="00A63BA4"/>
    <w:rsid w:val="00A64960"/>
    <w:rsid w:val="00A649CF"/>
    <w:rsid w:val="00A67521"/>
    <w:rsid w:val="00A67A64"/>
    <w:rsid w:val="00A67CD3"/>
    <w:rsid w:val="00A67F68"/>
    <w:rsid w:val="00A70776"/>
    <w:rsid w:val="00A70993"/>
    <w:rsid w:val="00A70D3D"/>
    <w:rsid w:val="00A72133"/>
    <w:rsid w:val="00A722BC"/>
    <w:rsid w:val="00A723E9"/>
    <w:rsid w:val="00A72EC7"/>
    <w:rsid w:val="00A73AEB"/>
    <w:rsid w:val="00A74325"/>
    <w:rsid w:val="00A7580C"/>
    <w:rsid w:val="00A77E9B"/>
    <w:rsid w:val="00A800E1"/>
    <w:rsid w:val="00A80863"/>
    <w:rsid w:val="00A81616"/>
    <w:rsid w:val="00A8365E"/>
    <w:rsid w:val="00A84EF9"/>
    <w:rsid w:val="00A850D6"/>
    <w:rsid w:val="00A852B9"/>
    <w:rsid w:val="00A85B2A"/>
    <w:rsid w:val="00A8667D"/>
    <w:rsid w:val="00A86BB4"/>
    <w:rsid w:val="00A86E24"/>
    <w:rsid w:val="00A87539"/>
    <w:rsid w:val="00A87CA0"/>
    <w:rsid w:val="00A90210"/>
    <w:rsid w:val="00A91210"/>
    <w:rsid w:val="00A91A85"/>
    <w:rsid w:val="00A922FA"/>
    <w:rsid w:val="00A932A1"/>
    <w:rsid w:val="00A94026"/>
    <w:rsid w:val="00A9488D"/>
    <w:rsid w:val="00A94FB2"/>
    <w:rsid w:val="00A951CB"/>
    <w:rsid w:val="00A957D4"/>
    <w:rsid w:val="00A95D05"/>
    <w:rsid w:val="00A9681B"/>
    <w:rsid w:val="00A969F1"/>
    <w:rsid w:val="00A96B80"/>
    <w:rsid w:val="00A9726B"/>
    <w:rsid w:val="00A9786C"/>
    <w:rsid w:val="00AA19EC"/>
    <w:rsid w:val="00AA2086"/>
    <w:rsid w:val="00AA2FE0"/>
    <w:rsid w:val="00AA3F21"/>
    <w:rsid w:val="00AA494D"/>
    <w:rsid w:val="00AA54AE"/>
    <w:rsid w:val="00AA6872"/>
    <w:rsid w:val="00AB114B"/>
    <w:rsid w:val="00AB2233"/>
    <w:rsid w:val="00AB236C"/>
    <w:rsid w:val="00AB2494"/>
    <w:rsid w:val="00AB3044"/>
    <w:rsid w:val="00AB350C"/>
    <w:rsid w:val="00AB3C78"/>
    <w:rsid w:val="00AB4248"/>
    <w:rsid w:val="00AB43CA"/>
    <w:rsid w:val="00AB51C8"/>
    <w:rsid w:val="00AB672B"/>
    <w:rsid w:val="00AB6B0B"/>
    <w:rsid w:val="00AB6C52"/>
    <w:rsid w:val="00AC1AA3"/>
    <w:rsid w:val="00AC1ADA"/>
    <w:rsid w:val="00AC234A"/>
    <w:rsid w:val="00AC2DD7"/>
    <w:rsid w:val="00AC38F7"/>
    <w:rsid w:val="00AC3999"/>
    <w:rsid w:val="00AC47D2"/>
    <w:rsid w:val="00AC51E4"/>
    <w:rsid w:val="00AC5803"/>
    <w:rsid w:val="00AC5830"/>
    <w:rsid w:val="00AC61BD"/>
    <w:rsid w:val="00AC6E83"/>
    <w:rsid w:val="00AC7015"/>
    <w:rsid w:val="00AD1004"/>
    <w:rsid w:val="00AD1021"/>
    <w:rsid w:val="00AD29BB"/>
    <w:rsid w:val="00AD34D7"/>
    <w:rsid w:val="00AD3D80"/>
    <w:rsid w:val="00AD5649"/>
    <w:rsid w:val="00AD5D34"/>
    <w:rsid w:val="00AD5E61"/>
    <w:rsid w:val="00AD5EA0"/>
    <w:rsid w:val="00AD63A9"/>
    <w:rsid w:val="00AD68A5"/>
    <w:rsid w:val="00AE0E38"/>
    <w:rsid w:val="00AE297B"/>
    <w:rsid w:val="00AE31CE"/>
    <w:rsid w:val="00AE35F1"/>
    <w:rsid w:val="00AE420C"/>
    <w:rsid w:val="00AE452F"/>
    <w:rsid w:val="00AE485C"/>
    <w:rsid w:val="00AE4F6D"/>
    <w:rsid w:val="00AE58D5"/>
    <w:rsid w:val="00AE6686"/>
    <w:rsid w:val="00AF1DA4"/>
    <w:rsid w:val="00AF2C1E"/>
    <w:rsid w:val="00AF2FFC"/>
    <w:rsid w:val="00AF49E5"/>
    <w:rsid w:val="00AF4B85"/>
    <w:rsid w:val="00AF5E71"/>
    <w:rsid w:val="00AF6699"/>
    <w:rsid w:val="00AF77C0"/>
    <w:rsid w:val="00AF7F9D"/>
    <w:rsid w:val="00B0187C"/>
    <w:rsid w:val="00B01B53"/>
    <w:rsid w:val="00B01C5F"/>
    <w:rsid w:val="00B01EC8"/>
    <w:rsid w:val="00B023E4"/>
    <w:rsid w:val="00B02A5C"/>
    <w:rsid w:val="00B03D36"/>
    <w:rsid w:val="00B04BBA"/>
    <w:rsid w:val="00B05559"/>
    <w:rsid w:val="00B05A44"/>
    <w:rsid w:val="00B06546"/>
    <w:rsid w:val="00B06BCD"/>
    <w:rsid w:val="00B06BF9"/>
    <w:rsid w:val="00B06D58"/>
    <w:rsid w:val="00B07401"/>
    <w:rsid w:val="00B07879"/>
    <w:rsid w:val="00B11F97"/>
    <w:rsid w:val="00B140A0"/>
    <w:rsid w:val="00B1451C"/>
    <w:rsid w:val="00B151E5"/>
    <w:rsid w:val="00B152F1"/>
    <w:rsid w:val="00B1569C"/>
    <w:rsid w:val="00B162D0"/>
    <w:rsid w:val="00B16C86"/>
    <w:rsid w:val="00B16EFB"/>
    <w:rsid w:val="00B17A49"/>
    <w:rsid w:val="00B2010E"/>
    <w:rsid w:val="00B23AF5"/>
    <w:rsid w:val="00B24179"/>
    <w:rsid w:val="00B24D0A"/>
    <w:rsid w:val="00B26D7A"/>
    <w:rsid w:val="00B3110F"/>
    <w:rsid w:val="00B31A46"/>
    <w:rsid w:val="00B31AAB"/>
    <w:rsid w:val="00B31CC0"/>
    <w:rsid w:val="00B32CB8"/>
    <w:rsid w:val="00B3317D"/>
    <w:rsid w:val="00B33F64"/>
    <w:rsid w:val="00B3469B"/>
    <w:rsid w:val="00B3505A"/>
    <w:rsid w:val="00B36583"/>
    <w:rsid w:val="00B37276"/>
    <w:rsid w:val="00B37A50"/>
    <w:rsid w:val="00B40865"/>
    <w:rsid w:val="00B40875"/>
    <w:rsid w:val="00B4183A"/>
    <w:rsid w:val="00B42851"/>
    <w:rsid w:val="00B449A4"/>
    <w:rsid w:val="00B455C1"/>
    <w:rsid w:val="00B45B03"/>
    <w:rsid w:val="00B471D7"/>
    <w:rsid w:val="00B47F18"/>
    <w:rsid w:val="00B509A1"/>
    <w:rsid w:val="00B51623"/>
    <w:rsid w:val="00B5237C"/>
    <w:rsid w:val="00B528E7"/>
    <w:rsid w:val="00B53058"/>
    <w:rsid w:val="00B5386D"/>
    <w:rsid w:val="00B54E07"/>
    <w:rsid w:val="00B57316"/>
    <w:rsid w:val="00B623D4"/>
    <w:rsid w:val="00B62CF6"/>
    <w:rsid w:val="00B646F8"/>
    <w:rsid w:val="00B654DC"/>
    <w:rsid w:val="00B701ED"/>
    <w:rsid w:val="00B706F8"/>
    <w:rsid w:val="00B7249B"/>
    <w:rsid w:val="00B7319D"/>
    <w:rsid w:val="00B73D9C"/>
    <w:rsid w:val="00B74AFD"/>
    <w:rsid w:val="00B75AF0"/>
    <w:rsid w:val="00B762BF"/>
    <w:rsid w:val="00B76B64"/>
    <w:rsid w:val="00B77092"/>
    <w:rsid w:val="00B7750E"/>
    <w:rsid w:val="00B7778C"/>
    <w:rsid w:val="00B8188C"/>
    <w:rsid w:val="00B8385F"/>
    <w:rsid w:val="00B83D7A"/>
    <w:rsid w:val="00B83EE7"/>
    <w:rsid w:val="00B85877"/>
    <w:rsid w:val="00B858A7"/>
    <w:rsid w:val="00B85909"/>
    <w:rsid w:val="00B86002"/>
    <w:rsid w:val="00B86FBF"/>
    <w:rsid w:val="00B8749E"/>
    <w:rsid w:val="00B87E45"/>
    <w:rsid w:val="00B90C0B"/>
    <w:rsid w:val="00B90E4C"/>
    <w:rsid w:val="00B911B3"/>
    <w:rsid w:val="00B91BD1"/>
    <w:rsid w:val="00B92B08"/>
    <w:rsid w:val="00B9339A"/>
    <w:rsid w:val="00B93537"/>
    <w:rsid w:val="00B95533"/>
    <w:rsid w:val="00B95C25"/>
    <w:rsid w:val="00B961B8"/>
    <w:rsid w:val="00B96EEA"/>
    <w:rsid w:val="00BA0E2B"/>
    <w:rsid w:val="00BA1749"/>
    <w:rsid w:val="00BA27BD"/>
    <w:rsid w:val="00BA4988"/>
    <w:rsid w:val="00BA71BB"/>
    <w:rsid w:val="00BB0097"/>
    <w:rsid w:val="00BB07D8"/>
    <w:rsid w:val="00BB1015"/>
    <w:rsid w:val="00BB1FFF"/>
    <w:rsid w:val="00BB2902"/>
    <w:rsid w:val="00BB3E85"/>
    <w:rsid w:val="00BB47D8"/>
    <w:rsid w:val="00BB6226"/>
    <w:rsid w:val="00BB680C"/>
    <w:rsid w:val="00BB6924"/>
    <w:rsid w:val="00BB72C8"/>
    <w:rsid w:val="00BC1972"/>
    <w:rsid w:val="00BC24CA"/>
    <w:rsid w:val="00BC264C"/>
    <w:rsid w:val="00BC27C3"/>
    <w:rsid w:val="00BC5021"/>
    <w:rsid w:val="00BC5BB6"/>
    <w:rsid w:val="00BC650C"/>
    <w:rsid w:val="00BC73E5"/>
    <w:rsid w:val="00BC75F5"/>
    <w:rsid w:val="00BD052E"/>
    <w:rsid w:val="00BD088E"/>
    <w:rsid w:val="00BD0D0B"/>
    <w:rsid w:val="00BD113A"/>
    <w:rsid w:val="00BD1876"/>
    <w:rsid w:val="00BD1D19"/>
    <w:rsid w:val="00BD3270"/>
    <w:rsid w:val="00BD3DA8"/>
    <w:rsid w:val="00BD4137"/>
    <w:rsid w:val="00BD45D5"/>
    <w:rsid w:val="00BD56B1"/>
    <w:rsid w:val="00BD5850"/>
    <w:rsid w:val="00BD59A2"/>
    <w:rsid w:val="00BD6134"/>
    <w:rsid w:val="00BD70EB"/>
    <w:rsid w:val="00BD748C"/>
    <w:rsid w:val="00BD7F7A"/>
    <w:rsid w:val="00BE14A5"/>
    <w:rsid w:val="00BE2CF5"/>
    <w:rsid w:val="00BE2DE6"/>
    <w:rsid w:val="00BE4E05"/>
    <w:rsid w:val="00BE6E4D"/>
    <w:rsid w:val="00BE6EF9"/>
    <w:rsid w:val="00BE79AC"/>
    <w:rsid w:val="00BE7BF6"/>
    <w:rsid w:val="00BF0360"/>
    <w:rsid w:val="00BF1A6B"/>
    <w:rsid w:val="00BF2558"/>
    <w:rsid w:val="00BF3351"/>
    <w:rsid w:val="00BF3BE8"/>
    <w:rsid w:val="00BF4FFF"/>
    <w:rsid w:val="00BF5D63"/>
    <w:rsid w:val="00BF6625"/>
    <w:rsid w:val="00BF741D"/>
    <w:rsid w:val="00BF7E1F"/>
    <w:rsid w:val="00C00697"/>
    <w:rsid w:val="00C00796"/>
    <w:rsid w:val="00C00835"/>
    <w:rsid w:val="00C0095A"/>
    <w:rsid w:val="00C01D8A"/>
    <w:rsid w:val="00C03C6F"/>
    <w:rsid w:val="00C04136"/>
    <w:rsid w:val="00C06009"/>
    <w:rsid w:val="00C06507"/>
    <w:rsid w:val="00C07042"/>
    <w:rsid w:val="00C0765C"/>
    <w:rsid w:val="00C07D04"/>
    <w:rsid w:val="00C07E41"/>
    <w:rsid w:val="00C1257A"/>
    <w:rsid w:val="00C12C29"/>
    <w:rsid w:val="00C141BB"/>
    <w:rsid w:val="00C150C6"/>
    <w:rsid w:val="00C155A3"/>
    <w:rsid w:val="00C15BFB"/>
    <w:rsid w:val="00C169EE"/>
    <w:rsid w:val="00C175FD"/>
    <w:rsid w:val="00C211DA"/>
    <w:rsid w:val="00C21246"/>
    <w:rsid w:val="00C21709"/>
    <w:rsid w:val="00C21A94"/>
    <w:rsid w:val="00C22E43"/>
    <w:rsid w:val="00C2300C"/>
    <w:rsid w:val="00C23209"/>
    <w:rsid w:val="00C249D1"/>
    <w:rsid w:val="00C25676"/>
    <w:rsid w:val="00C25931"/>
    <w:rsid w:val="00C26873"/>
    <w:rsid w:val="00C26DE8"/>
    <w:rsid w:val="00C30431"/>
    <w:rsid w:val="00C31C6C"/>
    <w:rsid w:val="00C31D50"/>
    <w:rsid w:val="00C3208E"/>
    <w:rsid w:val="00C32C2D"/>
    <w:rsid w:val="00C34C4F"/>
    <w:rsid w:val="00C37714"/>
    <w:rsid w:val="00C41D11"/>
    <w:rsid w:val="00C42A8D"/>
    <w:rsid w:val="00C45ADB"/>
    <w:rsid w:val="00C45F1B"/>
    <w:rsid w:val="00C46222"/>
    <w:rsid w:val="00C46B4C"/>
    <w:rsid w:val="00C5045A"/>
    <w:rsid w:val="00C51551"/>
    <w:rsid w:val="00C51C42"/>
    <w:rsid w:val="00C5202F"/>
    <w:rsid w:val="00C52670"/>
    <w:rsid w:val="00C527BB"/>
    <w:rsid w:val="00C53137"/>
    <w:rsid w:val="00C532C5"/>
    <w:rsid w:val="00C53B23"/>
    <w:rsid w:val="00C5400E"/>
    <w:rsid w:val="00C541C2"/>
    <w:rsid w:val="00C54D77"/>
    <w:rsid w:val="00C5681C"/>
    <w:rsid w:val="00C6017A"/>
    <w:rsid w:val="00C611AC"/>
    <w:rsid w:val="00C617AC"/>
    <w:rsid w:val="00C63CEE"/>
    <w:rsid w:val="00C6461F"/>
    <w:rsid w:val="00C65358"/>
    <w:rsid w:val="00C6606E"/>
    <w:rsid w:val="00C666B6"/>
    <w:rsid w:val="00C66A73"/>
    <w:rsid w:val="00C677B8"/>
    <w:rsid w:val="00C67AA6"/>
    <w:rsid w:val="00C67F4D"/>
    <w:rsid w:val="00C702B0"/>
    <w:rsid w:val="00C71832"/>
    <w:rsid w:val="00C728D4"/>
    <w:rsid w:val="00C73133"/>
    <w:rsid w:val="00C731FD"/>
    <w:rsid w:val="00C75CF5"/>
    <w:rsid w:val="00C75D37"/>
    <w:rsid w:val="00C7671A"/>
    <w:rsid w:val="00C77259"/>
    <w:rsid w:val="00C77657"/>
    <w:rsid w:val="00C80CAE"/>
    <w:rsid w:val="00C818F3"/>
    <w:rsid w:val="00C82267"/>
    <w:rsid w:val="00C827B1"/>
    <w:rsid w:val="00C82C06"/>
    <w:rsid w:val="00C83663"/>
    <w:rsid w:val="00C83A46"/>
    <w:rsid w:val="00C83BF4"/>
    <w:rsid w:val="00C83E18"/>
    <w:rsid w:val="00C83F8D"/>
    <w:rsid w:val="00C845DC"/>
    <w:rsid w:val="00C85BCB"/>
    <w:rsid w:val="00C86F22"/>
    <w:rsid w:val="00C874E6"/>
    <w:rsid w:val="00C9033E"/>
    <w:rsid w:val="00C903F9"/>
    <w:rsid w:val="00C90EB2"/>
    <w:rsid w:val="00C91CA4"/>
    <w:rsid w:val="00C933C9"/>
    <w:rsid w:val="00C93C02"/>
    <w:rsid w:val="00C95733"/>
    <w:rsid w:val="00C95970"/>
    <w:rsid w:val="00C959D9"/>
    <w:rsid w:val="00C95B53"/>
    <w:rsid w:val="00C9650F"/>
    <w:rsid w:val="00C9659F"/>
    <w:rsid w:val="00C968C0"/>
    <w:rsid w:val="00C970E2"/>
    <w:rsid w:val="00C9741E"/>
    <w:rsid w:val="00CA0554"/>
    <w:rsid w:val="00CA1E20"/>
    <w:rsid w:val="00CA242E"/>
    <w:rsid w:val="00CA25C9"/>
    <w:rsid w:val="00CA25CF"/>
    <w:rsid w:val="00CA264F"/>
    <w:rsid w:val="00CA2BF0"/>
    <w:rsid w:val="00CA33C7"/>
    <w:rsid w:val="00CA3BBE"/>
    <w:rsid w:val="00CA4796"/>
    <w:rsid w:val="00CA4B86"/>
    <w:rsid w:val="00CA4BD2"/>
    <w:rsid w:val="00CA5E66"/>
    <w:rsid w:val="00CA6C85"/>
    <w:rsid w:val="00CB2C58"/>
    <w:rsid w:val="00CB38A3"/>
    <w:rsid w:val="00CB3E66"/>
    <w:rsid w:val="00CB4A37"/>
    <w:rsid w:val="00CB534E"/>
    <w:rsid w:val="00CB5EE4"/>
    <w:rsid w:val="00CB5F96"/>
    <w:rsid w:val="00CB67FF"/>
    <w:rsid w:val="00CC05A9"/>
    <w:rsid w:val="00CC14CA"/>
    <w:rsid w:val="00CC1AEE"/>
    <w:rsid w:val="00CC34CB"/>
    <w:rsid w:val="00CC4C04"/>
    <w:rsid w:val="00CC6163"/>
    <w:rsid w:val="00CC6894"/>
    <w:rsid w:val="00CC7D03"/>
    <w:rsid w:val="00CD1512"/>
    <w:rsid w:val="00CD2B5E"/>
    <w:rsid w:val="00CD4AC7"/>
    <w:rsid w:val="00CD4CAE"/>
    <w:rsid w:val="00CD5D94"/>
    <w:rsid w:val="00CD6D9A"/>
    <w:rsid w:val="00CD730D"/>
    <w:rsid w:val="00CE0E77"/>
    <w:rsid w:val="00CE1635"/>
    <w:rsid w:val="00CE1762"/>
    <w:rsid w:val="00CE2855"/>
    <w:rsid w:val="00CE4A5B"/>
    <w:rsid w:val="00CE4DCD"/>
    <w:rsid w:val="00CE722C"/>
    <w:rsid w:val="00CF0D33"/>
    <w:rsid w:val="00CF10E6"/>
    <w:rsid w:val="00CF229A"/>
    <w:rsid w:val="00CF3329"/>
    <w:rsid w:val="00CF4AF1"/>
    <w:rsid w:val="00CF4F44"/>
    <w:rsid w:val="00CF588E"/>
    <w:rsid w:val="00CF7819"/>
    <w:rsid w:val="00D012B3"/>
    <w:rsid w:val="00D01638"/>
    <w:rsid w:val="00D0249E"/>
    <w:rsid w:val="00D03E56"/>
    <w:rsid w:val="00D077CD"/>
    <w:rsid w:val="00D1192D"/>
    <w:rsid w:val="00D11A82"/>
    <w:rsid w:val="00D12720"/>
    <w:rsid w:val="00D132CF"/>
    <w:rsid w:val="00D14B44"/>
    <w:rsid w:val="00D15FC1"/>
    <w:rsid w:val="00D173BE"/>
    <w:rsid w:val="00D22C64"/>
    <w:rsid w:val="00D23DB6"/>
    <w:rsid w:val="00D24259"/>
    <w:rsid w:val="00D26674"/>
    <w:rsid w:val="00D26E73"/>
    <w:rsid w:val="00D30BB6"/>
    <w:rsid w:val="00D31856"/>
    <w:rsid w:val="00D3266F"/>
    <w:rsid w:val="00D32BDB"/>
    <w:rsid w:val="00D3483F"/>
    <w:rsid w:val="00D3619F"/>
    <w:rsid w:val="00D4027F"/>
    <w:rsid w:val="00D4081C"/>
    <w:rsid w:val="00D41E2D"/>
    <w:rsid w:val="00D42C6A"/>
    <w:rsid w:val="00D42FFD"/>
    <w:rsid w:val="00D437D7"/>
    <w:rsid w:val="00D45A3A"/>
    <w:rsid w:val="00D4602A"/>
    <w:rsid w:val="00D4641F"/>
    <w:rsid w:val="00D4643A"/>
    <w:rsid w:val="00D500FC"/>
    <w:rsid w:val="00D50DDA"/>
    <w:rsid w:val="00D516C1"/>
    <w:rsid w:val="00D51846"/>
    <w:rsid w:val="00D52159"/>
    <w:rsid w:val="00D52305"/>
    <w:rsid w:val="00D527C6"/>
    <w:rsid w:val="00D52FF0"/>
    <w:rsid w:val="00D549DA"/>
    <w:rsid w:val="00D54CE5"/>
    <w:rsid w:val="00D56B16"/>
    <w:rsid w:val="00D57649"/>
    <w:rsid w:val="00D6098A"/>
    <w:rsid w:val="00D60E3E"/>
    <w:rsid w:val="00D611A9"/>
    <w:rsid w:val="00D621F3"/>
    <w:rsid w:val="00D62DBC"/>
    <w:rsid w:val="00D63DC1"/>
    <w:rsid w:val="00D63FAB"/>
    <w:rsid w:val="00D64572"/>
    <w:rsid w:val="00D649B3"/>
    <w:rsid w:val="00D64F17"/>
    <w:rsid w:val="00D65476"/>
    <w:rsid w:val="00D67B49"/>
    <w:rsid w:val="00D67EB0"/>
    <w:rsid w:val="00D707AE"/>
    <w:rsid w:val="00D72D2D"/>
    <w:rsid w:val="00D732B8"/>
    <w:rsid w:val="00D73D4A"/>
    <w:rsid w:val="00D745C6"/>
    <w:rsid w:val="00D748DE"/>
    <w:rsid w:val="00D75CAC"/>
    <w:rsid w:val="00D76934"/>
    <w:rsid w:val="00D806AA"/>
    <w:rsid w:val="00D80916"/>
    <w:rsid w:val="00D82323"/>
    <w:rsid w:val="00D825E6"/>
    <w:rsid w:val="00D829B9"/>
    <w:rsid w:val="00D8388F"/>
    <w:rsid w:val="00D84174"/>
    <w:rsid w:val="00D84C65"/>
    <w:rsid w:val="00D84EC0"/>
    <w:rsid w:val="00D85262"/>
    <w:rsid w:val="00D85288"/>
    <w:rsid w:val="00D85C03"/>
    <w:rsid w:val="00D86A4E"/>
    <w:rsid w:val="00D9012E"/>
    <w:rsid w:val="00D90897"/>
    <w:rsid w:val="00D92028"/>
    <w:rsid w:val="00D92CC6"/>
    <w:rsid w:val="00D92E3D"/>
    <w:rsid w:val="00D95D56"/>
    <w:rsid w:val="00D95DCC"/>
    <w:rsid w:val="00D96713"/>
    <w:rsid w:val="00DA047E"/>
    <w:rsid w:val="00DA0CD9"/>
    <w:rsid w:val="00DA0F4A"/>
    <w:rsid w:val="00DA2519"/>
    <w:rsid w:val="00DA3036"/>
    <w:rsid w:val="00DA4C4A"/>
    <w:rsid w:val="00DA5B52"/>
    <w:rsid w:val="00DA5EC2"/>
    <w:rsid w:val="00DA6C82"/>
    <w:rsid w:val="00DA6F34"/>
    <w:rsid w:val="00DA7147"/>
    <w:rsid w:val="00DA7BB5"/>
    <w:rsid w:val="00DB015B"/>
    <w:rsid w:val="00DB05FA"/>
    <w:rsid w:val="00DB1B4B"/>
    <w:rsid w:val="00DB253A"/>
    <w:rsid w:val="00DB2B49"/>
    <w:rsid w:val="00DB4B35"/>
    <w:rsid w:val="00DB5E67"/>
    <w:rsid w:val="00DB6040"/>
    <w:rsid w:val="00DB6F16"/>
    <w:rsid w:val="00DB6FD9"/>
    <w:rsid w:val="00DC096A"/>
    <w:rsid w:val="00DC1347"/>
    <w:rsid w:val="00DC1C6F"/>
    <w:rsid w:val="00DC21B0"/>
    <w:rsid w:val="00DC3F8D"/>
    <w:rsid w:val="00DC4D56"/>
    <w:rsid w:val="00DC6C19"/>
    <w:rsid w:val="00DC77E7"/>
    <w:rsid w:val="00DC7833"/>
    <w:rsid w:val="00DD3F2A"/>
    <w:rsid w:val="00DD4B76"/>
    <w:rsid w:val="00DD55CC"/>
    <w:rsid w:val="00DD64AF"/>
    <w:rsid w:val="00DE0688"/>
    <w:rsid w:val="00DE0DE5"/>
    <w:rsid w:val="00DE16BB"/>
    <w:rsid w:val="00DE193D"/>
    <w:rsid w:val="00DE2C8D"/>
    <w:rsid w:val="00DE3455"/>
    <w:rsid w:val="00DE3DD9"/>
    <w:rsid w:val="00DE47D8"/>
    <w:rsid w:val="00DE6B99"/>
    <w:rsid w:val="00DE6EEB"/>
    <w:rsid w:val="00DE710F"/>
    <w:rsid w:val="00DE790E"/>
    <w:rsid w:val="00DE7D3E"/>
    <w:rsid w:val="00DE7EED"/>
    <w:rsid w:val="00DF082F"/>
    <w:rsid w:val="00DF2185"/>
    <w:rsid w:val="00DF259B"/>
    <w:rsid w:val="00DF26F0"/>
    <w:rsid w:val="00DF4E2E"/>
    <w:rsid w:val="00DF5501"/>
    <w:rsid w:val="00DF5D8B"/>
    <w:rsid w:val="00DF6407"/>
    <w:rsid w:val="00DF7A70"/>
    <w:rsid w:val="00E00762"/>
    <w:rsid w:val="00E012C6"/>
    <w:rsid w:val="00E01B77"/>
    <w:rsid w:val="00E01DAF"/>
    <w:rsid w:val="00E022F4"/>
    <w:rsid w:val="00E02E5D"/>
    <w:rsid w:val="00E03110"/>
    <w:rsid w:val="00E039E1"/>
    <w:rsid w:val="00E05BFB"/>
    <w:rsid w:val="00E05ED5"/>
    <w:rsid w:val="00E065DA"/>
    <w:rsid w:val="00E066FD"/>
    <w:rsid w:val="00E077FF"/>
    <w:rsid w:val="00E07F16"/>
    <w:rsid w:val="00E11F67"/>
    <w:rsid w:val="00E13FEF"/>
    <w:rsid w:val="00E14B90"/>
    <w:rsid w:val="00E1651B"/>
    <w:rsid w:val="00E20114"/>
    <w:rsid w:val="00E20AB8"/>
    <w:rsid w:val="00E20FA7"/>
    <w:rsid w:val="00E2200B"/>
    <w:rsid w:val="00E22148"/>
    <w:rsid w:val="00E22166"/>
    <w:rsid w:val="00E2279E"/>
    <w:rsid w:val="00E23B18"/>
    <w:rsid w:val="00E23DDD"/>
    <w:rsid w:val="00E25B3F"/>
    <w:rsid w:val="00E30826"/>
    <w:rsid w:val="00E3085D"/>
    <w:rsid w:val="00E31514"/>
    <w:rsid w:val="00E319DA"/>
    <w:rsid w:val="00E31D67"/>
    <w:rsid w:val="00E32E72"/>
    <w:rsid w:val="00E33175"/>
    <w:rsid w:val="00E346F9"/>
    <w:rsid w:val="00E35CA2"/>
    <w:rsid w:val="00E36083"/>
    <w:rsid w:val="00E36621"/>
    <w:rsid w:val="00E36C1E"/>
    <w:rsid w:val="00E371DF"/>
    <w:rsid w:val="00E3722F"/>
    <w:rsid w:val="00E3789D"/>
    <w:rsid w:val="00E401B3"/>
    <w:rsid w:val="00E40B78"/>
    <w:rsid w:val="00E42B1C"/>
    <w:rsid w:val="00E42C2E"/>
    <w:rsid w:val="00E43CE0"/>
    <w:rsid w:val="00E45640"/>
    <w:rsid w:val="00E45843"/>
    <w:rsid w:val="00E45C16"/>
    <w:rsid w:val="00E46182"/>
    <w:rsid w:val="00E5138F"/>
    <w:rsid w:val="00E52935"/>
    <w:rsid w:val="00E5366F"/>
    <w:rsid w:val="00E55B67"/>
    <w:rsid w:val="00E573CC"/>
    <w:rsid w:val="00E57469"/>
    <w:rsid w:val="00E578B7"/>
    <w:rsid w:val="00E60A35"/>
    <w:rsid w:val="00E61A01"/>
    <w:rsid w:val="00E63396"/>
    <w:rsid w:val="00E63F49"/>
    <w:rsid w:val="00E6567D"/>
    <w:rsid w:val="00E65E63"/>
    <w:rsid w:val="00E70DB1"/>
    <w:rsid w:val="00E717CF"/>
    <w:rsid w:val="00E72650"/>
    <w:rsid w:val="00E7329A"/>
    <w:rsid w:val="00E74033"/>
    <w:rsid w:val="00E74116"/>
    <w:rsid w:val="00E74528"/>
    <w:rsid w:val="00E76451"/>
    <w:rsid w:val="00E77837"/>
    <w:rsid w:val="00E8016F"/>
    <w:rsid w:val="00E804ED"/>
    <w:rsid w:val="00E80E39"/>
    <w:rsid w:val="00E80E52"/>
    <w:rsid w:val="00E81308"/>
    <w:rsid w:val="00E816CE"/>
    <w:rsid w:val="00E81F14"/>
    <w:rsid w:val="00E82631"/>
    <w:rsid w:val="00E8489D"/>
    <w:rsid w:val="00E84FCD"/>
    <w:rsid w:val="00E85350"/>
    <w:rsid w:val="00E85892"/>
    <w:rsid w:val="00E8769F"/>
    <w:rsid w:val="00E90FB5"/>
    <w:rsid w:val="00E9104E"/>
    <w:rsid w:val="00E91F7C"/>
    <w:rsid w:val="00E92BBB"/>
    <w:rsid w:val="00E93D79"/>
    <w:rsid w:val="00E95B63"/>
    <w:rsid w:val="00E968D4"/>
    <w:rsid w:val="00EA022C"/>
    <w:rsid w:val="00EA048F"/>
    <w:rsid w:val="00EA0688"/>
    <w:rsid w:val="00EA0E50"/>
    <w:rsid w:val="00EA231D"/>
    <w:rsid w:val="00EA2D1E"/>
    <w:rsid w:val="00EA368E"/>
    <w:rsid w:val="00EA3DCB"/>
    <w:rsid w:val="00EA4F15"/>
    <w:rsid w:val="00EA6232"/>
    <w:rsid w:val="00EA7447"/>
    <w:rsid w:val="00EB0E96"/>
    <w:rsid w:val="00EB1DA9"/>
    <w:rsid w:val="00EB2697"/>
    <w:rsid w:val="00EB275F"/>
    <w:rsid w:val="00EB3201"/>
    <w:rsid w:val="00EB38EF"/>
    <w:rsid w:val="00EB4EA1"/>
    <w:rsid w:val="00EB6814"/>
    <w:rsid w:val="00EB6F52"/>
    <w:rsid w:val="00EB7CD1"/>
    <w:rsid w:val="00EC0059"/>
    <w:rsid w:val="00EC081B"/>
    <w:rsid w:val="00EC3252"/>
    <w:rsid w:val="00EC3BBA"/>
    <w:rsid w:val="00EC4EC1"/>
    <w:rsid w:val="00EC4F20"/>
    <w:rsid w:val="00EC5393"/>
    <w:rsid w:val="00EC6A64"/>
    <w:rsid w:val="00EC6F12"/>
    <w:rsid w:val="00ED00ED"/>
    <w:rsid w:val="00ED0CB2"/>
    <w:rsid w:val="00ED1662"/>
    <w:rsid w:val="00ED1884"/>
    <w:rsid w:val="00ED18B7"/>
    <w:rsid w:val="00ED1D27"/>
    <w:rsid w:val="00ED1E02"/>
    <w:rsid w:val="00ED2308"/>
    <w:rsid w:val="00ED27D8"/>
    <w:rsid w:val="00ED2A61"/>
    <w:rsid w:val="00ED334F"/>
    <w:rsid w:val="00ED361D"/>
    <w:rsid w:val="00ED3DB4"/>
    <w:rsid w:val="00ED3F94"/>
    <w:rsid w:val="00ED41B9"/>
    <w:rsid w:val="00ED4583"/>
    <w:rsid w:val="00ED620F"/>
    <w:rsid w:val="00ED765A"/>
    <w:rsid w:val="00EE11B8"/>
    <w:rsid w:val="00EE1DD7"/>
    <w:rsid w:val="00EE228D"/>
    <w:rsid w:val="00EE2B7B"/>
    <w:rsid w:val="00EE3422"/>
    <w:rsid w:val="00EE6151"/>
    <w:rsid w:val="00EE6A35"/>
    <w:rsid w:val="00EE6B28"/>
    <w:rsid w:val="00EF0047"/>
    <w:rsid w:val="00EF0456"/>
    <w:rsid w:val="00EF090E"/>
    <w:rsid w:val="00EF0F4E"/>
    <w:rsid w:val="00EF125F"/>
    <w:rsid w:val="00EF2300"/>
    <w:rsid w:val="00EF37DE"/>
    <w:rsid w:val="00EF4084"/>
    <w:rsid w:val="00EF4AD7"/>
    <w:rsid w:val="00EF5EF4"/>
    <w:rsid w:val="00EF7447"/>
    <w:rsid w:val="00EF7593"/>
    <w:rsid w:val="00EF7F2C"/>
    <w:rsid w:val="00EF7F6F"/>
    <w:rsid w:val="00F003AD"/>
    <w:rsid w:val="00F00401"/>
    <w:rsid w:val="00F014F6"/>
    <w:rsid w:val="00F017E0"/>
    <w:rsid w:val="00F02207"/>
    <w:rsid w:val="00F02DEF"/>
    <w:rsid w:val="00F036F5"/>
    <w:rsid w:val="00F03B20"/>
    <w:rsid w:val="00F048D5"/>
    <w:rsid w:val="00F05CB7"/>
    <w:rsid w:val="00F065A0"/>
    <w:rsid w:val="00F11E1E"/>
    <w:rsid w:val="00F12357"/>
    <w:rsid w:val="00F1253C"/>
    <w:rsid w:val="00F148CA"/>
    <w:rsid w:val="00F149B0"/>
    <w:rsid w:val="00F1537B"/>
    <w:rsid w:val="00F154F1"/>
    <w:rsid w:val="00F1562C"/>
    <w:rsid w:val="00F15FE0"/>
    <w:rsid w:val="00F2031B"/>
    <w:rsid w:val="00F21C70"/>
    <w:rsid w:val="00F23DC1"/>
    <w:rsid w:val="00F24121"/>
    <w:rsid w:val="00F24C40"/>
    <w:rsid w:val="00F25803"/>
    <w:rsid w:val="00F25B12"/>
    <w:rsid w:val="00F27CBE"/>
    <w:rsid w:val="00F30774"/>
    <w:rsid w:val="00F318E5"/>
    <w:rsid w:val="00F31C7F"/>
    <w:rsid w:val="00F3304F"/>
    <w:rsid w:val="00F34690"/>
    <w:rsid w:val="00F34D0E"/>
    <w:rsid w:val="00F35607"/>
    <w:rsid w:val="00F35B9F"/>
    <w:rsid w:val="00F36AD5"/>
    <w:rsid w:val="00F36D2D"/>
    <w:rsid w:val="00F378B6"/>
    <w:rsid w:val="00F40F8B"/>
    <w:rsid w:val="00F4121E"/>
    <w:rsid w:val="00F42EE5"/>
    <w:rsid w:val="00F4351B"/>
    <w:rsid w:val="00F43677"/>
    <w:rsid w:val="00F440E6"/>
    <w:rsid w:val="00F4419C"/>
    <w:rsid w:val="00F4519D"/>
    <w:rsid w:val="00F4629E"/>
    <w:rsid w:val="00F46D66"/>
    <w:rsid w:val="00F4704F"/>
    <w:rsid w:val="00F5133D"/>
    <w:rsid w:val="00F514B4"/>
    <w:rsid w:val="00F53253"/>
    <w:rsid w:val="00F53B8A"/>
    <w:rsid w:val="00F568BB"/>
    <w:rsid w:val="00F56BE0"/>
    <w:rsid w:val="00F56D27"/>
    <w:rsid w:val="00F57EC9"/>
    <w:rsid w:val="00F60418"/>
    <w:rsid w:val="00F60A13"/>
    <w:rsid w:val="00F60B2E"/>
    <w:rsid w:val="00F60E00"/>
    <w:rsid w:val="00F61301"/>
    <w:rsid w:val="00F62A92"/>
    <w:rsid w:val="00F639E9"/>
    <w:rsid w:val="00F65FC6"/>
    <w:rsid w:val="00F66D91"/>
    <w:rsid w:val="00F7032D"/>
    <w:rsid w:val="00F72CFB"/>
    <w:rsid w:val="00F73B2B"/>
    <w:rsid w:val="00F73CD5"/>
    <w:rsid w:val="00F73DC6"/>
    <w:rsid w:val="00F73EBD"/>
    <w:rsid w:val="00F7682E"/>
    <w:rsid w:val="00F76A2C"/>
    <w:rsid w:val="00F810C6"/>
    <w:rsid w:val="00F81437"/>
    <w:rsid w:val="00F84807"/>
    <w:rsid w:val="00F850E7"/>
    <w:rsid w:val="00F86431"/>
    <w:rsid w:val="00F87E1C"/>
    <w:rsid w:val="00F912EF"/>
    <w:rsid w:val="00F91825"/>
    <w:rsid w:val="00F92E90"/>
    <w:rsid w:val="00F9344F"/>
    <w:rsid w:val="00F9401E"/>
    <w:rsid w:val="00F9535F"/>
    <w:rsid w:val="00F95985"/>
    <w:rsid w:val="00F96A5F"/>
    <w:rsid w:val="00FA1658"/>
    <w:rsid w:val="00FA1672"/>
    <w:rsid w:val="00FA5B89"/>
    <w:rsid w:val="00FA7186"/>
    <w:rsid w:val="00FB0353"/>
    <w:rsid w:val="00FB089F"/>
    <w:rsid w:val="00FB10D6"/>
    <w:rsid w:val="00FB1CCB"/>
    <w:rsid w:val="00FB1E03"/>
    <w:rsid w:val="00FB2F82"/>
    <w:rsid w:val="00FB3490"/>
    <w:rsid w:val="00FB385F"/>
    <w:rsid w:val="00FB3AD5"/>
    <w:rsid w:val="00FB3C96"/>
    <w:rsid w:val="00FB3E85"/>
    <w:rsid w:val="00FB6C54"/>
    <w:rsid w:val="00FB6EBB"/>
    <w:rsid w:val="00FB76AA"/>
    <w:rsid w:val="00FC040B"/>
    <w:rsid w:val="00FC1D6C"/>
    <w:rsid w:val="00FC22DE"/>
    <w:rsid w:val="00FC271B"/>
    <w:rsid w:val="00FC422B"/>
    <w:rsid w:val="00FC49A1"/>
    <w:rsid w:val="00FC4FC2"/>
    <w:rsid w:val="00FC5756"/>
    <w:rsid w:val="00FC5CD0"/>
    <w:rsid w:val="00FC605B"/>
    <w:rsid w:val="00FC6197"/>
    <w:rsid w:val="00FC649A"/>
    <w:rsid w:val="00FD0087"/>
    <w:rsid w:val="00FD3B46"/>
    <w:rsid w:val="00FD4785"/>
    <w:rsid w:val="00FD4AEA"/>
    <w:rsid w:val="00FD4DD7"/>
    <w:rsid w:val="00FD5AAB"/>
    <w:rsid w:val="00FD5FEC"/>
    <w:rsid w:val="00FD6F1B"/>
    <w:rsid w:val="00FD7AE9"/>
    <w:rsid w:val="00FE09D3"/>
    <w:rsid w:val="00FE4388"/>
    <w:rsid w:val="00FE6977"/>
    <w:rsid w:val="00FE6A0D"/>
    <w:rsid w:val="00FE6A6A"/>
    <w:rsid w:val="00FE7253"/>
    <w:rsid w:val="00FF0947"/>
    <w:rsid w:val="00FF3800"/>
    <w:rsid w:val="00FF3845"/>
    <w:rsid w:val="00FF3A06"/>
    <w:rsid w:val="00FF43CE"/>
    <w:rsid w:val="00FF47E2"/>
    <w:rsid w:val="00FF4B81"/>
    <w:rsid w:val="00FF6000"/>
    <w:rsid w:val="00FF6161"/>
    <w:rsid w:val="00FF75B3"/>
    <w:rsid w:val="00FF7AC9"/>
    <w:rsid w:val="00FF7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883E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EC6A64"/>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CAB - List Bullet,List Bullet Cab"/>
    <w:basedOn w:val="Normal"/>
    <w:uiPriority w:val="34"/>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character" w:styleId="CommentReference">
    <w:name w:val="annotation reference"/>
    <w:basedOn w:val="DefaultParagraphFont"/>
    <w:uiPriority w:val="99"/>
    <w:semiHidden/>
    <w:unhideWhenUsed/>
    <w:rsid w:val="00474097"/>
    <w:rPr>
      <w:sz w:val="16"/>
      <w:szCs w:val="16"/>
    </w:rPr>
  </w:style>
  <w:style w:type="paragraph" w:styleId="CommentText">
    <w:name w:val="annotation text"/>
    <w:basedOn w:val="Normal"/>
    <w:link w:val="CommentTextChar"/>
    <w:uiPriority w:val="99"/>
    <w:unhideWhenUsed/>
    <w:rsid w:val="00474097"/>
    <w:pPr>
      <w:spacing w:line="240" w:lineRule="auto"/>
    </w:pPr>
  </w:style>
  <w:style w:type="character" w:customStyle="1" w:styleId="CommentTextChar">
    <w:name w:val="Comment Text Char"/>
    <w:basedOn w:val="DefaultParagraphFont"/>
    <w:link w:val="CommentText"/>
    <w:uiPriority w:val="99"/>
    <w:rsid w:val="00474097"/>
  </w:style>
  <w:style w:type="paragraph" w:styleId="CommentSubject">
    <w:name w:val="annotation subject"/>
    <w:basedOn w:val="CommentText"/>
    <w:next w:val="CommentText"/>
    <w:link w:val="CommentSubjectChar"/>
    <w:uiPriority w:val="99"/>
    <w:semiHidden/>
    <w:unhideWhenUsed/>
    <w:rsid w:val="00474097"/>
    <w:rPr>
      <w:b/>
      <w:bCs/>
    </w:rPr>
  </w:style>
  <w:style w:type="character" w:customStyle="1" w:styleId="CommentSubjectChar">
    <w:name w:val="Comment Subject Char"/>
    <w:basedOn w:val="CommentTextChar"/>
    <w:link w:val="CommentSubject"/>
    <w:uiPriority w:val="99"/>
    <w:semiHidden/>
    <w:rsid w:val="00474097"/>
    <w:rPr>
      <w:b/>
      <w:bCs/>
    </w:rPr>
  </w:style>
  <w:style w:type="paragraph" w:customStyle="1" w:styleId="Bullet">
    <w:name w:val="Bullet"/>
    <w:aliases w:val="Body,b,b + line,b1,level 1,Bullet + line"/>
    <w:basedOn w:val="Normal"/>
    <w:link w:val="BulletChar"/>
    <w:qFormat/>
    <w:rsid w:val="00335B7A"/>
    <w:pPr>
      <w:numPr>
        <w:numId w:val="35"/>
      </w:numPr>
    </w:pPr>
  </w:style>
  <w:style w:type="character" w:customStyle="1" w:styleId="BulletChar">
    <w:name w:val="Bullet Char"/>
    <w:aliases w:val="b + line Char Char,b Char,b Char Char,Body Char,Bullet + line Char,Bullets Char,L Char,List Paragraph Char,List Paragraph1 Char,List Paragraph11 Char,List Paragraph2 Char,Number Char,Recommendation Char,b + line Char,b1 Char,level 1 Char"/>
    <w:basedOn w:val="DefaultParagraphFont"/>
    <w:link w:val="Bullet"/>
    <w:qFormat/>
    <w:rsid w:val="00335B7A"/>
  </w:style>
  <w:style w:type="paragraph" w:customStyle="1" w:styleId="Dash">
    <w:name w:val="Dash"/>
    <w:basedOn w:val="Normal"/>
    <w:link w:val="DashChar"/>
    <w:qFormat/>
    <w:rsid w:val="00335B7A"/>
    <w:pPr>
      <w:numPr>
        <w:ilvl w:val="1"/>
        <w:numId w:val="35"/>
      </w:numPr>
    </w:pPr>
  </w:style>
  <w:style w:type="character" w:customStyle="1" w:styleId="DashChar">
    <w:name w:val="Dash Char"/>
    <w:basedOn w:val="DefaultParagraphFont"/>
    <w:link w:val="Dash"/>
    <w:rsid w:val="00335B7A"/>
  </w:style>
  <w:style w:type="paragraph" w:customStyle="1" w:styleId="DoubleDot">
    <w:name w:val="Double Dot"/>
    <w:basedOn w:val="Normal"/>
    <w:link w:val="DoubleDotChar"/>
    <w:qFormat/>
    <w:rsid w:val="00335B7A"/>
    <w:pPr>
      <w:numPr>
        <w:ilvl w:val="2"/>
        <w:numId w:val="35"/>
      </w:numPr>
    </w:pPr>
  </w:style>
  <w:style w:type="character" w:customStyle="1" w:styleId="DoubleDotChar">
    <w:name w:val="Double Dot Char"/>
    <w:basedOn w:val="DefaultParagraphFont"/>
    <w:link w:val="DoubleDot"/>
    <w:rsid w:val="00335B7A"/>
  </w:style>
  <w:style w:type="paragraph" w:customStyle="1" w:styleId="ChartGraphic">
    <w:name w:val="Chart Graphic"/>
    <w:basedOn w:val="Normal"/>
    <w:next w:val="Normal"/>
    <w:rsid w:val="00A50C1C"/>
    <w:pPr>
      <w:keepNext/>
      <w:spacing w:after="0" w:line="240" w:lineRule="auto"/>
      <w:jc w:val="center"/>
    </w:pPr>
    <w:rPr>
      <w:rFonts w:ascii="Calibri" w:eastAsia="Times New Roman" w:hAnsi="Calibri" w:cs="Times New Roman"/>
      <w:color w:val="004A7F"/>
      <w:lang w:eastAsia="en-AU"/>
    </w:rPr>
  </w:style>
  <w:style w:type="character" w:customStyle="1" w:styleId="normaltextrun">
    <w:name w:val="normaltextrun"/>
    <w:basedOn w:val="DefaultParagraphFont"/>
    <w:rsid w:val="00250E5D"/>
  </w:style>
  <w:style w:type="character" w:styleId="FollowedHyperlink">
    <w:name w:val="FollowedHyperlink"/>
    <w:basedOn w:val="DefaultParagraphFont"/>
    <w:uiPriority w:val="99"/>
    <w:semiHidden/>
    <w:unhideWhenUsed/>
    <w:rsid w:val="00F02207"/>
    <w:rPr>
      <w:color w:val="015F8B" w:themeColor="followedHyperlink"/>
      <w:u w:val="single"/>
    </w:rPr>
  </w:style>
  <w:style w:type="character" w:customStyle="1" w:styleId="UnresolvedMention1">
    <w:name w:val="Unresolved Mention1"/>
    <w:basedOn w:val="DefaultParagraphFont"/>
    <w:uiPriority w:val="99"/>
    <w:semiHidden/>
    <w:unhideWhenUsed/>
    <w:rsid w:val="00062EAF"/>
    <w:rPr>
      <w:color w:val="605E5C"/>
      <w:shd w:val="clear" w:color="auto" w:fill="E1DFDD"/>
    </w:rPr>
  </w:style>
  <w:style w:type="paragraph" w:customStyle="1" w:styleId="SectionTitleCab">
    <w:name w:val="Section Title Cab"/>
    <w:basedOn w:val="Title"/>
    <w:link w:val="SectionTitleCabChar"/>
    <w:uiPriority w:val="17"/>
    <w:semiHidden/>
    <w:qFormat/>
    <w:rsid w:val="00875C69"/>
    <w:pPr>
      <w:keepNext w:val="0"/>
      <w:keepLines w:val="0"/>
      <w:tabs>
        <w:tab w:val="center" w:pos="1313"/>
      </w:tabs>
      <w:spacing w:before="240" w:after="60" w:line="240" w:lineRule="auto"/>
      <w:outlineLvl w:val="9"/>
    </w:pPr>
    <w:rPr>
      <w:rFonts w:ascii="Arial" w:hAnsi="Arial"/>
      <w:color w:val="003865"/>
      <w:sz w:val="40"/>
      <w:szCs w:val="20"/>
    </w:rPr>
  </w:style>
  <w:style w:type="character" w:customStyle="1" w:styleId="SectionTitleCabChar">
    <w:name w:val="Section Title Cab Char"/>
    <w:basedOn w:val="DefaultParagraphFont"/>
    <w:link w:val="SectionTitleCab"/>
    <w:uiPriority w:val="17"/>
    <w:semiHidden/>
    <w:rsid w:val="00875C69"/>
    <w:rPr>
      <w:rFonts w:ascii="Arial" w:hAnsi="Arial"/>
      <w:b/>
      <w:color w:val="003865"/>
      <w:sz w:val="40"/>
    </w:rPr>
  </w:style>
  <w:style w:type="paragraph" w:styleId="Revision">
    <w:name w:val="Revision"/>
    <w:hidden/>
    <w:uiPriority w:val="99"/>
    <w:semiHidden/>
    <w:rsid w:val="00EB275F"/>
    <w:pPr>
      <w:spacing w:after="0" w:line="240" w:lineRule="auto"/>
    </w:pPr>
  </w:style>
  <w:style w:type="numbering" w:customStyle="1" w:styleId="BulletedList">
    <w:name w:val="Bulleted List"/>
    <w:uiPriority w:val="99"/>
    <w:rsid w:val="00990DAF"/>
    <w:pPr>
      <w:numPr>
        <w:numId w:val="45"/>
      </w:numPr>
    </w:pPr>
  </w:style>
  <w:style w:type="paragraph" w:customStyle="1" w:styleId="OutlineNumbered1">
    <w:name w:val="Outline Numbered 1"/>
    <w:basedOn w:val="Normal"/>
    <w:link w:val="OutlineNumbered1Char"/>
    <w:rsid w:val="00795B05"/>
    <w:pPr>
      <w:numPr>
        <w:numId w:val="49"/>
      </w:numPr>
    </w:pPr>
  </w:style>
  <w:style w:type="character" w:customStyle="1" w:styleId="OutlineNumbered1Char">
    <w:name w:val="Outline Numbered 1 Char"/>
    <w:basedOn w:val="BodyTextChar"/>
    <w:link w:val="OutlineNumbered1"/>
    <w:rsid w:val="00795B05"/>
    <w:rPr>
      <w:color w:val="262626" w:themeColor="text1" w:themeTint="D9"/>
    </w:rPr>
  </w:style>
  <w:style w:type="paragraph" w:customStyle="1" w:styleId="OutlineNumbered2">
    <w:name w:val="Outline Numbered 2"/>
    <w:basedOn w:val="Normal"/>
    <w:link w:val="OutlineNumbered2Char"/>
    <w:rsid w:val="00795B05"/>
    <w:pPr>
      <w:numPr>
        <w:ilvl w:val="1"/>
        <w:numId w:val="49"/>
      </w:numPr>
    </w:pPr>
  </w:style>
  <w:style w:type="character" w:customStyle="1" w:styleId="OutlineNumbered2Char">
    <w:name w:val="Outline Numbered 2 Char"/>
    <w:basedOn w:val="BodyTextChar"/>
    <w:link w:val="OutlineNumbered2"/>
    <w:rsid w:val="00795B05"/>
    <w:rPr>
      <w:color w:val="262626" w:themeColor="text1" w:themeTint="D9"/>
    </w:rPr>
  </w:style>
  <w:style w:type="paragraph" w:customStyle="1" w:styleId="OutlineNumbered3">
    <w:name w:val="Outline Numbered 3"/>
    <w:basedOn w:val="Normal"/>
    <w:link w:val="OutlineNumbered3Char"/>
    <w:rsid w:val="00795B05"/>
    <w:pPr>
      <w:numPr>
        <w:ilvl w:val="2"/>
        <w:numId w:val="49"/>
      </w:numPr>
    </w:pPr>
  </w:style>
  <w:style w:type="character" w:customStyle="1" w:styleId="OutlineNumbered3Char">
    <w:name w:val="Outline Numbered 3 Char"/>
    <w:basedOn w:val="BodyTextChar"/>
    <w:link w:val="OutlineNumbered3"/>
    <w:rsid w:val="00795B05"/>
    <w:rPr>
      <w:color w:val="262626" w:themeColor="text1" w:themeTint="D9"/>
    </w:rPr>
  </w:style>
  <w:style w:type="paragraph" w:customStyle="1" w:styleId="CABNETParagraph">
    <w:name w:val="CABNET Paragraph."/>
    <w:basedOn w:val="Normal"/>
    <w:link w:val="CABNETParagraphChar"/>
    <w:uiPriority w:val="98"/>
    <w:qFormat/>
    <w:rsid w:val="00795B05"/>
    <w:pPr>
      <w:spacing w:before="120" w:line="240" w:lineRule="auto"/>
    </w:pPr>
    <w:rPr>
      <w:rFonts w:ascii="Arial" w:hAnsi="Arial" w:cstheme="minorHAnsi"/>
      <w:color w:val="auto"/>
      <w:sz w:val="22"/>
      <w:szCs w:val="22"/>
    </w:rPr>
  </w:style>
  <w:style w:type="character" w:customStyle="1" w:styleId="CABNETParagraphChar">
    <w:name w:val="CABNET Paragraph. Char"/>
    <w:basedOn w:val="DefaultParagraphFont"/>
    <w:link w:val="CABNETParagraph"/>
    <w:uiPriority w:val="98"/>
    <w:rsid w:val="00795B05"/>
    <w:rPr>
      <w:rFonts w:ascii="Arial" w:hAnsi="Arial" w:cstheme="minorHAnsi"/>
      <w:color w:val="auto"/>
      <w:sz w:val="22"/>
      <w:szCs w:val="22"/>
    </w:rPr>
  </w:style>
  <w:style w:type="character" w:customStyle="1" w:styleId="UnresolvedMention">
    <w:name w:val="Unresolved Mention"/>
    <w:basedOn w:val="DefaultParagraphFont"/>
    <w:uiPriority w:val="99"/>
    <w:semiHidden/>
    <w:unhideWhenUsed/>
    <w:rsid w:val="00A9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575">
      <w:bodyDiv w:val="1"/>
      <w:marLeft w:val="0"/>
      <w:marRight w:val="0"/>
      <w:marTop w:val="0"/>
      <w:marBottom w:val="0"/>
      <w:divBdr>
        <w:top w:val="none" w:sz="0" w:space="0" w:color="auto"/>
        <w:left w:val="none" w:sz="0" w:space="0" w:color="auto"/>
        <w:bottom w:val="none" w:sz="0" w:space="0" w:color="auto"/>
        <w:right w:val="none" w:sz="0" w:space="0" w:color="auto"/>
      </w:divBdr>
    </w:div>
    <w:div w:id="159389513">
      <w:bodyDiv w:val="1"/>
      <w:marLeft w:val="0"/>
      <w:marRight w:val="0"/>
      <w:marTop w:val="0"/>
      <w:marBottom w:val="0"/>
      <w:divBdr>
        <w:top w:val="none" w:sz="0" w:space="0" w:color="auto"/>
        <w:left w:val="none" w:sz="0" w:space="0" w:color="auto"/>
        <w:bottom w:val="none" w:sz="0" w:space="0" w:color="auto"/>
        <w:right w:val="none" w:sz="0" w:space="0" w:color="auto"/>
      </w:divBdr>
      <w:divsChild>
        <w:div w:id="2121366703">
          <w:marLeft w:val="0"/>
          <w:marRight w:val="0"/>
          <w:marTop w:val="0"/>
          <w:marBottom w:val="0"/>
          <w:divBdr>
            <w:top w:val="none" w:sz="0" w:space="0" w:color="auto"/>
            <w:left w:val="none" w:sz="0" w:space="0" w:color="auto"/>
            <w:bottom w:val="none" w:sz="0" w:space="0" w:color="auto"/>
            <w:right w:val="none" w:sz="0" w:space="0" w:color="auto"/>
          </w:divBdr>
          <w:divsChild>
            <w:div w:id="3015507">
              <w:marLeft w:val="0"/>
              <w:marRight w:val="0"/>
              <w:marTop w:val="0"/>
              <w:marBottom w:val="0"/>
              <w:divBdr>
                <w:top w:val="none" w:sz="0" w:space="0" w:color="auto"/>
                <w:left w:val="none" w:sz="0" w:space="0" w:color="auto"/>
                <w:bottom w:val="none" w:sz="0" w:space="0" w:color="auto"/>
                <w:right w:val="none" w:sz="0" w:space="0" w:color="auto"/>
              </w:divBdr>
            </w:div>
            <w:div w:id="175006268">
              <w:marLeft w:val="0"/>
              <w:marRight w:val="0"/>
              <w:marTop w:val="0"/>
              <w:marBottom w:val="0"/>
              <w:divBdr>
                <w:top w:val="none" w:sz="0" w:space="0" w:color="auto"/>
                <w:left w:val="none" w:sz="0" w:space="0" w:color="auto"/>
                <w:bottom w:val="none" w:sz="0" w:space="0" w:color="auto"/>
                <w:right w:val="none" w:sz="0" w:space="0" w:color="auto"/>
              </w:divBdr>
            </w:div>
            <w:div w:id="1156144558">
              <w:marLeft w:val="0"/>
              <w:marRight w:val="0"/>
              <w:marTop w:val="0"/>
              <w:marBottom w:val="0"/>
              <w:divBdr>
                <w:top w:val="none" w:sz="0" w:space="0" w:color="auto"/>
                <w:left w:val="none" w:sz="0" w:space="0" w:color="auto"/>
                <w:bottom w:val="none" w:sz="0" w:space="0" w:color="auto"/>
                <w:right w:val="none" w:sz="0" w:space="0" w:color="auto"/>
              </w:divBdr>
            </w:div>
          </w:divsChild>
        </w:div>
        <w:div w:id="220405028">
          <w:marLeft w:val="0"/>
          <w:marRight w:val="0"/>
          <w:marTop w:val="0"/>
          <w:marBottom w:val="0"/>
          <w:divBdr>
            <w:top w:val="none" w:sz="0" w:space="0" w:color="auto"/>
            <w:left w:val="none" w:sz="0" w:space="0" w:color="auto"/>
            <w:bottom w:val="none" w:sz="0" w:space="0" w:color="auto"/>
            <w:right w:val="none" w:sz="0" w:space="0" w:color="auto"/>
          </w:divBdr>
        </w:div>
        <w:div w:id="1616323823">
          <w:marLeft w:val="0"/>
          <w:marRight w:val="0"/>
          <w:marTop w:val="0"/>
          <w:marBottom w:val="0"/>
          <w:divBdr>
            <w:top w:val="none" w:sz="0" w:space="0" w:color="auto"/>
            <w:left w:val="none" w:sz="0" w:space="0" w:color="auto"/>
            <w:bottom w:val="none" w:sz="0" w:space="0" w:color="auto"/>
            <w:right w:val="none" w:sz="0" w:space="0" w:color="auto"/>
          </w:divBdr>
        </w:div>
        <w:div w:id="1925646674">
          <w:marLeft w:val="0"/>
          <w:marRight w:val="0"/>
          <w:marTop w:val="0"/>
          <w:marBottom w:val="0"/>
          <w:divBdr>
            <w:top w:val="none" w:sz="0" w:space="0" w:color="auto"/>
            <w:left w:val="none" w:sz="0" w:space="0" w:color="auto"/>
            <w:bottom w:val="none" w:sz="0" w:space="0" w:color="auto"/>
            <w:right w:val="none" w:sz="0" w:space="0" w:color="auto"/>
          </w:divBdr>
        </w:div>
      </w:divsChild>
    </w:div>
    <w:div w:id="315648585">
      <w:bodyDiv w:val="1"/>
      <w:marLeft w:val="0"/>
      <w:marRight w:val="0"/>
      <w:marTop w:val="0"/>
      <w:marBottom w:val="0"/>
      <w:divBdr>
        <w:top w:val="none" w:sz="0" w:space="0" w:color="auto"/>
        <w:left w:val="none" w:sz="0" w:space="0" w:color="auto"/>
        <w:bottom w:val="none" w:sz="0" w:space="0" w:color="auto"/>
        <w:right w:val="none" w:sz="0" w:space="0" w:color="auto"/>
      </w:divBdr>
    </w:div>
    <w:div w:id="865826540">
      <w:bodyDiv w:val="1"/>
      <w:marLeft w:val="0"/>
      <w:marRight w:val="0"/>
      <w:marTop w:val="0"/>
      <w:marBottom w:val="0"/>
      <w:divBdr>
        <w:top w:val="none" w:sz="0" w:space="0" w:color="auto"/>
        <w:left w:val="none" w:sz="0" w:space="0" w:color="auto"/>
        <w:bottom w:val="none" w:sz="0" w:space="0" w:color="auto"/>
        <w:right w:val="none" w:sz="0" w:space="0" w:color="auto"/>
      </w:divBdr>
    </w:div>
    <w:div w:id="980891504">
      <w:bodyDiv w:val="1"/>
      <w:marLeft w:val="0"/>
      <w:marRight w:val="0"/>
      <w:marTop w:val="0"/>
      <w:marBottom w:val="0"/>
      <w:divBdr>
        <w:top w:val="none" w:sz="0" w:space="0" w:color="auto"/>
        <w:left w:val="none" w:sz="0" w:space="0" w:color="auto"/>
        <w:bottom w:val="none" w:sz="0" w:space="0" w:color="auto"/>
        <w:right w:val="none" w:sz="0" w:space="0" w:color="auto"/>
      </w:divBdr>
    </w:div>
    <w:div w:id="1003170088">
      <w:bodyDiv w:val="1"/>
      <w:marLeft w:val="0"/>
      <w:marRight w:val="0"/>
      <w:marTop w:val="0"/>
      <w:marBottom w:val="0"/>
      <w:divBdr>
        <w:top w:val="none" w:sz="0" w:space="0" w:color="auto"/>
        <w:left w:val="none" w:sz="0" w:space="0" w:color="auto"/>
        <w:bottom w:val="none" w:sz="0" w:space="0" w:color="auto"/>
        <w:right w:val="none" w:sz="0" w:space="0" w:color="auto"/>
      </w:divBdr>
      <w:divsChild>
        <w:div w:id="1181234846">
          <w:marLeft w:val="0"/>
          <w:marRight w:val="0"/>
          <w:marTop w:val="0"/>
          <w:marBottom w:val="0"/>
          <w:divBdr>
            <w:top w:val="none" w:sz="0" w:space="0" w:color="auto"/>
            <w:left w:val="none" w:sz="0" w:space="0" w:color="auto"/>
            <w:bottom w:val="none" w:sz="0" w:space="0" w:color="auto"/>
            <w:right w:val="none" w:sz="0" w:space="0" w:color="auto"/>
          </w:divBdr>
          <w:divsChild>
            <w:div w:id="197396154">
              <w:marLeft w:val="0"/>
              <w:marRight w:val="0"/>
              <w:marTop w:val="0"/>
              <w:marBottom w:val="0"/>
              <w:divBdr>
                <w:top w:val="none" w:sz="0" w:space="0" w:color="auto"/>
                <w:left w:val="none" w:sz="0" w:space="0" w:color="auto"/>
                <w:bottom w:val="none" w:sz="0" w:space="0" w:color="auto"/>
                <w:right w:val="none" w:sz="0" w:space="0" w:color="auto"/>
              </w:divBdr>
            </w:div>
            <w:div w:id="583564731">
              <w:marLeft w:val="0"/>
              <w:marRight w:val="0"/>
              <w:marTop w:val="0"/>
              <w:marBottom w:val="0"/>
              <w:divBdr>
                <w:top w:val="none" w:sz="0" w:space="0" w:color="auto"/>
                <w:left w:val="none" w:sz="0" w:space="0" w:color="auto"/>
                <w:bottom w:val="none" w:sz="0" w:space="0" w:color="auto"/>
                <w:right w:val="none" w:sz="0" w:space="0" w:color="auto"/>
              </w:divBdr>
            </w:div>
            <w:div w:id="924649206">
              <w:marLeft w:val="0"/>
              <w:marRight w:val="0"/>
              <w:marTop w:val="0"/>
              <w:marBottom w:val="0"/>
              <w:divBdr>
                <w:top w:val="none" w:sz="0" w:space="0" w:color="auto"/>
                <w:left w:val="none" w:sz="0" w:space="0" w:color="auto"/>
                <w:bottom w:val="none" w:sz="0" w:space="0" w:color="auto"/>
                <w:right w:val="none" w:sz="0" w:space="0" w:color="auto"/>
              </w:divBdr>
            </w:div>
          </w:divsChild>
        </w:div>
        <w:div w:id="1318069132">
          <w:marLeft w:val="0"/>
          <w:marRight w:val="0"/>
          <w:marTop w:val="0"/>
          <w:marBottom w:val="0"/>
          <w:divBdr>
            <w:top w:val="none" w:sz="0" w:space="0" w:color="auto"/>
            <w:left w:val="none" w:sz="0" w:space="0" w:color="auto"/>
            <w:bottom w:val="none" w:sz="0" w:space="0" w:color="auto"/>
            <w:right w:val="none" w:sz="0" w:space="0" w:color="auto"/>
          </w:divBdr>
        </w:div>
        <w:div w:id="1322655734">
          <w:marLeft w:val="0"/>
          <w:marRight w:val="0"/>
          <w:marTop w:val="0"/>
          <w:marBottom w:val="0"/>
          <w:divBdr>
            <w:top w:val="none" w:sz="0" w:space="0" w:color="auto"/>
            <w:left w:val="none" w:sz="0" w:space="0" w:color="auto"/>
            <w:bottom w:val="none" w:sz="0" w:space="0" w:color="auto"/>
            <w:right w:val="none" w:sz="0" w:space="0" w:color="auto"/>
          </w:divBdr>
        </w:div>
        <w:div w:id="1359895113">
          <w:marLeft w:val="0"/>
          <w:marRight w:val="0"/>
          <w:marTop w:val="0"/>
          <w:marBottom w:val="0"/>
          <w:divBdr>
            <w:top w:val="none" w:sz="0" w:space="0" w:color="auto"/>
            <w:left w:val="none" w:sz="0" w:space="0" w:color="auto"/>
            <w:bottom w:val="none" w:sz="0" w:space="0" w:color="auto"/>
            <w:right w:val="none" w:sz="0" w:space="0" w:color="auto"/>
          </w:divBdr>
        </w:div>
      </w:divsChild>
    </w:div>
    <w:div w:id="1499467659">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pmc.gov.au/government/commonwealth-coat-ar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accc.gov.au/publications/northern-australia-insurance-inquiry-final-report" TargetMode="External"/><Relationship Id="rId3" Type="http://schemas.openxmlformats.org/officeDocument/2006/relationships/hyperlink" Target="https://www.qra.qld.gov.au/funding-programs/resilience-funding/north-queensland-natural-disasters-mitigation-program" TargetMode="External"/><Relationship Id="rId7" Type="http://schemas.openxmlformats.org/officeDocument/2006/relationships/hyperlink" Target="http://tweb/sites/mg/fsd/AAA%20Insurance/Markets/1.%20Northern%20Australia/2021-22%20Reinsurance%20Pool%20Taskforce/RIS/www.floodre.co.uk/wp-content/uploads/QQR_FINAL.pdf" TargetMode="External"/><Relationship Id="rId2" Type="http://schemas.openxmlformats.org/officeDocument/2006/relationships/hyperlink" Target="https://naturaldisaster.royalcommission.gov.au/publications/html-report" TargetMode="External"/><Relationship Id="rId1" Type="http://schemas.openxmlformats.org/officeDocument/2006/relationships/hyperlink" Target="http://www.accc.gov.au/publications/northern-australia-insurance-inquiry-final-report" TargetMode="External"/><Relationship Id="rId6" Type="http://schemas.openxmlformats.org/officeDocument/2006/relationships/hyperlink" Target="http://www.treasury.nsw.gov.au/four-pillars/federal-financial-relations-review/federal-financial-relations-review-final-report" TargetMode="External"/><Relationship Id="rId5" Type="http://schemas.openxmlformats.org/officeDocument/2006/relationships/hyperlink" Target="http://www.pc.gov.au/inquiries/completed/climate-change-adaptation/report" TargetMode="External"/><Relationship Id="rId10" Type="http://schemas.openxmlformats.org/officeDocument/2006/relationships/hyperlink" Target="http://www.arpc.gov.au/publications/annual-report/" TargetMode="External"/><Relationship Id="rId4" Type="http://schemas.openxmlformats.org/officeDocument/2006/relationships/hyperlink" Target="https://treasury.gov.au/publication/northern-australia-insurance-premiums-taskforce-final-report" TargetMode="External"/><Relationship Id="rId9" Type="http://schemas.openxmlformats.org/officeDocument/2006/relationships/hyperlink" Target="https://www.willistowerswatson.com/en-AU/Insights/2021/09/willis-re-reinsurance-market-report-september-2021-results-for-half-ye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56452"/>
    <w:rsid w:val="000B59FB"/>
    <w:rsid w:val="0017584F"/>
    <w:rsid w:val="001A05A4"/>
    <w:rsid w:val="001B6137"/>
    <w:rsid w:val="001E7EBC"/>
    <w:rsid w:val="00265E35"/>
    <w:rsid w:val="003166C4"/>
    <w:rsid w:val="0036790C"/>
    <w:rsid w:val="003743FC"/>
    <w:rsid w:val="003A502F"/>
    <w:rsid w:val="003C2239"/>
    <w:rsid w:val="003C30C6"/>
    <w:rsid w:val="00431370"/>
    <w:rsid w:val="004515D9"/>
    <w:rsid w:val="004A3285"/>
    <w:rsid w:val="004C09A6"/>
    <w:rsid w:val="00586480"/>
    <w:rsid w:val="005A1D6E"/>
    <w:rsid w:val="006C41FB"/>
    <w:rsid w:val="00724AB4"/>
    <w:rsid w:val="00742A6B"/>
    <w:rsid w:val="007E76E6"/>
    <w:rsid w:val="0080361E"/>
    <w:rsid w:val="00804D45"/>
    <w:rsid w:val="00811F5B"/>
    <w:rsid w:val="00814EA2"/>
    <w:rsid w:val="008157C5"/>
    <w:rsid w:val="00816493"/>
    <w:rsid w:val="0086380E"/>
    <w:rsid w:val="00993362"/>
    <w:rsid w:val="009E55C6"/>
    <w:rsid w:val="00A52DD5"/>
    <w:rsid w:val="00AB2481"/>
    <w:rsid w:val="00AE684C"/>
    <w:rsid w:val="00BA0B9C"/>
    <w:rsid w:val="00BB40B5"/>
    <w:rsid w:val="00BE0BCE"/>
    <w:rsid w:val="00C77B4E"/>
    <w:rsid w:val="00D5021F"/>
    <w:rsid w:val="00D56C02"/>
    <w:rsid w:val="00DD7012"/>
    <w:rsid w:val="00DD7611"/>
    <w:rsid w:val="00E837FB"/>
    <w:rsid w:val="00E920D8"/>
    <w:rsid w:val="00EA2947"/>
    <w:rsid w:val="00F519EA"/>
    <w:rsid w:val="00FF0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13307</Words>
  <Characters>75852</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2022-02-18T02:27:00Z</dcterms:created>
  <dcterms:modified xsi:type="dcterms:W3CDTF">2022-02-18T02:27:00Z</dcterms:modified>
</cp:coreProperties>
</file>