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489AC" w14:textId="77777777" w:rsidR="00870C3F" w:rsidRPr="00CC01C6" w:rsidRDefault="00977A60" w:rsidP="00870C3F">
      <w:pPr>
        <w:pStyle w:val="Title"/>
        <w:rPr>
          <w:rFonts w:ascii="Calibri" w:hAnsi="Calibri" w:cs="Calibri"/>
          <w:sz w:val="60"/>
          <w:szCs w:val="60"/>
        </w:rPr>
      </w:pPr>
      <w:sdt>
        <w:sdtPr>
          <w:rPr>
            <w:rFonts w:ascii="Calibri" w:hAnsi="Calibri" w:cs="Calibri"/>
            <w:sz w:val="60"/>
            <w:szCs w:val="60"/>
          </w:rPr>
          <w:alias w:val="Title"/>
          <w:tag w:val=""/>
          <w:id w:val="-1986695780"/>
          <w:placeholder>
            <w:docPart w:val="FD3DE85C074C4104849D5F96BD925361"/>
          </w:placeholder>
          <w:dataBinding w:prefixMappings="xmlns:ns0='http://purl.org/dc/elements/1.1/' xmlns:ns1='http://schemas.openxmlformats.org/package/2006/metadata/core-properties' " w:xpath="/ns1:coreProperties[1]/ns0:title[1]" w:storeItemID="{6C3C8BC8-F283-45AE-878A-BAB7291924A1}"/>
          <w:text/>
        </w:sdtPr>
        <w:sdtEndPr/>
        <w:sdtContent>
          <w:r w:rsidR="00870C3F" w:rsidRPr="00CC01C6">
            <w:rPr>
              <w:rFonts w:ascii="Calibri" w:hAnsi="Calibri" w:cs="Calibri"/>
              <w:sz w:val="60"/>
              <w:szCs w:val="60"/>
            </w:rPr>
            <w:t>Australian Sports Wagering Scheme</w:t>
          </w:r>
        </w:sdtContent>
      </w:sdt>
    </w:p>
    <w:p w14:paraId="1DEC8365" w14:textId="165D92B3" w:rsidR="007530CE" w:rsidRPr="002F1917" w:rsidRDefault="00870C3F" w:rsidP="007530CE">
      <w:pPr>
        <w:pStyle w:val="Subtitle"/>
        <w:rPr>
          <w:rFonts w:ascii="Calibri" w:hAnsi="Calibri" w:cs="Calibri"/>
          <w:sz w:val="48"/>
          <w:szCs w:val="14"/>
        </w:rPr>
      </w:pPr>
      <w:r w:rsidRPr="002F1917">
        <w:rPr>
          <w:rFonts w:ascii="Calibri" w:hAnsi="Calibri" w:cs="Calibri"/>
          <w:sz w:val="48"/>
          <w:szCs w:val="14"/>
        </w:rPr>
        <w:t>Consultation Regulatory Impact Statement</w:t>
      </w:r>
    </w:p>
    <w:p w14:paraId="7309A67E" w14:textId="1CEE10FC" w:rsidR="007530CE" w:rsidRPr="002F1917" w:rsidRDefault="00B20A60" w:rsidP="007530CE">
      <w:pPr>
        <w:pStyle w:val="Furtherdetails"/>
        <w:rPr>
          <w:rFonts w:ascii="Calibri" w:hAnsi="Calibri" w:cs="Calibri"/>
        </w:rPr>
      </w:pPr>
      <w:r>
        <w:rPr>
          <w:rFonts w:ascii="Calibri" w:hAnsi="Calibri" w:cs="Calibri"/>
        </w:rPr>
        <w:t>November</w:t>
      </w:r>
      <w:r w:rsidR="00204AA1" w:rsidRPr="002F1917">
        <w:rPr>
          <w:rFonts w:ascii="Calibri" w:hAnsi="Calibri" w:cs="Calibri"/>
        </w:rPr>
        <w:t xml:space="preserve"> 2021</w:t>
      </w:r>
    </w:p>
    <w:p w14:paraId="54451527" w14:textId="77777777" w:rsidR="007530CE" w:rsidRPr="002F1917" w:rsidRDefault="007530CE" w:rsidP="007530CE">
      <w:pPr>
        <w:rPr>
          <w:rFonts w:ascii="Calibri" w:hAnsi="Calibri" w:cs="Calibri"/>
        </w:rPr>
      </w:pPr>
    </w:p>
    <w:p w14:paraId="794949DD" w14:textId="77777777" w:rsidR="007530CE" w:rsidRPr="002F1917" w:rsidRDefault="007530CE" w:rsidP="007530CE">
      <w:pPr>
        <w:rPr>
          <w:rFonts w:ascii="Calibri" w:hAnsi="Calibri" w:cs="Calibri"/>
        </w:rPr>
        <w:sectPr w:rsidR="007530CE" w:rsidRPr="002F1917" w:rsidSect="007530CE">
          <w:headerReference w:type="default" r:id="rId11"/>
          <w:footerReference w:type="default" r:id="rId12"/>
          <w:headerReference w:type="first" r:id="rId13"/>
          <w:footerReference w:type="first" r:id="rId14"/>
          <w:pgSz w:w="11906" w:h="16838" w:code="9"/>
          <w:pgMar w:top="1134" w:right="1134" w:bottom="1134" w:left="1134" w:header="397" w:footer="397" w:gutter="0"/>
          <w:cols w:space="708"/>
          <w:titlePg/>
          <w:docGrid w:linePitch="360"/>
        </w:sectPr>
      </w:pPr>
    </w:p>
    <w:p w14:paraId="0BA3952E" w14:textId="77777777" w:rsidR="00AF0899" w:rsidRPr="002F1917" w:rsidRDefault="00AF0899" w:rsidP="00251FBB">
      <w:pPr>
        <w:pStyle w:val="TOCHeading"/>
        <w:spacing w:after="360"/>
        <w:rPr>
          <w:rFonts w:ascii="Calibri" w:hAnsi="Calibri" w:cs="Calibri"/>
        </w:rPr>
      </w:pPr>
      <w:r w:rsidRPr="002F1917">
        <w:rPr>
          <w:rFonts w:ascii="Calibri" w:hAnsi="Calibri" w:cs="Calibri"/>
        </w:rPr>
        <w:lastRenderedPageBreak/>
        <w:t>Contents</w:t>
      </w:r>
    </w:p>
    <w:p w14:paraId="5FF88682" w14:textId="76FAB8AE" w:rsidR="00516B98" w:rsidRPr="00862684" w:rsidRDefault="00251FBB" w:rsidP="005350CE">
      <w:pPr>
        <w:pStyle w:val="TOC1"/>
        <w:rPr>
          <w:rFonts w:asciiTheme="minorHAnsi" w:eastAsiaTheme="minorEastAsia" w:hAnsiTheme="minorHAnsi"/>
          <w:b w:val="0"/>
          <w:sz w:val="22"/>
          <w:szCs w:val="28"/>
          <w:u w:val="none"/>
          <w:lang w:eastAsia="zh-CN" w:bidi="th-TH"/>
        </w:rPr>
      </w:pPr>
      <w:r w:rsidRPr="002F1917">
        <w:rPr>
          <w:rFonts w:ascii="Calibri" w:hAnsi="Calibri" w:cs="Calibri"/>
          <w:b w:val="0"/>
        </w:rPr>
        <w:fldChar w:fldCharType="begin"/>
      </w:r>
      <w:r w:rsidRPr="002F1917">
        <w:rPr>
          <w:rFonts w:ascii="Calibri" w:hAnsi="Calibri" w:cs="Calibri"/>
          <w:b w:val="0"/>
        </w:rPr>
        <w:instrText xml:space="preserve"> TOC \o "2-2" \h \z \t "Heading 1,1,Heading 1 Numbered,1" </w:instrText>
      </w:r>
      <w:r w:rsidRPr="002F1917">
        <w:rPr>
          <w:rFonts w:ascii="Calibri" w:hAnsi="Calibri" w:cs="Calibri"/>
          <w:b w:val="0"/>
        </w:rPr>
        <w:fldChar w:fldCharType="separate"/>
      </w:r>
      <w:hyperlink w:anchor="_Toc85792400" w:history="1">
        <w:r w:rsidR="00516B98" w:rsidRPr="00862684">
          <w:rPr>
            <w:rStyle w:val="Hyperlink"/>
            <w:rFonts w:ascii="Calibri" w:hAnsi="Calibri" w:cs="Calibri"/>
          </w:rPr>
          <w:t>Glossary of Terms</w:t>
        </w:r>
        <w:r w:rsidR="00516B98" w:rsidRPr="00862684">
          <w:rPr>
            <w:webHidden/>
          </w:rPr>
          <w:tab/>
        </w:r>
        <w:r w:rsidR="00516B98" w:rsidRPr="00862684">
          <w:rPr>
            <w:webHidden/>
          </w:rPr>
          <w:fldChar w:fldCharType="begin"/>
        </w:r>
        <w:r w:rsidR="00516B98" w:rsidRPr="00862684">
          <w:rPr>
            <w:webHidden/>
          </w:rPr>
          <w:instrText xml:space="preserve"> PAGEREF _Toc85792400 \h </w:instrText>
        </w:r>
        <w:r w:rsidR="00516B98" w:rsidRPr="00862684">
          <w:rPr>
            <w:webHidden/>
          </w:rPr>
        </w:r>
        <w:r w:rsidR="00516B98" w:rsidRPr="00862684">
          <w:rPr>
            <w:webHidden/>
          </w:rPr>
          <w:fldChar w:fldCharType="separate"/>
        </w:r>
        <w:r w:rsidR="00516B98" w:rsidRPr="00862684">
          <w:rPr>
            <w:webHidden/>
          </w:rPr>
          <w:t>4</w:t>
        </w:r>
        <w:r w:rsidR="00516B98" w:rsidRPr="00862684">
          <w:rPr>
            <w:webHidden/>
          </w:rPr>
          <w:fldChar w:fldCharType="end"/>
        </w:r>
      </w:hyperlink>
    </w:p>
    <w:p w14:paraId="5C4D126D" w14:textId="604662C6" w:rsidR="00516B98" w:rsidRPr="00862684" w:rsidRDefault="00977A60" w:rsidP="005350CE">
      <w:pPr>
        <w:pStyle w:val="TOC1"/>
        <w:rPr>
          <w:rFonts w:asciiTheme="minorHAnsi" w:eastAsiaTheme="minorEastAsia" w:hAnsiTheme="minorHAnsi"/>
          <w:b w:val="0"/>
          <w:sz w:val="22"/>
          <w:szCs w:val="28"/>
          <w:u w:val="none"/>
          <w:lang w:eastAsia="zh-CN" w:bidi="th-TH"/>
        </w:rPr>
      </w:pPr>
      <w:hyperlink w:anchor="_Toc85792401" w:history="1">
        <w:r w:rsidR="00516B98" w:rsidRPr="00862684">
          <w:rPr>
            <w:rStyle w:val="Hyperlink"/>
            <w:rFonts w:ascii="Calibri" w:eastAsia="MS Gothic" w:hAnsi="Calibri" w:cs="Calibri"/>
            <w:lang w:val="en-US" w:eastAsia="en-AU"/>
          </w:rPr>
          <w:t>1</w:t>
        </w:r>
        <w:r w:rsidR="00516B98" w:rsidRPr="00862684">
          <w:rPr>
            <w:rFonts w:asciiTheme="minorHAnsi" w:eastAsiaTheme="minorEastAsia" w:hAnsiTheme="minorHAnsi"/>
            <w:b w:val="0"/>
            <w:sz w:val="22"/>
            <w:szCs w:val="28"/>
            <w:u w:val="none"/>
            <w:lang w:eastAsia="zh-CN" w:bidi="th-TH"/>
          </w:rPr>
          <w:tab/>
        </w:r>
        <w:r w:rsidR="00516B98" w:rsidRPr="00862684">
          <w:rPr>
            <w:rStyle w:val="Hyperlink"/>
            <w:rFonts w:ascii="Calibri" w:hAnsi="Calibri" w:cs="Calibri"/>
          </w:rPr>
          <w:t>Introduction</w:t>
        </w:r>
        <w:r w:rsidR="00516B98" w:rsidRPr="00862684">
          <w:rPr>
            <w:webHidden/>
          </w:rPr>
          <w:tab/>
        </w:r>
        <w:r w:rsidR="00516B98" w:rsidRPr="00862684">
          <w:rPr>
            <w:webHidden/>
          </w:rPr>
          <w:fldChar w:fldCharType="begin"/>
        </w:r>
        <w:r w:rsidR="00516B98" w:rsidRPr="00862684">
          <w:rPr>
            <w:webHidden/>
          </w:rPr>
          <w:instrText xml:space="preserve"> PAGEREF _Toc85792401 \h </w:instrText>
        </w:r>
        <w:r w:rsidR="00516B98" w:rsidRPr="00862684">
          <w:rPr>
            <w:webHidden/>
          </w:rPr>
        </w:r>
        <w:r w:rsidR="00516B98" w:rsidRPr="00862684">
          <w:rPr>
            <w:webHidden/>
          </w:rPr>
          <w:fldChar w:fldCharType="separate"/>
        </w:r>
        <w:r w:rsidR="00516B98" w:rsidRPr="00862684">
          <w:rPr>
            <w:webHidden/>
          </w:rPr>
          <w:t>5</w:t>
        </w:r>
        <w:r w:rsidR="00516B98" w:rsidRPr="00862684">
          <w:rPr>
            <w:webHidden/>
          </w:rPr>
          <w:fldChar w:fldCharType="end"/>
        </w:r>
      </w:hyperlink>
    </w:p>
    <w:p w14:paraId="13C8BA57" w14:textId="6EC90712" w:rsidR="00516B98" w:rsidRPr="00ED5071" w:rsidRDefault="00977A60" w:rsidP="005350CE">
      <w:pPr>
        <w:pStyle w:val="TOC2"/>
        <w:rPr>
          <w:rFonts w:asciiTheme="minorHAnsi" w:eastAsiaTheme="minorEastAsia" w:hAnsiTheme="minorHAnsi"/>
          <w:color w:val="auto"/>
          <w:lang w:eastAsia="zh-CN" w:bidi="th-TH"/>
        </w:rPr>
      </w:pPr>
      <w:hyperlink w:anchor="_Toc85792402" w:history="1">
        <w:r w:rsidR="00516B98" w:rsidRPr="00ED5071">
          <w:rPr>
            <w:rStyle w:val="Hyperlink"/>
            <w:b w:val="0"/>
            <w:bCs/>
          </w:rPr>
          <w:t>1.1</w:t>
        </w:r>
        <w:r w:rsidR="00516B98" w:rsidRPr="00ED5071">
          <w:rPr>
            <w:rFonts w:asciiTheme="minorHAnsi" w:eastAsiaTheme="minorEastAsia" w:hAnsiTheme="minorHAnsi"/>
            <w:color w:val="auto"/>
            <w:lang w:eastAsia="zh-CN" w:bidi="th-TH"/>
          </w:rPr>
          <w:tab/>
        </w:r>
        <w:r w:rsidR="00516B98" w:rsidRPr="00ED5071">
          <w:rPr>
            <w:rStyle w:val="Hyperlink"/>
            <w:b w:val="0"/>
            <w:bCs/>
          </w:rPr>
          <w:t>Background</w:t>
        </w:r>
        <w:r w:rsidR="00516B98" w:rsidRPr="00ED5071">
          <w:rPr>
            <w:webHidden/>
          </w:rPr>
          <w:tab/>
        </w:r>
        <w:r w:rsidR="00516B98" w:rsidRPr="00ED5071">
          <w:rPr>
            <w:webHidden/>
          </w:rPr>
          <w:fldChar w:fldCharType="begin"/>
        </w:r>
        <w:r w:rsidR="00516B98" w:rsidRPr="00ED5071">
          <w:rPr>
            <w:webHidden/>
          </w:rPr>
          <w:instrText xml:space="preserve"> PAGEREF _Toc85792402 \h </w:instrText>
        </w:r>
        <w:r w:rsidR="00516B98" w:rsidRPr="00ED5071">
          <w:rPr>
            <w:webHidden/>
          </w:rPr>
        </w:r>
        <w:r w:rsidR="00516B98" w:rsidRPr="00ED5071">
          <w:rPr>
            <w:webHidden/>
          </w:rPr>
          <w:fldChar w:fldCharType="separate"/>
        </w:r>
        <w:r w:rsidR="00516B98" w:rsidRPr="00ED5071">
          <w:rPr>
            <w:webHidden/>
          </w:rPr>
          <w:t>5</w:t>
        </w:r>
        <w:r w:rsidR="00516B98" w:rsidRPr="00ED5071">
          <w:rPr>
            <w:webHidden/>
          </w:rPr>
          <w:fldChar w:fldCharType="end"/>
        </w:r>
      </w:hyperlink>
    </w:p>
    <w:p w14:paraId="16A14DCF" w14:textId="26ABF617" w:rsidR="00516B98" w:rsidRPr="00ED5071" w:rsidRDefault="00977A60" w:rsidP="005350CE">
      <w:pPr>
        <w:pStyle w:val="TOC2"/>
        <w:rPr>
          <w:rFonts w:asciiTheme="minorHAnsi" w:eastAsiaTheme="minorEastAsia" w:hAnsiTheme="minorHAnsi"/>
          <w:color w:val="auto"/>
          <w:lang w:eastAsia="zh-CN" w:bidi="th-TH"/>
        </w:rPr>
      </w:pPr>
      <w:hyperlink w:anchor="_Toc85792403" w:history="1">
        <w:r w:rsidR="00516B98" w:rsidRPr="00ED5071">
          <w:rPr>
            <w:rStyle w:val="Hyperlink"/>
            <w:b w:val="0"/>
            <w:bCs/>
          </w:rPr>
          <w:t>1.2</w:t>
        </w:r>
        <w:r w:rsidR="00516B98" w:rsidRPr="00ED5071">
          <w:rPr>
            <w:rFonts w:asciiTheme="minorHAnsi" w:eastAsiaTheme="minorEastAsia" w:hAnsiTheme="minorHAnsi"/>
            <w:color w:val="auto"/>
            <w:lang w:eastAsia="zh-CN" w:bidi="th-TH"/>
          </w:rPr>
          <w:tab/>
        </w:r>
        <w:r w:rsidR="00516B98" w:rsidRPr="00ED5071">
          <w:rPr>
            <w:rStyle w:val="Hyperlink"/>
            <w:b w:val="0"/>
            <w:bCs/>
          </w:rPr>
          <w:t>The Australian Sports Wagering Scheme</w:t>
        </w:r>
        <w:r w:rsidR="00516B98" w:rsidRPr="00ED5071">
          <w:rPr>
            <w:webHidden/>
          </w:rPr>
          <w:tab/>
        </w:r>
        <w:r w:rsidR="00516B98" w:rsidRPr="00ED5071">
          <w:rPr>
            <w:webHidden/>
          </w:rPr>
          <w:fldChar w:fldCharType="begin"/>
        </w:r>
        <w:r w:rsidR="00516B98" w:rsidRPr="00ED5071">
          <w:rPr>
            <w:webHidden/>
          </w:rPr>
          <w:instrText xml:space="preserve"> PAGEREF _Toc85792403 \h </w:instrText>
        </w:r>
        <w:r w:rsidR="00516B98" w:rsidRPr="00ED5071">
          <w:rPr>
            <w:webHidden/>
          </w:rPr>
        </w:r>
        <w:r w:rsidR="00516B98" w:rsidRPr="00ED5071">
          <w:rPr>
            <w:webHidden/>
          </w:rPr>
          <w:fldChar w:fldCharType="separate"/>
        </w:r>
        <w:r w:rsidR="00516B98" w:rsidRPr="00ED5071">
          <w:rPr>
            <w:webHidden/>
          </w:rPr>
          <w:t>5</w:t>
        </w:r>
        <w:r w:rsidR="00516B98" w:rsidRPr="00ED5071">
          <w:rPr>
            <w:webHidden/>
          </w:rPr>
          <w:fldChar w:fldCharType="end"/>
        </w:r>
      </w:hyperlink>
    </w:p>
    <w:p w14:paraId="4532CC80" w14:textId="62516E7D" w:rsidR="00516B98" w:rsidRPr="00ED5071" w:rsidRDefault="00977A60" w:rsidP="005350CE">
      <w:pPr>
        <w:pStyle w:val="TOC2"/>
        <w:rPr>
          <w:rFonts w:asciiTheme="minorHAnsi" w:eastAsiaTheme="minorEastAsia" w:hAnsiTheme="minorHAnsi"/>
          <w:color w:val="auto"/>
          <w:lang w:eastAsia="zh-CN" w:bidi="th-TH"/>
        </w:rPr>
      </w:pPr>
      <w:hyperlink w:anchor="_Toc85792404" w:history="1">
        <w:r w:rsidR="00516B98" w:rsidRPr="00ED5071">
          <w:rPr>
            <w:rStyle w:val="Hyperlink"/>
            <w:b w:val="0"/>
            <w:bCs/>
          </w:rPr>
          <w:t>1.3</w:t>
        </w:r>
        <w:r w:rsidR="00516B98" w:rsidRPr="00ED5071">
          <w:rPr>
            <w:rFonts w:asciiTheme="minorHAnsi" w:eastAsiaTheme="minorEastAsia" w:hAnsiTheme="minorHAnsi"/>
            <w:color w:val="auto"/>
            <w:lang w:eastAsia="zh-CN" w:bidi="th-TH"/>
          </w:rPr>
          <w:tab/>
        </w:r>
        <w:r w:rsidR="00516B98" w:rsidRPr="00ED5071">
          <w:rPr>
            <w:rStyle w:val="Hyperlink"/>
            <w:b w:val="0"/>
            <w:bCs/>
          </w:rPr>
          <w:t>Areas outside scope</w:t>
        </w:r>
        <w:r w:rsidR="00516B98" w:rsidRPr="00ED5071">
          <w:rPr>
            <w:webHidden/>
          </w:rPr>
          <w:tab/>
        </w:r>
        <w:r w:rsidR="00516B98" w:rsidRPr="00ED5071">
          <w:rPr>
            <w:webHidden/>
          </w:rPr>
          <w:fldChar w:fldCharType="begin"/>
        </w:r>
        <w:r w:rsidR="00516B98" w:rsidRPr="00ED5071">
          <w:rPr>
            <w:webHidden/>
          </w:rPr>
          <w:instrText xml:space="preserve"> PAGEREF _Toc85792404 \h </w:instrText>
        </w:r>
        <w:r w:rsidR="00516B98" w:rsidRPr="00ED5071">
          <w:rPr>
            <w:webHidden/>
          </w:rPr>
        </w:r>
        <w:r w:rsidR="00516B98" w:rsidRPr="00ED5071">
          <w:rPr>
            <w:webHidden/>
          </w:rPr>
          <w:fldChar w:fldCharType="separate"/>
        </w:r>
        <w:r w:rsidR="00516B98" w:rsidRPr="00ED5071">
          <w:rPr>
            <w:webHidden/>
          </w:rPr>
          <w:t>6</w:t>
        </w:r>
        <w:r w:rsidR="00516B98" w:rsidRPr="00ED5071">
          <w:rPr>
            <w:webHidden/>
          </w:rPr>
          <w:fldChar w:fldCharType="end"/>
        </w:r>
      </w:hyperlink>
    </w:p>
    <w:p w14:paraId="48DC1D38" w14:textId="7634B070" w:rsidR="00516B98" w:rsidRPr="00ED5071" w:rsidRDefault="00977A60" w:rsidP="005350CE">
      <w:pPr>
        <w:pStyle w:val="TOC2"/>
        <w:rPr>
          <w:rFonts w:asciiTheme="minorHAnsi" w:eastAsiaTheme="minorEastAsia" w:hAnsiTheme="minorHAnsi"/>
          <w:color w:val="auto"/>
          <w:lang w:eastAsia="zh-CN" w:bidi="th-TH"/>
        </w:rPr>
      </w:pPr>
      <w:hyperlink w:anchor="_Toc85792405" w:history="1">
        <w:r w:rsidR="00516B98" w:rsidRPr="00ED5071">
          <w:rPr>
            <w:rStyle w:val="Hyperlink"/>
            <w:b w:val="0"/>
            <w:bCs/>
          </w:rPr>
          <w:t>1.4</w:t>
        </w:r>
        <w:r w:rsidR="00516B98" w:rsidRPr="00ED5071">
          <w:rPr>
            <w:rFonts w:asciiTheme="minorHAnsi" w:eastAsiaTheme="minorEastAsia" w:hAnsiTheme="minorHAnsi"/>
            <w:color w:val="auto"/>
            <w:lang w:eastAsia="zh-CN" w:bidi="th-TH"/>
          </w:rPr>
          <w:tab/>
        </w:r>
        <w:r w:rsidR="00516B98" w:rsidRPr="00ED5071">
          <w:rPr>
            <w:rStyle w:val="Hyperlink"/>
            <w:b w:val="0"/>
            <w:bCs/>
          </w:rPr>
          <w:t>About this Regulatory Impact Statement</w:t>
        </w:r>
        <w:r w:rsidR="00516B98" w:rsidRPr="00ED5071">
          <w:rPr>
            <w:webHidden/>
          </w:rPr>
          <w:tab/>
        </w:r>
        <w:r w:rsidR="00516B98" w:rsidRPr="00ED5071">
          <w:rPr>
            <w:webHidden/>
          </w:rPr>
          <w:fldChar w:fldCharType="begin"/>
        </w:r>
        <w:r w:rsidR="00516B98" w:rsidRPr="00ED5071">
          <w:rPr>
            <w:webHidden/>
          </w:rPr>
          <w:instrText xml:space="preserve"> PAGEREF _Toc85792405 \h </w:instrText>
        </w:r>
        <w:r w:rsidR="00516B98" w:rsidRPr="00ED5071">
          <w:rPr>
            <w:webHidden/>
          </w:rPr>
        </w:r>
        <w:r w:rsidR="00516B98" w:rsidRPr="00ED5071">
          <w:rPr>
            <w:webHidden/>
          </w:rPr>
          <w:fldChar w:fldCharType="separate"/>
        </w:r>
        <w:r w:rsidR="00516B98" w:rsidRPr="00ED5071">
          <w:rPr>
            <w:webHidden/>
          </w:rPr>
          <w:t>6</w:t>
        </w:r>
        <w:r w:rsidR="00516B98" w:rsidRPr="00ED5071">
          <w:rPr>
            <w:webHidden/>
          </w:rPr>
          <w:fldChar w:fldCharType="end"/>
        </w:r>
      </w:hyperlink>
    </w:p>
    <w:p w14:paraId="3F59DB90" w14:textId="4267BF07" w:rsidR="00516B98" w:rsidRPr="00862684" w:rsidRDefault="00977A60" w:rsidP="005350CE">
      <w:pPr>
        <w:pStyle w:val="TOC1"/>
        <w:rPr>
          <w:rFonts w:asciiTheme="minorHAnsi" w:eastAsiaTheme="minorEastAsia" w:hAnsiTheme="minorHAnsi"/>
          <w:b w:val="0"/>
          <w:sz w:val="22"/>
          <w:szCs w:val="28"/>
          <w:u w:val="none"/>
          <w:lang w:eastAsia="zh-CN" w:bidi="th-TH"/>
        </w:rPr>
      </w:pPr>
      <w:hyperlink w:anchor="_Toc85792406" w:history="1">
        <w:r w:rsidR="00516B98" w:rsidRPr="00862684">
          <w:rPr>
            <w:rStyle w:val="Hyperlink"/>
            <w:rFonts w:ascii="Calibri" w:hAnsi="Calibri" w:cs="Calibri"/>
          </w:rPr>
          <w:t>2</w:t>
        </w:r>
        <w:r w:rsidR="00516B98" w:rsidRPr="00862684">
          <w:rPr>
            <w:rFonts w:asciiTheme="minorHAnsi" w:eastAsiaTheme="minorEastAsia" w:hAnsiTheme="minorHAnsi"/>
            <w:b w:val="0"/>
            <w:sz w:val="22"/>
            <w:szCs w:val="28"/>
            <w:u w:val="none"/>
            <w:lang w:eastAsia="zh-CN" w:bidi="th-TH"/>
          </w:rPr>
          <w:tab/>
        </w:r>
        <w:r w:rsidR="00516B98" w:rsidRPr="00862684">
          <w:rPr>
            <w:rStyle w:val="Hyperlink"/>
            <w:rFonts w:ascii="Calibri" w:hAnsi="Calibri" w:cs="Calibri"/>
          </w:rPr>
          <w:t>The current regulatory framework for sports wagering</w:t>
        </w:r>
        <w:r w:rsidR="00516B98" w:rsidRPr="00862684">
          <w:rPr>
            <w:webHidden/>
          </w:rPr>
          <w:tab/>
        </w:r>
        <w:r w:rsidR="00516B98" w:rsidRPr="00862684">
          <w:rPr>
            <w:webHidden/>
          </w:rPr>
          <w:fldChar w:fldCharType="begin"/>
        </w:r>
        <w:r w:rsidR="00516B98" w:rsidRPr="00862684">
          <w:rPr>
            <w:webHidden/>
          </w:rPr>
          <w:instrText xml:space="preserve"> PAGEREF _Toc85792406 \h </w:instrText>
        </w:r>
        <w:r w:rsidR="00516B98" w:rsidRPr="00862684">
          <w:rPr>
            <w:webHidden/>
          </w:rPr>
        </w:r>
        <w:r w:rsidR="00516B98" w:rsidRPr="00862684">
          <w:rPr>
            <w:webHidden/>
          </w:rPr>
          <w:fldChar w:fldCharType="separate"/>
        </w:r>
        <w:r w:rsidR="00516B98" w:rsidRPr="00862684">
          <w:rPr>
            <w:webHidden/>
          </w:rPr>
          <w:t>8</w:t>
        </w:r>
        <w:r w:rsidR="00516B98" w:rsidRPr="00862684">
          <w:rPr>
            <w:webHidden/>
          </w:rPr>
          <w:fldChar w:fldCharType="end"/>
        </w:r>
      </w:hyperlink>
    </w:p>
    <w:p w14:paraId="75490491" w14:textId="7D610FE3" w:rsidR="00516B98" w:rsidRPr="00ED5071" w:rsidRDefault="00977A60" w:rsidP="005350CE">
      <w:pPr>
        <w:pStyle w:val="TOC2"/>
        <w:rPr>
          <w:rFonts w:asciiTheme="minorHAnsi" w:eastAsiaTheme="minorEastAsia" w:hAnsiTheme="minorHAnsi"/>
          <w:color w:val="auto"/>
          <w:lang w:eastAsia="zh-CN" w:bidi="th-TH"/>
        </w:rPr>
      </w:pPr>
      <w:hyperlink w:anchor="_Toc85792407" w:history="1">
        <w:r w:rsidR="00516B98" w:rsidRPr="00ED5071">
          <w:rPr>
            <w:rStyle w:val="Hyperlink"/>
            <w:b w:val="0"/>
            <w:bCs/>
          </w:rPr>
          <w:t>2.1</w:t>
        </w:r>
        <w:r w:rsidR="00516B98" w:rsidRPr="00ED5071">
          <w:rPr>
            <w:rFonts w:asciiTheme="minorHAnsi" w:eastAsiaTheme="minorEastAsia" w:hAnsiTheme="minorHAnsi"/>
            <w:color w:val="auto"/>
            <w:lang w:eastAsia="zh-CN" w:bidi="th-TH"/>
          </w:rPr>
          <w:tab/>
        </w:r>
        <w:r w:rsidR="00516B98" w:rsidRPr="00ED5071">
          <w:rPr>
            <w:rStyle w:val="Hyperlink"/>
            <w:b w:val="0"/>
            <w:bCs/>
          </w:rPr>
          <w:t>Overview of sports wagering regulation in Australia</w:t>
        </w:r>
        <w:r w:rsidR="00516B98" w:rsidRPr="00ED5071">
          <w:rPr>
            <w:webHidden/>
          </w:rPr>
          <w:tab/>
        </w:r>
        <w:r w:rsidR="00516B98" w:rsidRPr="00ED5071">
          <w:rPr>
            <w:webHidden/>
          </w:rPr>
          <w:fldChar w:fldCharType="begin"/>
        </w:r>
        <w:r w:rsidR="00516B98" w:rsidRPr="00ED5071">
          <w:rPr>
            <w:webHidden/>
          </w:rPr>
          <w:instrText xml:space="preserve"> PAGEREF _Toc85792407 \h </w:instrText>
        </w:r>
        <w:r w:rsidR="00516B98" w:rsidRPr="00ED5071">
          <w:rPr>
            <w:webHidden/>
          </w:rPr>
        </w:r>
        <w:r w:rsidR="00516B98" w:rsidRPr="00ED5071">
          <w:rPr>
            <w:webHidden/>
          </w:rPr>
          <w:fldChar w:fldCharType="separate"/>
        </w:r>
        <w:r w:rsidR="00516B98" w:rsidRPr="00ED5071">
          <w:rPr>
            <w:webHidden/>
          </w:rPr>
          <w:t>8</w:t>
        </w:r>
        <w:r w:rsidR="00516B98" w:rsidRPr="00ED5071">
          <w:rPr>
            <w:webHidden/>
          </w:rPr>
          <w:fldChar w:fldCharType="end"/>
        </w:r>
      </w:hyperlink>
    </w:p>
    <w:p w14:paraId="0D41260A" w14:textId="589F9A96" w:rsidR="00516B98" w:rsidRPr="00ED5071" w:rsidRDefault="00977A60" w:rsidP="005350CE">
      <w:pPr>
        <w:pStyle w:val="TOC2"/>
        <w:rPr>
          <w:rFonts w:asciiTheme="minorHAnsi" w:eastAsiaTheme="minorEastAsia" w:hAnsiTheme="minorHAnsi"/>
          <w:color w:val="auto"/>
          <w:lang w:eastAsia="zh-CN" w:bidi="th-TH"/>
        </w:rPr>
      </w:pPr>
      <w:hyperlink w:anchor="_Toc85792408" w:history="1">
        <w:r w:rsidR="00516B98" w:rsidRPr="00ED5071">
          <w:rPr>
            <w:rStyle w:val="Hyperlink"/>
            <w:b w:val="0"/>
            <w:bCs/>
            <w:lang w:val="en-US"/>
          </w:rPr>
          <w:t>2.2</w:t>
        </w:r>
        <w:r w:rsidR="00516B98" w:rsidRPr="00ED5071">
          <w:rPr>
            <w:rFonts w:asciiTheme="minorHAnsi" w:eastAsiaTheme="minorEastAsia" w:hAnsiTheme="minorHAnsi"/>
            <w:color w:val="auto"/>
            <w:lang w:eastAsia="zh-CN" w:bidi="th-TH"/>
          </w:rPr>
          <w:tab/>
        </w:r>
        <w:r w:rsidR="00516B98" w:rsidRPr="00ED5071">
          <w:rPr>
            <w:rStyle w:val="Hyperlink"/>
            <w:b w:val="0"/>
            <w:bCs/>
          </w:rPr>
          <w:t>State and territory regulation of sports wagering</w:t>
        </w:r>
        <w:r w:rsidR="00516B98" w:rsidRPr="00ED5071">
          <w:rPr>
            <w:webHidden/>
          </w:rPr>
          <w:tab/>
        </w:r>
        <w:r w:rsidR="00516B98" w:rsidRPr="00ED5071">
          <w:rPr>
            <w:webHidden/>
          </w:rPr>
          <w:fldChar w:fldCharType="begin"/>
        </w:r>
        <w:r w:rsidR="00516B98" w:rsidRPr="00ED5071">
          <w:rPr>
            <w:webHidden/>
          </w:rPr>
          <w:instrText xml:space="preserve"> PAGEREF _Toc85792408 \h </w:instrText>
        </w:r>
        <w:r w:rsidR="00516B98" w:rsidRPr="00ED5071">
          <w:rPr>
            <w:webHidden/>
          </w:rPr>
        </w:r>
        <w:r w:rsidR="00516B98" w:rsidRPr="00ED5071">
          <w:rPr>
            <w:webHidden/>
          </w:rPr>
          <w:fldChar w:fldCharType="separate"/>
        </w:r>
        <w:r w:rsidR="00516B98" w:rsidRPr="00ED5071">
          <w:rPr>
            <w:webHidden/>
          </w:rPr>
          <w:t>9</w:t>
        </w:r>
        <w:r w:rsidR="00516B98" w:rsidRPr="00ED5071">
          <w:rPr>
            <w:webHidden/>
          </w:rPr>
          <w:fldChar w:fldCharType="end"/>
        </w:r>
      </w:hyperlink>
    </w:p>
    <w:p w14:paraId="175D0EC0" w14:textId="6252FB56" w:rsidR="00516B98" w:rsidRPr="00ED5071" w:rsidRDefault="00977A60" w:rsidP="005350CE">
      <w:pPr>
        <w:pStyle w:val="TOC2"/>
        <w:rPr>
          <w:rFonts w:asciiTheme="minorHAnsi" w:eastAsiaTheme="minorEastAsia" w:hAnsiTheme="minorHAnsi"/>
          <w:color w:val="auto"/>
          <w:lang w:eastAsia="zh-CN" w:bidi="th-TH"/>
        </w:rPr>
      </w:pPr>
      <w:hyperlink w:anchor="_Toc85792409" w:history="1">
        <w:r w:rsidR="00516B98" w:rsidRPr="00ED5071">
          <w:rPr>
            <w:rStyle w:val="Hyperlink"/>
            <w:rFonts w:eastAsia="MS Gothic"/>
            <w:b w:val="0"/>
            <w:bCs/>
          </w:rPr>
          <w:t>2.3</w:t>
        </w:r>
        <w:r w:rsidR="00516B98" w:rsidRPr="00ED5071">
          <w:rPr>
            <w:rFonts w:asciiTheme="minorHAnsi" w:eastAsiaTheme="minorEastAsia" w:hAnsiTheme="minorHAnsi"/>
            <w:color w:val="auto"/>
            <w:lang w:eastAsia="zh-CN" w:bidi="th-TH"/>
          </w:rPr>
          <w:tab/>
        </w:r>
        <w:r w:rsidR="00516B98" w:rsidRPr="00ED5071">
          <w:rPr>
            <w:rStyle w:val="Hyperlink"/>
            <w:b w:val="0"/>
            <w:bCs/>
          </w:rPr>
          <w:t>Information sharing</w:t>
        </w:r>
        <w:r w:rsidR="00516B98" w:rsidRPr="00ED5071">
          <w:rPr>
            <w:webHidden/>
          </w:rPr>
          <w:tab/>
        </w:r>
        <w:r w:rsidR="00516B98" w:rsidRPr="00ED5071">
          <w:rPr>
            <w:webHidden/>
          </w:rPr>
          <w:fldChar w:fldCharType="begin"/>
        </w:r>
        <w:r w:rsidR="00516B98" w:rsidRPr="00ED5071">
          <w:rPr>
            <w:webHidden/>
          </w:rPr>
          <w:instrText xml:space="preserve"> PAGEREF _Toc85792409 \h </w:instrText>
        </w:r>
        <w:r w:rsidR="00516B98" w:rsidRPr="00ED5071">
          <w:rPr>
            <w:webHidden/>
          </w:rPr>
        </w:r>
        <w:r w:rsidR="00516B98" w:rsidRPr="00ED5071">
          <w:rPr>
            <w:webHidden/>
          </w:rPr>
          <w:fldChar w:fldCharType="separate"/>
        </w:r>
        <w:r w:rsidR="00516B98" w:rsidRPr="00ED5071">
          <w:rPr>
            <w:webHidden/>
          </w:rPr>
          <w:t>13</w:t>
        </w:r>
        <w:r w:rsidR="00516B98" w:rsidRPr="00ED5071">
          <w:rPr>
            <w:webHidden/>
          </w:rPr>
          <w:fldChar w:fldCharType="end"/>
        </w:r>
      </w:hyperlink>
    </w:p>
    <w:p w14:paraId="680B894E" w14:textId="278F9842" w:rsidR="00516B98" w:rsidRPr="00ED5071" w:rsidRDefault="00977A60" w:rsidP="005350CE">
      <w:pPr>
        <w:pStyle w:val="TOC2"/>
        <w:rPr>
          <w:rFonts w:asciiTheme="minorHAnsi" w:eastAsiaTheme="minorEastAsia" w:hAnsiTheme="minorHAnsi"/>
          <w:color w:val="auto"/>
          <w:lang w:eastAsia="zh-CN" w:bidi="th-TH"/>
        </w:rPr>
      </w:pPr>
      <w:hyperlink w:anchor="_Toc85792410" w:history="1">
        <w:r w:rsidR="00516B98" w:rsidRPr="00ED5071">
          <w:rPr>
            <w:rStyle w:val="Hyperlink"/>
            <w:b w:val="0"/>
            <w:bCs/>
          </w:rPr>
          <w:t>2.4</w:t>
        </w:r>
        <w:r w:rsidR="00516B98" w:rsidRPr="00ED5071">
          <w:rPr>
            <w:rFonts w:asciiTheme="minorHAnsi" w:eastAsiaTheme="minorEastAsia" w:hAnsiTheme="minorHAnsi"/>
            <w:color w:val="auto"/>
            <w:lang w:eastAsia="zh-CN" w:bidi="th-TH"/>
          </w:rPr>
          <w:tab/>
        </w:r>
        <w:r w:rsidR="00516B98" w:rsidRPr="00ED5071">
          <w:rPr>
            <w:rStyle w:val="Hyperlink"/>
            <w:b w:val="0"/>
            <w:bCs/>
          </w:rPr>
          <w:t>Revenue and funding</w:t>
        </w:r>
        <w:r w:rsidR="00516B98" w:rsidRPr="00ED5071">
          <w:rPr>
            <w:webHidden/>
          </w:rPr>
          <w:tab/>
        </w:r>
        <w:r w:rsidR="00516B98" w:rsidRPr="00ED5071">
          <w:rPr>
            <w:webHidden/>
          </w:rPr>
          <w:fldChar w:fldCharType="begin"/>
        </w:r>
        <w:r w:rsidR="00516B98" w:rsidRPr="00ED5071">
          <w:rPr>
            <w:webHidden/>
          </w:rPr>
          <w:instrText xml:space="preserve"> PAGEREF _Toc85792410 \h </w:instrText>
        </w:r>
        <w:r w:rsidR="00516B98" w:rsidRPr="00ED5071">
          <w:rPr>
            <w:webHidden/>
          </w:rPr>
        </w:r>
        <w:r w:rsidR="00516B98" w:rsidRPr="00ED5071">
          <w:rPr>
            <w:webHidden/>
          </w:rPr>
          <w:fldChar w:fldCharType="separate"/>
        </w:r>
        <w:r w:rsidR="00516B98" w:rsidRPr="00ED5071">
          <w:rPr>
            <w:webHidden/>
          </w:rPr>
          <w:t>13</w:t>
        </w:r>
        <w:r w:rsidR="00516B98" w:rsidRPr="00ED5071">
          <w:rPr>
            <w:webHidden/>
          </w:rPr>
          <w:fldChar w:fldCharType="end"/>
        </w:r>
      </w:hyperlink>
    </w:p>
    <w:p w14:paraId="1D9F5FF6" w14:textId="698FF083" w:rsidR="00516B98" w:rsidRPr="00ED5071" w:rsidRDefault="00977A60" w:rsidP="005350CE">
      <w:pPr>
        <w:pStyle w:val="TOC2"/>
        <w:rPr>
          <w:rFonts w:asciiTheme="minorHAnsi" w:eastAsiaTheme="minorEastAsia" w:hAnsiTheme="minorHAnsi"/>
          <w:color w:val="auto"/>
          <w:lang w:eastAsia="zh-CN" w:bidi="th-TH"/>
        </w:rPr>
      </w:pPr>
      <w:hyperlink w:anchor="_Toc85792411" w:history="1">
        <w:r w:rsidR="00516B98" w:rsidRPr="00ED5071">
          <w:rPr>
            <w:rStyle w:val="Hyperlink"/>
            <w:b w:val="0"/>
            <w:bCs/>
          </w:rPr>
          <w:t>2.5</w:t>
        </w:r>
        <w:r w:rsidR="00516B98" w:rsidRPr="00ED5071">
          <w:rPr>
            <w:rFonts w:asciiTheme="minorHAnsi" w:eastAsiaTheme="minorEastAsia" w:hAnsiTheme="minorHAnsi"/>
            <w:color w:val="auto"/>
            <w:lang w:eastAsia="zh-CN" w:bidi="th-TH"/>
          </w:rPr>
          <w:tab/>
        </w:r>
        <w:r w:rsidR="00516B98" w:rsidRPr="00ED5071">
          <w:rPr>
            <w:rStyle w:val="Hyperlink"/>
            <w:b w:val="0"/>
            <w:bCs/>
          </w:rPr>
          <w:t>Other issues</w:t>
        </w:r>
        <w:r w:rsidR="00516B98" w:rsidRPr="00ED5071">
          <w:rPr>
            <w:webHidden/>
          </w:rPr>
          <w:tab/>
        </w:r>
        <w:r w:rsidR="00516B98" w:rsidRPr="00ED5071">
          <w:rPr>
            <w:webHidden/>
          </w:rPr>
          <w:fldChar w:fldCharType="begin"/>
        </w:r>
        <w:r w:rsidR="00516B98" w:rsidRPr="00ED5071">
          <w:rPr>
            <w:webHidden/>
          </w:rPr>
          <w:instrText xml:space="preserve"> PAGEREF _Toc85792411 \h </w:instrText>
        </w:r>
        <w:r w:rsidR="00516B98" w:rsidRPr="00ED5071">
          <w:rPr>
            <w:webHidden/>
          </w:rPr>
        </w:r>
        <w:r w:rsidR="00516B98" w:rsidRPr="00ED5071">
          <w:rPr>
            <w:webHidden/>
          </w:rPr>
          <w:fldChar w:fldCharType="separate"/>
        </w:r>
        <w:r w:rsidR="00516B98" w:rsidRPr="00ED5071">
          <w:rPr>
            <w:webHidden/>
          </w:rPr>
          <w:t>14</w:t>
        </w:r>
        <w:r w:rsidR="00516B98" w:rsidRPr="00ED5071">
          <w:rPr>
            <w:webHidden/>
          </w:rPr>
          <w:fldChar w:fldCharType="end"/>
        </w:r>
      </w:hyperlink>
    </w:p>
    <w:p w14:paraId="0631260E" w14:textId="2DB01283" w:rsidR="00516B98" w:rsidRPr="00862684" w:rsidRDefault="00977A60" w:rsidP="005350CE">
      <w:pPr>
        <w:pStyle w:val="TOC1"/>
        <w:rPr>
          <w:rFonts w:asciiTheme="minorHAnsi" w:eastAsiaTheme="minorEastAsia" w:hAnsiTheme="minorHAnsi"/>
          <w:b w:val="0"/>
          <w:sz w:val="22"/>
          <w:szCs w:val="28"/>
          <w:u w:val="none"/>
          <w:lang w:eastAsia="zh-CN" w:bidi="th-TH"/>
        </w:rPr>
      </w:pPr>
      <w:hyperlink w:anchor="_Toc85792412" w:history="1">
        <w:r w:rsidR="00516B98" w:rsidRPr="00862684">
          <w:rPr>
            <w:rStyle w:val="Hyperlink"/>
            <w:rFonts w:ascii="Calibri" w:hAnsi="Calibri" w:cs="Calibri"/>
            <w:lang w:val="en-US" w:eastAsia="en-AU"/>
          </w:rPr>
          <w:t>3</w:t>
        </w:r>
        <w:r w:rsidR="00516B98" w:rsidRPr="00862684">
          <w:rPr>
            <w:rFonts w:asciiTheme="minorHAnsi" w:eastAsiaTheme="minorEastAsia" w:hAnsiTheme="minorHAnsi"/>
            <w:b w:val="0"/>
            <w:sz w:val="22"/>
            <w:szCs w:val="28"/>
            <w:u w:val="none"/>
            <w:lang w:eastAsia="zh-CN" w:bidi="th-TH"/>
          </w:rPr>
          <w:tab/>
        </w:r>
        <w:r w:rsidR="00516B98" w:rsidRPr="00862684">
          <w:rPr>
            <w:rStyle w:val="Hyperlink"/>
            <w:rFonts w:ascii="Calibri" w:hAnsi="Calibri" w:cs="Calibri"/>
          </w:rPr>
          <w:t>What is the problem?</w:t>
        </w:r>
        <w:r w:rsidR="00516B98" w:rsidRPr="00862684">
          <w:rPr>
            <w:webHidden/>
          </w:rPr>
          <w:tab/>
        </w:r>
        <w:r w:rsidR="00516B98" w:rsidRPr="00862684">
          <w:rPr>
            <w:webHidden/>
          </w:rPr>
          <w:fldChar w:fldCharType="begin"/>
        </w:r>
        <w:r w:rsidR="00516B98" w:rsidRPr="00862684">
          <w:rPr>
            <w:webHidden/>
          </w:rPr>
          <w:instrText xml:space="preserve"> PAGEREF _Toc85792412 \h </w:instrText>
        </w:r>
        <w:r w:rsidR="00516B98" w:rsidRPr="00862684">
          <w:rPr>
            <w:webHidden/>
          </w:rPr>
        </w:r>
        <w:r w:rsidR="00516B98" w:rsidRPr="00862684">
          <w:rPr>
            <w:webHidden/>
          </w:rPr>
          <w:fldChar w:fldCharType="separate"/>
        </w:r>
        <w:r w:rsidR="00516B98" w:rsidRPr="00862684">
          <w:rPr>
            <w:webHidden/>
          </w:rPr>
          <w:t>18</w:t>
        </w:r>
        <w:r w:rsidR="00516B98" w:rsidRPr="00862684">
          <w:rPr>
            <w:webHidden/>
          </w:rPr>
          <w:fldChar w:fldCharType="end"/>
        </w:r>
      </w:hyperlink>
    </w:p>
    <w:p w14:paraId="268D97B7" w14:textId="326BEAD1" w:rsidR="00516B98" w:rsidRPr="00ED5071" w:rsidRDefault="00977A60" w:rsidP="005350CE">
      <w:pPr>
        <w:pStyle w:val="TOC2"/>
        <w:rPr>
          <w:rFonts w:asciiTheme="minorHAnsi" w:eastAsiaTheme="minorEastAsia" w:hAnsiTheme="minorHAnsi"/>
          <w:color w:val="auto"/>
          <w:lang w:eastAsia="zh-CN" w:bidi="th-TH"/>
        </w:rPr>
      </w:pPr>
      <w:hyperlink w:anchor="_Toc85792413" w:history="1">
        <w:r w:rsidR="00516B98" w:rsidRPr="00ED5071">
          <w:rPr>
            <w:rStyle w:val="Hyperlink"/>
            <w:b w:val="0"/>
            <w:bCs/>
          </w:rPr>
          <w:t>3.1</w:t>
        </w:r>
        <w:r w:rsidR="00516B98" w:rsidRPr="00ED5071">
          <w:rPr>
            <w:rFonts w:asciiTheme="minorHAnsi" w:eastAsiaTheme="minorEastAsia" w:hAnsiTheme="minorHAnsi"/>
            <w:color w:val="auto"/>
            <w:lang w:eastAsia="zh-CN" w:bidi="th-TH"/>
          </w:rPr>
          <w:tab/>
        </w:r>
        <w:r w:rsidR="00516B98" w:rsidRPr="00ED5071">
          <w:rPr>
            <w:rStyle w:val="Hyperlink"/>
            <w:b w:val="0"/>
            <w:bCs/>
          </w:rPr>
          <w:t>The issues with the current regulatory approach</w:t>
        </w:r>
        <w:r w:rsidR="00516B98" w:rsidRPr="00ED5071">
          <w:rPr>
            <w:webHidden/>
          </w:rPr>
          <w:tab/>
        </w:r>
        <w:r w:rsidR="00516B98" w:rsidRPr="00ED5071">
          <w:rPr>
            <w:webHidden/>
          </w:rPr>
          <w:fldChar w:fldCharType="begin"/>
        </w:r>
        <w:r w:rsidR="00516B98" w:rsidRPr="00ED5071">
          <w:rPr>
            <w:webHidden/>
          </w:rPr>
          <w:instrText xml:space="preserve"> PAGEREF _Toc85792413 \h </w:instrText>
        </w:r>
        <w:r w:rsidR="00516B98" w:rsidRPr="00ED5071">
          <w:rPr>
            <w:webHidden/>
          </w:rPr>
        </w:r>
        <w:r w:rsidR="00516B98" w:rsidRPr="00ED5071">
          <w:rPr>
            <w:webHidden/>
          </w:rPr>
          <w:fldChar w:fldCharType="separate"/>
        </w:r>
        <w:r w:rsidR="00516B98" w:rsidRPr="00ED5071">
          <w:rPr>
            <w:webHidden/>
          </w:rPr>
          <w:t>18</w:t>
        </w:r>
        <w:r w:rsidR="00516B98" w:rsidRPr="00ED5071">
          <w:rPr>
            <w:webHidden/>
          </w:rPr>
          <w:fldChar w:fldCharType="end"/>
        </w:r>
      </w:hyperlink>
    </w:p>
    <w:p w14:paraId="21021CE7" w14:textId="665CA0BD" w:rsidR="00516B98" w:rsidRPr="00ED5071" w:rsidRDefault="00977A60" w:rsidP="005350CE">
      <w:pPr>
        <w:pStyle w:val="TOC2"/>
        <w:rPr>
          <w:rFonts w:asciiTheme="minorHAnsi" w:eastAsiaTheme="minorEastAsia" w:hAnsiTheme="minorHAnsi"/>
          <w:color w:val="auto"/>
          <w:lang w:eastAsia="zh-CN" w:bidi="th-TH"/>
        </w:rPr>
      </w:pPr>
      <w:hyperlink w:anchor="_Toc85792414" w:history="1">
        <w:r w:rsidR="00516B98" w:rsidRPr="00ED5071">
          <w:rPr>
            <w:rStyle w:val="Hyperlink"/>
            <w:b w:val="0"/>
            <w:bCs/>
          </w:rPr>
          <w:t>3.2</w:t>
        </w:r>
        <w:r w:rsidR="00516B98" w:rsidRPr="00ED5071">
          <w:rPr>
            <w:rFonts w:asciiTheme="minorHAnsi" w:eastAsiaTheme="minorEastAsia" w:hAnsiTheme="minorHAnsi"/>
            <w:color w:val="auto"/>
            <w:lang w:eastAsia="zh-CN" w:bidi="th-TH"/>
          </w:rPr>
          <w:tab/>
        </w:r>
        <w:r w:rsidR="00516B98" w:rsidRPr="00ED5071">
          <w:rPr>
            <w:rStyle w:val="Hyperlink"/>
            <w:b w:val="0"/>
            <w:bCs/>
          </w:rPr>
          <w:t>Inconsistencies, duplications and gaps in regulatory requirements</w:t>
        </w:r>
        <w:r w:rsidR="00516B98" w:rsidRPr="00ED5071">
          <w:rPr>
            <w:webHidden/>
          </w:rPr>
          <w:tab/>
        </w:r>
        <w:r w:rsidR="00516B98" w:rsidRPr="00ED5071">
          <w:rPr>
            <w:webHidden/>
          </w:rPr>
          <w:fldChar w:fldCharType="begin"/>
        </w:r>
        <w:r w:rsidR="00516B98" w:rsidRPr="00ED5071">
          <w:rPr>
            <w:webHidden/>
          </w:rPr>
          <w:instrText xml:space="preserve"> PAGEREF _Toc85792414 \h </w:instrText>
        </w:r>
        <w:r w:rsidR="00516B98" w:rsidRPr="00ED5071">
          <w:rPr>
            <w:webHidden/>
          </w:rPr>
        </w:r>
        <w:r w:rsidR="00516B98" w:rsidRPr="00ED5071">
          <w:rPr>
            <w:webHidden/>
          </w:rPr>
          <w:fldChar w:fldCharType="separate"/>
        </w:r>
        <w:r w:rsidR="00516B98" w:rsidRPr="00ED5071">
          <w:rPr>
            <w:webHidden/>
          </w:rPr>
          <w:t>19</w:t>
        </w:r>
        <w:r w:rsidR="00516B98" w:rsidRPr="00ED5071">
          <w:rPr>
            <w:webHidden/>
          </w:rPr>
          <w:fldChar w:fldCharType="end"/>
        </w:r>
      </w:hyperlink>
    </w:p>
    <w:p w14:paraId="691B8017" w14:textId="09242B18" w:rsidR="00516B98" w:rsidRPr="00ED5071" w:rsidRDefault="00977A60" w:rsidP="005350CE">
      <w:pPr>
        <w:pStyle w:val="TOC2"/>
        <w:rPr>
          <w:rFonts w:asciiTheme="minorHAnsi" w:eastAsiaTheme="minorEastAsia" w:hAnsiTheme="minorHAnsi"/>
          <w:color w:val="auto"/>
          <w:lang w:eastAsia="zh-CN" w:bidi="th-TH"/>
        </w:rPr>
      </w:pPr>
      <w:hyperlink w:anchor="_Toc85792415" w:history="1">
        <w:r w:rsidR="00516B98" w:rsidRPr="00ED5071">
          <w:rPr>
            <w:rStyle w:val="Hyperlink"/>
            <w:rFonts w:eastAsia="MS Gothic"/>
            <w:b w:val="0"/>
            <w:bCs/>
          </w:rPr>
          <w:t>3.3</w:t>
        </w:r>
        <w:r w:rsidR="00516B98" w:rsidRPr="00ED5071">
          <w:rPr>
            <w:rFonts w:asciiTheme="minorHAnsi" w:eastAsiaTheme="minorEastAsia" w:hAnsiTheme="minorHAnsi"/>
            <w:color w:val="auto"/>
            <w:lang w:eastAsia="zh-CN" w:bidi="th-TH"/>
          </w:rPr>
          <w:tab/>
        </w:r>
        <w:r w:rsidR="00516B98" w:rsidRPr="00ED5071">
          <w:rPr>
            <w:rStyle w:val="Hyperlink"/>
            <w:b w:val="0"/>
            <w:bCs/>
          </w:rPr>
          <w:t>Limitations to integrity risk identification</w:t>
        </w:r>
        <w:r w:rsidR="00516B98" w:rsidRPr="00ED5071">
          <w:rPr>
            <w:webHidden/>
          </w:rPr>
          <w:tab/>
        </w:r>
        <w:r w:rsidR="00516B98" w:rsidRPr="00ED5071">
          <w:rPr>
            <w:webHidden/>
          </w:rPr>
          <w:fldChar w:fldCharType="begin"/>
        </w:r>
        <w:r w:rsidR="00516B98" w:rsidRPr="00ED5071">
          <w:rPr>
            <w:webHidden/>
          </w:rPr>
          <w:instrText xml:space="preserve"> PAGEREF _Toc85792415 \h </w:instrText>
        </w:r>
        <w:r w:rsidR="00516B98" w:rsidRPr="00ED5071">
          <w:rPr>
            <w:webHidden/>
          </w:rPr>
        </w:r>
        <w:r w:rsidR="00516B98" w:rsidRPr="00ED5071">
          <w:rPr>
            <w:webHidden/>
          </w:rPr>
          <w:fldChar w:fldCharType="separate"/>
        </w:r>
        <w:r w:rsidR="00516B98" w:rsidRPr="00ED5071">
          <w:rPr>
            <w:webHidden/>
          </w:rPr>
          <w:t>21</w:t>
        </w:r>
        <w:r w:rsidR="00516B98" w:rsidRPr="00ED5071">
          <w:rPr>
            <w:webHidden/>
          </w:rPr>
          <w:fldChar w:fldCharType="end"/>
        </w:r>
      </w:hyperlink>
    </w:p>
    <w:p w14:paraId="5F0DD8B5" w14:textId="0232AE55" w:rsidR="00516B98" w:rsidRPr="00ED5071" w:rsidRDefault="00977A60" w:rsidP="005350CE">
      <w:pPr>
        <w:pStyle w:val="TOC2"/>
        <w:rPr>
          <w:rFonts w:asciiTheme="minorHAnsi" w:eastAsiaTheme="minorEastAsia" w:hAnsiTheme="minorHAnsi"/>
          <w:color w:val="auto"/>
          <w:lang w:eastAsia="zh-CN" w:bidi="th-TH"/>
        </w:rPr>
      </w:pPr>
      <w:hyperlink w:anchor="_Toc85792416" w:history="1">
        <w:r w:rsidR="00516B98" w:rsidRPr="00ED5071">
          <w:rPr>
            <w:rStyle w:val="Hyperlink"/>
            <w:rFonts w:eastAsia="MS Gothic"/>
            <w:b w:val="0"/>
            <w:bCs/>
          </w:rPr>
          <w:t>3.4</w:t>
        </w:r>
        <w:r w:rsidR="00516B98" w:rsidRPr="00ED5071">
          <w:rPr>
            <w:rFonts w:asciiTheme="minorHAnsi" w:eastAsiaTheme="minorEastAsia" w:hAnsiTheme="minorHAnsi"/>
            <w:color w:val="auto"/>
            <w:lang w:eastAsia="zh-CN" w:bidi="th-TH"/>
          </w:rPr>
          <w:tab/>
        </w:r>
        <w:r w:rsidR="00516B98" w:rsidRPr="00ED5071">
          <w:rPr>
            <w:rStyle w:val="Hyperlink"/>
            <w:b w:val="0"/>
            <w:bCs/>
          </w:rPr>
          <w:t>Lack of formal framework for funding of integrity</w:t>
        </w:r>
        <w:r w:rsidR="00516B98" w:rsidRPr="00ED5071">
          <w:rPr>
            <w:webHidden/>
          </w:rPr>
          <w:tab/>
        </w:r>
        <w:r w:rsidR="00516B98" w:rsidRPr="00ED5071">
          <w:rPr>
            <w:webHidden/>
          </w:rPr>
          <w:fldChar w:fldCharType="begin"/>
        </w:r>
        <w:r w:rsidR="00516B98" w:rsidRPr="00ED5071">
          <w:rPr>
            <w:webHidden/>
          </w:rPr>
          <w:instrText xml:space="preserve"> PAGEREF _Toc85792416 \h </w:instrText>
        </w:r>
        <w:r w:rsidR="00516B98" w:rsidRPr="00ED5071">
          <w:rPr>
            <w:webHidden/>
          </w:rPr>
        </w:r>
        <w:r w:rsidR="00516B98" w:rsidRPr="00ED5071">
          <w:rPr>
            <w:webHidden/>
          </w:rPr>
          <w:fldChar w:fldCharType="separate"/>
        </w:r>
        <w:r w:rsidR="00516B98" w:rsidRPr="00ED5071">
          <w:rPr>
            <w:webHidden/>
          </w:rPr>
          <w:t>22</w:t>
        </w:r>
        <w:r w:rsidR="00516B98" w:rsidRPr="00ED5071">
          <w:rPr>
            <w:webHidden/>
          </w:rPr>
          <w:fldChar w:fldCharType="end"/>
        </w:r>
      </w:hyperlink>
    </w:p>
    <w:p w14:paraId="313F763D" w14:textId="239EDD45" w:rsidR="00516B98" w:rsidRPr="00ED5071" w:rsidRDefault="00977A60" w:rsidP="005350CE">
      <w:pPr>
        <w:pStyle w:val="TOC2"/>
        <w:rPr>
          <w:rFonts w:asciiTheme="minorHAnsi" w:eastAsiaTheme="minorEastAsia" w:hAnsiTheme="minorHAnsi"/>
          <w:color w:val="auto"/>
          <w:lang w:eastAsia="zh-CN" w:bidi="th-TH"/>
        </w:rPr>
      </w:pPr>
      <w:hyperlink w:anchor="_Toc85792417" w:history="1">
        <w:r w:rsidR="00516B98" w:rsidRPr="00ED5071">
          <w:rPr>
            <w:rStyle w:val="Hyperlink"/>
            <w:b w:val="0"/>
            <w:bCs/>
          </w:rPr>
          <w:t>3.5</w:t>
        </w:r>
        <w:r w:rsidR="00516B98" w:rsidRPr="00ED5071">
          <w:rPr>
            <w:rFonts w:asciiTheme="minorHAnsi" w:eastAsiaTheme="minorEastAsia" w:hAnsiTheme="minorHAnsi"/>
            <w:color w:val="auto"/>
            <w:lang w:eastAsia="zh-CN" w:bidi="th-TH"/>
          </w:rPr>
          <w:tab/>
        </w:r>
        <w:r w:rsidR="00516B98" w:rsidRPr="00ED5071">
          <w:rPr>
            <w:rStyle w:val="Hyperlink"/>
            <w:b w:val="0"/>
            <w:bCs/>
          </w:rPr>
          <w:t>Risk ultimately borne by the sports</w:t>
        </w:r>
        <w:r w:rsidR="00516B98" w:rsidRPr="00ED5071">
          <w:rPr>
            <w:webHidden/>
          </w:rPr>
          <w:tab/>
        </w:r>
        <w:r w:rsidR="00516B98" w:rsidRPr="00ED5071">
          <w:rPr>
            <w:webHidden/>
          </w:rPr>
          <w:fldChar w:fldCharType="begin"/>
        </w:r>
        <w:r w:rsidR="00516B98" w:rsidRPr="00ED5071">
          <w:rPr>
            <w:webHidden/>
          </w:rPr>
          <w:instrText xml:space="preserve"> PAGEREF _Toc85792417 \h </w:instrText>
        </w:r>
        <w:r w:rsidR="00516B98" w:rsidRPr="00ED5071">
          <w:rPr>
            <w:webHidden/>
          </w:rPr>
        </w:r>
        <w:r w:rsidR="00516B98" w:rsidRPr="00ED5071">
          <w:rPr>
            <w:webHidden/>
          </w:rPr>
          <w:fldChar w:fldCharType="separate"/>
        </w:r>
        <w:r w:rsidR="00516B98" w:rsidRPr="00ED5071">
          <w:rPr>
            <w:webHidden/>
          </w:rPr>
          <w:t>22</w:t>
        </w:r>
        <w:r w:rsidR="00516B98" w:rsidRPr="00ED5071">
          <w:rPr>
            <w:webHidden/>
          </w:rPr>
          <w:fldChar w:fldCharType="end"/>
        </w:r>
      </w:hyperlink>
    </w:p>
    <w:p w14:paraId="6AA7DDDF" w14:textId="1F17073B" w:rsidR="00516B98" w:rsidRPr="00862684" w:rsidRDefault="00977A60" w:rsidP="005350CE">
      <w:pPr>
        <w:pStyle w:val="TOC1"/>
        <w:rPr>
          <w:rFonts w:asciiTheme="minorHAnsi" w:eastAsiaTheme="minorEastAsia" w:hAnsiTheme="minorHAnsi"/>
          <w:b w:val="0"/>
          <w:sz w:val="22"/>
          <w:szCs w:val="28"/>
          <w:u w:val="none"/>
          <w:lang w:eastAsia="zh-CN" w:bidi="th-TH"/>
        </w:rPr>
      </w:pPr>
      <w:hyperlink w:anchor="_Toc85792418" w:history="1">
        <w:r w:rsidR="00516B98" w:rsidRPr="00862684">
          <w:rPr>
            <w:rStyle w:val="Hyperlink"/>
            <w:rFonts w:ascii="Calibri" w:eastAsia="MS Gothic" w:hAnsi="Calibri" w:cs="Calibri"/>
            <w:lang w:val="en-US"/>
          </w:rPr>
          <w:t>4</w:t>
        </w:r>
        <w:r w:rsidR="00516B98" w:rsidRPr="00862684">
          <w:rPr>
            <w:rFonts w:asciiTheme="minorHAnsi" w:eastAsiaTheme="minorEastAsia" w:hAnsiTheme="minorHAnsi"/>
            <w:b w:val="0"/>
            <w:sz w:val="22"/>
            <w:szCs w:val="28"/>
            <w:u w:val="none"/>
            <w:lang w:eastAsia="zh-CN" w:bidi="th-TH"/>
          </w:rPr>
          <w:tab/>
        </w:r>
        <w:r w:rsidR="00516B98" w:rsidRPr="00862684">
          <w:rPr>
            <w:rStyle w:val="Hyperlink"/>
            <w:rFonts w:ascii="Calibri" w:hAnsi="Calibri" w:cs="Calibri"/>
          </w:rPr>
          <w:t>Why is government action needed?</w:t>
        </w:r>
        <w:r w:rsidR="00516B98" w:rsidRPr="00862684">
          <w:rPr>
            <w:webHidden/>
          </w:rPr>
          <w:tab/>
        </w:r>
        <w:r w:rsidR="00516B98" w:rsidRPr="00862684">
          <w:rPr>
            <w:webHidden/>
          </w:rPr>
          <w:fldChar w:fldCharType="begin"/>
        </w:r>
        <w:r w:rsidR="00516B98" w:rsidRPr="00862684">
          <w:rPr>
            <w:webHidden/>
          </w:rPr>
          <w:instrText xml:space="preserve"> PAGEREF _Toc85792418 \h </w:instrText>
        </w:r>
        <w:r w:rsidR="00516B98" w:rsidRPr="00862684">
          <w:rPr>
            <w:webHidden/>
          </w:rPr>
        </w:r>
        <w:r w:rsidR="00516B98" w:rsidRPr="00862684">
          <w:rPr>
            <w:webHidden/>
          </w:rPr>
          <w:fldChar w:fldCharType="separate"/>
        </w:r>
        <w:r w:rsidR="00516B98" w:rsidRPr="00862684">
          <w:rPr>
            <w:webHidden/>
          </w:rPr>
          <w:t>25</w:t>
        </w:r>
        <w:r w:rsidR="00516B98" w:rsidRPr="00862684">
          <w:rPr>
            <w:webHidden/>
          </w:rPr>
          <w:fldChar w:fldCharType="end"/>
        </w:r>
      </w:hyperlink>
    </w:p>
    <w:p w14:paraId="44F79A70" w14:textId="11B5C7BB" w:rsidR="00516B98" w:rsidRPr="00ED5071" w:rsidRDefault="00977A60" w:rsidP="005350CE">
      <w:pPr>
        <w:pStyle w:val="TOC2"/>
        <w:rPr>
          <w:rFonts w:asciiTheme="minorHAnsi" w:eastAsiaTheme="minorEastAsia" w:hAnsiTheme="minorHAnsi"/>
          <w:color w:val="auto"/>
          <w:lang w:eastAsia="zh-CN" w:bidi="th-TH"/>
        </w:rPr>
      </w:pPr>
      <w:hyperlink w:anchor="_Toc85792419" w:history="1">
        <w:r w:rsidR="00516B98" w:rsidRPr="00ED5071">
          <w:rPr>
            <w:rStyle w:val="Hyperlink"/>
            <w:b w:val="0"/>
            <w:bCs/>
          </w:rPr>
          <w:t>4.1</w:t>
        </w:r>
        <w:r w:rsidR="00516B98" w:rsidRPr="00ED5071">
          <w:rPr>
            <w:rFonts w:asciiTheme="minorHAnsi" w:eastAsiaTheme="minorEastAsia" w:hAnsiTheme="minorHAnsi"/>
            <w:color w:val="auto"/>
            <w:lang w:eastAsia="zh-CN" w:bidi="th-TH"/>
          </w:rPr>
          <w:tab/>
        </w:r>
        <w:r w:rsidR="00516B98" w:rsidRPr="00ED5071">
          <w:rPr>
            <w:rStyle w:val="Hyperlink"/>
            <w:b w:val="0"/>
            <w:bCs/>
          </w:rPr>
          <w:t>While sports wagering has changed, there is an ongoing rationale for government regulation</w:t>
        </w:r>
        <w:r w:rsidR="00516B98" w:rsidRPr="00ED5071">
          <w:rPr>
            <w:webHidden/>
          </w:rPr>
          <w:tab/>
        </w:r>
        <w:r w:rsidR="00516B98" w:rsidRPr="00ED5071">
          <w:rPr>
            <w:webHidden/>
          </w:rPr>
          <w:fldChar w:fldCharType="begin"/>
        </w:r>
        <w:r w:rsidR="00516B98" w:rsidRPr="00ED5071">
          <w:rPr>
            <w:webHidden/>
          </w:rPr>
          <w:instrText xml:space="preserve"> PAGEREF _Toc85792419 \h </w:instrText>
        </w:r>
        <w:r w:rsidR="00516B98" w:rsidRPr="00ED5071">
          <w:rPr>
            <w:webHidden/>
          </w:rPr>
        </w:r>
        <w:r w:rsidR="00516B98" w:rsidRPr="00ED5071">
          <w:rPr>
            <w:webHidden/>
          </w:rPr>
          <w:fldChar w:fldCharType="separate"/>
        </w:r>
        <w:r w:rsidR="00516B98" w:rsidRPr="00ED5071">
          <w:rPr>
            <w:webHidden/>
          </w:rPr>
          <w:t>25</w:t>
        </w:r>
        <w:r w:rsidR="00516B98" w:rsidRPr="00ED5071">
          <w:rPr>
            <w:webHidden/>
          </w:rPr>
          <w:fldChar w:fldCharType="end"/>
        </w:r>
      </w:hyperlink>
    </w:p>
    <w:p w14:paraId="69ECA023" w14:textId="68851F32" w:rsidR="00516B98" w:rsidRPr="00862684" w:rsidRDefault="00977A60" w:rsidP="005350CE">
      <w:pPr>
        <w:pStyle w:val="TOC1"/>
        <w:rPr>
          <w:rFonts w:asciiTheme="minorHAnsi" w:eastAsiaTheme="minorEastAsia" w:hAnsiTheme="minorHAnsi"/>
          <w:b w:val="0"/>
          <w:sz w:val="22"/>
          <w:szCs w:val="28"/>
          <w:u w:val="none"/>
          <w:lang w:eastAsia="zh-CN" w:bidi="th-TH"/>
        </w:rPr>
      </w:pPr>
      <w:hyperlink w:anchor="_Toc85792420" w:history="1">
        <w:r w:rsidR="00516B98" w:rsidRPr="00862684">
          <w:rPr>
            <w:rStyle w:val="Hyperlink"/>
            <w:rFonts w:ascii="Calibri" w:hAnsi="Calibri" w:cs="Calibri"/>
            <w:lang w:val="en-US" w:eastAsia="en-AU"/>
          </w:rPr>
          <w:t>5</w:t>
        </w:r>
        <w:r w:rsidR="00516B98" w:rsidRPr="00862684">
          <w:rPr>
            <w:rFonts w:asciiTheme="minorHAnsi" w:eastAsiaTheme="minorEastAsia" w:hAnsiTheme="minorHAnsi"/>
            <w:b w:val="0"/>
            <w:sz w:val="22"/>
            <w:szCs w:val="28"/>
            <w:u w:val="none"/>
            <w:lang w:eastAsia="zh-CN" w:bidi="th-TH"/>
          </w:rPr>
          <w:tab/>
        </w:r>
        <w:r w:rsidR="00516B98" w:rsidRPr="00862684">
          <w:rPr>
            <w:rStyle w:val="Hyperlink"/>
            <w:rFonts w:ascii="Calibri" w:hAnsi="Calibri" w:cs="Calibri"/>
          </w:rPr>
          <w:t>What options are being considered?</w:t>
        </w:r>
        <w:r w:rsidR="00516B98" w:rsidRPr="00862684">
          <w:rPr>
            <w:webHidden/>
          </w:rPr>
          <w:tab/>
        </w:r>
        <w:r w:rsidR="00516B98" w:rsidRPr="00862684">
          <w:rPr>
            <w:webHidden/>
          </w:rPr>
          <w:fldChar w:fldCharType="begin"/>
        </w:r>
        <w:r w:rsidR="00516B98" w:rsidRPr="00862684">
          <w:rPr>
            <w:webHidden/>
          </w:rPr>
          <w:instrText xml:space="preserve"> PAGEREF _Toc85792420 \h </w:instrText>
        </w:r>
        <w:r w:rsidR="00516B98" w:rsidRPr="00862684">
          <w:rPr>
            <w:webHidden/>
          </w:rPr>
        </w:r>
        <w:r w:rsidR="00516B98" w:rsidRPr="00862684">
          <w:rPr>
            <w:webHidden/>
          </w:rPr>
          <w:fldChar w:fldCharType="separate"/>
        </w:r>
        <w:r w:rsidR="00516B98" w:rsidRPr="00862684">
          <w:rPr>
            <w:webHidden/>
          </w:rPr>
          <w:t>27</w:t>
        </w:r>
        <w:r w:rsidR="00516B98" w:rsidRPr="00862684">
          <w:rPr>
            <w:webHidden/>
          </w:rPr>
          <w:fldChar w:fldCharType="end"/>
        </w:r>
      </w:hyperlink>
    </w:p>
    <w:p w14:paraId="35C85CAC" w14:textId="7D59BBED" w:rsidR="00516B98" w:rsidRPr="00ED5071" w:rsidRDefault="00977A60" w:rsidP="005350CE">
      <w:pPr>
        <w:pStyle w:val="TOC2"/>
        <w:rPr>
          <w:rFonts w:asciiTheme="minorHAnsi" w:eastAsiaTheme="minorEastAsia" w:hAnsiTheme="minorHAnsi"/>
          <w:color w:val="auto"/>
          <w:lang w:eastAsia="zh-CN" w:bidi="th-TH"/>
        </w:rPr>
      </w:pPr>
      <w:hyperlink w:anchor="_Toc85792421" w:history="1">
        <w:r w:rsidR="00516B98" w:rsidRPr="00ED5071">
          <w:rPr>
            <w:rStyle w:val="Hyperlink"/>
            <w:b w:val="0"/>
            <w:bCs/>
          </w:rPr>
          <w:t>5.1</w:t>
        </w:r>
        <w:r w:rsidR="00516B98" w:rsidRPr="00ED5071">
          <w:rPr>
            <w:rFonts w:asciiTheme="minorHAnsi" w:eastAsiaTheme="minorEastAsia" w:hAnsiTheme="minorHAnsi"/>
            <w:color w:val="auto"/>
            <w:lang w:eastAsia="zh-CN" w:bidi="th-TH"/>
          </w:rPr>
          <w:tab/>
        </w:r>
        <w:r w:rsidR="00516B98" w:rsidRPr="00ED5071">
          <w:rPr>
            <w:rStyle w:val="Hyperlink"/>
            <w:b w:val="0"/>
            <w:bCs/>
          </w:rPr>
          <w:t>Structure of options</w:t>
        </w:r>
        <w:r w:rsidR="00516B98" w:rsidRPr="00ED5071">
          <w:rPr>
            <w:webHidden/>
          </w:rPr>
          <w:tab/>
        </w:r>
        <w:r w:rsidR="00516B98" w:rsidRPr="00ED5071">
          <w:rPr>
            <w:webHidden/>
          </w:rPr>
          <w:fldChar w:fldCharType="begin"/>
        </w:r>
        <w:r w:rsidR="00516B98" w:rsidRPr="00ED5071">
          <w:rPr>
            <w:webHidden/>
          </w:rPr>
          <w:instrText xml:space="preserve"> PAGEREF _Toc85792421 \h </w:instrText>
        </w:r>
        <w:r w:rsidR="00516B98" w:rsidRPr="00ED5071">
          <w:rPr>
            <w:webHidden/>
          </w:rPr>
        </w:r>
        <w:r w:rsidR="00516B98" w:rsidRPr="00ED5071">
          <w:rPr>
            <w:webHidden/>
          </w:rPr>
          <w:fldChar w:fldCharType="separate"/>
        </w:r>
        <w:r w:rsidR="00516B98" w:rsidRPr="00ED5071">
          <w:rPr>
            <w:webHidden/>
          </w:rPr>
          <w:t>27</w:t>
        </w:r>
        <w:r w:rsidR="00516B98" w:rsidRPr="00ED5071">
          <w:rPr>
            <w:webHidden/>
          </w:rPr>
          <w:fldChar w:fldCharType="end"/>
        </w:r>
      </w:hyperlink>
    </w:p>
    <w:p w14:paraId="6297F2EC" w14:textId="4FF83E93" w:rsidR="00516B98" w:rsidRPr="00ED5071" w:rsidRDefault="00977A60" w:rsidP="005350CE">
      <w:pPr>
        <w:pStyle w:val="TOC2"/>
        <w:rPr>
          <w:rFonts w:asciiTheme="minorHAnsi" w:eastAsiaTheme="minorEastAsia" w:hAnsiTheme="minorHAnsi"/>
          <w:color w:val="auto"/>
          <w:lang w:eastAsia="zh-CN" w:bidi="th-TH"/>
        </w:rPr>
      </w:pPr>
      <w:hyperlink w:anchor="_Toc85792422" w:history="1">
        <w:r w:rsidR="00516B98" w:rsidRPr="00ED5071">
          <w:rPr>
            <w:rStyle w:val="Hyperlink"/>
            <w:b w:val="0"/>
            <w:bCs/>
          </w:rPr>
          <w:t>5.2</w:t>
        </w:r>
        <w:r w:rsidR="00516B98" w:rsidRPr="00ED5071">
          <w:rPr>
            <w:rFonts w:asciiTheme="minorHAnsi" w:eastAsiaTheme="minorEastAsia" w:hAnsiTheme="minorHAnsi"/>
            <w:color w:val="auto"/>
            <w:lang w:eastAsia="zh-CN" w:bidi="th-TH"/>
          </w:rPr>
          <w:tab/>
        </w:r>
        <w:r w:rsidR="00516B98" w:rsidRPr="00ED5071">
          <w:rPr>
            <w:rStyle w:val="Hyperlink"/>
            <w:b w:val="0"/>
            <w:bCs/>
          </w:rPr>
          <w:t>Options</w:t>
        </w:r>
        <w:r w:rsidR="00516B98" w:rsidRPr="00ED5071">
          <w:rPr>
            <w:webHidden/>
          </w:rPr>
          <w:tab/>
        </w:r>
        <w:r w:rsidR="00516B98" w:rsidRPr="00ED5071">
          <w:rPr>
            <w:webHidden/>
          </w:rPr>
          <w:fldChar w:fldCharType="begin"/>
        </w:r>
        <w:r w:rsidR="00516B98" w:rsidRPr="00ED5071">
          <w:rPr>
            <w:webHidden/>
          </w:rPr>
          <w:instrText xml:space="preserve"> PAGEREF _Toc85792422 \h </w:instrText>
        </w:r>
        <w:r w:rsidR="00516B98" w:rsidRPr="00ED5071">
          <w:rPr>
            <w:webHidden/>
          </w:rPr>
        </w:r>
        <w:r w:rsidR="00516B98" w:rsidRPr="00ED5071">
          <w:rPr>
            <w:webHidden/>
          </w:rPr>
          <w:fldChar w:fldCharType="separate"/>
        </w:r>
        <w:r w:rsidR="00516B98" w:rsidRPr="00ED5071">
          <w:rPr>
            <w:webHidden/>
          </w:rPr>
          <w:t>29</w:t>
        </w:r>
        <w:r w:rsidR="00516B98" w:rsidRPr="00ED5071">
          <w:rPr>
            <w:webHidden/>
          </w:rPr>
          <w:fldChar w:fldCharType="end"/>
        </w:r>
      </w:hyperlink>
    </w:p>
    <w:p w14:paraId="7A4F29AA" w14:textId="300188ED" w:rsidR="00516B98" w:rsidRPr="00862684" w:rsidRDefault="00977A60" w:rsidP="005350CE">
      <w:pPr>
        <w:pStyle w:val="TOC1"/>
        <w:rPr>
          <w:rFonts w:asciiTheme="minorHAnsi" w:eastAsiaTheme="minorEastAsia" w:hAnsiTheme="minorHAnsi"/>
          <w:b w:val="0"/>
          <w:sz w:val="22"/>
          <w:szCs w:val="28"/>
          <w:u w:val="none"/>
          <w:lang w:eastAsia="zh-CN" w:bidi="th-TH"/>
        </w:rPr>
      </w:pPr>
      <w:hyperlink w:anchor="_Toc85792423" w:history="1">
        <w:r w:rsidR="00516B98" w:rsidRPr="00862684">
          <w:rPr>
            <w:rStyle w:val="Hyperlink"/>
            <w:rFonts w:ascii="Calibri" w:hAnsi="Calibri" w:cs="Calibri"/>
            <w:lang w:val="en-US"/>
          </w:rPr>
          <w:t>6</w:t>
        </w:r>
        <w:r w:rsidR="00516B98" w:rsidRPr="00862684">
          <w:rPr>
            <w:rFonts w:asciiTheme="minorHAnsi" w:eastAsiaTheme="minorEastAsia" w:hAnsiTheme="minorHAnsi"/>
            <w:b w:val="0"/>
            <w:sz w:val="22"/>
            <w:szCs w:val="28"/>
            <w:u w:val="none"/>
            <w:lang w:eastAsia="zh-CN" w:bidi="th-TH"/>
          </w:rPr>
          <w:tab/>
        </w:r>
        <w:r w:rsidR="00516B98" w:rsidRPr="00862684">
          <w:rPr>
            <w:rStyle w:val="Hyperlink"/>
            <w:rFonts w:ascii="Calibri" w:hAnsi="Calibri" w:cs="Calibri"/>
          </w:rPr>
          <w:t>Initial Regulatory Impact Assessment</w:t>
        </w:r>
        <w:r w:rsidR="00516B98" w:rsidRPr="00862684">
          <w:rPr>
            <w:webHidden/>
          </w:rPr>
          <w:tab/>
        </w:r>
        <w:r w:rsidR="00516B98" w:rsidRPr="00862684">
          <w:rPr>
            <w:webHidden/>
          </w:rPr>
          <w:fldChar w:fldCharType="begin"/>
        </w:r>
        <w:r w:rsidR="00516B98" w:rsidRPr="00862684">
          <w:rPr>
            <w:webHidden/>
          </w:rPr>
          <w:instrText xml:space="preserve"> PAGEREF _Toc85792423 \h </w:instrText>
        </w:r>
        <w:r w:rsidR="00516B98" w:rsidRPr="00862684">
          <w:rPr>
            <w:webHidden/>
          </w:rPr>
        </w:r>
        <w:r w:rsidR="00516B98" w:rsidRPr="00862684">
          <w:rPr>
            <w:webHidden/>
          </w:rPr>
          <w:fldChar w:fldCharType="separate"/>
        </w:r>
        <w:r w:rsidR="00516B98" w:rsidRPr="00862684">
          <w:rPr>
            <w:webHidden/>
          </w:rPr>
          <w:t>35</w:t>
        </w:r>
        <w:r w:rsidR="00516B98" w:rsidRPr="00862684">
          <w:rPr>
            <w:webHidden/>
          </w:rPr>
          <w:fldChar w:fldCharType="end"/>
        </w:r>
      </w:hyperlink>
    </w:p>
    <w:p w14:paraId="49FE481B" w14:textId="40E05EFE" w:rsidR="00516B98" w:rsidRPr="00ED5071" w:rsidRDefault="00977A60" w:rsidP="005350CE">
      <w:pPr>
        <w:pStyle w:val="TOC2"/>
        <w:rPr>
          <w:rFonts w:asciiTheme="minorHAnsi" w:eastAsiaTheme="minorEastAsia" w:hAnsiTheme="minorHAnsi"/>
          <w:b w:val="0"/>
          <w:bCs/>
          <w:color w:val="auto"/>
          <w:sz w:val="22"/>
          <w:szCs w:val="28"/>
          <w:lang w:eastAsia="zh-CN" w:bidi="th-TH"/>
        </w:rPr>
      </w:pPr>
      <w:hyperlink w:anchor="_Toc85792424" w:history="1">
        <w:r w:rsidR="00516B98" w:rsidRPr="00ED5071">
          <w:rPr>
            <w:rStyle w:val="Hyperlink"/>
            <w:b w:val="0"/>
            <w:bCs/>
          </w:rPr>
          <w:t>6.1</w:t>
        </w:r>
        <w:r w:rsidR="00516B98" w:rsidRPr="00ED5071">
          <w:rPr>
            <w:rFonts w:asciiTheme="minorHAnsi" w:eastAsiaTheme="minorEastAsia" w:hAnsiTheme="minorHAnsi"/>
            <w:b w:val="0"/>
            <w:bCs/>
            <w:color w:val="auto"/>
            <w:sz w:val="22"/>
            <w:szCs w:val="28"/>
            <w:lang w:eastAsia="zh-CN" w:bidi="th-TH"/>
          </w:rPr>
          <w:tab/>
        </w:r>
        <w:r w:rsidR="00516B98" w:rsidRPr="00ED5071">
          <w:rPr>
            <w:rStyle w:val="Hyperlink"/>
            <w:b w:val="0"/>
            <w:bCs/>
          </w:rPr>
          <w:t>Approach to assessment</w:t>
        </w:r>
        <w:r w:rsidR="00516B98" w:rsidRPr="00ED5071">
          <w:rPr>
            <w:b w:val="0"/>
            <w:bCs/>
            <w:webHidden/>
          </w:rPr>
          <w:tab/>
        </w:r>
        <w:r w:rsidR="00516B98" w:rsidRPr="00ED5071">
          <w:rPr>
            <w:b w:val="0"/>
            <w:bCs/>
            <w:webHidden/>
          </w:rPr>
          <w:fldChar w:fldCharType="begin"/>
        </w:r>
        <w:r w:rsidR="00516B98" w:rsidRPr="00ED5071">
          <w:rPr>
            <w:b w:val="0"/>
            <w:bCs/>
            <w:webHidden/>
          </w:rPr>
          <w:instrText xml:space="preserve"> PAGEREF _Toc85792424 \h </w:instrText>
        </w:r>
        <w:r w:rsidR="00516B98" w:rsidRPr="00ED5071">
          <w:rPr>
            <w:b w:val="0"/>
            <w:bCs/>
            <w:webHidden/>
          </w:rPr>
        </w:r>
        <w:r w:rsidR="00516B98" w:rsidRPr="00ED5071">
          <w:rPr>
            <w:b w:val="0"/>
            <w:bCs/>
            <w:webHidden/>
          </w:rPr>
          <w:fldChar w:fldCharType="separate"/>
        </w:r>
        <w:r w:rsidR="00516B98" w:rsidRPr="00ED5071">
          <w:rPr>
            <w:b w:val="0"/>
            <w:bCs/>
            <w:webHidden/>
          </w:rPr>
          <w:t>35</w:t>
        </w:r>
        <w:r w:rsidR="00516B98" w:rsidRPr="00ED5071">
          <w:rPr>
            <w:b w:val="0"/>
            <w:bCs/>
            <w:webHidden/>
          </w:rPr>
          <w:fldChar w:fldCharType="end"/>
        </w:r>
      </w:hyperlink>
    </w:p>
    <w:p w14:paraId="3B211CA2" w14:textId="5D5E10D5" w:rsidR="00516B98" w:rsidRPr="00ED5071" w:rsidRDefault="00977A60" w:rsidP="005350CE">
      <w:pPr>
        <w:pStyle w:val="TOC2"/>
        <w:rPr>
          <w:rFonts w:asciiTheme="minorHAnsi" w:eastAsiaTheme="minorEastAsia" w:hAnsiTheme="minorHAnsi"/>
          <w:b w:val="0"/>
          <w:bCs/>
          <w:color w:val="auto"/>
          <w:sz w:val="22"/>
          <w:szCs w:val="28"/>
          <w:lang w:eastAsia="zh-CN" w:bidi="th-TH"/>
        </w:rPr>
      </w:pPr>
      <w:hyperlink w:anchor="_Toc85792425" w:history="1">
        <w:r w:rsidR="00516B98" w:rsidRPr="00ED5071">
          <w:rPr>
            <w:rStyle w:val="Hyperlink"/>
            <w:b w:val="0"/>
            <w:bCs/>
            <w:lang w:val="en-US"/>
          </w:rPr>
          <w:t>6.2</w:t>
        </w:r>
        <w:r w:rsidR="00516B98" w:rsidRPr="00ED5071">
          <w:rPr>
            <w:rFonts w:asciiTheme="minorHAnsi" w:eastAsiaTheme="minorEastAsia" w:hAnsiTheme="minorHAnsi"/>
            <w:b w:val="0"/>
            <w:bCs/>
            <w:color w:val="auto"/>
            <w:sz w:val="22"/>
            <w:szCs w:val="28"/>
            <w:lang w:eastAsia="zh-CN" w:bidi="th-TH"/>
          </w:rPr>
          <w:tab/>
        </w:r>
        <w:r w:rsidR="00516B98" w:rsidRPr="00ED5071">
          <w:rPr>
            <w:rStyle w:val="Hyperlink"/>
            <w:b w:val="0"/>
            <w:bCs/>
          </w:rPr>
          <w:t>Initial assessment of benefits and costs</w:t>
        </w:r>
        <w:r w:rsidR="00516B98" w:rsidRPr="00ED5071">
          <w:rPr>
            <w:b w:val="0"/>
            <w:bCs/>
            <w:webHidden/>
          </w:rPr>
          <w:tab/>
        </w:r>
        <w:r w:rsidR="00516B98" w:rsidRPr="00ED5071">
          <w:rPr>
            <w:b w:val="0"/>
            <w:bCs/>
            <w:webHidden/>
          </w:rPr>
          <w:fldChar w:fldCharType="begin"/>
        </w:r>
        <w:r w:rsidR="00516B98" w:rsidRPr="00ED5071">
          <w:rPr>
            <w:b w:val="0"/>
            <w:bCs/>
            <w:webHidden/>
          </w:rPr>
          <w:instrText xml:space="preserve"> PAGEREF _Toc85792425 \h </w:instrText>
        </w:r>
        <w:r w:rsidR="00516B98" w:rsidRPr="00ED5071">
          <w:rPr>
            <w:b w:val="0"/>
            <w:bCs/>
            <w:webHidden/>
          </w:rPr>
        </w:r>
        <w:r w:rsidR="00516B98" w:rsidRPr="00ED5071">
          <w:rPr>
            <w:b w:val="0"/>
            <w:bCs/>
            <w:webHidden/>
          </w:rPr>
          <w:fldChar w:fldCharType="separate"/>
        </w:r>
        <w:r w:rsidR="00516B98" w:rsidRPr="00ED5071">
          <w:rPr>
            <w:b w:val="0"/>
            <w:bCs/>
            <w:webHidden/>
          </w:rPr>
          <w:t>35</w:t>
        </w:r>
        <w:r w:rsidR="00516B98" w:rsidRPr="00ED5071">
          <w:rPr>
            <w:b w:val="0"/>
            <w:bCs/>
            <w:webHidden/>
          </w:rPr>
          <w:fldChar w:fldCharType="end"/>
        </w:r>
      </w:hyperlink>
    </w:p>
    <w:p w14:paraId="0054511E" w14:textId="58B30EDF" w:rsidR="00516B98" w:rsidRPr="00ED5071" w:rsidRDefault="00977A60" w:rsidP="005350CE">
      <w:pPr>
        <w:pStyle w:val="TOC2"/>
        <w:rPr>
          <w:rFonts w:asciiTheme="minorHAnsi" w:eastAsiaTheme="minorEastAsia" w:hAnsiTheme="minorHAnsi"/>
          <w:b w:val="0"/>
          <w:bCs/>
          <w:color w:val="auto"/>
          <w:sz w:val="22"/>
          <w:szCs w:val="28"/>
          <w:lang w:eastAsia="zh-CN" w:bidi="th-TH"/>
        </w:rPr>
      </w:pPr>
      <w:hyperlink w:anchor="_Toc85792426" w:history="1">
        <w:r w:rsidR="00516B98" w:rsidRPr="00ED5071">
          <w:rPr>
            <w:rStyle w:val="Hyperlink"/>
            <w:rFonts w:eastAsia="MS Gothic"/>
            <w:b w:val="0"/>
            <w:bCs/>
            <w:lang w:val="en-US"/>
          </w:rPr>
          <w:t>6.3</w:t>
        </w:r>
        <w:r w:rsidR="00516B98" w:rsidRPr="00ED5071">
          <w:rPr>
            <w:rFonts w:asciiTheme="minorHAnsi" w:eastAsiaTheme="minorEastAsia" w:hAnsiTheme="minorHAnsi"/>
            <w:b w:val="0"/>
            <w:bCs/>
            <w:color w:val="auto"/>
            <w:sz w:val="22"/>
            <w:szCs w:val="28"/>
            <w:lang w:eastAsia="zh-CN" w:bidi="th-TH"/>
          </w:rPr>
          <w:tab/>
        </w:r>
        <w:r w:rsidR="00516B98" w:rsidRPr="00ED5071">
          <w:rPr>
            <w:rStyle w:val="Hyperlink"/>
            <w:b w:val="0"/>
            <w:bCs/>
          </w:rPr>
          <w:t>Initial assessment of regulatory burden</w:t>
        </w:r>
        <w:r w:rsidR="00516B98" w:rsidRPr="00ED5071">
          <w:rPr>
            <w:b w:val="0"/>
            <w:bCs/>
            <w:webHidden/>
          </w:rPr>
          <w:tab/>
        </w:r>
        <w:r w:rsidR="00516B98" w:rsidRPr="00ED5071">
          <w:rPr>
            <w:b w:val="0"/>
            <w:bCs/>
            <w:webHidden/>
          </w:rPr>
          <w:fldChar w:fldCharType="begin"/>
        </w:r>
        <w:r w:rsidR="00516B98" w:rsidRPr="00ED5071">
          <w:rPr>
            <w:b w:val="0"/>
            <w:bCs/>
            <w:webHidden/>
          </w:rPr>
          <w:instrText xml:space="preserve"> PAGEREF _Toc85792426 \h </w:instrText>
        </w:r>
        <w:r w:rsidR="00516B98" w:rsidRPr="00ED5071">
          <w:rPr>
            <w:b w:val="0"/>
            <w:bCs/>
            <w:webHidden/>
          </w:rPr>
        </w:r>
        <w:r w:rsidR="00516B98" w:rsidRPr="00ED5071">
          <w:rPr>
            <w:b w:val="0"/>
            <w:bCs/>
            <w:webHidden/>
          </w:rPr>
          <w:fldChar w:fldCharType="separate"/>
        </w:r>
        <w:r w:rsidR="00516B98" w:rsidRPr="00ED5071">
          <w:rPr>
            <w:b w:val="0"/>
            <w:bCs/>
            <w:webHidden/>
          </w:rPr>
          <w:t>38</w:t>
        </w:r>
        <w:r w:rsidR="00516B98" w:rsidRPr="00ED5071">
          <w:rPr>
            <w:b w:val="0"/>
            <w:bCs/>
            <w:webHidden/>
          </w:rPr>
          <w:fldChar w:fldCharType="end"/>
        </w:r>
      </w:hyperlink>
    </w:p>
    <w:p w14:paraId="3DB88C58" w14:textId="350F48DB" w:rsidR="00516B98" w:rsidRPr="00ED5071" w:rsidRDefault="00977A60" w:rsidP="005350CE">
      <w:pPr>
        <w:pStyle w:val="TOC2"/>
        <w:rPr>
          <w:rFonts w:asciiTheme="minorHAnsi" w:eastAsiaTheme="minorEastAsia" w:hAnsiTheme="minorHAnsi"/>
          <w:b w:val="0"/>
          <w:bCs/>
          <w:color w:val="auto"/>
          <w:sz w:val="22"/>
          <w:szCs w:val="28"/>
          <w:lang w:eastAsia="zh-CN" w:bidi="th-TH"/>
        </w:rPr>
      </w:pPr>
      <w:hyperlink w:anchor="_Toc85792427" w:history="1">
        <w:r w:rsidR="00516B98" w:rsidRPr="00ED5071">
          <w:rPr>
            <w:rStyle w:val="Hyperlink"/>
            <w:b w:val="0"/>
            <w:bCs/>
          </w:rPr>
          <w:t>6.4</w:t>
        </w:r>
        <w:r w:rsidR="00516B98" w:rsidRPr="00ED5071">
          <w:rPr>
            <w:rFonts w:asciiTheme="minorHAnsi" w:eastAsiaTheme="minorEastAsia" w:hAnsiTheme="minorHAnsi"/>
            <w:b w:val="0"/>
            <w:bCs/>
            <w:color w:val="auto"/>
            <w:sz w:val="22"/>
            <w:szCs w:val="28"/>
            <w:lang w:eastAsia="zh-CN" w:bidi="th-TH"/>
          </w:rPr>
          <w:tab/>
        </w:r>
        <w:r w:rsidR="00516B98" w:rsidRPr="00ED5071">
          <w:rPr>
            <w:rStyle w:val="Hyperlink"/>
            <w:b w:val="0"/>
            <w:bCs/>
          </w:rPr>
          <w:t>Current preferred option</w:t>
        </w:r>
        <w:r w:rsidR="00516B98" w:rsidRPr="00ED5071">
          <w:rPr>
            <w:b w:val="0"/>
            <w:bCs/>
            <w:webHidden/>
          </w:rPr>
          <w:tab/>
        </w:r>
        <w:r w:rsidR="00516B98" w:rsidRPr="00ED5071">
          <w:rPr>
            <w:b w:val="0"/>
            <w:bCs/>
            <w:webHidden/>
          </w:rPr>
          <w:fldChar w:fldCharType="begin"/>
        </w:r>
        <w:r w:rsidR="00516B98" w:rsidRPr="00ED5071">
          <w:rPr>
            <w:b w:val="0"/>
            <w:bCs/>
            <w:webHidden/>
          </w:rPr>
          <w:instrText xml:space="preserve"> PAGEREF _Toc85792427 \h </w:instrText>
        </w:r>
        <w:r w:rsidR="00516B98" w:rsidRPr="00ED5071">
          <w:rPr>
            <w:b w:val="0"/>
            <w:bCs/>
            <w:webHidden/>
          </w:rPr>
        </w:r>
        <w:r w:rsidR="00516B98" w:rsidRPr="00ED5071">
          <w:rPr>
            <w:b w:val="0"/>
            <w:bCs/>
            <w:webHidden/>
          </w:rPr>
          <w:fldChar w:fldCharType="separate"/>
        </w:r>
        <w:r w:rsidR="00516B98" w:rsidRPr="00ED5071">
          <w:rPr>
            <w:b w:val="0"/>
            <w:bCs/>
            <w:webHidden/>
          </w:rPr>
          <w:t>41</w:t>
        </w:r>
        <w:r w:rsidR="00516B98" w:rsidRPr="00ED5071">
          <w:rPr>
            <w:b w:val="0"/>
            <w:bCs/>
            <w:webHidden/>
          </w:rPr>
          <w:fldChar w:fldCharType="end"/>
        </w:r>
      </w:hyperlink>
    </w:p>
    <w:p w14:paraId="6BECD865" w14:textId="126944D3" w:rsidR="00516B98" w:rsidRPr="00ED5071" w:rsidRDefault="00977A60" w:rsidP="005350CE">
      <w:pPr>
        <w:pStyle w:val="TOC2"/>
        <w:rPr>
          <w:rFonts w:asciiTheme="minorHAnsi" w:eastAsiaTheme="minorEastAsia" w:hAnsiTheme="minorHAnsi"/>
          <w:b w:val="0"/>
          <w:bCs/>
          <w:color w:val="auto"/>
          <w:sz w:val="22"/>
          <w:szCs w:val="28"/>
          <w:lang w:eastAsia="zh-CN" w:bidi="th-TH"/>
        </w:rPr>
      </w:pPr>
      <w:hyperlink w:anchor="_Toc85792428" w:history="1">
        <w:r w:rsidR="00516B98" w:rsidRPr="00ED5071">
          <w:rPr>
            <w:rStyle w:val="Hyperlink"/>
            <w:rFonts w:eastAsia="MS Gothic"/>
            <w:b w:val="0"/>
            <w:bCs/>
            <w:lang w:val="en-US"/>
          </w:rPr>
          <w:t>6.5</w:t>
        </w:r>
        <w:r w:rsidR="00516B98" w:rsidRPr="00ED5071">
          <w:rPr>
            <w:rFonts w:asciiTheme="minorHAnsi" w:eastAsiaTheme="minorEastAsia" w:hAnsiTheme="minorHAnsi"/>
            <w:b w:val="0"/>
            <w:bCs/>
            <w:color w:val="auto"/>
            <w:sz w:val="22"/>
            <w:szCs w:val="28"/>
            <w:lang w:eastAsia="zh-CN" w:bidi="th-TH"/>
          </w:rPr>
          <w:tab/>
        </w:r>
        <w:r w:rsidR="00516B98" w:rsidRPr="00ED5071">
          <w:rPr>
            <w:rStyle w:val="Hyperlink"/>
            <w:b w:val="0"/>
            <w:bCs/>
          </w:rPr>
          <w:t>Methodology for assessment in final Regulatory Impact Statement</w:t>
        </w:r>
        <w:r w:rsidR="00516B98" w:rsidRPr="00ED5071">
          <w:rPr>
            <w:b w:val="0"/>
            <w:bCs/>
            <w:webHidden/>
          </w:rPr>
          <w:tab/>
        </w:r>
        <w:r w:rsidR="00516B98" w:rsidRPr="00ED5071">
          <w:rPr>
            <w:b w:val="0"/>
            <w:bCs/>
            <w:webHidden/>
          </w:rPr>
          <w:fldChar w:fldCharType="begin"/>
        </w:r>
        <w:r w:rsidR="00516B98" w:rsidRPr="00ED5071">
          <w:rPr>
            <w:b w:val="0"/>
            <w:bCs/>
            <w:webHidden/>
          </w:rPr>
          <w:instrText xml:space="preserve"> PAGEREF _Toc85792428 \h </w:instrText>
        </w:r>
        <w:r w:rsidR="00516B98" w:rsidRPr="00ED5071">
          <w:rPr>
            <w:b w:val="0"/>
            <w:bCs/>
            <w:webHidden/>
          </w:rPr>
        </w:r>
        <w:r w:rsidR="00516B98" w:rsidRPr="00ED5071">
          <w:rPr>
            <w:b w:val="0"/>
            <w:bCs/>
            <w:webHidden/>
          </w:rPr>
          <w:fldChar w:fldCharType="separate"/>
        </w:r>
        <w:r w:rsidR="00516B98" w:rsidRPr="00ED5071">
          <w:rPr>
            <w:b w:val="0"/>
            <w:bCs/>
            <w:webHidden/>
          </w:rPr>
          <w:t>41</w:t>
        </w:r>
        <w:r w:rsidR="00516B98" w:rsidRPr="00ED5071">
          <w:rPr>
            <w:b w:val="0"/>
            <w:bCs/>
            <w:webHidden/>
          </w:rPr>
          <w:fldChar w:fldCharType="end"/>
        </w:r>
      </w:hyperlink>
    </w:p>
    <w:p w14:paraId="78368D67" w14:textId="252F31E9" w:rsidR="00516B98" w:rsidRPr="00862684" w:rsidRDefault="00977A60" w:rsidP="005350CE">
      <w:pPr>
        <w:pStyle w:val="TOC1"/>
        <w:rPr>
          <w:rFonts w:asciiTheme="minorHAnsi" w:eastAsiaTheme="minorEastAsia" w:hAnsiTheme="minorHAnsi"/>
          <w:b w:val="0"/>
          <w:sz w:val="22"/>
          <w:szCs w:val="28"/>
          <w:u w:val="none"/>
          <w:lang w:eastAsia="zh-CN" w:bidi="th-TH"/>
        </w:rPr>
      </w:pPr>
      <w:hyperlink w:anchor="_Toc85792429" w:history="1">
        <w:r w:rsidR="00516B98" w:rsidRPr="00862684">
          <w:rPr>
            <w:rStyle w:val="Hyperlink"/>
            <w:rFonts w:ascii="Calibri" w:hAnsi="Calibri" w:cs="Calibri"/>
          </w:rPr>
          <w:t>7</w:t>
        </w:r>
        <w:r w:rsidR="00516B98" w:rsidRPr="00862684">
          <w:rPr>
            <w:rFonts w:asciiTheme="minorHAnsi" w:eastAsiaTheme="minorEastAsia" w:hAnsiTheme="minorHAnsi"/>
            <w:b w:val="0"/>
            <w:sz w:val="22"/>
            <w:szCs w:val="28"/>
            <w:u w:val="none"/>
            <w:lang w:eastAsia="zh-CN" w:bidi="th-TH"/>
          </w:rPr>
          <w:tab/>
        </w:r>
        <w:r w:rsidR="00516B98" w:rsidRPr="00862684">
          <w:rPr>
            <w:rStyle w:val="Hyperlink"/>
            <w:rFonts w:ascii="Calibri" w:hAnsi="Calibri" w:cs="Calibri"/>
          </w:rPr>
          <w:t>Consultation and Next Steps</w:t>
        </w:r>
        <w:r w:rsidR="00516B98" w:rsidRPr="00862684">
          <w:rPr>
            <w:webHidden/>
          </w:rPr>
          <w:tab/>
        </w:r>
        <w:r w:rsidR="00516B98" w:rsidRPr="00862684">
          <w:rPr>
            <w:webHidden/>
          </w:rPr>
          <w:fldChar w:fldCharType="begin"/>
        </w:r>
        <w:r w:rsidR="00516B98" w:rsidRPr="00862684">
          <w:rPr>
            <w:webHidden/>
          </w:rPr>
          <w:instrText xml:space="preserve"> PAGEREF _Toc85792429 \h </w:instrText>
        </w:r>
        <w:r w:rsidR="00516B98" w:rsidRPr="00862684">
          <w:rPr>
            <w:webHidden/>
          </w:rPr>
        </w:r>
        <w:r w:rsidR="00516B98" w:rsidRPr="00862684">
          <w:rPr>
            <w:webHidden/>
          </w:rPr>
          <w:fldChar w:fldCharType="separate"/>
        </w:r>
        <w:r w:rsidR="00516B98" w:rsidRPr="00862684">
          <w:rPr>
            <w:webHidden/>
          </w:rPr>
          <w:t>43</w:t>
        </w:r>
        <w:r w:rsidR="00516B98" w:rsidRPr="00862684">
          <w:rPr>
            <w:webHidden/>
          </w:rPr>
          <w:fldChar w:fldCharType="end"/>
        </w:r>
      </w:hyperlink>
    </w:p>
    <w:p w14:paraId="5FDBAC37" w14:textId="66EE10DD" w:rsidR="00516B98" w:rsidRPr="00D51854" w:rsidRDefault="00977A60" w:rsidP="005350CE">
      <w:pPr>
        <w:pStyle w:val="TOC2"/>
        <w:rPr>
          <w:rFonts w:asciiTheme="minorHAnsi" w:eastAsiaTheme="minorEastAsia" w:hAnsiTheme="minorHAnsi"/>
          <w:b w:val="0"/>
          <w:bCs/>
          <w:color w:val="auto"/>
          <w:sz w:val="22"/>
          <w:szCs w:val="28"/>
          <w:lang w:eastAsia="zh-CN" w:bidi="th-TH"/>
        </w:rPr>
      </w:pPr>
      <w:hyperlink w:anchor="_Toc85792430" w:history="1">
        <w:r w:rsidR="00516B98" w:rsidRPr="00D51854">
          <w:rPr>
            <w:rStyle w:val="Hyperlink"/>
            <w:b w:val="0"/>
            <w:bCs/>
          </w:rPr>
          <w:t>7.1</w:t>
        </w:r>
        <w:r w:rsidR="00516B98" w:rsidRPr="00D51854">
          <w:rPr>
            <w:rFonts w:asciiTheme="minorHAnsi" w:eastAsiaTheme="minorEastAsia" w:hAnsiTheme="minorHAnsi"/>
            <w:b w:val="0"/>
            <w:bCs/>
            <w:color w:val="auto"/>
            <w:sz w:val="22"/>
            <w:szCs w:val="28"/>
            <w:lang w:eastAsia="zh-CN" w:bidi="th-TH"/>
          </w:rPr>
          <w:tab/>
        </w:r>
        <w:r w:rsidR="00516B98" w:rsidRPr="00D51854">
          <w:rPr>
            <w:rStyle w:val="Hyperlink"/>
            <w:b w:val="0"/>
            <w:bCs/>
          </w:rPr>
          <w:t>Consultation process</w:t>
        </w:r>
        <w:r w:rsidR="00516B98" w:rsidRPr="00D51854">
          <w:rPr>
            <w:b w:val="0"/>
            <w:bCs/>
            <w:webHidden/>
          </w:rPr>
          <w:tab/>
        </w:r>
        <w:r w:rsidR="00516B98" w:rsidRPr="00D51854">
          <w:rPr>
            <w:b w:val="0"/>
            <w:bCs/>
            <w:webHidden/>
          </w:rPr>
          <w:fldChar w:fldCharType="begin"/>
        </w:r>
        <w:r w:rsidR="00516B98" w:rsidRPr="00D51854">
          <w:rPr>
            <w:b w:val="0"/>
            <w:bCs/>
            <w:webHidden/>
          </w:rPr>
          <w:instrText xml:space="preserve"> PAGEREF _Toc85792430 \h </w:instrText>
        </w:r>
        <w:r w:rsidR="00516B98" w:rsidRPr="00D51854">
          <w:rPr>
            <w:b w:val="0"/>
            <w:bCs/>
            <w:webHidden/>
          </w:rPr>
        </w:r>
        <w:r w:rsidR="00516B98" w:rsidRPr="00D51854">
          <w:rPr>
            <w:b w:val="0"/>
            <w:bCs/>
            <w:webHidden/>
          </w:rPr>
          <w:fldChar w:fldCharType="separate"/>
        </w:r>
        <w:r w:rsidR="00516B98" w:rsidRPr="00D51854">
          <w:rPr>
            <w:b w:val="0"/>
            <w:bCs/>
            <w:webHidden/>
          </w:rPr>
          <w:t>43</w:t>
        </w:r>
        <w:r w:rsidR="00516B98" w:rsidRPr="00D51854">
          <w:rPr>
            <w:b w:val="0"/>
            <w:bCs/>
            <w:webHidden/>
          </w:rPr>
          <w:fldChar w:fldCharType="end"/>
        </w:r>
      </w:hyperlink>
    </w:p>
    <w:p w14:paraId="096AA74E" w14:textId="6E0CC764" w:rsidR="00516B98" w:rsidRPr="00D51854" w:rsidRDefault="00977A60" w:rsidP="005350CE">
      <w:pPr>
        <w:pStyle w:val="TOC2"/>
        <w:rPr>
          <w:rFonts w:asciiTheme="minorHAnsi" w:eastAsiaTheme="minorEastAsia" w:hAnsiTheme="minorHAnsi"/>
          <w:b w:val="0"/>
          <w:bCs/>
          <w:color w:val="auto"/>
          <w:sz w:val="22"/>
          <w:szCs w:val="28"/>
          <w:lang w:eastAsia="zh-CN" w:bidi="th-TH"/>
        </w:rPr>
      </w:pPr>
      <w:hyperlink w:anchor="_Toc85792431" w:history="1">
        <w:r w:rsidR="00516B98" w:rsidRPr="00D51854">
          <w:rPr>
            <w:rStyle w:val="Hyperlink"/>
            <w:b w:val="0"/>
            <w:bCs/>
          </w:rPr>
          <w:t>7.2</w:t>
        </w:r>
        <w:r w:rsidR="00516B98" w:rsidRPr="00D51854">
          <w:rPr>
            <w:rFonts w:asciiTheme="minorHAnsi" w:eastAsiaTheme="minorEastAsia" w:hAnsiTheme="minorHAnsi"/>
            <w:b w:val="0"/>
            <w:bCs/>
            <w:color w:val="auto"/>
            <w:sz w:val="22"/>
            <w:szCs w:val="28"/>
            <w:lang w:eastAsia="zh-CN" w:bidi="th-TH"/>
          </w:rPr>
          <w:tab/>
        </w:r>
        <w:r w:rsidR="00516B98" w:rsidRPr="00D51854">
          <w:rPr>
            <w:rStyle w:val="Hyperlink"/>
            <w:b w:val="0"/>
            <w:bCs/>
          </w:rPr>
          <w:t>Next steps for the Regulatory Impact Statement</w:t>
        </w:r>
        <w:r w:rsidR="00516B98" w:rsidRPr="00D51854">
          <w:rPr>
            <w:b w:val="0"/>
            <w:bCs/>
            <w:webHidden/>
          </w:rPr>
          <w:tab/>
        </w:r>
        <w:r w:rsidR="00516B98" w:rsidRPr="00D51854">
          <w:rPr>
            <w:b w:val="0"/>
            <w:bCs/>
            <w:webHidden/>
          </w:rPr>
          <w:fldChar w:fldCharType="begin"/>
        </w:r>
        <w:r w:rsidR="00516B98" w:rsidRPr="00D51854">
          <w:rPr>
            <w:b w:val="0"/>
            <w:bCs/>
            <w:webHidden/>
          </w:rPr>
          <w:instrText xml:space="preserve"> PAGEREF _Toc85792431 \h </w:instrText>
        </w:r>
        <w:r w:rsidR="00516B98" w:rsidRPr="00D51854">
          <w:rPr>
            <w:b w:val="0"/>
            <w:bCs/>
            <w:webHidden/>
          </w:rPr>
        </w:r>
        <w:r w:rsidR="00516B98" w:rsidRPr="00D51854">
          <w:rPr>
            <w:b w:val="0"/>
            <w:bCs/>
            <w:webHidden/>
          </w:rPr>
          <w:fldChar w:fldCharType="separate"/>
        </w:r>
        <w:r w:rsidR="00516B98" w:rsidRPr="00D51854">
          <w:rPr>
            <w:b w:val="0"/>
            <w:bCs/>
            <w:webHidden/>
          </w:rPr>
          <w:t>44</w:t>
        </w:r>
        <w:r w:rsidR="00516B98" w:rsidRPr="00D51854">
          <w:rPr>
            <w:b w:val="0"/>
            <w:bCs/>
            <w:webHidden/>
          </w:rPr>
          <w:fldChar w:fldCharType="end"/>
        </w:r>
      </w:hyperlink>
    </w:p>
    <w:p w14:paraId="5BA10F56" w14:textId="384F9219" w:rsidR="00516B98" w:rsidRPr="00D51854" w:rsidRDefault="00977A60" w:rsidP="005350CE">
      <w:pPr>
        <w:pStyle w:val="TOC2"/>
        <w:rPr>
          <w:rFonts w:asciiTheme="minorHAnsi" w:eastAsiaTheme="minorEastAsia" w:hAnsiTheme="minorHAnsi"/>
          <w:b w:val="0"/>
          <w:bCs/>
          <w:color w:val="auto"/>
          <w:sz w:val="22"/>
          <w:szCs w:val="28"/>
          <w:lang w:eastAsia="zh-CN" w:bidi="th-TH"/>
        </w:rPr>
      </w:pPr>
      <w:hyperlink w:anchor="_Toc85792432" w:history="1">
        <w:r w:rsidR="00516B98" w:rsidRPr="00D51854">
          <w:rPr>
            <w:rStyle w:val="Hyperlink"/>
            <w:b w:val="0"/>
            <w:bCs/>
          </w:rPr>
          <w:t>7.3</w:t>
        </w:r>
        <w:r w:rsidR="00516B98" w:rsidRPr="00D51854">
          <w:rPr>
            <w:rFonts w:asciiTheme="minorHAnsi" w:eastAsiaTheme="minorEastAsia" w:hAnsiTheme="minorHAnsi"/>
            <w:b w:val="0"/>
            <w:bCs/>
            <w:color w:val="auto"/>
            <w:sz w:val="22"/>
            <w:szCs w:val="28"/>
            <w:lang w:eastAsia="zh-CN" w:bidi="th-TH"/>
          </w:rPr>
          <w:tab/>
        </w:r>
        <w:r w:rsidR="00516B98" w:rsidRPr="00D51854">
          <w:rPr>
            <w:rStyle w:val="Hyperlink"/>
            <w:b w:val="0"/>
            <w:bCs/>
          </w:rPr>
          <w:t>Next steps for the Australian Sports Wagering Scheme</w:t>
        </w:r>
        <w:r w:rsidR="00516B98" w:rsidRPr="00D51854">
          <w:rPr>
            <w:b w:val="0"/>
            <w:bCs/>
            <w:webHidden/>
          </w:rPr>
          <w:tab/>
        </w:r>
        <w:r w:rsidR="00516B98" w:rsidRPr="00D51854">
          <w:rPr>
            <w:b w:val="0"/>
            <w:bCs/>
            <w:webHidden/>
          </w:rPr>
          <w:fldChar w:fldCharType="begin"/>
        </w:r>
        <w:r w:rsidR="00516B98" w:rsidRPr="00D51854">
          <w:rPr>
            <w:b w:val="0"/>
            <w:bCs/>
            <w:webHidden/>
          </w:rPr>
          <w:instrText xml:space="preserve"> PAGEREF _Toc85792432 \h </w:instrText>
        </w:r>
        <w:r w:rsidR="00516B98" w:rsidRPr="00D51854">
          <w:rPr>
            <w:b w:val="0"/>
            <w:bCs/>
            <w:webHidden/>
          </w:rPr>
        </w:r>
        <w:r w:rsidR="00516B98" w:rsidRPr="00D51854">
          <w:rPr>
            <w:b w:val="0"/>
            <w:bCs/>
            <w:webHidden/>
          </w:rPr>
          <w:fldChar w:fldCharType="separate"/>
        </w:r>
        <w:r w:rsidR="00516B98" w:rsidRPr="00D51854">
          <w:rPr>
            <w:b w:val="0"/>
            <w:bCs/>
            <w:webHidden/>
          </w:rPr>
          <w:t>45</w:t>
        </w:r>
        <w:r w:rsidR="00516B98" w:rsidRPr="00D51854">
          <w:rPr>
            <w:b w:val="0"/>
            <w:bCs/>
            <w:webHidden/>
          </w:rPr>
          <w:fldChar w:fldCharType="end"/>
        </w:r>
      </w:hyperlink>
    </w:p>
    <w:p w14:paraId="4CD63254" w14:textId="107B60B5" w:rsidR="00516B98" w:rsidRPr="00862684" w:rsidRDefault="00977A60" w:rsidP="005350CE">
      <w:pPr>
        <w:pStyle w:val="TOC1"/>
        <w:rPr>
          <w:rFonts w:asciiTheme="minorHAnsi" w:eastAsiaTheme="minorEastAsia" w:hAnsiTheme="minorHAnsi"/>
          <w:b w:val="0"/>
          <w:sz w:val="22"/>
          <w:szCs w:val="28"/>
          <w:u w:val="none"/>
          <w:lang w:eastAsia="zh-CN" w:bidi="th-TH"/>
        </w:rPr>
      </w:pPr>
      <w:hyperlink w:anchor="_Toc85792433" w:history="1">
        <w:r w:rsidR="00516B98" w:rsidRPr="00862684">
          <w:rPr>
            <w:rStyle w:val="Hyperlink"/>
            <w:rFonts w:ascii="Calibri" w:hAnsi="Calibri" w:cs="Calibri"/>
          </w:rPr>
          <w:t>Appendix A: Additional information on the current regulatory framework for sports wagering</w:t>
        </w:r>
        <w:r w:rsidR="00516B98" w:rsidRPr="00862684">
          <w:rPr>
            <w:webHidden/>
          </w:rPr>
          <w:tab/>
        </w:r>
        <w:r w:rsidR="00516B98" w:rsidRPr="00862684">
          <w:rPr>
            <w:webHidden/>
          </w:rPr>
          <w:fldChar w:fldCharType="begin"/>
        </w:r>
        <w:r w:rsidR="00516B98" w:rsidRPr="00862684">
          <w:rPr>
            <w:webHidden/>
          </w:rPr>
          <w:instrText xml:space="preserve"> PAGEREF _Toc85792433 \h </w:instrText>
        </w:r>
        <w:r w:rsidR="00516B98" w:rsidRPr="00862684">
          <w:rPr>
            <w:webHidden/>
          </w:rPr>
        </w:r>
        <w:r w:rsidR="00516B98" w:rsidRPr="00862684">
          <w:rPr>
            <w:webHidden/>
          </w:rPr>
          <w:fldChar w:fldCharType="separate"/>
        </w:r>
        <w:r w:rsidR="00516B98" w:rsidRPr="00862684">
          <w:rPr>
            <w:webHidden/>
          </w:rPr>
          <w:t>47</w:t>
        </w:r>
        <w:r w:rsidR="00516B98" w:rsidRPr="00862684">
          <w:rPr>
            <w:webHidden/>
          </w:rPr>
          <w:fldChar w:fldCharType="end"/>
        </w:r>
      </w:hyperlink>
    </w:p>
    <w:p w14:paraId="5055A36C" w14:textId="55B756A4" w:rsidR="00516B98" w:rsidRDefault="00977A60" w:rsidP="005350CE">
      <w:pPr>
        <w:pStyle w:val="TOC1"/>
        <w:rPr>
          <w:rFonts w:asciiTheme="minorHAnsi" w:eastAsiaTheme="minorEastAsia" w:hAnsiTheme="minorHAnsi"/>
          <w:b w:val="0"/>
          <w:sz w:val="22"/>
          <w:szCs w:val="28"/>
          <w:u w:val="none"/>
          <w:lang w:eastAsia="zh-CN" w:bidi="th-TH"/>
        </w:rPr>
      </w:pPr>
      <w:hyperlink w:anchor="_Toc85792434" w:history="1">
        <w:r w:rsidR="00516B98" w:rsidRPr="00862684">
          <w:rPr>
            <w:rStyle w:val="Hyperlink"/>
            <w:rFonts w:ascii="Calibri" w:hAnsi="Calibri" w:cs="Calibri"/>
          </w:rPr>
          <w:t>Further detail on overarching regulatory framework</w:t>
        </w:r>
        <w:r w:rsidR="00516B98" w:rsidRPr="00862684">
          <w:rPr>
            <w:webHidden/>
          </w:rPr>
          <w:tab/>
        </w:r>
        <w:r w:rsidR="00516B98" w:rsidRPr="00862684">
          <w:rPr>
            <w:webHidden/>
          </w:rPr>
          <w:fldChar w:fldCharType="begin"/>
        </w:r>
        <w:r w:rsidR="00516B98" w:rsidRPr="00862684">
          <w:rPr>
            <w:webHidden/>
          </w:rPr>
          <w:instrText xml:space="preserve"> PAGEREF _Toc85792434 \h </w:instrText>
        </w:r>
        <w:r w:rsidR="00516B98" w:rsidRPr="00862684">
          <w:rPr>
            <w:webHidden/>
          </w:rPr>
        </w:r>
        <w:r w:rsidR="00516B98" w:rsidRPr="00862684">
          <w:rPr>
            <w:webHidden/>
          </w:rPr>
          <w:fldChar w:fldCharType="separate"/>
        </w:r>
        <w:r w:rsidR="00516B98" w:rsidRPr="00862684">
          <w:rPr>
            <w:webHidden/>
          </w:rPr>
          <w:t>47</w:t>
        </w:r>
        <w:r w:rsidR="00516B98" w:rsidRPr="00862684">
          <w:rPr>
            <w:webHidden/>
          </w:rPr>
          <w:fldChar w:fldCharType="end"/>
        </w:r>
      </w:hyperlink>
    </w:p>
    <w:p w14:paraId="069F14D1" w14:textId="0F2D128E" w:rsidR="00AF0899" w:rsidRPr="002F1917" w:rsidRDefault="00251FBB" w:rsidP="005350CE">
      <w:pPr>
        <w:rPr>
          <w:rFonts w:ascii="Calibri" w:hAnsi="Calibri" w:cs="Calibri"/>
        </w:rPr>
      </w:pPr>
      <w:r w:rsidRPr="002F1917">
        <w:rPr>
          <w:rFonts w:ascii="Calibri" w:hAnsi="Calibri" w:cs="Calibri"/>
          <w:b/>
          <w:noProof/>
          <w:color w:val="auto"/>
          <w:sz w:val="24"/>
          <w:u w:val="single" w:color="A6A6A6" w:themeColor="background1" w:themeShade="A6"/>
        </w:rPr>
        <w:fldChar w:fldCharType="end"/>
      </w:r>
    </w:p>
    <w:p w14:paraId="1FEE5817" w14:textId="77777777" w:rsidR="00251FBB" w:rsidRPr="002F1917" w:rsidRDefault="00251FBB" w:rsidP="00AF0899">
      <w:pPr>
        <w:rPr>
          <w:rFonts w:ascii="Calibri" w:hAnsi="Calibri" w:cs="Calibri"/>
        </w:rPr>
      </w:pPr>
    </w:p>
    <w:p w14:paraId="5C8C4532" w14:textId="30089AEF" w:rsidR="00251FBB" w:rsidRPr="002F1917" w:rsidRDefault="00251FBB">
      <w:pPr>
        <w:suppressAutoHyphens w:val="0"/>
        <w:rPr>
          <w:rFonts w:ascii="Calibri" w:hAnsi="Calibri" w:cs="Calibri"/>
        </w:rPr>
      </w:pPr>
    </w:p>
    <w:p w14:paraId="552C800A" w14:textId="2738E8D5" w:rsidR="00870C3F" w:rsidRPr="002F1917" w:rsidRDefault="00870C3F">
      <w:pPr>
        <w:suppressAutoHyphens w:val="0"/>
        <w:rPr>
          <w:rFonts w:ascii="Calibri" w:hAnsi="Calibri" w:cs="Calibri"/>
        </w:rPr>
      </w:pPr>
    </w:p>
    <w:p w14:paraId="4D490E1E" w14:textId="17AA0021" w:rsidR="00870C3F" w:rsidRPr="002F1917" w:rsidRDefault="00870C3F">
      <w:pPr>
        <w:suppressAutoHyphens w:val="0"/>
        <w:rPr>
          <w:rFonts w:ascii="Calibri" w:hAnsi="Calibri" w:cs="Calibri"/>
        </w:rPr>
      </w:pPr>
    </w:p>
    <w:p w14:paraId="6FD3B9D8" w14:textId="54C465D1" w:rsidR="00870C3F" w:rsidRPr="002F1917" w:rsidRDefault="00870C3F">
      <w:pPr>
        <w:suppressAutoHyphens w:val="0"/>
        <w:rPr>
          <w:rFonts w:ascii="Calibri" w:hAnsi="Calibri" w:cs="Calibri"/>
        </w:rPr>
      </w:pPr>
    </w:p>
    <w:p w14:paraId="0D82EE00" w14:textId="7250BA23" w:rsidR="00870C3F" w:rsidRPr="002F1917" w:rsidRDefault="00870C3F">
      <w:pPr>
        <w:suppressAutoHyphens w:val="0"/>
        <w:rPr>
          <w:rFonts w:ascii="Calibri" w:hAnsi="Calibri" w:cs="Calibri"/>
        </w:rPr>
      </w:pPr>
    </w:p>
    <w:p w14:paraId="1E01C575" w14:textId="710FCCF2" w:rsidR="00870C3F" w:rsidRPr="002F1917" w:rsidRDefault="00870C3F">
      <w:pPr>
        <w:suppressAutoHyphens w:val="0"/>
        <w:rPr>
          <w:rFonts w:ascii="Calibri" w:hAnsi="Calibri" w:cs="Calibri"/>
        </w:rPr>
      </w:pPr>
    </w:p>
    <w:p w14:paraId="06365482" w14:textId="11D9FCE9" w:rsidR="00870C3F" w:rsidRPr="002F1917" w:rsidRDefault="00870C3F">
      <w:pPr>
        <w:suppressAutoHyphens w:val="0"/>
        <w:rPr>
          <w:rFonts w:ascii="Calibri" w:hAnsi="Calibri" w:cs="Calibri"/>
        </w:rPr>
      </w:pPr>
    </w:p>
    <w:p w14:paraId="72C832BC" w14:textId="1BD62D66" w:rsidR="00870C3F" w:rsidRPr="002F1917" w:rsidRDefault="00870C3F">
      <w:pPr>
        <w:suppressAutoHyphens w:val="0"/>
        <w:rPr>
          <w:rFonts w:ascii="Calibri" w:hAnsi="Calibri" w:cs="Calibri"/>
        </w:rPr>
      </w:pPr>
    </w:p>
    <w:p w14:paraId="02985456" w14:textId="104C3B05" w:rsidR="00870C3F" w:rsidRPr="002F1917" w:rsidRDefault="00870C3F">
      <w:pPr>
        <w:suppressAutoHyphens w:val="0"/>
        <w:rPr>
          <w:rFonts w:ascii="Calibri" w:hAnsi="Calibri" w:cs="Calibri"/>
        </w:rPr>
      </w:pPr>
    </w:p>
    <w:p w14:paraId="5780DD1F" w14:textId="60BBA113" w:rsidR="00870C3F" w:rsidRPr="002F1917" w:rsidRDefault="00870C3F">
      <w:pPr>
        <w:suppressAutoHyphens w:val="0"/>
        <w:rPr>
          <w:rFonts w:ascii="Calibri" w:hAnsi="Calibri" w:cs="Calibri"/>
        </w:rPr>
      </w:pPr>
    </w:p>
    <w:p w14:paraId="191F2E78" w14:textId="3A9E46DD" w:rsidR="00870C3F" w:rsidRPr="002F1917" w:rsidRDefault="00870C3F">
      <w:pPr>
        <w:suppressAutoHyphens w:val="0"/>
        <w:rPr>
          <w:rFonts w:ascii="Calibri" w:hAnsi="Calibri" w:cs="Calibri"/>
        </w:rPr>
      </w:pPr>
    </w:p>
    <w:p w14:paraId="65116D8A" w14:textId="5A303E4C" w:rsidR="00870C3F" w:rsidRPr="002F1917" w:rsidRDefault="00870C3F">
      <w:pPr>
        <w:suppressAutoHyphens w:val="0"/>
        <w:rPr>
          <w:rFonts w:ascii="Calibri" w:hAnsi="Calibri" w:cs="Calibri"/>
        </w:rPr>
      </w:pPr>
    </w:p>
    <w:p w14:paraId="07D2D86F" w14:textId="3D3D9D9F" w:rsidR="00870C3F" w:rsidRPr="002F1917" w:rsidRDefault="00870C3F">
      <w:pPr>
        <w:suppressAutoHyphens w:val="0"/>
        <w:rPr>
          <w:rFonts w:ascii="Calibri" w:hAnsi="Calibri" w:cs="Calibri"/>
        </w:rPr>
      </w:pPr>
    </w:p>
    <w:p w14:paraId="7FD4B3E6" w14:textId="77777777" w:rsidR="00870C3F" w:rsidRPr="002F1917" w:rsidRDefault="00870C3F">
      <w:pPr>
        <w:suppressAutoHyphens w:val="0"/>
        <w:rPr>
          <w:rFonts w:ascii="Calibri" w:hAnsi="Calibri" w:cs="Calibri"/>
        </w:rPr>
      </w:pPr>
    </w:p>
    <w:p w14:paraId="252EA63F" w14:textId="77777777" w:rsidR="005350CE" w:rsidRDefault="005350CE">
      <w:pPr>
        <w:suppressAutoHyphens w:val="0"/>
        <w:rPr>
          <w:rFonts w:ascii="Calibri" w:eastAsiaTheme="majorEastAsia" w:hAnsi="Calibri" w:cs="Calibri"/>
          <w:b/>
          <w:color w:val="54959D" w:themeColor="accent2"/>
          <w:sz w:val="40"/>
          <w:szCs w:val="32"/>
        </w:rPr>
      </w:pPr>
      <w:bookmarkStart w:id="0" w:name="_Toc39219852"/>
      <w:bookmarkStart w:id="1" w:name="_Toc85450736"/>
      <w:bookmarkStart w:id="2" w:name="_Toc85792400"/>
      <w:bookmarkStart w:id="3" w:name="_Toc18577021"/>
      <w:bookmarkStart w:id="4" w:name="_Toc27034031"/>
      <w:r>
        <w:rPr>
          <w:rFonts w:ascii="Calibri" w:hAnsi="Calibri" w:cs="Calibri"/>
        </w:rPr>
        <w:br w:type="page"/>
      </w:r>
    </w:p>
    <w:p w14:paraId="17CEEABE" w14:textId="3F4DC295" w:rsidR="00870C3F" w:rsidRPr="002F1917" w:rsidRDefault="00870C3F" w:rsidP="00870C3F">
      <w:pPr>
        <w:pStyle w:val="Heading1"/>
        <w:rPr>
          <w:rFonts w:ascii="Calibri" w:hAnsi="Calibri" w:cs="Calibri"/>
        </w:rPr>
      </w:pPr>
      <w:r w:rsidRPr="002F1917">
        <w:rPr>
          <w:rFonts w:ascii="Calibri" w:hAnsi="Calibri" w:cs="Calibri"/>
        </w:rPr>
        <w:lastRenderedPageBreak/>
        <w:t>Glossary of Terms</w:t>
      </w:r>
      <w:bookmarkEnd w:id="0"/>
      <w:bookmarkEnd w:id="1"/>
      <w:bookmarkEnd w:id="2"/>
    </w:p>
    <w:tbl>
      <w:tblPr>
        <w:tblStyle w:val="FETableStyle"/>
        <w:tblW w:w="5000" w:type="pct"/>
        <w:tblInd w:w="0" w:type="dxa"/>
        <w:tblLook w:val="0620" w:firstRow="1" w:lastRow="0" w:firstColumn="0" w:lastColumn="0" w:noHBand="1" w:noVBand="1"/>
      </w:tblPr>
      <w:tblGrid>
        <w:gridCol w:w="2398"/>
        <w:gridCol w:w="6666"/>
      </w:tblGrid>
      <w:tr w:rsidR="00870C3F" w:rsidRPr="002F1917" w14:paraId="171C9B08" w14:textId="77777777" w:rsidTr="00517FA0">
        <w:trPr>
          <w:cnfStyle w:val="100000000000" w:firstRow="1" w:lastRow="0" w:firstColumn="0" w:lastColumn="0" w:oddVBand="0" w:evenVBand="0" w:oddHBand="0" w:evenHBand="0" w:firstRowFirstColumn="0" w:firstRowLastColumn="0" w:lastRowFirstColumn="0" w:lastRowLastColumn="0"/>
          <w:trHeight w:val="300"/>
        </w:trPr>
        <w:tc>
          <w:tcPr>
            <w:tcW w:w="1323" w:type="pct"/>
            <w:hideMark/>
          </w:tcPr>
          <w:p w14:paraId="78102940" w14:textId="77777777" w:rsidR="00870C3F" w:rsidRPr="002F1917" w:rsidRDefault="00870C3F">
            <w:pPr>
              <w:spacing w:before="180" w:after="60"/>
              <w:rPr>
                <w:rFonts w:ascii="Calibri" w:hAnsi="Calibri" w:cs="Calibri"/>
                <w:lang w:eastAsia="en-AU"/>
              </w:rPr>
            </w:pPr>
            <w:r w:rsidRPr="002F1917">
              <w:rPr>
                <w:rFonts w:ascii="Calibri" w:hAnsi="Calibri" w:cs="Calibri"/>
                <w:lang w:eastAsia="en-AU"/>
              </w:rPr>
              <w:t>Term</w:t>
            </w:r>
          </w:p>
        </w:tc>
        <w:tc>
          <w:tcPr>
            <w:tcW w:w="3677" w:type="pct"/>
            <w:hideMark/>
          </w:tcPr>
          <w:p w14:paraId="1F0B7F3A" w14:textId="77777777" w:rsidR="00870C3F" w:rsidRPr="002F1917" w:rsidRDefault="00870C3F">
            <w:pPr>
              <w:spacing w:before="180" w:after="60"/>
              <w:rPr>
                <w:rFonts w:ascii="Calibri" w:hAnsi="Calibri" w:cs="Calibri"/>
                <w:lang w:eastAsia="en-AU"/>
              </w:rPr>
            </w:pPr>
            <w:r w:rsidRPr="002F1917">
              <w:rPr>
                <w:rFonts w:ascii="Calibri" w:hAnsi="Calibri" w:cs="Calibri"/>
                <w:lang w:eastAsia="en-AU"/>
              </w:rPr>
              <w:t>Description</w:t>
            </w:r>
          </w:p>
        </w:tc>
      </w:tr>
      <w:tr w:rsidR="00870C3F" w:rsidRPr="002F1917" w14:paraId="3586B60E" w14:textId="77777777" w:rsidTr="00517FA0">
        <w:trPr>
          <w:trHeight w:val="300"/>
        </w:trPr>
        <w:tc>
          <w:tcPr>
            <w:tcW w:w="1323" w:type="pct"/>
            <w:hideMark/>
          </w:tcPr>
          <w:p w14:paraId="3F7435E8" w14:textId="77777777" w:rsidR="00870C3F" w:rsidRPr="002F1917" w:rsidRDefault="00870C3F">
            <w:pPr>
              <w:spacing w:before="180" w:after="60"/>
              <w:rPr>
                <w:rFonts w:ascii="Calibri" w:hAnsi="Calibri" w:cs="Calibri"/>
                <w:color w:val="000000"/>
                <w:lang w:eastAsia="en-AU"/>
              </w:rPr>
            </w:pPr>
            <w:r w:rsidRPr="002F1917">
              <w:rPr>
                <w:rFonts w:ascii="Calibri" w:hAnsi="Calibri" w:cs="Calibri"/>
                <w:color w:val="000000"/>
                <w:lang w:eastAsia="en-AU"/>
              </w:rPr>
              <w:t>ACMA</w:t>
            </w:r>
          </w:p>
        </w:tc>
        <w:tc>
          <w:tcPr>
            <w:tcW w:w="3677" w:type="pct"/>
            <w:hideMark/>
          </w:tcPr>
          <w:p w14:paraId="6844E15E" w14:textId="77777777" w:rsidR="00870C3F" w:rsidRPr="002F1917" w:rsidRDefault="00870C3F">
            <w:pPr>
              <w:spacing w:before="180" w:after="60"/>
              <w:rPr>
                <w:rFonts w:ascii="Calibri" w:hAnsi="Calibri" w:cs="Calibri"/>
                <w:color w:val="000000"/>
                <w:lang w:eastAsia="en-AU"/>
              </w:rPr>
            </w:pPr>
            <w:r w:rsidRPr="002F1917">
              <w:rPr>
                <w:rFonts w:ascii="Calibri" w:hAnsi="Calibri" w:cs="Calibri"/>
                <w:color w:val="000000"/>
                <w:lang w:eastAsia="en-AU"/>
              </w:rPr>
              <w:t>Australian Communications and Media Authority</w:t>
            </w:r>
          </w:p>
        </w:tc>
      </w:tr>
      <w:tr w:rsidR="00870C3F" w:rsidRPr="002F1917" w14:paraId="188D2D14" w14:textId="77777777" w:rsidTr="00517FA0">
        <w:trPr>
          <w:trHeight w:val="300"/>
        </w:trPr>
        <w:tc>
          <w:tcPr>
            <w:tcW w:w="1323" w:type="pct"/>
            <w:hideMark/>
          </w:tcPr>
          <w:p w14:paraId="0C0307F0" w14:textId="77777777" w:rsidR="00870C3F" w:rsidRPr="002F1917" w:rsidRDefault="00870C3F">
            <w:pPr>
              <w:spacing w:before="180" w:after="60"/>
              <w:rPr>
                <w:rFonts w:ascii="Calibri" w:hAnsi="Calibri" w:cs="Calibri"/>
                <w:color w:val="000000"/>
                <w:lang w:eastAsia="en-AU"/>
              </w:rPr>
            </w:pPr>
            <w:r w:rsidRPr="002F1917">
              <w:rPr>
                <w:rFonts w:ascii="Calibri" w:hAnsi="Calibri" w:cs="Calibri"/>
                <w:color w:val="000000"/>
                <w:lang w:eastAsia="en-AU"/>
              </w:rPr>
              <w:t>ASWS</w:t>
            </w:r>
          </w:p>
        </w:tc>
        <w:tc>
          <w:tcPr>
            <w:tcW w:w="3677" w:type="pct"/>
            <w:hideMark/>
          </w:tcPr>
          <w:p w14:paraId="6B543549" w14:textId="77777777" w:rsidR="00870C3F" w:rsidRPr="002F1917" w:rsidRDefault="00870C3F">
            <w:pPr>
              <w:spacing w:before="180" w:after="60"/>
              <w:rPr>
                <w:rFonts w:ascii="Calibri" w:hAnsi="Calibri" w:cs="Calibri"/>
                <w:color w:val="000000"/>
                <w:lang w:eastAsia="en-AU"/>
              </w:rPr>
            </w:pPr>
            <w:r w:rsidRPr="002F1917">
              <w:rPr>
                <w:rFonts w:ascii="Calibri" w:hAnsi="Calibri" w:cs="Calibri"/>
                <w:color w:val="000000"/>
                <w:lang w:eastAsia="en-AU"/>
              </w:rPr>
              <w:t xml:space="preserve">Australian Sports Wagering Scheme </w:t>
            </w:r>
          </w:p>
        </w:tc>
      </w:tr>
      <w:tr w:rsidR="00870C3F" w:rsidRPr="002F1917" w14:paraId="690DB988" w14:textId="77777777" w:rsidTr="00517FA0">
        <w:trPr>
          <w:trHeight w:val="315"/>
        </w:trPr>
        <w:tc>
          <w:tcPr>
            <w:tcW w:w="1323" w:type="pct"/>
            <w:hideMark/>
          </w:tcPr>
          <w:p w14:paraId="7B071FF8" w14:textId="77777777" w:rsidR="00870C3F" w:rsidRPr="002F1917" w:rsidRDefault="00870C3F">
            <w:pPr>
              <w:spacing w:before="180" w:after="60"/>
              <w:rPr>
                <w:rFonts w:ascii="Calibri" w:hAnsi="Calibri" w:cs="Calibri"/>
                <w:color w:val="000000"/>
                <w:lang w:eastAsia="en-AU"/>
              </w:rPr>
            </w:pPr>
            <w:r w:rsidRPr="002F1917">
              <w:rPr>
                <w:rFonts w:ascii="Calibri" w:hAnsi="Calibri" w:cs="Calibri"/>
                <w:color w:val="000000"/>
                <w:lang w:eastAsia="en-AU"/>
              </w:rPr>
              <w:t>Event controller</w:t>
            </w:r>
          </w:p>
        </w:tc>
        <w:tc>
          <w:tcPr>
            <w:tcW w:w="3677" w:type="pct"/>
            <w:hideMark/>
          </w:tcPr>
          <w:p w14:paraId="5B6266C7" w14:textId="77777777" w:rsidR="00870C3F" w:rsidRPr="002F1917" w:rsidRDefault="00870C3F">
            <w:pPr>
              <w:spacing w:before="180" w:after="60"/>
              <w:rPr>
                <w:rFonts w:ascii="Calibri" w:hAnsi="Calibri" w:cs="Calibri"/>
                <w:color w:val="000000"/>
                <w:lang w:eastAsia="en-AU"/>
              </w:rPr>
            </w:pPr>
            <w:r w:rsidRPr="002F1917">
              <w:rPr>
                <w:rFonts w:ascii="Calibri" w:hAnsi="Calibri" w:cs="Calibri"/>
                <w:color w:val="000000"/>
                <w:lang w:eastAsia="en-AU"/>
              </w:rPr>
              <w:t>Event Controlling Body</w:t>
            </w:r>
          </w:p>
        </w:tc>
      </w:tr>
      <w:tr w:rsidR="00870C3F" w:rsidRPr="002F1917" w14:paraId="047FECA5" w14:textId="77777777" w:rsidTr="00517FA0">
        <w:trPr>
          <w:trHeight w:val="315"/>
        </w:trPr>
        <w:tc>
          <w:tcPr>
            <w:tcW w:w="1323" w:type="pct"/>
            <w:hideMark/>
          </w:tcPr>
          <w:p w14:paraId="4E937D0F" w14:textId="77777777" w:rsidR="00870C3F" w:rsidRPr="002F1917" w:rsidRDefault="00870C3F">
            <w:pPr>
              <w:spacing w:before="180" w:after="60"/>
              <w:rPr>
                <w:rFonts w:ascii="Calibri" w:hAnsi="Calibri" w:cs="Calibri"/>
                <w:color w:val="000000"/>
                <w:lang w:eastAsia="en-AU"/>
              </w:rPr>
            </w:pPr>
            <w:r w:rsidRPr="002F1917">
              <w:rPr>
                <w:rFonts w:ascii="Calibri" w:hAnsi="Calibri" w:cs="Calibri"/>
                <w:color w:val="000000"/>
                <w:lang w:eastAsia="en-AU"/>
              </w:rPr>
              <w:t>IGA</w:t>
            </w:r>
          </w:p>
        </w:tc>
        <w:tc>
          <w:tcPr>
            <w:tcW w:w="3677" w:type="pct"/>
            <w:hideMark/>
          </w:tcPr>
          <w:p w14:paraId="0B317C73" w14:textId="77777777" w:rsidR="00870C3F" w:rsidRPr="002F1917" w:rsidRDefault="00870C3F">
            <w:pPr>
              <w:spacing w:before="180" w:after="60"/>
              <w:rPr>
                <w:rFonts w:ascii="Calibri" w:hAnsi="Calibri" w:cs="Calibri"/>
                <w:color w:val="000000"/>
                <w:lang w:eastAsia="en-AU"/>
              </w:rPr>
            </w:pPr>
            <w:r w:rsidRPr="002F1917">
              <w:rPr>
                <w:rFonts w:ascii="Calibri" w:hAnsi="Calibri" w:cs="Calibri"/>
                <w:color w:val="000000"/>
                <w:lang w:eastAsia="en-AU"/>
              </w:rPr>
              <w:t xml:space="preserve">Interactive Gambling Act </w:t>
            </w:r>
          </w:p>
        </w:tc>
      </w:tr>
      <w:tr w:rsidR="00870C3F" w:rsidRPr="002F1917" w14:paraId="0869D455" w14:textId="77777777" w:rsidTr="00517FA0">
        <w:trPr>
          <w:trHeight w:val="300"/>
        </w:trPr>
        <w:tc>
          <w:tcPr>
            <w:tcW w:w="1323" w:type="pct"/>
            <w:hideMark/>
          </w:tcPr>
          <w:p w14:paraId="3AA63781" w14:textId="77777777" w:rsidR="00870C3F" w:rsidRPr="002F1917" w:rsidRDefault="00870C3F">
            <w:pPr>
              <w:spacing w:before="180" w:after="60"/>
              <w:rPr>
                <w:rFonts w:ascii="Calibri" w:hAnsi="Calibri" w:cs="Calibri"/>
                <w:color w:val="000000"/>
                <w:lang w:eastAsia="en-AU"/>
              </w:rPr>
            </w:pPr>
            <w:r w:rsidRPr="002F1917">
              <w:rPr>
                <w:rFonts w:ascii="Calibri" w:hAnsi="Calibri" w:cs="Calibri"/>
                <w:color w:val="000000"/>
                <w:lang w:eastAsia="en-AU"/>
              </w:rPr>
              <w:t>Macolin Convention</w:t>
            </w:r>
          </w:p>
        </w:tc>
        <w:tc>
          <w:tcPr>
            <w:tcW w:w="3677" w:type="pct"/>
            <w:hideMark/>
          </w:tcPr>
          <w:p w14:paraId="15AC273C" w14:textId="77777777" w:rsidR="00870C3F" w:rsidRPr="002F1917" w:rsidRDefault="00870C3F">
            <w:pPr>
              <w:spacing w:before="180" w:after="60"/>
              <w:rPr>
                <w:rFonts w:ascii="Calibri" w:hAnsi="Calibri" w:cs="Calibri"/>
                <w:color w:val="000000"/>
                <w:lang w:eastAsia="en-AU"/>
              </w:rPr>
            </w:pPr>
            <w:r w:rsidRPr="002F1917">
              <w:rPr>
                <w:rFonts w:ascii="Calibri" w:hAnsi="Calibri" w:cs="Calibri"/>
                <w:color w:val="000000"/>
                <w:lang w:eastAsia="en-AU"/>
              </w:rPr>
              <w:t xml:space="preserve">Council of Europe Convention of the Manipulation of Sports Competition </w:t>
            </w:r>
          </w:p>
        </w:tc>
      </w:tr>
      <w:tr w:rsidR="00870C3F" w:rsidRPr="002F1917" w14:paraId="2C6E037A" w14:textId="77777777" w:rsidTr="00517FA0">
        <w:trPr>
          <w:trHeight w:val="300"/>
        </w:trPr>
        <w:tc>
          <w:tcPr>
            <w:tcW w:w="1323" w:type="pct"/>
            <w:hideMark/>
          </w:tcPr>
          <w:p w14:paraId="5F0388CF" w14:textId="77777777" w:rsidR="00870C3F" w:rsidRPr="002F1917" w:rsidRDefault="00870C3F">
            <w:pPr>
              <w:spacing w:before="180" w:after="60"/>
              <w:rPr>
                <w:rFonts w:ascii="Calibri" w:hAnsi="Calibri" w:cs="Calibri"/>
                <w:color w:val="000000"/>
                <w:lang w:eastAsia="en-AU"/>
              </w:rPr>
            </w:pPr>
            <w:r w:rsidRPr="002F1917">
              <w:rPr>
                <w:rFonts w:ascii="Calibri" w:hAnsi="Calibri" w:cs="Calibri"/>
                <w:color w:val="000000"/>
                <w:lang w:eastAsia="en-AU"/>
              </w:rPr>
              <w:t>NISU</w:t>
            </w:r>
          </w:p>
        </w:tc>
        <w:tc>
          <w:tcPr>
            <w:tcW w:w="3677" w:type="pct"/>
            <w:hideMark/>
          </w:tcPr>
          <w:p w14:paraId="25A4556D" w14:textId="77777777" w:rsidR="00870C3F" w:rsidRPr="002F1917" w:rsidRDefault="00870C3F">
            <w:pPr>
              <w:spacing w:before="180" w:after="60"/>
              <w:rPr>
                <w:rFonts w:ascii="Calibri" w:hAnsi="Calibri" w:cs="Calibri"/>
                <w:color w:val="000000"/>
                <w:lang w:eastAsia="en-AU"/>
              </w:rPr>
            </w:pPr>
            <w:r w:rsidRPr="002F1917">
              <w:rPr>
                <w:rFonts w:ascii="Calibri" w:hAnsi="Calibri" w:cs="Calibri"/>
                <w:color w:val="000000"/>
                <w:lang w:eastAsia="en-AU"/>
              </w:rPr>
              <w:t xml:space="preserve">National Integrity of Sport Unit </w:t>
            </w:r>
          </w:p>
        </w:tc>
      </w:tr>
      <w:tr w:rsidR="00870C3F" w:rsidRPr="002F1917" w14:paraId="42E8DAB6" w14:textId="77777777" w:rsidTr="00517FA0">
        <w:trPr>
          <w:trHeight w:val="300"/>
        </w:trPr>
        <w:tc>
          <w:tcPr>
            <w:tcW w:w="1323" w:type="pct"/>
            <w:hideMark/>
          </w:tcPr>
          <w:p w14:paraId="138820BC" w14:textId="77777777" w:rsidR="00870C3F" w:rsidRPr="002F1917" w:rsidRDefault="00870C3F">
            <w:pPr>
              <w:spacing w:before="180" w:after="60"/>
              <w:rPr>
                <w:rFonts w:ascii="Calibri" w:hAnsi="Calibri" w:cs="Calibri"/>
                <w:color w:val="000000"/>
                <w:lang w:eastAsia="en-AU"/>
              </w:rPr>
            </w:pPr>
            <w:r w:rsidRPr="002F1917">
              <w:rPr>
                <w:rFonts w:ascii="Calibri" w:hAnsi="Calibri" w:cs="Calibri"/>
                <w:color w:val="000000"/>
                <w:lang w:eastAsia="en-AU"/>
              </w:rPr>
              <w:t>Product agreements</w:t>
            </w:r>
          </w:p>
        </w:tc>
        <w:tc>
          <w:tcPr>
            <w:tcW w:w="3677" w:type="pct"/>
            <w:hideMark/>
          </w:tcPr>
          <w:p w14:paraId="685C95B9" w14:textId="77777777" w:rsidR="00870C3F" w:rsidRPr="002F1917" w:rsidRDefault="00870C3F">
            <w:pPr>
              <w:spacing w:before="180" w:after="60"/>
              <w:rPr>
                <w:rFonts w:ascii="Calibri" w:hAnsi="Calibri" w:cs="Calibri"/>
                <w:color w:val="000000"/>
                <w:lang w:eastAsia="en-AU"/>
              </w:rPr>
            </w:pPr>
            <w:r w:rsidRPr="002F1917">
              <w:rPr>
                <w:rFonts w:ascii="Calibri" w:hAnsi="Calibri" w:cs="Calibri"/>
                <w:color w:val="000000"/>
                <w:lang w:eastAsia="en-AU"/>
              </w:rPr>
              <w:t>Product Fee and Integrity Agreements</w:t>
            </w:r>
          </w:p>
        </w:tc>
      </w:tr>
      <w:tr w:rsidR="00870C3F" w:rsidRPr="002F1917" w14:paraId="0D17C88A" w14:textId="77777777" w:rsidTr="00517FA0">
        <w:trPr>
          <w:trHeight w:val="300"/>
        </w:trPr>
        <w:tc>
          <w:tcPr>
            <w:tcW w:w="1323" w:type="pct"/>
            <w:hideMark/>
          </w:tcPr>
          <w:p w14:paraId="7A1B3F4C" w14:textId="77777777" w:rsidR="00870C3F" w:rsidRPr="002F1917" w:rsidRDefault="00870C3F">
            <w:pPr>
              <w:spacing w:before="180" w:after="60"/>
              <w:rPr>
                <w:rFonts w:ascii="Calibri" w:hAnsi="Calibri" w:cs="Calibri"/>
                <w:color w:val="000000"/>
                <w:lang w:eastAsia="en-AU"/>
              </w:rPr>
            </w:pPr>
            <w:r w:rsidRPr="002F1917">
              <w:rPr>
                <w:rFonts w:ascii="Calibri" w:hAnsi="Calibri" w:cs="Calibri"/>
                <w:color w:val="000000"/>
                <w:lang w:eastAsia="en-AU"/>
              </w:rPr>
              <w:t>SBOM</w:t>
            </w:r>
          </w:p>
        </w:tc>
        <w:tc>
          <w:tcPr>
            <w:tcW w:w="3677" w:type="pct"/>
            <w:hideMark/>
          </w:tcPr>
          <w:p w14:paraId="025835E2" w14:textId="77777777" w:rsidR="00870C3F" w:rsidRPr="002F1917" w:rsidRDefault="00870C3F">
            <w:pPr>
              <w:spacing w:before="180" w:after="60"/>
              <w:rPr>
                <w:rFonts w:ascii="Calibri" w:hAnsi="Calibri" w:cs="Calibri"/>
                <w:color w:val="000000"/>
                <w:lang w:eastAsia="en-AU"/>
              </w:rPr>
            </w:pPr>
            <w:r w:rsidRPr="002F1917">
              <w:rPr>
                <w:rFonts w:ascii="Calibri" w:hAnsi="Calibri" w:cs="Calibri"/>
                <w:color w:val="000000"/>
                <w:lang w:eastAsia="en-AU"/>
              </w:rPr>
              <w:t>Sport Betting Operational Model</w:t>
            </w:r>
          </w:p>
        </w:tc>
      </w:tr>
      <w:tr w:rsidR="00870C3F" w:rsidRPr="002F1917" w14:paraId="7DA4199A" w14:textId="77777777" w:rsidTr="00517FA0">
        <w:trPr>
          <w:trHeight w:val="300"/>
        </w:trPr>
        <w:tc>
          <w:tcPr>
            <w:tcW w:w="1323" w:type="pct"/>
            <w:hideMark/>
          </w:tcPr>
          <w:p w14:paraId="64751AC4" w14:textId="77777777" w:rsidR="00870C3F" w:rsidRPr="002F1917" w:rsidRDefault="00870C3F">
            <w:pPr>
              <w:spacing w:before="180" w:after="60"/>
              <w:rPr>
                <w:rFonts w:ascii="Calibri" w:hAnsi="Calibri" w:cs="Calibri"/>
                <w:color w:val="000000"/>
                <w:lang w:eastAsia="en-AU"/>
              </w:rPr>
            </w:pPr>
            <w:r w:rsidRPr="002F1917">
              <w:rPr>
                <w:rFonts w:ascii="Calibri" w:hAnsi="Calibri" w:cs="Calibri"/>
                <w:color w:val="000000"/>
                <w:lang w:eastAsia="en-AU"/>
              </w:rPr>
              <w:t>Sports controller</w:t>
            </w:r>
          </w:p>
        </w:tc>
        <w:tc>
          <w:tcPr>
            <w:tcW w:w="3677" w:type="pct"/>
            <w:hideMark/>
          </w:tcPr>
          <w:p w14:paraId="7B90D0B8" w14:textId="77777777" w:rsidR="00870C3F" w:rsidRPr="002F1917" w:rsidRDefault="00870C3F">
            <w:pPr>
              <w:spacing w:before="180" w:after="60"/>
              <w:rPr>
                <w:rFonts w:ascii="Calibri" w:hAnsi="Calibri" w:cs="Calibri"/>
                <w:color w:val="000000"/>
                <w:lang w:eastAsia="en-AU"/>
              </w:rPr>
            </w:pPr>
            <w:r w:rsidRPr="002F1917">
              <w:rPr>
                <w:rFonts w:ascii="Calibri" w:hAnsi="Calibri" w:cs="Calibri"/>
                <w:color w:val="000000"/>
                <w:lang w:eastAsia="en-AU"/>
              </w:rPr>
              <w:t>Sports Controlling Body</w:t>
            </w:r>
          </w:p>
        </w:tc>
      </w:tr>
      <w:tr w:rsidR="00870C3F" w:rsidRPr="002F1917" w14:paraId="47611B0C" w14:textId="77777777" w:rsidTr="00517FA0">
        <w:trPr>
          <w:trHeight w:val="70"/>
        </w:trPr>
        <w:tc>
          <w:tcPr>
            <w:tcW w:w="1323" w:type="pct"/>
            <w:hideMark/>
          </w:tcPr>
          <w:p w14:paraId="1B772567" w14:textId="77777777" w:rsidR="00870C3F" w:rsidRPr="002F1917" w:rsidRDefault="00870C3F">
            <w:pPr>
              <w:spacing w:before="180" w:after="60"/>
              <w:rPr>
                <w:rFonts w:ascii="Calibri" w:hAnsi="Calibri" w:cs="Calibri"/>
                <w:color w:val="000000"/>
                <w:lang w:eastAsia="en-AU"/>
              </w:rPr>
            </w:pPr>
            <w:r w:rsidRPr="002F1917">
              <w:rPr>
                <w:rFonts w:ascii="Calibri" w:hAnsi="Calibri" w:cs="Calibri"/>
                <w:color w:val="000000"/>
                <w:lang w:eastAsia="en-AU"/>
              </w:rPr>
              <w:t>Wagering provider</w:t>
            </w:r>
          </w:p>
        </w:tc>
        <w:tc>
          <w:tcPr>
            <w:tcW w:w="3677" w:type="pct"/>
            <w:hideMark/>
          </w:tcPr>
          <w:p w14:paraId="44E2AF05" w14:textId="77777777" w:rsidR="00870C3F" w:rsidRPr="002F1917" w:rsidRDefault="00870C3F">
            <w:pPr>
              <w:spacing w:before="180" w:after="60"/>
              <w:rPr>
                <w:rFonts w:ascii="Calibri" w:hAnsi="Calibri" w:cs="Calibri"/>
                <w:color w:val="000000"/>
                <w:lang w:eastAsia="en-AU"/>
              </w:rPr>
            </w:pPr>
            <w:r w:rsidRPr="002F1917">
              <w:rPr>
                <w:rFonts w:ascii="Calibri" w:hAnsi="Calibri" w:cs="Calibri"/>
                <w:color w:val="000000"/>
                <w:lang w:eastAsia="en-AU"/>
              </w:rPr>
              <w:t>Sports Wagering Service Provider</w:t>
            </w:r>
          </w:p>
        </w:tc>
      </w:tr>
    </w:tbl>
    <w:p w14:paraId="73577918" w14:textId="77777777" w:rsidR="00870C3F" w:rsidRPr="002F1917" w:rsidRDefault="00870C3F" w:rsidP="00870C3F">
      <w:pPr>
        <w:rPr>
          <w:rFonts w:ascii="Calibri" w:eastAsia="MS Gothic" w:hAnsi="Calibri" w:cs="Calibri"/>
          <w:color w:val="3F4A75"/>
          <w:sz w:val="40"/>
          <w:szCs w:val="36"/>
          <w:lang w:val="en-US" w:eastAsia="en-AU"/>
        </w:rPr>
      </w:pPr>
      <w:r w:rsidRPr="002F1917">
        <w:rPr>
          <w:rFonts w:ascii="Calibri" w:hAnsi="Calibri" w:cs="Calibri"/>
        </w:rPr>
        <w:br w:type="page"/>
      </w:r>
    </w:p>
    <w:p w14:paraId="7DCD7079" w14:textId="607288BD" w:rsidR="00870C3F" w:rsidRDefault="00870C3F" w:rsidP="002F7A37">
      <w:pPr>
        <w:pStyle w:val="Heading1"/>
        <w:numPr>
          <w:ilvl w:val="0"/>
          <w:numId w:val="26"/>
        </w:numPr>
        <w:rPr>
          <w:rFonts w:ascii="Calibri" w:hAnsi="Calibri" w:cs="Calibri"/>
        </w:rPr>
      </w:pPr>
      <w:bookmarkStart w:id="5" w:name="_Toc39219853"/>
      <w:bookmarkStart w:id="6" w:name="_Ref41657760"/>
      <w:bookmarkStart w:id="7" w:name="_Toc85450737"/>
      <w:bookmarkStart w:id="8" w:name="_Toc85792401"/>
      <w:bookmarkEnd w:id="3"/>
      <w:bookmarkEnd w:id="4"/>
      <w:r w:rsidRPr="002F1917">
        <w:rPr>
          <w:rFonts w:ascii="Calibri" w:hAnsi="Calibri" w:cs="Calibri"/>
        </w:rPr>
        <w:lastRenderedPageBreak/>
        <w:t>Introduction</w:t>
      </w:r>
      <w:bookmarkEnd w:id="5"/>
      <w:bookmarkEnd w:id="6"/>
      <w:bookmarkEnd w:id="7"/>
      <w:bookmarkEnd w:id="8"/>
    </w:p>
    <w:p w14:paraId="4D60BB61" w14:textId="77777777" w:rsidR="00870C3F" w:rsidRPr="002F1917" w:rsidRDefault="00870C3F" w:rsidP="00204AA1">
      <w:pPr>
        <w:pStyle w:val="Heading2"/>
        <w:numPr>
          <w:ilvl w:val="1"/>
          <w:numId w:val="26"/>
        </w:numPr>
        <w:suppressAutoHyphens w:val="0"/>
        <w:spacing w:after="120" w:line="280" w:lineRule="auto"/>
        <w:rPr>
          <w:rFonts w:ascii="Calibri" w:hAnsi="Calibri" w:cs="Calibri"/>
          <w:sz w:val="26"/>
        </w:rPr>
      </w:pPr>
      <w:bookmarkStart w:id="9" w:name="_Toc18577022"/>
      <w:bookmarkStart w:id="10" w:name="_Toc27034032"/>
      <w:bookmarkStart w:id="11" w:name="_Toc39219854"/>
      <w:bookmarkStart w:id="12" w:name="_Toc85450738"/>
      <w:bookmarkStart w:id="13" w:name="_Toc85792402"/>
      <w:r w:rsidRPr="002F1917">
        <w:rPr>
          <w:rFonts w:ascii="Calibri" w:hAnsi="Calibri" w:cs="Calibri"/>
          <w:sz w:val="26"/>
        </w:rPr>
        <w:t>Background</w:t>
      </w:r>
      <w:bookmarkEnd w:id="9"/>
      <w:bookmarkEnd w:id="10"/>
      <w:bookmarkEnd w:id="11"/>
      <w:bookmarkEnd w:id="12"/>
      <w:bookmarkEnd w:id="13"/>
    </w:p>
    <w:p w14:paraId="130167F6" w14:textId="77777777" w:rsidR="00870C3F" w:rsidRPr="002F1917" w:rsidRDefault="00870C3F" w:rsidP="00870C3F">
      <w:pPr>
        <w:pStyle w:val="BodyText"/>
        <w:rPr>
          <w:rFonts w:ascii="Calibri" w:hAnsi="Calibri" w:cs="Calibri"/>
        </w:rPr>
      </w:pPr>
      <w:r w:rsidRPr="002F1917">
        <w:rPr>
          <w:rFonts w:ascii="Calibri" w:hAnsi="Calibri" w:cs="Calibri"/>
        </w:rPr>
        <w:t xml:space="preserve">Australia has a strong international reputation for sport integrity. This is underpinned by sophisticated approach to monitoring sport integrity by </w:t>
      </w:r>
      <w:proofErr w:type="gramStart"/>
      <w:r w:rsidRPr="002F1917">
        <w:rPr>
          <w:rFonts w:ascii="Calibri" w:hAnsi="Calibri" w:cs="Calibri"/>
        </w:rPr>
        <w:t>a number of</w:t>
      </w:r>
      <w:proofErr w:type="gramEnd"/>
      <w:r w:rsidRPr="002F1917">
        <w:rPr>
          <w:rFonts w:ascii="Calibri" w:hAnsi="Calibri" w:cs="Calibri"/>
        </w:rPr>
        <w:t xml:space="preserve"> sports and wagering providers. However, sport integrity matters are beyond the control of any single stakeholder. They are international and connected, forming a complex threat matrix exposing vulnerabilities that require a robust and nationally coordinated response across sports, governments, regulators, the wagering industry, law enforcement and other stakeholders.</w:t>
      </w:r>
    </w:p>
    <w:p w14:paraId="37FDF52D" w14:textId="77777777" w:rsidR="00870C3F" w:rsidRPr="002F1917" w:rsidRDefault="00870C3F" w:rsidP="00870C3F">
      <w:pPr>
        <w:pStyle w:val="BodyText"/>
        <w:rPr>
          <w:rFonts w:ascii="Calibri" w:hAnsi="Calibri" w:cs="Calibri"/>
        </w:rPr>
      </w:pPr>
      <w:r w:rsidRPr="002F1917">
        <w:rPr>
          <w:rFonts w:ascii="Calibri" w:hAnsi="Calibri" w:cs="Calibri"/>
        </w:rPr>
        <w:t xml:space="preserve">These challenges were considered through the 2011 National Policy on Match-Fixing in Sport (the National Policy), which represented a commitment by the Commonwealth, State and Territory governments to work together to address the issue of inappropriate and/or fraudulent sports betting and match-fixing activities with the aim of continuing to protect the integrity of sport. However, the National Policy has not been fully implemented by all jurisdictions, leading to a divergence in regulatory approach to sports wagering between the Commonwealth, State and Territories. This results in jurisdictional, </w:t>
      </w:r>
      <w:proofErr w:type="gramStart"/>
      <w:r w:rsidRPr="002F1917">
        <w:rPr>
          <w:rFonts w:ascii="Calibri" w:hAnsi="Calibri" w:cs="Calibri"/>
        </w:rPr>
        <w:t>regulatory</w:t>
      </w:r>
      <w:proofErr w:type="gramEnd"/>
      <w:r w:rsidRPr="002F1917">
        <w:rPr>
          <w:rFonts w:ascii="Calibri" w:hAnsi="Calibri" w:cs="Calibri"/>
        </w:rPr>
        <w:t xml:space="preserve"> and contractual conflicts and inconsistencies in the development of sports wagering markets.</w:t>
      </w:r>
    </w:p>
    <w:p w14:paraId="24B38AA7" w14:textId="77777777" w:rsidR="00870C3F" w:rsidRPr="002F1917" w:rsidRDefault="00870C3F" w:rsidP="00870C3F">
      <w:pPr>
        <w:pStyle w:val="BodyText"/>
        <w:rPr>
          <w:rFonts w:ascii="Calibri" w:hAnsi="Calibri" w:cs="Calibri"/>
        </w:rPr>
      </w:pPr>
      <w:r w:rsidRPr="002F1917">
        <w:rPr>
          <w:rFonts w:ascii="Calibri" w:hAnsi="Calibri" w:cs="Calibri"/>
        </w:rPr>
        <w:t xml:space="preserve">Increasing accessibility and popularity of global online wagering platforms and the ease of access to, and attractiveness of, offshore wagering providers has greatly increased the challenges involved in designing an effective, </w:t>
      </w:r>
      <w:proofErr w:type="gramStart"/>
      <w:r w:rsidRPr="002F1917">
        <w:rPr>
          <w:rFonts w:ascii="Calibri" w:hAnsi="Calibri" w:cs="Calibri"/>
        </w:rPr>
        <w:t>efficient</w:t>
      </w:r>
      <w:proofErr w:type="gramEnd"/>
      <w:r w:rsidRPr="002F1917">
        <w:rPr>
          <w:rFonts w:ascii="Calibri" w:hAnsi="Calibri" w:cs="Calibri"/>
        </w:rPr>
        <w:t xml:space="preserve"> and trusted regulatory framework for sports wagering.</w:t>
      </w:r>
    </w:p>
    <w:p w14:paraId="16DAF134" w14:textId="77777777" w:rsidR="00870C3F" w:rsidRPr="002F1917" w:rsidRDefault="00870C3F" w:rsidP="00806FAE">
      <w:pPr>
        <w:pStyle w:val="Heading3"/>
        <w:rPr>
          <w:rFonts w:ascii="Calibri" w:hAnsi="Calibri" w:cs="Calibri"/>
          <w:sz w:val="20"/>
          <w:szCs w:val="28"/>
        </w:rPr>
      </w:pPr>
      <w:bookmarkStart w:id="14" w:name="_Toc39219855"/>
      <w:bookmarkStart w:id="15" w:name="_Toc39220324"/>
      <w:bookmarkStart w:id="16" w:name="_Toc85450739"/>
      <w:r w:rsidRPr="002F1917">
        <w:rPr>
          <w:rFonts w:ascii="Calibri" w:hAnsi="Calibri" w:cs="Calibri"/>
          <w:sz w:val="20"/>
          <w:szCs w:val="28"/>
        </w:rPr>
        <w:t>The Wood Review</w:t>
      </w:r>
      <w:bookmarkEnd w:id="14"/>
      <w:bookmarkEnd w:id="15"/>
      <w:bookmarkEnd w:id="16"/>
    </w:p>
    <w:p w14:paraId="686404C5" w14:textId="77777777" w:rsidR="00870C3F" w:rsidRPr="002F1917" w:rsidRDefault="00870C3F" w:rsidP="00870C3F">
      <w:pPr>
        <w:pStyle w:val="BodyText"/>
        <w:rPr>
          <w:rFonts w:ascii="Calibri" w:hAnsi="Calibri" w:cs="Calibri"/>
        </w:rPr>
      </w:pPr>
      <w:r w:rsidRPr="002F1917">
        <w:rPr>
          <w:rFonts w:ascii="Calibri" w:hAnsi="Calibri" w:cs="Calibri"/>
        </w:rPr>
        <w:t>In this context, then Minister for Sport, the Hon. Greg Hunt, announced a review of Australia’s sport integrity arrangements led by the Hon. James Wood AO QC (the Wood Review) on 5 August 2017. The Wood Review formed part of the development of Australia’s National Sport Plan – Sport 2030 and was publicly released on 1 August 2018.</w:t>
      </w:r>
    </w:p>
    <w:p w14:paraId="6017F233" w14:textId="77777777" w:rsidR="00870C3F" w:rsidRPr="002F1917" w:rsidRDefault="00870C3F" w:rsidP="00870C3F">
      <w:pPr>
        <w:pStyle w:val="BodyText"/>
        <w:rPr>
          <w:rFonts w:ascii="Calibri" w:hAnsi="Calibri" w:cs="Calibri"/>
        </w:rPr>
      </w:pPr>
      <w:r w:rsidRPr="002F1917">
        <w:rPr>
          <w:rFonts w:ascii="Calibri" w:hAnsi="Calibri" w:cs="Calibri"/>
        </w:rPr>
        <w:t xml:space="preserve">The Wood Review’s focus was to develop an understanding of the nature and level of the threats to sport integrity in Australia, to identify and assess current sport integrity capability and any current weaknesses and to propose a nationally coordinated response. The Wood Review presented 52 recommendations for consideration. </w:t>
      </w:r>
    </w:p>
    <w:p w14:paraId="11B3794E" w14:textId="77777777" w:rsidR="00870C3F" w:rsidRPr="002F1917" w:rsidRDefault="00870C3F" w:rsidP="00870C3F">
      <w:pPr>
        <w:pStyle w:val="BodyText"/>
        <w:rPr>
          <w:rFonts w:ascii="Calibri" w:hAnsi="Calibri" w:cs="Calibri"/>
        </w:rPr>
      </w:pPr>
      <w:r w:rsidRPr="002F1917">
        <w:rPr>
          <w:rFonts w:ascii="Calibri" w:hAnsi="Calibri" w:cs="Calibri"/>
        </w:rPr>
        <w:t>The Commonwealth Government’s response to the Wood Review reiterated its commitment to comprehensively protect the integrity of Australian sport for the benefit of the entire Australian community and sought strong partnership with key sport integrity stakeholders to develop a sustainable framework and funding model.</w:t>
      </w:r>
    </w:p>
    <w:p w14:paraId="2D415298" w14:textId="77777777" w:rsidR="00870C3F" w:rsidRPr="002F1917" w:rsidRDefault="00870C3F" w:rsidP="00870C3F">
      <w:pPr>
        <w:pStyle w:val="BodyText"/>
        <w:rPr>
          <w:rFonts w:ascii="Calibri" w:hAnsi="Calibri" w:cs="Calibri"/>
        </w:rPr>
      </w:pPr>
      <w:r w:rsidRPr="002F1917">
        <w:rPr>
          <w:rFonts w:ascii="Calibri" w:hAnsi="Calibri" w:cs="Calibri"/>
        </w:rPr>
        <w:t xml:space="preserve">The Government agreed with 22 of the recommendations; agreed in-principle with 12 and agreed in-principle for further consideration with a further 15. Two recommendations were agreed in part and one recommendation was noted. One of the recommendations agreed to in-principle was to subject the regulation of sports wagering to an Australian Sports Wagering Scheme (ASWS). The purpose of the ASWS is to streamline current processes and provide clarity, </w:t>
      </w:r>
      <w:proofErr w:type="gramStart"/>
      <w:r w:rsidRPr="002F1917">
        <w:rPr>
          <w:rFonts w:ascii="Calibri" w:hAnsi="Calibri" w:cs="Calibri"/>
        </w:rPr>
        <w:t>transparency</w:t>
      </w:r>
      <w:proofErr w:type="gramEnd"/>
      <w:r w:rsidRPr="002F1917">
        <w:rPr>
          <w:rFonts w:ascii="Calibri" w:hAnsi="Calibri" w:cs="Calibri"/>
        </w:rPr>
        <w:t xml:space="preserve"> and consistency of the regulatory regime at a national level. </w:t>
      </w:r>
    </w:p>
    <w:p w14:paraId="3E0A5FF8" w14:textId="47B54CCB" w:rsidR="00870C3F" w:rsidRPr="002F1917" w:rsidRDefault="00870C3F" w:rsidP="00870C3F">
      <w:pPr>
        <w:pStyle w:val="BodyText"/>
        <w:rPr>
          <w:rFonts w:ascii="Calibri" w:hAnsi="Calibri" w:cs="Calibri"/>
        </w:rPr>
      </w:pPr>
      <w:r w:rsidRPr="002F1917">
        <w:rPr>
          <w:rFonts w:ascii="Calibri" w:hAnsi="Calibri" w:cs="Calibri"/>
        </w:rPr>
        <w:t xml:space="preserve">We elaborate on the ASWS model in the next sub-section. The ASWS will be the key focus in the rest of this </w:t>
      </w:r>
      <w:r w:rsidR="003C1441">
        <w:rPr>
          <w:rFonts w:ascii="Calibri" w:hAnsi="Calibri" w:cs="Calibri"/>
        </w:rPr>
        <w:t xml:space="preserve">Consultation </w:t>
      </w:r>
      <w:r w:rsidRPr="002F1917">
        <w:rPr>
          <w:rFonts w:ascii="Calibri" w:hAnsi="Calibri" w:cs="Calibri"/>
        </w:rPr>
        <w:t>Regulatory Impact Statement.</w:t>
      </w:r>
    </w:p>
    <w:p w14:paraId="2F108343" w14:textId="198EF7E4" w:rsidR="00870C3F" w:rsidRPr="002F1917" w:rsidRDefault="00AE1634" w:rsidP="00204AA1">
      <w:pPr>
        <w:pStyle w:val="Heading2"/>
        <w:numPr>
          <w:ilvl w:val="1"/>
          <w:numId w:val="26"/>
        </w:numPr>
        <w:suppressAutoHyphens w:val="0"/>
        <w:spacing w:after="120" w:line="280" w:lineRule="auto"/>
        <w:rPr>
          <w:rFonts w:ascii="Calibri" w:hAnsi="Calibri" w:cs="Calibri"/>
          <w:sz w:val="26"/>
        </w:rPr>
      </w:pPr>
      <w:bookmarkStart w:id="17" w:name="_Toc18416825"/>
      <w:bookmarkStart w:id="18" w:name="_Toc18418094"/>
      <w:bookmarkStart w:id="19" w:name="_Toc18577025"/>
      <w:bookmarkStart w:id="20" w:name="_Toc27034035"/>
      <w:bookmarkStart w:id="21" w:name="_Toc39219856"/>
      <w:bookmarkStart w:id="22" w:name="_Ref82510857"/>
      <w:bookmarkStart w:id="23" w:name="_Toc85450740"/>
      <w:r w:rsidRPr="002F1917">
        <w:rPr>
          <w:rFonts w:ascii="Calibri" w:hAnsi="Calibri" w:cs="Calibri"/>
          <w:sz w:val="26"/>
        </w:rPr>
        <w:t xml:space="preserve"> </w:t>
      </w:r>
      <w:bookmarkStart w:id="24" w:name="_Toc85792403"/>
      <w:r w:rsidR="00870C3F" w:rsidRPr="002F1917">
        <w:rPr>
          <w:rFonts w:ascii="Calibri" w:hAnsi="Calibri" w:cs="Calibri"/>
          <w:sz w:val="26"/>
        </w:rPr>
        <w:t>The Australian Sports Wagering Scheme</w:t>
      </w:r>
      <w:bookmarkEnd w:id="17"/>
      <w:bookmarkEnd w:id="18"/>
      <w:bookmarkEnd w:id="19"/>
      <w:bookmarkEnd w:id="20"/>
      <w:bookmarkEnd w:id="21"/>
      <w:bookmarkEnd w:id="22"/>
      <w:bookmarkEnd w:id="23"/>
      <w:bookmarkEnd w:id="24"/>
    </w:p>
    <w:p w14:paraId="278876D6" w14:textId="4D1C4E70" w:rsidR="00870C3F" w:rsidRPr="002F1917" w:rsidRDefault="00870C3F" w:rsidP="00870C3F">
      <w:pPr>
        <w:pStyle w:val="BodyText"/>
        <w:rPr>
          <w:rFonts w:ascii="Calibri" w:hAnsi="Calibri" w:cs="Calibri"/>
        </w:rPr>
      </w:pPr>
      <w:r w:rsidRPr="002F1917">
        <w:rPr>
          <w:rFonts w:ascii="Calibri" w:hAnsi="Calibri" w:cs="Calibri"/>
        </w:rPr>
        <w:t>Following the Commonwealth Government’s response to the Wood Review, the Department of Health (the Department) was charged with developing a regulatory response to safeguard the integrity of Australian sport, in the form of an ASWS. Following the formation of Sport Integrity Australia in 2020, they have taken over carriage of the ASWS.</w:t>
      </w:r>
    </w:p>
    <w:p w14:paraId="3943ACE2" w14:textId="77777777" w:rsidR="00870C3F" w:rsidRPr="002F1917" w:rsidRDefault="00870C3F" w:rsidP="00870C3F">
      <w:pPr>
        <w:pStyle w:val="BodyText"/>
        <w:rPr>
          <w:rFonts w:ascii="Calibri" w:hAnsi="Calibri" w:cs="Calibri"/>
        </w:rPr>
      </w:pPr>
      <w:r w:rsidRPr="002F1917">
        <w:rPr>
          <w:rFonts w:ascii="Calibri" w:hAnsi="Calibri" w:cs="Calibri"/>
        </w:rPr>
        <w:lastRenderedPageBreak/>
        <w:t>The objectives of the ASWS are to:</w:t>
      </w:r>
    </w:p>
    <w:p w14:paraId="744C3C54" w14:textId="77777777" w:rsidR="00870C3F" w:rsidRPr="002F1917" w:rsidRDefault="00870C3F" w:rsidP="00870C3F">
      <w:pPr>
        <w:pStyle w:val="ListBullet1"/>
        <w:rPr>
          <w:rFonts w:ascii="Calibri" w:hAnsi="Calibri" w:cs="Calibri"/>
        </w:rPr>
      </w:pPr>
      <w:r w:rsidRPr="002F1917">
        <w:rPr>
          <w:rFonts w:ascii="Calibri" w:hAnsi="Calibri" w:cs="Calibri"/>
        </w:rPr>
        <w:t>Streamline sport integrity aspects of sports wagering regulation to provide clarity, transparency and consistency at a national level and ensure sports wagering occurs in a framework that protects the integrity of sport</w:t>
      </w:r>
    </w:p>
    <w:p w14:paraId="2BB367BD" w14:textId="77777777" w:rsidR="00870C3F" w:rsidRPr="002F1917" w:rsidRDefault="00870C3F" w:rsidP="00870C3F">
      <w:pPr>
        <w:pStyle w:val="ListBullet1"/>
        <w:rPr>
          <w:rFonts w:ascii="Calibri" w:hAnsi="Calibri" w:cs="Calibri"/>
        </w:rPr>
      </w:pPr>
      <w:r w:rsidRPr="002F1917">
        <w:rPr>
          <w:rFonts w:ascii="Calibri" w:hAnsi="Calibri" w:cs="Calibri"/>
        </w:rPr>
        <w:t>Strengthen the link between Commonwealth Government funding and sport integrity outcomes</w:t>
      </w:r>
    </w:p>
    <w:p w14:paraId="1C9F9601" w14:textId="77777777" w:rsidR="00870C3F" w:rsidRPr="002F1917" w:rsidRDefault="00870C3F" w:rsidP="00870C3F">
      <w:pPr>
        <w:pStyle w:val="ListBullet1"/>
        <w:rPr>
          <w:rFonts w:ascii="Calibri" w:hAnsi="Calibri" w:cs="Calibri"/>
        </w:rPr>
      </w:pPr>
      <w:r w:rsidRPr="002F1917">
        <w:rPr>
          <w:rFonts w:ascii="Calibri" w:hAnsi="Calibri" w:cs="Calibri"/>
        </w:rPr>
        <w:t>Encourage the development of integrity capability within sporting organisations and facilitate sporting organisations’ access to revenue streams from wagering on their sport</w:t>
      </w:r>
    </w:p>
    <w:p w14:paraId="314A5DC2" w14:textId="77777777" w:rsidR="00870C3F" w:rsidRPr="002F1917" w:rsidRDefault="00870C3F" w:rsidP="00870C3F">
      <w:pPr>
        <w:pStyle w:val="ListBullet1"/>
        <w:rPr>
          <w:rFonts w:ascii="Calibri" w:hAnsi="Calibri" w:cs="Calibri"/>
        </w:rPr>
      </w:pPr>
      <w:r w:rsidRPr="002F1917">
        <w:rPr>
          <w:rFonts w:ascii="Calibri" w:hAnsi="Calibri" w:cs="Calibri"/>
        </w:rPr>
        <w:t>Develop a robust integrity framework for National Sporting Organisations, event controllers and wagering providers.</w:t>
      </w:r>
    </w:p>
    <w:p w14:paraId="0CFBBA90" w14:textId="77777777" w:rsidR="00870C3F" w:rsidRPr="002F1917" w:rsidRDefault="00870C3F" w:rsidP="00870C3F">
      <w:pPr>
        <w:pStyle w:val="BodyText"/>
        <w:rPr>
          <w:rFonts w:ascii="Calibri" w:hAnsi="Calibri" w:cs="Calibri"/>
        </w:rPr>
      </w:pPr>
      <w:r w:rsidRPr="002F1917">
        <w:rPr>
          <w:rFonts w:ascii="Calibri" w:hAnsi="Calibri" w:cs="Calibri"/>
        </w:rPr>
        <w:t>In addition to these objectives, the ASWS also has ambitions (linked to recommendations in the Wood Review) related to the development of a Suspicious activity alert system and a national ‘data pool’ of sports wagering data.</w:t>
      </w:r>
    </w:p>
    <w:p w14:paraId="3030ED0C" w14:textId="77777777" w:rsidR="00870C3F" w:rsidRPr="002F1917" w:rsidRDefault="00870C3F" w:rsidP="00870C3F">
      <w:pPr>
        <w:pStyle w:val="BodyText"/>
        <w:rPr>
          <w:rFonts w:ascii="Calibri" w:hAnsi="Calibri" w:cs="Calibri"/>
        </w:rPr>
      </w:pPr>
      <w:r w:rsidRPr="002F1917">
        <w:rPr>
          <w:rFonts w:ascii="Calibri" w:hAnsi="Calibri" w:cs="Calibri"/>
        </w:rPr>
        <w:t>As part of this process to date, two previous documents have been developed:</w:t>
      </w:r>
    </w:p>
    <w:p w14:paraId="6002AAD1" w14:textId="77777777" w:rsidR="00870C3F" w:rsidRPr="002F1917" w:rsidRDefault="00870C3F" w:rsidP="00870C3F">
      <w:pPr>
        <w:pStyle w:val="ListBullet1"/>
        <w:rPr>
          <w:rFonts w:ascii="Calibri" w:hAnsi="Calibri" w:cs="Calibri"/>
        </w:rPr>
      </w:pPr>
      <w:r w:rsidRPr="002F1917">
        <w:rPr>
          <w:rFonts w:ascii="Calibri" w:hAnsi="Calibri" w:cs="Calibri"/>
        </w:rPr>
        <w:t>Australian Sports Wagering Scheme: Discussion Paper (May 2020)</w:t>
      </w:r>
    </w:p>
    <w:p w14:paraId="615FFC60" w14:textId="77777777" w:rsidR="00870C3F" w:rsidRPr="002F1917" w:rsidRDefault="00870C3F" w:rsidP="00870C3F">
      <w:pPr>
        <w:pStyle w:val="ListBullet1"/>
        <w:rPr>
          <w:rFonts w:ascii="Calibri" w:hAnsi="Calibri" w:cs="Calibri"/>
        </w:rPr>
      </w:pPr>
      <w:r w:rsidRPr="002F1917">
        <w:rPr>
          <w:rFonts w:ascii="Calibri" w:hAnsi="Calibri" w:cs="Calibri"/>
        </w:rPr>
        <w:t>Australian Sports Wagering Scheme: Strategy Paper and Operating Principles (August 2021)</w:t>
      </w:r>
    </w:p>
    <w:p w14:paraId="3A61D0A8" w14:textId="00D24C42" w:rsidR="00870C3F" w:rsidRPr="002F1917" w:rsidRDefault="00870C3F" w:rsidP="00870C3F">
      <w:pPr>
        <w:pStyle w:val="ListBullet1"/>
        <w:numPr>
          <w:ilvl w:val="0"/>
          <w:numId w:val="0"/>
        </w:numPr>
        <w:tabs>
          <w:tab w:val="left" w:pos="720"/>
        </w:tabs>
        <w:ind w:left="284" w:hanging="284"/>
        <w:rPr>
          <w:rFonts w:ascii="Calibri" w:hAnsi="Calibri" w:cs="Calibri"/>
        </w:rPr>
      </w:pPr>
      <w:r w:rsidRPr="002F1917">
        <w:rPr>
          <w:rFonts w:ascii="Calibri" w:hAnsi="Calibri" w:cs="Calibri"/>
        </w:rPr>
        <w:t xml:space="preserve">This </w:t>
      </w:r>
      <w:r w:rsidR="00E87549">
        <w:rPr>
          <w:rFonts w:ascii="Calibri" w:hAnsi="Calibri" w:cs="Calibri"/>
        </w:rPr>
        <w:t>C</w:t>
      </w:r>
      <w:r w:rsidR="00BC0E32">
        <w:rPr>
          <w:rFonts w:ascii="Calibri" w:hAnsi="Calibri" w:cs="Calibri"/>
        </w:rPr>
        <w:t xml:space="preserve">onsultation </w:t>
      </w:r>
      <w:r w:rsidRPr="002F1917">
        <w:rPr>
          <w:rFonts w:ascii="Calibri" w:hAnsi="Calibri" w:cs="Calibri"/>
        </w:rPr>
        <w:t>Regulatory Impact Statement builds on these previous documents.</w:t>
      </w:r>
    </w:p>
    <w:p w14:paraId="558E9871" w14:textId="70CF8FBB" w:rsidR="00870C3F" w:rsidRPr="002F1917" w:rsidRDefault="00870C3F" w:rsidP="00870C3F">
      <w:pPr>
        <w:pStyle w:val="BodyText"/>
        <w:rPr>
          <w:rFonts w:ascii="Calibri" w:hAnsi="Calibri" w:cs="Calibri"/>
        </w:rPr>
      </w:pPr>
      <w:r w:rsidRPr="002F1917">
        <w:rPr>
          <w:rFonts w:ascii="Calibri" w:hAnsi="Calibri" w:cs="Calibri"/>
        </w:rPr>
        <w:t xml:space="preserve">In developing the ASWS to date, Sport Integrity Australia has engaged with a broad range of stakeholders including sports controllers, wagering providers and state and territory regulators. This engagement has included workshops to inform the development of the Regulatory Impact Statement, targeted consultation and briefings with key stakeholders and seeking submissions on the Discussion Paper. Consultation will continue to be a key element going forward. This is detailed further in section </w:t>
      </w:r>
      <w:r w:rsidRPr="002F1917">
        <w:rPr>
          <w:rFonts w:ascii="Calibri" w:hAnsi="Calibri" w:cs="Calibri"/>
        </w:rPr>
        <w:fldChar w:fldCharType="begin"/>
      </w:r>
      <w:r w:rsidRPr="002F1917">
        <w:rPr>
          <w:rFonts w:ascii="Calibri" w:hAnsi="Calibri" w:cs="Calibri"/>
        </w:rPr>
        <w:instrText xml:space="preserve"> REF _Ref84845287 \r \h </w:instrText>
      </w:r>
      <w:r w:rsidR="002F1917">
        <w:rPr>
          <w:rFonts w:ascii="Calibri" w:hAnsi="Calibri" w:cs="Calibri"/>
        </w:rPr>
        <w:instrText xml:space="preserve"> \* MERGEFORMAT </w:instrText>
      </w:r>
      <w:r w:rsidRPr="002F1917">
        <w:rPr>
          <w:rFonts w:ascii="Calibri" w:hAnsi="Calibri" w:cs="Calibri"/>
        </w:rPr>
      </w:r>
      <w:r w:rsidRPr="002F1917">
        <w:rPr>
          <w:rFonts w:ascii="Calibri" w:hAnsi="Calibri" w:cs="Calibri"/>
        </w:rPr>
        <w:fldChar w:fldCharType="separate"/>
      </w:r>
      <w:r w:rsidRPr="002F1917">
        <w:rPr>
          <w:rFonts w:ascii="Calibri" w:hAnsi="Calibri" w:cs="Calibri"/>
        </w:rPr>
        <w:t>7</w:t>
      </w:r>
      <w:r w:rsidRPr="002F1917">
        <w:rPr>
          <w:rFonts w:ascii="Calibri" w:hAnsi="Calibri" w:cs="Calibri"/>
        </w:rPr>
        <w:fldChar w:fldCharType="end"/>
      </w:r>
      <w:r w:rsidRPr="002F1917">
        <w:rPr>
          <w:rFonts w:ascii="Calibri" w:hAnsi="Calibri" w:cs="Calibri"/>
        </w:rPr>
        <w:t>.</w:t>
      </w:r>
    </w:p>
    <w:p w14:paraId="5A7B17F7" w14:textId="3867969E" w:rsidR="00870C3F" w:rsidRPr="002F1917" w:rsidRDefault="00450123" w:rsidP="00204AA1">
      <w:pPr>
        <w:pStyle w:val="Heading2"/>
        <w:numPr>
          <w:ilvl w:val="1"/>
          <w:numId w:val="26"/>
        </w:numPr>
        <w:suppressAutoHyphens w:val="0"/>
        <w:spacing w:after="120" w:line="280" w:lineRule="auto"/>
        <w:rPr>
          <w:rFonts w:ascii="Calibri" w:hAnsi="Calibri" w:cs="Calibri"/>
        </w:rPr>
      </w:pPr>
      <w:bookmarkStart w:id="25" w:name="_Toc39219860"/>
      <w:bookmarkStart w:id="26" w:name="_Toc85450741"/>
      <w:r w:rsidRPr="002F1917">
        <w:rPr>
          <w:rFonts w:ascii="Calibri" w:hAnsi="Calibri" w:cs="Calibri"/>
          <w:sz w:val="26"/>
        </w:rPr>
        <w:t xml:space="preserve"> </w:t>
      </w:r>
      <w:bookmarkStart w:id="27" w:name="_Toc85792404"/>
      <w:r w:rsidR="00870C3F" w:rsidRPr="002F1917">
        <w:rPr>
          <w:rFonts w:ascii="Calibri" w:hAnsi="Calibri" w:cs="Calibri"/>
          <w:sz w:val="26"/>
        </w:rPr>
        <w:t>Areas outside scope</w:t>
      </w:r>
      <w:bookmarkEnd w:id="25"/>
      <w:bookmarkEnd w:id="26"/>
      <w:bookmarkEnd w:id="27"/>
    </w:p>
    <w:p w14:paraId="3F5354AB" w14:textId="77777777" w:rsidR="00870C3F" w:rsidRPr="002F1917" w:rsidRDefault="00870C3F" w:rsidP="00870C3F">
      <w:pPr>
        <w:pStyle w:val="BodyText"/>
        <w:rPr>
          <w:rFonts w:ascii="Calibri" w:hAnsi="Calibri" w:cs="Calibri"/>
        </w:rPr>
      </w:pPr>
      <w:r w:rsidRPr="002F1917">
        <w:rPr>
          <w:rFonts w:ascii="Calibri" w:hAnsi="Calibri" w:cs="Calibri"/>
        </w:rPr>
        <w:t xml:space="preserve">This Regulatory Impact Statement is focussed on the ASWS. There are number of areas having clear interdependencies with the ASWS; </w:t>
      </w:r>
      <w:proofErr w:type="gramStart"/>
      <w:r w:rsidRPr="002F1917">
        <w:rPr>
          <w:rFonts w:ascii="Calibri" w:hAnsi="Calibri" w:cs="Calibri"/>
        </w:rPr>
        <w:t>however</w:t>
      </w:r>
      <w:proofErr w:type="gramEnd"/>
      <w:r w:rsidRPr="002F1917">
        <w:rPr>
          <w:rFonts w:ascii="Calibri" w:hAnsi="Calibri" w:cs="Calibri"/>
        </w:rPr>
        <w:t xml:space="preserve"> these are outside scope with respect to the options developed for the ASWS. These comprise:</w:t>
      </w:r>
    </w:p>
    <w:p w14:paraId="7AE3FA36" w14:textId="77777777" w:rsidR="00870C3F" w:rsidRPr="002F1917" w:rsidRDefault="00870C3F" w:rsidP="00870C3F">
      <w:pPr>
        <w:pStyle w:val="ListBullet1"/>
        <w:rPr>
          <w:rFonts w:ascii="Calibri" w:hAnsi="Calibri" w:cs="Calibri"/>
        </w:rPr>
      </w:pPr>
      <w:r w:rsidRPr="002F1917">
        <w:rPr>
          <w:rFonts w:ascii="Calibri" w:hAnsi="Calibri" w:cs="Calibri"/>
        </w:rPr>
        <w:t xml:space="preserve">Online in-play wagering </w:t>
      </w:r>
    </w:p>
    <w:p w14:paraId="1702DE82" w14:textId="77777777" w:rsidR="00870C3F" w:rsidRPr="002F1917" w:rsidRDefault="00870C3F" w:rsidP="00870C3F">
      <w:pPr>
        <w:pStyle w:val="ListBullet1"/>
        <w:rPr>
          <w:rFonts w:ascii="Calibri" w:hAnsi="Calibri" w:cs="Calibri"/>
        </w:rPr>
      </w:pPr>
      <w:r w:rsidRPr="002F1917">
        <w:rPr>
          <w:rFonts w:ascii="Calibri" w:hAnsi="Calibri" w:cs="Calibri"/>
        </w:rPr>
        <w:t>Criminalisation of match-fixing</w:t>
      </w:r>
    </w:p>
    <w:p w14:paraId="641EE27D" w14:textId="77777777" w:rsidR="00870C3F" w:rsidRPr="002F1917" w:rsidRDefault="00870C3F" w:rsidP="00870C3F">
      <w:pPr>
        <w:pStyle w:val="ListBullet1"/>
        <w:rPr>
          <w:rFonts w:ascii="Calibri" w:hAnsi="Calibri" w:cs="Calibri"/>
        </w:rPr>
      </w:pPr>
      <w:r w:rsidRPr="002F1917">
        <w:rPr>
          <w:rFonts w:ascii="Calibri" w:hAnsi="Calibri" w:cs="Calibri"/>
        </w:rPr>
        <w:t>Offshore wagering</w:t>
      </w:r>
    </w:p>
    <w:p w14:paraId="0FE3B745" w14:textId="77777777" w:rsidR="00870C3F" w:rsidRPr="002F1917" w:rsidRDefault="00870C3F" w:rsidP="00870C3F">
      <w:pPr>
        <w:pStyle w:val="ListBullet1"/>
        <w:rPr>
          <w:rFonts w:ascii="Calibri" w:hAnsi="Calibri" w:cs="Calibri"/>
        </w:rPr>
      </w:pPr>
      <w:r w:rsidRPr="002F1917">
        <w:rPr>
          <w:rFonts w:ascii="Calibri" w:hAnsi="Calibri" w:cs="Calibri"/>
        </w:rPr>
        <w:t>Racing.</w:t>
      </w:r>
    </w:p>
    <w:p w14:paraId="2DFA8E16" w14:textId="77777777" w:rsidR="00870C3F" w:rsidRPr="002F1917" w:rsidRDefault="00870C3F" w:rsidP="00870C3F">
      <w:pPr>
        <w:pStyle w:val="BodyText"/>
        <w:rPr>
          <w:rFonts w:ascii="Calibri" w:hAnsi="Calibri" w:cs="Calibri"/>
        </w:rPr>
      </w:pPr>
      <w:r w:rsidRPr="002F1917">
        <w:rPr>
          <w:rFonts w:ascii="Calibri" w:hAnsi="Calibri" w:cs="Calibri"/>
        </w:rPr>
        <w:t>While outside scope, these topics certainly have relevance to the ASWS Regulatory Impact Statement and any impacts on these areas will be considered as part of the options assessment. It is noted some areas, such as anti-doping, would form part of the broader integrity framework.</w:t>
      </w:r>
    </w:p>
    <w:p w14:paraId="0029A86E" w14:textId="790A07C8" w:rsidR="00870C3F" w:rsidRPr="002F1917" w:rsidRDefault="00450123" w:rsidP="00204AA1">
      <w:pPr>
        <w:pStyle w:val="Heading2"/>
        <w:numPr>
          <w:ilvl w:val="1"/>
          <w:numId w:val="26"/>
        </w:numPr>
        <w:suppressAutoHyphens w:val="0"/>
        <w:spacing w:after="120" w:line="280" w:lineRule="auto"/>
        <w:rPr>
          <w:rFonts w:ascii="Calibri" w:hAnsi="Calibri" w:cs="Calibri"/>
          <w:sz w:val="26"/>
        </w:rPr>
      </w:pPr>
      <w:bookmarkStart w:id="28" w:name="_Toc39219862"/>
      <w:bookmarkStart w:id="29" w:name="_Toc85450742"/>
      <w:r w:rsidRPr="002F1917">
        <w:rPr>
          <w:rFonts w:ascii="Calibri" w:hAnsi="Calibri" w:cs="Calibri"/>
          <w:sz w:val="26"/>
        </w:rPr>
        <w:t xml:space="preserve"> </w:t>
      </w:r>
      <w:bookmarkStart w:id="30" w:name="_Toc85792405"/>
      <w:r w:rsidR="00870C3F" w:rsidRPr="002F1917">
        <w:rPr>
          <w:rFonts w:ascii="Calibri" w:hAnsi="Calibri" w:cs="Calibri"/>
          <w:sz w:val="26"/>
        </w:rPr>
        <w:t xml:space="preserve">About this </w:t>
      </w:r>
      <w:bookmarkEnd w:id="28"/>
      <w:r w:rsidR="00870C3F" w:rsidRPr="002F1917">
        <w:rPr>
          <w:rFonts w:ascii="Calibri" w:hAnsi="Calibri" w:cs="Calibri"/>
          <w:sz w:val="26"/>
        </w:rPr>
        <w:t>Regulatory Impact Statement</w:t>
      </w:r>
      <w:bookmarkEnd w:id="29"/>
      <w:bookmarkEnd w:id="30"/>
    </w:p>
    <w:p w14:paraId="592F2D8C" w14:textId="39DEBAEE" w:rsidR="00870C3F" w:rsidRPr="002F1917" w:rsidRDefault="00870C3F" w:rsidP="00870C3F">
      <w:pPr>
        <w:pStyle w:val="BodyText"/>
        <w:rPr>
          <w:rFonts w:ascii="Calibri" w:hAnsi="Calibri" w:cs="Calibri"/>
        </w:rPr>
      </w:pPr>
      <w:r w:rsidRPr="002F1917">
        <w:rPr>
          <w:rFonts w:ascii="Calibri" w:hAnsi="Calibri" w:cs="Calibri"/>
        </w:rPr>
        <w:t xml:space="preserve">This </w:t>
      </w:r>
      <w:r w:rsidR="004F0A4C">
        <w:rPr>
          <w:rFonts w:ascii="Calibri" w:hAnsi="Calibri" w:cs="Calibri"/>
        </w:rPr>
        <w:t>C</w:t>
      </w:r>
      <w:r w:rsidR="00BC0E32">
        <w:rPr>
          <w:rFonts w:ascii="Calibri" w:hAnsi="Calibri" w:cs="Calibri"/>
        </w:rPr>
        <w:t xml:space="preserve">onsultation </w:t>
      </w:r>
      <w:r w:rsidRPr="002F1917">
        <w:rPr>
          <w:rFonts w:ascii="Calibri" w:hAnsi="Calibri" w:cs="Calibri"/>
        </w:rPr>
        <w:t xml:space="preserve">Regulatory Impact Statement looks to respond to </w:t>
      </w:r>
      <w:r w:rsidR="00450123" w:rsidRPr="002F1917">
        <w:rPr>
          <w:rFonts w:ascii="Calibri" w:hAnsi="Calibri" w:cs="Calibri"/>
        </w:rPr>
        <w:t>all</w:t>
      </w:r>
      <w:r w:rsidRPr="002F1917">
        <w:rPr>
          <w:rFonts w:ascii="Calibri" w:hAnsi="Calibri" w:cs="Calibri"/>
        </w:rPr>
        <w:t xml:space="preserve"> the Regulatory Impact Statement questions outlined below in </w:t>
      </w:r>
      <w:r w:rsidRPr="002F1917">
        <w:rPr>
          <w:rFonts w:ascii="Calibri" w:hAnsi="Calibri" w:cs="Calibri"/>
        </w:rPr>
        <w:fldChar w:fldCharType="begin"/>
      </w:r>
      <w:r w:rsidRPr="002F1917">
        <w:rPr>
          <w:rFonts w:ascii="Calibri" w:hAnsi="Calibri" w:cs="Calibri"/>
        </w:rPr>
        <w:instrText xml:space="preserve"> REF _Ref82077985 \r \h </w:instrText>
      </w:r>
      <w:r w:rsidR="002F1917">
        <w:rPr>
          <w:rFonts w:ascii="Calibri" w:hAnsi="Calibri" w:cs="Calibri"/>
        </w:rPr>
        <w:instrText xml:space="preserve"> \* MERGEFORMAT </w:instrText>
      </w:r>
      <w:r w:rsidRPr="002F1917">
        <w:rPr>
          <w:rFonts w:ascii="Calibri" w:hAnsi="Calibri" w:cs="Calibri"/>
        </w:rPr>
      </w:r>
      <w:r w:rsidRPr="002F1917">
        <w:rPr>
          <w:rFonts w:ascii="Calibri" w:hAnsi="Calibri" w:cs="Calibri"/>
        </w:rPr>
        <w:fldChar w:fldCharType="separate"/>
      </w:r>
      <w:r w:rsidRPr="002F1917">
        <w:rPr>
          <w:rFonts w:ascii="Calibri" w:hAnsi="Calibri" w:cs="Calibri"/>
        </w:rPr>
        <w:t>Box 1</w:t>
      </w:r>
      <w:r w:rsidRPr="002F1917">
        <w:rPr>
          <w:rFonts w:ascii="Calibri" w:hAnsi="Calibri" w:cs="Calibri"/>
        </w:rPr>
        <w:fldChar w:fldCharType="end"/>
      </w:r>
      <w:r w:rsidRPr="002F1917">
        <w:rPr>
          <w:rFonts w:ascii="Calibri" w:hAnsi="Calibri" w:cs="Calibri"/>
        </w:rPr>
        <w:t xml:space="preserve"> and is especially seeking evidence to assist with further developing the options assessment. As such, this document includes a series of questions we are seeking feedback on. This </w:t>
      </w:r>
      <w:r w:rsidR="004F0A4C">
        <w:rPr>
          <w:rFonts w:ascii="Calibri" w:hAnsi="Calibri" w:cs="Calibri"/>
        </w:rPr>
        <w:t>Consultation</w:t>
      </w:r>
      <w:r w:rsidR="00B10ABD">
        <w:rPr>
          <w:rFonts w:ascii="Calibri" w:hAnsi="Calibri" w:cs="Calibri"/>
        </w:rPr>
        <w:t xml:space="preserve"> </w:t>
      </w:r>
      <w:r w:rsidRPr="002F1917">
        <w:rPr>
          <w:rFonts w:ascii="Calibri" w:hAnsi="Calibri" w:cs="Calibri"/>
        </w:rPr>
        <w:t xml:space="preserve">Regulatory Impact Statement is seeking submissions through </w:t>
      </w:r>
      <w:hyperlink r:id="rId15" w:history="1">
        <w:r w:rsidRPr="002F1917">
          <w:rPr>
            <w:rStyle w:val="Hyperlink"/>
            <w:rFonts w:ascii="Calibri" w:hAnsi="Calibri" w:cs="Calibri"/>
          </w:rPr>
          <w:t>policy@sportintegrity.gov.au</w:t>
        </w:r>
      </w:hyperlink>
      <w:r w:rsidRPr="002F1917">
        <w:rPr>
          <w:rFonts w:ascii="Calibri" w:hAnsi="Calibri" w:cs="Calibri"/>
        </w:rPr>
        <w:t xml:space="preserve"> by </w:t>
      </w:r>
      <w:r w:rsidR="00047B34">
        <w:rPr>
          <w:rFonts w:ascii="Calibri" w:hAnsi="Calibri" w:cs="Calibri"/>
        </w:rPr>
        <w:t>COB Monday, 20 December 2021</w:t>
      </w:r>
      <w:r w:rsidRPr="002F1917">
        <w:rPr>
          <w:rFonts w:ascii="Calibri" w:hAnsi="Calibri" w:cs="Calibri"/>
        </w:rPr>
        <w:t>.</w:t>
      </w:r>
    </w:p>
    <w:p w14:paraId="01F32670" w14:textId="77777777" w:rsidR="00870C3F" w:rsidRPr="002F1917" w:rsidRDefault="00870C3F" w:rsidP="00870C3F">
      <w:pPr>
        <w:pStyle w:val="BodyText"/>
        <w:rPr>
          <w:rFonts w:ascii="Calibri" w:hAnsi="Calibri" w:cs="Calibr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284" w:type="dxa"/>
          <w:right w:w="284" w:type="dxa"/>
        </w:tblCellMar>
        <w:tblLook w:val="04A0" w:firstRow="1" w:lastRow="0" w:firstColumn="1" w:lastColumn="0" w:noHBand="0" w:noVBand="1"/>
      </w:tblPr>
      <w:tblGrid>
        <w:gridCol w:w="9064"/>
      </w:tblGrid>
      <w:tr w:rsidR="00870C3F" w:rsidRPr="002F1917" w14:paraId="37875D32" w14:textId="77777777" w:rsidTr="00870C3F">
        <w:trPr>
          <w:trHeight w:val="284"/>
          <w:jc w:val="center"/>
        </w:trPr>
        <w:tc>
          <w:tcPr>
            <w:tcW w:w="9350" w:type="dxa"/>
            <w:shd w:val="clear" w:color="auto" w:fill="F2F2F2" w:themeFill="background1" w:themeFillShade="F2"/>
            <w:vAlign w:val="bottom"/>
          </w:tcPr>
          <w:p w14:paraId="681638A1" w14:textId="77777777" w:rsidR="00870C3F" w:rsidRPr="002F1917" w:rsidRDefault="00870C3F">
            <w:pPr>
              <w:pStyle w:val="CalloutBoxcaption"/>
              <w:keepNext/>
              <w:numPr>
                <w:ilvl w:val="0"/>
                <w:numId w:val="0"/>
              </w:numPr>
              <w:rPr>
                <w:rFonts w:ascii="Calibri" w:hAnsi="Calibri" w:cs="Calibri"/>
              </w:rPr>
            </w:pPr>
          </w:p>
        </w:tc>
      </w:tr>
      <w:tr w:rsidR="00870C3F" w:rsidRPr="002F1917" w14:paraId="6A402A3D" w14:textId="77777777" w:rsidTr="00870C3F">
        <w:trPr>
          <w:jc w:val="center"/>
        </w:trPr>
        <w:tc>
          <w:tcPr>
            <w:tcW w:w="9350" w:type="dxa"/>
            <w:shd w:val="clear" w:color="auto" w:fill="F2F2F2" w:themeFill="background1" w:themeFillShade="F2"/>
            <w:vAlign w:val="bottom"/>
            <w:hideMark/>
          </w:tcPr>
          <w:p w14:paraId="5F0F1670" w14:textId="77777777" w:rsidR="00870C3F" w:rsidRPr="002F1917" w:rsidRDefault="00870C3F">
            <w:pPr>
              <w:pStyle w:val="CalloutBoxcaption"/>
              <w:keepNext/>
              <w:tabs>
                <w:tab w:val="num" w:pos="360"/>
              </w:tabs>
              <w:rPr>
                <w:rFonts w:ascii="Calibri" w:hAnsi="Calibri" w:cs="Calibri"/>
              </w:rPr>
            </w:pPr>
            <w:r w:rsidRPr="002F1917">
              <w:rPr>
                <w:rFonts w:ascii="Calibri" w:hAnsi="Calibri" w:cs="Calibri"/>
              </w:rPr>
              <w:t xml:space="preserve"> </w:t>
            </w:r>
            <w:bookmarkStart w:id="31" w:name="_Ref82077985"/>
            <w:r w:rsidRPr="002F1917">
              <w:rPr>
                <w:rFonts w:ascii="Calibri" w:hAnsi="Calibri" w:cs="Calibri"/>
              </w:rPr>
              <w:t>Overview of the Regulatory Impact Statement process</w:t>
            </w:r>
            <w:bookmarkEnd w:id="31"/>
          </w:p>
          <w:p w14:paraId="60DCA745" w14:textId="3DAAB618" w:rsidR="00870C3F" w:rsidRPr="002F1917" w:rsidRDefault="00870C3F">
            <w:pPr>
              <w:pStyle w:val="BodyText"/>
              <w:rPr>
                <w:rFonts w:ascii="Calibri" w:hAnsi="Calibri" w:cs="Calibri"/>
              </w:rPr>
            </w:pPr>
            <w:r w:rsidRPr="002F1917">
              <w:rPr>
                <w:rFonts w:ascii="Calibri" w:hAnsi="Calibri" w:cs="Calibri"/>
              </w:rPr>
              <w:t xml:space="preserve">The purpose of a Regulatory Impact Statement is to undertake a rigorous process to reach an evidence-based policy solution to an issue with a clear rationale for government </w:t>
            </w:r>
            <w:r w:rsidRPr="00900E78">
              <w:rPr>
                <w:rFonts w:ascii="Calibri" w:hAnsi="Calibri" w:cs="Calibri"/>
              </w:rPr>
              <w:t xml:space="preserve">intervention </w:t>
            </w:r>
            <w:r w:rsidR="00F50520" w:rsidRPr="00900E78">
              <w:rPr>
                <w:rFonts w:ascii="Calibri" w:hAnsi="Calibri" w:cs="Calibri"/>
              </w:rPr>
              <w:t>to address</w:t>
            </w:r>
            <w:r w:rsidR="003E1C80" w:rsidRPr="00900E78">
              <w:rPr>
                <w:rFonts w:ascii="Calibri" w:hAnsi="Calibri" w:cs="Calibri"/>
              </w:rPr>
              <w:t xml:space="preserve"> the</w:t>
            </w:r>
            <w:r w:rsidRPr="002F1917">
              <w:rPr>
                <w:rFonts w:ascii="Calibri" w:hAnsi="Calibri" w:cs="Calibri"/>
              </w:rPr>
              <w:t xml:space="preserve"> problem with the current situation.</w:t>
            </w:r>
          </w:p>
          <w:p w14:paraId="0C09E114" w14:textId="77777777" w:rsidR="00870C3F" w:rsidRPr="002F1917" w:rsidRDefault="00870C3F">
            <w:pPr>
              <w:pStyle w:val="BodyText"/>
              <w:rPr>
                <w:rFonts w:ascii="Calibri" w:hAnsi="Calibri" w:cs="Calibri"/>
              </w:rPr>
            </w:pPr>
            <w:r w:rsidRPr="002F1917">
              <w:rPr>
                <w:rFonts w:ascii="Calibri" w:hAnsi="Calibri" w:cs="Calibri"/>
              </w:rPr>
              <w:t>Guidance for undertaking a Regulatory Impact Statement is provided by the Office of Best Practice and Regulation with the Australian Government Guide to Regulation</w:t>
            </w:r>
            <w:r w:rsidRPr="002F1917">
              <w:rPr>
                <w:rStyle w:val="FootnoteReference"/>
                <w:rFonts w:ascii="Calibri" w:hAnsi="Calibri" w:cs="Calibri"/>
              </w:rPr>
              <w:footnoteReference w:id="2"/>
            </w:r>
            <w:r w:rsidRPr="002F1917">
              <w:rPr>
                <w:rFonts w:ascii="Calibri" w:hAnsi="Calibri" w:cs="Calibri"/>
              </w:rPr>
              <w:t xml:space="preserve"> being a key point of reference. One instructive section of this guidance distils the requirements for a Regulatory Impact Statement down to seven key questions:</w:t>
            </w:r>
          </w:p>
          <w:p w14:paraId="720C7C07" w14:textId="77777777" w:rsidR="00870C3F" w:rsidRPr="002F1917" w:rsidRDefault="00870C3F" w:rsidP="00204AA1">
            <w:pPr>
              <w:pStyle w:val="BodyText"/>
              <w:numPr>
                <w:ilvl w:val="0"/>
                <w:numId w:val="27"/>
              </w:numPr>
              <w:rPr>
                <w:rFonts w:ascii="Calibri" w:hAnsi="Calibri" w:cs="Calibri"/>
              </w:rPr>
            </w:pPr>
            <w:r w:rsidRPr="002F1917">
              <w:rPr>
                <w:rFonts w:ascii="Calibri" w:hAnsi="Calibri" w:cs="Calibri"/>
              </w:rPr>
              <w:t>What is the policy problem you are trying to solve?</w:t>
            </w:r>
          </w:p>
          <w:p w14:paraId="63FF087C" w14:textId="77777777" w:rsidR="00870C3F" w:rsidRPr="002F1917" w:rsidRDefault="00870C3F" w:rsidP="00204AA1">
            <w:pPr>
              <w:pStyle w:val="BodyText"/>
              <w:numPr>
                <w:ilvl w:val="0"/>
                <w:numId w:val="27"/>
              </w:numPr>
              <w:rPr>
                <w:rFonts w:ascii="Calibri" w:hAnsi="Calibri" w:cs="Calibri"/>
              </w:rPr>
            </w:pPr>
            <w:r w:rsidRPr="002F1917">
              <w:rPr>
                <w:rFonts w:ascii="Calibri" w:hAnsi="Calibri" w:cs="Calibri"/>
              </w:rPr>
              <w:t>Why is government action needed?</w:t>
            </w:r>
          </w:p>
          <w:p w14:paraId="49F56546" w14:textId="77777777" w:rsidR="00870C3F" w:rsidRPr="002F1917" w:rsidRDefault="00870C3F" w:rsidP="00204AA1">
            <w:pPr>
              <w:pStyle w:val="BodyText"/>
              <w:numPr>
                <w:ilvl w:val="0"/>
                <w:numId w:val="27"/>
              </w:numPr>
              <w:rPr>
                <w:rFonts w:ascii="Calibri" w:hAnsi="Calibri" w:cs="Calibri"/>
              </w:rPr>
            </w:pPr>
            <w:r w:rsidRPr="002F1917">
              <w:rPr>
                <w:rFonts w:ascii="Calibri" w:hAnsi="Calibri" w:cs="Calibri"/>
              </w:rPr>
              <w:t>What regulatory options are you considering?</w:t>
            </w:r>
          </w:p>
          <w:p w14:paraId="663AFB4E" w14:textId="77777777" w:rsidR="00870C3F" w:rsidRPr="002F1917" w:rsidRDefault="00870C3F" w:rsidP="00204AA1">
            <w:pPr>
              <w:pStyle w:val="BodyText"/>
              <w:numPr>
                <w:ilvl w:val="0"/>
                <w:numId w:val="27"/>
              </w:numPr>
              <w:rPr>
                <w:rFonts w:ascii="Calibri" w:hAnsi="Calibri" w:cs="Calibri"/>
              </w:rPr>
            </w:pPr>
            <w:r w:rsidRPr="002F1917">
              <w:rPr>
                <w:rFonts w:ascii="Calibri" w:hAnsi="Calibri" w:cs="Calibri"/>
              </w:rPr>
              <w:t>What is the likely net benefit of each option?</w:t>
            </w:r>
          </w:p>
          <w:p w14:paraId="7FC7C71C" w14:textId="77777777" w:rsidR="00870C3F" w:rsidRPr="002F1917" w:rsidRDefault="00870C3F" w:rsidP="00204AA1">
            <w:pPr>
              <w:pStyle w:val="BodyText"/>
              <w:numPr>
                <w:ilvl w:val="0"/>
                <w:numId w:val="27"/>
              </w:numPr>
              <w:rPr>
                <w:rFonts w:ascii="Calibri" w:hAnsi="Calibri" w:cs="Calibri"/>
              </w:rPr>
            </w:pPr>
            <w:r w:rsidRPr="002F1917">
              <w:rPr>
                <w:rFonts w:ascii="Calibri" w:hAnsi="Calibri" w:cs="Calibri"/>
              </w:rPr>
              <w:t>Who will you consult and how will you consult them?</w:t>
            </w:r>
          </w:p>
          <w:p w14:paraId="2E2E6CF7" w14:textId="77777777" w:rsidR="00870C3F" w:rsidRPr="002F1917" w:rsidRDefault="00870C3F" w:rsidP="00204AA1">
            <w:pPr>
              <w:pStyle w:val="BodyText"/>
              <w:numPr>
                <w:ilvl w:val="0"/>
                <w:numId w:val="27"/>
              </w:numPr>
              <w:rPr>
                <w:rFonts w:ascii="Calibri" w:hAnsi="Calibri" w:cs="Calibri"/>
              </w:rPr>
            </w:pPr>
            <w:r w:rsidRPr="002F1917">
              <w:rPr>
                <w:rFonts w:ascii="Calibri" w:hAnsi="Calibri" w:cs="Calibri"/>
              </w:rPr>
              <w:t>What is the best option from those you have considered?</w:t>
            </w:r>
          </w:p>
          <w:p w14:paraId="461719DF" w14:textId="77777777" w:rsidR="00870C3F" w:rsidRPr="002F1917" w:rsidRDefault="00870C3F" w:rsidP="00204AA1">
            <w:pPr>
              <w:pStyle w:val="BodyText"/>
              <w:numPr>
                <w:ilvl w:val="0"/>
                <w:numId w:val="27"/>
              </w:numPr>
              <w:rPr>
                <w:rFonts w:ascii="Calibri" w:hAnsi="Calibri" w:cs="Calibri"/>
              </w:rPr>
            </w:pPr>
            <w:r w:rsidRPr="002F1917">
              <w:rPr>
                <w:rFonts w:ascii="Calibri" w:hAnsi="Calibri" w:cs="Calibri"/>
              </w:rPr>
              <w:t>How will you implement and evaluate your chosen option?</w:t>
            </w:r>
          </w:p>
          <w:p w14:paraId="7F484731" w14:textId="49279E8D" w:rsidR="00870C3F" w:rsidRPr="002F1917" w:rsidRDefault="00870C3F">
            <w:pPr>
              <w:pStyle w:val="BodyText"/>
              <w:rPr>
                <w:rFonts w:ascii="Calibri" w:hAnsi="Calibri" w:cs="Calibri"/>
              </w:rPr>
            </w:pPr>
            <w:r w:rsidRPr="002F1917">
              <w:rPr>
                <w:rFonts w:ascii="Calibri" w:hAnsi="Calibri" w:cs="Calibri"/>
              </w:rPr>
              <w:t xml:space="preserve">The focus of this </w:t>
            </w:r>
            <w:r w:rsidR="000227BA">
              <w:rPr>
                <w:rFonts w:ascii="Calibri" w:hAnsi="Calibri" w:cs="Calibri"/>
              </w:rPr>
              <w:t xml:space="preserve">Consultation </w:t>
            </w:r>
            <w:r w:rsidRPr="002F1917">
              <w:rPr>
                <w:rFonts w:ascii="Calibri" w:hAnsi="Calibri" w:cs="Calibri"/>
              </w:rPr>
              <w:t>Regulatory Impact Statement is on the first four questions with some initial thinking also provided on the remaining three questions.</w:t>
            </w:r>
          </w:p>
          <w:p w14:paraId="12E01213" w14:textId="2F9E583F" w:rsidR="00870C3F" w:rsidRPr="002F1917" w:rsidRDefault="00870C3F">
            <w:pPr>
              <w:pStyle w:val="BodyText"/>
              <w:rPr>
                <w:rFonts w:ascii="Calibri" w:hAnsi="Calibri" w:cs="Calibri"/>
              </w:rPr>
            </w:pPr>
            <w:r w:rsidRPr="002F1917">
              <w:rPr>
                <w:rFonts w:ascii="Calibri" w:hAnsi="Calibri" w:cs="Calibri"/>
              </w:rPr>
              <w:t xml:space="preserve">Based on feedback received on the </w:t>
            </w:r>
            <w:r w:rsidR="000227BA">
              <w:rPr>
                <w:rFonts w:ascii="Calibri" w:hAnsi="Calibri" w:cs="Calibri"/>
              </w:rPr>
              <w:t xml:space="preserve">Consultation </w:t>
            </w:r>
            <w:r w:rsidRPr="002F1917">
              <w:rPr>
                <w:rFonts w:ascii="Calibri" w:hAnsi="Calibri" w:cs="Calibri"/>
              </w:rPr>
              <w:t xml:space="preserve">Regulatory Impact Statement and further consultation as outlined in Section </w:t>
            </w:r>
            <w:r w:rsidRPr="002F1917">
              <w:rPr>
                <w:rFonts w:ascii="Calibri" w:hAnsi="Calibri" w:cs="Calibri"/>
              </w:rPr>
              <w:fldChar w:fldCharType="begin"/>
            </w:r>
            <w:r w:rsidRPr="002F1917">
              <w:rPr>
                <w:rFonts w:ascii="Calibri" w:hAnsi="Calibri" w:cs="Calibri"/>
              </w:rPr>
              <w:instrText xml:space="preserve"> REF _Ref84845287 \r \h </w:instrText>
            </w:r>
            <w:r w:rsidR="002F1917">
              <w:rPr>
                <w:rFonts w:ascii="Calibri" w:hAnsi="Calibri" w:cs="Calibri"/>
              </w:rPr>
              <w:instrText xml:space="preserve"> \* MERGEFORMAT </w:instrText>
            </w:r>
            <w:r w:rsidRPr="002F1917">
              <w:rPr>
                <w:rFonts w:ascii="Calibri" w:hAnsi="Calibri" w:cs="Calibri"/>
              </w:rPr>
            </w:r>
            <w:r w:rsidRPr="002F1917">
              <w:rPr>
                <w:rFonts w:ascii="Calibri" w:hAnsi="Calibri" w:cs="Calibri"/>
              </w:rPr>
              <w:fldChar w:fldCharType="separate"/>
            </w:r>
            <w:r w:rsidRPr="002F1917">
              <w:rPr>
                <w:rFonts w:ascii="Calibri" w:hAnsi="Calibri" w:cs="Calibri"/>
              </w:rPr>
              <w:t>7</w:t>
            </w:r>
            <w:r w:rsidRPr="002F1917">
              <w:rPr>
                <w:rFonts w:ascii="Calibri" w:hAnsi="Calibri" w:cs="Calibri"/>
              </w:rPr>
              <w:fldChar w:fldCharType="end"/>
            </w:r>
            <w:r w:rsidRPr="002F1917">
              <w:rPr>
                <w:rFonts w:ascii="Calibri" w:hAnsi="Calibri" w:cs="Calibri"/>
              </w:rPr>
              <w:t>, a Final Regulatory Impact Statement will be prepared which responds to all seven questions. Th</w:t>
            </w:r>
            <w:r w:rsidR="00137B02">
              <w:rPr>
                <w:rFonts w:ascii="Calibri" w:hAnsi="Calibri" w:cs="Calibri"/>
              </w:rPr>
              <w:t>e</w:t>
            </w:r>
            <w:r w:rsidRPr="002F1917">
              <w:rPr>
                <w:rFonts w:ascii="Calibri" w:hAnsi="Calibri" w:cs="Calibri"/>
              </w:rPr>
              <w:t xml:space="preserve"> Final Regulatory Impact Statement will provide an evidence base and recommendations for consideration in making their policy decision around the ASWS.</w:t>
            </w:r>
          </w:p>
          <w:p w14:paraId="39220C57" w14:textId="77777777" w:rsidR="00870C3F" w:rsidRPr="002F1917" w:rsidRDefault="00870C3F">
            <w:pPr>
              <w:rPr>
                <w:rFonts w:ascii="Calibri" w:hAnsi="Calibri" w:cs="Calibri"/>
                <w:i/>
                <w:sz w:val="16"/>
                <w:szCs w:val="16"/>
              </w:rPr>
            </w:pPr>
            <w:r w:rsidRPr="002F10D2">
              <w:rPr>
                <w:rFonts w:ascii="Calibri" w:hAnsi="Calibri" w:cs="Calibri"/>
                <w:i/>
                <w:sz w:val="16"/>
                <w:szCs w:val="16"/>
              </w:rPr>
              <w:t>Source: Based documents from the OBPR</w:t>
            </w:r>
          </w:p>
        </w:tc>
      </w:tr>
      <w:tr w:rsidR="00870C3F" w:rsidRPr="002F1917" w14:paraId="59547853" w14:textId="77777777" w:rsidTr="00870C3F">
        <w:trPr>
          <w:trHeight w:val="284"/>
          <w:jc w:val="center"/>
        </w:trPr>
        <w:tc>
          <w:tcPr>
            <w:tcW w:w="9350" w:type="dxa"/>
            <w:shd w:val="clear" w:color="auto" w:fill="F2F2F2" w:themeFill="background1" w:themeFillShade="F2"/>
            <w:vAlign w:val="bottom"/>
          </w:tcPr>
          <w:p w14:paraId="3AA14EB0" w14:textId="77777777" w:rsidR="00870C3F" w:rsidRPr="002F1917" w:rsidRDefault="00870C3F">
            <w:pPr>
              <w:pStyle w:val="CalloutBoxcaption"/>
              <w:numPr>
                <w:ilvl w:val="0"/>
                <w:numId w:val="0"/>
              </w:numPr>
              <w:rPr>
                <w:rFonts w:ascii="Calibri" w:hAnsi="Calibri" w:cs="Calibri"/>
              </w:rPr>
            </w:pPr>
          </w:p>
        </w:tc>
      </w:tr>
    </w:tbl>
    <w:p w14:paraId="1898DF72" w14:textId="77777777" w:rsidR="00870C3F" w:rsidRPr="002F1917" w:rsidRDefault="00870C3F" w:rsidP="00870C3F">
      <w:pPr>
        <w:pStyle w:val="BodyText"/>
        <w:rPr>
          <w:rFonts w:ascii="Calibri" w:hAnsi="Calibri" w:cs="Calibri"/>
        </w:rPr>
      </w:pPr>
    </w:p>
    <w:p w14:paraId="3BC0E358" w14:textId="33899AAE" w:rsidR="00870C3F" w:rsidRPr="002F1917" w:rsidRDefault="00870C3F" w:rsidP="00870C3F">
      <w:pPr>
        <w:pStyle w:val="BodyText"/>
        <w:rPr>
          <w:rFonts w:ascii="Calibri" w:hAnsi="Calibri" w:cs="Calibri"/>
        </w:rPr>
      </w:pPr>
      <w:r w:rsidRPr="002F1917">
        <w:rPr>
          <w:rFonts w:ascii="Calibri" w:hAnsi="Calibri" w:cs="Calibri"/>
        </w:rPr>
        <w:t xml:space="preserve">The remaining sections of this </w:t>
      </w:r>
      <w:r w:rsidR="000227BA">
        <w:rPr>
          <w:rFonts w:ascii="Calibri" w:hAnsi="Calibri" w:cs="Calibri"/>
        </w:rPr>
        <w:t xml:space="preserve">Consultation </w:t>
      </w:r>
      <w:r w:rsidRPr="002F1917">
        <w:rPr>
          <w:rFonts w:ascii="Calibri" w:hAnsi="Calibri" w:cs="Calibri"/>
        </w:rPr>
        <w:t>Regulatory Impact Statement set outs the following:</w:t>
      </w:r>
    </w:p>
    <w:p w14:paraId="71DE7305" w14:textId="77777777" w:rsidR="00870C3F" w:rsidRPr="002F1917" w:rsidRDefault="00870C3F" w:rsidP="00870C3F">
      <w:pPr>
        <w:pStyle w:val="ListBullet1"/>
        <w:rPr>
          <w:rFonts w:ascii="Calibri" w:hAnsi="Calibri" w:cs="Calibri"/>
        </w:rPr>
      </w:pPr>
      <w:r w:rsidRPr="002F1917">
        <w:rPr>
          <w:rFonts w:ascii="Calibri" w:hAnsi="Calibri" w:cs="Calibri"/>
        </w:rPr>
        <w:t xml:space="preserve">Section </w:t>
      </w:r>
      <w:r w:rsidRPr="002F1917">
        <w:rPr>
          <w:rFonts w:ascii="Calibri" w:hAnsi="Calibri" w:cs="Calibri"/>
        </w:rPr>
        <w:fldChar w:fldCharType="begin"/>
      </w:r>
      <w:r w:rsidRPr="002F1917">
        <w:rPr>
          <w:rFonts w:ascii="Calibri" w:hAnsi="Calibri" w:cs="Calibri"/>
        </w:rPr>
        <w:instrText xml:space="preserve"> REF _Ref79408781 \r \h  \* MERGEFORMAT </w:instrText>
      </w:r>
      <w:r w:rsidRPr="002F1917">
        <w:rPr>
          <w:rFonts w:ascii="Calibri" w:hAnsi="Calibri" w:cs="Calibri"/>
        </w:rPr>
      </w:r>
      <w:r w:rsidRPr="002F1917">
        <w:rPr>
          <w:rFonts w:ascii="Calibri" w:hAnsi="Calibri" w:cs="Calibri"/>
        </w:rPr>
        <w:fldChar w:fldCharType="separate"/>
      </w:r>
      <w:r w:rsidRPr="002F1917">
        <w:rPr>
          <w:rFonts w:ascii="Calibri" w:hAnsi="Calibri" w:cs="Calibri"/>
        </w:rPr>
        <w:t>2</w:t>
      </w:r>
      <w:r w:rsidRPr="002F1917">
        <w:rPr>
          <w:rFonts w:ascii="Calibri" w:hAnsi="Calibri" w:cs="Calibri"/>
        </w:rPr>
        <w:fldChar w:fldCharType="end"/>
      </w:r>
      <w:r w:rsidRPr="002F1917">
        <w:rPr>
          <w:rFonts w:ascii="Calibri" w:hAnsi="Calibri" w:cs="Calibri"/>
        </w:rPr>
        <w:t xml:space="preserve"> sets out </w:t>
      </w:r>
      <w:bookmarkStart w:id="32" w:name="_Hlk79408894"/>
      <w:r w:rsidRPr="002F1917">
        <w:rPr>
          <w:rFonts w:ascii="Calibri" w:hAnsi="Calibri" w:cs="Calibri"/>
        </w:rPr>
        <w:t xml:space="preserve">the current regulatory framework for sports wagering </w:t>
      </w:r>
      <w:bookmarkEnd w:id="32"/>
      <w:r w:rsidRPr="002F1917">
        <w:rPr>
          <w:rFonts w:ascii="Calibri" w:hAnsi="Calibri" w:cs="Calibri"/>
        </w:rPr>
        <w:t>in Australia</w:t>
      </w:r>
    </w:p>
    <w:p w14:paraId="7DEF6EAA" w14:textId="77777777" w:rsidR="00870C3F" w:rsidRPr="002F1917" w:rsidRDefault="00870C3F" w:rsidP="00870C3F">
      <w:pPr>
        <w:pStyle w:val="ListBullet1"/>
        <w:rPr>
          <w:rFonts w:ascii="Calibri" w:hAnsi="Calibri" w:cs="Calibri"/>
        </w:rPr>
      </w:pPr>
      <w:r w:rsidRPr="002F1917">
        <w:rPr>
          <w:rFonts w:ascii="Calibri" w:hAnsi="Calibri" w:cs="Calibri"/>
        </w:rPr>
        <w:t xml:space="preserve">Section </w:t>
      </w:r>
      <w:r w:rsidRPr="002F1917">
        <w:rPr>
          <w:rFonts w:ascii="Calibri" w:hAnsi="Calibri" w:cs="Calibri"/>
        </w:rPr>
        <w:fldChar w:fldCharType="begin"/>
      </w:r>
      <w:r w:rsidRPr="002F1917">
        <w:rPr>
          <w:rFonts w:ascii="Calibri" w:hAnsi="Calibri" w:cs="Calibri"/>
        </w:rPr>
        <w:instrText xml:space="preserve"> REF _Ref79408782 \r \h  \* MERGEFORMAT </w:instrText>
      </w:r>
      <w:r w:rsidRPr="002F1917">
        <w:rPr>
          <w:rFonts w:ascii="Calibri" w:hAnsi="Calibri" w:cs="Calibri"/>
        </w:rPr>
      </w:r>
      <w:r w:rsidRPr="002F1917">
        <w:rPr>
          <w:rFonts w:ascii="Calibri" w:hAnsi="Calibri" w:cs="Calibri"/>
        </w:rPr>
        <w:fldChar w:fldCharType="separate"/>
      </w:r>
      <w:r w:rsidRPr="002F1917">
        <w:rPr>
          <w:rFonts w:ascii="Calibri" w:hAnsi="Calibri" w:cs="Calibri"/>
        </w:rPr>
        <w:t>3</w:t>
      </w:r>
      <w:r w:rsidRPr="002F1917">
        <w:rPr>
          <w:rFonts w:ascii="Calibri" w:hAnsi="Calibri" w:cs="Calibri"/>
        </w:rPr>
        <w:fldChar w:fldCharType="end"/>
      </w:r>
      <w:r w:rsidRPr="002F1917">
        <w:rPr>
          <w:rFonts w:ascii="Calibri" w:hAnsi="Calibri" w:cs="Calibri"/>
          <w:b/>
          <w:lang w:val="en-US"/>
        </w:rPr>
        <w:t xml:space="preserve"> </w:t>
      </w:r>
      <w:r w:rsidRPr="002F1917">
        <w:rPr>
          <w:rFonts w:ascii="Calibri" w:hAnsi="Calibri" w:cs="Calibri"/>
        </w:rPr>
        <w:t xml:space="preserve">outlines the problems associated with the current regulatory framework for sports wagering </w:t>
      </w:r>
    </w:p>
    <w:p w14:paraId="657566AB" w14:textId="77777777" w:rsidR="00870C3F" w:rsidRPr="002F1917" w:rsidRDefault="00870C3F" w:rsidP="00870C3F">
      <w:pPr>
        <w:pStyle w:val="ListBullet1"/>
        <w:rPr>
          <w:rFonts w:ascii="Calibri" w:hAnsi="Calibri" w:cs="Calibri"/>
        </w:rPr>
      </w:pPr>
      <w:r w:rsidRPr="002F1917">
        <w:rPr>
          <w:rFonts w:ascii="Calibri" w:hAnsi="Calibri" w:cs="Calibri"/>
        </w:rPr>
        <w:t xml:space="preserve">Section </w:t>
      </w:r>
      <w:r w:rsidRPr="002F1917">
        <w:rPr>
          <w:rFonts w:ascii="Calibri" w:hAnsi="Calibri" w:cs="Calibri"/>
        </w:rPr>
        <w:fldChar w:fldCharType="begin"/>
      </w:r>
      <w:r w:rsidRPr="002F1917">
        <w:rPr>
          <w:rFonts w:ascii="Calibri" w:hAnsi="Calibri" w:cs="Calibri"/>
        </w:rPr>
        <w:instrText xml:space="preserve"> REF _Ref79408783 \r \h  \* MERGEFORMAT </w:instrText>
      </w:r>
      <w:r w:rsidRPr="002F1917">
        <w:rPr>
          <w:rFonts w:ascii="Calibri" w:hAnsi="Calibri" w:cs="Calibri"/>
        </w:rPr>
      </w:r>
      <w:r w:rsidRPr="002F1917">
        <w:rPr>
          <w:rFonts w:ascii="Calibri" w:hAnsi="Calibri" w:cs="Calibri"/>
        </w:rPr>
        <w:fldChar w:fldCharType="separate"/>
      </w:r>
      <w:r w:rsidRPr="002F1917">
        <w:rPr>
          <w:rFonts w:ascii="Calibri" w:hAnsi="Calibri" w:cs="Calibri"/>
        </w:rPr>
        <w:t>4</w:t>
      </w:r>
      <w:r w:rsidRPr="002F1917">
        <w:rPr>
          <w:rFonts w:ascii="Calibri" w:hAnsi="Calibri" w:cs="Calibri"/>
        </w:rPr>
        <w:fldChar w:fldCharType="end"/>
      </w:r>
      <w:r w:rsidRPr="002F1917">
        <w:rPr>
          <w:rFonts w:ascii="Calibri" w:hAnsi="Calibri" w:cs="Calibri"/>
        </w:rPr>
        <w:t xml:space="preserve"> makes the case for why government action is needed</w:t>
      </w:r>
    </w:p>
    <w:p w14:paraId="63F09226" w14:textId="77777777" w:rsidR="00870C3F" w:rsidRPr="002F1917" w:rsidRDefault="00870C3F" w:rsidP="00870C3F">
      <w:pPr>
        <w:pStyle w:val="ListBullet1"/>
        <w:rPr>
          <w:rFonts w:ascii="Calibri" w:hAnsi="Calibri" w:cs="Calibri"/>
        </w:rPr>
      </w:pPr>
      <w:r w:rsidRPr="002F1917">
        <w:rPr>
          <w:rFonts w:ascii="Calibri" w:hAnsi="Calibri" w:cs="Calibri"/>
        </w:rPr>
        <w:t xml:space="preserve">Section </w:t>
      </w:r>
      <w:r w:rsidRPr="002F1917">
        <w:rPr>
          <w:rFonts w:ascii="Calibri" w:hAnsi="Calibri" w:cs="Calibri"/>
        </w:rPr>
        <w:fldChar w:fldCharType="begin"/>
      </w:r>
      <w:r w:rsidRPr="002F1917">
        <w:rPr>
          <w:rFonts w:ascii="Calibri" w:hAnsi="Calibri" w:cs="Calibri"/>
        </w:rPr>
        <w:instrText xml:space="preserve"> REF _Ref79408786 \r \h  \* MERGEFORMAT </w:instrText>
      </w:r>
      <w:r w:rsidRPr="002F1917">
        <w:rPr>
          <w:rFonts w:ascii="Calibri" w:hAnsi="Calibri" w:cs="Calibri"/>
        </w:rPr>
      </w:r>
      <w:r w:rsidRPr="002F1917">
        <w:rPr>
          <w:rFonts w:ascii="Calibri" w:hAnsi="Calibri" w:cs="Calibri"/>
        </w:rPr>
        <w:fldChar w:fldCharType="separate"/>
      </w:r>
      <w:r w:rsidRPr="002F1917">
        <w:rPr>
          <w:rFonts w:ascii="Calibri" w:hAnsi="Calibri" w:cs="Calibri"/>
        </w:rPr>
        <w:t>5</w:t>
      </w:r>
      <w:r w:rsidRPr="002F1917">
        <w:rPr>
          <w:rFonts w:ascii="Calibri" w:hAnsi="Calibri" w:cs="Calibri"/>
        </w:rPr>
        <w:fldChar w:fldCharType="end"/>
      </w:r>
      <w:r w:rsidRPr="002F1917">
        <w:rPr>
          <w:rFonts w:ascii="Calibri" w:hAnsi="Calibri" w:cs="Calibri"/>
        </w:rPr>
        <w:t xml:space="preserve"> outlines options for the ASWS</w:t>
      </w:r>
    </w:p>
    <w:p w14:paraId="1F23A874" w14:textId="77777777" w:rsidR="00870C3F" w:rsidRPr="002F1917" w:rsidRDefault="00870C3F" w:rsidP="00870C3F">
      <w:pPr>
        <w:pStyle w:val="ListBullet1"/>
        <w:rPr>
          <w:rFonts w:ascii="Calibri" w:hAnsi="Calibri" w:cs="Calibri"/>
        </w:rPr>
      </w:pPr>
      <w:r w:rsidRPr="002F1917">
        <w:rPr>
          <w:rFonts w:ascii="Calibri" w:hAnsi="Calibri" w:cs="Calibri"/>
        </w:rPr>
        <w:t xml:space="preserve">Section </w:t>
      </w:r>
      <w:r w:rsidRPr="002F1917">
        <w:rPr>
          <w:rFonts w:ascii="Calibri" w:hAnsi="Calibri" w:cs="Calibri"/>
        </w:rPr>
        <w:fldChar w:fldCharType="begin"/>
      </w:r>
      <w:r w:rsidRPr="002F1917">
        <w:rPr>
          <w:rFonts w:ascii="Calibri" w:hAnsi="Calibri" w:cs="Calibri"/>
        </w:rPr>
        <w:instrText xml:space="preserve"> REF _Ref60660121 \r \h  \* MERGEFORMAT </w:instrText>
      </w:r>
      <w:r w:rsidRPr="002F1917">
        <w:rPr>
          <w:rFonts w:ascii="Calibri" w:hAnsi="Calibri" w:cs="Calibri"/>
        </w:rPr>
      </w:r>
      <w:r w:rsidRPr="002F1917">
        <w:rPr>
          <w:rFonts w:ascii="Calibri" w:hAnsi="Calibri" w:cs="Calibri"/>
        </w:rPr>
        <w:fldChar w:fldCharType="separate"/>
      </w:r>
      <w:r w:rsidRPr="002F1917">
        <w:rPr>
          <w:rFonts w:ascii="Calibri" w:hAnsi="Calibri" w:cs="Calibri"/>
        </w:rPr>
        <w:t>6</w:t>
      </w:r>
      <w:r w:rsidRPr="002F1917">
        <w:rPr>
          <w:rFonts w:ascii="Calibri" w:hAnsi="Calibri" w:cs="Calibri"/>
        </w:rPr>
        <w:fldChar w:fldCharType="end"/>
      </w:r>
      <w:r w:rsidRPr="002F1917">
        <w:rPr>
          <w:rFonts w:ascii="Calibri" w:hAnsi="Calibri" w:cs="Calibri"/>
        </w:rPr>
        <w:t xml:space="preserve"> outlines the impacts of the reform options</w:t>
      </w:r>
    </w:p>
    <w:p w14:paraId="36022C27" w14:textId="77777777" w:rsidR="00870C3F" w:rsidRPr="002F1917" w:rsidRDefault="00870C3F" w:rsidP="00870C3F">
      <w:pPr>
        <w:pStyle w:val="ListBullet1"/>
        <w:rPr>
          <w:rFonts w:ascii="Calibri" w:hAnsi="Calibri" w:cs="Calibri"/>
        </w:rPr>
      </w:pPr>
      <w:r w:rsidRPr="002F1917">
        <w:rPr>
          <w:rFonts w:ascii="Calibri" w:hAnsi="Calibri" w:cs="Calibri"/>
        </w:rPr>
        <w:t xml:space="preserve">Section </w:t>
      </w:r>
      <w:r w:rsidRPr="002F1917">
        <w:rPr>
          <w:rFonts w:ascii="Calibri" w:hAnsi="Calibri" w:cs="Calibri"/>
        </w:rPr>
        <w:fldChar w:fldCharType="begin"/>
      </w:r>
      <w:r w:rsidRPr="002F1917">
        <w:rPr>
          <w:rFonts w:ascii="Calibri" w:hAnsi="Calibri" w:cs="Calibri"/>
        </w:rPr>
        <w:instrText xml:space="preserve"> REF _Ref79408802 \r \h  \* MERGEFORMAT </w:instrText>
      </w:r>
      <w:r w:rsidRPr="002F1917">
        <w:rPr>
          <w:rFonts w:ascii="Calibri" w:hAnsi="Calibri" w:cs="Calibri"/>
        </w:rPr>
      </w:r>
      <w:r w:rsidRPr="002F1917">
        <w:rPr>
          <w:rFonts w:ascii="Calibri" w:hAnsi="Calibri" w:cs="Calibri"/>
        </w:rPr>
        <w:fldChar w:fldCharType="separate"/>
      </w:r>
      <w:r w:rsidRPr="002F1917">
        <w:rPr>
          <w:rFonts w:ascii="Calibri" w:hAnsi="Calibri" w:cs="Calibri"/>
        </w:rPr>
        <w:t>7</w:t>
      </w:r>
      <w:r w:rsidRPr="002F1917">
        <w:rPr>
          <w:rFonts w:ascii="Calibri" w:hAnsi="Calibri" w:cs="Calibri"/>
        </w:rPr>
        <w:fldChar w:fldCharType="end"/>
      </w:r>
      <w:r w:rsidRPr="002F1917">
        <w:rPr>
          <w:rFonts w:ascii="Calibri" w:hAnsi="Calibri" w:cs="Calibri"/>
        </w:rPr>
        <w:t xml:space="preserve"> identifies next steps</w:t>
      </w:r>
    </w:p>
    <w:p w14:paraId="0C64AEFC" w14:textId="77777777" w:rsidR="00870C3F" w:rsidRPr="002F1917" w:rsidRDefault="00870C3F" w:rsidP="00870C3F">
      <w:pPr>
        <w:pStyle w:val="ListBullet1"/>
        <w:rPr>
          <w:rFonts w:ascii="Calibri" w:hAnsi="Calibri" w:cs="Calibri"/>
        </w:rPr>
      </w:pPr>
      <w:r w:rsidRPr="002F1917">
        <w:rPr>
          <w:rFonts w:ascii="Calibri" w:hAnsi="Calibri" w:cs="Calibri"/>
        </w:rPr>
        <w:lastRenderedPageBreak/>
        <w:t>Appendix A provides a more detailed discussion of current state and territory regulation of sports wagering.</w:t>
      </w:r>
    </w:p>
    <w:p w14:paraId="6A9C4446" w14:textId="77777777" w:rsidR="00870C3F" w:rsidRPr="002F1917" w:rsidRDefault="00870C3F" w:rsidP="00204AA1">
      <w:pPr>
        <w:pStyle w:val="Heading1"/>
        <w:numPr>
          <w:ilvl w:val="0"/>
          <w:numId w:val="26"/>
        </w:numPr>
        <w:suppressAutoHyphens w:val="0"/>
        <w:spacing w:before="480" w:after="360" w:line="240" w:lineRule="auto"/>
        <w:rPr>
          <w:rFonts w:ascii="Calibri" w:hAnsi="Calibri" w:cs="Calibri"/>
        </w:rPr>
      </w:pPr>
      <w:bookmarkStart w:id="33" w:name="_Ref79569398"/>
      <w:bookmarkStart w:id="34" w:name="_Toc85450743"/>
      <w:bookmarkStart w:id="35" w:name="_Toc85792406"/>
      <w:r w:rsidRPr="002F1917">
        <w:rPr>
          <w:rFonts w:ascii="Calibri" w:hAnsi="Calibri" w:cs="Calibri"/>
        </w:rPr>
        <w:t>The current regulatory framework for sports wagering</w:t>
      </w:r>
      <w:bookmarkEnd w:id="33"/>
      <w:bookmarkEnd w:id="34"/>
      <w:bookmarkEnd w:id="35"/>
    </w:p>
    <w:p w14:paraId="07F41C22" w14:textId="516E3596" w:rsidR="00870C3F" w:rsidRPr="002F1917" w:rsidRDefault="00B103B8" w:rsidP="00204AA1">
      <w:pPr>
        <w:pStyle w:val="Heading2"/>
        <w:numPr>
          <w:ilvl w:val="1"/>
          <w:numId w:val="26"/>
        </w:numPr>
        <w:suppressAutoHyphens w:val="0"/>
        <w:spacing w:after="120" w:line="280" w:lineRule="auto"/>
        <w:rPr>
          <w:rFonts w:ascii="Calibri" w:hAnsi="Calibri" w:cs="Calibri"/>
          <w:sz w:val="26"/>
        </w:rPr>
      </w:pPr>
      <w:bookmarkStart w:id="36" w:name="_Toc39219864"/>
      <w:bookmarkStart w:id="37" w:name="_Toc85450744"/>
      <w:r w:rsidRPr="002F1917">
        <w:rPr>
          <w:rFonts w:ascii="Calibri" w:hAnsi="Calibri" w:cs="Calibri"/>
          <w:sz w:val="26"/>
        </w:rPr>
        <w:t xml:space="preserve"> </w:t>
      </w:r>
      <w:bookmarkStart w:id="38" w:name="_Toc85792407"/>
      <w:r w:rsidR="00870C3F" w:rsidRPr="002F1917">
        <w:rPr>
          <w:rFonts w:ascii="Calibri" w:hAnsi="Calibri" w:cs="Calibri"/>
          <w:sz w:val="26"/>
        </w:rPr>
        <w:t>Overview of sports wagering regulation in Australia</w:t>
      </w:r>
      <w:bookmarkEnd w:id="36"/>
      <w:bookmarkEnd w:id="37"/>
      <w:bookmarkEnd w:id="38"/>
    </w:p>
    <w:p w14:paraId="3AE7EAA4" w14:textId="77777777" w:rsidR="00870C3F" w:rsidRPr="002F1917" w:rsidRDefault="00870C3F" w:rsidP="00870C3F">
      <w:pPr>
        <w:pStyle w:val="BodyText"/>
        <w:rPr>
          <w:rFonts w:ascii="Calibri" w:hAnsi="Calibri" w:cs="Calibri"/>
        </w:rPr>
      </w:pPr>
      <w:r w:rsidRPr="002F1917">
        <w:rPr>
          <w:rFonts w:ascii="Calibri" w:hAnsi="Calibri" w:cs="Calibri"/>
        </w:rPr>
        <w:t xml:space="preserve">Sports wagering, as a subset of gambling, is heavily regulated in Australia. At the Commonwealth level for sports wagering, there are two key elements, the </w:t>
      </w:r>
      <w:hyperlink r:id="rId16" w:history="1">
        <w:r w:rsidRPr="002F1917">
          <w:rPr>
            <w:rStyle w:val="Hyperlink"/>
            <w:rFonts w:ascii="Calibri" w:hAnsi="Calibri" w:cs="Calibri"/>
            <w:i/>
          </w:rPr>
          <w:t>Interactive Gambling Act</w:t>
        </w:r>
      </w:hyperlink>
      <w:r w:rsidRPr="002F1917">
        <w:rPr>
          <w:rFonts w:ascii="Calibri" w:hAnsi="Calibri" w:cs="Calibri"/>
          <w:i/>
        </w:rPr>
        <w:t xml:space="preserve"> 2001</w:t>
      </w:r>
      <w:r w:rsidRPr="002F1917">
        <w:rPr>
          <w:rFonts w:ascii="Calibri" w:hAnsi="Calibri" w:cs="Calibri"/>
        </w:rPr>
        <w:t xml:space="preserve"> and the Sports Betting Operational Model. It should be noted sports wagering providers are exempted from the Interactive Gambling Act unless their services are offered through online platforms or by telephone. </w:t>
      </w:r>
      <w:proofErr w:type="gramStart"/>
      <w:r w:rsidRPr="002F1917">
        <w:rPr>
          <w:rFonts w:ascii="Calibri" w:hAnsi="Calibri" w:cs="Calibri"/>
        </w:rPr>
        <w:t>With regard to</w:t>
      </w:r>
      <w:proofErr w:type="gramEnd"/>
      <w:r w:rsidRPr="002F1917">
        <w:rPr>
          <w:rFonts w:ascii="Calibri" w:hAnsi="Calibri" w:cs="Calibri"/>
        </w:rPr>
        <w:t xml:space="preserve"> the latter, this was a policy recommendation. </w:t>
      </w:r>
    </w:p>
    <w:p w14:paraId="6E216872" w14:textId="77777777" w:rsidR="00870C3F" w:rsidRPr="002F1917" w:rsidRDefault="00870C3F" w:rsidP="00870C3F">
      <w:pPr>
        <w:pStyle w:val="ListBullet1"/>
        <w:numPr>
          <w:ilvl w:val="0"/>
          <w:numId w:val="0"/>
        </w:numPr>
        <w:tabs>
          <w:tab w:val="left" w:pos="720"/>
        </w:tabs>
        <w:rPr>
          <w:rFonts w:ascii="Calibri" w:hAnsi="Calibri" w:cs="Calibri"/>
        </w:rPr>
      </w:pPr>
      <w:r w:rsidRPr="002F1917">
        <w:rPr>
          <w:rFonts w:ascii="Calibri" w:hAnsi="Calibri" w:cs="Calibri"/>
        </w:rPr>
        <w:t xml:space="preserve">For the purposes of understanding the base case, it suffices to say the Interactive Gambling Act has the effect of prohibiting online in-play betting on sport, but otherwise does not concern itself with the regulation of sport wagering services, which are regulated through relevant jurisdictions. </w:t>
      </w:r>
    </w:p>
    <w:p w14:paraId="12B0D993" w14:textId="6D4154B4" w:rsidR="00870C3F" w:rsidRPr="002F1917" w:rsidRDefault="00870C3F" w:rsidP="00870C3F">
      <w:pPr>
        <w:pStyle w:val="ListBullet1"/>
        <w:numPr>
          <w:ilvl w:val="0"/>
          <w:numId w:val="0"/>
        </w:numPr>
        <w:tabs>
          <w:tab w:val="left" w:pos="720"/>
        </w:tabs>
        <w:rPr>
          <w:rFonts w:ascii="Calibri" w:hAnsi="Calibri" w:cs="Calibri"/>
        </w:rPr>
      </w:pPr>
      <w:r w:rsidRPr="002F1917">
        <w:rPr>
          <w:rFonts w:ascii="Calibri" w:hAnsi="Calibri" w:cs="Calibri"/>
        </w:rPr>
        <w:t xml:space="preserve">The Sports Betting Operational Model describes a governance arrangement as depicted in Figure 1. This is a tripartite arrangement between the regulator, sports controlling bodies and wagering providers. The operational model leaves the implementation to the states and territories who have their respective regulatory regimes with respect to gambling and wagering. These state and territory regulatory regimes are summarised in Section </w:t>
      </w:r>
      <w:r w:rsidRPr="002F1917">
        <w:rPr>
          <w:rFonts w:ascii="Calibri" w:hAnsi="Calibri" w:cs="Calibri"/>
        </w:rPr>
        <w:fldChar w:fldCharType="begin"/>
      </w:r>
      <w:r w:rsidRPr="002F1917">
        <w:rPr>
          <w:rFonts w:ascii="Calibri" w:hAnsi="Calibri" w:cs="Calibri"/>
        </w:rPr>
        <w:instrText xml:space="preserve"> REF _Ref80089575 \r \h </w:instrText>
      </w:r>
      <w:r w:rsidR="002F1917">
        <w:rPr>
          <w:rFonts w:ascii="Calibri" w:hAnsi="Calibri" w:cs="Calibri"/>
        </w:rPr>
        <w:instrText xml:space="preserve"> \* MERGEFORMAT </w:instrText>
      </w:r>
      <w:r w:rsidRPr="002F1917">
        <w:rPr>
          <w:rFonts w:ascii="Calibri" w:hAnsi="Calibri" w:cs="Calibri"/>
        </w:rPr>
      </w:r>
      <w:r w:rsidRPr="002F1917">
        <w:rPr>
          <w:rFonts w:ascii="Calibri" w:hAnsi="Calibri" w:cs="Calibri"/>
        </w:rPr>
        <w:fldChar w:fldCharType="separate"/>
      </w:r>
      <w:r w:rsidRPr="002F1917">
        <w:rPr>
          <w:rFonts w:ascii="Calibri" w:hAnsi="Calibri" w:cs="Calibri"/>
        </w:rPr>
        <w:t>2.2</w:t>
      </w:r>
      <w:r w:rsidRPr="002F1917">
        <w:rPr>
          <w:rFonts w:ascii="Calibri" w:hAnsi="Calibri" w:cs="Calibri"/>
        </w:rPr>
        <w:fldChar w:fldCharType="end"/>
      </w:r>
      <w:r w:rsidRPr="002F1917">
        <w:rPr>
          <w:rFonts w:ascii="Calibri" w:hAnsi="Calibri" w:cs="Calibri"/>
        </w:rPr>
        <w:t xml:space="preserve">. Further details on the Interactive Gambling Act and Sports Betting Operational Model are provided in </w:t>
      </w:r>
      <w:r w:rsidRPr="002F1917">
        <w:rPr>
          <w:rFonts w:ascii="Calibri" w:hAnsi="Calibri" w:cs="Calibri"/>
          <w:b/>
        </w:rPr>
        <w:t>Appendix</w:t>
      </w:r>
      <w:r w:rsidR="00966960">
        <w:rPr>
          <w:rFonts w:ascii="Calibri" w:hAnsi="Calibri" w:cs="Calibri"/>
          <w:b/>
        </w:rPr>
        <w:t> </w:t>
      </w:r>
      <w:r w:rsidRPr="002F1917">
        <w:rPr>
          <w:rFonts w:ascii="Calibri" w:hAnsi="Calibri" w:cs="Calibri"/>
          <w:b/>
        </w:rPr>
        <w:t>A</w:t>
      </w:r>
      <w:r w:rsidRPr="002F1917">
        <w:rPr>
          <w:rFonts w:ascii="Calibri" w:hAnsi="Calibri" w:cs="Calibri"/>
        </w:rPr>
        <w:t>.</w:t>
      </w:r>
    </w:p>
    <w:p w14:paraId="58702A5A" w14:textId="77777777" w:rsidR="004720B8" w:rsidRPr="002F1917" w:rsidRDefault="004720B8" w:rsidP="00870C3F">
      <w:pPr>
        <w:pStyle w:val="Caption"/>
        <w:rPr>
          <w:rFonts w:ascii="Calibri" w:hAnsi="Calibri" w:cs="Calibri"/>
        </w:rPr>
      </w:pPr>
    </w:p>
    <w:p w14:paraId="25978F21" w14:textId="3852B82B" w:rsidR="00870C3F" w:rsidRPr="002F1917" w:rsidRDefault="00870C3F" w:rsidP="00870C3F">
      <w:pPr>
        <w:pStyle w:val="Caption"/>
        <w:rPr>
          <w:rFonts w:ascii="Calibri" w:hAnsi="Calibri" w:cs="Calibri"/>
          <w:sz w:val="18"/>
          <w:szCs w:val="20"/>
        </w:rPr>
      </w:pPr>
      <w:r w:rsidRPr="002F1917">
        <w:rPr>
          <w:rFonts w:ascii="Calibri" w:hAnsi="Calibri" w:cs="Calibri"/>
          <w:sz w:val="18"/>
          <w:szCs w:val="20"/>
        </w:rPr>
        <w:t xml:space="preserve">Figure </w:t>
      </w:r>
      <w:r w:rsidRPr="002F1917">
        <w:rPr>
          <w:rFonts w:ascii="Calibri" w:hAnsi="Calibri" w:cs="Calibri"/>
          <w:sz w:val="18"/>
          <w:szCs w:val="20"/>
        </w:rPr>
        <w:fldChar w:fldCharType="begin"/>
      </w:r>
      <w:r w:rsidRPr="002F1917">
        <w:rPr>
          <w:rFonts w:ascii="Calibri" w:hAnsi="Calibri" w:cs="Calibri"/>
          <w:sz w:val="18"/>
          <w:szCs w:val="20"/>
        </w:rPr>
        <w:instrText xml:space="preserve"> SEQ Figure \* ARABIC </w:instrText>
      </w:r>
      <w:r w:rsidRPr="002F1917">
        <w:rPr>
          <w:rFonts w:ascii="Calibri" w:hAnsi="Calibri" w:cs="Calibri"/>
          <w:sz w:val="18"/>
          <w:szCs w:val="20"/>
        </w:rPr>
        <w:fldChar w:fldCharType="separate"/>
      </w:r>
      <w:r w:rsidRPr="002F1917">
        <w:rPr>
          <w:rFonts w:ascii="Calibri" w:hAnsi="Calibri" w:cs="Calibri"/>
          <w:noProof/>
          <w:sz w:val="18"/>
          <w:szCs w:val="20"/>
        </w:rPr>
        <w:t>1</w:t>
      </w:r>
      <w:r w:rsidRPr="002F1917">
        <w:rPr>
          <w:rFonts w:ascii="Calibri" w:hAnsi="Calibri" w:cs="Calibri"/>
          <w:sz w:val="18"/>
          <w:szCs w:val="20"/>
        </w:rPr>
        <w:fldChar w:fldCharType="end"/>
      </w:r>
      <w:r w:rsidRPr="002F1917">
        <w:rPr>
          <w:rFonts w:ascii="Calibri" w:hAnsi="Calibri" w:cs="Calibri"/>
          <w:sz w:val="18"/>
          <w:szCs w:val="20"/>
        </w:rPr>
        <w:t>: Sports Betting Operational Model governance model</w:t>
      </w:r>
    </w:p>
    <w:p w14:paraId="425ABDB4" w14:textId="33CD27C5" w:rsidR="00870C3F" w:rsidRPr="002F1917" w:rsidRDefault="00242416" w:rsidP="00870C3F">
      <w:pPr>
        <w:rPr>
          <w:rFonts w:ascii="Calibri" w:hAnsi="Calibri" w:cs="Calibri"/>
          <w:lang w:val="en-US" w:eastAsia="en-AU"/>
        </w:rPr>
      </w:pPr>
      <w:r>
        <w:rPr>
          <w:rFonts w:ascii="Calibri" w:hAnsi="Calibri" w:cs="Calibri"/>
          <w:noProof/>
          <w:lang w:eastAsia="en-AU"/>
        </w:rPr>
        <w:drawing>
          <wp:inline distT="0" distB="0" distL="0" distR="0" wp14:anchorId="6248CCD5" wp14:editId="728EAAEA">
            <wp:extent cx="5756910" cy="2695575"/>
            <wp:effectExtent l="0" t="0" r="0" b="9525"/>
            <wp:docPr id="2" name="Picture 2"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6910" cy="2695575"/>
                    </a:xfrm>
                    <a:prstGeom prst="rect">
                      <a:avLst/>
                    </a:prstGeom>
                    <a:noFill/>
                    <a:ln>
                      <a:noFill/>
                    </a:ln>
                  </pic:spPr>
                </pic:pic>
              </a:graphicData>
            </a:graphic>
          </wp:inline>
        </w:drawing>
      </w:r>
    </w:p>
    <w:p w14:paraId="2E2C7EA1" w14:textId="77777777" w:rsidR="00870C3F" w:rsidRPr="00F20C94" w:rsidRDefault="00870C3F" w:rsidP="00870C3F">
      <w:pPr>
        <w:rPr>
          <w:rFonts w:ascii="Calibri" w:hAnsi="Calibri" w:cs="Calibri"/>
          <w:i/>
          <w:sz w:val="16"/>
          <w:lang w:val="en-US" w:eastAsia="en-AU"/>
        </w:rPr>
      </w:pPr>
      <w:r w:rsidRPr="00F20C94">
        <w:rPr>
          <w:rFonts w:ascii="Calibri" w:hAnsi="Calibri" w:cs="Calibri"/>
          <w:i/>
          <w:sz w:val="16"/>
          <w:lang w:val="en-US" w:eastAsia="en-AU"/>
        </w:rPr>
        <w:t>Source: Frontier Economics</w:t>
      </w:r>
    </w:p>
    <w:p w14:paraId="7C02B0F7" w14:textId="683E1AF5" w:rsidR="00870C3F" w:rsidRPr="002F1917" w:rsidRDefault="004720B8" w:rsidP="004720B8">
      <w:pPr>
        <w:pStyle w:val="Heading2"/>
        <w:numPr>
          <w:ilvl w:val="1"/>
          <w:numId w:val="26"/>
        </w:numPr>
        <w:suppressAutoHyphens w:val="0"/>
        <w:spacing w:after="120" w:line="280" w:lineRule="auto"/>
        <w:rPr>
          <w:rFonts w:ascii="Calibri" w:hAnsi="Calibri" w:cs="Calibri"/>
          <w:sz w:val="26"/>
          <w:lang w:val="en-US"/>
        </w:rPr>
      </w:pPr>
      <w:bookmarkStart w:id="39" w:name="_Toc39219865"/>
      <w:bookmarkStart w:id="40" w:name="_Toc39220334"/>
      <w:bookmarkStart w:id="41" w:name="_Ref80089575"/>
      <w:bookmarkStart w:id="42" w:name="_Ref82600120"/>
      <w:bookmarkStart w:id="43" w:name="_Ref82600123"/>
      <w:bookmarkStart w:id="44" w:name="_Ref82672768"/>
      <w:bookmarkStart w:id="45" w:name="_Toc85450745"/>
      <w:r w:rsidRPr="002F1917">
        <w:rPr>
          <w:rFonts w:ascii="Calibri" w:hAnsi="Calibri" w:cs="Calibri"/>
          <w:sz w:val="26"/>
        </w:rPr>
        <w:lastRenderedPageBreak/>
        <w:t xml:space="preserve"> </w:t>
      </w:r>
      <w:bookmarkStart w:id="46" w:name="_Toc85792408"/>
      <w:r w:rsidR="00870C3F" w:rsidRPr="002F1917">
        <w:rPr>
          <w:rFonts w:ascii="Calibri" w:hAnsi="Calibri" w:cs="Calibri"/>
          <w:sz w:val="26"/>
        </w:rPr>
        <w:t>State and territory regulation of sports wagering</w:t>
      </w:r>
      <w:bookmarkEnd w:id="39"/>
      <w:bookmarkEnd w:id="40"/>
      <w:bookmarkEnd w:id="41"/>
      <w:bookmarkEnd w:id="42"/>
      <w:bookmarkEnd w:id="43"/>
      <w:bookmarkEnd w:id="44"/>
      <w:bookmarkEnd w:id="45"/>
      <w:bookmarkEnd w:id="46"/>
    </w:p>
    <w:p w14:paraId="0E4BE2B4" w14:textId="77777777" w:rsidR="00870C3F" w:rsidRPr="002F1917" w:rsidRDefault="00870C3F" w:rsidP="00F31724">
      <w:pPr>
        <w:pStyle w:val="Heading3"/>
        <w:rPr>
          <w:rFonts w:ascii="Calibri" w:hAnsi="Calibri" w:cs="Calibri"/>
          <w:sz w:val="20"/>
          <w:szCs w:val="28"/>
        </w:rPr>
      </w:pPr>
      <w:bookmarkStart w:id="47" w:name="_Toc85450746"/>
      <w:r w:rsidRPr="002F1917">
        <w:rPr>
          <w:rFonts w:ascii="Calibri" w:hAnsi="Calibri" w:cs="Calibri"/>
          <w:sz w:val="20"/>
          <w:szCs w:val="28"/>
        </w:rPr>
        <w:t>Implementation of the Sports Betting Operational Model</w:t>
      </w:r>
      <w:bookmarkEnd w:id="47"/>
    </w:p>
    <w:p w14:paraId="1044C752" w14:textId="77777777" w:rsidR="00870C3F" w:rsidRPr="002F1917" w:rsidRDefault="00870C3F" w:rsidP="00870C3F">
      <w:pPr>
        <w:pStyle w:val="BodyText"/>
        <w:rPr>
          <w:rFonts w:ascii="Calibri" w:hAnsi="Calibri" w:cs="Calibri"/>
        </w:rPr>
      </w:pPr>
      <w:r w:rsidRPr="002F1917">
        <w:rPr>
          <w:rFonts w:ascii="Calibri" w:hAnsi="Calibri" w:cs="Calibri"/>
        </w:rPr>
        <w:t xml:space="preserve">While all states and territories have regulatory regimes with respect to gambling and wagering, the extent to which each jurisdiction has enacted legislation dealing with sports wagering varies. Victoria and New South Wales have regulatory frameworks which most align to the Sports Betting Operational Model. </w:t>
      </w:r>
    </w:p>
    <w:p w14:paraId="399F438C" w14:textId="6D83C445" w:rsidR="00870C3F" w:rsidRPr="002F1917" w:rsidRDefault="00870C3F" w:rsidP="00870C3F">
      <w:pPr>
        <w:pStyle w:val="BodyText"/>
        <w:rPr>
          <w:rFonts w:ascii="Calibri" w:hAnsi="Calibri" w:cs="Calibri"/>
        </w:rPr>
      </w:pPr>
      <w:r w:rsidRPr="002F1917">
        <w:rPr>
          <w:rFonts w:ascii="Calibri" w:hAnsi="Calibri" w:cs="Calibri"/>
        </w:rPr>
        <w:t xml:space="preserve">The key characteristics of Sports Betting Operational Model implementation to the extent that they apply in Victoria and New South Wales are summarised in </w:t>
      </w:r>
      <w:r w:rsidRPr="002F1917">
        <w:rPr>
          <w:rFonts w:ascii="Calibri" w:hAnsi="Calibri" w:cs="Calibri"/>
        </w:rPr>
        <w:fldChar w:fldCharType="begin"/>
      </w:r>
      <w:r w:rsidRPr="002F1917">
        <w:rPr>
          <w:rFonts w:ascii="Calibri" w:hAnsi="Calibri" w:cs="Calibri"/>
        </w:rPr>
        <w:instrText xml:space="preserve"> REF _Ref41656715 \h </w:instrText>
      </w:r>
      <w:r w:rsidR="002F1917">
        <w:rPr>
          <w:rFonts w:ascii="Calibri" w:hAnsi="Calibri" w:cs="Calibri"/>
        </w:rPr>
        <w:instrText xml:space="preserve"> \* MERGEFORMAT </w:instrText>
      </w:r>
      <w:r w:rsidRPr="002F1917">
        <w:rPr>
          <w:rFonts w:ascii="Calibri" w:hAnsi="Calibri" w:cs="Calibri"/>
        </w:rPr>
      </w:r>
      <w:r w:rsidRPr="002F1917">
        <w:rPr>
          <w:rFonts w:ascii="Calibri" w:hAnsi="Calibri" w:cs="Calibri"/>
        </w:rPr>
        <w:fldChar w:fldCharType="separate"/>
      </w:r>
      <w:r w:rsidRPr="002F1917">
        <w:rPr>
          <w:rFonts w:ascii="Calibri" w:hAnsi="Calibri" w:cs="Calibri"/>
        </w:rPr>
        <w:t xml:space="preserve">Table </w:t>
      </w:r>
      <w:r w:rsidRPr="002F1917">
        <w:rPr>
          <w:rFonts w:ascii="Calibri" w:hAnsi="Calibri" w:cs="Calibri"/>
          <w:noProof/>
        </w:rPr>
        <w:t>1</w:t>
      </w:r>
      <w:r w:rsidRPr="002F1917">
        <w:rPr>
          <w:rFonts w:ascii="Calibri" w:hAnsi="Calibri" w:cs="Calibri"/>
        </w:rPr>
        <w:fldChar w:fldCharType="end"/>
      </w:r>
      <w:r w:rsidRPr="002F1917">
        <w:rPr>
          <w:rFonts w:ascii="Calibri" w:hAnsi="Calibri" w:cs="Calibri"/>
        </w:rPr>
        <w:t xml:space="preserve">. This table also presents Northern Territory and South Australia for comparison. </w:t>
      </w:r>
      <w:bookmarkStart w:id="48" w:name="_Ref41656715"/>
    </w:p>
    <w:p w14:paraId="0FE9CEB5" w14:textId="77777777" w:rsidR="00B103B8" w:rsidRPr="002F1917" w:rsidRDefault="00B103B8" w:rsidP="00870C3F">
      <w:pPr>
        <w:pStyle w:val="BodyText"/>
        <w:rPr>
          <w:rFonts w:ascii="Calibri" w:hAnsi="Calibri" w:cs="Calibri"/>
        </w:rPr>
      </w:pPr>
    </w:p>
    <w:p w14:paraId="2DEF1286" w14:textId="77777777" w:rsidR="00870C3F" w:rsidRPr="002F1917" w:rsidRDefault="00870C3F" w:rsidP="00870C3F">
      <w:pPr>
        <w:pStyle w:val="BodyText"/>
        <w:rPr>
          <w:rFonts w:ascii="Calibri" w:hAnsi="Calibri" w:cs="Calibri"/>
        </w:rPr>
      </w:pPr>
      <w:bookmarkStart w:id="49" w:name="_Ref80092022"/>
      <w:r w:rsidRPr="002F1917">
        <w:rPr>
          <w:rFonts w:ascii="Calibri" w:hAnsi="Calibri" w:cs="Calibri"/>
        </w:rPr>
        <w:t xml:space="preserve">Table </w:t>
      </w:r>
      <w:r w:rsidR="00437FE2" w:rsidRPr="002F1917">
        <w:rPr>
          <w:rFonts w:ascii="Calibri" w:hAnsi="Calibri" w:cs="Calibri"/>
        </w:rPr>
        <w:fldChar w:fldCharType="begin"/>
      </w:r>
      <w:r w:rsidR="00437FE2" w:rsidRPr="002F1917">
        <w:rPr>
          <w:rFonts w:ascii="Calibri" w:hAnsi="Calibri" w:cs="Calibri"/>
        </w:rPr>
        <w:instrText xml:space="preserve"> SEQ Table \* ARABIC </w:instrText>
      </w:r>
      <w:r w:rsidR="00437FE2" w:rsidRPr="002F1917">
        <w:rPr>
          <w:rFonts w:ascii="Calibri" w:hAnsi="Calibri" w:cs="Calibri"/>
        </w:rPr>
        <w:fldChar w:fldCharType="separate"/>
      </w:r>
      <w:r w:rsidRPr="002F1917">
        <w:rPr>
          <w:rFonts w:ascii="Calibri" w:hAnsi="Calibri" w:cs="Calibri"/>
          <w:noProof/>
        </w:rPr>
        <w:t>1</w:t>
      </w:r>
      <w:r w:rsidR="00437FE2" w:rsidRPr="002F1917">
        <w:rPr>
          <w:rFonts w:ascii="Calibri" w:hAnsi="Calibri" w:cs="Calibri"/>
          <w:noProof/>
        </w:rPr>
        <w:fldChar w:fldCharType="end"/>
      </w:r>
      <w:bookmarkEnd w:id="48"/>
      <w:bookmarkEnd w:id="49"/>
      <w:r w:rsidRPr="002F1917">
        <w:rPr>
          <w:rFonts w:ascii="Calibri" w:hAnsi="Calibri" w:cs="Calibri"/>
          <w:b/>
        </w:rPr>
        <w:t>:</w:t>
      </w:r>
      <w:r w:rsidRPr="002F1917">
        <w:rPr>
          <w:rFonts w:ascii="Calibri" w:hAnsi="Calibri" w:cs="Calibri"/>
        </w:rPr>
        <w:t xml:space="preserve"> Summary of Sports Betting Operational Model implementation</w:t>
      </w:r>
    </w:p>
    <w:tbl>
      <w:tblPr>
        <w:tblStyle w:val="FETableStyle"/>
        <w:tblW w:w="5000" w:type="pct"/>
        <w:tblInd w:w="0" w:type="dxa"/>
        <w:tblLook w:val="0420" w:firstRow="1" w:lastRow="0" w:firstColumn="0" w:lastColumn="0" w:noHBand="0" w:noVBand="1"/>
      </w:tblPr>
      <w:tblGrid>
        <w:gridCol w:w="1760"/>
        <w:gridCol w:w="1793"/>
        <w:gridCol w:w="1909"/>
        <w:gridCol w:w="1794"/>
        <w:gridCol w:w="1808"/>
      </w:tblGrid>
      <w:tr w:rsidR="00870C3F" w:rsidRPr="002F1917" w14:paraId="487288D4" w14:textId="77777777" w:rsidTr="00870C3F">
        <w:trPr>
          <w:cnfStyle w:val="100000000000" w:firstRow="1" w:lastRow="0" w:firstColumn="0" w:lastColumn="0" w:oddVBand="0" w:evenVBand="0" w:oddHBand="0" w:evenHBand="0" w:firstRowFirstColumn="0" w:firstRowLastColumn="0" w:lastRowFirstColumn="0" w:lastRowLastColumn="0"/>
          <w:cantSplit/>
          <w:tblHeader/>
        </w:trPr>
        <w:tc>
          <w:tcPr>
            <w:tcW w:w="1760" w:type="dxa"/>
            <w:hideMark/>
          </w:tcPr>
          <w:p w14:paraId="47A66F27" w14:textId="77777777" w:rsidR="00870C3F" w:rsidRPr="00C434A1" w:rsidRDefault="00870C3F">
            <w:pPr>
              <w:pStyle w:val="TableHeading"/>
              <w:spacing w:after="0"/>
              <w:rPr>
                <w:color w:val="000000" w:themeColor="text1"/>
              </w:rPr>
            </w:pPr>
            <w:r w:rsidRPr="00C434A1">
              <w:rPr>
                <w:color w:val="000000" w:themeColor="text1"/>
              </w:rPr>
              <w:t>Key information</w:t>
            </w:r>
          </w:p>
        </w:tc>
        <w:tc>
          <w:tcPr>
            <w:tcW w:w="1793" w:type="dxa"/>
            <w:hideMark/>
          </w:tcPr>
          <w:p w14:paraId="57030827" w14:textId="77777777" w:rsidR="00870C3F" w:rsidRPr="00C434A1" w:rsidRDefault="00870C3F">
            <w:pPr>
              <w:pStyle w:val="TableHeading"/>
              <w:spacing w:after="0"/>
              <w:rPr>
                <w:color w:val="000000" w:themeColor="text1"/>
              </w:rPr>
            </w:pPr>
            <w:r w:rsidRPr="00C434A1">
              <w:rPr>
                <w:color w:val="000000" w:themeColor="text1"/>
              </w:rPr>
              <w:t>VIC</w:t>
            </w:r>
          </w:p>
        </w:tc>
        <w:tc>
          <w:tcPr>
            <w:tcW w:w="1909" w:type="dxa"/>
            <w:hideMark/>
          </w:tcPr>
          <w:p w14:paraId="2A5CA9F8" w14:textId="77777777" w:rsidR="00870C3F" w:rsidRPr="00C434A1" w:rsidRDefault="00870C3F">
            <w:pPr>
              <w:pStyle w:val="TableHeading"/>
              <w:spacing w:after="0"/>
              <w:rPr>
                <w:color w:val="000000" w:themeColor="text1"/>
              </w:rPr>
            </w:pPr>
            <w:r w:rsidRPr="00C434A1">
              <w:rPr>
                <w:color w:val="000000" w:themeColor="text1"/>
              </w:rPr>
              <w:t>NSW</w:t>
            </w:r>
          </w:p>
        </w:tc>
        <w:tc>
          <w:tcPr>
            <w:tcW w:w="1794" w:type="dxa"/>
            <w:hideMark/>
          </w:tcPr>
          <w:p w14:paraId="3FF154DA" w14:textId="77777777" w:rsidR="00870C3F" w:rsidRPr="00C434A1" w:rsidRDefault="00870C3F">
            <w:pPr>
              <w:pStyle w:val="TableHeading"/>
              <w:spacing w:after="0"/>
              <w:rPr>
                <w:color w:val="000000" w:themeColor="text1"/>
              </w:rPr>
            </w:pPr>
            <w:r w:rsidRPr="00C434A1">
              <w:rPr>
                <w:color w:val="000000" w:themeColor="text1"/>
              </w:rPr>
              <w:t>NT</w:t>
            </w:r>
          </w:p>
        </w:tc>
        <w:tc>
          <w:tcPr>
            <w:tcW w:w="1808" w:type="dxa"/>
            <w:hideMark/>
          </w:tcPr>
          <w:p w14:paraId="28510D28" w14:textId="77777777" w:rsidR="00870C3F" w:rsidRPr="00C434A1" w:rsidRDefault="00870C3F">
            <w:pPr>
              <w:pStyle w:val="TableHeading"/>
              <w:spacing w:after="0"/>
              <w:rPr>
                <w:color w:val="000000" w:themeColor="text1"/>
              </w:rPr>
            </w:pPr>
            <w:r w:rsidRPr="00C434A1">
              <w:rPr>
                <w:color w:val="000000" w:themeColor="text1"/>
              </w:rPr>
              <w:t>SA</w:t>
            </w:r>
          </w:p>
        </w:tc>
      </w:tr>
      <w:tr w:rsidR="00870C3F" w:rsidRPr="002F1917" w14:paraId="46FCA16A" w14:textId="77777777" w:rsidTr="00870C3F">
        <w:trPr>
          <w:cantSplit/>
        </w:trPr>
        <w:tc>
          <w:tcPr>
            <w:tcW w:w="1760" w:type="dxa"/>
            <w:tcBorders>
              <w:top w:val="single" w:sz="4" w:space="0" w:color="FFFFFF" w:themeColor="background1"/>
              <w:left w:val="nil"/>
              <w:bottom w:val="single" w:sz="4" w:space="0" w:color="FFFFFF" w:themeColor="background1"/>
              <w:right w:val="nil"/>
            </w:tcBorders>
            <w:hideMark/>
          </w:tcPr>
          <w:p w14:paraId="6CF809ED"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Legislation to implement SBOM</w:t>
            </w:r>
          </w:p>
        </w:tc>
        <w:tc>
          <w:tcPr>
            <w:tcW w:w="1793" w:type="dxa"/>
            <w:tcBorders>
              <w:top w:val="single" w:sz="4" w:space="0" w:color="FFFFFF" w:themeColor="background1"/>
              <w:left w:val="nil"/>
              <w:bottom w:val="single" w:sz="4" w:space="0" w:color="FFFFFF" w:themeColor="background1"/>
              <w:right w:val="nil"/>
            </w:tcBorders>
            <w:hideMark/>
          </w:tcPr>
          <w:p w14:paraId="02A1ABEF"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Yes</w:t>
            </w:r>
          </w:p>
        </w:tc>
        <w:tc>
          <w:tcPr>
            <w:tcW w:w="1909" w:type="dxa"/>
            <w:tcBorders>
              <w:top w:val="single" w:sz="4" w:space="0" w:color="FFFFFF" w:themeColor="background1"/>
              <w:left w:val="nil"/>
              <w:bottom w:val="single" w:sz="4" w:space="0" w:color="FFFFFF" w:themeColor="background1"/>
              <w:right w:val="nil"/>
            </w:tcBorders>
            <w:hideMark/>
          </w:tcPr>
          <w:p w14:paraId="0F4D936B"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Yes</w:t>
            </w:r>
          </w:p>
        </w:tc>
        <w:tc>
          <w:tcPr>
            <w:tcW w:w="1794" w:type="dxa"/>
            <w:tcBorders>
              <w:top w:val="single" w:sz="4" w:space="0" w:color="FFFFFF" w:themeColor="background1"/>
              <w:left w:val="nil"/>
              <w:bottom w:val="single" w:sz="4" w:space="0" w:color="FFFFFF" w:themeColor="background1"/>
              <w:right w:val="nil"/>
            </w:tcBorders>
            <w:hideMark/>
          </w:tcPr>
          <w:p w14:paraId="2E1D2E11"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No, depends on licensing regime for online betting</w:t>
            </w:r>
          </w:p>
        </w:tc>
        <w:tc>
          <w:tcPr>
            <w:tcW w:w="1808" w:type="dxa"/>
            <w:tcBorders>
              <w:top w:val="single" w:sz="4" w:space="0" w:color="FFFFFF" w:themeColor="background1"/>
              <w:left w:val="nil"/>
              <w:bottom w:val="single" w:sz="4" w:space="0" w:color="FFFFFF" w:themeColor="background1"/>
              <w:right w:val="nil"/>
            </w:tcBorders>
            <w:hideMark/>
          </w:tcPr>
          <w:p w14:paraId="307D0384" w14:textId="77777777" w:rsidR="00870C3F" w:rsidRPr="002F1917" w:rsidRDefault="00870C3F">
            <w:pPr>
              <w:pStyle w:val="TableText"/>
              <w:spacing w:after="0"/>
              <w:rPr>
                <w:rFonts w:ascii="Calibri" w:hAnsi="Calibri" w:cs="Calibri"/>
                <w:sz w:val="18"/>
                <w:szCs w:val="18"/>
                <w:highlight w:val="yellow"/>
              </w:rPr>
            </w:pPr>
            <w:r w:rsidRPr="002F1917">
              <w:rPr>
                <w:rFonts w:ascii="Calibri" w:hAnsi="Calibri" w:cs="Calibri"/>
                <w:sz w:val="18"/>
                <w:szCs w:val="18"/>
              </w:rPr>
              <w:t xml:space="preserve">No, depends on licensing regime </w:t>
            </w:r>
          </w:p>
        </w:tc>
      </w:tr>
      <w:tr w:rsidR="00870C3F" w:rsidRPr="002F1917" w14:paraId="34D5B3C0" w14:textId="77777777" w:rsidTr="00870C3F">
        <w:trPr>
          <w:cnfStyle w:val="000000010000" w:firstRow="0" w:lastRow="0" w:firstColumn="0" w:lastColumn="0" w:oddVBand="0" w:evenVBand="0" w:oddHBand="0" w:evenHBand="1" w:firstRowFirstColumn="0" w:firstRowLastColumn="0" w:lastRowFirstColumn="0" w:lastRowLastColumn="0"/>
          <w:cantSplit/>
        </w:trPr>
        <w:tc>
          <w:tcPr>
            <w:tcW w:w="1760" w:type="dxa"/>
            <w:tcBorders>
              <w:top w:val="single" w:sz="4" w:space="0" w:color="FFFFFF" w:themeColor="background1"/>
              <w:left w:val="nil"/>
              <w:bottom w:val="single" w:sz="4" w:space="0" w:color="FFFFFF" w:themeColor="background1"/>
              <w:right w:val="nil"/>
            </w:tcBorders>
            <w:hideMark/>
          </w:tcPr>
          <w:p w14:paraId="64C93DC4"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Relevant document</w:t>
            </w:r>
          </w:p>
        </w:tc>
        <w:tc>
          <w:tcPr>
            <w:tcW w:w="1793" w:type="dxa"/>
            <w:tcBorders>
              <w:top w:val="single" w:sz="4" w:space="0" w:color="FFFFFF" w:themeColor="background1"/>
              <w:left w:val="nil"/>
              <w:bottom w:val="single" w:sz="4" w:space="0" w:color="FFFFFF" w:themeColor="background1"/>
              <w:right w:val="nil"/>
            </w:tcBorders>
            <w:hideMark/>
          </w:tcPr>
          <w:p w14:paraId="17537560"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Gambling Regulation Act 2003 (VIC)</w:t>
            </w:r>
          </w:p>
        </w:tc>
        <w:tc>
          <w:tcPr>
            <w:tcW w:w="1909" w:type="dxa"/>
            <w:tcBorders>
              <w:top w:val="single" w:sz="4" w:space="0" w:color="FFFFFF" w:themeColor="background1"/>
              <w:left w:val="nil"/>
              <w:bottom w:val="single" w:sz="4" w:space="0" w:color="FFFFFF" w:themeColor="background1"/>
              <w:right w:val="nil"/>
            </w:tcBorders>
            <w:hideMark/>
          </w:tcPr>
          <w:p w14:paraId="77CAB04C"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Betting and Racing Act 1998 (NSW); Betting and Racing Regulation 2012 (NSW)</w:t>
            </w:r>
          </w:p>
        </w:tc>
        <w:tc>
          <w:tcPr>
            <w:tcW w:w="1794" w:type="dxa"/>
            <w:tcBorders>
              <w:top w:val="single" w:sz="4" w:space="0" w:color="FFFFFF" w:themeColor="background1"/>
              <w:left w:val="nil"/>
              <w:bottom w:val="single" w:sz="4" w:space="0" w:color="FFFFFF" w:themeColor="background1"/>
              <w:right w:val="nil"/>
            </w:tcBorders>
            <w:hideMark/>
          </w:tcPr>
          <w:p w14:paraId="35DA5E4D"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N.A.</w:t>
            </w:r>
          </w:p>
        </w:tc>
        <w:tc>
          <w:tcPr>
            <w:tcW w:w="1808" w:type="dxa"/>
            <w:tcBorders>
              <w:top w:val="single" w:sz="4" w:space="0" w:color="FFFFFF" w:themeColor="background1"/>
              <w:left w:val="nil"/>
              <w:bottom w:val="single" w:sz="4" w:space="0" w:color="FFFFFF" w:themeColor="background1"/>
              <w:right w:val="nil"/>
            </w:tcBorders>
            <w:hideMark/>
          </w:tcPr>
          <w:p w14:paraId="15609235"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N.A.</w:t>
            </w:r>
          </w:p>
        </w:tc>
      </w:tr>
      <w:tr w:rsidR="00870C3F" w:rsidRPr="002F1917" w14:paraId="62879C9E" w14:textId="77777777" w:rsidTr="00870C3F">
        <w:trPr>
          <w:cantSplit/>
        </w:trPr>
        <w:tc>
          <w:tcPr>
            <w:tcW w:w="1760" w:type="dxa"/>
            <w:tcBorders>
              <w:top w:val="single" w:sz="4" w:space="0" w:color="FFFFFF" w:themeColor="background1"/>
              <w:left w:val="nil"/>
              <w:bottom w:val="single" w:sz="4" w:space="0" w:color="FFFFFF" w:themeColor="background1"/>
              <w:right w:val="nil"/>
            </w:tcBorders>
            <w:hideMark/>
          </w:tcPr>
          <w:p w14:paraId="055DA4F2"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Relevant regulator</w:t>
            </w:r>
          </w:p>
        </w:tc>
        <w:tc>
          <w:tcPr>
            <w:tcW w:w="1793" w:type="dxa"/>
            <w:tcBorders>
              <w:top w:val="single" w:sz="4" w:space="0" w:color="FFFFFF" w:themeColor="background1"/>
              <w:left w:val="nil"/>
              <w:bottom w:val="single" w:sz="4" w:space="0" w:color="FFFFFF" w:themeColor="background1"/>
              <w:right w:val="nil"/>
            </w:tcBorders>
            <w:vAlign w:val="top"/>
            <w:hideMark/>
          </w:tcPr>
          <w:p w14:paraId="748D835F"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Victorian Commission for Liquor and Gambling Regulation</w:t>
            </w:r>
          </w:p>
        </w:tc>
        <w:tc>
          <w:tcPr>
            <w:tcW w:w="1909" w:type="dxa"/>
            <w:tcBorders>
              <w:top w:val="single" w:sz="4" w:space="0" w:color="FFFFFF" w:themeColor="background1"/>
              <w:left w:val="nil"/>
              <w:bottom w:val="single" w:sz="4" w:space="0" w:color="FFFFFF" w:themeColor="background1"/>
              <w:right w:val="nil"/>
            </w:tcBorders>
            <w:vAlign w:val="top"/>
            <w:hideMark/>
          </w:tcPr>
          <w:p w14:paraId="73F5BAD6"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Liquor and Gaming New South Wales</w:t>
            </w:r>
          </w:p>
        </w:tc>
        <w:tc>
          <w:tcPr>
            <w:tcW w:w="1794" w:type="dxa"/>
            <w:tcBorders>
              <w:top w:val="single" w:sz="4" w:space="0" w:color="FFFFFF" w:themeColor="background1"/>
              <w:left w:val="nil"/>
              <w:bottom w:val="single" w:sz="4" w:space="0" w:color="FFFFFF" w:themeColor="background1"/>
              <w:right w:val="nil"/>
            </w:tcBorders>
            <w:vAlign w:val="top"/>
            <w:hideMark/>
          </w:tcPr>
          <w:p w14:paraId="350D902A"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Northern Territory Racing Commission</w:t>
            </w:r>
          </w:p>
        </w:tc>
        <w:tc>
          <w:tcPr>
            <w:tcW w:w="1808" w:type="dxa"/>
            <w:tcBorders>
              <w:top w:val="single" w:sz="4" w:space="0" w:color="FFFFFF" w:themeColor="background1"/>
              <w:left w:val="nil"/>
              <w:bottom w:val="single" w:sz="4" w:space="0" w:color="FFFFFF" w:themeColor="background1"/>
              <w:right w:val="nil"/>
            </w:tcBorders>
            <w:vAlign w:val="top"/>
            <w:hideMark/>
          </w:tcPr>
          <w:p w14:paraId="64606ECD"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Consumer and Business Services</w:t>
            </w:r>
          </w:p>
        </w:tc>
      </w:tr>
      <w:tr w:rsidR="00870C3F" w:rsidRPr="002F1917" w14:paraId="4657C1EA" w14:textId="77777777" w:rsidTr="00870C3F">
        <w:trPr>
          <w:cnfStyle w:val="000000010000" w:firstRow="0" w:lastRow="0" w:firstColumn="0" w:lastColumn="0" w:oddVBand="0" w:evenVBand="0" w:oddHBand="0" w:evenHBand="1" w:firstRowFirstColumn="0" w:firstRowLastColumn="0" w:lastRowFirstColumn="0" w:lastRowLastColumn="0"/>
          <w:cantSplit/>
        </w:trPr>
        <w:tc>
          <w:tcPr>
            <w:tcW w:w="1760" w:type="dxa"/>
            <w:tcBorders>
              <w:top w:val="single" w:sz="4" w:space="0" w:color="FFFFFF" w:themeColor="background1"/>
              <w:left w:val="nil"/>
              <w:bottom w:val="single" w:sz="4" w:space="0" w:color="FFFFFF" w:themeColor="background1"/>
              <w:right w:val="nil"/>
            </w:tcBorders>
            <w:hideMark/>
          </w:tcPr>
          <w:p w14:paraId="079033B1"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Requirements on National Sporting Organisations to be sports controller</w:t>
            </w:r>
          </w:p>
        </w:tc>
        <w:tc>
          <w:tcPr>
            <w:tcW w:w="1793" w:type="dxa"/>
            <w:tcBorders>
              <w:top w:val="single" w:sz="4" w:space="0" w:color="FFFFFF" w:themeColor="background1"/>
              <w:left w:val="nil"/>
              <w:bottom w:val="single" w:sz="4" w:space="0" w:color="FFFFFF" w:themeColor="background1"/>
              <w:right w:val="nil"/>
            </w:tcBorders>
            <w:hideMark/>
          </w:tcPr>
          <w:p w14:paraId="421BBC0E"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Yes, including data sharing</w:t>
            </w:r>
          </w:p>
        </w:tc>
        <w:tc>
          <w:tcPr>
            <w:tcW w:w="1909" w:type="dxa"/>
            <w:tcBorders>
              <w:top w:val="single" w:sz="4" w:space="0" w:color="FFFFFF" w:themeColor="background1"/>
              <w:left w:val="nil"/>
              <w:bottom w:val="single" w:sz="4" w:space="0" w:color="FFFFFF" w:themeColor="background1"/>
              <w:right w:val="nil"/>
            </w:tcBorders>
            <w:hideMark/>
          </w:tcPr>
          <w:p w14:paraId="3D0A4C1D"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Yes, including data sharing and measures to prevent, investigate and prosecute</w:t>
            </w:r>
          </w:p>
        </w:tc>
        <w:tc>
          <w:tcPr>
            <w:tcW w:w="1794" w:type="dxa"/>
            <w:tcBorders>
              <w:top w:val="single" w:sz="4" w:space="0" w:color="FFFFFF" w:themeColor="background1"/>
              <w:left w:val="nil"/>
              <w:bottom w:val="single" w:sz="4" w:space="0" w:color="FFFFFF" w:themeColor="background1"/>
              <w:right w:val="nil"/>
            </w:tcBorders>
            <w:hideMark/>
          </w:tcPr>
          <w:p w14:paraId="4F16C502"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No</w:t>
            </w:r>
          </w:p>
        </w:tc>
        <w:tc>
          <w:tcPr>
            <w:tcW w:w="1808" w:type="dxa"/>
            <w:tcBorders>
              <w:top w:val="single" w:sz="4" w:space="0" w:color="FFFFFF" w:themeColor="background1"/>
              <w:left w:val="nil"/>
              <w:bottom w:val="single" w:sz="4" w:space="0" w:color="FFFFFF" w:themeColor="background1"/>
              <w:right w:val="nil"/>
            </w:tcBorders>
            <w:hideMark/>
          </w:tcPr>
          <w:p w14:paraId="3790BAB7"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No</w:t>
            </w:r>
          </w:p>
        </w:tc>
      </w:tr>
      <w:tr w:rsidR="00870C3F" w:rsidRPr="002F1917" w14:paraId="77D09A71" w14:textId="77777777" w:rsidTr="00870C3F">
        <w:trPr>
          <w:cantSplit/>
        </w:trPr>
        <w:tc>
          <w:tcPr>
            <w:tcW w:w="1760" w:type="dxa"/>
            <w:tcBorders>
              <w:top w:val="single" w:sz="4" w:space="0" w:color="FFFFFF" w:themeColor="background1"/>
              <w:left w:val="nil"/>
              <w:bottom w:val="single" w:sz="4" w:space="0" w:color="FFFFFF" w:themeColor="background1"/>
              <w:right w:val="nil"/>
            </w:tcBorders>
            <w:hideMark/>
          </w:tcPr>
          <w:p w14:paraId="2FB71A21"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Requirements on licensed wagering providers</w:t>
            </w:r>
          </w:p>
        </w:tc>
        <w:tc>
          <w:tcPr>
            <w:tcW w:w="1793" w:type="dxa"/>
            <w:tcBorders>
              <w:top w:val="single" w:sz="4" w:space="0" w:color="FFFFFF" w:themeColor="background1"/>
              <w:left w:val="nil"/>
              <w:bottom w:val="single" w:sz="4" w:space="0" w:color="FFFFFF" w:themeColor="background1"/>
              <w:right w:val="nil"/>
            </w:tcBorders>
            <w:hideMark/>
          </w:tcPr>
          <w:p w14:paraId="1E7241F3"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Only allowed to offer sports events declared by VIC regulator</w:t>
            </w:r>
          </w:p>
          <w:p w14:paraId="2058D894"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For sports events wholly or partially held in VIC and declared by VIC regulator: required to enter into product agreements with sports controllers</w:t>
            </w:r>
          </w:p>
        </w:tc>
        <w:tc>
          <w:tcPr>
            <w:tcW w:w="1909" w:type="dxa"/>
            <w:tcBorders>
              <w:top w:val="single" w:sz="4" w:space="0" w:color="FFFFFF" w:themeColor="background1"/>
              <w:left w:val="nil"/>
              <w:bottom w:val="single" w:sz="4" w:space="0" w:color="FFFFFF" w:themeColor="background1"/>
              <w:right w:val="nil"/>
            </w:tcBorders>
            <w:hideMark/>
          </w:tcPr>
          <w:p w14:paraId="0B795C51"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 xml:space="preserve">Required to seek approval from NSW regulator to offer any contingencies </w:t>
            </w:r>
          </w:p>
          <w:p w14:paraId="49D74BE5"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Required to enter into product agreements with sports controllers</w:t>
            </w:r>
          </w:p>
        </w:tc>
        <w:tc>
          <w:tcPr>
            <w:tcW w:w="1794" w:type="dxa"/>
            <w:tcBorders>
              <w:top w:val="single" w:sz="4" w:space="0" w:color="FFFFFF" w:themeColor="background1"/>
              <w:left w:val="nil"/>
              <w:bottom w:val="single" w:sz="4" w:space="0" w:color="FFFFFF" w:themeColor="background1"/>
              <w:right w:val="nil"/>
            </w:tcBorders>
            <w:hideMark/>
          </w:tcPr>
          <w:p w14:paraId="63875A12"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Via online gambling licence</w:t>
            </w:r>
          </w:p>
        </w:tc>
        <w:tc>
          <w:tcPr>
            <w:tcW w:w="1808" w:type="dxa"/>
            <w:tcBorders>
              <w:top w:val="single" w:sz="4" w:space="0" w:color="FFFFFF" w:themeColor="background1"/>
              <w:left w:val="nil"/>
              <w:bottom w:val="single" w:sz="4" w:space="0" w:color="FFFFFF" w:themeColor="background1"/>
              <w:right w:val="nil"/>
            </w:tcBorders>
            <w:hideMark/>
          </w:tcPr>
          <w:p w14:paraId="5A974220"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Via licence for SA based wagering providers. Through recognition of interstate license for an Interstate Betting Operator</w:t>
            </w:r>
          </w:p>
        </w:tc>
      </w:tr>
      <w:tr w:rsidR="00870C3F" w:rsidRPr="002F1917" w14:paraId="7D0EFC39" w14:textId="77777777" w:rsidTr="00870C3F">
        <w:trPr>
          <w:cnfStyle w:val="000000010000" w:firstRow="0" w:lastRow="0" w:firstColumn="0" w:lastColumn="0" w:oddVBand="0" w:evenVBand="0" w:oddHBand="0" w:evenHBand="1" w:firstRowFirstColumn="0" w:firstRowLastColumn="0" w:lastRowFirstColumn="0" w:lastRowLastColumn="0"/>
          <w:cantSplit/>
        </w:trPr>
        <w:tc>
          <w:tcPr>
            <w:tcW w:w="1760" w:type="dxa"/>
            <w:tcBorders>
              <w:top w:val="single" w:sz="4" w:space="0" w:color="FFFFFF" w:themeColor="background1"/>
              <w:left w:val="nil"/>
              <w:bottom w:val="single" w:sz="4" w:space="0" w:color="FFFFFF" w:themeColor="background1"/>
              <w:right w:val="nil"/>
            </w:tcBorders>
            <w:hideMark/>
          </w:tcPr>
          <w:p w14:paraId="18C1D292"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Requirements on inter-state wagering providers</w:t>
            </w:r>
          </w:p>
        </w:tc>
        <w:tc>
          <w:tcPr>
            <w:tcW w:w="1793" w:type="dxa"/>
            <w:tcBorders>
              <w:top w:val="single" w:sz="4" w:space="0" w:color="FFFFFF" w:themeColor="background1"/>
              <w:left w:val="nil"/>
              <w:bottom w:val="single" w:sz="4" w:space="0" w:color="FFFFFF" w:themeColor="background1"/>
              <w:right w:val="nil"/>
            </w:tcBorders>
            <w:hideMark/>
          </w:tcPr>
          <w:p w14:paraId="5EB7E5B5"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For sports events wholly or partially held in VIC and declared by VIC regulator: required to enter into product agreements with sports controllers</w:t>
            </w:r>
          </w:p>
        </w:tc>
        <w:tc>
          <w:tcPr>
            <w:tcW w:w="1909" w:type="dxa"/>
            <w:tcBorders>
              <w:top w:val="single" w:sz="4" w:space="0" w:color="FFFFFF" w:themeColor="background1"/>
              <w:left w:val="nil"/>
              <w:bottom w:val="single" w:sz="4" w:space="0" w:color="FFFFFF" w:themeColor="background1"/>
              <w:right w:val="nil"/>
            </w:tcBorders>
            <w:hideMark/>
          </w:tcPr>
          <w:p w14:paraId="4FF43336"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For sports events in NSW: required to enter into product agreements with sports controllers</w:t>
            </w:r>
          </w:p>
        </w:tc>
        <w:tc>
          <w:tcPr>
            <w:tcW w:w="1794" w:type="dxa"/>
            <w:tcBorders>
              <w:top w:val="single" w:sz="4" w:space="0" w:color="FFFFFF" w:themeColor="background1"/>
              <w:left w:val="nil"/>
              <w:bottom w:val="single" w:sz="4" w:space="0" w:color="FFFFFF" w:themeColor="background1"/>
              <w:right w:val="nil"/>
            </w:tcBorders>
            <w:hideMark/>
          </w:tcPr>
          <w:p w14:paraId="665D6C04"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No</w:t>
            </w:r>
          </w:p>
        </w:tc>
        <w:tc>
          <w:tcPr>
            <w:tcW w:w="1808" w:type="dxa"/>
            <w:tcBorders>
              <w:top w:val="single" w:sz="4" w:space="0" w:color="FFFFFF" w:themeColor="background1"/>
              <w:left w:val="nil"/>
              <w:bottom w:val="single" w:sz="4" w:space="0" w:color="FFFFFF" w:themeColor="background1"/>
              <w:right w:val="nil"/>
            </w:tcBorders>
            <w:hideMark/>
          </w:tcPr>
          <w:p w14:paraId="2905C7A5"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Require authorisation by SA regulator</w:t>
            </w:r>
          </w:p>
          <w:p w14:paraId="5DC8D7E3"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Only allowed to offer sports events determined by SA regulator</w:t>
            </w:r>
          </w:p>
        </w:tc>
      </w:tr>
      <w:tr w:rsidR="00870C3F" w:rsidRPr="002F1917" w14:paraId="0128DE42" w14:textId="77777777" w:rsidTr="00870C3F">
        <w:trPr>
          <w:cantSplit/>
        </w:trPr>
        <w:tc>
          <w:tcPr>
            <w:tcW w:w="1760" w:type="dxa"/>
            <w:tcBorders>
              <w:top w:val="single" w:sz="4" w:space="0" w:color="FFFFFF" w:themeColor="background1"/>
              <w:left w:val="nil"/>
              <w:bottom w:val="single" w:sz="4" w:space="0" w:color="FFFFFF" w:themeColor="background1"/>
              <w:right w:val="nil"/>
            </w:tcBorders>
            <w:hideMark/>
          </w:tcPr>
          <w:p w14:paraId="42EF11F7"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lastRenderedPageBreak/>
              <w:t>Required provisions in product agreements</w:t>
            </w:r>
          </w:p>
        </w:tc>
        <w:tc>
          <w:tcPr>
            <w:tcW w:w="1793" w:type="dxa"/>
            <w:tcBorders>
              <w:top w:val="single" w:sz="4" w:space="0" w:color="FFFFFF" w:themeColor="background1"/>
              <w:left w:val="nil"/>
              <w:bottom w:val="single" w:sz="4" w:space="0" w:color="FFFFFF" w:themeColor="background1"/>
              <w:right w:val="nil"/>
            </w:tcBorders>
            <w:hideMark/>
          </w:tcPr>
          <w:p w14:paraId="689102ED"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Data sharing; fee disclosure</w:t>
            </w:r>
          </w:p>
        </w:tc>
        <w:tc>
          <w:tcPr>
            <w:tcW w:w="1909" w:type="dxa"/>
            <w:tcBorders>
              <w:top w:val="single" w:sz="4" w:space="0" w:color="FFFFFF" w:themeColor="background1"/>
              <w:left w:val="nil"/>
              <w:bottom w:val="single" w:sz="4" w:space="0" w:color="FFFFFF" w:themeColor="background1"/>
              <w:right w:val="nil"/>
            </w:tcBorders>
            <w:hideMark/>
          </w:tcPr>
          <w:p w14:paraId="1E2A21E8"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 xml:space="preserve">Data </w:t>
            </w:r>
            <w:proofErr w:type="gramStart"/>
            <w:r w:rsidRPr="002F1917">
              <w:rPr>
                <w:rFonts w:ascii="Calibri" w:hAnsi="Calibri" w:cs="Calibri"/>
                <w:sz w:val="18"/>
                <w:szCs w:val="18"/>
              </w:rPr>
              <w:t>sharing;</w:t>
            </w:r>
            <w:proofErr w:type="gramEnd"/>
            <w:r w:rsidRPr="002F1917">
              <w:rPr>
                <w:rFonts w:ascii="Calibri" w:hAnsi="Calibri" w:cs="Calibri"/>
                <w:sz w:val="18"/>
                <w:szCs w:val="18"/>
              </w:rPr>
              <w:t xml:space="preserve"> measures to prevent, investigate and prosecute; funding of sports controllers</w:t>
            </w:r>
          </w:p>
        </w:tc>
        <w:tc>
          <w:tcPr>
            <w:tcW w:w="1794" w:type="dxa"/>
            <w:tcBorders>
              <w:top w:val="single" w:sz="4" w:space="0" w:color="FFFFFF" w:themeColor="background1"/>
              <w:left w:val="nil"/>
              <w:bottom w:val="single" w:sz="4" w:space="0" w:color="FFFFFF" w:themeColor="background1"/>
              <w:right w:val="nil"/>
            </w:tcBorders>
            <w:hideMark/>
          </w:tcPr>
          <w:p w14:paraId="516372A9"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N.A.</w:t>
            </w:r>
          </w:p>
        </w:tc>
        <w:tc>
          <w:tcPr>
            <w:tcW w:w="1808" w:type="dxa"/>
            <w:tcBorders>
              <w:top w:val="single" w:sz="4" w:space="0" w:color="FFFFFF" w:themeColor="background1"/>
              <w:left w:val="nil"/>
              <w:bottom w:val="single" w:sz="4" w:space="0" w:color="FFFFFF" w:themeColor="background1"/>
              <w:right w:val="nil"/>
            </w:tcBorders>
            <w:hideMark/>
          </w:tcPr>
          <w:p w14:paraId="6F328BC4"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N.A.</w:t>
            </w:r>
          </w:p>
        </w:tc>
      </w:tr>
      <w:tr w:rsidR="00870C3F" w:rsidRPr="002F1917" w14:paraId="760AAA30" w14:textId="77777777" w:rsidTr="00870C3F">
        <w:trPr>
          <w:cnfStyle w:val="000000010000" w:firstRow="0" w:lastRow="0" w:firstColumn="0" w:lastColumn="0" w:oddVBand="0" w:evenVBand="0" w:oddHBand="0" w:evenHBand="1" w:firstRowFirstColumn="0" w:firstRowLastColumn="0" w:lastRowFirstColumn="0" w:lastRowLastColumn="0"/>
          <w:cantSplit/>
        </w:trPr>
        <w:tc>
          <w:tcPr>
            <w:tcW w:w="1760" w:type="dxa"/>
            <w:tcBorders>
              <w:top w:val="single" w:sz="4" w:space="0" w:color="FFFFFF" w:themeColor="background1"/>
              <w:left w:val="nil"/>
              <w:bottom w:val="single" w:sz="4" w:space="0" w:color="FFFFFF" w:themeColor="background1"/>
              <w:right w:val="nil"/>
            </w:tcBorders>
            <w:hideMark/>
          </w:tcPr>
          <w:p w14:paraId="17E34DCA"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Extra-territorial application of regulations</w:t>
            </w:r>
          </w:p>
        </w:tc>
        <w:tc>
          <w:tcPr>
            <w:tcW w:w="1793" w:type="dxa"/>
            <w:tcBorders>
              <w:top w:val="single" w:sz="4" w:space="0" w:color="FFFFFF" w:themeColor="background1"/>
              <w:left w:val="nil"/>
              <w:bottom w:val="single" w:sz="4" w:space="0" w:color="FFFFFF" w:themeColor="background1"/>
              <w:right w:val="nil"/>
            </w:tcBorders>
            <w:hideMark/>
          </w:tcPr>
          <w:p w14:paraId="062C00A0"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Yes</w:t>
            </w:r>
          </w:p>
        </w:tc>
        <w:tc>
          <w:tcPr>
            <w:tcW w:w="1909" w:type="dxa"/>
            <w:tcBorders>
              <w:top w:val="single" w:sz="4" w:space="0" w:color="FFFFFF" w:themeColor="background1"/>
              <w:left w:val="nil"/>
              <w:bottom w:val="single" w:sz="4" w:space="0" w:color="FFFFFF" w:themeColor="background1"/>
              <w:right w:val="nil"/>
            </w:tcBorders>
            <w:hideMark/>
          </w:tcPr>
          <w:p w14:paraId="6120A89E"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Yes</w:t>
            </w:r>
          </w:p>
        </w:tc>
        <w:tc>
          <w:tcPr>
            <w:tcW w:w="1794" w:type="dxa"/>
            <w:tcBorders>
              <w:top w:val="single" w:sz="4" w:space="0" w:color="FFFFFF" w:themeColor="background1"/>
              <w:left w:val="nil"/>
              <w:bottom w:val="single" w:sz="4" w:space="0" w:color="FFFFFF" w:themeColor="background1"/>
              <w:right w:val="nil"/>
            </w:tcBorders>
            <w:hideMark/>
          </w:tcPr>
          <w:p w14:paraId="3CF19738"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No</w:t>
            </w:r>
          </w:p>
        </w:tc>
        <w:tc>
          <w:tcPr>
            <w:tcW w:w="1808" w:type="dxa"/>
            <w:tcBorders>
              <w:top w:val="single" w:sz="4" w:space="0" w:color="FFFFFF" w:themeColor="background1"/>
              <w:left w:val="nil"/>
              <w:bottom w:val="single" w:sz="4" w:space="0" w:color="FFFFFF" w:themeColor="background1"/>
              <w:right w:val="nil"/>
            </w:tcBorders>
            <w:hideMark/>
          </w:tcPr>
          <w:p w14:paraId="1B430B06" w14:textId="77777777" w:rsidR="00870C3F" w:rsidRPr="002F1917" w:rsidRDefault="00870C3F">
            <w:pPr>
              <w:pStyle w:val="TableText"/>
              <w:spacing w:after="0"/>
              <w:rPr>
                <w:rFonts w:ascii="Calibri" w:hAnsi="Calibri" w:cs="Calibri"/>
                <w:sz w:val="18"/>
                <w:szCs w:val="18"/>
              </w:rPr>
            </w:pPr>
            <w:r w:rsidRPr="002F1917">
              <w:rPr>
                <w:rFonts w:ascii="Calibri" w:hAnsi="Calibri" w:cs="Calibri"/>
                <w:sz w:val="18"/>
                <w:szCs w:val="18"/>
              </w:rPr>
              <w:t xml:space="preserve">Yes </w:t>
            </w:r>
          </w:p>
        </w:tc>
      </w:tr>
    </w:tbl>
    <w:p w14:paraId="122FD872" w14:textId="77777777" w:rsidR="00870C3F" w:rsidRPr="002F1917" w:rsidRDefault="00870C3F" w:rsidP="00870C3F">
      <w:pPr>
        <w:spacing w:after="320"/>
        <w:rPr>
          <w:rFonts w:ascii="Calibri" w:eastAsia="Times New Roman" w:hAnsi="Calibri" w:cs="Calibri"/>
          <w:sz w:val="21"/>
          <w:szCs w:val="24"/>
        </w:rPr>
      </w:pPr>
      <w:r w:rsidRPr="002F1917">
        <w:rPr>
          <w:rFonts w:ascii="Calibri" w:hAnsi="Calibri" w:cs="Calibri"/>
          <w:i/>
          <w:color w:val="101C3A" w:themeColor="accent1"/>
          <w:sz w:val="16"/>
          <w:szCs w:val="16"/>
        </w:rPr>
        <w:t>Note: ACT, Western Australia and Tasmania have been excluded since they have not implemented the SBOM</w:t>
      </w:r>
      <w:r w:rsidRPr="002F1917">
        <w:rPr>
          <w:rFonts w:ascii="Calibri" w:hAnsi="Calibri" w:cs="Calibri"/>
        </w:rPr>
        <w:t xml:space="preserve">                   </w:t>
      </w:r>
    </w:p>
    <w:p w14:paraId="508F3B32" w14:textId="77777777" w:rsidR="00870C3F" w:rsidRPr="002F1917" w:rsidRDefault="00870C3F" w:rsidP="00870C3F">
      <w:pPr>
        <w:spacing w:after="320"/>
        <w:rPr>
          <w:rFonts w:ascii="Calibri" w:hAnsi="Calibri" w:cs="Calibri"/>
          <w:i/>
          <w:color w:val="101C3A" w:themeColor="accent1"/>
          <w:sz w:val="16"/>
          <w:szCs w:val="16"/>
        </w:rPr>
      </w:pPr>
      <w:r w:rsidRPr="002F1917">
        <w:rPr>
          <w:rFonts w:ascii="Calibri" w:hAnsi="Calibri" w:cs="Calibri"/>
          <w:i/>
          <w:color w:val="101C3A" w:themeColor="accent1"/>
          <w:sz w:val="16"/>
          <w:szCs w:val="16"/>
        </w:rPr>
        <w:t>Source: Report of the Review of Australia’s Sport integrity Arrangements (2018)</w:t>
      </w:r>
    </w:p>
    <w:p w14:paraId="21DEC655" w14:textId="77777777" w:rsidR="00870C3F" w:rsidRPr="002F1917" w:rsidRDefault="00870C3F" w:rsidP="00870C3F">
      <w:pPr>
        <w:pStyle w:val="BodyText"/>
        <w:rPr>
          <w:rFonts w:ascii="Calibri" w:hAnsi="Calibri" w:cs="Calibri"/>
        </w:rPr>
      </w:pPr>
      <w:r w:rsidRPr="002F1917">
        <w:rPr>
          <w:rFonts w:ascii="Calibri" w:hAnsi="Calibri" w:cs="Calibri"/>
        </w:rPr>
        <w:t xml:space="preserve">In practice, most sport events would at least partially occur in Victoria or New South Wales. The implication of this is that </w:t>
      </w:r>
      <w:proofErr w:type="gramStart"/>
      <w:r w:rsidRPr="002F1917">
        <w:rPr>
          <w:rFonts w:ascii="Calibri" w:hAnsi="Calibri" w:cs="Calibri"/>
        </w:rPr>
        <w:t>the vast majority of</w:t>
      </w:r>
      <w:proofErr w:type="gramEnd"/>
      <w:r w:rsidRPr="002F1917">
        <w:rPr>
          <w:rFonts w:ascii="Calibri" w:hAnsi="Calibri" w:cs="Calibri"/>
        </w:rPr>
        <w:t xml:space="preserve"> Australian sports events for which wagering is permitted will be required to meet the regulatory frameworks of Victoria and/or New South Wales.</w:t>
      </w:r>
    </w:p>
    <w:p w14:paraId="7A6B6432" w14:textId="77777777" w:rsidR="00870C3F" w:rsidRPr="002F1917" w:rsidRDefault="00870C3F" w:rsidP="004104F6">
      <w:pPr>
        <w:pStyle w:val="Heading3"/>
        <w:rPr>
          <w:rFonts w:ascii="Calibri" w:hAnsi="Calibri" w:cs="Calibri"/>
          <w:sz w:val="20"/>
          <w:szCs w:val="28"/>
        </w:rPr>
      </w:pPr>
      <w:bookmarkStart w:id="50" w:name="_Toc85450747"/>
      <w:r w:rsidRPr="002F1917">
        <w:rPr>
          <w:rFonts w:ascii="Calibri" w:hAnsi="Calibri" w:cs="Calibri"/>
          <w:sz w:val="20"/>
          <w:szCs w:val="28"/>
        </w:rPr>
        <w:t>Recognition of Sports Controlling Bodies</w:t>
      </w:r>
      <w:bookmarkEnd w:id="50"/>
    </w:p>
    <w:p w14:paraId="04EFD0A6" w14:textId="77777777" w:rsidR="00870C3F" w:rsidRPr="002F1917" w:rsidRDefault="00870C3F" w:rsidP="00870C3F">
      <w:pPr>
        <w:pStyle w:val="BodyText"/>
        <w:rPr>
          <w:rFonts w:ascii="Calibri" w:hAnsi="Calibri" w:cs="Calibri"/>
        </w:rPr>
      </w:pPr>
      <w:r w:rsidRPr="002F1917">
        <w:rPr>
          <w:rFonts w:ascii="Calibri" w:hAnsi="Calibri" w:cs="Calibri"/>
        </w:rPr>
        <w:t xml:space="preserve">As detailed in </w:t>
      </w:r>
      <w:r w:rsidRPr="002F1917">
        <w:rPr>
          <w:rFonts w:ascii="Calibri" w:hAnsi="Calibri" w:cs="Calibri"/>
        </w:rPr>
        <w:fldChar w:fldCharType="begin"/>
      </w:r>
      <w:r w:rsidRPr="002F1917">
        <w:rPr>
          <w:rFonts w:ascii="Calibri" w:hAnsi="Calibri" w:cs="Calibri"/>
        </w:rPr>
        <w:instrText xml:space="preserve"> REF _Ref80092022 \h  \* MERGEFORMAT </w:instrText>
      </w:r>
      <w:r w:rsidRPr="002F1917">
        <w:rPr>
          <w:rFonts w:ascii="Calibri" w:hAnsi="Calibri" w:cs="Calibri"/>
        </w:rPr>
      </w:r>
      <w:r w:rsidRPr="002F1917">
        <w:rPr>
          <w:rFonts w:ascii="Calibri" w:hAnsi="Calibri" w:cs="Calibri"/>
        </w:rPr>
        <w:fldChar w:fldCharType="separate"/>
      </w:r>
      <w:r w:rsidRPr="002F1917">
        <w:rPr>
          <w:rFonts w:ascii="Calibri" w:hAnsi="Calibri" w:cs="Calibri"/>
        </w:rPr>
        <w:t xml:space="preserve">Table </w:t>
      </w:r>
      <w:r w:rsidRPr="002F1917">
        <w:rPr>
          <w:rFonts w:ascii="Calibri" w:hAnsi="Calibri" w:cs="Calibri"/>
          <w:noProof/>
        </w:rPr>
        <w:t>1</w:t>
      </w:r>
      <w:r w:rsidRPr="002F1917">
        <w:rPr>
          <w:rFonts w:ascii="Calibri" w:hAnsi="Calibri" w:cs="Calibri"/>
        </w:rPr>
        <w:fldChar w:fldCharType="end"/>
      </w:r>
      <w:r w:rsidRPr="002F1917">
        <w:rPr>
          <w:rFonts w:ascii="Calibri" w:hAnsi="Calibri" w:cs="Calibri"/>
        </w:rPr>
        <w:t>, Victoria and New South Wales have requirements for National Sporting Organisations to be the sport controller. Other states and territories do not have an equivalent requirement.</w:t>
      </w:r>
    </w:p>
    <w:p w14:paraId="7F2414CB" w14:textId="77777777" w:rsidR="00870C3F" w:rsidRPr="002F1917" w:rsidRDefault="00870C3F" w:rsidP="00870C3F">
      <w:pPr>
        <w:pStyle w:val="BodyText"/>
        <w:rPr>
          <w:rFonts w:ascii="Calibri" w:hAnsi="Calibri" w:cs="Calibri"/>
        </w:rPr>
      </w:pPr>
      <w:r w:rsidRPr="002F1917">
        <w:rPr>
          <w:rFonts w:ascii="Calibri" w:hAnsi="Calibri" w:cs="Calibri"/>
        </w:rPr>
        <w:t>To be a recognised sport controller the organisation must go through an application process to become a ‘sports controlling body’. Through the process applicants must ascertain that they:</w:t>
      </w:r>
    </w:p>
    <w:p w14:paraId="263E9B32" w14:textId="77777777" w:rsidR="00870C3F" w:rsidRPr="002F1917" w:rsidRDefault="00870C3F" w:rsidP="00870C3F">
      <w:pPr>
        <w:pStyle w:val="ListBullet1"/>
        <w:rPr>
          <w:rFonts w:ascii="Calibri" w:hAnsi="Calibri" w:cs="Calibri"/>
        </w:rPr>
      </w:pPr>
      <w:r w:rsidRPr="002F1917">
        <w:rPr>
          <w:rFonts w:ascii="Calibri" w:hAnsi="Calibri" w:cs="Calibri"/>
        </w:rPr>
        <w:t>Have control of the sporting events</w:t>
      </w:r>
    </w:p>
    <w:p w14:paraId="4AD492EC" w14:textId="77777777" w:rsidR="00870C3F" w:rsidRPr="002F1917" w:rsidRDefault="00870C3F" w:rsidP="00870C3F">
      <w:pPr>
        <w:pStyle w:val="ListBullet1"/>
        <w:rPr>
          <w:rFonts w:ascii="Calibri" w:hAnsi="Calibri" w:cs="Calibri"/>
        </w:rPr>
      </w:pPr>
      <w:r w:rsidRPr="002F1917">
        <w:rPr>
          <w:rFonts w:ascii="Calibri" w:hAnsi="Calibri" w:cs="Calibri"/>
        </w:rPr>
        <w:t>Have adequate policies, rules etc. to ensure the integrity of the sporting events</w:t>
      </w:r>
    </w:p>
    <w:p w14:paraId="581545B1" w14:textId="77777777" w:rsidR="00870C3F" w:rsidRPr="002F1917" w:rsidRDefault="00870C3F" w:rsidP="00870C3F">
      <w:pPr>
        <w:pStyle w:val="ListBullet1"/>
        <w:rPr>
          <w:rFonts w:ascii="Calibri" w:hAnsi="Calibri" w:cs="Calibri"/>
        </w:rPr>
      </w:pPr>
      <w:proofErr w:type="gramStart"/>
      <w:r w:rsidRPr="002F1917">
        <w:rPr>
          <w:rFonts w:ascii="Calibri" w:hAnsi="Calibri" w:cs="Calibri"/>
        </w:rPr>
        <w:t>Are able to</w:t>
      </w:r>
      <w:proofErr w:type="gramEnd"/>
      <w:r w:rsidRPr="002F1917">
        <w:rPr>
          <w:rFonts w:ascii="Calibri" w:hAnsi="Calibri" w:cs="Calibri"/>
        </w:rPr>
        <w:t xml:space="preserve"> administer, monitor and enforce the integrity systems.</w:t>
      </w:r>
    </w:p>
    <w:p w14:paraId="431F8EF6" w14:textId="773D3C95" w:rsidR="00870C3F" w:rsidRPr="002F1917" w:rsidRDefault="00870C3F" w:rsidP="00870C3F">
      <w:pPr>
        <w:pStyle w:val="BodyText"/>
        <w:rPr>
          <w:rFonts w:ascii="Calibri" w:hAnsi="Calibri" w:cs="Calibri"/>
        </w:rPr>
      </w:pPr>
      <w:r w:rsidRPr="002F1917">
        <w:rPr>
          <w:rFonts w:ascii="Calibri" w:hAnsi="Calibri" w:cs="Calibri"/>
        </w:rPr>
        <w:t>Victoria and New South Wales each have separate Sports Controlling Body application processes and conduct separate occasional reviews of their accredited sport controllers. At the time of writing, there are 13 recognised sport controlling bodies in Victoria and 9 in New South Wales.</w:t>
      </w:r>
      <w:r w:rsidRPr="002F1917">
        <w:rPr>
          <w:rStyle w:val="FootnoteReference"/>
          <w:rFonts w:ascii="Calibri" w:hAnsi="Calibri" w:cs="Calibri"/>
        </w:rPr>
        <w:footnoteReference w:id="3"/>
      </w:r>
      <w:r w:rsidR="001D52A9">
        <w:rPr>
          <w:rFonts w:ascii="Calibri" w:hAnsi="Calibri" w:cs="Calibri"/>
        </w:rPr>
        <w:t xml:space="preserve"> </w:t>
      </w:r>
    </w:p>
    <w:p w14:paraId="2CBC5048" w14:textId="77777777" w:rsidR="00870C3F" w:rsidRPr="002F1917" w:rsidRDefault="00870C3F" w:rsidP="00870C3F">
      <w:pPr>
        <w:pStyle w:val="BodyText"/>
        <w:rPr>
          <w:rFonts w:ascii="Calibri" w:hAnsi="Calibri" w:cs="Calibri"/>
        </w:rPr>
      </w:pPr>
      <w:r w:rsidRPr="002F1917">
        <w:rPr>
          <w:rFonts w:ascii="Calibri" w:hAnsi="Calibri" w:cs="Calibri"/>
        </w:rPr>
        <w:t>It is understood that accreditation of sport controlling bodies in Victoria and New South Wales is a relatively administrative process with little ongoing support or guidance provided to sports to help manage their integrity risks.</w:t>
      </w:r>
    </w:p>
    <w:p w14:paraId="4F60969F" w14:textId="282FFFC1" w:rsidR="00870C3F" w:rsidRPr="002F1917" w:rsidRDefault="00870C3F" w:rsidP="00870C3F">
      <w:pPr>
        <w:pStyle w:val="BodyText"/>
        <w:rPr>
          <w:rFonts w:ascii="Calibri" w:hAnsi="Calibri" w:cs="Calibri"/>
        </w:rPr>
      </w:pPr>
      <w:r w:rsidRPr="002F1917">
        <w:rPr>
          <w:rFonts w:ascii="Calibri" w:hAnsi="Calibri" w:cs="Calibri"/>
        </w:rPr>
        <w:t>With respect to broader sports integrity (</w:t>
      </w:r>
      <w:proofErr w:type="gramStart"/>
      <w:r w:rsidRPr="002F1917">
        <w:rPr>
          <w:rFonts w:ascii="Calibri" w:hAnsi="Calibri" w:cs="Calibri"/>
        </w:rPr>
        <w:t>i.e.</w:t>
      </w:r>
      <w:proofErr w:type="gramEnd"/>
      <w:r w:rsidRPr="002F1917">
        <w:rPr>
          <w:rFonts w:ascii="Calibri" w:hAnsi="Calibri" w:cs="Calibri"/>
        </w:rPr>
        <w:t xml:space="preserve"> elements not specifically related to wagering), Sport Australia have a key role in broader governance through their recognition and compliance processes relating to National Sporting Organisations, and Sport Integrity Australia provides advice and assistance to counter sport integrity threats related to doping, child abuse, member protection, and improper use of drugs and medicine.</w:t>
      </w:r>
    </w:p>
    <w:p w14:paraId="477F4201" w14:textId="77777777" w:rsidR="00870C3F" w:rsidRPr="002F1917" w:rsidRDefault="00870C3F" w:rsidP="004104F6">
      <w:pPr>
        <w:pStyle w:val="Heading3"/>
        <w:rPr>
          <w:rFonts w:ascii="Calibri" w:hAnsi="Calibri" w:cs="Calibri"/>
          <w:sz w:val="20"/>
          <w:szCs w:val="28"/>
        </w:rPr>
      </w:pPr>
      <w:bookmarkStart w:id="51" w:name="_Toc85450748"/>
      <w:r w:rsidRPr="002F1917">
        <w:rPr>
          <w:rFonts w:ascii="Calibri" w:hAnsi="Calibri" w:cs="Calibri"/>
          <w:sz w:val="20"/>
          <w:szCs w:val="28"/>
        </w:rPr>
        <w:lastRenderedPageBreak/>
        <w:t>Licensing of Wagering Providers</w:t>
      </w:r>
      <w:bookmarkEnd w:id="51"/>
    </w:p>
    <w:p w14:paraId="7813FDF2" w14:textId="77777777" w:rsidR="00870C3F" w:rsidRPr="002F1917" w:rsidRDefault="00870C3F" w:rsidP="00870C3F">
      <w:pPr>
        <w:pStyle w:val="BodyText"/>
        <w:rPr>
          <w:rFonts w:ascii="Calibri" w:hAnsi="Calibri" w:cs="Calibri"/>
        </w:rPr>
      </w:pPr>
      <w:r w:rsidRPr="002F1917">
        <w:rPr>
          <w:rFonts w:ascii="Calibri" w:hAnsi="Calibri" w:cs="Calibri"/>
        </w:rPr>
        <w:t>Wagering providers are entities offering wagering services to bettors. There are various types of wagering providers, namely sports bookmakers (</w:t>
      </w:r>
      <w:proofErr w:type="gramStart"/>
      <w:r w:rsidRPr="002F1917">
        <w:rPr>
          <w:rFonts w:ascii="Calibri" w:hAnsi="Calibri" w:cs="Calibri"/>
        </w:rPr>
        <w:t>e.g.</w:t>
      </w:r>
      <w:proofErr w:type="gramEnd"/>
      <w:r w:rsidRPr="002F1917">
        <w:rPr>
          <w:rFonts w:ascii="Calibri" w:hAnsi="Calibri" w:cs="Calibri"/>
        </w:rPr>
        <w:t xml:space="preserve"> Sportsbet), betting exchanges (e.g. Betfair) and totalisator operators (e.g. the TAB): </w:t>
      </w:r>
    </w:p>
    <w:p w14:paraId="32022819" w14:textId="77777777" w:rsidR="00870C3F" w:rsidRPr="002F1917" w:rsidRDefault="00870C3F" w:rsidP="00870C3F">
      <w:pPr>
        <w:pStyle w:val="ListBullet1"/>
        <w:rPr>
          <w:rFonts w:ascii="Calibri" w:hAnsi="Calibri" w:cs="Calibri"/>
        </w:rPr>
      </w:pPr>
      <w:r w:rsidRPr="002F1917">
        <w:rPr>
          <w:rFonts w:ascii="Calibri" w:hAnsi="Calibri" w:cs="Calibri"/>
        </w:rPr>
        <w:t xml:space="preserve">Sports bookmakers offer bets to bettors at odds set by the bookmakers themselves. They generate revenue when customers lose bets and make losses when customers win bets. </w:t>
      </w:r>
    </w:p>
    <w:p w14:paraId="17C9123D" w14:textId="77777777" w:rsidR="00870C3F" w:rsidRPr="002F1917" w:rsidRDefault="00870C3F" w:rsidP="00870C3F">
      <w:pPr>
        <w:pStyle w:val="ListBullet1"/>
        <w:rPr>
          <w:rFonts w:ascii="Calibri" w:hAnsi="Calibri" w:cs="Calibri"/>
        </w:rPr>
      </w:pPr>
      <w:r w:rsidRPr="002F1917">
        <w:rPr>
          <w:rFonts w:ascii="Calibri" w:hAnsi="Calibri" w:cs="Calibri"/>
        </w:rPr>
        <w:t>Betting exchanges are an online platform enabling customers to bet against each other on events at known prices set by bettors. Bettors can either back (</w:t>
      </w:r>
      <w:proofErr w:type="gramStart"/>
      <w:r w:rsidRPr="002F1917">
        <w:rPr>
          <w:rFonts w:ascii="Calibri" w:hAnsi="Calibri" w:cs="Calibri"/>
        </w:rPr>
        <w:t>i.e.</w:t>
      </w:r>
      <w:proofErr w:type="gramEnd"/>
      <w:r w:rsidRPr="002F1917">
        <w:rPr>
          <w:rFonts w:ascii="Calibri" w:hAnsi="Calibri" w:cs="Calibri"/>
        </w:rPr>
        <w:t xml:space="preserve"> bet that the contingency will happen) or lay (i.e. bet that the contingency will not happen) an outcome on an event. Betting exchanges generate revenue via commission charged on a customer’s net winnings on a betting market. </w:t>
      </w:r>
    </w:p>
    <w:p w14:paraId="17CD68C2" w14:textId="77777777" w:rsidR="00870C3F" w:rsidRPr="002F1917" w:rsidRDefault="00870C3F" w:rsidP="00870C3F">
      <w:pPr>
        <w:pStyle w:val="ListBullet1"/>
        <w:rPr>
          <w:rFonts w:ascii="Calibri" w:hAnsi="Calibri" w:cs="Calibri"/>
        </w:rPr>
      </w:pPr>
      <w:r w:rsidRPr="002F1917">
        <w:rPr>
          <w:rFonts w:ascii="Calibri" w:hAnsi="Calibri" w:cs="Calibri"/>
        </w:rPr>
        <w:t xml:space="preserve">Totalisator operators do not offer fixed odds bets. Instead, they operate a system where winning bettors share the pool of bets collected from all bettors and they continuously update the final dividend for winning bets prior to the event. They generate revenue by taking a set percentage of the </w:t>
      </w:r>
      <w:proofErr w:type="gramStart"/>
      <w:r w:rsidRPr="002F1917">
        <w:rPr>
          <w:rFonts w:ascii="Calibri" w:hAnsi="Calibri" w:cs="Calibri"/>
        </w:rPr>
        <w:t>amount</w:t>
      </w:r>
      <w:proofErr w:type="gramEnd"/>
      <w:r w:rsidRPr="002F1917">
        <w:rPr>
          <w:rFonts w:ascii="Calibri" w:hAnsi="Calibri" w:cs="Calibri"/>
        </w:rPr>
        <w:t xml:space="preserve"> of pooled bets before making distributions to winning bettors. Totalisator betting markets are not offered on sporting contingencies in Australia.</w:t>
      </w:r>
    </w:p>
    <w:p w14:paraId="3E388F9A" w14:textId="77777777" w:rsidR="00870C3F" w:rsidRPr="002F1917" w:rsidRDefault="00870C3F" w:rsidP="00870C3F">
      <w:pPr>
        <w:pStyle w:val="BodyText"/>
        <w:rPr>
          <w:rFonts w:ascii="Calibri" w:hAnsi="Calibri" w:cs="Calibri"/>
        </w:rPr>
      </w:pPr>
      <w:r w:rsidRPr="002F1917">
        <w:rPr>
          <w:rFonts w:ascii="Calibri" w:hAnsi="Calibri" w:cs="Calibri"/>
        </w:rPr>
        <w:t>In the current regulatory system, wagering providers are required to be licensed in at least one state or territory. Having done so, a wagering provider would be able to offer wagering services for inter-state events subject to restrictions imposed by the local regulator. These licenses cover a broad range of requirements which extend beyond the sport integrity focus of this Regulatory Impact Statement.</w:t>
      </w:r>
    </w:p>
    <w:p w14:paraId="1AE9D878" w14:textId="77777777" w:rsidR="00870C3F" w:rsidRPr="002F1917" w:rsidRDefault="00870C3F" w:rsidP="00870C3F">
      <w:pPr>
        <w:pStyle w:val="BodyText"/>
        <w:rPr>
          <w:rFonts w:ascii="Calibri" w:hAnsi="Calibri" w:cs="Calibri"/>
        </w:rPr>
      </w:pPr>
      <w:r w:rsidRPr="002F1917">
        <w:rPr>
          <w:rFonts w:ascii="Calibri" w:hAnsi="Calibri" w:cs="Calibri"/>
        </w:rPr>
        <w:t>At present it is understood that the most wagering providers are registered in the Northern Territory. Stakeholders have suggested this is due to factors including lower application and licence fees, and no statutory limitations to the numbers of sports bookmaker licences that can be issued.</w:t>
      </w:r>
    </w:p>
    <w:p w14:paraId="18223F0D" w14:textId="77777777" w:rsidR="00870C3F" w:rsidRPr="002F1917" w:rsidRDefault="00870C3F" w:rsidP="00870C3F">
      <w:pPr>
        <w:pStyle w:val="BodyText"/>
        <w:rPr>
          <w:rFonts w:ascii="Calibri" w:hAnsi="Calibri" w:cs="Calibri"/>
        </w:rPr>
      </w:pPr>
      <w:r w:rsidRPr="002F1917">
        <w:rPr>
          <w:rFonts w:ascii="Calibri" w:hAnsi="Calibri" w:cs="Calibri"/>
        </w:rPr>
        <w:t>This Regulatory Impact Statement does not contemplate changing the regulatory arrangements for wagering provider licensing. However, options presented will impact on wagering providers and thus it is useful to be clear on the broad regulatory framework that they operate under.</w:t>
      </w:r>
    </w:p>
    <w:p w14:paraId="74D985D3" w14:textId="77777777" w:rsidR="00870C3F" w:rsidRPr="002F1917" w:rsidRDefault="00870C3F" w:rsidP="004104F6">
      <w:pPr>
        <w:pStyle w:val="Heading3"/>
        <w:rPr>
          <w:rFonts w:ascii="Calibri" w:hAnsi="Calibri" w:cs="Calibri"/>
          <w:sz w:val="20"/>
          <w:szCs w:val="28"/>
        </w:rPr>
      </w:pPr>
      <w:bookmarkStart w:id="52" w:name="_Toc39219870"/>
      <w:bookmarkStart w:id="53" w:name="_Toc85450749"/>
      <w:r w:rsidRPr="002F1917">
        <w:rPr>
          <w:rFonts w:ascii="Calibri" w:hAnsi="Calibri" w:cs="Calibri"/>
          <w:sz w:val="20"/>
          <w:szCs w:val="28"/>
        </w:rPr>
        <w:t>Recognition of markets and contingencies</w:t>
      </w:r>
      <w:bookmarkEnd w:id="52"/>
      <w:bookmarkEnd w:id="53"/>
    </w:p>
    <w:p w14:paraId="57EFE105" w14:textId="77777777" w:rsidR="00870C3F" w:rsidRPr="002F1917" w:rsidRDefault="00870C3F" w:rsidP="00870C3F">
      <w:pPr>
        <w:pStyle w:val="BodyText"/>
        <w:rPr>
          <w:rFonts w:ascii="Calibri" w:hAnsi="Calibri" w:cs="Calibri"/>
        </w:rPr>
      </w:pPr>
      <w:r w:rsidRPr="002F1917">
        <w:rPr>
          <w:rFonts w:ascii="Calibri" w:hAnsi="Calibri" w:cs="Calibri"/>
        </w:rPr>
        <w:t>For the purposes of this Regulatory Impact Statement, markets refer to the range of sports wagering services offered by wagering providers on Australian and international sport events. Markets are made up of contingencies taking many forms including win/place options, spread bets or points starts, table and season outcomes and multiple types of ‘spot bets’, etc.</w:t>
      </w:r>
      <w:r w:rsidRPr="002F1917">
        <w:rPr>
          <w:rFonts w:ascii="Calibri" w:hAnsi="Calibri" w:cs="Calibri"/>
          <w:i/>
        </w:rPr>
        <w:t xml:space="preserve"> </w:t>
      </w:r>
    </w:p>
    <w:p w14:paraId="28984FEA" w14:textId="049F4A39" w:rsidR="00870C3F" w:rsidRPr="002F1917" w:rsidRDefault="00870C3F" w:rsidP="00870C3F">
      <w:pPr>
        <w:pStyle w:val="BodyText"/>
        <w:rPr>
          <w:rFonts w:ascii="Calibri" w:hAnsi="Calibri" w:cs="Calibri"/>
        </w:rPr>
      </w:pPr>
      <w:r w:rsidRPr="002F1917">
        <w:rPr>
          <w:rFonts w:ascii="Calibri" w:hAnsi="Calibri" w:cs="Calibri"/>
        </w:rPr>
        <w:t xml:space="preserve">Licensed wagering providers </w:t>
      </w:r>
      <w:proofErr w:type="gramStart"/>
      <w:r w:rsidRPr="002F1917">
        <w:rPr>
          <w:rFonts w:ascii="Calibri" w:hAnsi="Calibri" w:cs="Calibri"/>
        </w:rPr>
        <w:t>are able to</w:t>
      </w:r>
      <w:proofErr w:type="gramEnd"/>
      <w:r w:rsidRPr="002F1917">
        <w:rPr>
          <w:rFonts w:ascii="Calibri" w:hAnsi="Calibri" w:cs="Calibri"/>
        </w:rPr>
        <w:t xml:space="preserve"> offer betting contingencies subject </w:t>
      </w:r>
      <w:r w:rsidR="00CA078E">
        <w:rPr>
          <w:rFonts w:ascii="Calibri" w:hAnsi="Calibri" w:cs="Calibri"/>
        </w:rPr>
        <w:t xml:space="preserve">to </w:t>
      </w:r>
      <w:r w:rsidRPr="002F1917">
        <w:rPr>
          <w:rFonts w:ascii="Calibri" w:hAnsi="Calibri" w:cs="Calibri"/>
        </w:rPr>
        <w:t xml:space="preserve">the regulations in the state or territory that the person placing a bet is based. These are summarised in </w:t>
      </w:r>
      <w:r w:rsidRPr="002F1917">
        <w:rPr>
          <w:rFonts w:ascii="Calibri" w:hAnsi="Calibri" w:cs="Calibri"/>
        </w:rPr>
        <w:fldChar w:fldCharType="begin"/>
      </w:r>
      <w:r w:rsidRPr="002F1917">
        <w:rPr>
          <w:rFonts w:ascii="Calibri" w:hAnsi="Calibri" w:cs="Calibri"/>
        </w:rPr>
        <w:instrText xml:space="preserve"> REF _Ref41656749 \h </w:instrText>
      </w:r>
      <w:r w:rsidR="002F1917">
        <w:rPr>
          <w:rFonts w:ascii="Calibri" w:hAnsi="Calibri" w:cs="Calibri"/>
        </w:rPr>
        <w:instrText xml:space="preserve"> \* MERGEFORMAT </w:instrText>
      </w:r>
      <w:r w:rsidRPr="002F1917">
        <w:rPr>
          <w:rFonts w:ascii="Calibri" w:hAnsi="Calibri" w:cs="Calibri"/>
        </w:rPr>
      </w:r>
      <w:r w:rsidRPr="002F1917">
        <w:rPr>
          <w:rFonts w:ascii="Calibri" w:hAnsi="Calibri" w:cs="Calibri"/>
        </w:rPr>
        <w:fldChar w:fldCharType="separate"/>
      </w:r>
      <w:r w:rsidRPr="002F1917">
        <w:rPr>
          <w:rFonts w:ascii="Calibri" w:hAnsi="Calibri" w:cs="Calibri"/>
        </w:rPr>
        <w:t xml:space="preserve">Table </w:t>
      </w:r>
      <w:r w:rsidRPr="002F1917">
        <w:rPr>
          <w:rFonts w:ascii="Calibri" w:hAnsi="Calibri" w:cs="Calibri"/>
          <w:noProof/>
        </w:rPr>
        <w:t>2</w:t>
      </w:r>
      <w:r w:rsidRPr="002F1917">
        <w:rPr>
          <w:rFonts w:ascii="Calibri" w:hAnsi="Calibri" w:cs="Calibri"/>
        </w:rPr>
        <w:fldChar w:fldCharType="end"/>
      </w:r>
      <w:r w:rsidRPr="002F1917">
        <w:rPr>
          <w:rFonts w:ascii="Calibri" w:hAnsi="Calibri" w:cs="Calibri"/>
        </w:rPr>
        <w:t>.</w:t>
      </w:r>
    </w:p>
    <w:p w14:paraId="17BA7338" w14:textId="77777777" w:rsidR="004104F6" w:rsidRPr="002F1917" w:rsidRDefault="004104F6" w:rsidP="00870C3F">
      <w:pPr>
        <w:pStyle w:val="BodyText"/>
        <w:rPr>
          <w:rFonts w:ascii="Calibri" w:hAnsi="Calibri" w:cs="Calibri"/>
        </w:rPr>
      </w:pPr>
    </w:p>
    <w:p w14:paraId="763E8857" w14:textId="77777777" w:rsidR="00870C3F" w:rsidRPr="009125F1" w:rsidRDefault="00870C3F" w:rsidP="009C0251">
      <w:pPr>
        <w:keepNext/>
        <w:keepLines/>
        <w:rPr>
          <w:rFonts w:ascii="Calibri" w:hAnsi="Calibri" w:cs="Calibri"/>
          <w:sz w:val="20"/>
          <w:szCs w:val="20"/>
          <w:lang w:val="en-US"/>
        </w:rPr>
      </w:pPr>
      <w:bookmarkStart w:id="54" w:name="_Ref41656749"/>
      <w:r w:rsidRPr="009125F1">
        <w:rPr>
          <w:rFonts w:ascii="Calibri" w:hAnsi="Calibri" w:cs="Calibri"/>
          <w:sz w:val="20"/>
          <w:szCs w:val="20"/>
        </w:rPr>
        <w:lastRenderedPageBreak/>
        <w:t xml:space="preserve">Table </w:t>
      </w:r>
      <w:r w:rsidRPr="009125F1">
        <w:rPr>
          <w:rFonts w:ascii="Calibri" w:hAnsi="Calibri" w:cs="Calibri"/>
          <w:sz w:val="20"/>
          <w:szCs w:val="20"/>
        </w:rPr>
        <w:fldChar w:fldCharType="begin"/>
      </w:r>
      <w:r w:rsidRPr="009125F1">
        <w:rPr>
          <w:rFonts w:ascii="Calibri" w:hAnsi="Calibri" w:cs="Calibri"/>
          <w:sz w:val="20"/>
          <w:szCs w:val="20"/>
        </w:rPr>
        <w:instrText xml:space="preserve"> SEQ Table \* ARABIC </w:instrText>
      </w:r>
      <w:r w:rsidRPr="009125F1">
        <w:rPr>
          <w:rFonts w:ascii="Calibri" w:hAnsi="Calibri" w:cs="Calibri"/>
          <w:sz w:val="20"/>
          <w:szCs w:val="20"/>
        </w:rPr>
        <w:fldChar w:fldCharType="separate"/>
      </w:r>
      <w:r w:rsidRPr="009125F1">
        <w:rPr>
          <w:rFonts w:ascii="Calibri" w:hAnsi="Calibri" w:cs="Calibri"/>
          <w:noProof/>
          <w:sz w:val="20"/>
          <w:szCs w:val="20"/>
        </w:rPr>
        <w:t>2</w:t>
      </w:r>
      <w:r w:rsidRPr="009125F1">
        <w:rPr>
          <w:rFonts w:ascii="Calibri" w:hAnsi="Calibri" w:cs="Calibri"/>
          <w:sz w:val="20"/>
          <w:szCs w:val="20"/>
        </w:rPr>
        <w:fldChar w:fldCharType="end"/>
      </w:r>
      <w:bookmarkEnd w:id="54"/>
      <w:r w:rsidRPr="009125F1">
        <w:rPr>
          <w:rFonts w:ascii="Calibri" w:hAnsi="Calibri" w:cs="Calibri"/>
          <w:b/>
          <w:sz w:val="20"/>
          <w:szCs w:val="20"/>
          <w:lang w:val="en-US"/>
        </w:rPr>
        <w:t>:</w:t>
      </w:r>
      <w:r w:rsidRPr="009125F1">
        <w:rPr>
          <w:rFonts w:ascii="Calibri" w:hAnsi="Calibri" w:cs="Calibri"/>
          <w:sz w:val="20"/>
          <w:szCs w:val="20"/>
          <w:lang w:val="en-US"/>
        </w:rPr>
        <w:t xml:space="preserve"> Summary of recognition of markets and contingencies by state/territory</w:t>
      </w:r>
    </w:p>
    <w:tbl>
      <w:tblPr>
        <w:tblStyle w:val="FETableStyle"/>
        <w:tblW w:w="5000" w:type="pct"/>
        <w:tblInd w:w="0" w:type="dxa"/>
        <w:tblLook w:val="0420" w:firstRow="1" w:lastRow="0" w:firstColumn="0" w:lastColumn="0" w:noHBand="0" w:noVBand="1"/>
      </w:tblPr>
      <w:tblGrid>
        <w:gridCol w:w="2052"/>
        <w:gridCol w:w="7012"/>
      </w:tblGrid>
      <w:tr w:rsidR="00870C3F" w:rsidRPr="002F1917" w14:paraId="2407CE84" w14:textId="77777777" w:rsidTr="00870C3F">
        <w:trPr>
          <w:cnfStyle w:val="100000000000" w:firstRow="1" w:lastRow="0" w:firstColumn="0" w:lastColumn="0" w:oddVBand="0" w:evenVBand="0" w:oddHBand="0" w:evenHBand="0" w:firstRowFirstColumn="0" w:firstRowLastColumn="0" w:lastRowFirstColumn="0" w:lastRowLastColumn="0"/>
          <w:cantSplit/>
          <w:tblHeader/>
        </w:trPr>
        <w:tc>
          <w:tcPr>
            <w:tcW w:w="2052" w:type="dxa"/>
            <w:hideMark/>
          </w:tcPr>
          <w:p w14:paraId="5801649F" w14:textId="77777777" w:rsidR="00870C3F" w:rsidRPr="00C434A1" w:rsidRDefault="00870C3F" w:rsidP="009C0251">
            <w:pPr>
              <w:pStyle w:val="TableText"/>
              <w:keepNext/>
              <w:keepLines/>
              <w:rPr>
                <w:rFonts w:ascii="Calibri" w:hAnsi="Calibri" w:cs="Calibri"/>
                <w:bCs/>
                <w:lang w:val="en-AU"/>
              </w:rPr>
            </w:pPr>
            <w:r w:rsidRPr="00C434A1">
              <w:rPr>
                <w:rFonts w:ascii="Calibri" w:hAnsi="Calibri" w:cs="Calibri"/>
                <w:bCs/>
              </w:rPr>
              <w:t>State/territory</w:t>
            </w:r>
          </w:p>
        </w:tc>
        <w:tc>
          <w:tcPr>
            <w:tcW w:w="7012" w:type="dxa"/>
            <w:hideMark/>
          </w:tcPr>
          <w:p w14:paraId="487DFAB5" w14:textId="77777777" w:rsidR="00870C3F" w:rsidRPr="00C434A1" w:rsidRDefault="00870C3F" w:rsidP="009C0251">
            <w:pPr>
              <w:pStyle w:val="TableText"/>
              <w:keepNext/>
              <w:keepLines/>
              <w:rPr>
                <w:rFonts w:ascii="Calibri" w:hAnsi="Calibri" w:cs="Calibri"/>
                <w:bCs/>
              </w:rPr>
            </w:pPr>
            <w:r w:rsidRPr="00C434A1">
              <w:rPr>
                <w:rFonts w:ascii="Calibri" w:hAnsi="Calibri" w:cs="Calibri"/>
                <w:bCs/>
              </w:rPr>
              <w:t>Recognition of markets and contingencies</w:t>
            </w:r>
          </w:p>
        </w:tc>
      </w:tr>
      <w:tr w:rsidR="00870C3F" w:rsidRPr="002F1917" w14:paraId="104B2D7B" w14:textId="77777777" w:rsidTr="00870C3F">
        <w:trPr>
          <w:cantSplit/>
        </w:trPr>
        <w:tc>
          <w:tcPr>
            <w:tcW w:w="2052" w:type="dxa"/>
            <w:tcBorders>
              <w:top w:val="single" w:sz="4" w:space="0" w:color="FFFFFF" w:themeColor="background1"/>
              <w:left w:val="nil"/>
              <w:bottom w:val="single" w:sz="4" w:space="0" w:color="FFFFFF" w:themeColor="background1"/>
              <w:right w:val="nil"/>
            </w:tcBorders>
            <w:hideMark/>
          </w:tcPr>
          <w:p w14:paraId="5A8A72D8" w14:textId="77777777" w:rsidR="00870C3F" w:rsidRPr="002F1917" w:rsidRDefault="00870C3F" w:rsidP="009C0251">
            <w:pPr>
              <w:pStyle w:val="TableText"/>
              <w:keepNext/>
              <w:keepLines/>
              <w:rPr>
                <w:rFonts w:ascii="Calibri" w:hAnsi="Calibri" w:cs="Calibri"/>
                <w:color w:val="000000" w:themeColor="text1"/>
              </w:rPr>
            </w:pPr>
            <w:r w:rsidRPr="002F1917">
              <w:rPr>
                <w:rFonts w:ascii="Calibri" w:hAnsi="Calibri" w:cs="Calibri"/>
              </w:rPr>
              <w:t>NSW</w:t>
            </w:r>
          </w:p>
        </w:tc>
        <w:tc>
          <w:tcPr>
            <w:tcW w:w="7012" w:type="dxa"/>
            <w:tcBorders>
              <w:top w:val="single" w:sz="4" w:space="0" w:color="FFFFFF" w:themeColor="background1"/>
              <w:left w:val="nil"/>
              <w:bottom w:val="single" w:sz="4" w:space="0" w:color="FFFFFF" w:themeColor="background1"/>
              <w:right w:val="nil"/>
            </w:tcBorders>
            <w:hideMark/>
          </w:tcPr>
          <w:p w14:paraId="0C64C0F5" w14:textId="77777777" w:rsidR="00870C3F" w:rsidRPr="002F1917" w:rsidRDefault="00870C3F" w:rsidP="009C0251">
            <w:pPr>
              <w:pStyle w:val="TableText"/>
              <w:keepNext/>
              <w:keepLines/>
              <w:rPr>
                <w:rFonts w:ascii="Calibri" w:hAnsi="Calibri" w:cs="Calibri"/>
              </w:rPr>
            </w:pPr>
            <w:r w:rsidRPr="002F1917">
              <w:rPr>
                <w:rFonts w:ascii="Calibri" w:hAnsi="Calibri" w:cs="Calibri"/>
              </w:rPr>
              <w:t>Wagering providers required to enter product agreements with sports controlling bodies, where a sports controlling body exists, and only offering contingencies approved or declared by the regulator</w:t>
            </w:r>
          </w:p>
        </w:tc>
      </w:tr>
      <w:tr w:rsidR="00870C3F" w:rsidRPr="002F1917" w14:paraId="2C22B01D" w14:textId="77777777" w:rsidTr="00870C3F">
        <w:trPr>
          <w:cnfStyle w:val="000000010000" w:firstRow="0" w:lastRow="0" w:firstColumn="0" w:lastColumn="0" w:oddVBand="0" w:evenVBand="0" w:oddHBand="0" w:evenHBand="1" w:firstRowFirstColumn="0" w:firstRowLastColumn="0" w:lastRowFirstColumn="0" w:lastRowLastColumn="0"/>
          <w:cantSplit/>
        </w:trPr>
        <w:tc>
          <w:tcPr>
            <w:tcW w:w="2052" w:type="dxa"/>
            <w:tcBorders>
              <w:top w:val="single" w:sz="4" w:space="0" w:color="FFFFFF" w:themeColor="background1"/>
              <w:left w:val="nil"/>
              <w:bottom w:val="single" w:sz="4" w:space="0" w:color="FFFFFF" w:themeColor="background1"/>
              <w:right w:val="nil"/>
            </w:tcBorders>
            <w:hideMark/>
          </w:tcPr>
          <w:p w14:paraId="2F1C7D2F" w14:textId="77777777" w:rsidR="00870C3F" w:rsidRPr="002F1917" w:rsidRDefault="00870C3F" w:rsidP="009C0251">
            <w:pPr>
              <w:pStyle w:val="TableText"/>
              <w:keepNext/>
              <w:keepLines/>
              <w:rPr>
                <w:rFonts w:ascii="Calibri" w:hAnsi="Calibri" w:cs="Calibri"/>
              </w:rPr>
            </w:pPr>
            <w:r w:rsidRPr="002F1917">
              <w:rPr>
                <w:rFonts w:ascii="Calibri" w:hAnsi="Calibri" w:cs="Calibri"/>
              </w:rPr>
              <w:t>VIC</w:t>
            </w:r>
          </w:p>
        </w:tc>
        <w:tc>
          <w:tcPr>
            <w:tcW w:w="7012" w:type="dxa"/>
            <w:tcBorders>
              <w:top w:val="single" w:sz="4" w:space="0" w:color="FFFFFF" w:themeColor="background1"/>
              <w:left w:val="nil"/>
              <w:bottom w:val="single" w:sz="4" w:space="0" w:color="FFFFFF" w:themeColor="background1"/>
              <w:right w:val="nil"/>
            </w:tcBorders>
            <w:hideMark/>
          </w:tcPr>
          <w:p w14:paraId="72FB4212" w14:textId="77777777" w:rsidR="00870C3F" w:rsidRPr="002F1917" w:rsidRDefault="00870C3F" w:rsidP="009C0251">
            <w:pPr>
              <w:pStyle w:val="TableText"/>
              <w:keepNext/>
              <w:keepLines/>
              <w:rPr>
                <w:rFonts w:ascii="Calibri" w:hAnsi="Calibri" w:cs="Calibri"/>
              </w:rPr>
            </w:pPr>
            <w:r w:rsidRPr="002F1917">
              <w:rPr>
                <w:rFonts w:ascii="Calibri" w:hAnsi="Calibri" w:cs="Calibri"/>
              </w:rPr>
              <w:t>Wagering providers required to enter product agreements with sports controlling bodies, where a sports controlling body exists, and only offering contingencies approved or declared by the regulator</w:t>
            </w:r>
          </w:p>
        </w:tc>
      </w:tr>
      <w:tr w:rsidR="00870C3F" w:rsidRPr="002F1917" w14:paraId="26D32470" w14:textId="77777777" w:rsidTr="00870C3F">
        <w:trPr>
          <w:cantSplit/>
        </w:trPr>
        <w:tc>
          <w:tcPr>
            <w:tcW w:w="2052" w:type="dxa"/>
            <w:tcBorders>
              <w:top w:val="single" w:sz="4" w:space="0" w:color="FFFFFF" w:themeColor="background1"/>
              <w:left w:val="nil"/>
              <w:bottom w:val="single" w:sz="4" w:space="0" w:color="FFFFFF" w:themeColor="background1"/>
              <w:right w:val="nil"/>
            </w:tcBorders>
            <w:hideMark/>
          </w:tcPr>
          <w:p w14:paraId="49CB20E0" w14:textId="77777777" w:rsidR="00870C3F" w:rsidRPr="002F1917" w:rsidRDefault="00870C3F" w:rsidP="009C0251">
            <w:pPr>
              <w:pStyle w:val="TableText"/>
              <w:keepNext/>
              <w:keepLines/>
              <w:rPr>
                <w:rFonts w:ascii="Calibri" w:hAnsi="Calibri" w:cs="Calibri"/>
              </w:rPr>
            </w:pPr>
            <w:r w:rsidRPr="002F1917">
              <w:rPr>
                <w:rFonts w:ascii="Calibri" w:hAnsi="Calibri" w:cs="Calibri"/>
              </w:rPr>
              <w:t>NT</w:t>
            </w:r>
          </w:p>
        </w:tc>
        <w:tc>
          <w:tcPr>
            <w:tcW w:w="7012" w:type="dxa"/>
            <w:tcBorders>
              <w:top w:val="single" w:sz="4" w:space="0" w:color="FFFFFF" w:themeColor="background1"/>
              <w:left w:val="nil"/>
              <w:bottom w:val="single" w:sz="4" w:space="0" w:color="FFFFFF" w:themeColor="background1"/>
              <w:right w:val="nil"/>
            </w:tcBorders>
            <w:hideMark/>
          </w:tcPr>
          <w:p w14:paraId="10B91123" w14:textId="77777777" w:rsidR="00870C3F" w:rsidRPr="002F1917" w:rsidRDefault="00870C3F" w:rsidP="009C0251">
            <w:pPr>
              <w:pStyle w:val="TableText"/>
              <w:keepNext/>
              <w:keepLines/>
              <w:rPr>
                <w:rFonts w:ascii="Calibri" w:hAnsi="Calibri" w:cs="Calibri"/>
              </w:rPr>
            </w:pPr>
            <w:r w:rsidRPr="002F1917">
              <w:rPr>
                <w:rFonts w:ascii="Calibri" w:hAnsi="Calibri" w:cs="Calibri"/>
              </w:rPr>
              <w:t xml:space="preserve">List of declared sports. Wagering providers can offer any contingencies on these sports subject to the game or fixture not being restricted to persons under the age of 18 years </w:t>
            </w:r>
          </w:p>
        </w:tc>
      </w:tr>
      <w:tr w:rsidR="00870C3F" w:rsidRPr="002F1917" w14:paraId="70EC0DC0" w14:textId="77777777" w:rsidTr="00870C3F">
        <w:trPr>
          <w:cnfStyle w:val="000000010000" w:firstRow="0" w:lastRow="0" w:firstColumn="0" w:lastColumn="0" w:oddVBand="0" w:evenVBand="0" w:oddHBand="0" w:evenHBand="1" w:firstRowFirstColumn="0" w:firstRowLastColumn="0" w:lastRowFirstColumn="0" w:lastRowLastColumn="0"/>
          <w:cantSplit/>
        </w:trPr>
        <w:tc>
          <w:tcPr>
            <w:tcW w:w="2052" w:type="dxa"/>
            <w:tcBorders>
              <w:top w:val="single" w:sz="4" w:space="0" w:color="FFFFFF" w:themeColor="background1"/>
              <w:left w:val="nil"/>
              <w:bottom w:val="single" w:sz="4" w:space="0" w:color="FFFFFF" w:themeColor="background1"/>
              <w:right w:val="nil"/>
            </w:tcBorders>
            <w:hideMark/>
          </w:tcPr>
          <w:p w14:paraId="0D29A36C" w14:textId="77777777" w:rsidR="00870C3F" w:rsidRPr="002F1917" w:rsidRDefault="00870C3F">
            <w:pPr>
              <w:pStyle w:val="TableText"/>
              <w:rPr>
                <w:rFonts w:ascii="Calibri" w:hAnsi="Calibri" w:cs="Calibri"/>
              </w:rPr>
            </w:pPr>
            <w:r w:rsidRPr="002F1917">
              <w:rPr>
                <w:rFonts w:ascii="Calibri" w:hAnsi="Calibri" w:cs="Calibri"/>
              </w:rPr>
              <w:t>SA</w:t>
            </w:r>
          </w:p>
        </w:tc>
        <w:tc>
          <w:tcPr>
            <w:tcW w:w="7012" w:type="dxa"/>
            <w:tcBorders>
              <w:top w:val="single" w:sz="4" w:space="0" w:color="FFFFFF" w:themeColor="background1"/>
              <w:left w:val="nil"/>
              <w:bottom w:val="single" w:sz="4" w:space="0" w:color="FFFFFF" w:themeColor="background1"/>
              <w:right w:val="nil"/>
            </w:tcBorders>
            <w:hideMark/>
          </w:tcPr>
          <w:p w14:paraId="116F2BB2" w14:textId="77777777" w:rsidR="00870C3F" w:rsidRPr="002F1917" w:rsidRDefault="00870C3F">
            <w:pPr>
              <w:pStyle w:val="TableText"/>
              <w:rPr>
                <w:rFonts w:ascii="Calibri" w:hAnsi="Calibri" w:cs="Calibri"/>
              </w:rPr>
            </w:pPr>
            <w:r w:rsidRPr="002F1917">
              <w:rPr>
                <w:rFonts w:ascii="Calibri" w:hAnsi="Calibri" w:cs="Calibri"/>
              </w:rPr>
              <w:t>List of approved betting contingencies by sport</w:t>
            </w:r>
          </w:p>
        </w:tc>
      </w:tr>
      <w:tr w:rsidR="00870C3F" w:rsidRPr="002F1917" w14:paraId="67ED4EB6" w14:textId="77777777" w:rsidTr="00870C3F">
        <w:trPr>
          <w:cantSplit/>
        </w:trPr>
        <w:tc>
          <w:tcPr>
            <w:tcW w:w="2052" w:type="dxa"/>
            <w:tcBorders>
              <w:top w:val="single" w:sz="4" w:space="0" w:color="FFFFFF" w:themeColor="background1"/>
              <w:left w:val="nil"/>
              <w:bottom w:val="single" w:sz="4" w:space="0" w:color="FFFFFF" w:themeColor="background1"/>
              <w:right w:val="nil"/>
            </w:tcBorders>
            <w:hideMark/>
          </w:tcPr>
          <w:p w14:paraId="2AD86088" w14:textId="77777777" w:rsidR="00870C3F" w:rsidRPr="002F1917" w:rsidRDefault="00870C3F">
            <w:pPr>
              <w:pStyle w:val="TableText"/>
              <w:rPr>
                <w:rFonts w:ascii="Calibri" w:hAnsi="Calibri" w:cs="Calibri"/>
              </w:rPr>
            </w:pPr>
            <w:r w:rsidRPr="002F1917">
              <w:rPr>
                <w:rFonts w:ascii="Calibri" w:hAnsi="Calibri" w:cs="Calibri"/>
              </w:rPr>
              <w:t>ACT</w:t>
            </w:r>
          </w:p>
        </w:tc>
        <w:tc>
          <w:tcPr>
            <w:tcW w:w="7012" w:type="dxa"/>
            <w:tcBorders>
              <w:top w:val="single" w:sz="4" w:space="0" w:color="FFFFFF" w:themeColor="background1"/>
              <w:left w:val="nil"/>
              <w:bottom w:val="single" w:sz="4" w:space="0" w:color="FFFFFF" w:themeColor="background1"/>
              <w:right w:val="nil"/>
            </w:tcBorders>
            <w:hideMark/>
          </w:tcPr>
          <w:p w14:paraId="49FC1CE5" w14:textId="77777777" w:rsidR="00870C3F" w:rsidRPr="002F1917" w:rsidRDefault="00870C3F">
            <w:pPr>
              <w:pStyle w:val="TableText"/>
              <w:rPr>
                <w:rFonts w:ascii="Calibri" w:hAnsi="Calibri" w:cs="Calibri"/>
              </w:rPr>
            </w:pPr>
            <w:r w:rsidRPr="002F1917">
              <w:rPr>
                <w:rFonts w:ascii="Calibri" w:hAnsi="Calibri" w:cs="Calibri"/>
              </w:rPr>
              <w:t xml:space="preserve">List of declared sporting events and classes of events </w:t>
            </w:r>
            <w:proofErr w:type="gramStart"/>
            <w:r w:rsidRPr="002F1917">
              <w:rPr>
                <w:rFonts w:ascii="Calibri" w:hAnsi="Calibri" w:cs="Calibri"/>
              </w:rPr>
              <w:t>e.g.</w:t>
            </w:r>
            <w:proofErr w:type="gramEnd"/>
            <w:r w:rsidRPr="002F1917">
              <w:rPr>
                <w:rFonts w:ascii="Calibri" w:hAnsi="Calibri" w:cs="Calibri"/>
              </w:rPr>
              <w:t xml:space="preserve"> basketball is an event and the Australian National Basketball League is a class of event</w:t>
            </w:r>
          </w:p>
        </w:tc>
      </w:tr>
      <w:tr w:rsidR="00870C3F" w:rsidRPr="002F1917" w14:paraId="3C5F3259" w14:textId="77777777" w:rsidTr="00870C3F">
        <w:trPr>
          <w:cnfStyle w:val="000000010000" w:firstRow="0" w:lastRow="0" w:firstColumn="0" w:lastColumn="0" w:oddVBand="0" w:evenVBand="0" w:oddHBand="0" w:evenHBand="1" w:firstRowFirstColumn="0" w:firstRowLastColumn="0" w:lastRowFirstColumn="0" w:lastRowLastColumn="0"/>
          <w:cantSplit/>
        </w:trPr>
        <w:tc>
          <w:tcPr>
            <w:tcW w:w="2052" w:type="dxa"/>
            <w:tcBorders>
              <w:top w:val="single" w:sz="4" w:space="0" w:color="FFFFFF" w:themeColor="background1"/>
              <w:left w:val="nil"/>
              <w:bottom w:val="single" w:sz="4" w:space="0" w:color="FFFFFF" w:themeColor="background1"/>
              <w:right w:val="nil"/>
            </w:tcBorders>
            <w:hideMark/>
          </w:tcPr>
          <w:p w14:paraId="15F18DF0" w14:textId="77777777" w:rsidR="00870C3F" w:rsidRPr="002F1917" w:rsidRDefault="00870C3F">
            <w:pPr>
              <w:pStyle w:val="TableText"/>
              <w:rPr>
                <w:rFonts w:ascii="Calibri" w:hAnsi="Calibri" w:cs="Calibri"/>
                <w:highlight w:val="cyan"/>
              </w:rPr>
            </w:pPr>
            <w:r w:rsidRPr="002F1917">
              <w:rPr>
                <w:rFonts w:ascii="Calibri" w:hAnsi="Calibri" w:cs="Calibri"/>
              </w:rPr>
              <w:t>QLD</w:t>
            </w:r>
          </w:p>
        </w:tc>
        <w:tc>
          <w:tcPr>
            <w:tcW w:w="7012" w:type="dxa"/>
            <w:tcBorders>
              <w:top w:val="single" w:sz="4" w:space="0" w:color="FFFFFF" w:themeColor="background1"/>
              <w:left w:val="nil"/>
              <w:bottom w:val="single" w:sz="4" w:space="0" w:color="FFFFFF" w:themeColor="background1"/>
              <w:right w:val="nil"/>
            </w:tcBorders>
            <w:hideMark/>
          </w:tcPr>
          <w:p w14:paraId="6EDEE04A" w14:textId="77777777" w:rsidR="00870C3F" w:rsidRPr="002F1917" w:rsidRDefault="00870C3F">
            <w:pPr>
              <w:pStyle w:val="TableText"/>
              <w:rPr>
                <w:rFonts w:ascii="Calibri" w:hAnsi="Calibri" w:cs="Calibri"/>
              </w:rPr>
            </w:pPr>
            <w:r w:rsidRPr="002F1917">
              <w:rPr>
                <w:rFonts w:ascii="Calibri" w:hAnsi="Calibri" w:cs="Calibri"/>
              </w:rPr>
              <w:t>Do not have a list of approved contingencies.</w:t>
            </w:r>
          </w:p>
          <w:p w14:paraId="774F683F" w14:textId="77777777" w:rsidR="00870C3F" w:rsidRPr="002F1917" w:rsidRDefault="00870C3F">
            <w:pPr>
              <w:pStyle w:val="TableText"/>
              <w:rPr>
                <w:rFonts w:ascii="Calibri" w:hAnsi="Calibri" w:cs="Calibri"/>
                <w:highlight w:val="cyan"/>
              </w:rPr>
            </w:pPr>
            <w:r w:rsidRPr="002F1917">
              <w:rPr>
                <w:rFonts w:ascii="Calibri" w:hAnsi="Calibri" w:cs="Calibri"/>
              </w:rPr>
              <w:t>The exclusive wagering licensee is authorised to conduct wagering on sporting events and contingencies in accordance with the Wagering Rule 2010.</w:t>
            </w:r>
          </w:p>
        </w:tc>
      </w:tr>
      <w:tr w:rsidR="00870C3F" w:rsidRPr="002F1917" w14:paraId="500A88B1" w14:textId="77777777" w:rsidTr="00870C3F">
        <w:trPr>
          <w:cantSplit/>
        </w:trPr>
        <w:tc>
          <w:tcPr>
            <w:tcW w:w="2052" w:type="dxa"/>
            <w:tcBorders>
              <w:top w:val="single" w:sz="4" w:space="0" w:color="FFFFFF" w:themeColor="background1"/>
              <w:left w:val="nil"/>
              <w:bottom w:val="single" w:sz="4" w:space="0" w:color="FFFFFF" w:themeColor="background1"/>
              <w:right w:val="nil"/>
            </w:tcBorders>
            <w:hideMark/>
          </w:tcPr>
          <w:p w14:paraId="2B1B44BE" w14:textId="77777777" w:rsidR="00870C3F" w:rsidRPr="002F1917" w:rsidRDefault="00870C3F">
            <w:pPr>
              <w:pStyle w:val="TableText"/>
              <w:rPr>
                <w:rFonts w:ascii="Calibri" w:hAnsi="Calibri" w:cs="Calibri"/>
              </w:rPr>
            </w:pPr>
            <w:r w:rsidRPr="002F1917">
              <w:rPr>
                <w:rFonts w:ascii="Calibri" w:hAnsi="Calibri" w:cs="Calibri"/>
              </w:rPr>
              <w:t>TAS</w:t>
            </w:r>
          </w:p>
        </w:tc>
        <w:tc>
          <w:tcPr>
            <w:tcW w:w="7012" w:type="dxa"/>
            <w:tcBorders>
              <w:top w:val="single" w:sz="4" w:space="0" w:color="FFFFFF" w:themeColor="background1"/>
              <w:left w:val="nil"/>
              <w:bottom w:val="single" w:sz="4" w:space="0" w:color="FFFFFF" w:themeColor="background1"/>
              <w:right w:val="nil"/>
            </w:tcBorders>
            <w:hideMark/>
          </w:tcPr>
          <w:p w14:paraId="502900A5" w14:textId="77777777" w:rsidR="00870C3F" w:rsidRPr="002F1917" w:rsidRDefault="00870C3F">
            <w:pPr>
              <w:pStyle w:val="TableText"/>
              <w:rPr>
                <w:rFonts w:ascii="Calibri" w:hAnsi="Calibri" w:cs="Calibri"/>
              </w:rPr>
            </w:pPr>
            <w:r w:rsidRPr="002F1917">
              <w:rPr>
                <w:rFonts w:ascii="Calibri" w:hAnsi="Calibri" w:cs="Calibri"/>
              </w:rPr>
              <w:t>List of declared sports. Wagering providers can offer any contingencies on these sports</w:t>
            </w:r>
          </w:p>
        </w:tc>
      </w:tr>
      <w:tr w:rsidR="00870C3F" w:rsidRPr="002F1917" w14:paraId="026FEA5F" w14:textId="77777777" w:rsidTr="00870C3F">
        <w:trPr>
          <w:cnfStyle w:val="000000010000" w:firstRow="0" w:lastRow="0" w:firstColumn="0" w:lastColumn="0" w:oddVBand="0" w:evenVBand="0" w:oddHBand="0" w:evenHBand="1" w:firstRowFirstColumn="0" w:firstRowLastColumn="0" w:lastRowFirstColumn="0" w:lastRowLastColumn="0"/>
          <w:cantSplit/>
        </w:trPr>
        <w:tc>
          <w:tcPr>
            <w:tcW w:w="6" w:type="dxa"/>
            <w:tcBorders>
              <w:top w:val="single" w:sz="4" w:space="0" w:color="FFFFFF" w:themeColor="background1"/>
              <w:left w:val="nil"/>
              <w:bottom w:val="single" w:sz="4" w:space="0" w:color="FFFFFF" w:themeColor="background1"/>
              <w:right w:val="nil"/>
            </w:tcBorders>
            <w:hideMark/>
          </w:tcPr>
          <w:p w14:paraId="3F2AC478" w14:textId="77777777" w:rsidR="00870C3F" w:rsidRPr="002F1917" w:rsidRDefault="00870C3F">
            <w:pPr>
              <w:pStyle w:val="TableText"/>
              <w:rPr>
                <w:rFonts w:ascii="Calibri" w:hAnsi="Calibri" w:cs="Calibri"/>
                <w:highlight w:val="cyan"/>
              </w:rPr>
            </w:pPr>
            <w:r w:rsidRPr="002F1917">
              <w:rPr>
                <w:rFonts w:ascii="Calibri" w:hAnsi="Calibri" w:cs="Calibri"/>
              </w:rPr>
              <w:t>WA</w:t>
            </w:r>
          </w:p>
        </w:tc>
        <w:tc>
          <w:tcPr>
            <w:tcW w:w="6" w:type="dxa"/>
            <w:tcBorders>
              <w:top w:val="single" w:sz="4" w:space="0" w:color="FFFFFF" w:themeColor="background1"/>
              <w:left w:val="nil"/>
              <w:bottom w:val="single" w:sz="4" w:space="0" w:color="FFFFFF" w:themeColor="background1"/>
              <w:right w:val="nil"/>
            </w:tcBorders>
            <w:hideMark/>
          </w:tcPr>
          <w:p w14:paraId="66C00516" w14:textId="77777777" w:rsidR="00870C3F" w:rsidRPr="002F1917" w:rsidRDefault="00870C3F">
            <w:pPr>
              <w:pStyle w:val="TableText"/>
              <w:rPr>
                <w:rFonts w:ascii="Calibri" w:hAnsi="Calibri" w:cs="Calibri"/>
              </w:rPr>
            </w:pPr>
            <w:r w:rsidRPr="002F1917">
              <w:rPr>
                <w:rFonts w:ascii="Calibri" w:hAnsi="Calibri" w:cs="Calibri"/>
              </w:rPr>
              <w:t xml:space="preserve">List of approved betting contingencies. </w:t>
            </w:r>
          </w:p>
          <w:p w14:paraId="6F90007F" w14:textId="77777777" w:rsidR="00870C3F" w:rsidRPr="002F1917" w:rsidRDefault="00870C3F">
            <w:pPr>
              <w:pStyle w:val="TableText"/>
              <w:rPr>
                <w:rFonts w:ascii="Calibri" w:hAnsi="Calibri" w:cs="Calibri"/>
                <w:highlight w:val="cyan"/>
              </w:rPr>
            </w:pPr>
            <w:r w:rsidRPr="002F1917">
              <w:rPr>
                <w:rFonts w:ascii="Calibri" w:hAnsi="Calibri" w:cs="Calibri"/>
              </w:rPr>
              <w:t>Licensed bookmakers in Western Australia with a sports endorsement are permitted to offer sports markets and contingencies that have been approved by the Gaming and Wagering Commission under section 4B of the Betting Control Act 1954.</w:t>
            </w:r>
          </w:p>
        </w:tc>
      </w:tr>
    </w:tbl>
    <w:p w14:paraId="1A7EF716" w14:textId="77777777" w:rsidR="00870C3F" w:rsidRPr="005B2A21" w:rsidRDefault="00870C3F" w:rsidP="00870C3F">
      <w:pPr>
        <w:spacing w:after="320"/>
        <w:rPr>
          <w:rFonts w:ascii="Calibri" w:eastAsia="Times New Roman" w:hAnsi="Calibri" w:cs="Calibri"/>
          <w:color w:val="auto"/>
          <w:sz w:val="21"/>
        </w:rPr>
      </w:pPr>
      <w:r w:rsidRPr="005B2A21">
        <w:rPr>
          <w:rFonts w:ascii="Calibri" w:hAnsi="Calibri" w:cs="Calibri"/>
          <w:i/>
          <w:color w:val="auto"/>
          <w:sz w:val="16"/>
          <w:szCs w:val="16"/>
        </w:rPr>
        <w:t>Source: Respective state and territory regulators</w:t>
      </w:r>
    </w:p>
    <w:p w14:paraId="13D9BFCB" w14:textId="77777777" w:rsidR="00870C3F" w:rsidRPr="002F1917" w:rsidRDefault="00870C3F" w:rsidP="00870C3F">
      <w:pPr>
        <w:rPr>
          <w:rFonts w:ascii="Calibri" w:hAnsi="Calibri" w:cs="Calibri"/>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284" w:type="dxa"/>
          <w:right w:w="284" w:type="dxa"/>
        </w:tblCellMar>
        <w:tblLook w:val="04A0" w:firstRow="1" w:lastRow="0" w:firstColumn="1" w:lastColumn="0" w:noHBand="0" w:noVBand="1"/>
      </w:tblPr>
      <w:tblGrid>
        <w:gridCol w:w="9064"/>
      </w:tblGrid>
      <w:tr w:rsidR="00870C3F" w:rsidRPr="002F1917" w14:paraId="3AF463A1" w14:textId="77777777" w:rsidTr="00870C3F">
        <w:trPr>
          <w:trHeight w:val="284"/>
          <w:jc w:val="center"/>
        </w:trPr>
        <w:tc>
          <w:tcPr>
            <w:tcW w:w="9350" w:type="dxa"/>
            <w:shd w:val="clear" w:color="auto" w:fill="F2F2F2" w:themeFill="background1" w:themeFillShade="F2"/>
            <w:vAlign w:val="bottom"/>
          </w:tcPr>
          <w:p w14:paraId="239F8D17" w14:textId="77777777" w:rsidR="00870C3F" w:rsidRPr="002F1917" w:rsidRDefault="00870C3F">
            <w:pPr>
              <w:pStyle w:val="CalloutBoxcaption"/>
              <w:keepNext/>
              <w:numPr>
                <w:ilvl w:val="0"/>
                <w:numId w:val="0"/>
              </w:numPr>
              <w:rPr>
                <w:rFonts w:ascii="Calibri" w:hAnsi="Calibri" w:cs="Calibri"/>
              </w:rPr>
            </w:pPr>
          </w:p>
        </w:tc>
      </w:tr>
      <w:tr w:rsidR="00870C3F" w:rsidRPr="002F1917" w14:paraId="79534534" w14:textId="77777777" w:rsidTr="00870C3F">
        <w:trPr>
          <w:jc w:val="center"/>
        </w:trPr>
        <w:tc>
          <w:tcPr>
            <w:tcW w:w="9350" w:type="dxa"/>
            <w:shd w:val="clear" w:color="auto" w:fill="F2F2F2" w:themeFill="background1" w:themeFillShade="F2"/>
            <w:vAlign w:val="bottom"/>
            <w:hideMark/>
          </w:tcPr>
          <w:p w14:paraId="4C9EDAC6" w14:textId="77777777" w:rsidR="00870C3F" w:rsidRPr="002F1917" w:rsidRDefault="00870C3F">
            <w:pPr>
              <w:pStyle w:val="CalloutBoxcaption"/>
              <w:keepNext/>
              <w:tabs>
                <w:tab w:val="num" w:pos="360"/>
              </w:tabs>
              <w:rPr>
                <w:rFonts w:ascii="Calibri" w:hAnsi="Calibri" w:cs="Calibri"/>
              </w:rPr>
            </w:pPr>
            <w:r w:rsidRPr="002F1917">
              <w:rPr>
                <w:rFonts w:ascii="Calibri" w:hAnsi="Calibri" w:cs="Calibri"/>
                <w:b/>
              </w:rPr>
              <w:t>:</w:t>
            </w:r>
            <w:r w:rsidRPr="002F1917">
              <w:rPr>
                <w:rFonts w:ascii="Calibri" w:hAnsi="Calibri" w:cs="Calibri"/>
              </w:rPr>
              <w:t xml:space="preserve"> Macolin Convention</w:t>
            </w:r>
          </w:p>
          <w:p w14:paraId="053BBC1E" w14:textId="77777777" w:rsidR="00870C3F" w:rsidRPr="002F1917" w:rsidRDefault="00870C3F">
            <w:pPr>
              <w:rPr>
                <w:rFonts w:ascii="Calibri" w:hAnsi="Calibri" w:cs="Calibri"/>
                <w:sz w:val="20"/>
              </w:rPr>
            </w:pPr>
            <w:r w:rsidRPr="002F1917">
              <w:rPr>
                <w:rFonts w:ascii="Calibri" w:hAnsi="Calibri" w:cs="Calibri"/>
                <w:sz w:val="20"/>
              </w:rPr>
              <w:t xml:space="preserve">In February 2019, the Commonwealth Government signed the Macolin Convention, the only multi-lateral treaty aiming to prevent, detect, </w:t>
            </w:r>
            <w:proofErr w:type="gramStart"/>
            <w:r w:rsidRPr="002F1917">
              <w:rPr>
                <w:rFonts w:ascii="Calibri" w:hAnsi="Calibri" w:cs="Calibri"/>
                <w:sz w:val="20"/>
              </w:rPr>
              <w:t>punish</w:t>
            </w:r>
            <w:proofErr w:type="gramEnd"/>
            <w:r w:rsidRPr="002F1917">
              <w:rPr>
                <w:rFonts w:ascii="Calibri" w:hAnsi="Calibri" w:cs="Calibri"/>
                <w:sz w:val="20"/>
              </w:rPr>
              <w:t xml:space="preserve"> and discipline the manipulation of sports competitions, as well as enhance the exchange of information and national and international cooperation between the public authorities concerned and with sports organisations and sports betting operators</w:t>
            </w:r>
            <w:r w:rsidRPr="002F1917">
              <w:rPr>
                <w:rStyle w:val="FootnoteReference"/>
                <w:rFonts w:ascii="Calibri" w:hAnsi="Calibri" w:cs="Calibri"/>
                <w:sz w:val="20"/>
              </w:rPr>
              <w:footnoteReference w:id="4"/>
            </w:r>
            <w:r w:rsidRPr="002F1917">
              <w:rPr>
                <w:rFonts w:ascii="Calibri" w:hAnsi="Calibri" w:cs="Calibri"/>
                <w:sz w:val="20"/>
              </w:rPr>
              <w:t xml:space="preserve">. </w:t>
            </w:r>
          </w:p>
          <w:p w14:paraId="5FAC8ABC" w14:textId="77777777" w:rsidR="00870C3F" w:rsidRPr="002F1917" w:rsidRDefault="00870C3F">
            <w:pPr>
              <w:rPr>
                <w:rFonts w:ascii="Calibri" w:hAnsi="Calibri" w:cs="Calibri"/>
                <w:i/>
                <w:color w:val="auto"/>
                <w:sz w:val="16"/>
                <w:szCs w:val="16"/>
              </w:rPr>
            </w:pPr>
            <w:r w:rsidRPr="002F1917">
              <w:rPr>
                <w:rFonts w:ascii="Calibri" w:hAnsi="Calibri" w:cs="Calibri"/>
                <w:sz w:val="20"/>
              </w:rPr>
              <w:t>Australia is an active participant in the Macolin Convention and already engages formally with other national platforms.</w:t>
            </w:r>
            <w:r w:rsidRPr="002F1917">
              <w:rPr>
                <w:rStyle w:val="FootnoteReference"/>
                <w:rFonts w:ascii="Calibri" w:hAnsi="Calibri" w:cs="Calibri"/>
                <w:sz w:val="20"/>
              </w:rPr>
              <w:footnoteReference w:id="5"/>
            </w:r>
            <w:r w:rsidRPr="002F1917">
              <w:rPr>
                <w:rFonts w:ascii="Calibri" w:hAnsi="Calibri" w:cs="Calibri"/>
                <w:sz w:val="20"/>
              </w:rPr>
              <w:t xml:space="preserve"> By engaging formally with the Macolin Community, Australia is empowered to create a fully effective national platform to enhance detection of, and nationally coordinate responses to, sports competition manipulation and obtain formal ongoing access to international counterparts.</w:t>
            </w:r>
          </w:p>
        </w:tc>
      </w:tr>
      <w:tr w:rsidR="00870C3F" w:rsidRPr="002F1917" w14:paraId="40966515" w14:textId="77777777" w:rsidTr="00870C3F">
        <w:trPr>
          <w:trHeight w:val="284"/>
          <w:jc w:val="center"/>
        </w:trPr>
        <w:tc>
          <w:tcPr>
            <w:tcW w:w="9350" w:type="dxa"/>
            <w:shd w:val="clear" w:color="auto" w:fill="F2F2F2" w:themeFill="background1" w:themeFillShade="F2"/>
            <w:vAlign w:val="bottom"/>
          </w:tcPr>
          <w:p w14:paraId="0A92E636" w14:textId="77777777" w:rsidR="00870C3F" w:rsidRPr="002F1917" w:rsidRDefault="00870C3F">
            <w:pPr>
              <w:pStyle w:val="CalloutBoxcaption"/>
              <w:numPr>
                <w:ilvl w:val="0"/>
                <w:numId w:val="0"/>
              </w:numPr>
              <w:rPr>
                <w:rFonts w:ascii="Calibri" w:hAnsi="Calibri" w:cs="Calibri"/>
              </w:rPr>
            </w:pPr>
          </w:p>
        </w:tc>
      </w:tr>
    </w:tbl>
    <w:p w14:paraId="64B0AAB2" w14:textId="3765915F" w:rsidR="00870C3F" w:rsidRPr="002F1917" w:rsidRDefault="004104F6" w:rsidP="00204AA1">
      <w:pPr>
        <w:pStyle w:val="Heading2"/>
        <w:numPr>
          <w:ilvl w:val="1"/>
          <w:numId w:val="26"/>
        </w:numPr>
        <w:suppressAutoHyphens w:val="0"/>
        <w:spacing w:after="120" w:line="280" w:lineRule="auto"/>
        <w:rPr>
          <w:rFonts w:ascii="Calibri" w:eastAsia="MS Gothic" w:hAnsi="Calibri" w:cs="Calibri"/>
          <w:sz w:val="26"/>
        </w:rPr>
      </w:pPr>
      <w:bookmarkStart w:id="55" w:name="_Toc39219871"/>
      <w:bookmarkStart w:id="56" w:name="_Toc85450750"/>
      <w:r w:rsidRPr="002F1917">
        <w:rPr>
          <w:rFonts w:ascii="Calibri" w:hAnsi="Calibri" w:cs="Calibri"/>
          <w:sz w:val="26"/>
        </w:rPr>
        <w:t xml:space="preserve"> </w:t>
      </w:r>
      <w:bookmarkStart w:id="57" w:name="_Toc85792409"/>
      <w:r w:rsidR="00870C3F" w:rsidRPr="002F1917">
        <w:rPr>
          <w:rFonts w:ascii="Calibri" w:hAnsi="Calibri" w:cs="Calibri"/>
          <w:sz w:val="26"/>
        </w:rPr>
        <w:t>Information sharing</w:t>
      </w:r>
      <w:bookmarkEnd w:id="55"/>
      <w:bookmarkEnd w:id="56"/>
      <w:bookmarkEnd w:id="57"/>
    </w:p>
    <w:p w14:paraId="68916739" w14:textId="77777777" w:rsidR="00870C3F" w:rsidRPr="002F1917" w:rsidRDefault="00870C3F" w:rsidP="00870C3F">
      <w:pPr>
        <w:pStyle w:val="BodyText"/>
        <w:rPr>
          <w:rFonts w:ascii="Calibri" w:hAnsi="Calibri" w:cs="Calibri"/>
        </w:rPr>
      </w:pPr>
      <w:r w:rsidRPr="002F1917">
        <w:rPr>
          <w:rFonts w:ascii="Calibri" w:hAnsi="Calibri" w:cs="Calibri"/>
        </w:rPr>
        <w:t>From a sport integrity perspective, an important avenue for information sharing is through product agreements required for sports controlling bodies in Victoria and New South Wales. These product agreements include minimum requirements for the sharing of information between wagering providers and sports controllers for the purposes of protecting and supporting the integrity of sports and sports wagering. This information sharing can include periodic reporting, data relating to specific concerns and audit requests being provided from wagering providers to sports controllers.</w:t>
      </w:r>
    </w:p>
    <w:p w14:paraId="2D31D983" w14:textId="77777777" w:rsidR="00870C3F" w:rsidRPr="002F1917" w:rsidRDefault="00870C3F" w:rsidP="00870C3F">
      <w:pPr>
        <w:pStyle w:val="BodyText"/>
        <w:rPr>
          <w:rFonts w:ascii="Calibri" w:hAnsi="Calibri" w:cs="Calibri"/>
        </w:rPr>
      </w:pPr>
      <w:r w:rsidRPr="002F1917">
        <w:rPr>
          <w:rFonts w:ascii="Calibri" w:hAnsi="Calibri" w:cs="Calibri"/>
        </w:rPr>
        <w:t xml:space="preserve">At present the key authority with respect to data sharing is the Sports Betting Integrity Unit at the Australian Criminal Intelligence Commission. They have functions with respect to data collection, use and sharing. </w:t>
      </w:r>
    </w:p>
    <w:p w14:paraId="6C724E54" w14:textId="77777777" w:rsidR="00870C3F" w:rsidRPr="002F1917" w:rsidRDefault="00870C3F" w:rsidP="00870C3F">
      <w:pPr>
        <w:pStyle w:val="BodyText"/>
        <w:rPr>
          <w:rFonts w:ascii="Calibri" w:hAnsi="Calibri" w:cs="Calibri"/>
        </w:rPr>
      </w:pPr>
      <w:r w:rsidRPr="002F1917">
        <w:rPr>
          <w:rFonts w:ascii="Calibri" w:hAnsi="Calibri" w:cs="Calibri"/>
        </w:rPr>
        <w:t>From a wagering providers and sports controller perspective, data providers currently play an important role both with respect to providing the statistics required to create betting markets and in offering services to identifying suspicious betting patterns. Wagering providers also have their own systems for the detection of suspicious betting patterns.</w:t>
      </w:r>
    </w:p>
    <w:p w14:paraId="7833E140" w14:textId="77777777" w:rsidR="00870C3F" w:rsidRPr="002F1917" w:rsidRDefault="00870C3F" w:rsidP="00870C3F">
      <w:pPr>
        <w:pStyle w:val="BodyText"/>
        <w:rPr>
          <w:rFonts w:ascii="Calibri" w:hAnsi="Calibri" w:cs="Calibri"/>
        </w:rPr>
      </w:pPr>
      <w:r w:rsidRPr="002F1917">
        <w:rPr>
          <w:rFonts w:ascii="Calibri" w:hAnsi="Calibri" w:cs="Calibri"/>
        </w:rPr>
        <w:t xml:space="preserve">In addition, wagering providers have information sharing requirements related to their license requirements. This data relates to broader regulatory compliance, </w:t>
      </w:r>
      <w:proofErr w:type="gramStart"/>
      <w:r w:rsidRPr="002F1917">
        <w:rPr>
          <w:rFonts w:ascii="Calibri" w:hAnsi="Calibri" w:cs="Calibri"/>
        </w:rPr>
        <w:t>tax</w:t>
      </w:r>
      <w:proofErr w:type="gramEnd"/>
      <w:r w:rsidRPr="002F1917">
        <w:rPr>
          <w:rFonts w:ascii="Calibri" w:hAnsi="Calibri" w:cs="Calibri"/>
        </w:rPr>
        <w:t xml:space="preserve"> and consumer disputes rather than sport integrity.</w:t>
      </w:r>
    </w:p>
    <w:p w14:paraId="79555473" w14:textId="4E86A90D" w:rsidR="00870C3F" w:rsidRPr="002F1917" w:rsidRDefault="004104F6" w:rsidP="00204AA1">
      <w:pPr>
        <w:pStyle w:val="Heading2"/>
        <w:numPr>
          <w:ilvl w:val="1"/>
          <w:numId w:val="26"/>
        </w:numPr>
        <w:suppressAutoHyphens w:val="0"/>
        <w:spacing w:after="120" w:line="280" w:lineRule="auto"/>
        <w:rPr>
          <w:rFonts w:ascii="Calibri" w:hAnsi="Calibri" w:cs="Calibri"/>
          <w:sz w:val="26"/>
        </w:rPr>
      </w:pPr>
      <w:bookmarkStart w:id="58" w:name="_Toc39219873"/>
      <w:bookmarkStart w:id="59" w:name="_Toc85450751"/>
      <w:r w:rsidRPr="002F1917">
        <w:rPr>
          <w:rFonts w:ascii="Calibri" w:hAnsi="Calibri" w:cs="Calibri"/>
          <w:sz w:val="26"/>
        </w:rPr>
        <w:t xml:space="preserve"> </w:t>
      </w:r>
      <w:bookmarkStart w:id="60" w:name="_Toc85792410"/>
      <w:r w:rsidR="00870C3F" w:rsidRPr="002F1917">
        <w:rPr>
          <w:rFonts w:ascii="Calibri" w:hAnsi="Calibri" w:cs="Calibri"/>
          <w:sz w:val="26"/>
        </w:rPr>
        <w:t>Revenue and funding</w:t>
      </w:r>
      <w:bookmarkEnd w:id="58"/>
      <w:bookmarkEnd w:id="59"/>
      <w:bookmarkEnd w:id="60"/>
    </w:p>
    <w:p w14:paraId="5995B7E3" w14:textId="77777777" w:rsidR="00870C3F" w:rsidRPr="002F1917" w:rsidRDefault="00870C3F" w:rsidP="00870C3F">
      <w:pPr>
        <w:pStyle w:val="BodyText"/>
        <w:rPr>
          <w:rFonts w:ascii="Calibri" w:hAnsi="Calibri" w:cs="Calibri"/>
        </w:rPr>
      </w:pPr>
      <w:r w:rsidRPr="002F1917">
        <w:rPr>
          <w:rFonts w:ascii="Calibri" w:hAnsi="Calibri" w:cs="Calibri"/>
        </w:rPr>
        <w:t xml:space="preserve">Revenue and funding are important aspects of regulatory design. However, they are often structured as required after a preferred regulatory design is chosen and are not likely to dictate or influence the selection of a preferred regulatory option. </w:t>
      </w:r>
    </w:p>
    <w:p w14:paraId="5FBC5FE5" w14:textId="77777777" w:rsidR="00870C3F" w:rsidRPr="002F1917" w:rsidRDefault="00870C3F" w:rsidP="00870C3F">
      <w:pPr>
        <w:pStyle w:val="BodyText"/>
        <w:rPr>
          <w:rFonts w:ascii="Calibri" w:hAnsi="Calibri" w:cs="Calibri"/>
        </w:rPr>
      </w:pPr>
      <w:r w:rsidRPr="002F1917">
        <w:rPr>
          <w:rFonts w:ascii="Calibri" w:hAnsi="Calibri" w:cs="Calibri"/>
        </w:rPr>
        <w:t>We briefly discuss the base case revenue and funding in this section bearing in mind they may be revised partially or in full depending on the final regulatory design for the ASWS to meet key principles.</w:t>
      </w:r>
    </w:p>
    <w:p w14:paraId="58B7CBA0" w14:textId="77777777" w:rsidR="00870C3F" w:rsidRPr="002F1917" w:rsidRDefault="00870C3F" w:rsidP="004104F6">
      <w:pPr>
        <w:pStyle w:val="Heading3"/>
        <w:rPr>
          <w:rFonts w:ascii="Calibri" w:hAnsi="Calibri" w:cs="Calibri"/>
          <w:sz w:val="20"/>
          <w:szCs w:val="28"/>
        </w:rPr>
      </w:pPr>
      <w:bookmarkStart w:id="61" w:name="_Toc39219874"/>
      <w:bookmarkStart w:id="62" w:name="_Toc39220343"/>
      <w:bookmarkStart w:id="63" w:name="_Toc85450752"/>
      <w:r w:rsidRPr="002F1917">
        <w:rPr>
          <w:rFonts w:ascii="Calibri" w:hAnsi="Calibri" w:cs="Calibri"/>
          <w:sz w:val="20"/>
          <w:szCs w:val="28"/>
        </w:rPr>
        <w:lastRenderedPageBreak/>
        <w:t>Sports</w:t>
      </w:r>
      <w:bookmarkEnd w:id="61"/>
      <w:bookmarkEnd w:id="62"/>
      <w:bookmarkEnd w:id="63"/>
    </w:p>
    <w:p w14:paraId="1E0BA77F" w14:textId="77777777" w:rsidR="00870C3F" w:rsidRPr="002F1917" w:rsidRDefault="00870C3F" w:rsidP="00870C3F">
      <w:pPr>
        <w:pStyle w:val="BodyText"/>
        <w:rPr>
          <w:rFonts w:ascii="Calibri" w:hAnsi="Calibri" w:cs="Calibri"/>
        </w:rPr>
      </w:pPr>
      <w:r w:rsidRPr="002F1917">
        <w:rPr>
          <w:rFonts w:ascii="Calibri" w:hAnsi="Calibri" w:cs="Calibri"/>
        </w:rPr>
        <w:t xml:space="preserve">From a </w:t>
      </w:r>
      <w:proofErr w:type="gramStart"/>
      <w:r w:rsidRPr="002F1917">
        <w:rPr>
          <w:rFonts w:ascii="Calibri" w:hAnsi="Calibri" w:cs="Calibri"/>
        </w:rPr>
        <w:t>sports</w:t>
      </w:r>
      <w:proofErr w:type="gramEnd"/>
      <w:r w:rsidRPr="002F1917">
        <w:rPr>
          <w:rFonts w:ascii="Calibri" w:hAnsi="Calibri" w:cs="Calibri"/>
        </w:rPr>
        <w:t xml:space="preserve"> wagering perspective, the key revenue stream for integrity is through product agreements to sports controllers. Sports controllers can enter into more product agreements with more wagering providers, and by doing so may receive more revenue, which is consistent with the understanding more costs are incurred by them to detect and enforce integrity matters in more events against more wagering providers.</w:t>
      </w:r>
    </w:p>
    <w:p w14:paraId="40257BF8" w14:textId="77777777" w:rsidR="00870C3F" w:rsidRPr="002F1917" w:rsidRDefault="00870C3F" w:rsidP="00870C3F">
      <w:pPr>
        <w:pStyle w:val="BodyText"/>
        <w:rPr>
          <w:rFonts w:ascii="Calibri" w:hAnsi="Calibri" w:cs="Calibri"/>
        </w:rPr>
      </w:pPr>
      <w:r w:rsidRPr="002F1917">
        <w:rPr>
          <w:rFonts w:ascii="Calibri" w:hAnsi="Calibri" w:cs="Calibri"/>
        </w:rPr>
        <w:t>It is noted sports may also receive Government funding. At present 61 national sporting organisations are funded by Sport Australia for various purposes largely focussed on high performance sport and sport business outcomes.</w:t>
      </w:r>
      <w:r w:rsidRPr="002F1917">
        <w:rPr>
          <w:rStyle w:val="FootnoteReference"/>
          <w:rFonts w:ascii="Calibri" w:hAnsi="Calibri" w:cs="Calibri"/>
        </w:rPr>
        <w:footnoteReference w:id="6"/>
      </w:r>
      <w:r w:rsidRPr="002F1917">
        <w:rPr>
          <w:rFonts w:ascii="Calibri" w:hAnsi="Calibri" w:cs="Calibri"/>
        </w:rPr>
        <w:t xml:space="preserve"> At present none of this funding is allocated solely with respect to integrity.</w:t>
      </w:r>
    </w:p>
    <w:p w14:paraId="7911A1D9" w14:textId="77777777" w:rsidR="00870C3F" w:rsidRPr="002F1917" w:rsidRDefault="00870C3F" w:rsidP="004104F6">
      <w:pPr>
        <w:pStyle w:val="Heading3"/>
        <w:rPr>
          <w:rFonts w:ascii="Calibri" w:hAnsi="Calibri" w:cs="Calibri"/>
          <w:sz w:val="20"/>
          <w:szCs w:val="28"/>
        </w:rPr>
      </w:pPr>
      <w:bookmarkStart w:id="64" w:name="_Toc39219875"/>
      <w:bookmarkStart w:id="65" w:name="_Toc39220344"/>
      <w:bookmarkStart w:id="66" w:name="_Toc85450753"/>
      <w:r w:rsidRPr="002F1917">
        <w:rPr>
          <w:rFonts w:ascii="Calibri" w:hAnsi="Calibri" w:cs="Calibri"/>
          <w:sz w:val="20"/>
          <w:szCs w:val="28"/>
        </w:rPr>
        <w:t>Wagering providers</w:t>
      </w:r>
      <w:bookmarkEnd w:id="64"/>
      <w:bookmarkEnd w:id="65"/>
      <w:bookmarkEnd w:id="66"/>
    </w:p>
    <w:p w14:paraId="347AE9FC" w14:textId="684E9720" w:rsidR="00870C3F" w:rsidRPr="002F1917" w:rsidRDefault="00870C3F" w:rsidP="00870C3F">
      <w:pPr>
        <w:pStyle w:val="BodyText"/>
        <w:rPr>
          <w:rFonts w:ascii="Calibri" w:hAnsi="Calibri" w:cs="Calibri"/>
        </w:rPr>
      </w:pPr>
      <w:bookmarkStart w:id="67" w:name="_Hlk32832596"/>
      <w:r w:rsidRPr="002F1917">
        <w:rPr>
          <w:rFonts w:ascii="Calibri" w:hAnsi="Calibri" w:cs="Calibri"/>
        </w:rPr>
        <w:t xml:space="preserve">Wagering providers are on the opposite side of the equation with respect to revenue. Clearly, it is the wagering providers that makes payment to a sports controller with respect to a product agreement. In addition to this, a key expense on wagering providers is the recently introduced point of consumption tax on sports wagering. </w:t>
      </w:r>
      <w:bookmarkEnd w:id="67"/>
      <w:r w:rsidRPr="002F1917">
        <w:rPr>
          <w:rFonts w:ascii="Calibri" w:hAnsi="Calibri" w:cs="Calibri"/>
        </w:rPr>
        <w:t xml:space="preserve">All states and territories except the Northern Territory have introduced a point of consumption tax on wagering on sports and racing. These are summarised in </w:t>
      </w:r>
      <w:r w:rsidRPr="002F1917">
        <w:rPr>
          <w:rFonts w:ascii="Calibri" w:hAnsi="Calibri" w:cs="Calibri"/>
        </w:rPr>
        <w:fldChar w:fldCharType="begin"/>
      </w:r>
      <w:r w:rsidRPr="002F1917">
        <w:rPr>
          <w:rFonts w:ascii="Calibri" w:hAnsi="Calibri" w:cs="Calibri"/>
        </w:rPr>
        <w:instrText xml:space="preserve"> REF _Ref41656770 \h </w:instrText>
      </w:r>
      <w:r w:rsidR="002F1917">
        <w:rPr>
          <w:rFonts w:ascii="Calibri" w:hAnsi="Calibri" w:cs="Calibri"/>
        </w:rPr>
        <w:instrText xml:space="preserve"> \* MERGEFORMAT </w:instrText>
      </w:r>
      <w:r w:rsidRPr="002F1917">
        <w:rPr>
          <w:rFonts w:ascii="Calibri" w:hAnsi="Calibri" w:cs="Calibri"/>
        </w:rPr>
      </w:r>
      <w:r w:rsidRPr="002F1917">
        <w:rPr>
          <w:rFonts w:ascii="Calibri" w:hAnsi="Calibri" w:cs="Calibri"/>
        </w:rPr>
        <w:fldChar w:fldCharType="separate"/>
      </w:r>
      <w:r w:rsidRPr="002F1917">
        <w:rPr>
          <w:rFonts w:ascii="Calibri" w:hAnsi="Calibri" w:cs="Calibri"/>
        </w:rPr>
        <w:t xml:space="preserve">Table </w:t>
      </w:r>
      <w:r w:rsidRPr="002F1917">
        <w:rPr>
          <w:rFonts w:ascii="Calibri" w:hAnsi="Calibri" w:cs="Calibri"/>
          <w:noProof/>
        </w:rPr>
        <w:t>3</w:t>
      </w:r>
      <w:r w:rsidRPr="002F1917">
        <w:rPr>
          <w:rFonts w:ascii="Calibri" w:hAnsi="Calibri" w:cs="Calibri"/>
        </w:rPr>
        <w:fldChar w:fldCharType="end"/>
      </w:r>
      <w:r w:rsidRPr="002F1917">
        <w:rPr>
          <w:rFonts w:ascii="Calibri" w:hAnsi="Calibri" w:cs="Calibri"/>
        </w:rPr>
        <w:t>.</w:t>
      </w:r>
    </w:p>
    <w:p w14:paraId="6A6F2E9A" w14:textId="77777777" w:rsidR="00870C3F" w:rsidRPr="002F1917" w:rsidRDefault="00870C3F" w:rsidP="00870C3F">
      <w:pPr>
        <w:spacing w:after="320"/>
        <w:jc w:val="both"/>
        <w:rPr>
          <w:rFonts w:ascii="Calibri" w:hAnsi="Calibri" w:cs="Calibri"/>
          <w:sz w:val="20"/>
          <w:szCs w:val="20"/>
        </w:rPr>
      </w:pPr>
      <w:r w:rsidRPr="002F1917">
        <w:rPr>
          <w:rFonts w:ascii="Calibri" w:hAnsi="Calibri" w:cs="Calibri"/>
          <w:sz w:val="20"/>
          <w:szCs w:val="20"/>
        </w:rPr>
        <w:t>It is noted that, in addition to point of consumption taxes, Australian wagering providers pay the following:</w:t>
      </w:r>
    </w:p>
    <w:p w14:paraId="465BC3C7" w14:textId="77777777" w:rsidR="00870C3F" w:rsidRPr="002F1917" w:rsidRDefault="00870C3F" w:rsidP="00870C3F">
      <w:pPr>
        <w:pStyle w:val="ListBullet1"/>
        <w:rPr>
          <w:rFonts w:ascii="Calibri" w:hAnsi="Calibri" w:cs="Calibri"/>
          <w:szCs w:val="20"/>
        </w:rPr>
      </w:pPr>
      <w:r w:rsidRPr="002F1917">
        <w:rPr>
          <w:rFonts w:ascii="Calibri" w:hAnsi="Calibri" w:cs="Calibri"/>
          <w:szCs w:val="20"/>
        </w:rPr>
        <w:t>Annual licence fees and wagering taxes to regulators. For example, a betting exchange operator licensed by the Northern Territory Racing Commission is required to pay an annual licence fee of $242,000, as well as wagering tax at 10% of the operator’s gross profit, capped to $1,240,000 per annum.</w:t>
      </w:r>
    </w:p>
    <w:p w14:paraId="49729078" w14:textId="77777777" w:rsidR="00870C3F" w:rsidRPr="002F1917" w:rsidRDefault="00870C3F" w:rsidP="00870C3F">
      <w:pPr>
        <w:pStyle w:val="ListBullet1"/>
        <w:rPr>
          <w:rFonts w:ascii="Calibri" w:hAnsi="Calibri" w:cs="Calibri"/>
          <w:szCs w:val="20"/>
        </w:rPr>
      </w:pPr>
      <w:r w:rsidRPr="002F1917">
        <w:rPr>
          <w:rFonts w:ascii="Calibri" w:hAnsi="Calibri" w:cs="Calibri"/>
          <w:szCs w:val="20"/>
        </w:rPr>
        <w:t>Product fees to all major racing bodies in Australia</w:t>
      </w:r>
    </w:p>
    <w:p w14:paraId="4B1D2A01" w14:textId="77777777" w:rsidR="00870C3F" w:rsidRPr="002F1917" w:rsidRDefault="00870C3F" w:rsidP="00870C3F">
      <w:pPr>
        <w:pStyle w:val="ListBullet1"/>
        <w:rPr>
          <w:rFonts w:ascii="Calibri" w:hAnsi="Calibri" w:cs="Calibri"/>
          <w:szCs w:val="20"/>
        </w:rPr>
      </w:pPr>
      <w:r w:rsidRPr="002F1917">
        <w:rPr>
          <w:rFonts w:ascii="Calibri" w:hAnsi="Calibri" w:cs="Calibri"/>
          <w:szCs w:val="20"/>
        </w:rPr>
        <w:t>Goods and Services Tax (GST).</w:t>
      </w:r>
    </w:p>
    <w:p w14:paraId="38E13D1C" w14:textId="77777777" w:rsidR="00870C3F" w:rsidRPr="002F1917" w:rsidRDefault="00870C3F" w:rsidP="00870C3F">
      <w:pPr>
        <w:spacing w:after="320"/>
        <w:jc w:val="both"/>
        <w:rPr>
          <w:rFonts w:ascii="Calibri" w:hAnsi="Calibri" w:cs="Calibri"/>
          <w:szCs w:val="24"/>
        </w:rPr>
      </w:pPr>
      <w:r w:rsidRPr="002F1917">
        <w:rPr>
          <w:rFonts w:ascii="Calibri" w:hAnsi="Calibri" w:cs="Calibri"/>
          <w:sz w:val="20"/>
          <w:szCs w:val="20"/>
        </w:rPr>
        <w:t>None of the taxes or fees levied by governments are explicitly for the purpose of managing sport integrity.</w:t>
      </w:r>
    </w:p>
    <w:p w14:paraId="33F21F5C" w14:textId="77777777" w:rsidR="00870C3F" w:rsidRPr="009125F1" w:rsidRDefault="00870C3F" w:rsidP="009125F1">
      <w:pPr>
        <w:rPr>
          <w:rFonts w:ascii="Calibri" w:hAnsi="Calibri" w:cs="Calibri"/>
          <w:sz w:val="20"/>
          <w:szCs w:val="20"/>
          <w:lang w:val="en-US"/>
        </w:rPr>
      </w:pPr>
      <w:bookmarkStart w:id="68" w:name="_Ref41656770"/>
      <w:r w:rsidRPr="009125F1">
        <w:rPr>
          <w:rFonts w:ascii="Calibri" w:hAnsi="Calibri" w:cs="Calibri"/>
          <w:sz w:val="20"/>
          <w:szCs w:val="20"/>
        </w:rPr>
        <w:t xml:space="preserve">Table </w:t>
      </w:r>
      <w:r w:rsidRPr="009125F1">
        <w:rPr>
          <w:rFonts w:ascii="Calibri" w:hAnsi="Calibri" w:cs="Calibri"/>
          <w:sz w:val="20"/>
          <w:szCs w:val="20"/>
        </w:rPr>
        <w:fldChar w:fldCharType="begin"/>
      </w:r>
      <w:r w:rsidRPr="009125F1">
        <w:rPr>
          <w:rFonts w:ascii="Calibri" w:hAnsi="Calibri" w:cs="Calibri"/>
          <w:sz w:val="20"/>
          <w:szCs w:val="20"/>
        </w:rPr>
        <w:instrText xml:space="preserve"> SEQ Table \* ARABIC </w:instrText>
      </w:r>
      <w:r w:rsidRPr="009125F1">
        <w:rPr>
          <w:rFonts w:ascii="Calibri" w:hAnsi="Calibri" w:cs="Calibri"/>
          <w:sz w:val="20"/>
          <w:szCs w:val="20"/>
        </w:rPr>
        <w:fldChar w:fldCharType="separate"/>
      </w:r>
      <w:r w:rsidRPr="009125F1">
        <w:rPr>
          <w:rFonts w:ascii="Calibri" w:hAnsi="Calibri" w:cs="Calibri"/>
          <w:noProof/>
          <w:sz w:val="20"/>
          <w:szCs w:val="20"/>
        </w:rPr>
        <w:t>3</w:t>
      </w:r>
      <w:r w:rsidRPr="009125F1">
        <w:rPr>
          <w:rFonts w:ascii="Calibri" w:hAnsi="Calibri" w:cs="Calibri"/>
          <w:sz w:val="20"/>
          <w:szCs w:val="20"/>
        </w:rPr>
        <w:fldChar w:fldCharType="end"/>
      </w:r>
      <w:bookmarkEnd w:id="68"/>
      <w:r w:rsidRPr="009125F1">
        <w:rPr>
          <w:rFonts w:ascii="Calibri" w:hAnsi="Calibri" w:cs="Calibri"/>
          <w:b/>
          <w:sz w:val="20"/>
          <w:szCs w:val="20"/>
          <w:lang w:val="en-US"/>
        </w:rPr>
        <w:t>:</w:t>
      </w:r>
      <w:r w:rsidRPr="009125F1">
        <w:rPr>
          <w:rFonts w:ascii="Calibri" w:hAnsi="Calibri" w:cs="Calibri"/>
          <w:sz w:val="20"/>
          <w:szCs w:val="20"/>
          <w:lang w:val="en-US"/>
        </w:rPr>
        <w:t xml:space="preserve"> Point of consumption tax by state and territory</w:t>
      </w:r>
    </w:p>
    <w:tbl>
      <w:tblPr>
        <w:tblStyle w:val="FETableStyle"/>
        <w:tblW w:w="5000" w:type="pct"/>
        <w:tblInd w:w="0" w:type="dxa"/>
        <w:tblLook w:val="0420" w:firstRow="1" w:lastRow="0" w:firstColumn="0" w:lastColumn="0" w:noHBand="0" w:noVBand="1"/>
      </w:tblPr>
      <w:tblGrid>
        <w:gridCol w:w="2039"/>
        <w:gridCol w:w="3503"/>
        <w:gridCol w:w="3522"/>
      </w:tblGrid>
      <w:tr w:rsidR="00870C3F" w:rsidRPr="002F1917" w14:paraId="6AB2A981" w14:textId="77777777" w:rsidTr="00870C3F">
        <w:trPr>
          <w:cnfStyle w:val="100000000000" w:firstRow="1" w:lastRow="0" w:firstColumn="0" w:lastColumn="0" w:oddVBand="0" w:evenVBand="0" w:oddHBand="0" w:evenHBand="0" w:firstRowFirstColumn="0" w:firstRowLastColumn="0" w:lastRowFirstColumn="0" w:lastRowLastColumn="0"/>
          <w:cantSplit/>
          <w:tblHeader/>
        </w:trPr>
        <w:tc>
          <w:tcPr>
            <w:tcW w:w="2039" w:type="dxa"/>
            <w:hideMark/>
          </w:tcPr>
          <w:p w14:paraId="6AA9CB22" w14:textId="77777777" w:rsidR="00870C3F" w:rsidRPr="002F1917" w:rsidRDefault="00870C3F">
            <w:pPr>
              <w:pStyle w:val="TableText"/>
              <w:rPr>
                <w:rFonts w:ascii="Calibri" w:hAnsi="Calibri" w:cs="Calibri"/>
                <w:lang w:val="en-AU"/>
              </w:rPr>
            </w:pPr>
            <w:r w:rsidRPr="002F1917">
              <w:rPr>
                <w:rFonts w:ascii="Calibri" w:hAnsi="Calibri" w:cs="Calibri"/>
              </w:rPr>
              <w:t>State/territory</w:t>
            </w:r>
          </w:p>
        </w:tc>
        <w:tc>
          <w:tcPr>
            <w:tcW w:w="3503" w:type="dxa"/>
            <w:hideMark/>
          </w:tcPr>
          <w:p w14:paraId="0EE2D8D5" w14:textId="77777777" w:rsidR="00870C3F" w:rsidRPr="002F1917" w:rsidRDefault="00870C3F">
            <w:pPr>
              <w:pStyle w:val="TableText"/>
              <w:rPr>
                <w:rFonts w:ascii="Calibri" w:hAnsi="Calibri" w:cs="Calibri"/>
              </w:rPr>
            </w:pPr>
            <w:r w:rsidRPr="002F1917">
              <w:rPr>
                <w:rFonts w:ascii="Calibri" w:hAnsi="Calibri" w:cs="Calibri"/>
              </w:rPr>
              <w:t>Date introduced</w:t>
            </w:r>
          </w:p>
        </w:tc>
        <w:tc>
          <w:tcPr>
            <w:tcW w:w="3522" w:type="dxa"/>
            <w:hideMark/>
          </w:tcPr>
          <w:p w14:paraId="2FA51210" w14:textId="77777777" w:rsidR="00870C3F" w:rsidRPr="002F1917" w:rsidRDefault="00870C3F">
            <w:pPr>
              <w:pStyle w:val="TableText"/>
              <w:rPr>
                <w:rFonts w:ascii="Calibri" w:hAnsi="Calibri" w:cs="Calibri"/>
              </w:rPr>
            </w:pPr>
            <w:r w:rsidRPr="002F1917">
              <w:rPr>
                <w:rFonts w:ascii="Calibri" w:hAnsi="Calibri" w:cs="Calibri"/>
              </w:rPr>
              <w:t>Point of consumption tax rate</w:t>
            </w:r>
          </w:p>
        </w:tc>
      </w:tr>
      <w:tr w:rsidR="00870C3F" w:rsidRPr="002F1917" w14:paraId="404437BD" w14:textId="77777777" w:rsidTr="00870C3F">
        <w:trPr>
          <w:cantSplit/>
        </w:trPr>
        <w:tc>
          <w:tcPr>
            <w:tcW w:w="2039" w:type="dxa"/>
            <w:tcBorders>
              <w:top w:val="single" w:sz="4" w:space="0" w:color="FFFFFF" w:themeColor="background1"/>
              <w:left w:val="nil"/>
              <w:bottom w:val="single" w:sz="4" w:space="0" w:color="FFFFFF" w:themeColor="background1"/>
              <w:right w:val="nil"/>
            </w:tcBorders>
            <w:hideMark/>
          </w:tcPr>
          <w:p w14:paraId="631DB4D2" w14:textId="77777777" w:rsidR="00870C3F" w:rsidRPr="002F1917" w:rsidRDefault="00870C3F">
            <w:pPr>
              <w:pStyle w:val="TableText"/>
              <w:rPr>
                <w:rFonts w:ascii="Calibri" w:hAnsi="Calibri" w:cs="Calibri"/>
                <w:color w:val="000000" w:themeColor="text1"/>
              </w:rPr>
            </w:pPr>
            <w:r w:rsidRPr="002F1917">
              <w:rPr>
                <w:rFonts w:ascii="Calibri" w:hAnsi="Calibri" w:cs="Calibri"/>
              </w:rPr>
              <w:t>NSW</w:t>
            </w:r>
          </w:p>
        </w:tc>
        <w:tc>
          <w:tcPr>
            <w:tcW w:w="3503" w:type="dxa"/>
            <w:tcBorders>
              <w:top w:val="single" w:sz="4" w:space="0" w:color="FFFFFF" w:themeColor="background1"/>
              <w:left w:val="nil"/>
              <w:bottom w:val="single" w:sz="4" w:space="0" w:color="FFFFFF" w:themeColor="background1"/>
              <w:right w:val="nil"/>
            </w:tcBorders>
            <w:hideMark/>
          </w:tcPr>
          <w:p w14:paraId="05AEB8E8" w14:textId="77777777" w:rsidR="00870C3F" w:rsidRPr="002F1917" w:rsidRDefault="00870C3F">
            <w:pPr>
              <w:pStyle w:val="TableText"/>
              <w:rPr>
                <w:rFonts w:ascii="Calibri" w:hAnsi="Calibri" w:cs="Calibri"/>
              </w:rPr>
            </w:pPr>
            <w:r w:rsidRPr="002F1917">
              <w:rPr>
                <w:rFonts w:ascii="Calibri" w:hAnsi="Calibri" w:cs="Calibri"/>
              </w:rPr>
              <w:t>1 Jan 2019</w:t>
            </w:r>
          </w:p>
        </w:tc>
        <w:tc>
          <w:tcPr>
            <w:tcW w:w="3522" w:type="dxa"/>
            <w:tcBorders>
              <w:top w:val="single" w:sz="4" w:space="0" w:color="FFFFFF" w:themeColor="background1"/>
              <w:left w:val="nil"/>
              <w:bottom w:val="single" w:sz="4" w:space="0" w:color="FFFFFF" w:themeColor="background1"/>
              <w:right w:val="nil"/>
            </w:tcBorders>
            <w:hideMark/>
          </w:tcPr>
          <w:p w14:paraId="1AF83CE1" w14:textId="77777777" w:rsidR="00870C3F" w:rsidRPr="002F1917" w:rsidRDefault="00870C3F">
            <w:pPr>
              <w:pStyle w:val="TableText"/>
              <w:rPr>
                <w:rFonts w:ascii="Calibri" w:hAnsi="Calibri" w:cs="Calibri"/>
              </w:rPr>
            </w:pPr>
            <w:r w:rsidRPr="002F1917">
              <w:rPr>
                <w:rFonts w:ascii="Calibri" w:hAnsi="Calibri" w:cs="Calibri"/>
              </w:rPr>
              <w:t>10% of revenue</w:t>
            </w:r>
          </w:p>
        </w:tc>
      </w:tr>
      <w:tr w:rsidR="00870C3F" w:rsidRPr="002F1917" w14:paraId="63026742" w14:textId="77777777" w:rsidTr="00870C3F">
        <w:trPr>
          <w:cnfStyle w:val="000000010000" w:firstRow="0" w:lastRow="0" w:firstColumn="0" w:lastColumn="0" w:oddVBand="0" w:evenVBand="0" w:oddHBand="0" w:evenHBand="1" w:firstRowFirstColumn="0" w:firstRowLastColumn="0" w:lastRowFirstColumn="0" w:lastRowLastColumn="0"/>
          <w:cantSplit/>
        </w:trPr>
        <w:tc>
          <w:tcPr>
            <w:tcW w:w="2039" w:type="dxa"/>
            <w:tcBorders>
              <w:top w:val="single" w:sz="4" w:space="0" w:color="FFFFFF" w:themeColor="background1"/>
              <w:left w:val="nil"/>
              <w:bottom w:val="single" w:sz="4" w:space="0" w:color="FFFFFF" w:themeColor="background1"/>
              <w:right w:val="nil"/>
            </w:tcBorders>
            <w:hideMark/>
          </w:tcPr>
          <w:p w14:paraId="141B29C0" w14:textId="77777777" w:rsidR="00870C3F" w:rsidRPr="002F1917" w:rsidRDefault="00870C3F">
            <w:pPr>
              <w:pStyle w:val="TableText"/>
              <w:rPr>
                <w:rFonts w:ascii="Calibri" w:hAnsi="Calibri" w:cs="Calibri"/>
              </w:rPr>
            </w:pPr>
            <w:r w:rsidRPr="002F1917">
              <w:rPr>
                <w:rFonts w:ascii="Calibri" w:hAnsi="Calibri" w:cs="Calibri"/>
              </w:rPr>
              <w:t>VIC</w:t>
            </w:r>
          </w:p>
        </w:tc>
        <w:tc>
          <w:tcPr>
            <w:tcW w:w="3503" w:type="dxa"/>
            <w:tcBorders>
              <w:top w:val="single" w:sz="4" w:space="0" w:color="FFFFFF" w:themeColor="background1"/>
              <w:left w:val="nil"/>
              <w:bottom w:val="single" w:sz="4" w:space="0" w:color="FFFFFF" w:themeColor="background1"/>
              <w:right w:val="nil"/>
            </w:tcBorders>
            <w:hideMark/>
          </w:tcPr>
          <w:p w14:paraId="711D674A" w14:textId="77777777" w:rsidR="00870C3F" w:rsidRPr="002F1917" w:rsidRDefault="00870C3F">
            <w:pPr>
              <w:pStyle w:val="TableText"/>
              <w:rPr>
                <w:rFonts w:ascii="Calibri" w:hAnsi="Calibri" w:cs="Calibri"/>
              </w:rPr>
            </w:pPr>
            <w:r w:rsidRPr="002F1917">
              <w:rPr>
                <w:rFonts w:ascii="Calibri" w:hAnsi="Calibri" w:cs="Calibri"/>
              </w:rPr>
              <w:t>1 Jan 2021</w:t>
            </w:r>
          </w:p>
        </w:tc>
        <w:tc>
          <w:tcPr>
            <w:tcW w:w="3522" w:type="dxa"/>
            <w:tcBorders>
              <w:top w:val="single" w:sz="4" w:space="0" w:color="FFFFFF" w:themeColor="background1"/>
              <w:left w:val="nil"/>
              <w:bottom w:val="single" w:sz="4" w:space="0" w:color="FFFFFF" w:themeColor="background1"/>
              <w:right w:val="nil"/>
            </w:tcBorders>
            <w:hideMark/>
          </w:tcPr>
          <w:p w14:paraId="10107919" w14:textId="77777777" w:rsidR="00870C3F" w:rsidRPr="002F1917" w:rsidRDefault="00870C3F">
            <w:pPr>
              <w:pStyle w:val="TableText"/>
              <w:rPr>
                <w:rFonts w:ascii="Calibri" w:hAnsi="Calibri" w:cs="Calibri"/>
              </w:rPr>
            </w:pPr>
            <w:r w:rsidRPr="002F1917">
              <w:rPr>
                <w:rFonts w:ascii="Calibri" w:hAnsi="Calibri" w:cs="Calibri"/>
              </w:rPr>
              <w:t>10% of revenue</w:t>
            </w:r>
          </w:p>
        </w:tc>
      </w:tr>
      <w:tr w:rsidR="00870C3F" w:rsidRPr="002F1917" w14:paraId="73D4E5D6" w14:textId="77777777" w:rsidTr="00870C3F">
        <w:trPr>
          <w:cantSplit/>
        </w:trPr>
        <w:tc>
          <w:tcPr>
            <w:tcW w:w="2039" w:type="dxa"/>
            <w:tcBorders>
              <w:top w:val="single" w:sz="4" w:space="0" w:color="FFFFFF" w:themeColor="background1"/>
              <w:left w:val="nil"/>
              <w:bottom w:val="single" w:sz="4" w:space="0" w:color="FFFFFF" w:themeColor="background1"/>
              <w:right w:val="nil"/>
            </w:tcBorders>
            <w:hideMark/>
          </w:tcPr>
          <w:p w14:paraId="6E402B23" w14:textId="77777777" w:rsidR="00870C3F" w:rsidRPr="002F1917" w:rsidRDefault="00870C3F">
            <w:pPr>
              <w:pStyle w:val="TableText"/>
              <w:rPr>
                <w:rFonts w:ascii="Calibri" w:hAnsi="Calibri" w:cs="Calibri"/>
              </w:rPr>
            </w:pPr>
            <w:r w:rsidRPr="002F1917">
              <w:rPr>
                <w:rFonts w:ascii="Calibri" w:hAnsi="Calibri" w:cs="Calibri"/>
              </w:rPr>
              <w:t>NT</w:t>
            </w:r>
          </w:p>
        </w:tc>
        <w:tc>
          <w:tcPr>
            <w:tcW w:w="3503" w:type="dxa"/>
            <w:tcBorders>
              <w:top w:val="single" w:sz="4" w:space="0" w:color="FFFFFF" w:themeColor="background1"/>
              <w:left w:val="nil"/>
              <w:bottom w:val="single" w:sz="4" w:space="0" w:color="FFFFFF" w:themeColor="background1"/>
              <w:right w:val="nil"/>
            </w:tcBorders>
            <w:hideMark/>
          </w:tcPr>
          <w:p w14:paraId="2EC3C797" w14:textId="77777777" w:rsidR="00870C3F" w:rsidRPr="002F1917" w:rsidRDefault="00870C3F">
            <w:pPr>
              <w:pStyle w:val="TableText"/>
              <w:rPr>
                <w:rFonts w:ascii="Calibri" w:hAnsi="Calibri" w:cs="Calibri"/>
              </w:rPr>
            </w:pPr>
            <w:r w:rsidRPr="002F1917">
              <w:rPr>
                <w:rFonts w:ascii="Calibri" w:hAnsi="Calibri" w:cs="Calibri"/>
              </w:rPr>
              <w:t>N/A</w:t>
            </w:r>
          </w:p>
        </w:tc>
        <w:tc>
          <w:tcPr>
            <w:tcW w:w="3522" w:type="dxa"/>
            <w:tcBorders>
              <w:top w:val="single" w:sz="4" w:space="0" w:color="FFFFFF" w:themeColor="background1"/>
              <w:left w:val="nil"/>
              <w:bottom w:val="single" w:sz="4" w:space="0" w:color="FFFFFF" w:themeColor="background1"/>
              <w:right w:val="nil"/>
            </w:tcBorders>
            <w:hideMark/>
          </w:tcPr>
          <w:p w14:paraId="27CCB8A9" w14:textId="77777777" w:rsidR="00870C3F" w:rsidRPr="002F1917" w:rsidRDefault="00870C3F">
            <w:pPr>
              <w:pStyle w:val="TableText"/>
              <w:rPr>
                <w:rFonts w:ascii="Calibri" w:hAnsi="Calibri" w:cs="Calibri"/>
              </w:rPr>
            </w:pPr>
            <w:r w:rsidRPr="002F1917">
              <w:rPr>
                <w:rFonts w:ascii="Calibri" w:hAnsi="Calibri" w:cs="Calibri"/>
              </w:rPr>
              <w:t>N/A</w:t>
            </w:r>
          </w:p>
        </w:tc>
      </w:tr>
      <w:tr w:rsidR="00870C3F" w:rsidRPr="002F1917" w14:paraId="60DEA2F6" w14:textId="77777777" w:rsidTr="00870C3F">
        <w:trPr>
          <w:cnfStyle w:val="000000010000" w:firstRow="0" w:lastRow="0" w:firstColumn="0" w:lastColumn="0" w:oddVBand="0" w:evenVBand="0" w:oddHBand="0" w:evenHBand="1" w:firstRowFirstColumn="0" w:firstRowLastColumn="0" w:lastRowFirstColumn="0" w:lastRowLastColumn="0"/>
          <w:cantSplit/>
        </w:trPr>
        <w:tc>
          <w:tcPr>
            <w:tcW w:w="2039" w:type="dxa"/>
            <w:tcBorders>
              <w:top w:val="single" w:sz="4" w:space="0" w:color="FFFFFF" w:themeColor="background1"/>
              <w:left w:val="nil"/>
              <w:bottom w:val="single" w:sz="4" w:space="0" w:color="FFFFFF" w:themeColor="background1"/>
              <w:right w:val="nil"/>
            </w:tcBorders>
            <w:hideMark/>
          </w:tcPr>
          <w:p w14:paraId="498236A8" w14:textId="77777777" w:rsidR="00870C3F" w:rsidRPr="002F1917" w:rsidRDefault="00870C3F">
            <w:pPr>
              <w:pStyle w:val="TableText"/>
              <w:rPr>
                <w:rFonts w:ascii="Calibri" w:hAnsi="Calibri" w:cs="Calibri"/>
              </w:rPr>
            </w:pPr>
            <w:r w:rsidRPr="002F1917">
              <w:rPr>
                <w:rFonts w:ascii="Calibri" w:hAnsi="Calibri" w:cs="Calibri"/>
              </w:rPr>
              <w:t>SA</w:t>
            </w:r>
          </w:p>
        </w:tc>
        <w:tc>
          <w:tcPr>
            <w:tcW w:w="3503" w:type="dxa"/>
            <w:tcBorders>
              <w:top w:val="single" w:sz="4" w:space="0" w:color="FFFFFF" w:themeColor="background1"/>
              <w:left w:val="nil"/>
              <w:bottom w:val="single" w:sz="4" w:space="0" w:color="FFFFFF" w:themeColor="background1"/>
              <w:right w:val="nil"/>
            </w:tcBorders>
            <w:hideMark/>
          </w:tcPr>
          <w:p w14:paraId="2377A4DF" w14:textId="77777777" w:rsidR="00870C3F" w:rsidRPr="002F1917" w:rsidRDefault="00870C3F">
            <w:pPr>
              <w:pStyle w:val="TableText"/>
              <w:rPr>
                <w:rFonts w:ascii="Calibri" w:hAnsi="Calibri" w:cs="Calibri"/>
              </w:rPr>
            </w:pPr>
            <w:r w:rsidRPr="002F1917">
              <w:rPr>
                <w:rFonts w:ascii="Calibri" w:hAnsi="Calibri" w:cs="Calibri"/>
              </w:rPr>
              <w:t>1 Jul 2017</w:t>
            </w:r>
          </w:p>
        </w:tc>
        <w:tc>
          <w:tcPr>
            <w:tcW w:w="3522" w:type="dxa"/>
            <w:tcBorders>
              <w:top w:val="single" w:sz="4" w:space="0" w:color="FFFFFF" w:themeColor="background1"/>
              <w:left w:val="nil"/>
              <w:bottom w:val="single" w:sz="4" w:space="0" w:color="FFFFFF" w:themeColor="background1"/>
              <w:right w:val="nil"/>
            </w:tcBorders>
            <w:hideMark/>
          </w:tcPr>
          <w:p w14:paraId="3FFCD0AF" w14:textId="77777777" w:rsidR="00870C3F" w:rsidRPr="002F1917" w:rsidRDefault="00870C3F">
            <w:pPr>
              <w:pStyle w:val="TableText"/>
              <w:rPr>
                <w:rFonts w:ascii="Calibri" w:hAnsi="Calibri" w:cs="Calibri"/>
              </w:rPr>
            </w:pPr>
            <w:r w:rsidRPr="002F1917">
              <w:rPr>
                <w:rFonts w:ascii="Calibri" w:hAnsi="Calibri" w:cs="Calibri"/>
              </w:rPr>
              <w:t>15% of revenue</w:t>
            </w:r>
          </w:p>
        </w:tc>
      </w:tr>
      <w:tr w:rsidR="00870C3F" w:rsidRPr="002F1917" w14:paraId="34525206" w14:textId="77777777" w:rsidTr="00870C3F">
        <w:trPr>
          <w:cantSplit/>
        </w:trPr>
        <w:tc>
          <w:tcPr>
            <w:tcW w:w="2039" w:type="dxa"/>
            <w:tcBorders>
              <w:top w:val="single" w:sz="4" w:space="0" w:color="FFFFFF" w:themeColor="background1"/>
              <w:left w:val="nil"/>
              <w:bottom w:val="single" w:sz="4" w:space="0" w:color="FFFFFF" w:themeColor="background1"/>
              <w:right w:val="nil"/>
            </w:tcBorders>
            <w:hideMark/>
          </w:tcPr>
          <w:p w14:paraId="581EABF4" w14:textId="77777777" w:rsidR="00870C3F" w:rsidRPr="002F1917" w:rsidRDefault="00870C3F">
            <w:pPr>
              <w:pStyle w:val="TableText"/>
              <w:rPr>
                <w:rFonts w:ascii="Calibri" w:hAnsi="Calibri" w:cs="Calibri"/>
              </w:rPr>
            </w:pPr>
            <w:r w:rsidRPr="002F1917">
              <w:rPr>
                <w:rFonts w:ascii="Calibri" w:hAnsi="Calibri" w:cs="Calibri"/>
              </w:rPr>
              <w:t>ACT</w:t>
            </w:r>
          </w:p>
        </w:tc>
        <w:tc>
          <w:tcPr>
            <w:tcW w:w="3503" w:type="dxa"/>
            <w:tcBorders>
              <w:top w:val="single" w:sz="4" w:space="0" w:color="FFFFFF" w:themeColor="background1"/>
              <w:left w:val="nil"/>
              <w:bottom w:val="single" w:sz="4" w:space="0" w:color="FFFFFF" w:themeColor="background1"/>
              <w:right w:val="nil"/>
            </w:tcBorders>
            <w:hideMark/>
          </w:tcPr>
          <w:p w14:paraId="2BB7A1C2" w14:textId="77777777" w:rsidR="00870C3F" w:rsidRPr="002F1917" w:rsidRDefault="00870C3F">
            <w:pPr>
              <w:pStyle w:val="TableText"/>
              <w:rPr>
                <w:rFonts w:ascii="Calibri" w:hAnsi="Calibri" w:cs="Calibri"/>
              </w:rPr>
            </w:pPr>
            <w:r w:rsidRPr="002F1917">
              <w:rPr>
                <w:rFonts w:ascii="Calibri" w:hAnsi="Calibri" w:cs="Calibri"/>
              </w:rPr>
              <w:t>1 Jan 2019</w:t>
            </w:r>
          </w:p>
        </w:tc>
        <w:tc>
          <w:tcPr>
            <w:tcW w:w="3522" w:type="dxa"/>
            <w:tcBorders>
              <w:top w:val="single" w:sz="4" w:space="0" w:color="FFFFFF" w:themeColor="background1"/>
              <w:left w:val="nil"/>
              <w:bottom w:val="single" w:sz="4" w:space="0" w:color="FFFFFF" w:themeColor="background1"/>
              <w:right w:val="nil"/>
            </w:tcBorders>
            <w:hideMark/>
          </w:tcPr>
          <w:p w14:paraId="3EC55B74" w14:textId="77777777" w:rsidR="00870C3F" w:rsidRPr="002F1917" w:rsidRDefault="00870C3F">
            <w:pPr>
              <w:pStyle w:val="TableText"/>
              <w:rPr>
                <w:rFonts w:ascii="Calibri" w:hAnsi="Calibri" w:cs="Calibri"/>
              </w:rPr>
            </w:pPr>
            <w:r w:rsidRPr="002F1917">
              <w:rPr>
                <w:rFonts w:ascii="Calibri" w:hAnsi="Calibri" w:cs="Calibri"/>
              </w:rPr>
              <w:t>15% of revenue</w:t>
            </w:r>
          </w:p>
        </w:tc>
      </w:tr>
      <w:tr w:rsidR="00870C3F" w:rsidRPr="002F1917" w14:paraId="479D974E" w14:textId="77777777" w:rsidTr="00870C3F">
        <w:trPr>
          <w:cnfStyle w:val="000000010000" w:firstRow="0" w:lastRow="0" w:firstColumn="0" w:lastColumn="0" w:oddVBand="0" w:evenVBand="0" w:oddHBand="0" w:evenHBand="1" w:firstRowFirstColumn="0" w:firstRowLastColumn="0" w:lastRowFirstColumn="0" w:lastRowLastColumn="0"/>
          <w:cantSplit/>
        </w:trPr>
        <w:tc>
          <w:tcPr>
            <w:tcW w:w="2039" w:type="dxa"/>
            <w:tcBorders>
              <w:top w:val="single" w:sz="4" w:space="0" w:color="FFFFFF" w:themeColor="background1"/>
              <w:left w:val="nil"/>
              <w:bottom w:val="single" w:sz="4" w:space="0" w:color="FFFFFF" w:themeColor="background1"/>
              <w:right w:val="nil"/>
            </w:tcBorders>
            <w:hideMark/>
          </w:tcPr>
          <w:p w14:paraId="552184B3" w14:textId="77777777" w:rsidR="00870C3F" w:rsidRPr="002F1917" w:rsidRDefault="00870C3F">
            <w:pPr>
              <w:pStyle w:val="TableText"/>
              <w:rPr>
                <w:rFonts w:ascii="Calibri" w:hAnsi="Calibri" w:cs="Calibri"/>
              </w:rPr>
            </w:pPr>
            <w:r w:rsidRPr="002F1917">
              <w:rPr>
                <w:rFonts w:ascii="Calibri" w:hAnsi="Calibri" w:cs="Calibri"/>
              </w:rPr>
              <w:t>QLD</w:t>
            </w:r>
          </w:p>
        </w:tc>
        <w:tc>
          <w:tcPr>
            <w:tcW w:w="3503" w:type="dxa"/>
            <w:tcBorders>
              <w:top w:val="single" w:sz="4" w:space="0" w:color="FFFFFF" w:themeColor="background1"/>
              <w:left w:val="nil"/>
              <w:bottom w:val="single" w:sz="4" w:space="0" w:color="FFFFFF" w:themeColor="background1"/>
              <w:right w:val="nil"/>
            </w:tcBorders>
            <w:hideMark/>
          </w:tcPr>
          <w:p w14:paraId="01EC9CAD" w14:textId="77777777" w:rsidR="00870C3F" w:rsidRPr="002F1917" w:rsidRDefault="00870C3F">
            <w:pPr>
              <w:pStyle w:val="TableText"/>
              <w:rPr>
                <w:rFonts w:ascii="Calibri" w:hAnsi="Calibri" w:cs="Calibri"/>
              </w:rPr>
            </w:pPr>
            <w:r w:rsidRPr="002F1917">
              <w:rPr>
                <w:rFonts w:ascii="Calibri" w:hAnsi="Calibri" w:cs="Calibri"/>
              </w:rPr>
              <w:t>1 Oct 2018</w:t>
            </w:r>
          </w:p>
        </w:tc>
        <w:tc>
          <w:tcPr>
            <w:tcW w:w="3522" w:type="dxa"/>
            <w:tcBorders>
              <w:top w:val="single" w:sz="4" w:space="0" w:color="FFFFFF" w:themeColor="background1"/>
              <w:left w:val="nil"/>
              <w:bottom w:val="single" w:sz="4" w:space="0" w:color="FFFFFF" w:themeColor="background1"/>
              <w:right w:val="nil"/>
            </w:tcBorders>
            <w:hideMark/>
          </w:tcPr>
          <w:p w14:paraId="6D433D8F" w14:textId="77777777" w:rsidR="00870C3F" w:rsidRPr="002F1917" w:rsidRDefault="00870C3F">
            <w:pPr>
              <w:pStyle w:val="TableText"/>
              <w:rPr>
                <w:rFonts w:ascii="Calibri" w:hAnsi="Calibri" w:cs="Calibri"/>
              </w:rPr>
            </w:pPr>
            <w:r w:rsidRPr="002F1917">
              <w:rPr>
                <w:rFonts w:ascii="Calibri" w:hAnsi="Calibri" w:cs="Calibri"/>
              </w:rPr>
              <w:t>15% of revenue</w:t>
            </w:r>
          </w:p>
        </w:tc>
      </w:tr>
      <w:tr w:rsidR="00870C3F" w:rsidRPr="002F1917" w14:paraId="21F34387" w14:textId="77777777" w:rsidTr="00870C3F">
        <w:trPr>
          <w:cantSplit/>
        </w:trPr>
        <w:tc>
          <w:tcPr>
            <w:tcW w:w="2039" w:type="dxa"/>
            <w:tcBorders>
              <w:top w:val="single" w:sz="4" w:space="0" w:color="FFFFFF" w:themeColor="background1"/>
              <w:left w:val="nil"/>
              <w:bottom w:val="single" w:sz="4" w:space="0" w:color="FFFFFF" w:themeColor="background1"/>
              <w:right w:val="nil"/>
            </w:tcBorders>
            <w:hideMark/>
          </w:tcPr>
          <w:p w14:paraId="03C25B97" w14:textId="77777777" w:rsidR="00870C3F" w:rsidRPr="002F1917" w:rsidRDefault="00870C3F">
            <w:pPr>
              <w:pStyle w:val="TableText"/>
              <w:rPr>
                <w:rFonts w:ascii="Calibri" w:hAnsi="Calibri" w:cs="Calibri"/>
              </w:rPr>
            </w:pPr>
            <w:r w:rsidRPr="002F1917">
              <w:rPr>
                <w:rFonts w:ascii="Calibri" w:hAnsi="Calibri" w:cs="Calibri"/>
              </w:rPr>
              <w:t>TAS</w:t>
            </w:r>
          </w:p>
        </w:tc>
        <w:tc>
          <w:tcPr>
            <w:tcW w:w="3503" w:type="dxa"/>
            <w:tcBorders>
              <w:top w:val="single" w:sz="4" w:space="0" w:color="FFFFFF" w:themeColor="background1"/>
              <w:left w:val="nil"/>
              <w:bottom w:val="single" w:sz="4" w:space="0" w:color="FFFFFF" w:themeColor="background1"/>
              <w:right w:val="nil"/>
            </w:tcBorders>
            <w:hideMark/>
          </w:tcPr>
          <w:p w14:paraId="52405193" w14:textId="77777777" w:rsidR="00870C3F" w:rsidRPr="002F1917" w:rsidRDefault="00870C3F">
            <w:pPr>
              <w:pStyle w:val="TableText"/>
              <w:rPr>
                <w:rFonts w:ascii="Calibri" w:hAnsi="Calibri" w:cs="Calibri"/>
              </w:rPr>
            </w:pPr>
            <w:r w:rsidRPr="002F1917">
              <w:rPr>
                <w:rFonts w:ascii="Calibri" w:hAnsi="Calibri" w:cs="Calibri"/>
              </w:rPr>
              <w:t>1 Jan 2020</w:t>
            </w:r>
          </w:p>
        </w:tc>
        <w:tc>
          <w:tcPr>
            <w:tcW w:w="3522" w:type="dxa"/>
            <w:tcBorders>
              <w:top w:val="single" w:sz="4" w:space="0" w:color="FFFFFF" w:themeColor="background1"/>
              <w:left w:val="nil"/>
              <w:bottom w:val="single" w:sz="4" w:space="0" w:color="FFFFFF" w:themeColor="background1"/>
              <w:right w:val="nil"/>
            </w:tcBorders>
            <w:hideMark/>
          </w:tcPr>
          <w:p w14:paraId="08864434" w14:textId="77777777" w:rsidR="00870C3F" w:rsidRPr="002F1917" w:rsidRDefault="00870C3F">
            <w:pPr>
              <w:pStyle w:val="TableText"/>
              <w:rPr>
                <w:rFonts w:ascii="Calibri" w:hAnsi="Calibri" w:cs="Calibri"/>
              </w:rPr>
            </w:pPr>
            <w:r w:rsidRPr="002F1917">
              <w:rPr>
                <w:rFonts w:ascii="Calibri" w:hAnsi="Calibri" w:cs="Calibri"/>
              </w:rPr>
              <w:t>15% of revenue</w:t>
            </w:r>
          </w:p>
        </w:tc>
      </w:tr>
      <w:tr w:rsidR="00870C3F" w:rsidRPr="002F1917" w14:paraId="69C4E6F0" w14:textId="77777777" w:rsidTr="00870C3F">
        <w:trPr>
          <w:cnfStyle w:val="000000010000" w:firstRow="0" w:lastRow="0" w:firstColumn="0" w:lastColumn="0" w:oddVBand="0" w:evenVBand="0" w:oddHBand="0" w:evenHBand="1" w:firstRowFirstColumn="0" w:firstRowLastColumn="0" w:lastRowFirstColumn="0" w:lastRowLastColumn="0"/>
          <w:cantSplit/>
        </w:trPr>
        <w:tc>
          <w:tcPr>
            <w:tcW w:w="2039" w:type="dxa"/>
            <w:tcBorders>
              <w:top w:val="single" w:sz="4" w:space="0" w:color="FFFFFF" w:themeColor="background1"/>
              <w:left w:val="nil"/>
              <w:bottom w:val="single" w:sz="4" w:space="0" w:color="FFFFFF" w:themeColor="background1"/>
              <w:right w:val="nil"/>
            </w:tcBorders>
            <w:hideMark/>
          </w:tcPr>
          <w:p w14:paraId="0C725435" w14:textId="77777777" w:rsidR="00870C3F" w:rsidRPr="002F1917" w:rsidRDefault="00870C3F">
            <w:pPr>
              <w:pStyle w:val="TableText"/>
              <w:rPr>
                <w:rFonts w:ascii="Calibri" w:hAnsi="Calibri" w:cs="Calibri"/>
              </w:rPr>
            </w:pPr>
            <w:r w:rsidRPr="002F1917">
              <w:rPr>
                <w:rFonts w:ascii="Calibri" w:hAnsi="Calibri" w:cs="Calibri"/>
              </w:rPr>
              <w:t>WA</w:t>
            </w:r>
          </w:p>
        </w:tc>
        <w:tc>
          <w:tcPr>
            <w:tcW w:w="3503" w:type="dxa"/>
            <w:tcBorders>
              <w:top w:val="single" w:sz="4" w:space="0" w:color="FFFFFF" w:themeColor="background1"/>
              <w:left w:val="nil"/>
              <w:bottom w:val="single" w:sz="4" w:space="0" w:color="FFFFFF" w:themeColor="background1"/>
              <w:right w:val="nil"/>
            </w:tcBorders>
            <w:hideMark/>
          </w:tcPr>
          <w:p w14:paraId="191537A5" w14:textId="77777777" w:rsidR="00870C3F" w:rsidRPr="002F1917" w:rsidRDefault="00870C3F">
            <w:pPr>
              <w:pStyle w:val="TableText"/>
              <w:rPr>
                <w:rFonts w:ascii="Calibri" w:hAnsi="Calibri" w:cs="Calibri"/>
              </w:rPr>
            </w:pPr>
            <w:r w:rsidRPr="002F1917">
              <w:rPr>
                <w:rFonts w:ascii="Calibri" w:hAnsi="Calibri" w:cs="Calibri"/>
              </w:rPr>
              <w:t>1 Jan 2019</w:t>
            </w:r>
          </w:p>
        </w:tc>
        <w:tc>
          <w:tcPr>
            <w:tcW w:w="3522" w:type="dxa"/>
            <w:tcBorders>
              <w:top w:val="single" w:sz="4" w:space="0" w:color="FFFFFF" w:themeColor="background1"/>
              <w:left w:val="nil"/>
              <w:bottom w:val="single" w:sz="4" w:space="0" w:color="FFFFFF" w:themeColor="background1"/>
              <w:right w:val="nil"/>
            </w:tcBorders>
            <w:hideMark/>
          </w:tcPr>
          <w:p w14:paraId="5E0465DE" w14:textId="77777777" w:rsidR="00870C3F" w:rsidRPr="002F1917" w:rsidRDefault="00870C3F">
            <w:pPr>
              <w:pStyle w:val="TableText"/>
              <w:rPr>
                <w:rFonts w:ascii="Calibri" w:hAnsi="Calibri" w:cs="Calibri"/>
              </w:rPr>
            </w:pPr>
            <w:r w:rsidRPr="002F1917">
              <w:rPr>
                <w:rFonts w:ascii="Calibri" w:hAnsi="Calibri" w:cs="Calibri"/>
              </w:rPr>
              <w:t>15% of revenue</w:t>
            </w:r>
          </w:p>
        </w:tc>
      </w:tr>
    </w:tbl>
    <w:p w14:paraId="41DC779A" w14:textId="77777777" w:rsidR="00870C3F" w:rsidRPr="009125F1" w:rsidRDefault="00870C3F" w:rsidP="00870C3F">
      <w:pPr>
        <w:spacing w:after="320"/>
        <w:rPr>
          <w:rFonts w:ascii="Calibri" w:eastAsia="Times New Roman" w:hAnsi="Calibri" w:cs="Calibri"/>
          <w:color w:val="auto"/>
          <w:sz w:val="21"/>
        </w:rPr>
      </w:pPr>
      <w:r w:rsidRPr="009125F1">
        <w:rPr>
          <w:rFonts w:ascii="Calibri" w:hAnsi="Calibri" w:cs="Calibri"/>
          <w:i/>
          <w:color w:val="auto"/>
          <w:sz w:val="16"/>
          <w:szCs w:val="16"/>
        </w:rPr>
        <w:lastRenderedPageBreak/>
        <w:t>Source: Desktop research</w:t>
      </w:r>
    </w:p>
    <w:p w14:paraId="41E536CC" w14:textId="7BEA0C07" w:rsidR="00870C3F" w:rsidRPr="002F1917" w:rsidRDefault="00104CCA" w:rsidP="00204AA1">
      <w:pPr>
        <w:pStyle w:val="Heading2"/>
        <w:numPr>
          <w:ilvl w:val="1"/>
          <w:numId w:val="26"/>
        </w:numPr>
        <w:suppressAutoHyphens w:val="0"/>
        <w:spacing w:after="120" w:line="280" w:lineRule="auto"/>
        <w:rPr>
          <w:rFonts w:ascii="Calibri" w:hAnsi="Calibri" w:cs="Calibri"/>
          <w:sz w:val="26"/>
        </w:rPr>
      </w:pPr>
      <w:bookmarkStart w:id="69" w:name="_Toc39219876"/>
      <w:bookmarkStart w:id="70" w:name="_Toc85450754"/>
      <w:r w:rsidRPr="002F1917">
        <w:rPr>
          <w:rFonts w:ascii="Calibri" w:hAnsi="Calibri" w:cs="Calibri"/>
          <w:sz w:val="26"/>
        </w:rPr>
        <w:t xml:space="preserve"> </w:t>
      </w:r>
      <w:bookmarkStart w:id="71" w:name="_Toc85792411"/>
      <w:r w:rsidR="00870C3F" w:rsidRPr="002F1917">
        <w:rPr>
          <w:rFonts w:ascii="Calibri" w:hAnsi="Calibri" w:cs="Calibri"/>
          <w:sz w:val="26"/>
        </w:rPr>
        <w:t>Other issues</w:t>
      </w:r>
      <w:bookmarkEnd w:id="69"/>
      <w:bookmarkEnd w:id="70"/>
      <w:bookmarkEnd w:id="71"/>
    </w:p>
    <w:p w14:paraId="11740083" w14:textId="77777777" w:rsidR="00870C3F" w:rsidRPr="002F1917" w:rsidRDefault="00870C3F" w:rsidP="00870C3F">
      <w:pPr>
        <w:pStyle w:val="BodyText"/>
        <w:rPr>
          <w:rFonts w:ascii="Calibri" w:hAnsi="Calibri" w:cs="Calibri"/>
        </w:rPr>
      </w:pPr>
      <w:r w:rsidRPr="002F1917">
        <w:rPr>
          <w:rFonts w:ascii="Calibri" w:hAnsi="Calibri" w:cs="Calibri"/>
        </w:rPr>
        <w:t>Beyond the key issues discussed in the previous sections, we discuss the following areas surrounding the base case, which, while outside the direct scope of the ASWS, do have varying degrees of relevance:</w:t>
      </w:r>
    </w:p>
    <w:p w14:paraId="2A44513F" w14:textId="77777777" w:rsidR="00870C3F" w:rsidRPr="002F1917" w:rsidRDefault="00870C3F" w:rsidP="00870C3F">
      <w:pPr>
        <w:pStyle w:val="ListBullet1"/>
        <w:rPr>
          <w:rFonts w:ascii="Calibri" w:hAnsi="Calibri" w:cs="Calibri"/>
        </w:rPr>
      </w:pPr>
      <w:r w:rsidRPr="002F1917">
        <w:rPr>
          <w:rFonts w:ascii="Calibri" w:hAnsi="Calibri" w:cs="Calibri"/>
        </w:rPr>
        <w:t>Criminalisation of match-fixing</w:t>
      </w:r>
    </w:p>
    <w:p w14:paraId="19EDA572" w14:textId="77777777" w:rsidR="00870C3F" w:rsidRPr="002F1917" w:rsidRDefault="00870C3F" w:rsidP="00870C3F">
      <w:pPr>
        <w:pStyle w:val="ListBullet1"/>
        <w:rPr>
          <w:rFonts w:ascii="Calibri" w:hAnsi="Calibri" w:cs="Calibri"/>
        </w:rPr>
      </w:pPr>
      <w:r w:rsidRPr="002F1917">
        <w:rPr>
          <w:rFonts w:ascii="Calibri" w:hAnsi="Calibri" w:cs="Calibri"/>
        </w:rPr>
        <w:t>Offshore wagering</w:t>
      </w:r>
    </w:p>
    <w:p w14:paraId="4CF0CBCC" w14:textId="77777777" w:rsidR="00870C3F" w:rsidRPr="002F1917" w:rsidRDefault="00870C3F" w:rsidP="00870C3F">
      <w:pPr>
        <w:pStyle w:val="BodyText"/>
        <w:rPr>
          <w:rFonts w:ascii="Calibri" w:hAnsi="Calibri" w:cs="Calibri"/>
        </w:rPr>
      </w:pPr>
      <w:r w:rsidRPr="002F1917">
        <w:rPr>
          <w:rFonts w:ascii="Calibri" w:hAnsi="Calibri" w:cs="Calibri"/>
        </w:rPr>
        <w:t xml:space="preserve">Two other issues worthy of brief mention are racing and consumer protection. Racing is outside the scope of the ASWS though it is noted they experience similar integrity risks with respect to wagering. With respect to consumer protection, this is largely managed by states and territories while a National Consumer Protection Framework for Online Wagering is being managed by the Federal Department of Social Services. </w:t>
      </w:r>
    </w:p>
    <w:p w14:paraId="4CC73297" w14:textId="77777777" w:rsidR="00870C3F" w:rsidRPr="002F1917" w:rsidRDefault="00870C3F" w:rsidP="00DA0ACD">
      <w:pPr>
        <w:pStyle w:val="Heading3"/>
        <w:rPr>
          <w:rFonts w:ascii="Calibri" w:hAnsi="Calibri" w:cs="Calibri"/>
        </w:rPr>
      </w:pPr>
      <w:bookmarkStart w:id="72" w:name="_Toc39219877"/>
      <w:bookmarkStart w:id="73" w:name="_Toc39220346"/>
      <w:bookmarkStart w:id="74" w:name="_Toc85450755"/>
      <w:r w:rsidRPr="002F1917">
        <w:rPr>
          <w:rFonts w:ascii="Calibri" w:hAnsi="Calibri" w:cs="Calibri"/>
          <w:sz w:val="20"/>
          <w:szCs w:val="28"/>
        </w:rPr>
        <w:t>Criminalisation</w:t>
      </w:r>
      <w:bookmarkEnd w:id="72"/>
      <w:bookmarkEnd w:id="73"/>
      <w:bookmarkEnd w:id="74"/>
    </w:p>
    <w:p w14:paraId="10ECB0C3" w14:textId="77777777" w:rsidR="00870C3F" w:rsidRPr="002F1917" w:rsidRDefault="00870C3F" w:rsidP="00870C3F">
      <w:pPr>
        <w:pStyle w:val="BodyText"/>
        <w:rPr>
          <w:rFonts w:ascii="Calibri" w:hAnsi="Calibri" w:cs="Calibri"/>
        </w:rPr>
      </w:pPr>
      <w:r w:rsidRPr="002F1917">
        <w:rPr>
          <w:rFonts w:ascii="Calibri" w:hAnsi="Calibri" w:cs="Calibri"/>
        </w:rPr>
        <w:t>A key commitment under the National Policy</w:t>
      </w:r>
      <w:r w:rsidRPr="002F1917">
        <w:rPr>
          <w:rFonts w:ascii="Calibri" w:hAnsi="Calibri" w:cs="Calibri"/>
          <w:vertAlign w:val="superscript"/>
        </w:rPr>
        <w:footnoteReference w:id="7"/>
      </w:r>
      <w:r w:rsidRPr="002F1917">
        <w:rPr>
          <w:rFonts w:ascii="Calibri" w:hAnsi="Calibri" w:cs="Calibri"/>
        </w:rPr>
        <w:t xml:space="preserve"> in 2011</w:t>
      </w:r>
      <w:r w:rsidRPr="002F1917">
        <w:rPr>
          <w:rFonts w:ascii="Calibri" w:hAnsi="Calibri" w:cs="Calibri"/>
          <w:vertAlign w:val="superscript"/>
        </w:rPr>
        <w:t xml:space="preserve"> </w:t>
      </w:r>
      <w:r w:rsidRPr="002F1917">
        <w:rPr>
          <w:rFonts w:ascii="Calibri" w:hAnsi="Calibri" w:cs="Calibri"/>
        </w:rPr>
        <w:t xml:space="preserve">was for all states and territories, separately, to enact legislation creating specific offences in their respective jurisdictions to criminalise match-fixing behaviours. Except for Western Australia and Tasmania, states and territories have responded to implement the commitment to legislate, with specific new laws being similar in effect. </w:t>
      </w:r>
    </w:p>
    <w:p w14:paraId="6345DD83" w14:textId="2A089E23" w:rsidR="00870C3F" w:rsidRPr="002F1917" w:rsidRDefault="00870C3F" w:rsidP="00870C3F">
      <w:pPr>
        <w:pStyle w:val="BodyText"/>
        <w:rPr>
          <w:rFonts w:ascii="Calibri" w:hAnsi="Calibri" w:cs="Calibri"/>
        </w:rPr>
      </w:pPr>
      <w:r w:rsidRPr="002F1917">
        <w:rPr>
          <w:rFonts w:ascii="Calibri" w:hAnsi="Calibri" w:cs="Calibri"/>
        </w:rPr>
        <w:t xml:space="preserve">Base case criminalisation of corrupt conduct relating to sports wagering is summarised in </w:t>
      </w:r>
      <w:r w:rsidRPr="002F1917">
        <w:rPr>
          <w:rFonts w:ascii="Calibri" w:hAnsi="Calibri" w:cs="Calibri"/>
        </w:rPr>
        <w:fldChar w:fldCharType="begin"/>
      </w:r>
      <w:r w:rsidRPr="002F1917">
        <w:rPr>
          <w:rFonts w:ascii="Calibri" w:hAnsi="Calibri" w:cs="Calibri"/>
        </w:rPr>
        <w:instrText xml:space="preserve"> REF _Ref41656794 \h </w:instrText>
      </w:r>
      <w:r w:rsidR="002F1917">
        <w:rPr>
          <w:rFonts w:ascii="Calibri" w:hAnsi="Calibri" w:cs="Calibri"/>
        </w:rPr>
        <w:instrText xml:space="preserve"> \* MERGEFORMAT </w:instrText>
      </w:r>
      <w:r w:rsidRPr="002F1917">
        <w:rPr>
          <w:rFonts w:ascii="Calibri" w:hAnsi="Calibri" w:cs="Calibri"/>
        </w:rPr>
      </w:r>
      <w:r w:rsidRPr="002F1917">
        <w:rPr>
          <w:rFonts w:ascii="Calibri" w:hAnsi="Calibri" w:cs="Calibri"/>
        </w:rPr>
        <w:fldChar w:fldCharType="separate"/>
      </w:r>
      <w:r w:rsidRPr="002F1917">
        <w:rPr>
          <w:rFonts w:ascii="Calibri" w:hAnsi="Calibri" w:cs="Calibri"/>
        </w:rPr>
        <w:t xml:space="preserve">Table </w:t>
      </w:r>
      <w:r w:rsidRPr="002F1917">
        <w:rPr>
          <w:rFonts w:ascii="Calibri" w:hAnsi="Calibri" w:cs="Calibri"/>
          <w:noProof/>
        </w:rPr>
        <w:t>4</w:t>
      </w:r>
      <w:r w:rsidRPr="002F1917">
        <w:rPr>
          <w:rFonts w:ascii="Calibri" w:hAnsi="Calibri" w:cs="Calibri"/>
        </w:rPr>
        <w:fldChar w:fldCharType="end"/>
      </w:r>
      <w:r w:rsidRPr="002F1917">
        <w:rPr>
          <w:rFonts w:ascii="Calibri" w:hAnsi="Calibri" w:cs="Calibri"/>
        </w:rPr>
        <w:t xml:space="preserve">. </w:t>
      </w:r>
    </w:p>
    <w:p w14:paraId="0A4FDF08" w14:textId="27A773B1" w:rsidR="00870C3F" w:rsidRPr="002F1917" w:rsidRDefault="00870C3F" w:rsidP="00870C3F">
      <w:pPr>
        <w:pStyle w:val="BodyText"/>
        <w:tabs>
          <w:tab w:val="left" w:pos="2268"/>
        </w:tabs>
        <w:rPr>
          <w:rFonts w:ascii="Calibri" w:hAnsi="Calibri" w:cs="Calibri"/>
        </w:rPr>
      </w:pPr>
      <w:r w:rsidRPr="002F1917">
        <w:rPr>
          <w:rFonts w:ascii="Calibri" w:hAnsi="Calibri" w:cs="Calibri"/>
        </w:rPr>
        <w:t>Apart from corrupting sports events, the new laws (except for Victoria) also criminalises the disclosure and use of inside information for betting purposes. Inside information</w:t>
      </w:r>
      <w:r w:rsidRPr="002F1917">
        <w:rPr>
          <w:rStyle w:val="FootnoteReference"/>
          <w:rFonts w:ascii="Calibri" w:hAnsi="Calibri" w:cs="Calibri"/>
        </w:rPr>
        <w:footnoteReference w:id="8"/>
      </w:r>
      <w:r w:rsidRPr="002F1917">
        <w:rPr>
          <w:rFonts w:ascii="Calibri" w:hAnsi="Calibri" w:cs="Calibri"/>
        </w:rPr>
        <w:t xml:space="preserve"> refers to information that is not generally available in the public domain, but if it were generally available, would be likely to influence a person who would bet on the event in their betting decisions. Unlike corrupt conduct, the possession and use of inside information does not alter or influence the result of the sports event. The penalties for criminal conduct relating to inside information are shorter than that of corrupt information and in some instances regarded as summary offences and thus subjected to the application of a six-month limitation period. Base case criminalisation of the disclosure and use of inside information in sports wagering is summarised in </w:t>
      </w:r>
      <w:r w:rsidRPr="002F1917">
        <w:rPr>
          <w:rFonts w:ascii="Calibri" w:hAnsi="Calibri" w:cs="Calibri"/>
        </w:rPr>
        <w:fldChar w:fldCharType="begin"/>
      </w:r>
      <w:r w:rsidRPr="002F1917">
        <w:rPr>
          <w:rFonts w:ascii="Calibri" w:hAnsi="Calibri" w:cs="Calibri"/>
        </w:rPr>
        <w:instrText xml:space="preserve"> REF _Ref41656821 \h </w:instrText>
      </w:r>
      <w:r w:rsidR="002F1917">
        <w:rPr>
          <w:rFonts w:ascii="Calibri" w:hAnsi="Calibri" w:cs="Calibri"/>
        </w:rPr>
        <w:instrText xml:space="preserve"> \* MERGEFORMAT </w:instrText>
      </w:r>
      <w:r w:rsidRPr="002F1917">
        <w:rPr>
          <w:rFonts w:ascii="Calibri" w:hAnsi="Calibri" w:cs="Calibri"/>
        </w:rPr>
      </w:r>
      <w:r w:rsidRPr="002F1917">
        <w:rPr>
          <w:rFonts w:ascii="Calibri" w:hAnsi="Calibri" w:cs="Calibri"/>
        </w:rPr>
        <w:fldChar w:fldCharType="separate"/>
      </w:r>
      <w:r w:rsidRPr="002F1917">
        <w:rPr>
          <w:rFonts w:ascii="Calibri" w:hAnsi="Calibri" w:cs="Calibri"/>
        </w:rPr>
        <w:t xml:space="preserve">Table </w:t>
      </w:r>
      <w:r w:rsidRPr="002F1917">
        <w:rPr>
          <w:rFonts w:ascii="Calibri" w:hAnsi="Calibri" w:cs="Calibri"/>
          <w:noProof/>
        </w:rPr>
        <w:t>5</w:t>
      </w:r>
      <w:r w:rsidRPr="002F1917">
        <w:rPr>
          <w:rFonts w:ascii="Calibri" w:hAnsi="Calibri" w:cs="Calibri"/>
        </w:rPr>
        <w:fldChar w:fldCharType="end"/>
      </w:r>
      <w:r w:rsidRPr="002F1917">
        <w:rPr>
          <w:rFonts w:ascii="Calibri" w:hAnsi="Calibri" w:cs="Calibri"/>
        </w:rPr>
        <w:t>.</w:t>
      </w:r>
    </w:p>
    <w:p w14:paraId="352BF3B9" w14:textId="41A1084E" w:rsidR="00870C3F" w:rsidRPr="002F1917" w:rsidRDefault="00870C3F" w:rsidP="00870C3F">
      <w:pPr>
        <w:pStyle w:val="BodyText"/>
        <w:rPr>
          <w:rFonts w:ascii="Calibri" w:hAnsi="Calibri" w:cs="Calibri"/>
        </w:rPr>
      </w:pPr>
      <w:r w:rsidRPr="002F1917">
        <w:rPr>
          <w:rFonts w:ascii="Calibri" w:hAnsi="Calibri" w:cs="Calibri"/>
        </w:rPr>
        <w:t xml:space="preserve">More recently in 2019, the </w:t>
      </w:r>
      <w:r w:rsidR="00FD74BA">
        <w:rPr>
          <w:rFonts w:ascii="Calibri" w:hAnsi="Calibri" w:cs="Calibri"/>
        </w:rPr>
        <w:t xml:space="preserve">Commonwealth </w:t>
      </w:r>
      <w:r w:rsidRPr="002F1917">
        <w:rPr>
          <w:rFonts w:ascii="Calibri" w:hAnsi="Calibri" w:cs="Calibri"/>
        </w:rPr>
        <w:t>Government commenced work to establish a set of Commonwealth match-fixing offences as a commitment to continue working with state and territories to foster greater consistency and complementarity between Commonwealth subnational frameworks. The development of these offences is guided, to an extent, by the set of match-fixing behaviours agreed by all state and territory Attorneys-General at the November 2011 meeting of the Standing Council on Law and Justice, as well as relevant state and territory offence frameworks where they have been enacted. Proposed behaviours subject to the offences include:</w:t>
      </w:r>
    </w:p>
    <w:p w14:paraId="7231D46C" w14:textId="77777777" w:rsidR="00870C3F" w:rsidRPr="002F1917" w:rsidRDefault="00870C3F" w:rsidP="00870C3F">
      <w:pPr>
        <w:pStyle w:val="ListBullet1"/>
        <w:rPr>
          <w:rFonts w:ascii="Calibri" w:hAnsi="Calibri" w:cs="Calibri"/>
        </w:rPr>
      </w:pPr>
      <w:r w:rsidRPr="002F1917">
        <w:rPr>
          <w:rFonts w:ascii="Calibri" w:hAnsi="Calibri" w:cs="Calibri"/>
        </w:rPr>
        <w:t xml:space="preserve">Corrupting a sporting event </w:t>
      </w:r>
    </w:p>
    <w:p w14:paraId="7CAF39BA" w14:textId="77777777" w:rsidR="00870C3F" w:rsidRPr="002F1917" w:rsidRDefault="00870C3F" w:rsidP="00870C3F">
      <w:pPr>
        <w:pStyle w:val="ListBullet1"/>
        <w:rPr>
          <w:rFonts w:ascii="Calibri" w:hAnsi="Calibri" w:cs="Calibri"/>
        </w:rPr>
      </w:pPr>
      <w:r w:rsidRPr="002F1917">
        <w:rPr>
          <w:rFonts w:ascii="Calibri" w:hAnsi="Calibri" w:cs="Calibri"/>
        </w:rPr>
        <w:t xml:space="preserve">Altering, </w:t>
      </w:r>
      <w:proofErr w:type="gramStart"/>
      <w:r w:rsidRPr="002F1917">
        <w:rPr>
          <w:rFonts w:ascii="Calibri" w:hAnsi="Calibri" w:cs="Calibri"/>
        </w:rPr>
        <w:t>destroying</w:t>
      </w:r>
      <w:proofErr w:type="gramEnd"/>
      <w:r w:rsidRPr="002F1917">
        <w:rPr>
          <w:rFonts w:ascii="Calibri" w:hAnsi="Calibri" w:cs="Calibri"/>
        </w:rPr>
        <w:t xml:space="preserve"> or concealing corrupt conduct information</w:t>
      </w:r>
    </w:p>
    <w:p w14:paraId="69469692" w14:textId="77777777" w:rsidR="00870C3F" w:rsidRPr="002F1917" w:rsidRDefault="00870C3F" w:rsidP="00870C3F">
      <w:pPr>
        <w:pStyle w:val="ListBullet1"/>
        <w:rPr>
          <w:rFonts w:ascii="Calibri" w:hAnsi="Calibri" w:cs="Calibri"/>
        </w:rPr>
      </w:pPr>
      <w:r w:rsidRPr="002F1917">
        <w:rPr>
          <w:rFonts w:ascii="Calibri" w:hAnsi="Calibri" w:cs="Calibri"/>
        </w:rPr>
        <w:t>Use or communication of corrupt conduct information</w:t>
      </w:r>
    </w:p>
    <w:p w14:paraId="540B3E92" w14:textId="77777777" w:rsidR="00870C3F" w:rsidRPr="002F1917" w:rsidRDefault="00870C3F" w:rsidP="00870C3F">
      <w:pPr>
        <w:pStyle w:val="ListBullet1"/>
        <w:rPr>
          <w:rFonts w:ascii="Calibri" w:hAnsi="Calibri" w:cs="Calibri"/>
        </w:rPr>
      </w:pPr>
      <w:r w:rsidRPr="002F1917">
        <w:rPr>
          <w:rFonts w:ascii="Calibri" w:hAnsi="Calibri" w:cs="Calibri"/>
        </w:rPr>
        <w:t>Use or communication of inside information.</w:t>
      </w:r>
    </w:p>
    <w:p w14:paraId="4E6C5795" w14:textId="77777777" w:rsidR="00870C3F" w:rsidRPr="002F1917" w:rsidRDefault="00870C3F" w:rsidP="00870C3F">
      <w:pPr>
        <w:pStyle w:val="BodyText"/>
        <w:rPr>
          <w:rFonts w:ascii="Calibri" w:hAnsi="Calibri" w:cs="Calibri"/>
        </w:rPr>
      </w:pPr>
      <w:r w:rsidRPr="002F1917">
        <w:rPr>
          <w:rFonts w:ascii="Calibri" w:hAnsi="Calibri" w:cs="Calibri"/>
        </w:rPr>
        <w:lastRenderedPageBreak/>
        <w:t xml:space="preserve">Measures have also been proposed for subnational governments to identify responsible regulatory authorities and place obligations on wagering providers to prevent conflict of interest and misuse of inside information as well as to report irregularities. </w:t>
      </w:r>
    </w:p>
    <w:p w14:paraId="2D68C23A" w14:textId="616CC454" w:rsidR="00870C3F" w:rsidRPr="002F1917" w:rsidRDefault="00870C3F" w:rsidP="00870C3F">
      <w:pPr>
        <w:pStyle w:val="BodyText"/>
        <w:rPr>
          <w:rFonts w:ascii="Calibri" w:hAnsi="Calibri" w:cs="Calibri"/>
        </w:rPr>
      </w:pPr>
    </w:p>
    <w:p w14:paraId="26EFEF68" w14:textId="2258E954" w:rsidR="00870C3F" w:rsidRPr="009125F1" w:rsidRDefault="00870C3F" w:rsidP="009125F1">
      <w:pPr>
        <w:rPr>
          <w:rFonts w:ascii="Calibri" w:hAnsi="Calibri" w:cs="Calibri"/>
          <w:sz w:val="20"/>
          <w:szCs w:val="20"/>
        </w:rPr>
      </w:pPr>
      <w:bookmarkStart w:id="75" w:name="_Ref41656794"/>
      <w:r w:rsidRPr="009125F1">
        <w:rPr>
          <w:rFonts w:ascii="Calibri" w:hAnsi="Calibri" w:cs="Calibri"/>
          <w:sz w:val="20"/>
          <w:szCs w:val="20"/>
        </w:rPr>
        <w:t xml:space="preserve">Table </w:t>
      </w:r>
      <w:r w:rsidR="009143C2" w:rsidRPr="009125F1">
        <w:rPr>
          <w:rFonts w:ascii="Calibri" w:hAnsi="Calibri" w:cs="Calibri"/>
          <w:sz w:val="20"/>
          <w:szCs w:val="20"/>
        </w:rPr>
        <w:fldChar w:fldCharType="begin"/>
      </w:r>
      <w:r w:rsidR="009143C2" w:rsidRPr="009125F1">
        <w:rPr>
          <w:rFonts w:ascii="Calibri" w:hAnsi="Calibri" w:cs="Calibri"/>
          <w:sz w:val="20"/>
          <w:szCs w:val="20"/>
        </w:rPr>
        <w:instrText xml:space="preserve"> SEQ Table \* ARABIC </w:instrText>
      </w:r>
      <w:r w:rsidR="009143C2" w:rsidRPr="009125F1">
        <w:rPr>
          <w:rFonts w:ascii="Calibri" w:hAnsi="Calibri" w:cs="Calibri"/>
          <w:sz w:val="20"/>
          <w:szCs w:val="20"/>
        </w:rPr>
        <w:fldChar w:fldCharType="separate"/>
      </w:r>
      <w:r w:rsidRPr="009125F1">
        <w:rPr>
          <w:rFonts w:ascii="Calibri" w:hAnsi="Calibri" w:cs="Calibri"/>
          <w:noProof/>
          <w:sz w:val="20"/>
          <w:szCs w:val="20"/>
        </w:rPr>
        <w:t>4</w:t>
      </w:r>
      <w:r w:rsidR="009143C2" w:rsidRPr="009125F1">
        <w:rPr>
          <w:rFonts w:ascii="Calibri" w:hAnsi="Calibri" w:cs="Calibri"/>
          <w:noProof/>
          <w:sz w:val="20"/>
          <w:szCs w:val="20"/>
        </w:rPr>
        <w:fldChar w:fldCharType="end"/>
      </w:r>
      <w:bookmarkEnd w:id="75"/>
      <w:r w:rsidRPr="009125F1">
        <w:rPr>
          <w:rFonts w:ascii="Calibri" w:hAnsi="Calibri" w:cs="Calibri"/>
          <w:b/>
          <w:sz w:val="20"/>
          <w:szCs w:val="20"/>
        </w:rPr>
        <w:t>:</w:t>
      </w:r>
      <w:r w:rsidRPr="009125F1">
        <w:rPr>
          <w:rFonts w:ascii="Calibri" w:hAnsi="Calibri" w:cs="Calibri"/>
          <w:sz w:val="20"/>
          <w:szCs w:val="20"/>
        </w:rPr>
        <w:t xml:space="preserve"> Base case criminalisation of corrupt conduct in sport</w:t>
      </w:r>
    </w:p>
    <w:tbl>
      <w:tblPr>
        <w:tblStyle w:val="FETableStyle"/>
        <w:tblW w:w="4517" w:type="pct"/>
        <w:tblInd w:w="0" w:type="dxa"/>
        <w:tblLook w:val="0420" w:firstRow="1" w:lastRow="0" w:firstColumn="0" w:lastColumn="0" w:noHBand="0" w:noVBand="1"/>
      </w:tblPr>
      <w:tblGrid>
        <w:gridCol w:w="1259"/>
        <w:gridCol w:w="999"/>
        <w:gridCol w:w="1186"/>
        <w:gridCol w:w="1186"/>
        <w:gridCol w:w="1186"/>
        <w:gridCol w:w="1186"/>
        <w:gridCol w:w="1186"/>
      </w:tblGrid>
      <w:tr w:rsidR="00870C3F" w:rsidRPr="002F1917" w14:paraId="794453E0" w14:textId="77777777" w:rsidTr="00870C3F">
        <w:trPr>
          <w:cnfStyle w:val="100000000000" w:firstRow="1" w:lastRow="0" w:firstColumn="0" w:lastColumn="0" w:oddVBand="0" w:evenVBand="0" w:oddHBand="0" w:evenHBand="0" w:firstRowFirstColumn="0" w:firstRowLastColumn="0" w:lastRowFirstColumn="0" w:lastRowLastColumn="0"/>
          <w:cantSplit/>
          <w:tblHeader/>
        </w:trPr>
        <w:tc>
          <w:tcPr>
            <w:tcW w:w="769" w:type="pct"/>
          </w:tcPr>
          <w:p w14:paraId="5DC0356E" w14:textId="77777777" w:rsidR="00870C3F" w:rsidRPr="00C434A1" w:rsidRDefault="00870C3F">
            <w:pPr>
              <w:pStyle w:val="TableHeading"/>
              <w:rPr>
                <w:rFonts w:ascii="Calibri" w:hAnsi="Calibri" w:cs="Calibri"/>
                <w:color w:val="000000" w:themeColor="text1"/>
              </w:rPr>
            </w:pPr>
          </w:p>
        </w:tc>
        <w:tc>
          <w:tcPr>
            <w:tcW w:w="610" w:type="pct"/>
            <w:hideMark/>
          </w:tcPr>
          <w:p w14:paraId="31CEB632" w14:textId="77777777" w:rsidR="00870C3F" w:rsidRPr="00C434A1" w:rsidRDefault="00870C3F">
            <w:pPr>
              <w:pStyle w:val="TableHeading"/>
              <w:rPr>
                <w:rFonts w:ascii="Calibri" w:hAnsi="Calibri" w:cs="Calibri"/>
                <w:color w:val="000000" w:themeColor="text1"/>
              </w:rPr>
            </w:pPr>
            <w:r w:rsidRPr="00C434A1">
              <w:rPr>
                <w:rFonts w:ascii="Calibri" w:hAnsi="Calibri" w:cs="Calibri"/>
                <w:color w:val="000000" w:themeColor="text1"/>
              </w:rPr>
              <w:t>Vic</w:t>
            </w:r>
          </w:p>
        </w:tc>
        <w:tc>
          <w:tcPr>
            <w:tcW w:w="724" w:type="pct"/>
            <w:hideMark/>
          </w:tcPr>
          <w:p w14:paraId="623071F5" w14:textId="77777777" w:rsidR="00870C3F" w:rsidRPr="00C434A1" w:rsidRDefault="00870C3F">
            <w:pPr>
              <w:pStyle w:val="TableHeading"/>
              <w:rPr>
                <w:rFonts w:ascii="Calibri" w:hAnsi="Calibri" w:cs="Calibri"/>
                <w:color w:val="000000" w:themeColor="text1"/>
              </w:rPr>
            </w:pPr>
            <w:r w:rsidRPr="00C434A1">
              <w:rPr>
                <w:rFonts w:ascii="Calibri" w:hAnsi="Calibri" w:cs="Calibri"/>
                <w:color w:val="000000" w:themeColor="text1"/>
              </w:rPr>
              <w:t>NSW</w:t>
            </w:r>
          </w:p>
        </w:tc>
        <w:tc>
          <w:tcPr>
            <w:tcW w:w="724" w:type="pct"/>
            <w:hideMark/>
          </w:tcPr>
          <w:p w14:paraId="77909D04" w14:textId="77777777" w:rsidR="00870C3F" w:rsidRPr="00C434A1" w:rsidRDefault="00870C3F">
            <w:pPr>
              <w:pStyle w:val="TableHeading"/>
              <w:rPr>
                <w:rFonts w:ascii="Calibri" w:hAnsi="Calibri" w:cs="Calibri"/>
                <w:color w:val="000000" w:themeColor="text1"/>
              </w:rPr>
            </w:pPr>
            <w:r w:rsidRPr="00C434A1">
              <w:rPr>
                <w:rFonts w:ascii="Calibri" w:hAnsi="Calibri" w:cs="Calibri"/>
                <w:color w:val="000000" w:themeColor="text1"/>
              </w:rPr>
              <w:t>NT</w:t>
            </w:r>
          </w:p>
        </w:tc>
        <w:tc>
          <w:tcPr>
            <w:tcW w:w="724" w:type="pct"/>
            <w:hideMark/>
          </w:tcPr>
          <w:p w14:paraId="01E49A91" w14:textId="77777777" w:rsidR="00870C3F" w:rsidRPr="00C434A1" w:rsidRDefault="00870C3F">
            <w:pPr>
              <w:pStyle w:val="TableHeading"/>
              <w:rPr>
                <w:rFonts w:ascii="Calibri" w:hAnsi="Calibri" w:cs="Calibri"/>
                <w:b w:val="0"/>
                <w:color w:val="000000" w:themeColor="text1"/>
              </w:rPr>
            </w:pPr>
            <w:r w:rsidRPr="00C434A1">
              <w:rPr>
                <w:rFonts w:ascii="Calibri" w:hAnsi="Calibri" w:cs="Calibri"/>
                <w:color w:val="000000" w:themeColor="text1"/>
              </w:rPr>
              <w:t>SA</w:t>
            </w:r>
          </w:p>
        </w:tc>
        <w:tc>
          <w:tcPr>
            <w:tcW w:w="724" w:type="pct"/>
            <w:hideMark/>
          </w:tcPr>
          <w:p w14:paraId="3A0A66BF" w14:textId="77777777" w:rsidR="00870C3F" w:rsidRPr="00C434A1" w:rsidRDefault="00870C3F">
            <w:pPr>
              <w:pStyle w:val="TableHeading"/>
              <w:rPr>
                <w:rFonts w:ascii="Calibri" w:hAnsi="Calibri" w:cs="Calibri"/>
                <w:b w:val="0"/>
                <w:color w:val="000000" w:themeColor="text1"/>
              </w:rPr>
            </w:pPr>
            <w:r w:rsidRPr="00C434A1">
              <w:rPr>
                <w:rFonts w:ascii="Calibri" w:hAnsi="Calibri" w:cs="Calibri"/>
                <w:color w:val="000000" w:themeColor="text1"/>
              </w:rPr>
              <w:t>ACT</w:t>
            </w:r>
          </w:p>
        </w:tc>
        <w:tc>
          <w:tcPr>
            <w:tcW w:w="724" w:type="pct"/>
            <w:hideMark/>
          </w:tcPr>
          <w:p w14:paraId="3C147E76" w14:textId="77777777" w:rsidR="00870C3F" w:rsidRPr="00C434A1" w:rsidRDefault="00870C3F">
            <w:pPr>
              <w:pStyle w:val="TableHeading"/>
              <w:rPr>
                <w:rFonts w:ascii="Calibri" w:hAnsi="Calibri" w:cs="Calibri"/>
                <w:b w:val="0"/>
                <w:color w:val="000000" w:themeColor="text1"/>
              </w:rPr>
            </w:pPr>
            <w:r w:rsidRPr="00C434A1">
              <w:rPr>
                <w:rFonts w:ascii="Calibri" w:hAnsi="Calibri" w:cs="Calibri"/>
                <w:color w:val="000000" w:themeColor="text1"/>
              </w:rPr>
              <w:t>Qld</w:t>
            </w:r>
          </w:p>
        </w:tc>
      </w:tr>
      <w:tr w:rsidR="00870C3F" w:rsidRPr="002F1917" w14:paraId="12432EFC" w14:textId="77777777" w:rsidTr="00870C3F">
        <w:trPr>
          <w:cantSplit/>
        </w:trPr>
        <w:tc>
          <w:tcPr>
            <w:tcW w:w="769" w:type="pct"/>
            <w:tcBorders>
              <w:top w:val="single" w:sz="4" w:space="0" w:color="FFFFFF" w:themeColor="background1"/>
              <w:left w:val="nil"/>
              <w:bottom w:val="single" w:sz="4" w:space="0" w:color="FFFFFF" w:themeColor="background1"/>
              <w:right w:val="nil"/>
            </w:tcBorders>
            <w:hideMark/>
          </w:tcPr>
          <w:p w14:paraId="4D529E80" w14:textId="77777777" w:rsidR="00870C3F" w:rsidRPr="002F1917" w:rsidRDefault="00870C3F">
            <w:pPr>
              <w:pStyle w:val="TableText"/>
              <w:rPr>
                <w:rFonts w:ascii="Calibri" w:hAnsi="Calibri" w:cs="Calibri"/>
              </w:rPr>
            </w:pPr>
            <w:r w:rsidRPr="002F1917">
              <w:rPr>
                <w:rFonts w:ascii="Calibri" w:hAnsi="Calibri" w:cs="Calibri"/>
              </w:rPr>
              <w:t>Specific match-fixing or corrupt conduct</w:t>
            </w:r>
          </w:p>
        </w:tc>
        <w:tc>
          <w:tcPr>
            <w:tcW w:w="610" w:type="pct"/>
            <w:tcBorders>
              <w:top w:val="single" w:sz="4" w:space="0" w:color="FFFFFF" w:themeColor="background1"/>
              <w:left w:val="nil"/>
              <w:bottom w:val="single" w:sz="4" w:space="0" w:color="FFFFFF" w:themeColor="background1"/>
              <w:right w:val="nil"/>
            </w:tcBorders>
            <w:hideMark/>
          </w:tcPr>
          <w:p w14:paraId="75978484" w14:textId="77777777" w:rsidR="00870C3F" w:rsidRPr="002F1917" w:rsidRDefault="00870C3F">
            <w:pPr>
              <w:pStyle w:val="TableText"/>
              <w:rPr>
                <w:rFonts w:ascii="Calibri" w:hAnsi="Calibri" w:cs="Calibri"/>
              </w:rPr>
            </w:pPr>
            <w:r w:rsidRPr="002F1917">
              <w:rPr>
                <w:rFonts w:ascii="Calibri" w:hAnsi="Calibri" w:cs="Calibri"/>
              </w:rPr>
              <w:t>Yes</w:t>
            </w:r>
          </w:p>
        </w:tc>
        <w:tc>
          <w:tcPr>
            <w:tcW w:w="724" w:type="pct"/>
            <w:tcBorders>
              <w:top w:val="single" w:sz="4" w:space="0" w:color="FFFFFF" w:themeColor="background1"/>
              <w:left w:val="nil"/>
              <w:bottom w:val="single" w:sz="4" w:space="0" w:color="FFFFFF" w:themeColor="background1"/>
              <w:right w:val="nil"/>
            </w:tcBorders>
            <w:hideMark/>
          </w:tcPr>
          <w:p w14:paraId="50C3AAFF" w14:textId="77777777" w:rsidR="00870C3F" w:rsidRPr="002F1917" w:rsidRDefault="00870C3F">
            <w:pPr>
              <w:pStyle w:val="TableText"/>
              <w:rPr>
                <w:rFonts w:ascii="Calibri" w:hAnsi="Calibri" w:cs="Calibri"/>
              </w:rPr>
            </w:pPr>
            <w:r w:rsidRPr="002F1917">
              <w:rPr>
                <w:rFonts w:ascii="Calibri" w:hAnsi="Calibri" w:cs="Calibri"/>
              </w:rPr>
              <w:t>Yes</w:t>
            </w:r>
          </w:p>
        </w:tc>
        <w:tc>
          <w:tcPr>
            <w:tcW w:w="724" w:type="pct"/>
            <w:tcBorders>
              <w:top w:val="single" w:sz="4" w:space="0" w:color="FFFFFF" w:themeColor="background1"/>
              <w:left w:val="nil"/>
              <w:bottom w:val="single" w:sz="4" w:space="0" w:color="FFFFFF" w:themeColor="background1"/>
              <w:right w:val="nil"/>
            </w:tcBorders>
            <w:hideMark/>
          </w:tcPr>
          <w:p w14:paraId="7D83D9F7" w14:textId="77777777" w:rsidR="00870C3F" w:rsidRPr="002F1917" w:rsidRDefault="00870C3F">
            <w:pPr>
              <w:pStyle w:val="TableText"/>
              <w:rPr>
                <w:rFonts w:ascii="Calibri" w:hAnsi="Calibri" w:cs="Calibri"/>
              </w:rPr>
            </w:pPr>
            <w:r w:rsidRPr="002F1917">
              <w:rPr>
                <w:rFonts w:ascii="Calibri" w:hAnsi="Calibri" w:cs="Calibri"/>
              </w:rPr>
              <w:t>Yes</w:t>
            </w:r>
          </w:p>
        </w:tc>
        <w:tc>
          <w:tcPr>
            <w:tcW w:w="724" w:type="pct"/>
            <w:tcBorders>
              <w:top w:val="single" w:sz="4" w:space="0" w:color="FFFFFF" w:themeColor="background1"/>
              <w:left w:val="nil"/>
              <w:bottom w:val="single" w:sz="4" w:space="0" w:color="FFFFFF" w:themeColor="background1"/>
              <w:right w:val="nil"/>
            </w:tcBorders>
            <w:hideMark/>
          </w:tcPr>
          <w:p w14:paraId="464DD70F" w14:textId="77777777" w:rsidR="00870C3F" w:rsidRPr="002F1917" w:rsidRDefault="00870C3F">
            <w:pPr>
              <w:pStyle w:val="TableText"/>
              <w:rPr>
                <w:rFonts w:ascii="Calibri" w:hAnsi="Calibri" w:cs="Calibri"/>
              </w:rPr>
            </w:pPr>
            <w:r w:rsidRPr="002F1917">
              <w:rPr>
                <w:rFonts w:ascii="Calibri" w:hAnsi="Calibri" w:cs="Calibri"/>
              </w:rPr>
              <w:t>Yes</w:t>
            </w:r>
          </w:p>
        </w:tc>
        <w:tc>
          <w:tcPr>
            <w:tcW w:w="724" w:type="pct"/>
            <w:tcBorders>
              <w:top w:val="single" w:sz="4" w:space="0" w:color="FFFFFF" w:themeColor="background1"/>
              <w:left w:val="nil"/>
              <w:bottom w:val="single" w:sz="4" w:space="0" w:color="FFFFFF" w:themeColor="background1"/>
              <w:right w:val="nil"/>
            </w:tcBorders>
            <w:hideMark/>
          </w:tcPr>
          <w:p w14:paraId="33403DE1" w14:textId="77777777" w:rsidR="00870C3F" w:rsidRPr="002F1917" w:rsidRDefault="00870C3F">
            <w:pPr>
              <w:pStyle w:val="TableText"/>
              <w:rPr>
                <w:rFonts w:ascii="Calibri" w:hAnsi="Calibri" w:cs="Calibri"/>
              </w:rPr>
            </w:pPr>
            <w:r w:rsidRPr="002F1917">
              <w:rPr>
                <w:rFonts w:ascii="Calibri" w:hAnsi="Calibri" w:cs="Calibri"/>
              </w:rPr>
              <w:t>Yes</w:t>
            </w:r>
          </w:p>
        </w:tc>
        <w:tc>
          <w:tcPr>
            <w:tcW w:w="724" w:type="pct"/>
            <w:tcBorders>
              <w:top w:val="single" w:sz="4" w:space="0" w:color="FFFFFF" w:themeColor="background1"/>
              <w:left w:val="nil"/>
              <w:bottom w:val="single" w:sz="4" w:space="0" w:color="FFFFFF" w:themeColor="background1"/>
              <w:right w:val="nil"/>
            </w:tcBorders>
            <w:hideMark/>
          </w:tcPr>
          <w:p w14:paraId="4292BC00" w14:textId="77777777" w:rsidR="00870C3F" w:rsidRPr="002F1917" w:rsidRDefault="00870C3F">
            <w:pPr>
              <w:pStyle w:val="TableText"/>
              <w:rPr>
                <w:rFonts w:ascii="Calibri" w:hAnsi="Calibri" w:cs="Calibri"/>
              </w:rPr>
            </w:pPr>
            <w:r w:rsidRPr="002F1917">
              <w:rPr>
                <w:rFonts w:ascii="Calibri" w:hAnsi="Calibri" w:cs="Calibri"/>
              </w:rPr>
              <w:t>Yes, specific to match-fixing</w:t>
            </w:r>
          </w:p>
        </w:tc>
      </w:tr>
      <w:tr w:rsidR="00870C3F" w:rsidRPr="002F1917" w14:paraId="6283CC2D" w14:textId="77777777" w:rsidTr="00870C3F">
        <w:trPr>
          <w:cnfStyle w:val="000000010000" w:firstRow="0" w:lastRow="0" w:firstColumn="0" w:lastColumn="0" w:oddVBand="0" w:evenVBand="0" w:oddHBand="0" w:evenHBand="1" w:firstRowFirstColumn="0" w:firstRowLastColumn="0" w:lastRowFirstColumn="0" w:lastRowLastColumn="0"/>
          <w:cantSplit/>
        </w:trPr>
        <w:tc>
          <w:tcPr>
            <w:tcW w:w="769" w:type="pct"/>
            <w:tcBorders>
              <w:top w:val="single" w:sz="4" w:space="0" w:color="FFFFFF" w:themeColor="background1"/>
              <w:left w:val="nil"/>
              <w:bottom w:val="single" w:sz="4" w:space="0" w:color="FFFFFF" w:themeColor="background1"/>
              <w:right w:val="nil"/>
            </w:tcBorders>
            <w:hideMark/>
          </w:tcPr>
          <w:p w14:paraId="366E2B00" w14:textId="77777777" w:rsidR="00870C3F" w:rsidRPr="002F1917" w:rsidRDefault="00870C3F">
            <w:pPr>
              <w:pStyle w:val="TableText"/>
              <w:rPr>
                <w:rFonts w:ascii="Calibri" w:hAnsi="Calibri" w:cs="Calibri"/>
              </w:rPr>
            </w:pPr>
            <w:r w:rsidRPr="002F1917">
              <w:rPr>
                <w:rFonts w:ascii="Calibri" w:hAnsi="Calibri" w:cs="Calibri"/>
              </w:rPr>
              <w:t>Facilitating match-fixing or corrupt conduct</w:t>
            </w:r>
          </w:p>
        </w:tc>
        <w:tc>
          <w:tcPr>
            <w:tcW w:w="610" w:type="pct"/>
            <w:tcBorders>
              <w:top w:val="single" w:sz="4" w:space="0" w:color="FFFFFF" w:themeColor="background1"/>
              <w:left w:val="nil"/>
              <w:bottom w:val="single" w:sz="4" w:space="0" w:color="FFFFFF" w:themeColor="background1"/>
              <w:right w:val="nil"/>
            </w:tcBorders>
            <w:hideMark/>
          </w:tcPr>
          <w:p w14:paraId="3B747458" w14:textId="77777777" w:rsidR="00870C3F" w:rsidRPr="002F1917" w:rsidRDefault="00870C3F">
            <w:pPr>
              <w:pStyle w:val="TableText"/>
              <w:rPr>
                <w:rFonts w:ascii="Calibri" w:hAnsi="Calibri" w:cs="Calibri"/>
              </w:rPr>
            </w:pPr>
            <w:r w:rsidRPr="002F1917">
              <w:rPr>
                <w:rFonts w:ascii="Calibri" w:hAnsi="Calibri" w:cs="Calibri"/>
              </w:rPr>
              <w:t>Yes</w:t>
            </w:r>
          </w:p>
        </w:tc>
        <w:tc>
          <w:tcPr>
            <w:tcW w:w="724" w:type="pct"/>
            <w:tcBorders>
              <w:top w:val="single" w:sz="4" w:space="0" w:color="FFFFFF" w:themeColor="background1"/>
              <w:left w:val="nil"/>
              <w:bottom w:val="single" w:sz="4" w:space="0" w:color="FFFFFF" w:themeColor="background1"/>
              <w:right w:val="nil"/>
            </w:tcBorders>
            <w:hideMark/>
          </w:tcPr>
          <w:p w14:paraId="7DA02989" w14:textId="77777777" w:rsidR="00870C3F" w:rsidRPr="002F1917" w:rsidRDefault="00870C3F">
            <w:pPr>
              <w:pStyle w:val="TableText"/>
              <w:rPr>
                <w:rFonts w:ascii="Calibri" w:hAnsi="Calibri" w:cs="Calibri"/>
              </w:rPr>
            </w:pPr>
            <w:r w:rsidRPr="002F1917">
              <w:rPr>
                <w:rFonts w:ascii="Calibri" w:hAnsi="Calibri" w:cs="Calibri"/>
              </w:rPr>
              <w:t>Yes</w:t>
            </w:r>
          </w:p>
        </w:tc>
        <w:tc>
          <w:tcPr>
            <w:tcW w:w="724" w:type="pct"/>
            <w:tcBorders>
              <w:top w:val="single" w:sz="4" w:space="0" w:color="FFFFFF" w:themeColor="background1"/>
              <w:left w:val="nil"/>
              <w:bottom w:val="single" w:sz="4" w:space="0" w:color="FFFFFF" w:themeColor="background1"/>
              <w:right w:val="nil"/>
            </w:tcBorders>
            <w:hideMark/>
          </w:tcPr>
          <w:p w14:paraId="0466573F" w14:textId="77777777" w:rsidR="00870C3F" w:rsidRPr="002F1917" w:rsidRDefault="00870C3F">
            <w:pPr>
              <w:pStyle w:val="TableText"/>
              <w:rPr>
                <w:rFonts w:ascii="Calibri" w:hAnsi="Calibri" w:cs="Calibri"/>
              </w:rPr>
            </w:pPr>
            <w:r w:rsidRPr="002F1917">
              <w:rPr>
                <w:rFonts w:ascii="Calibri" w:hAnsi="Calibri" w:cs="Calibri"/>
              </w:rPr>
              <w:t>Yes</w:t>
            </w:r>
          </w:p>
        </w:tc>
        <w:tc>
          <w:tcPr>
            <w:tcW w:w="724" w:type="pct"/>
            <w:tcBorders>
              <w:top w:val="single" w:sz="4" w:space="0" w:color="FFFFFF" w:themeColor="background1"/>
              <w:left w:val="nil"/>
              <w:bottom w:val="single" w:sz="4" w:space="0" w:color="FFFFFF" w:themeColor="background1"/>
              <w:right w:val="nil"/>
            </w:tcBorders>
            <w:hideMark/>
          </w:tcPr>
          <w:p w14:paraId="652DC3B5" w14:textId="77777777" w:rsidR="00870C3F" w:rsidRPr="002F1917" w:rsidRDefault="00870C3F">
            <w:pPr>
              <w:pStyle w:val="TableText"/>
              <w:rPr>
                <w:rFonts w:ascii="Calibri" w:hAnsi="Calibri" w:cs="Calibri"/>
              </w:rPr>
            </w:pPr>
            <w:r w:rsidRPr="002F1917">
              <w:rPr>
                <w:rFonts w:ascii="Calibri" w:hAnsi="Calibri" w:cs="Calibri"/>
              </w:rPr>
              <w:t>Yes</w:t>
            </w:r>
          </w:p>
        </w:tc>
        <w:tc>
          <w:tcPr>
            <w:tcW w:w="724" w:type="pct"/>
            <w:tcBorders>
              <w:top w:val="single" w:sz="4" w:space="0" w:color="FFFFFF" w:themeColor="background1"/>
              <w:left w:val="nil"/>
              <w:bottom w:val="single" w:sz="4" w:space="0" w:color="FFFFFF" w:themeColor="background1"/>
              <w:right w:val="nil"/>
            </w:tcBorders>
            <w:hideMark/>
          </w:tcPr>
          <w:p w14:paraId="27B9DCF5" w14:textId="77777777" w:rsidR="00870C3F" w:rsidRPr="002F1917" w:rsidRDefault="00870C3F">
            <w:pPr>
              <w:pStyle w:val="TableText"/>
              <w:rPr>
                <w:rFonts w:ascii="Calibri" w:hAnsi="Calibri" w:cs="Calibri"/>
              </w:rPr>
            </w:pPr>
            <w:r w:rsidRPr="002F1917">
              <w:rPr>
                <w:rFonts w:ascii="Calibri" w:hAnsi="Calibri" w:cs="Calibri"/>
              </w:rPr>
              <w:t>No</w:t>
            </w:r>
          </w:p>
        </w:tc>
        <w:tc>
          <w:tcPr>
            <w:tcW w:w="724" w:type="pct"/>
            <w:tcBorders>
              <w:top w:val="single" w:sz="4" w:space="0" w:color="FFFFFF" w:themeColor="background1"/>
              <w:left w:val="nil"/>
              <w:bottom w:val="single" w:sz="4" w:space="0" w:color="FFFFFF" w:themeColor="background1"/>
              <w:right w:val="nil"/>
            </w:tcBorders>
            <w:hideMark/>
          </w:tcPr>
          <w:p w14:paraId="205E738E" w14:textId="77777777" w:rsidR="00870C3F" w:rsidRPr="002F1917" w:rsidRDefault="00870C3F">
            <w:pPr>
              <w:pStyle w:val="TableText"/>
              <w:rPr>
                <w:rFonts w:ascii="Calibri" w:hAnsi="Calibri" w:cs="Calibri"/>
              </w:rPr>
            </w:pPr>
            <w:r w:rsidRPr="002F1917">
              <w:rPr>
                <w:rFonts w:ascii="Calibri" w:hAnsi="Calibri" w:cs="Calibri"/>
              </w:rPr>
              <w:t>Yes</w:t>
            </w:r>
          </w:p>
        </w:tc>
      </w:tr>
      <w:tr w:rsidR="00870C3F" w:rsidRPr="002F1917" w14:paraId="4F327F31" w14:textId="77777777" w:rsidTr="00870C3F">
        <w:trPr>
          <w:cantSplit/>
        </w:trPr>
        <w:tc>
          <w:tcPr>
            <w:tcW w:w="769" w:type="pct"/>
            <w:tcBorders>
              <w:top w:val="single" w:sz="4" w:space="0" w:color="FFFFFF" w:themeColor="background1"/>
              <w:left w:val="nil"/>
              <w:bottom w:val="single" w:sz="4" w:space="0" w:color="FFFFFF" w:themeColor="background1"/>
              <w:right w:val="nil"/>
            </w:tcBorders>
            <w:hideMark/>
          </w:tcPr>
          <w:p w14:paraId="753CC006" w14:textId="77777777" w:rsidR="00870C3F" w:rsidRPr="002F1917" w:rsidRDefault="00870C3F">
            <w:pPr>
              <w:pStyle w:val="TableText"/>
              <w:rPr>
                <w:rFonts w:ascii="Calibri" w:hAnsi="Calibri" w:cs="Calibri"/>
              </w:rPr>
            </w:pPr>
            <w:r w:rsidRPr="002F1917">
              <w:rPr>
                <w:rFonts w:ascii="Calibri" w:hAnsi="Calibri" w:cs="Calibri"/>
              </w:rPr>
              <w:t xml:space="preserve">Encouraging to conceal conduct </w:t>
            </w:r>
          </w:p>
        </w:tc>
        <w:tc>
          <w:tcPr>
            <w:tcW w:w="610" w:type="pct"/>
            <w:tcBorders>
              <w:top w:val="single" w:sz="4" w:space="0" w:color="FFFFFF" w:themeColor="background1"/>
              <w:left w:val="nil"/>
              <w:bottom w:val="single" w:sz="4" w:space="0" w:color="FFFFFF" w:themeColor="background1"/>
              <w:right w:val="nil"/>
            </w:tcBorders>
            <w:hideMark/>
          </w:tcPr>
          <w:p w14:paraId="369F92AD" w14:textId="77777777" w:rsidR="00870C3F" w:rsidRPr="002F1917" w:rsidRDefault="00870C3F">
            <w:pPr>
              <w:pStyle w:val="TableText"/>
              <w:rPr>
                <w:rFonts w:ascii="Calibri" w:hAnsi="Calibri" w:cs="Calibri"/>
              </w:rPr>
            </w:pPr>
            <w:r w:rsidRPr="002F1917">
              <w:rPr>
                <w:rFonts w:ascii="Calibri" w:hAnsi="Calibri" w:cs="Calibri"/>
              </w:rPr>
              <w:t>Yes</w:t>
            </w:r>
          </w:p>
        </w:tc>
        <w:tc>
          <w:tcPr>
            <w:tcW w:w="724" w:type="pct"/>
            <w:tcBorders>
              <w:top w:val="single" w:sz="4" w:space="0" w:color="FFFFFF" w:themeColor="background1"/>
              <w:left w:val="nil"/>
              <w:bottom w:val="single" w:sz="4" w:space="0" w:color="FFFFFF" w:themeColor="background1"/>
              <w:right w:val="nil"/>
            </w:tcBorders>
            <w:hideMark/>
          </w:tcPr>
          <w:p w14:paraId="22CAD14A" w14:textId="77777777" w:rsidR="00870C3F" w:rsidRPr="002F1917" w:rsidRDefault="00870C3F">
            <w:pPr>
              <w:pStyle w:val="TableText"/>
              <w:rPr>
                <w:rFonts w:ascii="Calibri" w:hAnsi="Calibri" w:cs="Calibri"/>
              </w:rPr>
            </w:pPr>
            <w:r w:rsidRPr="002F1917">
              <w:rPr>
                <w:rFonts w:ascii="Calibri" w:hAnsi="Calibri" w:cs="Calibri"/>
              </w:rPr>
              <w:t>Yes</w:t>
            </w:r>
          </w:p>
        </w:tc>
        <w:tc>
          <w:tcPr>
            <w:tcW w:w="724" w:type="pct"/>
            <w:tcBorders>
              <w:top w:val="single" w:sz="4" w:space="0" w:color="FFFFFF" w:themeColor="background1"/>
              <w:left w:val="nil"/>
              <w:bottom w:val="single" w:sz="4" w:space="0" w:color="FFFFFF" w:themeColor="background1"/>
              <w:right w:val="nil"/>
            </w:tcBorders>
            <w:hideMark/>
          </w:tcPr>
          <w:p w14:paraId="59CBC093" w14:textId="77777777" w:rsidR="00870C3F" w:rsidRPr="002F1917" w:rsidRDefault="00870C3F">
            <w:pPr>
              <w:pStyle w:val="TableText"/>
              <w:rPr>
                <w:rFonts w:ascii="Calibri" w:hAnsi="Calibri" w:cs="Calibri"/>
              </w:rPr>
            </w:pPr>
            <w:r w:rsidRPr="002F1917">
              <w:rPr>
                <w:rFonts w:ascii="Calibri" w:hAnsi="Calibri" w:cs="Calibri"/>
              </w:rPr>
              <w:t>Yes</w:t>
            </w:r>
          </w:p>
        </w:tc>
        <w:tc>
          <w:tcPr>
            <w:tcW w:w="724" w:type="pct"/>
            <w:tcBorders>
              <w:top w:val="single" w:sz="4" w:space="0" w:color="FFFFFF" w:themeColor="background1"/>
              <w:left w:val="nil"/>
              <w:bottom w:val="single" w:sz="4" w:space="0" w:color="FFFFFF" w:themeColor="background1"/>
              <w:right w:val="nil"/>
            </w:tcBorders>
            <w:hideMark/>
          </w:tcPr>
          <w:p w14:paraId="78A7A62F" w14:textId="77777777" w:rsidR="00870C3F" w:rsidRPr="002F1917" w:rsidRDefault="00870C3F">
            <w:pPr>
              <w:pStyle w:val="TableText"/>
              <w:rPr>
                <w:rFonts w:ascii="Calibri" w:hAnsi="Calibri" w:cs="Calibri"/>
              </w:rPr>
            </w:pPr>
            <w:r w:rsidRPr="002F1917">
              <w:rPr>
                <w:rFonts w:ascii="Calibri" w:hAnsi="Calibri" w:cs="Calibri"/>
              </w:rPr>
              <w:t>Yes</w:t>
            </w:r>
          </w:p>
        </w:tc>
        <w:tc>
          <w:tcPr>
            <w:tcW w:w="724" w:type="pct"/>
            <w:tcBorders>
              <w:top w:val="single" w:sz="4" w:space="0" w:color="FFFFFF" w:themeColor="background1"/>
              <w:left w:val="nil"/>
              <w:bottom w:val="single" w:sz="4" w:space="0" w:color="FFFFFF" w:themeColor="background1"/>
              <w:right w:val="nil"/>
            </w:tcBorders>
            <w:hideMark/>
          </w:tcPr>
          <w:p w14:paraId="529F50A9" w14:textId="77777777" w:rsidR="00870C3F" w:rsidRPr="002F1917" w:rsidRDefault="00870C3F">
            <w:pPr>
              <w:pStyle w:val="TableText"/>
              <w:rPr>
                <w:rFonts w:ascii="Calibri" w:hAnsi="Calibri" w:cs="Calibri"/>
              </w:rPr>
            </w:pPr>
            <w:r w:rsidRPr="002F1917">
              <w:rPr>
                <w:rFonts w:ascii="Calibri" w:hAnsi="Calibri" w:cs="Calibri"/>
              </w:rPr>
              <w:t>No</w:t>
            </w:r>
          </w:p>
        </w:tc>
        <w:tc>
          <w:tcPr>
            <w:tcW w:w="724" w:type="pct"/>
            <w:tcBorders>
              <w:top w:val="single" w:sz="4" w:space="0" w:color="FFFFFF" w:themeColor="background1"/>
              <w:left w:val="nil"/>
              <w:bottom w:val="single" w:sz="4" w:space="0" w:color="FFFFFF" w:themeColor="background1"/>
              <w:right w:val="nil"/>
            </w:tcBorders>
            <w:hideMark/>
          </w:tcPr>
          <w:p w14:paraId="44E63956" w14:textId="77777777" w:rsidR="00870C3F" w:rsidRPr="002F1917" w:rsidRDefault="00870C3F">
            <w:pPr>
              <w:pStyle w:val="TableText"/>
              <w:rPr>
                <w:rFonts w:ascii="Calibri" w:hAnsi="Calibri" w:cs="Calibri"/>
              </w:rPr>
            </w:pPr>
            <w:r w:rsidRPr="002F1917">
              <w:rPr>
                <w:rFonts w:ascii="Calibri" w:hAnsi="Calibri" w:cs="Calibri"/>
              </w:rPr>
              <w:t>Yes, but slightly different</w:t>
            </w:r>
          </w:p>
        </w:tc>
      </w:tr>
      <w:tr w:rsidR="00870C3F" w:rsidRPr="002F1917" w14:paraId="28D45241" w14:textId="77777777" w:rsidTr="00870C3F">
        <w:trPr>
          <w:cnfStyle w:val="000000010000" w:firstRow="0" w:lastRow="0" w:firstColumn="0" w:lastColumn="0" w:oddVBand="0" w:evenVBand="0" w:oddHBand="0" w:evenHBand="1" w:firstRowFirstColumn="0" w:firstRowLastColumn="0" w:lastRowFirstColumn="0" w:lastRowLastColumn="0"/>
          <w:cantSplit/>
        </w:trPr>
        <w:tc>
          <w:tcPr>
            <w:tcW w:w="769" w:type="pct"/>
            <w:tcBorders>
              <w:top w:val="single" w:sz="4" w:space="0" w:color="FFFFFF" w:themeColor="background1"/>
              <w:left w:val="nil"/>
              <w:bottom w:val="single" w:sz="4" w:space="0" w:color="FFFFFF" w:themeColor="background1"/>
              <w:right w:val="nil"/>
            </w:tcBorders>
            <w:hideMark/>
          </w:tcPr>
          <w:p w14:paraId="5F466AAB" w14:textId="77777777" w:rsidR="00870C3F" w:rsidRPr="002F1917" w:rsidRDefault="00870C3F">
            <w:pPr>
              <w:pStyle w:val="TableText"/>
              <w:rPr>
                <w:rFonts w:ascii="Calibri" w:hAnsi="Calibri" w:cs="Calibri"/>
              </w:rPr>
            </w:pPr>
            <w:r w:rsidRPr="002F1917">
              <w:rPr>
                <w:rFonts w:ascii="Calibri" w:hAnsi="Calibri" w:cs="Calibri"/>
              </w:rPr>
              <w:t>Betting with corrupt information</w:t>
            </w:r>
          </w:p>
        </w:tc>
        <w:tc>
          <w:tcPr>
            <w:tcW w:w="610" w:type="pct"/>
            <w:tcBorders>
              <w:top w:val="single" w:sz="4" w:space="0" w:color="FFFFFF" w:themeColor="background1"/>
              <w:left w:val="nil"/>
              <w:bottom w:val="single" w:sz="4" w:space="0" w:color="FFFFFF" w:themeColor="background1"/>
              <w:right w:val="nil"/>
            </w:tcBorders>
            <w:hideMark/>
          </w:tcPr>
          <w:p w14:paraId="2B77033B" w14:textId="77777777" w:rsidR="00870C3F" w:rsidRPr="002F1917" w:rsidRDefault="00870C3F">
            <w:pPr>
              <w:pStyle w:val="TableText"/>
              <w:rPr>
                <w:rFonts w:ascii="Calibri" w:hAnsi="Calibri" w:cs="Calibri"/>
              </w:rPr>
            </w:pPr>
            <w:r w:rsidRPr="002F1917">
              <w:rPr>
                <w:rFonts w:ascii="Calibri" w:hAnsi="Calibri" w:cs="Calibri"/>
              </w:rPr>
              <w:t>Yes</w:t>
            </w:r>
          </w:p>
        </w:tc>
        <w:tc>
          <w:tcPr>
            <w:tcW w:w="724" w:type="pct"/>
            <w:tcBorders>
              <w:top w:val="single" w:sz="4" w:space="0" w:color="FFFFFF" w:themeColor="background1"/>
              <w:left w:val="nil"/>
              <w:bottom w:val="single" w:sz="4" w:space="0" w:color="FFFFFF" w:themeColor="background1"/>
              <w:right w:val="nil"/>
            </w:tcBorders>
            <w:hideMark/>
          </w:tcPr>
          <w:p w14:paraId="0FC3B17F" w14:textId="77777777" w:rsidR="00870C3F" w:rsidRPr="002F1917" w:rsidRDefault="00870C3F">
            <w:pPr>
              <w:pStyle w:val="TableText"/>
              <w:rPr>
                <w:rFonts w:ascii="Calibri" w:hAnsi="Calibri" w:cs="Calibri"/>
              </w:rPr>
            </w:pPr>
            <w:r w:rsidRPr="002F1917">
              <w:rPr>
                <w:rFonts w:ascii="Calibri" w:hAnsi="Calibri" w:cs="Calibri"/>
              </w:rPr>
              <w:t>Yes</w:t>
            </w:r>
          </w:p>
        </w:tc>
        <w:tc>
          <w:tcPr>
            <w:tcW w:w="724" w:type="pct"/>
            <w:tcBorders>
              <w:top w:val="single" w:sz="4" w:space="0" w:color="FFFFFF" w:themeColor="background1"/>
              <w:left w:val="nil"/>
              <w:bottom w:val="single" w:sz="4" w:space="0" w:color="FFFFFF" w:themeColor="background1"/>
              <w:right w:val="nil"/>
            </w:tcBorders>
            <w:hideMark/>
          </w:tcPr>
          <w:p w14:paraId="617D1E6A" w14:textId="77777777" w:rsidR="00870C3F" w:rsidRPr="002F1917" w:rsidRDefault="00870C3F">
            <w:pPr>
              <w:pStyle w:val="TableText"/>
              <w:rPr>
                <w:rFonts w:ascii="Calibri" w:hAnsi="Calibri" w:cs="Calibri"/>
              </w:rPr>
            </w:pPr>
            <w:r w:rsidRPr="002F1917">
              <w:rPr>
                <w:rFonts w:ascii="Calibri" w:hAnsi="Calibri" w:cs="Calibri"/>
              </w:rPr>
              <w:t>Yes</w:t>
            </w:r>
          </w:p>
        </w:tc>
        <w:tc>
          <w:tcPr>
            <w:tcW w:w="724" w:type="pct"/>
            <w:tcBorders>
              <w:top w:val="single" w:sz="4" w:space="0" w:color="FFFFFF" w:themeColor="background1"/>
              <w:left w:val="nil"/>
              <w:bottom w:val="single" w:sz="4" w:space="0" w:color="FFFFFF" w:themeColor="background1"/>
              <w:right w:val="nil"/>
            </w:tcBorders>
            <w:hideMark/>
          </w:tcPr>
          <w:p w14:paraId="1804BB13" w14:textId="77777777" w:rsidR="00870C3F" w:rsidRPr="002F1917" w:rsidRDefault="00870C3F">
            <w:pPr>
              <w:pStyle w:val="TableText"/>
              <w:rPr>
                <w:rFonts w:ascii="Calibri" w:hAnsi="Calibri" w:cs="Calibri"/>
              </w:rPr>
            </w:pPr>
            <w:r w:rsidRPr="002F1917">
              <w:rPr>
                <w:rFonts w:ascii="Calibri" w:hAnsi="Calibri" w:cs="Calibri"/>
              </w:rPr>
              <w:t>Yes</w:t>
            </w:r>
          </w:p>
        </w:tc>
        <w:tc>
          <w:tcPr>
            <w:tcW w:w="724" w:type="pct"/>
            <w:tcBorders>
              <w:top w:val="single" w:sz="4" w:space="0" w:color="FFFFFF" w:themeColor="background1"/>
              <w:left w:val="nil"/>
              <w:bottom w:val="single" w:sz="4" w:space="0" w:color="FFFFFF" w:themeColor="background1"/>
              <w:right w:val="nil"/>
            </w:tcBorders>
            <w:hideMark/>
          </w:tcPr>
          <w:p w14:paraId="08899754" w14:textId="77777777" w:rsidR="00870C3F" w:rsidRPr="002F1917" w:rsidRDefault="00870C3F">
            <w:pPr>
              <w:pStyle w:val="TableText"/>
              <w:rPr>
                <w:rFonts w:ascii="Calibri" w:hAnsi="Calibri" w:cs="Calibri"/>
              </w:rPr>
            </w:pPr>
            <w:r w:rsidRPr="002F1917">
              <w:rPr>
                <w:rFonts w:ascii="Calibri" w:hAnsi="Calibri" w:cs="Calibri"/>
              </w:rPr>
              <w:t>Yes</w:t>
            </w:r>
          </w:p>
        </w:tc>
        <w:tc>
          <w:tcPr>
            <w:tcW w:w="724" w:type="pct"/>
            <w:tcBorders>
              <w:top w:val="single" w:sz="4" w:space="0" w:color="FFFFFF" w:themeColor="background1"/>
              <w:left w:val="nil"/>
              <w:bottom w:val="single" w:sz="4" w:space="0" w:color="FFFFFF" w:themeColor="background1"/>
              <w:right w:val="nil"/>
            </w:tcBorders>
            <w:hideMark/>
          </w:tcPr>
          <w:p w14:paraId="217F39AC" w14:textId="77777777" w:rsidR="00870C3F" w:rsidRPr="002F1917" w:rsidRDefault="00870C3F">
            <w:pPr>
              <w:pStyle w:val="TableText"/>
              <w:rPr>
                <w:rFonts w:ascii="Calibri" w:hAnsi="Calibri" w:cs="Calibri"/>
              </w:rPr>
            </w:pPr>
            <w:r w:rsidRPr="002F1917">
              <w:rPr>
                <w:rFonts w:ascii="Calibri" w:hAnsi="Calibri" w:cs="Calibri"/>
              </w:rPr>
              <w:t>Yes</w:t>
            </w:r>
          </w:p>
        </w:tc>
      </w:tr>
      <w:tr w:rsidR="00870C3F" w:rsidRPr="002F1917" w14:paraId="01D311CF" w14:textId="77777777" w:rsidTr="00870C3F">
        <w:trPr>
          <w:cantSplit/>
        </w:trPr>
        <w:tc>
          <w:tcPr>
            <w:tcW w:w="769" w:type="pct"/>
            <w:tcBorders>
              <w:top w:val="single" w:sz="4" w:space="0" w:color="FFFFFF" w:themeColor="background1"/>
              <w:left w:val="nil"/>
              <w:bottom w:val="single" w:sz="4" w:space="0" w:color="FFFFFF" w:themeColor="background1"/>
              <w:right w:val="nil"/>
            </w:tcBorders>
            <w:hideMark/>
          </w:tcPr>
          <w:p w14:paraId="74644820" w14:textId="77777777" w:rsidR="00870C3F" w:rsidRPr="002F1917" w:rsidRDefault="00870C3F">
            <w:pPr>
              <w:pStyle w:val="TableText"/>
              <w:rPr>
                <w:rFonts w:ascii="Calibri" w:hAnsi="Calibri" w:cs="Calibri"/>
              </w:rPr>
            </w:pPr>
            <w:r w:rsidRPr="002F1917">
              <w:rPr>
                <w:rFonts w:ascii="Calibri" w:hAnsi="Calibri" w:cs="Calibri"/>
              </w:rPr>
              <w:t>Maximum penalty</w:t>
            </w:r>
          </w:p>
        </w:tc>
        <w:tc>
          <w:tcPr>
            <w:tcW w:w="610" w:type="pct"/>
            <w:tcBorders>
              <w:top w:val="single" w:sz="4" w:space="0" w:color="FFFFFF" w:themeColor="background1"/>
              <w:left w:val="nil"/>
              <w:bottom w:val="single" w:sz="4" w:space="0" w:color="FFFFFF" w:themeColor="background1"/>
              <w:right w:val="nil"/>
            </w:tcBorders>
            <w:hideMark/>
          </w:tcPr>
          <w:p w14:paraId="462FDC86" w14:textId="77777777" w:rsidR="00870C3F" w:rsidRPr="002F1917" w:rsidRDefault="00870C3F">
            <w:pPr>
              <w:pStyle w:val="TableText"/>
              <w:rPr>
                <w:rFonts w:ascii="Calibri" w:hAnsi="Calibri" w:cs="Calibri"/>
              </w:rPr>
            </w:pPr>
            <w:r w:rsidRPr="002F1917">
              <w:rPr>
                <w:rFonts w:ascii="Calibri" w:hAnsi="Calibri" w:cs="Calibri"/>
              </w:rPr>
              <w:t>10 years</w:t>
            </w:r>
          </w:p>
        </w:tc>
        <w:tc>
          <w:tcPr>
            <w:tcW w:w="724" w:type="pct"/>
            <w:tcBorders>
              <w:top w:val="single" w:sz="4" w:space="0" w:color="FFFFFF" w:themeColor="background1"/>
              <w:left w:val="nil"/>
              <w:bottom w:val="single" w:sz="4" w:space="0" w:color="FFFFFF" w:themeColor="background1"/>
              <w:right w:val="nil"/>
            </w:tcBorders>
            <w:hideMark/>
          </w:tcPr>
          <w:p w14:paraId="352BE5E9" w14:textId="77777777" w:rsidR="00870C3F" w:rsidRPr="002F1917" w:rsidRDefault="00870C3F">
            <w:pPr>
              <w:pStyle w:val="TableText"/>
              <w:rPr>
                <w:rFonts w:ascii="Calibri" w:hAnsi="Calibri" w:cs="Calibri"/>
              </w:rPr>
            </w:pPr>
            <w:r w:rsidRPr="002F1917">
              <w:rPr>
                <w:rFonts w:ascii="Calibri" w:hAnsi="Calibri" w:cs="Calibri"/>
              </w:rPr>
              <w:t>10 years</w:t>
            </w:r>
          </w:p>
        </w:tc>
        <w:tc>
          <w:tcPr>
            <w:tcW w:w="724" w:type="pct"/>
            <w:tcBorders>
              <w:top w:val="single" w:sz="4" w:space="0" w:color="FFFFFF" w:themeColor="background1"/>
              <w:left w:val="nil"/>
              <w:bottom w:val="single" w:sz="4" w:space="0" w:color="FFFFFF" w:themeColor="background1"/>
              <w:right w:val="nil"/>
            </w:tcBorders>
            <w:hideMark/>
          </w:tcPr>
          <w:p w14:paraId="701FDE54" w14:textId="77777777" w:rsidR="00870C3F" w:rsidRPr="002F1917" w:rsidRDefault="00870C3F">
            <w:pPr>
              <w:pStyle w:val="TableText"/>
              <w:rPr>
                <w:rFonts w:ascii="Calibri" w:hAnsi="Calibri" w:cs="Calibri"/>
              </w:rPr>
            </w:pPr>
            <w:r w:rsidRPr="002F1917">
              <w:rPr>
                <w:rFonts w:ascii="Calibri" w:hAnsi="Calibri" w:cs="Calibri"/>
              </w:rPr>
              <w:t>10 years</w:t>
            </w:r>
          </w:p>
        </w:tc>
        <w:tc>
          <w:tcPr>
            <w:tcW w:w="724" w:type="pct"/>
            <w:tcBorders>
              <w:top w:val="single" w:sz="4" w:space="0" w:color="FFFFFF" w:themeColor="background1"/>
              <w:left w:val="nil"/>
              <w:bottom w:val="single" w:sz="4" w:space="0" w:color="FFFFFF" w:themeColor="background1"/>
              <w:right w:val="nil"/>
            </w:tcBorders>
            <w:hideMark/>
          </w:tcPr>
          <w:p w14:paraId="11A12FAF" w14:textId="77777777" w:rsidR="00870C3F" w:rsidRPr="002F1917" w:rsidRDefault="00870C3F">
            <w:pPr>
              <w:pStyle w:val="TableText"/>
              <w:rPr>
                <w:rFonts w:ascii="Calibri" w:hAnsi="Calibri" w:cs="Calibri"/>
              </w:rPr>
            </w:pPr>
            <w:r w:rsidRPr="002F1917">
              <w:rPr>
                <w:rFonts w:ascii="Calibri" w:hAnsi="Calibri" w:cs="Calibri"/>
              </w:rPr>
              <w:t>10 years</w:t>
            </w:r>
          </w:p>
        </w:tc>
        <w:tc>
          <w:tcPr>
            <w:tcW w:w="724" w:type="pct"/>
            <w:tcBorders>
              <w:top w:val="single" w:sz="4" w:space="0" w:color="FFFFFF" w:themeColor="background1"/>
              <w:left w:val="nil"/>
              <w:bottom w:val="single" w:sz="4" w:space="0" w:color="FFFFFF" w:themeColor="background1"/>
              <w:right w:val="nil"/>
            </w:tcBorders>
            <w:hideMark/>
          </w:tcPr>
          <w:p w14:paraId="6FAF0717" w14:textId="77777777" w:rsidR="00870C3F" w:rsidRPr="002F1917" w:rsidRDefault="00870C3F">
            <w:pPr>
              <w:pStyle w:val="TableText"/>
              <w:rPr>
                <w:rFonts w:ascii="Calibri" w:hAnsi="Calibri" w:cs="Calibri"/>
              </w:rPr>
            </w:pPr>
            <w:r w:rsidRPr="002F1917">
              <w:rPr>
                <w:rFonts w:ascii="Calibri" w:hAnsi="Calibri" w:cs="Calibri"/>
              </w:rPr>
              <w:t>10 years</w:t>
            </w:r>
          </w:p>
        </w:tc>
        <w:tc>
          <w:tcPr>
            <w:tcW w:w="724" w:type="pct"/>
            <w:tcBorders>
              <w:top w:val="single" w:sz="4" w:space="0" w:color="FFFFFF" w:themeColor="background1"/>
              <w:left w:val="nil"/>
              <w:bottom w:val="single" w:sz="4" w:space="0" w:color="FFFFFF" w:themeColor="background1"/>
              <w:right w:val="nil"/>
            </w:tcBorders>
            <w:hideMark/>
          </w:tcPr>
          <w:p w14:paraId="28AFF83D" w14:textId="77777777" w:rsidR="00870C3F" w:rsidRPr="002F1917" w:rsidRDefault="00870C3F">
            <w:pPr>
              <w:pStyle w:val="TableText"/>
              <w:rPr>
                <w:rFonts w:ascii="Calibri" w:hAnsi="Calibri" w:cs="Calibri"/>
              </w:rPr>
            </w:pPr>
            <w:r w:rsidRPr="002F1917">
              <w:rPr>
                <w:rFonts w:ascii="Calibri" w:hAnsi="Calibri" w:cs="Calibri"/>
              </w:rPr>
              <w:t>10 years</w:t>
            </w:r>
          </w:p>
        </w:tc>
      </w:tr>
    </w:tbl>
    <w:p w14:paraId="195ED6EB" w14:textId="77777777" w:rsidR="00870C3F" w:rsidRPr="00856A0A" w:rsidRDefault="00870C3F" w:rsidP="00870C3F">
      <w:pPr>
        <w:spacing w:after="320"/>
        <w:rPr>
          <w:rFonts w:ascii="Calibri" w:eastAsia="Times New Roman" w:hAnsi="Calibri" w:cs="Calibri"/>
          <w:color w:val="auto"/>
          <w:sz w:val="21"/>
        </w:rPr>
      </w:pPr>
      <w:r w:rsidRPr="00856A0A">
        <w:rPr>
          <w:rFonts w:ascii="Calibri" w:hAnsi="Calibri" w:cs="Calibri"/>
          <w:i/>
          <w:color w:val="auto"/>
          <w:sz w:val="16"/>
          <w:szCs w:val="16"/>
        </w:rPr>
        <w:t>Source: Report of the Review of Australia’s Sport integrity Arrangements (2018)</w:t>
      </w:r>
    </w:p>
    <w:p w14:paraId="6667A8FF" w14:textId="77777777" w:rsidR="00870C3F" w:rsidRPr="009125F1" w:rsidRDefault="00870C3F" w:rsidP="009125F1">
      <w:pPr>
        <w:rPr>
          <w:rFonts w:ascii="Calibri" w:hAnsi="Calibri" w:cs="Calibri"/>
          <w:sz w:val="20"/>
          <w:szCs w:val="20"/>
        </w:rPr>
      </w:pPr>
      <w:bookmarkStart w:id="76" w:name="_Ref41656821"/>
      <w:r w:rsidRPr="009125F1">
        <w:rPr>
          <w:rFonts w:ascii="Calibri" w:hAnsi="Calibri" w:cs="Calibri"/>
          <w:sz w:val="20"/>
          <w:szCs w:val="20"/>
        </w:rPr>
        <w:t xml:space="preserve">Table </w:t>
      </w:r>
      <w:r w:rsidR="009143C2" w:rsidRPr="009125F1">
        <w:rPr>
          <w:rFonts w:ascii="Calibri" w:hAnsi="Calibri" w:cs="Calibri"/>
          <w:sz w:val="20"/>
          <w:szCs w:val="20"/>
        </w:rPr>
        <w:fldChar w:fldCharType="begin"/>
      </w:r>
      <w:r w:rsidR="009143C2" w:rsidRPr="009125F1">
        <w:rPr>
          <w:rFonts w:ascii="Calibri" w:hAnsi="Calibri" w:cs="Calibri"/>
          <w:sz w:val="20"/>
          <w:szCs w:val="20"/>
        </w:rPr>
        <w:instrText xml:space="preserve"> SEQ Table \* ARABIC </w:instrText>
      </w:r>
      <w:r w:rsidR="009143C2" w:rsidRPr="009125F1">
        <w:rPr>
          <w:rFonts w:ascii="Calibri" w:hAnsi="Calibri" w:cs="Calibri"/>
          <w:sz w:val="20"/>
          <w:szCs w:val="20"/>
        </w:rPr>
        <w:fldChar w:fldCharType="separate"/>
      </w:r>
      <w:r w:rsidRPr="009125F1">
        <w:rPr>
          <w:rFonts w:ascii="Calibri" w:hAnsi="Calibri" w:cs="Calibri"/>
          <w:noProof/>
          <w:sz w:val="20"/>
          <w:szCs w:val="20"/>
        </w:rPr>
        <w:t>5</w:t>
      </w:r>
      <w:r w:rsidR="009143C2" w:rsidRPr="009125F1">
        <w:rPr>
          <w:rFonts w:ascii="Calibri" w:hAnsi="Calibri" w:cs="Calibri"/>
          <w:noProof/>
          <w:sz w:val="20"/>
          <w:szCs w:val="20"/>
        </w:rPr>
        <w:fldChar w:fldCharType="end"/>
      </w:r>
      <w:bookmarkEnd w:id="76"/>
      <w:r w:rsidRPr="009125F1">
        <w:rPr>
          <w:rFonts w:ascii="Calibri" w:hAnsi="Calibri" w:cs="Calibri"/>
          <w:sz w:val="20"/>
          <w:szCs w:val="20"/>
        </w:rPr>
        <w:t>: Base case criminalisation for disclosing or using inside information in sports wagering</w:t>
      </w:r>
    </w:p>
    <w:tbl>
      <w:tblPr>
        <w:tblStyle w:val="FETableStyle"/>
        <w:tblW w:w="4517" w:type="pct"/>
        <w:tblInd w:w="0" w:type="dxa"/>
        <w:tblLook w:val="0420" w:firstRow="1" w:lastRow="0" w:firstColumn="0" w:lastColumn="0" w:noHBand="0" w:noVBand="1"/>
      </w:tblPr>
      <w:tblGrid>
        <w:gridCol w:w="1259"/>
        <w:gridCol w:w="999"/>
        <w:gridCol w:w="1186"/>
        <w:gridCol w:w="1186"/>
        <w:gridCol w:w="1186"/>
        <w:gridCol w:w="1186"/>
        <w:gridCol w:w="1186"/>
      </w:tblGrid>
      <w:tr w:rsidR="00870C3F" w:rsidRPr="002F1917" w14:paraId="7AAA37E2" w14:textId="77777777" w:rsidTr="00870C3F">
        <w:trPr>
          <w:cnfStyle w:val="100000000000" w:firstRow="1" w:lastRow="0" w:firstColumn="0" w:lastColumn="0" w:oddVBand="0" w:evenVBand="0" w:oddHBand="0" w:evenHBand="0" w:firstRowFirstColumn="0" w:firstRowLastColumn="0" w:lastRowFirstColumn="0" w:lastRowLastColumn="0"/>
          <w:cantSplit/>
          <w:tblHeader/>
        </w:trPr>
        <w:tc>
          <w:tcPr>
            <w:tcW w:w="769" w:type="pct"/>
          </w:tcPr>
          <w:p w14:paraId="31CB3540" w14:textId="77777777" w:rsidR="00870C3F" w:rsidRPr="00C434A1" w:rsidRDefault="00870C3F">
            <w:pPr>
              <w:pStyle w:val="TableHeading"/>
              <w:rPr>
                <w:rFonts w:ascii="Calibri" w:hAnsi="Calibri" w:cs="Calibri"/>
                <w:color w:val="000000" w:themeColor="text1"/>
              </w:rPr>
            </w:pPr>
          </w:p>
        </w:tc>
        <w:tc>
          <w:tcPr>
            <w:tcW w:w="610" w:type="pct"/>
            <w:hideMark/>
          </w:tcPr>
          <w:p w14:paraId="5BC6A054" w14:textId="77777777" w:rsidR="00870C3F" w:rsidRPr="00C434A1" w:rsidRDefault="00870C3F">
            <w:pPr>
              <w:pStyle w:val="TableHeading"/>
              <w:rPr>
                <w:rFonts w:ascii="Calibri" w:hAnsi="Calibri" w:cs="Calibri"/>
                <w:color w:val="000000" w:themeColor="text1"/>
              </w:rPr>
            </w:pPr>
            <w:r w:rsidRPr="00C434A1">
              <w:rPr>
                <w:rFonts w:ascii="Calibri" w:hAnsi="Calibri" w:cs="Calibri"/>
                <w:color w:val="000000" w:themeColor="text1"/>
              </w:rPr>
              <w:t>Vic</w:t>
            </w:r>
          </w:p>
        </w:tc>
        <w:tc>
          <w:tcPr>
            <w:tcW w:w="724" w:type="pct"/>
            <w:hideMark/>
          </w:tcPr>
          <w:p w14:paraId="6E01ACAD" w14:textId="77777777" w:rsidR="00870C3F" w:rsidRPr="00C434A1" w:rsidRDefault="00870C3F">
            <w:pPr>
              <w:pStyle w:val="TableHeading"/>
              <w:rPr>
                <w:rFonts w:ascii="Calibri" w:hAnsi="Calibri" w:cs="Calibri"/>
                <w:color w:val="000000" w:themeColor="text1"/>
              </w:rPr>
            </w:pPr>
            <w:r w:rsidRPr="00C434A1">
              <w:rPr>
                <w:rFonts w:ascii="Calibri" w:hAnsi="Calibri" w:cs="Calibri"/>
                <w:color w:val="000000" w:themeColor="text1"/>
              </w:rPr>
              <w:t>NSW</w:t>
            </w:r>
          </w:p>
        </w:tc>
        <w:tc>
          <w:tcPr>
            <w:tcW w:w="724" w:type="pct"/>
            <w:hideMark/>
          </w:tcPr>
          <w:p w14:paraId="514A53D8" w14:textId="77777777" w:rsidR="00870C3F" w:rsidRPr="00C434A1" w:rsidRDefault="00870C3F">
            <w:pPr>
              <w:pStyle w:val="TableHeading"/>
              <w:rPr>
                <w:rFonts w:ascii="Calibri" w:hAnsi="Calibri" w:cs="Calibri"/>
                <w:color w:val="000000" w:themeColor="text1"/>
              </w:rPr>
            </w:pPr>
            <w:r w:rsidRPr="00C434A1">
              <w:rPr>
                <w:rFonts w:ascii="Calibri" w:hAnsi="Calibri" w:cs="Calibri"/>
                <w:color w:val="000000" w:themeColor="text1"/>
              </w:rPr>
              <w:t>NT</w:t>
            </w:r>
          </w:p>
        </w:tc>
        <w:tc>
          <w:tcPr>
            <w:tcW w:w="724" w:type="pct"/>
            <w:hideMark/>
          </w:tcPr>
          <w:p w14:paraId="2B7F6DFF" w14:textId="77777777" w:rsidR="00870C3F" w:rsidRPr="00C434A1" w:rsidRDefault="00870C3F">
            <w:pPr>
              <w:pStyle w:val="TableHeading"/>
              <w:rPr>
                <w:rFonts w:ascii="Calibri" w:hAnsi="Calibri" w:cs="Calibri"/>
                <w:b w:val="0"/>
                <w:color w:val="000000" w:themeColor="text1"/>
              </w:rPr>
            </w:pPr>
            <w:r w:rsidRPr="00C434A1">
              <w:rPr>
                <w:rFonts w:ascii="Calibri" w:hAnsi="Calibri" w:cs="Calibri"/>
                <w:color w:val="000000" w:themeColor="text1"/>
              </w:rPr>
              <w:t>SA</w:t>
            </w:r>
          </w:p>
        </w:tc>
        <w:tc>
          <w:tcPr>
            <w:tcW w:w="724" w:type="pct"/>
            <w:hideMark/>
          </w:tcPr>
          <w:p w14:paraId="52AB9206" w14:textId="77777777" w:rsidR="00870C3F" w:rsidRPr="00C434A1" w:rsidRDefault="00870C3F">
            <w:pPr>
              <w:pStyle w:val="TableHeading"/>
              <w:rPr>
                <w:rFonts w:ascii="Calibri" w:hAnsi="Calibri" w:cs="Calibri"/>
                <w:b w:val="0"/>
                <w:color w:val="000000" w:themeColor="text1"/>
              </w:rPr>
            </w:pPr>
            <w:r w:rsidRPr="00C434A1">
              <w:rPr>
                <w:rFonts w:ascii="Calibri" w:hAnsi="Calibri" w:cs="Calibri"/>
                <w:color w:val="000000" w:themeColor="text1"/>
              </w:rPr>
              <w:t>ACT</w:t>
            </w:r>
          </w:p>
        </w:tc>
        <w:tc>
          <w:tcPr>
            <w:tcW w:w="724" w:type="pct"/>
            <w:hideMark/>
          </w:tcPr>
          <w:p w14:paraId="1B0DC779" w14:textId="77777777" w:rsidR="00870C3F" w:rsidRPr="00C434A1" w:rsidRDefault="00870C3F">
            <w:pPr>
              <w:pStyle w:val="TableHeading"/>
              <w:rPr>
                <w:rFonts w:ascii="Calibri" w:hAnsi="Calibri" w:cs="Calibri"/>
                <w:b w:val="0"/>
                <w:color w:val="000000" w:themeColor="text1"/>
              </w:rPr>
            </w:pPr>
            <w:r w:rsidRPr="00C434A1">
              <w:rPr>
                <w:rFonts w:ascii="Calibri" w:hAnsi="Calibri" w:cs="Calibri"/>
                <w:color w:val="000000" w:themeColor="text1"/>
              </w:rPr>
              <w:t>Qld</w:t>
            </w:r>
          </w:p>
        </w:tc>
      </w:tr>
      <w:tr w:rsidR="00870C3F" w:rsidRPr="002F1917" w14:paraId="463B772A" w14:textId="77777777" w:rsidTr="00870C3F">
        <w:trPr>
          <w:cantSplit/>
        </w:trPr>
        <w:tc>
          <w:tcPr>
            <w:tcW w:w="769" w:type="pct"/>
            <w:tcBorders>
              <w:top w:val="single" w:sz="4" w:space="0" w:color="FFFFFF" w:themeColor="background1"/>
              <w:left w:val="nil"/>
              <w:bottom w:val="single" w:sz="4" w:space="0" w:color="FFFFFF" w:themeColor="background1"/>
              <w:right w:val="nil"/>
            </w:tcBorders>
            <w:hideMark/>
          </w:tcPr>
          <w:p w14:paraId="6F2ECB84" w14:textId="77777777" w:rsidR="00870C3F" w:rsidRPr="002F1917" w:rsidRDefault="00870C3F">
            <w:pPr>
              <w:pStyle w:val="TableText"/>
              <w:rPr>
                <w:rFonts w:ascii="Calibri" w:hAnsi="Calibri" w:cs="Calibri"/>
              </w:rPr>
            </w:pPr>
            <w:r w:rsidRPr="002F1917">
              <w:rPr>
                <w:rFonts w:ascii="Calibri" w:hAnsi="Calibri" w:cs="Calibri"/>
              </w:rPr>
              <w:t>Inside information offence</w:t>
            </w:r>
          </w:p>
        </w:tc>
        <w:tc>
          <w:tcPr>
            <w:tcW w:w="610" w:type="pct"/>
            <w:tcBorders>
              <w:top w:val="single" w:sz="4" w:space="0" w:color="FFFFFF" w:themeColor="background1"/>
              <w:left w:val="nil"/>
              <w:bottom w:val="single" w:sz="4" w:space="0" w:color="FFFFFF" w:themeColor="background1"/>
              <w:right w:val="nil"/>
            </w:tcBorders>
            <w:hideMark/>
          </w:tcPr>
          <w:p w14:paraId="71426EE0" w14:textId="77777777" w:rsidR="00870C3F" w:rsidRPr="002F1917" w:rsidRDefault="00870C3F">
            <w:pPr>
              <w:pStyle w:val="TableText"/>
              <w:rPr>
                <w:rFonts w:ascii="Calibri" w:hAnsi="Calibri" w:cs="Calibri"/>
              </w:rPr>
            </w:pPr>
            <w:r w:rsidRPr="002F1917">
              <w:rPr>
                <w:rFonts w:ascii="Calibri" w:hAnsi="Calibri" w:cs="Calibri"/>
              </w:rPr>
              <w:t>No</w:t>
            </w:r>
          </w:p>
        </w:tc>
        <w:tc>
          <w:tcPr>
            <w:tcW w:w="724" w:type="pct"/>
            <w:tcBorders>
              <w:top w:val="single" w:sz="4" w:space="0" w:color="FFFFFF" w:themeColor="background1"/>
              <w:left w:val="nil"/>
              <w:bottom w:val="single" w:sz="4" w:space="0" w:color="FFFFFF" w:themeColor="background1"/>
              <w:right w:val="nil"/>
            </w:tcBorders>
            <w:hideMark/>
          </w:tcPr>
          <w:p w14:paraId="1CA4852F" w14:textId="77777777" w:rsidR="00870C3F" w:rsidRPr="002F1917" w:rsidRDefault="00870C3F">
            <w:pPr>
              <w:pStyle w:val="TableText"/>
              <w:rPr>
                <w:rFonts w:ascii="Calibri" w:hAnsi="Calibri" w:cs="Calibri"/>
              </w:rPr>
            </w:pPr>
            <w:r w:rsidRPr="002F1917">
              <w:rPr>
                <w:rFonts w:ascii="Calibri" w:hAnsi="Calibri" w:cs="Calibri"/>
              </w:rPr>
              <w:t>Yes</w:t>
            </w:r>
          </w:p>
        </w:tc>
        <w:tc>
          <w:tcPr>
            <w:tcW w:w="724" w:type="pct"/>
            <w:tcBorders>
              <w:top w:val="single" w:sz="4" w:space="0" w:color="FFFFFF" w:themeColor="background1"/>
              <w:left w:val="nil"/>
              <w:bottom w:val="single" w:sz="4" w:space="0" w:color="FFFFFF" w:themeColor="background1"/>
              <w:right w:val="nil"/>
            </w:tcBorders>
            <w:hideMark/>
          </w:tcPr>
          <w:p w14:paraId="6E960EA6" w14:textId="77777777" w:rsidR="00870C3F" w:rsidRPr="002F1917" w:rsidRDefault="00870C3F">
            <w:pPr>
              <w:pStyle w:val="TableText"/>
              <w:rPr>
                <w:rFonts w:ascii="Calibri" w:hAnsi="Calibri" w:cs="Calibri"/>
              </w:rPr>
            </w:pPr>
            <w:r w:rsidRPr="002F1917">
              <w:rPr>
                <w:rFonts w:ascii="Calibri" w:hAnsi="Calibri" w:cs="Calibri"/>
              </w:rPr>
              <w:t>Yes</w:t>
            </w:r>
          </w:p>
        </w:tc>
        <w:tc>
          <w:tcPr>
            <w:tcW w:w="724" w:type="pct"/>
            <w:tcBorders>
              <w:top w:val="single" w:sz="4" w:space="0" w:color="FFFFFF" w:themeColor="background1"/>
              <w:left w:val="nil"/>
              <w:bottom w:val="single" w:sz="4" w:space="0" w:color="FFFFFF" w:themeColor="background1"/>
              <w:right w:val="nil"/>
            </w:tcBorders>
            <w:hideMark/>
          </w:tcPr>
          <w:p w14:paraId="0DBCE773" w14:textId="77777777" w:rsidR="00870C3F" w:rsidRPr="002F1917" w:rsidRDefault="00870C3F">
            <w:pPr>
              <w:pStyle w:val="TableText"/>
              <w:rPr>
                <w:rFonts w:ascii="Calibri" w:hAnsi="Calibri" w:cs="Calibri"/>
              </w:rPr>
            </w:pPr>
            <w:r w:rsidRPr="002F1917">
              <w:rPr>
                <w:rFonts w:ascii="Calibri" w:hAnsi="Calibri" w:cs="Calibri"/>
              </w:rPr>
              <w:t>Yes</w:t>
            </w:r>
          </w:p>
        </w:tc>
        <w:tc>
          <w:tcPr>
            <w:tcW w:w="724" w:type="pct"/>
            <w:tcBorders>
              <w:top w:val="single" w:sz="4" w:space="0" w:color="FFFFFF" w:themeColor="background1"/>
              <w:left w:val="nil"/>
              <w:bottom w:val="single" w:sz="4" w:space="0" w:color="FFFFFF" w:themeColor="background1"/>
              <w:right w:val="nil"/>
            </w:tcBorders>
            <w:hideMark/>
          </w:tcPr>
          <w:p w14:paraId="2307E50B" w14:textId="77777777" w:rsidR="00870C3F" w:rsidRPr="002F1917" w:rsidRDefault="00870C3F">
            <w:pPr>
              <w:pStyle w:val="TableText"/>
              <w:rPr>
                <w:rFonts w:ascii="Calibri" w:hAnsi="Calibri" w:cs="Calibri"/>
              </w:rPr>
            </w:pPr>
            <w:r w:rsidRPr="002F1917">
              <w:rPr>
                <w:rFonts w:ascii="Calibri" w:hAnsi="Calibri" w:cs="Calibri"/>
              </w:rPr>
              <w:t>Yes</w:t>
            </w:r>
          </w:p>
        </w:tc>
        <w:tc>
          <w:tcPr>
            <w:tcW w:w="724" w:type="pct"/>
            <w:tcBorders>
              <w:top w:val="single" w:sz="4" w:space="0" w:color="FFFFFF" w:themeColor="background1"/>
              <w:left w:val="nil"/>
              <w:bottom w:val="single" w:sz="4" w:space="0" w:color="FFFFFF" w:themeColor="background1"/>
              <w:right w:val="nil"/>
            </w:tcBorders>
            <w:hideMark/>
          </w:tcPr>
          <w:p w14:paraId="00EAAEAB" w14:textId="77777777" w:rsidR="00870C3F" w:rsidRPr="002F1917" w:rsidRDefault="00870C3F">
            <w:pPr>
              <w:pStyle w:val="TableText"/>
              <w:rPr>
                <w:rFonts w:ascii="Calibri" w:hAnsi="Calibri" w:cs="Calibri"/>
              </w:rPr>
            </w:pPr>
            <w:r w:rsidRPr="002F1917">
              <w:rPr>
                <w:rFonts w:ascii="Calibri" w:hAnsi="Calibri" w:cs="Calibri"/>
              </w:rPr>
              <w:t>Yes</w:t>
            </w:r>
          </w:p>
        </w:tc>
      </w:tr>
      <w:tr w:rsidR="00870C3F" w:rsidRPr="002F1917" w14:paraId="58E86B03" w14:textId="77777777" w:rsidTr="00870C3F">
        <w:trPr>
          <w:cnfStyle w:val="000000010000" w:firstRow="0" w:lastRow="0" w:firstColumn="0" w:lastColumn="0" w:oddVBand="0" w:evenVBand="0" w:oddHBand="0" w:evenHBand="1" w:firstRowFirstColumn="0" w:firstRowLastColumn="0" w:lastRowFirstColumn="0" w:lastRowLastColumn="0"/>
          <w:cantSplit/>
        </w:trPr>
        <w:tc>
          <w:tcPr>
            <w:tcW w:w="769" w:type="pct"/>
            <w:tcBorders>
              <w:top w:val="single" w:sz="4" w:space="0" w:color="FFFFFF" w:themeColor="background1"/>
              <w:left w:val="nil"/>
              <w:bottom w:val="single" w:sz="4" w:space="0" w:color="FFFFFF" w:themeColor="background1"/>
              <w:right w:val="nil"/>
            </w:tcBorders>
            <w:hideMark/>
          </w:tcPr>
          <w:p w14:paraId="72576411" w14:textId="77777777" w:rsidR="00870C3F" w:rsidRPr="002F1917" w:rsidRDefault="00870C3F">
            <w:pPr>
              <w:pStyle w:val="TableText"/>
              <w:rPr>
                <w:rFonts w:ascii="Calibri" w:hAnsi="Calibri" w:cs="Calibri"/>
              </w:rPr>
            </w:pPr>
            <w:r w:rsidRPr="002F1917">
              <w:rPr>
                <w:rFonts w:ascii="Calibri" w:hAnsi="Calibri" w:cs="Calibri"/>
              </w:rPr>
              <w:t>Maximum penalty</w:t>
            </w:r>
          </w:p>
        </w:tc>
        <w:tc>
          <w:tcPr>
            <w:tcW w:w="610" w:type="pct"/>
            <w:tcBorders>
              <w:top w:val="single" w:sz="4" w:space="0" w:color="FFFFFF" w:themeColor="background1"/>
              <w:left w:val="nil"/>
              <w:bottom w:val="single" w:sz="4" w:space="0" w:color="FFFFFF" w:themeColor="background1"/>
              <w:right w:val="nil"/>
            </w:tcBorders>
            <w:hideMark/>
          </w:tcPr>
          <w:p w14:paraId="1DA6D55E" w14:textId="77777777" w:rsidR="00870C3F" w:rsidRPr="002F1917" w:rsidRDefault="00870C3F">
            <w:pPr>
              <w:pStyle w:val="TableText"/>
              <w:rPr>
                <w:rFonts w:ascii="Calibri" w:hAnsi="Calibri" w:cs="Calibri"/>
              </w:rPr>
            </w:pPr>
            <w:r w:rsidRPr="002F1917">
              <w:rPr>
                <w:rFonts w:ascii="Calibri" w:hAnsi="Calibri" w:cs="Calibri"/>
              </w:rPr>
              <w:t>N.A.</w:t>
            </w:r>
          </w:p>
        </w:tc>
        <w:tc>
          <w:tcPr>
            <w:tcW w:w="724" w:type="pct"/>
            <w:tcBorders>
              <w:top w:val="single" w:sz="4" w:space="0" w:color="FFFFFF" w:themeColor="background1"/>
              <w:left w:val="nil"/>
              <w:bottom w:val="single" w:sz="4" w:space="0" w:color="FFFFFF" w:themeColor="background1"/>
              <w:right w:val="nil"/>
            </w:tcBorders>
            <w:hideMark/>
          </w:tcPr>
          <w:p w14:paraId="24542DEC" w14:textId="77777777" w:rsidR="00870C3F" w:rsidRPr="002F1917" w:rsidRDefault="00870C3F">
            <w:pPr>
              <w:pStyle w:val="TableText"/>
              <w:rPr>
                <w:rFonts w:ascii="Calibri" w:hAnsi="Calibri" w:cs="Calibri"/>
              </w:rPr>
            </w:pPr>
            <w:r w:rsidRPr="002F1917">
              <w:rPr>
                <w:rFonts w:ascii="Calibri" w:hAnsi="Calibri" w:cs="Calibri"/>
              </w:rPr>
              <w:t>2 years</w:t>
            </w:r>
          </w:p>
        </w:tc>
        <w:tc>
          <w:tcPr>
            <w:tcW w:w="724" w:type="pct"/>
            <w:tcBorders>
              <w:top w:val="single" w:sz="4" w:space="0" w:color="FFFFFF" w:themeColor="background1"/>
              <w:left w:val="nil"/>
              <w:bottom w:val="single" w:sz="4" w:space="0" w:color="FFFFFF" w:themeColor="background1"/>
              <w:right w:val="nil"/>
            </w:tcBorders>
            <w:hideMark/>
          </w:tcPr>
          <w:p w14:paraId="4C72881B" w14:textId="77777777" w:rsidR="00870C3F" w:rsidRPr="002F1917" w:rsidRDefault="00870C3F">
            <w:pPr>
              <w:pStyle w:val="TableText"/>
              <w:rPr>
                <w:rFonts w:ascii="Calibri" w:hAnsi="Calibri" w:cs="Calibri"/>
              </w:rPr>
            </w:pPr>
            <w:r w:rsidRPr="002F1917">
              <w:rPr>
                <w:rFonts w:ascii="Calibri" w:hAnsi="Calibri" w:cs="Calibri"/>
              </w:rPr>
              <w:t>2 years</w:t>
            </w:r>
          </w:p>
        </w:tc>
        <w:tc>
          <w:tcPr>
            <w:tcW w:w="724" w:type="pct"/>
            <w:tcBorders>
              <w:top w:val="single" w:sz="4" w:space="0" w:color="FFFFFF" w:themeColor="background1"/>
              <w:left w:val="nil"/>
              <w:bottom w:val="single" w:sz="4" w:space="0" w:color="FFFFFF" w:themeColor="background1"/>
              <w:right w:val="nil"/>
            </w:tcBorders>
            <w:hideMark/>
          </w:tcPr>
          <w:p w14:paraId="60DC57B0" w14:textId="77777777" w:rsidR="00870C3F" w:rsidRPr="002F1917" w:rsidRDefault="00870C3F">
            <w:pPr>
              <w:pStyle w:val="TableText"/>
              <w:rPr>
                <w:rFonts w:ascii="Calibri" w:hAnsi="Calibri" w:cs="Calibri"/>
              </w:rPr>
            </w:pPr>
            <w:r w:rsidRPr="002F1917">
              <w:rPr>
                <w:rFonts w:ascii="Calibri" w:hAnsi="Calibri" w:cs="Calibri"/>
              </w:rPr>
              <w:t>2 years</w:t>
            </w:r>
          </w:p>
        </w:tc>
        <w:tc>
          <w:tcPr>
            <w:tcW w:w="724" w:type="pct"/>
            <w:tcBorders>
              <w:top w:val="single" w:sz="4" w:space="0" w:color="FFFFFF" w:themeColor="background1"/>
              <w:left w:val="nil"/>
              <w:bottom w:val="single" w:sz="4" w:space="0" w:color="FFFFFF" w:themeColor="background1"/>
              <w:right w:val="nil"/>
            </w:tcBorders>
            <w:hideMark/>
          </w:tcPr>
          <w:p w14:paraId="001CD9A7" w14:textId="77777777" w:rsidR="00870C3F" w:rsidRPr="002F1917" w:rsidRDefault="00870C3F">
            <w:pPr>
              <w:pStyle w:val="TableText"/>
              <w:rPr>
                <w:rFonts w:ascii="Calibri" w:hAnsi="Calibri" w:cs="Calibri"/>
              </w:rPr>
            </w:pPr>
            <w:r w:rsidRPr="002F1917">
              <w:rPr>
                <w:rFonts w:ascii="Calibri" w:hAnsi="Calibri" w:cs="Calibri"/>
              </w:rPr>
              <w:t>2 years</w:t>
            </w:r>
          </w:p>
        </w:tc>
        <w:tc>
          <w:tcPr>
            <w:tcW w:w="724" w:type="pct"/>
            <w:tcBorders>
              <w:top w:val="single" w:sz="4" w:space="0" w:color="FFFFFF" w:themeColor="background1"/>
              <w:left w:val="nil"/>
              <w:bottom w:val="single" w:sz="4" w:space="0" w:color="FFFFFF" w:themeColor="background1"/>
              <w:right w:val="nil"/>
            </w:tcBorders>
            <w:hideMark/>
          </w:tcPr>
          <w:p w14:paraId="6DD67F8E" w14:textId="77777777" w:rsidR="00870C3F" w:rsidRPr="002F1917" w:rsidRDefault="00870C3F">
            <w:pPr>
              <w:pStyle w:val="TableText"/>
              <w:rPr>
                <w:rFonts w:ascii="Calibri" w:hAnsi="Calibri" w:cs="Calibri"/>
              </w:rPr>
            </w:pPr>
            <w:r w:rsidRPr="002F1917">
              <w:rPr>
                <w:rFonts w:ascii="Calibri" w:hAnsi="Calibri" w:cs="Calibri"/>
              </w:rPr>
              <w:t>2 years</w:t>
            </w:r>
          </w:p>
        </w:tc>
      </w:tr>
      <w:tr w:rsidR="00870C3F" w:rsidRPr="002F1917" w14:paraId="0BA929FD" w14:textId="77777777" w:rsidTr="00870C3F">
        <w:trPr>
          <w:cantSplit/>
        </w:trPr>
        <w:tc>
          <w:tcPr>
            <w:tcW w:w="769" w:type="pct"/>
            <w:tcBorders>
              <w:top w:val="single" w:sz="4" w:space="0" w:color="FFFFFF" w:themeColor="background1"/>
              <w:left w:val="nil"/>
              <w:bottom w:val="single" w:sz="4" w:space="0" w:color="FFFFFF" w:themeColor="background1"/>
              <w:right w:val="nil"/>
            </w:tcBorders>
            <w:hideMark/>
          </w:tcPr>
          <w:p w14:paraId="675E470D" w14:textId="77777777" w:rsidR="00870C3F" w:rsidRPr="002F1917" w:rsidRDefault="00870C3F">
            <w:pPr>
              <w:pStyle w:val="TableText"/>
              <w:rPr>
                <w:rFonts w:ascii="Calibri" w:hAnsi="Calibri" w:cs="Calibri"/>
              </w:rPr>
            </w:pPr>
            <w:r w:rsidRPr="002F1917">
              <w:rPr>
                <w:rFonts w:ascii="Calibri" w:hAnsi="Calibri" w:cs="Calibri"/>
              </w:rPr>
              <w:t>Limitation period</w:t>
            </w:r>
          </w:p>
        </w:tc>
        <w:tc>
          <w:tcPr>
            <w:tcW w:w="610" w:type="pct"/>
            <w:tcBorders>
              <w:top w:val="single" w:sz="4" w:space="0" w:color="FFFFFF" w:themeColor="background1"/>
              <w:left w:val="nil"/>
              <w:bottom w:val="single" w:sz="4" w:space="0" w:color="FFFFFF" w:themeColor="background1"/>
              <w:right w:val="nil"/>
            </w:tcBorders>
            <w:hideMark/>
          </w:tcPr>
          <w:p w14:paraId="26D8AC52" w14:textId="77777777" w:rsidR="00870C3F" w:rsidRPr="002F1917" w:rsidRDefault="00870C3F">
            <w:pPr>
              <w:pStyle w:val="TableText"/>
              <w:rPr>
                <w:rFonts w:ascii="Calibri" w:hAnsi="Calibri" w:cs="Calibri"/>
              </w:rPr>
            </w:pPr>
            <w:r w:rsidRPr="002F1917">
              <w:rPr>
                <w:rFonts w:ascii="Calibri" w:hAnsi="Calibri" w:cs="Calibri"/>
              </w:rPr>
              <w:t>N.A.</w:t>
            </w:r>
          </w:p>
        </w:tc>
        <w:tc>
          <w:tcPr>
            <w:tcW w:w="724" w:type="pct"/>
            <w:tcBorders>
              <w:top w:val="single" w:sz="4" w:space="0" w:color="FFFFFF" w:themeColor="background1"/>
              <w:left w:val="nil"/>
              <w:bottom w:val="single" w:sz="4" w:space="0" w:color="FFFFFF" w:themeColor="background1"/>
              <w:right w:val="nil"/>
            </w:tcBorders>
            <w:hideMark/>
          </w:tcPr>
          <w:p w14:paraId="61577D29" w14:textId="77777777" w:rsidR="00870C3F" w:rsidRPr="002F1917" w:rsidRDefault="00870C3F">
            <w:pPr>
              <w:pStyle w:val="TableText"/>
              <w:rPr>
                <w:rFonts w:ascii="Calibri" w:hAnsi="Calibri" w:cs="Calibri"/>
              </w:rPr>
            </w:pPr>
            <w:r w:rsidRPr="002F1917">
              <w:rPr>
                <w:rFonts w:ascii="Calibri" w:hAnsi="Calibri" w:cs="Calibri"/>
              </w:rPr>
              <w:t>6-month</w:t>
            </w:r>
          </w:p>
        </w:tc>
        <w:tc>
          <w:tcPr>
            <w:tcW w:w="724" w:type="pct"/>
            <w:tcBorders>
              <w:top w:val="single" w:sz="4" w:space="0" w:color="FFFFFF" w:themeColor="background1"/>
              <w:left w:val="nil"/>
              <w:bottom w:val="single" w:sz="4" w:space="0" w:color="FFFFFF" w:themeColor="background1"/>
              <w:right w:val="nil"/>
            </w:tcBorders>
            <w:hideMark/>
          </w:tcPr>
          <w:p w14:paraId="746970A6" w14:textId="77777777" w:rsidR="00870C3F" w:rsidRPr="002F1917" w:rsidRDefault="00870C3F">
            <w:pPr>
              <w:pStyle w:val="TableText"/>
              <w:rPr>
                <w:rFonts w:ascii="Calibri" w:hAnsi="Calibri" w:cs="Calibri"/>
              </w:rPr>
            </w:pPr>
            <w:r w:rsidRPr="002F1917">
              <w:rPr>
                <w:rFonts w:ascii="Calibri" w:hAnsi="Calibri" w:cs="Calibri"/>
              </w:rPr>
              <w:t>6-month</w:t>
            </w:r>
          </w:p>
        </w:tc>
        <w:tc>
          <w:tcPr>
            <w:tcW w:w="724" w:type="pct"/>
            <w:tcBorders>
              <w:top w:val="single" w:sz="4" w:space="0" w:color="FFFFFF" w:themeColor="background1"/>
              <w:left w:val="nil"/>
              <w:bottom w:val="single" w:sz="4" w:space="0" w:color="FFFFFF" w:themeColor="background1"/>
              <w:right w:val="nil"/>
            </w:tcBorders>
            <w:hideMark/>
          </w:tcPr>
          <w:p w14:paraId="0C137995" w14:textId="77777777" w:rsidR="00870C3F" w:rsidRPr="002F1917" w:rsidRDefault="00870C3F">
            <w:pPr>
              <w:pStyle w:val="TableText"/>
              <w:rPr>
                <w:rFonts w:ascii="Calibri" w:hAnsi="Calibri" w:cs="Calibri"/>
              </w:rPr>
            </w:pPr>
            <w:r w:rsidRPr="002F1917">
              <w:rPr>
                <w:rFonts w:ascii="Calibri" w:hAnsi="Calibri" w:cs="Calibri"/>
              </w:rPr>
              <w:t>6-month</w:t>
            </w:r>
          </w:p>
        </w:tc>
        <w:tc>
          <w:tcPr>
            <w:tcW w:w="724" w:type="pct"/>
            <w:tcBorders>
              <w:top w:val="single" w:sz="4" w:space="0" w:color="FFFFFF" w:themeColor="background1"/>
              <w:left w:val="nil"/>
              <w:bottom w:val="single" w:sz="4" w:space="0" w:color="FFFFFF" w:themeColor="background1"/>
              <w:right w:val="nil"/>
            </w:tcBorders>
            <w:hideMark/>
          </w:tcPr>
          <w:p w14:paraId="622C048C" w14:textId="77777777" w:rsidR="00870C3F" w:rsidRPr="002F1917" w:rsidRDefault="00870C3F">
            <w:pPr>
              <w:pStyle w:val="TableText"/>
              <w:rPr>
                <w:rFonts w:ascii="Calibri" w:hAnsi="Calibri" w:cs="Calibri"/>
              </w:rPr>
            </w:pPr>
            <w:r w:rsidRPr="002F1917">
              <w:rPr>
                <w:rFonts w:ascii="Calibri" w:hAnsi="Calibri" w:cs="Calibri"/>
              </w:rPr>
              <w:t>None</w:t>
            </w:r>
          </w:p>
        </w:tc>
        <w:tc>
          <w:tcPr>
            <w:tcW w:w="724" w:type="pct"/>
            <w:tcBorders>
              <w:top w:val="single" w:sz="4" w:space="0" w:color="FFFFFF" w:themeColor="background1"/>
              <w:left w:val="nil"/>
              <w:bottom w:val="single" w:sz="4" w:space="0" w:color="FFFFFF" w:themeColor="background1"/>
              <w:right w:val="nil"/>
            </w:tcBorders>
            <w:hideMark/>
          </w:tcPr>
          <w:p w14:paraId="4DB74A45" w14:textId="77777777" w:rsidR="00870C3F" w:rsidRPr="002F1917" w:rsidRDefault="00870C3F">
            <w:pPr>
              <w:pStyle w:val="TableText"/>
              <w:rPr>
                <w:rFonts w:ascii="Calibri" w:hAnsi="Calibri" w:cs="Calibri"/>
              </w:rPr>
            </w:pPr>
            <w:r w:rsidRPr="002F1917">
              <w:rPr>
                <w:rFonts w:ascii="Calibri" w:hAnsi="Calibri" w:cs="Calibri"/>
              </w:rPr>
              <w:t>None</w:t>
            </w:r>
          </w:p>
        </w:tc>
      </w:tr>
    </w:tbl>
    <w:p w14:paraId="73BC781E" w14:textId="77777777" w:rsidR="00870C3F" w:rsidRPr="00856A0A" w:rsidRDefault="00870C3F" w:rsidP="00870C3F">
      <w:pPr>
        <w:spacing w:after="320"/>
        <w:rPr>
          <w:rFonts w:ascii="Calibri" w:eastAsia="Times New Roman" w:hAnsi="Calibri" w:cs="Calibri"/>
          <w:color w:val="auto"/>
          <w:sz w:val="21"/>
        </w:rPr>
      </w:pPr>
      <w:r w:rsidRPr="00856A0A">
        <w:rPr>
          <w:rFonts w:ascii="Calibri" w:hAnsi="Calibri" w:cs="Calibri"/>
          <w:i/>
          <w:color w:val="auto"/>
          <w:sz w:val="16"/>
          <w:szCs w:val="16"/>
        </w:rPr>
        <w:t>Source: Report of the Review of Australia’s Sport integrity Arrangements (2018)</w:t>
      </w:r>
    </w:p>
    <w:p w14:paraId="2059135B" w14:textId="77777777" w:rsidR="00870C3F" w:rsidRPr="002F1917" w:rsidRDefault="00870C3F" w:rsidP="00DA0ACD">
      <w:pPr>
        <w:pStyle w:val="Heading3"/>
        <w:rPr>
          <w:rFonts w:ascii="Calibri" w:hAnsi="Calibri" w:cs="Calibri"/>
          <w:sz w:val="20"/>
          <w:szCs w:val="28"/>
        </w:rPr>
      </w:pPr>
      <w:bookmarkStart w:id="77" w:name="_Toc39219878"/>
      <w:bookmarkStart w:id="78" w:name="_Toc39220347"/>
      <w:bookmarkStart w:id="79" w:name="_Toc81557589"/>
      <w:bookmarkStart w:id="80" w:name="_Toc85450756"/>
      <w:r w:rsidRPr="002F1917">
        <w:rPr>
          <w:rFonts w:ascii="Calibri" w:hAnsi="Calibri" w:cs="Calibri"/>
          <w:sz w:val="20"/>
          <w:szCs w:val="28"/>
        </w:rPr>
        <w:t>Offshore wagering</w:t>
      </w:r>
      <w:bookmarkEnd w:id="77"/>
      <w:bookmarkEnd w:id="78"/>
      <w:bookmarkEnd w:id="79"/>
      <w:bookmarkEnd w:id="80"/>
    </w:p>
    <w:p w14:paraId="144858A9" w14:textId="77777777" w:rsidR="00870C3F" w:rsidRPr="002F1917" w:rsidRDefault="00870C3F" w:rsidP="00870C3F">
      <w:pPr>
        <w:jc w:val="both"/>
        <w:rPr>
          <w:rFonts w:ascii="Calibri" w:hAnsi="Calibri" w:cs="Calibri"/>
          <w:sz w:val="20"/>
          <w:szCs w:val="20"/>
        </w:rPr>
      </w:pPr>
      <w:r w:rsidRPr="002F1917">
        <w:rPr>
          <w:rFonts w:ascii="Calibri" w:hAnsi="Calibri" w:cs="Calibri"/>
          <w:sz w:val="20"/>
          <w:szCs w:val="20"/>
        </w:rPr>
        <w:t xml:space="preserve">There has been significant growth in sports wagering beyond Australia, particularly in Asia, which allows wagering on Australian sports and hence raises the risks of match-fixing to Australia. Unregulated offshore wagering represents a particular concern in relation to the manipulation of sports competitions. </w:t>
      </w:r>
    </w:p>
    <w:p w14:paraId="367E13A0" w14:textId="77777777" w:rsidR="00870C3F" w:rsidRPr="002F1917" w:rsidRDefault="00870C3F" w:rsidP="00870C3F">
      <w:pPr>
        <w:jc w:val="both"/>
        <w:rPr>
          <w:rFonts w:ascii="Calibri" w:hAnsi="Calibri" w:cs="Calibri"/>
          <w:sz w:val="20"/>
          <w:szCs w:val="20"/>
        </w:rPr>
      </w:pPr>
      <w:r w:rsidRPr="002F1917">
        <w:rPr>
          <w:rFonts w:ascii="Calibri" w:hAnsi="Calibri" w:cs="Calibri"/>
          <w:sz w:val="20"/>
          <w:szCs w:val="20"/>
        </w:rPr>
        <w:lastRenderedPageBreak/>
        <w:t xml:space="preserve">Firstly, the lack of transparency in many unregulated offshore markets means those seeking to profit from the manipulation and/or inside information on Australian sports competitions can potentially avoid detection by wagering through those offshore platforms. This is exacerbated by offshore wagering providers creating or tolerating anonymous betting customers and funding channels. Second, when Australians engage in wagering on unregulated offshore online platforms, sports controllers, law-enforcement </w:t>
      </w:r>
      <w:proofErr w:type="gramStart"/>
      <w:r w:rsidRPr="002F1917">
        <w:rPr>
          <w:rFonts w:ascii="Calibri" w:hAnsi="Calibri" w:cs="Calibri"/>
          <w:sz w:val="20"/>
          <w:szCs w:val="20"/>
        </w:rPr>
        <w:t>agencies</w:t>
      </w:r>
      <w:proofErr w:type="gramEnd"/>
      <w:r w:rsidRPr="002F1917">
        <w:rPr>
          <w:rFonts w:ascii="Calibri" w:hAnsi="Calibri" w:cs="Calibri"/>
          <w:sz w:val="20"/>
          <w:szCs w:val="20"/>
        </w:rPr>
        <w:t xml:space="preserve"> and regulators lose visibility of this wagering activity. This makes it harder to effectively monitor wagering markets for possible match-fixing or other unlawful activity. As a result, the ability to review and determine whether matches or betting contingencies have been tainted by manipulation is reduced. Third, offshore wagering providers are unlikely to co-operate with Australian sports controllers on investigations into potentially corrupt matches or betting contingencies. Fourth, it results in a loss of product fees payable to sports controllers, which could have been directed to sports controllers’ integrity function, </w:t>
      </w:r>
      <w:proofErr w:type="gramStart"/>
      <w:r w:rsidRPr="002F1917">
        <w:rPr>
          <w:rFonts w:ascii="Calibri" w:hAnsi="Calibri" w:cs="Calibri"/>
          <w:sz w:val="20"/>
          <w:szCs w:val="20"/>
        </w:rPr>
        <w:t>and also</w:t>
      </w:r>
      <w:proofErr w:type="gramEnd"/>
      <w:r w:rsidRPr="002F1917">
        <w:rPr>
          <w:rFonts w:ascii="Calibri" w:hAnsi="Calibri" w:cs="Calibri"/>
          <w:sz w:val="20"/>
          <w:szCs w:val="20"/>
        </w:rPr>
        <w:t xml:space="preserve"> tax leakage for government.</w:t>
      </w:r>
    </w:p>
    <w:p w14:paraId="1DC3BEDD" w14:textId="77777777" w:rsidR="00870C3F" w:rsidRPr="002F1917" w:rsidRDefault="00870C3F" w:rsidP="00870C3F">
      <w:pPr>
        <w:jc w:val="both"/>
        <w:rPr>
          <w:rFonts w:ascii="Calibri" w:hAnsi="Calibri" w:cs="Calibri"/>
          <w:sz w:val="20"/>
          <w:szCs w:val="20"/>
        </w:rPr>
      </w:pPr>
      <w:r w:rsidRPr="002F1917">
        <w:rPr>
          <w:rFonts w:ascii="Calibri" w:hAnsi="Calibri" w:cs="Calibri"/>
          <w:sz w:val="20"/>
          <w:szCs w:val="20"/>
        </w:rPr>
        <w:t>In addition, while Australian wagering providers are heavily regulated and are legally required to offer comprehensive responsible gambling tools to customers, it is unclear whether offshore wagering operators face the same requirements. For example, some Australian wagering providers offer a range of responsible gambling tools to bettors, such as deposit and loss limit options, time-out functionality, self-exclusion functionality, account closure options, self-assessment tools and a detailed responsible gambling webpage. In addition, they also run daily reports, seeking to identify ‘red flag’ behaviours by customers (</w:t>
      </w:r>
      <w:proofErr w:type="gramStart"/>
      <w:r w:rsidRPr="002F1917">
        <w:rPr>
          <w:rFonts w:ascii="Calibri" w:hAnsi="Calibri" w:cs="Calibri"/>
          <w:sz w:val="20"/>
          <w:szCs w:val="20"/>
        </w:rPr>
        <w:t>e.g.</w:t>
      </w:r>
      <w:proofErr w:type="gramEnd"/>
      <w:r w:rsidRPr="002F1917">
        <w:rPr>
          <w:rFonts w:ascii="Calibri" w:hAnsi="Calibri" w:cs="Calibri"/>
          <w:sz w:val="20"/>
          <w:szCs w:val="20"/>
        </w:rPr>
        <w:t xml:space="preserve"> a sudden increase in deposit sizes by a customer). </w:t>
      </w:r>
    </w:p>
    <w:p w14:paraId="797DE0AD" w14:textId="77777777" w:rsidR="00870C3F" w:rsidRPr="002F1917" w:rsidRDefault="00870C3F" w:rsidP="00870C3F">
      <w:pPr>
        <w:jc w:val="both"/>
        <w:rPr>
          <w:rFonts w:ascii="Calibri" w:hAnsi="Calibri" w:cs="Calibri"/>
          <w:sz w:val="20"/>
          <w:szCs w:val="20"/>
        </w:rPr>
      </w:pPr>
      <w:r w:rsidRPr="002F1917">
        <w:rPr>
          <w:rFonts w:ascii="Calibri" w:hAnsi="Calibri" w:cs="Calibri"/>
          <w:sz w:val="20"/>
          <w:szCs w:val="20"/>
        </w:rPr>
        <w:t xml:space="preserve">Unless a system for ongoing monitoring of the conduct of players and others associated with each </w:t>
      </w:r>
      <w:proofErr w:type="gramStart"/>
      <w:r w:rsidRPr="002F1917">
        <w:rPr>
          <w:rFonts w:ascii="Calibri" w:hAnsi="Calibri" w:cs="Calibri"/>
          <w:sz w:val="20"/>
          <w:szCs w:val="20"/>
        </w:rPr>
        <w:t>particular sport</w:t>
      </w:r>
      <w:proofErr w:type="gramEnd"/>
      <w:r w:rsidRPr="002F1917">
        <w:rPr>
          <w:rFonts w:ascii="Calibri" w:hAnsi="Calibri" w:cs="Calibri"/>
          <w:sz w:val="20"/>
          <w:szCs w:val="20"/>
        </w:rPr>
        <w:t xml:space="preserve"> and of wagering markets is in place including a capacity to gather, collate and assess data and intelligence, the manipulation of sports competitions can be difficult to detect. As noted above, in recent times, t</w:t>
      </w:r>
      <w:r w:rsidRPr="002F1917">
        <w:rPr>
          <w:rFonts w:ascii="Calibri" w:hAnsi="Calibri" w:cs="Calibri"/>
          <w:sz w:val="20"/>
        </w:rPr>
        <w:t xml:space="preserve">he Australian Communications and Media Authority </w:t>
      </w:r>
      <w:r w:rsidRPr="002F1917">
        <w:rPr>
          <w:rFonts w:ascii="Calibri" w:hAnsi="Calibri" w:cs="Calibri"/>
          <w:sz w:val="20"/>
          <w:szCs w:val="20"/>
        </w:rPr>
        <w:t>has taken steps (such as website blocking) to disrupt offshore wagering operators providing wagering services to Australian residents in contravention of the IGA. However, it is unclear whether these initiatives are sufficient to address problems posed by offshore wagering providers, particularly as the Interactive Gambling Act does not regulate the provision of these services to non-Australian based customers.</w:t>
      </w:r>
    </w:p>
    <w:p w14:paraId="6D21361F" w14:textId="77777777" w:rsidR="00870C3F" w:rsidRPr="002F1917" w:rsidRDefault="00870C3F" w:rsidP="00870C3F">
      <w:pPr>
        <w:jc w:val="both"/>
        <w:rPr>
          <w:rFonts w:ascii="Calibri" w:hAnsi="Calibri" w:cs="Calibri"/>
          <w:sz w:val="20"/>
          <w:szCs w:val="20"/>
        </w:rPr>
      </w:pPr>
      <w:r w:rsidRPr="002F1917">
        <w:rPr>
          <w:rFonts w:ascii="Calibri" w:hAnsi="Calibri" w:cs="Calibri"/>
          <w:sz w:val="20"/>
          <w:szCs w:val="20"/>
        </w:rPr>
        <w:t>There are several strong attractions for Australian consumers to bet with offshore wagering operators, including:</w:t>
      </w:r>
    </w:p>
    <w:p w14:paraId="2E26250B" w14:textId="77777777" w:rsidR="00870C3F" w:rsidRPr="002F1917" w:rsidRDefault="00870C3F" w:rsidP="00870C3F">
      <w:pPr>
        <w:pStyle w:val="ListBullet1"/>
        <w:rPr>
          <w:rFonts w:ascii="Calibri" w:hAnsi="Calibri" w:cs="Calibri"/>
          <w:szCs w:val="20"/>
        </w:rPr>
      </w:pPr>
      <w:r w:rsidRPr="002F1917">
        <w:rPr>
          <w:rFonts w:ascii="Calibri" w:hAnsi="Calibri" w:cs="Calibri"/>
          <w:szCs w:val="20"/>
        </w:rPr>
        <w:t>the availability of better odds, given offshore wagering operators do not pay Australian levies, including licence fees and taxes, or product fees to sports controllers.</w:t>
      </w:r>
    </w:p>
    <w:p w14:paraId="0867F27D" w14:textId="77777777" w:rsidR="00870C3F" w:rsidRPr="002F1917" w:rsidRDefault="00870C3F" w:rsidP="00870C3F">
      <w:pPr>
        <w:pStyle w:val="ListBullet1"/>
        <w:rPr>
          <w:rFonts w:ascii="Calibri" w:hAnsi="Calibri" w:cs="Calibri"/>
          <w:szCs w:val="20"/>
        </w:rPr>
      </w:pPr>
      <w:r w:rsidRPr="002F1917">
        <w:rPr>
          <w:rFonts w:ascii="Calibri" w:hAnsi="Calibri" w:cs="Calibri"/>
          <w:szCs w:val="20"/>
        </w:rPr>
        <w:t>the ability to bet online in-play on sport, which cannot be offered by Australian wagering providers</w:t>
      </w:r>
      <w:r w:rsidRPr="002F1917">
        <w:rPr>
          <w:rStyle w:val="FootnoteReference"/>
          <w:rFonts w:ascii="Calibri" w:hAnsi="Calibri" w:cs="Calibri"/>
          <w:szCs w:val="20"/>
        </w:rPr>
        <w:footnoteReference w:id="9"/>
      </w:r>
      <w:r w:rsidRPr="002F1917">
        <w:rPr>
          <w:rFonts w:ascii="Calibri" w:hAnsi="Calibri" w:cs="Calibri"/>
          <w:szCs w:val="20"/>
        </w:rPr>
        <w:t>.</w:t>
      </w:r>
    </w:p>
    <w:p w14:paraId="16CE5092" w14:textId="77777777" w:rsidR="00870C3F" w:rsidRPr="002F1917" w:rsidRDefault="00870C3F" w:rsidP="00870C3F">
      <w:pPr>
        <w:pStyle w:val="ListBullet1"/>
        <w:rPr>
          <w:rFonts w:ascii="Calibri" w:hAnsi="Calibri" w:cs="Calibri"/>
          <w:szCs w:val="20"/>
        </w:rPr>
      </w:pPr>
      <w:r w:rsidRPr="002F1917">
        <w:rPr>
          <w:rFonts w:ascii="Calibri" w:hAnsi="Calibri" w:cs="Calibri"/>
          <w:szCs w:val="20"/>
        </w:rPr>
        <w:t>the ability to bet with complete anonymity. Many offshore wagering operators (</w:t>
      </w:r>
      <w:proofErr w:type="gramStart"/>
      <w:r w:rsidRPr="002F1917">
        <w:rPr>
          <w:rFonts w:ascii="Calibri" w:hAnsi="Calibri" w:cs="Calibri"/>
          <w:szCs w:val="20"/>
        </w:rPr>
        <w:t>e.g.</w:t>
      </w:r>
      <w:proofErr w:type="gramEnd"/>
      <w:r w:rsidRPr="002F1917">
        <w:rPr>
          <w:rFonts w:ascii="Calibri" w:hAnsi="Calibri" w:cs="Calibri"/>
          <w:szCs w:val="20"/>
        </w:rPr>
        <w:t xml:space="preserve"> </w:t>
      </w:r>
      <w:proofErr w:type="spellStart"/>
      <w:r w:rsidRPr="002F1917">
        <w:rPr>
          <w:rFonts w:ascii="Calibri" w:hAnsi="Calibri" w:cs="Calibri"/>
          <w:szCs w:val="20"/>
        </w:rPr>
        <w:t>Cloudbet</w:t>
      </w:r>
      <w:proofErr w:type="spellEnd"/>
      <w:r w:rsidRPr="002F1917">
        <w:rPr>
          <w:rFonts w:ascii="Calibri" w:hAnsi="Calibri" w:cs="Calibri"/>
          <w:szCs w:val="20"/>
        </w:rPr>
        <w:t>) don’t complete ‘know your customer checks’ and allow Australian consumers to deposit via bitcoin and other cryptocurrencies.</w:t>
      </w:r>
    </w:p>
    <w:p w14:paraId="03F5BC7F" w14:textId="77777777" w:rsidR="00870C3F" w:rsidRPr="002F1917" w:rsidRDefault="00870C3F" w:rsidP="00870C3F">
      <w:pPr>
        <w:pStyle w:val="ListBullet1"/>
        <w:rPr>
          <w:rFonts w:ascii="Calibri" w:hAnsi="Calibri" w:cs="Calibri"/>
          <w:szCs w:val="20"/>
        </w:rPr>
      </w:pPr>
      <w:r w:rsidRPr="002F1917">
        <w:rPr>
          <w:rFonts w:ascii="Calibri" w:hAnsi="Calibri" w:cs="Calibri"/>
          <w:szCs w:val="20"/>
        </w:rPr>
        <w:t>the ability to access ‘credit arrangements’ (which have been banned in Australia for a number of years).</w:t>
      </w:r>
    </w:p>
    <w:p w14:paraId="054D043F" w14:textId="77777777" w:rsidR="00870C3F" w:rsidRPr="002F1917" w:rsidRDefault="00870C3F" w:rsidP="00870C3F">
      <w:pPr>
        <w:jc w:val="both"/>
        <w:rPr>
          <w:rFonts w:ascii="Calibri" w:hAnsi="Calibri" w:cs="Calibri"/>
          <w:sz w:val="20"/>
          <w:szCs w:val="20"/>
        </w:rPr>
      </w:pPr>
      <w:r w:rsidRPr="002F1917">
        <w:rPr>
          <w:rFonts w:ascii="Calibri" w:hAnsi="Calibri" w:cs="Calibri"/>
          <w:sz w:val="20"/>
          <w:szCs w:val="20"/>
        </w:rPr>
        <w:t>Australia has taken steps towards a stronger effort to combat manipulation of sport competitions via unregulated or illegal offshore wagering channels affecting sport integrity in Australia, most recently as a signatory to the Macolin Convention in 2019. Moreover, Sport Integrity Australia are involved in a research project on the topic of online in-play. They are also involved in a research piece on the topic of data providers.</w:t>
      </w:r>
    </w:p>
    <w:p w14:paraId="76A88986" w14:textId="1E94E9F5" w:rsidR="00870C3F" w:rsidRPr="002F1917" w:rsidRDefault="00870C3F" w:rsidP="00870C3F">
      <w:pPr>
        <w:jc w:val="both"/>
        <w:rPr>
          <w:rFonts w:ascii="Calibri" w:hAnsi="Calibri" w:cs="Calibri"/>
          <w:sz w:val="20"/>
          <w:szCs w:val="20"/>
        </w:rPr>
      </w:pPr>
      <w:r w:rsidRPr="002F1917">
        <w:rPr>
          <w:rFonts w:ascii="Calibri" w:hAnsi="Calibri" w:cs="Calibri"/>
          <w:sz w:val="20"/>
          <w:szCs w:val="20"/>
        </w:rPr>
        <w:t>This has the effect of fostering stronger international collaboration to develop better capability to combat integrity risks.</w:t>
      </w:r>
    </w:p>
    <w:p w14:paraId="51E02D9A" w14:textId="77777777" w:rsidR="00F9752A" w:rsidRPr="002F1917" w:rsidRDefault="00F9752A" w:rsidP="00870C3F">
      <w:pPr>
        <w:jc w:val="both"/>
        <w:rPr>
          <w:rFonts w:ascii="Calibri" w:hAnsi="Calibri" w:cs="Calibri"/>
          <w:sz w:val="20"/>
          <w:szCs w:val="20"/>
          <w:lang w:val="en-US"/>
        </w:rPr>
      </w:pPr>
    </w:p>
    <w:p w14:paraId="3AB0D310" w14:textId="1D4068FB" w:rsidR="00870C3F" w:rsidRPr="002F1917" w:rsidRDefault="00870C3F" w:rsidP="00E9396D">
      <w:pPr>
        <w:pStyle w:val="Heading3"/>
        <w:rPr>
          <w:sz w:val="24"/>
          <w:szCs w:val="28"/>
          <w:lang w:val="en-US"/>
        </w:rPr>
      </w:pPr>
      <w:r w:rsidRPr="002F1917">
        <w:lastRenderedPageBreak/>
        <w:t xml:space="preserve">Questions on </w:t>
      </w:r>
      <w:r w:rsidR="00433A49">
        <w:t xml:space="preserve">Consultation </w:t>
      </w:r>
      <w:r w:rsidRPr="002F1917">
        <w:t xml:space="preserve">Regulatory Impact Statement </w:t>
      </w:r>
    </w:p>
    <w:p w14:paraId="2C9DF08B" w14:textId="77777777" w:rsidR="00870C3F" w:rsidRPr="002F1917" w:rsidRDefault="00870C3F" w:rsidP="00870C3F">
      <w:pPr>
        <w:pStyle w:val="ListBullet1"/>
        <w:numPr>
          <w:ilvl w:val="0"/>
          <w:numId w:val="0"/>
        </w:numPr>
        <w:tabs>
          <w:tab w:val="left" w:pos="720"/>
        </w:tabs>
        <w:jc w:val="left"/>
        <w:rPr>
          <w:rFonts w:ascii="Calibri" w:hAnsi="Calibri" w:cs="Calibri"/>
          <w:szCs w:val="20"/>
        </w:rPr>
      </w:pPr>
      <w:r w:rsidRPr="002F1917">
        <w:rPr>
          <w:rFonts w:ascii="Calibri" w:hAnsi="Calibri" w:cs="Calibri"/>
          <w:szCs w:val="20"/>
        </w:rPr>
        <w:t>Are there any inaccuracies in the base case? If so, please provide details.</w:t>
      </w:r>
    </w:p>
    <w:p w14:paraId="4221D545" w14:textId="77777777" w:rsidR="00870C3F" w:rsidRPr="002F1917" w:rsidRDefault="00870C3F" w:rsidP="00870C3F">
      <w:pPr>
        <w:pStyle w:val="ListBullet1"/>
        <w:numPr>
          <w:ilvl w:val="0"/>
          <w:numId w:val="0"/>
        </w:numPr>
        <w:tabs>
          <w:tab w:val="left" w:pos="720"/>
        </w:tabs>
        <w:jc w:val="left"/>
        <w:rPr>
          <w:rFonts w:ascii="Calibri" w:hAnsi="Calibri" w:cs="Calibri"/>
          <w:szCs w:val="20"/>
          <w:lang w:val="en-US"/>
        </w:rPr>
      </w:pPr>
      <w:r w:rsidRPr="002F1917">
        <w:rPr>
          <w:rFonts w:ascii="Calibri" w:hAnsi="Calibri" w:cs="Calibri"/>
          <w:szCs w:val="20"/>
        </w:rPr>
        <w:t>Are there any forthcoming changes to the base case which would impact on the ASWS?</w:t>
      </w:r>
    </w:p>
    <w:p w14:paraId="26FF8A90" w14:textId="77777777" w:rsidR="00870C3F" w:rsidRPr="002F1917" w:rsidRDefault="00870C3F" w:rsidP="00870C3F">
      <w:pPr>
        <w:spacing w:before="0" w:line="240" w:lineRule="auto"/>
        <w:rPr>
          <w:rFonts w:ascii="Calibri" w:hAnsi="Calibri" w:cs="Calibri"/>
          <w:szCs w:val="24"/>
          <w:lang w:val="en-US" w:eastAsia="en-AU"/>
        </w:rPr>
      </w:pPr>
      <w:r w:rsidRPr="002F1917">
        <w:rPr>
          <w:rFonts w:ascii="Calibri" w:hAnsi="Calibri" w:cs="Calibri"/>
          <w:lang w:val="en-US" w:eastAsia="en-AU"/>
        </w:rPr>
        <w:br w:type="page"/>
      </w:r>
    </w:p>
    <w:p w14:paraId="34738FA1" w14:textId="77777777" w:rsidR="00870C3F" w:rsidRPr="002F1917" w:rsidRDefault="00870C3F" w:rsidP="00204AA1">
      <w:pPr>
        <w:pStyle w:val="Heading1"/>
        <w:numPr>
          <w:ilvl w:val="0"/>
          <w:numId w:val="26"/>
        </w:numPr>
        <w:suppressAutoHyphens w:val="0"/>
        <w:spacing w:before="480" w:after="360" w:line="240" w:lineRule="auto"/>
        <w:rPr>
          <w:rFonts w:ascii="Calibri" w:hAnsi="Calibri" w:cs="Calibri"/>
          <w:lang w:val="en-US" w:eastAsia="en-AU"/>
        </w:rPr>
      </w:pPr>
      <w:bookmarkStart w:id="81" w:name="_Ref79408782"/>
      <w:bookmarkStart w:id="82" w:name="_Toc85450757"/>
      <w:bookmarkStart w:id="83" w:name="_Toc85792412"/>
      <w:r w:rsidRPr="002F1917">
        <w:rPr>
          <w:rFonts w:ascii="Calibri" w:hAnsi="Calibri" w:cs="Calibri"/>
        </w:rPr>
        <w:lastRenderedPageBreak/>
        <w:t>What is the problem?</w:t>
      </w:r>
      <w:bookmarkEnd w:id="81"/>
      <w:bookmarkEnd w:id="82"/>
      <w:bookmarkEnd w:id="83"/>
    </w:p>
    <w:p w14:paraId="5059DABF" w14:textId="1BF6ECF2" w:rsidR="00870C3F" w:rsidRPr="002F1917" w:rsidRDefault="00512F27" w:rsidP="00204AA1">
      <w:pPr>
        <w:pStyle w:val="Heading2"/>
        <w:numPr>
          <w:ilvl w:val="1"/>
          <w:numId w:val="26"/>
        </w:numPr>
        <w:suppressAutoHyphens w:val="0"/>
        <w:spacing w:after="120" w:line="280" w:lineRule="auto"/>
        <w:rPr>
          <w:rFonts w:ascii="Calibri" w:hAnsi="Calibri" w:cs="Calibri"/>
          <w:sz w:val="26"/>
          <w:lang w:eastAsia="en-AU"/>
        </w:rPr>
      </w:pPr>
      <w:bookmarkStart w:id="84" w:name="_Toc85450758"/>
      <w:r w:rsidRPr="002F1917">
        <w:rPr>
          <w:rFonts w:ascii="Calibri" w:hAnsi="Calibri" w:cs="Calibri"/>
          <w:sz w:val="26"/>
          <w:lang w:eastAsia="en-AU"/>
        </w:rPr>
        <w:t xml:space="preserve"> </w:t>
      </w:r>
      <w:bookmarkStart w:id="85" w:name="_Toc85792413"/>
      <w:r w:rsidR="00870C3F" w:rsidRPr="002F1917">
        <w:rPr>
          <w:rFonts w:ascii="Calibri" w:hAnsi="Calibri" w:cs="Calibri"/>
          <w:sz w:val="26"/>
          <w:lang w:eastAsia="en-AU"/>
        </w:rPr>
        <w:t>The issues with the current regulatory approach</w:t>
      </w:r>
      <w:bookmarkEnd w:id="84"/>
      <w:bookmarkEnd w:id="85"/>
    </w:p>
    <w:p w14:paraId="2229A143" w14:textId="77777777" w:rsidR="00870C3F" w:rsidRPr="002F1917" w:rsidRDefault="00870C3F" w:rsidP="00870C3F">
      <w:pPr>
        <w:rPr>
          <w:rFonts w:ascii="Calibri" w:hAnsi="Calibri" w:cs="Calibri"/>
          <w:sz w:val="20"/>
          <w:szCs w:val="20"/>
        </w:rPr>
      </w:pPr>
      <w:r w:rsidRPr="002F1917">
        <w:rPr>
          <w:rFonts w:ascii="Calibri" w:hAnsi="Calibri" w:cs="Calibri"/>
          <w:sz w:val="20"/>
          <w:szCs w:val="20"/>
        </w:rPr>
        <w:t>As noted in Section 1, before recommending regulation or changes to existing regulations, we must identify a clear policy problem we think regulation can solve.</w:t>
      </w:r>
      <w:r w:rsidRPr="002F1917">
        <w:rPr>
          <w:rFonts w:ascii="Calibri" w:hAnsi="Calibri" w:cs="Calibri"/>
        </w:rPr>
        <w:t xml:space="preserve"> </w:t>
      </w:r>
      <w:r w:rsidRPr="002F1917">
        <w:rPr>
          <w:rFonts w:ascii="Calibri" w:hAnsi="Calibri" w:cs="Calibri"/>
          <w:sz w:val="20"/>
          <w:szCs w:val="20"/>
        </w:rPr>
        <w:t xml:space="preserve">The issues with the current regulatory framework can be linked back to a single point: the volume of sports wagering has greatly increased over time while the regulatory framework has stayed largely the same. </w:t>
      </w:r>
    </w:p>
    <w:p w14:paraId="321C52F2" w14:textId="4282678A" w:rsidR="00870C3F" w:rsidRPr="002F1917" w:rsidRDefault="00870C3F" w:rsidP="00870C3F">
      <w:pPr>
        <w:rPr>
          <w:rFonts w:ascii="Calibri" w:hAnsi="Calibri" w:cs="Calibri"/>
          <w:sz w:val="20"/>
          <w:szCs w:val="20"/>
        </w:rPr>
      </w:pPr>
      <w:r w:rsidRPr="002F1917">
        <w:rPr>
          <w:rFonts w:ascii="Calibri" w:hAnsi="Calibri" w:cs="Calibri"/>
          <w:sz w:val="20"/>
          <w:szCs w:val="20"/>
        </w:rPr>
        <w:t xml:space="preserve">Sports wagering has seen an increase in the number of contingencies offered by wagering providers and increase in total value wagered on sporting events. By means of illustration, in 2001-02 Australian sports betting turnover was $90 per capita, this increased to $567 per capita in 2018-19 – this ramp up over time is shown in </w:t>
      </w:r>
      <w:r w:rsidRPr="002F1917">
        <w:rPr>
          <w:rFonts w:ascii="Calibri" w:hAnsi="Calibri" w:cs="Calibri"/>
          <w:sz w:val="20"/>
          <w:szCs w:val="20"/>
        </w:rPr>
        <w:fldChar w:fldCharType="begin"/>
      </w:r>
      <w:r w:rsidRPr="002F1917">
        <w:rPr>
          <w:rFonts w:ascii="Calibri" w:hAnsi="Calibri" w:cs="Calibri"/>
          <w:sz w:val="20"/>
          <w:szCs w:val="20"/>
        </w:rPr>
        <w:instrText xml:space="preserve"> REF _Ref82180464 \h  \* MERGEFORMAT </w:instrText>
      </w:r>
      <w:r w:rsidRPr="002F1917">
        <w:rPr>
          <w:rFonts w:ascii="Calibri" w:hAnsi="Calibri" w:cs="Calibri"/>
          <w:sz w:val="20"/>
          <w:szCs w:val="20"/>
        </w:rPr>
      </w:r>
      <w:r w:rsidRPr="002F1917">
        <w:rPr>
          <w:rFonts w:ascii="Calibri" w:hAnsi="Calibri" w:cs="Calibri"/>
          <w:sz w:val="20"/>
          <w:szCs w:val="20"/>
        </w:rPr>
        <w:fldChar w:fldCharType="separate"/>
      </w:r>
      <w:r w:rsidRPr="002F1917">
        <w:rPr>
          <w:rFonts w:ascii="Calibri" w:hAnsi="Calibri" w:cs="Calibri"/>
          <w:sz w:val="20"/>
          <w:szCs w:val="20"/>
        </w:rPr>
        <w:t>Figure 2</w:t>
      </w:r>
      <w:r w:rsidRPr="002F1917">
        <w:rPr>
          <w:rFonts w:ascii="Calibri" w:hAnsi="Calibri" w:cs="Calibri"/>
          <w:sz w:val="20"/>
          <w:szCs w:val="20"/>
        </w:rPr>
        <w:fldChar w:fldCharType="end"/>
      </w:r>
      <w:r w:rsidRPr="002F1917">
        <w:rPr>
          <w:rFonts w:ascii="Calibri" w:hAnsi="Calibri" w:cs="Calibri"/>
          <w:sz w:val="20"/>
          <w:szCs w:val="20"/>
        </w:rPr>
        <w:t>.</w:t>
      </w:r>
      <w:r w:rsidRPr="002F1917">
        <w:rPr>
          <w:rFonts w:ascii="Calibri" w:hAnsi="Calibri" w:cs="Calibri"/>
          <w:sz w:val="20"/>
          <w:szCs w:val="20"/>
          <w:vertAlign w:val="superscript"/>
        </w:rPr>
        <w:footnoteReference w:id="10"/>
      </w:r>
      <w:r w:rsidRPr="002F1917">
        <w:rPr>
          <w:rFonts w:ascii="Calibri" w:hAnsi="Calibri" w:cs="Calibri"/>
          <w:sz w:val="20"/>
          <w:szCs w:val="20"/>
          <w:vertAlign w:val="superscript"/>
        </w:rPr>
        <w:t xml:space="preserve"> </w:t>
      </w:r>
      <w:r w:rsidRPr="002F1917">
        <w:rPr>
          <w:rFonts w:ascii="Calibri" w:hAnsi="Calibri" w:cs="Calibri"/>
          <w:sz w:val="20"/>
          <w:szCs w:val="20"/>
        </w:rPr>
        <w:t xml:space="preserve">There has also been a blurring of the boundaries of sports wagering with wagering on e-sports and the ‘gamification’ of sports through products such as DraftKings. </w:t>
      </w:r>
    </w:p>
    <w:p w14:paraId="1FCB0212" w14:textId="77777777" w:rsidR="00512F27" w:rsidRPr="002F1917" w:rsidRDefault="00512F27" w:rsidP="00870C3F">
      <w:pPr>
        <w:rPr>
          <w:rFonts w:ascii="Calibri" w:hAnsi="Calibri" w:cs="Calibri"/>
          <w:sz w:val="20"/>
          <w:szCs w:val="20"/>
        </w:rPr>
      </w:pPr>
    </w:p>
    <w:p w14:paraId="03A6CBF5" w14:textId="77777777" w:rsidR="00870C3F" w:rsidRPr="009125F1" w:rsidRDefault="00870C3F" w:rsidP="009125F1">
      <w:pPr>
        <w:rPr>
          <w:rFonts w:ascii="Calibri" w:hAnsi="Calibri" w:cs="Calibri"/>
          <w:noProof/>
          <w:sz w:val="24"/>
          <w:szCs w:val="24"/>
        </w:rPr>
      </w:pPr>
      <w:bookmarkStart w:id="86" w:name="_Ref82180464"/>
      <w:r w:rsidRPr="009125F1">
        <w:rPr>
          <w:rFonts w:ascii="Calibri" w:hAnsi="Calibri" w:cs="Calibri"/>
          <w:sz w:val="20"/>
          <w:szCs w:val="20"/>
        </w:rPr>
        <w:t xml:space="preserve">Figure </w:t>
      </w:r>
      <w:r w:rsidRPr="009125F1">
        <w:rPr>
          <w:rFonts w:ascii="Calibri" w:hAnsi="Calibri" w:cs="Calibri"/>
          <w:sz w:val="20"/>
          <w:szCs w:val="20"/>
        </w:rPr>
        <w:fldChar w:fldCharType="begin"/>
      </w:r>
      <w:r w:rsidRPr="009125F1">
        <w:rPr>
          <w:rFonts w:ascii="Calibri" w:hAnsi="Calibri" w:cs="Calibri"/>
          <w:sz w:val="20"/>
          <w:szCs w:val="20"/>
        </w:rPr>
        <w:instrText xml:space="preserve"> SEQ Figure \* ARABIC </w:instrText>
      </w:r>
      <w:r w:rsidRPr="009125F1">
        <w:rPr>
          <w:rFonts w:ascii="Calibri" w:hAnsi="Calibri" w:cs="Calibri"/>
          <w:sz w:val="20"/>
          <w:szCs w:val="20"/>
        </w:rPr>
        <w:fldChar w:fldCharType="separate"/>
      </w:r>
      <w:r w:rsidRPr="009125F1">
        <w:rPr>
          <w:rFonts w:ascii="Calibri" w:hAnsi="Calibri" w:cs="Calibri"/>
          <w:noProof/>
          <w:sz w:val="20"/>
          <w:szCs w:val="20"/>
        </w:rPr>
        <w:t>2</w:t>
      </w:r>
      <w:r w:rsidRPr="009125F1">
        <w:rPr>
          <w:rFonts w:ascii="Calibri" w:hAnsi="Calibri" w:cs="Calibri"/>
          <w:sz w:val="20"/>
          <w:szCs w:val="20"/>
        </w:rPr>
        <w:fldChar w:fldCharType="end"/>
      </w:r>
      <w:bookmarkEnd w:id="86"/>
      <w:r w:rsidRPr="009125F1">
        <w:rPr>
          <w:rFonts w:ascii="Calibri" w:hAnsi="Calibri" w:cs="Calibri"/>
          <w:sz w:val="20"/>
          <w:szCs w:val="20"/>
        </w:rPr>
        <w:t xml:space="preserve">: Per capita total </w:t>
      </w:r>
      <w:proofErr w:type="spellStart"/>
      <w:r w:rsidRPr="009125F1">
        <w:rPr>
          <w:rFonts w:ascii="Calibri" w:hAnsi="Calibri" w:cs="Calibri"/>
          <w:sz w:val="20"/>
          <w:szCs w:val="20"/>
        </w:rPr>
        <w:t>sportsbetting</w:t>
      </w:r>
      <w:proofErr w:type="spellEnd"/>
      <w:r w:rsidRPr="009125F1">
        <w:rPr>
          <w:rFonts w:ascii="Calibri" w:hAnsi="Calibri" w:cs="Calibri"/>
          <w:sz w:val="20"/>
          <w:szCs w:val="20"/>
        </w:rPr>
        <w:t xml:space="preserve"> turnover 2001-02 to 2018-19</w:t>
      </w:r>
    </w:p>
    <w:p w14:paraId="30EB38C4" w14:textId="0429C778" w:rsidR="00870C3F" w:rsidRPr="002F1917" w:rsidRDefault="00870C3F" w:rsidP="00870C3F">
      <w:pPr>
        <w:rPr>
          <w:rFonts w:ascii="Calibri" w:hAnsi="Calibri" w:cs="Calibri"/>
          <w:sz w:val="20"/>
          <w:szCs w:val="20"/>
        </w:rPr>
      </w:pPr>
      <w:r w:rsidRPr="002F1917">
        <w:rPr>
          <w:rFonts w:ascii="Calibri" w:hAnsi="Calibri" w:cs="Calibri"/>
          <w:noProof/>
          <w:sz w:val="20"/>
          <w:szCs w:val="20"/>
          <w:lang w:eastAsia="en-AU"/>
        </w:rPr>
        <w:drawing>
          <wp:inline distT="0" distB="0" distL="0" distR="0" wp14:anchorId="6A5E11B6" wp14:editId="050F2D80">
            <wp:extent cx="5553075" cy="3224530"/>
            <wp:effectExtent l="0" t="0" r="9525" b="0"/>
            <wp:docPr id="9" name="Picture 9"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53075" cy="3224530"/>
                    </a:xfrm>
                    <a:prstGeom prst="rect">
                      <a:avLst/>
                    </a:prstGeom>
                    <a:noFill/>
                    <a:ln>
                      <a:noFill/>
                    </a:ln>
                  </pic:spPr>
                </pic:pic>
              </a:graphicData>
            </a:graphic>
          </wp:inline>
        </w:drawing>
      </w:r>
    </w:p>
    <w:p w14:paraId="4AED8AF9" w14:textId="77777777" w:rsidR="00870C3F" w:rsidRPr="002F1917" w:rsidRDefault="00870C3F" w:rsidP="00870C3F">
      <w:pPr>
        <w:rPr>
          <w:rFonts w:ascii="Calibri" w:hAnsi="Calibri" w:cs="Calibri"/>
          <w:i/>
          <w:sz w:val="20"/>
          <w:szCs w:val="20"/>
        </w:rPr>
      </w:pPr>
      <w:r w:rsidRPr="002F1917">
        <w:rPr>
          <w:rFonts w:ascii="Calibri" w:hAnsi="Calibri" w:cs="Calibri"/>
          <w:i/>
          <w:sz w:val="20"/>
          <w:szCs w:val="20"/>
        </w:rPr>
        <w:t>Source: Graph by Frontier Economics based on Queensland Government Statistician's Office (2021), Australian Gambling Statistics, product table 2018-19</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284" w:type="dxa"/>
          <w:right w:w="284" w:type="dxa"/>
        </w:tblCellMar>
        <w:tblLook w:val="04A0" w:firstRow="1" w:lastRow="0" w:firstColumn="1" w:lastColumn="0" w:noHBand="0" w:noVBand="1"/>
      </w:tblPr>
      <w:tblGrid>
        <w:gridCol w:w="9064"/>
      </w:tblGrid>
      <w:tr w:rsidR="00870C3F" w:rsidRPr="002F1917" w14:paraId="185E0C5F" w14:textId="77777777" w:rsidTr="00870C3F">
        <w:trPr>
          <w:trHeight w:val="284"/>
          <w:jc w:val="center"/>
        </w:trPr>
        <w:tc>
          <w:tcPr>
            <w:tcW w:w="9350" w:type="dxa"/>
            <w:shd w:val="clear" w:color="auto" w:fill="F2F2F2" w:themeFill="background1" w:themeFillShade="F2"/>
            <w:vAlign w:val="bottom"/>
          </w:tcPr>
          <w:p w14:paraId="15F94F25" w14:textId="77777777" w:rsidR="00870C3F" w:rsidRPr="002F1917" w:rsidRDefault="00870C3F">
            <w:pPr>
              <w:pStyle w:val="CalloutBoxcaption"/>
              <w:keepNext/>
              <w:numPr>
                <w:ilvl w:val="0"/>
                <w:numId w:val="0"/>
              </w:numPr>
              <w:rPr>
                <w:rFonts w:ascii="Calibri" w:hAnsi="Calibri" w:cs="Calibri"/>
              </w:rPr>
            </w:pPr>
          </w:p>
        </w:tc>
      </w:tr>
      <w:tr w:rsidR="00870C3F" w:rsidRPr="002F1917" w14:paraId="349EBEF5" w14:textId="77777777" w:rsidTr="00870C3F">
        <w:trPr>
          <w:jc w:val="center"/>
        </w:trPr>
        <w:tc>
          <w:tcPr>
            <w:tcW w:w="9350" w:type="dxa"/>
            <w:shd w:val="clear" w:color="auto" w:fill="F2F2F2" w:themeFill="background1" w:themeFillShade="F2"/>
            <w:vAlign w:val="bottom"/>
            <w:hideMark/>
          </w:tcPr>
          <w:p w14:paraId="6B0D4863" w14:textId="77777777" w:rsidR="00870C3F" w:rsidRPr="002F1917" w:rsidRDefault="00870C3F">
            <w:pPr>
              <w:pStyle w:val="CalloutBoxcaption"/>
              <w:keepNext/>
              <w:tabs>
                <w:tab w:val="num" w:pos="360"/>
              </w:tabs>
              <w:rPr>
                <w:rFonts w:ascii="Calibri" w:hAnsi="Calibri" w:cs="Calibri"/>
              </w:rPr>
            </w:pPr>
            <w:r w:rsidRPr="002F1917">
              <w:rPr>
                <w:rFonts w:ascii="Calibri" w:hAnsi="Calibri" w:cs="Calibri"/>
              </w:rPr>
              <w:t>Case study - Former Australian table tennis player charged for betting on fixed matches</w:t>
            </w:r>
          </w:p>
          <w:p w14:paraId="779F00C9" w14:textId="2E18C2BB" w:rsidR="00870C3F" w:rsidRPr="002F1917" w:rsidRDefault="00870C3F">
            <w:pPr>
              <w:pStyle w:val="CalloutBoxcaption"/>
              <w:numPr>
                <w:ilvl w:val="0"/>
                <w:numId w:val="0"/>
              </w:numPr>
              <w:rPr>
                <w:rFonts w:ascii="Calibri" w:eastAsia="Times New Roman" w:hAnsi="Calibri" w:cs="Calibri"/>
              </w:rPr>
            </w:pPr>
            <w:r w:rsidRPr="002F1917">
              <w:rPr>
                <w:rFonts w:ascii="Calibri" w:eastAsia="Times New Roman" w:hAnsi="Calibri" w:cs="Calibri"/>
              </w:rPr>
              <w:t xml:space="preserve">While </w:t>
            </w:r>
            <w:proofErr w:type="gramStart"/>
            <w:r w:rsidRPr="002F1917">
              <w:rPr>
                <w:rFonts w:ascii="Calibri" w:eastAsia="Times New Roman" w:hAnsi="Calibri" w:cs="Calibri"/>
              </w:rPr>
              <w:t>the majority of</w:t>
            </w:r>
            <w:proofErr w:type="gramEnd"/>
            <w:r w:rsidRPr="002F1917">
              <w:rPr>
                <w:rFonts w:ascii="Calibri" w:eastAsia="Times New Roman" w:hAnsi="Calibri" w:cs="Calibri"/>
              </w:rPr>
              <w:t xml:space="preserve"> sporting competitions around the world were suspended early in the COVID-19 pandemic, there was a small number that continued. </w:t>
            </w:r>
            <w:proofErr w:type="gramStart"/>
            <w:r w:rsidRPr="002F1917">
              <w:rPr>
                <w:rFonts w:ascii="Calibri" w:eastAsia="Times New Roman" w:hAnsi="Calibri" w:cs="Calibri"/>
              </w:rPr>
              <w:t>In particular, there</w:t>
            </w:r>
            <w:proofErr w:type="gramEnd"/>
            <w:r w:rsidRPr="002F1917">
              <w:rPr>
                <w:rFonts w:ascii="Calibri" w:eastAsia="Times New Roman" w:hAnsi="Calibri" w:cs="Calibri"/>
              </w:rPr>
              <w:t xml:space="preserve"> was a large number </w:t>
            </w:r>
            <w:r w:rsidR="00775D07">
              <w:rPr>
                <w:rFonts w:ascii="Calibri" w:eastAsia="Times New Roman" w:hAnsi="Calibri" w:cs="Calibri"/>
              </w:rPr>
              <w:t xml:space="preserve">of </w:t>
            </w:r>
            <w:r w:rsidRPr="002F1917">
              <w:rPr>
                <w:rFonts w:ascii="Calibri" w:eastAsia="Times New Roman" w:hAnsi="Calibri" w:cs="Calibri"/>
              </w:rPr>
              <w:t>table tennis tournaments held in the Ukraine. These tournaments attracted significant betting interest across the world due to the lack of other events to bet on.</w:t>
            </w:r>
          </w:p>
          <w:p w14:paraId="29EE24EB" w14:textId="77777777" w:rsidR="00870C3F" w:rsidRPr="002F1917" w:rsidRDefault="00870C3F">
            <w:pPr>
              <w:pStyle w:val="CalloutBoxcaption"/>
              <w:numPr>
                <w:ilvl w:val="0"/>
                <w:numId w:val="0"/>
              </w:numPr>
              <w:rPr>
                <w:rFonts w:ascii="Calibri" w:eastAsia="Times New Roman" w:hAnsi="Calibri" w:cs="Calibri"/>
              </w:rPr>
            </w:pPr>
            <w:r w:rsidRPr="002F1917">
              <w:rPr>
                <w:rFonts w:ascii="Calibri" w:eastAsia="Times New Roman" w:hAnsi="Calibri" w:cs="Calibri"/>
              </w:rPr>
              <w:t xml:space="preserve">Australian wagering providers detected unusual patterns of gambling on these matches along Australia’s east coast through their analysis of bets that were being placed. It revealed that certain bettors were consistently winning in a way that defied statistical averages. The NSW State Crime Command’s Organised Crime Squad, with assistance from </w:t>
            </w:r>
            <w:bookmarkStart w:id="87" w:name="_Hlk81205992"/>
            <w:r w:rsidRPr="002F1917">
              <w:rPr>
                <w:rFonts w:ascii="Calibri" w:eastAsia="Times New Roman" w:hAnsi="Calibri" w:cs="Calibri"/>
              </w:rPr>
              <w:t>Sport Integrity Australia</w:t>
            </w:r>
            <w:bookmarkEnd w:id="87"/>
            <w:r w:rsidRPr="002F1917">
              <w:rPr>
                <w:rFonts w:ascii="Calibri" w:eastAsia="Times New Roman" w:hAnsi="Calibri" w:cs="Calibri"/>
              </w:rPr>
              <w:t xml:space="preserve">, established Strike Force </w:t>
            </w:r>
            <w:proofErr w:type="spellStart"/>
            <w:r w:rsidRPr="002F1917">
              <w:rPr>
                <w:rFonts w:ascii="Calibri" w:eastAsia="Times New Roman" w:hAnsi="Calibri" w:cs="Calibri"/>
              </w:rPr>
              <w:t>Brombal</w:t>
            </w:r>
            <w:proofErr w:type="spellEnd"/>
            <w:r w:rsidRPr="002F1917">
              <w:rPr>
                <w:rFonts w:ascii="Calibri" w:eastAsia="Times New Roman" w:hAnsi="Calibri" w:cs="Calibri"/>
              </w:rPr>
              <w:t xml:space="preserve"> to investigate a transnational gambling syndicate allegedly placing corrupt bets on international table tennis tournaments. </w:t>
            </w:r>
          </w:p>
          <w:p w14:paraId="300B15A0" w14:textId="77777777" w:rsidR="00870C3F" w:rsidRPr="002F1917" w:rsidRDefault="00870C3F">
            <w:pPr>
              <w:pStyle w:val="CalloutBoxcaption"/>
              <w:numPr>
                <w:ilvl w:val="0"/>
                <w:numId w:val="0"/>
              </w:numPr>
              <w:rPr>
                <w:rFonts w:ascii="Calibri" w:eastAsia="Times New Roman" w:hAnsi="Calibri" w:cs="Calibri"/>
              </w:rPr>
            </w:pPr>
            <w:r w:rsidRPr="002F1917">
              <w:rPr>
                <w:rFonts w:ascii="Calibri" w:eastAsia="Times New Roman" w:hAnsi="Calibri" w:cs="Calibri"/>
              </w:rPr>
              <w:t xml:space="preserve">NSW Police Force Detectives executed search warrants on </w:t>
            </w:r>
            <w:proofErr w:type="gramStart"/>
            <w:r w:rsidRPr="002F1917">
              <w:rPr>
                <w:rFonts w:ascii="Calibri" w:eastAsia="Times New Roman" w:hAnsi="Calibri" w:cs="Calibri"/>
              </w:rPr>
              <w:t>a number of</w:t>
            </w:r>
            <w:proofErr w:type="gramEnd"/>
            <w:r w:rsidRPr="002F1917">
              <w:rPr>
                <w:rFonts w:ascii="Calibri" w:eastAsia="Times New Roman" w:hAnsi="Calibri" w:cs="Calibri"/>
              </w:rPr>
              <w:t xml:space="preserve"> properties linked to former Australian table tennis player, Adam Green. Mr Green was subsequently charged with using corrupt information to bet on table tennis matches, profiting from the proceeds of crime, and providing corrupt information to two other people. </w:t>
            </w:r>
          </w:p>
          <w:p w14:paraId="34497531" w14:textId="77777777" w:rsidR="00870C3F" w:rsidRPr="002F1917" w:rsidRDefault="00870C3F">
            <w:pPr>
              <w:pStyle w:val="CalloutBoxcaption"/>
              <w:numPr>
                <w:ilvl w:val="0"/>
                <w:numId w:val="0"/>
              </w:numPr>
              <w:rPr>
                <w:rFonts w:ascii="Calibri" w:eastAsia="Times New Roman" w:hAnsi="Calibri" w:cs="Calibri"/>
              </w:rPr>
            </w:pPr>
            <w:r w:rsidRPr="002F1917">
              <w:rPr>
                <w:rFonts w:ascii="Calibri" w:eastAsia="Times New Roman" w:hAnsi="Calibri" w:cs="Calibri"/>
              </w:rPr>
              <w:t>A media article reported that at a preliminary hearing at a Newcastle court, it was alleged that Mr Green placed 1,170 bets on table tennis matches he knew to be fixed, generating profits of $438,000.</w:t>
            </w:r>
          </w:p>
          <w:p w14:paraId="01219905" w14:textId="77777777" w:rsidR="00870C3F" w:rsidRPr="002F1917" w:rsidRDefault="00870C3F">
            <w:pPr>
              <w:pStyle w:val="CalloutBoxcaption"/>
              <w:numPr>
                <w:ilvl w:val="0"/>
                <w:numId w:val="0"/>
              </w:numPr>
              <w:rPr>
                <w:rFonts w:ascii="Calibri" w:eastAsia="Times New Roman" w:hAnsi="Calibri" w:cs="Calibri"/>
              </w:rPr>
            </w:pPr>
            <w:r w:rsidRPr="002F1917">
              <w:rPr>
                <w:rFonts w:ascii="Calibri" w:eastAsia="Times New Roman" w:hAnsi="Calibri" w:cs="Calibri"/>
              </w:rPr>
              <w:t xml:space="preserve">The outcome of the criminal case is yet to be finalised. </w:t>
            </w:r>
          </w:p>
          <w:p w14:paraId="00F7FB7C" w14:textId="77777777" w:rsidR="00870C3F" w:rsidRPr="002F1917" w:rsidRDefault="00870C3F">
            <w:pPr>
              <w:pStyle w:val="CalloutBoxcaption"/>
              <w:numPr>
                <w:ilvl w:val="0"/>
                <w:numId w:val="0"/>
              </w:numPr>
              <w:rPr>
                <w:rFonts w:ascii="Calibri" w:eastAsia="Times New Roman" w:hAnsi="Calibri" w:cs="Calibri"/>
                <w:b/>
              </w:rPr>
            </w:pPr>
            <w:r w:rsidRPr="002F1917">
              <w:rPr>
                <w:rFonts w:ascii="Calibri" w:eastAsia="Times New Roman" w:hAnsi="Calibri" w:cs="Calibri"/>
                <w:b/>
              </w:rPr>
              <w:t>This case illustrates how quickly sport integrity risks can change and the need for a coordinated regulatory approach for identifying and investigating sport integrity threats.</w:t>
            </w:r>
          </w:p>
          <w:p w14:paraId="44776D09" w14:textId="77777777" w:rsidR="00870C3F" w:rsidRPr="002F1917" w:rsidRDefault="00870C3F">
            <w:pPr>
              <w:pStyle w:val="CalloutBoxcaption"/>
              <w:numPr>
                <w:ilvl w:val="0"/>
                <w:numId w:val="0"/>
              </w:numPr>
              <w:rPr>
                <w:rFonts w:ascii="Calibri" w:hAnsi="Calibri" w:cs="Calibri"/>
                <w:i/>
                <w:sz w:val="16"/>
                <w:szCs w:val="16"/>
              </w:rPr>
            </w:pPr>
            <w:r w:rsidRPr="002F10D2">
              <w:rPr>
                <w:rFonts w:ascii="Calibri" w:hAnsi="Calibri" w:cs="Calibri"/>
                <w:i/>
                <w:color w:val="000000" w:themeColor="text1"/>
                <w:sz w:val="16"/>
                <w:szCs w:val="16"/>
              </w:rPr>
              <w:t>Source: Sport Integrity Australia case study</w:t>
            </w:r>
          </w:p>
        </w:tc>
      </w:tr>
      <w:tr w:rsidR="00870C3F" w:rsidRPr="002F1917" w14:paraId="1B60DAB0" w14:textId="77777777" w:rsidTr="00870C3F">
        <w:trPr>
          <w:trHeight w:val="284"/>
          <w:jc w:val="center"/>
        </w:trPr>
        <w:tc>
          <w:tcPr>
            <w:tcW w:w="9350" w:type="dxa"/>
            <w:shd w:val="clear" w:color="auto" w:fill="F2F2F2" w:themeFill="background1" w:themeFillShade="F2"/>
            <w:vAlign w:val="bottom"/>
          </w:tcPr>
          <w:p w14:paraId="49108F93" w14:textId="77777777" w:rsidR="00870C3F" w:rsidRPr="002F1917" w:rsidRDefault="00870C3F">
            <w:pPr>
              <w:pStyle w:val="CalloutBoxcaption"/>
              <w:numPr>
                <w:ilvl w:val="0"/>
                <w:numId w:val="0"/>
              </w:numPr>
              <w:rPr>
                <w:rFonts w:ascii="Calibri" w:hAnsi="Calibri" w:cs="Calibri"/>
              </w:rPr>
            </w:pPr>
          </w:p>
        </w:tc>
      </w:tr>
    </w:tbl>
    <w:p w14:paraId="6DB25512" w14:textId="77777777" w:rsidR="00870C3F" w:rsidRPr="002F1917" w:rsidRDefault="00870C3F" w:rsidP="00870C3F">
      <w:pPr>
        <w:rPr>
          <w:rFonts w:ascii="Calibri" w:eastAsia="Times New Roman" w:hAnsi="Calibri" w:cs="Calibri"/>
          <w:sz w:val="20"/>
          <w:szCs w:val="20"/>
        </w:rPr>
      </w:pPr>
      <w:r w:rsidRPr="002F1917">
        <w:rPr>
          <w:rFonts w:ascii="Calibri" w:hAnsi="Calibri" w:cs="Calibri"/>
          <w:sz w:val="20"/>
          <w:szCs w:val="20"/>
        </w:rPr>
        <w:t xml:space="preserve">As outlined in Section </w:t>
      </w:r>
      <w:r w:rsidRPr="002F1917">
        <w:rPr>
          <w:rFonts w:ascii="Calibri" w:hAnsi="Calibri" w:cs="Calibri"/>
          <w:sz w:val="20"/>
          <w:szCs w:val="20"/>
        </w:rPr>
        <w:fldChar w:fldCharType="begin"/>
      </w:r>
      <w:r w:rsidRPr="002F1917">
        <w:rPr>
          <w:rFonts w:ascii="Calibri" w:hAnsi="Calibri" w:cs="Calibri"/>
          <w:sz w:val="20"/>
          <w:szCs w:val="20"/>
        </w:rPr>
        <w:instrText xml:space="preserve"> REF _Ref79406116 \r \h  \* MERGEFORMAT </w:instrText>
      </w:r>
      <w:r w:rsidRPr="002F1917">
        <w:rPr>
          <w:rFonts w:ascii="Calibri" w:hAnsi="Calibri" w:cs="Calibri"/>
          <w:sz w:val="20"/>
          <w:szCs w:val="20"/>
        </w:rPr>
      </w:r>
      <w:r w:rsidRPr="002F1917">
        <w:rPr>
          <w:rFonts w:ascii="Calibri" w:hAnsi="Calibri" w:cs="Calibri"/>
          <w:sz w:val="20"/>
          <w:szCs w:val="20"/>
        </w:rPr>
        <w:fldChar w:fldCharType="separate"/>
      </w:r>
      <w:r w:rsidRPr="002F1917">
        <w:rPr>
          <w:rFonts w:ascii="Calibri" w:hAnsi="Calibri" w:cs="Calibri"/>
          <w:sz w:val="20"/>
          <w:szCs w:val="20"/>
        </w:rPr>
        <w:t>2</w:t>
      </w:r>
      <w:r w:rsidRPr="002F1917">
        <w:rPr>
          <w:rFonts w:ascii="Calibri" w:hAnsi="Calibri" w:cs="Calibri"/>
          <w:sz w:val="20"/>
          <w:szCs w:val="20"/>
        </w:rPr>
        <w:fldChar w:fldCharType="end"/>
      </w:r>
      <w:r w:rsidRPr="002F1917">
        <w:rPr>
          <w:rFonts w:ascii="Calibri" w:hAnsi="Calibri" w:cs="Calibri"/>
          <w:sz w:val="20"/>
          <w:szCs w:val="20"/>
        </w:rPr>
        <w:t>, sports wagering is currently largely regulated by the states and territories. This current framework leads to the following issues and risks:</w:t>
      </w:r>
    </w:p>
    <w:p w14:paraId="6D768A26" w14:textId="77777777" w:rsidR="00870C3F" w:rsidRPr="002F1917" w:rsidRDefault="00870C3F" w:rsidP="00870C3F">
      <w:pPr>
        <w:pStyle w:val="ListBullet1"/>
        <w:rPr>
          <w:rFonts w:ascii="Calibri" w:hAnsi="Calibri" w:cs="Calibri"/>
        </w:rPr>
      </w:pPr>
      <w:r w:rsidRPr="002F1917">
        <w:rPr>
          <w:rFonts w:ascii="Calibri" w:hAnsi="Calibri" w:cs="Calibri"/>
        </w:rPr>
        <w:t xml:space="preserve">Inconsistencies, </w:t>
      </w:r>
      <w:proofErr w:type="gramStart"/>
      <w:r w:rsidRPr="002F1917">
        <w:rPr>
          <w:rFonts w:ascii="Calibri" w:hAnsi="Calibri" w:cs="Calibri"/>
        </w:rPr>
        <w:t>duplications</w:t>
      </w:r>
      <w:proofErr w:type="gramEnd"/>
      <w:r w:rsidRPr="002F1917">
        <w:rPr>
          <w:rFonts w:ascii="Calibri" w:hAnsi="Calibri" w:cs="Calibri"/>
        </w:rPr>
        <w:t xml:space="preserve"> and gaps in regulatory requirements</w:t>
      </w:r>
      <w:bookmarkStart w:id="88" w:name="_Hlk81206873"/>
    </w:p>
    <w:bookmarkEnd w:id="88"/>
    <w:p w14:paraId="779EC252" w14:textId="77777777" w:rsidR="00870C3F" w:rsidRPr="002F1917" w:rsidRDefault="00870C3F" w:rsidP="00870C3F">
      <w:pPr>
        <w:pStyle w:val="ListBullet1"/>
        <w:rPr>
          <w:rFonts w:ascii="Calibri" w:hAnsi="Calibri" w:cs="Calibri"/>
        </w:rPr>
      </w:pPr>
      <w:r w:rsidRPr="002F1917">
        <w:rPr>
          <w:rFonts w:ascii="Calibri" w:hAnsi="Calibri" w:cs="Calibri"/>
        </w:rPr>
        <w:t xml:space="preserve">Limitations to integrity risk identification </w:t>
      </w:r>
    </w:p>
    <w:p w14:paraId="2091C0FF" w14:textId="77777777" w:rsidR="00870C3F" w:rsidRPr="002F1917" w:rsidRDefault="00870C3F" w:rsidP="00870C3F">
      <w:pPr>
        <w:pStyle w:val="ListBullet1"/>
        <w:rPr>
          <w:rFonts w:ascii="Calibri" w:hAnsi="Calibri" w:cs="Calibri"/>
        </w:rPr>
      </w:pPr>
      <w:r w:rsidRPr="002F1917">
        <w:rPr>
          <w:rFonts w:ascii="Calibri" w:hAnsi="Calibri" w:cs="Calibri"/>
        </w:rPr>
        <w:t xml:space="preserve">Lack of formal framework for funding of integrity </w:t>
      </w:r>
    </w:p>
    <w:p w14:paraId="12A5BE32" w14:textId="77777777" w:rsidR="00870C3F" w:rsidRPr="002F1917" w:rsidRDefault="00870C3F" w:rsidP="00870C3F">
      <w:pPr>
        <w:pStyle w:val="ListBullet1"/>
        <w:rPr>
          <w:rFonts w:ascii="Calibri" w:hAnsi="Calibri" w:cs="Calibri"/>
        </w:rPr>
      </w:pPr>
      <w:r w:rsidRPr="002F1917">
        <w:rPr>
          <w:rFonts w:ascii="Calibri" w:hAnsi="Calibri" w:cs="Calibri"/>
        </w:rPr>
        <w:t>Risk ultimately borne by the sports.</w:t>
      </w:r>
    </w:p>
    <w:p w14:paraId="7B7E498B" w14:textId="5CD5C638" w:rsidR="00870C3F" w:rsidRPr="002F1917" w:rsidRDefault="00870C3F" w:rsidP="00870C3F">
      <w:pPr>
        <w:rPr>
          <w:rFonts w:ascii="Calibri" w:hAnsi="Calibri" w:cs="Calibri"/>
          <w:sz w:val="20"/>
          <w:szCs w:val="20"/>
        </w:rPr>
      </w:pPr>
      <w:r w:rsidRPr="002F1917">
        <w:rPr>
          <w:rFonts w:ascii="Calibri" w:hAnsi="Calibri" w:cs="Calibri"/>
          <w:sz w:val="20"/>
          <w:szCs w:val="20"/>
        </w:rPr>
        <w:t xml:space="preserve">These are discussed in more detail in sub-sections </w:t>
      </w:r>
      <w:r w:rsidRPr="002F1917">
        <w:rPr>
          <w:rFonts w:ascii="Calibri" w:hAnsi="Calibri" w:cs="Calibri"/>
          <w:sz w:val="20"/>
          <w:szCs w:val="20"/>
        </w:rPr>
        <w:fldChar w:fldCharType="begin"/>
      </w:r>
      <w:r w:rsidRPr="002F1917">
        <w:rPr>
          <w:rFonts w:ascii="Calibri" w:hAnsi="Calibri" w:cs="Calibri"/>
          <w:sz w:val="20"/>
          <w:szCs w:val="20"/>
        </w:rPr>
        <w:instrText xml:space="preserve"> REF _Ref81207245 \r \h </w:instrText>
      </w:r>
      <w:r w:rsidR="002F1917">
        <w:rPr>
          <w:rFonts w:ascii="Calibri" w:hAnsi="Calibri" w:cs="Calibri"/>
          <w:sz w:val="20"/>
          <w:szCs w:val="20"/>
        </w:rPr>
        <w:instrText xml:space="preserve"> \* MERGEFORMAT </w:instrText>
      </w:r>
      <w:r w:rsidRPr="002F1917">
        <w:rPr>
          <w:rFonts w:ascii="Calibri" w:hAnsi="Calibri" w:cs="Calibri"/>
          <w:sz w:val="20"/>
          <w:szCs w:val="20"/>
        </w:rPr>
      </w:r>
      <w:r w:rsidRPr="002F1917">
        <w:rPr>
          <w:rFonts w:ascii="Calibri" w:hAnsi="Calibri" w:cs="Calibri"/>
          <w:sz w:val="20"/>
          <w:szCs w:val="20"/>
        </w:rPr>
        <w:fldChar w:fldCharType="separate"/>
      </w:r>
      <w:r w:rsidRPr="002F1917">
        <w:rPr>
          <w:rFonts w:ascii="Calibri" w:hAnsi="Calibri" w:cs="Calibri"/>
          <w:sz w:val="20"/>
          <w:szCs w:val="20"/>
        </w:rPr>
        <w:t>3.2</w:t>
      </w:r>
      <w:r w:rsidRPr="002F1917">
        <w:rPr>
          <w:rFonts w:ascii="Calibri" w:hAnsi="Calibri" w:cs="Calibri"/>
          <w:sz w:val="20"/>
          <w:szCs w:val="20"/>
        </w:rPr>
        <w:fldChar w:fldCharType="end"/>
      </w:r>
      <w:r w:rsidRPr="002F1917">
        <w:rPr>
          <w:rFonts w:ascii="Calibri" w:hAnsi="Calibri" w:cs="Calibri"/>
          <w:sz w:val="20"/>
          <w:szCs w:val="20"/>
        </w:rPr>
        <w:t>-</w:t>
      </w:r>
      <w:r w:rsidRPr="002F1917">
        <w:rPr>
          <w:rFonts w:ascii="Calibri" w:hAnsi="Calibri" w:cs="Calibri"/>
          <w:sz w:val="20"/>
          <w:szCs w:val="20"/>
        </w:rPr>
        <w:fldChar w:fldCharType="begin"/>
      </w:r>
      <w:r w:rsidRPr="002F1917">
        <w:rPr>
          <w:rFonts w:ascii="Calibri" w:hAnsi="Calibri" w:cs="Calibri"/>
          <w:sz w:val="20"/>
          <w:szCs w:val="20"/>
        </w:rPr>
        <w:instrText xml:space="preserve"> REF _Ref81207251 \r \h </w:instrText>
      </w:r>
      <w:r w:rsidR="002F1917">
        <w:rPr>
          <w:rFonts w:ascii="Calibri" w:hAnsi="Calibri" w:cs="Calibri"/>
          <w:sz w:val="20"/>
          <w:szCs w:val="20"/>
        </w:rPr>
        <w:instrText xml:space="preserve"> \* MERGEFORMAT </w:instrText>
      </w:r>
      <w:r w:rsidRPr="002F1917">
        <w:rPr>
          <w:rFonts w:ascii="Calibri" w:hAnsi="Calibri" w:cs="Calibri"/>
          <w:sz w:val="20"/>
          <w:szCs w:val="20"/>
        </w:rPr>
      </w:r>
      <w:r w:rsidRPr="002F1917">
        <w:rPr>
          <w:rFonts w:ascii="Calibri" w:hAnsi="Calibri" w:cs="Calibri"/>
          <w:sz w:val="20"/>
          <w:szCs w:val="20"/>
        </w:rPr>
        <w:fldChar w:fldCharType="separate"/>
      </w:r>
      <w:r w:rsidRPr="002F1917">
        <w:rPr>
          <w:rFonts w:ascii="Calibri" w:hAnsi="Calibri" w:cs="Calibri"/>
          <w:sz w:val="20"/>
          <w:szCs w:val="20"/>
        </w:rPr>
        <w:t>3.5</w:t>
      </w:r>
      <w:r w:rsidRPr="002F1917">
        <w:rPr>
          <w:rFonts w:ascii="Calibri" w:hAnsi="Calibri" w:cs="Calibri"/>
          <w:sz w:val="20"/>
          <w:szCs w:val="20"/>
        </w:rPr>
        <w:fldChar w:fldCharType="end"/>
      </w:r>
      <w:r w:rsidRPr="002F1917">
        <w:rPr>
          <w:rFonts w:ascii="Calibri" w:hAnsi="Calibri" w:cs="Calibri"/>
          <w:sz w:val="20"/>
          <w:szCs w:val="20"/>
        </w:rPr>
        <w:t>.</w:t>
      </w:r>
    </w:p>
    <w:p w14:paraId="36D86158" w14:textId="6184E51C" w:rsidR="00870C3F" w:rsidRPr="002F1917" w:rsidRDefault="00870C3F" w:rsidP="00870C3F">
      <w:pPr>
        <w:rPr>
          <w:rFonts w:ascii="Calibri" w:hAnsi="Calibri" w:cs="Calibri"/>
          <w:sz w:val="20"/>
          <w:szCs w:val="20"/>
        </w:rPr>
      </w:pPr>
      <w:r w:rsidRPr="002F1917">
        <w:rPr>
          <w:rFonts w:ascii="Calibri" w:hAnsi="Calibri" w:cs="Calibri"/>
          <w:sz w:val="20"/>
          <w:szCs w:val="20"/>
        </w:rPr>
        <w:t xml:space="preserve">It is important to note that there isn’t evidence to suggest Australian sporting events have an integrity problem. Moreover, it is recognised that </w:t>
      </w:r>
      <w:proofErr w:type="gramStart"/>
      <w:r w:rsidRPr="002F1917">
        <w:rPr>
          <w:rFonts w:ascii="Calibri" w:hAnsi="Calibri" w:cs="Calibri"/>
          <w:sz w:val="20"/>
          <w:szCs w:val="20"/>
        </w:rPr>
        <w:t>a number of</w:t>
      </w:r>
      <w:proofErr w:type="gramEnd"/>
      <w:r w:rsidRPr="002F1917">
        <w:rPr>
          <w:rFonts w:ascii="Calibri" w:hAnsi="Calibri" w:cs="Calibri"/>
          <w:sz w:val="20"/>
          <w:szCs w:val="20"/>
        </w:rPr>
        <w:t xml:space="preserve"> sports and wagering providers have considerable sophistication to their integrity functions. Rather, given that regulatory frameworks have not changed in line with the sports wagering sector, a regulatory refresh seems logical. The nature of the problem has been </w:t>
      </w:r>
      <w:proofErr w:type="gramStart"/>
      <w:r w:rsidRPr="002F1917">
        <w:rPr>
          <w:rFonts w:ascii="Calibri" w:hAnsi="Calibri" w:cs="Calibri"/>
          <w:sz w:val="20"/>
          <w:szCs w:val="20"/>
        </w:rPr>
        <w:t>taken into account</w:t>
      </w:r>
      <w:proofErr w:type="gramEnd"/>
      <w:r w:rsidRPr="002F1917">
        <w:rPr>
          <w:rFonts w:ascii="Calibri" w:hAnsi="Calibri" w:cs="Calibri"/>
          <w:sz w:val="20"/>
          <w:szCs w:val="20"/>
        </w:rPr>
        <w:t xml:space="preserve"> in the development of the ASWS operating principles (see </w:t>
      </w:r>
      <w:r w:rsidRPr="002F1917">
        <w:rPr>
          <w:rFonts w:ascii="Calibri" w:hAnsi="Calibri" w:cs="Calibri"/>
          <w:sz w:val="20"/>
          <w:szCs w:val="20"/>
        </w:rPr>
        <w:fldChar w:fldCharType="begin"/>
      </w:r>
      <w:r w:rsidRPr="002F1917">
        <w:rPr>
          <w:rFonts w:ascii="Calibri" w:hAnsi="Calibri" w:cs="Calibri"/>
          <w:sz w:val="20"/>
          <w:szCs w:val="20"/>
        </w:rPr>
        <w:instrText xml:space="preserve"> REF _Ref81560675 \r \h </w:instrText>
      </w:r>
      <w:r w:rsidR="002F1917">
        <w:rPr>
          <w:rFonts w:ascii="Calibri" w:hAnsi="Calibri" w:cs="Calibri"/>
          <w:sz w:val="20"/>
          <w:szCs w:val="20"/>
        </w:rPr>
        <w:instrText xml:space="preserve"> \* MERGEFORMAT </w:instrText>
      </w:r>
      <w:r w:rsidRPr="002F1917">
        <w:rPr>
          <w:rFonts w:ascii="Calibri" w:hAnsi="Calibri" w:cs="Calibri"/>
          <w:sz w:val="20"/>
          <w:szCs w:val="20"/>
        </w:rPr>
      </w:r>
      <w:r w:rsidRPr="002F1917">
        <w:rPr>
          <w:rFonts w:ascii="Calibri" w:hAnsi="Calibri" w:cs="Calibri"/>
          <w:sz w:val="20"/>
          <w:szCs w:val="20"/>
        </w:rPr>
        <w:fldChar w:fldCharType="separate"/>
      </w:r>
      <w:r w:rsidRPr="002F1917">
        <w:rPr>
          <w:rFonts w:ascii="Calibri" w:hAnsi="Calibri" w:cs="Calibri"/>
          <w:sz w:val="20"/>
          <w:szCs w:val="20"/>
        </w:rPr>
        <w:t xml:space="preserve">Box 7 </w:t>
      </w:r>
      <w:r w:rsidRPr="002F1917">
        <w:rPr>
          <w:rFonts w:ascii="Calibri" w:hAnsi="Calibri" w:cs="Calibri"/>
          <w:sz w:val="20"/>
          <w:szCs w:val="20"/>
        </w:rPr>
        <w:fldChar w:fldCharType="end"/>
      </w:r>
      <w:r w:rsidRPr="002F1917">
        <w:rPr>
          <w:rFonts w:ascii="Calibri" w:hAnsi="Calibri" w:cs="Calibri"/>
          <w:sz w:val="20"/>
          <w:szCs w:val="20"/>
        </w:rPr>
        <w:t>).</w:t>
      </w:r>
    </w:p>
    <w:p w14:paraId="261B2C96" w14:textId="0BA3CA55" w:rsidR="00870C3F" w:rsidRPr="002F1917" w:rsidRDefault="002960A9" w:rsidP="009C0251">
      <w:pPr>
        <w:pStyle w:val="Heading2"/>
        <w:numPr>
          <w:ilvl w:val="1"/>
          <w:numId w:val="26"/>
        </w:numPr>
        <w:suppressAutoHyphens w:val="0"/>
        <w:spacing w:after="120" w:line="280" w:lineRule="auto"/>
        <w:rPr>
          <w:rFonts w:ascii="Calibri" w:hAnsi="Calibri" w:cs="Calibri"/>
          <w:sz w:val="26"/>
          <w:lang w:eastAsia="en-AU"/>
        </w:rPr>
      </w:pPr>
      <w:bookmarkStart w:id="89" w:name="_Ref81207245"/>
      <w:bookmarkStart w:id="90" w:name="_Toc85450759"/>
      <w:r w:rsidRPr="002F1917">
        <w:rPr>
          <w:rFonts w:ascii="Calibri" w:hAnsi="Calibri" w:cs="Calibri"/>
          <w:sz w:val="26"/>
          <w:lang w:eastAsia="en-AU"/>
        </w:rPr>
        <w:lastRenderedPageBreak/>
        <w:t xml:space="preserve"> </w:t>
      </w:r>
      <w:bookmarkStart w:id="91" w:name="_Toc85792414"/>
      <w:r w:rsidR="00870C3F" w:rsidRPr="002F1917">
        <w:rPr>
          <w:rFonts w:ascii="Calibri" w:hAnsi="Calibri" w:cs="Calibri"/>
          <w:sz w:val="26"/>
          <w:lang w:eastAsia="en-AU"/>
        </w:rPr>
        <w:t xml:space="preserve">Inconsistencies, </w:t>
      </w:r>
      <w:proofErr w:type="gramStart"/>
      <w:r w:rsidR="00870C3F" w:rsidRPr="002F1917">
        <w:rPr>
          <w:rFonts w:ascii="Calibri" w:hAnsi="Calibri" w:cs="Calibri"/>
          <w:sz w:val="26"/>
          <w:lang w:eastAsia="en-AU"/>
        </w:rPr>
        <w:t>duplications</w:t>
      </w:r>
      <w:proofErr w:type="gramEnd"/>
      <w:r w:rsidR="00870C3F" w:rsidRPr="002F1917">
        <w:rPr>
          <w:rFonts w:ascii="Calibri" w:hAnsi="Calibri" w:cs="Calibri"/>
          <w:sz w:val="26"/>
          <w:lang w:eastAsia="en-AU"/>
        </w:rPr>
        <w:t xml:space="preserve"> and gaps in regulatory requirements</w:t>
      </w:r>
      <w:bookmarkEnd w:id="89"/>
      <w:bookmarkEnd w:id="90"/>
      <w:bookmarkEnd w:id="91"/>
    </w:p>
    <w:p w14:paraId="7B8A3222" w14:textId="77777777" w:rsidR="00870C3F" w:rsidRPr="002F1917" w:rsidRDefault="00870C3F" w:rsidP="009C0251">
      <w:pPr>
        <w:pStyle w:val="BodyText"/>
        <w:keepNext/>
        <w:keepLines/>
        <w:rPr>
          <w:rFonts w:ascii="Calibri" w:hAnsi="Calibri" w:cs="Calibri"/>
          <w:lang w:val="en-US" w:eastAsia="en-AU"/>
        </w:rPr>
      </w:pPr>
      <w:r w:rsidRPr="002F1917">
        <w:rPr>
          <w:rFonts w:ascii="Calibri" w:hAnsi="Calibri" w:cs="Calibri"/>
          <w:lang w:val="en-US" w:eastAsia="en-AU"/>
        </w:rPr>
        <w:t xml:space="preserve">The regulatory requirements for sports wagering differ between the state and territory regulators. These inconsistencies can be difficult for wagering providers and sports controllers to navigate. Moreover, it is possible that inconsistencies result in some instances where sport integrity risks differ depending on which state or territory a sporting event takes place </w:t>
      </w:r>
      <w:proofErr w:type="gramStart"/>
      <w:r w:rsidRPr="002F1917">
        <w:rPr>
          <w:rFonts w:ascii="Calibri" w:hAnsi="Calibri" w:cs="Calibri"/>
          <w:lang w:val="en-US" w:eastAsia="en-AU"/>
        </w:rPr>
        <w:t>and also</w:t>
      </w:r>
      <w:proofErr w:type="gramEnd"/>
      <w:r w:rsidRPr="002F1917">
        <w:rPr>
          <w:rFonts w:ascii="Calibri" w:hAnsi="Calibri" w:cs="Calibri"/>
          <w:lang w:val="en-US" w:eastAsia="en-AU"/>
        </w:rPr>
        <w:t xml:space="preserve"> the state or territory where a bet is placed.</w:t>
      </w:r>
    </w:p>
    <w:p w14:paraId="7FB232AA" w14:textId="77777777" w:rsidR="00870C3F" w:rsidRPr="002F1917" w:rsidRDefault="00870C3F" w:rsidP="00870C3F">
      <w:pPr>
        <w:pStyle w:val="BodyText"/>
        <w:rPr>
          <w:rFonts w:ascii="Calibri" w:hAnsi="Calibri" w:cs="Calibri"/>
          <w:lang w:val="en-US" w:eastAsia="en-AU"/>
        </w:rPr>
      </w:pPr>
      <w:r w:rsidRPr="002F1917">
        <w:rPr>
          <w:rFonts w:ascii="Calibri" w:hAnsi="Calibri" w:cs="Calibri"/>
          <w:lang w:val="en-US" w:eastAsia="en-AU"/>
        </w:rPr>
        <w:t>For example, states and territories have differing approaches to contingencies that can be offered by wagering providers. In South Australia there is a list of approved betting contingencies by sport. In contrast in the Northern Territory wagering providers can offer any contingencies on approved sports subject to the game or fixture not being restricted to persons under the age of 18 years. Given that the regulation of contingencies is based on where a bet in placed, hypothetically there could be a sport integrity incident on a sporting event held in South Australia for a contingency which is not permitted in for those placing bets in South Australia. While it is acknowledged that differences in contingencies tend to be at the margins, the increased complexity and blurring of boundaries of sports wagering increase the risk of integrity issues arising from these inconsistencies.</w:t>
      </w:r>
    </w:p>
    <w:p w14:paraId="724EAEBF" w14:textId="77777777" w:rsidR="00870C3F" w:rsidRPr="002F1917" w:rsidRDefault="00870C3F" w:rsidP="00870C3F">
      <w:pPr>
        <w:pStyle w:val="BodyText"/>
        <w:rPr>
          <w:rFonts w:ascii="Calibri" w:hAnsi="Calibri" w:cs="Calibri"/>
          <w:lang w:val="en-US" w:eastAsia="en-AU"/>
        </w:rPr>
      </w:pPr>
      <w:r w:rsidRPr="002F1917">
        <w:rPr>
          <w:rFonts w:ascii="Calibri" w:hAnsi="Calibri" w:cs="Calibri"/>
          <w:lang w:val="en-US" w:eastAsia="en-AU"/>
        </w:rPr>
        <w:t xml:space="preserve">Duplications also exist. For example, a wagering provider reports data/suspicious activity to their licensor, AUSTRAC, and upon request to the sport controlling body and the relevant law enforcement agency. A wagering provider also provides data to jurisdictions for tax purposes. The sport controlling body reports suspicious activity to the regulator, and at times law enforcement. Sport controlling bodies also provide audit/compliance information to their regulator also. Clearly this information flow is not optimal. </w:t>
      </w:r>
    </w:p>
    <w:p w14:paraId="4F92D37E" w14:textId="77777777" w:rsidR="00870C3F" w:rsidRPr="002F1917" w:rsidRDefault="00870C3F" w:rsidP="00870C3F">
      <w:pPr>
        <w:pStyle w:val="BodyText"/>
        <w:rPr>
          <w:rFonts w:ascii="Calibri" w:hAnsi="Calibri" w:cs="Calibri"/>
          <w:lang w:val="en-US" w:eastAsia="en-AU"/>
        </w:rPr>
      </w:pPr>
      <w:r w:rsidRPr="002F1917">
        <w:rPr>
          <w:rFonts w:ascii="Calibri" w:hAnsi="Calibri" w:cs="Calibri"/>
          <w:lang w:val="en-US" w:eastAsia="en-AU"/>
        </w:rPr>
        <w:t>There are also gaps in the regulatory framework. For example, it is unclear how one-off sporting events — anything from an MMA event to an Olympic Games — fit within the Sports Controlling Body requirements in Victoria and NSW.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284" w:type="dxa"/>
          <w:right w:w="284" w:type="dxa"/>
        </w:tblCellMar>
        <w:tblLook w:val="04A0" w:firstRow="1" w:lastRow="0" w:firstColumn="1" w:lastColumn="0" w:noHBand="0" w:noVBand="1"/>
      </w:tblPr>
      <w:tblGrid>
        <w:gridCol w:w="9064"/>
      </w:tblGrid>
      <w:tr w:rsidR="00870C3F" w:rsidRPr="002F1917" w14:paraId="76C7065D" w14:textId="77777777" w:rsidTr="00870C3F">
        <w:trPr>
          <w:trHeight w:val="284"/>
          <w:jc w:val="center"/>
        </w:trPr>
        <w:tc>
          <w:tcPr>
            <w:tcW w:w="9350" w:type="dxa"/>
            <w:shd w:val="clear" w:color="auto" w:fill="F2F2F2" w:themeFill="background1" w:themeFillShade="F2"/>
            <w:vAlign w:val="bottom"/>
          </w:tcPr>
          <w:p w14:paraId="4EC85739" w14:textId="77777777" w:rsidR="00870C3F" w:rsidRPr="002F1917" w:rsidRDefault="00870C3F">
            <w:pPr>
              <w:pStyle w:val="CalloutBoxcaption"/>
              <w:keepNext/>
              <w:numPr>
                <w:ilvl w:val="0"/>
                <w:numId w:val="0"/>
              </w:numPr>
              <w:rPr>
                <w:rFonts w:ascii="Calibri" w:hAnsi="Calibri" w:cs="Calibri"/>
                <w:lang w:eastAsia="en-AU"/>
              </w:rPr>
            </w:pPr>
          </w:p>
        </w:tc>
      </w:tr>
      <w:tr w:rsidR="00870C3F" w:rsidRPr="002F1917" w14:paraId="185E7CD8" w14:textId="77777777" w:rsidTr="00870C3F">
        <w:trPr>
          <w:jc w:val="center"/>
        </w:trPr>
        <w:tc>
          <w:tcPr>
            <w:tcW w:w="9350" w:type="dxa"/>
            <w:shd w:val="clear" w:color="auto" w:fill="F2F2F2" w:themeFill="background1" w:themeFillShade="F2"/>
            <w:vAlign w:val="bottom"/>
            <w:hideMark/>
          </w:tcPr>
          <w:p w14:paraId="4C4C03C3" w14:textId="77777777" w:rsidR="00870C3F" w:rsidRPr="002F1917" w:rsidRDefault="00870C3F">
            <w:pPr>
              <w:pStyle w:val="CalloutBoxcaption"/>
              <w:keepNext/>
              <w:tabs>
                <w:tab w:val="num" w:pos="360"/>
              </w:tabs>
              <w:rPr>
                <w:rFonts w:ascii="Calibri" w:hAnsi="Calibri" w:cs="Calibri"/>
              </w:rPr>
            </w:pPr>
            <w:r w:rsidRPr="002F1917">
              <w:rPr>
                <w:rFonts w:ascii="Calibri" w:hAnsi="Calibri" w:cs="Calibri"/>
                <w:b/>
              </w:rPr>
              <w:t>:</w:t>
            </w:r>
            <w:r w:rsidRPr="002F1917">
              <w:rPr>
                <w:rFonts w:ascii="Calibri" w:hAnsi="Calibri" w:cs="Calibri"/>
              </w:rPr>
              <w:t xml:space="preserve"> Case study – Integrity issues at a sporting event</w:t>
            </w:r>
          </w:p>
          <w:p w14:paraId="1B3931EC" w14:textId="0C25A61D" w:rsidR="00870C3F" w:rsidRPr="002F1917" w:rsidRDefault="00870C3F">
            <w:pPr>
              <w:pStyle w:val="CalloutBoxcaption"/>
              <w:numPr>
                <w:ilvl w:val="0"/>
                <w:numId w:val="0"/>
              </w:numPr>
              <w:rPr>
                <w:rFonts w:ascii="Calibri" w:eastAsia="Times New Roman" w:hAnsi="Calibri" w:cs="Calibri"/>
              </w:rPr>
            </w:pPr>
            <w:r w:rsidRPr="002F1917">
              <w:rPr>
                <w:rFonts w:ascii="Calibri" w:eastAsia="Times New Roman" w:hAnsi="Calibri" w:cs="Calibri"/>
              </w:rPr>
              <w:t>On 1st May 2020 the Darts Regulation Authority in the United Kingdom were informed by the International Betting Integrity Association of suspicious betting on a Darts match that had been played on 30th April 2020 between Kyle McKinstry and David Evans in the MODUS A Night at the Darts series</w:t>
            </w:r>
            <w:r w:rsidR="0042389F">
              <w:rPr>
                <w:rFonts w:ascii="Calibri" w:eastAsia="Times New Roman" w:hAnsi="Calibri" w:cs="Calibri"/>
              </w:rPr>
              <w:t>.</w:t>
            </w:r>
            <w:r w:rsidRPr="002F1917">
              <w:rPr>
                <w:rFonts w:ascii="Calibri" w:eastAsia="Times New Roman" w:hAnsi="Calibri" w:cs="Calibri"/>
              </w:rPr>
              <w:t xml:space="preserve"> McKinstry lost the match 5-0. On 2nd May 2020 the International Betting Integrity Association reported further suspicious betting activity on McKinstry’s match with Wessel Nijman that was played on 2nd May 2020. </w:t>
            </w:r>
          </w:p>
          <w:p w14:paraId="7C3CFBA7" w14:textId="77777777" w:rsidR="00870C3F" w:rsidRPr="002F1917" w:rsidRDefault="00870C3F">
            <w:pPr>
              <w:pStyle w:val="CalloutBoxcaption"/>
              <w:numPr>
                <w:ilvl w:val="0"/>
                <w:numId w:val="0"/>
              </w:numPr>
              <w:rPr>
                <w:rFonts w:ascii="Calibri" w:eastAsia="Times New Roman" w:hAnsi="Calibri" w:cs="Calibri"/>
              </w:rPr>
            </w:pPr>
            <w:r w:rsidRPr="002F1917">
              <w:rPr>
                <w:rFonts w:ascii="Calibri" w:eastAsia="Times New Roman" w:hAnsi="Calibri" w:cs="Calibri"/>
              </w:rPr>
              <w:t xml:space="preserve">The MODUS A Night at the Darts event was regulated by the Darts Regulation Authority, the governing body for professional darts in the UK. The Darts Regulation Authority launched an investigation working closely with Sportradar Integrity Services, the Gambling Commission Sports Betting Intelligence Unit, Malta Gaming Authority, Gibraltar Gambling </w:t>
            </w:r>
            <w:proofErr w:type="gramStart"/>
            <w:r w:rsidRPr="002F1917">
              <w:rPr>
                <w:rFonts w:ascii="Calibri" w:eastAsia="Times New Roman" w:hAnsi="Calibri" w:cs="Calibri"/>
              </w:rPr>
              <w:t>Regulator</w:t>
            </w:r>
            <w:proofErr w:type="gramEnd"/>
            <w:r w:rsidRPr="002F1917">
              <w:rPr>
                <w:rFonts w:ascii="Calibri" w:eastAsia="Times New Roman" w:hAnsi="Calibri" w:cs="Calibri"/>
              </w:rPr>
              <w:t xml:space="preserve"> and betting operators. </w:t>
            </w:r>
          </w:p>
          <w:p w14:paraId="4A8F3C77" w14:textId="77777777" w:rsidR="00870C3F" w:rsidRPr="002F1917" w:rsidRDefault="00870C3F">
            <w:pPr>
              <w:pStyle w:val="CalloutBoxcaption"/>
              <w:numPr>
                <w:ilvl w:val="0"/>
                <w:numId w:val="0"/>
              </w:numPr>
              <w:rPr>
                <w:rFonts w:ascii="Calibri" w:eastAsia="Times New Roman" w:hAnsi="Calibri" w:cs="Calibri"/>
              </w:rPr>
            </w:pPr>
            <w:r w:rsidRPr="002F1917">
              <w:rPr>
                <w:rFonts w:ascii="Calibri" w:eastAsia="Times New Roman" w:hAnsi="Calibri" w:cs="Calibri"/>
              </w:rPr>
              <w:t>On 17th October 2020 at a hearing of the Darts Regulation Authority Disciplinary Committee McKinstry admitted fixing his match with David Evans and that he passed information of his intention to do so to others who placed bets on this outcome, and he had requested one person to place a bet on his behalf on the outcome. He was found guilty of manipulating a match against Wessel Nijman on 2 May by deliberately failing to score any 180 scores in the match and that he alerted others to his intention prior to the match, thus allowing them to place winning bets on this specific outcome. He was also found guilty of failing to cooperate with the Darts Regulation Authority by not producing his itemised phone billing as required. The Committee found all three of the charges against McKinstry proven. For fixing two matches in the Modus Events McKinstry is suspended from the sport for six and a half years. McKinstry is suspended for a further eighteen months for failing to provide his itemised phone billing to the Darts Regulation Authority. This means that McKinstry is suspended for a total of eight years from 18th August 2020 until midnight on 17th August 2028. He was ordered to pay costs of £4,730.64.</w:t>
            </w:r>
          </w:p>
          <w:p w14:paraId="740F7260" w14:textId="77777777" w:rsidR="00870C3F" w:rsidRPr="002F1917" w:rsidRDefault="00870C3F">
            <w:pPr>
              <w:pStyle w:val="CalloutBoxcaption"/>
              <w:numPr>
                <w:ilvl w:val="0"/>
                <w:numId w:val="0"/>
              </w:numPr>
              <w:rPr>
                <w:rFonts w:ascii="Calibri" w:hAnsi="Calibri" w:cs="Calibri"/>
                <w:b/>
                <w:bCs/>
              </w:rPr>
            </w:pPr>
            <w:r w:rsidRPr="002F1917">
              <w:rPr>
                <w:rFonts w:ascii="Calibri" w:hAnsi="Calibri" w:cs="Calibri"/>
                <w:b/>
                <w:bCs/>
              </w:rPr>
              <w:t>This case illustrates the value of sporting events having a clear link to a controlling body with a remit for good governance and integrity.</w:t>
            </w:r>
          </w:p>
          <w:p w14:paraId="0FA3C237" w14:textId="77777777" w:rsidR="00870C3F" w:rsidRPr="002F1917" w:rsidRDefault="00870C3F">
            <w:pPr>
              <w:rPr>
                <w:rFonts w:ascii="Calibri" w:hAnsi="Calibri" w:cs="Calibri"/>
                <w:i/>
                <w:sz w:val="16"/>
                <w:szCs w:val="16"/>
              </w:rPr>
            </w:pPr>
            <w:r w:rsidRPr="002F10D2">
              <w:rPr>
                <w:rFonts w:ascii="Calibri" w:hAnsi="Calibri" w:cs="Calibri"/>
                <w:i/>
                <w:sz w:val="16"/>
                <w:szCs w:val="16"/>
              </w:rPr>
              <w:t xml:space="preserve">Source: Sport Integrity Australia </w:t>
            </w:r>
          </w:p>
        </w:tc>
      </w:tr>
      <w:tr w:rsidR="00870C3F" w:rsidRPr="002F1917" w14:paraId="12674360" w14:textId="77777777" w:rsidTr="00870C3F">
        <w:trPr>
          <w:trHeight w:val="284"/>
          <w:jc w:val="center"/>
        </w:trPr>
        <w:tc>
          <w:tcPr>
            <w:tcW w:w="9350" w:type="dxa"/>
            <w:shd w:val="clear" w:color="auto" w:fill="F2F2F2" w:themeFill="background1" w:themeFillShade="F2"/>
            <w:vAlign w:val="bottom"/>
          </w:tcPr>
          <w:p w14:paraId="7BE81B2B" w14:textId="77777777" w:rsidR="00870C3F" w:rsidRPr="002F1917" w:rsidRDefault="00870C3F">
            <w:pPr>
              <w:pStyle w:val="CalloutBoxcaption"/>
              <w:numPr>
                <w:ilvl w:val="0"/>
                <w:numId w:val="0"/>
              </w:numPr>
              <w:rPr>
                <w:rFonts w:ascii="Calibri" w:hAnsi="Calibri" w:cs="Calibri"/>
              </w:rPr>
            </w:pPr>
          </w:p>
        </w:tc>
      </w:tr>
    </w:tbl>
    <w:p w14:paraId="1E906C01" w14:textId="2595C83E" w:rsidR="00870C3F" w:rsidRPr="002F1917" w:rsidRDefault="002960A9" w:rsidP="00204AA1">
      <w:pPr>
        <w:pStyle w:val="Heading2"/>
        <w:numPr>
          <w:ilvl w:val="1"/>
          <w:numId w:val="26"/>
        </w:numPr>
        <w:suppressAutoHyphens w:val="0"/>
        <w:spacing w:after="120" w:line="280" w:lineRule="auto"/>
        <w:rPr>
          <w:rFonts w:ascii="Calibri" w:eastAsia="MS Gothic" w:hAnsi="Calibri" w:cs="Calibri"/>
          <w:sz w:val="26"/>
          <w:lang w:eastAsia="en-AU"/>
        </w:rPr>
      </w:pPr>
      <w:bookmarkStart w:id="92" w:name="_Toc85450760"/>
      <w:r w:rsidRPr="002F1917">
        <w:rPr>
          <w:rFonts w:ascii="Calibri" w:hAnsi="Calibri" w:cs="Calibri"/>
          <w:sz w:val="26"/>
          <w:lang w:eastAsia="en-AU"/>
        </w:rPr>
        <w:t xml:space="preserve"> </w:t>
      </w:r>
      <w:bookmarkStart w:id="93" w:name="_Toc85792415"/>
      <w:r w:rsidR="00870C3F" w:rsidRPr="002F1917">
        <w:rPr>
          <w:rFonts w:ascii="Calibri" w:hAnsi="Calibri" w:cs="Calibri"/>
          <w:sz w:val="26"/>
          <w:lang w:eastAsia="en-AU"/>
        </w:rPr>
        <w:t>Limitations to integrity risk identification</w:t>
      </w:r>
      <w:bookmarkEnd w:id="92"/>
      <w:bookmarkEnd w:id="93"/>
    </w:p>
    <w:p w14:paraId="258C29B2" w14:textId="77777777" w:rsidR="00870C3F" w:rsidRPr="002F1917" w:rsidRDefault="00870C3F" w:rsidP="00870C3F">
      <w:pPr>
        <w:pStyle w:val="BodyText"/>
        <w:rPr>
          <w:rFonts w:ascii="Calibri" w:hAnsi="Calibri" w:cs="Calibri"/>
          <w:lang w:val="en-US" w:eastAsia="en-AU"/>
        </w:rPr>
      </w:pPr>
      <w:r w:rsidRPr="002F1917">
        <w:rPr>
          <w:rFonts w:ascii="Calibri" w:hAnsi="Calibri" w:cs="Calibri"/>
          <w:lang w:val="en-US" w:eastAsia="en-AU"/>
        </w:rPr>
        <w:t xml:space="preserve">The modern wagering market is </w:t>
      </w:r>
      <w:proofErr w:type="spellStart"/>
      <w:r w:rsidRPr="002F1917">
        <w:rPr>
          <w:rFonts w:ascii="Calibri" w:hAnsi="Calibri" w:cs="Calibri"/>
          <w:lang w:val="en-US" w:eastAsia="en-AU"/>
        </w:rPr>
        <w:t>characterised</w:t>
      </w:r>
      <w:proofErr w:type="spellEnd"/>
      <w:r w:rsidRPr="002F1917">
        <w:rPr>
          <w:rFonts w:ascii="Calibri" w:hAnsi="Calibri" w:cs="Calibri"/>
          <w:lang w:val="en-US" w:eastAsia="en-AU"/>
        </w:rPr>
        <w:t xml:space="preserve"> by significant liquidity, accelerated market growth, market complexity, increasing accessibility of online platforms and offshore unregulated markets. The growth, complexity and sophistication of modern sports wagering increases the need for a coordinated, national approach to identifying and managing sport integrity risks. There is no doubt that wagering providers are </w:t>
      </w:r>
      <w:proofErr w:type="spellStart"/>
      <w:r w:rsidRPr="002F1917">
        <w:rPr>
          <w:rFonts w:ascii="Calibri" w:hAnsi="Calibri" w:cs="Calibri"/>
          <w:lang w:val="en-US" w:eastAsia="en-AU"/>
        </w:rPr>
        <w:t>incentivised</w:t>
      </w:r>
      <w:proofErr w:type="spellEnd"/>
      <w:r w:rsidRPr="002F1917">
        <w:rPr>
          <w:rFonts w:ascii="Calibri" w:hAnsi="Calibri" w:cs="Calibri"/>
          <w:lang w:val="en-US" w:eastAsia="en-AU"/>
        </w:rPr>
        <w:t xml:space="preserve"> to identify and raise any sports wagering integrity incidents that they identify on their markets whether it be manipulation of sporting event outcomes or the misuse of price-sensitive information. However, the current approach is siloed. The ideal way to monitor and identify sport integrity risks would be a multi-faceted national approach which systematically brings together insights and data from sports controllers, wagering providers, Australian law enforcement and partner organisations overseas. This is a gap in the current regulatory framework.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284" w:type="dxa"/>
          <w:right w:w="284" w:type="dxa"/>
        </w:tblCellMar>
        <w:tblLook w:val="04A0" w:firstRow="1" w:lastRow="0" w:firstColumn="1" w:lastColumn="0" w:noHBand="0" w:noVBand="1"/>
      </w:tblPr>
      <w:tblGrid>
        <w:gridCol w:w="9064"/>
      </w:tblGrid>
      <w:tr w:rsidR="00870C3F" w:rsidRPr="002F1917" w14:paraId="623E0AB5" w14:textId="77777777" w:rsidTr="00870C3F">
        <w:trPr>
          <w:trHeight w:val="284"/>
          <w:jc w:val="center"/>
        </w:trPr>
        <w:tc>
          <w:tcPr>
            <w:tcW w:w="9350" w:type="dxa"/>
            <w:shd w:val="clear" w:color="auto" w:fill="F2F2F2" w:themeFill="background1" w:themeFillShade="F2"/>
            <w:vAlign w:val="bottom"/>
          </w:tcPr>
          <w:p w14:paraId="0D286882" w14:textId="77777777" w:rsidR="00870C3F" w:rsidRPr="002F1917" w:rsidRDefault="00870C3F">
            <w:pPr>
              <w:pStyle w:val="CalloutBoxcaption"/>
              <w:keepNext/>
              <w:numPr>
                <w:ilvl w:val="0"/>
                <w:numId w:val="0"/>
              </w:numPr>
              <w:rPr>
                <w:rFonts w:ascii="Calibri" w:hAnsi="Calibri" w:cs="Calibri"/>
                <w:lang w:eastAsia="en-AU"/>
              </w:rPr>
            </w:pPr>
          </w:p>
        </w:tc>
      </w:tr>
      <w:tr w:rsidR="00870C3F" w:rsidRPr="002F1917" w14:paraId="7E901255" w14:textId="77777777" w:rsidTr="00870C3F">
        <w:trPr>
          <w:jc w:val="center"/>
        </w:trPr>
        <w:tc>
          <w:tcPr>
            <w:tcW w:w="9350" w:type="dxa"/>
            <w:shd w:val="clear" w:color="auto" w:fill="F2F2F2" w:themeFill="background1" w:themeFillShade="F2"/>
            <w:vAlign w:val="bottom"/>
            <w:hideMark/>
          </w:tcPr>
          <w:p w14:paraId="012DA689" w14:textId="77777777" w:rsidR="00870C3F" w:rsidRPr="002F1917" w:rsidRDefault="00870C3F">
            <w:pPr>
              <w:pStyle w:val="CalloutBoxcaption"/>
              <w:keepNext/>
              <w:tabs>
                <w:tab w:val="num" w:pos="360"/>
              </w:tabs>
              <w:rPr>
                <w:rFonts w:ascii="Calibri" w:hAnsi="Calibri" w:cs="Calibri"/>
              </w:rPr>
            </w:pPr>
            <w:r w:rsidRPr="002F1917">
              <w:rPr>
                <w:rFonts w:ascii="Calibri" w:hAnsi="Calibri" w:cs="Calibri"/>
              </w:rPr>
              <w:t>Case study – misuse of price-sensitive information</w:t>
            </w:r>
          </w:p>
          <w:p w14:paraId="4F5A9502" w14:textId="0B480C94" w:rsidR="00870C3F" w:rsidRPr="002F1917" w:rsidRDefault="00870C3F">
            <w:pPr>
              <w:pStyle w:val="CalloutBoxcaption"/>
              <w:keepNext/>
              <w:numPr>
                <w:ilvl w:val="0"/>
                <w:numId w:val="0"/>
              </w:numPr>
              <w:rPr>
                <w:rFonts w:ascii="Calibri" w:eastAsia="Times New Roman" w:hAnsi="Calibri" w:cs="Calibri"/>
              </w:rPr>
            </w:pPr>
            <w:r w:rsidRPr="002F1917">
              <w:rPr>
                <w:rFonts w:ascii="Calibri" w:eastAsia="Times New Roman" w:hAnsi="Calibri" w:cs="Calibri"/>
              </w:rPr>
              <w:t xml:space="preserve">In 2020, Joshua Wilson, owner of </w:t>
            </w:r>
            <w:proofErr w:type="spellStart"/>
            <w:r w:rsidRPr="002F1917">
              <w:rPr>
                <w:rFonts w:ascii="Calibri" w:eastAsia="Times New Roman" w:hAnsi="Calibri" w:cs="Calibri"/>
              </w:rPr>
              <w:t>StatEdge</w:t>
            </w:r>
            <w:proofErr w:type="spellEnd"/>
            <w:r w:rsidRPr="002F1917">
              <w:rPr>
                <w:rFonts w:ascii="Calibri" w:eastAsia="Times New Roman" w:hAnsi="Calibri" w:cs="Calibri"/>
              </w:rPr>
              <w:t xml:space="preserve">, a technology company that provided and managed data for the NRL, and Ben </w:t>
            </w:r>
            <w:proofErr w:type="spellStart"/>
            <w:r w:rsidRPr="002F1917">
              <w:rPr>
                <w:rFonts w:ascii="Calibri" w:eastAsia="Times New Roman" w:hAnsi="Calibri" w:cs="Calibri"/>
              </w:rPr>
              <w:t>Trevisiol</w:t>
            </w:r>
            <w:proofErr w:type="spellEnd"/>
            <w:r w:rsidRPr="002F1917">
              <w:rPr>
                <w:rFonts w:ascii="Calibri" w:eastAsia="Times New Roman" w:hAnsi="Calibri" w:cs="Calibri"/>
              </w:rPr>
              <w:t xml:space="preserve">, general manager of </w:t>
            </w:r>
            <w:proofErr w:type="spellStart"/>
            <w:r w:rsidRPr="002F1917">
              <w:rPr>
                <w:rFonts w:ascii="Calibri" w:eastAsia="Times New Roman" w:hAnsi="Calibri" w:cs="Calibri"/>
              </w:rPr>
              <w:t>StatEdge</w:t>
            </w:r>
            <w:proofErr w:type="spellEnd"/>
            <w:r w:rsidRPr="002F1917">
              <w:rPr>
                <w:rFonts w:ascii="Calibri" w:eastAsia="Times New Roman" w:hAnsi="Calibri" w:cs="Calibri"/>
              </w:rPr>
              <w:t xml:space="preserve">, were convicted of ‘communicating inside information’ in relation to betting on the NRL’s Dally M awards. </w:t>
            </w:r>
            <w:proofErr w:type="spellStart"/>
            <w:r w:rsidRPr="002F1917">
              <w:rPr>
                <w:rFonts w:ascii="Calibri" w:eastAsia="Times New Roman" w:hAnsi="Calibri" w:cs="Calibri"/>
              </w:rPr>
              <w:t>StatEdge</w:t>
            </w:r>
            <w:proofErr w:type="spellEnd"/>
            <w:r w:rsidRPr="002F1917">
              <w:rPr>
                <w:rFonts w:ascii="Calibri" w:eastAsia="Times New Roman" w:hAnsi="Calibri" w:cs="Calibri"/>
              </w:rPr>
              <w:t xml:space="preserve"> was a system where Dally M points were collated and tallied, and through that system </w:t>
            </w:r>
            <w:proofErr w:type="spellStart"/>
            <w:r w:rsidRPr="002F1917">
              <w:rPr>
                <w:rFonts w:ascii="Calibri" w:eastAsia="Times New Roman" w:hAnsi="Calibri" w:cs="Calibri"/>
              </w:rPr>
              <w:t>Trevisiol</w:t>
            </w:r>
            <w:proofErr w:type="spellEnd"/>
            <w:r w:rsidRPr="002F1917">
              <w:rPr>
                <w:rFonts w:ascii="Calibri" w:eastAsia="Times New Roman" w:hAnsi="Calibri" w:cs="Calibri"/>
              </w:rPr>
              <w:t xml:space="preserve"> had access to the identities of the award winners. Upon discovering that Craig Bellamy would be awarded the ‘Dally M Coach of the Year’ award, and who at that time was still an ‘outsider’ in the betting market with attractive odds, </w:t>
            </w:r>
            <w:proofErr w:type="spellStart"/>
            <w:r w:rsidRPr="002F1917">
              <w:rPr>
                <w:rFonts w:ascii="Calibri" w:eastAsia="Times New Roman" w:hAnsi="Calibri" w:cs="Calibri"/>
              </w:rPr>
              <w:t>Trevisiol</w:t>
            </w:r>
            <w:proofErr w:type="spellEnd"/>
            <w:r w:rsidRPr="002F1917">
              <w:rPr>
                <w:rFonts w:ascii="Calibri" w:eastAsia="Times New Roman" w:hAnsi="Calibri" w:cs="Calibri"/>
              </w:rPr>
              <w:t xml:space="preserve"> informed Wilson and associates who started betting on the outcome of Craig Bellamy winning Coach of the Year. Star</w:t>
            </w:r>
            <w:r w:rsidR="008B54EB">
              <w:rPr>
                <w:rFonts w:ascii="Calibri" w:eastAsia="Times New Roman" w:hAnsi="Calibri" w:cs="Calibri"/>
              </w:rPr>
              <w:t>t</w:t>
            </w:r>
            <w:r w:rsidRPr="002F1917">
              <w:rPr>
                <w:rFonts w:ascii="Calibri" w:eastAsia="Times New Roman" w:hAnsi="Calibri" w:cs="Calibri"/>
              </w:rPr>
              <w:t xml:space="preserve">ing two weeks before the Dally M Awards night, Wilson placed $500 to win $1975, and </w:t>
            </w:r>
            <w:proofErr w:type="spellStart"/>
            <w:r w:rsidRPr="002F1917">
              <w:rPr>
                <w:rFonts w:ascii="Calibri" w:eastAsia="Times New Roman" w:hAnsi="Calibri" w:cs="Calibri"/>
              </w:rPr>
              <w:t>Trevisiol</w:t>
            </w:r>
            <w:proofErr w:type="spellEnd"/>
            <w:r w:rsidRPr="002F1917">
              <w:rPr>
                <w:rFonts w:ascii="Calibri" w:eastAsia="Times New Roman" w:hAnsi="Calibri" w:cs="Calibri"/>
              </w:rPr>
              <w:t xml:space="preserve"> placed $486 to collect $950. Associates of Wilson and </w:t>
            </w:r>
            <w:proofErr w:type="spellStart"/>
            <w:r w:rsidRPr="002F1917">
              <w:rPr>
                <w:rFonts w:ascii="Calibri" w:eastAsia="Times New Roman" w:hAnsi="Calibri" w:cs="Calibri"/>
              </w:rPr>
              <w:t>Trevisiol</w:t>
            </w:r>
            <w:proofErr w:type="spellEnd"/>
            <w:r w:rsidRPr="002F1917">
              <w:rPr>
                <w:rFonts w:ascii="Calibri" w:eastAsia="Times New Roman" w:hAnsi="Calibri" w:cs="Calibri"/>
              </w:rPr>
              <w:t xml:space="preserve"> placed bets also, with $20,000 reported to have been paid to winning customers.</w:t>
            </w:r>
          </w:p>
          <w:p w14:paraId="61135341" w14:textId="77777777" w:rsidR="00870C3F" w:rsidRPr="002F1917" w:rsidRDefault="00870C3F">
            <w:pPr>
              <w:pStyle w:val="CalloutBoxcaption"/>
              <w:numPr>
                <w:ilvl w:val="0"/>
                <w:numId w:val="0"/>
              </w:numPr>
              <w:rPr>
                <w:rFonts w:ascii="Calibri" w:eastAsia="Times New Roman" w:hAnsi="Calibri" w:cs="Calibri"/>
              </w:rPr>
            </w:pPr>
            <w:r w:rsidRPr="002F1917">
              <w:rPr>
                <w:rFonts w:ascii="Calibri" w:eastAsia="Times New Roman" w:hAnsi="Calibri" w:cs="Calibri"/>
              </w:rPr>
              <w:t>The scheme was first identified by wagering providers after noticing disproportionate amounts of bets being placed on the Craig Bellamy outcome. That information was passed onto the NRL who investigated the matter, and then handing over their findings to the NSW Police who charged the pair with using and communicating inside information. In 2020 Wilson was convicted and placed on a good behaviour bond.</w:t>
            </w:r>
          </w:p>
          <w:p w14:paraId="3D6DCEA3" w14:textId="77777777" w:rsidR="00870C3F" w:rsidRPr="002F1917" w:rsidRDefault="00870C3F">
            <w:pPr>
              <w:pStyle w:val="CalloutBoxcaption"/>
              <w:numPr>
                <w:ilvl w:val="0"/>
                <w:numId w:val="0"/>
              </w:numPr>
              <w:rPr>
                <w:rFonts w:ascii="Calibri" w:hAnsi="Calibri" w:cs="Calibri"/>
                <w:b/>
                <w:bCs/>
              </w:rPr>
            </w:pPr>
            <w:r w:rsidRPr="002F1917">
              <w:rPr>
                <w:rFonts w:ascii="Calibri" w:hAnsi="Calibri" w:cs="Calibri"/>
                <w:b/>
                <w:bCs/>
              </w:rPr>
              <w:t>This is a relatively unsophisticated example of misuse of price-sensitive information. More sophisticated schemes in more liquid markets are likely to require a more coordinated approach to suspicious activity identification.</w:t>
            </w:r>
          </w:p>
          <w:p w14:paraId="389D1DE1" w14:textId="77777777" w:rsidR="00870C3F" w:rsidRPr="002F1917" w:rsidRDefault="00870C3F">
            <w:pPr>
              <w:rPr>
                <w:rFonts w:ascii="Calibri" w:hAnsi="Calibri" w:cs="Calibri"/>
                <w:i/>
                <w:sz w:val="16"/>
                <w:szCs w:val="16"/>
              </w:rPr>
            </w:pPr>
            <w:r w:rsidRPr="00725857">
              <w:rPr>
                <w:rFonts w:ascii="Calibri" w:hAnsi="Calibri" w:cs="Calibri"/>
                <w:i/>
                <w:sz w:val="16"/>
                <w:szCs w:val="16"/>
              </w:rPr>
              <w:t>Source: Sport Integrity Australia</w:t>
            </w:r>
          </w:p>
        </w:tc>
      </w:tr>
      <w:tr w:rsidR="00870C3F" w:rsidRPr="002F1917" w14:paraId="6EC32F1A" w14:textId="77777777" w:rsidTr="00870C3F">
        <w:trPr>
          <w:trHeight w:val="284"/>
          <w:jc w:val="center"/>
        </w:trPr>
        <w:tc>
          <w:tcPr>
            <w:tcW w:w="9350" w:type="dxa"/>
            <w:shd w:val="clear" w:color="auto" w:fill="F2F2F2" w:themeFill="background1" w:themeFillShade="F2"/>
            <w:vAlign w:val="bottom"/>
          </w:tcPr>
          <w:p w14:paraId="781C3FA9" w14:textId="77777777" w:rsidR="00870C3F" w:rsidRPr="002F1917" w:rsidRDefault="00870C3F">
            <w:pPr>
              <w:pStyle w:val="CalloutBoxcaption"/>
              <w:numPr>
                <w:ilvl w:val="0"/>
                <w:numId w:val="0"/>
              </w:numPr>
              <w:rPr>
                <w:rFonts w:ascii="Calibri" w:hAnsi="Calibri" w:cs="Calibri"/>
              </w:rPr>
            </w:pPr>
          </w:p>
        </w:tc>
      </w:tr>
    </w:tbl>
    <w:p w14:paraId="50F2EA43" w14:textId="7E2FB030" w:rsidR="00870C3F" w:rsidRPr="002F1917" w:rsidRDefault="002960A9" w:rsidP="00204AA1">
      <w:pPr>
        <w:pStyle w:val="Heading2"/>
        <w:numPr>
          <w:ilvl w:val="1"/>
          <w:numId w:val="26"/>
        </w:numPr>
        <w:suppressAutoHyphens w:val="0"/>
        <w:spacing w:after="120" w:line="280" w:lineRule="auto"/>
        <w:rPr>
          <w:rFonts w:ascii="Calibri" w:eastAsia="MS Gothic" w:hAnsi="Calibri" w:cs="Calibri"/>
          <w:sz w:val="26"/>
          <w:lang w:eastAsia="en-AU"/>
        </w:rPr>
      </w:pPr>
      <w:bookmarkStart w:id="94" w:name="_Toc85450761"/>
      <w:bookmarkStart w:id="95" w:name="_Toc85450762"/>
      <w:bookmarkStart w:id="96" w:name="_Ref83654381"/>
      <w:bookmarkEnd w:id="94"/>
      <w:r w:rsidRPr="002F1917">
        <w:rPr>
          <w:rFonts w:ascii="Calibri" w:hAnsi="Calibri" w:cs="Calibri"/>
          <w:sz w:val="26"/>
          <w:lang w:eastAsia="en-AU"/>
        </w:rPr>
        <w:t xml:space="preserve"> </w:t>
      </w:r>
      <w:bookmarkStart w:id="97" w:name="_Toc85792416"/>
      <w:r w:rsidR="00870C3F" w:rsidRPr="002F1917">
        <w:rPr>
          <w:rFonts w:ascii="Calibri" w:hAnsi="Calibri" w:cs="Calibri"/>
          <w:sz w:val="26"/>
          <w:lang w:eastAsia="en-AU"/>
        </w:rPr>
        <w:t>Lack of formal framework for funding of integrity</w:t>
      </w:r>
      <w:bookmarkEnd w:id="95"/>
      <w:bookmarkEnd w:id="96"/>
      <w:bookmarkEnd w:id="97"/>
    </w:p>
    <w:p w14:paraId="1211E2E3" w14:textId="77777777" w:rsidR="00870C3F" w:rsidRPr="002F1917" w:rsidRDefault="00870C3F" w:rsidP="00870C3F">
      <w:pPr>
        <w:pStyle w:val="BodyText"/>
        <w:rPr>
          <w:rFonts w:ascii="Calibri" w:hAnsi="Calibri" w:cs="Calibri"/>
          <w:lang w:val="en-US" w:eastAsia="en-AU"/>
        </w:rPr>
      </w:pPr>
      <w:r w:rsidRPr="002F1917">
        <w:rPr>
          <w:rFonts w:ascii="Calibri" w:hAnsi="Calibri" w:cs="Calibri"/>
        </w:rPr>
        <w:t>A key funding mechanism for managing sport integrity risks is through Product Fee and Integrity Agreements (PFIAs). These agreements are requirements of New South Wales and Victoria’s regulatory frameworks. A PFIA enables the sports controller to charge a product fee based on wagering on their sport. However, while New South Wales legislation states that products fees raised by sports controllers must be used for sport integrity measures, they do not specify what these measures may be. Victorian legislation does not state how the product fee should be used. While there is no evidence that PFIA funds are being misused, given the growth in sports wagering in Australia it appears desirable to have clear standards which sport controllers are required to meet to ensure they have implemented appropriate integrity frameworks.</w:t>
      </w:r>
    </w:p>
    <w:p w14:paraId="5339CA13" w14:textId="09C16225" w:rsidR="00870C3F" w:rsidRPr="002F1917" w:rsidRDefault="00870C3F" w:rsidP="00870C3F">
      <w:pPr>
        <w:pStyle w:val="BodyText"/>
        <w:rPr>
          <w:rFonts w:ascii="Calibri" w:hAnsi="Calibri" w:cs="Calibri"/>
        </w:rPr>
      </w:pPr>
      <w:r w:rsidRPr="002F1917">
        <w:rPr>
          <w:rFonts w:ascii="Calibri" w:hAnsi="Calibri" w:cs="Calibri"/>
        </w:rPr>
        <w:t xml:space="preserve">In addition, the New South Wales and Victoria’s regulatory frameworks only cover sporting events hosted in the corresponding jurisdiction. In practice PFIAs cover sporting events across Australia; this is due to it being in the interest of sports controllers and wagering providers rather than being a regulatory requirement. </w:t>
      </w:r>
    </w:p>
    <w:p w14:paraId="6B0A09CD" w14:textId="06870E16" w:rsidR="00870C3F" w:rsidRPr="002F1917" w:rsidRDefault="002960A9" w:rsidP="00204AA1">
      <w:pPr>
        <w:pStyle w:val="Heading2"/>
        <w:numPr>
          <w:ilvl w:val="1"/>
          <w:numId w:val="26"/>
        </w:numPr>
        <w:suppressAutoHyphens w:val="0"/>
        <w:spacing w:after="120" w:line="280" w:lineRule="auto"/>
        <w:rPr>
          <w:rFonts w:ascii="Calibri" w:hAnsi="Calibri" w:cs="Calibri"/>
          <w:sz w:val="26"/>
          <w:lang w:eastAsia="en-AU"/>
        </w:rPr>
      </w:pPr>
      <w:bookmarkStart w:id="98" w:name="_Ref81207251"/>
      <w:bookmarkStart w:id="99" w:name="_Toc85450763"/>
      <w:r w:rsidRPr="002F1917">
        <w:rPr>
          <w:rFonts w:ascii="Calibri" w:hAnsi="Calibri" w:cs="Calibri"/>
          <w:sz w:val="26"/>
          <w:lang w:eastAsia="en-AU"/>
        </w:rPr>
        <w:t xml:space="preserve"> </w:t>
      </w:r>
      <w:bookmarkStart w:id="100" w:name="_Toc85792417"/>
      <w:r w:rsidR="00870C3F" w:rsidRPr="002F1917">
        <w:rPr>
          <w:rFonts w:ascii="Calibri" w:hAnsi="Calibri" w:cs="Calibri"/>
          <w:sz w:val="26"/>
          <w:lang w:eastAsia="en-AU"/>
        </w:rPr>
        <w:t>Risk ultimately borne by the sports</w:t>
      </w:r>
      <w:bookmarkEnd w:id="98"/>
      <w:bookmarkEnd w:id="99"/>
      <w:bookmarkEnd w:id="100"/>
    </w:p>
    <w:p w14:paraId="7B26E193" w14:textId="77777777" w:rsidR="00870C3F" w:rsidRPr="002F1917" w:rsidRDefault="00870C3F" w:rsidP="00870C3F">
      <w:pPr>
        <w:pStyle w:val="BodyText"/>
        <w:rPr>
          <w:rFonts w:ascii="Calibri" w:hAnsi="Calibri" w:cs="Calibri"/>
        </w:rPr>
      </w:pPr>
      <w:r w:rsidRPr="002F1917">
        <w:rPr>
          <w:rFonts w:ascii="Calibri" w:hAnsi="Calibri" w:cs="Calibri"/>
        </w:rPr>
        <w:t xml:space="preserve">While sport integrity is an issue which concerns wagering providers and governments, the risk is ultimately borne by sports controllers. It is sports controllers who experience the reputational damage associated with a sport integrity incident. This may have further effects of reducing sports attendances, the economic viability of the sporting organisation and sports participation. Examples of this include Taiwanese baseball where, </w:t>
      </w:r>
      <w:proofErr w:type="gramStart"/>
      <w:r w:rsidRPr="002F1917">
        <w:rPr>
          <w:rFonts w:ascii="Calibri" w:hAnsi="Calibri" w:cs="Calibri"/>
        </w:rPr>
        <w:t>as a result of</w:t>
      </w:r>
      <w:proofErr w:type="gramEnd"/>
      <w:r w:rsidRPr="002F1917">
        <w:rPr>
          <w:rFonts w:ascii="Calibri" w:hAnsi="Calibri" w:cs="Calibri"/>
        </w:rPr>
        <w:t xml:space="preserve"> a number of match-fixing scandals, the number of professional teams had fallen from a high of seven to just four, </w:t>
      </w:r>
      <w:r w:rsidRPr="002F1917">
        <w:rPr>
          <w:rFonts w:ascii="Calibri" w:hAnsi="Calibri" w:cs="Calibri"/>
        </w:rPr>
        <w:lastRenderedPageBreak/>
        <w:t>which saw their combined attendance drop 45% between 2004 and 2008.</w:t>
      </w:r>
      <w:r w:rsidRPr="002F1917">
        <w:rPr>
          <w:rStyle w:val="FootnoteReference"/>
          <w:rFonts w:ascii="Calibri" w:hAnsi="Calibri" w:cs="Calibri"/>
        </w:rPr>
        <w:footnoteReference w:id="11"/>
      </w:r>
      <w:r w:rsidRPr="002F1917">
        <w:rPr>
          <w:rFonts w:ascii="Calibri" w:hAnsi="Calibri" w:cs="Calibri"/>
        </w:rPr>
        <w:t xml:space="preserve"> Other examples is the soccer league of China which had problem with match-fixing issues around a decade ago. This led to the national broadcaster ceasing to televise their games and the league’s main sponsor withdrawing.</w:t>
      </w:r>
      <w:r w:rsidRPr="002F1917">
        <w:rPr>
          <w:rStyle w:val="FootnoteReference"/>
          <w:rFonts w:ascii="Calibri" w:hAnsi="Calibri" w:cs="Calibri"/>
        </w:rPr>
        <w:footnoteReference w:id="12"/>
      </w:r>
      <w:r w:rsidRPr="002F1917">
        <w:rPr>
          <w:rFonts w:ascii="Calibri" w:hAnsi="Calibri" w:cs="Calibri"/>
        </w:rPr>
        <w:t xml:space="preserve"> There could also be flow on impacts at a national level, for example sport integrity issues may make a country less attractive for hosting international tournaments and competitions.</w:t>
      </w:r>
    </w:p>
    <w:p w14:paraId="1DA8B805" w14:textId="66173C0A" w:rsidR="00870C3F" w:rsidRPr="002F1917" w:rsidRDefault="00870C3F" w:rsidP="00870C3F">
      <w:pPr>
        <w:pStyle w:val="BodyText"/>
        <w:rPr>
          <w:rFonts w:ascii="Calibri" w:hAnsi="Calibri" w:cs="Calibri"/>
        </w:rPr>
      </w:pPr>
      <w:r w:rsidRPr="002F1917">
        <w:rPr>
          <w:rFonts w:ascii="Calibri" w:hAnsi="Calibri" w:cs="Calibri"/>
        </w:rPr>
        <w:t>Further to the previous sub-section on funding integrity, a significant mechanism for sports integrity is the PFIA. This fee is remitted to sports controller</w:t>
      </w:r>
      <w:r w:rsidR="008B54EB">
        <w:rPr>
          <w:rFonts w:ascii="Calibri" w:hAnsi="Calibri" w:cs="Calibri"/>
        </w:rPr>
        <w:t>s</w:t>
      </w:r>
      <w:r w:rsidRPr="002F1917">
        <w:rPr>
          <w:rFonts w:ascii="Calibri" w:hAnsi="Calibri" w:cs="Calibri"/>
        </w:rPr>
        <w:t xml:space="preserve"> based on the amount wagered on that sport. While the level of sport integrity risk is likely to be correlated to the amount wagered on that sport, there is a base level of preventative education and monitoring that a sport controller can and do undertake to varying degrees. While it is noted that Sport Australia do provide some funding to sports for integrity, the current funding regime may mean that sports controllers with either low or no revenues from PFIAs struggle, or are unable, to fund this minimum level of integrity prevention.</w:t>
      </w:r>
    </w:p>
    <w:p w14:paraId="6CA855C8" w14:textId="77777777" w:rsidR="00870C3F" w:rsidRPr="002F1917" w:rsidRDefault="00870C3F" w:rsidP="00870C3F">
      <w:pPr>
        <w:pStyle w:val="BodyText"/>
        <w:rPr>
          <w:rFonts w:ascii="Calibri" w:hAnsi="Calibri" w:cs="Calibr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284" w:type="dxa"/>
          <w:right w:w="284" w:type="dxa"/>
        </w:tblCellMar>
        <w:tblLook w:val="04A0" w:firstRow="1" w:lastRow="0" w:firstColumn="1" w:lastColumn="0" w:noHBand="0" w:noVBand="1"/>
      </w:tblPr>
      <w:tblGrid>
        <w:gridCol w:w="9064"/>
      </w:tblGrid>
      <w:tr w:rsidR="00870C3F" w:rsidRPr="002F1917" w14:paraId="5804F29A" w14:textId="77777777" w:rsidTr="00870C3F">
        <w:trPr>
          <w:trHeight w:val="284"/>
          <w:jc w:val="center"/>
        </w:trPr>
        <w:tc>
          <w:tcPr>
            <w:tcW w:w="9350" w:type="dxa"/>
            <w:shd w:val="clear" w:color="auto" w:fill="F2F2F2" w:themeFill="background1" w:themeFillShade="F2"/>
            <w:vAlign w:val="bottom"/>
          </w:tcPr>
          <w:p w14:paraId="10EFBBD1" w14:textId="77777777" w:rsidR="00870C3F" w:rsidRPr="002F1917" w:rsidRDefault="00870C3F">
            <w:pPr>
              <w:pStyle w:val="CalloutBoxcaption"/>
              <w:keepNext/>
              <w:numPr>
                <w:ilvl w:val="0"/>
                <w:numId w:val="0"/>
              </w:numPr>
              <w:rPr>
                <w:rFonts w:ascii="Calibri" w:hAnsi="Calibri" w:cs="Calibri"/>
              </w:rPr>
            </w:pPr>
          </w:p>
        </w:tc>
      </w:tr>
      <w:tr w:rsidR="00870C3F" w:rsidRPr="002F1917" w14:paraId="4E739299" w14:textId="77777777" w:rsidTr="00870C3F">
        <w:trPr>
          <w:jc w:val="center"/>
        </w:trPr>
        <w:tc>
          <w:tcPr>
            <w:tcW w:w="9350" w:type="dxa"/>
            <w:shd w:val="clear" w:color="auto" w:fill="F2F2F2" w:themeFill="background1" w:themeFillShade="F2"/>
            <w:vAlign w:val="bottom"/>
            <w:hideMark/>
          </w:tcPr>
          <w:p w14:paraId="50DBE831" w14:textId="77777777" w:rsidR="00870C3F" w:rsidRPr="002F1917" w:rsidRDefault="00870C3F">
            <w:pPr>
              <w:pStyle w:val="CalloutBoxcaption"/>
              <w:keepNext/>
              <w:tabs>
                <w:tab w:val="num" w:pos="360"/>
              </w:tabs>
              <w:rPr>
                <w:rFonts w:ascii="Calibri" w:hAnsi="Calibri" w:cs="Calibri"/>
              </w:rPr>
            </w:pPr>
            <w:r w:rsidRPr="002F1917">
              <w:rPr>
                <w:rFonts w:ascii="Calibri" w:hAnsi="Calibri" w:cs="Calibri"/>
              </w:rPr>
              <w:t>Case Study - Manipulating a competition not linked to sports wagering</w:t>
            </w:r>
          </w:p>
          <w:p w14:paraId="30092E39" w14:textId="77777777" w:rsidR="00CD20B4" w:rsidRPr="003C022F" w:rsidRDefault="00CD20B4" w:rsidP="00CD20B4">
            <w:pPr>
              <w:rPr>
                <w:rFonts w:ascii="Calibri" w:hAnsi="Calibri" w:cs="Calibri"/>
                <w:sz w:val="20"/>
                <w:szCs w:val="20"/>
              </w:rPr>
            </w:pPr>
            <w:r w:rsidRPr="003C022F">
              <w:rPr>
                <w:rFonts w:ascii="Calibri" w:hAnsi="Calibri" w:cs="Calibri"/>
                <w:sz w:val="20"/>
                <w:szCs w:val="20"/>
              </w:rPr>
              <w:t xml:space="preserve">A report by Professor Richard McLaren into boxing at the Rio 2016 Olympics found widespread evidence of ‘corruption, bribery and the manipulation of sporting results’ with judges giving each other signals at ringside to fix bouts. The report’s investigation identified seven to 10 suspicious bouts where manipulation is likely to have taken place. </w:t>
            </w:r>
          </w:p>
          <w:p w14:paraId="6B3F1DFE" w14:textId="77777777" w:rsidR="00CD20B4" w:rsidRPr="003C022F" w:rsidRDefault="00CD20B4" w:rsidP="00CD20B4">
            <w:pPr>
              <w:rPr>
                <w:rFonts w:ascii="Calibri" w:hAnsi="Calibri" w:cs="Calibri"/>
                <w:sz w:val="20"/>
                <w:szCs w:val="20"/>
              </w:rPr>
            </w:pPr>
            <w:r w:rsidRPr="003C022F">
              <w:rPr>
                <w:rFonts w:ascii="Calibri" w:hAnsi="Calibri" w:cs="Calibri"/>
                <w:sz w:val="20"/>
                <w:szCs w:val="20"/>
              </w:rPr>
              <w:t>The corruption went right to the top of the governing body with two senior Aiba officials at the time, Wu Ching-</w:t>
            </w:r>
            <w:proofErr w:type="spellStart"/>
            <w:r w:rsidRPr="003C022F">
              <w:rPr>
                <w:rFonts w:ascii="Calibri" w:hAnsi="Calibri" w:cs="Calibri"/>
                <w:sz w:val="20"/>
                <w:szCs w:val="20"/>
              </w:rPr>
              <w:t>kuo</w:t>
            </w:r>
            <w:proofErr w:type="spellEnd"/>
            <w:r w:rsidRPr="003C022F">
              <w:rPr>
                <w:rFonts w:ascii="Calibri" w:hAnsi="Calibri" w:cs="Calibri"/>
                <w:sz w:val="20"/>
                <w:szCs w:val="20"/>
              </w:rPr>
              <w:t xml:space="preserve"> (then </w:t>
            </w:r>
            <w:proofErr w:type="spellStart"/>
            <w:r w:rsidRPr="003C022F">
              <w:rPr>
                <w:rFonts w:ascii="Calibri" w:hAnsi="Calibri" w:cs="Calibri"/>
                <w:sz w:val="20"/>
                <w:szCs w:val="20"/>
              </w:rPr>
              <w:t>Aiba</w:t>
            </w:r>
            <w:proofErr w:type="spellEnd"/>
            <w:r w:rsidRPr="003C022F">
              <w:rPr>
                <w:rFonts w:ascii="Calibri" w:hAnsi="Calibri" w:cs="Calibri"/>
                <w:sz w:val="20"/>
                <w:szCs w:val="20"/>
              </w:rPr>
              <w:t xml:space="preserve"> President) and Karim </w:t>
            </w:r>
            <w:proofErr w:type="spellStart"/>
            <w:r w:rsidRPr="003C022F">
              <w:rPr>
                <w:rFonts w:ascii="Calibri" w:hAnsi="Calibri" w:cs="Calibri"/>
                <w:sz w:val="20"/>
                <w:szCs w:val="20"/>
              </w:rPr>
              <w:t>Bouzidi</w:t>
            </w:r>
            <w:proofErr w:type="spellEnd"/>
            <w:r w:rsidRPr="003C022F">
              <w:rPr>
                <w:rFonts w:ascii="Calibri" w:hAnsi="Calibri" w:cs="Calibri"/>
                <w:sz w:val="20"/>
                <w:szCs w:val="20"/>
              </w:rPr>
              <w:t xml:space="preserve"> (then Executive Director) being identified as ‘key actors’ in ‘allowing the manipulation to flourish’.  </w:t>
            </w:r>
            <w:proofErr w:type="spellStart"/>
            <w:r w:rsidRPr="003C022F">
              <w:rPr>
                <w:rFonts w:ascii="Calibri" w:hAnsi="Calibri" w:cs="Calibri"/>
                <w:sz w:val="20"/>
                <w:szCs w:val="20"/>
              </w:rPr>
              <w:t>Bouzidi</w:t>
            </w:r>
            <w:proofErr w:type="spellEnd"/>
            <w:r w:rsidRPr="003C022F">
              <w:rPr>
                <w:rFonts w:ascii="Calibri" w:hAnsi="Calibri" w:cs="Calibri"/>
                <w:sz w:val="20"/>
                <w:szCs w:val="20"/>
              </w:rPr>
              <w:t xml:space="preserve"> was the main perpetrator, selecting all the officials for the Rio 2016 Olympics and becoming so powerful that the referee and judging governance processes were rendered obsolete. </w:t>
            </w:r>
          </w:p>
          <w:p w14:paraId="6F6E7894" w14:textId="77777777" w:rsidR="00CD20B4" w:rsidRPr="003C022F" w:rsidRDefault="00CD20B4" w:rsidP="00CD20B4">
            <w:pPr>
              <w:rPr>
                <w:rFonts w:ascii="Calibri" w:hAnsi="Calibri" w:cs="Calibri"/>
                <w:sz w:val="20"/>
                <w:szCs w:val="20"/>
              </w:rPr>
            </w:pPr>
            <w:r w:rsidRPr="003C022F">
              <w:rPr>
                <w:rFonts w:ascii="Calibri" w:hAnsi="Calibri" w:cs="Calibri"/>
                <w:sz w:val="20"/>
                <w:szCs w:val="20"/>
              </w:rPr>
              <w:t>To orchestrate the fixed bouts, a handpicked team of senior five-star referees and judges used signals at ringside or instructed colleagues on the morning of fights as to who should win. Meanwhile incorruptible officials were driven out of the sport, with a weeding out process during the qualifying competition for Rio.</w:t>
            </w:r>
          </w:p>
          <w:p w14:paraId="7C14C7C3" w14:textId="7A4FF960" w:rsidR="00CD20B4" w:rsidRPr="003C022F" w:rsidRDefault="00CD20B4" w:rsidP="00CD20B4">
            <w:pPr>
              <w:rPr>
                <w:rFonts w:ascii="Calibri" w:hAnsi="Calibri" w:cs="Calibri"/>
                <w:sz w:val="20"/>
                <w:szCs w:val="20"/>
              </w:rPr>
            </w:pPr>
            <w:r w:rsidRPr="003C022F">
              <w:rPr>
                <w:rFonts w:ascii="Calibri" w:hAnsi="Calibri" w:cs="Calibri"/>
                <w:sz w:val="20"/>
                <w:szCs w:val="20"/>
              </w:rPr>
              <w:t xml:space="preserve">Two of the most high-profile bouts under investigation include the controversial defeats at the Rio Games for Great Britain’s Joe Joyce in the super-heavyweight final against France’s Tony </w:t>
            </w:r>
            <w:proofErr w:type="spellStart"/>
            <w:r w:rsidRPr="003C022F">
              <w:rPr>
                <w:rFonts w:ascii="Calibri" w:hAnsi="Calibri" w:cs="Calibri"/>
                <w:sz w:val="20"/>
                <w:szCs w:val="20"/>
              </w:rPr>
              <w:t>Yoka</w:t>
            </w:r>
            <w:proofErr w:type="spellEnd"/>
            <w:r w:rsidRPr="003C022F">
              <w:rPr>
                <w:rFonts w:ascii="Calibri" w:hAnsi="Calibri" w:cs="Calibri"/>
                <w:sz w:val="20"/>
                <w:szCs w:val="20"/>
              </w:rPr>
              <w:t xml:space="preserve"> and Ireland’s Michael </w:t>
            </w:r>
            <w:proofErr w:type="spellStart"/>
            <w:r w:rsidRPr="003C022F">
              <w:rPr>
                <w:rFonts w:ascii="Calibri" w:hAnsi="Calibri" w:cs="Calibri"/>
                <w:sz w:val="20"/>
                <w:szCs w:val="20"/>
              </w:rPr>
              <w:t>Conlan</w:t>
            </w:r>
            <w:proofErr w:type="spellEnd"/>
            <w:r w:rsidRPr="003C022F">
              <w:rPr>
                <w:rFonts w:ascii="Calibri" w:hAnsi="Calibri" w:cs="Calibri"/>
                <w:sz w:val="20"/>
                <w:szCs w:val="20"/>
              </w:rPr>
              <w:t xml:space="preserve"> in his bantamweight quarter-final against the Russian Vladimir Nikitin. </w:t>
            </w:r>
            <w:proofErr w:type="spellStart"/>
            <w:r w:rsidRPr="003C022F">
              <w:rPr>
                <w:rFonts w:ascii="Calibri" w:hAnsi="Calibri" w:cs="Calibri"/>
                <w:sz w:val="20"/>
                <w:szCs w:val="20"/>
              </w:rPr>
              <w:t>Conlan</w:t>
            </w:r>
            <w:proofErr w:type="spellEnd"/>
            <w:r w:rsidRPr="003C022F">
              <w:rPr>
                <w:rFonts w:ascii="Calibri" w:hAnsi="Calibri" w:cs="Calibri"/>
                <w:sz w:val="20"/>
                <w:szCs w:val="20"/>
              </w:rPr>
              <w:t xml:space="preserve">, who reacted angrily after the controversial bout, welcomed the report’s findings. In a recent interview </w:t>
            </w:r>
            <w:proofErr w:type="spellStart"/>
            <w:r w:rsidRPr="003C022F">
              <w:rPr>
                <w:rFonts w:ascii="Calibri" w:hAnsi="Calibri" w:cs="Calibri"/>
                <w:sz w:val="20"/>
                <w:szCs w:val="20"/>
              </w:rPr>
              <w:t>Conlan</w:t>
            </w:r>
            <w:proofErr w:type="spellEnd"/>
            <w:r w:rsidRPr="003C022F">
              <w:rPr>
                <w:rFonts w:ascii="Calibri" w:hAnsi="Calibri" w:cs="Calibri"/>
                <w:sz w:val="20"/>
                <w:szCs w:val="20"/>
              </w:rPr>
              <w:t xml:space="preserve"> said ‘the black mark of Rio will always be </w:t>
            </w:r>
            <w:r w:rsidR="000E262D" w:rsidRPr="003C022F">
              <w:rPr>
                <w:rFonts w:ascii="Calibri" w:hAnsi="Calibri" w:cs="Calibri"/>
                <w:sz w:val="20"/>
                <w:szCs w:val="20"/>
              </w:rPr>
              <w:t>there,</w:t>
            </w:r>
            <w:r w:rsidRPr="003C022F">
              <w:rPr>
                <w:rFonts w:ascii="Calibri" w:hAnsi="Calibri" w:cs="Calibri"/>
                <w:sz w:val="20"/>
                <w:szCs w:val="20"/>
              </w:rPr>
              <w:t xml:space="preserve"> and I think if I hadn’t said what I said and done what I did this probably wouldn’t be happening now.  I think it’s a huge day for amateur boxing and especially for the guys who suffered in Rio, including myself. It is vindication.</w:t>
            </w:r>
            <w:r w:rsidR="00055245">
              <w:rPr>
                <w:rFonts w:ascii="Calibri" w:hAnsi="Calibri" w:cs="Calibri"/>
                <w:sz w:val="20"/>
                <w:szCs w:val="20"/>
              </w:rPr>
              <w:t>’</w:t>
            </w:r>
          </w:p>
          <w:p w14:paraId="6B9BE6C4" w14:textId="4B226E2A" w:rsidR="00EE6CB2" w:rsidRPr="00D63997" w:rsidRDefault="00CD20B4">
            <w:pPr>
              <w:rPr>
                <w:rFonts w:ascii="Calibri" w:hAnsi="Calibri" w:cs="Calibri"/>
                <w:sz w:val="20"/>
                <w:szCs w:val="20"/>
              </w:rPr>
            </w:pPr>
            <w:r w:rsidRPr="003C022F">
              <w:rPr>
                <w:rFonts w:ascii="Calibri" w:hAnsi="Calibri" w:cs="Calibri"/>
                <w:sz w:val="20"/>
                <w:szCs w:val="20"/>
              </w:rPr>
              <w:t xml:space="preserve">The new </w:t>
            </w:r>
            <w:proofErr w:type="spellStart"/>
            <w:r w:rsidRPr="003C022F">
              <w:rPr>
                <w:rFonts w:ascii="Calibri" w:hAnsi="Calibri" w:cs="Calibri"/>
                <w:sz w:val="20"/>
                <w:szCs w:val="20"/>
              </w:rPr>
              <w:t>Aiba</w:t>
            </w:r>
            <w:proofErr w:type="spellEnd"/>
            <w:r w:rsidRPr="003C022F">
              <w:rPr>
                <w:rFonts w:ascii="Calibri" w:hAnsi="Calibri" w:cs="Calibri"/>
                <w:sz w:val="20"/>
                <w:szCs w:val="20"/>
              </w:rPr>
              <w:t xml:space="preserve"> President, Umar </w:t>
            </w:r>
            <w:proofErr w:type="spellStart"/>
            <w:r w:rsidRPr="003C022F">
              <w:rPr>
                <w:rFonts w:ascii="Calibri" w:hAnsi="Calibri" w:cs="Calibri"/>
                <w:sz w:val="20"/>
                <w:szCs w:val="20"/>
              </w:rPr>
              <w:t>Kremlev</w:t>
            </w:r>
            <w:proofErr w:type="spellEnd"/>
            <w:r w:rsidRPr="003C022F">
              <w:rPr>
                <w:rFonts w:ascii="Calibri" w:hAnsi="Calibri" w:cs="Calibri"/>
                <w:sz w:val="20"/>
                <w:szCs w:val="20"/>
              </w:rPr>
              <w:t xml:space="preserve">, who commissioned the report, released a statement saying Aiba will incorporate any helpful recommendations in the </w:t>
            </w:r>
            <w:r w:rsidR="000E262D" w:rsidRPr="003C022F">
              <w:rPr>
                <w:rFonts w:ascii="Calibri" w:hAnsi="Calibri" w:cs="Calibri"/>
                <w:sz w:val="20"/>
                <w:szCs w:val="20"/>
              </w:rPr>
              <w:t>preceding</w:t>
            </w:r>
            <w:r w:rsidRPr="003C022F">
              <w:rPr>
                <w:rFonts w:ascii="Calibri" w:hAnsi="Calibri" w:cs="Calibri"/>
                <w:sz w:val="20"/>
                <w:szCs w:val="20"/>
              </w:rPr>
              <w:t xml:space="preserve"> two reports on the investigation. </w:t>
            </w:r>
          </w:p>
          <w:p w14:paraId="440116EF" w14:textId="77777777" w:rsidR="00870C3F" w:rsidRPr="002F1917" w:rsidRDefault="00870C3F">
            <w:pPr>
              <w:rPr>
                <w:rFonts w:ascii="Calibri" w:hAnsi="Calibri" w:cs="Calibri"/>
                <w:b/>
                <w:sz w:val="20"/>
              </w:rPr>
            </w:pPr>
            <w:r w:rsidRPr="002F1917">
              <w:rPr>
                <w:rFonts w:ascii="Calibri" w:hAnsi="Calibri" w:cs="Calibri"/>
                <w:b/>
                <w:sz w:val="20"/>
              </w:rPr>
              <w:t>This example underlines the need to take a multi-faceted approach to monitoring and investigating sport integrity risks rather than relying on wagering providers identifying suspicious activity in betting patterns.</w:t>
            </w:r>
          </w:p>
          <w:p w14:paraId="78D9969A" w14:textId="77777777" w:rsidR="00870C3F" w:rsidRPr="002F1917" w:rsidRDefault="00870C3F">
            <w:pPr>
              <w:rPr>
                <w:rFonts w:ascii="Calibri" w:hAnsi="Calibri" w:cs="Calibri"/>
                <w:i/>
                <w:sz w:val="16"/>
                <w:szCs w:val="16"/>
              </w:rPr>
            </w:pPr>
            <w:r w:rsidRPr="00907E12">
              <w:rPr>
                <w:rFonts w:ascii="Calibri" w:hAnsi="Calibri" w:cs="Calibri"/>
                <w:i/>
                <w:sz w:val="16"/>
                <w:szCs w:val="16"/>
              </w:rPr>
              <w:t>Source: Sport Integrity Australia</w:t>
            </w:r>
          </w:p>
        </w:tc>
      </w:tr>
      <w:tr w:rsidR="00870C3F" w:rsidRPr="002F1917" w14:paraId="1F7BB5ED" w14:textId="77777777" w:rsidTr="00870C3F">
        <w:trPr>
          <w:trHeight w:val="284"/>
          <w:jc w:val="center"/>
        </w:trPr>
        <w:tc>
          <w:tcPr>
            <w:tcW w:w="9350" w:type="dxa"/>
            <w:shd w:val="clear" w:color="auto" w:fill="F2F2F2" w:themeFill="background1" w:themeFillShade="F2"/>
            <w:vAlign w:val="bottom"/>
          </w:tcPr>
          <w:p w14:paraId="42CBCCC7" w14:textId="77777777" w:rsidR="00870C3F" w:rsidRPr="002F1917" w:rsidRDefault="00870C3F">
            <w:pPr>
              <w:pStyle w:val="CalloutBoxcaption"/>
              <w:numPr>
                <w:ilvl w:val="0"/>
                <w:numId w:val="0"/>
              </w:numPr>
              <w:rPr>
                <w:rFonts w:ascii="Calibri" w:hAnsi="Calibri" w:cs="Calibri"/>
              </w:rPr>
            </w:pPr>
          </w:p>
        </w:tc>
      </w:tr>
    </w:tbl>
    <w:p w14:paraId="157321CE" w14:textId="77777777" w:rsidR="002F1917" w:rsidRPr="002F1917" w:rsidRDefault="002F1917" w:rsidP="00870C3F">
      <w:pPr>
        <w:pStyle w:val="Heading4"/>
        <w:rPr>
          <w:rFonts w:ascii="Calibri" w:hAnsi="Calibri" w:cs="Calibri"/>
          <w:sz w:val="20"/>
          <w:szCs w:val="20"/>
        </w:rPr>
      </w:pPr>
    </w:p>
    <w:p w14:paraId="67FF1173" w14:textId="3C266A87" w:rsidR="00870C3F" w:rsidRPr="002F1917" w:rsidRDefault="00870C3F" w:rsidP="00AE1945">
      <w:pPr>
        <w:pStyle w:val="Heading3"/>
        <w:rPr>
          <w:rFonts w:eastAsia="MS Gothic"/>
          <w:sz w:val="24"/>
        </w:rPr>
      </w:pPr>
      <w:r w:rsidRPr="002F1917">
        <w:t xml:space="preserve">Questions on </w:t>
      </w:r>
      <w:r w:rsidR="00373CE2">
        <w:t xml:space="preserve">Consultation </w:t>
      </w:r>
      <w:r w:rsidRPr="002F1917">
        <w:t xml:space="preserve">Regulatory Impact Statement </w:t>
      </w:r>
    </w:p>
    <w:p w14:paraId="3F4D4623" w14:textId="77777777" w:rsidR="00870C3F" w:rsidRPr="002F1917" w:rsidRDefault="00870C3F" w:rsidP="00870C3F">
      <w:pPr>
        <w:pStyle w:val="ListBullet1"/>
        <w:numPr>
          <w:ilvl w:val="0"/>
          <w:numId w:val="0"/>
        </w:numPr>
        <w:tabs>
          <w:tab w:val="left" w:pos="720"/>
        </w:tabs>
        <w:jc w:val="left"/>
        <w:rPr>
          <w:rFonts w:ascii="Calibri" w:hAnsi="Calibri" w:cs="Calibri"/>
          <w:szCs w:val="20"/>
        </w:rPr>
      </w:pPr>
      <w:r w:rsidRPr="002F1917">
        <w:rPr>
          <w:rFonts w:ascii="Calibri" w:hAnsi="Calibri" w:cs="Calibri"/>
          <w:szCs w:val="20"/>
        </w:rPr>
        <w:t>Do you agree with the overarching problem that regulatory framework around sport integrity has not changed in line with the sports wagering sector?</w:t>
      </w:r>
    </w:p>
    <w:p w14:paraId="128892FF" w14:textId="28D19A55" w:rsidR="00870C3F" w:rsidRPr="002F1917" w:rsidRDefault="00870C3F" w:rsidP="00870C3F">
      <w:pPr>
        <w:pStyle w:val="ListBullet1"/>
        <w:numPr>
          <w:ilvl w:val="0"/>
          <w:numId w:val="0"/>
        </w:numPr>
        <w:tabs>
          <w:tab w:val="left" w:pos="720"/>
        </w:tabs>
        <w:jc w:val="left"/>
        <w:rPr>
          <w:rFonts w:ascii="Calibri" w:hAnsi="Calibri" w:cs="Calibri"/>
          <w:szCs w:val="20"/>
          <w:lang w:val="en-US"/>
        </w:rPr>
      </w:pPr>
      <w:r w:rsidRPr="002F1917">
        <w:rPr>
          <w:rFonts w:ascii="Calibri" w:hAnsi="Calibri" w:cs="Calibri"/>
          <w:szCs w:val="20"/>
          <w:lang w:val="en-US"/>
        </w:rPr>
        <w:t xml:space="preserve">Are there any other problems relevant to the scope of this </w:t>
      </w:r>
      <w:r w:rsidR="006770FF">
        <w:rPr>
          <w:rFonts w:ascii="Calibri" w:hAnsi="Calibri" w:cs="Calibri"/>
          <w:szCs w:val="20"/>
          <w:lang w:val="en-US"/>
        </w:rPr>
        <w:t xml:space="preserve">Consultation </w:t>
      </w:r>
      <w:r w:rsidRPr="002F1917">
        <w:rPr>
          <w:rFonts w:ascii="Calibri" w:hAnsi="Calibri" w:cs="Calibri"/>
          <w:szCs w:val="20"/>
          <w:lang w:val="en-US"/>
        </w:rPr>
        <w:t>Regulatory Impact Statement? If so, please provide evidence of these problems.</w:t>
      </w:r>
    </w:p>
    <w:p w14:paraId="1C7BF1CB" w14:textId="77777777" w:rsidR="00870C3F" w:rsidRPr="002F1917" w:rsidRDefault="00870C3F" w:rsidP="00870C3F">
      <w:pPr>
        <w:pStyle w:val="ListBullet1"/>
        <w:numPr>
          <w:ilvl w:val="0"/>
          <w:numId w:val="0"/>
        </w:numPr>
        <w:tabs>
          <w:tab w:val="left" w:pos="720"/>
        </w:tabs>
        <w:jc w:val="left"/>
        <w:rPr>
          <w:rFonts w:ascii="Calibri" w:hAnsi="Calibri" w:cs="Calibri"/>
          <w:szCs w:val="20"/>
        </w:rPr>
      </w:pPr>
    </w:p>
    <w:p w14:paraId="59F7B237" w14:textId="77777777" w:rsidR="00870C3F" w:rsidRPr="002F1917" w:rsidRDefault="00870C3F" w:rsidP="00870C3F">
      <w:pPr>
        <w:spacing w:before="0" w:line="240" w:lineRule="auto"/>
        <w:rPr>
          <w:rFonts w:ascii="Calibri" w:hAnsi="Calibri" w:cs="Calibri"/>
          <w:sz w:val="20"/>
          <w:szCs w:val="20"/>
          <w:lang w:val="en-GB"/>
        </w:rPr>
      </w:pPr>
      <w:r w:rsidRPr="002F1917">
        <w:rPr>
          <w:rFonts w:ascii="Calibri" w:hAnsi="Calibri" w:cs="Calibri"/>
          <w:szCs w:val="20"/>
        </w:rPr>
        <w:br w:type="page"/>
      </w:r>
    </w:p>
    <w:p w14:paraId="0E7CCE09" w14:textId="77777777" w:rsidR="00870C3F" w:rsidRPr="002F1917" w:rsidRDefault="00870C3F" w:rsidP="00204AA1">
      <w:pPr>
        <w:pStyle w:val="Heading1"/>
        <w:numPr>
          <w:ilvl w:val="0"/>
          <w:numId w:val="26"/>
        </w:numPr>
        <w:suppressAutoHyphens w:val="0"/>
        <w:spacing w:before="480" w:after="360" w:line="240" w:lineRule="auto"/>
        <w:rPr>
          <w:rFonts w:ascii="Calibri" w:eastAsia="MS Gothic" w:hAnsi="Calibri" w:cs="Calibri"/>
          <w:color w:val="3F4A75"/>
          <w:szCs w:val="36"/>
          <w:lang w:val="en-US"/>
        </w:rPr>
      </w:pPr>
      <w:bookmarkStart w:id="101" w:name="_Ref79408783"/>
      <w:bookmarkStart w:id="102" w:name="_Toc81557596"/>
      <w:bookmarkStart w:id="103" w:name="_Toc85450764"/>
      <w:bookmarkStart w:id="104" w:name="_Toc85792418"/>
      <w:r w:rsidRPr="002F1917">
        <w:rPr>
          <w:rFonts w:ascii="Calibri" w:hAnsi="Calibri" w:cs="Calibri"/>
        </w:rPr>
        <w:lastRenderedPageBreak/>
        <w:t>Why is government action needed?</w:t>
      </w:r>
      <w:bookmarkEnd w:id="101"/>
      <w:bookmarkEnd w:id="102"/>
      <w:bookmarkEnd w:id="103"/>
      <w:bookmarkEnd w:id="104"/>
    </w:p>
    <w:p w14:paraId="64F8F1E1" w14:textId="06342428" w:rsidR="00870C3F" w:rsidRPr="002F1917" w:rsidRDefault="002960A9" w:rsidP="00204AA1">
      <w:pPr>
        <w:pStyle w:val="Heading2"/>
        <w:numPr>
          <w:ilvl w:val="1"/>
          <w:numId w:val="26"/>
        </w:numPr>
        <w:suppressAutoHyphens w:val="0"/>
        <w:spacing w:after="120" w:line="280" w:lineRule="auto"/>
        <w:rPr>
          <w:rFonts w:ascii="Calibri" w:hAnsi="Calibri" w:cs="Calibri"/>
          <w:sz w:val="26"/>
          <w:lang w:eastAsia="en-AU"/>
        </w:rPr>
      </w:pPr>
      <w:bookmarkStart w:id="105" w:name="_Toc85450765"/>
      <w:r w:rsidRPr="002F1917">
        <w:rPr>
          <w:rFonts w:ascii="Calibri" w:hAnsi="Calibri" w:cs="Calibri"/>
          <w:sz w:val="26"/>
          <w:lang w:eastAsia="en-AU"/>
        </w:rPr>
        <w:t xml:space="preserve"> </w:t>
      </w:r>
      <w:bookmarkStart w:id="106" w:name="_Toc85792419"/>
      <w:r w:rsidR="00870C3F" w:rsidRPr="002F1917">
        <w:rPr>
          <w:rFonts w:ascii="Calibri" w:hAnsi="Calibri" w:cs="Calibri"/>
          <w:sz w:val="26"/>
          <w:lang w:eastAsia="en-AU"/>
        </w:rPr>
        <w:t>While sports wagering has changed, there is an ongoing rationale for government regulation</w:t>
      </w:r>
      <w:bookmarkEnd w:id="105"/>
      <w:bookmarkEnd w:id="106"/>
    </w:p>
    <w:p w14:paraId="3D6430EF" w14:textId="42565643" w:rsidR="00870C3F" w:rsidRPr="002F1917" w:rsidRDefault="00870C3F" w:rsidP="00870C3F">
      <w:pPr>
        <w:pStyle w:val="BodyText"/>
        <w:rPr>
          <w:rFonts w:ascii="Calibri" w:hAnsi="Calibri" w:cs="Calibri"/>
        </w:rPr>
      </w:pPr>
      <w:r w:rsidRPr="002F1917">
        <w:rPr>
          <w:rFonts w:ascii="Calibri" w:hAnsi="Calibri" w:cs="Calibri"/>
        </w:rPr>
        <w:t>Australian governments (both Commonwealth and state and territory) already regulate sport</w:t>
      </w:r>
      <w:r w:rsidR="008B54EB">
        <w:rPr>
          <w:rFonts w:ascii="Calibri" w:hAnsi="Calibri" w:cs="Calibri"/>
        </w:rPr>
        <w:t>s</w:t>
      </w:r>
      <w:r w:rsidRPr="002F1917">
        <w:rPr>
          <w:rFonts w:ascii="Calibri" w:hAnsi="Calibri" w:cs="Calibri"/>
        </w:rPr>
        <w:t xml:space="preserve"> wagering (see Section </w:t>
      </w:r>
      <w:r w:rsidRPr="002F1917">
        <w:rPr>
          <w:rFonts w:ascii="Calibri" w:hAnsi="Calibri" w:cs="Calibri"/>
        </w:rPr>
        <w:fldChar w:fldCharType="begin"/>
      </w:r>
      <w:r w:rsidRPr="002F1917">
        <w:rPr>
          <w:rFonts w:ascii="Calibri" w:hAnsi="Calibri" w:cs="Calibri"/>
        </w:rPr>
        <w:instrText xml:space="preserve"> REF _Ref79569398 \r \h  \* MERGEFORMAT </w:instrText>
      </w:r>
      <w:r w:rsidRPr="002F1917">
        <w:rPr>
          <w:rFonts w:ascii="Calibri" w:hAnsi="Calibri" w:cs="Calibri"/>
        </w:rPr>
      </w:r>
      <w:r w:rsidRPr="002F1917">
        <w:rPr>
          <w:rFonts w:ascii="Calibri" w:hAnsi="Calibri" w:cs="Calibri"/>
        </w:rPr>
        <w:fldChar w:fldCharType="separate"/>
      </w:r>
      <w:r w:rsidRPr="002F1917">
        <w:rPr>
          <w:rFonts w:ascii="Calibri" w:hAnsi="Calibri" w:cs="Calibri"/>
        </w:rPr>
        <w:t>2</w:t>
      </w:r>
      <w:r w:rsidRPr="002F1917">
        <w:rPr>
          <w:rFonts w:ascii="Calibri" w:hAnsi="Calibri" w:cs="Calibri"/>
        </w:rPr>
        <w:fldChar w:fldCharType="end"/>
      </w:r>
      <w:r w:rsidRPr="002F1917">
        <w:rPr>
          <w:rFonts w:ascii="Calibri" w:hAnsi="Calibri" w:cs="Calibri"/>
        </w:rPr>
        <w:t xml:space="preserve"> for detail of the current regulatory framework). </w:t>
      </w:r>
    </w:p>
    <w:p w14:paraId="47B625C1" w14:textId="238FEB14" w:rsidR="00870C3F" w:rsidRPr="002F1917" w:rsidRDefault="00870C3F" w:rsidP="00870C3F">
      <w:pPr>
        <w:pStyle w:val="BodyText"/>
        <w:rPr>
          <w:rFonts w:ascii="Calibri" w:hAnsi="Calibri" w:cs="Calibri"/>
          <w:lang w:val="en-US" w:eastAsia="en-AU"/>
        </w:rPr>
      </w:pPr>
      <w:r w:rsidRPr="002F1917">
        <w:rPr>
          <w:rFonts w:ascii="Calibri" w:hAnsi="Calibri" w:cs="Calibri"/>
          <w:lang w:val="en-US" w:eastAsia="en-AU"/>
        </w:rPr>
        <w:t xml:space="preserve">As detailed in Section </w:t>
      </w:r>
      <w:r w:rsidRPr="002F1917">
        <w:rPr>
          <w:rFonts w:ascii="Calibri" w:hAnsi="Calibri" w:cs="Calibri"/>
          <w:lang w:val="en-US" w:eastAsia="en-AU"/>
        </w:rPr>
        <w:fldChar w:fldCharType="begin"/>
      </w:r>
      <w:r w:rsidRPr="002F1917">
        <w:rPr>
          <w:rFonts w:ascii="Calibri" w:hAnsi="Calibri" w:cs="Calibri"/>
          <w:lang w:val="en-US" w:eastAsia="en-AU"/>
        </w:rPr>
        <w:instrText xml:space="preserve"> REF _Ref79408782 \r \h </w:instrText>
      </w:r>
      <w:r w:rsidR="002F1917">
        <w:rPr>
          <w:rFonts w:ascii="Calibri" w:hAnsi="Calibri" w:cs="Calibri"/>
          <w:lang w:val="en-US" w:eastAsia="en-AU"/>
        </w:rPr>
        <w:instrText xml:space="preserve"> \* MERGEFORMAT </w:instrText>
      </w:r>
      <w:r w:rsidRPr="002F1917">
        <w:rPr>
          <w:rFonts w:ascii="Calibri" w:hAnsi="Calibri" w:cs="Calibri"/>
          <w:lang w:val="en-US" w:eastAsia="en-AU"/>
        </w:rPr>
      </w:r>
      <w:r w:rsidRPr="002F1917">
        <w:rPr>
          <w:rFonts w:ascii="Calibri" w:hAnsi="Calibri" w:cs="Calibri"/>
          <w:lang w:val="en-US" w:eastAsia="en-AU"/>
        </w:rPr>
        <w:fldChar w:fldCharType="separate"/>
      </w:r>
      <w:r w:rsidRPr="002F1917">
        <w:rPr>
          <w:rFonts w:ascii="Calibri" w:hAnsi="Calibri" w:cs="Calibri"/>
          <w:lang w:val="en-US" w:eastAsia="en-AU"/>
        </w:rPr>
        <w:t>3</w:t>
      </w:r>
      <w:r w:rsidRPr="002F1917">
        <w:rPr>
          <w:rFonts w:ascii="Calibri" w:hAnsi="Calibri" w:cs="Calibri"/>
          <w:lang w:val="en-US" w:eastAsia="en-AU"/>
        </w:rPr>
        <w:fldChar w:fldCharType="end"/>
      </w:r>
      <w:r w:rsidRPr="002F1917">
        <w:rPr>
          <w:rFonts w:ascii="Calibri" w:hAnsi="Calibri" w:cs="Calibri"/>
          <w:lang w:val="en-US" w:eastAsia="en-AU"/>
        </w:rPr>
        <w:t xml:space="preserve">, </w:t>
      </w:r>
      <w:r w:rsidRPr="002F1917">
        <w:rPr>
          <w:rFonts w:ascii="Calibri" w:hAnsi="Calibri" w:cs="Calibri"/>
        </w:rPr>
        <w:t xml:space="preserve">the </w:t>
      </w:r>
      <w:r w:rsidRPr="00900E78">
        <w:rPr>
          <w:rFonts w:ascii="Calibri" w:hAnsi="Calibri" w:cs="Calibri"/>
        </w:rPr>
        <w:t xml:space="preserve">volume </w:t>
      </w:r>
      <w:r w:rsidR="00310885" w:rsidRPr="00900E78">
        <w:rPr>
          <w:rFonts w:ascii="Calibri" w:hAnsi="Calibri" w:cs="Calibri"/>
        </w:rPr>
        <w:t>and nature</w:t>
      </w:r>
      <w:r w:rsidR="00310885">
        <w:rPr>
          <w:rFonts w:ascii="Calibri" w:hAnsi="Calibri" w:cs="Calibri"/>
        </w:rPr>
        <w:t xml:space="preserve"> </w:t>
      </w:r>
      <w:r w:rsidRPr="002F1917">
        <w:rPr>
          <w:rFonts w:ascii="Calibri" w:hAnsi="Calibri" w:cs="Calibri"/>
        </w:rPr>
        <w:t xml:space="preserve">of sports wagering has </w:t>
      </w:r>
      <w:r w:rsidR="00310885" w:rsidRPr="00900E78">
        <w:rPr>
          <w:rFonts w:ascii="Calibri" w:hAnsi="Calibri" w:cs="Calibri"/>
        </w:rPr>
        <w:t>expanded</w:t>
      </w:r>
      <w:r w:rsidRPr="002F1917">
        <w:rPr>
          <w:rFonts w:ascii="Calibri" w:hAnsi="Calibri" w:cs="Calibri"/>
        </w:rPr>
        <w:t xml:space="preserve"> over time while the regulatory framework has stayed largely the same.</w:t>
      </w:r>
      <w:r w:rsidRPr="002F1917">
        <w:rPr>
          <w:rFonts w:ascii="Calibri" w:hAnsi="Calibri" w:cs="Calibri"/>
          <w:lang w:val="en-US" w:eastAsia="en-AU"/>
        </w:rPr>
        <w:t xml:space="preserve"> In line with the case for change, it is noted that </w:t>
      </w:r>
      <w:proofErr w:type="gramStart"/>
      <w:r w:rsidRPr="002F1917">
        <w:rPr>
          <w:rFonts w:ascii="Calibri" w:hAnsi="Calibri" w:cs="Calibri"/>
          <w:lang w:val="en-US" w:eastAsia="en-AU"/>
        </w:rPr>
        <w:t>a number of</w:t>
      </w:r>
      <w:proofErr w:type="gramEnd"/>
      <w:r w:rsidRPr="002F1917">
        <w:rPr>
          <w:rFonts w:ascii="Calibri" w:hAnsi="Calibri" w:cs="Calibri"/>
          <w:lang w:val="en-US" w:eastAsia="en-AU"/>
        </w:rPr>
        <w:t xml:space="preserve"> Australian sports controllers and wagering providers have a range of sophisticated processes and controls in place to manage sport integrity. Nevertheless, there is a clear and ongoing role for government regulation to ensure that Australia maintains and enhances its reputation for having </w:t>
      </w:r>
      <w:r w:rsidR="007F5FC9">
        <w:rPr>
          <w:rFonts w:ascii="Calibri" w:hAnsi="Calibri" w:cs="Calibri"/>
          <w:lang w:val="en-US" w:eastAsia="en-AU"/>
        </w:rPr>
        <w:t xml:space="preserve">a </w:t>
      </w:r>
      <w:r w:rsidRPr="002F1917">
        <w:rPr>
          <w:rFonts w:ascii="Calibri" w:hAnsi="Calibri" w:cs="Calibri"/>
          <w:lang w:val="en-US" w:eastAsia="en-AU"/>
        </w:rPr>
        <w:t>high level of sport integrity. Moreover, in an increasingly international sports wagering environment, government coordinati</w:t>
      </w:r>
      <w:r w:rsidR="007F5FC9">
        <w:rPr>
          <w:rFonts w:ascii="Calibri" w:hAnsi="Calibri" w:cs="Calibri"/>
          <w:lang w:val="en-US" w:eastAsia="en-AU"/>
        </w:rPr>
        <w:t>on</w:t>
      </w:r>
      <w:r w:rsidRPr="002F1917">
        <w:rPr>
          <w:rFonts w:ascii="Calibri" w:hAnsi="Calibri" w:cs="Calibri"/>
          <w:lang w:val="en-US" w:eastAsia="en-AU"/>
        </w:rPr>
        <w:t xml:space="preserve"> with international sport integrity bodies is also important. Sport Integrity Australia can play a key role in coordinating with international sport integrity bodies.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870C3F" w:rsidRPr="002F1917" w14:paraId="0D0A362C" w14:textId="77777777" w:rsidTr="00870C3F">
        <w:trPr>
          <w:trHeight w:val="284"/>
        </w:trPr>
        <w:tc>
          <w:tcPr>
            <w:tcW w:w="9054" w:type="dxa"/>
            <w:shd w:val="clear" w:color="auto" w:fill="F2F2F2" w:themeFill="background1" w:themeFillShade="F2"/>
          </w:tcPr>
          <w:p w14:paraId="31D32A4A" w14:textId="77777777" w:rsidR="00870C3F" w:rsidRPr="002F1917" w:rsidRDefault="00870C3F">
            <w:pPr>
              <w:pStyle w:val="CalloutBoxcaption"/>
              <w:keepNext/>
              <w:numPr>
                <w:ilvl w:val="0"/>
                <w:numId w:val="0"/>
              </w:numPr>
              <w:rPr>
                <w:rFonts w:ascii="Calibri" w:hAnsi="Calibri" w:cs="Calibri"/>
                <w:lang w:eastAsia="en-AU"/>
              </w:rPr>
            </w:pPr>
          </w:p>
        </w:tc>
      </w:tr>
      <w:tr w:rsidR="00870C3F" w:rsidRPr="002F1917" w14:paraId="1EDFD36B" w14:textId="77777777" w:rsidTr="00870C3F">
        <w:tc>
          <w:tcPr>
            <w:tcW w:w="9054" w:type="dxa"/>
            <w:shd w:val="clear" w:color="auto" w:fill="F2F2F2" w:themeFill="background1" w:themeFillShade="F2"/>
            <w:hideMark/>
          </w:tcPr>
          <w:p w14:paraId="5BCCEEEE" w14:textId="77777777" w:rsidR="00870C3F" w:rsidRPr="002F1917" w:rsidRDefault="00870C3F">
            <w:pPr>
              <w:pStyle w:val="CalloutBoxcaption"/>
              <w:rPr>
                <w:rFonts w:ascii="Calibri" w:hAnsi="Calibri" w:cs="Calibri"/>
                <w:lang w:eastAsia="en-AU"/>
              </w:rPr>
            </w:pPr>
            <w:r w:rsidRPr="002F1917">
              <w:rPr>
                <w:rFonts w:ascii="Calibri" w:hAnsi="Calibri" w:cs="Calibri"/>
              </w:rPr>
              <w:t>The establishment of Sport Integrity Australia</w:t>
            </w:r>
          </w:p>
          <w:p w14:paraId="5FF6FC19" w14:textId="77777777" w:rsidR="00870C3F" w:rsidRPr="002F1917" w:rsidRDefault="00870C3F">
            <w:pPr>
              <w:pStyle w:val="BodyText"/>
              <w:rPr>
                <w:rFonts w:ascii="Calibri" w:hAnsi="Calibri" w:cs="Calibri"/>
                <w:lang w:val="en-US"/>
              </w:rPr>
            </w:pPr>
            <w:r w:rsidRPr="002F1917">
              <w:rPr>
                <w:rFonts w:ascii="Calibri" w:hAnsi="Calibri" w:cs="Calibri"/>
                <w:lang w:val="en-US"/>
              </w:rPr>
              <w:t xml:space="preserve">The Wood Review found the vulnerability of Australian sport to future corruption is exacerbated by the lack of a clear and national regulatory, law enforcement, </w:t>
            </w:r>
            <w:proofErr w:type="gramStart"/>
            <w:r w:rsidRPr="002F1917">
              <w:rPr>
                <w:rFonts w:ascii="Calibri" w:hAnsi="Calibri" w:cs="Calibri"/>
                <w:lang w:val="en-US"/>
              </w:rPr>
              <w:t>policy</w:t>
            </w:r>
            <w:proofErr w:type="gramEnd"/>
            <w:r w:rsidRPr="002F1917">
              <w:rPr>
                <w:rFonts w:ascii="Calibri" w:hAnsi="Calibri" w:cs="Calibri"/>
                <w:lang w:val="en-US"/>
              </w:rPr>
              <w:t xml:space="preserve"> and program delivery response across the sports integrity threat continuum. To address this vulnerability, a key recommendation of the Wood Review was the establishment of Sport Integrity Australia.  </w:t>
            </w:r>
          </w:p>
          <w:p w14:paraId="21322A8B" w14:textId="77777777" w:rsidR="00870C3F" w:rsidRPr="002F1917" w:rsidRDefault="00870C3F">
            <w:pPr>
              <w:pStyle w:val="BodyText"/>
              <w:rPr>
                <w:rFonts w:ascii="Calibri" w:hAnsi="Calibri" w:cs="Calibri"/>
                <w:lang w:val="en-US"/>
              </w:rPr>
            </w:pPr>
            <w:r w:rsidRPr="002F1917">
              <w:rPr>
                <w:rFonts w:ascii="Calibri" w:hAnsi="Calibri" w:cs="Calibri"/>
                <w:lang w:val="en-US"/>
              </w:rPr>
              <w:t xml:space="preserve">Sport Integrity Australia commenced operations on 1 July 2020, drawing together existing sports integrity capabilities, </w:t>
            </w:r>
            <w:proofErr w:type="gramStart"/>
            <w:r w:rsidRPr="002F1917">
              <w:rPr>
                <w:rFonts w:ascii="Calibri" w:hAnsi="Calibri" w:cs="Calibri"/>
                <w:lang w:val="en-US"/>
              </w:rPr>
              <w:t>knowledge</w:t>
            </w:r>
            <w:proofErr w:type="gramEnd"/>
            <w:r w:rsidRPr="002F1917">
              <w:rPr>
                <w:rFonts w:ascii="Calibri" w:hAnsi="Calibri" w:cs="Calibri"/>
                <w:lang w:val="en-US"/>
              </w:rPr>
              <w:t xml:space="preserve"> and expertise and to coordinate all elements of a sports integrity threat response nationally including prevention, monitoring and detection, investigation and enforcement. </w:t>
            </w:r>
          </w:p>
          <w:p w14:paraId="1C96D9B6" w14:textId="77777777" w:rsidR="00870C3F" w:rsidRPr="002F1917" w:rsidRDefault="00870C3F">
            <w:pPr>
              <w:pStyle w:val="CalloutBoxcaption"/>
              <w:numPr>
                <w:ilvl w:val="0"/>
                <w:numId w:val="0"/>
              </w:numPr>
              <w:rPr>
                <w:rFonts w:ascii="Calibri" w:hAnsi="Calibri" w:cs="Calibri"/>
              </w:rPr>
            </w:pPr>
            <w:r w:rsidRPr="002F1917">
              <w:rPr>
                <w:rFonts w:ascii="Calibri" w:hAnsi="Calibri" w:cs="Calibri"/>
                <w:lang w:val="en-US"/>
              </w:rPr>
              <w:t xml:space="preserve">To inform a collaborative and coordinated approach, Sport Integrity Australia continues to strengthen partnerships with its stakeholder groups – sports, participants, governments, wagering service providers and international sport integrity networks.  A key aspect of this approach is the establishment of a central information gathering, analysis and dissemination capability with all partners.  Strong partnerships enable Sport Integrity Australia to better understand and respond to integrity threats as the sport and </w:t>
            </w:r>
            <w:proofErr w:type="spellStart"/>
            <w:r w:rsidRPr="002F1917">
              <w:rPr>
                <w:rFonts w:ascii="Calibri" w:hAnsi="Calibri" w:cs="Calibri"/>
                <w:lang w:val="en-US"/>
              </w:rPr>
              <w:t>organised</w:t>
            </w:r>
            <w:proofErr w:type="spellEnd"/>
            <w:r w:rsidRPr="002F1917">
              <w:rPr>
                <w:rFonts w:ascii="Calibri" w:hAnsi="Calibri" w:cs="Calibri"/>
                <w:lang w:val="en-US"/>
              </w:rPr>
              <w:t xml:space="preserve"> crime contexts converge, as well as fostering proactive engagement to develop a culture safe and fair sport. In turn, stakeholders benefit from the ability to deal with a single nationally coordinated organisation to address all sport integrity issues.</w:t>
            </w:r>
          </w:p>
          <w:p w14:paraId="622ACBF8" w14:textId="77777777" w:rsidR="00870C3F" w:rsidRPr="002F1917" w:rsidRDefault="00870C3F">
            <w:pPr>
              <w:rPr>
                <w:rFonts w:ascii="Calibri" w:hAnsi="Calibri" w:cs="Calibri"/>
                <w:i/>
                <w:sz w:val="16"/>
                <w:szCs w:val="16"/>
              </w:rPr>
            </w:pPr>
            <w:r w:rsidRPr="00907E12">
              <w:rPr>
                <w:rFonts w:ascii="Calibri" w:hAnsi="Calibri" w:cs="Calibri"/>
                <w:i/>
                <w:sz w:val="16"/>
                <w:szCs w:val="16"/>
              </w:rPr>
              <w:t>Source: Sport Integrity Australia</w:t>
            </w:r>
          </w:p>
        </w:tc>
      </w:tr>
      <w:tr w:rsidR="00870C3F" w:rsidRPr="002F1917" w14:paraId="26430D79" w14:textId="77777777" w:rsidTr="00870C3F">
        <w:trPr>
          <w:trHeight w:val="284"/>
        </w:trPr>
        <w:tc>
          <w:tcPr>
            <w:tcW w:w="9054" w:type="dxa"/>
            <w:shd w:val="clear" w:color="auto" w:fill="F2F2F2" w:themeFill="background1" w:themeFillShade="F2"/>
          </w:tcPr>
          <w:p w14:paraId="0BBE800C" w14:textId="77777777" w:rsidR="00870C3F" w:rsidRPr="002F1917" w:rsidRDefault="00870C3F">
            <w:pPr>
              <w:pStyle w:val="CalloutBoxcaption"/>
              <w:numPr>
                <w:ilvl w:val="0"/>
                <w:numId w:val="0"/>
              </w:numPr>
              <w:rPr>
                <w:rFonts w:ascii="Calibri" w:hAnsi="Calibri" w:cs="Calibri"/>
              </w:rPr>
            </w:pPr>
          </w:p>
        </w:tc>
      </w:tr>
    </w:tbl>
    <w:p w14:paraId="7568AEE0" w14:textId="24F48109" w:rsidR="00870C3F" w:rsidRPr="002F1917" w:rsidRDefault="00870C3F" w:rsidP="00870C3F">
      <w:pPr>
        <w:pStyle w:val="BodyText"/>
        <w:rPr>
          <w:rFonts w:ascii="Calibri" w:hAnsi="Calibri" w:cs="Calibri"/>
          <w:lang w:val="en-US" w:eastAsia="en-AU"/>
        </w:rPr>
      </w:pPr>
      <w:r w:rsidRPr="002F1917">
        <w:rPr>
          <w:rFonts w:ascii="Calibri" w:hAnsi="Calibri" w:cs="Calibri"/>
          <w:lang w:val="en-US" w:eastAsia="en-AU"/>
        </w:rPr>
        <w:fldChar w:fldCharType="begin"/>
      </w:r>
      <w:r w:rsidRPr="002F1917">
        <w:rPr>
          <w:rFonts w:ascii="Calibri" w:hAnsi="Calibri" w:cs="Calibri"/>
          <w:lang w:val="en-US" w:eastAsia="en-AU"/>
        </w:rPr>
        <w:instrText xml:space="preserve"> REF _Ref81560675 \r \h </w:instrText>
      </w:r>
      <w:r w:rsidR="002F1917">
        <w:rPr>
          <w:rFonts w:ascii="Calibri" w:hAnsi="Calibri" w:cs="Calibri"/>
          <w:lang w:val="en-US" w:eastAsia="en-AU"/>
        </w:rPr>
        <w:instrText xml:space="preserve"> \* MERGEFORMAT </w:instrText>
      </w:r>
      <w:r w:rsidRPr="002F1917">
        <w:rPr>
          <w:rFonts w:ascii="Calibri" w:hAnsi="Calibri" w:cs="Calibri"/>
          <w:lang w:val="en-US" w:eastAsia="en-AU"/>
        </w:rPr>
      </w:r>
      <w:r w:rsidRPr="002F1917">
        <w:rPr>
          <w:rFonts w:ascii="Calibri" w:hAnsi="Calibri" w:cs="Calibri"/>
          <w:lang w:val="en-US" w:eastAsia="en-AU"/>
        </w:rPr>
        <w:fldChar w:fldCharType="separate"/>
      </w:r>
      <w:r w:rsidRPr="002F1917">
        <w:rPr>
          <w:rFonts w:ascii="Calibri" w:hAnsi="Calibri" w:cs="Calibri"/>
          <w:lang w:val="en-US" w:eastAsia="en-AU"/>
        </w:rPr>
        <w:t xml:space="preserve">Box 8 </w:t>
      </w:r>
      <w:r w:rsidRPr="002F1917">
        <w:rPr>
          <w:rFonts w:ascii="Calibri" w:hAnsi="Calibri" w:cs="Calibri"/>
          <w:lang w:val="en-US" w:eastAsia="en-AU"/>
        </w:rPr>
        <w:fldChar w:fldCharType="end"/>
      </w:r>
      <w:r w:rsidRPr="002F1917">
        <w:rPr>
          <w:rFonts w:ascii="Calibri" w:hAnsi="Calibri" w:cs="Calibri"/>
          <w:lang w:val="en-US" w:eastAsia="en-AU"/>
        </w:rPr>
        <w:t xml:space="preserve">outlines the principles for the ASWS. Given the nature of the problem and the case for government action, the ASWS Principles have been developed to help guide the development of policy options.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284" w:type="dxa"/>
          <w:right w:w="284" w:type="dxa"/>
        </w:tblCellMar>
        <w:tblLook w:val="04A0" w:firstRow="1" w:lastRow="0" w:firstColumn="1" w:lastColumn="0" w:noHBand="0" w:noVBand="1"/>
      </w:tblPr>
      <w:tblGrid>
        <w:gridCol w:w="9064"/>
      </w:tblGrid>
      <w:tr w:rsidR="00870C3F" w:rsidRPr="002F1917" w14:paraId="2AFE6FC3" w14:textId="77777777" w:rsidTr="00870C3F">
        <w:trPr>
          <w:trHeight w:val="284"/>
          <w:jc w:val="center"/>
        </w:trPr>
        <w:tc>
          <w:tcPr>
            <w:tcW w:w="9350" w:type="dxa"/>
            <w:shd w:val="clear" w:color="auto" w:fill="F2F2F2" w:themeFill="background1" w:themeFillShade="F2"/>
            <w:vAlign w:val="bottom"/>
          </w:tcPr>
          <w:p w14:paraId="4C09B1FF" w14:textId="77777777" w:rsidR="00870C3F" w:rsidRPr="002F1917" w:rsidRDefault="00870C3F">
            <w:pPr>
              <w:pStyle w:val="CalloutBoxcaption"/>
              <w:keepNext/>
              <w:numPr>
                <w:ilvl w:val="0"/>
                <w:numId w:val="0"/>
              </w:numPr>
              <w:rPr>
                <w:rFonts w:ascii="Calibri" w:hAnsi="Calibri" w:cs="Calibri"/>
                <w:lang w:eastAsia="en-AU"/>
              </w:rPr>
            </w:pPr>
          </w:p>
        </w:tc>
      </w:tr>
      <w:tr w:rsidR="00870C3F" w:rsidRPr="002F1917" w14:paraId="5022F24C" w14:textId="77777777" w:rsidTr="00870C3F">
        <w:trPr>
          <w:jc w:val="center"/>
        </w:trPr>
        <w:tc>
          <w:tcPr>
            <w:tcW w:w="9350" w:type="dxa"/>
            <w:shd w:val="clear" w:color="auto" w:fill="F2F2F2" w:themeFill="background1" w:themeFillShade="F2"/>
            <w:vAlign w:val="bottom"/>
            <w:hideMark/>
          </w:tcPr>
          <w:p w14:paraId="7E12436F" w14:textId="77777777" w:rsidR="00870C3F" w:rsidRPr="002F1917" w:rsidRDefault="00870C3F">
            <w:pPr>
              <w:pStyle w:val="CalloutBoxcaption"/>
              <w:keepNext/>
              <w:tabs>
                <w:tab w:val="num" w:pos="360"/>
              </w:tabs>
              <w:rPr>
                <w:rFonts w:ascii="Calibri" w:hAnsi="Calibri" w:cs="Calibri"/>
              </w:rPr>
            </w:pPr>
            <w:bookmarkStart w:id="107" w:name="_Ref41657772"/>
            <w:r w:rsidRPr="002F1917">
              <w:rPr>
                <w:rFonts w:ascii="Calibri" w:hAnsi="Calibri" w:cs="Calibri"/>
              </w:rPr>
              <w:t xml:space="preserve"> </w:t>
            </w:r>
            <w:bookmarkStart w:id="108" w:name="_Ref81560675"/>
            <w:r w:rsidRPr="002F1917">
              <w:rPr>
                <w:rFonts w:ascii="Calibri" w:hAnsi="Calibri" w:cs="Calibri"/>
              </w:rPr>
              <w:t>ASWS Principles</w:t>
            </w:r>
            <w:bookmarkEnd w:id="108"/>
          </w:p>
          <w:p w14:paraId="1DB1F0FD" w14:textId="77777777" w:rsidR="00870C3F" w:rsidRPr="009C0251" w:rsidRDefault="00870C3F" w:rsidP="009C0251">
            <w:pPr>
              <w:pStyle w:val="Heading3"/>
              <w:numPr>
                <w:ilvl w:val="0"/>
                <w:numId w:val="28"/>
              </w:numPr>
              <w:suppressAutoHyphens w:val="0"/>
              <w:spacing w:before="360" w:after="0"/>
              <w:ind w:left="284" w:hanging="284"/>
              <w:outlineLvl w:val="2"/>
              <w:rPr>
                <w:rFonts w:ascii="Calibri" w:hAnsi="Calibri" w:cs="Calibri"/>
                <w:b w:val="0"/>
                <w:sz w:val="20"/>
                <w:szCs w:val="20"/>
              </w:rPr>
            </w:pPr>
            <w:bookmarkStart w:id="109" w:name="_Toc85450766"/>
            <w:bookmarkStart w:id="110" w:name="_Toc39220326"/>
            <w:bookmarkStart w:id="111" w:name="_Toc39219857"/>
            <w:r w:rsidRPr="009C0251">
              <w:rPr>
                <w:rFonts w:ascii="Calibri" w:hAnsi="Calibri" w:cs="Calibri"/>
                <w:b w:val="0"/>
                <w:sz w:val="20"/>
                <w:szCs w:val="20"/>
              </w:rPr>
              <w:t>Risk-based regulation</w:t>
            </w:r>
            <w:bookmarkEnd w:id="109"/>
            <w:bookmarkEnd w:id="110"/>
            <w:bookmarkEnd w:id="111"/>
          </w:p>
          <w:p w14:paraId="4E76D088" w14:textId="184911F1" w:rsidR="00870C3F" w:rsidRPr="009C0251" w:rsidRDefault="00F4798A" w:rsidP="009C0251">
            <w:pPr>
              <w:pStyle w:val="BodyText"/>
              <w:ind w:left="284" w:hanging="284"/>
              <w:rPr>
                <w:rFonts w:ascii="Calibri" w:hAnsi="Calibri" w:cs="Calibri"/>
              </w:rPr>
            </w:pPr>
            <w:r>
              <w:rPr>
                <w:rFonts w:ascii="Calibri" w:hAnsi="Calibri" w:cs="Calibri"/>
              </w:rPr>
              <w:tab/>
            </w:r>
            <w:r w:rsidR="00870C3F" w:rsidRPr="009C0251">
              <w:rPr>
                <w:rFonts w:ascii="Calibri" w:hAnsi="Calibri" w:cs="Calibri"/>
              </w:rPr>
              <w:t>The design of the ASWS will be undertaken through a risk-based approach in dealing with the regulatory harms and issues the ASWS is intended to address. This will involve consulting widely with affected stakeholders to understand the potential risks, burdens and costs different regulatory approaches may impose on the sector; targeting the highest priority risks to sport integrity; and pursuing regulatory design options commensurate with the harms and issues the ASWS is intended to address.</w:t>
            </w:r>
          </w:p>
          <w:p w14:paraId="3F2ADB35" w14:textId="77777777" w:rsidR="00870C3F" w:rsidRPr="009C0251" w:rsidRDefault="00870C3F" w:rsidP="009C0251">
            <w:pPr>
              <w:pStyle w:val="Heading3"/>
              <w:numPr>
                <w:ilvl w:val="0"/>
                <w:numId w:val="28"/>
              </w:numPr>
              <w:suppressAutoHyphens w:val="0"/>
              <w:spacing w:before="360" w:after="0"/>
              <w:ind w:left="284" w:hanging="284"/>
              <w:outlineLvl w:val="2"/>
              <w:rPr>
                <w:rFonts w:ascii="Calibri" w:hAnsi="Calibri" w:cs="Calibri"/>
                <w:b w:val="0"/>
                <w:sz w:val="20"/>
                <w:szCs w:val="20"/>
              </w:rPr>
            </w:pPr>
            <w:bookmarkStart w:id="112" w:name="_Toc85450767"/>
            <w:bookmarkStart w:id="113" w:name="_Toc39220327"/>
            <w:bookmarkStart w:id="114" w:name="_Toc39219858"/>
            <w:r w:rsidRPr="009C0251">
              <w:rPr>
                <w:rFonts w:ascii="Calibri" w:hAnsi="Calibri" w:cs="Calibri"/>
                <w:b w:val="0"/>
                <w:sz w:val="20"/>
                <w:szCs w:val="20"/>
              </w:rPr>
              <w:t>Proportionality and consistency of regulation</w:t>
            </w:r>
            <w:bookmarkEnd w:id="112"/>
            <w:bookmarkEnd w:id="113"/>
            <w:bookmarkEnd w:id="114"/>
          </w:p>
          <w:p w14:paraId="6A284603" w14:textId="08E503C9" w:rsidR="00870C3F" w:rsidRPr="009C0251" w:rsidRDefault="00F4798A" w:rsidP="009C0251">
            <w:pPr>
              <w:pStyle w:val="BodyText"/>
              <w:ind w:left="284" w:hanging="284"/>
              <w:rPr>
                <w:rFonts w:ascii="Calibri" w:hAnsi="Calibri" w:cs="Calibri"/>
              </w:rPr>
            </w:pPr>
            <w:r>
              <w:rPr>
                <w:rFonts w:ascii="Calibri" w:hAnsi="Calibri" w:cs="Calibri"/>
              </w:rPr>
              <w:tab/>
            </w:r>
            <w:r w:rsidR="00870C3F" w:rsidRPr="009C0251">
              <w:rPr>
                <w:rFonts w:ascii="Calibri" w:hAnsi="Calibri" w:cs="Calibri"/>
              </w:rPr>
              <w:t xml:space="preserve">The design of the ASWS will also consider how regulation (and associated regulatory actions such as compliance and enforcement) can be undertaken in a proportionate and consistent manner. This will involve designing regulatory actions tailored to the severity of the risk, </w:t>
            </w:r>
            <w:proofErr w:type="gramStart"/>
            <w:r w:rsidR="00870C3F" w:rsidRPr="009C0251">
              <w:rPr>
                <w:rFonts w:ascii="Calibri" w:hAnsi="Calibri" w:cs="Calibri"/>
              </w:rPr>
              <w:t>harm</w:t>
            </w:r>
            <w:proofErr w:type="gramEnd"/>
            <w:r w:rsidR="00870C3F" w:rsidRPr="009C0251">
              <w:rPr>
                <w:rFonts w:ascii="Calibri" w:hAnsi="Calibri" w:cs="Calibri"/>
              </w:rPr>
              <w:t xml:space="preserve"> or non-compliance; ensuring these actions are conducted in a fair, proportionate and consistent manner; and ensuring impacted stakeholders are provided with advice, support and assistance in navigating the ASWS.</w:t>
            </w:r>
          </w:p>
          <w:p w14:paraId="2612BF0D" w14:textId="77777777" w:rsidR="00870C3F" w:rsidRPr="009C0251" w:rsidRDefault="00870C3F" w:rsidP="009C0251">
            <w:pPr>
              <w:pStyle w:val="Heading3"/>
              <w:numPr>
                <w:ilvl w:val="0"/>
                <w:numId w:val="28"/>
              </w:numPr>
              <w:suppressAutoHyphens w:val="0"/>
              <w:spacing w:before="360" w:after="0"/>
              <w:ind w:left="284" w:hanging="284"/>
              <w:outlineLvl w:val="2"/>
              <w:rPr>
                <w:rFonts w:ascii="Calibri" w:hAnsi="Calibri" w:cs="Calibri"/>
                <w:b w:val="0"/>
                <w:sz w:val="20"/>
                <w:szCs w:val="20"/>
              </w:rPr>
            </w:pPr>
            <w:bookmarkStart w:id="115" w:name="_Toc85450768"/>
            <w:bookmarkStart w:id="116" w:name="_Toc39220328"/>
            <w:bookmarkStart w:id="117" w:name="_Toc39219859"/>
            <w:r w:rsidRPr="009C0251">
              <w:rPr>
                <w:rFonts w:ascii="Calibri" w:hAnsi="Calibri" w:cs="Calibri"/>
                <w:b w:val="0"/>
                <w:sz w:val="20"/>
                <w:szCs w:val="20"/>
              </w:rPr>
              <w:t>Responsiveness to changing risk and harms</w:t>
            </w:r>
            <w:bookmarkEnd w:id="115"/>
            <w:bookmarkEnd w:id="116"/>
            <w:bookmarkEnd w:id="117"/>
          </w:p>
          <w:p w14:paraId="38382705" w14:textId="54CEF389" w:rsidR="00870C3F" w:rsidRPr="009C0251" w:rsidRDefault="00F4798A" w:rsidP="009C0251">
            <w:pPr>
              <w:pStyle w:val="BodyText"/>
              <w:ind w:left="284" w:hanging="284"/>
              <w:rPr>
                <w:rFonts w:ascii="Calibri" w:hAnsi="Calibri" w:cs="Calibri"/>
              </w:rPr>
            </w:pPr>
            <w:r>
              <w:rPr>
                <w:rFonts w:ascii="Calibri" w:hAnsi="Calibri" w:cs="Calibri"/>
              </w:rPr>
              <w:tab/>
            </w:r>
            <w:r w:rsidR="00870C3F" w:rsidRPr="009C0251">
              <w:rPr>
                <w:rFonts w:ascii="Calibri" w:hAnsi="Calibri" w:cs="Calibri"/>
              </w:rPr>
              <w:t>The design of the ASWS will also be responsive to the changing nature of risks and harms in sports betting. This will involve designing a flexible regulatory approach able to reduce the regulatory burden for mature organisations; provide technical assistance for less mature organisations and adjust regulatory settings to meet emerging risks and issues.</w:t>
            </w:r>
          </w:p>
          <w:p w14:paraId="5D3DC7BA" w14:textId="2261AD7B" w:rsidR="00870C3F" w:rsidRPr="009C0251" w:rsidRDefault="00F4798A" w:rsidP="009C0251">
            <w:pPr>
              <w:pStyle w:val="BodyText"/>
              <w:ind w:left="284" w:hanging="284"/>
              <w:rPr>
                <w:rFonts w:ascii="Calibri" w:hAnsi="Calibri" w:cs="Calibri"/>
              </w:rPr>
            </w:pPr>
            <w:r>
              <w:rPr>
                <w:rFonts w:ascii="Calibri" w:hAnsi="Calibri" w:cs="Calibri"/>
              </w:rPr>
              <w:tab/>
            </w:r>
            <w:r w:rsidR="00870C3F" w:rsidRPr="009C0251">
              <w:rPr>
                <w:rFonts w:ascii="Calibri" w:hAnsi="Calibri" w:cs="Calibri"/>
              </w:rPr>
              <w:t>Related to this principle is the issue of flexibility in regulation. A lack of flexibility can cause issues if there are gaps or uncertainties with respect to application of the regulatory framework to new and emerging sports wagering. For example, there is a lack of clarity as to the extent to which e-sports could, or should, be captured by current sports wagering regulation.</w:t>
            </w:r>
          </w:p>
          <w:p w14:paraId="26240D67" w14:textId="77777777" w:rsidR="00870C3F" w:rsidRPr="002F1917" w:rsidRDefault="00870C3F">
            <w:pPr>
              <w:rPr>
                <w:rFonts w:ascii="Calibri" w:hAnsi="Calibri" w:cs="Calibri"/>
                <w:i/>
                <w:sz w:val="16"/>
                <w:szCs w:val="16"/>
              </w:rPr>
            </w:pPr>
            <w:r w:rsidRPr="00907E12">
              <w:rPr>
                <w:rFonts w:ascii="Calibri" w:hAnsi="Calibri" w:cs="Calibri"/>
                <w:i/>
                <w:sz w:val="16"/>
                <w:szCs w:val="16"/>
              </w:rPr>
              <w:t>Source: Sport Integrity Australia</w:t>
            </w:r>
          </w:p>
        </w:tc>
      </w:tr>
      <w:tr w:rsidR="00870C3F" w:rsidRPr="002F1917" w14:paraId="52A3F1FB" w14:textId="77777777" w:rsidTr="00870C3F">
        <w:trPr>
          <w:trHeight w:val="284"/>
          <w:jc w:val="center"/>
        </w:trPr>
        <w:tc>
          <w:tcPr>
            <w:tcW w:w="9350" w:type="dxa"/>
            <w:shd w:val="clear" w:color="auto" w:fill="F2F2F2" w:themeFill="background1" w:themeFillShade="F2"/>
            <w:vAlign w:val="bottom"/>
          </w:tcPr>
          <w:p w14:paraId="67B62B31" w14:textId="77777777" w:rsidR="00870C3F" w:rsidRPr="002F1917" w:rsidRDefault="00870C3F">
            <w:pPr>
              <w:pStyle w:val="CalloutBoxcaption"/>
              <w:numPr>
                <w:ilvl w:val="0"/>
                <w:numId w:val="0"/>
              </w:numPr>
              <w:rPr>
                <w:rFonts w:ascii="Calibri" w:hAnsi="Calibri" w:cs="Calibri"/>
              </w:rPr>
            </w:pPr>
          </w:p>
        </w:tc>
      </w:tr>
    </w:tbl>
    <w:p w14:paraId="76871BB2" w14:textId="77777777" w:rsidR="00870C3F" w:rsidRPr="002F1917" w:rsidRDefault="00870C3F" w:rsidP="00870C3F">
      <w:pPr>
        <w:spacing w:before="0" w:line="240" w:lineRule="auto"/>
        <w:rPr>
          <w:rFonts w:ascii="Calibri" w:eastAsia="Times New Roman" w:hAnsi="Calibri" w:cs="Calibri"/>
          <w:sz w:val="21"/>
          <w:highlight w:val="cyan"/>
          <w:lang w:val="en-US" w:eastAsia="en-AU"/>
        </w:rPr>
      </w:pPr>
    </w:p>
    <w:p w14:paraId="383E82FC" w14:textId="0C1A67D4" w:rsidR="00870C3F" w:rsidRPr="002F1917" w:rsidRDefault="00870C3F" w:rsidP="00AE1945">
      <w:pPr>
        <w:pStyle w:val="Heading3"/>
        <w:rPr>
          <w:lang w:val="en-US"/>
        </w:rPr>
      </w:pPr>
      <w:r w:rsidRPr="002F1917">
        <w:t xml:space="preserve">Questions on </w:t>
      </w:r>
      <w:proofErr w:type="gramStart"/>
      <w:r w:rsidR="00596CAB">
        <w:t xml:space="preserve">Consultation </w:t>
      </w:r>
      <w:r w:rsidRPr="002F1917">
        <w:t xml:space="preserve"> Regulatory</w:t>
      </w:r>
      <w:proofErr w:type="gramEnd"/>
      <w:r w:rsidRPr="002F1917">
        <w:t xml:space="preserve"> Impact Statement </w:t>
      </w:r>
    </w:p>
    <w:p w14:paraId="5133D92F" w14:textId="77777777" w:rsidR="00870C3F" w:rsidRPr="002F1917" w:rsidRDefault="00870C3F" w:rsidP="00870C3F">
      <w:pPr>
        <w:pStyle w:val="ListBullet1"/>
        <w:numPr>
          <w:ilvl w:val="0"/>
          <w:numId w:val="0"/>
        </w:numPr>
        <w:tabs>
          <w:tab w:val="left" w:pos="720"/>
        </w:tabs>
        <w:jc w:val="left"/>
        <w:rPr>
          <w:rFonts w:ascii="Calibri" w:hAnsi="Calibri" w:cs="Calibri"/>
          <w:szCs w:val="20"/>
          <w:lang w:val="en-US"/>
        </w:rPr>
      </w:pPr>
      <w:r w:rsidRPr="002F1917">
        <w:rPr>
          <w:rFonts w:ascii="Calibri" w:hAnsi="Calibri" w:cs="Calibri"/>
          <w:szCs w:val="20"/>
        </w:rPr>
        <w:t>Do you agree that there is a case for government action?</w:t>
      </w:r>
    </w:p>
    <w:p w14:paraId="4D1FBF88" w14:textId="77777777" w:rsidR="00870C3F" w:rsidRPr="002F1917" w:rsidRDefault="00870C3F" w:rsidP="00870C3F">
      <w:pPr>
        <w:spacing w:before="0" w:line="240" w:lineRule="auto"/>
        <w:rPr>
          <w:rFonts w:ascii="Calibri" w:hAnsi="Calibri" w:cs="Calibri"/>
          <w:szCs w:val="24"/>
          <w:highlight w:val="cyan"/>
          <w:lang w:val="en-US" w:eastAsia="en-AU"/>
        </w:rPr>
      </w:pPr>
      <w:r w:rsidRPr="002F1917">
        <w:rPr>
          <w:rFonts w:ascii="Calibri" w:hAnsi="Calibri" w:cs="Calibri"/>
          <w:highlight w:val="cyan"/>
          <w:lang w:val="en-US" w:eastAsia="en-AU"/>
        </w:rPr>
        <w:br w:type="page"/>
      </w:r>
    </w:p>
    <w:p w14:paraId="5603ADFB" w14:textId="77777777" w:rsidR="00870C3F" w:rsidRPr="002F1917" w:rsidRDefault="00870C3F" w:rsidP="00204AA1">
      <w:pPr>
        <w:pStyle w:val="Heading1"/>
        <w:numPr>
          <w:ilvl w:val="0"/>
          <w:numId w:val="26"/>
        </w:numPr>
        <w:suppressAutoHyphens w:val="0"/>
        <w:spacing w:before="480" w:after="360" w:line="240" w:lineRule="auto"/>
        <w:rPr>
          <w:rFonts w:ascii="Calibri" w:hAnsi="Calibri" w:cs="Calibri"/>
          <w:lang w:val="en-US" w:eastAsia="en-AU"/>
        </w:rPr>
      </w:pPr>
      <w:bookmarkStart w:id="118" w:name="_Ref79408786"/>
      <w:bookmarkStart w:id="119" w:name="_Toc85450769"/>
      <w:bookmarkStart w:id="120" w:name="_Toc85792420"/>
      <w:r w:rsidRPr="002F1917">
        <w:rPr>
          <w:rFonts w:ascii="Calibri" w:hAnsi="Calibri" w:cs="Calibri"/>
        </w:rPr>
        <w:lastRenderedPageBreak/>
        <w:t>What options</w:t>
      </w:r>
      <w:bookmarkEnd w:id="107"/>
      <w:r w:rsidRPr="002F1917">
        <w:rPr>
          <w:rFonts w:ascii="Calibri" w:hAnsi="Calibri" w:cs="Calibri"/>
        </w:rPr>
        <w:t xml:space="preserve"> are being considered?</w:t>
      </w:r>
      <w:bookmarkEnd w:id="118"/>
      <w:bookmarkEnd w:id="119"/>
      <w:bookmarkEnd w:id="120"/>
    </w:p>
    <w:p w14:paraId="66364D66" w14:textId="195BD4EC" w:rsidR="00870C3F" w:rsidRPr="002F1917" w:rsidRDefault="002960A9" w:rsidP="00204AA1">
      <w:pPr>
        <w:pStyle w:val="Heading2"/>
        <w:numPr>
          <w:ilvl w:val="1"/>
          <w:numId w:val="26"/>
        </w:numPr>
        <w:suppressAutoHyphens w:val="0"/>
        <w:spacing w:after="120" w:line="280" w:lineRule="auto"/>
        <w:rPr>
          <w:rFonts w:ascii="Calibri" w:hAnsi="Calibri" w:cs="Calibri"/>
          <w:sz w:val="26"/>
          <w:lang w:eastAsia="en-AU"/>
        </w:rPr>
      </w:pPr>
      <w:bookmarkStart w:id="121" w:name="_Toc85450770"/>
      <w:r w:rsidRPr="002F1917">
        <w:rPr>
          <w:rFonts w:ascii="Calibri" w:hAnsi="Calibri" w:cs="Calibri"/>
          <w:sz w:val="26"/>
          <w:lang w:eastAsia="en-AU"/>
        </w:rPr>
        <w:t xml:space="preserve"> </w:t>
      </w:r>
      <w:bookmarkStart w:id="122" w:name="_Toc85792421"/>
      <w:r w:rsidR="00870C3F" w:rsidRPr="002F1917">
        <w:rPr>
          <w:rFonts w:ascii="Calibri" w:hAnsi="Calibri" w:cs="Calibri"/>
          <w:sz w:val="26"/>
          <w:lang w:eastAsia="en-AU"/>
        </w:rPr>
        <w:t>Structure of options</w:t>
      </w:r>
      <w:bookmarkEnd w:id="121"/>
      <w:bookmarkEnd w:id="122"/>
    </w:p>
    <w:p w14:paraId="4C442C61" w14:textId="77777777" w:rsidR="00870C3F" w:rsidRPr="002F1917" w:rsidRDefault="00870C3F" w:rsidP="00870C3F">
      <w:pPr>
        <w:pStyle w:val="BodyText"/>
        <w:rPr>
          <w:rFonts w:ascii="Calibri" w:hAnsi="Calibri" w:cs="Calibri"/>
        </w:rPr>
      </w:pPr>
      <w:r w:rsidRPr="002F1917">
        <w:rPr>
          <w:rFonts w:ascii="Calibri" w:hAnsi="Calibri" w:cs="Calibri"/>
        </w:rPr>
        <w:t>The structure of the options follows the key areas covered in the problem identification and the base case. Options are structured around:</w:t>
      </w:r>
    </w:p>
    <w:p w14:paraId="6E675569" w14:textId="77777777" w:rsidR="00870C3F" w:rsidRPr="002F1917" w:rsidRDefault="00870C3F" w:rsidP="00870C3F">
      <w:pPr>
        <w:pStyle w:val="ListBullet1"/>
        <w:rPr>
          <w:rFonts w:ascii="Calibri" w:hAnsi="Calibri" w:cs="Calibri"/>
        </w:rPr>
      </w:pPr>
      <w:r w:rsidRPr="002F1917">
        <w:rPr>
          <w:rFonts w:ascii="Calibri" w:hAnsi="Calibri" w:cs="Calibri"/>
        </w:rPr>
        <w:t>Accreditation and licensing of bodies – including Sport Controlling Body status, Event Controlling Body status, product agreements and licensing of wagering providers</w:t>
      </w:r>
    </w:p>
    <w:p w14:paraId="0D4484A0" w14:textId="77777777" w:rsidR="00870C3F" w:rsidRPr="002F1917" w:rsidRDefault="00870C3F" w:rsidP="00870C3F">
      <w:pPr>
        <w:pStyle w:val="ListBullet1"/>
        <w:rPr>
          <w:rFonts w:ascii="Calibri" w:hAnsi="Calibri" w:cs="Calibri"/>
        </w:rPr>
      </w:pPr>
      <w:r w:rsidRPr="002F1917">
        <w:rPr>
          <w:rFonts w:ascii="Calibri" w:hAnsi="Calibri" w:cs="Calibri"/>
        </w:rPr>
        <w:t>Recognition of markets and contingencies</w:t>
      </w:r>
    </w:p>
    <w:p w14:paraId="18A09BC2" w14:textId="77777777" w:rsidR="00870C3F" w:rsidRPr="002F1917" w:rsidRDefault="00870C3F" w:rsidP="00870C3F">
      <w:pPr>
        <w:pStyle w:val="ListBullet1"/>
        <w:rPr>
          <w:rFonts w:ascii="Calibri" w:hAnsi="Calibri" w:cs="Calibri"/>
        </w:rPr>
      </w:pPr>
      <w:r w:rsidRPr="002F1917">
        <w:rPr>
          <w:rFonts w:ascii="Calibri" w:hAnsi="Calibri" w:cs="Calibri"/>
        </w:rPr>
        <w:t>Information sharing</w:t>
      </w:r>
    </w:p>
    <w:p w14:paraId="64842CB4" w14:textId="1EE3D680" w:rsidR="00870C3F" w:rsidRPr="002F1917" w:rsidRDefault="00870C3F" w:rsidP="00870C3F">
      <w:pPr>
        <w:pStyle w:val="BodyText"/>
        <w:rPr>
          <w:rFonts w:ascii="Calibri" w:hAnsi="Calibri" w:cs="Calibri"/>
        </w:rPr>
      </w:pPr>
      <w:r w:rsidRPr="002F1917">
        <w:rPr>
          <w:rFonts w:ascii="Calibri" w:hAnsi="Calibri" w:cs="Calibri"/>
        </w:rPr>
        <w:t xml:space="preserve">These options have been developed to align with the objectives for the ASWS and the principles of the ASWS (see Section </w:t>
      </w:r>
      <w:r w:rsidRPr="002F1917">
        <w:rPr>
          <w:rFonts w:ascii="Calibri" w:hAnsi="Calibri" w:cs="Calibri"/>
        </w:rPr>
        <w:fldChar w:fldCharType="begin"/>
      </w:r>
      <w:r w:rsidRPr="002F1917">
        <w:rPr>
          <w:rFonts w:ascii="Calibri" w:hAnsi="Calibri" w:cs="Calibri"/>
        </w:rPr>
        <w:instrText xml:space="preserve"> REF _Ref82510857 \r \h </w:instrText>
      </w:r>
      <w:r w:rsidR="002F1917">
        <w:rPr>
          <w:rFonts w:ascii="Calibri" w:hAnsi="Calibri" w:cs="Calibri"/>
        </w:rPr>
        <w:instrText xml:space="preserve"> \* MERGEFORMAT </w:instrText>
      </w:r>
      <w:r w:rsidRPr="002F1917">
        <w:rPr>
          <w:rFonts w:ascii="Calibri" w:hAnsi="Calibri" w:cs="Calibri"/>
        </w:rPr>
      </w:r>
      <w:r w:rsidRPr="002F1917">
        <w:rPr>
          <w:rFonts w:ascii="Calibri" w:hAnsi="Calibri" w:cs="Calibri"/>
        </w:rPr>
        <w:fldChar w:fldCharType="separate"/>
      </w:r>
      <w:r w:rsidRPr="002F1917">
        <w:rPr>
          <w:rFonts w:ascii="Calibri" w:hAnsi="Calibri" w:cs="Calibri"/>
        </w:rPr>
        <w:t>1.2</w:t>
      </w:r>
      <w:r w:rsidRPr="002F1917">
        <w:rPr>
          <w:rFonts w:ascii="Calibri" w:hAnsi="Calibri" w:cs="Calibri"/>
        </w:rPr>
        <w:fldChar w:fldCharType="end"/>
      </w:r>
      <w:r w:rsidRPr="002F1917">
        <w:rPr>
          <w:rFonts w:ascii="Calibri" w:hAnsi="Calibri" w:cs="Calibri"/>
        </w:rPr>
        <w:t xml:space="preserve"> and </w:t>
      </w:r>
      <w:r w:rsidRPr="002F1917">
        <w:rPr>
          <w:rFonts w:ascii="Calibri" w:hAnsi="Calibri" w:cs="Calibri"/>
        </w:rPr>
        <w:fldChar w:fldCharType="begin"/>
      </w:r>
      <w:r w:rsidRPr="002F1917">
        <w:rPr>
          <w:rFonts w:ascii="Calibri" w:hAnsi="Calibri" w:cs="Calibri"/>
        </w:rPr>
        <w:instrText xml:space="preserve"> REF _Ref81560675 \r \h </w:instrText>
      </w:r>
      <w:r w:rsidR="002F1917">
        <w:rPr>
          <w:rFonts w:ascii="Calibri" w:hAnsi="Calibri" w:cs="Calibri"/>
        </w:rPr>
        <w:instrText xml:space="preserve"> \* MERGEFORMAT </w:instrText>
      </w:r>
      <w:r w:rsidRPr="002F1917">
        <w:rPr>
          <w:rFonts w:ascii="Calibri" w:hAnsi="Calibri" w:cs="Calibri"/>
        </w:rPr>
      </w:r>
      <w:r w:rsidRPr="002F1917">
        <w:rPr>
          <w:rFonts w:ascii="Calibri" w:hAnsi="Calibri" w:cs="Calibri"/>
        </w:rPr>
        <w:fldChar w:fldCharType="separate"/>
      </w:r>
      <w:r w:rsidRPr="002F1917">
        <w:rPr>
          <w:rFonts w:ascii="Calibri" w:hAnsi="Calibri" w:cs="Calibri"/>
        </w:rPr>
        <w:t xml:space="preserve">Box </w:t>
      </w:r>
      <w:r w:rsidRPr="002F1917">
        <w:rPr>
          <w:rFonts w:ascii="Calibri" w:hAnsi="Calibri" w:cs="Calibri"/>
        </w:rPr>
        <w:fldChar w:fldCharType="end"/>
      </w:r>
      <w:r w:rsidR="001C1C53">
        <w:rPr>
          <w:rFonts w:ascii="Calibri" w:hAnsi="Calibri" w:cs="Calibri"/>
        </w:rPr>
        <w:t>8</w:t>
      </w:r>
      <w:r w:rsidRPr="002F1917">
        <w:rPr>
          <w:rFonts w:ascii="Calibri" w:hAnsi="Calibri" w:cs="Calibri"/>
        </w:rPr>
        <w:t xml:space="preserve"> respectively). It should also be noted a Regulatory Impact Statement is required to consider a range of options. Sport Integrity Australia has engaged with a range of stakeholders to define options which are practical, viable and avoid duplication of existing regulation. </w:t>
      </w:r>
      <w:proofErr w:type="gramStart"/>
      <w:r w:rsidRPr="002F1917">
        <w:rPr>
          <w:rFonts w:ascii="Calibri" w:hAnsi="Calibri" w:cs="Calibri"/>
        </w:rPr>
        <w:t>In particular, while</w:t>
      </w:r>
      <w:proofErr w:type="gramEnd"/>
      <w:r w:rsidRPr="002F1917">
        <w:rPr>
          <w:rFonts w:ascii="Calibri" w:hAnsi="Calibri" w:cs="Calibri"/>
        </w:rPr>
        <w:t xml:space="preserve"> a Regulatory Impact Statement will often consider deregulatory and non-regulatory options these are not viable here. Sport Integrity Australia is not currently a regulator of sports wagering and non-regulatory options, such as education programs, do not address problems which focus on issues with the current regulatory framework. Moreover, through consultation it has been found that there is little appetite for Sport Integrity Australia to license wagering providers. Given this, options for Sport Integrity Australia to license wagering providers are not proposed.</w:t>
      </w:r>
    </w:p>
    <w:p w14:paraId="3DB3DD51" w14:textId="77777777" w:rsidR="00870C3F" w:rsidRPr="002F1917" w:rsidRDefault="00870C3F" w:rsidP="00870C3F">
      <w:pPr>
        <w:pStyle w:val="BodyText"/>
        <w:rPr>
          <w:rFonts w:ascii="Calibri" w:hAnsi="Calibri" w:cs="Calibri"/>
        </w:rPr>
      </w:pPr>
      <w:r w:rsidRPr="002F1917">
        <w:rPr>
          <w:rFonts w:ascii="Calibri" w:hAnsi="Calibri" w:cs="Calibri"/>
        </w:rPr>
        <w:t xml:space="preserve">As part of the assessment of options in the Regulatory Impact Statement, these options will all be compared to the base case. Each area will be considered </w:t>
      </w:r>
      <w:proofErr w:type="gramStart"/>
      <w:r w:rsidRPr="002F1917">
        <w:rPr>
          <w:rFonts w:ascii="Calibri" w:hAnsi="Calibri" w:cs="Calibri"/>
        </w:rPr>
        <w:t>in its own right to</w:t>
      </w:r>
      <w:proofErr w:type="gramEnd"/>
      <w:r w:rsidRPr="002F1917">
        <w:rPr>
          <w:rFonts w:ascii="Calibri" w:hAnsi="Calibri" w:cs="Calibri"/>
        </w:rPr>
        <w:t xml:space="preserve"> determine the preferred composition of the ASWS. </w:t>
      </w:r>
      <w:proofErr w:type="gramStart"/>
      <w:r w:rsidRPr="002F1917">
        <w:rPr>
          <w:rFonts w:ascii="Calibri" w:hAnsi="Calibri" w:cs="Calibri"/>
        </w:rPr>
        <w:t>That is to say, it</w:t>
      </w:r>
      <w:proofErr w:type="gramEnd"/>
      <w:r w:rsidRPr="002F1917">
        <w:rPr>
          <w:rFonts w:ascii="Calibri" w:hAnsi="Calibri" w:cs="Calibri"/>
        </w:rPr>
        <w:t xml:space="preserve"> could be that the preferred composition of the ASWS is, for example, the base case for accreditation and licensing of bodies, Option 1 for recognition of markets and contingencies and Option 2 for information sharing.</w:t>
      </w:r>
    </w:p>
    <w:p w14:paraId="383E43CB" w14:textId="15E9030C" w:rsidR="00870C3F" w:rsidRPr="002F1917" w:rsidRDefault="00870C3F" w:rsidP="00870C3F">
      <w:pPr>
        <w:pStyle w:val="BodyText"/>
        <w:rPr>
          <w:rFonts w:ascii="Calibri" w:hAnsi="Calibri" w:cs="Calibri"/>
        </w:rPr>
      </w:pPr>
      <w:r w:rsidRPr="002F1917">
        <w:rPr>
          <w:rFonts w:ascii="Calibri" w:hAnsi="Calibri" w:cs="Calibri"/>
        </w:rPr>
        <w:t xml:space="preserve">A </w:t>
      </w:r>
      <w:proofErr w:type="gramStart"/>
      <w:r w:rsidRPr="002F1917">
        <w:rPr>
          <w:rFonts w:ascii="Calibri" w:hAnsi="Calibri" w:cs="Calibri"/>
        </w:rPr>
        <w:t>high level</w:t>
      </w:r>
      <w:proofErr w:type="gramEnd"/>
      <w:r w:rsidRPr="002F1917">
        <w:rPr>
          <w:rFonts w:ascii="Calibri" w:hAnsi="Calibri" w:cs="Calibri"/>
        </w:rPr>
        <w:t xml:space="preserve"> overview of the options is provided in </w:t>
      </w:r>
      <w:r w:rsidRPr="002F1917">
        <w:rPr>
          <w:rFonts w:ascii="Calibri" w:hAnsi="Calibri" w:cs="Calibri"/>
        </w:rPr>
        <w:fldChar w:fldCharType="begin"/>
      </w:r>
      <w:r w:rsidRPr="002F1917">
        <w:rPr>
          <w:rFonts w:ascii="Calibri" w:hAnsi="Calibri" w:cs="Calibri"/>
        </w:rPr>
        <w:instrText xml:space="preserve"> REF _Ref82511410 \h </w:instrText>
      </w:r>
      <w:r w:rsidR="002F1917">
        <w:rPr>
          <w:rFonts w:ascii="Calibri" w:hAnsi="Calibri" w:cs="Calibri"/>
        </w:rPr>
        <w:instrText xml:space="preserve"> \* MERGEFORMAT </w:instrText>
      </w:r>
      <w:r w:rsidRPr="002F1917">
        <w:rPr>
          <w:rFonts w:ascii="Calibri" w:hAnsi="Calibri" w:cs="Calibri"/>
        </w:rPr>
      </w:r>
      <w:r w:rsidRPr="002F1917">
        <w:rPr>
          <w:rFonts w:ascii="Calibri" w:hAnsi="Calibri" w:cs="Calibri"/>
        </w:rPr>
        <w:fldChar w:fldCharType="separate"/>
      </w:r>
      <w:r w:rsidRPr="002F1917">
        <w:rPr>
          <w:rFonts w:ascii="Calibri" w:hAnsi="Calibri" w:cs="Calibri"/>
        </w:rPr>
        <w:t xml:space="preserve">Table </w:t>
      </w:r>
      <w:r w:rsidRPr="002F1917">
        <w:rPr>
          <w:rFonts w:ascii="Calibri" w:hAnsi="Calibri" w:cs="Calibri"/>
          <w:noProof/>
        </w:rPr>
        <w:t>6</w:t>
      </w:r>
      <w:r w:rsidRPr="002F1917">
        <w:rPr>
          <w:rFonts w:ascii="Calibri" w:hAnsi="Calibri" w:cs="Calibri"/>
        </w:rPr>
        <w:fldChar w:fldCharType="end"/>
      </w:r>
      <w:r w:rsidRPr="002F1917">
        <w:rPr>
          <w:rFonts w:ascii="Calibri" w:hAnsi="Calibri" w:cs="Calibri"/>
        </w:rPr>
        <w:t xml:space="preserve"> with further detail in the remainder of the section.</w:t>
      </w:r>
    </w:p>
    <w:p w14:paraId="47BB94A4" w14:textId="77777777" w:rsidR="00870C3F" w:rsidRPr="002F1917" w:rsidRDefault="00870C3F" w:rsidP="00870C3F">
      <w:pPr>
        <w:spacing w:before="0" w:line="240" w:lineRule="auto"/>
        <w:rPr>
          <w:rFonts w:ascii="Calibri" w:hAnsi="Calibri" w:cs="Calibri"/>
          <w:sz w:val="20"/>
          <w:szCs w:val="20"/>
        </w:rPr>
        <w:sectPr w:rsidR="00870C3F" w:rsidRPr="002F1917">
          <w:pgSz w:w="11900" w:h="16840"/>
          <w:pgMar w:top="1701" w:right="1418" w:bottom="1418" w:left="1418" w:header="709" w:footer="709" w:gutter="0"/>
          <w:cols w:space="720"/>
        </w:sectPr>
      </w:pPr>
    </w:p>
    <w:p w14:paraId="024245E0" w14:textId="77777777" w:rsidR="00870C3F" w:rsidRPr="009125F1" w:rsidRDefault="00870C3F" w:rsidP="009125F1">
      <w:pPr>
        <w:rPr>
          <w:rFonts w:ascii="Calibri" w:hAnsi="Calibri" w:cs="Calibri"/>
          <w:sz w:val="20"/>
          <w:szCs w:val="20"/>
        </w:rPr>
      </w:pPr>
      <w:bookmarkStart w:id="123" w:name="_Ref82511410"/>
      <w:r w:rsidRPr="009125F1">
        <w:rPr>
          <w:rFonts w:ascii="Calibri" w:hAnsi="Calibri" w:cs="Calibri"/>
          <w:sz w:val="20"/>
          <w:szCs w:val="20"/>
        </w:rPr>
        <w:lastRenderedPageBreak/>
        <w:t xml:space="preserve">Table </w:t>
      </w:r>
      <w:r w:rsidR="00437FE2" w:rsidRPr="009125F1">
        <w:rPr>
          <w:rFonts w:ascii="Calibri" w:hAnsi="Calibri" w:cs="Calibri"/>
          <w:sz w:val="20"/>
          <w:szCs w:val="20"/>
        </w:rPr>
        <w:fldChar w:fldCharType="begin"/>
      </w:r>
      <w:r w:rsidR="00437FE2" w:rsidRPr="009125F1">
        <w:rPr>
          <w:rFonts w:ascii="Calibri" w:hAnsi="Calibri" w:cs="Calibri"/>
          <w:sz w:val="20"/>
          <w:szCs w:val="20"/>
        </w:rPr>
        <w:instrText xml:space="preserve"> SEQ Table \* ARABIC </w:instrText>
      </w:r>
      <w:r w:rsidR="00437FE2" w:rsidRPr="009125F1">
        <w:rPr>
          <w:rFonts w:ascii="Calibri" w:hAnsi="Calibri" w:cs="Calibri"/>
          <w:sz w:val="20"/>
          <w:szCs w:val="20"/>
        </w:rPr>
        <w:fldChar w:fldCharType="separate"/>
      </w:r>
      <w:r w:rsidRPr="009125F1">
        <w:rPr>
          <w:rFonts w:ascii="Calibri" w:hAnsi="Calibri" w:cs="Calibri"/>
          <w:noProof/>
          <w:sz w:val="20"/>
          <w:szCs w:val="20"/>
        </w:rPr>
        <w:t>6</w:t>
      </w:r>
      <w:r w:rsidR="00437FE2" w:rsidRPr="009125F1">
        <w:rPr>
          <w:rFonts w:ascii="Calibri" w:hAnsi="Calibri" w:cs="Calibri"/>
          <w:noProof/>
          <w:sz w:val="20"/>
          <w:szCs w:val="20"/>
        </w:rPr>
        <w:fldChar w:fldCharType="end"/>
      </w:r>
      <w:bookmarkEnd w:id="123"/>
      <w:r w:rsidRPr="009125F1">
        <w:rPr>
          <w:rFonts w:ascii="Calibri" w:hAnsi="Calibri" w:cs="Calibri"/>
          <w:sz w:val="20"/>
          <w:szCs w:val="20"/>
        </w:rPr>
        <w:t>: Overview of proposed options</w:t>
      </w:r>
    </w:p>
    <w:tbl>
      <w:tblPr>
        <w:tblStyle w:val="GridTable5Dark-Accent3"/>
        <w:tblW w:w="14312" w:type="dxa"/>
        <w:tblInd w:w="0" w:type="dxa"/>
        <w:tblLook w:val="04A0" w:firstRow="1" w:lastRow="0" w:firstColumn="1" w:lastColumn="0" w:noHBand="0" w:noVBand="1"/>
      </w:tblPr>
      <w:tblGrid>
        <w:gridCol w:w="1554"/>
        <w:gridCol w:w="4252"/>
        <w:gridCol w:w="4253"/>
        <w:gridCol w:w="4253"/>
      </w:tblGrid>
      <w:tr w:rsidR="00870C3F" w:rsidRPr="002F1917" w14:paraId="46269EF5" w14:textId="77777777" w:rsidTr="00870C3F">
        <w:trPr>
          <w:cnfStyle w:val="100000000000" w:firstRow="1" w:lastRow="0"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1554" w:type="dxa"/>
            <w:tcBorders>
              <w:bottom w:val="single" w:sz="4" w:space="0" w:color="FFFFFF" w:themeColor="background1"/>
            </w:tcBorders>
          </w:tcPr>
          <w:p w14:paraId="437F643D" w14:textId="77777777" w:rsidR="00870C3F" w:rsidRPr="00C434A1" w:rsidRDefault="00870C3F">
            <w:pPr>
              <w:rPr>
                <w:rFonts w:ascii="Calibri" w:hAnsi="Calibri" w:cs="Calibri"/>
                <w:color w:val="000000" w:themeColor="text1"/>
                <w:sz w:val="20"/>
                <w:szCs w:val="20"/>
                <w:lang w:bidi="th-TH"/>
              </w:rPr>
            </w:pPr>
          </w:p>
        </w:tc>
        <w:tc>
          <w:tcPr>
            <w:tcW w:w="4252" w:type="dxa"/>
            <w:tcBorders>
              <w:bottom w:val="single" w:sz="4" w:space="0" w:color="FFFFFF" w:themeColor="background1"/>
            </w:tcBorders>
            <w:hideMark/>
          </w:tcPr>
          <w:p w14:paraId="0935450B" w14:textId="77777777" w:rsidR="00870C3F" w:rsidRPr="00C434A1" w:rsidRDefault="00870C3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lang w:bidi="th-TH"/>
              </w:rPr>
            </w:pPr>
            <w:r w:rsidRPr="00C434A1">
              <w:rPr>
                <w:rFonts w:ascii="Calibri" w:hAnsi="Calibri" w:cs="Calibri"/>
                <w:color w:val="000000" w:themeColor="text1"/>
                <w:sz w:val="20"/>
                <w:szCs w:val="20"/>
                <w:lang w:bidi="th-TH"/>
              </w:rPr>
              <w:t>Base case</w:t>
            </w:r>
          </w:p>
        </w:tc>
        <w:tc>
          <w:tcPr>
            <w:tcW w:w="4253" w:type="dxa"/>
            <w:tcBorders>
              <w:bottom w:val="single" w:sz="4" w:space="0" w:color="FFFFFF" w:themeColor="background1"/>
            </w:tcBorders>
            <w:hideMark/>
          </w:tcPr>
          <w:p w14:paraId="5BA6690C" w14:textId="77777777" w:rsidR="00870C3F" w:rsidRPr="00C434A1" w:rsidRDefault="00870C3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lang w:bidi="th-TH"/>
              </w:rPr>
            </w:pPr>
            <w:r w:rsidRPr="00C434A1">
              <w:rPr>
                <w:rFonts w:ascii="Calibri" w:hAnsi="Calibri" w:cs="Calibri"/>
                <w:color w:val="000000" w:themeColor="text1"/>
                <w:sz w:val="20"/>
                <w:szCs w:val="20"/>
                <w:lang w:bidi="th-TH"/>
              </w:rPr>
              <w:t>Option 1</w:t>
            </w:r>
          </w:p>
        </w:tc>
        <w:tc>
          <w:tcPr>
            <w:tcW w:w="4253" w:type="dxa"/>
            <w:tcBorders>
              <w:bottom w:val="single" w:sz="4" w:space="0" w:color="FFFFFF" w:themeColor="background1"/>
            </w:tcBorders>
            <w:hideMark/>
          </w:tcPr>
          <w:p w14:paraId="1A18D817" w14:textId="77777777" w:rsidR="00870C3F" w:rsidRPr="00C434A1" w:rsidRDefault="00870C3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lang w:bidi="th-TH"/>
              </w:rPr>
            </w:pPr>
            <w:r w:rsidRPr="00C434A1">
              <w:rPr>
                <w:rFonts w:ascii="Calibri" w:hAnsi="Calibri" w:cs="Calibri"/>
                <w:color w:val="000000" w:themeColor="text1"/>
                <w:sz w:val="20"/>
                <w:szCs w:val="20"/>
                <w:lang w:bidi="th-TH"/>
              </w:rPr>
              <w:t>Option 2</w:t>
            </w:r>
          </w:p>
        </w:tc>
      </w:tr>
      <w:tr w:rsidR="00870C3F" w:rsidRPr="002F1917" w14:paraId="5AAB52B1" w14:textId="77777777" w:rsidTr="00870C3F">
        <w:trPr>
          <w:cnfStyle w:val="000000100000" w:firstRow="0" w:lastRow="0" w:firstColumn="0" w:lastColumn="0" w:oddVBand="0" w:evenVBand="0" w:oddHBand="1" w:evenHBand="0" w:firstRowFirstColumn="0" w:firstRowLastColumn="0" w:lastRowFirstColumn="0" w:lastRowLastColumn="0"/>
          <w:trHeight w:val="968"/>
        </w:trPr>
        <w:tc>
          <w:tcPr>
            <w:cnfStyle w:val="001000000000" w:firstRow="0" w:lastRow="0" w:firstColumn="1" w:lastColumn="0" w:oddVBand="0" w:evenVBand="0" w:oddHBand="0" w:evenHBand="0" w:firstRowFirstColumn="0" w:firstRowLastColumn="0" w:lastRowFirstColumn="0" w:lastRowLastColumn="0"/>
            <w:tcW w:w="1554" w:type="dxa"/>
            <w:tcBorders>
              <w:top w:val="single" w:sz="4" w:space="0" w:color="FFFFFF" w:themeColor="background1"/>
              <w:bottom w:val="single" w:sz="4" w:space="0" w:color="FFFFFF" w:themeColor="background1"/>
              <w:right w:val="single" w:sz="4" w:space="0" w:color="FFFFFF" w:themeColor="background1"/>
            </w:tcBorders>
            <w:hideMark/>
          </w:tcPr>
          <w:p w14:paraId="52ACE41C" w14:textId="77777777" w:rsidR="00870C3F" w:rsidRPr="00C434A1" w:rsidRDefault="00870C3F">
            <w:pPr>
              <w:rPr>
                <w:rFonts w:ascii="Calibri" w:hAnsi="Calibri" w:cs="Calibri"/>
                <w:color w:val="000000" w:themeColor="text1"/>
                <w:sz w:val="20"/>
                <w:szCs w:val="20"/>
                <w:lang w:bidi="th-TH"/>
              </w:rPr>
            </w:pPr>
            <w:r w:rsidRPr="00C434A1">
              <w:rPr>
                <w:rFonts w:ascii="Calibri" w:hAnsi="Calibri" w:cs="Calibri"/>
                <w:color w:val="000000" w:themeColor="text1"/>
                <w:sz w:val="20"/>
                <w:szCs w:val="20"/>
                <w:lang w:bidi="th-TH"/>
              </w:rPr>
              <w:t>Accreditation and licensing of bodies</w:t>
            </w:r>
          </w:p>
        </w:tc>
        <w:tc>
          <w:tcPr>
            <w:tcW w:w="42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DB7EE79" w14:textId="77777777" w:rsidR="00870C3F" w:rsidRPr="002F1917" w:rsidRDefault="00870C3F" w:rsidP="00204AA1">
            <w:pPr>
              <w:numPr>
                <w:ilvl w:val="0"/>
                <w:numId w:val="29"/>
              </w:numPr>
              <w:tabs>
                <w:tab w:val="num" w:pos="720"/>
              </w:tabs>
              <w:suppressAutoHyphens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bidi="th-TH"/>
              </w:rPr>
            </w:pPr>
            <w:r w:rsidRPr="002F1917">
              <w:rPr>
                <w:rFonts w:ascii="Calibri" w:hAnsi="Calibri" w:cs="Calibri"/>
                <w:sz w:val="20"/>
                <w:szCs w:val="20"/>
                <w:lang w:bidi="th-TH"/>
              </w:rPr>
              <w:t xml:space="preserve">NSW and VIC accredit Sport Controlling Body status </w:t>
            </w:r>
          </w:p>
          <w:p w14:paraId="24446BCE" w14:textId="77777777" w:rsidR="00870C3F" w:rsidRPr="002F1917" w:rsidRDefault="00870C3F" w:rsidP="00204AA1">
            <w:pPr>
              <w:numPr>
                <w:ilvl w:val="0"/>
                <w:numId w:val="29"/>
              </w:numPr>
              <w:tabs>
                <w:tab w:val="num" w:pos="720"/>
              </w:tabs>
              <w:suppressAutoHyphens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bidi="th-TH"/>
              </w:rPr>
            </w:pPr>
            <w:r w:rsidRPr="002F1917">
              <w:rPr>
                <w:rFonts w:ascii="Calibri" w:hAnsi="Calibri" w:cs="Calibri"/>
                <w:sz w:val="20"/>
                <w:szCs w:val="20"/>
                <w:lang w:bidi="th-TH"/>
              </w:rPr>
              <w:t>NSW and VIC require product agreements between those with Sport Controlling Body status and wagering providers</w:t>
            </w:r>
          </w:p>
          <w:p w14:paraId="6FE87B20" w14:textId="77777777" w:rsidR="00870C3F" w:rsidRPr="002F1917" w:rsidRDefault="00870C3F" w:rsidP="00204AA1">
            <w:pPr>
              <w:numPr>
                <w:ilvl w:val="0"/>
                <w:numId w:val="29"/>
              </w:numPr>
              <w:tabs>
                <w:tab w:val="num" w:pos="720"/>
              </w:tabs>
              <w:suppressAutoHyphens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bidi="th-TH"/>
              </w:rPr>
            </w:pPr>
            <w:r w:rsidRPr="002F1917">
              <w:rPr>
                <w:rFonts w:ascii="Calibri" w:hAnsi="Calibri" w:cs="Calibri"/>
                <w:sz w:val="20"/>
                <w:szCs w:val="20"/>
                <w:lang w:bidi="th-TH"/>
              </w:rPr>
              <w:t>Wagering providers licensed by states and territories</w:t>
            </w:r>
          </w:p>
        </w:tc>
        <w:tc>
          <w:tcPr>
            <w:tcW w:w="4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C86ACB" w14:textId="77777777" w:rsidR="00870C3F" w:rsidRPr="002F1917" w:rsidRDefault="00870C3F" w:rsidP="00204AA1">
            <w:pPr>
              <w:numPr>
                <w:ilvl w:val="0"/>
                <w:numId w:val="29"/>
              </w:numPr>
              <w:tabs>
                <w:tab w:val="num" w:pos="720"/>
              </w:tabs>
              <w:suppressAutoHyphens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bidi="th-TH"/>
              </w:rPr>
            </w:pPr>
            <w:r w:rsidRPr="002F1917">
              <w:rPr>
                <w:rFonts w:ascii="Calibri" w:hAnsi="Calibri" w:cs="Calibri"/>
                <w:sz w:val="20"/>
                <w:szCs w:val="20"/>
                <w:lang w:bidi="th-TH"/>
              </w:rPr>
              <w:t>Streamlining - NSW and VIC assign responsibility for accrediting Sport Controlling Body status and requiring product agreements to Sport Integrity Australia</w:t>
            </w:r>
          </w:p>
          <w:p w14:paraId="57B5C470" w14:textId="77777777" w:rsidR="00870C3F" w:rsidRPr="002F1917" w:rsidRDefault="00870C3F" w:rsidP="00204AA1">
            <w:pPr>
              <w:numPr>
                <w:ilvl w:val="0"/>
                <w:numId w:val="29"/>
              </w:numPr>
              <w:suppressAutoHyphens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bidi="th-TH"/>
              </w:rPr>
            </w:pPr>
            <w:r w:rsidRPr="002F1917">
              <w:rPr>
                <w:rFonts w:ascii="Calibri" w:hAnsi="Calibri" w:cs="Calibri"/>
                <w:sz w:val="20"/>
                <w:szCs w:val="20"/>
                <w:lang w:bidi="th-TH"/>
              </w:rPr>
              <w:t>Sport Integrity Australia accredits sport controlling body status and event controlling body status</w:t>
            </w:r>
          </w:p>
          <w:p w14:paraId="733DDC98" w14:textId="77777777" w:rsidR="00870C3F" w:rsidRPr="002F1917" w:rsidRDefault="00870C3F" w:rsidP="00204AA1">
            <w:pPr>
              <w:numPr>
                <w:ilvl w:val="0"/>
                <w:numId w:val="29"/>
              </w:numPr>
              <w:tabs>
                <w:tab w:val="num" w:pos="720"/>
              </w:tabs>
              <w:suppressAutoHyphens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bidi="th-TH"/>
              </w:rPr>
            </w:pPr>
            <w:r w:rsidRPr="002F1917">
              <w:rPr>
                <w:rFonts w:ascii="Calibri" w:hAnsi="Calibri" w:cs="Calibri"/>
                <w:sz w:val="20"/>
                <w:szCs w:val="20"/>
                <w:lang w:bidi="th-TH"/>
              </w:rPr>
              <w:t>Sport Integrity Australia require product agreements between those with Sport Controlling Body status and wagering providers</w:t>
            </w:r>
          </w:p>
          <w:p w14:paraId="2744A03E" w14:textId="77777777" w:rsidR="00870C3F" w:rsidRPr="002F1917" w:rsidRDefault="00870C3F" w:rsidP="00204AA1">
            <w:pPr>
              <w:numPr>
                <w:ilvl w:val="0"/>
                <w:numId w:val="29"/>
              </w:numPr>
              <w:suppressAutoHyphens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bidi="th-TH"/>
              </w:rPr>
            </w:pPr>
            <w:r w:rsidRPr="002F1917">
              <w:rPr>
                <w:rFonts w:ascii="Calibri" w:hAnsi="Calibri" w:cs="Calibri"/>
                <w:sz w:val="20"/>
                <w:szCs w:val="20"/>
                <w:lang w:bidi="th-TH"/>
              </w:rPr>
              <w:t>Wagering providers licensed by states and territories</w:t>
            </w:r>
          </w:p>
          <w:p w14:paraId="0EC42918" w14:textId="77777777" w:rsidR="00870C3F" w:rsidRPr="002F1917" w:rsidRDefault="00870C3F">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bidi="th-TH"/>
              </w:rPr>
            </w:pPr>
          </w:p>
        </w:tc>
        <w:tc>
          <w:tcPr>
            <w:tcW w:w="4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6692489" w14:textId="77777777" w:rsidR="00870C3F" w:rsidRPr="002F1917" w:rsidRDefault="00870C3F">
            <w:pPr>
              <w:tabs>
                <w:tab w:val="num" w:pos="720"/>
              </w:tabs>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bidi="th-TH"/>
              </w:rPr>
            </w:pPr>
            <w:r w:rsidRPr="002F1917">
              <w:rPr>
                <w:rFonts w:ascii="Calibri" w:hAnsi="Calibri" w:cs="Calibri"/>
                <w:sz w:val="20"/>
                <w:szCs w:val="20"/>
                <w:lang w:bidi="th-TH"/>
              </w:rPr>
              <w:t>-</w:t>
            </w:r>
          </w:p>
        </w:tc>
      </w:tr>
      <w:tr w:rsidR="00870C3F" w:rsidRPr="002F1917" w14:paraId="689F05EA" w14:textId="77777777" w:rsidTr="00870C3F">
        <w:trPr>
          <w:trHeight w:val="1156"/>
        </w:trPr>
        <w:tc>
          <w:tcPr>
            <w:cnfStyle w:val="001000000000" w:firstRow="0" w:lastRow="0" w:firstColumn="1" w:lastColumn="0" w:oddVBand="0" w:evenVBand="0" w:oddHBand="0" w:evenHBand="0" w:firstRowFirstColumn="0" w:firstRowLastColumn="0" w:lastRowFirstColumn="0" w:lastRowLastColumn="0"/>
            <w:tcW w:w="1554" w:type="dxa"/>
            <w:tcBorders>
              <w:top w:val="single" w:sz="4" w:space="0" w:color="FFFFFF" w:themeColor="background1"/>
              <w:bottom w:val="single" w:sz="4" w:space="0" w:color="FFFFFF" w:themeColor="background1"/>
              <w:right w:val="single" w:sz="4" w:space="0" w:color="FFFFFF" w:themeColor="background1"/>
            </w:tcBorders>
            <w:hideMark/>
          </w:tcPr>
          <w:p w14:paraId="79902F9B" w14:textId="77777777" w:rsidR="00870C3F" w:rsidRPr="00C434A1" w:rsidRDefault="00870C3F">
            <w:pPr>
              <w:rPr>
                <w:rFonts w:ascii="Calibri" w:hAnsi="Calibri" w:cs="Calibri"/>
                <w:color w:val="000000" w:themeColor="text1"/>
                <w:sz w:val="20"/>
                <w:szCs w:val="20"/>
                <w:lang w:bidi="th-TH"/>
              </w:rPr>
            </w:pPr>
            <w:r w:rsidRPr="00C434A1">
              <w:rPr>
                <w:rFonts w:ascii="Calibri" w:hAnsi="Calibri" w:cs="Calibri"/>
                <w:color w:val="000000" w:themeColor="text1"/>
                <w:sz w:val="20"/>
                <w:szCs w:val="20"/>
                <w:lang w:bidi="th-TH"/>
              </w:rPr>
              <w:t>Markets and contingencies</w:t>
            </w:r>
          </w:p>
        </w:tc>
        <w:tc>
          <w:tcPr>
            <w:tcW w:w="42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B7F4F50" w14:textId="77777777" w:rsidR="00870C3F" w:rsidRPr="002F1917" w:rsidRDefault="00870C3F" w:rsidP="00204AA1">
            <w:pPr>
              <w:numPr>
                <w:ilvl w:val="0"/>
                <w:numId w:val="30"/>
              </w:numPr>
              <w:tabs>
                <w:tab w:val="num" w:pos="720"/>
              </w:tabs>
              <w:suppressAutoHyphens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bidi="th-TH"/>
              </w:rPr>
            </w:pPr>
            <w:r w:rsidRPr="002F1917">
              <w:rPr>
                <w:rFonts w:ascii="Calibri" w:hAnsi="Calibri" w:cs="Calibri"/>
                <w:sz w:val="20"/>
                <w:szCs w:val="20"/>
                <w:lang w:bidi="th-TH"/>
              </w:rPr>
              <w:t>Markets and contingencies determined by state and territory regulators</w:t>
            </w:r>
          </w:p>
        </w:tc>
        <w:tc>
          <w:tcPr>
            <w:tcW w:w="4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E12693B" w14:textId="77777777" w:rsidR="00870C3F" w:rsidRPr="002F1917" w:rsidRDefault="00870C3F" w:rsidP="00204AA1">
            <w:pPr>
              <w:numPr>
                <w:ilvl w:val="0"/>
                <w:numId w:val="30"/>
              </w:numPr>
              <w:tabs>
                <w:tab w:val="num" w:pos="720"/>
              </w:tabs>
              <w:suppressAutoHyphens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bidi="th-TH"/>
              </w:rPr>
            </w:pPr>
            <w:r w:rsidRPr="002F1917">
              <w:rPr>
                <w:rFonts w:ascii="Calibri" w:hAnsi="Calibri" w:cs="Calibri"/>
                <w:sz w:val="20"/>
                <w:szCs w:val="20"/>
                <w:lang w:bidi="th-TH"/>
              </w:rPr>
              <w:t>Markets and contingencies determined by state and territory regulators. In addition, Sport Integrity Australia will facilitate a national contingencies forum</w:t>
            </w:r>
          </w:p>
        </w:tc>
        <w:tc>
          <w:tcPr>
            <w:tcW w:w="4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35BECFA" w14:textId="77777777" w:rsidR="00870C3F" w:rsidRPr="002F1917" w:rsidRDefault="00870C3F">
            <w:pPr>
              <w:tabs>
                <w:tab w:val="num" w:pos="720"/>
              </w:tabs>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bidi="th-TH"/>
              </w:rPr>
            </w:pPr>
            <w:r w:rsidRPr="002F1917">
              <w:rPr>
                <w:rFonts w:ascii="Calibri" w:hAnsi="Calibri" w:cs="Calibri"/>
                <w:sz w:val="20"/>
                <w:szCs w:val="20"/>
                <w:lang w:bidi="th-TH"/>
              </w:rPr>
              <w:t>-</w:t>
            </w:r>
          </w:p>
        </w:tc>
      </w:tr>
      <w:tr w:rsidR="00870C3F" w:rsidRPr="002F1917" w14:paraId="793A8C38" w14:textId="77777777" w:rsidTr="00870C3F">
        <w:trPr>
          <w:cnfStyle w:val="000000100000" w:firstRow="0" w:lastRow="0" w:firstColumn="0" w:lastColumn="0" w:oddVBand="0" w:evenVBand="0" w:oddHBand="1" w:evenHBand="0" w:firstRowFirstColumn="0" w:firstRowLastColumn="0" w:lastRowFirstColumn="0" w:lastRowLastColumn="0"/>
          <w:trHeight w:val="968"/>
        </w:trPr>
        <w:tc>
          <w:tcPr>
            <w:cnfStyle w:val="001000000000" w:firstRow="0" w:lastRow="0" w:firstColumn="1" w:lastColumn="0" w:oddVBand="0" w:evenVBand="0" w:oddHBand="0" w:evenHBand="0" w:firstRowFirstColumn="0" w:firstRowLastColumn="0" w:lastRowFirstColumn="0" w:lastRowLastColumn="0"/>
            <w:tcW w:w="1554" w:type="dxa"/>
            <w:tcBorders>
              <w:top w:val="single" w:sz="4" w:space="0" w:color="FFFFFF" w:themeColor="background1"/>
              <w:right w:val="single" w:sz="4" w:space="0" w:color="FFFFFF" w:themeColor="background1"/>
            </w:tcBorders>
            <w:hideMark/>
          </w:tcPr>
          <w:p w14:paraId="37B2CCB5" w14:textId="77777777" w:rsidR="00870C3F" w:rsidRPr="00C434A1" w:rsidRDefault="00870C3F">
            <w:pPr>
              <w:rPr>
                <w:rFonts w:ascii="Calibri" w:hAnsi="Calibri" w:cs="Calibri"/>
                <w:color w:val="000000" w:themeColor="text1"/>
                <w:sz w:val="20"/>
                <w:szCs w:val="20"/>
                <w:lang w:bidi="th-TH"/>
              </w:rPr>
            </w:pPr>
            <w:r w:rsidRPr="00C434A1">
              <w:rPr>
                <w:rFonts w:ascii="Calibri" w:hAnsi="Calibri" w:cs="Calibri"/>
                <w:color w:val="000000" w:themeColor="text1"/>
                <w:sz w:val="20"/>
                <w:szCs w:val="20"/>
                <w:lang w:bidi="th-TH"/>
              </w:rPr>
              <w:t>Information sharing</w:t>
            </w:r>
          </w:p>
        </w:tc>
        <w:tc>
          <w:tcPr>
            <w:tcW w:w="42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1640867" w14:textId="77777777" w:rsidR="00870C3F" w:rsidRPr="002F1917" w:rsidRDefault="00870C3F" w:rsidP="00204AA1">
            <w:pPr>
              <w:numPr>
                <w:ilvl w:val="0"/>
                <w:numId w:val="31"/>
              </w:numPr>
              <w:suppressAutoHyphens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bidi="th-TH"/>
              </w:rPr>
            </w:pPr>
            <w:r w:rsidRPr="002F1917">
              <w:rPr>
                <w:rFonts w:ascii="Calibri" w:hAnsi="Calibri" w:cs="Calibri"/>
                <w:sz w:val="20"/>
                <w:szCs w:val="20"/>
                <w:lang w:bidi="th-TH"/>
              </w:rPr>
              <w:t>No transactional data requirement</w:t>
            </w:r>
          </w:p>
          <w:p w14:paraId="55A350A7" w14:textId="77777777" w:rsidR="00870C3F" w:rsidRPr="002F1917" w:rsidRDefault="00870C3F" w:rsidP="00204AA1">
            <w:pPr>
              <w:numPr>
                <w:ilvl w:val="0"/>
                <w:numId w:val="31"/>
              </w:numPr>
              <w:suppressAutoHyphens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bidi="th-TH"/>
              </w:rPr>
            </w:pPr>
            <w:r w:rsidRPr="002F1917">
              <w:rPr>
                <w:rFonts w:ascii="Calibri" w:hAnsi="Calibri" w:cs="Calibri"/>
                <w:sz w:val="20"/>
                <w:szCs w:val="20"/>
                <w:lang w:bidi="th-TH"/>
              </w:rPr>
              <w:t>Information provided to relevant authority on request</w:t>
            </w:r>
          </w:p>
        </w:tc>
        <w:tc>
          <w:tcPr>
            <w:tcW w:w="4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559EC75" w14:textId="77777777" w:rsidR="00870C3F" w:rsidRPr="002F1917" w:rsidRDefault="00870C3F" w:rsidP="00204AA1">
            <w:pPr>
              <w:numPr>
                <w:ilvl w:val="0"/>
                <w:numId w:val="32"/>
              </w:numPr>
              <w:tabs>
                <w:tab w:val="num" w:pos="720"/>
              </w:tabs>
              <w:suppressAutoHyphens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bidi="th-TH"/>
              </w:rPr>
            </w:pPr>
            <w:r w:rsidRPr="002F1917">
              <w:rPr>
                <w:rFonts w:ascii="Calibri" w:hAnsi="Calibri" w:cs="Calibri"/>
                <w:sz w:val="20"/>
                <w:szCs w:val="20"/>
                <w:lang w:bidi="th-TH"/>
              </w:rPr>
              <w:t>Ongoing, non-real time data platform established by Sport Integrity Australia</w:t>
            </w:r>
          </w:p>
          <w:p w14:paraId="15D143E3" w14:textId="77777777" w:rsidR="00870C3F" w:rsidRPr="002F1917" w:rsidRDefault="00870C3F" w:rsidP="00204AA1">
            <w:pPr>
              <w:numPr>
                <w:ilvl w:val="0"/>
                <w:numId w:val="32"/>
              </w:numPr>
              <w:tabs>
                <w:tab w:val="num" w:pos="720"/>
              </w:tabs>
              <w:suppressAutoHyphens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bidi="th-TH"/>
              </w:rPr>
            </w:pPr>
            <w:r w:rsidRPr="002F1917">
              <w:rPr>
                <w:rFonts w:ascii="Calibri" w:hAnsi="Calibri" w:cs="Calibri"/>
                <w:sz w:val="20"/>
                <w:szCs w:val="20"/>
                <w:lang w:bidi="th-TH"/>
              </w:rPr>
              <w:t>Suspicious activity alert system</w:t>
            </w:r>
          </w:p>
          <w:p w14:paraId="182606DA" w14:textId="77777777" w:rsidR="00870C3F" w:rsidRPr="002F1917" w:rsidRDefault="00870C3F" w:rsidP="00204AA1">
            <w:pPr>
              <w:numPr>
                <w:ilvl w:val="0"/>
                <w:numId w:val="32"/>
              </w:numPr>
              <w:tabs>
                <w:tab w:val="num" w:pos="720"/>
              </w:tabs>
              <w:suppressAutoHyphens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bidi="th-TH"/>
              </w:rPr>
            </w:pPr>
            <w:r w:rsidRPr="002F1917">
              <w:rPr>
                <w:rFonts w:ascii="Calibri" w:hAnsi="Calibri" w:cs="Calibri"/>
                <w:sz w:val="20"/>
                <w:szCs w:val="20"/>
                <w:lang w:bidi="th-TH"/>
              </w:rPr>
              <w:t>Standardise information and reporting requirements and templates</w:t>
            </w:r>
          </w:p>
          <w:p w14:paraId="05E19332" w14:textId="77777777" w:rsidR="00870C3F" w:rsidRPr="002F1917" w:rsidRDefault="00870C3F" w:rsidP="00204AA1">
            <w:pPr>
              <w:numPr>
                <w:ilvl w:val="0"/>
                <w:numId w:val="32"/>
              </w:numPr>
              <w:tabs>
                <w:tab w:val="num" w:pos="720"/>
              </w:tabs>
              <w:suppressAutoHyphens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bidi="th-TH"/>
              </w:rPr>
            </w:pPr>
            <w:r w:rsidRPr="002F1917">
              <w:rPr>
                <w:rFonts w:ascii="Calibri" w:hAnsi="Calibri" w:cs="Calibri"/>
                <w:sz w:val="20"/>
                <w:szCs w:val="20"/>
                <w:lang w:bidi="th-TH"/>
              </w:rPr>
              <w:t>Sport Integrity Australia provide intelligence function</w:t>
            </w:r>
          </w:p>
        </w:tc>
        <w:tc>
          <w:tcPr>
            <w:tcW w:w="4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D888E8" w14:textId="77777777" w:rsidR="00870C3F" w:rsidRPr="002F1917" w:rsidRDefault="00870C3F" w:rsidP="00204AA1">
            <w:pPr>
              <w:numPr>
                <w:ilvl w:val="0"/>
                <w:numId w:val="33"/>
              </w:numPr>
              <w:tabs>
                <w:tab w:val="num" w:pos="720"/>
              </w:tabs>
              <w:suppressAutoHyphens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bidi="th-TH"/>
              </w:rPr>
            </w:pPr>
            <w:r w:rsidRPr="002F1917">
              <w:rPr>
                <w:rFonts w:ascii="Calibri" w:hAnsi="Calibri" w:cs="Calibri"/>
                <w:sz w:val="20"/>
                <w:szCs w:val="20"/>
                <w:lang w:bidi="th-TH"/>
              </w:rPr>
              <w:t>Real-time transactional data platform established by Sport Integrity Australia</w:t>
            </w:r>
          </w:p>
          <w:p w14:paraId="4308F869" w14:textId="77777777" w:rsidR="00870C3F" w:rsidRPr="002F1917" w:rsidRDefault="00870C3F" w:rsidP="00204AA1">
            <w:pPr>
              <w:numPr>
                <w:ilvl w:val="0"/>
                <w:numId w:val="33"/>
              </w:numPr>
              <w:tabs>
                <w:tab w:val="num" w:pos="720"/>
              </w:tabs>
              <w:suppressAutoHyphens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bidi="th-TH"/>
              </w:rPr>
            </w:pPr>
            <w:r w:rsidRPr="002F1917">
              <w:rPr>
                <w:rFonts w:ascii="Calibri" w:hAnsi="Calibri" w:cs="Calibri"/>
                <w:sz w:val="20"/>
                <w:szCs w:val="20"/>
                <w:lang w:bidi="th-TH"/>
              </w:rPr>
              <w:t>Suspicious activity alert system</w:t>
            </w:r>
          </w:p>
          <w:p w14:paraId="4A2E9C9A" w14:textId="77777777" w:rsidR="00870C3F" w:rsidRPr="002F1917" w:rsidRDefault="00870C3F">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bidi="th-TH"/>
              </w:rPr>
            </w:pPr>
          </w:p>
        </w:tc>
      </w:tr>
    </w:tbl>
    <w:p w14:paraId="56223D19" w14:textId="77777777" w:rsidR="00870C3F" w:rsidRPr="002F1917" w:rsidRDefault="00870C3F" w:rsidP="00870C3F">
      <w:pPr>
        <w:pStyle w:val="BodyText"/>
        <w:rPr>
          <w:rFonts w:ascii="Calibri" w:hAnsi="Calibri" w:cs="Calibri"/>
        </w:rPr>
      </w:pPr>
    </w:p>
    <w:p w14:paraId="7A8ED28D" w14:textId="77777777" w:rsidR="00870C3F" w:rsidRPr="002F1917" w:rsidRDefault="00870C3F" w:rsidP="00870C3F">
      <w:pPr>
        <w:spacing w:before="0" w:line="240" w:lineRule="auto"/>
        <w:rPr>
          <w:rFonts w:ascii="Calibri" w:hAnsi="Calibri" w:cs="Calibri"/>
          <w:sz w:val="20"/>
          <w:szCs w:val="20"/>
        </w:rPr>
        <w:sectPr w:rsidR="00870C3F" w:rsidRPr="002F1917">
          <w:pgSz w:w="16840" w:h="11900" w:orient="landscape"/>
          <w:pgMar w:top="1418" w:right="1701" w:bottom="1418" w:left="1418" w:header="709" w:footer="709" w:gutter="0"/>
          <w:cols w:space="720"/>
        </w:sectPr>
      </w:pPr>
    </w:p>
    <w:p w14:paraId="54306FB2" w14:textId="08841573" w:rsidR="00870C3F" w:rsidRPr="002F1917" w:rsidRDefault="00A22001" w:rsidP="00204AA1">
      <w:pPr>
        <w:pStyle w:val="Heading2"/>
        <w:numPr>
          <w:ilvl w:val="1"/>
          <w:numId w:val="26"/>
        </w:numPr>
        <w:suppressAutoHyphens w:val="0"/>
        <w:spacing w:after="120" w:line="280" w:lineRule="auto"/>
        <w:rPr>
          <w:rFonts w:ascii="Calibri" w:hAnsi="Calibri" w:cs="Calibri"/>
          <w:sz w:val="26"/>
          <w:lang w:eastAsia="en-AU"/>
        </w:rPr>
      </w:pPr>
      <w:bookmarkStart w:id="124" w:name="_Toc85450771"/>
      <w:r w:rsidRPr="002F1917">
        <w:rPr>
          <w:rFonts w:ascii="Calibri" w:hAnsi="Calibri" w:cs="Calibri"/>
          <w:sz w:val="26"/>
          <w:lang w:eastAsia="en-AU"/>
        </w:rPr>
        <w:lastRenderedPageBreak/>
        <w:t xml:space="preserve"> </w:t>
      </w:r>
      <w:bookmarkStart w:id="125" w:name="_Toc85792422"/>
      <w:r w:rsidR="00870C3F" w:rsidRPr="002F1917">
        <w:rPr>
          <w:rFonts w:ascii="Calibri" w:hAnsi="Calibri" w:cs="Calibri"/>
          <w:sz w:val="26"/>
          <w:lang w:eastAsia="en-AU"/>
        </w:rPr>
        <w:t>Options</w:t>
      </w:r>
      <w:bookmarkEnd w:id="124"/>
      <w:bookmarkEnd w:id="125"/>
    </w:p>
    <w:p w14:paraId="6139DEE5" w14:textId="77777777" w:rsidR="00870C3F" w:rsidRPr="00E63010" w:rsidRDefault="00870C3F" w:rsidP="00E63010">
      <w:pPr>
        <w:pStyle w:val="Heading3"/>
        <w:rPr>
          <w:rFonts w:ascii="Calibri" w:hAnsi="Calibri" w:cs="Calibri"/>
          <w:sz w:val="24"/>
          <w:szCs w:val="28"/>
          <w:lang w:eastAsia="en-AU"/>
        </w:rPr>
      </w:pPr>
      <w:bookmarkStart w:id="126" w:name="_Toc39219897"/>
      <w:bookmarkStart w:id="127" w:name="_Toc39220366"/>
      <w:bookmarkStart w:id="128" w:name="_Toc85450772"/>
      <w:bookmarkStart w:id="129" w:name="_Hlk84849621"/>
      <w:r w:rsidRPr="00E63010">
        <w:rPr>
          <w:rFonts w:ascii="Calibri" w:hAnsi="Calibri" w:cs="Calibri"/>
          <w:sz w:val="20"/>
          <w:szCs w:val="28"/>
          <w:lang w:eastAsia="en-AU"/>
        </w:rPr>
        <w:t xml:space="preserve">Accreditation </w:t>
      </w:r>
      <w:bookmarkEnd w:id="126"/>
      <w:bookmarkEnd w:id="127"/>
      <w:r w:rsidRPr="00E63010">
        <w:rPr>
          <w:rFonts w:ascii="Calibri" w:hAnsi="Calibri" w:cs="Calibri"/>
          <w:sz w:val="20"/>
          <w:szCs w:val="28"/>
          <w:lang w:eastAsia="en-AU"/>
        </w:rPr>
        <w:t>and licensing of bodies</w:t>
      </w:r>
      <w:bookmarkEnd w:id="128"/>
    </w:p>
    <w:p w14:paraId="0428F23A" w14:textId="77777777" w:rsidR="00870C3F" w:rsidRPr="002F1917" w:rsidRDefault="00870C3F" w:rsidP="00870C3F">
      <w:pPr>
        <w:pStyle w:val="Heading3"/>
        <w:rPr>
          <w:rFonts w:ascii="Calibri" w:hAnsi="Calibri" w:cs="Calibri"/>
          <w:b w:val="0"/>
          <w:sz w:val="20"/>
          <w:lang w:eastAsia="en-AU"/>
        </w:rPr>
      </w:pPr>
      <w:bookmarkStart w:id="130" w:name="_Toc85450773"/>
      <w:bookmarkEnd w:id="129"/>
      <w:r w:rsidRPr="002F1917">
        <w:rPr>
          <w:rFonts w:ascii="Calibri" w:hAnsi="Calibri" w:cs="Calibri"/>
          <w:b w:val="0"/>
          <w:sz w:val="20"/>
          <w:lang w:eastAsia="en-AU"/>
        </w:rPr>
        <w:t>Base case</w:t>
      </w:r>
      <w:bookmarkEnd w:id="130"/>
    </w:p>
    <w:p w14:paraId="31E1584A" w14:textId="77777777" w:rsidR="00870C3F" w:rsidRPr="002F1917" w:rsidRDefault="00870C3F" w:rsidP="00870C3F">
      <w:pPr>
        <w:rPr>
          <w:rFonts w:ascii="Calibri" w:hAnsi="Calibri" w:cs="Calibri"/>
          <w:i/>
          <w:sz w:val="20"/>
          <w:szCs w:val="20"/>
        </w:rPr>
      </w:pPr>
      <w:r w:rsidRPr="002F1917">
        <w:rPr>
          <w:rFonts w:ascii="Calibri" w:hAnsi="Calibri" w:cs="Calibri"/>
          <w:i/>
          <w:sz w:val="20"/>
          <w:szCs w:val="20"/>
        </w:rPr>
        <w:t>Description of option</w:t>
      </w:r>
    </w:p>
    <w:p w14:paraId="2D04D1B8" w14:textId="77777777" w:rsidR="00870C3F" w:rsidRPr="002F1917" w:rsidRDefault="00870C3F" w:rsidP="00870C3F">
      <w:pPr>
        <w:pStyle w:val="ListBullet1"/>
        <w:rPr>
          <w:rFonts w:ascii="Calibri" w:hAnsi="Calibri" w:cs="Calibri"/>
        </w:rPr>
      </w:pPr>
      <w:r w:rsidRPr="002F1917">
        <w:rPr>
          <w:rFonts w:ascii="Calibri" w:hAnsi="Calibri" w:cs="Calibri"/>
        </w:rPr>
        <w:t xml:space="preserve">A continuation of existing arrangements where there are separate Sport Controlling Body accreditation schemes in NSW and Victoria. </w:t>
      </w:r>
    </w:p>
    <w:p w14:paraId="2CEE5A95" w14:textId="77777777" w:rsidR="00870C3F" w:rsidRPr="002F1917" w:rsidRDefault="00870C3F" w:rsidP="00870C3F">
      <w:pPr>
        <w:pStyle w:val="ListBullet1"/>
        <w:rPr>
          <w:rFonts w:ascii="Calibri" w:hAnsi="Calibri" w:cs="Calibri"/>
        </w:rPr>
      </w:pPr>
      <w:r w:rsidRPr="002F1917">
        <w:rPr>
          <w:rFonts w:ascii="Calibri" w:hAnsi="Calibri" w:cs="Calibri"/>
        </w:rPr>
        <w:t>A continuation of existing arrangements where in NSW and Victoria there is a requirement for wagering providers to enter into product agreements with Sports Controlling Bodies before they offer contingencies on that sport.</w:t>
      </w:r>
    </w:p>
    <w:p w14:paraId="4F15DEB2" w14:textId="77777777" w:rsidR="00870C3F" w:rsidRPr="002F1917" w:rsidRDefault="00870C3F" w:rsidP="00870C3F">
      <w:pPr>
        <w:pStyle w:val="ListBullet1"/>
        <w:rPr>
          <w:rFonts w:ascii="Calibri" w:hAnsi="Calibri" w:cs="Calibri"/>
        </w:rPr>
      </w:pPr>
      <w:r w:rsidRPr="002F1917">
        <w:rPr>
          <w:rFonts w:ascii="Calibri" w:hAnsi="Calibri" w:cs="Calibri"/>
        </w:rPr>
        <w:t xml:space="preserve">Wagering providers licensed by states and territories. For further details on these arrangements see sub-section on licensing of wagering providers in section </w:t>
      </w:r>
      <w:r w:rsidRPr="002F1917">
        <w:rPr>
          <w:rFonts w:ascii="Calibri" w:hAnsi="Calibri" w:cs="Calibri"/>
        </w:rPr>
        <w:fldChar w:fldCharType="begin"/>
      </w:r>
      <w:r w:rsidRPr="002F1917">
        <w:rPr>
          <w:rFonts w:ascii="Calibri" w:hAnsi="Calibri" w:cs="Calibri"/>
        </w:rPr>
        <w:instrText xml:space="preserve"> REF _Ref82672768 \r \h  \* MERGEFORMAT </w:instrText>
      </w:r>
      <w:r w:rsidRPr="002F1917">
        <w:rPr>
          <w:rFonts w:ascii="Calibri" w:hAnsi="Calibri" w:cs="Calibri"/>
        </w:rPr>
      </w:r>
      <w:r w:rsidRPr="002F1917">
        <w:rPr>
          <w:rFonts w:ascii="Calibri" w:hAnsi="Calibri" w:cs="Calibri"/>
        </w:rPr>
        <w:fldChar w:fldCharType="separate"/>
      </w:r>
      <w:r w:rsidRPr="002F1917">
        <w:rPr>
          <w:rFonts w:ascii="Calibri" w:hAnsi="Calibri" w:cs="Calibri"/>
        </w:rPr>
        <w:t>2.2</w:t>
      </w:r>
      <w:r w:rsidRPr="002F1917">
        <w:rPr>
          <w:rFonts w:ascii="Calibri" w:hAnsi="Calibri" w:cs="Calibri"/>
        </w:rPr>
        <w:fldChar w:fldCharType="end"/>
      </w:r>
      <w:r w:rsidRPr="002F1917">
        <w:rPr>
          <w:rFonts w:ascii="Calibri" w:hAnsi="Calibri" w:cs="Calibri"/>
        </w:rPr>
        <w:t>.</w:t>
      </w:r>
    </w:p>
    <w:p w14:paraId="150D20F8" w14:textId="77777777" w:rsidR="00870C3F" w:rsidRPr="002F1917" w:rsidRDefault="00870C3F" w:rsidP="00870C3F">
      <w:pPr>
        <w:rPr>
          <w:rFonts w:ascii="Calibri" w:hAnsi="Calibri" w:cs="Calibri"/>
          <w:i/>
          <w:sz w:val="20"/>
          <w:szCs w:val="20"/>
        </w:rPr>
      </w:pPr>
      <w:r w:rsidRPr="002F1917">
        <w:rPr>
          <w:rFonts w:ascii="Calibri" w:hAnsi="Calibri" w:cs="Calibri"/>
          <w:i/>
          <w:sz w:val="20"/>
          <w:szCs w:val="20"/>
        </w:rPr>
        <w:t>Mechanics of option</w:t>
      </w:r>
    </w:p>
    <w:p w14:paraId="33B67674" w14:textId="4AEB6A99" w:rsidR="00870C3F" w:rsidRPr="002F1917" w:rsidRDefault="00870C3F" w:rsidP="00870C3F">
      <w:pPr>
        <w:pStyle w:val="ListBullet1"/>
        <w:rPr>
          <w:rFonts w:ascii="Calibri" w:hAnsi="Calibri" w:cs="Calibri"/>
        </w:rPr>
      </w:pPr>
      <w:r w:rsidRPr="002F1917">
        <w:rPr>
          <w:rFonts w:ascii="Calibri" w:hAnsi="Calibri" w:cs="Calibri"/>
        </w:rPr>
        <w:t>Sport controllers who wish to seek Sport Controlling Body status have two processes to navigate: one in NSW and one in Victoria. While both processes are ultimately similar – focussed on the polic</w:t>
      </w:r>
      <w:r w:rsidR="000C18E5">
        <w:rPr>
          <w:rFonts w:ascii="Calibri" w:hAnsi="Calibri" w:cs="Calibri"/>
        </w:rPr>
        <w:t>i</w:t>
      </w:r>
      <w:r w:rsidRPr="002F1917">
        <w:rPr>
          <w:rFonts w:ascii="Calibri" w:hAnsi="Calibri" w:cs="Calibri"/>
        </w:rPr>
        <w:t>es in place, resourcing, information sharing, enforceable disciplinary action etc – they require separate applications.</w:t>
      </w:r>
    </w:p>
    <w:p w14:paraId="79EB07FE" w14:textId="77777777" w:rsidR="00870C3F" w:rsidRPr="002F1917" w:rsidRDefault="00870C3F" w:rsidP="00870C3F">
      <w:pPr>
        <w:pStyle w:val="ListBullet1"/>
        <w:rPr>
          <w:rFonts w:ascii="Calibri" w:hAnsi="Calibri" w:cs="Calibri"/>
        </w:rPr>
      </w:pPr>
      <w:r w:rsidRPr="002F1917">
        <w:rPr>
          <w:rFonts w:ascii="Calibri" w:hAnsi="Calibri" w:cs="Calibri"/>
        </w:rPr>
        <w:t>Accredited Sport Controlling Bodies are subject to occasional reviews by the NSW and Victorian regulators. For example, the Victorian Commission for Gambling and Liquor Regulation require reporting on:</w:t>
      </w:r>
    </w:p>
    <w:p w14:paraId="489EA2E5" w14:textId="77777777" w:rsidR="00870C3F" w:rsidRPr="002F1917" w:rsidRDefault="00870C3F" w:rsidP="00204AA1">
      <w:pPr>
        <w:pStyle w:val="ListBullet1"/>
        <w:numPr>
          <w:ilvl w:val="1"/>
          <w:numId w:val="23"/>
        </w:numPr>
        <w:rPr>
          <w:rFonts w:ascii="Calibri" w:hAnsi="Calibri" w:cs="Calibri"/>
          <w:lang w:eastAsia="en-AU"/>
        </w:rPr>
      </w:pPr>
      <w:r w:rsidRPr="002F1917">
        <w:rPr>
          <w:rFonts w:ascii="Calibri" w:hAnsi="Calibri" w:cs="Calibri"/>
          <w:lang w:eastAsia="en-AU"/>
        </w:rPr>
        <w:t>arrangements with betting providers</w:t>
      </w:r>
    </w:p>
    <w:p w14:paraId="08DBFC58" w14:textId="77777777" w:rsidR="00870C3F" w:rsidRPr="002F1917" w:rsidRDefault="00870C3F" w:rsidP="00204AA1">
      <w:pPr>
        <w:pStyle w:val="ListBullet1"/>
        <w:numPr>
          <w:ilvl w:val="1"/>
          <w:numId w:val="23"/>
        </w:numPr>
        <w:rPr>
          <w:rFonts w:ascii="Calibri" w:hAnsi="Calibri" w:cs="Calibri"/>
          <w:lang w:eastAsia="en-AU"/>
        </w:rPr>
      </w:pPr>
      <w:r w:rsidRPr="002F1917">
        <w:rPr>
          <w:rFonts w:ascii="Calibri" w:hAnsi="Calibri" w:cs="Calibri"/>
          <w:lang w:eastAsia="en-AU"/>
        </w:rPr>
        <w:t>changes to integrity policies, rules, and codes of conduct</w:t>
      </w:r>
    </w:p>
    <w:p w14:paraId="7A6C6494" w14:textId="77777777" w:rsidR="00870C3F" w:rsidRPr="002F1917" w:rsidRDefault="00870C3F" w:rsidP="00204AA1">
      <w:pPr>
        <w:pStyle w:val="ListBullet1"/>
        <w:numPr>
          <w:ilvl w:val="1"/>
          <w:numId w:val="23"/>
        </w:numPr>
        <w:rPr>
          <w:rFonts w:ascii="Calibri" w:hAnsi="Calibri" w:cs="Calibri"/>
          <w:lang w:eastAsia="en-AU"/>
        </w:rPr>
      </w:pPr>
      <w:r w:rsidRPr="002F1917">
        <w:rPr>
          <w:rFonts w:ascii="Calibri" w:hAnsi="Calibri" w:cs="Calibri"/>
          <w:lang w:eastAsia="en-AU"/>
        </w:rPr>
        <w:t>changes to integrity expertise or resources</w:t>
      </w:r>
    </w:p>
    <w:p w14:paraId="2B5B6CD7" w14:textId="77777777" w:rsidR="00870C3F" w:rsidRPr="002F1917" w:rsidRDefault="00870C3F" w:rsidP="00204AA1">
      <w:pPr>
        <w:pStyle w:val="ListBullet1"/>
        <w:numPr>
          <w:ilvl w:val="1"/>
          <w:numId w:val="23"/>
        </w:numPr>
        <w:rPr>
          <w:rFonts w:ascii="Calibri" w:hAnsi="Calibri" w:cs="Calibri"/>
          <w:lang w:eastAsia="en-AU"/>
        </w:rPr>
      </w:pPr>
      <w:r w:rsidRPr="002F1917">
        <w:rPr>
          <w:rFonts w:ascii="Calibri" w:hAnsi="Calibri" w:cs="Calibri"/>
          <w:lang w:eastAsia="en-AU"/>
        </w:rPr>
        <w:t xml:space="preserve">suspected or actual breach of policies, </w:t>
      </w:r>
      <w:proofErr w:type="gramStart"/>
      <w:r w:rsidRPr="002F1917">
        <w:rPr>
          <w:rFonts w:ascii="Calibri" w:hAnsi="Calibri" w:cs="Calibri"/>
          <w:lang w:eastAsia="en-AU"/>
        </w:rPr>
        <w:t>rules</w:t>
      </w:r>
      <w:proofErr w:type="gramEnd"/>
      <w:r w:rsidRPr="002F1917">
        <w:rPr>
          <w:rFonts w:ascii="Calibri" w:hAnsi="Calibri" w:cs="Calibri"/>
          <w:lang w:eastAsia="en-AU"/>
        </w:rPr>
        <w:t xml:space="preserve"> or codes of conduct</w:t>
      </w:r>
    </w:p>
    <w:p w14:paraId="6D6B3D4F" w14:textId="77777777" w:rsidR="00870C3F" w:rsidRPr="002F1917" w:rsidRDefault="00870C3F" w:rsidP="00204AA1">
      <w:pPr>
        <w:pStyle w:val="ListBullet1"/>
        <w:numPr>
          <w:ilvl w:val="1"/>
          <w:numId w:val="23"/>
        </w:numPr>
        <w:rPr>
          <w:rFonts w:ascii="Calibri" w:hAnsi="Calibri" w:cs="Calibri"/>
          <w:lang w:eastAsia="en-AU"/>
        </w:rPr>
      </w:pPr>
      <w:r w:rsidRPr="002F1917">
        <w:rPr>
          <w:rFonts w:ascii="Calibri" w:hAnsi="Calibri" w:cs="Calibri"/>
          <w:lang w:eastAsia="en-AU"/>
        </w:rPr>
        <w:t>action taken to investigate a suspected or actual breach</w:t>
      </w:r>
    </w:p>
    <w:p w14:paraId="461BEB4C" w14:textId="77777777" w:rsidR="00870C3F" w:rsidRPr="002F1917" w:rsidRDefault="00870C3F" w:rsidP="00204AA1">
      <w:pPr>
        <w:pStyle w:val="ListBullet1"/>
        <w:numPr>
          <w:ilvl w:val="1"/>
          <w:numId w:val="23"/>
        </w:numPr>
        <w:rPr>
          <w:rFonts w:ascii="Calibri" w:hAnsi="Calibri" w:cs="Calibri"/>
        </w:rPr>
      </w:pPr>
      <w:r w:rsidRPr="002F1917">
        <w:rPr>
          <w:rFonts w:ascii="Calibri" w:hAnsi="Calibri" w:cs="Calibri"/>
          <w:lang w:eastAsia="en-AU"/>
        </w:rPr>
        <w:t>the results of an investigation, and any action taken.</w:t>
      </w:r>
      <w:r w:rsidRPr="002F1917">
        <w:rPr>
          <w:rStyle w:val="FootnoteReference"/>
          <w:rFonts w:ascii="Calibri" w:hAnsi="Calibri" w:cs="Calibri"/>
          <w:lang w:eastAsia="en-AU"/>
        </w:rPr>
        <w:footnoteReference w:id="13"/>
      </w:r>
    </w:p>
    <w:p w14:paraId="381E9628" w14:textId="77777777" w:rsidR="00870C3F" w:rsidRPr="002F1917" w:rsidRDefault="00870C3F" w:rsidP="00870C3F">
      <w:pPr>
        <w:pStyle w:val="ListBullet1"/>
        <w:rPr>
          <w:rFonts w:ascii="Calibri" w:hAnsi="Calibri" w:cs="Calibri"/>
        </w:rPr>
      </w:pPr>
      <w:r w:rsidRPr="002F1917">
        <w:rPr>
          <w:rFonts w:ascii="Calibri" w:hAnsi="Calibri" w:cs="Calibri"/>
        </w:rPr>
        <w:t>More broadly, sports controllers required to meet Sport Australia’s requirements for approved National Sporting Organisations. These requirements relate to member protection policies and anti-doping policies.</w:t>
      </w:r>
    </w:p>
    <w:p w14:paraId="08734451" w14:textId="77777777" w:rsidR="00870C3F" w:rsidRPr="002F1917" w:rsidRDefault="00870C3F" w:rsidP="00870C3F">
      <w:pPr>
        <w:pStyle w:val="ListBullet1"/>
        <w:rPr>
          <w:rFonts w:ascii="Calibri" w:hAnsi="Calibri" w:cs="Calibri"/>
        </w:rPr>
      </w:pPr>
      <w:r w:rsidRPr="002F1917">
        <w:rPr>
          <w:rFonts w:ascii="Calibri" w:hAnsi="Calibri" w:cs="Calibri"/>
        </w:rPr>
        <w:t>Wagering providers seeking to offer contingencies approach Sports Controlling Bodies directly to seek a product agreement with Sports Controlling Bodies.</w:t>
      </w:r>
    </w:p>
    <w:p w14:paraId="49108B5A" w14:textId="77777777" w:rsidR="00870C3F" w:rsidRPr="002F1917" w:rsidRDefault="00870C3F" w:rsidP="00870C3F">
      <w:pPr>
        <w:pStyle w:val="ListBullet1"/>
        <w:rPr>
          <w:rFonts w:ascii="Calibri" w:hAnsi="Calibri" w:cs="Calibri"/>
        </w:rPr>
      </w:pPr>
      <w:r w:rsidRPr="002F1917">
        <w:rPr>
          <w:rFonts w:ascii="Calibri" w:hAnsi="Calibri" w:cs="Calibri"/>
        </w:rPr>
        <w:t xml:space="preserve">Existing product agreements tend to be for a defined period and require a renegotiation prior to expiring </w:t>
      </w:r>
      <w:proofErr w:type="gramStart"/>
      <w:r w:rsidRPr="002F1917">
        <w:rPr>
          <w:rFonts w:ascii="Calibri" w:hAnsi="Calibri" w:cs="Calibri"/>
        </w:rPr>
        <w:t>in order to</w:t>
      </w:r>
      <w:proofErr w:type="gramEnd"/>
      <w:r w:rsidRPr="002F1917">
        <w:rPr>
          <w:rFonts w:ascii="Calibri" w:hAnsi="Calibri" w:cs="Calibri"/>
        </w:rPr>
        <w:t xml:space="preserve"> meet the requirements in NSW and Victoria.</w:t>
      </w:r>
    </w:p>
    <w:p w14:paraId="1ABED0D1" w14:textId="77777777" w:rsidR="00870C3F" w:rsidRPr="002F1917" w:rsidRDefault="00870C3F" w:rsidP="00870C3F">
      <w:pPr>
        <w:pStyle w:val="ListBullet1"/>
        <w:rPr>
          <w:rFonts w:ascii="Calibri" w:hAnsi="Calibri" w:cs="Calibri"/>
        </w:rPr>
      </w:pPr>
      <w:r w:rsidRPr="002F1917">
        <w:rPr>
          <w:rFonts w:ascii="Calibri" w:hAnsi="Calibri" w:cs="Calibri"/>
        </w:rPr>
        <w:t>In Victoria there is a dispute resolution mechanism for situations where a Sports Controlling Body and wagering provider can’t reach an agreement on a product agreement. The Victorian Commission for Gambling and Liquor Regulation has powers to determine an agreement. A determination can occur where the Commission is satisfied that the parties have entered “genuine negotiations” and there is “no reasonable prospects of an agreement” or a Sports Controlling Body “refused to enter into negotiations for an agreement.”</w:t>
      </w:r>
      <w:r w:rsidRPr="002F1917">
        <w:rPr>
          <w:rStyle w:val="FootnoteReference"/>
          <w:rFonts w:ascii="Calibri" w:hAnsi="Calibri" w:cs="Calibri"/>
        </w:rPr>
        <w:footnoteReference w:id="14"/>
      </w:r>
    </w:p>
    <w:p w14:paraId="255DA297" w14:textId="77777777" w:rsidR="00870C3F" w:rsidRPr="002F1917" w:rsidRDefault="00870C3F" w:rsidP="00870C3F">
      <w:pPr>
        <w:pStyle w:val="ListBullet1"/>
        <w:rPr>
          <w:rFonts w:ascii="Calibri" w:hAnsi="Calibri" w:cs="Calibri"/>
        </w:rPr>
      </w:pPr>
      <w:r w:rsidRPr="002F1917">
        <w:rPr>
          <w:rFonts w:ascii="Calibri" w:hAnsi="Calibri" w:cs="Calibri"/>
        </w:rPr>
        <w:t>Wagering providers required to follow relevant state and territory licensing requirements.</w:t>
      </w:r>
    </w:p>
    <w:p w14:paraId="14334B55" w14:textId="77777777" w:rsidR="00870C3F" w:rsidRPr="002F1917" w:rsidRDefault="00870C3F" w:rsidP="00870C3F">
      <w:pPr>
        <w:pStyle w:val="Heading3"/>
        <w:rPr>
          <w:rFonts w:ascii="Calibri" w:hAnsi="Calibri" w:cs="Calibri"/>
          <w:b w:val="0"/>
          <w:sz w:val="20"/>
          <w:lang w:eastAsia="en-AU"/>
        </w:rPr>
      </w:pPr>
      <w:bookmarkStart w:id="131" w:name="_Toc85450774"/>
      <w:r w:rsidRPr="002F1917">
        <w:rPr>
          <w:rFonts w:ascii="Calibri" w:hAnsi="Calibri" w:cs="Calibri"/>
          <w:b w:val="0"/>
          <w:sz w:val="20"/>
          <w:lang w:eastAsia="en-AU"/>
        </w:rPr>
        <w:lastRenderedPageBreak/>
        <w:t xml:space="preserve">Option 1 </w:t>
      </w:r>
      <w:r w:rsidRPr="002F1917">
        <w:rPr>
          <w:rFonts w:ascii="Calibri" w:hAnsi="Calibri" w:cs="Calibri"/>
          <w:b w:val="0"/>
          <w:sz w:val="20"/>
        </w:rPr>
        <w:t>–</w:t>
      </w:r>
      <w:r w:rsidRPr="002F1917">
        <w:rPr>
          <w:rFonts w:ascii="Calibri" w:hAnsi="Calibri" w:cs="Calibri"/>
          <w:b w:val="0"/>
          <w:sz w:val="20"/>
          <w:lang w:eastAsia="en-AU"/>
        </w:rPr>
        <w:t xml:space="preserve"> Streamlining</w:t>
      </w:r>
      <w:bookmarkEnd w:id="131"/>
    </w:p>
    <w:p w14:paraId="0EDDB281" w14:textId="77777777" w:rsidR="00870C3F" w:rsidRPr="002F1917" w:rsidRDefault="00870C3F" w:rsidP="00870C3F">
      <w:pPr>
        <w:rPr>
          <w:rFonts w:ascii="Calibri" w:hAnsi="Calibri" w:cs="Calibri"/>
          <w:i/>
          <w:sz w:val="20"/>
          <w:szCs w:val="20"/>
        </w:rPr>
      </w:pPr>
      <w:r w:rsidRPr="002F1917">
        <w:rPr>
          <w:rFonts w:ascii="Calibri" w:hAnsi="Calibri" w:cs="Calibri"/>
          <w:i/>
          <w:sz w:val="20"/>
          <w:szCs w:val="20"/>
        </w:rPr>
        <w:t>Description of option</w:t>
      </w:r>
    </w:p>
    <w:p w14:paraId="6A15C24C" w14:textId="77777777" w:rsidR="00870C3F" w:rsidRPr="002F1917" w:rsidRDefault="00870C3F" w:rsidP="00870C3F">
      <w:pPr>
        <w:pStyle w:val="ListBullet1"/>
        <w:rPr>
          <w:rFonts w:ascii="Calibri" w:hAnsi="Calibri" w:cs="Calibri"/>
        </w:rPr>
      </w:pPr>
      <w:r w:rsidRPr="002F1917">
        <w:rPr>
          <w:rFonts w:ascii="Calibri" w:hAnsi="Calibri" w:cs="Calibri"/>
        </w:rPr>
        <w:t>Sport Integrity Australia will be responsible for a single process for accrediting sports as Sport Controlling Bodies. NSW and Victoria delegate their responsibility to Sport Integrity Australia. Sport Integrity Australia will also establish Event Controlling Body accreditation.</w:t>
      </w:r>
    </w:p>
    <w:p w14:paraId="5FCBC9BB" w14:textId="77777777" w:rsidR="00870C3F" w:rsidRPr="002F1917" w:rsidRDefault="00870C3F" w:rsidP="00870C3F">
      <w:pPr>
        <w:pStyle w:val="ListBullet1"/>
        <w:rPr>
          <w:rFonts w:ascii="Calibri" w:hAnsi="Calibri" w:cs="Calibri"/>
        </w:rPr>
      </w:pPr>
      <w:r w:rsidRPr="002F1917">
        <w:rPr>
          <w:rFonts w:ascii="Calibri" w:hAnsi="Calibri" w:cs="Calibri"/>
        </w:rPr>
        <w:t>Sport Integrity Australia will be responsible for the requirements for product agreements between Sport Controlling Bodies and wagering providers. NSW and Victoria delegate their responsibility to Sport Integrity Australia.</w:t>
      </w:r>
    </w:p>
    <w:p w14:paraId="2806E8E5" w14:textId="77777777" w:rsidR="00870C3F" w:rsidRPr="002F1917" w:rsidRDefault="00870C3F" w:rsidP="00870C3F">
      <w:pPr>
        <w:pStyle w:val="ListBullet1"/>
        <w:rPr>
          <w:rFonts w:ascii="Calibri" w:hAnsi="Calibri" w:cs="Calibri"/>
        </w:rPr>
      </w:pPr>
      <w:r w:rsidRPr="002F1917">
        <w:rPr>
          <w:rFonts w:ascii="Calibri" w:hAnsi="Calibri" w:cs="Calibri"/>
        </w:rPr>
        <w:t>Wagering providers licensed by states and territories (</w:t>
      </w:r>
      <w:proofErr w:type="gramStart"/>
      <w:r w:rsidRPr="002F1917">
        <w:rPr>
          <w:rFonts w:ascii="Calibri" w:hAnsi="Calibri" w:cs="Calibri"/>
        </w:rPr>
        <w:t>i.e.</w:t>
      </w:r>
      <w:proofErr w:type="gramEnd"/>
      <w:r w:rsidRPr="002F1917">
        <w:rPr>
          <w:rFonts w:ascii="Calibri" w:hAnsi="Calibri" w:cs="Calibri"/>
        </w:rPr>
        <w:t xml:space="preserve"> no change from base case).</w:t>
      </w:r>
    </w:p>
    <w:p w14:paraId="2C216A7D" w14:textId="77777777" w:rsidR="00870C3F" w:rsidRPr="002F1917" w:rsidRDefault="00870C3F" w:rsidP="00870C3F">
      <w:pPr>
        <w:rPr>
          <w:rFonts w:ascii="Calibri" w:hAnsi="Calibri" w:cs="Calibri"/>
          <w:i/>
          <w:sz w:val="20"/>
          <w:szCs w:val="20"/>
        </w:rPr>
      </w:pPr>
      <w:r w:rsidRPr="002F1917">
        <w:rPr>
          <w:rFonts w:ascii="Calibri" w:hAnsi="Calibri" w:cs="Calibri"/>
          <w:i/>
          <w:sz w:val="20"/>
          <w:szCs w:val="20"/>
        </w:rPr>
        <w:t>Mechanics of option</w:t>
      </w:r>
    </w:p>
    <w:p w14:paraId="18FF1A53" w14:textId="77777777" w:rsidR="00870C3F" w:rsidRPr="002F1917" w:rsidRDefault="00870C3F" w:rsidP="00870C3F">
      <w:pPr>
        <w:pStyle w:val="ListBullet1"/>
        <w:rPr>
          <w:rFonts w:ascii="Calibri" w:hAnsi="Calibri" w:cs="Calibri"/>
        </w:rPr>
      </w:pPr>
      <w:r w:rsidRPr="002F1917">
        <w:rPr>
          <w:rFonts w:ascii="Calibri" w:hAnsi="Calibri" w:cs="Calibri"/>
        </w:rPr>
        <w:t>Necessary legislative change undertaken to allow transition of Sport Controlling body accreditation and product agreement requirements by NSW and Victoria regulators to Sport Integrity Australia.</w:t>
      </w:r>
    </w:p>
    <w:p w14:paraId="0DA19E9F" w14:textId="77777777" w:rsidR="00870C3F" w:rsidRPr="002F1917" w:rsidRDefault="00870C3F" w:rsidP="00870C3F">
      <w:pPr>
        <w:pStyle w:val="ListBullet1"/>
        <w:rPr>
          <w:rFonts w:ascii="Calibri" w:hAnsi="Calibri" w:cs="Calibri"/>
        </w:rPr>
      </w:pPr>
      <w:r w:rsidRPr="002F1917">
        <w:rPr>
          <w:rFonts w:ascii="Calibri" w:hAnsi="Calibri" w:cs="Calibri"/>
        </w:rPr>
        <w:t xml:space="preserve">Grandfathering arrangements for existing Sport Controlling Bodies accredited in NSW and/or Victoria. </w:t>
      </w:r>
      <w:proofErr w:type="gramStart"/>
      <w:r w:rsidRPr="002F1917">
        <w:rPr>
          <w:rFonts w:ascii="Calibri" w:hAnsi="Calibri" w:cs="Calibri"/>
        </w:rPr>
        <w:t>That is to say, existing</w:t>
      </w:r>
      <w:proofErr w:type="gramEnd"/>
      <w:r w:rsidRPr="002F1917">
        <w:rPr>
          <w:rFonts w:ascii="Calibri" w:hAnsi="Calibri" w:cs="Calibri"/>
        </w:rPr>
        <w:t xml:space="preserve"> Sport Controlling Bodies will not need to reapply for their accreditation.</w:t>
      </w:r>
    </w:p>
    <w:p w14:paraId="0C4F03A5" w14:textId="4465508A" w:rsidR="00870C3F" w:rsidRPr="002F1917" w:rsidRDefault="00870C3F" w:rsidP="00870C3F">
      <w:pPr>
        <w:pStyle w:val="ListBullet1"/>
        <w:rPr>
          <w:rFonts w:ascii="Calibri" w:hAnsi="Calibri" w:cs="Calibri"/>
        </w:rPr>
      </w:pPr>
      <w:r w:rsidRPr="002F1917">
        <w:rPr>
          <w:rFonts w:ascii="Calibri" w:hAnsi="Calibri" w:cs="Calibri"/>
        </w:rPr>
        <w:t xml:space="preserve">Other sport controllers wishing to become an accredited Sport Controlling Body will be required to apply to Sport Integrity Australia. The requirements for the application process will be largely </w:t>
      </w:r>
      <w:proofErr w:type="gramStart"/>
      <w:r w:rsidRPr="002F1917">
        <w:rPr>
          <w:rFonts w:ascii="Calibri" w:hAnsi="Calibri" w:cs="Calibri"/>
        </w:rPr>
        <w:t>similar to</w:t>
      </w:r>
      <w:proofErr w:type="gramEnd"/>
      <w:r w:rsidRPr="002F1917">
        <w:rPr>
          <w:rFonts w:ascii="Calibri" w:hAnsi="Calibri" w:cs="Calibri"/>
        </w:rPr>
        <w:t xml:space="preserve"> the current state-based requirements - focussed on the polic</w:t>
      </w:r>
      <w:r w:rsidR="000C18E5">
        <w:rPr>
          <w:rFonts w:ascii="Calibri" w:hAnsi="Calibri" w:cs="Calibri"/>
        </w:rPr>
        <w:t>i</w:t>
      </w:r>
      <w:r w:rsidRPr="002F1917">
        <w:rPr>
          <w:rFonts w:ascii="Calibri" w:hAnsi="Calibri" w:cs="Calibri"/>
        </w:rPr>
        <w:t>es in place, resourcing, enforceable disciplinary action etc.</w:t>
      </w:r>
    </w:p>
    <w:p w14:paraId="4E4B882A" w14:textId="66403992" w:rsidR="00870C3F" w:rsidRPr="002F1917" w:rsidRDefault="00870C3F" w:rsidP="00870C3F">
      <w:pPr>
        <w:pStyle w:val="ListBullet1"/>
        <w:rPr>
          <w:rFonts w:ascii="Calibri" w:hAnsi="Calibri" w:cs="Calibri"/>
        </w:rPr>
      </w:pPr>
      <w:r w:rsidRPr="002F1917">
        <w:rPr>
          <w:rFonts w:ascii="Calibri" w:hAnsi="Calibri" w:cs="Calibri"/>
        </w:rPr>
        <w:t xml:space="preserve">Sport Integrity Australia establish Event Controlling Body accreditation. </w:t>
      </w:r>
      <w:r w:rsidRPr="00B8618B">
        <w:rPr>
          <w:rFonts w:ascii="Calibri" w:hAnsi="Calibri" w:cs="Calibri"/>
        </w:rPr>
        <w:t xml:space="preserve">See </w:t>
      </w:r>
      <w:r w:rsidRPr="00B8618B">
        <w:rPr>
          <w:rFonts w:ascii="Calibri" w:hAnsi="Calibri" w:cs="Calibri"/>
        </w:rPr>
        <w:fldChar w:fldCharType="begin"/>
      </w:r>
      <w:r w:rsidRPr="00B8618B">
        <w:rPr>
          <w:rFonts w:ascii="Calibri" w:hAnsi="Calibri" w:cs="Calibri"/>
        </w:rPr>
        <w:instrText xml:space="preserve"> REF _Ref82678282 \r \h </w:instrText>
      </w:r>
      <w:r w:rsidR="00311148" w:rsidRPr="00B8618B">
        <w:rPr>
          <w:rFonts w:ascii="Calibri" w:hAnsi="Calibri" w:cs="Calibri"/>
        </w:rPr>
        <w:instrText xml:space="preserve"> \* MERGEFORMAT </w:instrText>
      </w:r>
      <w:r w:rsidRPr="00B8618B">
        <w:rPr>
          <w:rFonts w:ascii="Calibri" w:hAnsi="Calibri" w:cs="Calibri"/>
        </w:rPr>
      </w:r>
      <w:r w:rsidRPr="00B8618B">
        <w:rPr>
          <w:rFonts w:ascii="Calibri" w:hAnsi="Calibri" w:cs="Calibri"/>
        </w:rPr>
        <w:fldChar w:fldCharType="separate"/>
      </w:r>
      <w:r w:rsidR="00AF1B02" w:rsidRPr="00B8618B">
        <w:rPr>
          <w:rFonts w:ascii="Calibri" w:hAnsi="Calibri" w:cs="Calibri"/>
        </w:rPr>
        <w:t xml:space="preserve">Box </w:t>
      </w:r>
      <w:r w:rsidR="00B8618B" w:rsidRPr="00B8618B">
        <w:rPr>
          <w:rFonts w:ascii="Calibri" w:hAnsi="Calibri" w:cs="Calibri"/>
        </w:rPr>
        <w:t>9</w:t>
      </w:r>
      <w:r w:rsidR="00AF1B02" w:rsidRPr="00B8618B">
        <w:rPr>
          <w:rFonts w:ascii="Calibri" w:hAnsi="Calibri" w:cs="Calibri"/>
        </w:rPr>
        <w:t xml:space="preserve"> </w:t>
      </w:r>
      <w:r w:rsidRPr="00B8618B">
        <w:rPr>
          <w:rFonts w:ascii="Calibri" w:hAnsi="Calibri" w:cs="Calibri"/>
        </w:rPr>
        <w:fldChar w:fldCharType="end"/>
      </w:r>
      <w:r w:rsidRPr="002F1917">
        <w:rPr>
          <w:rFonts w:ascii="Calibri" w:hAnsi="Calibri" w:cs="Calibri"/>
        </w:rPr>
        <w:t>for further details.</w:t>
      </w:r>
    </w:p>
    <w:p w14:paraId="42B38814" w14:textId="77777777" w:rsidR="00870C3F" w:rsidRPr="002F1917" w:rsidRDefault="00870C3F" w:rsidP="00870C3F">
      <w:pPr>
        <w:pStyle w:val="ListBullet1"/>
        <w:rPr>
          <w:rFonts w:ascii="Calibri" w:hAnsi="Calibri" w:cs="Calibri"/>
        </w:rPr>
      </w:pPr>
      <w:r w:rsidRPr="002F1917">
        <w:rPr>
          <w:rFonts w:ascii="Calibri" w:hAnsi="Calibri" w:cs="Calibri"/>
        </w:rPr>
        <w:t>Sport Integrity Australia will coordinate with other Federal agencies to streamline information requirements and limit the duplication of information sports/event controllers need to supply. An example of this option would be to leverage off the information provided to Sport Australia for the recognition of National Sport Organisations and as part of the annual Governance and Organisational Enhancement Plan process which forms part of the National Sport Organisations Sport Investment Agreement.</w:t>
      </w:r>
    </w:p>
    <w:p w14:paraId="7C78326A" w14:textId="7DCF999E" w:rsidR="00870C3F" w:rsidRPr="002F1917" w:rsidRDefault="00870C3F" w:rsidP="00870C3F">
      <w:pPr>
        <w:pStyle w:val="ListBullet1"/>
        <w:rPr>
          <w:rFonts w:ascii="Calibri" w:hAnsi="Calibri" w:cs="Calibri"/>
        </w:rPr>
      </w:pPr>
      <w:r w:rsidRPr="002F1917">
        <w:rPr>
          <w:rFonts w:ascii="Calibri" w:hAnsi="Calibri" w:cs="Calibri"/>
        </w:rPr>
        <w:t>Sport Integrity Australia will undertake ongoing monitoring of sport integrity risks and the capability of Sport Controlling Bodies to manage these risks. Focus of this ongoing role will be for Sport Integrity Australia to provide intelligence to sports controllers with a mature sport integrity capability. For sports controller</w:t>
      </w:r>
      <w:r w:rsidR="000C18E5">
        <w:rPr>
          <w:rFonts w:ascii="Calibri" w:hAnsi="Calibri" w:cs="Calibri"/>
        </w:rPr>
        <w:t>s</w:t>
      </w:r>
      <w:r w:rsidRPr="002F1917">
        <w:rPr>
          <w:rFonts w:ascii="Calibri" w:hAnsi="Calibri" w:cs="Calibri"/>
        </w:rPr>
        <w:t xml:space="preserve"> with less mature sport integrity capability, Sport Integrity Australia would look to work collaboratively to build sport integrity processes and capacity. </w:t>
      </w:r>
    </w:p>
    <w:p w14:paraId="2A3313D4" w14:textId="77777777" w:rsidR="00870C3F" w:rsidRPr="002F1917" w:rsidRDefault="00870C3F" w:rsidP="00870C3F">
      <w:pPr>
        <w:pStyle w:val="ListBullet1"/>
        <w:rPr>
          <w:rFonts w:ascii="Calibri" w:hAnsi="Calibri" w:cs="Calibri"/>
        </w:rPr>
      </w:pPr>
      <w:r w:rsidRPr="002F1917">
        <w:rPr>
          <w:rFonts w:ascii="Calibri" w:hAnsi="Calibri" w:cs="Calibri"/>
        </w:rPr>
        <w:t xml:space="preserve">Sport Integrity Australia will require accredited </w:t>
      </w:r>
      <w:bookmarkStart w:id="132" w:name="_Hlk84229405"/>
      <w:r w:rsidRPr="002F1917">
        <w:rPr>
          <w:rFonts w:ascii="Calibri" w:hAnsi="Calibri" w:cs="Calibri"/>
        </w:rPr>
        <w:t xml:space="preserve">Sport Controlling Bodies </w:t>
      </w:r>
      <w:bookmarkEnd w:id="132"/>
      <w:r w:rsidRPr="002F1917">
        <w:rPr>
          <w:rFonts w:ascii="Calibri" w:hAnsi="Calibri" w:cs="Calibri"/>
        </w:rPr>
        <w:t xml:space="preserve">to maintain or enhance their integrity capability over time, proportionate to risk. In practice this would focus on Sport Integrity Australia undertaking regular risk assessments of Sport Controlling Bodies. Where a Sport Controlling Body is not deemed to at least maintain their integrity capability then Sport Integrity Australia would provide a reasonable </w:t>
      </w:r>
      <w:proofErr w:type="gramStart"/>
      <w:r w:rsidRPr="002F1917">
        <w:rPr>
          <w:rFonts w:ascii="Calibri" w:hAnsi="Calibri" w:cs="Calibri"/>
        </w:rPr>
        <w:t>period of time</w:t>
      </w:r>
      <w:proofErr w:type="gramEnd"/>
      <w:r w:rsidRPr="002F1917">
        <w:rPr>
          <w:rFonts w:ascii="Calibri" w:hAnsi="Calibri" w:cs="Calibri"/>
        </w:rPr>
        <w:t xml:space="preserve"> to rectify and offer assistance with improving the sport’s integrity function.</w:t>
      </w:r>
    </w:p>
    <w:p w14:paraId="048C87A8" w14:textId="77777777" w:rsidR="00870C3F" w:rsidRPr="002F1917" w:rsidRDefault="00870C3F" w:rsidP="00870C3F">
      <w:pPr>
        <w:pStyle w:val="ListBullet1"/>
        <w:rPr>
          <w:rFonts w:ascii="Calibri" w:hAnsi="Calibri" w:cs="Calibri"/>
        </w:rPr>
      </w:pPr>
      <w:r w:rsidRPr="002F1917">
        <w:rPr>
          <w:rFonts w:ascii="Calibri" w:hAnsi="Calibri" w:cs="Calibri"/>
        </w:rPr>
        <w:t>Review elements for Sport Controlling Bodies would be coordinated with Sport Integrity Australia’s other compliance activities. It would also leverage off relevant information provided to Sport Australia. The review process would likely comprise an annual review together with ongoing risk assessment process.</w:t>
      </w:r>
    </w:p>
    <w:p w14:paraId="1E3CF121" w14:textId="77777777" w:rsidR="00870C3F" w:rsidRPr="002F1917" w:rsidRDefault="00870C3F" w:rsidP="00870C3F">
      <w:pPr>
        <w:pStyle w:val="ListBullet1"/>
        <w:rPr>
          <w:rFonts w:ascii="Calibri" w:hAnsi="Calibri" w:cs="Calibri"/>
        </w:rPr>
      </w:pPr>
      <w:r w:rsidRPr="002F1917">
        <w:rPr>
          <w:rFonts w:ascii="Calibri" w:hAnsi="Calibri" w:cs="Calibri"/>
        </w:rPr>
        <w:t>There will be a transition period with no changes required to existing product agreements for the length of the current agreement.</w:t>
      </w:r>
    </w:p>
    <w:p w14:paraId="22FB4233" w14:textId="77777777" w:rsidR="00870C3F" w:rsidRPr="002F1917" w:rsidRDefault="00870C3F" w:rsidP="00870C3F">
      <w:pPr>
        <w:pStyle w:val="ListBullet1"/>
        <w:rPr>
          <w:rFonts w:ascii="Calibri" w:hAnsi="Calibri" w:cs="Calibri"/>
        </w:rPr>
      </w:pPr>
      <w:r w:rsidRPr="002F1917">
        <w:rPr>
          <w:rFonts w:ascii="Calibri" w:hAnsi="Calibri" w:cs="Calibri"/>
        </w:rPr>
        <w:t>Negotiation process between wagering providers and sports controllers will be required to cover all sporting events held in Australia.</w:t>
      </w:r>
      <w:r w:rsidRPr="002F1917">
        <w:rPr>
          <w:rStyle w:val="FootnoteReference"/>
          <w:rFonts w:ascii="Calibri" w:hAnsi="Calibri" w:cs="Calibri"/>
        </w:rPr>
        <w:footnoteReference w:id="15"/>
      </w:r>
    </w:p>
    <w:p w14:paraId="1C2775BF" w14:textId="77777777" w:rsidR="00870C3F" w:rsidRPr="002F1917" w:rsidRDefault="00870C3F" w:rsidP="00870C3F">
      <w:pPr>
        <w:pStyle w:val="ListBullet1"/>
        <w:rPr>
          <w:rFonts w:ascii="Calibri" w:hAnsi="Calibri" w:cs="Calibri"/>
        </w:rPr>
      </w:pPr>
      <w:r w:rsidRPr="002F1917">
        <w:rPr>
          <w:rFonts w:ascii="Calibri" w:hAnsi="Calibri" w:cs="Calibri"/>
        </w:rPr>
        <w:t xml:space="preserve">Where there is no accredited sport controlling body, wagering providers will have to deal with Sport Integrity Australia in lieu of a sport controlling body. The focus of this interaction will be on appropriate contingencies and </w:t>
      </w:r>
      <w:r w:rsidRPr="002F1917">
        <w:rPr>
          <w:rFonts w:ascii="Calibri" w:hAnsi="Calibri" w:cs="Calibri"/>
        </w:rPr>
        <w:lastRenderedPageBreak/>
        <w:t>information sharing. Where possible Sport Integrity Australia will look to consult with the most relevant sport controller as part of this process.</w:t>
      </w:r>
    </w:p>
    <w:p w14:paraId="30DCE459" w14:textId="77777777" w:rsidR="00870C3F" w:rsidRPr="002F1917" w:rsidRDefault="00870C3F" w:rsidP="00870C3F">
      <w:pPr>
        <w:pStyle w:val="ListBullet1"/>
        <w:rPr>
          <w:rFonts w:ascii="Calibri" w:hAnsi="Calibri" w:cs="Calibri"/>
        </w:rPr>
      </w:pPr>
      <w:r w:rsidRPr="002F1917">
        <w:rPr>
          <w:rFonts w:ascii="Calibri" w:hAnsi="Calibri" w:cs="Calibri"/>
        </w:rPr>
        <w:t xml:space="preserve">The existing product agreement dispute mechanism in Victoria will be elevated to Sport Integrity Australia where agreement on sport integrity matters, such as bet types and information sharing requirements, are not reached. Sport Integrity Australia will not hear disputes for matters involving product fees. </w:t>
      </w:r>
    </w:p>
    <w:p w14:paraId="2530FA82" w14:textId="77777777" w:rsidR="00870C3F" w:rsidRPr="002F1917" w:rsidRDefault="00870C3F" w:rsidP="00870C3F">
      <w:pPr>
        <w:pStyle w:val="ListBullet1"/>
        <w:rPr>
          <w:rFonts w:ascii="Calibri" w:hAnsi="Calibri" w:cs="Calibri"/>
        </w:rPr>
      </w:pPr>
      <w:r w:rsidRPr="002F1917">
        <w:rPr>
          <w:rFonts w:ascii="Calibri" w:hAnsi="Calibri" w:cs="Calibri"/>
        </w:rPr>
        <w:t xml:space="preserve">Sport Integrity Australia provide a support service to SCBs to assist with the regulatory burden of dealing with new wagering providers and/or wagering providers wanting to offer markets on the sport and enter a PFIA for the first time. The key support will be in the form of an induction for new wagering providers from a sport’s wagering integrity perspective. </w:t>
      </w:r>
    </w:p>
    <w:p w14:paraId="63070E56" w14:textId="77777777" w:rsidR="00870C3F" w:rsidRPr="002F1917" w:rsidRDefault="00870C3F" w:rsidP="00870C3F">
      <w:pPr>
        <w:pStyle w:val="ListBullet1"/>
        <w:rPr>
          <w:rFonts w:ascii="Calibri" w:hAnsi="Calibri" w:cs="Calibri"/>
        </w:rPr>
      </w:pPr>
      <w:r w:rsidRPr="002F1917">
        <w:rPr>
          <w:rFonts w:ascii="Calibri" w:hAnsi="Calibri" w:cs="Calibri"/>
        </w:rPr>
        <w:t>Sport Integrity Australia would approve a product agreement (excluding the commercial agreement) to ensure its alignment with minimum requirements.</w:t>
      </w:r>
    </w:p>
    <w:p w14:paraId="20BDF387" w14:textId="77777777" w:rsidR="00870C3F" w:rsidRPr="002F1917" w:rsidRDefault="00870C3F" w:rsidP="00870C3F">
      <w:pPr>
        <w:pStyle w:val="ListBullet1"/>
        <w:rPr>
          <w:rFonts w:ascii="Calibri" w:hAnsi="Calibri" w:cs="Calibri"/>
          <w:lang w:val="en-US"/>
        </w:rPr>
      </w:pPr>
      <w:r w:rsidRPr="002F1917">
        <w:rPr>
          <w:rFonts w:ascii="Calibri" w:hAnsi="Calibri" w:cs="Calibri"/>
        </w:rPr>
        <w:t>Sport Integrity Australia will seek to provide an advisory role to assist Sport Controlling Bodies and Event Controlling Bodies with product agreements. This would include developing a proforma for the integrity elements of a product agreement and offering sports wagering intelligence and analysis which can be used to inform the terms and conditions of a product agreement. These services would be opt-in rather than a requirement of sport controllers.</w:t>
      </w:r>
    </w:p>
    <w:p w14:paraId="3234464E" w14:textId="77777777" w:rsidR="00870C3F" w:rsidRPr="002F1917" w:rsidRDefault="00870C3F" w:rsidP="00870C3F">
      <w:pPr>
        <w:pStyle w:val="ListBullet1"/>
        <w:numPr>
          <w:ilvl w:val="0"/>
          <w:numId w:val="0"/>
        </w:numPr>
        <w:tabs>
          <w:tab w:val="left" w:pos="720"/>
        </w:tabs>
        <w:rPr>
          <w:rFonts w:ascii="Calibri" w:hAnsi="Calibri" w:cs="Calibri"/>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284" w:type="dxa"/>
          <w:right w:w="284" w:type="dxa"/>
        </w:tblCellMar>
        <w:tblLook w:val="04A0" w:firstRow="1" w:lastRow="0" w:firstColumn="1" w:lastColumn="0" w:noHBand="0" w:noVBand="1"/>
      </w:tblPr>
      <w:tblGrid>
        <w:gridCol w:w="9350"/>
      </w:tblGrid>
      <w:tr w:rsidR="00870C3F" w:rsidRPr="002F1917" w14:paraId="512D6ACF" w14:textId="77777777" w:rsidTr="00870C3F">
        <w:trPr>
          <w:trHeight w:val="284"/>
          <w:jc w:val="center"/>
        </w:trPr>
        <w:tc>
          <w:tcPr>
            <w:tcW w:w="9350" w:type="dxa"/>
            <w:shd w:val="clear" w:color="auto" w:fill="F2F2F2" w:themeFill="background1" w:themeFillShade="F2"/>
            <w:vAlign w:val="bottom"/>
          </w:tcPr>
          <w:p w14:paraId="1A79E406" w14:textId="77777777" w:rsidR="00870C3F" w:rsidRPr="002F1917" w:rsidRDefault="00870C3F">
            <w:pPr>
              <w:pStyle w:val="CalloutBoxcaption"/>
              <w:keepNext/>
              <w:numPr>
                <w:ilvl w:val="0"/>
                <w:numId w:val="0"/>
              </w:numPr>
              <w:rPr>
                <w:rFonts w:ascii="Calibri" w:hAnsi="Calibri" w:cs="Calibri"/>
              </w:rPr>
            </w:pPr>
          </w:p>
        </w:tc>
      </w:tr>
      <w:tr w:rsidR="00870C3F" w:rsidRPr="002F1917" w14:paraId="1F2D591D" w14:textId="77777777" w:rsidTr="00870C3F">
        <w:trPr>
          <w:jc w:val="center"/>
        </w:trPr>
        <w:tc>
          <w:tcPr>
            <w:tcW w:w="9350" w:type="dxa"/>
            <w:shd w:val="clear" w:color="auto" w:fill="F2F2F2" w:themeFill="background1" w:themeFillShade="F2"/>
            <w:vAlign w:val="bottom"/>
          </w:tcPr>
          <w:p w14:paraId="56675C9E" w14:textId="77777777" w:rsidR="00870C3F" w:rsidRPr="002F1917" w:rsidRDefault="00870C3F">
            <w:pPr>
              <w:pStyle w:val="CalloutBoxcaption"/>
              <w:keepNext/>
              <w:tabs>
                <w:tab w:val="num" w:pos="360"/>
              </w:tabs>
              <w:rPr>
                <w:rFonts w:ascii="Calibri" w:hAnsi="Calibri" w:cs="Calibri"/>
              </w:rPr>
            </w:pPr>
            <w:bookmarkStart w:id="133" w:name="_Ref82678282"/>
            <w:r w:rsidRPr="002F1917">
              <w:rPr>
                <w:rFonts w:ascii="Calibri" w:hAnsi="Calibri" w:cs="Calibri"/>
              </w:rPr>
              <w:t>Event Controlling Body accreditation</w:t>
            </w:r>
            <w:bookmarkEnd w:id="133"/>
          </w:p>
          <w:p w14:paraId="5658F5EF" w14:textId="77777777" w:rsidR="00870C3F" w:rsidRPr="002F1917" w:rsidRDefault="00870C3F">
            <w:pPr>
              <w:pStyle w:val="CalloutBoxcaption"/>
              <w:numPr>
                <w:ilvl w:val="0"/>
                <w:numId w:val="0"/>
              </w:numPr>
              <w:rPr>
                <w:rFonts w:ascii="Calibri" w:hAnsi="Calibri" w:cs="Calibri"/>
                <w:color w:val="000000" w:themeColor="text1"/>
              </w:rPr>
            </w:pPr>
            <w:r w:rsidRPr="002F1917">
              <w:rPr>
                <w:rFonts w:ascii="Calibri" w:hAnsi="Calibri" w:cs="Calibri"/>
                <w:color w:val="000000" w:themeColor="text1"/>
              </w:rPr>
              <w:t xml:space="preserve">For accreditation purposes it is recognised that special, one-off events, require a specifically tailored regulatory response. Events such as an Olympic Games or World Cup are of significant national (and international) interest and will require tailored assistance from Sport Integrity Australia through their various phases, including during the events themselves. </w:t>
            </w:r>
          </w:p>
          <w:p w14:paraId="2DDFB82D" w14:textId="77777777" w:rsidR="00870C3F" w:rsidRPr="002F1917" w:rsidRDefault="00870C3F">
            <w:pPr>
              <w:pStyle w:val="CalloutBoxcaption"/>
              <w:numPr>
                <w:ilvl w:val="0"/>
                <w:numId w:val="0"/>
              </w:numPr>
              <w:rPr>
                <w:rFonts w:ascii="Calibri" w:hAnsi="Calibri" w:cs="Calibri"/>
                <w:color w:val="000000" w:themeColor="text1"/>
              </w:rPr>
            </w:pPr>
            <w:r w:rsidRPr="002F1917">
              <w:rPr>
                <w:rFonts w:ascii="Calibri" w:hAnsi="Calibri" w:cs="Calibri"/>
                <w:color w:val="000000" w:themeColor="text1"/>
              </w:rPr>
              <w:t>Similarly, with regards to esports, it is likely that an event-based approach will be used to support this sector, however separate research, coordinated by Sport Integrity Australia, is currently being undertaken to support policy development in this area.</w:t>
            </w:r>
          </w:p>
          <w:p w14:paraId="7AA974D4" w14:textId="77777777" w:rsidR="00870C3F" w:rsidRPr="002F1917" w:rsidRDefault="00870C3F">
            <w:pPr>
              <w:pStyle w:val="CalloutBoxcaption"/>
              <w:numPr>
                <w:ilvl w:val="0"/>
                <w:numId w:val="0"/>
              </w:numPr>
              <w:rPr>
                <w:rFonts w:ascii="Calibri" w:hAnsi="Calibri" w:cs="Calibri"/>
                <w:color w:val="000000" w:themeColor="text1"/>
              </w:rPr>
            </w:pPr>
            <w:r w:rsidRPr="002F1917">
              <w:rPr>
                <w:rFonts w:ascii="Calibri" w:hAnsi="Calibri" w:cs="Calibri"/>
                <w:color w:val="000000" w:themeColor="text1"/>
              </w:rPr>
              <w:t xml:space="preserve">It is envisaged that Sport Integrity Australia would play a coordination role in terms of integrity management to support those events, particularly where sports do not have controlling bodies to oversight them, or in the absence of an agreement with an existing Sport Controlling Body. This would, essentially, involve Sport Integrity Australia undertaking data sharing, education, and monitoring functions </w:t>
            </w:r>
            <w:proofErr w:type="gramStart"/>
            <w:r w:rsidRPr="002F1917">
              <w:rPr>
                <w:rFonts w:ascii="Calibri" w:hAnsi="Calibri" w:cs="Calibri"/>
                <w:color w:val="000000" w:themeColor="text1"/>
              </w:rPr>
              <w:t>similar to</w:t>
            </w:r>
            <w:proofErr w:type="gramEnd"/>
            <w:r w:rsidRPr="002F1917">
              <w:rPr>
                <w:rFonts w:ascii="Calibri" w:hAnsi="Calibri" w:cs="Calibri"/>
                <w:color w:val="000000" w:themeColor="text1"/>
              </w:rPr>
              <w:t xml:space="preserve"> those undertaken by Sport Controlling Bodies. Where these functions are performed by a Sport Controlling Body, Sport Integrity Australia would seek to enhance those functions.</w:t>
            </w:r>
          </w:p>
          <w:p w14:paraId="51F3EB17" w14:textId="77777777" w:rsidR="00870C3F" w:rsidRPr="002F1917" w:rsidRDefault="00870C3F">
            <w:pPr>
              <w:pStyle w:val="CalloutBoxcaption"/>
              <w:numPr>
                <w:ilvl w:val="0"/>
                <w:numId w:val="0"/>
              </w:numPr>
              <w:rPr>
                <w:rFonts w:ascii="Calibri" w:hAnsi="Calibri" w:cs="Calibri"/>
                <w:color w:val="000000" w:themeColor="text1"/>
              </w:rPr>
            </w:pPr>
            <w:r w:rsidRPr="002F1917">
              <w:rPr>
                <w:rFonts w:ascii="Calibri" w:hAnsi="Calibri" w:cs="Calibri"/>
                <w:color w:val="000000" w:themeColor="text1"/>
              </w:rPr>
              <w:t>It is envisaged that Sport Integrity Australia will provide support for bidding, planning, and delivery of integrity elements related to major sporting events. This would be undertaken in accordance with whole of government mechanisms. Further, Sport Integrity Australia would seek to support WSPs, law enforcement agencies, and wagering regulators to ensure the integrity of the event in a globally competitive environment.</w:t>
            </w:r>
          </w:p>
          <w:p w14:paraId="158EB7C9" w14:textId="77777777" w:rsidR="00870C3F" w:rsidRPr="002F1917" w:rsidRDefault="00870C3F">
            <w:pPr>
              <w:rPr>
                <w:rFonts w:ascii="Calibri" w:hAnsi="Calibri" w:cs="Calibri"/>
                <w:i/>
                <w:color w:val="auto"/>
                <w:sz w:val="16"/>
                <w:szCs w:val="16"/>
                <w:lang w:eastAsia="en-AU"/>
              </w:rPr>
            </w:pPr>
          </w:p>
        </w:tc>
      </w:tr>
      <w:tr w:rsidR="00870C3F" w:rsidRPr="002F1917" w14:paraId="540045A4" w14:textId="77777777" w:rsidTr="00870C3F">
        <w:trPr>
          <w:trHeight w:val="284"/>
          <w:jc w:val="center"/>
        </w:trPr>
        <w:tc>
          <w:tcPr>
            <w:tcW w:w="9350" w:type="dxa"/>
            <w:shd w:val="clear" w:color="auto" w:fill="F2F2F2" w:themeFill="background1" w:themeFillShade="F2"/>
            <w:vAlign w:val="bottom"/>
          </w:tcPr>
          <w:p w14:paraId="29C05EC4" w14:textId="77777777" w:rsidR="00870C3F" w:rsidRPr="002F1917" w:rsidRDefault="00870C3F">
            <w:pPr>
              <w:pStyle w:val="CalloutBoxcaption"/>
              <w:numPr>
                <w:ilvl w:val="0"/>
                <w:numId w:val="0"/>
              </w:numPr>
              <w:rPr>
                <w:rFonts w:ascii="Calibri" w:hAnsi="Calibri" w:cs="Calibri"/>
              </w:rPr>
            </w:pPr>
          </w:p>
        </w:tc>
      </w:tr>
    </w:tbl>
    <w:p w14:paraId="297C8683" w14:textId="77777777" w:rsidR="00870C3F" w:rsidRPr="00410069" w:rsidRDefault="00870C3F" w:rsidP="00F4798A">
      <w:pPr>
        <w:pStyle w:val="Heading3"/>
        <w:rPr>
          <w:rFonts w:ascii="Calibri" w:hAnsi="Calibri" w:cs="Calibri"/>
          <w:sz w:val="20"/>
          <w:szCs w:val="28"/>
        </w:rPr>
      </w:pPr>
      <w:bookmarkStart w:id="134" w:name="_Toc39219908"/>
      <w:bookmarkStart w:id="135" w:name="_Toc39220377"/>
      <w:bookmarkStart w:id="136" w:name="_Toc85450775"/>
      <w:r w:rsidRPr="00410069">
        <w:rPr>
          <w:rFonts w:ascii="Calibri" w:hAnsi="Calibri" w:cs="Calibri"/>
          <w:sz w:val="20"/>
          <w:szCs w:val="28"/>
        </w:rPr>
        <w:lastRenderedPageBreak/>
        <w:t>Recognition of markets and contingencies</w:t>
      </w:r>
      <w:bookmarkEnd w:id="134"/>
      <w:bookmarkEnd w:id="135"/>
      <w:bookmarkEnd w:id="136"/>
    </w:p>
    <w:p w14:paraId="29411294" w14:textId="77777777" w:rsidR="00870C3F" w:rsidRPr="002F1917" w:rsidRDefault="00870C3F" w:rsidP="00F4798A">
      <w:pPr>
        <w:pStyle w:val="Heading3"/>
        <w:rPr>
          <w:rFonts w:ascii="Calibri" w:hAnsi="Calibri" w:cs="Calibri"/>
          <w:b w:val="0"/>
          <w:sz w:val="20"/>
        </w:rPr>
      </w:pPr>
      <w:bookmarkStart w:id="137" w:name="_Toc85450776"/>
      <w:bookmarkStart w:id="138" w:name="_Toc39219909"/>
      <w:bookmarkStart w:id="139" w:name="_Toc39220378"/>
      <w:r w:rsidRPr="002F1917">
        <w:rPr>
          <w:rFonts w:ascii="Calibri" w:hAnsi="Calibri" w:cs="Calibri"/>
          <w:b w:val="0"/>
          <w:sz w:val="20"/>
        </w:rPr>
        <w:t>Base Case</w:t>
      </w:r>
      <w:bookmarkEnd w:id="137"/>
    </w:p>
    <w:p w14:paraId="40727A14" w14:textId="77777777" w:rsidR="00870C3F" w:rsidRPr="002F1917" w:rsidRDefault="00870C3F" w:rsidP="00F4798A">
      <w:pPr>
        <w:keepNext/>
        <w:keepLines/>
        <w:rPr>
          <w:rFonts w:ascii="Calibri" w:hAnsi="Calibri" w:cs="Calibri"/>
          <w:i/>
          <w:sz w:val="20"/>
          <w:szCs w:val="20"/>
        </w:rPr>
      </w:pPr>
      <w:r w:rsidRPr="002F1917">
        <w:rPr>
          <w:rFonts w:ascii="Calibri" w:hAnsi="Calibri" w:cs="Calibri"/>
          <w:i/>
          <w:sz w:val="20"/>
          <w:szCs w:val="20"/>
        </w:rPr>
        <w:t>Description of option</w:t>
      </w:r>
    </w:p>
    <w:p w14:paraId="02C22198" w14:textId="77777777" w:rsidR="00870C3F" w:rsidRPr="002F1917" w:rsidRDefault="00870C3F" w:rsidP="00F4798A">
      <w:pPr>
        <w:pStyle w:val="ListBullet1"/>
        <w:keepNext/>
        <w:keepLines/>
        <w:rPr>
          <w:rFonts w:ascii="Calibri" w:hAnsi="Calibri" w:cs="Calibri"/>
        </w:rPr>
      </w:pPr>
      <w:r w:rsidRPr="002F1917">
        <w:rPr>
          <w:rFonts w:ascii="Calibri" w:hAnsi="Calibri" w:cs="Calibri"/>
        </w:rPr>
        <w:t>A continuation of existing arrangements where each state and territory have their own process and legislative power to determine contingencies available to people wagering on sports in their jurisdiction.</w:t>
      </w:r>
    </w:p>
    <w:p w14:paraId="6C8F6CE7" w14:textId="77777777" w:rsidR="00870C3F" w:rsidRPr="002F1917" w:rsidRDefault="00870C3F" w:rsidP="00F4798A">
      <w:pPr>
        <w:keepNext/>
        <w:keepLines/>
        <w:rPr>
          <w:rFonts w:ascii="Calibri" w:hAnsi="Calibri" w:cs="Calibri"/>
          <w:i/>
          <w:sz w:val="20"/>
          <w:szCs w:val="20"/>
        </w:rPr>
      </w:pPr>
      <w:r w:rsidRPr="002F1917">
        <w:rPr>
          <w:rFonts w:ascii="Calibri" w:hAnsi="Calibri" w:cs="Calibri"/>
          <w:i/>
          <w:sz w:val="20"/>
          <w:szCs w:val="20"/>
        </w:rPr>
        <w:t>Mechanics of option</w:t>
      </w:r>
    </w:p>
    <w:p w14:paraId="5551CBF6" w14:textId="77777777" w:rsidR="00870C3F" w:rsidRPr="002F1917" w:rsidRDefault="00870C3F" w:rsidP="00F4798A">
      <w:pPr>
        <w:pStyle w:val="ListBullet1"/>
        <w:keepNext/>
        <w:keepLines/>
        <w:rPr>
          <w:rFonts w:ascii="Calibri" w:hAnsi="Calibri" w:cs="Calibri"/>
        </w:rPr>
      </w:pPr>
      <w:r w:rsidRPr="002F1917">
        <w:rPr>
          <w:rFonts w:ascii="Calibri" w:hAnsi="Calibri" w:cs="Calibri"/>
        </w:rPr>
        <w:t xml:space="preserve">Varies by state and territory (see </w:t>
      </w:r>
      <w:r w:rsidRPr="002F1917">
        <w:rPr>
          <w:rFonts w:ascii="Calibri" w:hAnsi="Calibri" w:cs="Calibri"/>
        </w:rPr>
        <w:fldChar w:fldCharType="begin"/>
      </w:r>
      <w:r w:rsidRPr="002F1917">
        <w:rPr>
          <w:rFonts w:ascii="Calibri" w:hAnsi="Calibri" w:cs="Calibri"/>
        </w:rPr>
        <w:instrText xml:space="preserve"> REF _Ref41656749 \h  \* MERGEFORMAT </w:instrText>
      </w:r>
      <w:r w:rsidRPr="002F1917">
        <w:rPr>
          <w:rFonts w:ascii="Calibri" w:hAnsi="Calibri" w:cs="Calibri"/>
        </w:rPr>
      </w:r>
      <w:r w:rsidRPr="002F1917">
        <w:rPr>
          <w:rFonts w:ascii="Calibri" w:hAnsi="Calibri" w:cs="Calibri"/>
        </w:rPr>
        <w:fldChar w:fldCharType="separate"/>
      </w:r>
      <w:r w:rsidRPr="002F1917">
        <w:rPr>
          <w:rFonts w:ascii="Calibri" w:hAnsi="Calibri" w:cs="Calibri"/>
        </w:rPr>
        <w:t>Table 2</w:t>
      </w:r>
      <w:r w:rsidRPr="002F1917">
        <w:rPr>
          <w:rFonts w:ascii="Calibri" w:hAnsi="Calibri" w:cs="Calibri"/>
        </w:rPr>
        <w:fldChar w:fldCharType="end"/>
      </w:r>
      <w:r w:rsidRPr="002F1917">
        <w:rPr>
          <w:rFonts w:ascii="Calibri" w:hAnsi="Calibri" w:cs="Calibri"/>
        </w:rPr>
        <w:t xml:space="preserve"> in Section </w:t>
      </w:r>
      <w:r w:rsidRPr="002F1917">
        <w:rPr>
          <w:rFonts w:ascii="Calibri" w:hAnsi="Calibri" w:cs="Calibri"/>
        </w:rPr>
        <w:fldChar w:fldCharType="begin"/>
      </w:r>
      <w:r w:rsidRPr="002F1917">
        <w:rPr>
          <w:rFonts w:ascii="Calibri" w:hAnsi="Calibri" w:cs="Calibri"/>
        </w:rPr>
        <w:instrText xml:space="preserve"> REF _Ref82600123 \r \h  \* MERGEFORMAT </w:instrText>
      </w:r>
      <w:r w:rsidRPr="002F1917">
        <w:rPr>
          <w:rFonts w:ascii="Calibri" w:hAnsi="Calibri" w:cs="Calibri"/>
        </w:rPr>
      </w:r>
      <w:r w:rsidRPr="002F1917">
        <w:rPr>
          <w:rFonts w:ascii="Calibri" w:hAnsi="Calibri" w:cs="Calibri"/>
        </w:rPr>
        <w:fldChar w:fldCharType="separate"/>
      </w:r>
      <w:r w:rsidRPr="002F1917">
        <w:rPr>
          <w:rFonts w:ascii="Calibri" w:hAnsi="Calibri" w:cs="Calibri"/>
        </w:rPr>
        <w:t>2.2</w:t>
      </w:r>
      <w:r w:rsidRPr="002F1917">
        <w:rPr>
          <w:rFonts w:ascii="Calibri" w:hAnsi="Calibri" w:cs="Calibri"/>
        </w:rPr>
        <w:fldChar w:fldCharType="end"/>
      </w:r>
      <w:r w:rsidRPr="002F1917">
        <w:rPr>
          <w:rFonts w:ascii="Calibri" w:hAnsi="Calibri" w:cs="Calibri"/>
        </w:rPr>
        <w:t>).</w:t>
      </w:r>
    </w:p>
    <w:p w14:paraId="3E0A7874" w14:textId="77777777" w:rsidR="00870C3F" w:rsidRPr="002F1917" w:rsidRDefault="00870C3F" w:rsidP="00870C3F">
      <w:pPr>
        <w:pStyle w:val="ListBullet1"/>
        <w:rPr>
          <w:rFonts w:ascii="Calibri" w:hAnsi="Calibri" w:cs="Calibri"/>
        </w:rPr>
      </w:pPr>
      <w:r w:rsidRPr="002F1917">
        <w:rPr>
          <w:rFonts w:ascii="Calibri" w:hAnsi="Calibri" w:cs="Calibri"/>
        </w:rPr>
        <w:t>Subject to state and territory contingency constraints, Sport Controlling Bodies retain responsibility approving contingencies on their sport through product agreements.</w:t>
      </w:r>
    </w:p>
    <w:p w14:paraId="32BBDD0C" w14:textId="77777777" w:rsidR="00870C3F" w:rsidRPr="002F1917" w:rsidRDefault="00870C3F" w:rsidP="00870C3F">
      <w:pPr>
        <w:pStyle w:val="Heading3"/>
        <w:rPr>
          <w:rFonts w:ascii="Calibri" w:hAnsi="Calibri" w:cs="Calibri"/>
          <w:b w:val="0"/>
          <w:sz w:val="20"/>
        </w:rPr>
      </w:pPr>
      <w:bookmarkStart w:id="140" w:name="_Toc39219910"/>
      <w:bookmarkStart w:id="141" w:name="_Toc39220379"/>
      <w:bookmarkStart w:id="142" w:name="_Toc85450777"/>
      <w:bookmarkEnd w:id="138"/>
      <w:bookmarkEnd w:id="139"/>
      <w:r w:rsidRPr="002F1917">
        <w:rPr>
          <w:rFonts w:ascii="Calibri" w:hAnsi="Calibri" w:cs="Calibri"/>
          <w:b w:val="0"/>
          <w:sz w:val="20"/>
        </w:rPr>
        <w:t xml:space="preserve">Option </w:t>
      </w:r>
      <w:bookmarkEnd w:id="140"/>
      <w:bookmarkEnd w:id="141"/>
      <w:r w:rsidRPr="002F1917">
        <w:rPr>
          <w:rFonts w:ascii="Calibri" w:hAnsi="Calibri" w:cs="Calibri"/>
          <w:b w:val="0"/>
          <w:sz w:val="20"/>
        </w:rPr>
        <w:t>1 – National contingencies forum</w:t>
      </w:r>
      <w:bookmarkEnd w:id="142"/>
    </w:p>
    <w:p w14:paraId="6C1BE634" w14:textId="77777777" w:rsidR="00870C3F" w:rsidRPr="002F1917" w:rsidRDefault="00870C3F" w:rsidP="00870C3F">
      <w:pPr>
        <w:rPr>
          <w:rFonts w:ascii="Calibri" w:hAnsi="Calibri" w:cs="Calibri"/>
          <w:i/>
          <w:sz w:val="20"/>
          <w:szCs w:val="20"/>
        </w:rPr>
      </w:pPr>
      <w:r w:rsidRPr="002F1917">
        <w:rPr>
          <w:rFonts w:ascii="Calibri" w:hAnsi="Calibri" w:cs="Calibri"/>
          <w:i/>
          <w:sz w:val="20"/>
          <w:szCs w:val="20"/>
        </w:rPr>
        <w:t>Description of option</w:t>
      </w:r>
    </w:p>
    <w:p w14:paraId="055B58B9" w14:textId="77777777" w:rsidR="00870C3F" w:rsidRPr="002F1917" w:rsidRDefault="00870C3F" w:rsidP="00870C3F">
      <w:pPr>
        <w:pStyle w:val="ListBullet1"/>
        <w:rPr>
          <w:rFonts w:ascii="Calibri" w:hAnsi="Calibri" w:cs="Calibri"/>
        </w:rPr>
      </w:pPr>
      <w:r w:rsidRPr="002F1917">
        <w:rPr>
          <w:rFonts w:ascii="Calibri" w:hAnsi="Calibri" w:cs="Calibri"/>
        </w:rPr>
        <w:t>A continuation of existing arrangements where each state and territory have their own process and legislative power to determine contingencies available to people wagering on sports in their jurisdiction. In addition, Sport Integrity Australia will facilitate a national contingencies forum.</w:t>
      </w:r>
    </w:p>
    <w:p w14:paraId="1C676031" w14:textId="77777777" w:rsidR="00870C3F" w:rsidRPr="002F1917" w:rsidRDefault="00870C3F" w:rsidP="00870C3F">
      <w:pPr>
        <w:rPr>
          <w:rFonts w:ascii="Calibri" w:hAnsi="Calibri" w:cs="Calibri"/>
          <w:i/>
          <w:sz w:val="20"/>
          <w:szCs w:val="20"/>
        </w:rPr>
      </w:pPr>
      <w:r w:rsidRPr="002F1917">
        <w:rPr>
          <w:rFonts w:ascii="Calibri" w:hAnsi="Calibri" w:cs="Calibri"/>
          <w:i/>
          <w:sz w:val="20"/>
          <w:szCs w:val="20"/>
        </w:rPr>
        <w:t>Mechanics of option</w:t>
      </w:r>
    </w:p>
    <w:p w14:paraId="44E1E701" w14:textId="77777777" w:rsidR="00870C3F" w:rsidRPr="002F1917" w:rsidRDefault="00870C3F" w:rsidP="00870C3F">
      <w:pPr>
        <w:pStyle w:val="ListBullet1"/>
        <w:rPr>
          <w:rFonts w:ascii="Calibri" w:hAnsi="Calibri" w:cs="Calibri"/>
        </w:rPr>
      </w:pPr>
      <w:r w:rsidRPr="002F1917">
        <w:rPr>
          <w:rFonts w:ascii="Calibri" w:hAnsi="Calibri" w:cs="Calibri"/>
        </w:rPr>
        <w:t>Mechanics of how permitted contingencies are set are unchanged from the base case.</w:t>
      </w:r>
    </w:p>
    <w:p w14:paraId="6BCDFFE9" w14:textId="70A77C61" w:rsidR="008B7F94" w:rsidRPr="00F4798A" w:rsidRDefault="00870C3F" w:rsidP="00410069">
      <w:pPr>
        <w:pStyle w:val="ListBullet1"/>
        <w:rPr>
          <w:rFonts w:ascii="Calibri" w:hAnsi="Calibri" w:cs="Calibri"/>
          <w:lang w:val="en-US"/>
        </w:rPr>
      </w:pPr>
      <w:r w:rsidRPr="002F1917">
        <w:rPr>
          <w:rFonts w:ascii="Calibri" w:hAnsi="Calibri" w:cs="Calibri"/>
        </w:rPr>
        <w:t>Sport Integrity Australia will facilitate a national contingencies forum with jurisdictions and SCBs. The forum would meet approximately two to four times per year to discuss and understand contingencies and their risks from a sport integrity and consumer protection perspective. The purpose of the forum would be to seek greater consistency in contingencies permitted and to seek to move towards a nationally consistent schedule of sports wagering contingencies. Sport Integrity Australia would not have any legislative lever to trigger change. Rather, Sport Integrity Australia will be able to use its research products, international relationships, and intelligence capability to assess the risk of new sport contingencies while continuing to scrutinise those that already exist.</w:t>
      </w:r>
      <w:bookmarkStart w:id="143" w:name="_Toc39219911"/>
      <w:bookmarkStart w:id="144" w:name="_Toc39220380"/>
      <w:bookmarkStart w:id="145" w:name="_Toc85450778"/>
    </w:p>
    <w:p w14:paraId="15351EDB" w14:textId="3769AAE6" w:rsidR="00870C3F" w:rsidRPr="00410069" w:rsidRDefault="00870C3F" w:rsidP="00410069">
      <w:pPr>
        <w:pStyle w:val="Heading3"/>
        <w:rPr>
          <w:rFonts w:ascii="Calibri" w:hAnsi="Calibri" w:cs="Calibri"/>
          <w:sz w:val="20"/>
          <w:szCs w:val="28"/>
        </w:rPr>
      </w:pPr>
      <w:r w:rsidRPr="00410069">
        <w:rPr>
          <w:rFonts w:ascii="Calibri" w:hAnsi="Calibri" w:cs="Calibri"/>
          <w:sz w:val="20"/>
          <w:szCs w:val="28"/>
        </w:rPr>
        <w:t>Information sharing</w:t>
      </w:r>
      <w:bookmarkEnd w:id="143"/>
      <w:bookmarkEnd w:id="144"/>
      <w:bookmarkEnd w:id="145"/>
    </w:p>
    <w:p w14:paraId="31ED706E" w14:textId="77777777" w:rsidR="00870C3F" w:rsidRPr="00410069" w:rsidRDefault="00870C3F" w:rsidP="00870C3F">
      <w:pPr>
        <w:keepNext/>
        <w:keepLines/>
        <w:spacing w:before="360" w:line="268" w:lineRule="auto"/>
        <w:outlineLvl w:val="2"/>
        <w:rPr>
          <w:rFonts w:ascii="Calibri" w:eastAsia="MS Gothic" w:hAnsi="Calibri" w:cs="Calibri"/>
          <w:color w:val="auto"/>
          <w:sz w:val="20"/>
          <w:lang w:val="en-US"/>
        </w:rPr>
      </w:pPr>
      <w:bookmarkStart w:id="146" w:name="_Toc85450779"/>
      <w:bookmarkStart w:id="147" w:name="_Hlk84339045"/>
      <w:r w:rsidRPr="00410069">
        <w:rPr>
          <w:rFonts w:ascii="Calibri" w:eastAsia="MS Gothic" w:hAnsi="Calibri" w:cs="Calibri"/>
          <w:color w:val="auto"/>
          <w:sz w:val="20"/>
          <w:lang w:val="en-US"/>
        </w:rPr>
        <w:t>Base Case</w:t>
      </w:r>
      <w:bookmarkEnd w:id="146"/>
    </w:p>
    <w:p w14:paraId="7CFF00A0" w14:textId="77777777" w:rsidR="00870C3F" w:rsidRPr="002F1917" w:rsidRDefault="00870C3F" w:rsidP="00870C3F">
      <w:pPr>
        <w:rPr>
          <w:rFonts w:ascii="Calibri" w:eastAsia="Calibri" w:hAnsi="Calibri" w:cs="Calibri"/>
          <w:i/>
          <w:color w:val="000000"/>
          <w:sz w:val="20"/>
          <w:szCs w:val="20"/>
        </w:rPr>
      </w:pPr>
      <w:r w:rsidRPr="002F1917">
        <w:rPr>
          <w:rFonts w:ascii="Calibri" w:eastAsia="Calibri" w:hAnsi="Calibri" w:cs="Calibri"/>
          <w:i/>
          <w:color w:val="000000"/>
          <w:sz w:val="20"/>
          <w:szCs w:val="20"/>
        </w:rPr>
        <w:t>Description of option</w:t>
      </w:r>
    </w:p>
    <w:p w14:paraId="5DC80411" w14:textId="77777777" w:rsidR="00870C3F" w:rsidRPr="002F1917" w:rsidRDefault="00870C3F" w:rsidP="00870C3F">
      <w:pPr>
        <w:pStyle w:val="ListBullet1"/>
        <w:rPr>
          <w:rFonts w:ascii="Calibri" w:hAnsi="Calibri" w:cs="Calibri"/>
        </w:rPr>
      </w:pPr>
      <w:r w:rsidRPr="002F1917">
        <w:rPr>
          <w:rFonts w:ascii="Calibri" w:hAnsi="Calibri" w:cs="Calibri"/>
        </w:rPr>
        <w:t>A continuation of existing arrangements where sport controlling bodies and wagering providers have information sharing arrangements agreed through their product agreements. Sport controlling bodies are obligated to notify NSW and VIC regulators when suspicious activity is detected. Wagering providers are obligated to report suspicious activity to regulators and sports controlling bodies.</w:t>
      </w:r>
    </w:p>
    <w:p w14:paraId="5D50E973" w14:textId="77777777" w:rsidR="00870C3F" w:rsidRPr="002F1917" w:rsidRDefault="00870C3F" w:rsidP="00870C3F">
      <w:pPr>
        <w:rPr>
          <w:rFonts w:ascii="Calibri" w:eastAsia="Calibri" w:hAnsi="Calibri" w:cs="Calibri"/>
          <w:i/>
          <w:color w:val="000000"/>
          <w:sz w:val="20"/>
          <w:szCs w:val="20"/>
        </w:rPr>
      </w:pPr>
      <w:r w:rsidRPr="002F1917">
        <w:rPr>
          <w:rFonts w:ascii="Calibri" w:eastAsia="Calibri" w:hAnsi="Calibri" w:cs="Calibri"/>
          <w:i/>
          <w:color w:val="000000"/>
          <w:sz w:val="20"/>
          <w:szCs w:val="20"/>
        </w:rPr>
        <w:t>Mechanics of option</w:t>
      </w:r>
    </w:p>
    <w:p w14:paraId="0418C27D" w14:textId="77777777" w:rsidR="00870C3F" w:rsidRPr="002F1917" w:rsidRDefault="00870C3F" w:rsidP="00870C3F">
      <w:pPr>
        <w:pStyle w:val="ListBullet1"/>
        <w:rPr>
          <w:rFonts w:ascii="Calibri" w:hAnsi="Calibri" w:cs="Calibri"/>
        </w:rPr>
      </w:pPr>
      <w:proofErr w:type="gramStart"/>
      <w:r w:rsidRPr="002F1917">
        <w:rPr>
          <w:rFonts w:ascii="Calibri" w:hAnsi="Calibri" w:cs="Calibri"/>
        </w:rPr>
        <w:t>Typically</w:t>
      </w:r>
      <w:proofErr w:type="gramEnd"/>
      <w:r w:rsidRPr="002F1917">
        <w:rPr>
          <w:rFonts w:ascii="Calibri" w:hAnsi="Calibri" w:cs="Calibri"/>
        </w:rPr>
        <w:t xml:space="preserve"> agreements between sport controlling bodies and wagering providers include the following:</w:t>
      </w:r>
    </w:p>
    <w:p w14:paraId="44E9E37E" w14:textId="77777777" w:rsidR="00870C3F" w:rsidRPr="002F1917" w:rsidRDefault="00870C3F" w:rsidP="00204AA1">
      <w:pPr>
        <w:numPr>
          <w:ilvl w:val="1"/>
          <w:numId w:val="23"/>
        </w:numPr>
        <w:suppressAutoHyphens w:val="0"/>
        <w:spacing w:before="120" w:after="120" w:line="264" w:lineRule="auto"/>
        <w:jc w:val="both"/>
        <w:rPr>
          <w:rFonts w:ascii="Calibri" w:eastAsia="Calibri" w:hAnsi="Calibri" w:cs="Calibri"/>
          <w:color w:val="000000"/>
          <w:sz w:val="20"/>
          <w:lang w:val="en-GB"/>
        </w:rPr>
      </w:pPr>
      <w:r w:rsidRPr="002F1917">
        <w:rPr>
          <w:rFonts w:ascii="Calibri" w:eastAsia="Calibri" w:hAnsi="Calibri" w:cs="Calibri"/>
          <w:color w:val="000000"/>
          <w:sz w:val="20"/>
          <w:lang w:val="en-GB"/>
        </w:rPr>
        <w:t>Some form of periodic reporting from wagering providers to sports controlling bodies. This typically includes details of any bets placed over a specific threshold.</w:t>
      </w:r>
    </w:p>
    <w:p w14:paraId="5BC92772" w14:textId="77777777" w:rsidR="00870C3F" w:rsidRPr="002F1917" w:rsidRDefault="00870C3F" w:rsidP="00204AA1">
      <w:pPr>
        <w:numPr>
          <w:ilvl w:val="1"/>
          <w:numId w:val="23"/>
        </w:numPr>
        <w:suppressAutoHyphens w:val="0"/>
        <w:spacing w:before="120" w:after="120" w:line="264" w:lineRule="auto"/>
        <w:jc w:val="both"/>
        <w:rPr>
          <w:rFonts w:ascii="Calibri" w:eastAsia="Calibri" w:hAnsi="Calibri" w:cs="Calibri"/>
          <w:color w:val="000000"/>
          <w:sz w:val="20"/>
          <w:lang w:val="en-GB"/>
        </w:rPr>
      </w:pPr>
      <w:r w:rsidRPr="002F1917">
        <w:rPr>
          <w:rFonts w:ascii="Calibri" w:eastAsia="Calibri" w:hAnsi="Calibri" w:cs="Calibri"/>
          <w:color w:val="000000"/>
          <w:sz w:val="20"/>
          <w:lang w:val="en-GB"/>
        </w:rPr>
        <w:t xml:space="preserve">Allowance for a sport controlling body to audit any bets placed on their sport by their records of registered participants. </w:t>
      </w:r>
    </w:p>
    <w:p w14:paraId="4EFB35FA" w14:textId="77777777" w:rsidR="00870C3F" w:rsidRPr="002F1917" w:rsidRDefault="00870C3F" w:rsidP="00204AA1">
      <w:pPr>
        <w:numPr>
          <w:ilvl w:val="1"/>
          <w:numId w:val="23"/>
        </w:numPr>
        <w:suppressAutoHyphens w:val="0"/>
        <w:spacing w:before="120" w:after="120" w:line="264" w:lineRule="auto"/>
        <w:jc w:val="both"/>
        <w:rPr>
          <w:rFonts w:ascii="Calibri" w:eastAsia="Calibri" w:hAnsi="Calibri" w:cs="Calibri"/>
          <w:color w:val="000000"/>
          <w:sz w:val="20"/>
          <w:lang w:val="en-GB"/>
        </w:rPr>
      </w:pPr>
      <w:r w:rsidRPr="002F1917">
        <w:rPr>
          <w:rFonts w:ascii="Calibri" w:eastAsia="Calibri" w:hAnsi="Calibri" w:cs="Calibri"/>
          <w:color w:val="000000"/>
          <w:sz w:val="20"/>
          <w:lang w:val="en-GB"/>
        </w:rPr>
        <w:t>An obligation of wagering providers to respond to ad hoc requests from sport controlling bodies where they have a specific concern around an event or individual.</w:t>
      </w:r>
    </w:p>
    <w:p w14:paraId="16529170" w14:textId="77777777" w:rsidR="00870C3F" w:rsidRPr="002F1917" w:rsidRDefault="00870C3F" w:rsidP="00204AA1">
      <w:pPr>
        <w:numPr>
          <w:ilvl w:val="1"/>
          <w:numId w:val="23"/>
        </w:numPr>
        <w:suppressAutoHyphens w:val="0"/>
        <w:spacing w:before="120" w:after="120" w:line="264" w:lineRule="auto"/>
        <w:jc w:val="both"/>
        <w:rPr>
          <w:rFonts w:ascii="Calibri" w:eastAsia="Calibri" w:hAnsi="Calibri" w:cs="Calibri"/>
          <w:color w:val="000000"/>
          <w:sz w:val="20"/>
          <w:lang w:val="en-GB"/>
        </w:rPr>
      </w:pPr>
      <w:r w:rsidRPr="002F1917">
        <w:rPr>
          <w:rFonts w:ascii="Calibri" w:eastAsia="Calibri" w:hAnsi="Calibri" w:cs="Calibri"/>
          <w:color w:val="000000"/>
          <w:sz w:val="20"/>
          <w:lang w:val="en-GB"/>
        </w:rPr>
        <w:t>An obligation for wagering providers to notify sport controlling bodies and regulators of suspicious activity</w:t>
      </w:r>
    </w:p>
    <w:p w14:paraId="78A23274" w14:textId="77777777" w:rsidR="00870C3F" w:rsidRPr="002F1917" w:rsidRDefault="00870C3F" w:rsidP="00870C3F">
      <w:pPr>
        <w:pStyle w:val="ListBullet1"/>
        <w:rPr>
          <w:rFonts w:ascii="Calibri" w:hAnsi="Calibri" w:cs="Calibri"/>
        </w:rPr>
      </w:pPr>
      <w:r w:rsidRPr="002F1917">
        <w:rPr>
          <w:rFonts w:ascii="Calibri" w:hAnsi="Calibri" w:cs="Calibri"/>
        </w:rPr>
        <w:t>Wagering provider may also have an information sharing obligation with the state or territory regulator with which they are regulated. This information sharing does not specifically relate to sport integrity</w:t>
      </w:r>
    </w:p>
    <w:p w14:paraId="017671E6" w14:textId="77777777" w:rsidR="00870C3F" w:rsidRPr="00410069" w:rsidRDefault="00870C3F" w:rsidP="00870C3F">
      <w:pPr>
        <w:keepNext/>
        <w:keepLines/>
        <w:spacing w:before="360" w:line="268" w:lineRule="auto"/>
        <w:outlineLvl w:val="2"/>
        <w:rPr>
          <w:rFonts w:ascii="Calibri" w:eastAsia="MS Gothic" w:hAnsi="Calibri" w:cs="Calibri"/>
          <w:color w:val="auto"/>
          <w:sz w:val="20"/>
          <w:lang w:val="en-US"/>
        </w:rPr>
      </w:pPr>
      <w:bookmarkStart w:id="148" w:name="_Toc39219912"/>
      <w:bookmarkStart w:id="149" w:name="_Toc39220381"/>
      <w:bookmarkStart w:id="150" w:name="_Toc85450780"/>
      <w:r w:rsidRPr="00410069">
        <w:rPr>
          <w:rFonts w:ascii="Calibri" w:eastAsia="MS Gothic" w:hAnsi="Calibri" w:cs="Calibri"/>
          <w:color w:val="auto"/>
          <w:sz w:val="20"/>
          <w:lang w:val="en-US"/>
        </w:rPr>
        <w:lastRenderedPageBreak/>
        <w:t>Option 1</w:t>
      </w:r>
      <w:bookmarkEnd w:id="148"/>
      <w:bookmarkEnd w:id="149"/>
      <w:r w:rsidRPr="00410069">
        <w:rPr>
          <w:rFonts w:ascii="Calibri" w:eastAsia="MS Gothic" w:hAnsi="Calibri" w:cs="Calibri"/>
          <w:color w:val="auto"/>
          <w:sz w:val="20"/>
          <w:lang w:val="en-US"/>
        </w:rPr>
        <w:t xml:space="preserve"> – non-real time National Platform</w:t>
      </w:r>
      <w:bookmarkEnd w:id="150"/>
    </w:p>
    <w:p w14:paraId="37FC2B71" w14:textId="77777777" w:rsidR="00870C3F" w:rsidRPr="002F1917" w:rsidRDefault="00870C3F" w:rsidP="00870C3F">
      <w:pPr>
        <w:rPr>
          <w:rFonts w:ascii="Calibri" w:eastAsia="Calibri" w:hAnsi="Calibri" w:cs="Calibri"/>
          <w:i/>
          <w:color w:val="000000"/>
          <w:sz w:val="20"/>
          <w:szCs w:val="20"/>
        </w:rPr>
      </w:pPr>
      <w:r w:rsidRPr="002F1917">
        <w:rPr>
          <w:rFonts w:ascii="Calibri" w:eastAsia="Calibri" w:hAnsi="Calibri" w:cs="Calibri"/>
          <w:i/>
          <w:color w:val="000000"/>
          <w:sz w:val="20"/>
          <w:szCs w:val="20"/>
        </w:rPr>
        <w:t>Description of option</w:t>
      </w:r>
    </w:p>
    <w:p w14:paraId="601B724E" w14:textId="77777777" w:rsidR="00870C3F" w:rsidRPr="002F1917" w:rsidRDefault="00870C3F" w:rsidP="00870C3F">
      <w:pPr>
        <w:pStyle w:val="ListBullet1"/>
        <w:rPr>
          <w:rFonts w:ascii="Calibri" w:hAnsi="Calibri" w:cs="Calibri"/>
        </w:rPr>
      </w:pPr>
      <w:r w:rsidRPr="002F1917">
        <w:rPr>
          <w:rFonts w:ascii="Calibri" w:hAnsi="Calibri" w:cs="Calibri"/>
        </w:rPr>
        <w:t xml:space="preserve">Ongoing, non-real time data provided to Sport Integrity Australia. The purpose of this platform will be to take a more coordinated approach to identifying sport integrity threats and fulfil the obligation of the Macolin Convention for Australia to have a National Platform. </w:t>
      </w:r>
    </w:p>
    <w:p w14:paraId="17FD00FE" w14:textId="77777777" w:rsidR="00870C3F" w:rsidRPr="002F1917" w:rsidRDefault="00870C3F" w:rsidP="00870C3F">
      <w:pPr>
        <w:pStyle w:val="ListBullet1"/>
        <w:rPr>
          <w:rFonts w:ascii="Calibri" w:hAnsi="Calibri" w:cs="Calibri"/>
        </w:rPr>
      </w:pPr>
      <w:r w:rsidRPr="002F1917">
        <w:rPr>
          <w:rFonts w:ascii="Calibri" w:hAnsi="Calibri" w:cs="Calibri"/>
        </w:rPr>
        <w:t>Data sharing in this option will focus on:</w:t>
      </w:r>
    </w:p>
    <w:p w14:paraId="601BBDE7" w14:textId="77777777" w:rsidR="00870C3F" w:rsidRPr="002F1917" w:rsidRDefault="00870C3F" w:rsidP="00204AA1">
      <w:pPr>
        <w:numPr>
          <w:ilvl w:val="1"/>
          <w:numId w:val="23"/>
        </w:numPr>
        <w:suppressAutoHyphens w:val="0"/>
        <w:spacing w:before="120" w:after="120" w:line="264" w:lineRule="auto"/>
        <w:jc w:val="both"/>
        <w:rPr>
          <w:rFonts w:ascii="Calibri" w:eastAsia="Calibri" w:hAnsi="Calibri" w:cs="Calibri"/>
          <w:color w:val="000000"/>
          <w:sz w:val="20"/>
          <w:lang w:val="en-GB"/>
        </w:rPr>
      </w:pPr>
      <w:r w:rsidRPr="002F1917">
        <w:rPr>
          <w:rFonts w:ascii="Calibri" w:eastAsia="Calibri" w:hAnsi="Calibri" w:cs="Calibri"/>
          <w:color w:val="000000"/>
          <w:sz w:val="20"/>
          <w:lang w:val="en-GB"/>
        </w:rPr>
        <w:t>A suspicious activity alert system (SAAS)</w:t>
      </w:r>
    </w:p>
    <w:p w14:paraId="23513883" w14:textId="77777777" w:rsidR="00870C3F" w:rsidRPr="002F1917" w:rsidRDefault="00870C3F" w:rsidP="00204AA1">
      <w:pPr>
        <w:numPr>
          <w:ilvl w:val="1"/>
          <w:numId w:val="23"/>
        </w:numPr>
        <w:suppressAutoHyphens w:val="0"/>
        <w:spacing w:before="120" w:after="120" w:line="264" w:lineRule="auto"/>
        <w:jc w:val="both"/>
        <w:rPr>
          <w:rFonts w:ascii="Calibri" w:eastAsia="Calibri" w:hAnsi="Calibri" w:cs="Calibri"/>
          <w:color w:val="000000"/>
          <w:sz w:val="20"/>
          <w:lang w:val="en-GB"/>
        </w:rPr>
      </w:pPr>
      <w:r w:rsidRPr="002F1917">
        <w:rPr>
          <w:rFonts w:ascii="Calibri" w:eastAsia="Calibri" w:hAnsi="Calibri" w:cs="Calibri"/>
          <w:color w:val="000000"/>
          <w:sz w:val="20"/>
          <w:lang w:val="en-GB"/>
        </w:rPr>
        <w:t>Sport Integrity Australia providing an intelligence function to appropriate parties.</w:t>
      </w:r>
      <w:bookmarkStart w:id="151" w:name="_Hlk84335509"/>
      <w:r w:rsidRPr="002F1917">
        <w:rPr>
          <w:rFonts w:ascii="Calibri" w:eastAsia="Calibri" w:hAnsi="Calibri" w:cs="Calibri"/>
          <w:color w:val="000000"/>
          <w:sz w:val="20"/>
          <w:lang w:val="en-GB"/>
        </w:rPr>
        <w:t xml:space="preserve"> </w:t>
      </w:r>
    </w:p>
    <w:p w14:paraId="7DF1BB26" w14:textId="77777777" w:rsidR="00870C3F" w:rsidRPr="002F1917" w:rsidRDefault="00870C3F" w:rsidP="00204AA1">
      <w:pPr>
        <w:numPr>
          <w:ilvl w:val="1"/>
          <w:numId w:val="23"/>
        </w:numPr>
        <w:suppressAutoHyphens w:val="0"/>
        <w:spacing w:before="120" w:after="120" w:line="264" w:lineRule="auto"/>
        <w:jc w:val="both"/>
        <w:rPr>
          <w:rFonts w:ascii="Calibri" w:eastAsia="Calibri" w:hAnsi="Calibri" w:cs="Calibri"/>
          <w:color w:val="000000"/>
          <w:sz w:val="20"/>
          <w:lang w:val="en-GB"/>
        </w:rPr>
      </w:pPr>
      <w:r w:rsidRPr="002F1917">
        <w:rPr>
          <w:rFonts w:ascii="Calibri" w:eastAsia="Calibri" w:hAnsi="Calibri" w:cs="Calibri"/>
          <w:color w:val="000000"/>
          <w:sz w:val="20"/>
          <w:lang w:val="en-GB"/>
        </w:rPr>
        <w:t>Standardising information and reporting requirements and templates</w:t>
      </w:r>
      <w:bookmarkEnd w:id="151"/>
      <w:r w:rsidRPr="002F1917">
        <w:rPr>
          <w:rFonts w:ascii="Calibri" w:eastAsia="Calibri" w:hAnsi="Calibri" w:cs="Calibri"/>
          <w:color w:val="000000"/>
          <w:sz w:val="20"/>
          <w:lang w:val="en-GB"/>
        </w:rPr>
        <w:t>.</w:t>
      </w:r>
    </w:p>
    <w:p w14:paraId="3DA59E89" w14:textId="77777777" w:rsidR="00870C3F" w:rsidRPr="002F1917" w:rsidRDefault="00870C3F" w:rsidP="00204AA1">
      <w:pPr>
        <w:numPr>
          <w:ilvl w:val="0"/>
          <w:numId w:val="23"/>
        </w:numPr>
        <w:suppressAutoHyphens w:val="0"/>
        <w:spacing w:before="120" w:after="120" w:line="264" w:lineRule="auto"/>
        <w:jc w:val="both"/>
        <w:rPr>
          <w:rFonts w:ascii="Calibri" w:eastAsia="Calibri" w:hAnsi="Calibri" w:cs="Calibri"/>
          <w:color w:val="000000"/>
          <w:sz w:val="20"/>
          <w:lang w:val="en-GB"/>
        </w:rPr>
      </w:pPr>
      <w:r w:rsidRPr="002F1917">
        <w:rPr>
          <w:rFonts w:ascii="Calibri" w:eastAsia="Calibri" w:hAnsi="Calibri" w:cs="Calibri"/>
          <w:color w:val="000000"/>
          <w:sz w:val="20"/>
          <w:lang w:val="en-GB"/>
        </w:rPr>
        <w:t xml:space="preserve">The platform will provide stakeholders streamlined access to data and information in relation to their sport or customers to better enable monitoring, intelligence, and investigation activity </w:t>
      </w:r>
    </w:p>
    <w:p w14:paraId="15BFBFD2" w14:textId="77777777" w:rsidR="00870C3F" w:rsidRPr="002F1917" w:rsidRDefault="00870C3F" w:rsidP="00870C3F">
      <w:pPr>
        <w:rPr>
          <w:rFonts w:ascii="Calibri" w:eastAsia="Calibri" w:hAnsi="Calibri" w:cs="Calibri"/>
          <w:i/>
          <w:color w:val="000000"/>
          <w:sz w:val="20"/>
          <w:szCs w:val="20"/>
        </w:rPr>
      </w:pPr>
      <w:r w:rsidRPr="002F1917">
        <w:rPr>
          <w:rFonts w:ascii="Calibri" w:eastAsia="Calibri" w:hAnsi="Calibri" w:cs="Calibri"/>
          <w:i/>
          <w:color w:val="000000"/>
          <w:sz w:val="20"/>
          <w:szCs w:val="20"/>
        </w:rPr>
        <w:t>Mechanics of option</w:t>
      </w:r>
    </w:p>
    <w:p w14:paraId="782E8ACA" w14:textId="402BA478" w:rsidR="00870C3F" w:rsidRPr="002F1917" w:rsidRDefault="00870C3F" w:rsidP="00870C3F">
      <w:pPr>
        <w:pStyle w:val="ListBullet1"/>
        <w:rPr>
          <w:rFonts w:ascii="Calibri" w:hAnsi="Calibri" w:cs="Calibri"/>
        </w:rPr>
      </w:pPr>
      <w:r w:rsidRPr="002F1917">
        <w:rPr>
          <w:rFonts w:ascii="Calibri" w:hAnsi="Calibri" w:cs="Calibri"/>
        </w:rPr>
        <w:t xml:space="preserve">Sport Integrity Australia will develop a non-real time platform for sport wagering data. Sport Integrity Australia will look to align data requirements with data already provided from wagering providers to sports controlling bodies and/or other regulators for compliance purposes. </w:t>
      </w:r>
    </w:p>
    <w:p w14:paraId="2C8F6DBB" w14:textId="77777777" w:rsidR="00870C3F" w:rsidRPr="002F1917" w:rsidRDefault="00870C3F" w:rsidP="00870C3F">
      <w:pPr>
        <w:pStyle w:val="ListBullet1"/>
        <w:rPr>
          <w:rFonts w:ascii="Calibri" w:hAnsi="Calibri" w:cs="Calibri"/>
        </w:rPr>
      </w:pPr>
      <w:r w:rsidRPr="002F1917">
        <w:rPr>
          <w:rFonts w:ascii="Calibri" w:hAnsi="Calibri" w:cs="Calibri"/>
        </w:rPr>
        <w:t>Depending on the preferred option for the accreditation and licensing of bodies, a lever used to require provision of data may be through the minimum integrity requirements of product agreements. This may entail a transition period as existing product agreements are refreshed to include this requirement. Sport Integrity Australia are also exploring legislative options to embed these requirements.</w:t>
      </w:r>
    </w:p>
    <w:p w14:paraId="15716CA3" w14:textId="77777777" w:rsidR="00870C3F" w:rsidRPr="002F1917" w:rsidRDefault="00870C3F" w:rsidP="00870C3F">
      <w:pPr>
        <w:pStyle w:val="ListBullet1"/>
        <w:rPr>
          <w:rFonts w:ascii="Calibri" w:hAnsi="Calibri" w:cs="Calibri"/>
        </w:rPr>
      </w:pPr>
      <w:r w:rsidRPr="002F1917">
        <w:rPr>
          <w:rFonts w:ascii="Calibri" w:hAnsi="Calibri" w:cs="Calibri"/>
        </w:rPr>
        <w:t>Should it be that the accreditation of sports controlling bodies is not elevated to Sport Integrity Australia then they would seek an alternative lever to require data be provided for the platform.</w:t>
      </w:r>
    </w:p>
    <w:p w14:paraId="3B616A8E" w14:textId="77777777" w:rsidR="00870C3F" w:rsidRPr="002F1917" w:rsidRDefault="00870C3F" w:rsidP="00870C3F">
      <w:pPr>
        <w:pStyle w:val="ListBullet1"/>
        <w:rPr>
          <w:rFonts w:ascii="Calibri" w:hAnsi="Calibri" w:cs="Calibri"/>
        </w:rPr>
      </w:pPr>
      <w:r w:rsidRPr="002F1917">
        <w:rPr>
          <w:rFonts w:ascii="Calibri" w:hAnsi="Calibri" w:cs="Calibri"/>
        </w:rPr>
        <w:t xml:space="preserve">The suspicious activity alert system will look to complement existing processes. There will be a requirement on wagering providers to report suspicious activity alerts to sports controlling bodies and Sport Integrity Australia. Sports controlling bodies in turn will have an obligation to inform their accrediting body of suspicious activity (who this is will depend on the </w:t>
      </w:r>
      <w:bookmarkStart w:id="152" w:name="_Hlk84336423"/>
      <w:r w:rsidRPr="002F1917">
        <w:rPr>
          <w:rFonts w:ascii="Calibri" w:hAnsi="Calibri" w:cs="Calibri"/>
        </w:rPr>
        <w:t>preferred option for the accreditation and licensing of bodies</w:t>
      </w:r>
      <w:bookmarkEnd w:id="152"/>
      <w:r w:rsidRPr="002F1917">
        <w:rPr>
          <w:rFonts w:ascii="Calibri" w:hAnsi="Calibri" w:cs="Calibri"/>
        </w:rPr>
        <w:t>). In addition, where either Sport Integrity Australia’s platform, or intelligence received by Sport Integrity Australia, identifies suspicious activity then an alert would be passed from Sport Integrity Australia to the relevant sport controlling body and other wagering providers to factor into their risk mitigation strategies.</w:t>
      </w:r>
    </w:p>
    <w:p w14:paraId="23418C0D" w14:textId="77777777" w:rsidR="00870C3F" w:rsidRPr="002F1917" w:rsidRDefault="00870C3F" w:rsidP="00870C3F">
      <w:pPr>
        <w:pStyle w:val="ListBullet1"/>
        <w:rPr>
          <w:rFonts w:ascii="Calibri" w:hAnsi="Calibri" w:cs="Calibri"/>
        </w:rPr>
      </w:pPr>
      <w:r w:rsidRPr="002F1917">
        <w:rPr>
          <w:rFonts w:ascii="Calibri" w:hAnsi="Calibri" w:cs="Calibri"/>
        </w:rPr>
        <w:t>With respect to standardising information and reporting requirements and templates, this primarily relates to the periodic reporting provided from wagering providers to sports controlling bodies.</w:t>
      </w:r>
      <w:r w:rsidRPr="002F1917">
        <w:rPr>
          <w:rFonts w:ascii="Calibri" w:hAnsi="Calibri" w:cs="Calibri"/>
          <w:vertAlign w:val="superscript"/>
        </w:rPr>
        <w:footnoteReference w:id="16"/>
      </w:r>
      <w:r w:rsidRPr="002F1917">
        <w:rPr>
          <w:rFonts w:ascii="Calibri" w:hAnsi="Calibri" w:cs="Calibri"/>
        </w:rPr>
        <w:t xml:space="preserve"> Moreover, Sport Integrity Australia will look to develop standard reporting for intelligence that they provide from the platform.</w:t>
      </w:r>
    </w:p>
    <w:p w14:paraId="24A6869F" w14:textId="6CC9EAE2" w:rsidR="00870C3F" w:rsidRPr="002F1917" w:rsidRDefault="00870C3F" w:rsidP="00870C3F">
      <w:pPr>
        <w:pStyle w:val="ListBullet1"/>
        <w:rPr>
          <w:rFonts w:ascii="Calibri" w:hAnsi="Calibri" w:cs="Calibri"/>
        </w:rPr>
      </w:pPr>
      <w:r w:rsidRPr="002F1917">
        <w:rPr>
          <w:rFonts w:ascii="Calibri" w:hAnsi="Calibri" w:cs="Calibri"/>
        </w:rPr>
        <w:t xml:space="preserve">Sport Integrity Australia’s access to sports wagering data will look to provide a broader intelligence role with a holistic, whole of market approach to monitoring, overlayed with intelligence and insights from wagering providers, sports and racing controlling bodies, </w:t>
      </w:r>
      <w:r w:rsidR="00FC58B3">
        <w:rPr>
          <w:rFonts w:ascii="Calibri" w:hAnsi="Calibri" w:cs="Calibri"/>
        </w:rPr>
        <w:t xml:space="preserve">sports data companies, </w:t>
      </w:r>
      <w:r w:rsidRPr="00EA6981">
        <w:rPr>
          <w:rFonts w:ascii="Calibri" w:hAnsi="Calibri" w:cs="Calibri"/>
        </w:rPr>
        <w:t>law enforcement and intelligence bodies</w:t>
      </w:r>
      <w:r w:rsidR="000457C9" w:rsidRPr="00EA6981">
        <w:rPr>
          <w:rStyle w:val="FootnoteReference"/>
          <w:rFonts w:ascii="Calibri" w:hAnsi="Calibri" w:cs="Calibri"/>
        </w:rPr>
        <w:footnoteReference w:id="17"/>
      </w:r>
      <w:r w:rsidRPr="00EA6981">
        <w:rPr>
          <w:rFonts w:ascii="Calibri" w:hAnsi="Calibri" w:cs="Calibri"/>
        </w:rPr>
        <w:t>,</w:t>
      </w:r>
      <w:r w:rsidRPr="002F1917">
        <w:rPr>
          <w:rFonts w:ascii="Calibri" w:hAnsi="Calibri" w:cs="Calibri"/>
        </w:rPr>
        <w:t xml:space="preserve"> government regulators and from their international network.</w:t>
      </w:r>
    </w:p>
    <w:p w14:paraId="23874892" w14:textId="77777777" w:rsidR="00870C3F" w:rsidRPr="002F1917" w:rsidRDefault="00870C3F" w:rsidP="00F4798A">
      <w:pPr>
        <w:pStyle w:val="ListBullet1"/>
        <w:keepLines/>
        <w:rPr>
          <w:rFonts w:ascii="Calibri" w:hAnsi="Calibri" w:cs="Calibri"/>
        </w:rPr>
      </w:pPr>
      <w:r w:rsidRPr="002F1917">
        <w:rPr>
          <w:rFonts w:ascii="Calibri" w:hAnsi="Calibri" w:cs="Calibri"/>
        </w:rPr>
        <w:lastRenderedPageBreak/>
        <w:t>The role of Sport Integrity Australia will be to manage the platform and provide appropriate intelligence to the relevant parties. With respect to the platform, Sport Integrity Australia will use the data to identify trends and patterns at a whole of market level, overlaying international intelligence. Sport Integrity Australia will not interfere in monitoring, intelligence, and investigations activity by sports and is not an enforcement agency. Sport Integrity Australia would offer intelligence and support for investigations when requested by a sport controlling body.</w:t>
      </w:r>
    </w:p>
    <w:p w14:paraId="17F7D578" w14:textId="77777777" w:rsidR="00870C3F" w:rsidRPr="002F1917" w:rsidRDefault="00870C3F" w:rsidP="00870C3F">
      <w:pPr>
        <w:pStyle w:val="ListBullet1"/>
        <w:rPr>
          <w:rFonts w:ascii="Calibri" w:hAnsi="Calibri" w:cs="Calibri"/>
        </w:rPr>
      </w:pPr>
      <w:r w:rsidRPr="002F1917">
        <w:rPr>
          <w:rFonts w:ascii="Calibri" w:hAnsi="Calibri" w:cs="Calibri"/>
        </w:rPr>
        <w:t xml:space="preserve">The role of sports controlling bodies will be unchanged. They will still be required to monitor for suspicious activity and will still have control of their own investigations. They will still receive monthly reports and </w:t>
      </w:r>
      <w:proofErr w:type="gramStart"/>
      <w:r w:rsidRPr="002F1917">
        <w:rPr>
          <w:rFonts w:ascii="Calibri" w:hAnsi="Calibri" w:cs="Calibri"/>
        </w:rPr>
        <w:t>have the ability to</w:t>
      </w:r>
      <w:proofErr w:type="gramEnd"/>
      <w:r w:rsidRPr="002F1917">
        <w:rPr>
          <w:rFonts w:ascii="Calibri" w:hAnsi="Calibri" w:cs="Calibri"/>
        </w:rPr>
        <w:t xml:space="preserve"> audit their members and make ad hoc requested for data where they have a specific concern about an event or individual. The aim would be for the national platform to be able to provide these functions in a streamlined and efficient manner rather than making direct requests to wagering providers.</w:t>
      </w:r>
    </w:p>
    <w:p w14:paraId="19C51A90" w14:textId="5390C494" w:rsidR="00870C3F" w:rsidRPr="002F1917" w:rsidRDefault="00870C3F" w:rsidP="00870C3F">
      <w:pPr>
        <w:pStyle w:val="ListBullet1"/>
        <w:rPr>
          <w:rFonts w:ascii="Calibri" w:hAnsi="Calibri" w:cs="Calibri"/>
        </w:rPr>
      </w:pPr>
      <w:r w:rsidRPr="002F1917">
        <w:rPr>
          <w:rFonts w:ascii="Calibri" w:hAnsi="Calibri" w:cs="Calibri"/>
        </w:rPr>
        <w:t xml:space="preserve">The role of wagering providers will be unchanged. It is not expected that they will be required to provide any data which they do not already provide to sports or regulators. Rather, Sport Integrity Australia will be an additional recipient of the data. The precise frequency that this data will </w:t>
      </w:r>
      <w:r w:rsidR="005D5385">
        <w:rPr>
          <w:rFonts w:ascii="Calibri" w:hAnsi="Calibri" w:cs="Calibri"/>
        </w:rPr>
        <w:t xml:space="preserve">be </w:t>
      </w:r>
      <w:r w:rsidRPr="002F1917">
        <w:rPr>
          <w:rFonts w:ascii="Calibri" w:hAnsi="Calibri" w:cs="Calibri"/>
        </w:rPr>
        <w:t>provided to Sport Integrity Australia would be agreed as part of the implementation planning should this option be progressed. At this stage it is expected that data would be provided weekly or monthly.</w:t>
      </w:r>
    </w:p>
    <w:p w14:paraId="3998C21B" w14:textId="77777777" w:rsidR="00870C3F" w:rsidRPr="002F1917" w:rsidRDefault="00870C3F" w:rsidP="00870C3F">
      <w:pPr>
        <w:pStyle w:val="ListBullet1"/>
        <w:rPr>
          <w:rFonts w:ascii="Calibri" w:hAnsi="Calibri" w:cs="Calibri"/>
        </w:rPr>
      </w:pPr>
      <w:r w:rsidRPr="002F1917">
        <w:rPr>
          <w:rFonts w:ascii="Calibri" w:hAnsi="Calibri" w:cs="Calibri"/>
        </w:rPr>
        <w:t>The roles of existing enforcement agencies, such as the Sports Betting Integrity Unit at the Australian Criminal Intelligence Commission, will be unchanged.</w:t>
      </w:r>
    </w:p>
    <w:p w14:paraId="345B5DB3" w14:textId="77777777" w:rsidR="00870C3F" w:rsidRPr="002F1917" w:rsidRDefault="00870C3F" w:rsidP="00870C3F">
      <w:pPr>
        <w:pStyle w:val="ListBullet1"/>
        <w:rPr>
          <w:rFonts w:ascii="Calibri" w:hAnsi="Calibri" w:cs="Calibri"/>
        </w:rPr>
      </w:pPr>
      <w:r w:rsidRPr="002F1917">
        <w:rPr>
          <w:rFonts w:ascii="Calibri" w:hAnsi="Calibri" w:cs="Calibri"/>
        </w:rPr>
        <w:t xml:space="preserve">The precise details of the non-real time platform would be developed in consultation with key stakeholders should this option be progressed. The focus will be on ensuring appropriate flows of information with a focus on maintaining privacy of data. The platform will also seek to automate input data from wagering providers. </w:t>
      </w:r>
    </w:p>
    <w:p w14:paraId="30267857" w14:textId="77777777" w:rsidR="00870C3F" w:rsidRPr="00410069" w:rsidRDefault="00870C3F" w:rsidP="003C109A">
      <w:pPr>
        <w:keepNext/>
        <w:keepLines/>
        <w:spacing w:before="360" w:line="268" w:lineRule="auto"/>
        <w:outlineLvl w:val="2"/>
        <w:rPr>
          <w:rFonts w:ascii="Calibri" w:eastAsia="MS Gothic" w:hAnsi="Calibri" w:cs="Calibri"/>
          <w:color w:val="auto"/>
          <w:sz w:val="20"/>
          <w:lang w:val="en-US"/>
        </w:rPr>
      </w:pPr>
      <w:bookmarkStart w:id="153" w:name="_Toc85450781"/>
      <w:r w:rsidRPr="00410069">
        <w:rPr>
          <w:rFonts w:ascii="Calibri" w:eastAsia="MS Gothic" w:hAnsi="Calibri" w:cs="Calibri"/>
          <w:color w:val="auto"/>
          <w:sz w:val="20"/>
          <w:lang w:val="en-US"/>
        </w:rPr>
        <w:t>Option 2 – real-time National Platform</w:t>
      </w:r>
      <w:bookmarkEnd w:id="153"/>
    </w:p>
    <w:p w14:paraId="4EE3730D" w14:textId="77777777" w:rsidR="00870C3F" w:rsidRPr="002F1917" w:rsidRDefault="00870C3F" w:rsidP="00870C3F">
      <w:pPr>
        <w:rPr>
          <w:rFonts w:ascii="Calibri" w:eastAsia="Calibri" w:hAnsi="Calibri" w:cs="Calibri"/>
          <w:i/>
          <w:color w:val="000000"/>
          <w:sz w:val="20"/>
          <w:szCs w:val="20"/>
        </w:rPr>
      </w:pPr>
      <w:r w:rsidRPr="002F1917">
        <w:rPr>
          <w:rFonts w:ascii="Calibri" w:eastAsia="Calibri" w:hAnsi="Calibri" w:cs="Calibri"/>
          <w:i/>
          <w:color w:val="000000"/>
          <w:sz w:val="20"/>
          <w:szCs w:val="20"/>
        </w:rPr>
        <w:t>Description of option</w:t>
      </w:r>
    </w:p>
    <w:p w14:paraId="06C1A493" w14:textId="77777777" w:rsidR="00870C3F" w:rsidRPr="002F1917" w:rsidRDefault="00870C3F" w:rsidP="00870C3F">
      <w:pPr>
        <w:pStyle w:val="ListBullet1"/>
        <w:rPr>
          <w:rFonts w:ascii="Calibri" w:hAnsi="Calibri" w:cs="Calibri"/>
        </w:rPr>
      </w:pPr>
      <w:r w:rsidRPr="002F1917">
        <w:rPr>
          <w:rFonts w:ascii="Calibri" w:hAnsi="Calibri" w:cs="Calibri"/>
        </w:rPr>
        <w:t xml:space="preserve">Real time data provided to Sport Integrity Australia. The purpose of this platform will be to take a more coordinated approach to identifying sport integrity threats and fulfil the obligation of the Macolin Convention for Australia to have a National Platform. </w:t>
      </w:r>
    </w:p>
    <w:p w14:paraId="4DD34FA0" w14:textId="77777777" w:rsidR="00870C3F" w:rsidRPr="002F1917" w:rsidRDefault="00870C3F" w:rsidP="00870C3F">
      <w:pPr>
        <w:pStyle w:val="ListBullet1"/>
        <w:rPr>
          <w:rFonts w:ascii="Calibri" w:hAnsi="Calibri" w:cs="Calibri"/>
        </w:rPr>
      </w:pPr>
      <w:r w:rsidRPr="002F1917">
        <w:rPr>
          <w:rFonts w:ascii="Calibri" w:hAnsi="Calibri" w:cs="Calibri"/>
        </w:rPr>
        <w:t>Data sharing in this option will focus on:</w:t>
      </w:r>
    </w:p>
    <w:p w14:paraId="3EA29E1E" w14:textId="77777777" w:rsidR="00870C3F" w:rsidRPr="002F1917" w:rsidRDefault="00870C3F" w:rsidP="00204AA1">
      <w:pPr>
        <w:numPr>
          <w:ilvl w:val="1"/>
          <w:numId w:val="23"/>
        </w:numPr>
        <w:suppressAutoHyphens w:val="0"/>
        <w:spacing w:before="120" w:after="120" w:line="264" w:lineRule="auto"/>
        <w:jc w:val="both"/>
        <w:rPr>
          <w:rFonts w:ascii="Calibri" w:eastAsia="Calibri" w:hAnsi="Calibri" w:cs="Calibri"/>
          <w:color w:val="000000"/>
          <w:sz w:val="20"/>
          <w:lang w:val="en-GB"/>
        </w:rPr>
      </w:pPr>
      <w:r w:rsidRPr="002F1917">
        <w:rPr>
          <w:rFonts w:ascii="Calibri" w:eastAsia="Calibri" w:hAnsi="Calibri" w:cs="Calibri"/>
          <w:color w:val="000000"/>
          <w:sz w:val="20"/>
          <w:lang w:val="en-GB"/>
        </w:rPr>
        <w:t>A suspicious activity alert system (SAAS)</w:t>
      </w:r>
    </w:p>
    <w:p w14:paraId="7F98BB70" w14:textId="77777777" w:rsidR="00870C3F" w:rsidRPr="002F1917" w:rsidRDefault="00870C3F" w:rsidP="00204AA1">
      <w:pPr>
        <w:numPr>
          <w:ilvl w:val="1"/>
          <w:numId w:val="23"/>
        </w:numPr>
        <w:suppressAutoHyphens w:val="0"/>
        <w:spacing w:before="120" w:after="120" w:line="264" w:lineRule="auto"/>
        <w:jc w:val="both"/>
        <w:rPr>
          <w:rFonts w:ascii="Calibri" w:eastAsia="Calibri" w:hAnsi="Calibri" w:cs="Calibri"/>
          <w:color w:val="000000"/>
          <w:sz w:val="20"/>
          <w:lang w:val="en-GB"/>
        </w:rPr>
      </w:pPr>
      <w:r w:rsidRPr="002F1917">
        <w:rPr>
          <w:rFonts w:ascii="Calibri" w:eastAsia="Calibri" w:hAnsi="Calibri" w:cs="Calibri"/>
          <w:color w:val="000000"/>
          <w:sz w:val="20"/>
          <w:lang w:val="en-GB"/>
        </w:rPr>
        <w:t xml:space="preserve">Sport Integrity Australia providing an intelligence function to appropriate parties. </w:t>
      </w:r>
    </w:p>
    <w:p w14:paraId="215BB006" w14:textId="77777777" w:rsidR="00870C3F" w:rsidRPr="002F1917" w:rsidRDefault="00870C3F" w:rsidP="00204AA1">
      <w:pPr>
        <w:numPr>
          <w:ilvl w:val="1"/>
          <w:numId w:val="23"/>
        </w:numPr>
        <w:suppressAutoHyphens w:val="0"/>
        <w:spacing w:before="120" w:after="120" w:line="264" w:lineRule="auto"/>
        <w:jc w:val="both"/>
        <w:rPr>
          <w:rFonts w:ascii="Calibri" w:eastAsia="Calibri" w:hAnsi="Calibri" w:cs="Calibri"/>
          <w:color w:val="000000"/>
          <w:sz w:val="20"/>
          <w:lang w:val="en-GB"/>
        </w:rPr>
      </w:pPr>
      <w:r w:rsidRPr="002F1917">
        <w:rPr>
          <w:rFonts w:ascii="Calibri" w:eastAsia="Calibri" w:hAnsi="Calibri" w:cs="Calibri"/>
          <w:color w:val="000000"/>
          <w:sz w:val="20"/>
          <w:lang w:val="en-GB"/>
        </w:rPr>
        <w:t>Standardising information and reporting requirements and templates.</w:t>
      </w:r>
    </w:p>
    <w:p w14:paraId="557CA53A" w14:textId="77777777" w:rsidR="00870C3F" w:rsidRPr="002F1917" w:rsidRDefault="00870C3F" w:rsidP="00204AA1">
      <w:pPr>
        <w:numPr>
          <w:ilvl w:val="0"/>
          <w:numId w:val="23"/>
        </w:numPr>
        <w:suppressAutoHyphens w:val="0"/>
        <w:spacing w:before="120" w:after="120" w:line="264" w:lineRule="auto"/>
        <w:jc w:val="both"/>
        <w:rPr>
          <w:rFonts w:ascii="Calibri" w:eastAsia="Calibri" w:hAnsi="Calibri" w:cs="Calibri"/>
          <w:color w:val="000000"/>
          <w:sz w:val="20"/>
          <w:lang w:val="en-GB"/>
        </w:rPr>
      </w:pPr>
      <w:r w:rsidRPr="002F1917">
        <w:rPr>
          <w:rFonts w:ascii="Calibri" w:eastAsia="Calibri" w:hAnsi="Calibri" w:cs="Calibri"/>
          <w:color w:val="000000"/>
          <w:sz w:val="20"/>
          <w:lang w:val="en-GB"/>
        </w:rPr>
        <w:t xml:space="preserve">The platform will provide stakeholders streamlined access to data and information in relation to their sport or customers to better enable monitoring, intelligence, and investigation activity </w:t>
      </w:r>
    </w:p>
    <w:p w14:paraId="29DB941D" w14:textId="77777777" w:rsidR="00870C3F" w:rsidRPr="002F1917" w:rsidRDefault="00870C3F" w:rsidP="00870C3F">
      <w:pPr>
        <w:rPr>
          <w:rFonts w:ascii="Calibri" w:eastAsia="Calibri" w:hAnsi="Calibri" w:cs="Calibri"/>
          <w:i/>
          <w:color w:val="000000"/>
          <w:sz w:val="20"/>
          <w:szCs w:val="20"/>
        </w:rPr>
      </w:pPr>
      <w:r w:rsidRPr="002F1917">
        <w:rPr>
          <w:rFonts w:ascii="Calibri" w:eastAsia="Calibri" w:hAnsi="Calibri" w:cs="Calibri"/>
          <w:i/>
          <w:color w:val="000000"/>
          <w:sz w:val="20"/>
          <w:szCs w:val="20"/>
        </w:rPr>
        <w:t>Mechanics of option</w:t>
      </w:r>
    </w:p>
    <w:p w14:paraId="67CDE18B" w14:textId="77777777" w:rsidR="00870C3F" w:rsidRPr="002F1917" w:rsidRDefault="00870C3F" w:rsidP="00204AA1">
      <w:pPr>
        <w:numPr>
          <w:ilvl w:val="0"/>
          <w:numId w:val="23"/>
        </w:numPr>
        <w:suppressAutoHyphens w:val="0"/>
        <w:spacing w:before="120" w:after="120" w:line="264" w:lineRule="auto"/>
        <w:jc w:val="both"/>
        <w:rPr>
          <w:rFonts w:ascii="Calibri" w:eastAsia="Calibri" w:hAnsi="Calibri" w:cs="Calibri"/>
          <w:color w:val="000000"/>
          <w:sz w:val="20"/>
          <w:szCs w:val="24"/>
          <w:lang w:val="en-GB"/>
        </w:rPr>
      </w:pPr>
      <w:r w:rsidRPr="002F1917">
        <w:rPr>
          <w:rFonts w:ascii="Calibri" w:eastAsia="Calibri" w:hAnsi="Calibri" w:cs="Calibri"/>
          <w:color w:val="000000"/>
          <w:sz w:val="20"/>
          <w:lang w:val="en-GB"/>
        </w:rPr>
        <w:t>The mechanics of the option are as per Option 1 with the only difference being that the National Platform has access to real time data.</w:t>
      </w:r>
    </w:p>
    <w:bookmarkEnd w:id="147"/>
    <w:p w14:paraId="6052767F" w14:textId="63F7D49F" w:rsidR="00870C3F" w:rsidRPr="002F1917" w:rsidRDefault="00870C3F" w:rsidP="00AB2123">
      <w:pPr>
        <w:pStyle w:val="Heading3"/>
        <w:rPr>
          <w:rFonts w:eastAsia="MS Gothic"/>
          <w:color w:val="358189"/>
          <w:sz w:val="22"/>
          <w:lang w:val="en-US"/>
        </w:rPr>
      </w:pPr>
      <w:r w:rsidRPr="002F1917">
        <w:t xml:space="preserve">Questions on </w:t>
      </w:r>
      <w:r w:rsidR="00553BC4">
        <w:t xml:space="preserve">Consultation </w:t>
      </w:r>
      <w:r w:rsidRPr="002F1917">
        <w:t xml:space="preserve">Regulatory Impact Statement </w:t>
      </w:r>
    </w:p>
    <w:p w14:paraId="5698E0A5" w14:textId="77777777" w:rsidR="00870C3F" w:rsidRPr="002F1917" w:rsidRDefault="00870C3F" w:rsidP="00870C3F">
      <w:pPr>
        <w:pStyle w:val="ListBullet1"/>
        <w:numPr>
          <w:ilvl w:val="0"/>
          <w:numId w:val="0"/>
        </w:numPr>
        <w:tabs>
          <w:tab w:val="left" w:pos="720"/>
        </w:tabs>
        <w:jc w:val="left"/>
        <w:rPr>
          <w:rFonts w:ascii="Calibri" w:hAnsi="Calibri" w:cs="Calibri"/>
          <w:szCs w:val="20"/>
        </w:rPr>
      </w:pPr>
      <w:r w:rsidRPr="002F1917">
        <w:rPr>
          <w:rFonts w:ascii="Calibri" w:hAnsi="Calibri" w:cs="Calibri"/>
          <w:szCs w:val="20"/>
        </w:rPr>
        <w:t>Are there any elements of the options presented which you consider to be unviable or unworkable? If so, please identify these elements and the reasoning for them being unviable or unworkable.</w:t>
      </w:r>
    </w:p>
    <w:p w14:paraId="41EEF31B" w14:textId="77777777" w:rsidR="00870C3F" w:rsidRPr="002F1917" w:rsidRDefault="00870C3F" w:rsidP="00870C3F">
      <w:pPr>
        <w:pStyle w:val="ListBullet1"/>
        <w:numPr>
          <w:ilvl w:val="0"/>
          <w:numId w:val="0"/>
        </w:numPr>
        <w:tabs>
          <w:tab w:val="left" w:pos="720"/>
        </w:tabs>
        <w:jc w:val="left"/>
        <w:rPr>
          <w:rFonts w:ascii="Calibri" w:hAnsi="Calibri" w:cs="Calibri"/>
          <w:szCs w:val="20"/>
        </w:rPr>
      </w:pPr>
      <w:r w:rsidRPr="002F1917">
        <w:rPr>
          <w:rFonts w:ascii="Calibri" w:hAnsi="Calibri" w:cs="Calibri"/>
          <w:szCs w:val="20"/>
        </w:rPr>
        <w:t>Are the roles of sports controllers, wagering providers, Sport Integrity Australia and state and territory regulators clear in each option? If not, which options are not clear on roles?</w:t>
      </w:r>
    </w:p>
    <w:p w14:paraId="06F1327F" w14:textId="77777777" w:rsidR="00870C3F" w:rsidRPr="002F1917" w:rsidRDefault="00870C3F" w:rsidP="00870C3F">
      <w:pPr>
        <w:pStyle w:val="ListBullet1"/>
        <w:numPr>
          <w:ilvl w:val="0"/>
          <w:numId w:val="0"/>
        </w:numPr>
        <w:tabs>
          <w:tab w:val="left" w:pos="720"/>
        </w:tabs>
        <w:jc w:val="left"/>
        <w:rPr>
          <w:rFonts w:ascii="Calibri" w:hAnsi="Calibri" w:cs="Calibri"/>
          <w:szCs w:val="20"/>
          <w:lang w:val="en-US"/>
        </w:rPr>
      </w:pPr>
      <w:r w:rsidRPr="002F1917">
        <w:rPr>
          <w:rFonts w:ascii="Calibri" w:hAnsi="Calibri" w:cs="Calibri"/>
          <w:szCs w:val="20"/>
        </w:rPr>
        <w:t>Are there any other factors within the scope of the ASWS you feel have not been considered?</w:t>
      </w:r>
    </w:p>
    <w:p w14:paraId="6E2AE3E3" w14:textId="77777777" w:rsidR="00870C3F" w:rsidRPr="002F1917" w:rsidRDefault="00870C3F" w:rsidP="00870C3F">
      <w:pPr>
        <w:pStyle w:val="ListBullet1"/>
        <w:numPr>
          <w:ilvl w:val="0"/>
          <w:numId w:val="0"/>
        </w:numPr>
        <w:tabs>
          <w:tab w:val="left" w:pos="720"/>
        </w:tabs>
        <w:jc w:val="left"/>
        <w:rPr>
          <w:rFonts w:ascii="Calibri" w:hAnsi="Calibri" w:cs="Calibri"/>
          <w:szCs w:val="20"/>
          <w:lang w:val="en-US"/>
        </w:rPr>
      </w:pPr>
    </w:p>
    <w:p w14:paraId="7E756CAE" w14:textId="77777777" w:rsidR="00870C3F" w:rsidRPr="002F1917" w:rsidRDefault="00870C3F" w:rsidP="00204AA1">
      <w:pPr>
        <w:pStyle w:val="Heading1"/>
        <w:numPr>
          <w:ilvl w:val="0"/>
          <w:numId w:val="26"/>
        </w:numPr>
        <w:suppressAutoHyphens w:val="0"/>
        <w:spacing w:before="480" w:after="360" w:line="240" w:lineRule="auto"/>
        <w:rPr>
          <w:rFonts w:ascii="Calibri" w:hAnsi="Calibri" w:cs="Calibri"/>
          <w:szCs w:val="36"/>
          <w:lang w:val="en-US"/>
        </w:rPr>
      </w:pPr>
      <w:r w:rsidRPr="002F1917">
        <w:rPr>
          <w:rFonts w:ascii="Calibri" w:eastAsia="MS Gothic" w:hAnsi="Calibri" w:cs="Calibri"/>
          <w:color w:val="3F4A75"/>
          <w:szCs w:val="36"/>
          <w:lang w:val="en-US" w:eastAsia="en-AU"/>
        </w:rPr>
        <w:br w:type="page"/>
      </w:r>
      <w:bookmarkStart w:id="154" w:name="_Ref60660121"/>
      <w:bookmarkStart w:id="155" w:name="_Toc85450782"/>
      <w:bookmarkStart w:id="156" w:name="_Toc85792423"/>
      <w:r w:rsidRPr="002F1917">
        <w:rPr>
          <w:rFonts w:ascii="Calibri" w:hAnsi="Calibri" w:cs="Calibri"/>
        </w:rPr>
        <w:lastRenderedPageBreak/>
        <w:t>Initial Regulatory Impact Assessment</w:t>
      </w:r>
      <w:bookmarkEnd w:id="154"/>
      <w:bookmarkEnd w:id="155"/>
      <w:bookmarkEnd w:id="156"/>
    </w:p>
    <w:p w14:paraId="79D73ABB" w14:textId="77777777" w:rsidR="00870C3F" w:rsidRPr="002F1917" w:rsidRDefault="00870C3F" w:rsidP="00204AA1">
      <w:pPr>
        <w:pStyle w:val="Heading2"/>
        <w:numPr>
          <w:ilvl w:val="1"/>
          <w:numId w:val="26"/>
        </w:numPr>
        <w:suppressAutoHyphens w:val="0"/>
        <w:spacing w:after="120" w:line="280" w:lineRule="auto"/>
        <w:rPr>
          <w:rFonts w:ascii="Calibri" w:hAnsi="Calibri" w:cs="Calibri"/>
          <w:sz w:val="26"/>
          <w:lang w:eastAsia="en-AU"/>
        </w:rPr>
      </w:pPr>
      <w:bookmarkStart w:id="157" w:name="_Toc85450783"/>
      <w:bookmarkStart w:id="158" w:name="_Toc85792424"/>
      <w:r w:rsidRPr="002F1917">
        <w:rPr>
          <w:rFonts w:ascii="Calibri" w:hAnsi="Calibri" w:cs="Calibri"/>
          <w:sz w:val="26"/>
          <w:lang w:eastAsia="en-AU"/>
        </w:rPr>
        <w:t>Approach to assessment</w:t>
      </w:r>
      <w:bookmarkEnd w:id="157"/>
      <w:bookmarkEnd w:id="158"/>
    </w:p>
    <w:p w14:paraId="50F50AF3" w14:textId="35A4CD1A" w:rsidR="00870C3F" w:rsidRPr="002F1917" w:rsidRDefault="00870C3F" w:rsidP="00870C3F">
      <w:pPr>
        <w:pStyle w:val="BodyText"/>
        <w:rPr>
          <w:rFonts w:ascii="Calibri" w:hAnsi="Calibri" w:cs="Calibri"/>
          <w:lang w:val="en-US" w:eastAsia="en-AU"/>
        </w:rPr>
      </w:pPr>
      <w:r w:rsidRPr="002F1917">
        <w:rPr>
          <w:rFonts w:ascii="Calibri" w:hAnsi="Calibri" w:cs="Calibri"/>
          <w:lang w:val="en-US" w:eastAsia="en-AU"/>
        </w:rPr>
        <w:t xml:space="preserve">As part of this </w:t>
      </w:r>
      <w:r w:rsidR="00281F38">
        <w:rPr>
          <w:rFonts w:ascii="Calibri" w:hAnsi="Calibri" w:cs="Calibri"/>
          <w:lang w:val="en-US" w:eastAsia="en-AU"/>
        </w:rPr>
        <w:t xml:space="preserve">Consultation </w:t>
      </w:r>
      <w:r w:rsidRPr="002F1917">
        <w:rPr>
          <w:rFonts w:ascii="Calibri" w:hAnsi="Calibri" w:cs="Calibri"/>
          <w:lang w:val="en-US" w:eastAsia="en-AU"/>
        </w:rPr>
        <w:t>Regulatory Impact Statement an initial qualitative assessment of the benefits and costs of the proposed options has been developed together with an initial assessment of the regulatory burden. As part of developing the final Regulatory Impact Statement, this regulatory impact assessment will be expanded to include a cost-benefit analysis and a regulatory burden analysis.</w:t>
      </w:r>
    </w:p>
    <w:p w14:paraId="63B1DF39" w14:textId="77777777" w:rsidR="00870C3F" w:rsidRPr="002F1917" w:rsidRDefault="00870C3F" w:rsidP="00204AA1">
      <w:pPr>
        <w:pStyle w:val="Heading2"/>
        <w:numPr>
          <w:ilvl w:val="1"/>
          <w:numId w:val="26"/>
        </w:numPr>
        <w:suppressAutoHyphens w:val="0"/>
        <w:spacing w:after="120" w:line="280" w:lineRule="auto"/>
        <w:rPr>
          <w:rFonts w:ascii="Calibri" w:hAnsi="Calibri" w:cs="Calibri"/>
          <w:sz w:val="26"/>
          <w:lang w:val="en-US" w:eastAsia="en-AU"/>
        </w:rPr>
      </w:pPr>
      <w:bookmarkStart w:id="159" w:name="_Toc85450784"/>
      <w:bookmarkStart w:id="160" w:name="_Toc85792425"/>
      <w:r w:rsidRPr="002F1917">
        <w:rPr>
          <w:rFonts w:ascii="Calibri" w:hAnsi="Calibri" w:cs="Calibri"/>
          <w:sz w:val="26"/>
          <w:lang w:eastAsia="en-AU"/>
        </w:rPr>
        <w:t>Initial assessment of benefits and costs</w:t>
      </w:r>
      <w:bookmarkEnd w:id="159"/>
      <w:bookmarkEnd w:id="160"/>
    </w:p>
    <w:p w14:paraId="39CD6A78" w14:textId="77777777" w:rsidR="00870C3F" w:rsidRPr="002F1917" w:rsidRDefault="00870C3F" w:rsidP="00870C3F">
      <w:pPr>
        <w:pStyle w:val="Heading3"/>
        <w:rPr>
          <w:rFonts w:ascii="Calibri" w:hAnsi="Calibri" w:cs="Calibri"/>
          <w:b w:val="0"/>
          <w:sz w:val="20"/>
        </w:rPr>
      </w:pPr>
      <w:bookmarkStart w:id="161" w:name="_Toc85450785"/>
      <w:r w:rsidRPr="002F1917">
        <w:rPr>
          <w:rFonts w:ascii="Calibri" w:hAnsi="Calibri" w:cs="Calibri"/>
          <w:b w:val="0"/>
          <w:sz w:val="20"/>
        </w:rPr>
        <w:t>Accreditation and licensing of bodies</w:t>
      </w:r>
      <w:bookmarkEnd w:id="161"/>
    </w:p>
    <w:tbl>
      <w:tblPr>
        <w:tblStyle w:val="GridTable4-Accent3"/>
        <w:tblW w:w="0" w:type="auto"/>
        <w:tblInd w:w="0" w:type="dxa"/>
        <w:tblLook w:val="04A0" w:firstRow="1" w:lastRow="0" w:firstColumn="1" w:lastColumn="0" w:noHBand="0" w:noVBand="1"/>
      </w:tblPr>
      <w:tblGrid>
        <w:gridCol w:w="9054"/>
      </w:tblGrid>
      <w:tr w:rsidR="00870C3F" w:rsidRPr="002F1917" w14:paraId="27BB5789" w14:textId="77777777" w:rsidTr="00870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hideMark/>
          </w:tcPr>
          <w:p w14:paraId="187A527E" w14:textId="77777777" w:rsidR="00870C3F" w:rsidRPr="002F1917" w:rsidRDefault="00870C3F">
            <w:pPr>
              <w:pStyle w:val="BodyText"/>
              <w:rPr>
                <w:rFonts w:ascii="Calibri" w:hAnsi="Calibri" w:cs="Calibri"/>
              </w:rPr>
            </w:pPr>
            <w:r w:rsidRPr="00907E12">
              <w:rPr>
                <w:rFonts w:ascii="Calibri" w:hAnsi="Calibri" w:cs="Calibri"/>
                <w:color w:val="000000" w:themeColor="text1"/>
              </w:rPr>
              <w:t>Base case</w:t>
            </w:r>
          </w:p>
        </w:tc>
      </w:tr>
      <w:tr w:rsidR="00870C3F" w:rsidRPr="002F1917" w14:paraId="2D4BD2F7" w14:textId="77777777" w:rsidTr="00870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Borders>
              <w:top w:val="single" w:sz="4" w:space="0" w:color="B7E6EA" w:themeColor="accent3" w:themeTint="99"/>
              <w:left w:val="single" w:sz="4" w:space="0" w:color="B7E6EA" w:themeColor="accent3" w:themeTint="99"/>
              <w:bottom w:val="single" w:sz="4" w:space="0" w:color="B7E6EA" w:themeColor="accent3" w:themeTint="99"/>
              <w:right w:val="single" w:sz="4" w:space="0" w:color="B7E6EA" w:themeColor="accent3" w:themeTint="99"/>
            </w:tcBorders>
            <w:hideMark/>
          </w:tcPr>
          <w:p w14:paraId="5919D93E" w14:textId="77777777" w:rsidR="00870C3F" w:rsidRPr="002F1917" w:rsidRDefault="00870C3F">
            <w:pPr>
              <w:pStyle w:val="BodyText"/>
              <w:rPr>
                <w:rFonts w:ascii="Calibri" w:hAnsi="Calibri" w:cs="Calibri"/>
                <w:i/>
              </w:rPr>
            </w:pPr>
            <w:r w:rsidRPr="002F1917">
              <w:rPr>
                <w:rFonts w:ascii="Calibri" w:hAnsi="Calibri" w:cs="Calibri"/>
                <w:i/>
              </w:rPr>
              <w:t>What are the benefits of this option?</w:t>
            </w:r>
          </w:p>
          <w:p w14:paraId="4FAFFB63" w14:textId="77777777" w:rsidR="00870C3F" w:rsidRPr="002F1917" w:rsidRDefault="00870C3F" w:rsidP="00204AA1">
            <w:pPr>
              <w:pStyle w:val="BodyText"/>
              <w:numPr>
                <w:ilvl w:val="0"/>
                <w:numId w:val="34"/>
              </w:numPr>
              <w:rPr>
                <w:rFonts w:ascii="Calibri" w:hAnsi="Calibri" w:cs="Calibri"/>
              </w:rPr>
            </w:pPr>
            <w:r w:rsidRPr="002F1917">
              <w:rPr>
                <w:rFonts w:ascii="Calibri" w:hAnsi="Calibri" w:cs="Calibri"/>
                <w:b w:val="0"/>
              </w:rPr>
              <w:t xml:space="preserve">Understood by sports and wagering providers. </w:t>
            </w:r>
          </w:p>
        </w:tc>
      </w:tr>
      <w:tr w:rsidR="00870C3F" w:rsidRPr="002F1917" w14:paraId="2F7A91F6" w14:textId="77777777" w:rsidTr="00870C3F">
        <w:tc>
          <w:tcPr>
            <w:cnfStyle w:val="001000000000" w:firstRow="0" w:lastRow="0" w:firstColumn="1" w:lastColumn="0" w:oddVBand="0" w:evenVBand="0" w:oddHBand="0" w:evenHBand="0" w:firstRowFirstColumn="0" w:firstRowLastColumn="0" w:lastRowFirstColumn="0" w:lastRowLastColumn="0"/>
            <w:tcW w:w="9054" w:type="dxa"/>
            <w:tcBorders>
              <w:top w:val="single" w:sz="4" w:space="0" w:color="B7E6EA" w:themeColor="accent3" w:themeTint="99"/>
              <w:left w:val="single" w:sz="4" w:space="0" w:color="B7E6EA" w:themeColor="accent3" w:themeTint="99"/>
              <w:bottom w:val="single" w:sz="4" w:space="0" w:color="B7E6EA" w:themeColor="accent3" w:themeTint="99"/>
              <w:right w:val="single" w:sz="4" w:space="0" w:color="B7E6EA" w:themeColor="accent3" w:themeTint="99"/>
            </w:tcBorders>
            <w:hideMark/>
          </w:tcPr>
          <w:p w14:paraId="50E92AF1" w14:textId="77777777" w:rsidR="00870C3F" w:rsidRPr="002F1917" w:rsidRDefault="00870C3F">
            <w:pPr>
              <w:pStyle w:val="BodyText"/>
              <w:rPr>
                <w:rFonts w:ascii="Calibri" w:hAnsi="Calibri" w:cs="Calibri"/>
                <w:i/>
              </w:rPr>
            </w:pPr>
            <w:r w:rsidRPr="002F1917">
              <w:rPr>
                <w:rFonts w:ascii="Calibri" w:hAnsi="Calibri" w:cs="Calibri"/>
                <w:i/>
              </w:rPr>
              <w:t>What are the costs of this option?</w:t>
            </w:r>
          </w:p>
          <w:p w14:paraId="1C2137E5" w14:textId="77777777" w:rsidR="00870C3F" w:rsidRPr="002F1917" w:rsidRDefault="00870C3F" w:rsidP="00204AA1">
            <w:pPr>
              <w:pStyle w:val="BodyText"/>
              <w:numPr>
                <w:ilvl w:val="0"/>
                <w:numId w:val="34"/>
              </w:numPr>
              <w:rPr>
                <w:rFonts w:ascii="Calibri" w:hAnsi="Calibri" w:cs="Calibri"/>
                <w:b w:val="0"/>
              </w:rPr>
            </w:pPr>
            <w:r w:rsidRPr="002F1917">
              <w:rPr>
                <w:rFonts w:ascii="Calibri" w:hAnsi="Calibri" w:cs="Calibri"/>
                <w:b w:val="0"/>
              </w:rPr>
              <w:t xml:space="preserve">New sport controlling bodies </w:t>
            </w:r>
            <w:proofErr w:type="gramStart"/>
            <w:r w:rsidRPr="002F1917">
              <w:rPr>
                <w:rFonts w:ascii="Calibri" w:hAnsi="Calibri" w:cs="Calibri"/>
                <w:b w:val="0"/>
              </w:rPr>
              <w:t>have to</w:t>
            </w:r>
            <w:proofErr w:type="gramEnd"/>
            <w:r w:rsidRPr="002F1917">
              <w:rPr>
                <w:rFonts w:ascii="Calibri" w:hAnsi="Calibri" w:cs="Calibri"/>
                <w:b w:val="0"/>
              </w:rPr>
              <w:t xml:space="preserve"> navigate two application processes and existing sport controlling bodies (those which are licensed in NSW and VIC) have two ongoing processes to comply with. This duplication results in regulatory burden.</w:t>
            </w:r>
          </w:p>
          <w:p w14:paraId="416A0596" w14:textId="77777777" w:rsidR="00870C3F" w:rsidRPr="002F1917" w:rsidRDefault="00870C3F" w:rsidP="00204AA1">
            <w:pPr>
              <w:pStyle w:val="BodyText"/>
              <w:numPr>
                <w:ilvl w:val="0"/>
                <w:numId w:val="34"/>
              </w:numPr>
              <w:rPr>
                <w:rFonts w:ascii="Calibri" w:hAnsi="Calibri" w:cs="Calibri"/>
                <w:b w:val="0"/>
              </w:rPr>
            </w:pPr>
            <w:r w:rsidRPr="002F1917">
              <w:rPr>
                <w:rFonts w:ascii="Calibri" w:hAnsi="Calibri" w:cs="Calibri"/>
                <w:b w:val="0"/>
              </w:rPr>
              <w:t>Accredited sport controlling bodies and wagering providers have administrative costs associated with entering into product agreements.</w:t>
            </w:r>
          </w:p>
          <w:p w14:paraId="1B652A94" w14:textId="77777777" w:rsidR="00870C3F" w:rsidRPr="002F1917" w:rsidRDefault="00870C3F" w:rsidP="00204AA1">
            <w:pPr>
              <w:pStyle w:val="BodyText"/>
              <w:numPr>
                <w:ilvl w:val="0"/>
                <w:numId w:val="34"/>
              </w:numPr>
              <w:rPr>
                <w:rFonts w:ascii="Calibri" w:hAnsi="Calibri" w:cs="Calibri"/>
                <w:b w:val="0"/>
              </w:rPr>
            </w:pPr>
            <w:r w:rsidRPr="002F1917">
              <w:rPr>
                <w:rFonts w:ascii="Calibri" w:hAnsi="Calibri" w:cs="Calibri"/>
                <w:b w:val="0"/>
              </w:rPr>
              <w:t xml:space="preserve">There are gaps in the regulatory framework, </w:t>
            </w:r>
            <w:proofErr w:type="gramStart"/>
            <w:r w:rsidRPr="002F1917">
              <w:rPr>
                <w:rFonts w:ascii="Calibri" w:hAnsi="Calibri" w:cs="Calibri"/>
                <w:b w:val="0"/>
              </w:rPr>
              <w:t>e.g.</w:t>
            </w:r>
            <w:proofErr w:type="gramEnd"/>
            <w:r w:rsidRPr="002F1917">
              <w:rPr>
                <w:rFonts w:ascii="Calibri" w:hAnsi="Calibri" w:cs="Calibri"/>
                <w:b w:val="0"/>
              </w:rPr>
              <w:t xml:space="preserve"> around sport integrity at one-off sporting events and requirements for product agreements for events outside NSW and VIC.</w:t>
            </w:r>
          </w:p>
          <w:p w14:paraId="131F3680" w14:textId="77777777" w:rsidR="00870C3F" w:rsidRPr="002F1917" w:rsidRDefault="00870C3F" w:rsidP="00204AA1">
            <w:pPr>
              <w:pStyle w:val="BodyText"/>
              <w:numPr>
                <w:ilvl w:val="0"/>
                <w:numId w:val="34"/>
              </w:numPr>
              <w:rPr>
                <w:rFonts w:ascii="Calibri" w:hAnsi="Calibri" w:cs="Calibri"/>
                <w:b w:val="0"/>
              </w:rPr>
            </w:pPr>
            <w:r w:rsidRPr="002F1917">
              <w:rPr>
                <w:rFonts w:ascii="Calibri" w:hAnsi="Calibri" w:cs="Calibri"/>
                <w:b w:val="0"/>
              </w:rPr>
              <w:t>Does not deliver the objectives of the ASWS. Specifically, the objective to streamline sport integrity aspects of sports wagering regulation.</w:t>
            </w:r>
          </w:p>
        </w:tc>
      </w:tr>
    </w:tbl>
    <w:p w14:paraId="0C3E4C75" w14:textId="77777777" w:rsidR="00870C3F" w:rsidRPr="002F1917" w:rsidRDefault="00870C3F" w:rsidP="00870C3F">
      <w:pPr>
        <w:pStyle w:val="BodyText"/>
        <w:rPr>
          <w:rFonts w:ascii="Calibri" w:hAnsi="Calibri" w:cs="Calibri"/>
        </w:rPr>
      </w:pPr>
    </w:p>
    <w:tbl>
      <w:tblPr>
        <w:tblStyle w:val="GridTable4-Accent3"/>
        <w:tblW w:w="0" w:type="auto"/>
        <w:tblInd w:w="0" w:type="dxa"/>
        <w:tblLook w:val="04A0" w:firstRow="1" w:lastRow="0" w:firstColumn="1" w:lastColumn="0" w:noHBand="0" w:noVBand="1"/>
      </w:tblPr>
      <w:tblGrid>
        <w:gridCol w:w="9054"/>
      </w:tblGrid>
      <w:tr w:rsidR="00870C3F" w:rsidRPr="002F1917" w14:paraId="42263C26" w14:textId="77777777" w:rsidTr="00870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hideMark/>
          </w:tcPr>
          <w:p w14:paraId="4D07DFEC" w14:textId="77777777" w:rsidR="00870C3F" w:rsidRPr="002F1917" w:rsidRDefault="00870C3F">
            <w:pPr>
              <w:pStyle w:val="BodyText"/>
              <w:rPr>
                <w:rFonts w:ascii="Calibri" w:hAnsi="Calibri" w:cs="Calibri"/>
              </w:rPr>
            </w:pPr>
            <w:r w:rsidRPr="00907E12">
              <w:rPr>
                <w:rFonts w:ascii="Calibri" w:hAnsi="Calibri" w:cs="Calibri"/>
                <w:color w:val="000000" w:themeColor="text1"/>
              </w:rPr>
              <w:t>Option 1 - Streamlining</w:t>
            </w:r>
          </w:p>
        </w:tc>
      </w:tr>
      <w:tr w:rsidR="00870C3F" w:rsidRPr="002F1917" w14:paraId="6181E684" w14:textId="77777777" w:rsidTr="00870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Borders>
              <w:top w:val="single" w:sz="4" w:space="0" w:color="B7E6EA" w:themeColor="accent3" w:themeTint="99"/>
              <w:left w:val="single" w:sz="4" w:space="0" w:color="B7E6EA" w:themeColor="accent3" w:themeTint="99"/>
              <w:bottom w:val="single" w:sz="4" w:space="0" w:color="B7E6EA" w:themeColor="accent3" w:themeTint="99"/>
              <w:right w:val="single" w:sz="4" w:space="0" w:color="B7E6EA" w:themeColor="accent3" w:themeTint="99"/>
            </w:tcBorders>
            <w:hideMark/>
          </w:tcPr>
          <w:p w14:paraId="4FDE485C" w14:textId="77777777" w:rsidR="00870C3F" w:rsidRPr="002F1917" w:rsidRDefault="00870C3F">
            <w:pPr>
              <w:pStyle w:val="BodyText"/>
              <w:rPr>
                <w:rFonts w:ascii="Calibri" w:hAnsi="Calibri" w:cs="Calibri"/>
                <w:i/>
              </w:rPr>
            </w:pPr>
            <w:r w:rsidRPr="002F1917">
              <w:rPr>
                <w:rFonts w:ascii="Calibri" w:hAnsi="Calibri" w:cs="Calibri"/>
                <w:i/>
              </w:rPr>
              <w:t>What are the benefits of this option?</w:t>
            </w:r>
          </w:p>
          <w:p w14:paraId="1D8AC100" w14:textId="77777777" w:rsidR="00870C3F" w:rsidRPr="002F1917" w:rsidRDefault="00870C3F" w:rsidP="00204AA1">
            <w:pPr>
              <w:pStyle w:val="BodyText"/>
              <w:numPr>
                <w:ilvl w:val="0"/>
                <w:numId w:val="34"/>
              </w:numPr>
              <w:rPr>
                <w:rFonts w:ascii="Calibri" w:hAnsi="Calibri" w:cs="Calibri"/>
                <w:b w:val="0"/>
              </w:rPr>
            </w:pPr>
            <w:r w:rsidRPr="002F1917">
              <w:rPr>
                <w:rFonts w:ascii="Calibri" w:hAnsi="Calibri" w:cs="Calibri"/>
                <w:b w:val="0"/>
              </w:rPr>
              <w:t>Streamlining of the elements of accreditation and licensing which involve duplication. This will result in a reduction in regulatory burden for both new applicants for sport controlling body accreditation. It will also reduce costs for VIC and NSW regulators. The impact for existing sport controlling bodies is ambiguous as it depends whether the occasional reviews of two regulators in the base case outweighs the ongoing role of Sport Integrity Australia in this option.</w:t>
            </w:r>
          </w:p>
          <w:p w14:paraId="6F1ACCBA" w14:textId="77777777" w:rsidR="00870C3F" w:rsidRPr="002F1917" w:rsidRDefault="00870C3F">
            <w:pPr>
              <w:pStyle w:val="BodyText"/>
              <w:ind w:left="720"/>
              <w:rPr>
                <w:rFonts w:ascii="Calibri" w:hAnsi="Calibri" w:cs="Calibri"/>
                <w:b w:val="0"/>
              </w:rPr>
            </w:pPr>
            <w:r w:rsidRPr="002F1917">
              <w:rPr>
                <w:rFonts w:ascii="Calibri" w:hAnsi="Calibri" w:cs="Calibri"/>
                <w:b w:val="0"/>
              </w:rPr>
              <w:t>This also achieves the objective of the ASWS to streamline sport integrity aspects of sports wagering regulation.</w:t>
            </w:r>
          </w:p>
          <w:p w14:paraId="722CF075" w14:textId="77777777" w:rsidR="00870C3F" w:rsidRPr="002F1917" w:rsidRDefault="00870C3F" w:rsidP="00204AA1">
            <w:pPr>
              <w:pStyle w:val="BodyText"/>
              <w:numPr>
                <w:ilvl w:val="0"/>
                <w:numId w:val="34"/>
              </w:numPr>
              <w:rPr>
                <w:rFonts w:ascii="Calibri" w:hAnsi="Calibri" w:cs="Calibri"/>
                <w:b w:val="0"/>
              </w:rPr>
            </w:pPr>
            <w:r w:rsidRPr="002F1917">
              <w:rPr>
                <w:rFonts w:ascii="Calibri" w:hAnsi="Calibri" w:cs="Calibri"/>
                <w:b w:val="0"/>
              </w:rPr>
              <w:t>Increased support for sports controllers and event controllers with maintaining and enhancing sport integrity capability. This should result in sports controllers and event controllers having greater capability to identify, manage and mitigate sport integrity threats.</w:t>
            </w:r>
          </w:p>
          <w:p w14:paraId="4111A021" w14:textId="77777777" w:rsidR="00870C3F" w:rsidRPr="002F1917" w:rsidRDefault="00870C3F" w:rsidP="00204AA1">
            <w:pPr>
              <w:pStyle w:val="BodyText"/>
              <w:numPr>
                <w:ilvl w:val="0"/>
                <w:numId w:val="34"/>
              </w:numPr>
              <w:rPr>
                <w:rFonts w:ascii="Calibri" w:hAnsi="Calibri" w:cs="Calibri"/>
                <w:b w:val="0"/>
              </w:rPr>
            </w:pPr>
            <w:r w:rsidRPr="002F1917">
              <w:rPr>
                <w:rFonts w:ascii="Calibri" w:hAnsi="Calibri" w:cs="Calibri"/>
                <w:b w:val="0"/>
              </w:rPr>
              <w:t xml:space="preserve">Template product agreements may reduce administrative burden of entering into product agreements. </w:t>
            </w:r>
          </w:p>
          <w:p w14:paraId="5C38F3EB" w14:textId="77777777" w:rsidR="00870C3F" w:rsidRPr="002F1917" w:rsidRDefault="00870C3F" w:rsidP="00204AA1">
            <w:pPr>
              <w:pStyle w:val="BodyText"/>
              <w:numPr>
                <w:ilvl w:val="0"/>
                <w:numId w:val="34"/>
              </w:numPr>
              <w:rPr>
                <w:rFonts w:ascii="Calibri" w:hAnsi="Calibri" w:cs="Calibri"/>
                <w:b w:val="0"/>
              </w:rPr>
            </w:pPr>
            <w:r w:rsidRPr="002F1917">
              <w:rPr>
                <w:rFonts w:ascii="Calibri" w:hAnsi="Calibri" w:cs="Calibri"/>
                <w:b w:val="0"/>
              </w:rPr>
              <w:lastRenderedPageBreak/>
              <w:t>Increased support on integrity elements of product agreements where needed.</w:t>
            </w:r>
          </w:p>
          <w:p w14:paraId="0FF267B9" w14:textId="77777777" w:rsidR="00870C3F" w:rsidRPr="002F1917" w:rsidRDefault="00870C3F" w:rsidP="00204AA1">
            <w:pPr>
              <w:pStyle w:val="BodyText"/>
              <w:numPr>
                <w:ilvl w:val="0"/>
                <w:numId w:val="34"/>
              </w:numPr>
              <w:rPr>
                <w:rFonts w:ascii="Calibri" w:hAnsi="Calibri" w:cs="Calibri"/>
                <w:b w:val="0"/>
              </w:rPr>
            </w:pPr>
            <w:r w:rsidRPr="002F1917">
              <w:rPr>
                <w:rFonts w:ascii="Calibri" w:hAnsi="Calibri" w:cs="Calibri"/>
                <w:b w:val="0"/>
              </w:rPr>
              <w:t xml:space="preserve">Addresses gaps in regulatory framework, </w:t>
            </w:r>
            <w:proofErr w:type="gramStart"/>
            <w:r w:rsidRPr="002F1917">
              <w:rPr>
                <w:rFonts w:ascii="Calibri" w:hAnsi="Calibri" w:cs="Calibri"/>
                <w:b w:val="0"/>
              </w:rPr>
              <w:t>e.g.</w:t>
            </w:r>
            <w:proofErr w:type="gramEnd"/>
            <w:r w:rsidRPr="002F1917">
              <w:rPr>
                <w:rFonts w:ascii="Calibri" w:hAnsi="Calibri" w:cs="Calibri"/>
                <w:b w:val="0"/>
              </w:rPr>
              <w:t xml:space="preserve"> around sport integrity at one-off sporting events and requirements for product agreements for events outside NSW and VIC.</w:t>
            </w:r>
          </w:p>
        </w:tc>
      </w:tr>
      <w:tr w:rsidR="00870C3F" w:rsidRPr="002F1917" w14:paraId="64B6E6EA" w14:textId="77777777" w:rsidTr="00870C3F">
        <w:tc>
          <w:tcPr>
            <w:cnfStyle w:val="001000000000" w:firstRow="0" w:lastRow="0" w:firstColumn="1" w:lastColumn="0" w:oddVBand="0" w:evenVBand="0" w:oddHBand="0" w:evenHBand="0" w:firstRowFirstColumn="0" w:firstRowLastColumn="0" w:lastRowFirstColumn="0" w:lastRowLastColumn="0"/>
            <w:tcW w:w="9054" w:type="dxa"/>
            <w:tcBorders>
              <w:top w:val="single" w:sz="4" w:space="0" w:color="B7E6EA" w:themeColor="accent3" w:themeTint="99"/>
              <w:left w:val="single" w:sz="4" w:space="0" w:color="B7E6EA" w:themeColor="accent3" w:themeTint="99"/>
              <w:bottom w:val="single" w:sz="4" w:space="0" w:color="B7E6EA" w:themeColor="accent3" w:themeTint="99"/>
              <w:right w:val="single" w:sz="4" w:space="0" w:color="B7E6EA" w:themeColor="accent3" w:themeTint="99"/>
            </w:tcBorders>
            <w:hideMark/>
          </w:tcPr>
          <w:p w14:paraId="4F754CA4" w14:textId="77777777" w:rsidR="00870C3F" w:rsidRPr="002F1917" w:rsidRDefault="00870C3F">
            <w:pPr>
              <w:pStyle w:val="BodyText"/>
              <w:rPr>
                <w:rFonts w:ascii="Calibri" w:hAnsi="Calibri" w:cs="Calibri"/>
                <w:i/>
              </w:rPr>
            </w:pPr>
            <w:r w:rsidRPr="002F1917">
              <w:rPr>
                <w:rFonts w:ascii="Calibri" w:hAnsi="Calibri" w:cs="Calibri"/>
                <w:i/>
              </w:rPr>
              <w:lastRenderedPageBreak/>
              <w:t>What are the costs of this option?</w:t>
            </w:r>
          </w:p>
          <w:p w14:paraId="6209FEA0" w14:textId="77777777" w:rsidR="00870C3F" w:rsidRPr="002F1917" w:rsidRDefault="00870C3F" w:rsidP="00204AA1">
            <w:pPr>
              <w:pStyle w:val="BodyText"/>
              <w:numPr>
                <w:ilvl w:val="0"/>
                <w:numId w:val="35"/>
              </w:numPr>
              <w:rPr>
                <w:rFonts w:ascii="Calibri" w:hAnsi="Calibri" w:cs="Calibri"/>
                <w:b w:val="0"/>
              </w:rPr>
            </w:pPr>
            <w:r w:rsidRPr="002F1917">
              <w:rPr>
                <w:rFonts w:ascii="Calibri" w:hAnsi="Calibri" w:cs="Calibri"/>
                <w:b w:val="0"/>
              </w:rPr>
              <w:t>Additional regulatory costs for Sport Integrity Australia to oversee the regulatory processes and support in the option.</w:t>
            </w:r>
          </w:p>
          <w:p w14:paraId="347A322B" w14:textId="77777777" w:rsidR="00870C3F" w:rsidRPr="002F1917" w:rsidRDefault="00870C3F" w:rsidP="00204AA1">
            <w:pPr>
              <w:pStyle w:val="BodyText"/>
              <w:numPr>
                <w:ilvl w:val="0"/>
                <w:numId w:val="35"/>
              </w:numPr>
              <w:rPr>
                <w:rFonts w:ascii="Calibri" w:hAnsi="Calibri" w:cs="Calibri"/>
                <w:b w:val="0"/>
              </w:rPr>
            </w:pPr>
            <w:r w:rsidRPr="002F1917">
              <w:rPr>
                <w:rFonts w:ascii="Calibri" w:hAnsi="Calibri" w:cs="Calibri"/>
                <w:b w:val="0"/>
              </w:rPr>
              <w:t xml:space="preserve">Effort required for the legislative change, potentially by VIC, </w:t>
            </w:r>
            <w:proofErr w:type="gramStart"/>
            <w:r w:rsidRPr="002F1917">
              <w:rPr>
                <w:rFonts w:ascii="Calibri" w:hAnsi="Calibri" w:cs="Calibri"/>
                <w:b w:val="0"/>
              </w:rPr>
              <w:t>NSW</w:t>
            </w:r>
            <w:proofErr w:type="gramEnd"/>
            <w:r w:rsidRPr="002F1917">
              <w:rPr>
                <w:rFonts w:ascii="Calibri" w:hAnsi="Calibri" w:cs="Calibri"/>
                <w:b w:val="0"/>
              </w:rPr>
              <w:t xml:space="preserve"> and Commonwealth governments.</w:t>
            </w:r>
          </w:p>
          <w:p w14:paraId="4EE360A1" w14:textId="77777777" w:rsidR="00870C3F" w:rsidRPr="002F1917" w:rsidRDefault="00870C3F" w:rsidP="00204AA1">
            <w:pPr>
              <w:pStyle w:val="BodyText"/>
              <w:numPr>
                <w:ilvl w:val="0"/>
                <w:numId w:val="35"/>
              </w:numPr>
              <w:rPr>
                <w:rFonts w:ascii="Calibri" w:hAnsi="Calibri" w:cs="Calibri"/>
                <w:b w:val="0"/>
              </w:rPr>
            </w:pPr>
            <w:r w:rsidRPr="002F1917">
              <w:rPr>
                <w:rFonts w:ascii="Calibri" w:hAnsi="Calibri" w:cs="Calibri"/>
                <w:b w:val="0"/>
              </w:rPr>
              <w:t>Additional regulatory burden for event controllers (noting that Sport Integrity Australia would play a coordination role in terms of integrity management to support those events)</w:t>
            </w:r>
          </w:p>
          <w:p w14:paraId="03FEE57F" w14:textId="77777777" w:rsidR="00870C3F" w:rsidRPr="002F1917" w:rsidRDefault="00870C3F" w:rsidP="00204AA1">
            <w:pPr>
              <w:pStyle w:val="BodyText"/>
              <w:numPr>
                <w:ilvl w:val="0"/>
                <w:numId w:val="35"/>
              </w:numPr>
              <w:rPr>
                <w:rFonts w:ascii="Calibri" w:hAnsi="Calibri" w:cs="Calibri"/>
              </w:rPr>
            </w:pPr>
            <w:r w:rsidRPr="002F1917">
              <w:rPr>
                <w:rFonts w:ascii="Calibri" w:hAnsi="Calibri" w:cs="Calibri"/>
                <w:b w:val="0"/>
              </w:rPr>
              <w:t>Accredited sport controlling bodies and wagering providers have administrative costs associated with entering into product agreements.</w:t>
            </w:r>
          </w:p>
        </w:tc>
      </w:tr>
    </w:tbl>
    <w:p w14:paraId="57C59E89" w14:textId="77777777" w:rsidR="00870C3F" w:rsidRPr="002F1917" w:rsidRDefault="00870C3F" w:rsidP="00870C3F">
      <w:pPr>
        <w:pStyle w:val="Heading3"/>
        <w:rPr>
          <w:rFonts w:ascii="Calibri" w:eastAsia="MS Gothic" w:hAnsi="Calibri" w:cs="Calibri"/>
          <w:b w:val="0"/>
          <w:sz w:val="20"/>
          <w:lang w:val="en-US"/>
        </w:rPr>
      </w:pPr>
      <w:bookmarkStart w:id="162" w:name="_Toc85450786"/>
      <w:r w:rsidRPr="002F1917">
        <w:rPr>
          <w:rFonts w:ascii="Calibri" w:hAnsi="Calibri" w:cs="Calibri"/>
          <w:b w:val="0"/>
          <w:sz w:val="20"/>
        </w:rPr>
        <w:t>Recognition of markets and contingencies</w:t>
      </w:r>
      <w:bookmarkEnd w:id="162"/>
    </w:p>
    <w:tbl>
      <w:tblPr>
        <w:tblStyle w:val="GridTable4-Accent3"/>
        <w:tblW w:w="0" w:type="auto"/>
        <w:tblInd w:w="0" w:type="dxa"/>
        <w:tblLook w:val="04A0" w:firstRow="1" w:lastRow="0" w:firstColumn="1" w:lastColumn="0" w:noHBand="0" w:noVBand="1"/>
      </w:tblPr>
      <w:tblGrid>
        <w:gridCol w:w="9054"/>
      </w:tblGrid>
      <w:tr w:rsidR="00870C3F" w:rsidRPr="002F1917" w14:paraId="1D59B342" w14:textId="77777777" w:rsidTr="00870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hideMark/>
          </w:tcPr>
          <w:p w14:paraId="535FCD74" w14:textId="77777777" w:rsidR="00870C3F" w:rsidRPr="002F1917" w:rsidRDefault="00870C3F">
            <w:pPr>
              <w:pStyle w:val="BodyText"/>
              <w:rPr>
                <w:rFonts w:ascii="Calibri" w:hAnsi="Calibri" w:cs="Calibri"/>
              </w:rPr>
            </w:pPr>
            <w:r w:rsidRPr="00907E12">
              <w:rPr>
                <w:rFonts w:ascii="Calibri" w:hAnsi="Calibri" w:cs="Calibri"/>
                <w:color w:val="000000" w:themeColor="text1"/>
              </w:rPr>
              <w:t>Base case</w:t>
            </w:r>
          </w:p>
        </w:tc>
      </w:tr>
      <w:tr w:rsidR="00870C3F" w:rsidRPr="002F1917" w14:paraId="2157A7D7" w14:textId="77777777" w:rsidTr="00870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Borders>
              <w:top w:val="single" w:sz="4" w:space="0" w:color="B7E6EA" w:themeColor="accent3" w:themeTint="99"/>
              <w:left w:val="single" w:sz="4" w:space="0" w:color="B7E6EA" w:themeColor="accent3" w:themeTint="99"/>
              <w:bottom w:val="single" w:sz="4" w:space="0" w:color="B7E6EA" w:themeColor="accent3" w:themeTint="99"/>
              <w:right w:val="single" w:sz="4" w:space="0" w:color="B7E6EA" w:themeColor="accent3" w:themeTint="99"/>
            </w:tcBorders>
            <w:hideMark/>
          </w:tcPr>
          <w:p w14:paraId="153EB5D5" w14:textId="77777777" w:rsidR="00870C3F" w:rsidRPr="002F1917" w:rsidRDefault="00870C3F">
            <w:pPr>
              <w:pStyle w:val="BodyText"/>
              <w:rPr>
                <w:rFonts w:ascii="Calibri" w:hAnsi="Calibri" w:cs="Calibri"/>
                <w:i/>
              </w:rPr>
            </w:pPr>
            <w:r w:rsidRPr="002F1917">
              <w:rPr>
                <w:rFonts w:ascii="Calibri" w:hAnsi="Calibri" w:cs="Calibri"/>
                <w:i/>
              </w:rPr>
              <w:t>What are the benefits of this option?</w:t>
            </w:r>
          </w:p>
          <w:p w14:paraId="21D27177" w14:textId="77777777" w:rsidR="00870C3F" w:rsidRPr="002F1917" w:rsidRDefault="00870C3F" w:rsidP="00204AA1">
            <w:pPr>
              <w:pStyle w:val="BodyText"/>
              <w:numPr>
                <w:ilvl w:val="0"/>
                <w:numId w:val="34"/>
              </w:numPr>
              <w:rPr>
                <w:rFonts w:ascii="Calibri" w:hAnsi="Calibri" w:cs="Calibri"/>
                <w:b w:val="0"/>
              </w:rPr>
            </w:pPr>
            <w:r w:rsidRPr="002F1917">
              <w:rPr>
                <w:rFonts w:ascii="Calibri" w:hAnsi="Calibri" w:cs="Calibri"/>
                <w:b w:val="0"/>
              </w:rPr>
              <w:t>Understood by sports and wagering providers.</w:t>
            </w:r>
          </w:p>
        </w:tc>
      </w:tr>
      <w:tr w:rsidR="00870C3F" w:rsidRPr="002F1917" w14:paraId="3413B8EE" w14:textId="77777777" w:rsidTr="00870C3F">
        <w:tc>
          <w:tcPr>
            <w:cnfStyle w:val="001000000000" w:firstRow="0" w:lastRow="0" w:firstColumn="1" w:lastColumn="0" w:oddVBand="0" w:evenVBand="0" w:oddHBand="0" w:evenHBand="0" w:firstRowFirstColumn="0" w:firstRowLastColumn="0" w:lastRowFirstColumn="0" w:lastRowLastColumn="0"/>
            <w:tcW w:w="9054" w:type="dxa"/>
            <w:tcBorders>
              <w:top w:val="single" w:sz="4" w:space="0" w:color="B7E6EA" w:themeColor="accent3" w:themeTint="99"/>
              <w:left w:val="single" w:sz="4" w:space="0" w:color="B7E6EA" w:themeColor="accent3" w:themeTint="99"/>
              <w:bottom w:val="single" w:sz="4" w:space="0" w:color="B7E6EA" w:themeColor="accent3" w:themeTint="99"/>
              <w:right w:val="single" w:sz="4" w:space="0" w:color="B7E6EA" w:themeColor="accent3" w:themeTint="99"/>
            </w:tcBorders>
            <w:hideMark/>
          </w:tcPr>
          <w:p w14:paraId="3ACEB321" w14:textId="77777777" w:rsidR="00870C3F" w:rsidRPr="002F1917" w:rsidRDefault="00870C3F">
            <w:pPr>
              <w:pStyle w:val="BodyText"/>
              <w:rPr>
                <w:rFonts w:ascii="Calibri" w:hAnsi="Calibri" w:cs="Calibri"/>
                <w:i/>
              </w:rPr>
            </w:pPr>
            <w:r w:rsidRPr="002F1917">
              <w:rPr>
                <w:rFonts w:ascii="Calibri" w:hAnsi="Calibri" w:cs="Calibri"/>
                <w:i/>
              </w:rPr>
              <w:t>What are the costs of this option?</w:t>
            </w:r>
          </w:p>
          <w:p w14:paraId="26BAD288" w14:textId="77777777" w:rsidR="00870C3F" w:rsidRPr="002F1917" w:rsidRDefault="00870C3F" w:rsidP="00204AA1">
            <w:pPr>
              <w:pStyle w:val="BodyText"/>
              <w:numPr>
                <w:ilvl w:val="0"/>
                <w:numId w:val="34"/>
              </w:numPr>
              <w:rPr>
                <w:rFonts w:ascii="Calibri" w:hAnsi="Calibri" w:cs="Calibri"/>
                <w:b w:val="0"/>
              </w:rPr>
            </w:pPr>
            <w:r w:rsidRPr="002F1917">
              <w:rPr>
                <w:rFonts w:ascii="Calibri" w:hAnsi="Calibri" w:cs="Calibri"/>
                <w:b w:val="0"/>
              </w:rPr>
              <w:t>Regulatory burden of sports and wagering providers complying and navigating the state and territory regulators’ respective markets and contingencies frameworks/requirements.</w:t>
            </w:r>
          </w:p>
          <w:p w14:paraId="682B6134" w14:textId="77777777" w:rsidR="00870C3F" w:rsidRPr="002F1917" w:rsidRDefault="00870C3F" w:rsidP="00204AA1">
            <w:pPr>
              <w:pStyle w:val="BodyText"/>
              <w:numPr>
                <w:ilvl w:val="0"/>
                <w:numId w:val="34"/>
              </w:numPr>
              <w:rPr>
                <w:rFonts w:ascii="Calibri" w:hAnsi="Calibri" w:cs="Calibri"/>
              </w:rPr>
            </w:pPr>
            <w:r w:rsidRPr="002F1917">
              <w:rPr>
                <w:rFonts w:ascii="Calibri" w:hAnsi="Calibri" w:cs="Calibri"/>
                <w:b w:val="0"/>
              </w:rPr>
              <w:t>Some inconsistencies in permitted contingencies between states and territories may create integrity risk.</w:t>
            </w:r>
          </w:p>
          <w:p w14:paraId="633CF1C3" w14:textId="77777777" w:rsidR="00870C3F" w:rsidRPr="002F1917" w:rsidRDefault="00870C3F" w:rsidP="00204AA1">
            <w:pPr>
              <w:pStyle w:val="BodyText"/>
              <w:numPr>
                <w:ilvl w:val="0"/>
                <w:numId w:val="34"/>
              </w:numPr>
              <w:rPr>
                <w:rFonts w:ascii="Calibri" w:hAnsi="Calibri" w:cs="Calibri"/>
              </w:rPr>
            </w:pPr>
            <w:r w:rsidRPr="002F1917">
              <w:rPr>
                <w:rFonts w:ascii="Calibri" w:hAnsi="Calibri" w:cs="Calibri"/>
                <w:b w:val="0"/>
              </w:rPr>
              <w:t>Does not deliver the objectives of the ASWS. Specifically, the objective to streamline sport integrity aspects of sports wagering regulation with consistency at a national level.</w:t>
            </w:r>
          </w:p>
        </w:tc>
      </w:tr>
    </w:tbl>
    <w:p w14:paraId="73AA5C4C" w14:textId="77777777" w:rsidR="00870C3F" w:rsidRPr="002F1917" w:rsidRDefault="00870C3F" w:rsidP="00870C3F">
      <w:pPr>
        <w:pStyle w:val="BodyText"/>
        <w:rPr>
          <w:rFonts w:ascii="Calibri" w:hAnsi="Calibri" w:cs="Calibri"/>
        </w:rPr>
      </w:pPr>
    </w:p>
    <w:tbl>
      <w:tblPr>
        <w:tblStyle w:val="GridTable4-Accent3"/>
        <w:tblW w:w="0" w:type="auto"/>
        <w:tblInd w:w="0" w:type="dxa"/>
        <w:tblLook w:val="04A0" w:firstRow="1" w:lastRow="0" w:firstColumn="1" w:lastColumn="0" w:noHBand="0" w:noVBand="1"/>
      </w:tblPr>
      <w:tblGrid>
        <w:gridCol w:w="9054"/>
      </w:tblGrid>
      <w:tr w:rsidR="00870C3F" w:rsidRPr="002F1917" w14:paraId="4B2EDE7B" w14:textId="77777777" w:rsidTr="00870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hideMark/>
          </w:tcPr>
          <w:p w14:paraId="69A3C7A4" w14:textId="77777777" w:rsidR="00870C3F" w:rsidRPr="002F1917" w:rsidRDefault="00870C3F">
            <w:pPr>
              <w:pStyle w:val="BodyText"/>
              <w:rPr>
                <w:rFonts w:ascii="Calibri" w:hAnsi="Calibri" w:cs="Calibri"/>
              </w:rPr>
            </w:pPr>
            <w:r w:rsidRPr="00907E12">
              <w:rPr>
                <w:rFonts w:ascii="Calibri" w:hAnsi="Calibri" w:cs="Calibri"/>
                <w:color w:val="000000" w:themeColor="text1"/>
              </w:rPr>
              <w:t>Option 1 – National contingencies forum</w:t>
            </w:r>
          </w:p>
        </w:tc>
      </w:tr>
      <w:tr w:rsidR="00870C3F" w:rsidRPr="002F1917" w14:paraId="75B20888" w14:textId="77777777" w:rsidTr="00870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Borders>
              <w:top w:val="single" w:sz="4" w:space="0" w:color="B7E6EA" w:themeColor="accent3" w:themeTint="99"/>
              <w:left w:val="single" w:sz="4" w:space="0" w:color="B7E6EA" w:themeColor="accent3" w:themeTint="99"/>
              <w:bottom w:val="single" w:sz="4" w:space="0" w:color="B7E6EA" w:themeColor="accent3" w:themeTint="99"/>
              <w:right w:val="single" w:sz="4" w:space="0" w:color="B7E6EA" w:themeColor="accent3" w:themeTint="99"/>
            </w:tcBorders>
            <w:hideMark/>
          </w:tcPr>
          <w:p w14:paraId="6019F0D8" w14:textId="77777777" w:rsidR="00870C3F" w:rsidRPr="002F1917" w:rsidRDefault="00870C3F">
            <w:pPr>
              <w:pStyle w:val="BodyText"/>
              <w:rPr>
                <w:rFonts w:ascii="Calibri" w:hAnsi="Calibri" w:cs="Calibri"/>
                <w:i/>
              </w:rPr>
            </w:pPr>
            <w:r w:rsidRPr="002F1917">
              <w:rPr>
                <w:rFonts w:ascii="Calibri" w:hAnsi="Calibri" w:cs="Calibri"/>
                <w:i/>
              </w:rPr>
              <w:t>What are the benefits of this option?</w:t>
            </w:r>
          </w:p>
          <w:p w14:paraId="5E397857" w14:textId="77777777" w:rsidR="00870C3F" w:rsidRPr="002F1917" w:rsidRDefault="00870C3F" w:rsidP="00204AA1">
            <w:pPr>
              <w:pStyle w:val="BodyText"/>
              <w:numPr>
                <w:ilvl w:val="0"/>
                <w:numId w:val="34"/>
              </w:numPr>
              <w:rPr>
                <w:rFonts w:ascii="Calibri" w:hAnsi="Calibri" w:cs="Calibri"/>
                <w:b w:val="0"/>
              </w:rPr>
            </w:pPr>
            <w:r w:rsidRPr="002F1917">
              <w:rPr>
                <w:rFonts w:ascii="Calibri" w:hAnsi="Calibri" w:cs="Calibri"/>
                <w:b w:val="0"/>
              </w:rPr>
              <w:t>Understood by sports and wagering providers.</w:t>
            </w:r>
          </w:p>
          <w:p w14:paraId="5DCA94B2" w14:textId="77777777" w:rsidR="00870C3F" w:rsidRPr="002F1917" w:rsidRDefault="00870C3F" w:rsidP="00204AA1">
            <w:pPr>
              <w:pStyle w:val="BodyText"/>
              <w:numPr>
                <w:ilvl w:val="0"/>
                <w:numId w:val="34"/>
              </w:numPr>
              <w:rPr>
                <w:rFonts w:ascii="Calibri" w:hAnsi="Calibri" w:cs="Calibri"/>
              </w:rPr>
            </w:pPr>
            <w:r w:rsidRPr="002F1917">
              <w:rPr>
                <w:rFonts w:ascii="Calibri" w:hAnsi="Calibri" w:cs="Calibri"/>
                <w:b w:val="0"/>
              </w:rPr>
              <w:t>Potential benefit of increased consistency of contingencies reducing regulatory burden compared to the base case. This would reduce the regulatory burden of sports and wagering providers complying and navigating the state and territory regulators’ respective markets and contingencies frameworks/requirements.</w:t>
            </w:r>
          </w:p>
          <w:p w14:paraId="3FB74A81" w14:textId="77777777" w:rsidR="00870C3F" w:rsidRPr="002F1917" w:rsidRDefault="00870C3F">
            <w:pPr>
              <w:pStyle w:val="BodyText"/>
              <w:ind w:left="720"/>
              <w:rPr>
                <w:rFonts w:ascii="Calibri" w:hAnsi="Calibri" w:cs="Calibri"/>
                <w:b w:val="0"/>
              </w:rPr>
            </w:pPr>
            <w:r w:rsidRPr="002F1917">
              <w:rPr>
                <w:rFonts w:ascii="Calibri" w:hAnsi="Calibri" w:cs="Calibri"/>
                <w:b w:val="0"/>
              </w:rPr>
              <w:t>Depending on the extent to which the forum delivers increased consistency, this option may achieve the objective of the ASWS to streamline sport integrity aspects of sports wagering regulation with consistency at a national level.</w:t>
            </w:r>
          </w:p>
        </w:tc>
      </w:tr>
      <w:tr w:rsidR="00870C3F" w:rsidRPr="002F1917" w14:paraId="0C94E8E3" w14:textId="77777777" w:rsidTr="00870C3F">
        <w:tc>
          <w:tcPr>
            <w:cnfStyle w:val="001000000000" w:firstRow="0" w:lastRow="0" w:firstColumn="1" w:lastColumn="0" w:oddVBand="0" w:evenVBand="0" w:oddHBand="0" w:evenHBand="0" w:firstRowFirstColumn="0" w:firstRowLastColumn="0" w:lastRowFirstColumn="0" w:lastRowLastColumn="0"/>
            <w:tcW w:w="9054" w:type="dxa"/>
            <w:tcBorders>
              <w:top w:val="single" w:sz="4" w:space="0" w:color="B7E6EA" w:themeColor="accent3" w:themeTint="99"/>
              <w:left w:val="single" w:sz="4" w:space="0" w:color="B7E6EA" w:themeColor="accent3" w:themeTint="99"/>
              <w:bottom w:val="single" w:sz="4" w:space="0" w:color="B7E6EA" w:themeColor="accent3" w:themeTint="99"/>
              <w:right w:val="single" w:sz="4" w:space="0" w:color="B7E6EA" w:themeColor="accent3" w:themeTint="99"/>
            </w:tcBorders>
            <w:hideMark/>
          </w:tcPr>
          <w:p w14:paraId="49FE4929" w14:textId="77777777" w:rsidR="00870C3F" w:rsidRPr="002F1917" w:rsidRDefault="00870C3F">
            <w:pPr>
              <w:pStyle w:val="BodyText"/>
              <w:rPr>
                <w:rFonts w:ascii="Calibri" w:hAnsi="Calibri" w:cs="Calibri"/>
                <w:i/>
              </w:rPr>
            </w:pPr>
            <w:r w:rsidRPr="002F1917">
              <w:rPr>
                <w:rFonts w:ascii="Calibri" w:hAnsi="Calibri" w:cs="Calibri"/>
                <w:i/>
              </w:rPr>
              <w:t>What are the costs of this option?</w:t>
            </w:r>
          </w:p>
          <w:p w14:paraId="3B497832" w14:textId="77777777" w:rsidR="00870C3F" w:rsidRPr="002F1917" w:rsidRDefault="00870C3F" w:rsidP="00204AA1">
            <w:pPr>
              <w:pStyle w:val="BodyText"/>
              <w:numPr>
                <w:ilvl w:val="0"/>
                <w:numId w:val="35"/>
              </w:numPr>
              <w:rPr>
                <w:rFonts w:ascii="Calibri" w:hAnsi="Calibri" w:cs="Calibri"/>
                <w:b w:val="0"/>
              </w:rPr>
            </w:pPr>
            <w:r w:rsidRPr="002F1917">
              <w:rPr>
                <w:rFonts w:ascii="Calibri" w:hAnsi="Calibri" w:cs="Calibri"/>
                <w:b w:val="0"/>
              </w:rPr>
              <w:t xml:space="preserve">Regulatory cost relating to organisation and participation in the national </w:t>
            </w:r>
            <w:proofErr w:type="gramStart"/>
            <w:r w:rsidRPr="002F1917">
              <w:rPr>
                <w:rFonts w:ascii="Calibri" w:hAnsi="Calibri" w:cs="Calibri"/>
                <w:b w:val="0"/>
              </w:rPr>
              <w:t>contingencies</w:t>
            </w:r>
            <w:proofErr w:type="gramEnd"/>
            <w:r w:rsidRPr="002F1917">
              <w:rPr>
                <w:rFonts w:ascii="Calibri" w:hAnsi="Calibri" w:cs="Calibri"/>
                <w:b w:val="0"/>
              </w:rPr>
              <w:t xml:space="preserve"> forum.</w:t>
            </w:r>
          </w:p>
        </w:tc>
      </w:tr>
    </w:tbl>
    <w:p w14:paraId="47B71452" w14:textId="77777777" w:rsidR="00870C3F" w:rsidRPr="002F1917" w:rsidRDefault="00870C3F" w:rsidP="00870C3F">
      <w:pPr>
        <w:pStyle w:val="Heading3"/>
        <w:rPr>
          <w:rFonts w:ascii="Calibri" w:eastAsia="MS Gothic" w:hAnsi="Calibri" w:cs="Calibri"/>
          <w:b w:val="0"/>
          <w:sz w:val="20"/>
          <w:lang w:val="en-US"/>
        </w:rPr>
      </w:pPr>
      <w:bookmarkStart w:id="163" w:name="_Toc85450787"/>
      <w:r w:rsidRPr="002F1917">
        <w:rPr>
          <w:rFonts w:ascii="Calibri" w:hAnsi="Calibri" w:cs="Calibri"/>
          <w:b w:val="0"/>
          <w:sz w:val="20"/>
        </w:rPr>
        <w:lastRenderedPageBreak/>
        <w:t>Information sharing</w:t>
      </w:r>
      <w:bookmarkStart w:id="164" w:name="_Ref83822474"/>
      <w:bookmarkEnd w:id="163"/>
    </w:p>
    <w:tbl>
      <w:tblPr>
        <w:tblStyle w:val="GridTable4-Accent3"/>
        <w:tblW w:w="0" w:type="auto"/>
        <w:tblInd w:w="0" w:type="dxa"/>
        <w:tblLook w:val="04A0" w:firstRow="1" w:lastRow="0" w:firstColumn="1" w:lastColumn="0" w:noHBand="0" w:noVBand="1"/>
      </w:tblPr>
      <w:tblGrid>
        <w:gridCol w:w="9054"/>
      </w:tblGrid>
      <w:tr w:rsidR="00870C3F" w:rsidRPr="002F1917" w14:paraId="1417F05C" w14:textId="77777777" w:rsidTr="00870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hideMark/>
          </w:tcPr>
          <w:p w14:paraId="55936F0C" w14:textId="77777777" w:rsidR="00870C3F" w:rsidRPr="002F1917" w:rsidRDefault="00870C3F">
            <w:pPr>
              <w:pStyle w:val="BodyText"/>
              <w:rPr>
                <w:rFonts w:ascii="Calibri" w:hAnsi="Calibri" w:cs="Calibri"/>
              </w:rPr>
            </w:pPr>
            <w:r w:rsidRPr="00907E12">
              <w:rPr>
                <w:rFonts w:ascii="Calibri" w:hAnsi="Calibri" w:cs="Calibri"/>
                <w:color w:val="000000" w:themeColor="text1"/>
              </w:rPr>
              <w:t>Base case</w:t>
            </w:r>
          </w:p>
        </w:tc>
      </w:tr>
      <w:tr w:rsidR="00870C3F" w:rsidRPr="002F1917" w14:paraId="26E9E0AA" w14:textId="77777777" w:rsidTr="00870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Borders>
              <w:top w:val="single" w:sz="4" w:space="0" w:color="B7E6EA" w:themeColor="accent3" w:themeTint="99"/>
              <w:left w:val="single" w:sz="4" w:space="0" w:color="B7E6EA" w:themeColor="accent3" w:themeTint="99"/>
              <w:bottom w:val="single" w:sz="4" w:space="0" w:color="B7E6EA" w:themeColor="accent3" w:themeTint="99"/>
              <w:right w:val="single" w:sz="4" w:space="0" w:color="B7E6EA" w:themeColor="accent3" w:themeTint="99"/>
            </w:tcBorders>
            <w:hideMark/>
          </w:tcPr>
          <w:p w14:paraId="756CBA75" w14:textId="77777777" w:rsidR="00870C3F" w:rsidRPr="002F1917" w:rsidRDefault="00870C3F">
            <w:pPr>
              <w:pStyle w:val="BodyText"/>
              <w:rPr>
                <w:rFonts w:ascii="Calibri" w:hAnsi="Calibri" w:cs="Calibri"/>
                <w:i/>
              </w:rPr>
            </w:pPr>
            <w:r w:rsidRPr="002F1917">
              <w:rPr>
                <w:rFonts w:ascii="Calibri" w:hAnsi="Calibri" w:cs="Calibri"/>
                <w:i/>
              </w:rPr>
              <w:t>What are the benefits of this option?</w:t>
            </w:r>
          </w:p>
          <w:p w14:paraId="673A0DD1" w14:textId="77777777" w:rsidR="00870C3F" w:rsidRPr="002F1917" w:rsidRDefault="00870C3F" w:rsidP="00204AA1">
            <w:pPr>
              <w:pStyle w:val="BodyText"/>
              <w:numPr>
                <w:ilvl w:val="0"/>
                <w:numId w:val="34"/>
              </w:numPr>
              <w:rPr>
                <w:rFonts w:ascii="Calibri" w:hAnsi="Calibri" w:cs="Calibri"/>
                <w:b w:val="0"/>
              </w:rPr>
            </w:pPr>
            <w:r w:rsidRPr="002F1917">
              <w:rPr>
                <w:rFonts w:ascii="Calibri" w:hAnsi="Calibri" w:cs="Calibri"/>
                <w:b w:val="0"/>
              </w:rPr>
              <w:t>Understood by sports and wagering providers.</w:t>
            </w:r>
          </w:p>
          <w:p w14:paraId="3930F9BF" w14:textId="77777777" w:rsidR="00870C3F" w:rsidRPr="002F1917" w:rsidRDefault="00870C3F" w:rsidP="00204AA1">
            <w:pPr>
              <w:pStyle w:val="BodyText"/>
              <w:numPr>
                <w:ilvl w:val="0"/>
                <w:numId w:val="34"/>
              </w:numPr>
              <w:rPr>
                <w:rFonts w:ascii="Calibri" w:hAnsi="Calibri" w:cs="Calibri"/>
                <w:b w:val="0"/>
              </w:rPr>
            </w:pPr>
            <w:r w:rsidRPr="002F1917">
              <w:rPr>
                <w:rFonts w:ascii="Calibri" w:hAnsi="Calibri" w:cs="Calibri"/>
                <w:b w:val="0"/>
              </w:rPr>
              <w:t>Sports controlling bodies able to investigate potential integrity issues relating sports wagering.</w:t>
            </w:r>
          </w:p>
        </w:tc>
      </w:tr>
      <w:tr w:rsidR="00870C3F" w:rsidRPr="002F1917" w14:paraId="6EF6F9D7" w14:textId="77777777" w:rsidTr="00870C3F">
        <w:tc>
          <w:tcPr>
            <w:cnfStyle w:val="001000000000" w:firstRow="0" w:lastRow="0" w:firstColumn="1" w:lastColumn="0" w:oddVBand="0" w:evenVBand="0" w:oddHBand="0" w:evenHBand="0" w:firstRowFirstColumn="0" w:firstRowLastColumn="0" w:lastRowFirstColumn="0" w:lastRowLastColumn="0"/>
            <w:tcW w:w="9054" w:type="dxa"/>
            <w:tcBorders>
              <w:top w:val="single" w:sz="4" w:space="0" w:color="B7E6EA" w:themeColor="accent3" w:themeTint="99"/>
              <w:left w:val="single" w:sz="4" w:space="0" w:color="B7E6EA" w:themeColor="accent3" w:themeTint="99"/>
              <w:bottom w:val="single" w:sz="4" w:space="0" w:color="B7E6EA" w:themeColor="accent3" w:themeTint="99"/>
              <w:right w:val="single" w:sz="4" w:space="0" w:color="B7E6EA" w:themeColor="accent3" w:themeTint="99"/>
            </w:tcBorders>
            <w:hideMark/>
          </w:tcPr>
          <w:p w14:paraId="755CB026" w14:textId="77777777" w:rsidR="00870C3F" w:rsidRPr="002F1917" w:rsidRDefault="00870C3F">
            <w:pPr>
              <w:pStyle w:val="BodyText"/>
              <w:rPr>
                <w:rFonts w:ascii="Calibri" w:hAnsi="Calibri" w:cs="Calibri"/>
                <w:b w:val="0"/>
                <w:i/>
              </w:rPr>
            </w:pPr>
            <w:r w:rsidRPr="002F1917">
              <w:rPr>
                <w:rFonts w:ascii="Calibri" w:hAnsi="Calibri" w:cs="Calibri"/>
                <w:i/>
              </w:rPr>
              <w:t>What are the costs of this option?</w:t>
            </w:r>
          </w:p>
          <w:p w14:paraId="7FDE8C33" w14:textId="77777777" w:rsidR="00870C3F" w:rsidRPr="002F1917" w:rsidRDefault="00870C3F" w:rsidP="00F4798A">
            <w:pPr>
              <w:pStyle w:val="BodyText"/>
              <w:numPr>
                <w:ilvl w:val="0"/>
                <w:numId w:val="34"/>
              </w:numPr>
              <w:spacing w:before="80" w:after="80"/>
              <w:ind w:left="714" w:hanging="357"/>
              <w:rPr>
                <w:rFonts w:ascii="Calibri" w:hAnsi="Calibri" w:cs="Calibri"/>
                <w:b w:val="0"/>
              </w:rPr>
            </w:pPr>
            <w:r w:rsidRPr="002F1917">
              <w:rPr>
                <w:rFonts w:ascii="Calibri" w:hAnsi="Calibri" w:cs="Calibri"/>
                <w:b w:val="0"/>
              </w:rPr>
              <w:t>Information sharing is siloed.</w:t>
            </w:r>
            <w:r w:rsidRPr="002F1917">
              <w:rPr>
                <w:rStyle w:val="FootnoteReference"/>
                <w:rFonts w:ascii="Calibri" w:hAnsi="Calibri" w:cs="Calibri"/>
              </w:rPr>
              <w:footnoteReference w:id="18"/>
            </w:r>
          </w:p>
          <w:p w14:paraId="17B57E09" w14:textId="77777777" w:rsidR="00870C3F" w:rsidRPr="002F1917" w:rsidRDefault="00870C3F" w:rsidP="00F4798A">
            <w:pPr>
              <w:pStyle w:val="BodyText"/>
              <w:numPr>
                <w:ilvl w:val="0"/>
                <w:numId w:val="34"/>
              </w:numPr>
              <w:spacing w:before="80" w:after="80"/>
              <w:ind w:left="714" w:hanging="357"/>
              <w:rPr>
                <w:rFonts w:ascii="Calibri" w:hAnsi="Calibri" w:cs="Calibri"/>
                <w:b w:val="0"/>
              </w:rPr>
            </w:pPr>
            <w:r w:rsidRPr="002F1917">
              <w:rPr>
                <w:rFonts w:ascii="Calibri" w:hAnsi="Calibri" w:cs="Calibri"/>
                <w:b w:val="0"/>
              </w:rPr>
              <w:t>Sports controlling bodies may have costs associated with interpreting periodic reporting, conducting investigations and audits. Sports controlling bodies also have costs associated with notifying NSW and VIC regulators when suspicious activity is detected.</w:t>
            </w:r>
          </w:p>
          <w:p w14:paraId="28B0DC56" w14:textId="77777777" w:rsidR="00870C3F" w:rsidRPr="002F1917" w:rsidRDefault="00870C3F" w:rsidP="00F4798A">
            <w:pPr>
              <w:pStyle w:val="BodyText"/>
              <w:numPr>
                <w:ilvl w:val="0"/>
                <w:numId w:val="34"/>
              </w:numPr>
              <w:spacing w:before="80" w:after="80"/>
              <w:ind w:left="714" w:hanging="357"/>
              <w:rPr>
                <w:rFonts w:ascii="Calibri" w:hAnsi="Calibri" w:cs="Calibri"/>
                <w:b w:val="0"/>
              </w:rPr>
            </w:pPr>
            <w:r w:rsidRPr="002F1917">
              <w:rPr>
                <w:rFonts w:ascii="Calibri" w:hAnsi="Calibri" w:cs="Calibri"/>
                <w:b w:val="0"/>
              </w:rPr>
              <w:t>Wagering providers have costs associated with providing periodic reporting and responding to ad hoc and audit information requests from sports controlling bodies. Wagering providers also have costs associated with notifying sports controlling bodies of suspicious activity.</w:t>
            </w:r>
          </w:p>
          <w:p w14:paraId="2401AA82" w14:textId="77777777" w:rsidR="00870C3F" w:rsidRPr="002F1917" w:rsidRDefault="00870C3F" w:rsidP="00204AA1">
            <w:pPr>
              <w:pStyle w:val="BodyText"/>
              <w:numPr>
                <w:ilvl w:val="0"/>
                <w:numId w:val="34"/>
              </w:numPr>
              <w:rPr>
                <w:rFonts w:ascii="Calibri" w:hAnsi="Calibri" w:cs="Calibri"/>
                <w:b w:val="0"/>
              </w:rPr>
            </w:pPr>
            <w:r w:rsidRPr="002F1917">
              <w:rPr>
                <w:rFonts w:ascii="Calibri" w:hAnsi="Calibri" w:cs="Calibri"/>
                <w:b w:val="0"/>
              </w:rPr>
              <w:t>NSW and VIC regulators have costs associated with processing suspicious activity notifications from sports controlling bodies.</w:t>
            </w:r>
          </w:p>
        </w:tc>
      </w:tr>
    </w:tbl>
    <w:p w14:paraId="13DBAB4A" w14:textId="77777777" w:rsidR="00870C3F" w:rsidRPr="002F1917" w:rsidRDefault="00870C3F" w:rsidP="00870C3F">
      <w:pPr>
        <w:pStyle w:val="BodyText"/>
        <w:rPr>
          <w:rFonts w:ascii="Calibri" w:hAnsi="Calibri" w:cs="Calibri"/>
        </w:rPr>
      </w:pPr>
    </w:p>
    <w:tbl>
      <w:tblPr>
        <w:tblStyle w:val="GridTable4-Accent3"/>
        <w:tblW w:w="0" w:type="auto"/>
        <w:tblInd w:w="0" w:type="dxa"/>
        <w:tblLook w:val="04A0" w:firstRow="1" w:lastRow="0" w:firstColumn="1" w:lastColumn="0" w:noHBand="0" w:noVBand="1"/>
      </w:tblPr>
      <w:tblGrid>
        <w:gridCol w:w="9054"/>
      </w:tblGrid>
      <w:tr w:rsidR="00870C3F" w:rsidRPr="002F1917" w14:paraId="53C6C7DA" w14:textId="77777777" w:rsidTr="00870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hideMark/>
          </w:tcPr>
          <w:p w14:paraId="6D46E4DC" w14:textId="77777777" w:rsidR="00870C3F" w:rsidRPr="002F1917" w:rsidRDefault="00870C3F">
            <w:pPr>
              <w:pStyle w:val="BodyText"/>
              <w:rPr>
                <w:rFonts w:ascii="Calibri" w:hAnsi="Calibri" w:cs="Calibri"/>
              </w:rPr>
            </w:pPr>
            <w:r w:rsidRPr="004612A2">
              <w:rPr>
                <w:rFonts w:ascii="Calibri" w:hAnsi="Calibri" w:cs="Calibri"/>
                <w:color w:val="000000" w:themeColor="text1"/>
              </w:rPr>
              <w:t>Option 1 – non-real time National Platform</w:t>
            </w:r>
          </w:p>
        </w:tc>
      </w:tr>
      <w:tr w:rsidR="00870C3F" w:rsidRPr="002F1917" w14:paraId="01E8CBBA" w14:textId="77777777" w:rsidTr="00870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Borders>
              <w:top w:val="single" w:sz="4" w:space="0" w:color="B7E6EA" w:themeColor="accent3" w:themeTint="99"/>
              <w:left w:val="single" w:sz="4" w:space="0" w:color="B7E6EA" w:themeColor="accent3" w:themeTint="99"/>
              <w:bottom w:val="single" w:sz="4" w:space="0" w:color="B7E6EA" w:themeColor="accent3" w:themeTint="99"/>
              <w:right w:val="single" w:sz="4" w:space="0" w:color="B7E6EA" w:themeColor="accent3" w:themeTint="99"/>
            </w:tcBorders>
            <w:hideMark/>
          </w:tcPr>
          <w:p w14:paraId="0BEDE0D2" w14:textId="77777777" w:rsidR="00870C3F" w:rsidRPr="002F1917" w:rsidRDefault="00870C3F" w:rsidP="00F4798A">
            <w:pPr>
              <w:pStyle w:val="BodyText"/>
              <w:jc w:val="left"/>
              <w:rPr>
                <w:rFonts w:ascii="Calibri" w:hAnsi="Calibri" w:cs="Calibri"/>
                <w:i/>
              </w:rPr>
            </w:pPr>
            <w:r w:rsidRPr="002F1917">
              <w:rPr>
                <w:rFonts w:ascii="Calibri" w:hAnsi="Calibri" w:cs="Calibri"/>
                <w:i/>
              </w:rPr>
              <w:t>What are the benefits of this option?</w:t>
            </w:r>
          </w:p>
          <w:p w14:paraId="3FD69DF9" w14:textId="77777777" w:rsidR="00870C3F" w:rsidRPr="002F1917" w:rsidRDefault="00870C3F" w:rsidP="00F4798A">
            <w:pPr>
              <w:pStyle w:val="BodyText"/>
              <w:numPr>
                <w:ilvl w:val="0"/>
                <w:numId w:val="34"/>
              </w:numPr>
              <w:spacing w:after="80"/>
              <w:ind w:left="714" w:hanging="357"/>
              <w:jc w:val="left"/>
              <w:rPr>
                <w:rFonts w:ascii="Calibri" w:hAnsi="Calibri" w:cs="Calibri"/>
                <w:b w:val="0"/>
              </w:rPr>
            </w:pPr>
            <w:r w:rsidRPr="002F1917">
              <w:rPr>
                <w:rFonts w:ascii="Calibri" w:hAnsi="Calibri" w:cs="Calibri"/>
                <w:b w:val="0"/>
              </w:rPr>
              <w:t>Sports controlling bodies have greater intelligence for integrity risk identification and support available for any sport integrity investigations.</w:t>
            </w:r>
          </w:p>
          <w:p w14:paraId="27773073" w14:textId="77777777" w:rsidR="00870C3F" w:rsidRPr="002F1917" w:rsidRDefault="00870C3F" w:rsidP="00F4798A">
            <w:pPr>
              <w:pStyle w:val="BodyText"/>
              <w:numPr>
                <w:ilvl w:val="0"/>
                <w:numId w:val="34"/>
              </w:numPr>
              <w:spacing w:after="80"/>
              <w:ind w:left="714" w:hanging="357"/>
              <w:jc w:val="left"/>
              <w:rPr>
                <w:rFonts w:ascii="Calibri" w:hAnsi="Calibri" w:cs="Calibri"/>
                <w:b w:val="0"/>
              </w:rPr>
            </w:pPr>
            <w:r w:rsidRPr="002F1917">
              <w:rPr>
                <w:rFonts w:ascii="Calibri" w:hAnsi="Calibri" w:cs="Calibri"/>
                <w:b w:val="0"/>
              </w:rPr>
              <w:t xml:space="preserve">Wagering providers should have more standardised data and reporting requirements across sports. May have fewer ad hoc requests for data from sports controlling bodies. </w:t>
            </w:r>
          </w:p>
          <w:p w14:paraId="228A8133" w14:textId="77777777" w:rsidR="00870C3F" w:rsidRPr="002F1917" w:rsidRDefault="00870C3F" w:rsidP="00F4798A">
            <w:pPr>
              <w:pStyle w:val="BodyText"/>
              <w:numPr>
                <w:ilvl w:val="0"/>
                <w:numId w:val="34"/>
              </w:numPr>
              <w:spacing w:after="80"/>
              <w:ind w:left="714" w:hanging="357"/>
              <w:jc w:val="left"/>
              <w:rPr>
                <w:rFonts w:ascii="Calibri" w:hAnsi="Calibri" w:cs="Calibri"/>
                <w:b w:val="0"/>
              </w:rPr>
            </w:pPr>
            <w:r w:rsidRPr="002F1917">
              <w:rPr>
                <w:rFonts w:ascii="Calibri" w:hAnsi="Calibri" w:cs="Calibri"/>
                <w:b w:val="0"/>
              </w:rPr>
              <w:t>Wagering providers would be provided with broader sport integrity intelligence from Sport Integrity Australia which may assist with their management of integrity risks.</w:t>
            </w:r>
          </w:p>
          <w:p w14:paraId="368B37B4" w14:textId="77777777" w:rsidR="00870C3F" w:rsidRPr="002F1917" w:rsidRDefault="00870C3F" w:rsidP="00F4798A">
            <w:pPr>
              <w:pStyle w:val="BodyText"/>
              <w:numPr>
                <w:ilvl w:val="0"/>
                <w:numId w:val="34"/>
              </w:numPr>
              <w:spacing w:after="80"/>
              <w:ind w:left="714" w:hanging="357"/>
              <w:jc w:val="left"/>
              <w:rPr>
                <w:rFonts w:ascii="Calibri" w:hAnsi="Calibri" w:cs="Calibri"/>
                <w:b w:val="0"/>
              </w:rPr>
            </w:pPr>
            <w:r w:rsidRPr="002F1917">
              <w:rPr>
                <w:rFonts w:ascii="Calibri" w:hAnsi="Calibri" w:cs="Calibri"/>
                <w:b w:val="0"/>
              </w:rPr>
              <w:t>Coordinated approach to monitoring sports wagering data, overlayed with broader intelligence from international platforms, provides greater visibility of integrity risks or patterns.</w:t>
            </w:r>
          </w:p>
          <w:p w14:paraId="15E4B462" w14:textId="77777777" w:rsidR="00870C3F" w:rsidRPr="002F1917" w:rsidRDefault="00870C3F" w:rsidP="00F4798A">
            <w:pPr>
              <w:pStyle w:val="BodyText"/>
              <w:numPr>
                <w:ilvl w:val="0"/>
                <w:numId w:val="34"/>
              </w:numPr>
              <w:spacing w:after="80"/>
              <w:ind w:left="714" w:hanging="357"/>
              <w:jc w:val="left"/>
              <w:rPr>
                <w:rFonts w:ascii="Calibri" w:hAnsi="Calibri" w:cs="Calibri"/>
                <w:b w:val="0"/>
              </w:rPr>
            </w:pPr>
            <w:r w:rsidRPr="002F1917">
              <w:rPr>
                <w:rFonts w:ascii="Calibri" w:hAnsi="Calibri" w:cs="Calibri"/>
                <w:b w:val="0"/>
              </w:rPr>
              <w:t>Helps deliver on the ASWS objective to Develop a robust integrity framework for National Sporting Organisations, event controllers and wagering providers.</w:t>
            </w:r>
          </w:p>
        </w:tc>
      </w:tr>
      <w:tr w:rsidR="00870C3F" w:rsidRPr="002F1917" w14:paraId="3EDC2327" w14:textId="77777777" w:rsidTr="00870C3F">
        <w:tc>
          <w:tcPr>
            <w:cnfStyle w:val="001000000000" w:firstRow="0" w:lastRow="0" w:firstColumn="1" w:lastColumn="0" w:oddVBand="0" w:evenVBand="0" w:oddHBand="0" w:evenHBand="0" w:firstRowFirstColumn="0" w:firstRowLastColumn="0" w:lastRowFirstColumn="0" w:lastRowLastColumn="0"/>
            <w:tcW w:w="9054" w:type="dxa"/>
            <w:tcBorders>
              <w:top w:val="single" w:sz="4" w:space="0" w:color="B7E6EA" w:themeColor="accent3" w:themeTint="99"/>
              <w:left w:val="single" w:sz="4" w:space="0" w:color="B7E6EA" w:themeColor="accent3" w:themeTint="99"/>
              <w:bottom w:val="single" w:sz="4" w:space="0" w:color="B7E6EA" w:themeColor="accent3" w:themeTint="99"/>
              <w:right w:val="single" w:sz="4" w:space="0" w:color="B7E6EA" w:themeColor="accent3" w:themeTint="99"/>
            </w:tcBorders>
            <w:hideMark/>
          </w:tcPr>
          <w:p w14:paraId="5ADC53EB" w14:textId="77777777" w:rsidR="00870C3F" w:rsidRPr="002F1917" w:rsidRDefault="00870C3F" w:rsidP="00F4798A">
            <w:pPr>
              <w:pStyle w:val="BodyText"/>
              <w:jc w:val="left"/>
              <w:rPr>
                <w:rFonts w:ascii="Calibri" w:hAnsi="Calibri" w:cs="Calibri"/>
                <w:b w:val="0"/>
                <w:i/>
              </w:rPr>
            </w:pPr>
            <w:r w:rsidRPr="002F1917">
              <w:rPr>
                <w:rFonts w:ascii="Calibri" w:hAnsi="Calibri" w:cs="Calibri"/>
                <w:i/>
              </w:rPr>
              <w:t>What are the costs of this option?</w:t>
            </w:r>
          </w:p>
          <w:p w14:paraId="518C44CD" w14:textId="77777777" w:rsidR="00870C3F" w:rsidRPr="002F1917" w:rsidRDefault="00870C3F" w:rsidP="00F4798A">
            <w:pPr>
              <w:pStyle w:val="BodyText"/>
              <w:numPr>
                <w:ilvl w:val="0"/>
                <w:numId w:val="35"/>
              </w:numPr>
              <w:spacing w:after="80"/>
              <w:ind w:left="714" w:hanging="357"/>
              <w:jc w:val="left"/>
              <w:rPr>
                <w:rFonts w:ascii="Calibri" w:hAnsi="Calibri" w:cs="Calibri"/>
                <w:b w:val="0"/>
              </w:rPr>
            </w:pPr>
            <w:r w:rsidRPr="002F1917">
              <w:rPr>
                <w:rFonts w:ascii="Calibri" w:hAnsi="Calibri" w:cs="Calibri"/>
                <w:b w:val="0"/>
              </w:rPr>
              <w:t>Sports controlling bodies may have costs associated with interpreting periodic reporting, conducting investigations and audits.</w:t>
            </w:r>
          </w:p>
          <w:p w14:paraId="0D384292" w14:textId="77777777" w:rsidR="00870C3F" w:rsidRPr="002F1917" w:rsidRDefault="00870C3F" w:rsidP="00F4798A">
            <w:pPr>
              <w:pStyle w:val="BodyText"/>
              <w:numPr>
                <w:ilvl w:val="0"/>
                <w:numId w:val="35"/>
              </w:numPr>
              <w:spacing w:after="80"/>
              <w:ind w:left="714" w:hanging="357"/>
              <w:jc w:val="left"/>
              <w:rPr>
                <w:rFonts w:ascii="Calibri" w:hAnsi="Calibri" w:cs="Calibri"/>
              </w:rPr>
            </w:pPr>
            <w:r w:rsidRPr="002F1917">
              <w:rPr>
                <w:rFonts w:ascii="Calibri" w:hAnsi="Calibri" w:cs="Calibri"/>
                <w:b w:val="0"/>
              </w:rPr>
              <w:t>Wagering providers may have an upfront cost associated with providing data to Sport Integrity Australia and any changes to existing periodic reports provided to sport controlling bodies.</w:t>
            </w:r>
          </w:p>
          <w:p w14:paraId="425E8333" w14:textId="77777777" w:rsidR="00870C3F" w:rsidRPr="002F1917" w:rsidRDefault="00870C3F" w:rsidP="00F4798A">
            <w:pPr>
              <w:pStyle w:val="BodyText"/>
              <w:numPr>
                <w:ilvl w:val="0"/>
                <w:numId w:val="35"/>
              </w:numPr>
              <w:spacing w:after="80"/>
              <w:ind w:left="714" w:hanging="357"/>
              <w:jc w:val="left"/>
              <w:rPr>
                <w:rFonts w:ascii="Calibri" w:hAnsi="Calibri" w:cs="Calibri"/>
              </w:rPr>
            </w:pPr>
            <w:r w:rsidRPr="002F1917">
              <w:rPr>
                <w:rFonts w:ascii="Calibri" w:hAnsi="Calibri" w:cs="Calibri"/>
                <w:b w:val="0"/>
              </w:rPr>
              <w:t xml:space="preserve">Sport Integrity Australia would have costs associated with developing and establishing the non-real time platform for sports wagering data, establishing the suspicious activity alert system and </w:t>
            </w:r>
            <w:r w:rsidRPr="002F1917">
              <w:rPr>
                <w:rFonts w:ascii="Calibri" w:hAnsi="Calibri" w:cs="Calibri"/>
                <w:b w:val="0"/>
              </w:rPr>
              <w:lastRenderedPageBreak/>
              <w:t>intelligence function. They would also have additional costs associated with monitoring this platform and providing support in sport controlling bodies investigations when reflected.</w:t>
            </w:r>
          </w:p>
        </w:tc>
      </w:tr>
    </w:tbl>
    <w:p w14:paraId="1E3D7107" w14:textId="77777777" w:rsidR="00870C3F" w:rsidRPr="002F1917" w:rsidRDefault="00870C3F" w:rsidP="00870C3F">
      <w:pPr>
        <w:pStyle w:val="BodyText"/>
        <w:rPr>
          <w:rFonts w:ascii="Calibri" w:hAnsi="Calibri" w:cs="Calibri"/>
        </w:rPr>
      </w:pPr>
    </w:p>
    <w:tbl>
      <w:tblPr>
        <w:tblStyle w:val="GridTable4-Accent3"/>
        <w:tblW w:w="0" w:type="auto"/>
        <w:tblInd w:w="0" w:type="dxa"/>
        <w:tblLook w:val="04A0" w:firstRow="1" w:lastRow="0" w:firstColumn="1" w:lastColumn="0" w:noHBand="0" w:noVBand="1"/>
      </w:tblPr>
      <w:tblGrid>
        <w:gridCol w:w="9054"/>
      </w:tblGrid>
      <w:tr w:rsidR="00870C3F" w:rsidRPr="002F1917" w14:paraId="647EBBBE" w14:textId="77777777" w:rsidTr="00870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hideMark/>
          </w:tcPr>
          <w:p w14:paraId="3625D590" w14:textId="77777777" w:rsidR="00870C3F" w:rsidRPr="004612A2" w:rsidRDefault="00870C3F">
            <w:pPr>
              <w:pStyle w:val="BodyText"/>
              <w:rPr>
                <w:rFonts w:ascii="Calibri" w:hAnsi="Calibri" w:cs="Calibri"/>
                <w:color w:val="000000" w:themeColor="text1"/>
              </w:rPr>
            </w:pPr>
            <w:r w:rsidRPr="004612A2">
              <w:rPr>
                <w:rFonts w:ascii="Calibri" w:hAnsi="Calibri" w:cs="Calibri"/>
                <w:color w:val="000000" w:themeColor="text1"/>
              </w:rPr>
              <w:t>Option 2 – real time National Platform</w:t>
            </w:r>
          </w:p>
        </w:tc>
      </w:tr>
      <w:tr w:rsidR="00870C3F" w:rsidRPr="002F1917" w14:paraId="2929F043" w14:textId="77777777" w:rsidTr="00870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4" w:type="dxa"/>
            <w:tcBorders>
              <w:top w:val="single" w:sz="4" w:space="0" w:color="B7E6EA" w:themeColor="accent3" w:themeTint="99"/>
              <w:left w:val="single" w:sz="4" w:space="0" w:color="B7E6EA" w:themeColor="accent3" w:themeTint="99"/>
              <w:bottom w:val="single" w:sz="4" w:space="0" w:color="B7E6EA" w:themeColor="accent3" w:themeTint="99"/>
              <w:right w:val="single" w:sz="4" w:space="0" w:color="B7E6EA" w:themeColor="accent3" w:themeTint="99"/>
            </w:tcBorders>
            <w:hideMark/>
          </w:tcPr>
          <w:p w14:paraId="6CF55E55" w14:textId="77777777" w:rsidR="00870C3F" w:rsidRPr="002F1917" w:rsidRDefault="00870C3F">
            <w:pPr>
              <w:pStyle w:val="BodyText"/>
              <w:rPr>
                <w:rFonts w:ascii="Calibri" w:hAnsi="Calibri" w:cs="Calibri"/>
                <w:i/>
              </w:rPr>
            </w:pPr>
            <w:r w:rsidRPr="002F1917">
              <w:rPr>
                <w:rFonts w:ascii="Calibri" w:hAnsi="Calibri" w:cs="Calibri"/>
                <w:i/>
              </w:rPr>
              <w:t>What are the benefits of this option?</w:t>
            </w:r>
          </w:p>
          <w:p w14:paraId="1C30DBD1" w14:textId="77777777" w:rsidR="00870C3F" w:rsidRPr="002F1917" w:rsidRDefault="00870C3F" w:rsidP="00204AA1">
            <w:pPr>
              <w:pStyle w:val="BodyText"/>
              <w:numPr>
                <w:ilvl w:val="0"/>
                <w:numId w:val="34"/>
              </w:numPr>
              <w:rPr>
                <w:rFonts w:ascii="Calibri" w:hAnsi="Calibri" w:cs="Calibri"/>
                <w:b w:val="0"/>
              </w:rPr>
            </w:pPr>
            <w:r w:rsidRPr="002F1917">
              <w:rPr>
                <w:rFonts w:ascii="Calibri" w:hAnsi="Calibri" w:cs="Calibri"/>
                <w:b w:val="0"/>
              </w:rPr>
              <w:t>Sports controlling bodies have greater intelligence for integrity risk identification and support available for any sport integrity investigations.</w:t>
            </w:r>
          </w:p>
          <w:p w14:paraId="196D9AFF" w14:textId="77777777" w:rsidR="00870C3F" w:rsidRPr="002F1917" w:rsidRDefault="00870C3F" w:rsidP="00204AA1">
            <w:pPr>
              <w:pStyle w:val="BodyText"/>
              <w:numPr>
                <w:ilvl w:val="0"/>
                <w:numId w:val="34"/>
              </w:numPr>
              <w:rPr>
                <w:rFonts w:ascii="Calibri" w:hAnsi="Calibri" w:cs="Calibri"/>
              </w:rPr>
            </w:pPr>
            <w:r w:rsidRPr="002F1917">
              <w:rPr>
                <w:rFonts w:ascii="Calibri" w:hAnsi="Calibri" w:cs="Calibri"/>
                <w:b w:val="0"/>
              </w:rPr>
              <w:t xml:space="preserve">Wagering providers should have more standardised data and reporting requirements across sports. May have fewer ad hoc requests for data from sports controlling bodies. </w:t>
            </w:r>
          </w:p>
          <w:p w14:paraId="1CDFF9B6" w14:textId="77777777" w:rsidR="00870C3F" w:rsidRPr="002F1917" w:rsidRDefault="00870C3F" w:rsidP="00204AA1">
            <w:pPr>
              <w:pStyle w:val="BodyText"/>
              <w:numPr>
                <w:ilvl w:val="0"/>
                <w:numId w:val="34"/>
              </w:numPr>
              <w:rPr>
                <w:rFonts w:ascii="Calibri" w:hAnsi="Calibri" w:cs="Calibri"/>
                <w:b w:val="0"/>
              </w:rPr>
            </w:pPr>
            <w:r w:rsidRPr="002F1917">
              <w:rPr>
                <w:rFonts w:ascii="Calibri" w:hAnsi="Calibri" w:cs="Calibri"/>
              </w:rPr>
              <w:t>Wagering providers would be provided with broader sport integrity intelligence from Sport Integrity Australia which may assist with their management of integrity risks.</w:t>
            </w:r>
          </w:p>
          <w:p w14:paraId="577B831F" w14:textId="77777777" w:rsidR="00870C3F" w:rsidRPr="002F1917" w:rsidRDefault="00870C3F" w:rsidP="00204AA1">
            <w:pPr>
              <w:pStyle w:val="BodyText"/>
              <w:numPr>
                <w:ilvl w:val="0"/>
                <w:numId w:val="34"/>
              </w:numPr>
              <w:rPr>
                <w:rFonts w:ascii="Calibri" w:hAnsi="Calibri" w:cs="Calibri"/>
              </w:rPr>
            </w:pPr>
            <w:r w:rsidRPr="002F1917">
              <w:rPr>
                <w:rFonts w:ascii="Calibri" w:hAnsi="Calibri" w:cs="Calibri"/>
                <w:b w:val="0"/>
              </w:rPr>
              <w:t>Coordinated approach to monitoring sports wagering data, overlayed with broader intelligence from international platforms, provides greater visibility of integrity risks or patterns.</w:t>
            </w:r>
          </w:p>
          <w:p w14:paraId="38622B75" w14:textId="77777777" w:rsidR="00870C3F" w:rsidRPr="002F1917" w:rsidRDefault="00870C3F" w:rsidP="00204AA1">
            <w:pPr>
              <w:pStyle w:val="BodyText"/>
              <w:numPr>
                <w:ilvl w:val="0"/>
                <w:numId w:val="34"/>
              </w:numPr>
              <w:rPr>
                <w:rFonts w:ascii="Calibri" w:hAnsi="Calibri" w:cs="Calibri"/>
              </w:rPr>
            </w:pPr>
            <w:r w:rsidRPr="002F1917">
              <w:rPr>
                <w:rFonts w:ascii="Calibri" w:hAnsi="Calibri" w:cs="Calibri"/>
                <w:b w:val="0"/>
              </w:rPr>
              <w:t>Helps deliver on the ASWS objective to Develop a robust integrity framework for National Sporting Organisations, event controllers and wagering providers.</w:t>
            </w:r>
          </w:p>
        </w:tc>
      </w:tr>
      <w:tr w:rsidR="00870C3F" w:rsidRPr="002F1917" w14:paraId="18F83CCF" w14:textId="77777777" w:rsidTr="00870C3F">
        <w:tc>
          <w:tcPr>
            <w:cnfStyle w:val="001000000000" w:firstRow="0" w:lastRow="0" w:firstColumn="1" w:lastColumn="0" w:oddVBand="0" w:evenVBand="0" w:oddHBand="0" w:evenHBand="0" w:firstRowFirstColumn="0" w:firstRowLastColumn="0" w:lastRowFirstColumn="0" w:lastRowLastColumn="0"/>
            <w:tcW w:w="9054" w:type="dxa"/>
            <w:tcBorders>
              <w:top w:val="single" w:sz="4" w:space="0" w:color="B7E6EA" w:themeColor="accent3" w:themeTint="99"/>
              <w:left w:val="single" w:sz="4" w:space="0" w:color="B7E6EA" w:themeColor="accent3" w:themeTint="99"/>
              <w:bottom w:val="single" w:sz="4" w:space="0" w:color="B7E6EA" w:themeColor="accent3" w:themeTint="99"/>
              <w:right w:val="single" w:sz="4" w:space="0" w:color="B7E6EA" w:themeColor="accent3" w:themeTint="99"/>
            </w:tcBorders>
            <w:hideMark/>
          </w:tcPr>
          <w:p w14:paraId="48F2FC20" w14:textId="77777777" w:rsidR="00870C3F" w:rsidRPr="002F1917" w:rsidRDefault="00870C3F">
            <w:pPr>
              <w:pStyle w:val="BodyText"/>
              <w:rPr>
                <w:rFonts w:ascii="Calibri" w:hAnsi="Calibri" w:cs="Calibri"/>
                <w:i/>
              </w:rPr>
            </w:pPr>
            <w:r w:rsidRPr="002F1917">
              <w:rPr>
                <w:rFonts w:ascii="Calibri" w:hAnsi="Calibri" w:cs="Calibri"/>
                <w:i/>
              </w:rPr>
              <w:t>What are the costs of this option?</w:t>
            </w:r>
          </w:p>
          <w:p w14:paraId="2CBF43E6" w14:textId="77777777" w:rsidR="00870C3F" w:rsidRPr="002F1917" w:rsidRDefault="00870C3F" w:rsidP="00204AA1">
            <w:pPr>
              <w:pStyle w:val="BodyText"/>
              <w:numPr>
                <w:ilvl w:val="0"/>
                <w:numId w:val="35"/>
              </w:numPr>
              <w:rPr>
                <w:rFonts w:ascii="Calibri" w:hAnsi="Calibri" w:cs="Calibri"/>
                <w:b w:val="0"/>
              </w:rPr>
            </w:pPr>
            <w:r w:rsidRPr="002F1917">
              <w:rPr>
                <w:rFonts w:ascii="Calibri" w:hAnsi="Calibri" w:cs="Calibri"/>
                <w:b w:val="0"/>
              </w:rPr>
              <w:t>Sports controlling bodies may have costs associated with interpreting periodic reporting, conducting investigations and audits.</w:t>
            </w:r>
          </w:p>
          <w:p w14:paraId="409C9417" w14:textId="77777777" w:rsidR="00870C3F" w:rsidRPr="002F1917" w:rsidRDefault="00870C3F" w:rsidP="00204AA1">
            <w:pPr>
              <w:pStyle w:val="BodyText"/>
              <w:numPr>
                <w:ilvl w:val="0"/>
                <w:numId w:val="35"/>
              </w:numPr>
              <w:rPr>
                <w:rFonts w:ascii="Calibri" w:hAnsi="Calibri" w:cs="Calibri"/>
              </w:rPr>
            </w:pPr>
            <w:r w:rsidRPr="002F1917">
              <w:rPr>
                <w:rFonts w:ascii="Calibri" w:hAnsi="Calibri" w:cs="Calibri"/>
                <w:b w:val="0"/>
              </w:rPr>
              <w:t>Wagering providers may have an upfront cost associated with providing data to Sport Integrity Australia and any changes to existing periodic reports provided to sport controlling bodies.</w:t>
            </w:r>
          </w:p>
          <w:p w14:paraId="51E9FF69" w14:textId="77777777" w:rsidR="00870C3F" w:rsidRPr="002F1917" w:rsidRDefault="00870C3F" w:rsidP="00204AA1">
            <w:pPr>
              <w:pStyle w:val="BodyText"/>
              <w:numPr>
                <w:ilvl w:val="0"/>
                <w:numId w:val="35"/>
              </w:numPr>
              <w:rPr>
                <w:rFonts w:ascii="Calibri" w:hAnsi="Calibri" w:cs="Calibri"/>
                <w:b w:val="0"/>
              </w:rPr>
            </w:pPr>
            <w:r w:rsidRPr="002F1917">
              <w:rPr>
                <w:rFonts w:ascii="Calibri" w:hAnsi="Calibri" w:cs="Calibri"/>
                <w:b w:val="0"/>
              </w:rPr>
              <w:t>Sport Integrity Australia would have costs associated with developing and establishing the real time platform for sports wagering data, establishing the suspicious activity alert system and intelligence function. They would also have additional costs associated with monitoring this platform and providing support in sport controlling bodies investigations when reflected.</w:t>
            </w:r>
          </w:p>
        </w:tc>
      </w:tr>
    </w:tbl>
    <w:p w14:paraId="064186A0" w14:textId="77777777" w:rsidR="00870C3F" w:rsidRPr="0082154C" w:rsidRDefault="00870C3F" w:rsidP="00204AA1">
      <w:pPr>
        <w:pStyle w:val="Heading2"/>
        <w:numPr>
          <w:ilvl w:val="1"/>
          <w:numId w:val="26"/>
        </w:numPr>
        <w:suppressAutoHyphens w:val="0"/>
        <w:spacing w:after="120" w:line="280" w:lineRule="auto"/>
        <w:rPr>
          <w:rFonts w:ascii="Calibri" w:eastAsia="MS Gothic" w:hAnsi="Calibri" w:cs="Calibri"/>
          <w:sz w:val="26"/>
          <w:lang w:val="en-US" w:eastAsia="en-AU"/>
        </w:rPr>
      </w:pPr>
      <w:bookmarkStart w:id="165" w:name="_Toc85450788"/>
      <w:bookmarkStart w:id="166" w:name="_Toc85792426"/>
      <w:r w:rsidRPr="0082154C">
        <w:rPr>
          <w:rFonts w:ascii="Calibri" w:hAnsi="Calibri" w:cs="Calibri"/>
          <w:sz w:val="26"/>
          <w:lang w:eastAsia="en-AU"/>
        </w:rPr>
        <w:t>Initial assessment of regulatory burden</w:t>
      </w:r>
      <w:bookmarkEnd w:id="165"/>
      <w:bookmarkEnd w:id="166"/>
    </w:p>
    <w:p w14:paraId="1AD66F29" w14:textId="77777777" w:rsidR="00870C3F" w:rsidRDefault="00870C3F" w:rsidP="00870C3F">
      <w:pPr>
        <w:pStyle w:val="BodyText"/>
        <w:rPr>
          <w:rFonts w:ascii="Calibri" w:hAnsi="Calibri" w:cs="Calibri"/>
          <w:lang w:val="en-US" w:eastAsia="en-AU"/>
        </w:rPr>
      </w:pPr>
      <w:r w:rsidRPr="002F1917">
        <w:rPr>
          <w:rFonts w:ascii="Calibri" w:hAnsi="Calibri" w:cs="Calibri"/>
          <w:lang w:val="en-US" w:eastAsia="en-AU"/>
        </w:rPr>
        <w:t>A key focus of preparing a Regulatory Impact Statement is to seek to ensure “that the regulatory burden for individuals, businesses and community organisations is as light and efficient as possible.”</w:t>
      </w:r>
      <w:r w:rsidRPr="002F1917">
        <w:rPr>
          <w:rStyle w:val="FootnoteReference"/>
          <w:rFonts w:ascii="Calibri" w:hAnsi="Calibri" w:cs="Calibri"/>
          <w:lang w:val="en-US" w:eastAsia="en-AU"/>
        </w:rPr>
        <w:footnoteReference w:id="19"/>
      </w:r>
      <w:r w:rsidRPr="002F1917">
        <w:rPr>
          <w:rFonts w:ascii="Calibri" w:hAnsi="Calibri" w:cs="Calibri"/>
          <w:lang w:val="en-US" w:eastAsia="en-AU"/>
        </w:rPr>
        <w:t xml:space="preserve"> While the change in regulatory burden is identified qualitatively in the initial assessment of benefits and costs, a specific estimation following the Regulatory Burden Measurement framework is required. The framework includes consideration of compliance costs (administrative and substantive compliance costs incurred) and delay cost (expenses and loss of income incurred through an application and/or approval delay).</w:t>
      </w:r>
      <w:r w:rsidRPr="002F1917">
        <w:rPr>
          <w:rStyle w:val="FootnoteReference"/>
          <w:rFonts w:ascii="Calibri" w:hAnsi="Calibri" w:cs="Calibri"/>
          <w:lang w:val="en-US" w:eastAsia="en-AU"/>
        </w:rPr>
        <w:footnoteReference w:id="20"/>
      </w:r>
    </w:p>
    <w:p w14:paraId="3A14E044" w14:textId="77777777" w:rsidR="00410069" w:rsidRDefault="00410069" w:rsidP="00870C3F">
      <w:pPr>
        <w:pStyle w:val="BodyText"/>
        <w:rPr>
          <w:rFonts w:ascii="Calibri" w:hAnsi="Calibri" w:cs="Calibri"/>
          <w:lang w:val="en-US" w:eastAsia="en-AU"/>
        </w:rPr>
      </w:pPr>
    </w:p>
    <w:p w14:paraId="015B8CB3" w14:textId="77777777" w:rsidR="00410069" w:rsidRPr="002F1917" w:rsidRDefault="00410069" w:rsidP="00870C3F">
      <w:pPr>
        <w:pStyle w:val="BodyText"/>
        <w:rPr>
          <w:rFonts w:ascii="Calibri" w:hAnsi="Calibri" w:cs="Calibri"/>
          <w:lang w:val="en-US" w:eastAsia="en-AU"/>
        </w:rPr>
      </w:pPr>
    </w:p>
    <w:p w14:paraId="2F7332DD" w14:textId="77777777" w:rsidR="00870C3F" w:rsidRPr="00410069" w:rsidRDefault="00870C3F" w:rsidP="00410069">
      <w:pPr>
        <w:pStyle w:val="Heading3"/>
        <w:rPr>
          <w:rFonts w:ascii="Calibri" w:hAnsi="Calibri" w:cs="Calibri"/>
          <w:sz w:val="20"/>
          <w:szCs w:val="28"/>
        </w:rPr>
      </w:pPr>
      <w:bookmarkStart w:id="167" w:name="_Toc85450789"/>
      <w:r w:rsidRPr="00410069">
        <w:rPr>
          <w:rFonts w:ascii="Calibri" w:hAnsi="Calibri" w:cs="Calibri"/>
          <w:sz w:val="20"/>
          <w:szCs w:val="28"/>
        </w:rPr>
        <w:lastRenderedPageBreak/>
        <w:t>Accreditation and licensing of bodies</w:t>
      </w:r>
      <w:bookmarkEnd w:id="167"/>
    </w:p>
    <w:p w14:paraId="71732040" w14:textId="77777777" w:rsidR="00870C3F" w:rsidRPr="00410069" w:rsidRDefault="00870C3F" w:rsidP="00410069">
      <w:pPr>
        <w:rPr>
          <w:rFonts w:ascii="Calibri" w:hAnsi="Calibri" w:cs="Calibri"/>
          <w:sz w:val="22"/>
          <w:szCs w:val="20"/>
          <w:lang w:val="en-US"/>
        </w:rPr>
      </w:pPr>
      <w:bookmarkStart w:id="168" w:name="_Ref84857192"/>
      <w:r w:rsidRPr="00410069">
        <w:rPr>
          <w:rFonts w:ascii="Calibri" w:hAnsi="Calibri" w:cs="Calibri"/>
          <w:sz w:val="20"/>
          <w:szCs w:val="20"/>
        </w:rPr>
        <w:t xml:space="preserve">Table </w:t>
      </w:r>
      <w:r w:rsidR="00437FE2" w:rsidRPr="00410069">
        <w:rPr>
          <w:rFonts w:ascii="Calibri" w:hAnsi="Calibri" w:cs="Calibri"/>
          <w:sz w:val="20"/>
          <w:szCs w:val="20"/>
        </w:rPr>
        <w:fldChar w:fldCharType="begin"/>
      </w:r>
      <w:r w:rsidR="00437FE2" w:rsidRPr="00410069">
        <w:rPr>
          <w:rFonts w:ascii="Calibri" w:hAnsi="Calibri" w:cs="Calibri"/>
          <w:sz w:val="20"/>
          <w:szCs w:val="20"/>
        </w:rPr>
        <w:instrText xml:space="preserve"> SEQ Table \* ARABIC </w:instrText>
      </w:r>
      <w:r w:rsidR="00437FE2" w:rsidRPr="00410069">
        <w:rPr>
          <w:rFonts w:ascii="Calibri" w:hAnsi="Calibri" w:cs="Calibri"/>
          <w:sz w:val="20"/>
          <w:szCs w:val="20"/>
        </w:rPr>
        <w:fldChar w:fldCharType="separate"/>
      </w:r>
      <w:r w:rsidRPr="00410069">
        <w:rPr>
          <w:rFonts w:ascii="Calibri" w:hAnsi="Calibri" w:cs="Calibri"/>
          <w:noProof/>
          <w:sz w:val="20"/>
          <w:szCs w:val="20"/>
        </w:rPr>
        <w:t>7</w:t>
      </w:r>
      <w:r w:rsidR="00437FE2" w:rsidRPr="00410069">
        <w:rPr>
          <w:rFonts w:ascii="Calibri" w:hAnsi="Calibri" w:cs="Calibri"/>
          <w:noProof/>
          <w:sz w:val="20"/>
          <w:szCs w:val="20"/>
        </w:rPr>
        <w:fldChar w:fldCharType="end"/>
      </w:r>
      <w:bookmarkEnd w:id="168"/>
      <w:r w:rsidRPr="00410069">
        <w:rPr>
          <w:rFonts w:ascii="Calibri" w:hAnsi="Calibri" w:cs="Calibri"/>
          <w:sz w:val="20"/>
          <w:szCs w:val="20"/>
        </w:rPr>
        <w:t>: Estimated change in annual regulatory burden from changes to accreditation and licensing of bodies, by option</w:t>
      </w:r>
    </w:p>
    <w:tbl>
      <w:tblPr>
        <w:tblStyle w:val="ListTable3-Accent3"/>
        <w:tblW w:w="0" w:type="auto"/>
        <w:tblInd w:w="0" w:type="dxa"/>
        <w:tblLook w:val="04A0" w:firstRow="1" w:lastRow="0" w:firstColumn="1" w:lastColumn="0" w:noHBand="0" w:noVBand="1"/>
      </w:tblPr>
      <w:tblGrid>
        <w:gridCol w:w="1810"/>
        <w:gridCol w:w="1811"/>
        <w:gridCol w:w="1811"/>
        <w:gridCol w:w="1811"/>
        <w:gridCol w:w="1811"/>
      </w:tblGrid>
      <w:tr w:rsidR="00870C3F" w:rsidRPr="002F1917" w14:paraId="080570E2" w14:textId="77777777" w:rsidTr="00870C3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10" w:type="dxa"/>
            <w:tcBorders>
              <w:top w:val="single" w:sz="4" w:space="0" w:color="88D6DD" w:themeColor="accent3"/>
              <w:left w:val="single" w:sz="4" w:space="0" w:color="88D6DD" w:themeColor="accent3"/>
            </w:tcBorders>
            <w:hideMark/>
          </w:tcPr>
          <w:p w14:paraId="68A91A87" w14:textId="77777777" w:rsidR="00870C3F" w:rsidRPr="00907E12" w:rsidRDefault="00870C3F">
            <w:pPr>
              <w:pStyle w:val="BodyText"/>
              <w:rPr>
                <w:rFonts w:ascii="Calibri" w:hAnsi="Calibri" w:cs="Calibri"/>
                <w:color w:val="000000" w:themeColor="text1"/>
                <w:lang w:val="en-US" w:eastAsia="en-AU"/>
              </w:rPr>
            </w:pPr>
            <w:r w:rsidRPr="00907E12">
              <w:rPr>
                <w:rFonts w:ascii="Calibri" w:hAnsi="Calibri" w:cs="Calibri"/>
                <w:color w:val="000000" w:themeColor="text1"/>
                <w:lang w:val="en-US"/>
              </w:rPr>
              <w:t>Options</w:t>
            </w:r>
          </w:p>
        </w:tc>
        <w:tc>
          <w:tcPr>
            <w:tcW w:w="1811" w:type="dxa"/>
            <w:tcBorders>
              <w:top w:val="single" w:sz="4" w:space="0" w:color="88D6DD" w:themeColor="accent3"/>
              <w:left w:val="nil"/>
              <w:bottom w:val="nil"/>
              <w:right w:val="nil"/>
            </w:tcBorders>
            <w:hideMark/>
          </w:tcPr>
          <w:p w14:paraId="3A6BA0CF" w14:textId="77777777" w:rsidR="00870C3F" w:rsidRPr="00907E12" w:rsidRDefault="00870C3F">
            <w:pPr>
              <w:pStyle w:val="BodyText"/>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lang w:val="en-US" w:eastAsia="en-AU"/>
              </w:rPr>
            </w:pPr>
            <w:r w:rsidRPr="00907E12">
              <w:rPr>
                <w:rFonts w:ascii="Calibri" w:hAnsi="Calibri" w:cs="Calibri"/>
                <w:color w:val="000000" w:themeColor="text1"/>
                <w:lang w:val="en-US" w:eastAsia="en-AU"/>
              </w:rPr>
              <w:t>Businesses</w:t>
            </w:r>
          </w:p>
        </w:tc>
        <w:tc>
          <w:tcPr>
            <w:tcW w:w="1811" w:type="dxa"/>
            <w:tcBorders>
              <w:top w:val="single" w:sz="4" w:space="0" w:color="88D6DD" w:themeColor="accent3"/>
              <w:left w:val="nil"/>
              <w:bottom w:val="nil"/>
              <w:right w:val="nil"/>
            </w:tcBorders>
            <w:hideMark/>
          </w:tcPr>
          <w:p w14:paraId="4E04F107" w14:textId="77777777" w:rsidR="00870C3F" w:rsidRPr="00907E12" w:rsidRDefault="00870C3F">
            <w:pPr>
              <w:pStyle w:val="BodyText"/>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lang w:val="en-US" w:eastAsia="en-AU"/>
              </w:rPr>
            </w:pPr>
            <w:r w:rsidRPr="00907E12">
              <w:rPr>
                <w:rFonts w:ascii="Calibri" w:hAnsi="Calibri" w:cs="Calibri"/>
                <w:color w:val="000000" w:themeColor="text1"/>
                <w:lang w:val="en-US" w:eastAsia="en-AU"/>
              </w:rPr>
              <w:t>Community organisations</w:t>
            </w:r>
          </w:p>
        </w:tc>
        <w:tc>
          <w:tcPr>
            <w:tcW w:w="1811" w:type="dxa"/>
            <w:tcBorders>
              <w:top w:val="single" w:sz="4" w:space="0" w:color="88D6DD" w:themeColor="accent3"/>
              <w:left w:val="nil"/>
              <w:bottom w:val="nil"/>
              <w:right w:val="nil"/>
            </w:tcBorders>
            <w:hideMark/>
          </w:tcPr>
          <w:p w14:paraId="2E9F6C7D" w14:textId="77777777" w:rsidR="00870C3F" w:rsidRPr="00907E12" w:rsidRDefault="00870C3F">
            <w:pPr>
              <w:pStyle w:val="BodyText"/>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lang w:val="en-US" w:eastAsia="en-AU"/>
              </w:rPr>
            </w:pPr>
            <w:r w:rsidRPr="00907E12">
              <w:rPr>
                <w:rFonts w:ascii="Calibri" w:hAnsi="Calibri" w:cs="Calibri"/>
                <w:color w:val="000000" w:themeColor="text1"/>
                <w:lang w:val="en-US" w:eastAsia="en-AU"/>
              </w:rPr>
              <w:t>Individuals</w:t>
            </w:r>
          </w:p>
        </w:tc>
        <w:tc>
          <w:tcPr>
            <w:tcW w:w="1811" w:type="dxa"/>
            <w:tcBorders>
              <w:top w:val="single" w:sz="4" w:space="0" w:color="88D6DD" w:themeColor="accent3"/>
              <w:left w:val="nil"/>
              <w:bottom w:val="nil"/>
              <w:right w:val="single" w:sz="4" w:space="0" w:color="88D6DD" w:themeColor="accent3"/>
            </w:tcBorders>
            <w:hideMark/>
          </w:tcPr>
          <w:p w14:paraId="3511D42C" w14:textId="77777777" w:rsidR="00870C3F" w:rsidRPr="00907E12" w:rsidRDefault="00870C3F">
            <w:pPr>
              <w:pStyle w:val="BodyText"/>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lang w:val="en-US" w:eastAsia="en-AU"/>
              </w:rPr>
            </w:pPr>
            <w:r w:rsidRPr="00907E12">
              <w:rPr>
                <w:rFonts w:ascii="Calibri" w:hAnsi="Calibri" w:cs="Calibri"/>
                <w:color w:val="000000" w:themeColor="text1"/>
                <w:lang w:val="en-US" w:eastAsia="en-AU"/>
              </w:rPr>
              <w:t>Total</w:t>
            </w:r>
          </w:p>
        </w:tc>
      </w:tr>
      <w:tr w:rsidR="00870C3F" w:rsidRPr="002F1917" w14:paraId="035C6FA9" w14:textId="77777777" w:rsidTr="00870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Borders>
              <w:left w:val="single" w:sz="4" w:space="0" w:color="88D6DD" w:themeColor="accent3"/>
            </w:tcBorders>
            <w:hideMark/>
          </w:tcPr>
          <w:p w14:paraId="53C839DC" w14:textId="77777777" w:rsidR="00870C3F" w:rsidRPr="002F1917" w:rsidRDefault="00870C3F">
            <w:pPr>
              <w:pStyle w:val="BodyText"/>
              <w:jc w:val="left"/>
              <w:rPr>
                <w:rFonts w:ascii="Calibri" w:hAnsi="Calibri" w:cs="Calibri"/>
                <w:lang w:val="en-US" w:eastAsia="en-AU"/>
              </w:rPr>
            </w:pPr>
            <w:r w:rsidRPr="002F1917">
              <w:rPr>
                <w:rFonts w:ascii="Calibri" w:hAnsi="Calibri" w:cs="Calibri"/>
                <w:lang w:val="en-US" w:eastAsia="en-AU"/>
              </w:rPr>
              <w:t>Base Case</w:t>
            </w:r>
          </w:p>
        </w:tc>
        <w:tc>
          <w:tcPr>
            <w:tcW w:w="1811" w:type="dxa"/>
            <w:tcBorders>
              <w:left w:val="nil"/>
              <w:right w:val="nil"/>
            </w:tcBorders>
            <w:hideMark/>
          </w:tcPr>
          <w:p w14:paraId="436089C2" w14:textId="77777777" w:rsidR="00870C3F" w:rsidRPr="002F1917" w:rsidRDefault="00870C3F">
            <w:pPr>
              <w:pStyle w:val="BodyText"/>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$104,529</w:t>
            </w:r>
          </w:p>
        </w:tc>
        <w:tc>
          <w:tcPr>
            <w:tcW w:w="1811" w:type="dxa"/>
            <w:tcBorders>
              <w:left w:val="nil"/>
              <w:right w:val="nil"/>
            </w:tcBorders>
            <w:hideMark/>
          </w:tcPr>
          <w:p w14:paraId="6991B356" w14:textId="77777777" w:rsidR="00870C3F" w:rsidRPr="002F1917" w:rsidRDefault="00870C3F">
            <w:pPr>
              <w:pStyle w:val="BodyText"/>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w:t>
            </w:r>
          </w:p>
        </w:tc>
        <w:tc>
          <w:tcPr>
            <w:tcW w:w="1811" w:type="dxa"/>
            <w:tcBorders>
              <w:left w:val="nil"/>
              <w:right w:val="nil"/>
            </w:tcBorders>
            <w:hideMark/>
          </w:tcPr>
          <w:p w14:paraId="1599DE9C" w14:textId="77777777" w:rsidR="00870C3F" w:rsidRPr="002F1917" w:rsidRDefault="00870C3F">
            <w:pPr>
              <w:pStyle w:val="BodyText"/>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w:t>
            </w:r>
          </w:p>
        </w:tc>
        <w:tc>
          <w:tcPr>
            <w:tcW w:w="1811" w:type="dxa"/>
            <w:tcBorders>
              <w:left w:val="nil"/>
              <w:right w:val="single" w:sz="4" w:space="0" w:color="88D6DD" w:themeColor="accent3"/>
            </w:tcBorders>
            <w:hideMark/>
          </w:tcPr>
          <w:p w14:paraId="4AFDBD85" w14:textId="77777777" w:rsidR="00870C3F" w:rsidRPr="002F1917" w:rsidRDefault="00870C3F">
            <w:pPr>
              <w:pStyle w:val="BodyText"/>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$104,529</w:t>
            </w:r>
          </w:p>
        </w:tc>
      </w:tr>
      <w:tr w:rsidR="00870C3F" w:rsidRPr="002F1917" w14:paraId="27F39D90" w14:textId="77777777" w:rsidTr="00870C3F">
        <w:tc>
          <w:tcPr>
            <w:cnfStyle w:val="001000000000" w:firstRow="0" w:lastRow="0" w:firstColumn="1" w:lastColumn="0" w:oddVBand="0" w:evenVBand="0" w:oddHBand="0" w:evenHBand="0" w:firstRowFirstColumn="0" w:firstRowLastColumn="0" w:lastRowFirstColumn="0" w:lastRowLastColumn="0"/>
            <w:tcW w:w="1810" w:type="dxa"/>
            <w:tcBorders>
              <w:top w:val="nil"/>
              <w:left w:val="single" w:sz="4" w:space="0" w:color="88D6DD" w:themeColor="accent3"/>
              <w:bottom w:val="nil"/>
            </w:tcBorders>
            <w:hideMark/>
          </w:tcPr>
          <w:p w14:paraId="0C345FCB" w14:textId="77777777" w:rsidR="00870C3F" w:rsidRPr="002F1917" w:rsidRDefault="00870C3F">
            <w:pPr>
              <w:pStyle w:val="BodyText"/>
              <w:jc w:val="left"/>
              <w:rPr>
                <w:rFonts w:ascii="Calibri" w:hAnsi="Calibri" w:cs="Calibri"/>
                <w:lang w:val="en-US" w:eastAsia="en-AU"/>
              </w:rPr>
            </w:pPr>
            <w:r w:rsidRPr="002F1917">
              <w:rPr>
                <w:rFonts w:ascii="Calibri" w:hAnsi="Calibri" w:cs="Calibri"/>
                <w:lang w:val="en-US" w:eastAsia="en-AU"/>
              </w:rPr>
              <w:t>Option 1 - Streamlining</w:t>
            </w:r>
          </w:p>
        </w:tc>
        <w:tc>
          <w:tcPr>
            <w:tcW w:w="1811" w:type="dxa"/>
            <w:tcBorders>
              <w:top w:val="nil"/>
              <w:left w:val="nil"/>
              <w:bottom w:val="nil"/>
              <w:right w:val="nil"/>
            </w:tcBorders>
            <w:hideMark/>
          </w:tcPr>
          <w:p w14:paraId="504BA777" w14:textId="77777777" w:rsidR="00870C3F" w:rsidRPr="002F1917" w:rsidRDefault="00870C3F">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$68,346</w:t>
            </w:r>
          </w:p>
        </w:tc>
        <w:tc>
          <w:tcPr>
            <w:tcW w:w="1811" w:type="dxa"/>
            <w:tcBorders>
              <w:top w:val="nil"/>
              <w:left w:val="nil"/>
              <w:bottom w:val="nil"/>
              <w:right w:val="nil"/>
            </w:tcBorders>
            <w:hideMark/>
          </w:tcPr>
          <w:p w14:paraId="01646D55" w14:textId="77777777" w:rsidR="00870C3F" w:rsidRPr="002F1917" w:rsidRDefault="00870C3F">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w:t>
            </w:r>
          </w:p>
        </w:tc>
        <w:tc>
          <w:tcPr>
            <w:tcW w:w="1811" w:type="dxa"/>
            <w:tcBorders>
              <w:top w:val="nil"/>
              <w:left w:val="nil"/>
              <w:bottom w:val="nil"/>
              <w:right w:val="nil"/>
            </w:tcBorders>
            <w:hideMark/>
          </w:tcPr>
          <w:p w14:paraId="04C2F4FA" w14:textId="77777777" w:rsidR="00870C3F" w:rsidRPr="002F1917" w:rsidRDefault="00870C3F">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w:t>
            </w:r>
          </w:p>
        </w:tc>
        <w:tc>
          <w:tcPr>
            <w:tcW w:w="1811" w:type="dxa"/>
            <w:tcBorders>
              <w:top w:val="nil"/>
              <w:left w:val="nil"/>
              <w:bottom w:val="nil"/>
              <w:right w:val="single" w:sz="4" w:space="0" w:color="88D6DD" w:themeColor="accent3"/>
            </w:tcBorders>
            <w:hideMark/>
          </w:tcPr>
          <w:p w14:paraId="463CDCE8" w14:textId="77777777" w:rsidR="00870C3F" w:rsidRPr="002F1917" w:rsidRDefault="00870C3F">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$68,346</w:t>
            </w:r>
          </w:p>
        </w:tc>
      </w:tr>
      <w:tr w:rsidR="00870C3F" w:rsidRPr="002F1917" w14:paraId="2B6A0620" w14:textId="77777777" w:rsidTr="00870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Borders>
              <w:left w:val="single" w:sz="4" w:space="0" w:color="88D6DD" w:themeColor="accent3"/>
            </w:tcBorders>
            <w:hideMark/>
          </w:tcPr>
          <w:p w14:paraId="47F05968" w14:textId="77777777" w:rsidR="00870C3F" w:rsidRPr="002F1917" w:rsidRDefault="00870C3F">
            <w:pPr>
              <w:pStyle w:val="BodyText"/>
              <w:jc w:val="left"/>
              <w:rPr>
                <w:rFonts w:ascii="Calibri" w:hAnsi="Calibri" w:cs="Calibri"/>
                <w:lang w:val="en-US" w:eastAsia="en-AU"/>
              </w:rPr>
            </w:pPr>
            <w:r w:rsidRPr="002F1917">
              <w:rPr>
                <w:rFonts w:ascii="Calibri" w:hAnsi="Calibri" w:cs="Calibri"/>
                <w:lang w:val="en-US" w:eastAsia="en-AU"/>
              </w:rPr>
              <w:t>Change in regulatory costs in Option 1</w:t>
            </w:r>
          </w:p>
        </w:tc>
        <w:tc>
          <w:tcPr>
            <w:tcW w:w="1811" w:type="dxa"/>
            <w:tcBorders>
              <w:left w:val="nil"/>
              <w:right w:val="nil"/>
            </w:tcBorders>
            <w:hideMark/>
          </w:tcPr>
          <w:p w14:paraId="6AA2B82E" w14:textId="77777777" w:rsidR="00870C3F" w:rsidRPr="002F1917" w:rsidRDefault="00870C3F">
            <w:pPr>
              <w:pStyle w:val="BodyText"/>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-$36,183</w:t>
            </w:r>
          </w:p>
        </w:tc>
        <w:tc>
          <w:tcPr>
            <w:tcW w:w="1811" w:type="dxa"/>
            <w:tcBorders>
              <w:left w:val="nil"/>
              <w:right w:val="nil"/>
            </w:tcBorders>
            <w:hideMark/>
          </w:tcPr>
          <w:p w14:paraId="7F80AEE6" w14:textId="77777777" w:rsidR="00870C3F" w:rsidRPr="002F1917" w:rsidRDefault="00870C3F">
            <w:pPr>
              <w:pStyle w:val="BodyText"/>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w:t>
            </w:r>
          </w:p>
        </w:tc>
        <w:tc>
          <w:tcPr>
            <w:tcW w:w="1811" w:type="dxa"/>
            <w:tcBorders>
              <w:left w:val="nil"/>
              <w:right w:val="nil"/>
            </w:tcBorders>
            <w:hideMark/>
          </w:tcPr>
          <w:p w14:paraId="06C2A6DE" w14:textId="77777777" w:rsidR="00870C3F" w:rsidRPr="002F1917" w:rsidRDefault="00870C3F">
            <w:pPr>
              <w:pStyle w:val="BodyText"/>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w:t>
            </w:r>
          </w:p>
        </w:tc>
        <w:tc>
          <w:tcPr>
            <w:tcW w:w="1811" w:type="dxa"/>
            <w:tcBorders>
              <w:left w:val="nil"/>
              <w:right w:val="single" w:sz="4" w:space="0" w:color="88D6DD" w:themeColor="accent3"/>
            </w:tcBorders>
            <w:hideMark/>
          </w:tcPr>
          <w:p w14:paraId="7488491E" w14:textId="77777777" w:rsidR="00870C3F" w:rsidRPr="002F1917" w:rsidRDefault="00870C3F">
            <w:pPr>
              <w:pStyle w:val="BodyText"/>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-$36,163</w:t>
            </w:r>
          </w:p>
        </w:tc>
      </w:tr>
    </w:tbl>
    <w:p w14:paraId="1D79C7C7" w14:textId="27269F14" w:rsidR="00870C3F" w:rsidRPr="002F1917" w:rsidRDefault="00870C3F" w:rsidP="00870C3F">
      <w:pPr>
        <w:pStyle w:val="BodyText"/>
        <w:rPr>
          <w:rFonts w:ascii="Calibri" w:hAnsi="Calibri" w:cs="Calibri"/>
          <w:lang w:val="en-US" w:eastAsia="en-AU"/>
        </w:rPr>
      </w:pPr>
      <w:r w:rsidRPr="002F1917">
        <w:rPr>
          <w:rFonts w:ascii="Calibri" w:hAnsi="Calibri" w:cs="Calibri"/>
          <w:lang w:val="en-US" w:eastAsia="en-AU"/>
        </w:rPr>
        <w:t xml:space="preserve">The following data and assumptions fed into the calculation in </w:t>
      </w:r>
      <w:r w:rsidRPr="002F1917">
        <w:rPr>
          <w:rFonts w:ascii="Calibri" w:hAnsi="Calibri" w:cs="Calibri"/>
        </w:rPr>
        <w:fldChar w:fldCharType="begin"/>
      </w:r>
      <w:r w:rsidRPr="002F1917">
        <w:rPr>
          <w:rFonts w:ascii="Calibri" w:hAnsi="Calibri" w:cs="Calibri"/>
          <w:lang w:val="en-US" w:eastAsia="en-AU"/>
        </w:rPr>
        <w:instrText xml:space="preserve"> REF _Ref84857192 \h </w:instrText>
      </w:r>
      <w:r w:rsidR="002F1917">
        <w:rPr>
          <w:rFonts w:ascii="Calibri" w:hAnsi="Calibri" w:cs="Calibri"/>
        </w:rPr>
        <w:instrText xml:space="preserve"> \* MERGEFORMAT </w:instrText>
      </w:r>
      <w:r w:rsidRPr="002F1917">
        <w:rPr>
          <w:rFonts w:ascii="Calibri" w:hAnsi="Calibri" w:cs="Calibri"/>
        </w:rPr>
      </w:r>
      <w:r w:rsidRPr="002F1917">
        <w:rPr>
          <w:rFonts w:ascii="Calibri" w:hAnsi="Calibri" w:cs="Calibri"/>
        </w:rPr>
        <w:fldChar w:fldCharType="separate"/>
      </w:r>
      <w:r w:rsidRPr="002F1917">
        <w:rPr>
          <w:rFonts w:ascii="Calibri" w:hAnsi="Calibri" w:cs="Calibri"/>
        </w:rPr>
        <w:t xml:space="preserve">Table </w:t>
      </w:r>
      <w:r w:rsidRPr="002F1917">
        <w:rPr>
          <w:rFonts w:ascii="Calibri" w:hAnsi="Calibri" w:cs="Calibri"/>
          <w:noProof/>
        </w:rPr>
        <w:t>7</w:t>
      </w:r>
      <w:r w:rsidRPr="002F1917">
        <w:rPr>
          <w:rFonts w:ascii="Calibri" w:hAnsi="Calibri" w:cs="Calibri"/>
        </w:rPr>
        <w:fldChar w:fldCharType="end"/>
      </w:r>
      <w:r w:rsidRPr="002F1917">
        <w:rPr>
          <w:rFonts w:ascii="Calibri" w:hAnsi="Calibri" w:cs="Calibri"/>
          <w:lang w:val="en-US" w:eastAsia="en-AU"/>
        </w:rPr>
        <w:t>:</w:t>
      </w:r>
    </w:p>
    <w:p w14:paraId="63F1E213" w14:textId="77777777" w:rsidR="00870C3F" w:rsidRPr="002F1917" w:rsidRDefault="00870C3F" w:rsidP="00870C3F">
      <w:pPr>
        <w:pStyle w:val="ListBullet1"/>
        <w:rPr>
          <w:rFonts w:ascii="Calibri" w:hAnsi="Calibri" w:cs="Calibri"/>
          <w:lang w:eastAsia="en-AU"/>
        </w:rPr>
      </w:pPr>
      <w:r w:rsidRPr="002F1917">
        <w:rPr>
          <w:rFonts w:ascii="Calibri" w:hAnsi="Calibri" w:cs="Calibri"/>
          <w:lang w:eastAsia="en-AU"/>
        </w:rPr>
        <w:t>There are 12 recognised sport controlling bodies in Victoria and 9 in New South Wales.</w:t>
      </w:r>
    </w:p>
    <w:p w14:paraId="517AE95D" w14:textId="77777777" w:rsidR="00870C3F" w:rsidRPr="002F1917" w:rsidRDefault="00870C3F" w:rsidP="00870C3F">
      <w:pPr>
        <w:pStyle w:val="ListBullet1"/>
        <w:rPr>
          <w:rFonts w:ascii="Calibri" w:hAnsi="Calibri" w:cs="Calibri"/>
          <w:lang w:eastAsia="en-AU"/>
        </w:rPr>
      </w:pPr>
      <w:r w:rsidRPr="002F1917">
        <w:rPr>
          <w:rFonts w:ascii="Calibri" w:hAnsi="Calibri" w:cs="Calibri"/>
          <w:lang w:eastAsia="en-AU"/>
        </w:rPr>
        <w:t>One additional sport controller seeks sport controlling body status in a typical year.</w:t>
      </w:r>
    </w:p>
    <w:p w14:paraId="7357754A" w14:textId="77777777" w:rsidR="00870C3F" w:rsidRPr="002F1917" w:rsidRDefault="00870C3F" w:rsidP="00870C3F">
      <w:pPr>
        <w:pStyle w:val="ListBullet1"/>
        <w:rPr>
          <w:rFonts w:ascii="Calibri" w:hAnsi="Calibri" w:cs="Calibri"/>
          <w:lang w:eastAsia="en-AU"/>
        </w:rPr>
      </w:pPr>
      <w:r w:rsidRPr="002F1917">
        <w:rPr>
          <w:rFonts w:ascii="Calibri" w:hAnsi="Calibri" w:cs="Calibri"/>
          <w:lang w:eastAsia="en-AU"/>
        </w:rPr>
        <w:t>Five event organisers apply for event controlling body status in a typical year.</w:t>
      </w:r>
    </w:p>
    <w:p w14:paraId="7D3B9649" w14:textId="77777777" w:rsidR="00870C3F" w:rsidRPr="002F1917" w:rsidRDefault="00870C3F" w:rsidP="00870C3F">
      <w:pPr>
        <w:pStyle w:val="ListBullet1"/>
        <w:rPr>
          <w:rFonts w:ascii="Calibri" w:hAnsi="Calibri" w:cs="Calibri"/>
          <w:lang w:eastAsia="en-AU"/>
        </w:rPr>
      </w:pPr>
      <w:r w:rsidRPr="002F1917">
        <w:rPr>
          <w:rFonts w:ascii="Calibri" w:hAnsi="Calibri" w:cs="Calibri"/>
          <w:lang w:eastAsia="en-AU"/>
        </w:rPr>
        <w:t xml:space="preserve">A total of 80 hours per annum taken for current sport controlling bodies to comply with Vic and NSW requirements in base case (40 hours to comply with Vic requirements and 40 </w:t>
      </w:r>
      <w:proofErr w:type="gramStart"/>
      <w:r w:rsidRPr="002F1917">
        <w:rPr>
          <w:rFonts w:ascii="Calibri" w:hAnsi="Calibri" w:cs="Calibri"/>
          <w:lang w:eastAsia="en-AU"/>
        </w:rPr>
        <w:t>hours  to</w:t>
      </w:r>
      <w:proofErr w:type="gramEnd"/>
      <w:r w:rsidRPr="002F1917">
        <w:rPr>
          <w:rFonts w:ascii="Calibri" w:hAnsi="Calibri" w:cs="Calibri"/>
          <w:lang w:eastAsia="en-AU"/>
        </w:rPr>
        <w:t xml:space="preserve"> comply with NSW requirements)</w:t>
      </w:r>
    </w:p>
    <w:p w14:paraId="720158D7" w14:textId="77777777" w:rsidR="00870C3F" w:rsidRPr="002F1917" w:rsidRDefault="00870C3F" w:rsidP="00870C3F">
      <w:pPr>
        <w:pStyle w:val="ListBullet1"/>
        <w:rPr>
          <w:rFonts w:ascii="Calibri" w:hAnsi="Calibri" w:cs="Calibri"/>
          <w:lang w:eastAsia="en-AU"/>
        </w:rPr>
      </w:pPr>
      <w:r w:rsidRPr="002F1917">
        <w:rPr>
          <w:rFonts w:ascii="Calibri" w:hAnsi="Calibri" w:cs="Calibri"/>
          <w:lang w:eastAsia="en-AU"/>
        </w:rPr>
        <w:t>A total of 40 hours taken for currents sport controlling bodies to comply Sport Integrity Australia requirements in Option 1</w:t>
      </w:r>
    </w:p>
    <w:p w14:paraId="38BA26B8" w14:textId="77777777" w:rsidR="00870C3F" w:rsidRPr="002F1917" w:rsidRDefault="00870C3F" w:rsidP="00870C3F">
      <w:pPr>
        <w:pStyle w:val="ListBullet1"/>
        <w:rPr>
          <w:rFonts w:ascii="Calibri" w:hAnsi="Calibri" w:cs="Calibri"/>
          <w:lang w:eastAsia="en-AU"/>
        </w:rPr>
      </w:pPr>
      <w:r w:rsidRPr="002F1917">
        <w:rPr>
          <w:rFonts w:ascii="Calibri" w:hAnsi="Calibri" w:cs="Calibri"/>
          <w:lang w:eastAsia="en-AU"/>
        </w:rPr>
        <w:t xml:space="preserve">160 hours taken for prospective sport controlling bodies to apply to Vic and NSW for sport controlling </w:t>
      </w:r>
      <w:proofErr w:type="gramStart"/>
      <w:r w:rsidRPr="002F1917">
        <w:rPr>
          <w:rFonts w:ascii="Calibri" w:hAnsi="Calibri" w:cs="Calibri"/>
          <w:lang w:eastAsia="en-AU"/>
        </w:rPr>
        <w:t>body  accreditation</w:t>
      </w:r>
      <w:proofErr w:type="gramEnd"/>
      <w:r w:rsidRPr="002F1917">
        <w:rPr>
          <w:rFonts w:ascii="Calibri" w:hAnsi="Calibri" w:cs="Calibri"/>
          <w:lang w:eastAsia="en-AU"/>
        </w:rPr>
        <w:t xml:space="preserve"> in base case (80 hours to apply in Vic and 80 hours to apply in NSW)</w:t>
      </w:r>
    </w:p>
    <w:p w14:paraId="586C2900" w14:textId="77777777" w:rsidR="00870C3F" w:rsidRPr="002F1917" w:rsidRDefault="00870C3F" w:rsidP="00870C3F">
      <w:pPr>
        <w:pStyle w:val="ListBullet1"/>
        <w:rPr>
          <w:rFonts w:ascii="Calibri" w:hAnsi="Calibri" w:cs="Calibri"/>
          <w:lang w:eastAsia="en-AU"/>
        </w:rPr>
      </w:pPr>
      <w:r w:rsidRPr="002F1917">
        <w:rPr>
          <w:rFonts w:ascii="Calibri" w:hAnsi="Calibri" w:cs="Calibri"/>
          <w:lang w:eastAsia="en-AU"/>
        </w:rPr>
        <w:t>60 hours taken for prospective sport controlling bodies to apply to SIA in Option 1.</w:t>
      </w:r>
    </w:p>
    <w:p w14:paraId="486DBBC4" w14:textId="77777777" w:rsidR="00870C3F" w:rsidRPr="002F1917" w:rsidRDefault="00870C3F" w:rsidP="00870C3F">
      <w:pPr>
        <w:pStyle w:val="ListBullet1"/>
        <w:rPr>
          <w:rFonts w:ascii="Calibri" w:hAnsi="Calibri" w:cs="Calibri"/>
          <w:lang w:eastAsia="en-AU"/>
        </w:rPr>
      </w:pPr>
      <w:r w:rsidRPr="002F1917">
        <w:rPr>
          <w:rFonts w:ascii="Calibri" w:hAnsi="Calibri" w:cs="Calibri"/>
          <w:lang w:eastAsia="en-AU"/>
        </w:rPr>
        <w:t>20 hours taken for prospective event controlling bodies to apply to SIA in Option 1.</w:t>
      </w:r>
    </w:p>
    <w:p w14:paraId="34C93515" w14:textId="77777777" w:rsidR="00870C3F" w:rsidRPr="002F1917" w:rsidRDefault="00870C3F" w:rsidP="00870C3F">
      <w:pPr>
        <w:pStyle w:val="ListBullet1"/>
        <w:rPr>
          <w:rFonts w:ascii="Calibri" w:hAnsi="Calibri" w:cs="Calibri"/>
          <w:lang w:eastAsia="en-AU"/>
        </w:rPr>
      </w:pPr>
      <w:r w:rsidRPr="002F1917">
        <w:rPr>
          <w:rFonts w:ascii="Calibri" w:hAnsi="Calibri" w:cs="Calibri"/>
          <w:lang w:eastAsia="en-AU"/>
        </w:rPr>
        <w:t>Based on an average hourly wage of $57.43 and 75% overheads and on costs.</w:t>
      </w:r>
      <w:r w:rsidRPr="002F1917">
        <w:rPr>
          <w:rStyle w:val="FootnoteReference"/>
          <w:rFonts w:ascii="Calibri" w:hAnsi="Calibri" w:cs="Calibri"/>
          <w:lang w:eastAsia="en-AU"/>
        </w:rPr>
        <w:footnoteReference w:id="21"/>
      </w:r>
    </w:p>
    <w:p w14:paraId="2606292B" w14:textId="77777777" w:rsidR="00870C3F" w:rsidRPr="00410069" w:rsidRDefault="00870C3F" w:rsidP="00410069">
      <w:pPr>
        <w:pStyle w:val="Heading3"/>
        <w:rPr>
          <w:rFonts w:ascii="Calibri" w:hAnsi="Calibri" w:cs="Calibri"/>
          <w:sz w:val="20"/>
          <w:szCs w:val="28"/>
        </w:rPr>
      </w:pPr>
      <w:bookmarkStart w:id="169" w:name="_Toc85450790"/>
      <w:r w:rsidRPr="00410069">
        <w:rPr>
          <w:rFonts w:ascii="Calibri" w:hAnsi="Calibri" w:cs="Calibri"/>
          <w:sz w:val="20"/>
          <w:szCs w:val="28"/>
        </w:rPr>
        <w:t>Recognition of markets and contingencies</w:t>
      </w:r>
      <w:bookmarkEnd w:id="169"/>
    </w:p>
    <w:p w14:paraId="5566157C" w14:textId="77777777" w:rsidR="00870C3F" w:rsidRPr="002F1917" w:rsidRDefault="00870C3F" w:rsidP="00870C3F">
      <w:pPr>
        <w:pStyle w:val="BodyText"/>
        <w:rPr>
          <w:rFonts w:ascii="Calibri" w:hAnsi="Calibri" w:cs="Calibri"/>
          <w:lang w:val="en-US" w:eastAsia="en-AU"/>
        </w:rPr>
      </w:pPr>
      <w:r w:rsidRPr="002F1917">
        <w:rPr>
          <w:rFonts w:ascii="Calibri" w:hAnsi="Calibri" w:cs="Calibri"/>
          <w:lang w:val="en-US" w:eastAsia="en-AU"/>
        </w:rPr>
        <w:t xml:space="preserve">The direct costs of a </w:t>
      </w:r>
      <w:proofErr w:type="gramStart"/>
      <w:r w:rsidRPr="002F1917">
        <w:rPr>
          <w:rFonts w:ascii="Calibri" w:hAnsi="Calibri" w:cs="Calibri"/>
          <w:lang w:val="en-US" w:eastAsia="en-AU"/>
        </w:rPr>
        <w:t>National</w:t>
      </w:r>
      <w:proofErr w:type="gramEnd"/>
      <w:r w:rsidRPr="002F1917">
        <w:rPr>
          <w:rFonts w:ascii="Calibri" w:hAnsi="Calibri" w:cs="Calibri"/>
          <w:lang w:val="en-US" w:eastAsia="en-AU"/>
        </w:rPr>
        <w:t xml:space="preserve"> contingencies forum fall on state and territory regulators and Sport Integrity Australia. This falls outside the scope of the Regulatory Burden Measure. While there may be some reduction in regulatory burden for wagering providers where the National contingencies forum increased consistency across states and territories, this initial assessment takes a conservative approach and does not value this reduction in regulatory burden. </w:t>
      </w:r>
    </w:p>
    <w:p w14:paraId="48531F19" w14:textId="18C5A95B" w:rsidR="00870C3F" w:rsidRPr="00410069" w:rsidRDefault="00870C3F" w:rsidP="007B77D2">
      <w:pPr>
        <w:pStyle w:val="Heading3"/>
        <w:rPr>
          <w:rFonts w:ascii="Calibri" w:hAnsi="Calibri" w:cs="Calibri"/>
          <w:sz w:val="20"/>
          <w:szCs w:val="28"/>
        </w:rPr>
      </w:pPr>
      <w:bookmarkStart w:id="170" w:name="_Toc85450791"/>
      <w:r w:rsidRPr="00410069">
        <w:rPr>
          <w:rFonts w:ascii="Calibri" w:hAnsi="Calibri" w:cs="Calibri"/>
          <w:sz w:val="20"/>
          <w:szCs w:val="28"/>
        </w:rPr>
        <w:lastRenderedPageBreak/>
        <w:t>Information sharing</w:t>
      </w:r>
      <w:bookmarkEnd w:id="170"/>
    </w:p>
    <w:p w14:paraId="37DCCEE2" w14:textId="33CF4218" w:rsidR="00870C3F" w:rsidRPr="00410069" w:rsidRDefault="00870C3F" w:rsidP="007B77D2">
      <w:pPr>
        <w:keepNext/>
        <w:keepLines/>
        <w:rPr>
          <w:rFonts w:ascii="Calibri" w:hAnsi="Calibri" w:cs="Calibri"/>
          <w:sz w:val="22"/>
          <w:szCs w:val="20"/>
          <w:lang w:val="en-US"/>
        </w:rPr>
      </w:pPr>
      <w:r w:rsidRPr="00410069">
        <w:rPr>
          <w:rFonts w:ascii="Calibri" w:hAnsi="Calibri" w:cs="Calibri"/>
          <w:sz w:val="20"/>
          <w:szCs w:val="20"/>
        </w:rPr>
        <w:t xml:space="preserve">Table </w:t>
      </w:r>
      <w:r w:rsidR="00437FE2" w:rsidRPr="00410069">
        <w:rPr>
          <w:rFonts w:ascii="Calibri" w:hAnsi="Calibri" w:cs="Calibri"/>
          <w:sz w:val="20"/>
          <w:szCs w:val="20"/>
        </w:rPr>
        <w:fldChar w:fldCharType="begin"/>
      </w:r>
      <w:r w:rsidR="00437FE2" w:rsidRPr="00410069">
        <w:rPr>
          <w:rFonts w:ascii="Calibri" w:hAnsi="Calibri" w:cs="Calibri"/>
          <w:sz w:val="20"/>
          <w:szCs w:val="20"/>
        </w:rPr>
        <w:instrText xml:space="preserve"> SEQ Table \* ARABIC </w:instrText>
      </w:r>
      <w:r w:rsidR="00437FE2" w:rsidRPr="00410069">
        <w:rPr>
          <w:rFonts w:ascii="Calibri" w:hAnsi="Calibri" w:cs="Calibri"/>
          <w:sz w:val="20"/>
          <w:szCs w:val="20"/>
        </w:rPr>
        <w:fldChar w:fldCharType="separate"/>
      </w:r>
      <w:r w:rsidRPr="00410069">
        <w:rPr>
          <w:rFonts w:ascii="Calibri" w:hAnsi="Calibri" w:cs="Calibri"/>
          <w:noProof/>
          <w:sz w:val="20"/>
          <w:szCs w:val="20"/>
        </w:rPr>
        <w:t>8</w:t>
      </w:r>
      <w:r w:rsidR="00437FE2" w:rsidRPr="00410069">
        <w:rPr>
          <w:rFonts w:ascii="Calibri" w:hAnsi="Calibri" w:cs="Calibri"/>
          <w:noProof/>
          <w:sz w:val="20"/>
          <w:szCs w:val="20"/>
        </w:rPr>
        <w:fldChar w:fldCharType="end"/>
      </w:r>
      <w:r w:rsidRPr="00410069">
        <w:rPr>
          <w:rFonts w:ascii="Calibri" w:hAnsi="Calibri" w:cs="Calibri"/>
          <w:sz w:val="20"/>
          <w:szCs w:val="20"/>
        </w:rPr>
        <w:t>: Estimated change in annual regulatory burden from changes to information sharing, by option for the year that the data platform is introduced in Option 1 and Option 2</w:t>
      </w:r>
    </w:p>
    <w:tbl>
      <w:tblPr>
        <w:tblStyle w:val="ListTable3-Accent3"/>
        <w:tblW w:w="0" w:type="auto"/>
        <w:tblInd w:w="0" w:type="dxa"/>
        <w:tblLook w:val="04A0" w:firstRow="1" w:lastRow="0" w:firstColumn="1" w:lastColumn="0" w:noHBand="0" w:noVBand="1"/>
      </w:tblPr>
      <w:tblGrid>
        <w:gridCol w:w="1810"/>
        <w:gridCol w:w="1811"/>
        <w:gridCol w:w="1811"/>
        <w:gridCol w:w="1811"/>
        <w:gridCol w:w="1811"/>
      </w:tblGrid>
      <w:tr w:rsidR="00870C3F" w:rsidRPr="002F1917" w14:paraId="19227B33" w14:textId="77777777" w:rsidTr="00870C3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10" w:type="dxa"/>
            <w:tcBorders>
              <w:top w:val="single" w:sz="4" w:space="0" w:color="88D6DD" w:themeColor="accent3"/>
              <w:left w:val="single" w:sz="4" w:space="0" w:color="88D6DD" w:themeColor="accent3"/>
            </w:tcBorders>
            <w:hideMark/>
          </w:tcPr>
          <w:p w14:paraId="2CF994E9" w14:textId="77777777" w:rsidR="00870C3F" w:rsidRPr="00907E12" w:rsidRDefault="00870C3F" w:rsidP="007B77D2">
            <w:pPr>
              <w:pStyle w:val="BodyText"/>
              <w:keepNext/>
              <w:keepLines/>
              <w:rPr>
                <w:rFonts w:ascii="Calibri" w:hAnsi="Calibri" w:cs="Calibri"/>
                <w:color w:val="000000" w:themeColor="text1"/>
                <w:lang w:val="en-US" w:eastAsia="en-AU"/>
              </w:rPr>
            </w:pPr>
            <w:r w:rsidRPr="00907E12">
              <w:rPr>
                <w:rFonts w:ascii="Calibri" w:hAnsi="Calibri" w:cs="Calibri"/>
                <w:color w:val="000000" w:themeColor="text1"/>
                <w:lang w:val="en-US"/>
              </w:rPr>
              <w:t>Options</w:t>
            </w:r>
          </w:p>
        </w:tc>
        <w:tc>
          <w:tcPr>
            <w:tcW w:w="1811" w:type="dxa"/>
            <w:tcBorders>
              <w:top w:val="single" w:sz="4" w:space="0" w:color="88D6DD" w:themeColor="accent3"/>
              <w:left w:val="nil"/>
              <w:bottom w:val="nil"/>
              <w:right w:val="nil"/>
            </w:tcBorders>
            <w:hideMark/>
          </w:tcPr>
          <w:p w14:paraId="7DD27C31" w14:textId="77777777" w:rsidR="00870C3F" w:rsidRPr="00907E12" w:rsidRDefault="00870C3F" w:rsidP="007B77D2">
            <w:pPr>
              <w:pStyle w:val="BodyText"/>
              <w:keepNext/>
              <w:keepLines/>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lang w:val="en-US" w:eastAsia="en-AU"/>
              </w:rPr>
            </w:pPr>
            <w:r w:rsidRPr="00907E12">
              <w:rPr>
                <w:rFonts w:ascii="Calibri" w:hAnsi="Calibri" w:cs="Calibri"/>
                <w:color w:val="000000" w:themeColor="text1"/>
                <w:lang w:val="en-US" w:eastAsia="en-AU"/>
              </w:rPr>
              <w:t>Businesses</w:t>
            </w:r>
          </w:p>
        </w:tc>
        <w:tc>
          <w:tcPr>
            <w:tcW w:w="1811" w:type="dxa"/>
            <w:tcBorders>
              <w:top w:val="single" w:sz="4" w:space="0" w:color="88D6DD" w:themeColor="accent3"/>
              <w:left w:val="nil"/>
              <w:bottom w:val="nil"/>
              <w:right w:val="nil"/>
            </w:tcBorders>
            <w:hideMark/>
          </w:tcPr>
          <w:p w14:paraId="0EF363EE" w14:textId="77777777" w:rsidR="00870C3F" w:rsidRPr="00907E12" w:rsidRDefault="00870C3F" w:rsidP="007B77D2">
            <w:pPr>
              <w:pStyle w:val="BodyText"/>
              <w:keepNext/>
              <w:keepLines/>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lang w:val="en-US" w:eastAsia="en-AU"/>
              </w:rPr>
            </w:pPr>
            <w:r w:rsidRPr="00907E12">
              <w:rPr>
                <w:rFonts w:ascii="Calibri" w:hAnsi="Calibri" w:cs="Calibri"/>
                <w:color w:val="000000" w:themeColor="text1"/>
                <w:lang w:val="en-US" w:eastAsia="en-AU"/>
              </w:rPr>
              <w:t>Community organisations</w:t>
            </w:r>
          </w:p>
        </w:tc>
        <w:tc>
          <w:tcPr>
            <w:tcW w:w="1811" w:type="dxa"/>
            <w:tcBorders>
              <w:top w:val="single" w:sz="4" w:space="0" w:color="88D6DD" w:themeColor="accent3"/>
              <w:left w:val="nil"/>
              <w:bottom w:val="nil"/>
              <w:right w:val="nil"/>
            </w:tcBorders>
            <w:hideMark/>
          </w:tcPr>
          <w:p w14:paraId="2A4D6C51" w14:textId="77777777" w:rsidR="00870C3F" w:rsidRPr="00907E12" w:rsidRDefault="00870C3F" w:rsidP="007B77D2">
            <w:pPr>
              <w:pStyle w:val="BodyText"/>
              <w:keepNext/>
              <w:keepLines/>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lang w:val="en-US" w:eastAsia="en-AU"/>
              </w:rPr>
            </w:pPr>
            <w:r w:rsidRPr="00907E12">
              <w:rPr>
                <w:rFonts w:ascii="Calibri" w:hAnsi="Calibri" w:cs="Calibri"/>
                <w:color w:val="000000" w:themeColor="text1"/>
                <w:lang w:val="en-US" w:eastAsia="en-AU"/>
              </w:rPr>
              <w:t>Individuals</w:t>
            </w:r>
          </w:p>
        </w:tc>
        <w:tc>
          <w:tcPr>
            <w:tcW w:w="1811" w:type="dxa"/>
            <w:tcBorders>
              <w:top w:val="single" w:sz="4" w:space="0" w:color="88D6DD" w:themeColor="accent3"/>
              <w:left w:val="nil"/>
              <w:bottom w:val="nil"/>
              <w:right w:val="single" w:sz="4" w:space="0" w:color="88D6DD" w:themeColor="accent3"/>
            </w:tcBorders>
            <w:hideMark/>
          </w:tcPr>
          <w:p w14:paraId="77412482" w14:textId="77777777" w:rsidR="00870C3F" w:rsidRPr="00907E12" w:rsidRDefault="00870C3F" w:rsidP="007B77D2">
            <w:pPr>
              <w:pStyle w:val="BodyText"/>
              <w:keepNext/>
              <w:keepLines/>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lang w:val="en-US" w:eastAsia="en-AU"/>
              </w:rPr>
            </w:pPr>
            <w:r w:rsidRPr="00907E12">
              <w:rPr>
                <w:rFonts w:ascii="Calibri" w:hAnsi="Calibri" w:cs="Calibri"/>
                <w:color w:val="000000" w:themeColor="text1"/>
                <w:lang w:val="en-US" w:eastAsia="en-AU"/>
              </w:rPr>
              <w:t>Total</w:t>
            </w:r>
          </w:p>
        </w:tc>
      </w:tr>
      <w:tr w:rsidR="00870C3F" w:rsidRPr="002F1917" w14:paraId="47AC6D15" w14:textId="77777777" w:rsidTr="00870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Borders>
              <w:left w:val="single" w:sz="4" w:space="0" w:color="88D6DD" w:themeColor="accent3"/>
            </w:tcBorders>
            <w:hideMark/>
          </w:tcPr>
          <w:p w14:paraId="5ADD23A0" w14:textId="77777777" w:rsidR="00870C3F" w:rsidRPr="002F1917" w:rsidRDefault="00870C3F" w:rsidP="007B77D2">
            <w:pPr>
              <w:pStyle w:val="BodyText"/>
              <w:keepNext/>
              <w:keepLines/>
              <w:jc w:val="left"/>
              <w:rPr>
                <w:rFonts w:ascii="Calibri" w:hAnsi="Calibri" w:cs="Calibri"/>
                <w:lang w:val="en-US" w:eastAsia="en-AU"/>
              </w:rPr>
            </w:pPr>
            <w:r w:rsidRPr="002F1917">
              <w:rPr>
                <w:rFonts w:ascii="Calibri" w:hAnsi="Calibri" w:cs="Calibri"/>
                <w:lang w:val="en-US" w:eastAsia="en-AU"/>
              </w:rPr>
              <w:t>Base Case</w:t>
            </w:r>
          </w:p>
        </w:tc>
        <w:tc>
          <w:tcPr>
            <w:tcW w:w="1811" w:type="dxa"/>
            <w:tcBorders>
              <w:left w:val="nil"/>
              <w:right w:val="nil"/>
            </w:tcBorders>
            <w:hideMark/>
          </w:tcPr>
          <w:p w14:paraId="70AC91A1" w14:textId="77777777" w:rsidR="00870C3F" w:rsidRPr="002F1917" w:rsidRDefault="00870C3F" w:rsidP="007B77D2">
            <w:pPr>
              <w:pStyle w:val="BodyText"/>
              <w:keepNext/>
              <w:keepLines/>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$1,350,831</w:t>
            </w:r>
          </w:p>
        </w:tc>
        <w:tc>
          <w:tcPr>
            <w:tcW w:w="1811" w:type="dxa"/>
            <w:tcBorders>
              <w:left w:val="nil"/>
              <w:right w:val="nil"/>
            </w:tcBorders>
            <w:hideMark/>
          </w:tcPr>
          <w:p w14:paraId="275BCBE5" w14:textId="77777777" w:rsidR="00870C3F" w:rsidRPr="002F1917" w:rsidRDefault="00870C3F" w:rsidP="007B77D2">
            <w:pPr>
              <w:pStyle w:val="BodyText"/>
              <w:keepNext/>
              <w:keepLines/>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w:t>
            </w:r>
          </w:p>
        </w:tc>
        <w:tc>
          <w:tcPr>
            <w:tcW w:w="1811" w:type="dxa"/>
            <w:tcBorders>
              <w:left w:val="nil"/>
              <w:right w:val="nil"/>
            </w:tcBorders>
            <w:hideMark/>
          </w:tcPr>
          <w:p w14:paraId="07A9D428" w14:textId="77777777" w:rsidR="00870C3F" w:rsidRPr="002F1917" w:rsidRDefault="00870C3F" w:rsidP="007B77D2">
            <w:pPr>
              <w:pStyle w:val="BodyText"/>
              <w:keepNext/>
              <w:keepLines/>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w:t>
            </w:r>
          </w:p>
        </w:tc>
        <w:tc>
          <w:tcPr>
            <w:tcW w:w="1811" w:type="dxa"/>
            <w:tcBorders>
              <w:left w:val="nil"/>
              <w:right w:val="single" w:sz="4" w:space="0" w:color="88D6DD" w:themeColor="accent3"/>
            </w:tcBorders>
            <w:hideMark/>
          </w:tcPr>
          <w:p w14:paraId="193CAC58" w14:textId="77777777" w:rsidR="00870C3F" w:rsidRPr="002F1917" w:rsidRDefault="00870C3F" w:rsidP="007B77D2">
            <w:pPr>
              <w:pStyle w:val="BodyText"/>
              <w:keepNext/>
              <w:keepLines/>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$1,350,831</w:t>
            </w:r>
          </w:p>
        </w:tc>
      </w:tr>
      <w:tr w:rsidR="00870C3F" w:rsidRPr="002F1917" w14:paraId="282F967E" w14:textId="77777777" w:rsidTr="00870C3F">
        <w:tc>
          <w:tcPr>
            <w:cnfStyle w:val="001000000000" w:firstRow="0" w:lastRow="0" w:firstColumn="1" w:lastColumn="0" w:oddVBand="0" w:evenVBand="0" w:oddHBand="0" w:evenHBand="0" w:firstRowFirstColumn="0" w:firstRowLastColumn="0" w:lastRowFirstColumn="0" w:lastRowLastColumn="0"/>
            <w:tcW w:w="1810" w:type="dxa"/>
            <w:tcBorders>
              <w:top w:val="nil"/>
              <w:left w:val="single" w:sz="4" w:space="0" w:color="88D6DD" w:themeColor="accent3"/>
              <w:bottom w:val="nil"/>
            </w:tcBorders>
            <w:hideMark/>
          </w:tcPr>
          <w:p w14:paraId="3CE1928D" w14:textId="77777777" w:rsidR="00870C3F" w:rsidRPr="002F1917" w:rsidRDefault="00870C3F" w:rsidP="007B77D2">
            <w:pPr>
              <w:pStyle w:val="BodyText"/>
              <w:keepNext/>
              <w:keepLines/>
              <w:jc w:val="left"/>
              <w:rPr>
                <w:rFonts w:ascii="Calibri" w:hAnsi="Calibri" w:cs="Calibri"/>
                <w:lang w:val="en-US" w:eastAsia="en-AU"/>
              </w:rPr>
            </w:pPr>
            <w:r w:rsidRPr="002F1917">
              <w:rPr>
                <w:rFonts w:ascii="Calibri" w:hAnsi="Calibri" w:cs="Calibri"/>
                <w:lang w:val="en-US" w:eastAsia="en-AU"/>
              </w:rPr>
              <w:t>Option 1 – non-real time National Platform</w:t>
            </w:r>
          </w:p>
        </w:tc>
        <w:tc>
          <w:tcPr>
            <w:tcW w:w="1811" w:type="dxa"/>
            <w:tcBorders>
              <w:top w:val="nil"/>
              <w:left w:val="nil"/>
              <w:bottom w:val="nil"/>
              <w:right w:val="nil"/>
            </w:tcBorders>
            <w:hideMark/>
          </w:tcPr>
          <w:p w14:paraId="34BFEF7C" w14:textId="77777777" w:rsidR="00870C3F" w:rsidRPr="002F1917" w:rsidRDefault="00870C3F" w:rsidP="007B77D2">
            <w:pPr>
              <w:pStyle w:val="BodyText"/>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$1,994,084</w:t>
            </w:r>
          </w:p>
        </w:tc>
        <w:tc>
          <w:tcPr>
            <w:tcW w:w="1811" w:type="dxa"/>
            <w:tcBorders>
              <w:top w:val="nil"/>
              <w:left w:val="nil"/>
              <w:bottom w:val="nil"/>
              <w:right w:val="nil"/>
            </w:tcBorders>
            <w:hideMark/>
          </w:tcPr>
          <w:p w14:paraId="42532DBB" w14:textId="77777777" w:rsidR="00870C3F" w:rsidRPr="002F1917" w:rsidRDefault="00870C3F" w:rsidP="007B77D2">
            <w:pPr>
              <w:pStyle w:val="BodyText"/>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w:t>
            </w:r>
          </w:p>
        </w:tc>
        <w:tc>
          <w:tcPr>
            <w:tcW w:w="1811" w:type="dxa"/>
            <w:tcBorders>
              <w:top w:val="nil"/>
              <w:left w:val="nil"/>
              <w:bottom w:val="nil"/>
              <w:right w:val="nil"/>
            </w:tcBorders>
            <w:hideMark/>
          </w:tcPr>
          <w:p w14:paraId="0C0E35EE" w14:textId="77777777" w:rsidR="00870C3F" w:rsidRPr="002F1917" w:rsidRDefault="00870C3F" w:rsidP="007B77D2">
            <w:pPr>
              <w:pStyle w:val="BodyText"/>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w:t>
            </w:r>
          </w:p>
        </w:tc>
        <w:tc>
          <w:tcPr>
            <w:tcW w:w="1811" w:type="dxa"/>
            <w:tcBorders>
              <w:top w:val="nil"/>
              <w:left w:val="nil"/>
              <w:bottom w:val="nil"/>
              <w:right w:val="single" w:sz="4" w:space="0" w:color="88D6DD" w:themeColor="accent3"/>
            </w:tcBorders>
            <w:hideMark/>
          </w:tcPr>
          <w:p w14:paraId="18379A85" w14:textId="77777777" w:rsidR="00870C3F" w:rsidRPr="002F1917" w:rsidRDefault="00870C3F" w:rsidP="007B77D2">
            <w:pPr>
              <w:pStyle w:val="BodyText"/>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$1,994,084</w:t>
            </w:r>
          </w:p>
        </w:tc>
      </w:tr>
      <w:tr w:rsidR="00870C3F" w:rsidRPr="002F1917" w14:paraId="1BEF6CA2" w14:textId="77777777" w:rsidTr="00870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Borders>
              <w:left w:val="single" w:sz="4" w:space="0" w:color="88D6DD" w:themeColor="accent3"/>
            </w:tcBorders>
            <w:hideMark/>
          </w:tcPr>
          <w:p w14:paraId="44AD1FC3" w14:textId="77777777" w:rsidR="00870C3F" w:rsidRPr="002F1917" w:rsidRDefault="00870C3F" w:rsidP="007B77D2">
            <w:pPr>
              <w:pStyle w:val="BodyText"/>
              <w:keepNext/>
              <w:keepLines/>
              <w:jc w:val="left"/>
              <w:rPr>
                <w:rFonts w:ascii="Calibri" w:hAnsi="Calibri" w:cs="Calibri"/>
                <w:lang w:val="en-US" w:eastAsia="en-AU"/>
              </w:rPr>
            </w:pPr>
            <w:r w:rsidRPr="002F1917">
              <w:rPr>
                <w:rFonts w:ascii="Calibri" w:hAnsi="Calibri" w:cs="Calibri"/>
                <w:lang w:val="en-US" w:eastAsia="en-AU"/>
              </w:rPr>
              <w:t>Change in regulatory costs in Option 1</w:t>
            </w:r>
          </w:p>
        </w:tc>
        <w:tc>
          <w:tcPr>
            <w:tcW w:w="1811" w:type="dxa"/>
            <w:tcBorders>
              <w:left w:val="nil"/>
              <w:right w:val="nil"/>
            </w:tcBorders>
            <w:hideMark/>
          </w:tcPr>
          <w:p w14:paraId="40A85A53" w14:textId="77777777" w:rsidR="00870C3F" w:rsidRPr="002F1917" w:rsidRDefault="00870C3F" w:rsidP="007B77D2">
            <w:pPr>
              <w:pStyle w:val="BodyText"/>
              <w:keepNext/>
              <w:keepLines/>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$643,253</w:t>
            </w:r>
          </w:p>
        </w:tc>
        <w:tc>
          <w:tcPr>
            <w:tcW w:w="1811" w:type="dxa"/>
            <w:tcBorders>
              <w:left w:val="nil"/>
              <w:right w:val="nil"/>
            </w:tcBorders>
            <w:hideMark/>
          </w:tcPr>
          <w:p w14:paraId="159DFDDE" w14:textId="77777777" w:rsidR="00870C3F" w:rsidRPr="002F1917" w:rsidRDefault="00870C3F" w:rsidP="007B77D2">
            <w:pPr>
              <w:pStyle w:val="BodyText"/>
              <w:keepNext/>
              <w:keepLines/>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w:t>
            </w:r>
          </w:p>
        </w:tc>
        <w:tc>
          <w:tcPr>
            <w:tcW w:w="1811" w:type="dxa"/>
            <w:tcBorders>
              <w:left w:val="nil"/>
              <w:right w:val="nil"/>
            </w:tcBorders>
            <w:hideMark/>
          </w:tcPr>
          <w:p w14:paraId="6920EDB6" w14:textId="77777777" w:rsidR="00870C3F" w:rsidRPr="002F1917" w:rsidRDefault="00870C3F" w:rsidP="007B77D2">
            <w:pPr>
              <w:pStyle w:val="BodyText"/>
              <w:keepNext/>
              <w:keepLines/>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w:t>
            </w:r>
          </w:p>
        </w:tc>
        <w:tc>
          <w:tcPr>
            <w:tcW w:w="1811" w:type="dxa"/>
            <w:tcBorders>
              <w:left w:val="nil"/>
              <w:right w:val="single" w:sz="4" w:space="0" w:color="88D6DD" w:themeColor="accent3"/>
            </w:tcBorders>
            <w:hideMark/>
          </w:tcPr>
          <w:p w14:paraId="2F4C4492" w14:textId="77777777" w:rsidR="00870C3F" w:rsidRPr="002F1917" w:rsidRDefault="00870C3F" w:rsidP="007B77D2">
            <w:pPr>
              <w:pStyle w:val="BodyText"/>
              <w:keepNext/>
              <w:keepLines/>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$643,253</w:t>
            </w:r>
          </w:p>
        </w:tc>
      </w:tr>
      <w:tr w:rsidR="00870C3F" w:rsidRPr="002F1917" w14:paraId="6AC50774" w14:textId="77777777" w:rsidTr="00870C3F">
        <w:tc>
          <w:tcPr>
            <w:cnfStyle w:val="001000000000" w:firstRow="0" w:lastRow="0" w:firstColumn="1" w:lastColumn="0" w:oddVBand="0" w:evenVBand="0" w:oddHBand="0" w:evenHBand="0" w:firstRowFirstColumn="0" w:firstRowLastColumn="0" w:lastRowFirstColumn="0" w:lastRowLastColumn="0"/>
            <w:tcW w:w="1810" w:type="dxa"/>
            <w:tcBorders>
              <w:top w:val="nil"/>
              <w:left w:val="single" w:sz="4" w:space="0" w:color="88D6DD" w:themeColor="accent3"/>
              <w:bottom w:val="nil"/>
            </w:tcBorders>
            <w:hideMark/>
          </w:tcPr>
          <w:p w14:paraId="4B27434A" w14:textId="77777777" w:rsidR="00870C3F" w:rsidRPr="002F1917" w:rsidRDefault="00870C3F" w:rsidP="007B77D2">
            <w:pPr>
              <w:pStyle w:val="BodyText"/>
              <w:keepNext/>
              <w:keepLines/>
              <w:jc w:val="left"/>
              <w:rPr>
                <w:rFonts w:ascii="Calibri" w:hAnsi="Calibri" w:cs="Calibri"/>
                <w:lang w:val="en-US" w:eastAsia="en-AU"/>
              </w:rPr>
            </w:pPr>
            <w:r w:rsidRPr="002F1917">
              <w:rPr>
                <w:rFonts w:ascii="Calibri" w:hAnsi="Calibri" w:cs="Calibri"/>
                <w:lang w:val="en-US" w:eastAsia="en-AU"/>
              </w:rPr>
              <w:t>Option 2 – real time National Platform</w:t>
            </w:r>
          </w:p>
        </w:tc>
        <w:tc>
          <w:tcPr>
            <w:tcW w:w="1811" w:type="dxa"/>
            <w:tcBorders>
              <w:top w:val="nil"/>
              <w:left w:val="nil"/>
              <w:bottom w:val="nil"/>
              <w:right w:val="nil"/>
            </w:tcBorders>
            <w:hideMark/>
          </w:tcPr>
          <w:p w14:paraId="3C4D4FD1" w14:textId="77777777" w:rsidR="00870C3F" w:rsidRPr="002F1917" w:rsidRDefault="00870C3F" w:rsidP="007B77D2">
            <w:pPr>
              <w:pStyle w:val="BodyText"/>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$1,994,084</w:t>
            </w:r>
          </w:p>
        </w:tc>
        <w:tc>
          <w:tcPr>
            <w:tcW w:w="1811" w:type="dxa"/>
            <w:tcBorders>
              <w:top w:val="nil"/>
              <w:left w:val="nil"/>
              <w:bottom w:val="nil"/>
              <w:right w:val="nil"/>
            </w:tcBorders>
            <w:hideMark/>
          </w:tcPr>
          <w:p w14:paraId="7CFBC7E9" w14:textId="77777777" w:rsidR="00870C3F" w:rsidRPr="002F1917" w:rsidRDefault="00870C3F" w:rsidP="007B77D2">
            <w:pPr>
              <w:pStyle w:val="BodyText"/>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w:t>
            </w:r>
          </w:p>
        </w:tc>
        <w:tc>
          <w:tcPr>
            <w:tcW w:w="1811" w:type="dxa"/>
            <w:tcBorders>
              <w:top w:val="nil"/>
              <w:left w:val="nil"/>
              <w:bottom w:val="nil"/>
              <w:right w:val="nil"/>
            </w:tcBorders>
            <w:hideMark/>
          </w:tcPr>
          <w:p w14:paraId="62311E51" w14:textId="77777777" w:rsidR="00870C3F" w:rsidRPr="002F1917" w:rsidRDefault="00870C3F" w:rsidP="007B77D2">
            <w:pPr>
              <w:pStyle w:val="BodyText"/>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w:t>
            </w:r>
          </w:p>
        </w:tc>
        <w:tc>
          <w:tcPr>
            <w:tcW w:w="1811" w:type="dxa"/>
            <w:tcBorders>
              <w:top w:val="nil"/>
              <w:left w:val="nil"/>
              <w:bottom w:val="nil"/>
              <w:right w:val="single" w:sz="4" w:space="0" w:color="88D6DD" w:themeColor="accent3"/>
            </w:tcBorders>
            <w:hideMark/>
          </w:tcPr>
          <w:p w14:paraId="11650031" w14:textId="77777777" w:rsidR="00870C3F" w:rsidRPr="002F1917" w:rsidRDefault="00870C3F" w:rsidP="007B77D2">
            <w:pPr>
              <w:pStyle w:val="BodyText"/>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$1,994,084</w:t>
            </w:r>
          </w:p>
        </w:tc>
      </w:tr>
      <w:tr w:rsidR="00870C3F" w:rsidRPr="002F1917" w14:paraId="00293575" w14:textId="77777777" w:rsidTr="00870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Borders>
              <w:left w:val="single" w:sz="4" w:space="0" w:color="88D6DD" w:themeColor="accent3"/>
            </w:tcBorders>
            <w:hideMark/>
          </w:tcPr>
          <w:p w14:paraId="23BBDB10" w14:textId="77777777" w:rsidR="00870C3F" w:rsidRPr="002F1917" w:rsidRDefault="00870C3F" w:rsidP="007B77D2">
            <w:pPr>
              <w:pStyle w:val="BodyText"/>
              <w:keepNext/>
              <w:keepLines/>
              <w:jc w:val="left"/>
              <w:rPr>
                <w:rFonts w:ascii="Calibri" w:hAnsi="Calibri" w:cs="Calibri"/>
                <w:lang w:val="en-US" w:eastAsia="en-AU"/>
              </w:rPr>
            </w:pPr>
            <w:r w:rsidRPr="002F1917">
              <w:rPr>
                <w:rFonts w:ascii="Calibri" w:hAnsi="Calibri" w:cs="Calibri"/>
                <w:lang w:val="en-US" w:eastAsia="en-AU"/>
              </w:rPr>
              <w:t>Change in regulatory costs in Option 2</w:t>
            </w:r>
          </w:p>
        </w:tc>
        <w:tc>
          <w:tcPr>
            <w:tcW w:w="1811" w:type="dxa"/>
            <w:tcBorders>
              <w:left w:val="nil"/>
              <w:right w:val="nil"/>
            </w:tcBorders>
            <w:hideMark/>
          </w:tcPr>
          <w:p w14:paraId="78CFBA45" w14:textId="77777777" w:rsidR="00870C3F" w:rsidRPr="002F1917" w:rsidRDefault="00870C3F" w:rsidP="007B77D2">
            <w:pPr>
              <w:pStyle w:val="BodyText"/>
              <w:keepNext/>
              <w:keepLines/>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$643,253</w:t>
            </w:r>
          </w:p>
        </w:tc>
        <w:tc>
          <w:tcPr>
            <w:tcW w:w="1811" w:type="dxa"/>
            <w:tcBorders>
              <w:left w:val="nil"/>
              <w:right w:val="nil"/>
            </w:tcBorders>
            <w:hideMark/>
          </w:tcPr>
          <w:p w14:paraId="5429D184" w14:textId="77777777" w:rsidR="00870C3F" w:rsidRPr="002F1917" w:rsidRDefault="00870C3F" w:rsidP="007B77D2">
            <w:pPr>
              <w:pStyle w:val="BodyText"/>
              <w:keepNext/>
              <w:keepLines/>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w:t>
            </w:r>
          </w:p>
        </w:tc>
        <w:tc>
          <w:tcPr>
            <w:tcW w:w="1811" w:type="dxa"/>
            <w:tcBorders>
              <w:left w:val="nil"/>
              <w:right w:val="nil"/>
            </w:tcBorders>
            <w:hideMark/>
          </w:tcPr>
          <w:p w14:paraId="635796E2" w14:textId="77777777" w:rsidR="00870C3F" w:rsidRPr="002F1917" w:rsidRDefault="00870C3F" w:rsidP="007B77D2">
            <w:pPr>
              <w:pStyle w:val="BodyText"/>
              <w:keepNext/>
              <w:keepLines/>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w:t>
            </w:r>
          </w:p>
        </w:tc>
        <w:tc>
          <w:tcPr>
            <w:tcW w:w="1811" w:type="dxa"/>
            <w:tcBorders>
              <w:left w:val="nil"/>
              <w:right w:val="single" w:sz="4" w:space="0" w:color="88D6DD" w:themeColor="accent3"/>
            </w:tcBorders>
            <w:hideMark/>
          </w:tcPr>
          <w:p w14:paraId="32444574" w14:textId="77777777" w:rsidR="00870C3F" w:rsidRPr="002F1917" w:rsidRDefault="00870C3F" w:rsidP="007B77D2">
            <w:pPr>
              <w:pStyle w:val="BodyText"/>
              <w:keepNext/>
              <w:keepLines/>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$643,253</w:t>
            </w:r>
          </w:p>
        </w:tc>
      </w:tr>
    </w:tbl>
    <w:p w14:paraId="525C313F" w14:textId="77777777" w:rsidR="00410069" w:rsidRDefault="00410069" w:rsidP="00410069">
      <w:pPr>
        <w:rPr>
          <w:rFonts w:ascii="Calibri" w:hAnsi="Calibri" w:cs="Calibri"/>
          <w:sz w:val="20"/>
          <w:szCs w:val="20"/>
        </w:rPr>
      </w:pPr>
    </w:p>
    <w:p w14:paraId="47F47377" w14:textId="7983DA57" w:rsidR="00870C3F" w:rsidRPr="00410069" w:rsidRDefault="00870C3F" w:rsidP="00410069">
      <w:pPr>
        <w:rPr>
          <w:rFonts w:ascii="Calibri" w:hAnsi="Calibri" w:cs="Calibri"/>
          <w:sz w:val="22"/>
          <w:szCs w:val="20"/>
          <w:lang w:val="en-US"/>
        </w:rPr>
      </w:pPr>
      <w:r w:rsidRPr="00410069">
        <w:rPr>
          <w:rFonts w:ascii="Calibri" w:hAnsi="Calibri" w:cs="Calibri"/>
          <w:sz w:val="20"/>
          <w:szCs w:val="20"/>
        </w:rPr>
        <w:t xml:space="preserve">Table </w:t>
      </w:r>
      <w:r w:rsidR="00437FE2" w:rsidRPr="00410069">
        <w:rPr>
          <w:rFonts w:ascii="Calibri" w:hAnsi="Calibri" w:cs="Calibri"/>
          <w:sz w:val="20"/>
          <w:szCs w:val="20"/>
        </w:rPr>
        <w:fldChar w:fldCharType="begin"/>
      </w:r>
      <w:r w:rsidR="00437FE2" w:rsidRPr="00410069">
        <w:rPr>
          <w:rFonts w:ascii="Calibri" w:hAnsi="Calibri" w:cs="Calibri"/>
          <w:sz w:val="20"/>
          <w:szCs w:val="20"/>
        </w:rPr>
        <w:instrText xml:space="preserve"> SEQ Table \* ARABIC </w:instrText>
      </w:r>
      <w:r w:rsidR="00437FE2" w:rsidRPr="00410069">
        <w:rPr>
          <w:rFonts w:ascii="Calibri" w:hAnsi="Calibri" w:cs="Calibri"/>
          <w:sz w:val="20"/>
          <w:szCs w:val="20"/>
        </w:rPr>
        <w:fldChar w:fldCharType="separate"/>
      </w:r>
      <w:r w:rsidRPr="00410069">
        <w:rPr>
          <w:rFonts w:ascii="Calibri" w:hAnsi="Calibri" w:cs="Calibri"/>
          <w:noProof/>
          <w:sz w:val="20"/>
          <w:szCs w:val="20"/>
        </w:rPr>
        <w:t>9</w:t>
      </w:r>
      <w:r w:rsidR="00437FE2" w:rsidRPr="00410069">
        <w:rPr>
          <w:rFonts w:ascii="Calibri" w:hAnsi="Calibri" w:cs="Calibri"/>
          <w:noProof/>
          <w:sz w:val="20"/>
          <w:szCs w:val="20"/>
        </w:rPr>
        <w:fldChar w:fldCharType="end"/>
      </w:r>
      <w:r w:rsidRPr="00410069">
        <w:rPr>
          <w:rFonts w:ascii="Calibri" w:hAnsi="Calibri" w:cs="Calibri"/>
          <w:sz w:val="20"/>
          <w:szCs w:val="20"/>
        </w:rPr>
        <w:t>: Estimated change in annual regulatory burden from changes to information sharing, by option after the data platform has been introduced in Option 1 and Option 2</w:t>
      </w:r>
    </w:p>
    <w:tbl>
      <w:tblPr>
        <w:tblStyle w:val="ListTable3-Accent3"/>
        <w:tblW w:w="0" w:type="auto"/>
        <w:tblInd w:w="0" w:type="dxa"/>
        <w:tblLook w:val="04A0" w:firstRow="1" w:lastRow="0" w:firstColumn="1" w:lastColumn="0" w:noHBand="0" w:noVBand="1"/>
      </w:tblPr>
      <w:tblGrid>
        <w:gridCol w:w="1810"/>
        <w:gridCol w:w="1811"/>
        <w:gridCol w:w="1811"/>
        <w:gridCol w:w="1811"/>
        <w:gridCol w:w="1811"/>
      </w:tblGrid>
      <w:tr w:rsidR="00870C3F" w:rsidRPr="002F1917" w14:paraId="33FC5FFD" w14:textId="77777777" w:rsidTr="00870C3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10" w:type="dxa"/>
            <w:tcBorders>
              <w:top w:val="single" w:sz="4" w:space="0" w:color="88D6DD" w:themeColor="accent3"/>
              <w:left w:val="single" w:sz="4" w:space="0" w:color="88D6DD" w:themeColor="accent3"/>
            </w:tcBorders>
            <w:hideMark/>
          </w:tcPr>
          <w:p w14:paraId="07FE6B49" w14:textId="77777777" w:rsidR="00870C3F" w:rsidRPr="00907E12" w:rsidRDefault="00870C3F">
            <w:pPr>
              <w:pStyle w:val="BodyText"/>
              <w:rPr>
                <w:rFonts w:ascii="Calibri" w:hAnsi="Calibri" w:cs="Calibri"/>
                <w:color w:val="000000" w:themeColor="text1"/>
                <w:lang w:val="en-US" w:eastAsia="en-AU"/>
              </w:rPr>
            </w:pPr>
            <w:r w:rsidRPr="00907E12">
              <w:rPr>
                <w:rFonts w:ascii="Calibri" w:hAnsi="Calibri" w:cs="Calibri"/>
                <w:color w:val="000000" w:themeColor="text1"/>
                <w:lang w:val="en-US"/>
              </w:rPr>
              <w:t>Options</w:t>
            </w:r>
          </w:p>
        </w:tc>
        <w:tc>
          <w:tcPr>
            <w:tcW w:w="1811" w:type="dxa"/>
            <w:tcBorders>
              <w:top w:val="single" w:sz="4" w:space="0" w:color="88D6DD" w:themeColor="accent3"/>
              <w:left w:val="nil"/>
              <w:bottom w:val="nil"/>
              <w:right w:val="nil"/>
            </w:tcBorders>
            <w:hideMark/>
          </w:tcPr>
          <w:p w14:paraId="46668338" w14:textId="77777777" w:rsidR="00870C3F" w:rsidRPr="00907E12" w:rsidRDefault="00870C3F">
            <w:pPr>
              <w:pStyle w:val="BodyText"/>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lang w:val="en-US" w:eastAsia="en-AU"/>
              </w:rPr>
            </w:pPr>
            <w:r w:rsidRPr="00907E12">
              <w:rPr>
                <w:rFonts w:ascii="Calibri" w:hAnsi="Calibri" w:cs="Calibri"/>
                <w:color w:val="000000" w:themeColor="text1"/>
                <w:lang w:val="en-US" w:eastAsia="en-AU"/>
              </w:rPr>
              <w:t>Businesses</w:t>
            </w:r>
          </w:p>
        </w:tc>
        <w:tc>
          <w:tcPr>
            <w:tcW w:w="1811" w:type="dxa"/>
            <w:tcBorders>
              <w:top w:val="single" w:sz="4" w:space="0" w:color="88D6DD" w:themeColor="accent3"/>
              <w:left w:val="nil"/>
              <w:bottom w:val="nil"/>
              <w:right w:val="nil"/>
            </w:tcBorders>
            <w:hideMark/>
          </w:tcPr>
          <w:p w14:paraId="65C4E1EB" w14:textId="77777777" w:rsidR="00870C3F" w:rsidRPr="00907E12" w:rsidRDefault="00870C3F">
            <w:pPr>
              <w:pStyle w:val="BodyText"/>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lang w:val="en-US" w:eastAsia="en-AU"/>
              </w:rPr>
            </w:pPr>
            <w:r w:rsidRPr="00907E12">
              <w:rPr>
                <w:rFonts w:ascii="Calibri" w:hAnsi="Calibri" w:cs="Calibri"/>
                <w:color w:val="000000" w:themeColor="text1"/>
                <w:lang w:val="en-US" w:eastAsia="en-AU"/>
              </w:rPr>
              <w:t>Community organisations</w:t>
            </w:r>
          </w:p>
        </w:tc>
        <w:tc>
          <w:tcPr>
            <w:tcW w:w="1811" w:type="dxa"/>
            <w:tcBorders>
              <w:top w:val="single" w:sz="4" w:space="0" w:color="88D6DD" w:themeColor="accent3"/>
              <w:left w:val="nil"/>
              <w:bottom w:val="nil"/>
              <w:right w:val="nil"/>
            </w:tcBorders>
            <w:hideMark/>
          </w:tcPr>
          <w:p w14:paraId="4D1BE7C3" w14:textId="77777777" w:rsidR="00870C3F" w:rsidRPr="00907E12" w:rsidRDefault="00870C3F">
            <w:pPr>
              <w:pStyle w:val="BodyText"/>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lang w:val="en-US" w:eastAsia="en-AU"/>
              </w:rPr>
            </w:pPr>
            <w:r w:rsidRPr="00907E12">
              <w:rPr>
                <w:rFonts w:ascii="Calibri" w:hAnsi="Calibri" w:cs="Calibri"/>
                <w:color w:val="000000" w:themeColor="text1"/>
                <w:lang w:val="en-US" w:eastAsia="en-AU"/>
              </w:rPr>
              <w:t>Individuals</w:t>
            </w:r>
          </w:p>
        </w:tc>
        <w:tc>
          <w:tcPr>
            <w:tcW w:w="1811" w:type="dxa"/>
            <w:tcBorders>
              <w:top w:val="single" w:sz="4" w:space="0" w:color="88D6DD" w:themeColor="accent3"/>
              <w:left w:val="nil"/>
              <w:bottom w:val="nil"/>
              <w:right w:val="single" w:sz="4" w:space="0" w:color="88D6DD" w:themeColor="accent3"/>
            </w:tcBorders>
            <w:hideMark/>
          </w:tcPr>
          <w:p w14:paraId="4296F330" w14:textId="77777777" w:rsidR="00870C3F" w:rsidRPr="00907E12" w:rsidRDefault="00870C3F">
            <w:pPr>
              <w:pStyle w:val="BodyText"/>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lang w:val="en-US" w:eastAsia="en-AU"/>
              </w:rPr>
            </w:pPr>
            <w:r w:rsidRPr="00907E12">
              <w:rPr>
                <w:rFonts w:ascii="Calibri" w:hAnsi="Calibri" w:cs="Calibri"/>
                <w:color w:val="000000" w:themeColor="text1"/>
                <w:lang w:val="en-US" w:eastAsia="en-AU"/>
              </w:rPr>
              <w:t>Total</w:t>
            </w:r>
          </w:p>
        </w:tc>
      </w:tr>
      <w:tr w:rsidR="00870C3F" w:rsidRPr="002F1917" w14:paraId="110EDD30" w14:textId="77777777" w:rsidTr="00870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Borders>
              <w:left w:val="single" w:sz="4" w:space="0" w:color="88D6DD" w:themeColor="accent3"/>
            </w:tcBorders>
            <w:hideMark/>
          </w:tcPr>
          <w:p w14:paraId="73FB47CC" w14:textId="77777777" w:rsidR="00870C3F" w:rsidRPr="002F1917" w:rsidRDefault="00870C3F">
            <w:pPr>
              <w:pStyle w:val="BodyText"/>
              <w:jc w:val="left"/>
              <w:rPr>
                <w:rFonts w:ascii="Calibri" w:hAnsi="Calibri" w:cs="Calibri"/>
                <w:lang w:val="en-US" w:eastAsia="en-AU"/>
              </w:rPr>
            </w:pPr>
            <w:r w:rsidRPr="002F1917">
              <w:rPr>
                <w:rFonts w:ascii="Calibri" w:hAnsi="Calibri" w:cs="Calibri"/>
                <w:lang w:val="en-US" w:eastAsia="en-AU"/>
              </w:rPr>
              <w:t>Base Case</w:t>
            </w:r>
          </w:p>
        </w:tc>
        <w:tc>
          <w:tcPr>
            <w:tcW w:w="1811" w:type="dxa"/>
            <w:tcBorders>
              <w:left w:val="nil"/>
              <w:right w:val="nil"/>
            </w:tcBorders>
            <w:hideMark/>
          </w:tcPr>
          <w:p w14:paraId="09FE439D" w14:textId="77777777" w:rsidR="00870C3F" w:rsidRPr="002F1917" w:rsidRDefault="00870C3F">
            <w:pPr>
              <w:pStyle w:val="BodyText"/>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$1,350,831</w:t>
            </w:r>
          </w:p>
        </w:tc>
        <w:tc>
          <w:tcPr>
            <w:tcW w:w="1811" w:type="dxa"/>
            <w:tcBorders>
              <w:left w:val="nil"/>
              <w:right w:val="nil"/>
            </w:tcBorders>
            <w:hideMark/>
          </w:tcPr>
          <w:p w14:paraId="7A74A417" w14:textId="77777777" w:rsidR="00870C3F" w:rsidRPr="002F1917" w:rsidRDefault="00870C3F">
            <w:pPr>
              <w:pStyle w:val="BodyText"/>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w:t>
            </w:r>
          </w:p>
        </w:tc>
        <w:tc>
          <w:tcPr>
            <w:tcW w:w="1811" w:type="dxa"/>
            <w:tcBorders>
              <w:left w:val="nil"/>
              <w:right w:val="nil"/>
            </w:tcBorders>
            <w:hideMark/>
          </w:tcPr>
          <w:p w14:paraId="67C80030" w14:textId="77777777" w:rsidR="00870C3F" w:rsidRPr="002F1917" w:rsidRDefault="00870C3F">
            <w:pPr>
              <w:pStyle w:val="BodyText"/>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w:t>
            </w:r>
          </w:p>
        </w:tc>
        <w:tc>
          <w:tcPr>
            <w:tcW w:w="1811" w:type="dxa"/>
            <w:tcBorders>
              <w:left w:val="nil"/>
              <w:right w:val="single" w:sz="4" w:space="0" w:color="88D6DD" w:themeColor="accent3"/>
            </w:tcBorders>
            <w:hideMark/>
          </w:tcPr>
          <w:p w14:paraId="7EBC18C3" w14:textId="77777777" w:rsidR="00870C3F" w:rsidRPr="002F1917" w:rsidRDefault="00870C3F">
            <w:pPr>
              <w:pStyle w:val="BodyText"/>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$1,350,831</w:t>
            </w:r>
          </w:p>
        </w:tc>
      </w:tr>
      <w:tr w:rsidR="00870C3F" w:rsidRPr="002F1917" w14:paraId="5F9DFB81" w14:textId="77777777" w:rsidTr="00870C3F">
        <w:tc>
          <w:tcPr>
            <w:cnfStyle w:val="001000000000" w:firstRow="0" w:lastRow="0" w:firstColumn="1" w:lastColumn="0" w:oddVBand="0" w:evenVBand="0" w:oddHBand="0" w:evenHBand="0" w:firstRowFirstColumn="0" w:firstRowLastColumn="0" w:lastRowFirstColumn="0" w:lastRowLastColumn="0"/>
            <w:tcW w:w="1810" w:type="dxa"/>
            <w:tcBorders>
              <w:top w:val="nil"/>
              <w:left w:val="single" w:sz="4" w:space="0" w:color="88D6DD" w:themeColor="accent3"/>
              <w:bottom w:val="nil"/>
            </w:tcBorders>
            <w:hideMark/>
          </w:tcPr>
          <w:p w14:paraId="02484718" w14:textId="77777777" w:rsidR="00870C3F" w:rsidRPr="002F1917" w:rsidRDefault="00870C3F">
            <w:pPr>
              <w:pStyle w:val="BodyText"/>
              <w:jc w:val="left"/>
              <w:rPr>
                <w:rFonts w:ascii="Calibri" w:hAnsi="Calibri" w:cs="Calibri"/>
                <w:lang w:val="en-US" w:eastAsia="en-AU"/>
              </w:rPr>
            </w:pPr>
            <w:r w:rsidRPr="002F1917">
              <w:rPr>
                <w:rFonts w:ascii="Calibri" w:hAnsi="Calibri" w:cs="Calibri"/>
                <w:lang w:val="en-US" w:eastAsia="en-AU"/>
              </w:rPr>
              <w:t>Option 1 – non-real time National Platform</w:t>
            </w:r>
          </w:p>
        </w:tc>
        <w:tc>
          <w:tcPr>
            <w:tcW w:w="1811" w:type="dxa"/>
            <w:tcBorders>
              <w:top w:val="nil"/>
              <w:left w:val="nil"/>
              <w:bottom w:val="nil"/>
              <w:right w:val="nil"/>
            </w:tcBorders>
            <w:hideMark/>
          </w:tcPr>
          <w:p w14:paraId="29DC103A" w14:textId="77777777" w:rsidR="00870C3F" w:rsidRPr="002F1917" w:rsidRDefault="00870C3F">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$1,350,831</w:t>
            </w:r>
          </w:p>
        </w:tc>
        <w:tc>
          <w:tcPr>
            <w:tcW w:w="1811" w:type="dxa"/>
            <w:tcBorders>
              <w:top w:val="nil"/>
              <w:left w:val="nil"/>
              <w:bottom w:val="nil"/>
              <w:right w:val="nil"/>
            </w:tcBorders>
            <w:hideMark/>
          </w:tcPr>
          <w:p w14:paraId="7A6756DD" w14:textId="77777777" w:rsidR="00870C3F" w:rsidRPr="002F1917" w:rsidRDefault="00870C3F">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w:t>
            </w:r>
          </w:p>
        </w:tc>
        <w:tc>
          <w:tcPr>
            <w:tcW w:w="1811" w:type="dxa"/>
            <w:tcBorders>
              <w:top w:val="nil"/>
              <w:left w:val="nil"/>
              <w:bottom w:val="nil"/>
              <w:right w:val="nil"/>
            </w:tcBorders>
            <w:hideMark/>
          </w:tcPr>
          <w:p w14:paraId="697C4C4D" w14:textId="77777777" w:rsidR="00870C3F" w:rsidRPr="002F1917" w:rsidRDefault="00870C3F">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w:t>
            </w:r>
          </w:p>
        </w:tc>
        <w:tc>
          <w:tcPr>
            <w:tcW w:w="1811" w:type="dxa"/>
            <w:tcBorders>
              <w:top w:val="nil"/>
              <w:left w:val="nil"/>
              <w:bottom w:val="nil"/>
              <w:right w:val="single" w:sz="4" w:space="0" w:color="88D6DD" w:themeColor="accent3"/>
            </w:tcBorders>
            <w:hideMark/>
          </w:tcPr>
          <w:p w14:paraId="60881517" w14:textId="77777777" w:rsidR="00870C3F" w:rsidRPr="002F1917" w:rsidRDefault="00870C3F">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$1,350,831</w:t>
            </w:r>
          </w:p>
        </w:tc>
      </w:tr>
      <w:tr w:rsidR="00870C3F" w:rsidRPr="002F1917" w14:paraId="3A6D2FA1" w14:textId="77777777" w:rsidTr="00870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Borders>
              <w:left w:val="single" w:sz="4" w:space="0" w:color="88D6DD" w:themeColor="accent3"/>
            </w:tcBorders>
            <w:hideMark/>
          </w:tcPr>
          <w:p w14:paraId="4AC67022" w14:textId="77777777" w:rsidR="00870C3F" w:rsidRPr="002F1917" w:rsidRDefault="00870C3F">
            <w:pPr>
              <w:pStyle w:val="BodyText"/>
              <w:jc w:val="left"/>
              <w:rPr>
                <w:rFonts w:ascii="Calibri" w:hAnsi="Calibri" w:cs="Calibri"/>
                <w:lang w:val="en-US" w:eastAsia="en-AU"/>
              </w:rPr>
            </w:pPr>
            <w:r w:rsidRPr="002F1917">
              <w:rPr>
                <w:rFonts w:ascii="Calibri" w:hAnsi="Calibri" w:cs="Calibri"/>
                <w:lang w:val="en-US" w:eastAsia="en-AU"/>
              </w:rPr>
              <w:t>Change in regulatory costs in Option 1</w:t>
            </w:r>
          </w:p>
        </w:tc>
        <w:tc>
          <w:tcPr>
            <w:tcW w:w="1811" w:type="dxa"/>
            <w:tcBorders>
              <w:left w:val="nil"/>
              <w:right w:val="nil"/>
            </w:tcBorders>
            <w:hideMark/>
          </w:tcPr>
          <w:p w14:paraId="39C8B440" w14:textId="77777777" w:rsidR="00870C3F" w:rsidRPr="002F1917" w:rsidRDefault="00870C3F">
            <w:pPr>
              <w:pStyle w:val="BodyText"/>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w:t>
            </w:r>
          </w:p>
        </w:tc>
        <w:tc>
          <w:tcPr>
            <w:tcW w:w="1811" w:type="dxa"/>
            <w:tcBorders>
              <w:left w:val="nil"/>
              <w:right w:val="nil"/>
            </w:tcBorders>
            <w:hideMark/>
          </w:tcPr>
          <w:p w14:paraId="63B7C44E" w14:textId="77777777" w:rsidR="00870C3F" w:rsidRPr="002F1917" w:rsidRDefault="00870C3F">
            <w:pPr>
              <w:pStyle w:val="BodyText"/>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w:t>
            </w:r>
          </w:p>
        </w:tc>
        <w:tc>
          <w:tcPr>
            <w:tcW w:w="1811" w:type="dxa"/>
            <w:tcBorders>
              <w:left w:val="nil"/>
              <w:right w:val="nil"/>
            </w:tcBorders>
            <w:hideMark/>
          </w:tcPr>
          <w:p w14:paraId="1BF2C200" w14:textId="77777777" w:rsidR="00870C3F" w:rsidRPr="002F1917" w:rsidRDefault="00870C3F">
            <w:pPr>
              <w:pStyle w:val="BodyText"/>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w:t>
            </w:r>
          </w:p>
        </w:tc>
        <w:tc>
          <w:tcPr>
            <w:tcW w:w="1811" w:type="dxa"/>
            <w:tcBorders>
              <w:left w:val="nil"/>
              <w:right w:val="single" w:sz="4" w:space="0" w:color="88D6DD" w:themeColor="accent3"/>
            </w:tcBorders>
            <w:hideMark/>
          </w:tcPr>
          <w:p w14:paraId="4B092F6C" w14:textId="77777777" w:rsidR="00870C3F" w:rsidRPr="002F1917" w:rsidRDefault="00870C3F">
            <w:pPr>
              <w:pStyle w:val="BodyText"/>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w:t>
            </w:r>
          </w:p>
        </w:tc>
      </w:tr>
      <w:tr w:rsidR="00870C3F" w:rsidRPr="002F1917" w14:paraId="40C396B6" w14:textId="77777777" w:rsidTr="00870C3F">
        <w:tc>
          <w:tcPr>
            <w:cnfStyle w:val="001000000000" w:firstRow="0" w:lastRow="0" w:firstColumn="1" w:lastColumn="0" w:oddVBand="0" w:evenVBand="0" w:oddHBand="0" w:evenHBand="0" w:firstRowFirstColumn="0" w:firstRowLastColumn="0" w:lastRowFirstColumn="0" w:lastRowLastColumn="0"/>
            <w:tcW w:w="1810" w:type="dxa"/>
            <w:tcBorders>
              <w:top w:val="nil"/>
              <w:left w:val="single" w:sz="4" w:space="0" w:color="88D6DD" w:themeColor="accent3"/>
              <w:bottom w:val="nil"/>
            </w:tcBorders>
            <w:hideMark/>
          </w:tcPr>
          <w:p w14:paraId="09C914D3" w14:textId="77777777" w:rsidR="00870C3F" w:rsidRPr="002F1917" w:rsidRDefault="00870C3F">
            <w:pPr>
              <w:pStyle w:val="BodyText"/>
              <w:jc w:val="left"/>
              <w:rPr>
                <w:rFonts w:ascii="Calibri" w:hAnsi="Calibri" w:cs="Calibri"/>
                <w:lang w:val="en-US" w:eastAsia="en-AU"/>
              </w:rPr>
            </w:pPr>
            <w:r w:rsidRPr="002F1917">
              <w:rPr>
                <w:rFonts w:ascii="Calibri" w:hAnsi="Calibri" w:cs="Calibri"/>
                <w:lang w:val="en-US" w:eastAsia="en-AU"/>
              </w:rPr>
              <w:t>Option 2 – real time National Platform</w:t>
            </w:r>
          </w:p>
        </w:tc>
        <w:tc>
          <w:tcPr>
            <w:tcW w:w="1811" w:type="dxa"/>
            <w:tcBorders>
              <w:top w:val="nil"/>
              <w:left w:val="nil"/>
              <w:bottom w:val="nil"/>
              <w:right w:val="nil"/>
            </w:tcBorders>
            <w:hideMark/>
          </w:tcPr>
          <w:p w14:paraId="02309442" w14:textId="77777777" w:rsidR="00870C3F" w:rsidRPr="002F1917" w:rsidRDefault="00870C3F">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$1,350,831</w:t>
            </w:r>
          </w:p>
        </w:tc>
        <w:tc>
          <w:tcPr>
            <w:tcW w:w="1811" w:type="dxa"/>
            <w:tcBorders>
              <w:top w:val="nil"/>
              <w:left w:val="nil"/>
              <w:bottom w:val="nil"/>
              <w:right w:val="nil"/>
            </w:tcBorders>
            <w:hideMark/>
          </w:tcPr>
          <w:p w14:paraId="1CB464E5" w14:textId="77777777" w:rsidR="00870C3F" w:rsidRPr="002F1917" w:rsidRDefault="00870C3F">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w:t>
            </w:r>
          </w:p>
        </w:tc>
        <w:tc>
          <w:tcPr>
            <w:tcW w:w="1811" w:type="dxa"/>
            <w:tcBorders>
              <w:top w:val="nil"/>
              <w:left w:val="nil"/>
              <w:bottom w:val="nil"/>
              <w:right w:val="nil"/>
            </w:tcBorders>
            <w:hideMark/>
          </w:tcPr>
          <w:p w14:paraId="4F8F7285" w14:textId="77777777" w:rsidR="00870C3F" w:rsidRPr="002F1917" w:rsidRDefault="00870C3F">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w:t>
            </w:r>
          </w:p>
        </w:tc>
        <w:tc>
          <w:tcPr>
            <w:tcW w:w="1811" w:type="dxa"/>
            <w:tcBorders>
              <w:top w:val="nil"/>
              <w:left w:val="nil"/>
              <w:bottom w:val="nil"/>
              <w:right w:val="single" w:sz="4" w:space="0" w:color="88D6DD" w:themeColor="accent3"/>
            </w:tcBorders>
            <w:hideMark/>
          </w:tcPr>
          <w:p w14:paraId="4D29342E" w14:textId="77777777" w:rsidR="00870C3F" w:rsidRPr="002F1917" w:rsidRDefault="00870C3F">
            <w:pPr>
              <w:pStyle w:val="BodyText"/>
              <w:cnfStyle w:val="000000000000" w:firstRow="0" w:lastRow="0" w:firstColumn="0" w:lastColumn="0" w:oddVBand="0" w:evenVBand="0" w:oddHBand="0"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$1,350,831</w:t>
            </w:r>
          </w:p>
        </w:tc>
      </w:tr>
      <w:tr w:rsidR="00870C3F" w:rsidRPr="002F1917" w14:paraId="4B75BF8E" w14:textId="77777777" w:rsidTr="00870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Borders>
              <w:left w:val="single" w:sz="4" w:space="0" w:color="88D6DD" w:themeColor="accent3"/>
            </w:tcBorders>
            <w:hideMark/>
          </w:tcPr>
          <w:p w14:paraId="2A79A154" w14:textId="77777777" w:rsidR="00870C3F" w:rsidRPr="002F1917" w:rsidRDefault="00870C3F">
            <w:pPr>
              <w:pStyle w:val="BodyText"/>
              <w:jc w:val="left"/>
              <w:rPr>
                <w:rFonts w:ascii="Calibri" w:hAnsi="Calibri" w:cs="Calibri"/>
                <w:lang w:val="en-US" w:eastAsia="en-AU"/>
              </w:rPr>
            </w:pPr>
            <w:r w:rsidRPr="002F1917">
              <w:rPr>
                <w:rFonts w:ascii="Calibri" w:hAnsi="Calibri" w:cs="Calibri"/>
                <w:lang w:val="en-US" w:eastAsia="en-AU"/>
              </w:rPr>
              <w:t>Change in regulatory costs in Option 2</w:t>
            </w:r>
          </w:p>
        </w:tc>
        <w:tc>
          <w:tcPr>
            <w:tcW w:w="1811" w:type="dxa"/>
            <w:tcBorders>
              <w:left w:val="nil"/>
              <w:right w:val="nil"/>
            </w:tcBorders>
            <w:hideMark/>
          </w:tcPr>
          <w:p w14:paraId="172EEBDC" w14:textId="77777777" w:rsidR="00870C3F" w:rsidRPr="002F1917" w:rsidRDefault="00870C3F">
            <w:pPr>
              <w:pStyle w:val="BodyText"/>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w:t>
            </w:r>
          </w:p>
        </w:tc>
        <w:tc>
          <w:tcPr>
            <w:tcW w:w="1811" w:type="dxa"/>
            <w:tcBorders>
              <w:left w:val="nil"/>
              <w:right w:val="nil"/>
            </w:tcBorders>
            <w:hideMark/>
          </w:tcPr>
          <w:p w14:paraId="7E1B1050" w14:textId="77777777" w:rsidR="00870C3F" w:rsidRPr="002F1917" w:rsidRDefault="00870C3F">
            <w:pPr>
              <w:pStyle w:val="BodyText"/>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w:t>
            </w:r>
          </w:p>
        </w:tc>
        <w:tc>
          <w:tcPr>
            <w:tcW w:w="1811" w:type="dxa"/>
            <w:tcBorders>
              <w:left w:val="nil"/>
              <w:right w:val="nil"/>
            </w:tcBorders>
            <w:hideMark/>
          </w:tcPr>
          <w:p w14:paraId="6F4DD282" w14:textId="77777777" w:rsidR="00870C3F" w:rsidRPr="002F1917" w:rsidRDefault="00870C3F">
            <w:pPr>
              <w:pStyle w:val="BodyText"/>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w:t>
            </w:r>
          </w:p>
        </w:tc>
        <w:tc>
          <w:tcPr>
            <w:tcW w:w="1811" w:type="dxa"/>
            <w:tcBorders>
              <w:left w:val="nil"/>
              <w:right w:val="single" w:sz="4" w:space="0" w:color="88D6DD" w:themeColor="accent3"/>
            </w:tcBorders>
            <w:hideMark/>
          </w:tcPr>
          <w:p w14:paraId="1791B266" w14:textId="77777777" w:rsidR="00870C3F" w:rsidRPr="002F1917" w:rsidRDefault="00870C3F">
            <w:pPr>
              <w:pStyle w:val="BodyText"/>
              <w:cnfStyle w:val="000000100000" w:firstRow="0" w:lastRow="0" w:firstColumn="0" w:lastColumn="0" w:oddVBand="0" w:evenVBand="0" w:oddHBand="1" w:evenHBand="0" w:firstRowFirstColumn="0" w:firstRowLastColumn="0" w:lastRowFirstColumn="0" w:lastRowLastColumn="0"/>
              <w:rPr>
                <w:rFonts w:ascii="Calibri" w:hAnsi="Calibri" w:cs="Calibri"/>
                <w:lang w:val="en-US" w:eastAsia="en-AU"/>
              </w:rPr>
            </w:pPr>
            <w:r w:rsidRPr="002F1917">
              <w:rPr>
                <w:rFonts w:ascii="Calibri" w:hAnsi="Calibri" w:cs="Calibri"/>
                <w:lang w:val="en-US" w:eastAsia="en-AU"/>
              </w:rPr>
              <w:t>-</w:t>
            </w:r>
          </w:p>
        </w:tc>
      </w:tr>
    </w:tbl>
    <w:p w14:paraId="7F4295E1" w14:textId="77777777" w:rsidR="00870C3F" w:rsidRPr="002F1917" w:rsidRDefault="00870C3F" w:rsidP="00870C3F">
      <w:pPr>
        <w:pStyle w:val="BodyText"/>
        <w:rPr>
          <w:rFonts w:ascii="Calibri" w:hAnsi="Calibri" w:cs="Calibri"/>
          <w:lang w:val="en-US" w:eastAsia="en-AU"/>
        </w:rPr>
      </w:pPr>
    </w:p>
    <w:p w14:paraId="387CDD23" w14:textId="0FB19331" w:rsidR="00870C3F" w:rsidRPr="002F1917" w:rsidRDefault="00870C3F" w:rsidP="00870C3F">
      <w:pPr>
        <w:pStyle w:val="BodyText"/>
        <w:rPr>
          <w:rFonts w:ascii="Calibri" w:hAnsi="Calibri" w:cs="Calibri"/>
          <w:lang w:val="en-US" w:eastAsia="en-AU"/>
        </w:rPr>
      </w:pPr>
      <w:r w:rsidRPr="002F1917">
        <w:rPr>
          <w:rFonts w:ascii="Calibri" w:hAnsi="Calibri" w:cs="Calibri"/>
          <w:lang w:val="en-US" w:eastAsia="en-AU"/>
        </w:rPr>
        <w:t xml:space="preserve">The following data and assumptions fed into the calculation in </w:t>
      </w:r>
      <w:r w:rsidRPr="002F1917">
        <w:rPr>
          <w:rFonts w:ascii="Calibri" w:hAnsi="Calibri" w:cs="Calibri"/>
        </w:rPr>
        <w:fldChar w:fldCharType="begin"/>
      </w:r>
      <w:r w:rsidRPr="002F1917">
        <w:rPr>
          <w:rFonts w:ascii="Calibri" w:hAnsi="Calibri" w:cs="Calibri"/>
          <w:lang w:val="en-US" w:eastAsia="en-AU"/>
        </w:rPr>
        <w:instrText xml:space="preserve"> REF _Ref84857192 \h </w:instrText>
      </w:r>
      <w:r w:rsidR="002F1917">
        <w:rPr>
          <w:rFonts w:ascii="Calibri" w:hAnsi="Calibri" w:cs="Calibri"/>
        </w:rPr>
        <w:instrText xml:space="preserve"> \* MERGEFORMAT </w:instrText>
      </w:r>
      <w:r w:rsidRPr="002F1917">
        <w:rPr>
          <w:rFonts w:ascii="Calibri" w:hAnsi="Calibri" w:cs="Calibri"/>
        </w:rPr>
      </w:r>
      <w:r w:rsidRPr="002F1917">
        <w:rPr>
          <w:rFonts w:ascii="Calibri" w:hAnsi="Calibri" w:cs="Calibri"/>
        </w:rPr>
        <w:fldChar w:fldCharType="separate"/>
      </w:r>
      <w:r w:rsidRPr="002F1917">
        <w:rPr>
          <w:rFonts w:ascii="Calibri" w:hAnsi="Calibri" w:cs="Calibri"/>
        </w:rPr>
        <w:t xml:space="preserve">Table </w:t>
      </w:r>
      <w:r w:rsidRPr="002F1917">
        <w:rPr>
          <w:rFonts w:ascii="Calibri" w:hAnsi="Calibri" w:cs="Calibri"/>
          <w:noProof/>
        </w:rPr>
        <w:t>7</w:t>
      </w:r>
      <w:r w:rsidRPr="002F1917">
        <w:rPr>
          <w:rFonts w:ascii="Calibri" w:hAnsi="Calibri" w:cs="Calibri"/>
        </w:rPr>
        <w:fldChar w:fldCharType="end"/>
      </w:r>
      <w:r w:rsidRPr="002F1917">
        <w:rPr>
          <w:rFonts w:ascii="Calibri" w:hAnsi="Calibri" w:cs="Calibri"/>
          <w:lang w:val="en-US" w:eastAsia="en-AU"/>
        </w:rPr>
        <w:t>:</w:t>
      </w:r>
    </w:p>
    <w:p w14:paraId="293C600F" w14:textId="77777777" w:rsidR="00870C3F" w:rsidRPr="002F1917" w:rsidRDefault="00870C3F" w:rsidP="00870C3F">
      <w:pPr>
        <w:pStyle w:val="ListBullet1"/>
        <w:rPr>
          <w:rFonts w:ascii="Calibri" w:hAnsi="Calibri" w:cs="Calibri"/>
          <w:lang w:eastAsia="en-AU"/>
        </w:rPr>
      </w:pPr>
      <w:r w:rsidRPr="002F1917">
        <w:rPr>
          <w:rFonts w:ascii="Calibri" w:hAnsi="Calibri" w:cs="Calibri"/>
          <w:lang w:eastAsia="en-AU"/>
        </w:rPr>
        <w:lastRenderedPageBreak/>
        <w:t>There are around 40 wagering providers entering into PFIAs with sport controlling bodies</w:t>
      </w:r>
    </w:p>
    <w:p w14:paraId="0C3DD8D9" w14:textId="25A8B841" w:rsidR="00870C3F" w:rsidRPr="002F1917" w:rsidRDefault="00870C3F" w:rsidP="00870C3F">
      <w:pPr>
        <w:pStyle w:val="ListBullet1"/>
        <w:rPr>
          <w:rFonts w:ascii="Calibri" w:hAnsi="Calibri" w:cs="Calibri"/>
          <w:lang w:eastAsia="en-AU"/>
        </w:rPr>
      </w:pPr>
      <w:r w:rsidRPr="002F1917">
        <w:rPr>
          <w:rFonts w:ascii="Calibri" w:hAnsi="Calibri" w:cs="Calibri"/>
          <w:lang w:eastAsia="en-AU"/>
        </w:rPr>
        <w:t xml:space="preserve">A total of 16 hours taken per month for each wagering provider to provide regular reporting to sport controlling bodies. This effort would be required in the base case, Option </w:t>
      </w:r>
      <w:proofErr w:type="gramStart"/>
      <w:r w:rsidRPr="002F1917">
        <w:rPr>
          <w:rFonts w:ascii="Calibri" w:hAnsi="Calibri" w:cs="Calibri"/>
          <w:lang w:eastAsia="en-AU"/>
        </w:rPr>
        <w:t>1</w:t>
      </w:r>
      <w:proofErr w:type="gramEnd"/>
      <w:r w:rsidRPr="002F1917">
        <w:rPr>
          <w:rFonts w:ascii="Calibri" w:hAnsi="Calibri" w:cs="Calibri"/>
          <w:lang w:eastAsia="en-AU"/>
        </w:rPr>
        <w:t xml:space="preserve"> and Option 2.</w:t>
      </w:r>
    </w:p>
    <w:p w14:paraId="3BB4B58E" w14:textId="77777777" w:rsidR="00870C3F" w:rsidRPr="002F1917" w:rsidRDefault="00870C3F" w:rsidP="00870C3F">
      <w:pPr>
        <w:pStyle w:val="ListBullet1"/>
        <w:rPr>
          <w:rFonts w:ascii="Calibri" w:hAnsi="Calibri" w:cs="Calibri"/>
          <w:lang w:eastAsia="en-AU"/>
        </w:rPr>
      </w:pPr>
      <w:r w:rsidRPr="002F1917">
        <w:rPr>
          <w:rFonts w:ascii="Calibri" w:hAnsi="Calibri" w:cs="Calibri"/>
          <w:lang w:eastAsia="en-AU"/>
        </w:rPr>
        <w:t xml:space="preserve">A total of 24 hours taken for each wagering provider to respond to an ad hoc or audit request from a sport controlling body and each wagering provider gets ten of these requests each year. This effort would be required in the base case, Option </w:t>
      </w:r>
      <w:proofErr w:type="gramStart"/>
      <w:r w:rsidRPr="002F1917">
        <w:rPr>
          <w:rFonts w:ascii="Calibri" w:hAnsi="Calibri" w:cs="Calibri"/>
          <w:lang w:eastAsia="en-AU"/>
        </w:rPr>
        <w:t>1</w:t>
      </w:r>
      <w:proofErr w:type="gramEnd"/>
      <w:r w:rsidRPr="002F1917">
        <w:rPr>
          <w:rFonts w:ascii="Calibri" w:hAnsi="Calibri" w:cs="Calibri"/>
          <w:lang w:eastAsia="en-AU"/>
        </w:rPr>
        <w:t xml:space="preserve"> and Option 2.</w:t>
      </w:r>
    </w:p>
    <w:p w14:paraId="1EA5CF52" w14:textId="77777777" w:rsidR="00870C3F" w:rsidRPr="002F1917" w:rsidRDefault="00870C3F" w:rsidP="00870C3F">
      <w:pPr>
        <w:pStyle w:val="ListBullet1"/>
        <w:rPr>
          <w:rFonts w:ascii="Calibri" w:hAnsi="Calibri" w:cs="Calibri"/>
          <w:lang w:eastAsia="en-AU"/>
        </w:rPr>
      </w:pPr>
      <w:r w:rsidRPr="002F1917">
        <w:rPr>
          <w:rFonts w:ascii="Calibri" w:hAnsi="Calibri" w:cs="Calibri"/>
          <w:lang w:eastAsia="en-AU"/>
        </w:rPr>
        <w:t>A total of 160 hours taken for each wagering provider to automate data provision to Sport Integrity Australia in the year that the data platform is established. This effort would be required in Option 1 and Option 2.</w:t>
      </w:r>
    </w:p>
    <w:p w14:paraId="5A0F423F" w14:textId="77777777" w:rsidR="00870C3F" w:rsidRPr="002F1917" w:rsidRDefault="00870C3F" w:rsidP="00870C3F">
      <w:pPr>
        <w:pStyle w:val="ListBullet1"/>
        <w:rPr>
          <w:rFonts w:ascii="Calibri" w:hAnsi="Calibri" w:cs="Calibri"/>
          <w:lang w:eastAsia="en-AU"/>
        </w:rPr>
      </w:pPr>
      <w:r w:rsidRPr="002F1917">
        <w:rPr>
          <w:rFonts w:ascii="Calibri" w:hAnsi="Calibri" w:cs="Calibri"/>
          <w:lang w:eastAsia="en-AU"/>
        </w:rPr>
        <w:t>Based on an average hourly wage of $57.43 and 75% overheads and on costs.</w:t>
      </w:r>
      <w:r w:rsidRPr="002F1917">
        <w:rPr>
          <w:rStyle w:val="FootnoteReference"/>
          <w:rFonts w:ascii="Calibri" w:hAnsi="Calibri" w:cs="Calibri"/>
          <w:lang w:eastAsia="en-AU"/>
        </w:rPr>
        <w:footnoteReference w:id="22"/>
      </w:r>
    </w:p>
    <w:p w14:paraId="166D5357" w14:textId="77777777" w:rsidR="00870C3F" w:rsidRPr="00410069" w:rsidRDefault="00870C3F" w:rsidP="00410069">
      <w:pPr>
        <w:pStyle w:val="Heading3"/>
        <w:rPr>
          <w:rFonts w:ascii="Calibri" w:hAnsi="Calibri" w:cs="Calibri"/>
          <w:sz w:val="20"/>
          <w:szCs w:val="28"/>
        </w:rPr>
      </w:pPr>
      <w:bookmarkStart w:id="171" w:name="_Toc85450792"/>
      <w:r w:rsidRPr="00410069">
        <w:rPr>
          <w:rFonts w:ascii="Calibri" w:hAnsi="Calibri" w:cs="Calibri"/>
          <w:sz w:val="20"/>
          <w:szCs w:val="28"/>
        </w:rPr>
        <w:t>Discussion</w:t>
      </w:r>
      <w:bookmarkEnd w:id="171"/>
    </w:p>
    <w:p w14:paraId="7B22EC05" w14:textId="77777777" w:rsidR="00870C3F" w:rsidRPr="002F1917" w:rsidRDefault="00870C3F" w:rsidP="00870C3F">
      <w:pPr>
        <w:pStyle w:val="BodyText"/>
        <w:rPr>
          <w:rFonts w:ascii="Calibri" w:hAnsi="Calibri" w:cs="Calibri"/>
          <w:lang w:eastAsia="en-AU"/>
        </w:rPr>
      </w:pPr>
      <w:r w:rsidRPr="002F1917">
        <w:rPr>
          <w:rFonts w:ascii="Calibri" w:hAnsi="Calibri" w:cs="Calibri"/>
          <w:lang w:eastAsia="en-AU"/>
        </w:rPr>
        <w:t>The initial assessment of regulatory burden finds that Option 1 for accreditation and licensing of bodies, reduces regulatory burden on businesses when compared to the base case. There is a logic to this as Option 1 is fundamentally focusses on streamlining two regulatory processes into a single process.</w:t>
      </w:r>
    </w:p>
    <w:p w14:paraId="05C57D99" w14:textId="77777777" w:rsidR="00870C3F" w:rsidRPr="002F1917" w:rsidRDefault="00870C3F" w:rsidP="00870C3F">
      <w:pPr>
        <w:pStyle w:val="BodyText"/>
        <w:rPr>
          <w:rFonts w:ascii="Calibri" w:hAnsi="Calibri" w:cs="Calibri"/>
          <w:lang w:eastAsia="en-AU"/>
        </w:rPr>
      </w:pPr>
      <w:r w:rsidRPr="002F1917">
        <w:rPr>
          <w:rFonts w:ascii="Calibri" w:hAnsi="Calibri" w:cs="Calibri"/>
          <w:lang w:eastAsia="en-AU"/>
        </w:rPr>
        <w:t>The initial assessment of regulatory burden also finds that Option 1 and Option 2 for information sharing would increase the regulatory burden on business in the year that the platform is introduced. There would then be no change once the platform has been introduced. Sport Integrity Australia would look to work with wagering providers to limit the regulatory burden in the year the data platform is introduced and seek opportunities to reduce regulatory burden following the introduction of a data platform.</w:t>
      </w:r>
    </w:p>
    <w:p w14:paraId="046FFAC7" w14:textId="77777777" w:rsidR="00870C3F" w:rsidRPr="002F1917" w:rsidRDefault="00870C3F" w:rsidP="00870C3F">
      <w:pPr>
        <w:pStyle w:val="BodyText"/>
        <w:rPr>
          <w:rFonts w:ascii="Calibri" w:hAnsi="Calibri" w:cs="Calibri"/>
          <w:lang w:eastAsia="en-AU"/>
        </w:rPr>
      </w:pPr>
      <w:r w:rsidRPr="002F1917">
        <w:rPr>
          <w:rFonts w:ascii="Calibri" w:hAnsi="Calibri" w:cs="Calibri"/>
          <w:lang w:eastAsia="en-AU"/>
        </w:rPr>
        <w:t>While this regulatory burden analysis reports very specific values, the focus of the initial assessment is on the order of magnitude of the impact. From this perspective, the key finding is that the impacts of the information sharing options are higher than the impacts of accreditation and licensing of bodies. However, it is important to note that the impacts on information sharing are a one off additional regulatory burden in the year a data platform is introduced, whereas the reduction in regulatory burden in the accreditation and licensing of options is a recurring saving.</w:t>
      </w:r>
    </w:p>
    <w:p w14:paraId="56F44D81" w14:textId="77777777" w:rsidR="00870C3F" w:rsidRPr="002F1917" w:rsidRDefault="00870C3F" w:rsidP="00870C3F">
      <w:pPr>
        <w:pStyle w:val="BodyText"/>
        <w:rPr>
          <w:rFonts w:ascii="Calibri" w:hAnsi="Calibri" w:cs="Calibri"/>
          <w:highlight w:val="yellow"/>
          <w:lang w:eastAsia="en-AU"/>
        </w:rPr>
      </w:pPr>
      <w:r w:rsidRPr="002F1917">
        <w:rPr>
          <w:rFonts w:ascii="Calibri" w:hAnsi="Calibri" w:cs="Calibri"/>
          <w:lang w:eastAsia="en-AU"/>
        </w:rPr>
        <w:t>Sport Integrity Australia is keen to work with sports controllers and wagering providers to refine this regulatory burden estimate.</w:t>
      </w:r>
    </w:p>
    <w:p w14:paraId="754E23F4" w14:textId="77777777" w:rsidR="00870C3F" w:rsidRPr="002F1917" w:rsidRDefault="00870C3F" w:rsidP="00204AA1">
      <w:pPr>
        <w:pStyle w:val="Heading2"/>
        <w:numPr>
          <w:ilvl w:val="1"/>
          <w:numId w:val="26"/>
        </w:numPr>
        <w:suppressAutoHyphens w:val="0"/>
        <w:spacing w:after="120" w:line="280" w:lineRule="auto"/>
        <w:rPr>
          <w:rFonts w:ascii="Calibri" w:hAnsi="Calibri" w:cs="Calibri"/>
          <w:sz w:val="26"/>
          <w:lang w:eastAsia="en-AU"/>
        </w:rPr>
      </w:pPr>
      <w:bookmarkStart w:id="172" w:name="_Toc85450793"/>
      <w:bookmarkStart w:id="173" w:name="_Toc85450794"/>
      <w:bookmarkStart w:id="174" w:name="_Toc85450795"/>
      <w:bookmarkStart w:id="175" w:name="_Toc85792427"/>
      <w:bookmarkEnd w:id="172"/>
      <w:bookmarkEnd w:id="173"/>
      <w:r w:rsidRPr="002F1917">
        <w:rPr>
          <w:rFonts w:ascii="Calibri" w:hAnsi="Calibri" w:cs="Calibri"/>
          <w:sz w:val="26"/>
          <w:lang w:eastAsia="en-AU"/>
        </w:rPr>
        <w:t>Current preferred option</w:t>
      </w:r>
      <w:bookmarkEnd w:id="174"/>
      <w:bookmarkEnd w:id="175"/>
    </w:p>
    <w:p w14:paraId="51C63C87" w14:textId="77777777" w:rsidR="00870C3F" w:rsidRPr="002F1917" w:rsidRDefault="00870C3F" w:rsidP="00870C3F">
      <w:pPr>
        <w:rPr>
          <w:rFonts w:ascii="Calibri" w:hAnsi="Calibri" w:cs="Calibri"/>
          <w:sz w:val="20"/>
          <w:szCs w:val="20"/>
          <w:lang w:val="en-US" w:eastAsia="en-AU"/>
        </w:rPr>
      </w:pPr>
      <w:r w:rsidRPr="002F1917">
        <w:rPr>
          <w:rFonts w:ascii="Calibri" w:hAnsi="Calibri" w:cs="Calibri"/>
          <w:sz w:val="20"/>
          <w:szCs w:val="20"/>
          <w:lang w:val="en-US" w:eastAsia="en-AU"/>
        </w:rPr>
        <w:t>Based on this initial assessment of options, with particular focus on delivering the ASWS objectives and addressing the problems outlined in this Regulatory Impact Statement, the current preferred option is:</w:t>
      </w:r>
    </w:p>
    <w:p w14:paraId="3D0CEEAB" w14:textId="77777777" w:rsidR="00870C3F" w:rsidRPr="002F1917" w:rsidRDefault="00870C3F" w:rsidP="00870C3F">
      <w:pPr>
        <w:pStyle w:val="BulletPoint1"/>
        <w:rPr>
          <w:rFonts w:ascii="Calibri" w:eastAsiaTheme="minorHAnsi" w:hAnsi="Calibri" w:cs="Calibri"/>
          <w:color w:val="000000" w:themeColor="text1"/>
          <w:sz w:val="20"/>
          <w:lang w:val="en-GB" w:eastAsia="en-AU"/>
        </w:rPr>
      </w:pPr>
      <w:r w:rsidRPr="002F1917">
        <w:rPr>
          <w:rFonts w:ascii="Calibri" w:eastAsiaTheme="minorHAnsi" w:hAnsi="Calibri" w:cs="Calibri"/>
          <w:color w:val="000000" w:themeColor="text1"/>
          <w:sz w:val="20"/>
          <w:lang w:val="en-GB" w:eastAsia="en-AU"/>
        </w:rPr>
        <w:t>Accreditation and licensing of bodies: Option 1 – Streamlining</w:t>
      </w:r>
    </w:p>
    <w:p w14:paraId="342CF7FA" w14:textId="77777777" w:rsidR="00870C3F" w:rsidRPr="002F1917" w:rsidRDefault="00870C3F" w:rsidP="00870C3F">
      <w:pPr>
        <w:pStyle w:val="BulletPoint1"/>
        <w:rPr>
          <w:rFonts w:ascii="Calibri" w:eastAsiaTheme="minorHAnsi" w:hAnsi="Calibri" w:cs="Calibri"/>
          <w:color w:val="000000" w:themeColor="text1"/>
          <w:sz w:val="20"/>
          <w:lang w:val="en-GB" w:eastAsia="en-AU"/>
        </w:rPr>
      </w:pPr>
      <w:r w:rsidRPr="002F1917">
        <w:rPr>
          <w:rFonts w:ascii="Calibri" w:eastAsiaTheme="minorHAnsi" w:hAnsi="Calibri" w:cs="Calibri"/>
          <w:color w:val="000000" w:themeColor="text1"/>
          <w:sz w:val="20"/>
          <w:lang w:val="en-GB" w:eastAsia="en-AU"/>
        </w:rPr>
        <w:t xml:space="preserve">Recognition of markets and contingencies: Option 1 </w:t>
      </w:r>
      <w:r w:rsidRPr="002F1917">
        <w:rPr>
          <w:rFonts w:ascii="Calibri" w:hAnsi="Calibri" w:cs="Calibri"/>
          <w:b/>
          <w:sz w:val="20"/>
        </w:rPr>
        <w:t xml:space="preserve">– </w:t>
      </w:r>
      <w:r w:rsidRPr="002F1917">
        <w:rPr>
          <w:rFonts w:ascii="Calibri" w:hAnsi="Calibri" w:cs="Calibri"/>
          <w:sz w:val="20"/>
        </w:rPr>
        <w:t>National contingencies forum</w:t>
      </w:r>
    </w:p>
    <w:p w14:paraId="3C321434" w14:textId="77777777" w:rsidR="00870C3F" w:rsidRPr="002F1917" w:rsidRDefault="00870C3F" w:rsidP="00870C3F">
      <w:pPr>
        <w:pStyle w:val="BulletPoint1"/>
        <w:rPr>
          <w:rFonts w:ascii="Calibri" w:eastAsiaTheme="minorHAnsi" w:hAnsi="Calibri" w:cs="Calibri"/>
          <w:color w:val="000000" w:themeColor="text1"/>
          <w:sz w:val="20"/>
          <w:lang w:val="en-GB" w:eastAsia="en-AU"/>
        </w:rPr>
      </w:pPr>
      <w:r w:rsidRPr="002F1917">
        <w:rPr>
          <w:rFonts w:ascii="Calibri" w:eastAsiaTheme="minorHAnsi" w:hAnsi="Calibri" w:cs="Calibri"/>
          <w:color w:val="000000" w:themeColor="text1"/>
          <w:sz w:val="20"/>
          <w:lang w:val="en-GB" w:eastAsia="en-AU"/>
        </w:rPr>
        <w:t>Information sharing: Option 1 – non-real time National Platform.</w:t>
      </w:r>
    </w:p>
    <w:p w14:paraId="683DD552" w14:textId="77777777" w:rsidR="00870C3F" w:rsidRPr="002F1917" w:rsidRDefault="00870C3F" w:rsidP="00204AA1">
      <w:pPr>
        <w:pStyle w:val="Heading2"/>
        <w:numPr>
          <w:ilvl w:val="1"/>
          <w:numId w:val="26"/>
        </w:numPr>
        <w:suppressAutoHyphens w:val="0"/>
        <w:spacing w:after="120" w:line="280" w:lineRule="auto"/>
        <w:rPr>
          <w:rFonts w:ascii="Calibri" w:eastAsia="MS Gothic" w:hAnsi="Calibri" w:cs="Calibri"/>
          <w:color w:val="358189"/>
          <w:sz w:val="26"/>
          <w:lang w:val="en-US" w:eastAsia="en-AU"/>
        </w:rPr>
      </w:pPr>
      <w:bookmarkStart w:id="176" w:name="_Toc85450796"/>
      <w:bookmarkStart w:id="177" w:name="_Toc85792428"/>
      <w:r w:rsidRPr="002F1917">
        <w:rPr>
          <w:rFonts w:ascii="Calibri" w:hAnsi="Calibri" w:cs="Calibri"/>
          <w:sz w:val="26"/>
          <w:lang w:eastAsia="en-AU"/>
        </w:rPr>
        <w:t>Methodology for assessment in final Regulatory Impact Statement</w:t>
      </w:r>
      <w:bookmarkEnd w:id="164"/>
      <w:bookmarkEnd w:id="176"/>
      <w:bookmarkEnd w:id="177"/>
    </w:p>
    <w:p w14:paraId="272DA11A" w14:textId="77777777" w:rsidR="00870C3F" w:rsidRPr="002F1917" w:rsidRDefault="00870C3F" w:rsidP="00870C3F">
      <w:pPr>
        <w:pStyle w:val="BodyText"/>
        <w:rPr>
          <w:rFonts w:ascii="Calibri" w:hAnsi="Calibri" w:cs="Calibri"/>
          <w:lang w:val="en-US" w:eastAsia="en-AU"/>
        </w:rPr>
      </w:pPr>
      <w:r w:rsidRPr="002F1917">
        <w:rPr>
          <w:rFonts w:ascii="Calibri" w:hAnsi="Calibri" w:cs="Calibri"/>
          <w:lang w:val="en-US" w:eastAsia="en-AU"/>
        </w:rPr>
        <w:t>To meet the requirements of the Office of Best Practice Regulation, a more completed regulatory impact assessment will be conducted as part of the final Regulatory Impact Statement. This will involve:</w:t>
      </w:r>
    </w:p>
    <w:p w14:paraId="1C8A3505" w14:textId="77777777" w:rsidR="00870C3F" w:rsidRPr="002F1917" w:rsidRDefault="00870C3F" w:rsidP="00870C3F">
      <w:pPr>
        <w:pStyle w:val="ListBullet1"/>
        <w:rPr>
          <w:rFonts w:ascii="Calibri" w:hAnsi="Calibri" w:cs="Calibri"/>
          <w:lang w:eastAsia="en-AU"/>
        </w:rPr>
      </w:pPr>
      <w:r w:rsidRPr="002F1917">
        <w:rPr>
          <w:rFonts w:ascii="Calibri" w:hAnsi="Calibri" w:cs="Calibri"/>
          <w:lang w:eastAsia="en-AU"/>
        </w:rPr>
        <w:t>a cost-benefit analysis (CBA) – an analysis which looks to place a value on the costs and benefits of the options over time, this analysis will include a qualitative assessment for any impacts which cannot be valued. The CBA seeks to establish whether an option is net beneficial compared to the base case from the point of view of society.</w:t>
      </w:r>
    </w:p>
    <w:p w14:paraId="7D20BABC" w14:textId="77777777" w:rsidR="00870C3F" w:rsidRPr="002F1917" w:rsidRDefault="00870C3F" w:rsidP="00870C3F">
      <w:pPr>
        <w:pStyle w:val="ListBullet1"/>
        <w:rPr>
          <w:rFonts w:ascii="Calibri" w:hAnsi="Calibri" w:cs="Calibri"/>
          <w:lang w:eastAsia="en-AU"/>
        </w:rPr>
      </w:pPr>
      <w:r w:rsidRPr="002F1917">
        <w:rPr>
          <w:rFonts w:ascii="Calibri" w:hAnsi="Calibri" w:cs="Calibri"/>
          <w:lang w:eastAsia="en-AU"/>
        </w:rPr>
        <w:lastRenderedPageBreak/>
        <w:t>a regulatory burden analysis – a specific analysis of the change in regulatory burden to businesses, community organisations and individuals. The regulatory burden analysis will look at the distribution of any change in regulatory burden by user group. We expect this analysis to focus on impacts on sports controllers and wagering providers.</w:t>
      </w:r>
    </w:p>
    <w:p w14:paraId="6BA8A7CB" w14:textId="77777777" w:rsidR="00870C3F" w:rsidRPr="002F1917" w:rsidRDefault="00870C3F" w:rsidP="00870C3F">
      <w:pPr>
        <w:pStyle w:val="BodyText"/>
        <w:rPr>
          <w:rFonts w:ascii="Calibri" w:hAnsi="Calibri" w:cs="Calibri"/>
          <w:lang w:eastAsia="en-AU"/>
        </w:rPr>
      </w:pPr>
      <w:r w:rsidRPr="002F1917">
        <w:rPr>
          <w:rFonts w:ascii="Calibri" w:hAnsi="Calibri" w:cs="Calibri"/>
          <w:lang w:eastAsia="en-AU"/>
        </w:rPr>
        <w:t>These two analyses will not be mutually exclusive – the regulatory burden impacts will feature in both the regulatory burden analysis and the CBA.</w:t>
      </w:r>
    </w:p>
    <w:p w14:paraId="403A0D5C" w14:textId="0E5D2328" w:rsidR="00870C3F" w:rsidRPr="002F1917" w:rsidRDefault="00870C3F" w:rsidP="00AB2123">
      <w:pPr>
        <w:pStyle w:val="Heading3"/>
      </w:pPr>
      <w:r w:rsidRPr="002F1917">
        <w:t xml:space="preserve">Questions on </w:t>
      </w:r>
      <w:r w:rsidR="00281F38">
        <w:t xml:space="preserve">Consultation </w:t>
      </w:r>
      <w:r w:rsidRPr="002F1917">
        <w:t xml:space="preserve">Regulatory Impact Statement </w:t>
      </w:r>
    </w:p>
    <w:p w14:paraId="0E1F4A95" w14:textId="0DF9E814" w:rsidR="00870C3F" w:rsidRPr="002F1917" w:rsidRDefault="00870C3F" w:rsidP="00870C3F">
      <w:pPr>
        <w:pStyle w:val="ListBullet1"/>
        <w:numPr>
          <w:ilvl w:val="0"/>
          <w:numId w:val="0"/>
        </w:numPr>
        <w:tabs>
          <w:tab w:val="left" w:pos="720"/>
        </w:tabs>
        <w:jc w:val="left"/>
        <w:rPr>
          <w:rFonts w:ascii="Calibri" w:hAnsi="Calibri" w:cs="Calibri"/>
          <w:szCs w:val="20"/>
        </w:rPr>
      </w:pPr>
      <w:r w:rsidRPr="002F1917">
        <w:rPr>
          <w:rFonts w:ascii="Calibri" w:hAnsi="Calibri" w:cs="Calibri"/>
          <w:szCs w:val="20"/>
        </w:rPr>
        <w:t xml:space="preserve">Do you have any comments on the initial assessment of options? </w:t>
      </w:r>
      <w:r w:rsidR="001C0772">
        <w:rPr>
          <w:rFonts w:ascii="Calibri" w:hAnsi="Calibri" w:cs="Calibri"/>
          <w:szCs w:val="20"/>
        </w:rPr>
        <w:t>Are there</w:t>
      </w:r>
      <w:r w:rsidRPr="002F1917">
        <w:rPr>
          <w:rFonts w:ascii="Calibri" w:hAnsi="Calibri" w:cs="Calibri"/>
          <w:szCs w:val="20"/>
        </w:rPr>
        <w:t xml:space="preserve"> any impacts you feel have been missed? If so, can you provide evidence of these impacts? Are there any elements of the regulatory impact assessment which you have better data for?</w:t>
      </w:r>
    </w:p>
    <w:p w14:paraId="617CE688" w14:textId="77777777" w:rsidR="00870C3F" w:rsidRPr="002F1917" w:rsidRDefault="00870C3F" w:rsidP="00870C3F">
      <w:pPr>
        <w:pStyle w:val="ListBullet1"/>
        <w:numPr>
          <w:ilvl w:val="0"/>
          <w:numId w:val="0"/>
        </w:numPr>
        <w:tabs>
          <w:tab w:val="left" w:pos="720"/>
        </w:tabs>
        <w:jc w:val="left"/>
        <w:rPr>
          <w:rFonts w:ascii="Calibri" w:hAnsi="Calibri" w:cs="Calibri"/>
          <w:szCs w:val="20"/>
        </w:rPr>
      </w:pPr>
      <w:r w:rsidRPr="002F1917">
        <w:rPr>
          <w:rFonts w:ascii="Calibri" w:hAnsi="Calibri" w:cs="Calibri"/>
          <w:szCs w:val="20"/>
        </w:rPr>
        <w:t>For each option (including the base case</w:t>
      </w:r>
      <w:proofErr w:type="gramStart"/>
      <w:r w:rsidRPr="002F1917">
        <w:rPr>
          <w:rFonts w:ascii="Calibri" w:hAnsi="Calibri" w:cs="Calibri"/>
          <w:szCs w:val="20"/>
        </w:rPr>
        <w:t>),  what</w:t>
      </w:r>
      <w:proofErr w:type="gramEnd"/>
      <w:r w:rsidRPr="002F1917">
        <w:rPr>
          <w:rFonts w:ascii="Calibri" w:hAnsi="Calibri" w:cs="Calibri"/>
          <w:szCs w:val="20"/>
        </w:rPr>
        <w:t xml:space="preserve"> would  be the  financial  benefits  and/or  impacts  on  you,  your organisation  and  the  community?</w:t>
      </w:r>
    </w:p>
    <w:p w14:paraId="0FA4D649" w14:textId="77777777" w:rsidR="00870C3F" w:rsidRPr="002F1917" w:rsidRDefault="00870C3F" w:rsidP="00870C3F">
      <w:pPr>
        <w:pStyle w:val="ListBullet1"/>
        <w:numPr>
          <w:ilvl w:val="0"/>
          <w:numId w:val="0"/>
        </w:numPr>
        <w:tabs>
          <w:tab w:val="left" w:pos="720"/>
        </w:tabs>
        <w:jc w:val="left"/>
        <w:rPr>
          <w:rFonts w:ascii="Calibri" w:hAnsi="Calibri" w:cs="Calibri"/>
          <w:szCs w:val="20"/>
        </w:rPr>
      </w:pPr>
      <w:r w:rsidRPr="002F1917">
        <w:rPr>
          <w:rFonts w:ascii="Calibri" w:hAnsi="Calibri" w:cs="Calibri"/>
          <w:szCs w:val="20"/>
        </w:rPr>
        <w:t>For each option (including the base case</w:t>
      </w:r>
      <w:proofErr w:type="gramStart"/>
      <w:r w:rsidRPr="002F1917">
        <w:rPr>
          <w:rFonts w:ascii="Calibri" w:hAnsi="Calibri" w:cs="Calibri"/>
          <w:szCs w:val="20"/>
        </w:rPr>
        <w:t>),  are</w:t>
      </w:r>
      <w:proofErr w:type="gramEnd"/>
      <w:r w:rsidRPr="002F1917">
        <w:rPr>
          <w:rFonts w:ascii="Calibri" w:hAnsi="Calibri" w:cs="Calibri"/>
          <w:szCs w:val="20"/>
        </w:rPr>
        <w:t xml:space="preserve"> there  any  non-financial benefits  and/or impacts  on  you,  your organisation  and  the  community?</w:t>
      </w:r>
    </w:p>
    <w:p w14:paraId="41BD710E" w14:textId="77777777" w:rsidR="00870C3F" w:rsidRPr="002F1917" w:rsidRDefault="00870C3F" w:rsidP="00870C3F">
      <w:pPr>
        <w:pStyle w:val="ListBullet1"/>
        <w:numPr>
          <w:ilvl w:val="0"/>
          <w:numId w:val="0"/>
        </w:numPr>
        <w:tabs>
          <w:tab w:val="left" w:pos="720"/>
        </w:tabs>
        <w:jc w:val="left"/>
        <w:rPr>
          <w:rFonts w:ascii="Calibri" w:hAnsi="Calibri" w:cs="Calibri"/>
          <w:szCs w:val="20"/>
        </w:rPr>
      </w:pPr>
      <w:r w:rsidRPr="002F1917">
        <w:rPr>
          <w:rFonts w:ascii="Calibri" w:hAnsi="Calibri" w:cs="Calibri"/>
          <w:szCs w:val="20"/>
        </w:rPr>
        <w:t>Do you agree with the current preferred option?</w:t>
      </w:r>
    </w:p>
    <w:p w14:paraId="1BA70B51" w14:textId="77777777" w:rsidR="00870C3F" w:rsidRPr="002F1917" w:rsidRDefault="00870C3F" w:rsidP="00870C3F">
      <w:pPr>
        <w:rPr>
          <w:rFonts w:ascii="Calibri" w:hAnsi="Calibri" w:cs="Calibri"/>
          <w:szCs w:val="24"/>
          <w:lang w:val="en-US" w:eastAsia="en-AU"/>
        </w:rPr>
      </w:pPr>
    </w:p>
    <w:p w14:paraId="7269E51C" w14:textId="77777777" w:rsidR="00870C3F" w:rsidRPr="002F1917" w:rsidRDefault="00870C3F" w:rsidP="00870C3F">
      <w:pPr>
        <w:pStyle w:val="Heading2"/>
        <w:rPr>
          <w:rFonts w:ascii="Calibri" w:hAnsi="Calibri" w:cs="Calibri"/>
          <w:lang w:val="en-US"/>
        </w:rPr>
      </w:pPr>
      <w:r w:rsidRPr="002F1917">
        <w:rPr>
          <w:rFonts w:ascii="Calibri" w:eastAsia="MS Gothic" w:hAnsi="Calibri" w:cs="Calibri"/>
          <w:color w:val="358189"/>
          <w:lang w:val="en-US"/>
        </w:rPr>
        <w:br w:type="page"/>
      </w:r>
    </w:p>
    <w:p w14:paraId="63875656" w14:textId="77777777" w:rsidR="00870C3F" w:rsidRPr="002F1917" w:rsidRDefault="00870C3F" w:rsidP="00204AA1">
      <w:pPr>
        <w:pStyle w:val="Heading1"/>
        <w:numPr>
          <w:ilvl w:val="0"/>
          <w:numId w:val="26"/>
        </w:numPr>
        <w:suppressAutoHyphens w:val="0"/>
        <w:spacing w:before="480" w:after="360" w:line="240" w:lineRule="auto"/>
        <w:rPr>
          <w:rFonts w:ascii="Calibri" w:hAnsi="Calibri" w:cs="Calibri"/>
        </w:rPr>
      </w:pPr>
      <w:bookmarkStart w:id="178" w:name="_Ref84845287"/>
      <w:bookmarkStart w:id="179" w:name="_Toc85450797"/>
      <w:bookmarkStart w:id="180" w:name="_Toc85792429"/>
      <w:bookmarkStart w:id="181" w:name="_Ref79408802"/>
      <w:r w:rsidRPr="002F1917">
        <w:rPr>
          <w:rFonts w:ascii="Calibri" w:hAnsi="Calibri" w:cs="Calibri"/>
        </w:rPr>
        <w:lastRenderedPageBreak/>
        <w:t>Consultation</w:t>
      </w:r>
      <w:bookmarkEnd w:id="178"/>
      <w:r w:rsidRPr="002F1917">
        <w:rPr>
          <w:rFonts w:ascii="Calibri" w:hAnsi="Calibri" w:cs="Calibri"/>
        </w:rPr>
        <w:t xml:space="preserve"> and Next Steps</w:t>
      </w:r>
      <w:bookmarkEnd w:id="179"/>
      <w:bookmarkEnd w:id="180"/>
    </w:p>
    <w:p w14:paraId="5A080220" w14:textId="77777777" w:rsidR="00870C3F" w:rsidRPr="002F1917" w:rsidRDefault="00870C3F" w:rsidP="00204AA1">
      <w:pPr>
        <w:pStyle w:val="Heading2"/>
        <w:numPr>
          <w:ilvl w:val="1"/>
          <w:numId w:val="26"/>
        </w:numPr>
        <w:suppressAutoHyphens w:val="0"/>
        <w:spacing w:after="120" w:line="280" w:lineRule="auto"/>
        <w:rPr>
          <w:rFonts w:ascii="Calibri" w:hAnsi="Calibri" w:cs="Calibri"/>
          <w:lang w:eastAsia="en-AU"/>
        </w:rPr>
      </w:pPr>
      <w:bookmarkStart w:id="182" w:name="_Toc85450798"/>
      <w:bookmarkStart w:id="183" w:name="_Toc85792430"/>
      <w:r w:rsidRPr="002F1917">
        <w:rPr>
          <w:rFonts w:ascii="Calibri" w:hAnsi="Calibri" w:cs="Calibri"/>
          <w:sz w:val="26"/>
          <w:lang w:eastAsia="en-AU"/>
        </w:rPr>
        <w:t>Consultation process</w:t>
      </w:r>
      <w:bookmarkEnd w:id="182"/>
      <w:bookmarkEnd w:id="183"/>
    </w:p>
    <w:p w14:paraId="00465A26" w14:textId="77777777" w:rsidR="00870C3F" w:rsidRPr="00F60C9F" w:rsidRDefault="00870C3F" w:rsidP="00870C3F">
      <w:pPr>
        <w:pStyle w:val="Heading3"/>
        <w:rPr>
          <w:rFonts w:ascii="Calibri" w:hAnsi="Calibri" w:cs="Calibri"/>
          <w:bCs/>
          <w:lang w:eastAsia="en-AU"/>
        </w:rPr>
      </w:pPr>
      <w:bookmarkStart w:id="184" w:name="_Toc85450799"/>
      <w:r w:rsidRPr="00F60C9F">
        <w:rPr>
          <w:rFonts w:ascii="Calibri" w:hAnsi="Calibri" w:cs="Calibri"/>
          <w:bCs/>
          <w:sz w:val="20"/>
        </w:rPr>
        <w:t>Consultation to date</w:t>
      </w:r>
      <w:bookmarkEnd w:id="184"/>
    </w:p>
    <w:p w14:paraId="25FD1316" w14:textId="54B16197" w:rsidR="00870C3F" w:rsidRPr="002F1917" w:rsidRDefault="00870C3F" w:rsidP="00870C3F">
      <w:pPr>
        <w:pStyle w:val="BodyText"/>
        <w:rPr>
          <w:rFonts w:ascii="Calibri" w:hAnsi="Calibri" w:cs="Calibri"/>
          <w:lang w:eastAsia="en-AU"/>
        </w:rPr>
      </w:pPr>
      <w:r w:rsidRPr="002F1917">
        <w:rPr>
          <w:rFonts w:ascii="Calibri" w:hAnsi="Calibri" w:cs="Calibri"/>
          <w:lang w:eastAsia="en-AU"/>
        </w:rPr>
        <w:t xml:space="preserve">Sport Integrity Australia have undertaken a range of consultation which has informed this </w:t>
      </w:r>
      <w:r w:rsidR="00281F38">
        <w:rPr>
          <w:rFonts w:ascii="Calibri" w:hAnsi="Calibri" w:cs="Calibri"/>
          <w:lang w:eastAsia="en-AU"/>
        </w:rPr>
        <w:t xml:space="preserve">Consultation </w:t>
      </w:r>
      <w:r w:rsidRPr="002F1917">
        <w:rPr>
          <w:rFonts w:ascii="Calibri" w:hAnsi="Calibri" w:cs="Calibri"/>
          <w:lang w:eastAsia="en-AU"/>
        </w:rPr>
        <w:t xml:space="preserve">Regulatory Impact Statement. This has included workshops to inform the development of this Regulatory Impact Statement, targeted </w:t>
      </w:r>
      <w:proofErr w:type="gramStart"/>
      <w:r w:rsidRPr="002F1917">
        <w:rPr>
          <w:rFonts w:ascii="Calibri" w:hAnsi="Calibri" w:cs="Calibri"/>
          <w:lang w:eastAsia="en-AU"/>
        </w:rPr>
        <w:t>consultation</w:t>
      </w:r>
      <w:proofErr w:type="gramEnd"/>
      <w:r w:rsidRPr="002F1917">
        <w:rPr>
          <w:rFonts w:ascii="Calibri" w:hAnsi="Calibri" w:cs="Calibri"/>
          <w:lang w:eastAsia="en-AU"/>
        </w:rPr>
        <w:t xml:space="preserve"> and briefings on the ASWS with key stakeholders and seeking submissions on the previously released Discussion Paper.</w:t>
      </w:r>
    </w:p>
    <w:p w14:paraId="78D1FE12" w14:textId="77777777" w:rsidR="00870C3F" w:rsidRPr="002F1917" w:rsidRDefault="00870C3F" w:rsidP="00870C3F">
      <w:pPr>
        <w:pStyle w:val="BodyText"/>
        <w:rPr>
          <w:rFonts w:ascii="Calibri" w:hAnsi="Calibri" w:cs="Calibri"/>
          <w:lang w:eastAsia="en-AU"/>
        </w:rPr>
      </w:pPr>
      <w:r w:rsidRPr="002F1917">
        <w:rPr>
          <w:rFonts w:ascii="Calibri" w:hAnsi="Calibri" w:cs="Calibri"/>
          <w:lang w:eastAsia="en-AU"/>
        </w:rPr>
        <w:t>In general key themes of consultation to date include:</w:t>
      </w:r>
    </w:p>
    <w:p w14:paraId="2B0CE0EA" w14:textId="77777777" w:rsidR="00870C3F" w:rsidRPr="002F1917" w:rsidRDefault="00870C3F" w:rsidP="00870C3F">
      <w:pPr>
        <w:pStyle w:val="ListBullet1"/>
        <w:rPr>
          <w:rFonts w:ascii="Calibri" w:hAnsi="Calibri" w:cs="Calibri"/>
          <w:lang w:eastAsia="en-AU"/>
        </w:rPr>
      </w:pPr>
      <w:r w:rsidRPr="002F1917">
        <w:rPr>
          <w:rFonts w:ascii="Calibri" w:hAnsi="Calibri" w:cs="Calibri"/>
          <w:lang w:eastAsia="en-AU"/>
        </w:rPr>
        <w:t>An acknowledgement that there is duplication in elements of the current regulatory framework, such as the separate process for Sport Controlling Body accreditation in NSW and Victoria.</w:t>
      </w:r>
    </w:p>
    <w:p w14:paraId="281D4BE6" w14:textId="77777777" w:rsidR="00870C3F" w:rsidRPr="002F1917" w:rsidRDefault="00870C3F" w:rsidP="00870C3F">
      <w:pPr>
        <w:pStyle w:val="ListBullet1"/>
        <w:rPr>
          <w:rFonts w:ascii="Calibri" w:hAnsi="Calibri" w:cs="Calibri"/>
          <w:lang w:eastAsia="en-AU"/>
        </w:rPr>
      </w:pPr>
      <w:r w:rsidRPr="002F1917">
        <w:rPr>
          <w:rFonts w:ascii="Calibri" w:hAnsi="Calibri" w:cs="Calibri"/>
          <w:lang w:eastAsia="en-AU"/>
        </w:rPr>
        <w:t>An acknowledgement that Sport Integrity Australia should regulate the sport integrity elements of the wagering regulatory environment</w:t>
      </w:r>
    </w:p>
    <w:p w14:paraId="06F576B2" w14:textId="77777777" w:rsidR="00870C3F" w:rsidRPr="002F1917" w:rsidRDefault="00870C3F" w:rsidP="00870C3F">
      <w:pPr>
        <w:pStyle w:val="ListBullet1"/>
        <w:rPr>
          <w:rFonts w:ascii="Calibri" w:hAnsi="Calibri" w:cs="Calibri"/>
          <w:lang w:eastAsia="en-AU"/>
        </w:rPr>
      </w:pPr>
      <w:r w:rsidRPr="002F1917">
        <w:rPr>
          <w:rFonts w:ascii="Calibri" w:hAnsi="Calibri" w:cs="Calibri"/>
          <w:lang w:eastAsia="en-AU"/>
        </w:rPr>
        <w:t>Licensing of wagering providers should remain with state and territory regulators.</w:t>
      </w:r>
    </w:p>
    <w:p w14:paraId="11D750BA" w14:textId="77777777" w:rsidR="00870C3F" w:rsidRPr="002F1917" w:rsidRDefault="00870C3F" w:rsidP="00870C3F">
      <w:pPr>
        <w:pStyle w:val="ListBullet1"/>
        <w:rPr>
          <w:rFonts w:ascii="Calibri" w:hAnsi="Calibri" w:cs="Calibri"/>
          <w:lang w:eastAsia="en-AU"/>
        </w:rPr>
      </w:pPr>
      <w:r w:rsidRPr="002F1917">
        <w:rPr>
          <w:rFonts w:ascii="Calibri" w:hAnsi="Calibri" w:cs="Calibri"/>
          <w:lang w:eastAsia="en-AU"/>
        </w:rPr>
        <w:t>Mixed responses to establishing a National Platform for information sharing.</w:t>
      </w:r>
    </w:p>
    <w:p w14:paraId="0C409CAE" w14:textId="6179FE06" w:rsidR="00870C3F" w:rsidRPr="002F1917" w:rsidRDefault="00870C3F" w:rsidP="00870C3F">
      <w:pPr>
        <w:pStyle w:val="BodyText"/>
        <w:rPr>
          <w:rFonts w:ascii="Calibri" w:hAnsi="Calibri" w:cs="Calibri"/>
          <w:lang w:eastAsia="en-AU"/>
        </w:rPr>
      </w:pPr>
      <w:r w:rsidRPr="002F1917">
        <w:rPr>
          <w:rFonts w:ascii="Calibri" w:hAnsi="Calibri" w:cs="Calibri"/>
          <w:lang w:eastAsia="en-AU"/>
        </w:rPr>
        <w:t xml:space="preserve">This </w:t>
      </w:r>
      <w:r w:rsidR="00281F38">
        <w:rPr>
          <w:rFonts w:ascii="Calibri" w:hAnsi="Calibri" w:cs="Calibri"/>
          <w:lang w:eastAsia="en-AU"/>
        </w:rPr>
        <w:t xml:space="preserve">Consultation </w:t>
      </w:r>
      <w:r w:rsidRPr="002F1917">
        <w:rPr>
          <w:rFonts w:ascii="Calibri" w:hAnsi="Calibri" w:cs="Calibri"/>
          <w:lang w:eastAsia="en-AU"/>
        </w:rPr>
        <w:t xml:space="preserve">Regulatory Impact Statement has </w:t>
      </w:r>
      <w:proofErr w:type="gramStart"/>
      <w:r w:rsidRPr="002F1917">
        <w:rPr>
          <w:rFonts w:ascii="Calibri" w:hAnsi="Calibri" w:cs="Calibri"/>
          <w:lang w:eastAsia="en-AU"/>
        </w:rPr>
        <w:t>taken into account</w:t>
      </w:r>
      <w:proofErr w:type="gramEnd"/>
      <w:r w:rsidRPr="002F1917">
        <w:rPr>
          <w:rFonts w:ascii="Calibri" w:hAnsi="Calibri" w:cs="Calibri"/>
          <w:lang w:eastAsia="en-AU"/>
        </w:rPr>
        <w:t xml:space="preserve"> these key themes with a focus on the options removing duplication, not proposing Sport Integrity Australia to license wagering providers and focussing the National Platform for information sharing on providing value add for monitoring sport integrity.</w:t>
      </w:r>
    </w:p>
    <w:p w14:paraId="25C78007" w14:textId="77777777" w:rsidR="00870C3F" w:rsidRPr="00F60C9F" w:rsidRDefault="00870C3F" w:rsidP="00870C3F">
      <w:pPr>
        <w:pStyle w:val="Heading3"/>
        <w:rPr>
          <w:rFonts w:ascii="Calibri" w:hAnsi="Calibri" w:cs="Calibri"/>
          <w:bCs/>
          <w:lang w:eastAsia="en-AU"/>
        </w:rPr>
      </w:pPr>
      <w:bookmarkStart w:id="185" w:name="_Toc85450800"/>
      <w:r w:rsidRPr="00F60C9F">
        <w:rPr>
          <w:rFonts w:ascii="Calibri" w:hAnsi="Calibri" w:cs="Calibri"/>
          <w:bCs/>
          <w:sz w:val="20"/>
        </w:rPr>
        <w:t>Consultation plan</w:t>
      </w:r>
      <w:bookmarkEnd w:id="185"/>
    </w:p>
    <w:p w14:paraId="71874496" w14:textId="0F172D2F" w:rsidR="00870C3F" w:rsidRPr="002F1917" w:rsidRDefault="00870C3F" w:rsidP="00870C3F">
      <w:pPr>
        <w:pStyle w:val="BodyText"/>
        <w:rPr>
          <w:rFonts w:ascii="Calibri" w:hAnsi="Calibri" w:cs="Calibri"/>
          <w:lang w:val="en-US" w:eastAsia="en-AU"/>
        </w:rPr>
      </w:pPr>
      <w:r w:rsidRPr="002F1917">
        <w:rPr>
          <w:rFonts w:ascii="Calibri" w:hAnsi="Calibri" w:cs="Calibri"/>
          <w:lang w:val="en-US" w:eastAsia="en-AU"/>
        </w:rPr>
        <w:t xml:space="preserve">Feedback from stakeholders is encouraged on this </w:t>
      </w:r>
      <w:r w:rsidR="00281F38">
        <w:rPr>
          <w:rFonts w:ascii="Calibri" w:hAnsi="Calibri" w:cs="Calibri"/>
          <w:lang w:val="en-US" w:eastAsia="en-AU"/>
        </w:rPr>
        <w:t xml:space="preserve">Consultation </w:t>
      </w:r>
      <w:r w:rsidRPr="002F1917">
        <w:rPr>
          <w:rFonts w:ascii="Calibri" w:hAnsi="Calibri" w:cs="Calibri"/>
          <w:lang w:val="en-US" w:eastAsia="en-AU"/>
        </w:rPr>
        <w:t xml:space="preserve">Regulatory Impact Statement. This feedback will help ensure that the </w:t>
      </w:r>
      <w:r w:rsidR="006A5B4D">
        <w:rPr>
          <w:rFonts w:ascii="Calibri" w:hAnsi="Calibri" w:cs="Calibri"/>
          <w:lang w:val="en-US" w:eastAsia="en-AU"/>
        </w:rPr>
        <w:t xml:space="preserve">Commonwealth </w:t>
      </w:r>
      <w:r w:rsidRPr="002F1917">
        <w:rPr>
          <w:rFonts w:ascii="Calibri" w:hAnsi="Calibri" w:cs="Calibri"/>
          <w:lang w:val="en-US" w:eastAsia="en-AU"/>
        </w:rPr>
        <w:t xml:space="preserve">Government is aware of impacts of the ASWS on key stakeholders such as sports controllers and wagering providers.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284" w:type="dxa"/>
          <w:right w:w="284" w:type="dxa"/>
        </w:tblCellMar>
        <w:tblLook w:val="04A0" w:firstRow="1" w:lastRow="0" w:firstColumn="1" w:lastColumn="0" w:noHBand="0" w:noVBand="1"/>
      </w:tblPr>
      <w:tblGrid>
        <w:gridCol w:w="9350"/>
      </w:tblGrid>
      <w:tr w:rsidR="00870C3F" w:rsidRPr="002F1917" w14:paraId="76CBBD34" w14:textId="77777777" w:rsidTr="00870C3F">
        <w:trPr>
          <w:trHeight w:val="284"/>
          <w:jc w:val="center"/>
        </w:trPr>
        <w:tc>
          <w:tcPr>
            <w:tcW w:w="9350" w:type="dxa"/>
            <w:shd w:val="clear" w:color="auto" w:fill="F2F2F2" w:themeFill="background1" w:themeFillShade="F2"/>
            <w:vAlign w:val="bottom"/>
          </w:tcPr>
          <w:p w14:paraId="6D5F2999" w14:textId="77777777" w:rsidR="00870C3F" w:rsidRPr="002F1917" w:rsidRDefault="00870C3F">
            <w:pPr>
              <w:pStyle w:val="CalloutBoxcaption"/>
              <w:keepNext/>
              <w:numPr>
                <w:ilvl w:val="0"/>
                <w:numId w:val="0"/>
              </w:numPr>
              <w:rPr>
                <w:rFonts w:ascii="Calibri" w:hAnsi="Calibri" w:cs="Calibri"/>
                <w:lang w:eastAsia="en-AU"/>
              </w:rPr>
            </w:pPr>
          </w:p>
        </w:tc>
      </w:tr>
      <w:tr w:rsidR="00870C3F" w:rsidRPr="002F1917" w14:paraId="64DA71DD" w14:textId="77777777" w:rsidTr="00870C3F">
        <w:trPr>
          <w:jc w:val="center"/>
        </w:trPr>
        <w:tc>
          <w:tcPr>
            <w:tcW w:w="9350" w:type="dxa"/>
            <w:shd w:val="clear" w:color="auto" w:fill="F2F2F2" w:themeFill="background1" w:themeFillShade="F2"/>
            <w:vAlign w:val="bottom"/>
            <w:hideMark/>
          </w:tcPr>
          <w:p w14:paraId="01266004" w14:textId="28F6F8F9" w:rsidR="00870C3F" w:rsidRPr="002F1917" w:rsidRDefault="00870C3F">
            <w:pPr>
              <w:pStyle w:val="CalloutBoxcaption"/>
              <w:keepNext/>
              <w:tabs>
                <w:tab w:val="num" w:pos="360"/>
              </w:tabs>
              <w:rPr>
                <w:rFonts w:ascii="Calibri" w:hAnsi="Calibri" w:cs="Calibri"/>
              </w:rPr>
            </w:pPr>
            <w:r w:rsidRPr="002F1917">
              <w:rPr>
                <w:rFonts w:ascii="Calibri" w:hAnsi="Calibri" w:cs="Calibri"/>
              </w:rPr>
              <w:t xml:space="preserve"> Submissions on this </w:t>
            </w:r>
            <w:proofErr w:type="gramStart"/>
            <w:r w:rsidR="00281F38">
              <w:rPr>
                <w:rFonts w:ascii="Calibri" w:hAnsi="Calibri" w:cs="Calibri"/>
              </w:rPr>
              <w:t xml:space="preserve">Consultation </w:t>
            </w:r>
            <w:r w:rsidRPr="002F1917">
              <w:rPr>
                <w:rFonts w:ascii="Calibri" w:hAnsi="Calibri" w:cs="Calibri"/>
              </w:rPr>
              <w:t xml:space="preserve"> Regulatory</w:t>
            </w:r>
            <w:proofErr w:type="gramEnd"/>
            <w:r w:rsidRPr="002F1917">
              <w:rPr>
                <w:rFonts w:ascii="Calibri" w:hAnsi="Calibri" w:cs="Calibri"/>
              </w:rPr>
              <w:t xml:space="preserve"> Impact Statement</w:t>
            </w:r>
          </w:p>
          <w:p w14:paraId="383E3120" w14:textId="77777777" w:rsidR="00870C3F" w:rsidRPr="002F1917" w:rsidRDefault="00870C3F">
            <w:pPr>
              <w:pStyle w:val="CalloutBoxcaption"/>
              <w:keepNext/>
              <w:numPr>
                <w:ilvl w:val="0"/>
                <w:numId w:val="0"/>
              </w:numPr>
              <w:rPr>
                <w:rFonts w:ascii="Calibri" w:hAnsi="Calibri" w:cs="Calibri"/>
                <w:b/>
              </w:rPr>
            </w:pPr>
            <w:r w:rsidRPr="002F1917">
              <w:rPr>
                <w:rFonts w:ascii="Calibri" w:hAnsi="Calibri" w:cs="Calibri"/>
                <w:b/>
              </w:rPr>
              <w:t>Making a submission</w:t>
            </w:r>
          </w:p>
          <w:p w14:paraId="44EF70E4" w14:textId="25BA2BD2" w:rsidR="00870C3F" w:rsidRPr="002F1917" w:rsidRDefault="00870C3F">
            <w:pPr>
              <w:pStyle w:val="CalloutBoxcaption"/>
              <w:keepNext/>
              <w:numPr>
                <w:ilvl w:val="0"/>
                <w:numId w:val="0"/>
              </w:numPr>
              <w:rPr>
                <w:rFonts w:ascii="Calibri" w:hAnsi="Calibri" w:cs="Calibri"/>
              </w:rPr>
            </w:pPr>
            <w:r w:rsidRPr="002F1917">
              <w:rPr>
                <w:rFonts w:ascii="Calibri" w:hAnsi="Calibri" w:cs="Calibri"/>
              </w:rPr>
              <w:t xml:space="preserve">This </w:t>
            </w:r>
            <w:proofErr w:type="gramStart"/>
            <w:r w:rsidR="00281F38">
              <w:rPr>
                <w:rFonts w:ascii="Calibri" w:hAnsi="Calibri" w:cs="Calibri"/>
              </w:rPr>
              <w:t xml:space="preserve">Consultation </w:t>
            </w:r>
            <w:r w:rsidRPr="002F1917">
              <w:rPr>
                <w:rFonts w:ascii="Calibri" w:hAnsi="Calibri" w:cs="Calibri"/>
              </w:rPr>
              <w:t xml:space="preserve"> Regulatory</w:t>
            </w:r>
            <w:proofErr w:type="gramEnd"/>
            <w:r w:rsidRPr="002F1917">
              <w:rPr>
                <w:rFonts w:ascii="Calibri" w:hAnsi="Calibri" w:cs="Calibri"/>
              </w:rPr>
              <w:t xml:space="preserve"> Impact Statement is seeking submissions through </w:t>
            </w:r>
            <w:hyperlink r:id="rId19" w:history="1">
              <w:r w:rsidRPr="002F1917">
                <w:rPr>
                  <w:rStyle w:val="Hyperlink"/>
                  <w:rFonts w:ascii="Calibri" w:hAnsi="Calibri" w:cs="Calibri"/>
                </w:rPr>
                <w:t>policy@sportintegrity.gov.au</w:t>
              </w:r>
            </w:hyperlink>
            <w:r w:rsidRPr="002F1917">
              <w:rPr>
                <w:rFonts w:ascii="Calibri" w:hAnsi="Calibri" w:cs="Calibri"/>
              </w:rPr>
              <w:t xml:space="preserve"> by </w:t>
            </w:r>
            <w:r w:rsidRPr="002F1917">
              <w:rPr>
                <w:rFonts w:ascii="Calibri" w:hAnsi="Calibri" w:cs="Calibri"/>
                <w:highlight w:val="yellow"/>
              </w:rPr>
              <w:t>XXX</w:t>
            </w:r>
            <w:r w:rsidRPr="002F1917">
              <w:rPr>
                <w:rFonts w:ascii="Calibri" w:hAnsi="Calibri" w:cs="Calibri"/>
              </w:rPr>
              <w:t xml:space="preserve">. </w:t>
            </w:r>
          </w:p>
          <w:p w14:paraId="30CABF15" w14:textId="77777777" w:rsidR="00870C3F" w:rsidRPr="002F1917" w:rsidRDefault="00870C3F">
            <w:pPr>
              <w:pStyle w:val="CalloutBoxcaption"/>
              <w:keepNext/>
              <w:numPr>
                <w:ilvl w:val="0"/>
                <w:numId w:val="0"/>
              </w:numPr>
              <w:rPr>
                <w:rFonts w:ascii="Calibri" w:hAnsi="Calibri" w:cs="Calibri"/>
                <w:b/>
              </w:rPr>
            </w:pPr>
            <w:r w:rsidRPr="002F1917">
              <w:rPr>
                <w:rFonts w:ascii="Calibri" w:hAnsi="Calibri" w:cs="Calibri"/>
                <w:b/>
              </w:rPr>
              <w:t>Contact</w:t>
            </w:r>
          </w:p>
          <w:p w14:paraId="6D1163D0" w14:textId="77777777" w:rsidR="00870C3F" w:rsidRPr="002F1917" w:rsidRDefault="00870C3F">
            <w:pPr>
              <w:pStyle w:val="CalloutBoxcaption"/>
              <w:keepNext/>
              <w:numPr>
                <w:ilvl w:val="0"/>
                <w:numId w:val="0"/>
              </w:numPr>
              <w:rPr>
                <w:rFonts w:ascii="Calibri" w:hAnsi="Calibri" w:cs="Calibri"/>
              </w:rPr>
            </w:pPr>
            <w:r w:rsidRPr="002F1917">
              <w:rPr>
                <w:rFonts w:ascii="Calibri" w:hAnsi="Calibri" w:cs="Calibri"/>
              </w:rPr>
              <w:t xml:space="preserve">Any questions about the submission process can be answered by email through </w:t>
            </w:r>
            <w:hyperlink r:id="rId20" w:history="1">
              <w:r w:rsidRPr="002F1917">
                <w:rPr>
                  <w:rStyle w:val="Hyperlink"/>
                  <w:rFonts w:ascii="Calibri" w:hAnsi="Calibri" w:cs="Calibri"/>
                </w:rPr>
                <w:t>policy@sportintegrity.gov.au</w:t>
              </w:r>
            </w:hyperlink>
            <w:r w:rsidRPr="002F1917">
              <w:rPr>
                <w:rFonts w:ascii="Calibri" w:hAnsi="Calibri" w:cs="Calibri"/>
              </w:rPr>
              <w:t xml:space="preserve">. </w:t>
            </w:r>
          </w:p>
          <w:p w14:paraId="4F2F24F0" w14:textId="77777777" w:rsidR="00870C3F" w:rsidRPr="002F1917" w:rsidRDefault="00870C3F">
            <w:pPr>
              <w:pStyle w:val="CalloutBoxcaption"/>
              <w:keepNext/>
              <w:numPr>
                <w:ilvl w:val="0"/>
                <w:numId w:val="0"/>
              </w:numPr>
              <w:rPr>
                <w:rFonts w:ascii="Calibri" w:hAnsi="Calibri" w:cs="Calibri"/>
                <w:b/>
              </w:rPr>
            </w:pPr>
            <w:r w:rsidRPr="002F1917">
              <w:rPr>
                <w:rFonts w:ascii="Calibri" w:hAnsi="Calibri" w:cs="Calibri"/>
                <w:b/>
              </w:rPr>
              <w:t>Publication of submissions</w:t>
            </w:r>
          </w:p>
          <w:p w14:paraId="5EA8E71F" w14:textId="77777777" w:rsidR="00870C3F" w:rsidRPr="002F1917" w:rsidRDefault="00870C3F">
            <w:pPr>
              <w:pStyle w:val="CalloutBoxcaption"/>
              <w:keepNext/>
              <w:numPr>
                <w:ilvl w:val="0"/>
                <w:numId w:val="0"/>
              </w:numPr>
              <w:rPr>
                <w:rFonts w:ascii="Calibri" w:hAnsi="Calibri" w:cs="Calibri"/>
              </w:rPr>
            </w:pPr>
            <w:r w:rsidRPr="002F1917">
              <w:rPr>
                <w:rFonts w:ascii="Calibri" w:hAnsi="Calibri" w:cs="Calibri"/>
              </w:rPr>
              <w:t>Unless respondents request otherwise, all submissions will be published on Sport Integrity Australia’s website.</w:t>
            </w:r>
          </w:p>
          <w:p w14:paraId="10B78B99" w14:textId="77777777" w:rsidR="00870C3F" w:rsidRPr="002F1917" w:rsidRDefault="00870C3F">
            <w:pPr>
              <w:pStyle w:val="CalloutBoxcaption"/>
              <w:keepNext/>
              <w:numPr>
                <w:ilvl w:val="0"/>
                <w:numId w:val="0"/>
              </w:numPr>
              <w:rPr>
                <w:rFonts w:ascii="Calibri" w:hAnsi="Calibri" w:cs="Calibri"/>
              </w:rPr>
            </w:pPr>
            <w:r w:rsidRPr="002F1917">
              <w:rPr>
                <w:rFonts w:ascii="Calibri" w:hAnsi="Calibri" w:cs="Calibri"/>
              </w:rPr>
              <w:t xml:space="preserve">If respondents request that all or part of their submission be treated as confidential, it must be clearly indicated on the front of the submission. Sport Integrity Australia </w:t>
            </w:r>
            <w:proofErr w:type="gramStart"/>
            <w:r w:rsidRPr="002F1917">
              <w:rPr>
                <w:rFonts w:ascii="Calibri" w:hAnsi="Calibri" w:cs="Calibri"/>
              </w:rPr>
              <w:t>has a preference for</w:t>
            </w:r>
            <w:proofErr w:type="gramEnd"/>
            <w:r w:rsidRPr="002F1917">
              <w:rPr>
                <w:rFonts w:ascii="Calibri" w:hAnsi="Calibri" w:cs="Calibri"/>
              </w:rPr>
              <w:t xml:space="preserve"> confidential information to be included in an appendix that can be redacted, with the main body of the submission being available for publication.</w:t>
            </w:r>
          </w:p>
          <w:p w14:paraId="6C731F4E" w14:textId="722FD614" w:rsidR="00870C3F" w:rsidRPr="002F1917" w:rsidRDefault="00870C3F">
            <w:pPr>
              <w:pStyle w:val="CalloutBoxcaption"/>
              <w:keepNext/>
              <w:numPr>
                <w:ilvl w:val="0"/>
                <w:numId w:val="0"/>
              </w:numPr>
              <w:rPr>
                <w:rFonts w:ascii="Calibri" w:hAnsi="Calibri" w:cs="Calibri"/>
              </w:rPr>
            </w:pPr>
            <w:r w:rsidRPr="002F1917">
              <w:rPr>
                <w:rFonts w:ascii="Calibri" w:hAnsi="Calibri" w:cs="Calibri"/>
              </w:rPr>
              <w:t xml:space="preserve">The </w:t>
            </w:r>
            <w:proofErr w:type="gramStart"/>
            <w:r w:rsidR="00667378">
              <w:rPr>
                <w:rFonts w:ascii="Calibri" w:hAnsi="Calibri" w:cs="Calibri"/>
              </w:rPr>
              <w:t xml:space="preserve">Commonwealth </w:t>
            </w:r>
            <w:r w:rsidRPr="002F1917">
              <w:rPr>
                <w:rFonts w:ascii="Calibri" w:hAnsi="Calibri" w:cs="Calibri"/>
              </w:rPr>
              <w:t xml:space="preserve"> Government</w:t>
            </w:r>
            <w:proofErr w:type="gramEnd"/>
            <w:r w:rsidRPr="002F1917">
              <w:rPr>
                <w:rFonts w:ascii="Calibri" w:hAnsi="Calibri" w:cs="Calibri"/>
              </w:rPr>
              <w:t xml:space="preserve"> reserves the right to refuse to publish submissions, or parts of submissions, that contain offensive language, potentially defamatory material or any material that may infringe copyright.</w:t>
            </w:r>
          </w:p>
          <w:p w14:paraId="1784F26B" w14:textId="77777777" w:rsidR="00870C3F" w:rsidRPr="002F1917" w:rsidRDefault="00870C3F">
            <w:pPr>
              <w:pStyle w:val="CalloutBoxcaption"/>
              <w:keepNext/>
              <w:numPr>
                <w:ilvl w:val="0"/>
                <w:numId w:val="0"/>
              </w:numPr>
              <w:rPr>
                <w:rFonts w:ascii="Calibri" w:hAnsi="Calibri" w:cs="Calibri"/>
              </w:rPr>
            </w:pPr>
            <w:r w:rsidRPr="002F1917">
              <w:rPr>
                <w:rFonts w:ascii="Calibri" w:hAnsi="Calibri" w:cs="Calibri"/>
              </w:rPr>
              <w:t xml:space="preserve">A request may be made under the Freedom of Information Act 1982 for a submission marked confidential to be made available. Such requests will be determined in accordance with the provisions of that Act. </w:t>
            </w:r>
          </w:p>
          <w:p w14:paraId="6254A8BE" w14:textId="77777777" w:rsidR="00870C3F" w:rsidRPr="002F1917" w:rsidRDefault="00870C3F">
            <w:pPr>
              <w:pStyle w:val="CalloutBoxcaption"/>
              <w:keepNext/>
              <w:numPr>
                <w:ilvl w:val="0"/>
                <w:numId w:val="0"/>
              </w:numPr>
              <w:rPr>
                <w:rFonts w:ascii="Calibri" w:hAnsi="Calibri" w:cs="Calibri"/>
              </w:rPr>
            </w:pPr>
            <w:r w:rsidRPr="002F1917">
              <w:rPr>
                <w:rFonts w:ascii="Calibri" w:hAnsi="Calibri" w:cs="Calibri"/>
              </w:rPr>
              <w:t xml:space="preserve">Personal information provided in any submission may be used by Sport Integrity Australia for the purpose of developing the RIS. Contact information, other than the respondent’s name and organisation (if applicable), will not be published. However, a respondent’s name and organisation will be included on the department’s website to identify the source of the submission. </w:t>
            </w:r>
          </w:p>
        </w:tc>
      </w:tr>
      <w:tr w:rsidR="00870C3F" w:rsidRPr="002F1917" w14:paraId="14AF09D4" w14:textId="77777777" w:rsidTr="00870C3F">
        <w:trPr>
          <w:trHeight w:val="284"/>
          <w:jc w:val="center"/>
        </w:trPr>
        <w:tc>
          <w:tcPr>
            <w:tcW w:w="9350" w:type="dxa"/>
            <w:shd w:val="clear" w:color="auto" w:fill="F2F2F2" w:themeFill="background1" w:themeFillShade="F2"/>
            <w:vAlign w:val="bottom"/>
          </w:tcPr>
          <w:p w14:paraId="2B4F1A41" w14:textId="77777777" w:rsidR="00870C3F" w:rsidRPr="002F1917" w:rsidRDefault="00870C3F">
            <w:pPr>
              <w:pStyle w:val="CalloutBoxcaption"/>
              <w:numPr>
                <w:ilvl w:val="0"/>
                <w:numId w:val="0"/>
              </w:numPr>
              <w:rPr>
                <w:rFonts w:ascii="Calibri" w:hAnsi="Calibri" w:cs="Calibri"/>
              </w:rPr>
            </w:pPr>
          </w:p>
        </w:tc>
      </w:tr>
    </w:tbl>
    <w:p w14:paraId="1A18D82B" w14:textId="77777777" w:rsidR="00870C3F" w:rsidRPr="002F1917" w:rsidRDefault="00870C3F" w:rsidP="00870C3F">
      <w:pPr>
        <w:pStyle w:val="BodyText"/>
        <w:rPr>
          <w:rFonts w:ascii="Calibri" w:hAnsi="Calibri" w:cs="Calibri"/>
          <w:lang w:val="en-US" w:eastAsia="en-AU"/>
        </w:rPr>
      </w:pPr>
    </w:p>
    <w:p w14:paraId="4629AE68" w14:textId="77777777" w:rsidR="00870C3F" w:rsidRPr="002F1917" w:rsidRDefault="00870C3F" w:rsidP="00870C3F">
      <w:pPr>
        <w:pStyle w:val="BodyText"/>
        <w:rPr>
          <w:rFonts w:ascii="Calibri" w:hAnsi="Calibri" w:cs="Calibri"/>
          <w:lang w:val="en-US" w:eastAsia="en-AU"/>
        </w:rPr>
      </w:pPr>
      <w:r w:rsidRPr="002F1917">
        <w:rPr>
          <w:rFonts w:ascii="Calibri" w:hAnsi="Calibri" w:cs="Calibri"/>
          <w:lang w:val="en-US" w:eastAsia="en-AU"/>
        </w:rPr>
        <w:t>Sport Integrity Australia will continue to consult extensively with key stakeholders including:</w:t>
      </w:r>
    </w:p>
    <w:p w14:paraId="48149BE1" w14:textId="77777777" w:rsidR="00870C3F" w:rsidRPr="002F1917" w:rsidRDefault="00870C3F" w:rsidP="00870C3F">
      <w:pPr>
        <w:pStyle w:val="ListBullet1"/>
        <w:rPr>
          <w:rFonts w:ascii="Calibri" w:hAnsi="Calibri" w:cs="Calibri"/>
          <w:lang w:eastAsia="en-AU"/>
        </w:rPr>
      </w:pPr>
      <w:r w:rsidRPr="002F1917">
        <w:rPr>
          <w:rFonts w:ascii="Calibri" w:hAnsi="Calibri" w:cs="Calibri"/>
          <w:lang w:eastAsia="en-AU"/>
        </w:rPr>
        <w:t>Sports controllers</w:t>
      </w:r>
    </w:p>
    <w:p w14:paraId="59ACE73F" w14:textId="77777777" w:rsidR="00870C3F" w:rsidRPr="002F1917" w:rsidRDefault="00870C3F" w:rsidP="00870C3F">
      <w:pPr>
        <w:pStyle w:val="ListBullet1"/>
        <w:rPr>
          <w:rFonts w:ascii="Calibri" w:hAnsi="Calibri" w:cs="Calibri"/>
          <w:lang w:eastAsia="en-AU"/>
        </w:rPr>
      </w:pPr>
      <w:r w:rsidRPr="002F1917">
        <w:rPr>
          <w:rFonts w:ascii="Calibri" w:hAnsi="Calibri" w:cs="Calibri"/>
          <w:lang w:eastAsia="en-AU"/>
        </w:rPr>
        <w:t>Wagering providers</w:t>
      </w:r>
    </w:p>
    <w:p w14:paraId="593033ED" w14:textId="77777777" w:rsidR="00870C3F" w:rsidRPr="002F1917" w:rsidRDefault="00870C3F" w:rsidP="00870C3F">
      <w:pPr>
        <w:pStyle w:val="ListBullet1"/>
        <w:rPr>
          <w:rFonts w:ascii="Calibri" w:hAnsi="Calibri" w:cs="Calibri"/>
          <w:lang w:eastAsia="en-AU"/>
        </w:rPr>
      </w:pPr>
      <w:r w:rsidRPr="002F1917">
        <w:rPr>
          <w:rFonts w:ascii="Calibri" w:hAnsi="Calibri" w:cs="Calibri"/>
          <w:lang w:eastAsia="en-AU"/>
        </w:rPr>
        <w:t>State and territory regulators of sport wagering</w:t>
      </w:r>
    </w:p>
    <w:p w14:paraId="2944F559" w14:textId="77777777" w:rsidR="00870C3F" w:rsidRPr="002F1917" w:rsidRDefault="00870C3F" w:rsidP="00870C3F">
      <w:pPr>
        <w:pStyle w:val="ListBullet1"/>
        <w:rPr>
          <w:rFonts w:ascii="Calibri" w:hAnsi="Calibri" w:cs="Calibri"/>
          <w:lang w:eastAsia="en-AU"/>
        </w:rPr>
      </w:pPr>
      <w:r w:rsidRPr="002F1917">
        <w:rPr>
          <w:rFonts w:ascii="Calibri" w:hAnsi="Calibri" w:cs="Calibri"/>
          <w:lang w:eastAsia="en-AU"/>
        </w:rPr>
        <w:t>Sport Australia</w:t>
      </w:r>
    </w:p>
    <w:p w14:paraId="55852089" w14:textId="30349F59" w:rsidR="00870C3F" w:rsidRPr="002F1917" w:rsidRDefault="00781A71" w:rsidP="00870C3F">
      <w:pPr>
        <w:pStyle w:val="ListBullet1"/>
        <w:rPr>
          <w:rFonts w:ascii="Calibri" w:hAnsi="Calibri" w:cs="Calibri"/>
          <w:lang w:eastAsia="en-AU"/>
        </w:rPr>
      </w:pPr>
      <w:r>
        <w:rPr>
          <w:rFonts w:ascii="Calibri" w:hAnsi="Calibri" w:cs="Calibri"/>
          <w:lang w:eastAsia="en-AU"/>
        </w:rPr>
        <w:t>Commonwealth</w:t>
      </w:r>
      <w:r w:rsidRPr="002F1917">
        <w:rPr>
          <w:rFonts w:ascii="Calibri" w:hAnsi="Calibri" w:cs="Calibri"/>
          <w:lang w:eastAsia="en-AU"/>
        </w:rPr>
        <w:t xml:space="preserve"> </w:t>
      </w:r>
      <w:r w:rsidR="00870C3F" w:rsidRPr="002F1917">
        <w:rPr>
          <w:rFonts w:ascii="Calibri" w:hAnsi="Calibri" w:cs="Calibri"/>
          <w:lang w:eastAsia="en-AU"/>
        </w:rPr>
        <w:t>Government Department of Social Services</w:t>
      </w:r>
    </w:p>
    <w:p w14:paraId="6F3E135D" w14:textId="6DD1EA54" w:rsidR="00870C3F" w:rsidRPr="002F1917" w:rsidRDefault="00781A71" w:rsidP="00870C3F">
      <w:pPr>
        <w:pStyle w:val="ListBullet1"/>
        <w:rPr>
          <w:rFonts w:ascii="Calibri" w:hAnsi="Calibri" w:cs="Calibri"/>
          <w:lang w:eastAsia="en-AU"/>
        </w:rPr>
      </w:pPr>
      <w:r>
        <w:rPr>
          <w:rFonts w:ascii="Calibri" w:hAnsi="Calibri" w:cs="Calibri"/>
          <w:lang w:eastAsia="en-AU"/>
        </w:rPr>
        <w:t>Commonwealth</w:t>
      </w:r>
      <w:r w:rsidRPr="002F1917">
        <w:rPr>
          <w:rFonts w:ascii="Calibri" w:hAnsi="Calibri" w:cs="Calibri"/>
          <w:lang w:eastAsia="en-AU"/>
        </w:rPr>
        <w:t xml:space="preserve"> </w:t>
      </w:r>
      <w:r w:rsidR="00870C3F" w:rsidRPr="002F1917">
        <w:rPr>
          <w:rFonts w:ascii="Calibri" w:hAnsi="Calibri" w:cs="Calibri"/>
          <w:lang w:eastAsia="en-AU"/>
        </w:rPr>
        <w:t>Government Department of Infrastructure, Transport, Regional Development and Communication</w:t>
      </w:r>
    </w:p>
    <w:p w14:paraId="3B79D0B2" w14:textId="29177FEB" w:rsidR="00870C3F" w:rsidRPr="002F1917" w:rsidRDefault="00BD5730" w:rsidP="00870C3F">
      <w:pPr>
        <w:pStyle w:val="ListBullet1"/>
        <w:rPr>
          <w:rFonts w:ascii="Calibri" w:hAnsi="Calibri" w:cs="Calibri"/>
          <w:lang w:eastAsia="en-AU"/>
        </w:rPr>
      </w:pPr>
      <w:r>
        <w:rPr>
          <w:rFonts w:ascii="Calibri" w:hAnsi="Calibri" w:cs="Calibri"/>
          <w:lang w:eastAsia="en-AU"/>
        </w:rPr>
        <w:t xml:space="preserve">Commonwealth </w:t>
      </w:r>
      <w:r w:rsidR="00870C3F" w:rsidRPr="002F1917">
        <w:rPr>
          <w:rFonts w:ascii="Calibri" w:hAnsi="Calibri" w:cs="Calibri"/>
          <w:lang w:eastAsia="en-AU"/>
        </w:rPr>
        <w:t>Government Central Agencies</w:t>
      </w:r>
    </w:p>
    <w:p w14:paraId="4B480485" w14:textId="77777777" w:rsidR="00870C3F" w:rsidRPr="002F1917" w:rsidRDefault="00870C3F" w:rsidP="00870C3F">
      <w:pPr>
        <w:pStyle w:val="ListBullet1"/>
        <w:numPr>
          <w:ilvl w:val="0"/>
          <w:numId w:val="0"/>
        </w:numPr>
        <w:tabs>
          <w:tab w:val="left" w:pos="720"/>
        </w:tabs>
        <w:rPr>
          <w:rFonts w:ascii="Calibri" w:hAnsi="Calibri" w:cs="Calibri"/>
          <w:lang w:eastAsia="en-AU"/>
        </w:rPr>
      </w:pPr>
      <w:r w:rsidRPr="002F1917">
        <w:rPr>
          <w:rFonts w:ascii="Calibri" w:hAnsi="Calibri" w:cs="Calibri"/>
          <w:lang w:eastAsia="en-AU"/>
        </w:rPr>
        <w:t xml:space="preserve">This consultation will be both to develop a Final </w:t>
      </w:r>
      <w:r w:rsidRPr="002F1917">
        <w:rPr>
          <w:rFonts w:ascii="Calibri" w:hAnsi="Calibri" w:cs="Calibri"/>
          <w:lang w:val="en-US" w:eastAsia="en-AU"/>
        </w:rPr>
        <w:t xml:space="preserve">Regulatory Impact Statement and, should be policy authority be received to proceed with the ASWS, during the transition and implementation of the ASWS. This consultation will continue to be in the form of workshops with a cross-section of stakeholders to cover specific issues and </w:t>
      </w:r>
      <w:r w:rsidRPr="002F1917">
        <w:rPr>
          <w:rFonts w:ascii="Calibri" w:hAnsi="Calibri" w:cs="Calibri"/>
          <w:lang w:eastAsia="en-AU"/>
        </w:rPr>
        <w:t>targeted consultation and briefings on the ASWS with key stakeholders.</w:t>
      </w:r>
    </w:p>
    <w:p w14:paraId="24E24393" w14:textId="77777777" w:rsidR="00870C3F" w:rsidRPr="002F1917" w:rsidRDefault="00870C3F" w:rsidP="00204AA1">
      <w:pPr>
        <w:pStyle w:val="Heading2"/>
        <w:numPr>
          <w:ilvl w:val="1"/>
          <w:numId w:val="26"/>
        </w:numPr>
        <w:suppressAutoHyphens w:val="0"/>
        <w:spacing w:after="120" w:line="280" w:lineRule="auto"/>
        <w:rPr>
          <w:rFonts w:ascii="Calibri" w:hAnsi="Calibri" w:cs="Calibri"/>
          <w:sz w:val="26"/>
          <w:lang w:eastAsia="en-AU"/>
        </w:rPr>
      </w:pPr>
      <w:bookmarkStart w:id="186" w:name="_Toc85450801"/>
      <w:bookmarkStart w:id="187" w:name="_Toc85792431"/>
      <w:bookmarkEnd w:id="181"/>
      <w:r w:rsidRPr="002F1917">
        <w:rPr>
          <w:rFonts w:ascii="Calibri" w:hAnsi="Calibri" w:cs="Calibri"/>
          <w:sz w:val="26"/>
          <w:lang w:eastAsia="en-AU"/>
        </w:rPr>
        <w:t>Next steps for the Regulatory Impact Statement</w:t>
      </w:r>
      <w:bookmarkEnd w:id="186"/>
      <w:bookmarkEnd w:id="187"/>
    </w:p>
    <w:p w14:paraId="17472F67" w14:textId="27A7741F" w:rsidR="00870C3F" w:rsidRPr="002F1917" w:rsidRDefault="00870C3F" w:rsidP="00870C3F">
      <w:pPr>
        <w:pStyle w:val="BodyText"/>
        <w:rPr>
          <w:rFonts w:ascii="Calibri" w:hAnsi="Calibri" w:cs="Calibri"/>
          <w:lang w:val="en-US" w:eastAsia="en-AU"/>
        </w:rPr>
      </w:pPr>
      <w:r w:rsidRPr="002F1917">
        <w:rPr>
          <w:rFonts w:ascii="Calibri" w:hAnsi="Calibri" w:cs="Calibri"/>
          <w:lang w:val="en-US" w:eastAsia="en-AU"/>
        </w:rPr>
        <w:t xml:space="preserve">This </w:t>
      </w:r>
      <w:r w:rsidR="00B10ABD">
        <w:rPr>
          <w:rFonts w:ascii="Calibri" w:hAnsi="Calibri" w:cs="Calibri"/>
          <w:lang w:val="en-US" w:eastAsia="en-AU"/>
        </w:rPr>
        <w:t xml:space="preserve">Consultation </w:t>
      </w:r>
      <w:r w:rsidRPr="002F1917">
        <w:rPr>
          <w:rFonts w:ascii="Calibri" w:hAnsi="Calibri" w:cs="Calibri"/>
          <w:lang w:val="en-US" w:eastAsia="en-AU"/>
        </w:rPr>
        <w:t xml:space="preserve">Regulatory Impact Statement will be open for public submissions until </w:t>
      </w:r>
      <w:r w:rsidR="00047B34">
        <w:rPr>
          <w:rFonts w:ascii="Calibri" w:hAnsi="Calibri" w:cs="Calibri"/>
          <w:lang w:val="en-US" w:eastAsia="en-AU"/>
        </w:rPr>
        <w:t>COB Monday, 20 December 2021</w:t>
      </w:r>
      <w:r w:rsidRPr="002F1917">
        <w:rPr>
          <w:rFonts w:ascii="Calibri" w:hAnsi="Calibri" w:cs="Calibri"/>
          <w:lang w:val="en-US" w:eastAsia="en-AU"/>
        </w:rPr>
        <w:t xml:space="preserve">. </w:t>
      </w:r>
    </w:p>
    <w:p w14:paraId="20F24375" w14:textId="4EEF4414" w:rsidR="00870C3F" w:rsidRPr="002F1917" w:rsidRDefault="00870C3F" w:rsidP="00870C3F">
      <w:pPr>
        <w:pStyle w:val="BodyText"/>
        <w:rPr>
          <w:rFonts w:ascii="Calibri" w:hAnsi="Calibri" w:cs="Calibri"/>
          <w:lang w:val="en-US" w:eastAsia="en-AU"/>
        </w:rPr>
      </w:pPr>
      <w:r w:rsidRPr="002F1917">
        <w:rPr>
          <w:rFonts w:ascii="Calibri" w:hAnsi="Calibri" w:cs="Calibri"/>
          <w:lang w:val="en-US" w:eastAsia="en-AU"/>
        </w:rPr>
        <w:lastRenderedPageBreak/>
        <w:t xml:space="preserve">Findings from written submissions and additional targeted consultation will be collated into a Final Regulatory Impact Statement, which will be used to identify a recommended form for the ASWS. The final Regulatory Impact Statement will build on this </w:t>
      </w:r>
      <w:r w:rsidR="00B10ABD">
        <w:rPr>
          <w:rFonts w:ascii="Calibri" w:hAnsi="Calibri" w:cs="Calibri"/>
          <w:lang w:val="en-US" w:eastAsia="en-AU"/>
        </w:rPr>
        <w:t xml:space="preserve">Consultation Regulatory Impact Statement </w:t>
      </w:r>
      <w:r w:rsidRPr="002F1917">
        <w:rPr>
          <w:rFonts w:ascii="Calibri" w:hAnsi="Calibri" w:cs="Calibri"/>
          <w:lang w:val="en-US" w:eastAsia="en-AU"/>
        </w:rPr>
        <w:t xml:space="preserve">  by answering three additional questions: </w:t>
      </w:r>
    </w:p>
    <w:p w14:paraId="0912AC75" w14:textId="77777777" w:rsidR="00870C3F" w:rsidRPr="002F1917" w:rsidRDefault="00870C3F" w:rsidP="00204AA1">
      <w:pPr>
        <w:pStyle w:val="BodyText"/>
        <w:numPr>
          <w:ilvl w:val="0"/>
          <w:numId w:val="36"/>
        </w:numPr>
        <w:rPr>
          <w:rFonts w:ascii="Calibri" w:hAnsi="Calibri" w:cs="Calibri"/>
          <w:lang w:eastAsia="en-AU"/>
        </w:rPr>
      </w:pPr>
      <w:r w:rsidRPr="002F1917">
        <w:rPr>
          <w:rFonts w:ascii="Calibri" w:hAnsi="Calibri" w:cs="Calibri"/>
          <w:lang w:eastAsia="en-AU"/>
        </w:rPr>
        <w:t xml:space="preserve">Who did you consult and how did you incorporate their feedback? </w:t>
      </w:r>
    </w:p>
    <w:p w14:paraId="2C6ECCE3" w14:textId="77777777" w:rsidR="00870C3F" w:rsidRPr="002F1917" w:rsidRDefault="00870C3F" w:rsidP="00204AA1">
      <w:pPr>
        <w:pStyle w:val="BodyText"/>
        <w:numPr>
          <w:ilvl w:val="0"/>
          <w:numId w:val="36"/>
        </w:numPr>
        <w:rPr>
          <w:rFonts w:ascii="Calibri" w:hAnsi="Calibri" w:cs="Calibri"/>
          <w:lang w:eastAsia="en-AU"/>
        </w:rPr>
      </w:pPr>
      <w:r w:rsidRPr="002F1917">
        <w:rPr>
          <w:rFonts w:ascii="Calibri" w:hAnsi="Calibri" w:cs="Calibri"/>
          <w:lang w:eastAsia="en-AU"/>
        </w:rPr>
        <w:t xml:space="preserve">What is the best option from those you have considered? </w:t>
      </w:r>
    </w:p>
    <w:p w14:paraId="31B6E5C6" w14:textId="77777777" w:rsidR="00870C3F" w:rsidRPr="002F1917" w:rsidRDefault="00870C3F" w:rsidP="00204AA1">
      <w:pPr>
        <w:pStyle w:val="BodyText"/>
        <w:numPr>
          <w:ilvl w:val="0"/>
          <w:numId w:val="36"/>
        </w:numPr>
        <w:rPr>
          <w:rFonts w:ascii="Calibri" w:hAnsi="Calibri" w:cs="Calibri"/>
          <w:lang w:eastAsia="en-AU"/>
        </w:rPr>
      </w:pPr>
      <w:r w:rsidRPr="002F1917">
        <w:rPr>
          <w:rFonts w:ascii="Calibri" w:hAnsi="Calibri" w:cs="Calibri"/>
          <w:lang w:eastAsia="en-AU"/>
        </w:rPr>
        <w:t>How will you implement and evaluate your chosen option?</w:t>
      </w:r>
    </w:p>
    <w:p w14:paraId="5099B771" w14:textId="6016D63C" w:rsidR="00870C3F" w:rsidRPr="002F1917" w:rsidRDefault="00870C3F" w:rsidP="00870C3F">
      <w:pPr>
        <w:pStyle w:val="BodyText"/>
        <w:rPr>
          <w:rFonts w:ascii="Calibri" w:hAnsi="Calibri" w:cs="Calibri"/>
          <w:lang w:eastAsia="en-AU"/>
        </w:rPr>
      </w:pPr>
      <w:r w:rsidRPr="002F1917">
        <w:rPr>
          <w:rFonts w:ascii="Calibri" w:hAnsi="Calibri" w:cs="Calibri"/>
          <w:lang w:eastAsia="en-AU"/>
        </w:rPr>
        <w:t xml:space="preserve">A key focus of the </w:t>
      </w:r>
      <w:r w:rsidRPr="002F1917">
        <w:rPr>
          <w:rFonts w:ascii="Calibri" w:hAnsi="Calibri" w:cs="Calibri"/>
          <w:lang w:val="en-US" w:eastAsia="en-AU"/>
        </w:rPr>
        <w:t xml:space="preserve">final Regulatory Impact Statement will be on more detailed assessment of the costs and benefits of the policy options. This assessment will follow the methodology set out in Section </w:t>
      </w:r>
      <w:r w:rsidRPr="002F1917">
        <w:rPr>
          <w:rFonts w:ascii="Calibri" w:hAnsi="Calibri" w:cs="Calibri"/>
          <w:lang w:val="en-US" w:eastAsia="en-AU"/>
        </w:rPr>
        <w:fldChar w:fldCharType="begin"/>
      </w:r>
      <w:r w:rsidRPr="002F1917">
        <w:rPr>
          <w:rFonts w:ascii="Calibri" w:hAnsi="Calibri" w:cs="Calibri"/>
          <w:lang w:val="en-US" w:eastAsia="en-AU"/>
        </w:rPr>
        <w:instrText xml:space="preserve"> REF _Ref83822474 \r \h  \* MERGEFORMAT </w:instrText>
      </w:r>
      <w:r w:rsidRPr="002F1917">
        <w:rPr>
          <w:rFonts w:ascii="Calibri" w:hAnsi="Calibri" w:cs="Calibri"/>
          <w:lang w:val="en-US" w:eastAsia="en-AU"/>
        </w:rPr>
      </w:r>
      <w:r w:rsidRPr="002F1917">
        <w:rPr>
          <w:rFonts w:ascii="Calibri" w:hAnsi="Calibri" w:cs="Calibri"/>
          <w:lang w:val="en-US" w:eastAsia="en-AU"/>
        </w:rPr>
        <w:fldChar w:fldCharType="separate"/>
      </w:r>
      <w:r w:rsidRPr="002F1917">
        <w:rPr>
          <w:rFonts w:ascii="Calibri" w:hAnsi="Calibri" w:cs="Calibri"/>
          <w:lang w:val="en-US" w:eastAsia="en-AU"/>
        </w:rPr>
        <w:t>6.3</w:t>
      </w:r>
      <w:r w:rsidRPr="002F1917">
        <w:rPr>
          <w:rFonts w:ascii="Calibri" w:hAnsi="Calibri" w:cs="Calibri"/>
          <w:lang w:val="en-US" w:eastAsia="en-AU"/>
        </w:rPr>
        <w:fldChar w:fldCharType="end"/>
      </w:r>
      <w:r w:rsidRPr="002F1917">
        <w:rPr>
          <w:rFonts w:ascii="Calibri" w:hAnsi="Calibri" w:cs="Calibri"/>
          <w:lang w:val="en-US" w:eastAsia="en-AU"/>
        </w:rPr>
        <w:t xml:space="preserve">, drawing on evidence and data provided in submissions to this </w:t>
      </w:r>
      <w:r w:rsidR="00B10ABD">
        <w:rPr>
          <w:rFonts w:ascii="Calibri" w:hAnsi="Calibri" w:cs="Calibri"/>
          <w:lang w:val="en-US" w:eastAsia="en-AU"/>
        </w:rPr>
        <w:t xml:space="preserve">Consultation </w:t>
      </w:r>
      <w:r w:rsidRPr="002F1917">
        <w:rPr>
          <w:rFonts w:ascii="Calibri" w:hAnsi="Calibri" w:cs="Calibri"/>
          <w:lang w:val="en-US" w:eastAsia="en-AU"/>
        </w:rPr>
        <w:t>Regulatory Impact Statement.</w:t>
      </w:r>
    </w:p>
    <w:p w14:paraId="341F5413" w14:textId="77777777" w:rsidR="00870C3F" w:rsidRPr="002F1917" w:rsidRDefault="00870C3F" w:rsidP="00204AA1">
      <w:pPr>
        <w:pStyle w:val="Heading2"/>
        <w:numPr>
          <w:ilvl w:val="1"/>
          <w:numId w:val="26"/>
        </w:numPr>
        <w:suppressAutoHyphens w:val="0"/>
        <w:spacing w:after="120" w:line="280" w:lineRule="auto"/>
        <w:rPr>
          <w:rFonts w:ascii="Calibri" w:hAnsi="Calibri" w:cs="Calibri"/>
          <w:sz w:val="26"/>
          <w:lang w:eastAsia="en-AU"/>
        </w:rPr>
      </w:pPr>
      <w:bookmarkStart w:id="188" w:name="_Toc85450802"/>
      <w:bookmarkStart w:id="189" w:name="_Toc85792432"/>
      <w:r w:rsidRPr="002F1917">
        <w:rPr>
          <w:rFonts w:ascii="Calibri" w:hAnsi="Calibri" w:cs="Calibri"/>
          <w:sz w:val="26"/>
          <w:lang w:eastAsia="en-AU"/>
        </w:rPr>
        <w:t>Next steps for the Australian Sports Wagering Scheme</w:t>
      </w:r>
      <w:bookmarkEnd w:id="188"/>
      <w:bookmarkEnd w:id="189"/>
    </w:p>
    <w:p w14:paraId="30E93791" w14:textId="77777777" w:rsidR="00870C3F" w:rsidRPr="002F1917" w:rsidRDefault="00870C3F" w:rsidP="00870C3F">
      <w:pPr>
        <w:pStyle w:val="BodyText"/>
        <w:rPr>
          <w:rFonts w:ascii="Calibri" w:hAnsi="Calibri" w:cs="Calibri"/>
          <w:lang w:val="en-US" w:eastAsia="en-AU"/>
        </w:rPr>
      </w:pPr>
      <w:r w:rsidRPr="002F1917">
        <w:rPr>
          <w:rFonts w:ascii="Calibri" w:hAnsi="Calibri" w:cs="Calibri"/>
          <w:lang w:val="en-US" w:eastAsia="en-AU"/>
        </w:rPr>
        <w:t xml:space="preserve">The broader process for the ASWS is set out in </w:t>
      </w:r>
      <w:r w:rsidRPr="002F1917">
        <w:rPr>
          <w:rFonts w:ascii="Calibri" w:hAnsi="Calibri" w:cs="Calibri"/>
          <w:lang w:val="en-US" w:eastAsia="en-AU"/>
        </w:rPr>
        <w:fldChar w:fldCharType="begin"/>
      </w:r>
      <w:r w:rsidRPr="002F1917">
        <w:rPr>
          <w:rFonts w:ascii="Calibri" w:hAnsi="Calibri" w:cs="Calibri"/>
          <w:lang w:val="en-US" w:eastAsia="en-AU"/>
        </w:rPr>
        <w:instrText xml:space="preserve"> REF _Ref84507350 \h  \* MERGEFORMAT </w:instrText>
      </w:r>
      <w:r w:rsidRPr="002F1917">
        <w:rPr>
          <w:rFonts w:ascii="Calibri" w:hAnsi="Calibri" w:cs="Calibri"/>
          <w:lang w:val="en-US" w:eastAsia="en-AU"/>
        </w:rPr>
      </w:r>
      <w:r w:rsidRPr="002F1917">
        <w:rPr>
          <w:rFonts w:ascii="Calibri" w:hAnsi="Calibri" w:cs="Calibri"/>
          <w:lang w:val="en-US" w:eastAsia="en-AU"/>
        </w:rPr>
        <w:fldChar w:fldCharType="separate"/>
      </w:r>
      <w:r w:rsidRPr="002F1917">
        <w:rPr>
          <w:rFonts w:ascii="Calibri" w:hAnsi="Calibri" w:cs="Calibri"/>
        </w:rPr>
        <w:t xml:space="preserve">Figure </w:t>
      </w:r>
      <w:r w:rsidRPr="002F1917">
        <w:rPr>
          <w:rFonts w:ascii="Calibri" w:hAnsi="Calibri" w:cs="Calibri"/>
          <w:noProof/>
        </w:rPr>
        <w:t>3</w:t>
      </w:r>
      <w:r w:rsidRPr="002F1917">
        <w:rPr>
          <w:rFonts w:ascii="Calibri" w:hAnsi="Calibri" w:cs="Calibri"/>
          <w:lang w:val="en-US" w:eastAsia="en-AU"/>
        </w:rPr>
        <w:fldChar w:fldCharType="end"/>
      </w:r>
      <w:r w:rsidRPr="002F1917">
        <w:rPr>
          <w:rFonts w:ascii="Calibri" w:hAnsi="Calibri" w:cs="Calibri"/>
          <w:lang w:val="en-US" w:eastAsia="en-AU"/>
        </w:rPr>
        <w:t>. It is important to be clear that the ASWS transition and implementation period will include engagement with stakeholders to ensure that the precise details of the ASWS fit within the broader regulatory framework and achieve the objectives of the ASWS.</w:t>
      </w:r>
    </w:p>
    <w:p w14:paraId="7E058745" w14:textId="77777777" w:rsidR="00870C3F" w:rsidRDefault="00870C3F" w:rsidP="00F60C9F">
      <w:pPr>
        <w:rPr>
          <w:rFonts w:ascii="Calibri" w:hAnsi="Calibri" w:cs="Calibri"/>
          <w:sz w:val="20"/>
          <w:szCs w:val="20"/>
        </w:rPr>
      </w:pPr>
      <w:bookmarkStart w:id="190" w:name="_Ref84507350"/>
      <w:r w:rsidRPr="00F60C9F">
        <w:rPr>
          <w:rFonts w:ascii="Calibri" w:hAnsi="Calibri" w:cs="Calibri"/>
          <w:sz w:val="20"/>
          <w:szCs w:val="20"/>
        </w:rPr>
        <w:t xml:space="preserve">Figure </w:t>
      </w:r>
      <w:r w:rsidR="00437FE2" w:rsidRPr="00F60C9F">
        <w:rPr>
          <w:rFonts w:ascii="Calibri" w:hAnsi="Calibri" w:cs="Calibri"/>
          <w:sz w:val="20"/>
          <w:szCs w:val="20"/>
        </w:rPr>
        <w:fldChar w:fldCharType="begin"/>
      </w:r>
      <w:r w:rsidR="00437FE2" w:rsidRPr="00F60C9F">
        <w:rPr>
          <w:rFonts w:ascii="Calibri" w:hAnsi="Calibri" w:cs="Calibri"/>
          <w:sz w:val="20"/>
          <w:szCs w:val="20"/>
        </w:rPr>
        <w:instrText xml:space="preserve"> SEQ Figure \* ARABIC </w:instrText>
      </w:r>
      <w:r w:rsidR="00437FE2" w:rsidRPr="00F60C9F">
        <w:rPr>
          <w:rFonts w:ascii="Calibri" w:hAnsi="Calibri" w:cs="Calibri"/>
          <w:sz w:val="20"/>
          <w:szCs w:val="20"/>
        </w:rPr>
        <w:fldChar w:fldCharType="separate"/>
      </w:r>
      <w:r w:rsidRPr="00F60C9F">
        <w:rPr>
          <w:rFonts w:ascii="Calibri" w:hAnsi="Calibri" w:cs="Calibri"/>
          <w:noProof/>
          <w:sz w:val="20"/>
          <w:szCs w:val="20"/>
        </w:rPr>
        <w:t>4</w:t>
      </w:r>
      <w:r w:rsidR="00437FE2" w:rsidRPr="00F60C9F">
        <w:rPr>
          <w:rFonts w:ascii="Calibri" w:hAnsi="Calibri" w:cs="Calibri"/>
          <w:noProof/>
          <w:sz w:val="20"/>
          <w:szCs w:val="20"/>
        </w:rPr>
        <w:fldChar w:fldCharType="end"/>
      </w:r>
      <w:bookmarkEnd w:id="190"/>
      <w:r w:rsidRPr="00F60C9F">
        <w:rPr>
          <w:rFonts w:ascii="Calibri" w:hAnsi="Calibri" w:cs="Calibri"/>
          <w:sz w:val="20"/>
          <w:szCs w:val="20"/>
        </w:rPr>
        <w:t>: Broader process for the Australian Sports Wagering Scheme</w:t>
      </w:r>
    </w:p>
    <w:p w14:paraId="744EDCEF" w14:textId="5C7E1368" w:rsidR="00E714C1" w:rsidRPr="00F60C9F" w:rsidRDefault="00E714C1" w:rsidP="00F60C9F">
      <w:pPr>
        <w:rPr>
          <w:rFonts w:ascii="Calibri" w:hAnsi="Calibri" w:cs="Calibri"/>
          <w:sz w:val="20"/>
          <w:szCs w:val="20"/>
          <w:lang w:val="en-US" w:eastAsia="en-AU"/>
        </w:rPr>
      </w:pPr>
      <w:r>
        <w:rPr>
          <w:rFonts w:ascii="Calibri" w:hAnsi="Calibri" w:cs="Calibri"/>
          <w:noProof/>
          <w:sz w:val="20"/>
          <w:szCs w:val="20"/>
        </w:rPr>
        <w:drawing>
          <wp:inline distT="0" distB="0" distL="0" distR="0" wp14:anchorId="712C4A44" wp14:editId="1C317842">
            <wp:extent cx="6114415" cy="1677670"/>
            <wp:effectExtent l="0" t="0" r="635" b="0"/>
            <wp:docPr id="1" name="Picture 1" descr="1. Release of consultation RIS&#10;2. Development of New Policy Proposal&#10;3. Development of Decisions RIS&#10;4. Policy Authority sought as part of Budget process&#10;5. ASWS transitional arrangements put in place&#10;6. ASWS oper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 Release of consultation RIS&#10;2. Development of New Policy Proposal&#10;3. Development of Decisions RIS&#10;4. Policy Authority sought as part of Budget process&#10;5. ASWS transitional arrangements put in place&#10;6. ASWS operationa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14415" cy="1677670"/>
                    </a:xfrm>
                    <a:prstGeom prst="rect">
                      <a:avLst/>
                    </a:prstGeom>
                    <a:noFill/>
                    <a:ln>
                      <a:noFill/>
                    </a:ln>
                  </pic:spPr>
                </pic:pic>
              </a:graphicData>
            </a:graphic>
          </wp:inline>
        </w:drawing>
      </w:r>
    </w:p>
    <w:p w14:paraId="35235ADA" w14:textId="63493978" w:rsidR="00870C3F" w:rsidRPr="002F1917" w:rsidRDefault="00870C3F" w:rsidP="00870C3F">
      <w:pPr>
        <w:rPr>
          <w:rFonts w:ascii="Calibri" w:hAnsi="Calibri" w:cs="Calibri"/>
          <w:lang w:val="en-US" w:eastAsia="en-AU"/>
        </w:rPr>
      </w:pPr>
    </w:p>
    <w:p w14:paraId="28612F8B" w14:textId="77777777" w:rsidR="00870C3F" w:rsidRPr="002F1917" w:rsidRDefault="00870C3F" w:rsidP="00870C3F">
      <w:pPr>
        <w:rPr>
          <w:rFonts w:ascii="Calibri" w:hAnsi="Calibri" w:cs="Calibri"/>
          <w:lang w:val="en-US" w:eastAsia="en-AU"/>
        </w:rPr>
      </w:pPr>
    </w:p>
    <w:p w14:paraId="3369B2E0" w14:textId="77777777" w:rsidR="00870C3F" w:rsidRPr="002F1917" w:rsidRDefault="00870C3F" w:rsidP="00870C3F">
      <w:pPr>
        <w:pStyle w:val="BodyText"/>
        <w:rPr>
          <w:rFonts w:ascii="Calibri" w:hAnsi="Calibri" w:cs="Calibri"/>
        </w:rPr>
      </w:pPr>
      <w:r w:rsidRPr="002F1917">
        <w:rPr>
          <w:rFonts w:ascii="Calibri" w:hAnsi="Calibri" w:cs="Calibri"/>
        </w:rPr>
        <w:br w:type="page"/>
      </w:r>
    </w:p>
    <w:p w14:paraId="79000ADF" w14:textId="77777777" w:rsidR="00870C3F" w:rsidRPr="002F1917" w:rsidRDefault="00870C3F" w:rsidP="00870C3F">
      <w:pPr>
        <w:pStyle w:val="Heading1"/>
        <w:rPr>
          <w:rFonts w:ascii="Calibri" w:hAnsi="Calibri" w:cs="Calibri"/>
        </w:rPr>
      </w:pPr>
      <w:bookmarkStart w:id="191" w:name="_Toc85450803"/>
      <w:bookmarkStart w:id="192" w:name="_Toc85792433"/>
      <w:r w:rsidRPr="002F1917">
        <w:rPr>
          <w:rFonts w:ascii="Calibri" w:hAnsi="Calibri" w:cs="Calibri"/>
        </w:rPr>
        <w:lastRenderedPageBreak/>
        <w:t>Appendix A: Additional information on the current regulatory framework for sports wagering</w:t>
      </w:r>
      <w:bookmarkEnd w:id="191"/>
      <w:bookmarkEnd w:id="192"/>
    </w:p>
    <w:p w14:paraId="11AE0281" w14:textId="77777777" w:rsidR="00870C3F" w:rsidRPr="002F1917" w:rsidRDefault="00870C3F" w:rsidP="00870C3F">
      <w:pPr>
        <w:pStyle w:val="Heading1"/>
        <w:rPr>
          <w:rFonts w:ascii="Calibri" w:hAnsi="Calibri" w:cs="Calibri"/>
        </w:rPr>
      </w:pPr>
      <w:bookmarkStart w:id="193" w:name="_Toc85450804"/>
      <w:bookmarkStart w:id="194" w:name="_Toc85792434"/>
      <w:r w:rsidRPr="002F1917">
        <w:rPr>
          <w:rFonts w:ascii="Calibri" w:hAnsi="Calibri" w:cs="Calibri"/>
        </w:rPr>
        <w:t>Further detail on overarching regulatory framework</w:t>
      </w:r>
      <w:bookmarkStart w:id="195" w:name="_Toc38631410"/>
      <w:bookmarkEnd w:id="193"/>
      <w:bookmarkEnd w:id="194"/>
    </w:p>
    <w:p w14:paraId="5BA2BB25" w14:textId="77777777" w:rsidR="00870C3F" w:rsidRPr="002F1917" w:rsidRDefault="00870C3F" w:rsidP="00870C3F">
      <w:pPr>
        <w:rPr>
          <w:rFonts w:ascii="Calibri" w:hAnsi="Calibri" w:cs="Calibri"/>
          <w:lang w:val="en-US" w:eastAsia="en-AU"/>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284" w:type="dxa"/>
          <w:right w:w="284" w:type="dxa"/>
        </w:tblCellMar>
        <w:tblLook w:val="04A0" w:firstRow="1" w:lastRow="0" w:firstColumn="1" w:lastColumn="0" w:noHBand="0" w:noVBand="1"/>
      </w:tblPr>
      <w:tblGrid>
        <w:gridCol w:w="9350"/>
      </w:tblGrid>
      <w:tr w:rsidR="00870C3F" w:rsidRPr="002F1917" w14:paraId="422A9F5D" w14:textId="77777777" w:rsidTr="00870C3F">
        <w:trPr>
          <w:jc w:val="center"/>
        </w:trPr>
        <w:tc>
          <w:tcPr>
            <w:tcW w:w="9350" w:type="dxa"/>
            <w:shd w:val="clear" w:color="auto" w:fill="F2F2F2" w:themeFill="background1" w:themeFillShade="F2"/>
            <w:vAlign w:val="bottom"/>
            <w:hideMark/>
          </w:tcPr>
          <w:p w14:paraId="0CF261B2" w14:textId="77777777" w:rsidR="00870C3F" w:rsidRPr="002F1917" w:rsidRDefault="00870C3F">
            <w:pPr>
              <w:pStyle w:val="Caption"/>
              <w:rPr>
                <w:rFonts w:ascii="Calibri" w:hAnsi="Calibri" w:cs="Calibri"/>
                <w:color w:val="auto"/>
                <w:lang w:eastAsia="en-AU"/>
              </w:rPr>
            </w:pPr>
            <w:bookmarkStart w:id="196" w:name="_Ref32845212"/>
            <w:bookmarkStart w:id="197" w:name="_Ref32845207"/>
            <w:r w:rsidRPr="002F1917">
              <w:rPr>
                <w:rFonts w:ascii="Calibri" w:hAnsi="Calibri" w:cs="Calibri"/>
                <w:b/>
                <w:color w:val="auto"/>
              </w:rPr>
              <w:t xml:space="preserve">Box </w:t>
            </w:r>
            <w:r w:rsidRPr="002F1917">
              <w:rPr>
                <w:rFonts w:ascii="Calibri" w:hAnsi="Calibri" w:cs="Calibri"/>
              </w:rPr>
              <w:fldChar w:fldCharType="begin"/>
            </w:r>
            <w:r w:rsidRPr="002F1917">
              <w:rPr>
                <w:rFonts w:ascii="Calibri" w:hAnsi="Calibri" w:cs="Calibri"/>
                <w:b/>
                <w:color w:val="auto"/>
              </w:rPr>
              <w:instrText xml:space="preserve"> SEQ Box \* ARABIC </w:instrText>
            </w:r>
            <w:r w:rsidRPr="002F1917">
              <w:rPr>
                <w:rFonts w:ascii="Calibri" w:hAnsi="Calibri" w:cs="Calibri"/>
              </w:rPr>
              <w:fldChar w:fldCharType="separate"/>
            </w:r>
            <w:r w:rsidRPr="002F1917">
              <w:rPr>
                <w:rFonts w:ascii="Calibri" w:hAnsi="Calibri" w:cs="Calibri"/>
                <w:b/>
                <w:color w:val="auto"/>
              </w:rPr>
              <w:t>1</w:t>
            </w:r>
            <w:r w:rsidRPr="002F1917">
              <w:rPr>
                <w:rFonts w:ascii="Calibri" w:hAnsi="Calibri" w:cs="Calibri"/>
              </w:rPr>
              <w:fldChar w:fldCharType="end"/>
            </w:r>
            <w:bookmarkEnd w:id="196"/>
            <w:r w:rsidRPr="002F1917">
              <w:rPr>
                <w:rFonts w:ascii="Calibri" w:hAnsi="Calibri" w:cs="Calibri"/>
                <w:color w:val="auto"/>
              </w:rPr>
              <w:t>: Sports Betting Operational Model</w:t>
            </w:r>
            <w:bookmarkEnd w:id="197"/>
          </w:p>
          <w:p w14:paraId="499AA8AE" w14:textId="77777777" w:rsidR="00870C3F" w:rsidRPr="002F1917" w:rsidRDefault="00870C3F">
            <w:pPr>
              <w:pStyle w:val="BodyText"/>
              <w:rPr>
                <w:rFonts w:ascii="Calibri" w:hAnsi="Calibri" w:cs="Calibri"/>
              </w:rPr>
            </w:pPr>
            <w:r w:rsidRPr="002F1917">
              <w:rPr>
                <w:rFonts w:ascii="Calibri" w:hAnsi="Calibri" w:cs="Calibri"/>
              </w:rPr>
              <w:t>Following the endorsement of the National Policy on match-fixing in 2011, the SBOM is a system of cooperative partnerships between sporting organisations and wagering providers.</w:t>
            </w:r>
          </w:p>
          <w:p w14:paraId="4D45EBD5" w14:textId="77777777" w:rsidR="00870C3F" w:rsidRPr="002F1917" w:rsidRDefault="00870C3F">
            <w:pPr>
              <w:pStyle w:val="BodyText"/>
              <w:rPr>
                <w:rFonts w:ascii="Calibri" w:hAnsi="Calibri" w:cs="Calibri"/>
              </w:rPr>
            </w:pPr>
            <w:r w:rsidRPr="002F1917">
              <w:rPr>
                <w:rFonts w:ascii="Calibri" w:hAnsi="Calibri" w:cs="Calibri"/>
              </w:rPr>
              <w:t>A key aspect of the SBOM is the tripartite governance arrangement distributing responsibility for maintaining the integrity of sports wagering across:</w:t>
            </w:r>
          </w:p>
          <w:p w14:paraId="0E75354E" w14:textId="77777777" w:rsidR="00870C3F" w:rsidRPr="002F1917" w:rsidRDefault="00870C3F">
            <w:pPr>
              <w:pStyle w:val="ListBullet1"/>
              <w:rPr>
                <w:rFonts w:ascii="Calibri" w:hAnsi="Calibri" w:cs="Calibri"/>
                <w:szCs w:val="20"/>
                <w:lang w:eastAsia="en-AU"/>
              </w:rPr>
            </w:pPr>
            <w:r w:rsidRPr="002F1917">
              <w:rPr>
                <w:rFonts w:ascii="Calibri" w:hAnsi="Calibri" w:cs="Calibri"/>
                <w:szCs w:val="20"/>
              </w:rPr>
              <w:t>National Sporting Organisations that, on demonstrating their ability and resourcing to monitor, report and manage integrity threats, are granted sports controlling body (hereafter referred to as sports controller) status and become responsible for authorising betting contingencies on their sports and are eligible to enter into product fee and integrity agreements (hereafter referred to as product agreements) with wagering providers. This product agreement enables the sports controller to charge a product fee based on wagering on their sport.</w:t>
            </w:r>
          </w:p>
          <w:p w14:paraId="418AAC88" w14:textId="77777777" w:rsidR="00870C3F" w:rsidRPr="002F1917" w:rsidRDefault="00870C3F">
            <w:pPr>
              <w:pStyle w:val="ListBullet1"/>
              <w:rPr>
                <w:rFonts w:ascii="Calibri" w:hAnsi="Calibri" w:cs="Calibri"/>
                <w:szCs w:val="20"/>
                <w:lang w:eastAsia="en-AU"/>
              </w:rPr>
            </w:pPr>
            <w:r w:rsidRPr="002F1917">
              <w:rPr>
                <w:rFonts w:ascii="Calibri" w:hAnsi="Calibri" w:cs="Calibri"/>
                <w:szCs w:val="20"/>
              </w:rPr>
              <w:t>wagering providers that, seeking to offer wagering markets on sports, are obligated to establish and maintain partnerships with sports controllers, reporting and sharing information/data and paying of a product fee, if required, to sports controllers.</w:t>
            </w:r>
          </w:p>
          <w:p w14:paraId="0009A3EB" w14:textId="77777777" w:rsidR="00870C3F" w:rsidRPr="002F1917" w:rsidRDefault="00870C3F">
            <w:pPr>
              <w:pStyle w:val="ListBullet1"/>
              <w:rPr>
                <w:rFonts w:ascii="Calibri" w:hAnsi="Calibri" w:cs="Calibri"/>
                <w:szCs w:val="20"/>
                <w:lang w:eastAsia="en-AU"/>
              </w:rPr>
            </w:pPr>
            <w:r w:rsidRPr="002F1917">
              <w:rPr>
                <w:rFonts w:ascii="Calibri" w:hAnsi="Calibri" w:cs="Calibri"/>
                <w:szCs w:val="20"/>
              </w:rPr>
              <w:t xml:space="preserve">the relevant regulator, which retains regulatory powers over wagering providers for wagering </w:t>
            </w:r>
            <w:proofErr w:type="gramStart"/>
            <w:r w:rsidRPr="002F1917">
              <w:rPr>
                <w:rFonts w:ascii="Calibri" w:hAnsi="Calibri" w:cs="Calibri"/>
                <w:szCs w:val="20"/>
              </w:rPr>
              <w:t>licences, and</w:t>
            </w:r>
            <w:proofErr w:type="gramEnd"/>
            <w:r w:rsidRPr="002F1917">
              <w:rPr>
                <w:rFonts w:ascii="Calibri" w:hAnsi="Calibri" w:cs="Calibri"/>
                <w:szCs w:val="20"/>
              </w:rPr>
              <w:t xml:space="preserve"> is empowered to assess the effectiveness of National Sporting Organisations integrity frameworks and essentially deem them ineligible to charge a product fee if integrity obligations have not been met. Co-recognition of sports controller status among regulators across Australia is also intended.</w:t>
            </w:r>
          </w:p>
          <w:p w14:paraId="0CE21EEE" w14:textId="77777777" w:rsidR="00870C3F" w:rsidRPr="002F1917" w:rsidRDefault="00870C3F">
            <w:pPr>
              <w:pStyle w:val="BodyText"/>
              <w:rPr>
                <w:rFonts w:ascii="Calibri" w:hAnsi="Calibri" w:cs="Calibri"/>
              </w:rPr>
            </w:pPr>
            <w:r w:rsidRPr="002F1917">
              <w:rPr>
                <w:rFonts w:ascii="Calibri" w:hAnsi="Calibri" w:cs="Calibri"/>
              </w:rPr>
              <w:t xml:space="preserve">Recognising the </w:t>
            </w:r>
            <w:proofErr w:type="gramStart"/>
            <w:r w:rsidRPr="002F1917">
              <w:rPr>
                <w:rFonts w:ascii="Calibri" w:hAnsi="Calibri" w:cs="Calibri"/>
              </w:rPr>
              <w:t>manner in which</w:t>
            </w:r>
            <w:proofErr w:type="gramEnd"/>
            <w:r w:rsidRPr="002F1917">
              <w:rPr>
                <w:rFonts w:ascii="Calibri" w:hAnsi="Calibri" w:cs="Calibri"/>
              </w:rPr>
              <w:t xml:space="preserve"> states and territories may implement the National Policy may differ, additional provisions anticipated (but not required) by the National Policy include: </w:t>
            </w:r>
          </w:p>
          <w:p w14:paraId="59C9388C" w14:textId="77777777" w:rsidR="00870C3F" w:rsidRPr="002F1917" w:rsidRDefault="00870C3F">
            <w:pPr>
              <w:pStyle w:val="ListBullet1"/>
              <w:rPr>
                <w:rFonts w:ascii="Calibri" w:hAnsi="Calibri" w:cs="Calibri"/>
                <w:szCs w:val="20"/>
                <w:lang w:eastAsia="en-AU"/>
              </w:rPr>
            </w:pPr>
            <w:r w:rsidRPr="002F1917">
              <w:rPr>
                <w:rFonts w:ascii="Calibri" w:hAnsi="Calibri" w:cs="Calibri"/>
                <w:szCs w:val="20"/>
              </w:rPr>
              <w:t xml:space="preserve">those relating to information sharing between the sports controller and wagering providers (particularly in aid of identifying participants who may be placing bets in contravention of a sport’s code of conduct, or breach of contract with the sport). </w:t>
            </w:r>
          </w:p>
          <w:p w14:paraId="178B412D" w14:textId="77777777" w:rsidR="00870C3F" w:rsidRPr="002F1917" w:rsidRDefault="00870C3F">
            <w:pPr>
              <w:pStyle w:val="ListBullet1"/>
              <w:rPr>
                <w:rFonts w:ascii="Calibri" w:hAnsi="Calibri" w:cs="Calibri"/>
                <w:szCs w:val="20"/>
                <w:lang w:eastAsia="en-AU"/>
              </w:rPr>
            </w:pPr>
            <w:r w:rsidRPr="002F1917">
              <w:rPr>
                <w:rFonts w:ascii="Calibri" w:hAnsi="Calibri" w:cs="Calibri"/>
                <w:szCs w:val="20"/>
              </w:rPr>
              <w:t>international information sharing for multinational sporting events.</w:t>
            </w:r>
          </w:p>
          <w:p w14:paraId="54501557" w14:textId="77777777" w:rsidR="00870C3F" w:rsidRPr="002F1917" w:rsidRDefault="00870C3F">
            <w:pPr>
              <w:pStyle w:val="ListBullet1"/>
              <w:rPr>
                <w:rFonts w:ascii="Calibri" w:hAnsi="Calibri" w:cs="Calibri"/>
                <w:szCs w:val="20"/>
                <w:lang w:eastAsia="en-AU"/>
              </w:rPr>
            </w:pPr>
            <w:r w:rsidRPr="002F1917">
              <w:rPr>
                <w:rFonts w:ascii="Calibri" w:hAnsi="Calibri" w:cs="Calibri"/>
                <w:szCs w:val="20"/>
              </w:rPr>
              <w:t>provisions allowing for relevant regulators to have the right of approval in relation to sport betting (on contingencies and events more generally) and to impose conditions and seek information from sports controllers and wagering providers.</w:t>
            </w:r>
          </w:p>
          <w:p w14:paraId="1F4F9B13" w14:textId="77777777" w:rsidR="00870C3F" w:rsidRPr="002F1917" w:rsidRDefault="00870C3F">
            <w:pPr>
              <w:pStyle w:val="BodyText"/>
              <w:rPr>
                <w:rFonts w:ascii="Calibri" w:hAnsi="Calibri" w:cs="Calibri"/>
              </w:rPr>
            </w:pPr>
            <w:r w:rsidRPr="002F1917">
              <w:rPr>
                <w:rFonts w:ascii="Calibri" w:hAnsi="Calibri" w:cs="Calibri"/>
              </w:rPr>
              <w:t>Section 2.1.1 outlines the implementation of the SBOM in practice.</w:t>
            </w:r>
          </w:p>
          <w:p w14:paraId="4BFCF407" w14:textId="77777777" w:rsidR="00870C3F" w:rsidRPr="002F1917" w:rsidRDefault="00870C3F">
            <w:pPr>
              <w:rPr>
                <w:rFonts w:ascii="Calibri" w:hAnsi="Calibri" w:cs="Calibri"/>
                <w:i/>
                <w:sz w:val="16"/>
                <w:szCs w:val="16"/>
              </w:rPr>
            </w:pPr>
            <w:r w:rsidRPr="002F1917">
              <w:rPr>
                <w:rFonts w:ascii="Calibri" w:hAnsi="Calibri" w:cs="Calibri"/>
                <w:i/>
                <w:color w:val="101C3A" w:themeColor="accent1"/>
                <w:sz w:val="16"/>
                <w:szCs w:val="16"/>
              </w:rPr>
              <w:t>Source: Report of the Review of Australia’s Sport integrity Arrangements (2018)</w:t>
            </w:r>
          </w:p>
        </w:tc>
      </w:tr>
      <w:tr w:rsidR="00870C3F" w:rsidRPr="002F1917" w14:paraId="77875F34" w14:textId="77777777" w:rsidTr="00870C3F">
        <w:trPr>
          <w:trHeight w:val="284"/>
          <w:jc w:val="center"/>
        </w:trPr>
        <w:tc>
          <w:tcPr>
            <w:tcW w:w="9350" w:type="dxa"/>
            <w:shd w:val="clear" w:color="auto" w:fill="auto"/>
            <w:vAlign w:val="bottom"/>
          </w:tcPr>
          <w:p w14:paraId="78307F0F" w14:textId="77777777" w:rsidR="00870C3F" w:rsidRPr="002F1917" w:rsidRDefault="00870C3F">
            <w:pPr>
              <w:pStyle w:val="CalloutBoxcaption"/>
              <w:numPr>
                <w:ilvl w:val="0"/>
                <w:numId w:val="0"/>
              </w:numPr>
              <w:rPr>
                <w:rFonts w:ascii="Calibri" w:hAnsi="Calibri" w:cs="Calibri"/>
              </w:rPr>
            </w:pPr>
          </w:p>
        </w:tc>
      </w:tr>
    </w:tbl>
    <w:p w14:paraId="1F5C385E" w14:textId="77777777" w:rsidR="00870C3F" w:rsidRPr="002F1917" w:rsidRDefault="00870C3F" w:rsidP="00870C3F">
      <w:pPr>
        <w:rPr>
          <w:rFonts w:ascii="Calibri" w:eastAsia="Times New Roman" w:hAnsi="Calibri" w:cs="Calibri"/>
          <w:sz w:val="21"/>
          <w:lang w:val="en-US" w:eastAsia="en-AU"/>
        </w:rPr>
      </w:pPr>
    </w:p>
    <w:p w14:paraId="2FEB25F9" w14:textId="77777777" w:rsidR="00870C3F" w:rsidRPr="002F1917" w:rsidRDefault="00870C3F" w:rsidP="00870C3F">
      <w:pPr>
        <w:spacing w:before="0" w:line="240" w:lineRule="auto"/>
        <w:rPr>
          <w:rFonts w:ascii="Calibri" w:hAnsi="Calibri" w:cs="Calibri"/>
          <w:lang w:val="en-US" w:eastAsia="en-AU"/>
        </w:rPr>
      </w:pPr>
      <w:r w:rsidRPr="002F1917">
        <w:rPr>
          <w:rFonts w:ascii="Calibri" w:hAnsi="Calibri" w:cs="Calibri"/>
          <w:lang w:val="en-US" w:eastAsia="en-AU"/>
        </w:rP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284" w:type="dxa"/>
          <w:right w:w="284" w:type="dxa"/>
        </w:tblCellMar>
        <w:tblLook w:val="04A0" w:firstRow="1" w:lastRow="0" w:firstColumn="1" w:lastColumn="0" w:noHBand="0" w:noVBand="1"/>
      </w:tblPr>
      <w:tblGrid>
        <w:gridCol w:w="8662"/>
      </w:tblGrid>
      <w:tr w:rsidR="00870C3F" w:rsidRPr="002F1917" w14:paraId="2C552839" w14:textId="77777777" w:rsidTr="00870C3F">
        <w:trPr>
          <w:trHeight w:val="6572"/>
          <w:jc w:val="center"/>
        </w:trPr>
        <w:tc>
          <w:tcPr>
            <w:tcW w:w="8662" w:type="dxa"/>
            <w:shd w:val="clear" w:color="auto" w:fill="F2F2F2" w:themeFill="background1" w:themeFillShade="F2"/>
            <w:vAlign w:val="bottom"/>
            <w:hideMark/>
          </w:tcPr>
          <w:p w14:paraId="6B1C814B" w14:textId="77777777" w:rsidR="00870C3F" w:rsidRPr="002F1917" w:rsidRDefault="00870C3F">
            <w:pPr>
              <w:pStyle w:val="Caption"/>
              <w:rPr>
                <w:rFonts w:ascii="Calibri" w:hAnsi="Calibri" w:cs="Calibri"/>
                <w:color w:val="auto"/>
                <w:lang w:eastAsia="en-AU"/>
              </w:rPr>
            </w:pPr>
            <w:r w:rsidRPr="002F1917">
              <w:rPr>
                <w:rFonts w:ascii="Calibri" w:hAnsi="Calibri" w:cs="Calibri"/>
                <w:b/>
                <w:color w:val="auto"/>
              </w:rPr>
              <w:lastRenderedPageBreak/>
              <w:t xml:space="preserve">Box </w:t>
            </w:r>
            <w:r w:rsidRPr="002F1917">
              <w:rPr>
                <w:rFonts w:ascii="Calibri" w:hAnsi="Calibri" w:cs="Calibri"/>
              </w:rPr>
              <w:fldChar w:fldCharType="begin"/>
            </w:r>
            <w:r w:rsidRPr="002F1917">
              <w:rPr>
                <w:rFonts w:ascii="Calibri" w:hAnsi="Calibri" w:cs="Calibri"/>
                <w:b/>
                <w:color w:val="auto"/>
              </w:rPr>
              <w:instrText xml:space="preserve"> SEQ Box \* ARABIC </w:instrText>
            </w:r>
            <w:r w:rsidRPr="002F1917">
              <w:rPr>
                <w:rFonts w:ascii="Calibri" w:hAnsi="Calibri" w:cs="Calibri"/>
              </w:rPr>
              <w:fldChar w:fldCharType="separate"/>
            </w:r>
            <w:r w:rsidRPr="002F1917">
              <w:rPr>
                <w:rFonts w:ascii="Calibri" w:hAnsi="Calibri" w:cs="Calibri"/>
                <w:b/>
                <w:color w:val="auto"/>
              </w:rPr>
              <w:t>2</w:t>
            </w:r>
            <w:r w:rsidRPr="002F1917">
              <w:rPr>
                <w:rFonts w:ascii="Calibri" w:hAnsi="Calibri" w:cs="Calibri"/>
              </w:rPr>
              <w:fldChar w:fldCharType="end"/>
            </w:r>
            <w:r w:rsidRPr="002F1917">
              <w:rPr>
                <w:rFonts w:ascii="Calibri" w:hAnsi="Calibri" w:cs="Calibri"/>
                <w:color w:val="auto"/>
              </w:rPr>
              <w:t>: Interactive Gambling Act (IGA)</w:t>
            </w:r>
          </w:p>
          <w:p w14:paraId="3F991128" w14:textId="77777777" w:rsidR="00870C3F" w:rsidRPr="002F1917" w:rsidRDefault="00870C3F">
            <w:pPr>
              <w:rPr>
                <w:rFonts w:ascii="Calibri" w:hAnsi="Calibri" w:cs="Calibri"/>
                <w:sz w:val="20"/>
              </w:rPr>
            </w:pPr>
            <w:r w:rsidRPr="002F1917">
              <w:rPr>
                <w:rFonts w:ascii="Calibri" w:hAnsi="Calibri" w:cs="Calibri"/>
                <w:sz w:val="20"/>
              </w:rPr>
              <w:t xml:space="preserve">The IGA establishes a general offence of offering an interactive gambling service to a consumer physically located in Australia and identifies </w:t>
            </w:r>
            <w:proofErr w:type="gramStart"/>
            <w:r w:rsidRPr="002F1917">
              <w:rPr>
                <w:rFonts w:ascii="Calibri" w:hAnsi="Calibri" w:cs="Calibri"/>
                <w:sz w:val="20"/>
              </w:rPr>
              <w:t>particular services</w:t>
            </w:r>
            <w:proofErr w:type="gramEnd"/>
            <w:r w:rsidRPr="002F1917">
              <w:rPr>
                <w:rFonts w:ascii="Calibri" w:hAnsi="Calibri" w:cs="Calibri"/>
                <w:sz w:val="20"/>
              </w:rPr>
              <w:t xml:space="preserve"> as excluded from that general prohibition, including wagering on a sporting event operator is licensed in an Australian state or territory. The IGA does not permit online wagering on a sporting event after the event has begun (online in-play betting). </w:t>
            </w:r>
          </w:p>
          <w:p w14:paraId="6E340F8F" w14:textId="77777777" w:rsidR="00870C3F" w:rsidRPr="002F1917" w:rsidRDefault="00870C3F">
            <w:pPr>
              <w:rPr>
                <w:rFonts w:ascii="Calibri" w:hAnsi="Calibri" w:cs="Calibri"/>
                <w:sz w:val="20"/>
              </w:rPr>
            </w:pPr>
            <w:r w:rsidRPr="002F1917">
              <w:rPr>
                <w:rFonts w:ascii="Calibri" w:hAnsi="Calibri" w:cs="Calibri"/>
                <w:sz w:val="20"/>
              </w:rPr>
              <w:t>The IGA operates concurrently with state and territory law relevant to the availability or offering of online wagering services and is not intended to exclude state and territory legislation capable of concurrent operation. The IGA does not limit or restrict in any way the capacity of state and territory governments to renew existing interactive gambling licences or approvals with respect to wagering, or to issue further licences or approvals as appropriate.</w:t>
            </w:r>
          </w:p>
          <w:p w14:paraId="5E45CD98" w14:textId="77777777" w:rsidR="00870C3F" w:rsidRPr="002F1917" w:rsidRDefault="00870C3F">
            <w:pPr>
              <w:rPr>
                <w:rFonts w:ascii="Calibri" w:hAnsi="Calibri" w:cs="Calibri"/>
                <w:sz w:val="20"/>
              </w:rPr>
            </w:pPr>
            <w:r w:rsidRPr="002F1917">
              <w:rPr>
                <w:rFonts w:ascii="Calibri" w:hAnsi="Calibri" w:cs="Calibri"/>
                <w:sz w:val="20"/>
              </w:rPr>
              <w:t xml:space="preserve">The Australian Communications and Media Authority (ACMA) is empowered to act as a regulator, enforcing the provisions of the IGA. More recently, ACMA has taken steps such as website blocking to disrupt offshore wagering operators providing wagering services to Australian citizens contravening the IGA. </w:t>
            </w:r>
          </w:p>
          <w:p w14:paraId="36ED28BF" w14:textId="77777777" w:rsidR="00870C3F" w:rsidRPr="002F1917" w:rsidRDefault="00870C3F">
            <w:pPr>
              <w:rPr>
                <w:rFonts w:ascii="Calibri" w:hAnsi="Calibri" w:cs="Calibri"/>
                <w:sz w:val="20"/>
              </w:rPr>
            </w:pPr>
            <w:r w:rsidRPr="002F1917">
              <w:rPr>
                <w:rFonts w:ascii="Calibri" w:hAnsi="Calibri" w:cs="Calibri"/>
                <w:sz w:val="20"/>
              </w:rPr>
              <w:t>In addition to the Commonwealth overlay of the IGA, the Commonwealth has legislation relevant to wagering providers as regular commercial entities, such as Goods and Services Tax requirements, reporting obligations for currency and transactions, income and business taxes and general responsibilities as employers.</w:t>
            </w:r>
          </w:p>
          <w:p w14:paraId="4340E9C6" w14:textId="77777777" w:rsidR="00870C3F" w:rsidRPr="002F1917" w:rsidRDefault="00870C3F">
            <w:pPr>
              <w:rPr>
                <w:rFonts w:ascii="Calibri" w:hAnsi="Calibri" w:cs="Calibri"/>
                <w:color w:val="auto"/>
                <w:sz w:val="16"/>
              </w:rPr>
            </w:pPr>
            <w:r w:rsidRPr="002F1917">
              <w:rPr>
                <w:rFonts w:ascii="Calibri" w:hAnsi="Calibri" w:cs="Calibri"/>
                <w:i/>
                <w:color w:val="101C3A" w:themeColor="accent1"/>
                <w:sz w:val="16"/>
              </w:rPr>
              <w:t>Source: Report of the Review of Australia’s Sport integrity Arrangements (2018)</w:t>
            </w:r>
          </w:p>
        </w:tc>
      </w:tr>
      <w:tr w:rsidR="00870C3F" w:rsidRPr="002F1917" w14:paraId="21E78245" w14:textId="77777777" w:rsidTr="00870C3F">
        <w:trPr>
          <w:trHeight w:val="90"/>
          <w:jc w:val="center"/>
        </w:trPr>
        <w:tc>
          <w:tcPr>
            <w:tcW w:w="8662" w:type="dxa"/>
            <w:shd w:val="clear" w:color="auto" w:fill="auto"/>
            <w:vAlign w:val="bottom"/>
          </w:tcPr>
          <w:p w14:paraId="59F4DDA2" w14:textId="77777777" w:rsidR="00870C3F" w:rsidRPr="002F1917" w:rsidRDefault="00870C3F">
            <w:pPr>
              <w:pStyle w:val="CalloutBoxcaption"/>
              <w:numPr>
                <w:ilvl w:val="0"/>
                <w:numId w:val="0"/>
              </w:numPr>
              <w:rPr>
                <w:rFonts w:ascii="Calibri" w:hAnsi="Calibri" w:cs="Calibri"/>
              </w:rPr>
            </w:pPr>
          </w:p>
        </w:tc>
      </w:tr>
      <w:bookmarkEnd w:id="195"/>
    </w:tbl>
    <w:p w14:paraId="497D528E" w14:textId="77777777" w:rsidR="00870C3F" w:rsidRPr="002F1917" w:rsidRDefault="00870C3F" w:rsidP="00870C3F">
      <w:pPr>
        <w:rPr>
          <w:rFonts w:ascii="Calibri" w:eastAsia="Times New Roman" w:hAnsi="Calibri" w:cs="Calibri"/>
          <w:sz w:val="21"/>
          <w:lang w:val="en-US" w:eastAsia="en-AU"/>
        </w:rPr>
      </w:pPr>
    </w:p>
    <w:p w14:paraId="67D4E1FB" w14:textId="77777777" w:rsidR="00870C3F" w:rsidRPr="002F1917" w:rsidRDefault="00870C3F" w:rsidP="00870C3F">
      <w:pPr>
        <w:rPr>
          <w:rFonts w:ascii="Calibri" w:hAnsi="Calibri" w:cs="Calibri"/>
          <w:lang w:val="en-US" w:eastAsia="en-AU"/>
        </w:rPr>
      </w:pPr>
    </w:p>
    <w:p w14:paraId="3200ACA1" w14:textId="77777777" w:rsidR="001F3213" w:rsidRPr="002F1917" w:rsidRDefault="001F3213" w:rsidP="00B603C0">
      <w:pPr>
        <w:rPr>
          <w:rFonts w:ascii="Calibri" w:hAnsi="Calibri" w:cs="Calibri"/>
          <w:lang w:val="en-US"/>
        </w:rPr>
      </w:pPr>
    </w:p>
    <w:sectPr w:rsidR="001F3213" w:rsidRPr="002F1917" w:rsidSect="007D5CE8">
      <w:headerReference w:type="first" r:id="rId22"/>
      <w:footerReference w:type="first" r:id="rId23"/>
      <w:pgSz w:w="11906" w:h="16838" w:code="9"/>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A89C6" w14:textId="77777777" w:rsidR="00977A60" w:rsidRDefault="00977A60" w:rsidP="008E21DE">
      <w:pPr>
        <w:spacing w:before="0" w:after="0"/>
      </w:pPr>
      <w:r>
        <w:separator/>
      </w:r>
    </w:p>
    <w:p w14:paraId="3CB4302B" w14:textId="77777777" w:rsidR="00977A60" w:rsidRDefault="00977A60"/>
  </w:endnote>
  <w:endnote w:type="continuationSeparator" w:id="0">
    <w:p w14:paraId="50ECDB5D" w14:textId="77777777" w:rsidR="00977A60" w:rsidRDefault="00977A60" w:rsidP="008E21DE">
      <w:pPr>
        <w:spacing w:before="0" w:after="0"/>
      </w:pPr>
      <w:r>
        <w:continuationSeparator/>
      </w:r>
    </w:p>
    <w:p w14:paraId="29A86178" w14:textId="77777777" w:rsidR="00977A60" w:rsidRDefault="00977A60"/>
  </w:endnote>
  <w:endnote w:type="continuationNotice" w:id="1">
    <w:p w14:paraId="68451198" w14:textId="77777777" w:rsidR="00977A60" w:rsidRDefault="00977A6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dia New">
    <w:altName w:val="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7964" w14:textId="24A7E648" w:rsidR="00CA078E" w:rsidRDefault="00CA078E">
    <w:pPr>
      <w:pStyle w:val="Footer"/>
    </w:pPr>
    <w:r>
      <w:rPr>
        <w:b/>
        <w:bCs/>
        <w:noProof/>
        <w:lang w:eastAsia="en-AU"/>
      </w:rPr>
      <mc:AlternateContent>
        <mc:Choice Requires="wps">
          <w:drawing>
            <wp:anchor distT="0" distB="0" distL="114300" distR="114300" simplePos="0" relativeHeight="251658244" behindDoc="0" locked="1" layoutInCell="1" allowOverlap="1" wp14:anchorId="34421E11" wp14:editId="5476B9B5">
              <wp:simplePos x="0" y="0"/>
              <wp:positionH relativeFrom="page">
                <wp:align>right</wp:align>
              </wp:positionH>
              <wp:positionV relativeFrom="page">
                <wp:align>bottom</wp:align>
              </wp:positionV>
              <wp:extent cx="863640" cy="1115640"/>
              <wp:effectExtent l="0" t="0" r="31750" b="2794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63640" cy="1115640"/>
                      </a:xfrm>
                      <a:prstGeom prst="line">
                        <a:avLst/>
                      </a:prstGeom>
                      <a:ln w="95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76230" id="Straight Connector 10" o:spid="_x0000_s1026" alt="&quot;&quot;" style="position:absolute;flip:x;z-index:2516582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 from="16.8pt,0" to="84.8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" strokecolor="#54959d [3205]">
              <v:stroke joinstyle="miter"/>
              <w10:wrap anchorx="page" anchory="page"/>
              <w10:anchorlock/>
            </v:line>
          </w:pict>
        </mc:Fallback>
      </mc:AlternateContent>
    </w:r>
    <w:r w:rsidRPr="007D5CE8">
      <w:rPr>
        <w:b/>
        <w:bCs/>
      </w:rPr>
      <w:fldChar w:fldCharType="begin"/>
    </w:r>
    <w:r w:rsidRPr="007D5CE8">
      <w:rPr>
        <w:b/>
        <w:bCs/>
      </w:rPr>
      <w:instrText xml:space="preserve"> PAGE   \* MERGEFORMAT </w:instrText>
    </w:r>
    <w:r w:rsidRPr="007D5CE8">
      <w:rPr>
        <w:b/>
        <w:bCs/>
      </w:rPr>
      <w:fldChar w:fldCharType="separate"/>
    </w:r>
    <w:r w:rsidR="003E3BDD">
      <w:rPr>
        <w:b/>
        <w:bCs/>
        <w:noProof/>
      </w:rPr>
      <w:t>48</w:t>
    </w:r>
    <w:r w:rsidRPr="007D5CE8">
      <w:rPr>
        <w:b/>
        <w:bCs/>
        <w:noProof/>
      </w:rPr>
      <w:fldChar w:fldCharType="end"/>
    </w:r>
    <w:r>
      <w:rPr>
        <w:noProof/>
      </w:rPr>
      <w:t> </w:t>
    </w:r>
    <w:r>
      <w:rPr>
        <w:noProof/>
      </w:rPr>
      <w:t>|</w:t>
    </w:r>
    <w:r>
      <w:rPr>
        <w:noProof/>
      </w:rPr>
      <w:t> </w:t>
    </w:r>
    <w:sdt>
      <w:sdtPr>
        <w:rPr>
          <w:noProof/>
        </w:rPr>
        <w:alias w:val="Title"/>
        <w:tag w:val=""/>
        <w:id w:val="593359676"/>
        <w:dataBinding w:prefixMappings="xmlns:ns0='http://purl.org/dc/elements/1.1/' xmlns:ns1='http://schemas.openxmlformats.org/package/2006/metadata/core-properties' " w:xpath="/ns1:coreProperties[1]/ns0:title[1]" w:storeItemID="{6C3C8BC8-F283-45AE-878A-BAB7291924A1}"/>
        <w:text/>
      </w:sdtPr>
      <w:sdtEndPr/>
      <w:sdtContent>
        <w:r>
          <w:rPr>
            <w:noProof/>
          </w:rPr>
          <w:t>Australian Sports Wagering Scheme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2D3B" w14:textId="77777777" w:rsidR="00CA078E" w:rsidRDefault="00CA078E">
    <w:pPr>
      <w:pStyle w:val="Footer"/>
    </w:pPr>
    <w:r>
      <w:rPr>
        <w:noProof/>
        <w:lang w:eastAsia="en-AU"/>
      </w:rPr>
      <mc:AlternateContent>
        <mc:Choice Requires="wps">
          <w:drawing>
            <wp:anchor distT="0" distB="0" distL="114300" distR="114300" simplePos="0" relativeHeight="251658241" behindDoc="1" locked="0" layoutInCell="1" allowOverlap="1" wp14:anchorId="2DB6170F" wp14:editId="7C90A77F">
              <wp:simplePos x="0" y="0"/>
              <wp:positionH relativeFrom="page">
                <wp:align>center</wp:align>
              </wp:positionH>
              <wp:positionV relativeFrom="page">
                <wp:align>center</wp:align>
              </wp:positionV>
              <wp:extent cx="10691640" cy="10691640"/>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1640" cy="10691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5E483" id="Rectangle 4" o:spid="_x0000_s1026" alt="&quot;&quot;" style="position:absolute;margin-left:0;margin-top:0;width:841.85pt;height:841.8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" fillcolor="#101c3a [3204]" stroked="f" strokeweight="1pt">
              <w10:wrap anchorx="page" anchory="page"/>
            </v:rect>
          </w:pict>
        </mc:Fallback>
      </mc:AlternateContent>
    </w:r>
    <w:r>
      <w:rPr>
        <w:noProof/>
        <w:lang w:eastAsia="en-AU"/>
      </w:rPr>
      <mc:AlternateContent>
        <mc:Choice Requires="wps">
          <w:drawing>
            <wp:anchor distT="0" distB="0" distL="114300" distR="114300" simplePos="0" relativeHeight="251658243" behindDoc="1" locked="0" layoutInCell="1" allowOverlap="1" wp14:anchorId="2774011F" wp14:editId="2908B479">
              <wp:simplePos x="0" y="0"/>
              <wp:positionH relativeFrom="page">
                <wp:align>right</wp:align>
              </wp:positionH>
              <wp:positionV relativeFrom="page">
                <wp:align>bottom</wp:align>
              </wp:positionV>
              <wp:extent cx="4212000" cy="5346000"/>
              <wp:effectExtent l="0" t="0" r="0" b="7620"/>
              <wp:wrapNone/>
              <wp:docPr id="6" name="Isosceles Tri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0" cy="5346000"/>
                      </a:xfrm>
                      <a:prstGeom prst="triangle">
                        <a:avLst>
                          <a:gd name="adj" fmla="val 10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0DE9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alt="&quot;&quot;" style="position:absolute;margin-left:280.45pt;margin-top:0;width:331.65pt;height:420.95pt;z-index:-251658237;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" adj="21600" fillcolor="#54959d [3205]" stroked="f" strokeweight="1pt">
              <w10:wrap anchorx="page" anchory="page"/>
            </v:shape>
          </w:pict>
        </mc:Fallback>
      </mc:AlternateContent>
    </w:r>
    <w:r>
      <w:rPr>
        <w:noProof/>
        <w:lang w:eastAsia="en-AU"/>
      </w:rPr>
      <mc:AlternateContent>
        <mc:Choice Requires="wps">
          <w:drawing>
            <wp:anchor distT="0" distB="0" distL="114300" distR="114300" simplePos="0" relativeHeight="251658242" behindDoc="1" locked="0" layoutInCell="1" allowOverlap="1" wp14:anchorId="61BC80CE" wp14:editId="4E004CD7">
              <wp:simplePos x="0" y="0"/>
              <wp:positionH relativeFrom="page">
                <wp:align>left</wp:align>
              </wp:positionH>
              <wp:positionV relativeFrom="page">
                <wp:align>bottom</wp:align>
              </wp:positionV>
              <wp:extent cx="2196000" cy="2771640"/>
              <wp:effectExtent l="0" t="0" r="0" b="0"/>
              <wp:wrapNone/>
              <wp:docPr id="5" name="Isosceles Tri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96000" cy="2771640"/>
                      </a:xfrm>
                      <a:prstGeom prst="triangle">
                        <a:avLst>
                          <a:gd name="adj" fmla="val 262"/>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3C813" id="Isosceles Triangle 5" o:spid="_x0000_s1026" type="#_x0000_t5" alt="&quot;&quot;" style="position:absolute;margin-left:0;margin-top:0;width:172.9pt;height:218.25pt;z-index:-25165823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" adj="57" fillcolor="#ede84d [3207]" stroked="f" strokeweight="1pt">
              <w10:wrap anchorx="page" anchory="page"/>
            </v:shape>
          </w:pict>
        </mc:Fallback>
      </mc:AlternateContent>
    </w:r>
  </w:p>
  <w:p w14:paraId="5FD8F6DB" w14:textId="62CB0367" w:rsidR="00CA078E" w:rsidRDefault="00CA078E" w:rsidP="004612A2">
    <w:pPr>
      <w:pStyle w:val="SecurityClassification"/>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559A5" w14:textId="08585AA0" w:rsidR="00CA078E" w:rsidRPr="007D5CE8" w:rsidRDefault="00CA078E">
    <w:pPr>
      <w:pStyle w:val="Footer"/>
      <w:rPr>
        <w:color w:val="FFFFFF" w:themeColor="background1"/>
      </w:rPr>
    </w:pPr>
    <w:r w:rsidRPr="007D5CE8">
      <w:rPr>
        <w:b/>
        <w:bCs/>
        <w:color w:val="FFFFFF" w:themeColor="background1"/>
      </w:rPr>
      <w:fldChar w:fldCharType="begin"/>
    </w:r>
    <w:r w:rsidRPr="007D5CE8">
      <w:rPr>
        <w:b/>
        <w:bCs/>
        <w:color w:val="FFFFFF" w:themeColor="background1"/>
      </w:rPr>
      <w:instrText xml:space="preserve"> PAGE   \* MERGEFORMAT </w:instrText>
    </w:r>
    <w:r w:rsidRPr="007D5CE8">
      <w:rPr>
        <w:b/>
        <w:bCs/>
        <w:color w:val="FFFFFF" w:themeColor="background1"/>
      </w:rPr>
      <w:fldChar w:fldCharType="separate"/>
    </w:r>
    <w:r w:rsidRPr="007D5CE8">
      <w:rPr>
        <w:b/>
        <w:bCs/>
        <w:color w:val="FFFFFF" w:themeColor="background1"/>
      </w:rPr>
      <w:t>4</w:t>
    </w:r>
    <w:r w:rsidRPr="007D5CE8">
      <w:rPr>
        <w:b/>
        <w:bCs/>
        <w:noProof/>
        <w:color w:val="FFFFFF" w:themeColor="background1"/>
      </w:rPr>
      <w:fldChar w:fldCharType="end"/>
    </w:r>
    <w:r w:rsidRPr="007D5CE8">
      <w:rPr>
        <w:noProof/>
        <w:color w:val="FFFFFF" w:themeColor="background1"/>
      </w:rPr>
      <w:t> </w:t>
    </w:r>
    <w:r w:rsidRPr="007D5CE8">
      <w:rPr>
        <w:noProof/>
        <w:color w:val="FFFFFF" w:themeColor="background1"/>
      </w:rPr>
      <w:t>|</w:t>
    </w:r>
    <w:r w:rsidRPr="007D5CE8">
      <w:rPr>
        <w:noProof/>
        <w:color w:val="FFFFFF" w:themeColor="background1"/>
      </w:rPr>
      <w:t> </w:t>
    </w:r>
    <w:sdt>
      <w:sdtPr>
        <w:rPr>
          <w:noProof/>
          <w:color w:val="FFFFFF" w:themeColor="background1"/>
        </w:rPr>
        <w:alias w:val="Title"/>
        <w:tag w:val=""/>
        <w:id w:val="-891186468"/>
        <w:placeholder>
          <w:docPart w:val="D2466895586E4088B259BB3D7CB00E56"/>
        </w:placeholder>
        <w:dataBinding w:prefixMappings="xmlns:ns0='http://purl.org/dc/elements/1.1/' xmlns:ns1='http://schemas.openxmlformats.org/package/2006/metadata/core-properties' " w:xpath="/ns1:coreProperties[1]/ns0:title[1]" w:storeItemID="{6C3C8BC8-F283-45AE-878A-BAB7291924A1}"/>
        <w:text/>
      </w:sdtPr>
      <w:sdtEndPr/>
      <w:sdtContent>
        <w:r>
          <w:rPr>
            <w:noProof/>
            <w:color w:val="FFFFFF" w:themeColor="background1"/>
          </w:rPr>
          <w:t>Australian Sports Wagering Scheme</w:t>
        </w:r>
      </w:sdtContent>
    </w:sdt>
    <w:r w:rsidRPr="007D5CE8">
      <w:rPr>
        <w:noProof/>
        <w:color w:val="FFFFFF" w:themeColor="background1"/>
        <w:lang w:eastAsia="en-AU"/>
      </w:rPr>
      <mc:AlternateContent>
        <mc:Choice Requires="wps">
          <w:drawing>
            <wp:anchor distT="0" distB="0" distL="114300" distR="114300" simplePos="0" relativeHeight="251658240" behindDoc="1" locked="0" layoutInCell="1" allowOverlap="1" wp14:anchorId="60296763" wp14:editId="5CBA67F2">
              <wp:simplePos x="0" y="0"/>
              <wp:positionH relativeFrom="page">
                <wp:posOffset>-1562100</wp:posOffset>
              </wp:positionH>
              <wp:positionV relativeFrom="page">
                <wp:posOffset>0</wp:posOffset>
              </wp:positionV>
              <wp:extent cx="10691495" cy="10691495"/>
              <wp:effectExtent l="0" t="0" r="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1495" cy="106914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61AF8" id="Rectangle 13" o:spid="_x0000_s1026" alt="&quot;&quot;" style="position:absolute;margin-left:-123pt;margin-top:0;width:841.85pt;height:84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" fillcolor="#101c3a [3204]" stroked="f" strokeweight="1pt">
              <w10:wrap anchorx="page" anchory="page"/>
            </v:rect>
          </w:pict>
        </mc:Fallback>
      </mc:AlternateContent>
    </w:r>
  </w:p>
  <w:sdt>
    <w:sdtPr>
      <w:alias w:val="Status"/>
      <w:tag w:val=""/>
      <w:id w:val="1726867970"/>
      <w:placeholder>
        <w:docPart w:val="88BB5B986E3A41CF94365016BC819A48"/>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p w14:paraId="4F1D057A" w14:textId="77777777" w:rsidR="00CA078E" w:rsidRDefault="00CA078E" w:rsidP="007530CE">
        <w:pPr>
          <w:pStyle w:val="SecurityClassification"/>
        </w:pPr>
        <w:r w:rsidRPr="00467B7F">
          <w:rPr>
            <w:rStyle w:val="PlaceholderText"/>
          </w:rPr>
          <w:t>[Status]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697D7" w14:textId="77777777" w:rsidR="00977A60" w:rsidRPr="007D5CE8" w:rsidRDefault="00977A60" w:rsidP="007D5CE8">
      <w:pPr>
        <w:spacing w:before="360" w:after="180"/>
        <w:rPr>
          <w:color w:val="54959D" w:themeColor="accent2"/>
          <w:lang w:val="en-US"/>
        </w:rPr>
      </w:pPr>
      <w:r w:rsidRPr="007D5CE8">
        <w:rPr>
          <w:color w:val="54959D" w:themeColor="accent2"/>
          <w:lang w:val="en-US"/>
        </w:rPr>
        <w:t>____</w:t>
      </w:r>
    </w:p>
  </w:footnote>
  <w:footnote w:type="continuationSeparator" w:id="0">
    <w:p w14:paraId="699F88EF" w14:textId="77777777" w:rsidR="00977A60" w:rsidRDefault="00977A60" w:rsidP="008E21DE">
      <w:pPr>
        <w:spacing w:before="0" w:after="0"/>
      </w:pPr>
      <w:r>
        <w:continuationSeparator/>
      </w:r>
    </w:p>
    <w:p w14:paraId="285537AE" w14:textId="77777777" w:rsidR="00977A60" w:rsidRDefault="00977A60"/>
  </w:footnote>
  <w:footnote w:type="continuationNotice" w:id="1">
    <w:p w14:paraId="5A1E0C56" w14:textId="77777777" w:rsidR="00977A60" w:rsidRDefault="00977A60">
      <w:pPr>
        <w:spacing w:before="0" w:after="0" w:line="240" w:lineRule="auto"/>
      </w:pPr>
    </w:p>
  </w:footnote>
  <w:footnote w:id="2">
    <w:p w14:paraId="3C8A8342" w14:textId="77777777" w:rsidR="00CA078E" w:rsidRDefault="00CA078E" w:rsidP="009C0251">
      <w:pPr>
        <w:pStyle w:val="FootnoteText"/>
        <w:ind w:left="284" w:hanging="284"/>
        <w:rPr>
          <w:lang w:val="en-US"/>
        </w:rPr>
      </w:pPr>
      <w:r>
        <w:rPr>
          <w:rStyle w:val="FootnoteReference"/>
        </w:rPr>
        <w:footnoteRef/>
      </w:r>
      <w:r>
        <w:t xml:space="preserve"> </w:t>
      </w:r>
      <w:r>
        <w:rPr>
          <w:lang w:val="en-US"/>
        </w:rPr>
        <w:t>The Department of the Prime Minister and Cabinet (2014), The Australian Government Guide to Regulation</w:t>
      </w:r>
    </w:p>
  </w:footnote>
  <w:footnote w:id="3">
    <w:p w14:paraId="28DA3D11" w14:textId="77777777" w:rsidR="00CA078E" w:rsidRDefault="00CA078E" w:rsidP="009C0251">
      <w:pPr>
        <w:pStyle w:val="FootnoteText"/>
        <w:ind w:left="284" w:hanging="284"/>
      </w:pPr>
      <w:r>
        <w:rPr>
          <w:rStyle w:val="FootnoteReference"/>
        </w:rPr>
        <w:footnoteRef/>
      </w:r>
      <w:r>
        <w:t xml:space="preserve"> </w:t>
      </w:r>
      <w:r>
        <w:tab/>
        <w:t xml:space="preserve">As per </w:t>
      </w:r>
      <w:hyperlink r:id="rId1" w:history="1">
        <w:r>
          <w:rPr>
            <w:rStyle w:val="Hyperlink"/>
          </w:rPr>
          <w:t>https://www.vcglr.vic.gov.au/gambling/wagering-and-sports-betting/sports-controlling-bodies</w:t>
        </w:r>
      </w:hyperlink>
      <w:r>
        <w:t xml:space="preserve"> and </w:t>
      </w:r>
      <w:hyperlink r:id="rId2" w:history="1">
        <w:r>
          <w:rPr>
            <w:rStyle w:val="Hyperlink"/>
          </w:rPr>
          <w:t>https://www.liquorandgaming.nsw.gov.au/operating-a-business/gaming-licences/gaming-licences-permits/sports-wagering-in-nsw</w:t>
        </w:r>
      </w:hyperlink>
      <w:r>
        <w:t xml:space="preserve"> [accessed on 12/10/21]</w:t>
      </w:r>
    </w:p>
  </w:footnote>
  <w:footnote w:id="4">
    <w:p w14:paraId="57657098" w14:textId="77777777" w:rsidR="00CA078E" w:rsidRDefault="00CA078E" w:rsidP="009C0251">
      <w:pPr>
        <w:pStyle w:val="FootnoteText"/>
        <w:ind w:left="284" w:hanging="284"/>
        <w:rPr>
          <w:lang w:val="en-US"/>
        </w:rPr>
      </w:pPr>
      <w:r>
        <w:rPr>
          <w:rStyle w:val="FootnoteReference"/>
        </w:rPr>
        <w:footnoteRef/>
      </w:r>
      <w:r>
        <w:t xml:space="preserve"> </w:t>
      </w:r>
      <w:r>
        <w:rPr>
          <w:lang w:val="en-US"/>
        </w:rPr>
        <w:t xml:space="preserve">See </w:t>
      </w:r>
      <w:hyperlink r:id="rId3" w:history="1">
        <w:r>
          <w:rPr>
            <w:rStyle w:val="Hyperlink"/>
            <w:rFonts w:eastAsiaTheme="majorEastAsia"/>
            <w:lang w:val="en-US"/>
          </w:rPr>
          <w:t>https://www.coe.int/en/web/conventions/full-list/-/conventions/treaty/215</w:t>
        </w:r>
      </w:hyperlink>
      <w:r>
        <w:rPr>
          <w:lang w:val="en-US"/>
        </w:rPr>
        <w:t xml:space="preserve"> </w:t>
      </w:r>
    </w:p>
  </w:footnote>
  <w:footnote w:id="5">
    <w:p w14:paraId="699D52A1" w14:textId="77777777" w:rsidR="00CA078E" w:rsidRDefault="00CA078E" w:rsidP="009C0251">
      <w:pPr>
        <w:pStyle w:val="FootnoteText"/>
        <w:ind w:left="284" w:hanging="284"/>
        <w:rPr>
          <w:sz w:val="20"/>
        </w:rPr>
      </w:pPr>
      <w:r>
        <w:rPr>
          <w:rStyle w:val="FootnoteReference"/>
        </w:rPr>
        <w:footnoteRef/>
      </w:r>
      <w:r>
        <w:t xml:space="preserve"> The network of platforms is also referred to as the Group of Copenhagen and </w:t>
      </w:r>
      <w:proofErr w:type="gramStart"/>
      <w:r>
        <w:t>comprises:</w:t>
      </w:r>
      <w:proofErr w:type="gramEnd"/>
      <w:r>
        <w:t xml:space="preserve"> Australia, Belgium, Bulgaria, Cyprus, Denmark, Finland, France, Greece, Italy, Norway, Poland, The Netherlands, Portugal, Sweden, Switzerland, Spain and United Kingdom.</w:t>
      </w:r>
    </w:p>
  </w:footnote>
  <w:footnote w:id="6">
    <w:p w14:paraId="5377DB68" w14:textId="58FE063F" w:rsidR="00CA078E" w:rsidRDefault="00CA078E" w:rsidP="009C0251">
      <w:pPr>
        <w:pStyle w:val="FootnoteText"/>
        <w:ind w:left="284" w:hanging="284"/>
        <w:rPr>
          <w:lang w:val="en-US"/>
        </w:rPr>
      </w:pPr>
      <w:r>
        <w:rPr>
          <w:rStyle w:val="FootnoteReference"/>
        </w:rPr>
        <w:footnoteRef/>
      </w:r>
      <w:r>
        <w:t xml:space="preserve">  </w:t>
      </w:r>
      <w:hyperlink r:id="rId4" w:history="1">
        <w:r w:rsidRPr="005B2A21">
          <w:rPr>
            <w:rStyle w:val="Hyperlink"/>
            <w:szCs w:val="16"/>
          </w:rPr>
          <w:t>https://www.sportaus.gov.au/__data/assets/pdf_file/0009/1012041/Investment-allocation-2021-22-Website-as-at-8-October-2021.pdf</w:t>
        </w:r>
      </w:hyperlink>
      <w:r>
        <w:rPr>
          <w:szCs w:val="16"/>
        </w:rPr>
        <w:t xml:space="preserve">  </w:t>
      </w:r>
    </w:p>
  </w:footnote>
  <w:footnote w:id="7">
    <w:p w14:paraId="3828F45B" w14:textId="480CB86D" w:rsidR="00CA078E" w:rsidRDefault="00CA078E" w:rsidP="009C0251">
      <w:pPr>
        <w:pStyle w:val="FootnoteText"/>
        <w:ind w:left="284" w:hanging="284"/>
      </w:pPr>
      <w:r>
        <w:rPr>
          <w:vertAlign w:val="superscript"/>
        </w:rPr>
        <w:footnoteRef/>
      </w:r>
      <w:r>
        <w:t xml:space="preserve">  Sport and Recreation Ministers’ Council, ‘National Policy on Match-Fixing in Sport’ (as agreed on 10 June 2011).</w:t>
      </w:r>
    </w:p>
  </w:footnote>
  <w:footnote w:id="8">
    <w:p w14:paraId="16331D27" w14:textId="5C564B11" w:rsidR="00CA078E" w:rsidRDefault="00CA078E" w:rsidP="009C0251">
      <w:pPr>
        <w:pStyle w:val="FootnoteText"/>
        <w:ind w:left="284" w:hanging="284"/>
      </w:pPr>
      <w:r>
        <w:rPr>
          <w:rStyle w:val="FootnoteReference"/>
        </w:rPr>
        <w:footnoteRef/>
      </w:r>
      <w:r>
        <w:t xml:space="preserve">  See NSW Crimes ACT for insider information definition </w:t>
      </w:r>
      <w:hyperlink r:id="rId5" w:history="1">
        <w:r w:rsidRPr="00226DC4">
          <w:rPr>
            <w:rStyle w:val="Hyperlink"/>
          </w:rPr>
          <w:t>https://www.legislation.nsw.gov.au/~/pdf/view/act/1900/40/whole</w:t>
        </w:r>
      </w:hyperlink>
      <w:r>
        <w:t xml:space="preserve"> </w:t>
      </w:r>
    </w:p>
  </w:footnote>
  <w:footnote w:id="9">
    <w:p w14:paraId="41F22FB1" w14:textId="65056B6C" w:rsidR="00CA078E" w:rsidRDefault="00CA078E" w:rsidP="009C0251">
      <w:pPr>
        <w:pStyle w:val="FootnoteText"/>
        <w:ind w:left="284" w:hanging="284"/>
      </w:pPr>
      <w:r>
        <w:rPr>
          <w:rStyle w:val="FootnoteReference"/>
        </w:rPr>
        <w:footnoteRef/>
      </w:r>
      <w:r>
        <w:t xml:space="preserve"> It should be remembered that in-play wagering is offered through telephone or on premises facilities; the ban is on on-line provision of these services.</w:t>
      </w:r>
    </w:p>
  </w:footnote>
  <w:footnote w:id="10">
    <w:p w14:paraId="031C80EE" w14:textId="77777777" w:rsidR="00CA078E" w:rsidRDefault="00CA078E" w:rsidP="009C0251">
      <w:pPr>
        <w:pStyle w:val="FootnoteText"/>
        <w:ind w:left="284" w:hanging="284"/>
      </w:pPr>
      <w:r>
        <w:rPr>
          <w:rStyle w:val="FootnoteReference"/>
        </w:rPr>
        <w:footnoteRef/>
      </w:r>
      <w:r>
        <w:t xml:space="preserve"> </w:t>
      </w:r>
      <w:r>
        <w:tab/>
      </w:r>
      <w:r>
        <w:rPr>
          <w:szCs w:val="16"/>
        </w:rPr>
        <w:t>Queensland Government Statistician's Office (2021), Australian Gambling Statistics, product table 2018-19</w:t>
      </w:r>
    </w:p>
  </w:footnote>
  <w:footnote w:id="11">
    <w:p w14:paraId="778AE5F3" w14:textId="77777777" w:rsidR="00CA078E" w:rsidRDefault="00CA078E" w:rsidP="009C0251">
      <w:pPr>
        <w:pStyle w:val="FootnoteText"/>
        <w:ind w:left="284" w:hanging="284"/>
      </w:pPr>
      <w:r>
        <w:rPr>
          <w:rStyle w:val="FootnoteReference"/>
        </w:rPr>
        <w:footnoteRef/>
      </w:r>
      <w:r>
        <w:t xml:space="preserve"> </w:t>
      </w:r>
      <w:r>
        <w:tab/>
      </w:r>
      <w:r>
        <w:rPr>
          <w:szCs w:val="16"/>
        </w:rPr>
        <w:t xml:space="preserve">See: </w:t>
      </w:r>
      <w:hyperlink r:id="rId6" w:history="1">
        <w:r>
          <w:rPr>
            <w:rStyle w:val="Hyperlink"/>
            <w:rFonts w:eastAsiaTheme="majorEastAsia"/>
            <w:szCs w:val="16"/>
          </w:rPr>
          <w:t>https://www.latimes.com/world/asia/la-fg-taiwan-baseball-snap-story.html</w:t>
        </w:r>
      </w:hyperlink>
      <w:r>
        <w:rPr>
          <w:szCs w:val="16"/>
        </w:rPr>
        <w:t>.</w:t>
      </w:r>
    </w:p>
  </w:footnote>
  <w:footnote w:id="12">
    <w:p w14:paraId="26A4A407" w14:textId="77777777" w:rsidR="00CA078E" w:rsidRDefault="00CA078E" w:rsidP="009C0251">
      <w:pPr>
        <w:pStyle w:val="FootnoteText"/>
        <w:ind w:left="284" w:hanging="284"/>
        <w:rPr>
          <w:szCs w:val="16"/>
        </w:rPr>
      </w:pPr>
      <w:r>
        <w:rPr>
          <w:rStyle w:val="FootnoteReference"/>
        </w:rPr>
        <w:footnoteRef/>
      </w:r>
      <w:r>
        <w:t xml:space="preserve"> </w:t>
      </w:r>
      <w:r>
        <w:tab/>
      </w:r>
      <w:r>
        <w:rPr>
          <w:szCs w:val="16"/>
        </w:rPr>
        <w:t xml:space="preserve">See: </w:t>
      </w:r>
      <w:hyperlink r:id="rId7" w:history="1">
        <w:r>
          <w:rPr>
            <w:rStyle w:val="Hyperlink"/>
            <w:szCs w:val="16"/>
          </w:rPr>
          <w:t>https://www.bbc.com/news/world-asia-pacific-12936084</w:t>
        </w:r>
      </w:hyperlink>
    </w:p>
  </w:footnote>
  <w:footnote w:id="13">
    <w:p w14:paraId="1535579E" w14:textId="77777777" w:rsidR="00CA078E" w:rsidRDefault="00CA078E" w:rsidP="009C0251">
      <w:pPr>
        <w:pStyle w:val="FootnoteText"/>
        <w:ind w:left="284" w:hanging="284"/>
        <w:rPr>
          <w:sz w:val="20"/>
          <w:szCs w:val="20"/>
        </w:rPr>
      </w:pPr>
      <w:r>
        <w:rPr>
          <w:rStyle w:val="FootnoteReference"/>
        </w:rPr>
        <w:footnoteRef/>
      </w:r>
      <w:r>
        <w:t xml:space="preserve"> </w:t>
      </w:r>
      <w:r>
        <w:tab/>
      </w:r>
      <w:r>
        <w:rPr>
          <w:szCs w:val="16"/>
        </w:rPr>
        <w:t xml:space="preserve">As per the Victorian Commission for Gambling and Liquor Regulation Sports controlling body </w:t>
      </w:r>
    </w:p>
  </w:footnote>
  <w:footnote w:id="14">
    <w:p w14:paraId="3A6F0F48" w14:textId="77777777" w:rsidR="00CA078E" w:rsidRDefault="00CA078E" w:rsidP="009C0251">
      <w:pPr>
        <w:pStyle w:val="FootnoteText"/>
        <w:ind w:left="284" w:hanging="284"/>
      </w:pPr>
      <w:r>
        <w:rPr>
          <w:rStyle w:val="FootnoteReference"/>
        </w:rPr>
        <w:footnoteRef/>
      </w:r>
      <w:r>
        <w:t xml:space="preserve"> </w:t>
      </w:r>
      <w:r>
        <w:tab/>
        <w:t xml:space="preserve">According to Victorian Gambling Regulation Act 2003 - Section 4.5.24. Available at: </w:t>
      </w:r>
      <w:hyperlink r:id="rId8" w:history="1">
        <w:r>
          <w:rPr>
            <w:rStyle w:val="Hyperlink"/>
          </w:rPr>
          <w:t>http://www5.austlii.edu.au/au/legis/vic/consol_act/gra2003190/s4.5.24.html</w:t>
        </w:r>
      </w:hyperlink>
      <w:r>
        <w:t xml:space="preserve"> </w:t>
      </w:r>
    </w:p>
  </w:footnote>
  <w:footnote w:id="15">
    <w:p w14:paraId="51AA108D" w14:textId="467CB023" w:rsidR="00CA078E" w:rsidRDefault="00CA078E" w:rsidP="009C0251">
      <w:pPr>
        <w:pStyle w:val="FootnoteText"/>
        <w:ind w:left="284" w:hanging="284"/>
        <w:rPr>
          <w:lang w:val="en-US"/>
        </w:rPr>
      </w:pPr>
      <w:r>
        <w:rPr>
          <w:rStyle w:val="FootnoteReference"/>
        </w:rPr>
        <w:footnoteRef/>
      </w:r>
      <w:r>
        <w:t xml:space="preserve"> </w:t>
      </w:r>
      <w:r>
        <w:rPr>
          <w:lang w:val="en-US"/>
        </w:rPr>
        <w:tab/>
      </w:r>
      <w:r>
        <w:rPr>
          <w:szCs w:val="16"/>
          <w:lang w:val="en-US"/>
        </w:rPr>
        <w:t xml:space="preserve">As stated in section </w:t>
      </w:r>
      <w:r>
        <w:rPr>
          <w:szCs w:val="16"/>
          <w:lang w:val="en-US"/>
        </w:rPr>
        <w:fldChar w:fldCharType="begin"/>
      </w:r>
      <w:r>
        <w:rPr>
          <w:szCs w:val="16"/>
          <w:lang w:val="en-US"/>
        </w:rPr>
        <w:instrText xml:space="preserve"> REF _Ref83654381 \r \h  \* MERGEFORMAT </w:instrText>
      </w:r>
      <w:r>
        <w:rPr>
          <w:szCs w:val="16"/>
          <w:lang w:val="en-US"/>
        </w:rPr>
      </w:r>
      <w:r>
        <w:rPr>
          <w:szCs w:val="16"/>
          <w:lang w:val="en-US"/>
        </w:rPr>
        <w:fldChar w:fldCharType="separate"/>
      </w:r>
      <w:r>
        <w:rPr>
          <w:szCs w:val="16"/>
          <w:lang w:val="en-US"/>
        </w:rPr>
        <w:t>3.4</w:t>
      </w:r>
      <w:r>
        <w:rPr>
          <w:szCs w:val="16"/>
          <w:lang w:val="en-US"/>
        </w:rPr>
        <w:fldChar w:fldCharType="end"/>
      </w:r>
      <w:r>
        <w:rPr>
          <w:szCs w:val="16"/>
          <w:lang w:val="en-US"/>
        </w:rPr>
        <w:t xml:space="preserve"> it is </w:t>
      </w:r>
      <w:proofErr w:type="spellStart"/>
      <w:r>
        <w:rPr>
          <w:szCs w:val="16"/>
          <w:lang w:val="en-US"/>
        </w:rPr>
        <w:t>recognised</w:t>
      </w:r>
      <w:proofErr w:type="spellEnd"/>
      <w:r>
        <w:rPr>
          <w:szCs w:val="16"/>
          <w:lang w:val="en-US"/>
        </w:rPr>
        <w:t xml:space="preserve"> that in practice PFIAs currently cover all sporting events in Australia. It is nevertheless a gap in the regulatory framework.</w:t>
      </w:r>
    </w:p>
  </w:footnote>
  <w:footnote w:id="16">
    <w:p w14:paraId="0449D16F" w14:textId="645B8A46" w:rsidR="00CA078E" w:rsidRDefault="00CA078E" w:rsidP="009C0251">
      <w:pPr>
        <w:pStyle w:val="FootnoteText"/>
        <w:ind w:left="284" w:hanging="284"/>
        <w:rPr>
          <w:lang w:val="en-US"/>
        </w:rPr>
      </w:pPr>
      <w:r>
        <w:rPr>
          <w:rStyle w:val="FootnoteReference"/>
          <w:rFonts w:eastAsia="MS Gothic"/>
        </w:rPr>
        <w:footnoteRef/>
      </w:r>
      <w:r>
        <w:t xml:space="preserve"> </w:t>
      </w:r>
      <w:r w:rsidR="00F4798A">
        <w:tab/>
      </w:r>
      <w:r>
        <w:rPr>
          <w:lang w:val="en-US"/>
        </w:rPr>
        <w:t>It may be that this monthly reporting is now provided to sport controlling bodies by Sport Integrity Australia rather than by wagering providers. This would be clarified during implementation design should this option be progressed.</w:t>
      </w:r>
    </w:p>
  </w:footnote>
  <w:footnote w:id="17">
    <w:p w14:paraId="25DC1983" w14:textId="26D49525" w:rsidR="00CA078E" w:rsidRPr="00055EDE" w:rsidRDefault="00CA078E" w:rsidP="009C0251">
      <w:pPr>
        <w:pStyle w:val="CommentText"/>
        <w:ind w:left="284" w:hanging="284"/>
        <w:rPr>
          <w:sz w:val="16"/>
          <w:szCs w:val="16"/>
        </w:rPr>
      </w:pPr>
      <w:r w:rsidRPr="000457C9">
        <w:rPr>
          <w:rStyle w:val="FootnoteReference"/>
          <w:sz w:val="16"/>
          <w:szCs w:val="16"/>
        </w:rPr>
        <w:footnoteRef/>
      </w:r>
      <w:r w:rsidRPr="000457C9">
        <w:rPr>
          <w:sz w:val="16"/>
          <w:szCs w:val="16"/>
        </w:rPr>
        <w:t xml:space="preserve"> </w:t>
      </w:r>
      <w:r w:rsidR="00F4798A">
        <w:rPr>
          <w:sz w:val="16"/>
          <w:szCs w:val="16"/>
        </w:rPr>
        <w:tab/>
      </w:r>
      <w:r w:rsidRPr="00EA6981">
        <w:rPr>
          <w:sz w:val="16"/>
          <w:szCs w:val="16"/>
        </w:rPr>
        <w:t xml:space="preserve">Sport Integrity Australia has been designated an enforcement body in the </w:t>
      </w:r>
      <w:r w:rsidRPr="00EA6981">
        <w:rPr>
          <w:i/>
          <w:iCs/>
          <w:sz w:val="16"/>
          <w:szCs w:val="16"/>
        </w:rPr>
        <w:t>Privacy Act 1988 (</w:t>
      </w:r>
      <w:proofErr w:type="spellStart"/>
      <w:r w:rsidRPr="00EA6981">
        <w:rPr>
          <w:i/>
          <w:iCs/>
          <w:sz w:val="16"/>
          <w:szCs w:val="16"/>
        </w:rPr>
        <w:t>Cth</w:t>
      </w:r>
      <w:proofErr w:type="spellEnd"/>
      <w:r w:rsidRPr="00EA6981">
        <w:rPr>
          <w:i/>
          <w:iCs/>
          <w:sz w:val="16"/>
          <w:szCs w:val="16"/>
        </w:rPr>
        <w:t>),</w:t>
      </w:r>
      <w:r w:rsidRPr="00EA6981">
        <w:rPr>
          <w:sz w:val="16"/>
          <w:szCs w:val="16"/>
        </w:rPr>
        <w:t xml:space="preserve"> enabling it to receive information and intelligence from law enforcement bodies. However, this does not afford Sport Integrity Australia any enforcement powers in addition to those stated in the Sport Integrity Australia Act 2020.</w:t>
      </w:r>
    </w:p>
    <w:p w14:paraId="5B87A4AF" w14:textId="07CB862B" w:rsidR="00CA078E" w:rsidRPr="000457C9" w:rsidRDefault="00CA078E" w:rsidP="009C0251">
      <w:pPr>
        <w:pStyle w:val="FootnoteText"/>
        <w:ind w:left="284" w:hanging="284"/>
        <w:rPr>
          <w:lang w:val="en-US"/>
        </w:rPr>
      </w:pPr>
    </w:p>
  </w:footnote>
  <w:footnote w:id="18">
    <w:p w14:paraId="1EF44B7E" w14:textId="77777777" w:rsidR="00CA078E" w:rsidRDefault="00CA078E" w:rsidP="009C0251">
      <w:pPr>
        <w:pStyle w:val="FootnoteText"/>
        <w:ind w:left="284" w:hanging="284"/>
      </w:pPr>
      <w:r>
        <w:rPr>
          <w:rStyle w:val="FootnoteReference"/>
        </w:rPr>
        <w:footnoteRef/>
      </w:r>
      <w:r>
        <w:t xml:space="preserve"> </w:t>
      </w:r>
      <w:r>
        <w:tab/>
        <w:t>It is recognised that data privacy is an important consideration in the base case. This is also of the utmost importance in Option 1 and Option 2.</w:t>
      </w:r>
    </w:p>
  </w:footnote>
  <w:footnote w:id="19">
    <w:p w14:paraId="1D00F525" w14:textId="77777777" w:rsidR="00CA078E" w:rsidRDefault="00CA078E" w:rsidP="009C0251">
      <w:pPr>
        <w:pStyle w:val="FootnoteText"/>
        <w:ind w:left="284" w:hanging="284"/>
      </w:pPr>
      <w:r>
        <w:rPr>
          <w:rStyle w:val="FootnoteReference"/>
        </w:rPr>
        <w:footnoteRef/>
      </w:r>
      <w:r>
        <w:t xml:space="preserve"> </w:t>
      </w:r>
      <w:r>
        <w:tab/>
        <w:t>Australian Government (2020), Australian Government Guide to Regulatory Impact Analysis</w:t>
      </w:r>
    </w:p>
  </w:footnote>
  <w:footnote w:id="20">
    <w:p w14:paraId="48C95426" w14:textId="77777777" w:rsidR="00CA078E" w:rsidRDefault="00CA078E" w:rsidP="009C0251">
      <w:pPr>
        <w:pStyle w:val="FootnoteText"/>
        <w:ind w:left="284" w:hanging="284"/>
      </w:pPr>
      <w:r>
        <w:rPr>
          <w:rStyle w:val="FootnoteReference"/>
        </w:rPr>
        <w:footnoteRef/>
      </w:r>
      <w:r>
        <w:t xml:space="preserve"> </w:t>
      </w:r>
      <w:r>
        <w:tab/>
        <w:t>Australian Government (2020), Regulatory Burden Measurement Framework</w:t>
      </w:r>
    </w:p>
  </w:footnote>
  <w:footnote w:id="21">
    <w:p w14:paraId="6EAE091F" w14:textId="77777777" w:rsidR="00CA078E" w:rsidRDefault="00CA078E" w:rsidP="009C0251">
      <w:pPr>
        <w:pStyle w:val="FootnoteText"/>
        <w:ind w:left="284" w:hanging="284"/>
      </w:pPr>
      <w:r>
        <w:rPr>
          <w:rStyle w:val="FootnoteReference"/>
        </w:rPr>
        <w:footnoteRef/>
      </w:r>
      <w:r>
        <w:t xml:space="preserve"> </w:t>
      </w:r>
      <w:r>
        <w:tab/>
        <w:t>Average wage based on the average hourly wage for a professional employee from the Australian Bureau of Statistics, Employee Earnings and Hours dataset for 2018. This has been inflated from 2018 to 2021 using the Wage Price Index.</w:t>
      </w:r>
    </w:p>
  </w:footnote>
  <w:footnote w:id="22">
    <w:p w14:paraId="25A0E9DE" w14:textId="77777777" w:rsidR="00CA078E" w:rsidRDefault="00CA078E" w:rsidP="009C0251">
      <w:pPr>
        <w:pStyle w:val="FootnoteText"/>
        <w:ind w:left="284" w:hanging="284"/>
      </w:pPr>
      <w:r>
        <w:rPr>
          <w:rStyle w:val="FootnoteReference"/>
        </w:rPr>
        <w:footnoteRef/>
      </w:r>
      <w:r>
        <w:t xml:space="preserve"> </w:t>
      </w:r>
      <w:r>
        <w:tab/>
        <w:t>Average wage based on the average hourly wage for a professional employee from the Australian Bureau of Statistics, Employee Earnings and Hours dataset for 2018. This has been inflated from 2018 to 2021 using the Wage Price Index.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2E86" w14:textId="22F92D84" w:rsidR="00CA078E" w:rsidRPr="00862684" w:rsidRDefault="00564BE0" w:rsidP="00862684">
    <w:pPr>
      <w:spacing w:before="0" w:after="0"/>
      <w:jc w:val="center"/>
      <w:rPr>
        <w:rFonts w:ascii="Calibri" w:hAnsi="Calibri" w:cs="Calibri"/>
        <w:color w:val="FF0000"/>
        <w:sz w:val="20"/>
      </w:rPr>
    </w:pPr>
    <w:r w:rsidRPr="007B77D2">
      <w:rPr>
        <w:rFonts w:ascii="Calibri" w:hAnsi="Calibri" w:cs="Calibri"/>
        <w:color w:val="FF0000"/>
        <w:sz w:val="20"/>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33A2" w14:textId="24A92F1D" w:rsidR="00CA078E" w:rsidRPr="00862684" w:rsidRDefault="00310E05" w:rsidP="00310E05">
    <w:pPr>
      <w:spacing w:before="0" w:after="0"/>
      <w:jc w:val="center"/>
      <w:rPr>
        <w:rFonts w:ascii="Calibri" w:hAnsi="Calibri" w:cs="Calibri"/>
        <w:b/>
        <w:bCs/>
        <w:color w:val="FF0000"/>
        <w:sz w:val="20"/>
      </w:rPr>
    </w:pPr>
    <w:r w:rsidRPr="00862684">
      <w:rPr>
        <w:rFonts w:ascii="Calibri" w:hAnsi="Calibri" w:cs="Calibri"/>
        <w:b/>
        <w:bCs/>
        <w:color w:val="FF0000"/>
        <w:sz w:val="20"/>
      </w:rPr>
      <w:t>OFFICIAL</w:t>
    </w:r>
  </w:p>
  <w:p w14:paraId="02DD9231" w14:textId="77777777" w:rsidR="00CA078E" w:rsidRDefault="00CA078E" w:rsidP="007530CE">
    <w:pPr>
      <w:pStyle w:val="Header"/>
      <w:spacing w:before="360" w:after="2240"/>
    </w:pPr>
    <w:r>
      <w:rPr>
        <w:noProof/>
        <w:lang w:eastAsia="en-AU"/>
      </w:rPr>
      <w:drawing>
        <wp:inline distT="0" distB="0" distL="0" distR="0" wp14:anchorId="25356E5E" wp14:editId="3490909D">
          <wp:extent cx="2826000" cy="810151"/>
          <wp:effectExtent l="0" t="0" r="0" b="9525"/>
          <wp:docPr id="11" name="Picture 11" descr="Official crest of the Australian Government and the Sport Integrity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Official crest of the Australian Government and the Sport Integrity Australia logo"/>
                  <pic:cNvPicPr/>
                </pic:nvPicPr>
                <pic:blipFill>
                  <a:blip r:embed="rId1">
                    <a:extLst>
                      <a:ext uri="{28A0092B-C50C-407E-A947-70E740481C1C}">
                        <a14:useLocalDpi xmlns:a14="http://schemas.microsoft.com/office/drawing/2010/main" val="0"/>
                      </a:ext>
                    </a:extLst>
                  </a:blip>
                  <a:stretch>
                    <a:fillRect/>
                  </a:stretch>
                </pic:blipFill>
                <pic:spPr>
                  <a:xfrm>
                    <a:off x="0" y="0"/>
                    <a:ext cx="2826000" cy="8101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B8DD" w14:textId="77777777" w:rsidR="00CA078E" w:rsidRDefault="00977A60" w:rsidP="007530CE">
    <w:pPr>
      <w:pStyle w:val="SecurityClassification"/>
    </w:pPr>
    <w:sdt>
      <w:sdtPr>
        <w:alias w:val="Status"/>
        <w:tag w:val=""/>
        <w:id w:val="1424771561"/>
        <w:placeholder>
          <w:docPart w:val="A2BC030C4CBA44E7BE8B9EE1DB6C4812"/>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CA078E" w:rsidRPr="00467B7F">
          <w:rPr>
            <w:rStyle w:val="PlaceholderText"/>
          </w:rPr>
          <w:t>[Status]</w:t>
        </w:r>
      </w:sdtContent>
    </w:sdt>
  </w:p>
  <w:p w14:paraId="6C4BCDB9" w14:textId="77777777" w:rsidR="00CA078E" w:rsidRDefault="00CA078E" w:rsidP="007530CE">
    <w:pPr>
      <w:pStyle w:val="Header"/>
      <w:spacing w:before="360" w:after="2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0E2A"/>
    <w:multiLevelType w:val="multilevel"/>
    <w:tmpl w:val="389E6EAC"/>
    <w:lvl w:ilvl="0">
      <w:start w:val="1"/>
      <w:numFmt w:val="decimal"/>
      <w:pStyle w:val="CalloutBoxcaption"/>
      <w:suff w:val="space"/>
      <w:lvlText w:val="Box %1: "/>
      <w:lvlJc w:val="left"/>
      <w:pPr>
        <w:ind w:left="0" w:firstLine="0"/>
      </w:pPr>
      <w:rPr>
        <w:rFonts w:asciiTheme="majorHAnsi" w:hAnsiTheme="majorHAnsi" w:cs="Times New Roman"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01C3A" w:themeColor="text2"/>
      </w:rPr>
    </w:lvl>
    <w:lvl w:ilvl="2">
      <w:start w:val="1"/>
      <w:numFmt w:val="bullet"/>
      <w:lvlText w:val="»"/>
      <w:lvlJc w:val="left"/>
      <w:pPr>
        <w:ind w:left="852" w:hanging="284"/>
      </w:pPr>
      <w:rPr>
        <w:rFonts w:ascii="Arial" w:hAnsi="Arial" w:hint="default"/>
        <w:color w:val="101C3A"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3AE1BAF"/>
    <w:multiLevelType w:val="hybridMultilevel"/>
    <w:tmpl w:val="85AA5ACE"/>
    <w:lvl w:ilvl="0" w:tplc="FF8AE3B4">
      <w:start w:val="1"/>
      <w:numFmt w:val="bullet"/>
      <w:lvlText w:val="•"/>
      <w:lvlJc w:val="left"/>
      <w:pPr>
        <w:tabs>
          <w:tab w:val="num" w:pos="360"/>
        </w:tabs>
        <w:ind w:left="360" w:hanging="360"/>
      </w:pPr>
      <w:rPr>
        <w:rFonts w:ascii="Arial" w:hAnsi="Arial" w:cs="Times New Roman" w:hint="default"/>
      </w:rPr>
    </w:lvl>
    <w:lvl w:ilvl="1" w:tplc="1F0EE076">
      <w:start w:val="1"/>
      <w:numFmt w:val="bullet"/>
      <w:lvlText w:val="•"/>
      <w:lvlJc w:val="left"/>
      <w:pPr>
        <w:tabs>
          <w:tab w:val="num" w:pos="1080"/>
        </w:tabs>
        <w:ind w:left="1080" w:hanging="360"/>
      </w:pPr>
      <w:rPr>
        <w:rFonts w:ascii="Arial" w:hAnsi="Arial" w:cs="Times New Roman" w:hint="default"/>
      </w:rPr>
    </w:lvl>
    <w:lvl w:ilvl="2" w:tplc="CE7ADC64">
      <w:start w:val="1"/>
      <w:numFmt w:val="bullet"/>
      <w:lvlText w:val="•"/>
      <w:lvlJc w:val="left"/>
      <w:pPr>
        <w:tabs>
          <w:tab w:val="num" w:pos="1800"/>
        </w:tabs>
        <w:ind w:left="1800" w:hanging="360"/>
      </w:pPr>
      <w:rPr>
        <w:rFonts w:ascii="Arial" w:hAnsi="Arial" w:cs="Times New Roman" w:hint="default"/>
      </w:rPr>
    </w:lvl>
    <w:lvl w:ilvl="3" w:tplc="66343754">
      <w:start w:val="1"/>
      <w:numFmt w:val="bullet"/>
      <w:lvlText w:val="•"/>
      <w:lvlJc w:val="left"/>
      <w:pPr>
        <w:tabs>
          <w:tab w:val="num" w:pos="2520"/>
        </w:tabs>
        <w:ind w:left="2520" w:hanging="360"/>
      </w:pPr>
      <w:rPr>
        <w:rFonts w:ascii="Arial" w:hAnsi="Arial" w:cs="Times New Roman" w:hint="default"/>
      </w:rPr>
    </w:lvl>
    <w:lvl w:ilvl="4" w:tplc="E358373A">
      <w:start w:val="1"/>
      <w:numFmt w:val="bullet"/>
      <w:lvlText w:val="•"/>
      <w:lvlJc w:val="left"/>
      <w:pPr>
        <w:tabs>
          <w:tab w:val="num" w:pos="3240"/>
        </w:tabs>
        <w:ind w:left="3240" w:hanging="360"/>
      </w:pPr>
      <w:rPr>
        <w:rFonts w:ascii="Arial" w:hAnsi="Arial" w:cs="Times New Roman" w:hint="default"/>
      </w:rPr>
    </w:lvl>
    <w:lvl w:ilvl="5" w:tplc="3A926D4E">
      <w:start w:val="1"/>
      <w:numFmt w:val="bullet"/>
      <w:lvlText w:val="•"/>
      <w:lvlJc w:val="left"/>
      <w:pPr>
        <w:tabs>
          <w:tab w:val="num" w:pos="3960"/>
        </w:tabs>
        <w:ind w:left="3960" w:hanging="360"/>
      </w:pPr>
      <w:rPr>
        <w:rFonts w:ascii="Arial" w:hAnsi="Arial" w:cs="Times New Roman" w:hint="default"/>
      </w:rPr>
    </w:lvl>
    <w:lvl w:ilvl="6" w:tplc="DAE8A8BC">
      <w:start w:val="1"/>
      <w:numFmt w:val="bullet"/>
      <w:lvlText w:val="•"/>
      <w:lvlJc w:val="left"/>
      <w:pPr>
        <w:tabs>
          <w:tab w:val="num" w:pos="4680"/>
        </w:tabs>
        <w:ind w:left="4680" w:hanging="360"/>
      </w:pPr>
      <w:rPr>
        <w:rFonts w:ascii="Arial" w:hAnsi="Arial" w:cs="Times New Roman" w:hint="default"/>
      </w:rPr>
    </w:lvl>
    <w:lvl w:ilvl="7" w:tplc="D2E67B92">
      <w:start w:val="1"/>
      <w:numFmt w:val="bullet"/>
      <w:lvlText w:val="•"/>
      <w:lvlJc w:val="left"/>
      <w:pPr>
        <w:tabs>
          <w:tab w:val="num" w:pos="5400"/>
        </w:tabs>
        <w:ind w:left="5400" w:hanging="360"/>
      </w:pPr>
      <w:rPr>
        <w:rFonts w:ascii="Arial" w:hAnsi="Arial" w:cs="Times New Roman" w:hint="default"/>
      </w:rPr>
    </w:lvl>
    <w:lvl w:ilvl="8" w:tplc="117AC734">
      <w:start w:val="1"/>
      <w:numFmt w:val="bullet"/>
      <w:lvlText w:val="•"/>
      <w:lvlJc w:val="left"/>
      <w:pPr>
        <w:tabs>
          <w:tab w:val="num" w:pos="6120"/>
        </w:tabs>
        <w:ind w:left="6120" w:hanging="360"/>
      </w:pPr>
      <w:rPr>
        <w:rFonts w:ascii="Arial" w:hAnsi="Arial" w:cs="Times New Roman" w:hint="default"/>
      </w:rPr>
    </w:lvl>
  </w:abstractNum>
  <w:abstractNum w:abstractNumId="3" w15:restartNumberingAfterBreak="0">
    <w:nsid w:val="17E723F2"/>
    <w:multiLevelType w:val="multilevel"/>
    <w:tmpl w:val="2E106202"/>
    <w:styleLink w:val="TableRowNumbersList"/>
    <w:lvl w:ilvl="0">
      <w:start w:val="1"/>
      <w:numFmt w:val="decimal"/>
      <w:pStyle w:val="TableRowNumbers"/>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9F1618D"/>
    <w:multiLevelType w:val="multilevel"/>
    <w:tmpl w:val="83EC7B6C"/>
    <w:styleLink w:val="List1Numbered"/>
    <w:lvl w:ilvl="0">
      <w:start w:val="1"/>
      <w:numFmt w:val="decimal"/>
      <w:pStyle w:val="List1LegalNumbered1"/>
      <w:lvlText w:val="%1."/>
      <w:lvlJc w:val="left"/>
      <w:pPr>
        <w:ind w:left="284" w:hanging="284"/>
      </w:pPr>
      <w:rPr>
        <w:rFonts w:hint="default"/>
        <w:b w:val="0"/>
        <w:i w:val="0"/>
        <w:color w:val="auto"/>
      </w:rPr>
    </w:lvl>
    <w:lvl w:ilvl="1">
      <w:start w:val="1"/>
      <w:numFmt w:val="lowerLetter"/>
      <w:pStyle w:val="List1LegalNumbered2"/>
      <w:lvlText w:val="%2."/>
      <w:lvlJc w:val="left"/>
      <w:pPr>
        <w:ind w:left="568" w:hanging="284"/>
      </w:pPr>
      <w:rPr>
        <w:rFonts w:hint="default"/>
      </w:rPr>
    </w:lvl>
    <w:lvl w:ilvl="2">
      <w:start w:val="1"/>
      <w:numFmt w:val="lowerRoman"/>
      <w:pStyle w:val="List1Legal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101C3A"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D574547"/>
    <w:multiLevelType w:val="hybridMultilevel"/>
    <w:tmpl w:val="0A5607AE"/>
    <w:lvl w:ilvl="0" w:tplc="EDE61076">
      <w:start w:val="1"/>
      <w:numFmt w:val="bullet"/>
      <w:lvlText w:val="•"/>
      <w:lvlJc w:val="left"/>
      <w:pPr>
        <w:tabs>
          <w:tab w:val="num" w:pos="360"/>
        </w:tabs>
        <w:ind w:left="360" w:hanging="360"/>
      </w:pPr>
      <w:rPr>
        <w:rFonts w:ascii="Arial" w:hAnsi="Arial" w:cs="Times New Roman" w:hint="default"/>
      </w:rPr>
    </w:lvl>
    <w:lvl w:ilvl="1" w:tplc="BA2CCAF2">
      <w:start w:val="1"/>
      <w:numFmt w:val="bullet"/>
      <w:lvlText w:val="•"/>
      <w:lvlJc w:val="left"/>
      <w:pPr>
        <w:tabs>
          <w:tab w:val="num" w:pos="1080"/>
        </w:tabs>
        <w:ind w:left="1080" w:hanging="360"/>
      </w:pPr>
      <w:rPr>
        <w:rFonts w:ascii="Arial" w:hAnsi="Arial" w:cs="Times New Roman" w:hint="default"/>
      </w:rPr>
    </w:lvl>
    <w:lvl w:ilvl="2" w:tplc="37C60424">
      <w:start w:val="1"/>
      <w:numFmt w:val="bullet"/>
      <w:lvlText w:val="•"/>
      <w:lvlJc w:val="left"/>
      <w:pPr>
        <w:tabs>
          <w:tab w:val="num" w:pos="1800"/>
        </w:tabs>
        <w:ind w:left="1800" w:hanging="360"/>
      </w:pPr>
      <w:rPr>
        <w:rFonts w:ascii="Arial" w:hAnsi="Arial" w:cs="Times New Roman" w:hint="default"/>
      </w:rPr>
    </w:lvl>
    <w:lvl w:ilvl="3" w:tplc="1C125704">
      <w:start w:val="1"/>
      <w:numFmt w:val="bullet"/>
      <w:lvlText w:val="•"/>
      <w:lvlJc w:val="left"/>
      <w:pPr>
        <w:tabs>
          <w:tab w:val="num" w:pos="2520"/>
        </w:tabs>
        <w:ind w:left="2520" w:hanging="360"/>
      </w:pPr>
      <w:rPr>
        <w:rFonts w:ascii="Arial" w:hAnsi="Arial" w:cs="Times New Roman" w:hint="default"/>
      </w:rPr>
    </w:lvl>
    <w:lvl w:ilvl="4" w:tplc="C8B67CB2">
      <w:start w:val="1"/>
      <w:numFmt w:val="bullet"/>
      <w:lvlText w:val="•"/>
      <w:lvlJc w:val="left"/>
      <w:pPr>
        <w:tabs>
          <w:tab w:val="num" w:pos="3240"/>
        </w:tabs>
        <w:ind w:left="3240" w:hanging="360"/>
      </w:pPr>
      <w:rPr>
        <w:rFonts w:ascii="Arial" w:hAnsi="Arial" w:cs="Times New Roman" w:hint="default"/>
      </w:rPr>
    </w:lvl>
    <w:lvl w:ilvl="5" w:tplc="52A4DE06">
      <w:start w:val="1"/>
      <w:numFmt w:val="bullet"/>
      <w:lvlText w:val="•"/>
      <w:lvlJc w:val="left"/>
      <w:pPr>
        <w:tabs>
          <w:tab w:val="num" w:pos="3960"/>
        </w:tabs>
        <w:ind w:left="3960" w:hanging="360"/>
      </w:pPr>
      <w:rPr>
        <w:rFonts w:ascii="Arial" w:hAnsi="Arial" w:cs="Times New Roman" w:hint="default"/>
      </w:rPr>
    </w:lvl>
    <w:lvl w:ilvl="6" w:tplc="0A7EED0A">
      <w:start w:val="1"/>
      <w:numFmt w:val="bullet"/>
      <w:lvlText w:val="•"/>
      <w:lvlJc w:val="left"/>
      <w:pPr>
        <w:tabs>
          <w:tab w:val="num" w:pos="4680"/>
        </w:tabs>
        <w:ind w:left="4680" w:hanging="360"/>
      </w:pPr>
      <w:rPr>
        <w:rFonts w:ascii="Arial" w:hAnsi="Arial" w:cs="Times New Roman" w:hint="default"/>
      </w:rPr>
    </w:lvl>
    <w:lvl w:ilvl="7" w:tplc="188C0858">
      <w:start w:val="1"/>
      <w:numFmt w:val="bullet"/>
      <w:lvlText w:val="•"/>
      <w:lvlJc w:val="left"/>
      <w:pPr>
        <w:tabs>
          <w:tab w:val="num" w:pos="5400"/>
        </w:tabs>
        <w:ind w:left="5400" w:hanging="360"/>
      </w:pPr>
      <w:rPr>
        <w:rFonts w:ascii="Arial" w:hAnsi="Arial" w:cs="Times New Roman" w:hint="default"/>
      </w:rPr>
    </w:lvl>
    <w:lvl w:ilvl="8" w:tplc="673E0FF0">
      <w:start w:val="1"/>
      <w:numFmt w:val="bullet"/>
      <w:lvlText w:val="•"/>
      <w:lvlJc w:val="left"/>
      <w:pPr>
        <w:tabs>
          <w:tab w:val="num" w:pos="6120"/>
        </w:tabs>
        <w:ind w:left="6120" w:hanging="360"/>
      </w:pPr>
      <w:rPr>
        <w:rFonts w:ascii="Arial" w:hAnsi="Arial" w:cs="Times New Roman" w:hint="default"/>
      </w:rPr>
    </w:lvl>
  </w:abstractNum>
  <w:abstractNum w:abstractNumId="7" w15:restartNumberingAfterBreak="0">
    <w:nsid w:val="1ECA70BA"/>
    <w:multiLevelType w:val="hybridMultilevel"/>
    <w:tmpl w:val="D3F4B3A2"/>
    <w:lvl w:ilvl="0" w:tplc="E3A82376">
      <w:start w:val="1"/>
      <w:numFmt w:val="bullet"/>
      <w:lvlText w:val="•"/>
      <w:lvlJc w:val="left"/>
      <w:pPr>
        <w:tabs>
          <w:tab w:val="num" w:pos="360"/>
        </w:tabs>
        <w:ind w:left="360" w:hanging="360"/>
      </w:pPr>
      <w:rPr>
        <w:rFonts w:ascii="Arial" w:hAnsi="Arial" w:cs="Times New Roman" w:hint="default"/>
      </w:rPr>
    </w:lvl>
    <w:lvl w:ilvl="1" w:tplc="BA524A88">
      <w:start w:val="1"/>
      <w:numFmt w:val="bullet"/>
      <w:lvlText w:val="•"/>
      <w:lvlJc w:val="left"/>
      <w:pPr>
        <w:tabs>
          <w:tab w:val="num" w:pos="1080"/>
        </w:tabs>
        <w:ind w:left="1080" w:hanging="360"/>
      </w:pPr>
      <w:rPr>
        <w:rFonts w:ascii="Arial" w:hAnsi="Arial" w:cs="Times New Roman" w:hint="default"/>
      </w:rPr>
    </w:lvl>
    <w:lvl w:ilvl="2" w:tplc="941EACA4">
      <w:start w:val="1"/>
      <w:numFmt w:val="bullet"/>
      <w:lvlText w:val="•"/>
      <w:lvlJc w:val="left"/>
      <w:pPr>
        <w:tabs>
          <w:tab w:val="num" w:pos="1800"/>
        </w:tabs>
        <w:ind w:left="1800" w:hanging="360"/>
      </w:pPr>
      <w:rPr>
        <w:rFonts w:ascii="Arial" w:hAnsi="Arial" w:cs="Times New Roman" w:hint="default"/>
      </w:rPr>
    </w:lvl>
    <w:lvl w:ilvl="3" w:tplc="8F680B9E">
      <w:start w:val="1"/>
      <w:numFmt w:val="bullet"/>
      <w:lvlText w:val="•"/>
      <w:lvlJc w:val="left"/>
      <w:pPr>
        <w:tabs>
          <w:tab w:val="num" w:pos="2520"/>
        </w:tabs>
        <w:ind w:left="2520" w:hanging="360"/>
      </w:pPr>
      <w:rPr>
        <w:rFonts w:ascii="Arial" w:hAnsi="Arial" w:cs="Times New Roman" w:hint="default"/>
      </w:rPr>
    </w:lvl>
    <w:lvl w:ilvl="4" w:tplc="15D01E18">
      <w:start w:val="1"/>
      <w:numFmt w:val="bullet"/>
      <w:lvlText w:val="•"/>
      <w:lvlJc w:val="left"/>
      <w:pPr>
        <w:tabs>
          <w:tab w:val="num" w:pos="3240"/>
        </w:tabs>
        <w:ind w:left="3240" w:hanging="360"/>
      </w:pPr>
      <w:rPr>
        <w:rFonts w:ascii="Arial" w:hAnsi="Arial" w:cs="Times New Roman" w:hint="default"/>
      </w:rPr>
    </w:lvl>
    <w:lvl w:ilvl="5" w:tplc="D4289D62">
      <w:start w:val="1"/>
      <w:numFmt w:val="bullet"/>
      <w:lvlText w:val="•"/>
      <w:lvlJc w:val="left"/>
      <w:pPr>
        <w:tabs>
          <w:tab w:val="num" w:pos="3960"/>
        </w:tabs>
        <w:ind w:left="3960" w:hanging="360"/>
      </w:pPr>
      <w:rPr>
        <w:rFonts w:ascii="Arial" w:hAnsi="Arial" w:cs="Times New Roman" w:hint="default"/>
      </w:rPr>
    </w:lvl>
    <w:lvl w:ilvl="6" w:tplc="32264E20">
      <w:start w:val="1"/>
      <w:numFmt w:val="bullet"/>
      <w:lvlText w:val="•"/>
      <w:lvlJc w:val="left"/>
      <w:pPr>
        <w:tabs>
          <w:tab w:val="num" w:pos="4680"/>
        </w:tabs>
        <w:ind w:left="4680" w:hanging="360"/>
      </w:pPr>
      <w:rPr>
        <w:rFonts w:ascii="Arial" w:hAnsi="Arial" w:cs="Times New Roman" w:hint="default"/>
      </w:rPr>
    </w:lvl>
    <w:lvl w:ilvl="7" w:tplc="A3B83DD0">
      <w:start w:val="1"/>
      <w:numFmt w:val="bullet"/>
      <w:lvlText w:val="•"/>
      <w:lvlJc w:val="left"/>
      <w:pPr>
        <w:tabs>
          <w:tab w:val="num" w:pos="5400"/>
        </w:tabs>
        <w:ind w:left="5400" w:hanging="360"/>
      </w:pPr>
      <w:rPr>
        <w:rFonts w:ascii="Arial" w:hAnsi="Arial" w:cs="Times New Roman" w:hint="default"/>
      </w:rPr>
    </w:lvl>
    <w:lvl w:ilvl="8" w:tplc="AE4E7E90">
      <w:start w:val="1"/>
      <w:numFmt w:val="bullet"/>
      <w:lvlText w:val="•"/>
      <w:lvlJc w:val="left"/>
      <w:pPr>
        <w:tabs>
          <w:tab w:val="num" w:pos="6120"/>
        </w:tabs>
        <w:ind w:left="6120" w:hanging="360"/>
      </w:pPr>
      <w:rPr>
        <w:rFonts w:ascii="Arial" w:hAnsi="Arial" w:cs="Times New Roman" w:hint="default"/>
      </w:rPr>
    </w:lvl>
  </w:abstractNum>
  <w:abstractNum w:abstractNumId="8"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101C3A"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F87102"/>
    <w:multiLevelType w:val="hybridMultilevel"/>
    <w:tmpl w:val="4B02E62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2252E4E"/>
    <w:multiLevelType w:val="hybridMultilevel"/>
    <w:tmpl w:val="644295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4E22427"/>
    <w:multiLevelType w:val="hybridMultilevel"/>
    <w:tmpl w:val="E2EAD356"/>
    <w:lvl w:ilvl="0" w:tplc="64AE04B4">
      <w:start w:val="1"/>
      <w:numFmt w:val="bullet"/>
      <w:pStyle w:val="BulletPoint1"/>
      <w:lvlText w:val=""/>
      <w:lvlJc w:val="left"/>
      <w:pPr>
        <w:ind w:left="360" w:hanging="360"/>
      </w:pPr>
      <w:rPr>
        <w:rFonts w:ascii="Symbol" w:hAnsi="Symbol" w:hint="default"/>
        <w:color w:val="35818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A632A9"/>
    <w:multiLevelType w:val="multilevel"/>
    <w:tmpl w:val="A41689A2"/>
    <w:numStyleLink w:val="AppendixNumbers"/>
  </w:abstractNum>
  <w:abstractNum w:abstractNumId="13" w15:restartNumberingAfterBreak="0">
    <w:nsid w:val="2D4F5981"/>
    <w:multiLevelType w:val="multilevel"/>
    <w:tmpl w:val="15B2C22C"/>
    <w:lvl w:ilvl="0">
      <w:start w:val="1"/>
      <w:numFmt w:val="bullet"/>
      <w:pStyle w:val="ListBullet1"/>
      <w:lvlText w:val=""/>
      <w:lvlJc w:val="left"/>
      <w:pPr>
        <w:tabs>
          <w:tab w:val="num" w:pos="284"/>
        </w:tabs>
        <w:ind w:left="284" w:hanging="284"/>
      </w:pPr>
      <w:rPr>
        <w:rFonts w:ascii="Symbol" w:hAnsi="Symbol" w:hint="default"/>
        <w:color w:val="101C3A" w:themeColor="accent1"/>
      </w:rPr>
    </w:lvl>
    <w:lvl w:ilvl="1">
      <w:start w:val="1"/>
      <w:numFmt w:val="bullet"/>
      <w:lvlText w:val="o"/>
      <w:lvlJc w:val="left"/>
      <w:pPr>
        <w:tabs>
          <w:tab w:val="num" w:pos="568"/>
        </w:tabs>
        <w:ind w:left="568" w:hanging="284"/>
      </w:pPr>
      <w:rPr>
        <w:rFonts w:ascii="Courier New" w:hAnsi="Courier New" w:cs="Times New Roman" w:hint="default"/>
        <w:color w:val="101C3A" w:themeColor="accent1"/>
      </w:rPr>
    </w:lvl>
    <w:lvl w:ilvl="2">
      <w:start w:val="1"/>
      <w:numFmt w:val="bullet"/>
      <w:lvlText w:val=""/>
      <w:lvlJc w:val="left"/>
      <w:pPr>
        <w:tabs>
          <w:tab w:val="num" w:pos="852"/>
        </w:tabs>
        <w:ind w:left="852" w:hanging="284"/>
      </w:pPr>
      <w:rPr>
        <w:rFonts w:ascii="Wingdings 2" w:hAnsi="Wingdings 2" w:hint="default"/>
        <w:color w:val="101C3A" w:themeColor="text2"/>
        <w:u w:color="FFFFFF" w:themeColor="background1"/>
      </w:rPr>
    </w:lvl>
    <w:lvl w:ilvl="3">
      <w:start w:val="1"/>
      <w:numFmt w:val="bullet"/>
      <w:lvlText w:val=""/>
      <w:lvlJc w:val="left"/>
      <w:pPr>
        <w:tabs>
          <w:tab w:val="num" w:pos="1136"/>
        </w:tabs>
        <w:ind w:left="1136" w:hanging="284"/>
      </w:pPr>
      <w:rPr>
        <w:rFonts w:ascii="Symbol" w:hAnsi="Symbol" w:cs="Times New Roman" w:hint="default"/>
      </w:rPr>
    </w:lvl>
    <w:lvl w:ilvl="4">
      <w:start w:val="1"/>
      <w:numFmt w:val="bullet"/>
      <w:lvlText w:val="o"/>
      <w:lvlJc w:val="left"/>
      <w:pPr>
        <w:tabs>
          <w:tab w:val="num" w:pos="1420"/>
        </w:tabs>
        <w:ind w:left="1420" w:hanging="284"/>
      </w:pPr>
      <w:rPr>
        <w:rFonts w:ascii="Courier New" w:hAnsi="Courier New" w:cs="Times New Roman"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CE2122"/>
    <w:multiLevelType w:val="multilevel"/>
    <w:tmpl w:val="83EC7B6C"/>
    <w:numStyleLink w:val="List1Numbered"/>
  </w:abstractNum>
  <w:abstractNum w:abstractNumId="16" w15:restartNumberingAfterBreak="0">
    <w:nsid w:val="30415D60"/>
    <w:multiLevelType w:val="multilevel"/>
    <w:tmpl w:val="2E106202"/>
    <w:numStyleLink w:val="TableRowNumbersList"/>
  </w:abstractNum>
  <w:abstractNum w:abstractNumId="17" w15:restartNumberingAfterBreak="0">
    <w:nsid w:val="373C28F4"/>
    <w:multiLevelType w:val="multilevel"/>
    <w:tmpl w:val="58D0A4AE"/>
    <w:lvl w:ilvl="0">
      <w:start w:val="1"/>
      <w:numFmt w:val="decimal"/>
      <w:lvlText w:val="%1"/>
      <w:lvlJc w:val="left"/>
      <w:pPr>
        <w:ind w:left="390" w:hanging="390"/>
      </w:pPr>
      <w:rPr>
        <w:sz w:val="40"/>
        <w:szCs w:val="40"/>
      </w:rPr>
    </w:lvl>
    <w:lvl w:ilvl="1">
      <w:start w:val="1"/>
      <w:numFmt w:val="decimal"/>
      <w:lvlText w:val="%1.%2"/>
      <w:lvlJc w:val="left"/>
      <w:pPr>
        <w:ind w:left="390" w:hanging="390"/>
      </w:p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A807BAA"/>
    <w:multiLevelType w:val="multilevel"/>
    <w:tmpl w:val="212CF26E"/>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1396E59"/>
    <w:multiLevelType w:val="multilevel"/>
    <w:tmpl w:val="4624390C"/>
    <w:styleLink w:val="BoxedBullets"/>
    <w:lvl w:ilvl="0">
      <w:start w:val="1"/>
      <w:numFmt w:val="bullet"/>
      <w:pStyle w:val="Box1Bullet"/>
      <w:lvlText w:val=""/>
      <w:lvlJc w:val="left"/>
      <w:pPr>
        <w:tabs>
          <w:tab w:val="num" w:pos="284"/>
        </w:tabs>
        <w:ind w:left="567" w:hanging="283"/>
      </w:pPr>
      <w:rPr>
        <w:rFonts w:ascii="Symbol" w:hAnsi="Symbol" w:hint="default"/>
        <w:color w:val="auto"/>
      </w:rPr>
    </w:lvl>
    <w:lvl w:ilvl="1">
      <w:start w:val="1"/>
      <w:numFmt w:val="bullet"/>
      <w:pStyle w:val="Box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01C3A" w:themeColor="text2"/>
      </w:rPr>
    </w:lvl>
    <w:lvl w:ilvl="3">
      <w:start w:val="1"/>
      <w:numFmt w:val="bullet"/>
      <w:lvlText w:val="»"/>
      <w:lvlJc w:val="left"/>
      <w:pPr>
        <w:ind w:left="794" w:hanging="510"/>
      </w:pPr>
      <w:rPr>
        <w:rFonts w:ascii="Arial" w:hAnsi="Arial" w:hint="default"/>
        <w:color w:val="101C3A"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0" w15:restartNumberingAfterBreak="0">
    <w:nsid w:val="50517343"/>
    <w:multiLevelType w:val="multilevel"/>
    <w:tmpl w:val="131EEC6C"/>
    <w:numStyleLink w:val="TableNumbers"/>
  </w:abstractNum>
  <w:abstractNum w:abstractNumId="21"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4F215E6"/>
    <w:multiLevelType w:val="multilevel"/>
    <w:tmpl w:val="AD3E9362"/>
    <w:lvl w:ilvl="0">
      <w:start w:val="1"/>
      <w:numFmt w:val="decimal"/>
      <w:pStyle w:val="ListNumber1"/>
      <w:lvlText w:val="%1."/>
      <w:lvlJc w:val="left"/>
      <w:pPr>
        <w:tabs>
          <w:tab w:val="num" w:pos="284"/>
        </w:tabs>
        <w:ind w:left="284" w:hanging="284"/>
      </w:pPr>
      <w:rPr>
        <w:color w:val="000000" w:themeColor="text1"/>
      </w:rPr>
    </w:lvl>
    <w:lvl w:ilvl="1">
      <w:start w:val="1"/>
      <w:numFmt w:val="lowerLetter"/>
      <w:pStyle w:val="ListNumber2"/>
      <w:lvlText w:val="%2."/>
      <w:lvlJc w:val="left"/>
      <w:pPr>
        <w:tabs>
          <w:tab w:val="num" w:pos="568"/>
        </w:tabs>
        <w:ind w:left="568" w:hanging="284"/>
      </w:pPr>
      <w:rPr>
        <w:color w:val="000000" w:themeColor="text1"/>
      </w:rPr>
    </w:lvl>
    <w:lvl w:ilvl="2">
      <w:start w:val="1"/>
      <w:numFmt w:val="lowerRoman"/>
      <w:pStyle w:val="ListNumber3"/>
      <w:lvlText w:val="%3."/>
      <w:lvlJc w:val="left"/>
      <w:pPr>
        <w:tabs>
          <w:tab w:val="num" w:pos="852"/>
        </w:tabs>
        <w:ind w:left="852" w:hanging="284"/>
      </w:pPr>
      <w:rPr>
        <w:color w:val="000000" w:themeColor="text1"/>
      </w:rPr>
    </w:lvl>
    <w:lvl w:ilvl="3">
      <w:start w:val="1"/>
      <w:numFmt w:val="none"/>
      <w:lvlText w:val=""/>
      <w:lvlJc w:val="left"/>
      <w:pPr>
        <w:tabs>
          <w:tab w:val="num" w:pos="1136"/>
        </w:tabs>
        <w:ind w:left="1136" w:hanging="284"/>
      </w:pPr>
    </w:lvl>
    <w:lvl w:ilvl="4">
      <w:start w:val="1"/>
      <w:numFmt w:val="none"/>
      <w:lvlText w:val=""/>
      <w:lvlJc w:val="left"/>
      <w:pPr>
        <w:tabs>
          <w:tab w:val="num" w:pos="1420"/>
        </w:tabs>
        <w:ind w:left="1420" w:hanging="284"/>
      </w:pPr>
    </w:lvl>
    <w:lvl w:ilvl="5">
      <w:start w:val="1"/>
      <w:numFmt w:val="none"/>
      <w:lvlText w:val=""/>
      <w:lvlJc w:val="left"/>
      <w:pPr>
        <w:tabs>
          <w:tab w:val="num" w:pos="1704"/>
        </w:tabs>
        <w:ind w:left="1704" w:hanging="284"/>
      </w:pPr>
    </w:lvl>
    <w:lvl w:ilvl="6">
      <w:start w:val="1"/>
      <w:numFmt w:val="none"/>
      <w:lvlText w:val=""/>
      <w:lvlJc w:val="left"/>
      <w:pPr>
        <w:tabs>
          <w:tab w:val="num" w:pos="1988"/>
        </w:tabs>
        <w:ind w:left="1988" w:hanging="284"/>
      </w:pPr>
    </w:lvl>
    <w:lvl w:ilvl="7">
      <w:start w:val="1"/>
      <w:numFmt w:val="none"/>
      <w:lvlText w:val=""/>
      <w:lvlJc w:val="left"/>
      <w:pPr>
        <w:tabs>
          <w:tab w:val="num" w:pos="2272"/>
        </w:tabs>
        <w:ind w:left="2272" w:hanging="284"/>
      </w:pPr>
    </w:lvl>
    <w:lvl w:ilvl="8">
      <w:start w:val="1"/>
      <w:numFmt w:val="none"/>
      <w:lvlText w:val=""/>
      <w:lvlJc w:val="left"/>
      <w:pPr>
        <w:tabs>
          <w:tab w:val="num" w:pos="2556"/>
        </w:tabs>
        <w:ind w:left="2556" w:hanging="284"/>
      </w:pPr>
    </w:lvl>
  </w:abstractNum>
  <w:abstractNum w:abstractNumId="23" w15:restartNumberingAfterBreak="0">
    <w:nsid w:val="5563048B"/>
    <w:multiLevelType w:val="multilevel"/>
    <w:tmpl w:val="C284D0B0"/>
    <w:numStyleLink w:val="FigureNumbers"/>
  </w:abstractNum>
  <w:abstractNum w:abstractNumId="24" w15:restartNumberingAfterBreak="0">
    <w:nsid w:val="563F095A"/>
    <w:multiLevelType w:val="multilevel"/>
    <w:tmpl w:val="BB122EB2"/>
    <w:numStyleLink w:val="List2Numbered"/>
  </w:abstractNum>
  <w:abstractNum w:abstractNumId="25"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BF51665"/>
    <w:multiLevelType w:val="multilevel"/>
    <w:tmpl w:val="4E929216"/>
    <w:numStyleLink w:val="NumberedHeadings"/>
  </w:abstractNum>
  <w:abstractNum w:abstractNumId="27" w15:restartNumberingAfterBreak="0">
    <w:nsid w:val="60171492"/>
    <w:multiLevelType w:val="hybridMultilevel"/>
    <w:tmpl w:val="8DC652E0"/>
    <w:lvl w:ilvl="0" w:tplc="DE2A985E">
      <w:start w:val="1"/>
      <w:numFmt w:val="bullet"/>
      <w:lvlText w:val="•"/>
      <w:lvlJc w:val="left"/>
      <w:pPr>
        <w:tabs>
          <w:tab w:val="num" w:pos="360"/>
        </w:tabs>
        <w:ind w:left="360" w:hanging="360"/>
      </w:pPr>
      <w:rPr>
        <w:rFonts w:ascii="Arial" w:hAnsi="Arial" w:cs="Times New Roman" w:hint="default"/>
      </w:rPr>
    </w:lvl>
    <w:lvl w:ilvl="1" w:tplc="E9F04974">
      <w:start w:val="1"/>
      <w:numFmt w:val="bullet"/>
      <w:lvlText w:val="•"/>
      <w:lvlJc w:val="left"/>
      <w:pPr>
        <w:tabs>
          <w:tab w:val="num" w:pos="1080"/>
        </w:tabs>
        <w:ind w:left="1080" w:hanging="360"/>
      </w:pPr>
      <w:rPr>
        <w:rFonts w:ascii="Arial" w:hAnsi="Arial" w:cs="Times New Roman" w:hint="default"/>
      </w:rPr>
    </w:lvl>
    <w:lvl w:ilvl="2" w:tplc="4D5AE916">
      <w:start w:val="1"/>
      <w:numFmt w:val="bullet"/>
      <w:lvlText w:val="•"/>
      <w:lvlJc w:val="left"/>
      <w:pPr>
        <w:tabs>
          <w:tab w:val="num" w:pos="1800"/>
        </w:tabs>
        <w:ind w:left="1800" w:hanging="360"/>
      </w:pPr>
      <w:rPr>
        <w:rFonts w:ascii="Arial" w:hAnsi="Arial" w:cs="Times New Roman" w:hint="default"/>
      </w:rPr>
    </w:lvl>
    <w:lvl w:ilvl="3" w:tplc="9E6054FE">
      <w:start w:val="1"/>
      <w:numFmt w:val="bullet"/>
      <w:lvlText w:val="•"/>
      <w:lvlJc w:val="left"/>
      <w:pPr>
        <w:tabs>
          <w:tab w:val="num" w:pos="2520"/>
        </w:tabs>
        <w:ind w:left="2520" w:hanging="360"/>
      </w:pPr>
      <w:rPr>
        <w:rFonts w:ascii="Arial" w:hAnsi="Arial" w:cs="Times New Roman" w:hint="default"/>
      </w:rPr>
    </w:lvl>
    <w:lvl w:ilvl="4" w:tplc="11D811DE">
      <w:start w:val="1"/>
      <w:numFmt w:val="bullet"/>
      <w:lvlText w:val="•"/>
      <w:lvlJc w:val="left"/>
      <w:pPr>
        <w:tabs>
          <w:tab w:val="num" w:pos="3240"/>
        </w:tabs>
        <w:ind w:left="3240" w:hanging="360"/>
      </w:pPr>
      <w:rPr>
        <w:rFonts w:ascii="Arial" w:hAnsi="Arial" w:cs="Times New Roman" w:hint="default"/>
      </w:rPr>
    </w:lvl>
    <w:lvl w:ilvl="5" w:tplc="BCF22E0E">
      <w:start w:val="1"/>
      <w:numFmt w:val="bullet"/>
      <w:lvlText w:val="•"/>
      <w:lvlJc w:val="left"/>
      <w:pPr>
        <w:tabs>
          <w:tab w:val="num" w:pos="3960"/>
        </w:tabs>
        <w:ind w:left="3960" w:hanging="360"/>
      </w:pPr>
      <w:rPr>
        <w:rFonts w:ascii="Arial" w:hAnsi="Arial" w:cs="Times New Roman" w:hint="default"/>
      </w:rPr>
    </w:lvl>
    <w:lvl w:ilvl="6" w:tplc="1A104C54">
      <w:start w:val="1"/>
      <w:numFmt w:val="bullet"/>
      <w:lvlText w:val="•"/>
      <w:lvlJc w:val="left"/>
      <w:pPr>
        <w:tabs>
          <w:tab w:val="num" w:pos="4680"/>
        </w:tabs>
        <w:ind w:left="4680" w:hanging="360"/>
      </w:pPr>
      <w:rPr>
        <w:rFonts w:ascii="Arial" w:hAnsi="Arial" w:cs="Times New Roman" w:hint="default"/>
      </w:rPr>
    </w:lvl>
    <w:lvl w:ilvl="7" w:tplc="A02E7ECE">
      <w:start w:val="1"/>
      <w:numFmt w:val="bullet"/>
      <w:lvlText w:val="•"/>
      <w:lvlJc w:val="left"/>
      <w:pPr>
        <w:tabs>
          <w:tab w:val="num" w:pos="5400"/>
        </w:tabs>
        <w:ind w:left="5400" w:hanging="360"/>
      </w:pPr>
      <w:rPr>
        <w:rFonts w:ascii="Arial" w:hAnsi="Arial" w:cs="Times New Roman" w:hint="default"/>
      </w:rPr>
    </w:lvl>
    <w:lvl w:ilvl="8" w:tplc="22406E08">
      <w:start w:val="1"/>
      <w:numFmt w:val="bullet"/>
      <w:lvlText w:val="•"/>
      <w:lvlJc w:val="left"/>
      <w:pPr>
        <w:tabs>
          <w:tab w:val="num" w:pos="6120"/>
        </w:tabs>
        <w:ind w:left="6120" w:hanging="360"/>
      </w:pPr>
      <w:rPr>
        <w:rFonts w:ascii="Arial" w:hAnsi="Arial" w:cs="Times New Roman" w:hint="default"/>
      </w:rPr>
    </w:lvl>
  </w:abstractNum>
  <w:abstractNum w:abstractNumId="28" w15:restartNumberingAfterBreak="0">
    <w:nsid w:val="641256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7602BA4"/>
    <w:multiLevelType w:val="multilevel"/>
    <w:tmpl w:val="BB122EB2"/>
    <w:styleLink w:val="List2Numbered"/>
    <w:lvl w:ilvl="0">
      <w:start w:val="1"/>
      <w:numFmt w:val="decimal"/>
      <w:pStyle w:val="List2Numbered1"/>
      <w:lvlText w:val="%1."/>
      <w:lvlJc w:val="left"/>
      <w:pPr>
        <w:ind w:left="284" w:hanging="284"/>
      </w:pPr>
      <w:rPr>
        <w:rFonts w:hint="default"/>
      </w:rPr>
    </w:lvl>
    <w:lvl w:ilvl="1">
      <w:start w:val="1"/>
      <w:numFmt w:val="decimal"/>
      <w:pStyle w:val="List2Numbered2"/>
      <w:lvlText w:val="%1.%2"/>
      <w:lvlJc w:val="left"/>
      <w:pPr>
        <w:ind w:left="1134" w:hanging="567"/>
      </w:pPr>
      <w:rPr>
        <w:rFonts w:hint="default"/>
      </w:rPr>
    </w:lvl>
    <w:lvl w:ilvl="2">
      <w:start w:val="1"/>
      <w:numFmt w:val="decimal"/>
      <w:pStyle w:val="List2Numbered3"/>
      <w:lvlText w:val="%1.%2.%3"/>
      <w:lvlJc w:val="left"/>
      <w:pPr>
        <w:tabs>
          <w:tab w:val="num" w:pos="1134"/>
        </w:tabs>
        <w:ind w:left="1985" w:hanging="851"/>
      </w:pPr>
      <w:rPr>
        <w:rFonts w:hint="default"/>
      </w:rPr>
    </w:lvl>
    <w:lvl w:ilvl="3">
      <w:start w:val="1"/>
      <w:numFmt w:val="decimal"/>
      <w:pStyle w:val="List2Numbered4"/>
      <w:lvlText w:val="%1.%2.%3.%4"/>
      <w:lvlJc w:val="left"/>
      <w:pPr>
        <w:tabs>
          <w:tab w:val="num" w:pos="1985"/>
        </w:tabs>
        <w:ind w:left="2835" w:hanging="850"/>
      </w:pPr>
      <w:rPr>
        <w:rFonts w:hint="default"/>
      </w:rPr>
    </w:lvl>
    <w:lvl w:ilvl="4">
      <w:start w:val="1"/>
      <w:numFmt w:val="decimal"/>
      <w:pStyle w:val="List2Numbered5"/>
      <w:lvlText w:val="%1.%2.%3.%4.%5"/>
      <w:lvlJc w:val="left"/>
      <w:pPr>
        <w:tabs>
          <w:tab w:val="num" w:pos="2835"/>
        </w:tabs>
        <w:ind w:left="3969"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A767636"/>
    <w:multiLevelType w:val="hybridMultilevel"/>
    <w:tmpl w:val="80280B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E900E4"/>
    <w:multiLevelType w:val="hybridMultilevel"/>
    <w:tmpl w:val="CC2E90BA"/>
    <w:lvl w:ilvl="0" w:tplc="B4E65FEC">
      <w:start w:val="1"/>
      <w:numFmt w:val="bullet"/>
      <w:lvlText w:val="•"/>
      <w:lvlJc w:val="left"/>
      <w:pPr>
        <w:tabs>
          <w:tab w:val="num" w:pos="360"/>
        </w:tabs>
        <w:ind w:left="360" w:hanging="360"/>
      </w:pPr>
      <w:rPr>
        <w:rFonts w:ascii="Arial" w:hAnsi="Arial" w:cs="Times New Roman" w:hint="default"/>
      </w:rPr>
    </w:lvl>
    <w:lvl w:ilvl="1" w:tplc="6FB882EA">
      <w:start w:val="1"/>
      <w:numFmt w:val="bullet"/>
      <w:lvlText w:val="•"/>
      <w:lvlJc w:val="left"/>
      <w:pPr>
        <w:tabs>
          <w:tab w:val="num" w:pos="1080"/>
        </w:tabs>
        <w:ind w:left="1080" w:hanging="360"/>
      </w:pPr>
      <w:rPr>
        <w:rFonts w:ascii="Arial" w:hAnsi="Arial" w:cs="Times New Roman" w:hint="default"/>
      </w:rPr>
    </w:lvl>
    <w:lvl w:ilvl="2" w:tplc="CF90821A">
      <w:start w:val="1"/>
      <w:numFmt w:val="bullet"/>
      <w:lvlText w:val="•"/>
      <w:lvlJc w:val="left"/>
      <w:pPr>
        <w:tabs>
          <w:tab w:val="num" w:pos="1800"/>
        </w:tabs>
        <w:ind w:left="1800" w:hanging="360"/>
      </w:pPr>
      <w:rPr>
        <w:rFonts w:ascii="Arial" w:hAnsi="Arial" w:cs="Times New Roman" w:hint="default"/>
      </w:rPr>
    </w:lvl>
    <w:lvl w:ilvl="3" w:tplc="B9E2AD06">
      <w:start w:val="1"/>
      <w:numFmt w:val="bullet"/>
      <w:lvlText w:val="•"/>
      <w:lvlJc w:val="left"/>
      <w:pPr>
        <w:tabs>
          <w:tab w:val="num" w:pos="2520"/>
        </w:tabs>
        <w:ind w:left="2520" w:hanging="360"/>
      </w:pPr>
      <w:rPr>
        <w:rFonts w:ascii="Arial" w:hAnsi="Arial" w:cs="Times New Roman" w:hint="default"/>
      </w:rPr>
    </w:lvl>
    <w:lvl w:ilvl="4" w:tplc="57D2648C">
      <w:start w:val="1"/>
      <w:numFmt w:val="bullet"/>
      <w:lvlText w:val="•"/>
      <w:lvlJc w:val="left"/>
      <w:pPr>
        <w:tabs>
          <w:tab w:val="num" w:pos="3240"/>
        </w:tabs>
        <w:ind w:left="3240" w:hanging="360"/>
      </w:pPr>
      <w:rPr>
        <w:rFonts w:ascii="Arial" w:hAnsi="Arial" w:cs="Times New Roman" w:hint="default"/>
      </w:rPr>
    </w:lvl>
    <w:lvl w:ilvl="5" w:tplc="B6AA4F1E">
      <w:start w:val="1"/>
      <w:numFmt w:val="bullet"/>
      <w:lvlText w:val="•"/>
      <w:lvlJc w:val="left"/>
      <w:pPr>
        <w:tabs>
          <w:tab w:val="num" w:pos="3960"/>
        </w:tabs>
        <w:ind w:left="3960" w:hanging="360"/>
      </w:pPr>
      <w:rPr>
        <w:rFonts w:ascii="Arial" w:hAnsi="Arial" w:cs="Times New Roman" w:hint="default"/>
      </w:rPr>
    </w:lvl>
    <w:lvl w:ilvl="6" w:tplc="CB90EBA6">
      <w:start w:val="1"/>
      <w:numFmt w:val="bullet"/>
      <w:lvlText w:val="•"/>
      <w:lvlJc w:val="left"/>
      <w:pPr>
        <w:tabs>
          <w:tab w:val="num" w:pos="4680"/>
        </w:tabs>
        <w:ind w:left="4680" w:hanging="360"/>
      </w:pPr>
      <w:rPr>
        <w:rFonts w:ascii="Arial" w:hAnsi="Arial" w:cs="Times New Roman" w:hint="default"/>
      </w:rPr>
    </w:lvl>
    <w:lvl w:ilvl="7" w:tplc="E4263ED2">
      <w:start w:val="1"/>
      <w:numFmt w:val="bullet"/>
      <w:lvlText w:val="•"/>
      <w:lvlJc w:val="left"/>
      <w:pPr>
        <w:tabs>
          <w:tab w:val="num" w:pos="5400"/>
        </w:tabs>
        <w:ind w:left="5400" w:hanging="360"/>
      </w:pPr>
      <w:rPr>
        <w:rFonts w:ascii="Arial" w:hAnsi="Arial" w:cs="Times New Roman" w:hint="default"/>
      </w:rPr>
    </w:lvl>
    <w:lvl w:ilvl="8" w:tplc="5F4A27CA">
      <w:start w:val="1"/>
      <w:numFmt w:val="bullet"/>
      <w:lvlText w:val="•"/>
      <w:lvlJc w:val="left"/>
      <w:pPr>
        <w:tabs>
          <w:tab w:val="num" w:pos="6120"/>
        </w:tabs>
        <w:ind w:left="6120" w:hanging="360"/>
      </w:pPr>
      <w:rPr>
        <w:rFonts w:ascii="Arial" w:hAnsi="Arial" w:cs="Times New Roman" w:hint="default"/>
      </w:rPr>
    </w:lvl>
  </w:abstractNum>
  <w:abstractNum w:abstractNumId="32" w15:restartNumberingAfterBreak="0">
    <w:nsid w:val="738A4D83"/>
    <w:multiLevelType w:val="multilevel"/>
    <w:tmpl w:val="C9AEC9C4"/>
    <w:styleLink w:val="DefaultBullets"/>
    <w:lvl w:ilvl="0">
      <w:start w:val="1"/>
      <w:numFmt w:val="bullet"/>
      <w:pStyle w:val="Bullet1"/>
      <w:lvlText w:val=""/>
      <w:lvlJc w:val="left"/>
      <w:pPr>
        <w:tabs>
          <w:tab w:val="num" w:pos="454"/>
        </w:tabs>
        <w:ind w:left="454" w:hanging="284"/>
      </w:pPr>
      <w:rPr>
        <w:rFonts w:ascii="Wingdings 2" w:hAnsi="Wingdings 2" w:hint="default"/>
        <w:color w:val="auto"/>
      </w:rPr>
    </w:lvl>
    <w:lvl w:ilvl="1">
      <w:start w:val="1"/>
      <w:numFmt w:val="bullet"/>
      <w:pStyle w:val="Bullet2"/>
      <w:lvlText w:val="◦"/>
      <w:lvlJc w:val="left"/>
      <w:pPr>
        <w:tabs>
          <w:tab w:val="num" w:pos="738"/>
        </w:tabs>
        <w:ind w:left="738" w:hanging="284"/>
      </w:pPr>
      <w:rPr>
        <w:rFonts w:ascii="Arial" w:hAnsi="Arial" w:hint="default"/>
        <w:color w:val="auto"/>
      </w:rPr>
    </w:lvl>
    <w:lvl w:ilvl="2">
      <w:start w:val="1"/>
      <w:numFmt w:val="bullet"/>
      <w:pStyle w:val="Bullet3"/>
      <w:lvlText w:val="▪"/>
      <w:lvlJc w:val="left"/>
      <w:pPr>
        <w:tabs>
          <w:tab w:val="num" w:pos="1022"/>
        </w:tabs>
        <w:ind w:left="1022" w:hanging="284"/>
      </w:pPr>
      <w:rPr>
        <w:rFonts w:ascii="Arial" w:hAnsi="Arial" w:hint="default"/>
        <w:color w:val="auto"/>
      </w:rPr>
    </w:lvl>
    <w:lvl w:ilvl="3">
      <w:start w:val="1"/>
      <w:numFmt w:val="bullet"/>
      <w:lvlText w:val="•"/>
      <w:lvlJc w:val="left"/>
      <w:pPr>
        <w:tabs>
          <w:tab w:val="num" w:pos="1306"/>
        </w:tabs>
        <w:ind w:left="1306" w:hanging="284"/>
      </w:pPr>
      <w:rPr>
        <w:rFonts w:ascii="Arial" w:hAnsi="Arial" w:hint="default"/>
        <w:color w:val="auto"/>
      </w:rPr>
    </w:lvl>
    <w:lvl w:ilvl="4">
      <w:start w:val="1"/>
      <w:numFmt w:val="bullet"/>
      <w:lvlText w:val="–"/>
      <w:lvlJc w:val="left"/>
      <w:pPr>
        <w:tabs>
          <w:tab w:val="num" w:pos="1590"/>
        </w:tabs>
        <w:ind w:left="1590" w:hanging="284"/>
      </w:pPr>
      <w:rPr>
        <w:rFonts w:ascii="Arial" w:hAnsi="Arial" w:hint="default"/>
        <w:color w:val="auto"/>
      </w:rPr>
    </w:lvl>
    <w:lvl w:ilvl="5">
      <w:start w:val="1"/>
      <w:numFmt w:val="bullet"/>
      <w:lvlText w:val="»"/>
      <w:lvlJc w:val="left"/>
      <w:pPr>
        <w:tabs>
          <w:tab w:val="num" w:pos="1874"/>
        </w:tabs>
        <w:ind w:left="1874" w:hanging="284"/>
      </w:pPr>
      <w:rPr>
        <w:rFonts w:ascii="Arial" w:hAnsi="Arial" w:hint="default"/>
        <w:color w:val="auto"/>
      </w:rPr>
    </w:lvl>
    <w:lvl w:ilvl="6">
      <w:start w:val="1"/>
      <w:numFmt w:val="decimal"/>
      <w:lvlText w:val="%7."/>
      <w:lvlJc w:val="left"/>
      <w:pPr>
        <w:tabs>
          <w:tab w:val="num" w:pos="2158"/>
        </w:tabs>
        <w:ind w:left="2158" w:hanging="284"/>
      </w:pPr>
      <w:rPr>
        <w:rFonts w:hint="default"/>
      </w:rPr>
    </w:lvl>
    <w:lvl w:ilvl="7">
      <w:start w:val="1"/>
      <w:numFmt w:val="lowerLetter"/>
      <w:lvlText w:val="%8."/>
      <w:lvlJc w:val="left"/>
      <w:pPr>
        <w:tabs>
          <w:tab w:val="num" w:pos="2442"/>
        </w:tabs>
        <w:ind w:left="2442" w:hanging="284"/>
      </w:pPr>
      <w:rPr>
        <w:rFonts w:hint="default"/>
      </w:rPr>
    </w:lvl>
    <w:lvl w:ilvl="8">
      <w:start w:val="1"/>
      <w:numFmt w:val="lowerRoman"/>
      <w:lvlText w:val="%9."/>
      <w:lvlJc w:val="left"/>
      <w:pPr>
        <w:tabs>
          <w:tab w:val="num" w:pos="2726"/>
        </w:tabs>
        <w:ind w:left="2726" w:hanging="284"/>
      </w:pPr>
      <w:rPr>
        <w:rFonts w:hint="default"/>
      </w:rPr>
    </w:lvl>
  </w:abstractNum>
  <w:abstractNum w:abstractNumId="33" w15:restartNumberingAfterBreak="0">
    <w:nsid w:val="73C34827"/>
    <w:multiLevelType w:val="hybridMultilevel"/>
    <w:tmpl w:val="CF66F0B2"/>
    <w:lvl w:ilvl="0" w:tplc="E0DABF2E">
      <w:start w:val="1"/>
      <w:numFmt w:val="bullet"/>
      <w:pStyle w:val="Policystylebullet"/>
      <w:lvlText w:val=""/>
      <w:lvlJc w:val="left"/>
      <w:pPr>
        <w:ind w:left="587"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6C41A59"/>
    <w:multiLevelType w:val="multilevel"/>
    <w:tmpl w:val="4624390C"/>
    <w:numStyleLink w:val="BoxedBullets"/>
  </w:abstractNum>
  <w:abstractNum w:abstractNumId="35" w15:restartNumberingAfterBreak="0">
    <w:nsid w:val="7E2819EC"/>
    <w:multiLevelType w:val="multilevel"/>
    <w:tmpl w:val="205CE1B4"/>
    <w:lvl w:ilvl="0">
      <w:start w:val="1"/>
      <w:numFmt w:val="bullet"/>
      <w:lvlText w:val=""/>
      <w:lvlJc w:val="left"/>
      <w:pPr>
        <w:tabs>
          <w:tab w:val="num" w:pos="284"/>
        </w:tabs>
        <w:ind w:left="284" w:hanging="284"/>
      </w:pPr>
      <w:rPr>
        <w:rFonts w:ascii="Symbol" w:hAnsi="Symbol" w:hint="default"/>
        <w:b w:val="0"/>
        <w:i w:val="0"/>
        <w:color w:val="auto"/>
        <w:sz w:val="22"/>
      </w:rPr>
    </w:lvl>
    <w:lvl w:ilvl="1">
      <w:start w:val="1"/>
      <w:numFmt w:val="bullet"/>
      <w:pStyle w:val="ListContinue"/>
      <w:lvlText w:val="o"/>
      <w:lvlJc w:val="left"/>
      <w:pPr>
        <w:tabs>
          <w:tab w:val="num" w:pos="568"/>
        </w:tabs>
        <w:ind w:left="568" w:hanging="284"/>
      </w:pPr>
      <w:rPr>
        <w:rFonts w:ascii="Courier New" w:hAnsi="Courier New" w:cs="Times New Roman" w:hint="default"/>
        <w:color w:val="101C3A" w:themeColor="accent1"/>
      </w:rPr>
    </w:lvl>
    <w:lvl w:ilvl="2">
      <w:start w:val="1"/>
      <w:numFmt w:val="bullet"/>
      <w:pStyle w:val="ListContinue2"/>
      <w:lvlText w:val=""/>
      <w:lvlJc w:val="left"/>
      <w:pPr>
        <w:tabs>
          <w:tab w:val="num" w:pos="852"/>
        </w:tabs>
        <w:ind w:left="852" w:hanging="284"/>
      </w:pPr>
      <w:rPr>
        <w:rFonts w:ascii="Wingdings 2" w:hAnsi="Wingdings 2" w:hint="default"/>
        <w:color w:val="101C3A" w:themeColor="text2"/>
        <w:u w:color="FFFFFF" w:themeColor="background1"/>
      </w:rPr>
    </w:lvl>
    <w:lvl w:ilvl="3">
      <w:start w:val="1"/>
      <w:numFmt w:val="bullet"/>
      <w:pStyle w:val="ListContinue3"/>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Times New Roman"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num w:numId="1">
    <w:abstractNumId w:val="1"/>
  </w:num>
  <w:num w:numId="2">
    <w:abstractNumId w:val="21"/>
  </w:num>
  <w:num w:numId="3">
    <w:abstractNumId w:val="19"/>
  </w:num>
  <w:num w:numId="4">
    <w:abstractNumId w:val="5"/>
  </w:num>
  <w:num w:numId="5">
    <w:abstractNumId w:val="23"/>
  </w:num>
  <w:num w:numId="6">
    <w:abstractNumId w:val="26"/>
  </w:num>
  <w:num w:numId="7">
    <w:abstractNumId w:val="4"/>
  </w:num>
  <w:num w:numId="8">
    <w:abstractNumId w:val="25"/>
  </w:num>
  <w:num w:numId="9">
    <w:abstractNumId w:val="14"/>
  </w:num>
  <w:num w:numId="10">
    <w:abstractNumId w:val="8"/>
  </w:num>
  <w:num w:numId="11">
    <w:abstractNumId w:val="20"/>
  </w:num>
  <w:num w:numId="12">
    <w:abstractNumId w:val="32"/>
  </w:num>
  <w:num w:numId="13">
    <w:abstractNumId w:val="12"/>
  </w:num>
  <w:num w:numId="14">
    <w:abstractNumId w:val="34"/>
  </w:num>
  <w:num w:numId="15">
    <w:abstractNumId w:val="15"/>
  </w:num>
  <w:num w:numId="16">
    <w:abstractNumId w:val="29"/>
  </w:num>
  <w:num w:numId="17">
    <w:abstractNumId w:val="24"/>
  </w:num>
  <w:num w:numId="18">
    <w:abstractNumId w:val="3"/>
  </w:num>
  <w:num w:numId="19">
    <w:abstractNumId w:val="16"/>
  </w:num>
  <w:num w:numId="20">
    <w:abstractNumId w:val="35"/>
  </w:num>
  <w:num w:numId="21">
    <w:abstractNumId w:val="33"/>
  </w:num>
  <w:num w:numId="22">
    <w:abstractNumId w:val="11"/>
  </w:num>
  <w:num w:numId="23">
    <w:abstractNumId w:val="1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7"/>
  </w:num>
  <w:num w:numId="31">
    <w:abstractNumId w:val="6"/>
  </w:num>
  <w:num w:numId="32">
    <w:abstractNumId w:val="31"/>
  </w:num>
  <w:num w:numId="33">
    <w:abstractNumId w:val="7"/>
  </w:num>
  <w:num w:numId="34">
    <w:abstractNumId w:val="10"/>
  </w:num>
  <w:num w:numId="35">
    <w:abstractNumId w:val="30"/>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C3F"/>
    <w:rsid w:val="0001276D"/>
    <w:rsid w:val="000227BA"/>
    <w:rsid w:val="00030CBF"/>
    <w:rsid w:val="0004127C"/>
    <w:rsid w:val="000457C9"/>
    <w:rsid w:val="00047B34"/>
    <w:rsid w:val="00054F96"/>
    <w:rsid w:val="00055245"/>
    <w:rsid w:val="00055EDE"/>
    <w:rsid w:val="0006732C"/>
    <w:rsid w:val="00076C51"/>
    <w:rsid w:val="00080615"/>
    <w:rsid w:val="000855C4"/>
    <w:rsid w:val="000A1723"/>
    <w:rsid w:val="000C18E5"/>
    <w:rsid w:val="000C252F"/>
    <w:rsid w:val="000D6562"/>
    <w:rsid w:val="000E262D"/>
    <w:rsid w:val="000E3782"/>
    <w:rsid w:val="000E7FEE"/>
    <w:rsid w:val="00104CCA"/>
    <w:rsid w:val="00112BFC"/>
    <w:rsid w:val="00123F99"/>
    <w:rsid w:val="00127F90"/>
    <w:rsid w:val="00131ABE"/>
    <w:rsid w:val="001338E2"/>
    <w:rsid w:val="00137B02"/>
    <w:rsid w:val="001407FD"/>
    <w:rsid w:val="00145258"/>
    <w:rsid w:val="00151705"/>
    <w:rsid w:val="00153B29"/>
    <w:rsid w:val="00173E5E"/>
    <w:rsid w:val="00174778"/>
    <w:rsid w:val="00184DD1"/>
    <w:rsid w:val="001C0772"/>
    <w:rsid w:val="001C1C53"/>
    <w:rsid w:val="001D52A9"/>
    <w:rsid w:val="001E6E17"/>
    <w:rsid w:val="001F3213"/>
    <w:rsid w:val="001F3F96"/>
    <w:rsid w:val="00204AA1"/>
    <w:rsid w:val="00214280"/>
    <w:rsid w:val="00214ECB"/>
    <w:rsid w:val="00216220"/>
    <w:rsid w:val="00242416"/>
    <w:rsid w:val="002519CB"/>
    <w:rsid w:val="00251FBB"/>
    <w:rsid w:val="002528D6"/>
    <w:rsid w:val="002573ED"/>
    <w:rsid w:val="00271106"/>
    <w:rsid w:val="00275516"/>
    <w:rsid w:val="002804D3"/>
    <w:rsid w:val="00281F38"/>
    <w:rsid w:val="00282B94"/>
    <w:rsid w:val="0029026D"/>
    <w:rsid w:val="002960A9"/>
    <w:rsid w:val="002A3CC1"/>
    <w:rsid w:val="002C3E20"/>
    <w:rsid w:val="002F10D2"/>
    <w:rsid w:val="002F1917"/>
    <w:rsid w:val="002F259A"/>
    <w:rsid w:val="002F455A"/>
    <w:rsid w:val="002F7A37"/>
    <w:rsid w:val="00303A59"/>
    <w:rsid w:val="003050EA"/>
    <w:rsid w:val="00310885"/>
    <w:rsid w:val="00310C69"/>
    <w:rsid w:val="00310E05"/>
    <w:rsid w:val="00311148"/>
    <w:rsid w:val="003267C4"/>
    <w:rsid w:val="00341EBA"/>
    <w:rsid w:val="00342316"/>
    <w:rsid w:val="003449A0"/>
    <w:rsid w:val="00356D05"/>
    <w:rsid w:val="00373CE2"/>
    <w:rsid w:val="00374458"/>
    <w:rsid w:val="00393599"/>
    <w:rsid w:val="00395942"/>
    <w:rsid w:val="003976B5"/>
    <w:rsid w:val="003C022F"/>
    <w:rsid w:val="003C109A"/>
    <w:rsid w:val="003C1441"/>
    <w:rsid w:val="003C6CAA"/>
    <w:rsid w:val="003E1C80"/>
    <w:rsid w:val="003E2FB9"/>
    <w:rsid w:val="003E3BDD"/>
    <w:rsid w:val="00410069"/>
    <w:rsid w:val="004104F6"/>
    <w:rsid w:val="00413BED"/>
    <w:rsid w:val="004154E2"/>
    <w:rsid w:val="00415FA9"/>
    <w:rsid w:val="0042389F"/>
    <w:rsid w:val="00433A49"/>
    <w:rsid w:val="00437FE2"/>
    <w:rsid w:val="00450123"/>
    <w:rsid w:val="004612A2"/>
    <w:rsid w:val="004668F9"/>
    <w:rsid w:val="004720B8"/>
    <w:rsid w:val="004804E1"/>
    <w:rsid w:val="00497EE7"/>
    <w:rsid w:val="004B17E8"/>
    <w:rsid w:val="004B1F44"/>
    <w:rsid w:val="004B65D9"/>
    <w:rsid w:val="004B7858"/>
    <w:rsid w:val="004E2B26"/>
    <w:rsid w:val="004F0A4C"/>
    <w:rsid w:val="004F6307"/>
    <w:rsid w:val="00512F27"/>
    <w:rsid w:val="0051589D"/>
    <w:rsid w:val="005160C0"/>
    <w:rsid w:val="00516B98"/>
    <w:rsid w:val="00517FA0"/>
    <w:rsid w:val="00521B6C"/>
    <w:rsid w:val="00534D53"/>
    <w:rsid w:val="005350CE"/>
    <w:rsid w:val="005403DC"/>
    <w:rsid w:val="00546F0F"/>
    <w:rsid w:val="00547F69"/>
    <w:rsid w:val="00553BC4"/>
    <w:rsid w:val="00555B8D"/>
    <w:rsid w:val="005611E7"/>
    <w:rsid w:val="00562FFF"/>
    <w:rsid w:val="00564BE0"/>
    <w:rsid w:val="005872EE"/>
    <w:rsid w:val="00593CFA"/>
    <w:rsid w:val="00596CAB"/>
    <w:rsid w:val="005A368C"/>
    <w:rsid w:val="005B2A21"/>
    <w:rsid w:val="005D191C"/>
    <w:rsid w:val="005D5385"/>
    <w:rsid w:val="006145C4"/>
    <w:rsid w:val="00653513"/>
    <w:rsid w:val="00654B17"/>
    <w:rsid w:val="00654F69"/>
    <w:rsid w:val="00667378"/>
    <w:rsid w:val="006770FF"/>
    <w:rsid w:val="00680F04"/>
    <w:rsid w:val="006851AE"/>
    <w:rsid w:val="006924EB"/>
    <w:rsid w:val="006A0DEF"/>
    <w:rsid w:val="006A5B4D"/>
    <w:rsid w:val="006D4A3D"/>
    <w:rsid w:val="0071059A"/>
    <w:rsid w:val="007106A8"/>
    <w:rsid w:val="00725857"/>
    <w:rsid w:val="007311C9"/>
    <w:rsid w:val="00751E9F"/>
    <w:rsid w:val="007530CE"/>
    <w:rsid w:val="00761251"/>
    <w:rsid w:val="00761DF2"/>
    <w:rsid w:val="0076515F"/>
    <w:rsid w:val="0076765C"/>
    <w:rsid w:val="00771123"/>
    <w:rsid w:val="00775D07"/>
    <w:rsid w:val="00777D15"/>
    <w:rsid w:val="00781A71"/>
    <w:rsid w:val="0079672D"/>
    <w:rsid w:val="007A45C5"/>
    <w:rsid w:val="007A6BAB"/>
    <w:rsid w:val="007B1607"/>
    <w:rsid w:val="007B77D2"/>
    <w:rsid w:val="007D5CE8"/>
    <w:rsid w:val="007E18EC"/>
    <w:rsid w:val="007F5FC9"/>
    <w:rsid w:val="00804BEA"/>
    <w:rsid w:val="00806FAE"/>
    <w:rsid w:val="008125B5"/>
    <w:rsid w:val="0082154C"/>
    <w:rsid w:val="00837A12"/>
    <w:rsid w:val="008567CA"/>
    <w:rsid w:val="00856A0A"/>
    <w:rsid w:val="00862684"/>
    <w:rsid w:val="00870C3F"/>
    <w:rsid w:val="00877DA7"/>
    <w:rsid w:val="00883FB8"/>
    <w:rsid w:val="00884576"/>
    <w:rsid w:val="00887EBF"/>
    <w:rsid w:val="00890921"/>
    <w:rsid w:val="008943FE"/>
    <w:rsid w:val="008A412D"/>
    <w:rsid w:val="008B54EB"/>
    <w:rsid w:val="008B7F94"/>
    <w:rsid w:val="008C42CA"/>
    <w:rsid w:val="008E21DE"/>
    <w:rsid w:val="00900E78"/>
    <w:rsid w:val="00907E12"/>
    <w:rsid w:val="009125F1"/>
    <w:rsid w:val="009143C2"/>
    <w:rsid w:val="009329CB"/>
    <w:rsid w:val="00935892"/>
    <w:rsid w:val="009447F2"/>
    <w:rsid w:val="00951397"/>
    <w:rsid w:val="00951C5B"/>
    <w:rsid w:val="009545D9"/>
    <w:rsid w:val="00957563"/>
    <w:rsid w:val="00965642"/>
    <w:rsid w:val="00966960"/>
    <w:rsid w:val="00971C95"/>
    <w:rsid w:val="00971CB5"/>
    <w:rsid w:val="009729EE"/>
    <w:rsid w:val="00977A60"/>
    <w:rsid w:val="009C0251"/>
    <w:rsid w:val="009C046F"/>
    <w:rsid w:val="009E6726"/>
    <w:rsid w:val="009F0F98"/>
    <w:rsid w:val="009F200E"/>
    <w:rsid w:val="009F609E"/>
    <w:rsid w:val="00A07E4A"/>
    <w:rsid w:val="00A12E30"/>
    <w:rsid w:val="00A22001"/>
    <w:rsid w:val="00A432FE"/>
    <w:rsid w:val="00A446FF"/>
    <w:rsid w:val="00A51A9F"/>
    <w:rsid w:val="00A56018"/>
    <w:rsid w:val="00A574D8"/>
    <w:rsid w:val="00A64636"/>
    <w:rsid w:val="00A64E6E"/>
    <w:rsid w:val="00A8475F"/>
    <w:rsid w:val="00A85FD8"/>
    <w:rsid w:val="00A94154"/>
    <w:rsid w:val="00AA00C2"/>
    <w:rsid w:val="00AB12D5"/>
    <w:rsid w:val="00AB2123"/>
    <w:rsid w:val="00AB321F"/>
    <w:rsid w:val="00AD735D"/>
    <w:rsid w:val="00AE1634"/>
    <w:rsid w:val="00AE1945"/>
    <w:rsid w:val="00AE570B"/>
    <w:rsid w:val="00AF0899"/>
    <w:rsid w:val="00AF1B02"/>
    <w:rsid w:val="00B01A8F"/>
    <w:rsid w:val="00B07956"/>
    <w:rsid w:val="00B103B8"/>
    <w:rsid w:val="00B10ABD"/>
    <w:rsid w:val="00B20A60"/>
    <w:rsid w:val="00B31BB3"/>
    <w:rsid w:val="00B353AC"/>
    <w:rsid w:val="00B4303D"/>
    <w:rsid w:val="00B44BFF"/>
    <w:rsid w:val="00B603C0"/>
    <w:rsid w:val="00B62779"/>
    <w:rsid w:val="00B7431D"/>
    <w:rsid w:val="00B8618B"/>
    <w:rsid w:val="00B937E2"/>
    <w:rsid w:val="00BA2237"/>
    <w:rsid w:val="00BB001A"/>
    <w:rsid w:val="00BB00AC"/>
    <w:rsid w:val="00BC0E32"/>
    <w:rsid w:val="00BD3E9F"/>
    <w:rsid w:val="00BD5730"/>
    <w:rsid w:val="00BE3791"/>
    <w:rsid w:val="00BE5CD1"/>
    <w:rsid w:val="00C01DBA"/>
    <w:rsid w:val="00C04047"/>
    <w:rsid w:val="00C0421C"/>
    <w:rsid w:val="00C434A1"/>
    <w:rsid w:val="00C603AC"/>
    <w:rsid w:val="00C73808"/>
    <w:rsid w:val="00C748A7"/>
    <w:rsid w:val="00C75CAF"/>
    <w:rsid w:val="00C837F2"/>
    <w:rsid w:val="00CA078E"/>
    <w:rsid w:val="00CA562C"/>
    <w:rsid w:val="00CA6BAF"/>
    <w:rsid w:val="00CB76AB"/>
    <w:rsid w:val="00CC01C6"/>
    <w:rsid w:val="00CC7DD3"/>
    <w:rsid w:val="00CD20B4"/>
    <w:rsid w:val="00CD4AA1"/>
    <w:rsid w:val="00CE73A6"/>
    <w:rsid w:val="00D256BD"/>
    <w:rsid w:val="00D51854"/>
    <w:rsid w:val="00D52E22"/>
    <w:rsid w:val="00D63997"/>
    <w:rsid w:val="00D65463"/>
    <w:rsid w:val="00D65EAE"/>
    <w:rsid w:val="00D7607A"/>
    <w:rsid w:val="00D84266"/>
    <w:rsid w:val="00D8623A"/>
    <w:rsid w:val="00D92068"/>
    <w:rsid w:val="00D92F4B"/>
    <w:rsid w:val="00DA0ACD"/>
    <w:rsid w:val="00DA2FE2"/>
    <w:rsid w:val="00DC252D"/>
    <w:rsid w:val="00DD4C70"/>
    <w:rsid w:val="00DF74BA"/>
    <w:rsid w:val="00E06B80"/>
    <w:rsid w:val="00E63010"/>
    <w:rsid w:val="00E67A5D"/>
    <w:rsid w:val="00E714C1"/>
    <w:rsid w:val="00E819EA"/>
    <w:rsid w:val="00E87549"/>
    <w:rsid w:val="00E9396D"/>
    <w:rsid w:val="00EA6981"/>
    <w:rsid w:val="00EC3C33"/>
    <w:rsid w:val="00EC6EC7"/>
    <w:rsid w:val="00ED49D8"/>
    <w:rsid w:val="00ED5071"/>
    <w:rsid w:val="00EE6CB2"/>
    <w:rsid w:val="00EF35E2"/>
    <w:rsid w:val="00F0449D"/>
    <w:rsid w:val="00F172F5"/>
    <w:rsid w:val="00F20C94"/>
    <w:rsid w:val="00F20E12"/>
    <w:rsid w:val="00F31724"/>
    <w:rsid w:val="00F4798A"/>
    <w:rsid w:val="00F50520"/>
    <w:rsid w:val="00F60C9F"/>
    <w:rsid w:val="00F66BBE"/>
    <w:rsid w:val="00F72B36"/>
    <w:rsid w:val="00F752E2"/>
    <w:rsid w:val="00F86B38"/>
    <w:rsid w:val="00F9318C"/>
    <w:rsid w:val="00F9752A"/>
    <w:rsid w:val="00FB423B"/>
    <w:rsid w:val="00FC33E0"/>
    <w:rsid w:val="00FC58B3"/>
    <w:rsid w:val="00FD74BA"/>
    <w:rsid w:val="00FE15C6"/>
    <w:rsid w:val="00FE4D12"/>
    <w:rsid w:val="00FF08F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52245"/>
  <w15:chartTrackingRefBased/>
  <w15:docId w15:val="{12412EDE-0DAE-42C3-BDE8-D8A9C0AF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18"/>
        <w:szCs w:val="18"/>
        <w:lang w:val="en-AU" w:eastAsia="en-US" w:bidi="ar-SA"/>
      </w:rPr>
    </w:rPrDefault>
    <w:pPrDefault>
      <w:pPr>
        <w:spacing w:before="180" w:after="60" w:line="23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0"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33"/>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FB9"/>
    <w:pPr>
      <w:suppressAutoHyphens/>
    </w:pPr>
  </w:style>
  <w:style w:type="paragraph" w:styleId="Heading1">
    <w:name w:val="heading 1"/>
    <w:basedOn w:val="Normal"/>
    <w:next w:val="Normal"/>
    <w:link w:val="Heading1Char"/>
    <w:qFormat/>
    <w:rsid w:val="0076515F"/>
    <w:pPr>
      <w:keepNext/>
      <w:keepLines/>
      <w:spacing w:before="360" w:after="180" w:line="480" w:lineRule="atLeast"/>
      <w:outlineLvl w:val="0"/>
    </w:pPr>
    <w:rPr>
      <w:rFonts w:asciiTheme="majorHAnsi" w:eastAsiaTheme="majorEastAsia" w:hAnsiTheme="majorHAnsi" w:cstheme="majorBidi"/>
      <w:b/>
      <w:color w:val="3F6F75" w:themeColor="accent2" w:themeShade="BF"/>
      <w:sz w:val="40"/>
      <w:szCs w:val="32"/>
    </w:rPr>
  </w:style>
  <w:style w:type="paragraph" w:styleId="Heading2">
    <w:name w:val="heading 2"/>
    <w:basedOn w:val="Normal"/>
    <w:next w:val="Normal"/>
    <w:link w:val="Heading2Char"/>
    <w:uiPriority w:val="9"/>
    <w:qFormat/>
    <w:rsid w:val="00C434A1"/>
    <w:pPr>
      <w:keepNext/>
      <w:keepLines/>
      <w:spacing w:before="360" w:after="180" w:line="300" w:lineRule="atLeast"/>
      <w:outlineLvl w:val="1"/>
    </w:pPr>
    <w:rPr>
      <w:rFonts w:asciiTheme="majorHAnsi" w:eastAsiaTheme="majorEastAsia" w:hAnsiTheme="majorHAnsi" w:cstheme="majorBidi"/>
      <w:b/>
      <w:color w:val="3F6F75" w:themeColor="accent2" w:themeShade="BF"/>
      <w:sz w:val="24"/>
      <w:szCs w:val="26"/>
    </w:rPr>
  </w:style>
  <w:style w:type="paragraph" w:styleId="Heading3">
    <w:name w:val="heading 3"/>
    <w:basedOn w:val="Normal"/>
    <w:next w:val="Normal"/>
    <w:link w:val="Heading3Char"/>
    <w:uiPriority w:val="9"/>
    <w:qFormat/>
    <w:rsid w:val="00374458"/>
    <w:pPr>
      <w:keepNext/>
      <w:keepLines/>
      <w:spacing w:before="240" w:after="18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7D5CE8"/>
    <w:pPr>
      <w:keepNext/>
      <w:keepLines/>
      <w:spacing w:after="180"/>
      <w:outlineLvl w:val="3"/>
    </w:pPr>
    <w:rPr>
      <w:rFonts w:eastAsiaTheme="majorEastAsia" w:cstheme="majorBidi"/>
      <w:iCs/>
    </w:rPr>
  </w:style>
  <w:style w:type="paragraph" w:styleId="Heading5">
    <w:name w:val="heading 5"/>
    <w:aliases w:val="L5,Level 3 - i,L51,Headline,Para5,i.,H,subsubpara,1.1.1.1.1"/>
    <w:basedOn w:val="Normal"/>
    <w:next w:val="Normal"/>
    <w:link w:val="Heading5Char"/>
    <w:uiPriority w:val="9"/>
    <w:unhideWhenUsed/>
    <w:qFormat/>
    <w:rsid w:val="007D5CE8"/>
    <w:pPr>
      <w:keepNext/>
      <w:keepLines/>
      <w:spacing w:after="180"/>
      <w:outlineLvl w:val="4"/>
    </w:pPr>
    <w:rPr>
      <w:rFonts w:eastAsiaTheme="majorEastAsia" w:cstheme="majorBidi"/>
      <w:i/>
      <w:color w:val="7F7F7F" w:themeColor="text1" w:themeTint="80"/>
    </w:rPr>
  </w:style>
  <w:style w:type="paragraph" w:styleId="Heading6">
    <w:name w:val="heading 6"/>
    <w:aliases w:val="Legal Level 1.,sub-dash,5,Spare2"/>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aliases w:val="h7,heading 7,Legal Level 1.1.,D'N'U,Spare3"/>
    <w:basedOn w:val="Normal"/>
    <w:next w:val="Normal"/>
    <w:link w:val="Heading7Char"/>
    <w:uiPriority w:val="9"/>
    <w:unhideWhenUsed/>
    <w:qFormat/>
    <w:rsid w:val="00AF0899"/>
    <w:pPr>
      <w:keepNext/>
      <w:keepLines/>
      <w:outlineLvl w:val="6"/>
    </w:pPr>
    <w:rPr>
      <w:rFonts w:eastAsiaTheme="majorEastAsia" w:cstheme="majorBidi"/>
      <w:i/>
      <w:iCs/>
    </w:rPr>
  </w:style>
  <w:style w:type="paragraph" w:styleId="Heading8">
    <w:name w:val="heading 8"/>
    <w:aliases w:val="h8,D.N.U,Spare4"/>
    <w:basedOn w:val="Heading7"/>
    <w:next w:val="BodyText"/>
    <w:link w:val="Heading8Char"/>
    <w:uiPriority w:val="9"/>
    <w:semiHidden/>
    <w:unhideWhenUsed/>
    <w:qFormat/>
    <w:rsid w:val="00870C3F"/>
    <w:pPr>
      <w:keepNext w:val="0"/>
      <w:keepLines w:val="0"/>
      <w:suppressAutoHyphens w:val="0"/>
      <w:spacing w:before="240" w:after="120" w:line="280" w:lineRule="atLeast"/>
      <w:ind w:left="1440" w:hanging="1440"/>
      <w:jc w:val="both"/>
      <w:outlineLvl w:val="7"/>
    </w:pPr>
    <w:rPr>
      <w:rFonts w:eastAsiaTheme="minorHAnsi" w:cstheme="minorBidi"/>
      <w:b/>
      <w:i w:val="0"/>
      <w:color w:val="272727" w:themeColor="text1" w:themeTint="D8"/>
      <w:sz w:val="21"/>
      <w:szCs w:val="21"/>
    </w:rPr>
  </w:style>
  <w:style w:type="paragraph" w:styleId="Heading9">
    <w:name w:val="heading 9"/>
    <w:aliases w:val="h9,Level 1,heading 9,DNU,Spare5"/>
    <w:basedOn w:val="Heading8"/>
    <w:next w:val="BodyText"/>
    <w:link w:val="Heading9Char"/>
    <w:uiPriority w:val="9"/>
    <w:semiHidden/>
    <w:unhideWhenUsed/>
    <w:qFormat/>
    <w:rsid w:val="00870C3F"/>
    <w:pPr>
      <w:ind w:left="1584" w:hanging="1584"/>
      <w:outlineLvl w:val="8"/>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0CE"/>
    <w:pPr>
      <w:tabs>
        <w:tab w:val="center" w:pos="4513"/>
        <w:tab w:val="right" w:pos="9026"/>
      </w:tabs>
      <w:spacing w:before="0" w:after="0" w:line="180" w:lineRule="atLeast"/>
    </w:pPr>
    <w:rPr>
      <w:rFonts w:asciiTheme="majorHAnsi" w:hAnsiTheme="majorHAnsi"/>
      <w:sz w:val="15"/>
    </w:rPr>
  </w:style>
  <w:style w:type="character" w:customStyle="1" w:styleId="HeaderChar">
    <w:name w:val="Header Char"/>
    <w:basedOn w:val="DefaultParagraphFont"/>
    <w:link w:val="Header"/>
    <w:uiPriority w:val="99"/>
    <w:rsid w:val="007530CE"/>
    <w:rPr>
      <w:rFonts w:asciiTheme="majorHAnsi" w:hAnsiTheme="majorHAnsi"/>
      <w:sz w:val="15"/>
    </w:rPr>
  </w:style>
  <w:style w:type="paragraph" w:styleId="Footer">
    <w:name w:val="footer"/>
    <w:basedOn w:val="Normal"/>
    <w:link w:val="FooterChar"/>
    <w:uiPriority w:val="99"/>
    <w:rsid w:val="007530CE"/>
    <w:pPr>
      <w:tabs>
        <w:tab w:val="center" w:pos="4513"/>
        <w:tab w:val="right" w:pos="9026"/>
      </w:tabs>
      <w:spacing w:before="0" w:after="0" w:line="180" w:lineRule="atLeast"/>
    </w:pPr>
    <w:rPr>
      <w:rFonts w:asciiTheme="majorHAnsi" w:hAnsiTheme="majorHAnsi"/>
      <w:sz w:val="15"/>
    </w:rPr>
  </w:style>
  <w:style w:type="character" w:customStyle="1" w:styleId="FooterChar">
    <w:name w:val="Footer Char"/>
    <w:basedOn w:val="DefaultParagraphFont"/>
    <w:link w:val="Footer"/>
    <w:uiPriority w:val="99"/>
    <w:rsid w:val="007530CE"/>
    <w:rPr>
      <w:rFonts w:asciiTheme="majorHAnsi" w:hAnsiTheme="majorHAnsi"/>
      <w:sz w:val="15"/>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C434A1"/>
    <w:rPr>
      <w:rFonts w:asciiTheme="majorHAnsi" w:eastAsiaTheme="majorEastAsia" w:hAnsiTheme="majorHAnsi" w:cstheme="majorBidi"/>
      <w:b/>
      <w:color w:val="3F6F75" w:themeColor="accent2" w:themeShade="BF"/>
      <w:sz w:val="24"/>
      <w:szCs w:val="26"/>
    </w:rPr>
  </w:style>
  <w:style w:type="paragraph" w:customStyle="1" w:styleId="AppendixNumbered">
    <w:name w:val="Appendix Numbered"/>
    <w:basedOn w:val="Heading2"/>
    <w:uiPriority w:val="11"/>
    <w:qFormat/>
    <w:rsid w:val="007D5CE8"/>
    <w:pPr>
      <w:numPr>
        <w:numId w:val="13"/>
      </w:numPr>
    </w:pPr>
  </w:style>
  <w:style w:type="numbering" w:customStyle="1" w:styleId="AppendixNumbers">
    <w:name w:val="Appendix Numbers"/>
    <w:uiPriority w:val="99"/>
    <w:rsid w:val="00DF74BA"/>
    <w:pPr>
      <w:numPr>
        <w:numId w:val="2"/>
      </w:numPr>
    </w:pPr>
  </w:style>
  <w:style w:type="paragraph" w:customStyle="1" w:styleId="Box1Text">
    <w:name w:val="Box 1 Text"/>
    <w:basedOn w:val="Normal"/>
    <w:uiPriority w:val="14"/>
    <w:qFormat/>
    <w:rsid w:val="00546F0F"/>
    <w:pPr>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ind w:left="284" w:right="284"/>
    </w:pPr>
  </w:style>
  <w:style w:type="paragraph" w:customStyle="1" w:styleId="Box2Text">
    <w:name w:val="Box 2 Text"/>
    <w:basedOn w:val="Normal"/>
    <w:uiPriority w:val="15"/>
    <w:qFormat/>
    <w:rsid w:val="00546F0F"/>
    <w:pPr>
      <w:pBdr>
        <w:top w:val="single" w:sz="4" w:space="14" w:color="101C3A" w:themeColor="accent1"/>
        <w:left w:val="single" w:sz="4" w:space="14" w:color="101C3A" w:themeColor="accent1"/>
        <w:bottom w:val="single" w:sz="4" w:space="14" w:color="101C3A" w:themeColor="accent1"/>
        <w:right w:val="single" w:sz="4" w:space="14" w:color="101C3A" w:themeColor="accent1"/>
      </w:pBdr>
      <w:ind w:left="284" w:right="284"/>
    </w:pPr>
  </w:style>
  <w:style w:type="paragraph" w:customStyle="1" w:styleId="Box1Heading">
    <w:name w:val="Box 1 Heading"/>
    <w:basedOn w:val="Box1Text"/>
    <w:uiPriority w:val="14"/>
    <w:qFormat/>
    <w:rsid w:val="00546F0F"/>
    <w:rPr>
      <w:b/>
      <w:bCs/>
      <w:sz w:val="24"/>
      <w:szCs w:val="24"/>
    </w:rPr>
  </w:style>
  <w:style w:type="paragraph" w:customStyle="1" w:styleId="Box2Heading">
    <w:name w:val="Box 2 Heading"/>
    <w:basedOn w:val="Box2Text"/>
    <w:uiPriority w:val="15"/>
    <w:qFormat/>
    <w:rsid w:val="00546F0F"/>
    <w:rPr>
      <w:b/>
      <w:bCs/>
      <w:sz w:val="24"/>
      <w:szCs w:val="24"/>
    </w:rPr>
  </w:style>
  <w:style w:type="paragraph" w:customStyle="1" w:styleId="Box1Bullet">
    <w:name w:val="Box 1 Bullet"/>
    <w:basedOn w:val="Box1Text"/>
    <w:uiPriority w:val="15"/>
    <w:qFormat/>
    <w:rsid w:val="00546F0F"/>
    <w:pPr>
      <w:numPr>
        <w:numId w:val="14"/>
      </w:numPr>
    </w:pPr>
  </w:style>
  <w:style w:type="paragraph" w:customStyle="1" w:styleId="Box2Bullet">
    <w:name w:val="Box 2 Bullet"/>
    <w:basedOn w:val="Box2Text"/>
    <w:uiPriority w:val="16"/>
    <w:qFormat/>
    <w:rsid w:val="00546F0F"/>
    <w:pPr>
      <w:numPr>
        <w:ilvl w:val="1"/>
        <w:numId w:val="14"/>
      </w:numPr>
    </w:pPr>
  </w:style>
  <w:style w:type="numbering" w:customStyle="1" w:styleId="BoxedBullets">
    <w:name w:val="Boxed Bullets"/>
    <w:uiPriority w:val="99"/>
    <w:rsid w:val="00546F0F"/>
    <w:pPr>
      <w:numPr>
        <w:numId w:val="3"/>
      </w:numPr>
    </w:pPr>
  </w:style>
  <w:style w:type="paragraph" w:customStyle="1" w:styleId="Bullet1">
    <w:name w:val="Bullet 1"/>
    <w:basedOn w:val="Normal"/>
    <w:uiPriority w:val="3"/>
    <w:qFormat/>
    <w:rsid w:val="00251FBB"/>
    <w:pPr>
      <w:numPr>
        <w:numId w:val="12"/>
      </w:numPr>
      <w:spacing w:before="60"/>
    </w:pPr>
  </w:style>
  <w:style w:type="paragraph" w:customStyle="1" w:styleId="Bullet2">
    <w:name w:val="Bullet 2"/>
    <w:basedOn w:val="Normal"/>
    <w:uiPriority w:val="3"/>
    <w:rsid w:val="00251FBB"/>
    <w:pPr>
      <w:numPr>
        <w:ilvl w:val="1"/>
        <w:numId w:val="12"/>
      </w:numPr>
      <w:spacing w:before="60"/>
    </w:pPr>
  </w:style>
  <w:style w:type="paragraph" w:customStyle="1" w:styleId="Bullet3">
    <w:name w:val="Bullet 3"/>
    <w:basedOn w:val="Normal"/>
    <w:uiPriority w:val="3"/>
    <w:rsid w:val="00251FBB"/>
    <w:pPr>
      <w:numPr>
        <w:ilvl w:val="2"/>
        <w:numId w:val="12"/>
      </w:numPr>
      <w:spacing w:before="60"/>
      <w:ind w:left="1021"/>
    </w:pPr>
  </w:style>
  <w:style w:type="paragraph" w:styleId="Caption">
    <w:name w:val="caption"/>
    <w:basedOn w:val="Normal"/>
    <w:next w:val="Normal"/>
    <w:link w:val="CaptionChar"/>
    <w:uiPriority w:val="35"/>
    <w:qFormat/>
    <w:rsid w:val="00AF0899"/>
    <w:pPr>
      <w:spacing w:before="0" w:after="200"/>
    </w:pPr>
    <w:rPr>
      <w:rFonts w:asciiTheme="majorHAnsi" w:hAnsiTheme="majorHAnsi"/>
      <w:iCs/>
      <w:caps/>
      <w:sz w:val="16"/>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8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1C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1C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1C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1C3A" w:themeFill="accent1"/>
      </w:tcPr>
    </w:tblStylePr>
    <w:tblStylePr w:type="band1Vert">
      <w:tblPr/>
      <w:tcPr>
        <w:shd w:val="clear" w:color="auto" w:fill="7692D9" w:themeFill="accent1" w:themeFillTint="66"/>
      </w:tcPr>
    </w:tblStylePr>
    <w:tblStylePr w:type="band1Horz">
      <w:tblPr/>
      <w:tcPr>
        <w:shd w:val="clear" w:color="auto" w:fill="7692D9" w:themeFill="accent1" w:themeFillTint="66"/>
      </w:tcPr>
    </w:tblStylePr>
  </w:style>
  <w:style w:type="table" w:customStyle="1" w:styleId="DefaultTable1">
    <w:name w:val="Default Table 1"/>
    <w:basedOn w:val="TableNormal"/>
    <w:uiPriority w:val="99"/>
    <w:rsid w:val="00A64E6E"/>
    <w:pPr>
      <w:spacing w:before="120" w:after="120" w:line="240" w:lineRule="auto"/>
    </w:pPr>
    <w:tblPr>
      <w:tblStyleRowBandSize w:val="1"/>
      <w:tblStyleCol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blStylePr w:type="firstRow">
      <w:rPr>
        <w:b/>
        <w:color w:val="FFFFFF" w:themeColor="background1"/>
      </w:rPr>
      <w:tblPr/>
      <w:trPr>
        <w:tblHeader/>
      </w:trPr>
      <w:tcPr>
        <w:shd w:val="clear" w:color="auto" w:fill="54959D" w:themeFill="accent2"/>
      </w:tcPr>
    </w:tblStylePr>
    <w:tblStylePr w:type="lastRow">
      <w:rPr>
        <w:b/>
      </w:rPr>
      <w:tblPr/>
      <w:tcPr>
        <w:shd w:val="clear" w:color="auto" w:fill="BFBFBF" w:themeFill="background1" w:themeFillShade="BF"/>
      </w:tcPr>
    </w:tblStylePr>
    <w:tblStylePr w:type="firstCol">
      <w:rPr>
        <w:b/>
      </w:rPr>
      <w:tblPr/>
      <w:tcPr>
        <w:shd w:val="clear" w:color="auto" w:fill="BFBFBF" w:themeFill="background1" w:themeFillShade="BF"/>
      </w:tcPr>
    </w:tblStylePr>
    <w:tblStylePr w:type="lastCol">
      <w:rPr>
        <w:b/>
      </w:rPr>
      <w:tblPr/>
      <w:tcPr>
        <w:shd w:val="clear" w:color="auto" w:fill="BFBFBF" w:themeFill="background1" w:themeFillShade="BF"/>
      </w:tcPr>
    </w:tblStylePr>
    <w:tblStylePr w:type="band2Vert">
      <w:tblPr/>
      <w:tcPr>
        <w:shd w:val="clear" w:color="auto" w:fill="EBEAE8" w:themeFill="background2"/>
      </w:tcPr>
    </w:tblStylePr>
    <w:tblStylePr w:type="band2Horz">
      <w:tblPr/>
      <w:tcPr>
        <w:shd w:val="clear" w:color="auto" w:fill="EBEAE8" w:themeFill="background2"/>
      </w:tcPr>
    </w:tblStylePr>
  </w:style>
  <w:style w:type="table" w:customStyle="1" w:styleId="DefaultTable2">
    <w:name w:val="Default Table 2"/>
    <w:basedOn w:val="TableNormal"/>
    <w:uiPriority w:val="99"/>
    <w:rsid w:val="00A64E6E"/>
    <w:pPr>
      <w:spacing w:before="60" w:line="240" w:lineRule="auto"/>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57"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4"/>
      </w:numPr>
    </w:pPr>
  </w:style>
  <w:style w:type="paragraph" w:customStyle="1" w:styleId="FigureTitle">
    <w:name w:val="Figure Title"/>
    <w:basedOn w:val="Normal"/>
    <w:uiPriority w:val="12"/>
    <w:qFormat/>
    <w:rsid w:val="00AF0899"/>
    <w:pPr>
      <w:keepNext/>
      <w:numPr>
        <w:numId w:val="5"/>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aliases w:val="SFG_Footnote_Reference,(NECG) Footnote Reference,fr,o,Style 6,Style 20,(NECG) Footnote Reference1,(NECG) Footnote Reference2,(NECG) Footnote Reference3,(NECG) Footnote Reference4,(NECG) Footnote Reference5,(NECG) Footnote Reference6"/>
    <w:basedOn w:val="DefaultParagraphFont"/>
    <w:uiPriority w:val="99"/>
    <w:qFormat/>
    <w:rsid w:val="00AF0899"/>
    <w:rPr>
      <w:vertAlign w:val="superscript"/>
    </w:rPr>
  </w:style>
  <w:style w:type="paragraph" w:styleId="FootnoteText">
    <w:name w:val="footnote text"/>
    <w:aliases w:val="(NECG) Footnote Text,DTE-Voetnoottekst,ALTS FOOTNOTE,Footnote Text Char Char Char,Footnote Text Char1 Char Char,Footnote Text Char Char Char Char Char,Footnote Text Char Char1 Char Char,Footnote Text Char Char1,f,Footnote Text1,TBG Style"/>
    <w:basedOn w:val="Normal"/>
    <w:link w:val="FootnoteTextChar"/>
    <w:uiPriority w:val="99"/>
    <w:qFormat/>
    <w:rsid w:val="007D5CE8"/>
    <w:pPr>
      <w:spacing w:before="60" w:line="200" w:lineRule="atLeast"/>
    </w:pPr>
    <w:rPr>
      <w:sz w:val="16"/>
    </w:rPr>
  </w:style>
  <w:style w:type="character" w:customStyle="1" w:styleId="FootnoteTextChar">
    <w:name w:val="Footnote Text Char"/>
    <w:aliases w:val="(NECG) Footnote Text Char,DTE-Voetnoottekst Char,ALTS FOOTNOTE Char,Footnote Text Char Char Char Char,Footnote Text Char1 Char Char Char,Footnote Text Char Char Char Char Char Char,Footnote Text Char Char1 Char Char Char,f Char"/>
    <w:basedOn w:val="DefaultParagraphFont"/>
    <w:link w:val="FootnoteText"/>
    <w:uiPriority w:val="99"/>
    <w:rsid w:val="007D5CE8"/>
    <w:rPr>
      <w:sz w:val="16"/>
    </w:rPr>
  </w:style>
  <w:style w:type="character" w:customStyle="1" w:styleId="Heading1Char">
    <w:name w:val="Heading 1 Char"/>
    <w:basedOn w:val="DefaultParagraphFont"/>
    <w:link w:val="Heading1"/>
    <w:rsid w:val="0076515F"/>
    <w:rPr>
      <w:rFonts w:asciiTheme="majorHAnsi" w:eastAsiaTheme="majorEastAsia" w:hAnsiTheme="majorHAnsi" w:cstheme="majorBidi"/>
      <w:b/>
      <w:color w:val="3F6F75" w:themeColor="accent2" w:themeShade="BF"/>
      <w:sz w:val="40"/>
      <w:szCs w:val="32"/>
    </w:rPr>
  </w:style>
  <w:style w:type="paragraph" w:customStyle="1" w:styleId="Heading1Numbered">
    <w:name w:val="Heading 1 Numbered"/>
    <w:basedOn w:val="Heading1"/>
    <w:uiPriority w:val="10"/>
    <w:qFormat/>
    <w:rsid w:val="003449A0"/>
    <w:pPr>
      <w:numPr>
        <w:numId w:val="6"/>
      </w:numPr>
    </w:pPr>
  </w:style>
  <w:style w:type="paragraph" w:customStyle="1" w:styleId="Heading2Numbered">
    <w:name w:val="Heading 2 Numbered"/>
    <w:basedOn w:val="Heading2"/>
    <w:uiPriority w:val="10"/>
    <w:qFormat/>
    <w:rsid w:val="003449A0"/>
    <w:pPr>
      <w:numPr>
        <w:ilvl w:val="1"/>
        <w:numId w:val="6"/>
      </w:numPr>
    </w:pPr>
  </w:style>
  <w:style w:type="character" w:customStyle="1" w:styleId="Heading3Char">
    <w:name w:val="Heading 3 Char"/>
    <w:basedOn w:val="DefaultParagraphFont"/>
    <w:link w:val="Heading3"/>
    <w:uiPriority w:val="9"/>
    <w:rsid w:val="00374458"/>
    <w:rPr>
      <w:rFonts w:asciiTheme="majorHAnsi" w:eastAsiaTheme="majorEastAsia" w:hAnsiTheme="majorHAnsi" w:cstheme="majorBidi"/>
      <w:b/>
      <w:szCs w:val="24"/>
    </w:rPr>
  </w:style>
  <w:style w:type="paragraph" w:customStyle="1" w:styleId="Heading3Numbered">
    <w:name w:val="Heading 3 Numbered"/>
    <w:basedOn w:val="Heading3"/>
    <w:uiPriority w:val="10"/>
    <w:qFormat/>
    <w:rsid w:val="003449A0"/>
    <w:pPr>
      <w:numPr>
        <w:ilvl w:val="2"/>
        <w:numId w:val="6"/>
      </w:numPr>
    </w:pPr>
  </w:style>
  <w:style w:type="character" w:customStyle="1" w:styleId="Heading4Char">
    <w:name w:val="Heading 4 Char"/>
    <w:basedOn w:val="DefaultParagraphFont"/>
    <w:link w:val="Heading4"/>
    <w:uiPriority w:val="9"/>
    <w:rsid w:val="007D5CE8"/>
    <w:rPr>
      <w:rFonts w:eastAsiaTheme="majorEastAsia" w:cstheme="majorBidi"/>
      <w:iCs/>
    </w:rPr>
  </w:style>
  <w:style w:type="paragraph" w:customStyle="1" w:styleId="Address">
    <w:name w:val="Address"/>
    <w:basedOn w:val="Normal"/>
    <w:uiPriority w:val="1"/>
    <w:rsid w:val="003E2FB9"/>
    <w:pPr>
      <w:spacing w:before="0" w:after="720"/>
      <w:contextualSpacing/>
    </w:pPr>
  </w:style>
  <w:style w:type="character" w:customStyle="1" w:styleId="Heading5Char">
    <w:name w:val="Heading 5 Char"/>
    <w:aliases w:val="L5 Char,Level 3 - i Char,L51 Char,Headline Char,Para5 Char,i. Char,H Char,subsubpara Char,1.1.1.1.1 Char"/>
    <w:basedOn w:val="DefaultParagraphFont"/>
    <w:link w:val="Heading5"/>
    <w:uiPriority w:val="9"/>
    <w:rsid w:val="007D5CE8"/>
    <w:rPr>
      <w:rFonts w:eastAsiaTheme="majorEastAsia" w:cstheme="majorBidi"/>
      <w:i/>
      <w:color w:val="7F7F7F" w:themeColor="text1" w:themeTint="80"/>
    </w:rPr>
  </w:style>
  <w:style w:type="paragraph" w:customStyle="1" w:styleId="Subject">
    <w:name w:val="Subject"/>
    <w:basedOn w:val="Normal"/>
    <w:uiPriority w:val="1"/>
    <w:rsid w:val="003E2FB9"/>
    <w:pPr>
      <w:spacing w:before="540" w:after="540"/>
    </w:pPr>
    <w:rPr>
      <w:b/>
    </w:rPr>
  </w:style>
  <w:style w:type="character" w:customStyle="1" w:styleId="Heading6Char">
    <w:name w:val="Heading 6 Char"/>
    <w:aliases w:val="Legal Level 1. Char,sub-dash Char,5 Char,Spare2 Char"/>
    <w:basedOn w:val="DefaultParagraphFont"/>
    <w:link w:val="Heading6"/>
    <w:uiPriority w:val="9"/>
    <w:rsid w:val="00E06B80"/>
    <w:rPr>
      <w:rFonts w:eastAsiaTheme="majorEastAsia" w:cstheme="majorBidi"/>
      <w:b/>
      <w:i/>
    </w:rPr>
  </w:style>
  <w:style w:type="paragraph" w:customStyle="1" w:styleId="SubtitleDate">
    <w:name w:val="Subtitle Date"/>
    <w:basedOn w:val="Normal"/>
    <w:rsid w:val="003E2FB9"/>
    <w:pPr>
      <w:spacing w:before="0" w:after="540" w:line="240" w:lineRule="atLeast"/>
    </w:pPr>
    <w:rPr>
      <w:b/>
      <w:sz w:val="20"/>
    </w:rPr>
  </w:style>
  <w:style w:type="character" w:customStyle="1" w:styleId="Heading7Char">
    <w:name w:val="Heading 7 Char"/>
    <w:aliases w:val="h7 Char,heading 7 Char,Legal Level 1.1. Char,D'N'U Char,Spare3 Char"/>
    <w:basedOn w:val="DefaultParagraphFont"/>
    <w:link w:val="Heading7"/>
    <w:uiPriority w:val="9"/>
    <w:rsid w:val="00E06B80"/>
    <w:rPr>
      <w:rFonts w:eastAsiaTheme="majorEastAsia" w:cstheme="majorBidi"/>
      <w:i/>
      <w:iCs/>
    </w:rPr>
  </w:style>
  <w:style w:type="paragraph" w:customStyle="1" w:styleId="TableRowNumbers">
    <w:name w:val="Table Row Numbers"/>
    <w:basedOn w:val="Normal"/>
    <w:uiPriority w:val="13"/>
    <w:rsid w:val="003E2FB9"/>
    <w:pPr>
      <w:numPr>
        <w:numId w:val="19"/>
      </w:numPr>
    </w:pPr>
    <w:rPr>
      <w:b/>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qFormat/>
    <w:rsid w:val="007D5CE8"/>
    <w:pPr>
      <w:spacing w:before="240" w:after="240" w:line="400" w:lineRule="atLeast"/>
      <w:contextualSpacing/>
    </w:pPr>
    <w:rPr>
      <w:rFonts w:asciiTheme="majorHAnsi" w:hAnsiTheme="majorHAnsi"/>
      <w:color w:val="54959D" w:themeColor="accent2"/>
      <w:sz w:val="28"/>
    </w:rPr>
  </w:style>
  <w:style w:type="numbering" w:customStyle="1" w:styleId="List1Numbered">
    <w:name w:val="List 1 Numbered"/>
    <w:uiPriority w:val="99"/>
    <w:rsid w:val="00251FBB"/>
    <w:pPr>
      <w:numPr>
        <w:numId w:val="7"/>
      </w:numPr>
    </w:pPr>
  </w:style>
  <w:style w:type="paragraph" w:customStyle="1" w:styleId="List1LegalNumbered1">
    <w:name w:val="List 1 Legal Numbered 1"/>
    <w:basedOn w:val="Normal"/>
    <w:uiPriority w:val="3"/>
    <w:qFormat/>
    <w:rsid w:val="00251FBB"/>
    <w:pPr>
      <w:numPr>
        <w:numId w:val="15"/>
      </w:numPr>
      <w:spacing w:before="60"/>
    </w:pPr>
  </w:style>
  <w:style w:type="paragraph" w:customStyle="1" w:styleId="List1LegalNumbered2">
    <w:name w:val="List 1 Legal Numbered 2"/>
    <w:basedOn w:val="Normal"/>
    <w:uiPriority w:val="3"/>
    <w:rsid w:val="00251FBB"/>
    <w:pPr>
      <w:numPr>
        <w:ilvl w:val="1"/>
        <w:numId w:val="15"/>
      </w:numPr>
      <w:spacing w:before="60"/>
    </w:pPr>
  </w:style>
  <w:style w:type="paragraph" w:customStyle="1" w:styleId="List1LegalNumbered3">
    <w:name w:val="List 1 Legal Numbered 3"/>
    <w:basedOn w:val="Normal"/>
    <w:uiPriority w:val="3"/>
    <w:rsid w:val="00251FBB"/>
    <w:pPr>
      <w:numPr>
        <w:ilvl w:val="2"/>
        <w:numId w:val="15"/>
      </w:numPr>
      <w:spacing w:before="60"/>
      <w:ind w:left="851"/>
    </w:pPr>
  </w:style>
  <w:style w:type="paragraph" w:styleId="NoSpacing">
    <w:name w:val="No Spacing"/>
    <w:uiPriority w:val="2"/>
    <w:rsid w:val="00E06B80"/>
    <w:pPr>
      <w:contextualSpacing/>
    </w:pPr>
  </w:style>
  <w:style w:type="paragraph" w:customStyle="1" w:styleId="NormalIndent5mm">
    <w:name w:val="Normal Indent 5mm"/>
    <w:basedOn w:val="Normal"/>
    <w:rsid w:val="00AF0899"/>
    <w:pPr>
      <w:ind w:left="284"/>
    </w:pPr>
  </w:style>
  <w:style w:type="numbering" w:customStyle="1" w:styleId="NumberedHeadings">
    <w:name w:val="Numbered Headings"/>
    <w:uiPriority w:val="99"/>
    <w:rsid w:val="003449A0"/>
    <w:pPr>
      <w:numPr>
        <w:numId w:val="8"/>
      </w:numPr>
    </w:pPr>
  </w:style>
  <w:style w:type="paragraph" w:customStyle="1" w:styleId="PullOut">
    <w:name w:val="Pull Out"/>
    <w:basedOn w:val="Normal"/>
    <w:uiPriority w:val="22"/>
    <w:rsid w:val="007D5CE8"/>
    <w:pPr>
      <w:spacing w:after="180"/>
      <w:ind w:left="567" w:right="567"/>
    </w:pPr>
    <w:rPr>
      <w:i/>
      <w:color w:val="101C3A" w:themeColor="text2"/>
    </w:rPr>
  </w:style>
  <w:style w:type="paragraph" w:customStyle="1" w:styleId="SourceNotes">
    <w:name w:val="Source Notes"/>
    <w:basedOn w:val="Normal"/>
    <w:uiPriority w:val="21"/>
    <w:rsid w:val="007D5CE8"/>
    <w:pPr>
      <w:spacing w:before="60" w:line="200" w:lineRule="atLeast"/>
    </w:pPr>
    <w:rPr>
      <w:sz w:val="16"/>
    </w:rPr>
  </w:style>
  <w:style w:type="paragraph" w:customStyle="1" w:styleId="SourceNotesHeading">
    <w:name w:val="Source Notes Heading"/>
    <w:basedOn w:val="SourceNotes"/>
    <w:uiPriority w:val="20"/>
    <w:rsid w:val="00AF0899"/>
    <w:rPr>
      <w:rFonts w:asciiTheme="majorHAnsi" w:hAnsiTheme="majorHAnsi"/>
      <w:b/>
    </w:rPr>
  </w:style>
  <w:style w:type="paragraph" w:customStyle="1" w:styleId="SourceNotesNumbered">
    <w:name w:val="Source Notes Numbered"/>
    <w:basedOn w:val="SourceNotes"/>
    <w:uiPriority w:val="21"/>
    <w:rsid w:val="00AF0899"/>
    <w:pPr>
      <w:numPr>
        <w:numId w:val="9"/>
      </w:numPr>
    </w:pPr>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qFormat/>
    <w:rsid w:val="007530CE"/>
    <w:pPr>
      <w:keepLines/>
      <w:numPr>
        <w:ilvl w:val="1"/>
      </w:numPr>
      <w:spacing w:before="0" w:after="180" w:line="760" w:lineRule="exact"/>
      <w:contextualSpacing/>
    </w:pPr>
    <w:rPr>
      <w:rFonts w:eastAsiaTheme="minorEastAsia"/>
      <w:color w:val="EDE84D" w:themeColor="accent4"/>
      <w:sz w:val="74"/>
      <w:szCs w:val="22"/>
    </w:rPr>
  </w:style>
  <w:style w:type="character" w:customStyle="1" w:styleId="SubtitleChar">
    <w:name w:val="Subtitle Char"/>
    <w:basedOn w:val="DefaultParagraphFont"/>
    <w:link w:val="Subtitle"/>
    <w:uiPriority w:val="23"/>
    <w:rsid w:val="007530CE"/>
    <w:rPr>
      <w:rFonts w:eastAsiaTheme="minorEastAsia"/>
      <w:color w:val="EDE84D" w:themeColor="accent4"/>
      <w:sz w:val="74"/>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0"/>
      </w:numPr>
    </w:pPr>
  </w:style>
  <w:style w:type="paragraph" w:customStyle="1" w:styleId="TableTitle">
    <w:name w:val="Table Title"/>
    <w:basedOn w:val="FigureTitle"/>
    <w:uiPriority w:val="12"/>
    <w:qFormat/>
    <w:rsid w:val="00AF0899"/>
    <w:pPr>
      <w:numPr>
        <w:numId w:val="11"/>
      </w:numPr>
    </w:pPr>
  </w:style>
  <w:style w:type="paragraph" w:styleId="Title">
    <w:name w:val="Title"/>
    <w:basedOn w:val="Normal"/>
    <w:next w:val="Normal"/>
    <w:link w:val="TitleChar"/>
    <w:qFormat/>
    <w:rsid w:val="007530CE"/>
    <w:pPr>
      <w:keepLines/>
      <w:spacing w:after="360" w:line="2100" w:lineRule="exact"/>
      <w:contextualSpacing/>
      <w:outlineLvl w:val="0"/>
    </w:pPr>
    <w:rPr>
      <w:rFonts w:asciiTheme="majorHAnsi" w:eastAsiaTheme="majorEastAsia" w:hAnsiTheme="majorHAnsi" w:cs="Times New Roman"/>
      <w:color w:val="FFFFFF" w:themeColor="background1"/>
      <w:kern w:val="28"/>
      <w:sz w:val="192"/>
      <w:szCs w:val="20"/>
    </w:rPr>
  </w:style>
  <w:style w:type="character" w:customStyle="1" w:styleId="TitleChar">
    <w:name w:val="Title Char"/>
    <w:basedOn w:val="DefaultParagraphFont"/>
    <w:link w:val="Title"/>
    <w:rsid w:val="007530CE"/>
    <w:rPr>
      <w:rFonts w:asciiTheme="majorHAnsi" w:eastAsiaTheme="majorEastAsia" w:hAnsiTheme="majorHAnsi" w:cs="Times New Roman"/>
      <w:color w:val="FFFFFF" w:themeColor="background1"/>
      <w:kern w:val="28"/>
      <w:sz w:val="192"/>
      <w:szCs w:val="20"/>
    </w:rPr>
  </w:style>
  <w:style w:type="paragraph" w:styleId="TOC1">
    <w:name w:val="toc 1"/>
    <w:basedOn w:val="Normal"/>
    <w:next w:val="Normal"/>
    <w:autoRedefine/>
    <w:uiPriority w:val="39"/>
    <w:rsid w:val="00251FBB"/>
    <w:pPr>
      <w:keepNext/>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tabs>
        <w:tab w:val="left" w:pos="851"/>
        <w:tab w:val="right" w:pos="9356"/>
      </w:tabs>
      <w:spacing w:line="340" w:lineRule="atLeast"/>
      <w:ind w:left="283" w:right="283"/>
    </w:pPr>
    <w:rPr>
      <w:rFonts w:asciiTheme="majorHAnsi" w:hAnsiTheme="majorHAnsi"/>
      <w:b/>
      <w:noProof/>
      <w:color w:val="auto"/>
      <w:sz w:val="24"/>
      <w:u w:val="single" w:color="A6A6A6" w:themeColor="background1" w:themeShade="A6"/>
    </w:rPr>
  </w:style>
  <w:style w:type="paragraph" w:styleId="TOC2">
    <w:name w:val="toc 2"/>
    <w:basedOn w:val="Normal"/>
    <w:next w:val="Normal"/>
    <w:autoRedefine/>
    <w:uiPriority w:val="39"/>
    <w:rsid w:val="00ED5071"/>
    <w:pPr>
      <w:pBdr>
        <w:top w:val="single" w:sz="4" w:space="14" w:color="EBEAE8" w:themeColor="background2"/>
        <w:left w:val="single" w:sz="4" w:space="14" w:color="EBEAE8" w:themeColor="background2"/>
        <w:bottom w:val="single" w:sz="4" w:space="14" w:color="EBEAE8" w:themeColor="background2"/>
        <w:right w:val="single" w:sz="4" w:space="14" w:color="EBEAE8" w:themeColor="background2"/>
      </w:pBdr>
      <w:shd w:val="clear" w:color="auto" w:fill="EBEAE8" w:themeFill="background2"/>
      <w:tabs>
        <w:tab w:val="left" w:pos="851"/>
        <w:tab w:val="right" w:pos="9356"/>
      </w:tabs>
      <w:ind w:left="850" w:right="283" w:hanging="567"/>
    </w:pPr>
    <w:rPr>
      <w:rFonts w:ascii="Calibri" w:hAnsi="Calibri" w:cs="Calibri"/>
      <w:b/>
      <w:noProof/>
      <w:sz w:val="20"/>
      <w:szCs w:val="20"/>
      <w:lang w:eastAsia="en-AU"/>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890921"/>
    <w:pPr>
      <w:numPr>
        <w:numId w:val="12"/>
      </w:numPr>
    </w:pPr>
  </w:style>
  <w:style w:type="character" w:styleId="PlaceholderText">
    <w:name w:val="Placeholder Text"/>
    <w:basedOn w:val="DefaultParagraphFont"/>
    <w:uiPriority w:val="99"/>
    <w:semiHidden/>
    <w:rsid w:val="007530CE"/>
    <w:rPr>
      <w:color w:val="808080"/>
    </w:rPr>
  </w:style>
  <w:style w:type="paragraph" w:customStyle="1" w:styleId="SecurityClassification">
    <w:name w:val="Security Classification"/>
    <w:basedOn w:val="Normal"/>
    <w:uiPriority w:val="99"/>
    <w:rsid w:val="007530CE"/>
    <w:pPr>
      <w:spacing w:before="0" w:after="0"/>
      <w:jc w:val="center"/>
    </w:pPr>
    <w:rPr>
      <w:b/>
      <w:caps/>
      <w:color w:val="FF0000"/>
      <w:sz w:val="24"/>
    </w:rPr>
  </w:style>
  <w:style w:type="paragraph" w:customStyle="1" w:styleId="Furtherdetails">
    <w:name w:val="Further details"/>
    <w:basedOn w:val="Subtitle"/>
    <w:uiPriority w:val="24"/>
    <w:rsid w:val="007530CE"/>
    <w:rPr>
      <w:color w:val="FFFFFF" w:themeColor="background1"/>
      <w:sz w:val="34"/>
    </w:rPr>
  </w:style>
  <w:style w:type="paragraph" w:customStyle="1" w:styleId="List2Numbered1">
    <w:name w:val="List 2 Numbered 1"/>
    <w:basedOn w:val="Normal"/>
    <w:uiPriority w:val="4"/>
    <w:qFormat/>
    <w:rsid w:val="00251FBB"/>
    <w:pPr>
      <w:numPr>
        <w:numId w:val="17"/>
      </w:numPr>
      <w:spacing w:before="60"/>
    </w:pPr>
  </w:style>
  <w:style w:type="paragraph" w:customStyle="1" w:styleId="List2Numbered2">
    <w:name w:val="List 2 Numbered 2"/>
    <w:basedOn w:val="List2Numbered1"/>
    <w:uiPriority w:val="4"/>
    <w:rsid w:val="00251FBB"/>
    <w:pPr>
      <w:numPr>
        <w:ilvl w:val="1"/>
      </w:numPr>
    </w:pPr>
  </w:style>
  <w:style w:type="paragraph" w:customStyle="1" w:styleId="List2Numbered3">
    <w:name w:val="List 2 Numbered 3"/>
    <w:basedOn w:val="List2Numbered2"/>
    <w:uiPriority w:val="4"/>
    <w:rsid w:val="00251FBB"/>
    <w:pPr>
      <w:numPr>
        <w:ilvl w:val="2"/>
      </w:numPr>
    </w:pPr>
  </w:style>
  <w:style w:type="paragraph" w:customStyle="1" w:styleId="List2Numbered4">
    <w:name w:val="List 2 Numbered 4"/>
    <w:basedOn w:val="List2Numbered3"/>
    <w:uiPriority w:val="4"/>
    <w:rsid w:val="00251FBB"/>
    <w:pPr>
      <w:numPr>
        <w:ilvl w:val="3"/>
      </w:numPr>
    </w:pPr>
  </w:style>
  <w:style w:type="paragraph" w:customStyle="1" w:styleId="List2Numbered5">
    <w:name w:val="List 2 Numbered 5"/>
    <w:basedOn w:val="List2Numbered4"/>
    <w:uiPriority w:val="4"/>
    <w:rsid w:val="00251FBB"/>
    <w:pPr>
      <w:numPr>
        <w:ilvl w:val="4"/>
      </w:numPr>
    </w:pPr>
  </w:style>
  <w:style w:type="numbering" w:customStyle="1" w:styleId="List2Numbered">
    <w:name w:val="List 2 Numbered"/>
    <w:uiPriority w:val="99"/>
    <w:rsid w:val="00251FBB"/>
    <w:pPr>
      <w:numPr>
        <w:numId w:val="16"/>
      </w:numPr>
    </w:pPr>
  </w:style>
  <w:style w:type="numbering" w:customStyle="1" w:styleId="TableRowNumbersList">
    <w:name w:val="Table Row Numbers List"/>
    <w:uiPriority w:val="99"/>
    <w:rsid w:val="003E2FB9"/>
    <w:pPr>
      <w:numPr>
        <w:numId w:val="18"/>
      </w:numPr>
    </w:pPr>
  </w:style>
  <w:style w:type="table" w:customStyle="1" w:styleId="AgendaTable">
    <w:name w:val="Agenda Table"/>
    <w:basedOn w:val="TableNormal"/>
    <w:uiPriority w:val="99"/>
    <w:rsid w:val="00D84266"/>
    <w:pPr>
      <w:spacing w:before="120" w:after="120" w:line="240" w:lineRule="auto"/>
    </w:pPr>
    <w:tblPr>
      <w:tblBorders>
        <w:top w:val="single" w:sz="4" w:space="0" w:color="54959D" w:themeColor="accent2"/>
        <w:bottom w:val="single" w:sz="4" w:space="0" w:color="54959D" w:themeColor="accent2"/>
        <w:insideH w:val="single" w:sz="4" w:space="0" w:color="54959D" w:themeColor="accent2"/>
      </w:tblBorders>
      <w:tblCellMar>
        <w:top w:w="57" w:type="dxa"/>
        <w:bottom w:w="57" w:type="dxa"/>
      </w:tblCellMar>
    </w:tblPr>
    <w:tblStylePr w:type="firstRow">
      <w:rPr>
        <w:b/>
      </w:rPr>
      <w:tblPr/>
      <w:tcPr>
        <w:tcBorders>
          <w:top w:val="nil"/>
        </w:tcBorders>
        <w:shd w:val="clear" w:color="auto" w:fill="EBEAE8" w:themeFill="background2"/>
      </w:tcPr>
    </w:tblStylePr>
  </w:style>
  <w:style w:type="character" w:customStyle="1" w:styleId="Heading8Char">
    <w:name w:val="Heading 8 Char"/>
    <w:aliases w:val="h8 Char,D.N.U Char,Spare4 Char"/>
    <w:basedOn w:val="DefaultParagraphFont"/>
    <w:link w:val="Heading8"/>
    <w:uiPriority w:val="9"/>
    <w:semiHidden/>
    <w:rsid w:val="00870C3F"/>
    <w:rPr>
      <w:b/>
      <w:iCs/>
      <w:color w:val="272727" w:themeColor="text1" w:themeTint="D8"/>
      <w:sz w:val="21"/>
      <w:szCs w:val="21"/>
    </w:rPr>
  </w:style>
  <w:style w:type="character" w:customStyle="1" w:styleId="Heading9Char">
    <w:name w:val="Heading 9 Char"/>
    <w:aliases w:val="h9 Char,Level 1 Char,heading 9 Char,DNU Char,Spare5 Char"/>
    <w:basedOn w:val="DefaultParagraphFont"/>
    <w:link w:val="Heading9"/>
    <w:uiPriority w:val="9"/>
    <w:semiHidden/>
    <w:rsid w:val="00870C3F"/>
    <w:rPr>
      <w:b/>
      <w:i/>
      <w:color w:val="272727" w:themeColor="text1" w:themeTint="D8"/>
      <w:sz w:val="21"/>
      <w:szCs w:val="21"/>
    </w:rPr>
  </w:style>
  <w:style w:type="character" w:customStyle="1" w:styleId="Heading5Char1">
    <w:name w:val="Heading 5 Char1"/>
    <w:aliases w:val="L5 Char1,Level 3 - i Char1,L51 Char1,Headline Char1,Para5 Char1,i. Char1,H Char1,subsubpara Char1,1.1.1.1.1 Char1"/>
    <w:basedOn w:val="DefaultParagraphFont"/>
    <w:uiPriority w:val="9"/>
    <w:semiHidden/>
    <w:rsid w:val="00870C3F"/>
    <w:rPr>
      <w:rFonts w:asciiTheme="majorHAnsi" w:eastAsiaTheme="majorEastAsia" w:hAnsiTheme="majorHAnsi" w:cstheme="majorBidi"/>
      <w:color w:val="0C142B" w:themeColor="accent1" w:themeShade="BF"/>
      <w:sz w:val="21"/>
      <w:lang w:val="en-AU"/>
    </w:rPr>
  </w:style>
  <w:style w:type="character" w:customStyle="1" w:styleId="Heading6Char1">
    <w:name w:val="Heading 6 Char1"/>
    <w:aliases w:val="Legal Level 1. Char1,sub-dash Char1,5 Char1,Spare2 Char1"/>
    <w:basedOn w:val="DefaultParagraphFont"/>
    <w:uiPriority w:val="9"/>
    <w:semiHidden/>
    <w:rsid w:val="00870C3F"/>
    <w:rPr>
      <w:rFonts w:asciiTheme="majorHAnsi" w:eastAsiaTheme="majorEastAsia" w:hAnsiTheme="majorHAnsi" w:cstheme="majorBidi"/>
      <w:color w:val="080D1C" w:themeColor="accent1" w:themeShade="7F"/>
      <w:sz w:val="21"/>
      <w:lang w:val="en-AU"/>
    </w:rPr>
  </w:style>
  <w:style w:type="paragraph" w:customStyle="1" w:styleId="msonormal0">
    <w:name w:val="msonormal"/>
    <w:basedOn w:val="Normal"/>
    <w:rsid w:val="00870C3F"/>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zh-CN" w:bidi="th-TH"/>
    </w:rPr>
  </w:style>
  <w:style w:type="character" w:customStyle="1" w:styleId="Heading7Char1">
    <w:name w:val="Heading 7 Char1"/>
    <w:aliases w:val="h7 Char1,heading 7 Char1,Legal Level 1.1. Char1,D'N'U Char1,Spare3 Char1"/>
    <w:basedOn w:val="DefaultParagraphFont"/>
    <w:uiPriority w:val="9"/>
    <w:semiHidden/>
    <w:rsid w:val="00870C3F"/>
    <w:rPr>
      <w:rFonts w:asciiTheme="majorHAnsi" w:eastAsiaTheme="majorEastAsia" w:hAnsiTheme="majorHAnsi" w:cstheme="majorBidi"/>
      <w:i/>
      <w:iCs/>
      <w:color w:val="080D1C" w:themeColor="accent1" w:themeShade="7F"/>
      <w:sz w:val="21"/>
      <w:lang w:val="en-AU"/>
    </w:rPr>
  </w:style>
  <w:style w:type="paragraph" w:styleId="BodyText">
    <w:name w:val="Body Text"/>
    <w:basedOn w:val="Normal"/>
    <w:link w:val="BodyTextChar"/>
    <w:semiHidden/>
    <w:unhideWhenUsed/>
    <w:qFormat/>
    <w:rsid w:val="00870C3F"/>
    <w:pPr>
      <w:suppressAutoHyphens w:val="0"/>
      <w:spacing w:before="120" w:after="120" w:line="280" w:lineRule="atLeast"/>
      <w:jc w:val="both"/>
    </w:pPr>
    <w:rPr>
      <w:sz w:val="20"/>
      <w:szCs w:val="20"/>
    </w:rPr>
  </w:style>
  <w:style w:type="character" w:customStyle="1" w:styleId="BodyTextChar">
    <w:name w:val="Body Text Char"/>
    <w:basedOn w:val="DefaultParagraphFont"/>
    <w:link w:val="BodyText"/>
    <w:semiHidden/>
    <w:rsid w:val="00870C3F"/>
    <w:rPr>
      <w:sz w:val="20"/>
      <w:szCs w:val="20"/>
    </w:rPr>
  </w:style>
  <w:style w:type="character" w:customStyle="1" w:styleId="Heading8Char1">
    <w:name w:val="Heading 8 Char1"/>
    <w:aliases w:val="h8 Char1,D.N.U Char1,Spare4 Char1"/>
    <w:basedOn w:val="DefaultParagraphFont"/>
    <w:uiPriority w:val="9"/>
    <w:semiHidden/>
    <w:rsid w:val="00870C3F"/>
    <w:rPr>
      <w:rFonts w:asciiTheme="majorHAnsi" w:eastAsiaTheme="majorEastAsia" w:hAnsiTheme="majorHAnsi" w:cstheme="majorBidi"/>
      <w:color w:val="272727" w:themeColor="text1" w:themeTint="D8"/>
      <w:sz w:val="21"/>
      <w:szCs w:val="21"/>
      <w:lang w:val="en-AU"/>
    </w:rPr>
  </w:style>
  <w:style w:type="character" w:customStyle="1" w:styleId="Heading9Char1">
    <w:name w:val="Heading 9 Char1"/>
    <w:aliases w:val="h9 Char1,Level 1 Char1,heading 9 Char1,DNU Char1,Spare5 Char1"/>
    <w:basedOn w:val="DefaultParagraphFont"/>
    <w:uiPriority w:val="9"/>
    <w:semiHidden/>
    <w:rsid w:val="00870C3F"/>
    <w:rPr>
      <w:rFonts w:asciiTheme="majorHAnsi" w:eastAsiaTheme="majorEastAsia" w:hAnsiTheme="majorHAnsi" w:cstheme="majorBidi"/>
      <w:i/>
      <w:iCs/>
      <w:color w:val="272727" w:themeColor="text1" w:themeTint="D8"/>
      <w:sz w:val="21"/>
      <w:szCs w:val="21"/>
      <w:lang w:val="en-AU"/>
    </w:rPr>
  </w:style>
  <w:style w:type="paragraph" w:styleId="TOC5">
    <w:name w:val="toc 5"/>
    <w:basedOn w:val="Normal"/>
    <w:next w:val="Normal"/>
    <w:autoRedefine/>
    <w:uiPriority w:val="39"/>
    <w:semiHidden/>
    <w:unhideWhenUsed/>
    <w:rsid w:val="00870C3F"/>
    <w:pPr>
      <w:suppressAutoHyphens w:val="0"/>
      <w:spacing w:before="240" w:after="0" w:line="259" w:lineRule="auto"/>
      <w:ind w:left="840"/>
    </w:pPr>
    <w:rPr>
      <w:rFonts w:ascii="Arial" w:eastAsia="Times New Roman" w:hAnsi="Arial" w:cs="Times New Roman"/>
      <w:color w:val="auto"/>
      <w:sz w:val="21"/>
      <w:szCs w:val="24"/>
    </w:rPr>
  </w:style>
  <w:style w:type="paragraph" w:styleId="TOC6">
    <w:name w:val="toc 6"/>
    <w:basedOn w:val="Normal"/>
    <w:next w:val="Normal"/>
    <w:autoRedefine/>
    <w:uiPriority w:val="39"/>
    <w:semiHidden/>
    <w:unhideWhenUsed/>
    <w:rsid w:val="00870C3F"/>
    <w:pPr>
      <w:suppressAutoHyphens w:val="0"/>
      <w:spacing w:before="240" w:after="0" w:line="259" w:lineRule="auto"/>
      <w:ind w:left="1050"/>
    </w:pPr>
    <w:rPr>
      <w:rFonts w:ascii="Arial" w:eastAsia="Times New Roman" w:hAnsi="Arial" w:cs="Times New Roman"/>
      <w:color w:val="auto"/>
      <w:sz w:val="21"/>
      <w:szCs w:val="24"/>
    </w:rPr>
  </w:style>
  <w:style w:type="paragraph" w:styleId="TOC7">
    <w:name w:val="toc 7"/>
    <w:basedOn w:val="Normal"/>
    <w:next w:val="Normal"/>
    <w:autoRedefine/>
    <w:uiPriority w:val="39"/>
    <w:semiHidden/>
    <w:unhideWhenUsed/>
    <w:rsid w:val="00870C3F"/>
    <w:pPr>
      <w:suppressAutoHyphens w:val="0"/>
      <w:spacing w:before="240" w:after="0" w:line="259" w:lineRule="auto"/>
      <w:ind w:left="1260"/>
    </w:pPr>
    <w:rPr>
      <w:rFonts w:ascii="Arial" w:eastAsia="Times New Roman" w:hAnsi="Arial" w:cs="Times New Roman"/>
      <w:color w:val="auto"/>
      <w:sz w:val="21"/>
      <w:szCs w:val="24"/>
    </w:rPr>
  </w:style>
  <w:style w:type="paragraph" w:styleId="TOC8">
    <w:name w:val="toc 8"/>
    <w:basedOn w:val="Normal"/>
    <w:next w:val="Normal"/>
    <w:autoRedefine/>
    <w:uiPriority w:val="39"/>
    <w:semiHidden/>
    <w:unhideWhenUsed/>
    <w:rsid w:val="00870C3F"/>
    <w:pPr>
      <w:suppressAutoHyphens w:val="0"/>
      <w:spacing w:before="240" w:after="0" w:line="259" w:lineRule="auto"/>
      <w:ind w:left="1470"/>
    </w:pPr>
    <w:rPr>
      <w:rFonts w:ascii="Arial" w:eastAsia="Times New Roman" w:hAnsi="Arial" w:cs="Times New Roman"/>
      <w:color w:val="auto"/>
      <w:sz w:val="21"/>
      <w:szCs w:val="24"/>
    </w:rPr>
  </w:style>
  <w:style w:type="paragraph" w:styleId="TOC9">
    <w:name w:val="toc 9"/>
    <w:basedOn w:val="Normal"/>
    <w:next w:val="Normal"/>
    <w:autoRedefine/>
    <w:uiPriority w:val="39"/>
    <w:semiHidden/>
    <w:unhideWhenUsed/>
    <w:rsid w:val="00870C3F"/>
    <w:pPr>
      <w:suppressAutoHyphens w:val="0"/>
      <w:spacing w:before="240" w:after="0" w:line="259" w:lineRule="auto"/>
      <w:ind w:left="1680"/>
    </w:pPr>
    <w:rPr>
      <w:rFonts w:ascii="Arial" w:eastAsia="Times New Roman" w:hAnsi="Arial" w:cs="Times New Roman"/>
      <w:color w:val="auto"/>
      <w:sz w:val="21"/>
      <w:szCs w:val="24"/>
    </w:rPr>
  </w:style>
  <w:style w:type="character" w:customStyle="1" w:styleId="FootnoteTextChar1">
    <w:name w:val="Footnote Text Char1"/>
    <w:aliases w:val="(NECG) Footnote Text Char1,DTE-Voetnoottekst Char1,ALTS FOOTNOTE Char1,Footnote Text Char Char Char Char1,Footnote Text Char1 Char Char Char1,Footnote Text Char Char Char Char Char Char1,Footnote Text Char Char1 Char Char Char1"/>
    <w:basedOn w:val="DefaultParagraphFont"/>
    <w:uiPriority w:val="99"/>
    <w:semiHidden/>
    <w:rsid w:val="00870C3F"/>
    <w:rPr>
      <w:rFonts w:ascii="Arial" w:eastAsia="Times New Roman" w:hAnsi="Arial" w:cs="Times New Roman"/>
      <w:color w:val="auto"/>
      <w:sz w:val="20"/>
      <w:szCs w:val="20"/>
    </w:rPr>
  </w:style>
  <w:style w:type="paragraph" w:styleId="CommentText">
    <w:name w:val="annotation text"/>
    <w:basedOn w:val="Normal"/>
    <w:link w:val="CommentTextChar"/>
    <w:uiPriority w:val="99"/>
    <w:semiHidden/>
    <w:unhideWhenUsed/>
    <w:rsid w:val="00870C3F"/>
    <w:pPr>
      <w:suppressAutoHyphens w:val="0"/>
      <w:spacing w:before="240" w:after="0" w:line="240" w:lineRule="auto"/>
    </w:pPr>
    <w:rPr>
      <w:rFonts w:ascii="Arial" w:eastAsia="Times New Roman" w:hAnsi="Arial" w:cs="Times New Roman"/>
      <w:color w:val="auto"/>
      <w:sz w:val="20"/>
      <w:szCs w:val="20"/>
    </w:rPr>
  </w:style>
  <w:style w:type="character" w:customStyle="1" w:styleId="CommentTextChar">
    <w:name w:val="Comment Text Char"/>
    <w:basedOn w:val="DefaultParagraphFont"/>
    <w:link w:val="CommentText"/>
    <w:uiPriority w:val="99"/>
    <w:semiHidden/>
    <w:rsid w:val="00870C3F"/>
    <w:rPr>
      <w:rFonts w:ascii="Arial" w:eastAsia="Times New Roman" w:hAnsi="Arial" w:cs="Times New Roman"/>
      <w:color w:val="auto"/>
      <w:sz w:val="20"/>
      <w:szCs w:val="20"/>
    </w:rPr>
  </w:style>
  <w:style w:type="character" w:customStyle="1" w:styleId="CaptionChar">
    <w:name w:val="Caption Char"/>
    <w:link w:val="Caption"/>
    <w:uiPriority w:val="35"/>
    <w:locked/>
    <w:rsid w:val="00870C3F"/>
    <w:rPr>
      <w:rFonts w:asciiTheme="majorHAnsi" w:hAnsiTheme="majorHAnsi"/>
      <w:iCs/>
      <w:caps/>
      <w:sz w:val="16"/>
    </w:rPr>
  </w:style>
  <w:style w:type="paragraph" w:styleId="ListBullet">
    <w:name w:val="List Bullet"/>
    <w:basedOn w:val="Normal"/>
    <w:uiPriority w:val="99"/>
    <w:semiHidden/>
    <w:unhideWhenUsed/>
    <w:qFormat/>
    <w:rsid w:val="00870C3F"/>
    <w:pPr>
      <w:suppressAutoHyphens w:val="0"/>
      <w:spacing w:before="240" w:after="120" w:line="268" w:lineRule="auto"/>
      <w:ind w:left="357" w:hanging="357"/>
    </w:pPr>
    <w:rPr>
      <w:rFonts w:ascii="Arial" w:eastAsia="Times New Roman" w:hAnsi="Arial" w:cs="Times New Roman"/>
      <w:color w:val="auto"/>
      <w:sz w:val="21"/>
      <w:szCs w:val="21"/>
    </w:rPr>
  </w:style>
  <w:style w:type="paragraph" w:styleId="ListNumber">
    <w:name w:val="List Number"/>
    <w:basedOn w:val="Normal"/>
    <w:uiPriority w:val="99"/>
    <w:semiHidden/>
    <w:unhideWhenUsed/>
    <w:qFormat/>
    <w:rsid w:val="00870C3F"/>
    <w:pPr>
      <w:suppressAutoHyphens w:val="0"/>
      <w:spacing w:before="240" w:after="120" w:line="259" w:lineRule="auto"/>
    </w:pPr>
    <w:rPr>
      <w:rFonts w:ascii="Arial" w:eastAsia="Times New Roman" w:hAnsi="Arial" w:cs="Times New Roman"/>
      <w:color w:val="auto"/>
      <w:sz w:val="21"/>
      <w:szCs w:val="24"/>
    </w:rPr>
  </w:style>
  <w:style w:type="paragraph" w:styleId="ListNumber20">
    <w:name w:val="List Number 2"/>
    <w:basedOn w:val="Normal"/>
    <w:uiPriority w:val="99"/>
    <w:semiHidden/>
    <w:unhideWhenUsed/>
    <w:qFormat/>
    <w:rsid w:val="00870C3F"/>
    <w:pPr>
      <w:suppressAutoHyphens w:val="0"/>
      <w:spacing w:before="240" w:after="0" w:line="259" w:lineRule="auto"/>
      <w:contextualSpacing/>
    </w:pPr>
    <w:rPr>
      <w:rFonts w:ascii="Arial" w:eastAsia="Times New Roman" w:hAnsi="Arial" w:cs="Times New Roman"/>
      <w:color w:val="auto"/>
      <w:sz w:val="21"/>
      <w:szCs w:val="24"/>
    </w:rPr>
  </w:style>
  <w:style w:type="paragraph" w:styleId="ListContinue">
    <w:name w:val="List Continue"/>
    <w:aliases w:val="List Bullet Continue"/>
    <w:basedOn w:val="Normal"/>
    <w:semiHidden/>
    <w:unhideWhenUsed/>
    <w:rsid w:val="00870C3F"/>
    <w:pPr>
      <w:numPr>
        <w:ilvl w:val="1"/>
        <w:numId w:val="20"/>
      </w:numPr>
      <w:suppressAutoHyphens w:val="0"/>
      <w:spacing w:before="120" w:after="120" w:line="264" w:lineRule="auto"/>
    </w:pPr>
    <w:rPr>
      <w:rFonts w:ascii="Arial" w:eastAsiaTheme="minorEastAsia" w:hAnsi="Arial" w:cs="Times New Roman"/>
      <w:color w:val="auto"/>
      <w:sz w:val="22"/>
      <w:szCs w:val="22"/>
      <w:lang w:eastAsia="en-AU"/>
    </w:rPr>
  </w:style>
  <w:style w:type="paragraph" w:styleId="ListContinue2">
    <w:name w:val="List Continue 2"/>
    <w:basedOn w:val="Normal"/>
    <w:semiHidden/>
    <w:unhideWhenUsed/>
    <w:rsid w:val="00870C3F"/>
    <w:pPr>
      <w:numPr>
        <w:ilvl w:val="2"/>
        <w:numId w:val="20"/>
      </w:numPr>
      <w:suppressAutoHyphens w:val="0"/>
      <w:spacing w:before="120" w:after="120" w:line="264" w:lineRule="auto"/>
    </w:pPr>
    <w:rPr>
      <w:rFonts w:ascii="Arial" w:eastAsiaTheme="minorEastAsia" w:hAnsi="Arial" w:cs="Times New Roman"/>
      <w:color w:val="auto"/>
      <w:sz w:val="22"/>
      <w:szCs w:val="22"/>
      <w:lang w:eastAsia="en-AU"/>
    </w:rPr>
  </w:style>
  <w:style w:type="paragraph" w:styleId="ListContinue3">
    <w:name w:val="List Continue 3"/>
    <w:basedOn w:val="Normal"/>
    <w:semiHidden/>
    <w:unhideWhenUsed/>
    <w:rsid w:val="00870C3F"/>
    <w:pPr>
      <w:numPr>
        <w:ilvl w:val="3"/>
        <w:numId w:val="20"/>
      </w:numPr>
      <w:suppressAutoHyphens w:val="0"/>
      <w:spacing w:before="120" w:after="120" w:line="264" w:lineRule="auto"/>
    </w:pPr>
    <w:rPr>
      <w:rFonts w:ascii="Arial" w:eastAsiaTheme="minorEastAsia" w:hAnsi="Arial" w:cs="Times New Roman"/>
      <w:color w:val="auto"/>
      <w:sz w:val="22"/>
      <w:szCs w:val="22"/>
      <w:lang w:eastAsia="en-AU"/>
    </w:rPr>
  </w:style>
  <w:style w:type="paragraph" w:styleId="CommentSubject">
    <w:name w:val="annotation subject"/>
    <w:basedOn w:val="CommentText"/>
    <w:next w:val="CommentText"/>
    <w:link w:val="CommentSubjectChar"/>
    <w:uiPriority w:val="99"/>
    <w:semiHidden/>
    <w:unhideWhenUsed/>
    <w:rsid w:val="00870C3F"/>
    <w:rPr>
      <w:b/>
      <w:bCs/>
    </w:rPr>
  </w:style>
  <w:style w:type="character" w:customStyle="1" w:styleId="CommentSubjectChar">
    <w:name w:val="Comment Subject Char"/>
    <w:basedOn w:val="CommentTextChar"/>
    <w:link w:val="CommentSubject"/>
    <w:uiPriority w:val="99"/>
    <w:semiHidden/>
    <w:rsid w:val="00870C3F"/>
    <w:rPr>
      <w:rFonts w:ascii="Arial" w:eastAsia="Times New Roman" w:hAnsi="Arial" w:cs="Times New Roman"/>
      <w:b/>
      <w:bCs/>
      <w:color w:val="auto"/>
      <w:sz w:val="20"/>
      <w:szCs w:val="20"/>
    </w:rPr>
  </w:style>
  <w:style w:type="paragraph" w:styleId="BalloonText">
    <w:name w:val="Balloon Text"/>
    <w:basedOn w:val="Normal"/>
    <w:link w:val="BalloonTextChar"/>
    <w:uiPriority w:val="99"/>
    <w:semiHidden/>
    <w:unhideWhenUsed/>
    <w:rsid w:val="00870C3F"/>
    <w:pPr>
      <w:suppressAutoHyphens w:val="0"/>
      <w:spacing w:before="0" w:after="0" w:line="240" w:lineRule="auto"/>
    </w:pPr>
    <w:rPr>
      <w:rFonts w:ascii="Times New Roman" w:eastAsia="Times New Roman" w:hAnsi="Times New Roman" w:cs="Times New Roman"/>
      <w:color w:val="auto"/>
    </w:rPr>
  </w:style>
  <w:style w:type="character" w:customStyle="1" w:styleId="BalloonTextChar">
    <w:name w:val="Balloon Text Char"/>
    <w:basedOn w:val="DefaultParagraphFont"/>
    <w:link w:val="BalloonText"/>
    <w:uiPriority w:val="99"/>
    <w:semiHidden/>
    <w:rsid w:val="00870C3F"/>
    <w:rPr>
      <w:rFonts w:ascii="Times New Roman" w:eastAsia="Times New Roman" w:hAnsi="Times New Roman" w:cs="Times New Roman"/>
      <w:color w:val="auto"/>
    </w:rPr>
  </w:style>
  <w:style w:type="character" w:customStyle="1" w:styleId="ListParagraphChar">
    <w:name w:val="List Paragraph Char"/>
    <w:aliases w:val="List Bullet Cab Char,CAB - List Bullet Char,Bullet Point Char,Bullet point Char,L Char,List Paragraph1 Char,List Paragraph11 Char,Recommendation Char,Bulletr List Paragraph Char,Content descriptions Char,FooterText Char,リスト段落 Char"/>
    <w:basedOn w:val="DefaultParagraphFont"/>
    <w:link w:val="ListParagraph"/>
    <w:uiPriority w:val="34"/>
    <w:locked/>
    <w:rsid w:val="00870C3F"/>
    <w:rPr>
      <w:rFonts w:ascii="Arial" w:eastAsia="Times New Roman" w:hAnsi="Arial" w:cs="Times New Roman"/>
      <w:sz w:val="21"/>
    </w:rPr>
  </w:style>
  <w:style w:type="paragraph" w:styleId="ListParagraph">
    <w:name w:val="List Paragraph"/>
    <w:aliases w:val="List Bullet Cab,CAB - List Bullet,Bullet Point,Bullet point,L,List Paragraph1,List Paragraph11,Recommendation,Bulletr List Paragraph,Content descriptions,FooterText,List Bullet 1,List Paragraph2,List Paragraph21,Listeafsnit1,リスト段落,Style 2"/>
    <w:basedOn w:val="Normal"/>
    <w:link w:val="ListParagraphChar"/>
    <w:uiPriority w:val="34"/>
    <w:qFormat/>
    <w:rsid w:val="00870C3F"/>
    <w:pPr>
      <w:suppressAutoHyphens w:val="0"/>
      <w:spacing w:before="240" w:after="0" w:line="259" w:lineRule="auto"/>
      <w:ind w:left="720"/>
      <w:contextualSpacing/>
    </w:pPr>
    <w:rPr>
      <w:rFonts w:ascii="Arial" w:eastAsia="Times New Roman" w:hAnsi="Arial" w:cs="Times New Roman"/>
      <w:sz w:val="21"/>
    </w:rPr>
  </w:style>
  <w:style w:type="paragraph" w:styleId="Quote">
    <w:name w:val="Quote"/>
    <w:basedOn w:val="Normal"/>
    <w:next w:val="Normal"/>
    <w:link w:val="QuoteChar"/>
    <w:qFormat/>
    <w:rsid w:val="00870C3F"/>
    <w:pPr>
      <w:suppressAutoHyphens w:val="0"/>
      <w:spacing w:before="200" w:after="160" w:line="264" w:lineRule="auto"/>
      <w:ind w:left="454" w:right="454"/>
    </w:pPr>
    <w:rPr>
      <w:rFonts w:ascii="Arial" w:eastAsia="Times New Roman" w:hAnsi="Arial" w:cs="Times New Roman"/>
      <w:i/>
      <w:iCs/>
      <w:color w:val="auto"/>
      <w:sz w:val="22"/>
      <w:szCs w:val="22"/>
      <w:lang w:eastAsia="en-AU"/>
    </w:rPr>
  </w:style>
  <w:style w:type="character" w:customStyle="1" w:styleId="QuoteChar">
    <w:name w:val="Quote Char"/>
    <w:basedOn w:val="DefaultParagraphFont"/>
    <w:link w:val="Quote"/>
    <w:rsid w:val="00870C3F"/>
    <w:rPr>
      <w:rFonts w:ascii="Arial" w:eastAsia="Times New Roman" w:hAnsi="Arial" w:cs="Times New Roman"/>
      <w:i/>
      <w:iCs/>
      <w:color w:val="auto"/>
      <w:sz w:val="22"/>
      <w:szCs w:val="22"/>
      <w:lang w:eastAsia="en-AU"/>
    </w:rPr>
  </w:style>
  <w:style w:type="paragraph" w:styleId="IntenseQuote">
    <w:name w:val="Intense Quote"/>
    <w:basedOn w:val="Normal"/>
    <w:next w:val="Normal"/>
    <w:link w:val="IntenseQuoteChar"/>
    <w:autoRedefine/>
    <w:uiPriority w:val="30"/>
    <w:qFormat/>
    <w:rsid w:val="00870C3F"/>
    <w:pPr>
      <w:suppressAutoHyphens w:val="0"/>
      <w:spacing w:before="480" w:after="240" w:line="400" w:lineRule="exact"/>
      <w:ind w:right="1134"/>
    </w:pPr>
    <w:rPr>
      <w:rFonts w:ascii="Arial" w:eastAsia="Times New Roman" w:hAnsi="Arial" w:cs="Times New Roman"/>
      <w:iCs/>
      <w:color w:val="358189"/>
      <w:sz w:val="28"/>
      <w:szCs w:val="24"/>
    </w:rPr>
  </w:style>
  <w:style w:type="character" w:customStyle="1" w:styleId="IntenseQuoteChar">
    <w:name w:val="Intense Quote Char"/>
    <w:basedOn w:val="DefaultParagraphFont"/>
    <w:link w:val="IntenseQuote"/>
    <w:uiPriority w:val="30"/>
    <w:rsid w:val="00870C3F"/>
    <w:rPr>
      <w:rFonts w:ascii="Arial" w:eastAsia="Times New Roman" w:hAnsi="Arial" w:cs="Times New Roman"/>
      <w:iCs/>
      <w:color w:val="358189"/>
      <w:sz w:val="28"/>
      <w:szCs w:val="24"/>
    </w:rPr>
  </w:style>
  <w:style w:type="paragraph" w:customStyle="1" w:styleId="PolicyStatement">
    <w:name w:val="PolicyStatement"/>
    <w:basedOn w:val="Normal"/>
    <w:qFormat/>
    <w:rsid w:val="00870C3F"/>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uppressAutoHyphens w:val="0"/>
      <w:spacing w:before="240" w:after="0" w:line="259" w:lineRule="auto"/>
      <w:ind w:left="227" w:right="227"/>
    </w:pPr>
    <w:rPr>
      <w:rFonts w:ascii="Arial" w:eastAsia="Times New Roman" w:hAnsi="Arial" w:cs="Times New Roman"/>
      <w:color w:val="auto"/>
      <w:sz w:val="21"/>
      <w:szCs w:val="24"/>
    </w:rPr>
  </w:style>
  <w:style w:type="paragraph" w:customStyle="1" w:styleId="VisionBox">
    <w:name w:val="VisionBox"/>
    <w:basedOn w:val="Normal"/>
    <w:qFormat/>
    <w:rsid w:val="00870C3F"/>
    <w:pPr>
      <w:pBdr>
        <w:top w:val="single" w:sz="4" w:space="15" w:color="358189"/>
        <w:bottom w:val="single" w:sz="4" w:space="10" w:color="358189"/>
      </w:pBdr>
      <w:suppressAutoHyphens w:val="0"/>
      <w:spacing w:before="360" w:after="360" w:line="340" w:lineRule="exact"/>
    </w:pPr>
    <w:rPr>
      <w:rFonts w:ascii="Arial" w:hAnsi="Arial" w:cs="Times New Roman"/>
      <w:color w:val="358189"/>
      <w:sz w:val="22"/>
      <w:szCs w:val="24"/>
    </w:rPr>
  </w:style>
  <w:style w:type="paragraph" w:customStyle="1" w:styleId="Policystylebullet">
    <w:name w:val="Policy style bullet"/>
    <w:basedOn w:val="PolicyStatement"/>
    <w:qFormat/>
    <w:rsid w:val="00870C3F"/>
    <w:pPr>
      <w:numPr>
        <w:numId w:val="21"/>
      </w:numPr>
    </w:pPr>
  </w:style>
  <w:style w:type="paragraph" w:customStyle="1" w:styleId="Style1">
    <w:name w:val="Style1"/>
    <w:next w:val="Normal"/>
    <w:qFormat/>
    <w:rsid w:val="00870C3F"/>
    <w:pPr>
      <w:pBdr>
        <w:top w:val="single" w:sz="6" w:space="20" w:color="358189"/>
        <w:left w:val="single" w:sz="6" w:space="10" w:color="358189"/>
        <w:bottom w:val="single" w:sz="6" w:space="10" w:color="358189"/>
        <w:right w:val="single" w:sz="6" w:space="10" w:color="358189"/>
      </w:pBdr>
      <w:spacing w:before="0" w:after="240" w:line="259" w:lineRule="auto"/>
      <w:ind w:left="227" w:right="227"/>
    </w:pPr>
    <w:rPr>
      <w:rFonts w:ascii="Arial" w:eastAsia="Times New Roman" w:hAnsi="Arial" w:cs="Arial"/>
      <w:sz w:val="21"/>
      <w:szCs w:val="24"/>
      <w:lang w:val="en"/>
    </w:rPr>
  </w:style>
  <w:style w:type="paragraph" w:customStyle="1" w:styleId="BulletPoint1">
    <w:name w:val="Bullet Point 1"/>
    <w:basedOn w:val="Normal"/>
    <w:qFormat/>
    <w:rsid w:val="00870C3F"/>
    <w:pPr>
      <w:numPr>
        <w:numId w:val="22"/>
      </w:numPr>
      <w:suppressAutoHyphens w:val="0"/>
      <w:spacing w:before="120" w:after="0" w:line="259" w:lineRule="auto"/>
    </w:pPr>
    <w:rPr>
      <w:rFonts w:ascii="Arial" w:eastAsia="Times New Roman" w:hAnsi="Arial" w:cs="Times New Roman"/>
      <w:color w:val="auto"/>
      <w:sz w:val="21"/>
      <w:szCs w:val="22"/>
      <w:lang w:val="en-US"/>
    </w:rPr>
  </w:style>
  <w:style w:type="paragraph" w:customStyle="1" w:styleId="CaptionTable">
    <w:name w:val="Caption_Table"/>
    <w:basedOn w:val="Normal"/>
    <w:next w:val="Normal"/>
    <w:uiPriority w:val="4"/>
    <w:rsid w:val="00870C3F"/>
    <w:pPr>
      <w:keepNext/>
      <w:keepLines/>
      <w:suppressAutoHyphens w:val="0"/>
      <w:spacing w:before="240" w:after="240" w:line="240" w:lineRule="atLeast"/>
      <w:outlineLvl w:val="7"/>
    </w:pPr>
    <w:rPr>
      <w:rFonts w:ascii="Verdana" w:eastAsia="Times New Roman" w:hAnsi="Verdana" w:cs="Times New Roman"/>
      <w:color w:val="000000" w:themeColor="accent6"/>
      <w:sz w:val="17"/>
      <w:szCs w:val="20"/>
    </w:rPr>
  </w:style>
  <w:style w:type="paragraph" w:customStyle="1" w:styleId="CaptionFigure">
    <w:name w:val="Caption_Figure"/>
    <w:basedOn w:val="Normal"/>
    <w:next w:val="Normal"/>
    <w:uiPriority w:val="4"/>
    <w:rsid w:val="00870C3F"/>
    <w:pPr>
      <w:keepNext/>
      <w:keepLines/>
      <w:suppressAutoHyphens w:val="0"/>
      <w:spacing w:before="0" w:after="170" w:line="240" w:lineRule="atLeast"/>
      <w:outlineLvl w:val="6"/>
    </w:pPr>
    <w:rPr>
      <w:rFonts w:ascii="Verdana" w:hAnsi="Verdana"/>
      <w:bCs/>
      <w:color w:val="000000" w:themeColor="accent6"/>
      <w:sz w:val="17"/>
      <w:szCs w:val="22"/>
    </w:rPr>
  </w:style>
  <w:style w:type="paragraph" w:customStyle="1" w:styleId="ListBullet1">
    <w:name w:val="ListBullet1"/>
    <w:basedOn w:val="Normal"/>
    <w:uiPriority w:val="6"/>
    <w:qFormat/>
    <w:rsid w:val="00870C3F"/>
    <w:pPr>
      <w:numPr>
        <w:numId w:val="23"/>
      </w:numPr>
      <w:suppressAutoHyphens w:val="0"/>
      <w:spacing w:before="120" w:after="120" w:line="264" w:lineRule="auto"/>
      <w:jc w:val="both"/>
    </w:pPr>
    <w:rPr>
      <w:rFonts w:cs="Arial"/>
      <w:sz w:val="20"/>
      <w:szCs w:val="22"/>
      <w:lang w:val="en-GB"/>
    </w:rPr>
  </w:style>
  <w:style w:type="paragraph" w:customStyle="1" w:styleId="CalloutBoxcaption">
    <w:name w:val="Callout Box caption"/>
    <w:basedOn w:val="Normal"/>
    <w:uiPriority w:val="11"/>
    <w:rsid w:val="00870C3F"/>
    <w:pPr>
      <w:numPr>
        <w:numId w:val="24"/>
      </w:numPr>
      <w:suppressAutoHyphens w:val="0"/>
      <w:spacing w:before="120" w:after="120" w:line="280" w:lineRule="atLeast"/>
      <w:jc w:val="both"/>
    </w:pPr>
    <w:rPr>
      <w:color w:val="auto"/>
      <w:sz w:val="20"/>
      <w:szCs w:val="20"/>
    </w:rPr>
  </w:style>
  <w:style w:type="paragraph" w:customStyle="1" w:styleId="TableHeading">
    <w:name w:val="Table Heading"/>
    <w:basedOn w:val="Normal"/>
    <w:uiPriority w:val="7"/>
    <w:qFormat/>
    <w:rsid w:val="00870C3F"/>
    <w:pPr>
      <w:suppressAutoHyphens w:val="0"/>
      <w:spacing w:before="100" w:after="100" w:line="264" w:lineRule="auto"/>
    </w:pPr>
    <w:rPr>
      <w:color w:val="FFFFFF" w:themeColor="background1"/>
      <w:sz w:val="20"/>
      <w:szCs w:val="20"/>
    </w:rPr>
  </w:style>
  <w:style w:type="character" w:customStyle="1" w:styleId="TableTextChar">
    <w:name w:val="Table Text Char"/>
    <w:link w:val="TableText"/>
    <w:locked/>
    <w:rsid w:val="00870C3F"/>
    <w:rPr>
      <w:sz w:val="20"/>
      <w:szCs w:val="20"/>
    </w:rPr>
  </w:style>
  <w:style w:type="paragraph" w:customStyle="1" w:styleId="TableText">
    <w:name w:val="Table Text"/>
    <w:basedOn w:val="Normal"/>
    <w:link w:val="TableTextChar"/>
    <w:qFormat/>
    <w:rsid w:val="00870C3F"/>
    <w:pPr>
      <w:suppressAutoHyphens w:val="0"/>
      <w:spacing w:before="100" w:after="100" w:line="264" w:lineRule="auto"/>
    </w:pPr>
    <w:rPr>
      <w:sz w:val="20"/>
      <w:szCs w:val="20"/>
    </w:rPr>
  </w:style>
  <w:style w:type="paragraph" w:customStyle="1" w:styleId="Heading4Numbered">
    <w:name w:val="Heading 4 Numbered"/>
    <w:basedOn w:val="Heading4"/>
    <w:uiPriority w:val="10"/>
    <w:qFormat/>
    <w:rsid w:val="00870C3F"/>
    <w:pPr>
      <w:spacing w:before="360" w:line="340" w:lineRule="atLeast"/>
      <w:ind w:left="1134" w:hanging="1134"/>
    </w:pPr>
    <w:rPr>
      <w:b/>
      <w:color w:val="auto"/>
      <w:sz w:val="28"/>
      <w:szCs w:val="22"/>
      <w:lang w:eastAsia="en-AU"/>
    </w:rPr>
  </w:style>
  <w:style w:type="paragraph" w:customStyle="1" w:styleId="Heading5Numbered">
    <w:name w:val="Heading 5 Numbered"/>
    <w:basedOn w:val="Heading5"/>
    <w:uiPriority w:val="10"/>
    <w:qFormat/>
    <w:rsid w:val="00870C3F"/>
    <w:pPr>
      <w:keepNext w:val="0"/>
      <w:spacing w:before="300" w:after="120" w:line="340" w:lineRule="atLeast"/>
      <w:ind w:left="1418" w:hanging="1418"/>
    </w:pPr>
    <w:rPr>
      <w:rFonts w:asciiTheme="majorHAnsi" w:hAnsiTheme="majorHAnsi"/>
      <w:b/>
      <w:color w:val="auto"/>
      <w:sz w:val="26"/>
      <w:szCs w:val="22"/>
      <w:lang w:eastAsia="en-AU"/>
    </w:rPr>
  </w:style>
  <w:style w:type="paragraph" w:customStyle="1" w:styleId="Heading6Numbered">
    <w:name w:val="Heading 6 Numbered"/>
    <w:basedOn w:val="Heading6"/>
    <w:uiPriority w:val="10"/>
    <w:qFormat/>
    <w:rsid w:val="00870C3F"/>
    <w:pPr>
      <w:keepNext w:val="0"/>
      <w:tabs>
        <w:tab w:val="num" w:pos="360"/>
      </w:tabs>
      <w:spacing w:line="280" w:lineRule="atLeast"/>
    </w:pPr>
    <w:rPr>
      <w:sz w:val="22"/>
      <w:szCs w:val="22"/>
      <w:lang w:eastAsia="en-AU"/>
    </w:rPr>
  </w:style>
  <w:style w:type="paragraph" w:customStyle="1" w:styleId="Heading7Numbered">
    <w:name w:val="Heading 7 Numbered"/>
    <w:basedOn w:val="Heading7"/>
    <w:uiPriority w:val="10"/>
    <w:qFormat/>
    <w:rsid w:val="00870C3F"/>
    <w:pPr>
      <w:tabs>
        <w:tab w:val="num" w:pos="360"/>
      </w:tabs>
      <w:spacing w:line="280" w:lineRule="atLeast"/>
    </w:pPr>
    <w:rPr>
      <w:sz w:val="22"/>
      <w:szCs w:val="22"/>
      <w:lang w:eastAsia="en-AU"/>
    </w:rPr>
  </w:style>
  <w:style w:type="paragraph" w:customStyle="1" w:styleId="ListNumber1">
    <w:name w:val="ListNumber1"/>
    <w:basedOn w:val="Normal"/>
    <w:uiPriority w:val="6"/>
    <w:qFormat/>
    <w:rsid w:val="00870C3F"/>
    <w:pPr>
      <w:numPr>
        <w:numId w:val="25"/>
      </w:numPr>
      <w:suppressAutoHyphens w:val="0"/>
      <w:spacing w:before="120" w:after="120" w:line="264" w:lineRule="auto"/>
      <w:jc w:val="both"/>
    </w:pPr>
    <w:rPr>
      <w:rFonts w:cs="Arial"/>
      <w:sz w:val="20"/>
      <w:szCs w:val="22"/>
      <w:lang w:val="en-GB"/>
    </w:rPr>
  </w:style>
  <w:style w:type="paragraph" w:customStyle="1" w:styleId="ListNumber2">
    <w:name w:val="ListNumber2"/>
    <w:basedOn w:val="ListNumber1"/>
    <w:uiPriority w:val="6"/>
    <w:qFormat/>
    <w:rsid w:val="00870C3F"/>
    <w:pPr>
      <w:numPr>
        <w:ilvl w:val="1"/>
      </w:numPr>
    </w:pPr>
  </w:style>
  <w:style w:type="paragraph" w:customStyle="1" w:styleId="ListNumber3">
    <w:name w:val="ListNumber3"/>
    <w:basedOn w:val="ListNumber2"/>
    <w:uiPriority w:val="6"/>
    <w:qFormat/>
    <w:rsid w:val="00870C3F"/>
    <w:pPr>
      <w:numPr>
        <w:ilvl w:val="2"/>
      </w:numPr>
      <w:tabs>
        <w:tab w:val="clear" w:pos="852"/>
        <w:tab w:val="num" w:pos="568"/>
      </w:tabs>
      <w:ind w:left="568"/>
    </w:pPr>
  </w:style>
  <w:style w:type="paragraph" w:customStyle="1" w:styleId="Source">
    <w:name w:val="Source"/>
    <w:basedOn w:val="Normal"/>
    <w:next w:val="BodyText"/>
    <w:uiPriority w:val="9"/>
    <w:rsid w:val="00870C3F"/>
    <w:pPr>
      <w:suppressAutoHyphens w:val="0"/>
      <w:spacing w:before="120" w:after="360" w:line="280" w:lineRule="atLeast"/>
    </w:pPr>
    <w:rPr>
      <w:i/>
      <w:color w:val="88D6DD" w:themeColor="accent3"/>
      <w:sz w:val="16"/>
      <w:szCs w:val="16"/>
    </w:rPr>
  </w:style>
  <w:style w:type="paragraph" w:customStyle="1" w:styleId="Heading1numbered0">
    <w:name w:val="Heading 1 (numbered)"/>
    <w:basedOn w:val="Heading1"/>
    <w:next w:val="BodyText"/>
    <w:uiPriority w:val="1"/>
    <w:qFormat/>
    <w:rsid w:val="00870C3F"/>
    <w:pPr>
      <w:pageBreakBefore/>
      <w:suppressAutoHyphens w:val="0"/>
      <w:spacing w:before="240" w:after="520" w:line="520" w:lineRule="atLeast"/>
      <w:ind w:right="2552"/>
    </w:pPr>
    <w:rPr>
      <w:b w:val="0"/>
      <w:caps/>
      <w:color w:val="101C3A" w:themeColor="text2"/>
      <w:sz w:val="52"/>
      <w:szCs w:val="52"/>
    </w:rPr>
  </w:style>
  <w:style w:type="paragraph" w:customStyle="1" w:styleId="Heading2numbered0">
    <w:name w:val="Heading 2 (numbered)"/>
    <w:basedOn w:val="Heading1numbered0"/>
    <w:next w:val="BodyText"/>
    <w:uiPriority w:val="1"/>
    <w:qFormat/>
    <w:rsid w:val="00870C3F"/>
    <w:pPr>
      <w:pageBreakBefore w:val="0"/>
      <w:tabs>
        <w:tab w:val="num" w:pos="851"/>
      </w:tabs>
      <w:spacing w:after="240" w:line="264" w:lineRule="auto"/>
      <w:ind w:left="851" w:right="0" w:hanging="851"/>
    </w:pPr>
    <w:rPr>
      <w:b/>
      <w:caps w:val="0"/>
      <w:color w:val="88D6DD" w:themeColor="accent3"/>
      <w:sz w:val="28"/>
    </w:rPr>
  </w:style>
  <w:style w:type="paragraph" w:customStyle="1" w:styleId="Heading3numbered0">
    <w:name w:val="Heading 3 (numbered)"/>
    <w:basedOn w:val="Heading2numbered0"/>
    <w:next w:val="BodyText"/>
    <w:uiPriority w:val="1"/>
    <w:qFormat/>
    <w:rsid w:val="00870C3F"/>
    <w:rPr>
      <w:sz w:val="24"/>
    </w:rPr>
  </w:style>
  <w:style w:type="character" w:customStyle="1" w:styleId="TableBodyTextChar">
    <w:name w:val="Table Body Text Char"/>
    <w:basedOn w:val="BodyTextChar"/>
    <w:link w:val="TableBodyText"/>
    <w:locked/>
    <w:rsid w:val="00870C3F"/>
    <w:rPr>
      <w:rFonts w:cs="Arial"/>
      <w:sz w:val="22"/>
      <w:szCs w:val="22"/>
      <w:lang w:eastAsia="en-AU"/>
    </w:rPr>
  </w:style>
  <w:style w:type="paragraph" w:customStyle="1" w:styleId="TableBodyText">
    <w:name w:val="Table Body Text"/>
    <w:basedOn w:val="BodyText"/>
    <w:link w:val="TableBodyTextChar"/>
    <w:qFormat/>
    <w:rsid w:val="00870C3F"/>
    <w:pPr>
      <w:tabs>
        <w:tab w:val="left" w:pos="2268"/>
        <w:tab w:val="left" w:pos="4536"/>
        <w:tab w:val="left" w:pos="6804"/>
        <w:tab w:val="right" w:pos="9638"/>
      </w:tabs>
      <w:spacing w:before="60" w:after="60" w:line="240" w:lineRule="auto"/>
      <w:jc w:val="left"/>
    </w:pPr>
    <w:rPr>
      <w:rFonts w:cs="Arial"/>
      <w:sz w:val="22"/>
      <w:szCs w:val="22"/>
      <w:lang w:eastAsia="en-AU"/>
    </w:rPr>
  </w:style>
  <w:style w:type="character" w:customStyle="1" w:styleId="List2bulletChar">
    <w:name w:val="List 2 bullet Char"/>
    <w:basedOn w:val="DefaultParagraphFont"/>
    <w:link w:val="List2bullet"/>
    <w:locked/>
    <w:rsid w:val="00870C3F"/>
    <w:rPr>
      <w:rFonts w:ascii="Arial" w:eastAsiaTheme="minorEastAsia" w:hAnsi="Arial" w:cs="Times New Roman"/>
      <w:sz w:val="22"/>
      <w:szCs w:val="22"/>
      <w:lang w:eastAsia="en-AU"/>
    </w:rPr>
  </w:style>
  <w:style w:type="paragraph" w:customStyle="1" w:styleId="List2bullet">
    <w:name w:val="List 2 bullet"/>
    <w:basedOn w:val="ListContinue"/>
    <w:link w:val="List2bulletChar"/>
    <w:qFormat/>
    <w:rsid w:val="00870C3F"/>
    <w:pPr>
      <w:tabs>
        <w:tab w:val="clear" w:pos="568"/>
        <w:tab w:val="left" w:pos="714"/>
      </w:tabs>
      <w:ind w:left="714" w:hanging="357"/>
    </w:pPr>
    <w:rPr>
      <w:color w:val="000000" w:themeColor="text1"/>
    </w:rPr>
  </w:style>
  <w:style w:type="character" w:styleId="CommentReference">
    <w:name w:val="annotation reference"/>
    <w:basedOn w:val="DefaultParagraphFont"/>
    <w:uiPriority w:val="99"/>
    <w:semiHidden/>
    <w:unhideWhenUsed/>
    <w:rsid w:val="00870C3F"/>
    <w:rPr>
      <w:sz w:val="16"/>
      <w:szCs w:val="16"/>
    </w:rPr>
  </w:style>
  <w:style w:type="character" w:styleId="SubtleEmphasis">
    <w:name w:val="Subtle Emphasis"/>
    <w:basedOn w:val="DefaultParagraphFont"/>
    <w:uiPriority w:val="19"/>
    <w:qFormat/>
    <w:rsid w:val="00870C3F"/>
    <w:rPr>
      <w:i/>
      <w:iCs/>
      <w:color w:val="404040" w:themeColor="text1" w:themeTint="BF"/>
    </w:rPr>
  </w:style>
  <w:style w:type="character" w:customStyle="1" w:styleId="BoldAllCaps">
    <w:name w:val="Bold All Caps"/>
    <w:basedOn w:val="DefaultParagraphFont"/>
    <w:uiPriority w:val="1"/>
    <w:qFormat/>
    <w:rsid w:val="00870C3F"/>
    <w:rPr>
      <w:b/>
      <w:bCs w:val="0"/>
      <w:caps/>
      <w:smallCaps w:val="0"/>
      <w:color w:val="358189"/>
      <w:bdr w:val="none" w:sz="0" w:space="0" w:color="auto" w:frame="1"/>
    </w:rPr>
  </w:style>
  <w:style w:type="character" w:customStyle="1" w:styleId="Bold">
    <w:name w:val="Bold"/>
    <w:uiPriority w:val="8"/>
    <w:rsid w:val="00870C3F"/>
    <w:rPr>
      <w:b/>
      <w:bCs w:val="0"/>
    </w:rPr>
  </w:style>
  <w:style w:type="character" w:customStyle="1" w:styleId="Superscript">
    <w:name w:val="Superscript"/>
    <w:uiPriority w:val="99"/>
    <w:rsid w:val="00870C3F"/>
    <w:rPr>
      <w:vertAlign w:val="superscript"/>
    </w:rPr>
  </w:style>
  <w:style w:type="character" w:customStyle="1" w:styleId="normaltextrun">
    <w:name w:val="normaltextrun"/>
    <w:basedOn w:val="DefaultParagraphFont"/>
    <w:rsid w:val="00870C3F"/>
  </w:style>
  <w:style w:type="table" w:styleId="GridTable4-Accent3">
    <w:name w:val="Grid Table 4 Accent 3"/>
    <w:basedOn w:val="TableNormal"/>
    <w:uiPriority w:val="49"/>
    <w:rsid w:val="00870C3F"/>
    <w:pPr>
      <w:spacing w:before="0" w:after="0" w:line="240" w:lineRule="auto"/>
    </w:pPr>
    <w:rPr>
      <w:color w:val="auto"/>
      <w:sz w:val="24"/>
      <w:szCs w:val="24"/>
      <w:lang w:val="en-GB"/>
    </w:rPr>
    <w:tblPr>
      <w:tblStyleRowBandSize w:val="1"/>
      <w:tblStyleColBandSize w:val="1"/>
      <w:tblInd w:w="0" w:type="nil"/>
      <w:tblBorders>
        <w:top w:val="single" w:sz="4" w:space="0" w:color="B7E6EA" w:themeColor="accent3" w:themeTint="99"/>
        <w:left w:val="single" w:sz="4" w:space="0" w:color="B7E6EA" w:themeColor="accent3" w:themeTint="99"/>
        <w:bottom w:val="single" w:sz="4" w:space="0" w:color="B7E6EA" w:themeColor="accent3" w:themeTint="99"/>
        <w:right w:val="single" w:sz="4" w:space="0" w:color="B7E6EA" w:themeColor="accent3" w:themeTint="99"/>
        <w:insideH w:val="single" w:sz="4" w:space="0" w:color="B7E6EA" w:themeColor="accent3" w:themeTint="99"/>
        <w:insideV w:val="single" w:sz="4" w:space="0" w:color="B7E6EA" w:themeColor="accent3" w:themeTint="99"/>
      </w:tblBorders>
    </w:tblPr>
    <w:tblStylePr w:type="firstRow">
      <w:rPr>
        <w:b/>
        <w:bCs/>
        <w:color w:val="FFFFFF" w:themeColor="background1"/>
      </w:rPr>
      <w:tblPr/>
      <w:tcPr>
        <w:tcBorders>
          <w:top w:val="single" w:sz="4" w:space="0" w:color="88D6DD" w:themeColor="accent3"/>
          <w:left w:val="single" w:sz="4" w:space="0" w:color="88D6DD" w:themeColor="accent3"/>
          <w:bottom w:val="single" w:sz="4" w:space="0" w:color="88D6DD" w:themeColor="accent3"/>
          <w:right w:val="single" w:sz="4" w:space="0" w:color="88D6DD" w:themeColor="accent3"/>
          <w:insideH w:val="nil"/>
          <w:insideV w:val="nil"/>
        </w:tcBorders>
        <w:shd w:val="clear" w:color="auto" w:fill="88D6DD" w:themeFill="accent3"/>
      </w:tcPr>
    </w:tblStylePr>
    <w:tblStylePr w:type="lastRow">
      <w:rPr>
        <w:b/>
        <w:bCs/>
      </w:rPr>
      <w:tblPr/>
      <w:tcPr>
        <w:tcBorders>
          <w:top w:val="double" w:sz="4" w:space="0" w:color="88D6DD" w:themeColor="accent3"/>
        </w:tcBorders>
      </w:tcPr>
    </w:tblStylePr>
    <w:tblStylePr w:type="firstCol">
      <w:rPr>
        <w:b/>
        <w:bCs/>
      </w:rPr>
    </w:tblStylePr>
    <w:tblStylePr w:type="lastCol">
      <w:rPr>
        <w:b/>
        <w:bCs/>
      </w:rPr>
    </w:tblStylePr>
    <w:tblStylePr w:type="band1Vert">
      <w:tblPr/>
      <w:tcPr>
        <w:shd w:val="clear" w:color="auto" w:fill="E7F6F8" w:themeFill="accent3" w:themeFillTint="33"/>
      </w:tcPr>
    </w:tblStylePr>
    <w:tblStylePr w:type="band1Horz">
      <w:tblPr/>
      <w:tcPr>
        <w:shd w:val="clear" w:color="auto" w:fill="E7F6F8" w:themeFill="accent3" w:themeFillTint="33"/>
      </w:tcPr>
    </w:tblStylePr>
  </w:style>
  <w:style w:type="table" w:styleId="GridTable5Dark-Accent3">
    <w:name w:val="Grid Table 5 Dark Accent 3"/>
    <w:basedOn w:val="TableNormal"/>
    <w:uiPriority w:val="50"/>
    <w:rsid w:val="00870C3F"/>
    <w:pPr>
      <w:spacing w:before="0" w:after="0" w:line="240" w:lineRule="auto"/>
    </w:pPr>
    <w:rPr>
      <w:rFonts w:eastAsiaTheme="minorEastAsia"/>
      <w:color w:val="auto"/>
      <w:sz w:val="22"/>
      <w:szCs w:val="22"/>
      <w:lang w:val="en-GB"/>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6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6D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6D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6D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6DD" w:themeFill="accent3"/>
      </w:tcPr>
    </w:tblStylePr>
    <w:tblStylePr w:type="band1Vert">
      <w:tblPr/>
      <w:tcPr>
        <w:shd w:val="clear" w:color="auto" w:fill="CFEEF1" w:themeFill="accent3" w:themeFillTint="66"/>
      </w:tcPr>
    </w:tblStylePr>
    <w:tblStylePr w:type="band1Horz">
      <w:tblPr/>
      <w:tcPr>
        <w:shd w:val="clear" w:color="auto" w:fill="CFEEF1" w:themeFill="accent3" w:themeFillTint="66"/>
      </w:tcPr>
    </w:tblStylePr>
  </w:style>
  <w:style w:type="table" w:styleId="ListTable3-Accent3">
    <w:name w:val="List Table 3 Accent 3"/>
    <w:basedOn w:val="TableNormal"/>
    <w:uiPriority w:val="48"/>
    <w:rsid w:val="00870C3F"/>
    <w:pPr>
      <w:spacing w:before="0" w:after="0" w:line="240" w:lineRule="auto"/>
    </w:pPr>
    <w:rPr>
      <w:color w:val="auto"/>
      <w:sz w:val="24"/>
      <w:szCs w:val="24"/>
      <w:lang w:val="en-GB"/>
    </w:rPr>
    <w:tblPr>
      <w:tblStyleRowBandSize w:val="1"/>
      <w:tblStyleColBandSize w:val="1"/>
      <w:tblInd w:w="0" w:type="nil"/>
      <w:tblBorders>
        <w:top w:val="single" w:sz="4" w:space="0" w:color="88D6DD" w:themeColor="accent3"/>
        <w:left w:val="single" w:sz="4" w:space="0" w:color="88D6DD" w:themeColor="accent3"/>
        <w:bottom w:val="single" w:sz="4" w:space="0" w:color="88D6DD" w:themeColor="accent3"/>
        <w:right w:val="single" w:sz="4" w:space="0" w:color="88D6DD" w:themeColor="accent3"/>
      </w:tblBorders>
    </w:tblPr>
    <w:tblStylePr w:type="firstRow">
      <w:rPr>
        <w:b/>
        <w:bCs/>
        <w:color w:val="FFFFFF" w:themeColor="background1"/>
      </w:rPr>
      <w:tblPr/>
      <w:tcPr>
        <w:shd w:val="clear" w:color="auto" w:fill="88D6DD" w:themeFill="accent3"/>
      </w:tcPr>
    </w:tblStylePr>
    <w:tblStylePr w:type="lastRow">
      <w:rPr>
        <w:b/>
        <w:bCs/>
      </w:rPr>
      <w:tblPr/>
      <w:tcPr>
        <w:tcBorders>
          <w:top w:val="double" w:sz="4" w:space="0" w:color="88D6D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6DD" w:themeColor="accent3"/>
          <w:right w:val="single" w:sz="4" w:space="0" w:color="88D6DD" w:themeColor="accent3"/>
        </w:tcBorders>
      </w:tcPr>
    </w:tblStylePr>
    <w:tblStylePr w:type="band1Horz">
      <w:tblPr/>
      <w:tcPr>
        <w:tcBorders>
          <w:top w:val="single" w:sz="4" w:space="0" w:color="88D6DD" w:themeColor="accent3"/>
          <w:bottom w:val="single" w:sz="4" w:space="0" w:color="88D6D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6DD" w:themeColor="accent3"/>
          <w:left w:val="nil"/>
        </w:tcBorders>
      </w:tcPr>
    </w:tblStylePr>
    <w:tblStylePr w:type="swCell">
      <w:tblPr/>
      <w:tcPr>
        <w:tcBorders>
          <w:top w:val="double" w:sz="4" w:space="0" w:color="88D6DD" w:themeColor="accent3"/>
          <w:right w:val="nil"/>
        </w:tcBorders>
      </w:tcPr>
    </w:tblStylePr>
  </w:style>
  <w:style w:type="table" w:customStyle="1" w:styleId="FETableStyle">
    <w:name w:val="FE Table Style"/>
    <w:basedOn w:val="TableNormal"/>
    <w:uiPriority w:val="99"/>
    <w:rsid w:val="00517FA0"/>
    <w:pPr>
      <w:spacing w:before="120" w:after="120" w:line="240" w:lineRule="auto"/>
    </w:pPr>
    <w:rPr>
      <w:color w:val="auto"/>
      <w:sz w:val="20"/>
      <w:szCs w:val="20"/>
      <w:lang w:val="en-GB"/>
    </w:rPr>
    <w:tblPr>
      <w:tblStyleRowBandSize w:val="1"/>
      <w:tblStyleColBandSize w:val="1"/>
      <w:tblInd w:w="0" w:type="nil"/>
      <w:tblBorders>
        <w:top w:val="single" w:sz="4" w:space="0" w:color="FFFFFF" w:themeColor="background1"/>
        <w:bottom w:val="single" w:sz="4" w:space="0" w:color="FFFFFF" w:themeColor="background1"/>
        <w:insideH w:val="single" w:sz="4" w:space="0" w:color="FFFFFF" w:themeColor="background1"/>
      </w:tblBorders>
    </w:tblPr>
    <w:tcPr>
      <w:vAlign w:val="center"/>
    </w:tcPr>
    <w:tblStylePr w:type="firstRow">
      <w:pPr>
        <w:jc w:val="left"/>
      </w:pPr>
      <w:rPr>
        <w:rFonts w:asciiTheme="majorHAnsi" w:hAnsiTheme="majorHAnsi" w:cs="Calibri Light" w:hint="default"/>
        <w:b/>
        <w:i w:val="0"/>
        <w:caps/>
        <w:smallCaps w:val="0"/>
        <w:strike w:val="0"/>
        <w:dstrike w:val="0"/>
        <w:vanish w:val="0"/>
        <w:webHidden w:val="0"/>
        <w:color w:val="000000" w:themeColor="text1"/>
        <w:sz w:val="20"/>
        <w:szCs w:val="20"/>
        <w:u w:val="none"/>
        <w:effect w:val="none"/>
        <w:specVanish w:val="0"/>
      </w:rPr>
      <w:tblPr/>
      <w:tcPr>
        <w:tcBorders>
          <w:top w:val="nil"/>
          <w:left w:val="nil"/>
          <w:bottom w:val="nil"/>
          <w:right w:val="nil"/>
          <w:insideH w:val="nil"/>
          <w:insideV w:val="nil"/>
          <w:tl2br w:val="nil"/>
          <w:tr2bl w:val="nil"/>
        </w:tcBorders>
        <w:shd w:val="clear" w:color="auto" w:fill="88D6DD" w:themeFill="accent3"/>
        <w:vAlign w:val="bottom"/>
      </w:tcPr>
    </w:tblStylePr>
    <w:tblStylePr w:type="lastRow">
      <w:rPr>
        <w:rFonts w:asciiTheme="minorHAnsi" w:hAnsiTheme="minorHAnsi" w:cs="Calibri" w:hint="default"/>
        <w:sz w:val="22"/>
        <w:szCs w:val="22"/>
      </w:rPr>
    </w:tblStylePr>
    <w:tblStylePr w:type="firstCol">
      <w:rPr>
        <w:rFonts w:asciiTheme="majorHAnsi" w:hAnsiTheme="majorHAnsi" w:cs="Calibri Light" w:hint="default"/>
        <w:b/>
        <w:i w:val="0"/>
        <w:caps/>
        <w:smallCaps w:val="0"/>
        <w:color w:val="FFFFFF" w:themeColor="background1"/>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101C3A" w:themeFill="accent1"/>
      </w:tcPr>
    </w:tblStylePr>
    <w:tblStylePr w:type="band2Vert">
      <w:rPr>
        <w:color w:val="auto"/>
      </w:rPr>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PullOutBoxTable">
    <w:name w:val="Pull Out Box Table"/>
    <w:basedOn w:val="TableNormal"/>
    <w:uiPriority w:val="99"/>
    <w:rsid w:val="00870C3F"/>
    <w:pPr>
      <w:spacing w:before="0" w:after="0" w:line="240" w:lineRule="auto"/>
    </w:pPr>
    <w:rPr>
      <w:rFonts w:eastAsia="Times New Roman" w:cs="Times New Roman"/>
      <w:color w:val="auto"/>
      <w:sz w:val="22"/>
      <w:szCs w:val="22"/>
      <w:lang w:val="en-GB" w:eastAsia="en-AU"/>
    </w:rPr>
    <w:tblPr>
      <w:tblInd w:w="0" w:type="nil"/>
      <w:tblCellMar>
        <w:top w:w="142" w:type="dxa"/>
        <w:left w:w="170" w:type="dxa"/>
        <w:bottom w:w="142" w:type="dxa"/>
        <w:right w:w="170" w:type="dxa"/>
      </w:tblCellMar>
    </w:tblPr>
    <w:tcPr>
      <w:shd w:val="clear" w:color="auto" w:fill="EBEAE8" w:themeFill="background2"/>
    </w:tcPr>
  </w:style>
  <w:style w:type="character" w:customStyle="1" w:styleId="UnresolvedMention1">
    <w:name w:val="Unresolved Mention1"/>
    <w:basedOn w:val="DefaultParagraphFont"/>
    <w:uiPriority w:val="99"/>
    <w:semiHidden/>
    <w:unhideWhenUsed/>
    <w:rsid w:val="00A57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223574">
      <w:bodyDiv w:val="1"/>
      <w:marLeft w:val="0"/>
      <w:marRight w:val="0"/>
      <w:marTop w:val="0"/>
      <w:marBottom w:val="0"/>
      <w:divBdr>
        <w:top w:val="none" w:sz="0" w:space="0" w:color="auto"/>
        <w:left w:val="none" w:sz="0" w:space="0" w:color="auto"/>
        <w:bottom w:val="none" w:sz="0" w:space="0" w:color="auto"/>
        <w:right w:val="none" w:sz="0" w:space="0" w:color="auto"/>
      </w:divBdr>
    </w:div>
    <w:div w:id="196195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legislation.gov.au/Details/C2019C00070" TargetMode="External"/><Relationship Id="rId20" Type="http://schemas.openxmlformats.org/officeDocument/2006/relationships/hyperlink" Target="mailto:policy@sportintegrity.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olicy@sportintegrity.gov.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policy@sportintegrity.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5.austlii.edu.au/au/legis/vic/consol_act/gra2003190/s4.5.24.html" TargetMode="External"/><Relationship Id="rId3" Type="http://schemas.openxmlformats.org/officeDocument/2006/relationships/hyperlink" Target="https://www.coe.int/en/web/conventions/full-list/-/conventions/treaty/215" TargetMode="External"/><Relationship Id="rId7" Type="http://schemas.openxmlformats.org/officeDocument/2006/relationships/hyperlink" Target="https://www.bbc.com/news/world-asia-pacific-12936084" TargetMode="External"/><Relationship Id="rId2" Type="http://schemas.openxmlformats.org/officeDocument/2006/relationships/hyperlink" Target="https://www.liquorandgaming.nsw.gov.au/operating-a-business/gaming-licences/gaming-licences-permits/sports-wagering-in-nsw" TargetMode="External"/><Relationship Id="rId1" Type="http://schemas.openxmlformats.org/officeDocument/2006/relationships/hyperlink" Target="https://www.vcglr.vic.gov.au/gambling/wagering-and-sports-betting/sports-controlling-bodies" TargetMode="External"/><Relationship Id="rId6" Type="http://schemas.openxmlformats.org/officeDocument/2006/relationships/hyperlink" Target="https://www.latimes.com/world/asia/la-fg-taiwan-baseball-snap-story.html" TargetMode="External"/><Relationship Id="rId5" Type="http://schemas.openxmlformats.org/officeDocument/2006/relationships/hyperlink" Target="https://www.legislation.nsw.gov.au/~/pdf/view/act/1900/40/whole" TargetMode="External"/><Relationship Id="rId4" Type="http://schemas.openxmlformats.org/officeDocument/2006/relationships/hyperlink" Target="https://www.sportaus.gov.au/__data/assets/pdf_file/0009/1012041/Investment-allocation-2021-22-Website-as-at-8-October-202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ayes\OneDrive%20-%20Sports%20Integrity%20Australia\Desktop\SIA%20Report%20Portrait%20Templat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BC030C4CBA44E7BE8B9EE1DB6C4812"/>
        <w:category>
          <w:name w:val="General"/>
          <w:gallery w:val="placeholder"/>
        </w:category>
        <w:types>
          <w:type w:val="bbPlcHdr"/>
        </w:types>
        <w:behaviors>
          <w:behavior w:val="content"/>
        </w:behaviors>
        <w:guid w:val="{812C2C20-0F7E-4CFC-8C95-579E46BB4CAB}"/>
      </w:docPartPr>
      <w:docPartBody>
        <w:p w:rsidR="0030507B" w:rsidRDefault="001C5CD3">
          <w:pPr>
            <w:pStyle w:val="A2BC030C4CBA44E7BE8B9EE1DB6C4812"/>
          </w:pPr>
          <w:r w:rsidRPr="00467B7F">
            <w:rPr>
              <w:rStyle w:val="PlaceholderText"/>
            </w:rPr>
            <w:t>[Status]</w:t>
          </w:r>
        </w:p>
      </w:docPartBody>
    </w:docPart>
    <w:docPart>
      <w:docPartPr>
        <w:name w:val="D2466895586E4088B259BB3D7CB00E56"/>
        <w:category>
          <w:name w:val="General"/>
          <w:gallery w:val="placeholder"/>
        </w:category>
        <w:types>
          <w:type w:val="bbPlcHdr"/>
        </w:types>
        <w:behaviors>
          <w:behavior w:val="content"/>
        </w:behaviors>
        <w:guid w:val="{37A7A70C-EF2E-4787-A67F-355B2A9A24A5}"/>
      </w:docPartPr>
      <w:docPartBody>
        <w:p w:rsidR="0030507B" w:rsidRDefault="001C5CD3">
          <w:pPr>
            <w:pStyle w:val="D2466895586E4088B259BB3D7CB00E56"/>
          </w:pPr>
          <w:r w:rsidRPr="00467B7F">
            <w:rPr>
              <w:rStyle w:val="PlaceholderText"/>
            </w:rPr>
            <w:t>[Title]</w:t>
          </w:r>
        </w:p>
      </w:docPartBody>
    </w:docPart>
    <w:docPart>
      <w:docPartPr>
        <w:name w:val="88BB5B986E3A41CF94365016BC819A48"/>
        <w:category>
          <w:name w:val="General"/>
          <w:gallery w:val="placeholder"/>
        </w:category>
        <w:types>
          <w:type w:val="bbPlcHdr"/>
        </w:types>
        <w:behaviors>
          <w:behavior w:val="content"/>
        </w:behaviors>
        <w:guid w:val="{B3A5A0D4-7746-4B58-8917-A6DF9807869F}"/>
      </w:docPartPr>
      <w:docPartBody>
        <w:p w:rsidR="0030507B" w:rsidRDefault="001C5CD3">
          <w:pPr>
            <w:pStyle w:val="88BB5B986E3A41CF94365016BC819A48"/>
          </w:pPr>
          <w:r w:rsidRPr="00467B7F">
            <w:rPr>
              <w:rStyle w:val="PlaceholderText"/>
            </w:rPr>
            <w:t>[Status]</w:t>
          </w:r>
        </w:p>
      </w:docPartBody>
    </w:docPart>
    <w:docPart>
      <w:docPartPr>
        <w:name w:val="FD3DE85C074C4104849D5F96BD925361"/>
        <w:category>
          <w:name w:val="General"/>
          <w:gallery w:val="placeholder"/>
        </w:category>
        <w:types>
          <w:type w:val="bbPlcHdr"/>
        </w:types>
        <w:behaviors>
          <w:behavior w:val="content"/>
        </w:behaviors>
        <w:guid w:val="{CC7259C1-CF71-4BB1-B2D2-4F171A40FF4C}"/>
      </w:docPartPr>
      <w:docPartBody>
        <w:p w:rsidR="0030507B" w:rsidRDefault="001C5CD3" w:rsidP="001C5CD3">
          <w:pPr>
            <w:pStyle w:val="FD3DE85C074C4104849D5F96BD925361"/>
          </w:pPr>
          <w:r w:rsidRPr="00467B7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rdia New">
    <w:altName w:val="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CD3"/>
    <w:rsid w:val="00115B7D"/>
    <w:rsid w:val="001C5CD3"/>
    <w:rsid w:val="00255107"/>
    <w:rsid w:val="0030507B"/>
    <w:rsid w:val="005B48B1"/>
    <w:rsid w:val="00616676"/>
    <w:rsid w:val="00644BDF"/>
    <w:rsid w:val="00742A43"/>
    <w:rsid w:val="008F4B2D"/>
    <w:rsid w:val="0092642D"/>
    <w:rsid w:val="00BC126E"/>
    <w:rsid w:val="00CB22B9"/>
    <w:rsid w:val="00D328E0"/>
    <w:rsid w:val="00EE075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CD3"/>
    <w:rPr>
      <w:color w:val="808080"/>
    </w:rPr>
  </w:style>
  <w:style w:type="paragraph" w:customStyle="1" w:styleId="A2BC030C4CBA44E7BE8B9EE1DB6C4812">
    <w:name w:val="A2BC030C4CBA44E7BE8B9EE1DB6C4812"/>
  </w:style>
  <w:style w:type="paragraph" w:customStyle="1" w:styleId="D2466895586E4088B259BB3D7CB00E56">
    <w:name w:val="D2466895586E4088B259BB3D7CB00E56"/>
  </w:style>
  <w:style w:type="paragraph" w:customStyle="1" w:styleId="88BB5B986E3A41CF94365016BC819A48">
    <w:name w:val="88BB5B986E3A41CF94365016BC819A48"/>
  </w:style>
  <w:style w:type="paragraph" w:customStyle="1" w:styleId="FD3DE85C074C4104849D5F96BD925361">
    <w:name w:val="FD3DE85C074C4104849D5F96BD925361"/>
    <w:rsid w:val="001C5C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IA 2020 Colours">
      <a:dk1>
        <a:sysClr val="windowText" lastClr="000000"/>
      </a:dk1>
      <a:lt1>
        <a:sysClr val="window" lastClr="FFFFFF"/>
      </a:lt1>
      <a:dk2>
        <a:srgbClr val="101C3A"/>
      </a:dk2>
      <a:lt2>
        <a:srgbClr val="EBEAE8"/>
      </a:lt2>
      <a:accent1>
        <a:srgbClr val="101C3A"/>
      </a:accent1>
      <a:accent2>
        <a:srgbClr val="54959D"/>
      </a:accent2>
      <a:accent3>
        <a:srgbClr val="88D6DD"/>
      </a:accent3>
      <a:accent4>
        <a:srgbClr val="EDE84D"/>
      </a:accent4>
      <a:accent5>
        <a:srgbClr val="BA9538"/>
      </a:accent5>
      <a:accent6>
        <a:srgbClr val="000000"/>
      </a:accent6>
      <a:hlink>
        <a:srgbClr val="0046FF"/>
      </a:hlink>
      <a:folHlink>
        <a:srgbClr val="0046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61224BC960FD479CA8623146722E87" ma:contentTypeVersion="12" ma:contentTypeDescription="Create a new document." ma:contentTypeScope="" ma:versionID="870f32396a37c875ab675305b2f6bb3b">
  <xsd:schema xmlns:xsd="http://www.w3.org/2001/XMLSchema" xmlns:xs="http://www.w3.org/2001/XMLSchema" xmlns:p="http://schemas.microsoft.com/office/2006/metadata/properties" xmlns:ns2="8221f6be-72d8-4bcb-81e2-8e4881166e9e" xmlns:ns3="0d1606b6-897c-4fcb-b4e9-d01cf895a023" targetNamespace="http://schemas.microsoft.com/office/2006/metadata/properties" ma:root="true" ma:fieldsID="3ce491e53f4dc8e83f2d2c6f72dcf4b8" ns2:_="" ns3:_="">
    <xsd:import namespace="8221f6be-72d8-4bcb-81e2-8e4881166e9e"/>
    <xsd:import namespace="0d1606b6-897c-4fcb-b4e9-d01cf895a0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1f6be-72d8-4bcb-81e2-8e4881166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1606b6-897c-4fcb-b4e9-d01cf895a0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C2DCA6-ACF4-4D10-BB32-BA6368CB17A6}">
  <ds:schemaRefs>
    <ds:schemaRef ds:uri="http://schemas.openxmlformats.org/officeDocument/2006/bibliography"/>
  </ds:schemaRefs>
</ds:datastoreItem>
</file>

<file path=customXml/itemProps2.xml><?xml version="1.0" encoding="utf-8"?>
<ds:datastoreItem xmlns:ds="http://schemas.openxmlformats.org/officeDocument/2006/customXml" ds:itemID="{6640C0BF-D153-40F5-B22F-547B44B221B6}">
  <ds:schemaRefs>
    <ds:schemaRef ds:uri="http://schemas.microsoft.com/sharepoint/v3/contenttype/forms"/>
  </ds:schemaRefs>
</ds:datastoreItem>
</file>

<file path=customXml/itemProps3.xml><?xml version="1.0" encoding="utf-8"?>
<ds:datastoreItem xmlns:ds="http://schemas.openxmlformats.org/officeDocument/2006/customXml" ds:itemID="{F8C365B0-1A9C-4BD5-BA0E-FE8F0FA3EA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374FB8-7B77-40BD-9984-03B285EEC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21f6be-72d8-4bcb-81e2-8e4881166e9e"/>
    <ds:schemaRef ds:uri="0d1606b6-897c-4fcb-b4e9-d01cf895a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SIA Report Portrait Template_01</Template>
  <TotalTime>45</TotalTime>
  <Pages>48</Pages>
  <Words>16429</Words>
  <Characters>93646</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Australian Sports Wagering Scheme</vt:lpstr>
    </vt:vector>
  </TitlesOfParts>
  <Company/>
  <LinksUpToDate>false</LinksUpToDate>
  <CharactersWithSpaces>109856</CharactersWithSpaces>
  <SharedDoc>false</SharedDoc>
  <HLinks>
    <vt:vector size="282" baseType="variant">
      <vt:variant>
        <vt:i4>4522047</vt:i4>
      </vt:variant>
      <vt:variant>
        <vt:i4>354</vt:i4>
      </vt:variant>
      <vt:variant>
        <vt:i4>0</vt:i4>
      </vt:variant>
      <vt:variant>
        <vt:i4>5</vt:i4>
      </vt:variant>
      <vt:variant>
        <vt:lpwstr>mailto:policy@sportintegrity.gov.au</vt:lpwstr>
      </vt:variant>
      <vt:variant>
        <vt:lpwstr/>
      </vt:variant>
      <vt:variant>
        <vt:i4>4522047</vt:i4>
      </vt:variant>
      <vt:variant>
        <vt:i4>351</vt:i4>
      </vt:variant>
      <vt:variant>
        <vt:i4>0</vt:i4>
      </vt:variant>
      <vt:variant>
        <vt:i4>5</vt:i4>
      </vt:variant>
      <vt:variant>
        <vt:lpwstr>mailto:policy@sportintegrity.gov.au</vt:lpwstr>
      </vt:variant>
      <vt:variant>
        <vt:lpwstr/>
      </vt:variant>
      <vt:variant>
        <vt:i4>7929889</vt:i4>
      </vt:variant>
      <vt:variant>
        <vt:i4>243</vt:i4>
      </vt:variant>
      <vt:variant>
        <vt:i4>0</vt:i4>
      </vt:variant>
      <vt:variant>
        <vt:i4>5</vt:i4>
      </vt:variant>
      <vt:variant>
        <vt:lpwstr>https://www.legislation.gov.au/Details/C2019C00070</vt:lpwstr>
      </vt:variant>
      <vt:variant>
        <vt:lpwstr/>
      </vt:variant>
      <vt:variant>
        <vt:i4>4522047</vt:i4>
      </vt:variant>
      <vt:variant>
        <vt:i4>219</vt:i4>
      </vt:variant>
      <vt:variant>
        <vt:i4>0</vt:i4>
      </vt:variant>
      <vt:variant>
        <vt:i4>5</vt:i4>
      </vt:variant>
      <vt:variant>
        <vt:lpwstr>mailto:policy@sportintegrity.gov.au</vt:lpwstr>
      </vt:variant>
      <vt:variant>
        <vt:lpwstr/>
      </vt:variant>
      <vt:variant>
        <vt:i4>1769534</vt:i4>
      </vt:variant>
      <vt:variant>
        <vt:i4>206</vt:i4>
      </vt:variant>
      <vt:variant>
        <vt:i4>0</vt:i4>
      </vt:variant>
      <vt:variant>
        <vt:i4>5</vt:i4>
      </vt:variant>
      <vt:variant>
        <vt:lpwstr/>
      </vt:variant>
      <vt:variant>
        <vt:lpwstr>_Toc85792434</vt:lpwstr>
      </vt:variant>
      <vt:variant>
        <vt:i4>1835070</vt:i4>
      </vt:variant>
      <vt:variant>
        <vt:i4>200</vt:i4>
      </vt:variant>
      <vt:variant>
        <vt:i4>0</vt:i4>
      </vt:variant>
      <vt:variant>
        <vt:i4>5</vt:i4>
      </vt:variant>
      <vt:variant>
        <vt:lpwstr/>
      </vt:variant>
      <vt:variant>
        <vt:lpwstr>_Toc85792433</vt:lpwstr>
      </vt:variant>
      <vt:variant>
        <vt:i4>1900606</vt:i4>
      </vt:variant>
      <vt:variant>
        <vt:i4>194</vt:i4>
      </vt:variant>
      <vt:variant>
        <vt:i4>0</vt:i4>
      </vt:variant>
      <vt:variant>
        <vt:i4>5</vt:i4>
      </vt:variant>
      <vt:variant>
        <vt:lpwstr/>
      </vt:variant>
      <vt:variant>
        <vt:lpwstr>_Toc85792432</vt:lpwstr>
      </vt:variant>
      <vt:variant>
        <vt:i4>1966142</vt:i4>
      </vt:variant>
      <vt:variant>
        <vt:i4>188</vt:i4>
      </vt:variant>
      <vt:variant>
        <vt:i4>0</vt:i4>
      </vt:variant>
      <vt:variant>
        <vt:i4>5</vt:i4>
      </vt:variant>
      <vt:variant>
        <vt:lpwstr/>
      </vt:variant>
      <vt:variant>
        <vt:lpwstr>_Toc85792431</vt:lpwstr>
      </vt:variant>
      <vt:variant>
        <vt:i4>2031678</vt:i4>
      </vt:variant>
      <vt:variant>
        <vt:i4>182</vt:i4>
      </vt:variant>
      <vt:variant>
        <vt:i4>0</vt:i4>
      </vt:variant>
      <vt:variant>
        <vt:i4>5</vt:i4>
      </vt:variant>
      <vt:variant>
        <vt:lpwstr/>
      </vt:variant>
      <vt:variant>
        <vt:lpwstr>_Toc85792430</vt:lpwstr>
      </vt:variant>
      <vt:variant>
        <vt:i4>1441855</vt:i4>
      </vt:variant>
      <vt:variant>
        <vt:i4>176</vt:i4>
      </vt:variant>
      <vt:variant>
        <vt:i4>0</vt:i4>
      </vt:variant>
      <vt:variant>
        <vt:i4>5</vt:i4>
      </vt:variant>
      <vt:variant>
        <vt:lpwstr/>
      </vt:variant>
      <vt:variant>
        <vt:lpwstr>_Toc85792429</vt:lpwstr>
      </vt:variant>
      <vt:variant>
        <vt:i4>1507391</vt:i4>
      </vt:variant>
      <vt:variant>
        <vt:i4>170</vt:i4>
      </vt:variant>
      <vt:variant>
        <vt:i4>0</vt:i4>
      </vt:variant>
      <vt:variant>
        <vt:i4>5</vt:i4>
      </vt:variant>
      <vt:variant>
        <vt:lpwstr/>
      </vt:variant>
      <vt:variant>
        <vt:lpwstr>_Toc85792428</vt:lpwstr>
      </vt:variant>
      <vt:variant>
        <vt:i4>1572927</vt:i4>
      </vt:variant>
      <vt:variant>
        <vt:i4>164</vt:i4>
      </vt:variant>
      <vt:variant>
        <vt:i4>0</vt:i4>
      </vt:variant>
      <vt:variant>
        <vt:i4>5</vt:i4>
      </vt:variant>
      <vt:variant>
        <vt:lpwstr/>
      </vt:variant>
      <vt:variant>
        <vt:lpwstr>_Toc85792427</vt:lpwstr>
      </vt:variant>
      <vt:variant>
        <vt:i4>1638463</vt:i4>
      </vt:variant>
      <vt:variant>
        <vt:i4>158</vt:i4>
      </vt:variant>
      <vt:variant>
        <vt:i4>0</vt:i4>
      </vt:variant>
      <vt:variant>
        <vt:i4>5</vt:i4>
      </vt:variant>
      <vt:variant>
        <vt:lpwstr/>
      </vt:variant>
      <vt:variant>
        <vt:lpwstr>_Toc85792426</vt:lpwstr>
      </vt:variant>
      <vt:variant>
        <vt:i4>1703999</vt:i4>
      </vt:variant>
      <vt:variant>
        <vt:i4>152</vt:i4>
      </vt:variant>
      <vt:variant>
        <vt:i4>0</vt:i4>
      </vt:variant>
      <vt:variant>
        <vt:i4>5</vt:i4>
      </vt:variant>
      <vt:variant>
        <vt:lpwstr/>
      </vt:variant>
      <vt:variant>
        <vt:lpwstr>_Toc85792425</vt:lpwstr>
      </vt:variant>
      <vt:variant>
        <vt:i4>1769535</vt:i4>
      </vt:variant>
      <vt:variant>
        <vt:i4>146</vt:i4>
      </vt:variant>
      <vt:variant>
        <vt:i4>0</vt:i4>
      </vt:variant>
      <vt:variant>
        <vt:i4>5</vt:i4>
      </vt:variant>
      <vt:variant>
        <vt:lpwstr/>
      </vt:variant>
      <vt:variant>
        <vt:lpwstr>_Toc85792424</vt:lpwstr>
      </vt:variant>
      <vt:variant>
        <vt:i4>1835071</vt:i4>
      </vt:variant>
      <vt:variant>
        <vt:i4>140</vt:i4>
      </vt:variant>
      <vt:variant>
        <vt:i4>0</vt:i4>
      </vt:variant>
      <vt:variant>
        <vt:i4>5</vt:i4>
      </vt:variant>
      <vt:variant>
        <vt:lpwstr/>
      </vt:variant>
      <vt:variant>
        <vt:lpwstr>_Toc85792423</vt:lpwstr>
      </vt:variant>
      <vt:variant>
        <vt:i4>1900607</vt:i4>
      </vt:variant>
      <vt:variant>
        <vt:i4>134</vt:i4>
      </vt:variant>
      <vt:variant>
        <vt:i4>0</vt:i4>
      </vt:variant>
      <vt:variant>
        <vt:i4>5</vt:i4>
      </vt:variant>
      <vt:variant>
        <vt:lpwstr/>
      </vt:variant>
      <vt:variant>
        <vt:lpwstr>_Toc85792422</vt:lpwstr>
      </vt:variant>
      <vt:variant>
        <vt:i4>1966143</vt:i4>
      </vt:variant>
      <vt:variant>
        <vt:i4>128</vt:i4>
      </vt:variant>
      <vt:variant>
        <vt:i4>0</vt:i4>
      </vt:variant>
      <vt:variant>
        <vt:i4>5</vt:i4>
      </vt:variant>
      <vt:variant>
        <vt:lpwstr/>
      </vt:variant>
      <vt:variant>
        <vt:lpwstr>_Toc85792421</vt:lpwstr>
      </vt:variant>
      <vt:variant>
        <vt:i4>2031679</vt:i4>
      </vt:variant>
      <vt:variant>
        <vt:i4>122</vt:i4>
      </vt:variant>
      <vt:variant>
        <vt:i4>0</vt:i4>
      </vt:variant>
      <vt:variant>
        <vt:i4>5</vt:i4>
      </vt:variant>
      <vt:variant>
        <vt:lpwstr/>
      </vt:variant>
      <vt:variant>
        <vt:lpwstr>_Toc85792420</vt:lpwstr>
      </vt:variant>
      <vt:variant>
        <vt:i4>1441852</vt:i4>
      </vt:variant>
      <vt:variant>
        <vt:i4>116</vt:i4>
      </vt:variant>
      <vt:variant>
        <vt:i4>0</vt:i4>
      </vt:variant>
      <vt:variant>
        <vt:i4>5</vt:i4>
      </vt:variant>
      <vt:variant>
        <vt:lpwstr/>
      </vt:variant>
      <vt:variant>
        <vt:lpwstr>_Toc85792419</vt:lpwstr>
      </vt:variant>
      <vt:variant>
        <vt:i4>1507388</vt:i4>
      </vt:variant>
      <vt:variant>
        <vt:i4>110</vt:i4>
      </vt:variant>
      <vt:variant>
        <vt:i4>0</vt:i4>
      </vt:variant>
      <vt:variant>
        <vt:i4>5</vt:i4>
      </vt:variant>
      <vt:variant>
        <vt:lpwstr/>
      </vt:variant>
      <vt:variant>
        <vt:lpwstr>_Toc85792418</vt:lpwstr>
      </vt:variant>
      <vt:variant>
        <vt:i4>1572924</vt:i4>
      </vt:variant>
      <vt:variant>
        <vt:i4>104</vt:i4>
      </vt:variant>
      <vt:variant>
        <vt:i4>0</vt:i4>
      </vt:variant>
      <vt:variant>
        <vt:i4>5</vt:i4>
      </vt:variant>
      <vt:variant>
        <vt:lpwstr/>
      </vt:variant>
      <vt:variant>
        <vt:lpwstr>_Toc85792417</vt:lpwstr>
      </vt:variant>
      <vt:variant>
        <vt:i4>1638460</vt:i4>
      </vt:variant>
      <vt:variant>
        <vt:i4>98</vt:i4>
      </vt:variant>
      <vt:variant>
        <vt:i4>0</vt:i4>
      </vt:variant>
      <vt:variant>
        <vt:i4>5</vt:i4>
      </vt:variant>
      <vt:variant>
        <vt:lpwstr/>
      </vt:variant>
      <vt:variant>
        <vt:lpwstr>_Toc85792416</vt:lpwstr>
      </vt:variant>
      <vt:variant>
        <vt:i4>1703996</vt:i4>
      </vt:variant>
      <vt:variant>
        <vt:i4>92</vt:i4>
      </vt:variant>
      <vt:variant>
        <vt:i4>0</vt:i4>
      </vt:variant>
      <vt:variant>
        <vt:i4>5</vt:i4>
      </vt:variant>
      <vt:variant>
        <vt:lpwstr/>
      </vt:variant>
      <vt:variant>
        <vt:lpwstr>_Toc85792415</vt:lpwstr>
      </vt:variant>
      <vt:variant>
        <vt:i4>1769532</vt:i4>
      </vt:variant>
      <vt:variant>
        <vt:i4>86</vt:i4>
      </vt:variant>
      <vt:variant>
        <vt:i4>0</vt:i4>
      </vt:variant>
      <vt:variant>
        <vt:i4>5</vt:i4>
      </vt:variant>
      <vt:variant>
        <vt:lpwstr/>
      </vt:variant>
      <vt:variant>
        <vt:lpwstr>_Toc85792414</vt:lpwstr>
      </vt:variant>
      <vt:variant>
        <vt:i4>1835068</vt:i4>
      </vt:variant>
      <vt:variant>
        <vt:i4>80</vt:i4>
      </vt:variant>
      <vt:variant>
        <vt:i4>0</vt:i4>
      </vt:variant>
      <vt:variant>
        <vt:i4>5</vt:i4>
      </vt:variant>
      <vt:variant>
        <vt:lpwstr/>
      </vt:variant>
      <vt:variant>
        <vt:lpwstr>_Toc85792413</vt:lpwstr>
      </vt:variant>
      <vt:variant>
        <vt:i4>1900604</vt:i4>
      </vt:variant>
      <vt:variant>
        <vt:i4>74</vt:i4>
      </vt:variant>
      <vt:variant>
        <vt:i4>0</vt:i4>
      </vt:variant>
      <vt:variant>
        <vt:i4>5</vt:i4>
      </vt:variant>
      <vt:variant>
        <vt:lpwstr/>
      </vt:variant>
      <vt:variant>
        <vt:lpwstr>_Toc85792412</vt:lpwstr>
      </vt:variant>
      <vt:variant>
        <vt:i4>1966140</vt:i4>
      </vt:variant>
      <vt:variant>
        <vt:i4>68</vt:i4>
      </vt:variant>
      <vt:variant>
        <vt:i4>0</vt:i4>
      </vt:variant>
      <vt:variant>
        <vt:i4>5</vt:i4>
      </vt:variant>
      <vt:variant>
        <vt:lpwstr/>
      </vt:variant>
      <vt:variant>
        <vt:lpwstr>_Toc85792411</vt:lpwstr>
      </vt:variant>
      <vt:variant>
        <vt:i4>2031676</vt:i4>
      </vt:variant>
      <vt:variant>
        <vt:i4>62</vt:i4>
      </vt:variant>
      <vt:variant>
        <vt:i4>0</vt:i4>
      </vt:variant>
      <vt:variant>
        <vt:i4>5</vt:i4>
      </vt:variant>
      <vt:variant>
        <vt:lpwstr/>
      </vt:variant>
      <vt:variant>
        <vt:lpwstr>_Toc85792410</vt:lpwstr>
      </vt:variant>
      <vt:variant>
        <vt:i4>1441853</vt:i4>
      </vt:variant>
      <vt:variant>
        <vt:i4>56</vt:i4>
      </vt:variant>
      <vt:variant>
        <vt:i4>0</vt:i4>
      </vt:variant>
      <vt:variant>
        <vt:i4>5</vt:i4>
      </vt:variant>
      <vt:variant>
        <vt:lpwstr/>
      </vt:variant>
      <vt:variant>
        <vt:lpwstr>_Toc85792409</vt:lpwstr>
      </vt:variant>
      <vt:variant>
        <vt:i4>1507389</vt:i4>
      </vt:variant>
      <vt:variant>
        <vt:i4>50</vt:i4>
      </vt:variant>
      <vt:variant>
        <vt:i4>0</vt:i4>
      </vt:variant>
      <vt:variant>
        <vt:i4>5</vt:i4>
      </vt:variant>
      <vt:variant>
        <vt:lpwstr/>
      </vt:variant>
      <vt:variant>
        <vt:lpwstr>_Toc85792408</vt:lpwstr>
      </vt:variant>
      <vt:variant>
        <vt:i4>1572925</vt:i4>
      </vt:variant>
      <vt:variant>
        <vt:i4>44</vt:i4>
      </vt:variant>
      <vt:variant>
        <vt:i4>0</vt:i4>
      </vt:variant>
      <vt:variant>
        <vt:i4>5</vt:i4>
      </vt:variant>
      <vt:variant>
        <vt:lpwstr/>
      </vt:variant>
      <vt:variant>
        <vt:lpwstr>_Toc85792407</vt:lpwstr>
      </vt:variant>
      <vt:variant>
        <vt:i4>1638461</vt:i4>
      </vt:variant>
      <vt:variant>
        <vt:i4>38</vt:i4>
      </vt:variant>
      <vt:variant>
        <vt:i4>0</vt:i4>
      </vt:variant>
      <vt:variant>
        <vt:i4>5</vt:i4>
      </vt:variant>
      <vt:variant>
        <vt:lpwstr/>
      </vt:variant>
      <vt:variant>
        <vt:lpwstr>_Toc85792406</vt:lpwstr>
      </vt:variant>
      <vt:variant>
        <vt:i4>1703997</vt:i4>
      </vt:variant>
      <vt:variant>
        <vt:i4>32</vt:i4>
      </vt:variant>
      <vt:variant>
        <vt:i4>0</vt:i4>
      </vt:variant>
      <vt:variant>
        <vt:i4>5</vt:i4>
      </vt:variant>
      <vt:variant>
        <vt:lpwstr/>
      </vt:variant>
      <vt:variant>
        <vt:lpwstr>_Toc85792405</vt:lpwstr>
      </vt:variant>
      <vt:variant>
        <vt:i4>1769533</vt:i4>
      </vt:variant>
      <vt:variant>
        <vt:i4>26</vt:i4>
      </vt:variant>
      <vt:variant>
        <vt:i4>0</vt:i4>
      </vt:variant>
      <vt:variant>
        <vt:i4>5</vt:i4>
      </vt:variant>
      <vt:variant>
        <vt:lpwstr/>
      </vt:variant>
      <vt:variant>
        <vt:lpwstr>_Toc85792404</vt:lpwstr>
      </vt:variant>
      <vt:variant>
        <vt:i4>1835069</vt:i4>
      </vt:variant>
      <vt:variant>
        <vt:i4>20</vt:i4>
      </vt:variant>
      <vt:variant>
        <vt:i4>0</vt:i4>
      </vt:variant>
      <vt:variant>
        <vt:i4>5</vt:i4>
      </vt:variant>
      <vt:variant>
        <vt:lpwstr/>
      </vt:variant>
      <vt:variant>
        <vt:lpwstr>_Toc85792403</vt:lpwstr>
      </vt:variant>
      <vt:variant>
        <vt:i4>1900605</vt:i4>
      </vt:variant>
      <vt:variant>
        <vt:i4>14</vt:i4>
      </vt:variant>
      <vt:variant>
        <vt:i4>0</vt:i4>
      </vt:variant>
      <vt:variant>
        <vt:i4>5</vt:i4>
      </vt:variant>
      <vt:variant>
        <vt:lpwstr/>
      </vt:variant>
      <vt:variant>
        <vt:lpwstr>_Toc85792402</vt:lpwstr>
      </vt:variant>
      <vt:variant>
        <vt:i4>1966141</vt:i4>
      </vt:variant>
      <vt:variant>
        <vt:i4>8</vt:i4>
      </vt:variant>
      <vt:variant>
        <vt:i4>0</vt:i4>
      </vt:variant>
      <vt:variant>
        <vt:i4>5</vt:i4>
      </vt:variant>
      <vt:variant>
        <vt:lpwstr/>
      </vt:variant>
      <vt:variant>
        <vt:lpwstr>_Toc85792401</vt:lpwstr>
      </vt:variant>
      <vt:variant>
        <vt:i4>2031677</vt:i4>
      </vt:variant>
      <vt:variant>
        <vt:i4>2</vt:i4>
      </vt:variant>
      <vt:variant>
        <vt:i4>0</vt:i4>
      </vt:variant>
      <vt:variant>
        <vt:i4>5</vt:i4>
      </vt:variant>
      <vt:variant>
        <vt:lpwstr/>
      </vt:variant>
      <vt:variant>
        <vt:lpwstr>_Toc85792400</vt:lpwstr>
      </vt:variant>
      <vt:variant>
        <vt:i4>2359384</vt:i4>
      </vt:variant>
      <vt:variant>
        <vt:i4>21</vt:i4>
      </vt:variant>
      <vt:variant>
        <vt:i4>0</vt:i4>
      </vt:variant>
      <vt:variant>
        <vt:i4>5</vt:i4>
      </vt:variant>
      <vt:variant>
        <vt:lpwstr>http://www5.austlii.edu.au/au/legis/vic/consol_act/gra2003190/s4.5.24.html</vt:lpwstr>
      </vt:variant>
      <vt:variant>
        <vt:lpwstr/>
      </vt:variant>
      <vt:variant>
        <vt:i4>6226005</vt:i4>
      </vt:variant>
      <vt:variant>
        <vt:i4>18</vt:i4>
      </vt:variant>
      <vt:variant>
        <vt:i4>0</vt:i4>
      </vt:variant>
      <vt:variant>
        <vt:i4>5</vt:i4>
      </vt:variant>
      <vt:variant>
        <vt:lpwstr>https://www.bbc.com/news/world-asia-pacific-12936084</vt:lpwstr>
      </vt:variant>
      <vt:variant>
        <vt:lpwstr/>
      </vt:variant>
      <vt:variant>
        <vt:i4>262160</vt:i4>
      </vt:variant>
      <vt:variant>
        <vt:i4>15</vt:i4>
      </vt:variant>
      <vt:variant>
        <vt:i4>0</vt:i4>
      </vt:variant>
      <vt:variant>
        <vt:i4>5</vt:i4>
      </vt:variant>
      <vt:variant>
        <vt:lpwstr>https://www.latimes.com/world/asia/la-fg-taiwan-baseball-snap-story.html</vt:lpwstr>
      </vt:variant>
      <vt:variant>
        <vt:lpwstr/>
      </vt:variant>
      <vt:variant>
        <vt:i4>7995505</vt:i4>
      </vt:variant>
      <vt:variant>
        <vt:i4>12</vt:i4>
      </vt:variant>
      <vt:variant>
        <vt:i4>0</vt:i4>
      </vt:variant>
      <vt:variant>
        <vt:i4>5</vt:i4>
      </vt:variant>
      <vt:variant>
        <vt:lpwstr>https://www.legislation.nsw.gov.au/~/pdf/view/act/1900/40/whole</vt:lpwstr>
      </vt:variant>
      <vt:variant>
        <vt:lpwstr/>
      </vt:variant>
      <vt:variant>
        <vt:i4>3538969</vt:i4>
      </vt:variant>
      <vt:variant>
        <vt:i4>9</vt:i4>
      </vt:variant>
      <vt:variant>
        <vt:i4>0</vt:i4>
      </vt:variant>
      <vt:variant>
        <vt:i4>5</vt:i4>
      </vt:variant>
      <vt:variant>
        <vt:lpwstr>https://www.sportaus.gov.au/__data/assets/pdf_file/0009/1012041/Investment-allocation-2021-22-Website-as-at-8-October-2021.pdf</vt:lpwstr>
      </vt:variant>
      <vt:variant>
        <vt:lpwstr/>
      </vt:variant>
      <vt:variant>
        <vt:i4>6225925</vt:i4>
      </vt:variant>
      <vt:variant>
        <vt:i4>6</vt:i4>
      </vt:variant>
      <vt:variant>
        <vt:i4>0</vt:i4>
      </vt:variant>
      <vt:variant>
        <vt:i4>5</vt:i4>
      </vt:variant>
      <vt:variant>
        <vt:lpwstr>https://www.coe.int/en/web/conventions/full-list/-/conventions/treaty/215</vt:lpwstr>
      </vt:variant>
      <vt:variant>
        <vt:lpwstr/>
      </vt:variant>
      <vt:variant>
        <vt:i4>3801196</vt:i4>
      </vt:variant>
      <vt:variant>
        <vt:i4>3</vt:i4>
      </vt:variant>
      <vt:variant>
        <vt:i4>0</vt:i4>
      </vt:variant>
      <vt:variant>
        <vt:i4>5</vt:i4>
      </vt:variant>
      <vt:variant>
        <vt:lpwstr>https://www.liquorandgaming.nsw.gov.au/operating-a-business/gaming-licences/gaming-licences-permits/sports-wagering-in-nsw</vt:lpwstr>
      </vt:variant>
      <vt:variant>
        <vt:lpwstr/>
      </vt:variant>
      <vt:variant>
        <vt:i4>2621559</vt:i4>
      </vt:variant>
      <vt:variant>
        <vt:i4>0</vt:i4>
      </vt:variant>
      <vt:variant>
        <vt:i4>0</vt:i4>
      </vt:variant>
      <vt:variant>
        <vt:i4>5</vt:i4>
      </vt:variant>
      <vt:variant>
        <vt:lpwstr>https://www.vcglr.vic.gov.au/gambling/wagering-and-sports-betting/sports-controlling-bodies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Sports Wagering Scheme</dc:title>
  <dc:subject/>
  <dc:creator>Lara Hayes</dc:creator>
  <cp:keywords/>
  <dc:description/>
  <cp:lastModifiedBy>Tony Baccari</cp:lastModifiedBy>
  <cp:revision>18</cp:revision>
  <dcterms:created xsi:type="dcterms:W3CDTF">2021-11-26T03:48:00Z</dcterms:created>
  <dcterms:modified xsi:type="dcterms:W3CDTF">2021-11-29T03:23:00Z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0x0101004461224BC960FD479CA8623146722E87</vt:lpwstr>
  </property>
  <property fmtid="{D5CDD505-2E9C-101B-9397-08002B2CF9AE}" pid="3" name="MSIP_Label_11981e50-48b4-41eb-b01c-0f803d245672_Enabled">
    <vt:lpwstr>true</vt:lpwstr>
  </property>
  <property fmtid="{D5CDD505-2E9C-101B-9397-08002B2CF9AE}" pid="4" name="MSIP_Label_11981e50-48b4-41eb-b01c-0f803d245672_SetDate">
    <vt:lpwstr>2021-11-26T03:48:18Z</vt:lpwstr>
  </property>
  <property fmtid="{D5CDD505-2E9C-101B-9397-08002B2CF9AE}" pid="5" name="MSIP_Label_11981e50-48b4-41eb-b01c-0f803d245672_Method">
    <vt:lpwstr>Privileged</vt:lpwstr>
  </property>
  <property fmtid="{D5CDD505-2E9C-101B-9397-08002B2CF9AE}" pid="6" name="MSIP_Label_11981e50-48b4-41eb-b01c-0f803d245672_Name">
    <vt:lpwstr>OFFICIAL</vt:lpwstr>
  </property>
  <property fmtid="{D5CDD505-2E9C-101B-9397-08002B2CF9AE}" pid="7" name="MSIP_Label_11981e50-48b4-41eb-b01c-0f803d245672_SiteId">
    <vt:lpwstr>b0407aa6-9de3-479b-8e46-f051393f3e89</vt:lpwstr>
  </property>
  <property fmtid="{D5CDD505-2E9C-101B-9397-08002B2CF9AE}" pid="8" name="MSIP_Label_11981e50-48b4-41eb-b01c-0f803d245672_ActionId">
    <vt:lpwstr>633e7760-83da-480c-b1fc-3c167045dc31</vt:lpwstr>
  </property>
  <property fmtid="{D5CDD505-2E9C-101B-9397-08002B2CF9AE}" pid="9" name="MSIP_Label_11981e50-48b4-41eb-b01c-0f803d245672_ContentBits">
    <vt:lpwstr>1</vt:lpwstr>
  </property>
</Properties>
</file>