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A4E77" w14:textId="4B1368F3" w:rsidR="005F6F02" w:rsidRPr="00DA1903" w:rsidRDefault="009272AA">
      <w:pPr>
        <w:pStyle w:val="SinglePara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5D4448">
        <w:rPr>
          <w:rFonts w:asciiTheme="minorHAnsi" w:hAnsiTheme="minorHAnsi" w:cstheme="minorHAnsi"/>
        </w:rPr>
        <w:t>2</w:t>
      </w:r>
      <w:r w:rsidR="00437881" w:rsidRPr="005D4448">
        <w:rPr>
          <w:rFonts w:asciiTheme="minorHAnsi" w:hAnsiTheme="minorHAnsi" w:cstheme="minorHAnsi"/>
        </w:rPr>
        <w:fldChar w:fldCharType="begin"/>
      </w:r>
      <w:r w:rsidR="00437881" w:rsidRPr="005D4448">
        <w:rPr>
          <w:rFonts w:asciiTheme="minorHAnsi" w:hAnsiTheme="minorHAnsi" w:cstheme="minorHAnsi"/>
        </w:rPr>
        <w:instrText xml:space="preserve"> CREATEDATE \@ "d MMMM, yyyy" \* MERGEFORMAT </w:instrText>
      </w:r>
      <w:r w:rsidR="00437881" w:rsidRPr="005D4448">
        <w:rPr>
          <w:rFonts w:asciiTheme="minorHAnsi" w:hAnsiTheme="minorHAnsi" w:cstheme="minorHAnsi"/>
        </w:rPr>
        <w:fldChar w:fldCharType="separate"/>
      </w:r>
      <w:r w:rsidR="00BB1A54" w:rsidRPr="005D4448">
        <w:rPr>
          <w:rFonts w:asciiTheme="minorHAnsi" w:hAnsiTheme="minorHAnsi" w:cstheme="minorHAnsi"/>
          <w:noProof/>
        </w:rPr>
        <w:t xml:space="preserve"> </w:t>
      </w:r>
      <w:r w:rsidR="005D4448" w:rsidRPr="005D4448">
        <w:rPr>
          <w:rFonts w:asciiTheme="minorHAnsi" w:hAnsiTheme="minorHAnsi" w:cstheme="minorHAnsi"/>
          <w:noProof/>
        </w:rPr>
        <w:t>Dec</w:t>
      </w:r>
      <w:r w:rsidR="00BB1A54" w:rsidRPr="005D4448">
        <w:rPr>
          <w:rFonts w:asciiTheme="minorHAnsi" w:hAnsiTheme="minorHAnsi" w:cstheme="minorHAnsi"/>
          <w:noProof/>
        </w:rPr>
        <w:t>ember, 2021</w:t>
      </w:r>
      <w:r w:rsidR="00437881" w:rsidRPr="005D4448">
        <w:rPr>
          <w:rFonts w:asciiTheme="minorHAnsi" w:hAnsiTheme="minorHAnsi" w:cstheme="minorHAnsi"/>
          <w:noProof/>
        </w:rPr>
        <w:fldChar w:fldCharType="end"/>
      </w:r>
    </w:p>
    <w:p w14:paraId="37C10286" w14:textId="1AD222EE" w:rsidR="005F6F02" w:rsidRPr="00DA1903" w:rsidRDefault="005F6F02">
      <w:pPr>
        <w:spacing w:after="0"/>
        <w:jc w:val="right"/>
        <w:rPr>
          <w:rFonts w:asciiTheme="minorHAnsi" w:hAnsiTheme="minorHAnsi" w:cstheme="minorHAnsi"/>
        </w:rPr>
      </w:pPr>
      <w:r w:rsidRPr="00DA1903">
        <w:rPr>
          <w:rFonts w:asciiTheme="minorHAnsi" w:hAnsiTheme="minorHAnsi" w:cstheme="minorHAnsi"/>
          <w:b/>
        </w:rPr>
        <w:t>File:</w:t>
      </w:r>
      <w:r w:rsidRPr="00DA1903">
        <w:rPr>
          <w:rFonts w:asciiTheme="minorHAnsi" w:hAnsiTheme="minorHAnsi" w:cstheme="minorHAnsi"/>
        </w:rPr>
        <w:t xml:space="preserve">  </w:t>
      </w:r>
      <w:r w:rsidR="00DC12A0">
        <w:rPr>
          <w:rFonts w:asciiTheme="minorHAnsi" w:hAnsiTheme="minorHAnsi" w:cstheme="minorHAnsi"/>
        </w:rPr>
        <w:t>OBPR Reference ID 44007</w:t>
      </w:r>
    </w:p>
    <w:p w14:paraId="51F06421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</w:p>
    <w:p w14:paraId="0E3E28BF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Mr Jason Lange</w:t>
      </w:r>
    </w:p>
    <w:p w14:paraId="01ADEA4D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Executive Director</w:t>
      </w:r>
    </w:p>
    <w:p w14:paraId="08024752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Office of Best Practice Regulation</w:t>
      </w:r>
    </w:p>
    <w:p w14:paraId="5A76C2DF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 xml:space="preserve">Department of the Prime Minister and Cabinet </w:t>
      </w:r>
    </w:p>
    <w:p w14:paraId="191ECAAF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1 National Circuit</w:t>
      </w:r>
    </w:p>
    <w:p w14:paraId="4D52526C" w14:textId="77777777" w:rsidR="00DA1903" w:rsidRP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BARTON ACT 2600</w:t>
      </w:r>
    </w:p>
    <w:p w14:paraId="6A30D193" w14:textId="77777777" w:rsidR="00DA1903" w:rsidRPr="00DA1903" w:rsidRDefault="00DA1903" w:rsidP="00DA1903">
      <w:pPr>
        <w:rPr>
          <w:rFonts w:asciiTheme="minorHAnsi" w:hAnsiTheme="minorHAnsi" w:cstheme="minorHAnsi"/>
          <w:szCs w:val="22"/>
        </w:rPr>
      </w:pPr>
    </w:p>
    <w:p w14:paraId="6DE4D429" w14:textId="77777777" w:rsidR="00DA1903" w:rsidRPr="00DA1903" w:rsidRDefault="00DA1903" w:rsidP="00DA1903">
      <w:pPr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 xml:space="preserve">Dear Mr Lange </w:t>
      </w:r>
    </w:p>
    <w:p w14:paraId="7EAC07FA" w14:textId="1BFBDAD1" w:rsidR="00DA1903" w:rsidRPr="00DA1903" w:rsidRDefault="00DA1903" w:rsidP="00DA1903">
      <w:pPr>
        <w:rPr>
          <w:rFonts w:asciiTheme="minorHAnsi" w:hAnsiTheme="minorHAnsi" w:cstheme="minorHAnsi"/>
          <w:b/>
          <w:caps/>
          <w:szCs w:val="22"/>
        </w:rPr>
      </w:pPr>
      <w:r w:rsidRPr="00DA1903">
        <w:rPr>
          <w:rFonts w:asciiTheme="minorHAnsi" w:hAnsiTheme="minorHAnsi" w:cstheme="minorHAnsi"/>
          <w:b/>
          <w:caps/>
          <w:szCs w:val="22"/>
        </w:rPr>
        <w:t xml:space="preserve">Regulation Impact Statement </w:t>
      </w:r>
      <w:r w:rsidRPr="00DA1903">
        <w:rPr>
          <w:rFonts w:asciiTheme="minorHAnsi" w:hAnsiTheme="minorHAnsi" w:cstheme="minorHAnsi"/>
          <w:b/>
          <w:szCs w:val="22"/>
        </w:rPr>
        <w:t xml:space="preserve">– </w:t>
      </w:r>
      <w:r w:rsidRPr="00DA1903">
        <w:rPr>
          <w:rFonts w:asciiTheme="minorHAnsi" w:hAnsiTheme="minorHAnsi" w:cstheme="minorHAnsi"/>
          <w:b/>
          <w:caps/>
          <w:szCs w:val="22"/>
        </w:rPr>
        <w:t>Greater transparency of proxy advice</w:t>
      </w:r>
      <w:r w:rsidRPr="00DA1903">
        <w:rPr>
          <w:rFonts w:asciiTheme="minorHAnsi" w:hAnsiTheme="minorHAnsi" w:cstheme="minorHAnsi"/>
          <w:b/>
          <w:szCs w:val="22"/>
        </w:rPr>
        <w:t xml:space="preserve">– </w:t>
      </w:r>
      <w:r w:rsidR="00E61978">
        <w:rPr>
          <w:rFonts w:asciiTheme="minorHAnsi" w:hAnsiTheme="minorHAnsi" w:cstheme="minorHAnsi"/>
          <w:b/>
          <w:caps/>
          <w:szCs w:val="22"/>
        </w:rPr>
        <w:t xml:space="preserve">SECOND </w:t>
      </w:r>
      <w:r w:rsidRPr="00DA1903">
        <w:rPr>
          <w:rFonts w:asciiTheme="minorHAnsi" w:hAnsiTheme="minorHAnsi" w:cstheme="minorHAnsi"/>
          <w:b/>
          <w:caps/>
          <w:szCs w:val="22"/>
        </w:rPr>
        <w:t xml:space="preserve">Pass Final Assessment </w:t>
      </w:r>
    </w:p>
    <w:p w14:paraId="7CCB4940" w14:textId="77777777" w:rsidR="00725491" w:rsidRDefault="00DA1903" w:rsidP="00DA1903">
      <w:pPr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 xml:space="preserve">I am writing in relation to the attached Regulation Impact Statement (RIS) prepared for the Government’s policy relating to improved regulation of proxy advisers and </w:t>
      </w:r>
      <w:r w:rsidR="00DC12A0">
        <w:rPr>
          <w:rFonts w:asciiTheme="minorHAnsi" w:hAnsiTheme="minorHAnsi" w:cstheme="minorHAnsi"/>
          <w:szCs w:val="22"/>
        </w:rPr>
        <w:t>changes</w:t>
      </w:r>
      <w:r w:rsidRPr="00DA1903">
        <w:rPr>
          <w:rFonts w:asciiTheme="minorHAnsi" w:hAnsiTheme="minorHAnsi" w:cstheme="minorHAnsi"/>
          <w:szCs w:val="22"/>
        </w:rPr>
        <w:t xml:space="preserve"> to superannuation fund disclosure of proxy voting activities</w:t>
      </w:r>
      <w:r w:rsidR="00725491">
        <w:rPr>
          <w:rFonts w:asciiTheme="minorHAnsi" w:hAnsiTheme="minorHAnsi" w:cstheme="minorHAnsi"/>
          <w:szCs w:val="22"/>
        </w:rPr>
        <w:t xml:space="preserve">. I appreciate the OBPR’s constructive engagement with the Department on this RIS. </w:t>
      </w:r>
    </w:p>
    <w:p w14:paraId="74B9ABF8" w14:textId="29511E10" w:rsidR="00C634C8" w:rsidRDefault="00725491" w:rsidP="00DA190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</w:t>
      </w:r>
      <w:r w:rsidR="00A216AB">
        <w:rPr>
          <w:rFonts w:asciiTheme="minorHAnsi" w:hAnsiTheme="minorHAnsi" w:cstheme="minorHAnsi"/>
          <w:szCs w:val="22"/>
        </w:rPr>
        <w:t xml:space="preserve"> Final Assessment</w:t>
      </w:r>
      <w:r>
        <w:rPr>
          <w:rFonts w:asciiTheme="minorHAnsi" w:hAnsiTheme="minorHAnsi" w:cstheme="minorHAnsi"/>
          <w:szCs w:val="22"/>
        </w:rPr>
        <w:t xml:space="preserve"> RIS has been updated to address the</w:t>
      </w:r>
      <w:r w:rsidR="00A216AB">
        <w:rPr>
          <w:rFonts w:asciiTheme="minorHAnsi" w:hAnsiTheme="minorHAnsi" w:cstheme="minorHAnsi"/>
          <w:szCs w:val="22"/>
        </w:rPr>
        <w:t xml:space="preserve"> comments and</w:t>
      </w:r>
      <w:r>
        <w:rPr>
          <w:rFonts w:asciiTheme="minorHAnsi" w:hAnsiTheme="minorHAnsi" w:cstheme="minorHAnsi"/>
          <w:szCs w:val="22"/>
        </w:rPr>
        <w:t xml:space="preserve"> suggestions provided by the OBPR in the marked-up version of the </w:t>
      </w:r>
      <w:r w:rsidR="00A216AB">
        <w:rPr>
          <w:rFonts w:asciiTheme="minorHAnsi" w:hAnsiTheme="minorHAnsi" w:cstheme="minorHAnsi"/>
          <w:szCs w:val="22"/>
        </w:rPr>
        <w:t xml:space="preserve">First Pass </w:t>
      </w:r>
      <w:r>
        <w:rPr>
          <w:rFonts w:asciiTheme="minorHAnsi" w:hAnsiTheme="minorHAnsi" w:cstheme="minorHAnsi"/>
          <w:szCs w:val="22"/>
        </w:rPr>
        <w:t>RIS accompanying your letter of 16 November 2021</w:t>
      </w:r>
      <w:r w:rsidR="00A216AB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I am satisfied that the </w:t>
      </w:r>
      <w:r w:rsidR="00A216AB">
        <w:rPr>
          <w:rFonts w:asciiTheme="minorHAnsi" w:hAnsiTheme="minorHAnsi" w:cstheme="minorHAnsi"/>
          <w:szCs w:val="22"/>
        </w:rPr>
        <w:t xml:space="preserve">Final Assessment </w:t>
      </w:r>
      <w:r>
        <w:rPr>
          <w:rFonts w:asciiTheme="minorHAnsi" w:hAnsiTheme="minorHAnsi" w:cstheme="minorHAnsi"/>
          <w:szCs w:val="22"/>
        </w:rPr>
        <w:t>RIS addresses the points for further development raised</w:t>
      </w:r>
      <w:r w:rsidR="00A216AB">
        <w:rPr>
          <w:rFonts w:asciiTheme="minorHAnsi" w:hAnsiTheme="minorHAnsi" w:cstheme="minorHAnsi"/>
          <w:szCs w:val="22"/>
        </w:rPr>
        <w:t xml:space="preserve"> in your previous correspondence</w:t>
      </w:r>
      <w:r>
        <w:rPr>
          <w:rFonts w:asciiTheme="minorHAnsi" w:hAnsiTheme="minorHAnsi" w:cstheme="minorHAnsi"/>
          <w:szCs w:val="22"/>
        </w:rPr>
        <w:t xml:space="preserve">. </w:t>
      </w:r>
      <w:r w:rsidR="00C634C8">
        <w:rPr>
          <w:rFonts w:asciiTheme="minorHAnsi" w:hAnsiTheme="minorHAnsi" w:cstheme="minorHAnsi"/>
          <w:szCs w:val="22"/>
        </w:rPr>
        <w:t>Specifically:</w:t>
      </w:r>
    </w:p>
    <w:p w14:paraId="5806D92E" w14:textId="22768DE7" w:rsidR="00A47E73" w:rsidRDefault="00A47E73" w:rsidP="00A47E73">
      <w:pPr>
        <w:pStyle w:val="Bullet"/>
      </w:pPr>
      <w:r>
        <w:t>Additional information has been provided regarding international experiences with implementing similar reforms</w:t>
      </w:r>
      <w:r w:rsidR="00725491">
        <w:t>, including stakeholder responses</w:t>
      </w:r>
      <w:r w:rsidR="009857F0">
        <w:t>;</w:t>
      </w:r>
      <w:r>
        <w:t xml:space="preserve"> </w:t>
      </w:r>
    </w:p>
    <w:p w14:paraId="44659DBD" w14:textId="27FB19D1" w:rsidR="00A47E73" w:rsidRDefault="00A47E73" w:rsidP="00A47E73">
      <w:pPr>
        <w:pStyle w:val="Bullet"/>
      </w:pPr>
      <w:r>
        <w:t>Further evidence has been provided to demonstrate the p</w:t>
      </w:r>
      <w:r w:rsidR="00725491">
        <w:t>olicy p</w:t>
      </w:r>
      <w:r>
        <w:t xml:space="preserve">roblem </w:t>
      </w:r>
      <w:r w:rsidR="00725491">
        <w:t>being addressed, particularly in relation to conflicts of interest</w:t>
      </w:r>
      <w:r w:rsidR="008631D8">
        <w:t xml:space="preserve"> in the proxy advice sector</w:t>
      </w:r>
      <w:r w:rsidR="00502E4A">
        <w:t xml:space="preserve"> and concerns about the quality of proxy </w:t>
      </w:r>
      <w:proofErr w:type="gramStart"/>
      <w:r w:rsidR="00502E4A">
        <w:t>advice</w:t>
      </w:r>
      <w:proofErr w:type="gramEnd"/>
      <w:r w:rsidR="00502E4A">
        <w:t>. T</w:t>
      </w:r>
      <w:r w:rsidR="008631D8">
        <w:t xml:space="preserve">his evidence </w:t>
      </w:r>
      <w:r w:rsidR="00725491">
        <w:t>f</w:t>
      </w:r>
      <w:r w:rsidR="00502E4A">
        <w:t>urther</w:t>
      </w:r>
      <w:r w:rsidR="00725491">
        <w:t xml:space="preserve"> demonstrate</w:t>
      </w:r>
      <w:r w:rsidR="008631D8">
        <w:t>s</w:t>
      </w:r>
      <w:r w:rsidR="00725491">
        <w:t xml:space="preserve"> the </w:t>
      </w:r>
      <w:r>
        <w:t>need for Government intervention</w:t>
      </w:r>
      <w:r w:rsidR="009857F0">
        <w:t>;</w:t>
      </w:r>
      <w:r>
        <w:t xml:space="preserve"> </w:t>
      </w:r>
    </w:p>
    <w:p w14:paraId="5D9C6A95" w14:textId="77777777" w:rsidR="00CB21A5" w:rsidRDefault="009857F0" w:rsidP="00A47E73">
      <w:pPr>
        <w:pStyle w:val="Bullet"/>
      </w:pPr>
      <w:r>
        <w:t xml:space="preserve">The </w:t>
      </w:r>
      <w:r w:rsidR="004F1A4C">
        <w:t>analysis</w:t>
      </w:r>
      <w:r>
        <w:t xml:space="preserve"> of the suggested options has been expanded to clearly outline the unique objectives of each element</w:t>
      </w:r>
      <w:r w:rsidR="00CC6DBE">
        <w:t xml:space="preserve">, focusing on the distinctions between option 2a and 2b. </w:t>
      </w:r>
    </w:p>
    <w:p w14:paraId="1BB98B3A" w14:textId="1FEEE923" w:rsidR="009857F0" w:rsidRDefault="00CC6DBE" w:rsidP="00CB21A5">
      <w:pPr>
        <w:pStyle w:val="Dash"/>
      </w:pPr>
      <w:r>
        <w:t>Fu</w:t>
      </w:r>
      <w:r w:rsidR="00725491">
        <w:t xml:space="preserve">rther explanation </w:t>
      </w:r>
      <w:r>
        <w:t xml:space="preserve">has been provided </w:t>
      </w:r>
      <w:r w:rsidR="00725491">
        <w:t xml:space="preserve">regarding why proxy advisers are required </w:t>
      </w:r>
      <w:r w:rsidR="00A93E37">
        <w:t xml:space="preserve">in option 2b </w:t>
      </w:r>
      <w:r w:rsidR="00725491">
        <w:t xml:space="preserve">to be independent </w:t>
      </w:r>
      <w:r w:rsidR="00A93E37">
        <w:t>of</w:t>
      </w:r>
      <w:r w:rsidR="00725491">
        <w:t xml:space="preserve"> their clients</w:t>
      </w:r>
      <w:r w:rsidR="00BD778A">
        <w:t xml:space="preserve"> </w:t>
      </w:r>
      <w:r w:rsidR="00725491">
        <w:t>but not the companies they advise on</w:t>
      </w:r>
      <w:r w:rsidR="00A93E37">
        <w:t>,</w:t>
      </w:r>
      <w:r w:rsidR="00725491">
        <w:t xml:space="preserve"> and why the disclosure obligations</w:t>
      </w:r>
      <w:r w:rsidR="00BD778A">
        <w:t xml:space="preserve"> considered in option</w:t>
      </w:r>
      <w:r w:rsidR="00CB21A5">
        <w:t>s</w:t>
      </w:r>
      <w:r w:rsidR="00BD778A">
        <w:t xml:space="preserve"> 2d and 3c</w:t>
      </w:r>
      <w:r w:rsidR="00725491">
        <w:t xml:space="preserve"> are limited to superannuation funds only</w:t>
      </w:r>
      <w:r w:rsidR="009C5BFD">
        <w:t>.</w:t>
      </w:r>
      <w:r w:rsidR="004F1A4C">
        <w:t xml:space="preserve"> </w:t>
      </w:r>
    </w:p>
    <w:p w14:paraId="3FCA20C4" w14:textId="6794B3A8" w:rsidR="00A93E37" w:rsidRDefault="00A93E37" w:rsidP="00A93E37">
      <w:pPr>
        <w:pStyle w:val="Bullet"/>
      </w:pPr>
      <w:r>
        <w:t>Further</w:t>
      </w:r>
      <w:r w:rsidR="00BD778A">
        <w:t xml:space="preserve"> analysis has been included on the potential impacts of the options</w:t>
      </w:r>
      <w:r>
        <w:t>,</w:t>
      </w:r>
      <w:r w:rsidR="009C5BFD">
        <w:t xml:space="preserve"> including</w:t>
      </w:r>
      <w:r>
        <w:t>:</w:t>
      </w:r>
    </w:p>
    <w:p w14:paraId="4B313F20" w14:textId="4EBD3522" w:rsidR="00A93E37" w:rsidRDefault="009C5BFD" w:rsidP="001D1F06">
      <w:pPr>
        <w:pStyle w:val="Dash"/>
      </w:pPr>
      <w:r>
        <w:t xml:space="preserve">more detailed consideration of how proxy advisers may respond to option 2b and the </w:t>
      </w:r>
      <w:r w:rsidR="00E0322C">
        <w:t>e</w:t>
      </w:r>
      <w:r>
        <w:t xml:space="preserve">ffect these responses may have on the proxy advice sector as a whole, </w:t>
      </w:r>
    </w:p>
    <w:p w14:paraId="516A7474" w14:textId="43F71C46" w:rsidR="00A93E37" w:rsidRDefault="00CB21A5" w:rsidP="00A93E37">
      <w:pPr>
        <w:pStyle w:val="Dash"/>
      </w:pPr>
      <w:r>
        <w:t>further</w:t>
      </w:r>
      <w:r w:rsidR="00A3783F">
        <w:t xml:space="preserve"> articulation of the benefits of improved engagement between companies and proxy advisers</w:t>
      </w:r>
      <w:r w:rsidR="00A93E37">
        <w:t>,</w:t>
      </w:r>
      <w:r w:rsidR="00A3783F">
        <w:t xml:space="preserve"> and </w:t>
      </w:r>
    </w:p>
    <w:p w14:paraId="46958B12" w14:textId="6D660BC0" w:rsidR="00A93E37" w:rsidRDefault="00A3783F" w:rsidP="001D1F06">
      <w:pPr>
        <w:pStyle w:val="Dash"/>
      </w:pPr>
      <w:proofErr w:type="gramStart"/>
      <w:r>
        <w:t>the</w:t>
      </w:r>
      <w:proofErr w:type="gramEnd"/>
      <w:r>
        <w:t xml:space="preserve"> benefits to super fund members of improved transparency </w:t>
      </w:r>
      <w:r w:rsidR="00CB21A5">
        <w:t>of</w:t>
      </w:r>
      <w:r>
        <w:t xml:space="preserve"> super fund voting activity</w:t>
      </w:r>
      <w:r w:rsidR="00A93E37">
        <w:t>.</w:t>
      </w:r>
    </w:p>
    <w:p w14:paraId="2328A11D" w14:textId="77777777" w:rsidR="006D3FF5" w:rsidRDefault="006D3FF5">
      <w:pPr>
        <w:spacing w:after="0"/>
      </w:pPr>
      <w:r>
        <w:br w:type="page"/>
      </w:r>
    </w:p>
    <w:p w14:paraId="435BE295" w14:textId="2B470A69" w:rsidR="00725491" w:rsidRDefault="00093AAB" w:rsidP="00A93E37">
      <w:pPr>
        <w:pStyle w:val="Bullet"/>
      </w:pPr>
      <w:r>
        <w:lastRenderedPageBreak/>
        <w:t>A</w:t>
      </w:r>
      <w:r w:rsidR="008631D8">
        <w:t xml:space="preserve">dditional details have been included </w:t>
      </w:r>
      <w:r w:rsidR="00A93E37">
        <w:t>in</w:t>
      </w:r>
      <w:r w:rsidR="00BD778A">
        <w:t xml:space="preserve"> the ‘Main Themes’ section of the consultation summary </w:t>
      </w:r>
      <w:r>
        <w:t xml:space="preserve">to reflect the </w:t>
      </w:r>
      <w:r w:rsidR="00A93E37">
        <w:t xml:space="preserve">range of views on the options elicited through the </w:t>
      </w:r>
      <w:r>
        <w:t>consultation process</w:t>
      </w:r>
      <w:r w:rsidR="00491DD9">
        <w:t>.</w:t>
      </w:r>
      <w:r w:rsidR="008631D8">
        <w:t xml:space="preserve"> </w:t>
      </w:r>
    </w:p>
    <w:p w14:paraId="43C0540F" w14:textId="210703FD" w:rsidR="00A47E73" w:rsidRDefault="003E0E1F" w:rsidP="001D1F06">
      <w:pPr>
        <w:pStyle w:val="Bullet"/>
        <w:numPr>
          <w:ilvl w:val="0"/>
          <w:numId w:val="0"/>
        </w:numPr>
      </w:pPr>
      <w:r>
        <w:t xml:space="preserve">It is difficult to calculate a quantitative net benefit given significant constraints in valuing the impacts of improved transparency, accountability and market confidence. </w:t>
      </w:r>
      <w:r w:rsidR="001F51C2">
        <w:t xml:space="preserve">Overall, the qualitative assessments included in this analysis demonstrate that Option 2 is expected to generate the highest net benefit over the status quo. Promoting confidence in the proxy advice sector will assist in promoting growth in Australia’s financial markets. </w:t>
      </w:r>
    </w:p>
    <w:p w14:paraId="63115AA3" w14:textId="266BBCCC" w:rsidR="00DA1903" w:rsidRPr="00DA1903" w:rsidRDefault="00C634C8" w:rsidP="00DA190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2"/>
        </w:rPr>
        <w:t>Accordingly, I am satisfied that the RIS is consistent with the six principles for Australian Government policy makers as specified in the Australian Government Guide to Regulatory Impact Analysis.</w:t>
      </w:r>
    </w:p>
    <w:p w14:paraId="2AB54823" w14:textId="77777777" w:rsidR="00FE2204" w:rsidRDefault="00FE2204" w:rsidP="00DA1903">
      <w:pPr>
        <w:spacing w:after="0"/>
        <w:rPr>
          <w:rFonts w:asciiTheme="minorHAnsi" w:hAnsiTheme="minorHAnsi" w:cstheme="minorHAnsi"/>
          <w:szCs w:val="22"/>
        </w:rPr>
      </w:pPr>
    </w:p>
    <w:p w14:paraId="2BCF0412" w14:textId="5EE5A344" w:rsidR="00DA1903" w:rsidRDefault="00DA1903" w:rsidP="00DA1903">
      <w:pPr>
        <w:spacing w:after="0"/>
        <w:rPr>
          <w:rFonts w:asciiTheme="minorHAnsi" w:hAnsiTheme="minorHAnsi" w:cstheme="minorHAnsi"/>
          <w:szCs w:val="22"/>
        </w:rPr>
      </w:pPr>
      <w:r w:rsidRPr="00DA1903">
        <w:rPr>
          <w:rFonts w:asciiTheme="minorHAnsi" w:hAnsiTheme="minorHAnsi" w:cstheme="minorHAnsi"/>
          <w:szCs w:val="22"/>
        </w:rPr>
        <w:t>Yours sincerely</w:t>
      </w:r>
    </w:p>
    <w:p w14:paraId="34E299EB" w14:textId="7437A529" w:rsidR="008546E7" w:rsidRDefault="008546E7" w:rsidP="00DA1903">
      <w:pPr>
        <w:spacing w:after="0"/>
        <w:rPr>
          <w:rFonts w:asciiTheme="minorHAnsi" w:hAnsiTheme="minorHAnsi" w:cstheme="minorHAnsi"/>
          <w:szCs w:val="22"/>
        </w:rPr>
      </w:pPr>
    </w:p>
    <w:p w14:paraId="15C7F91A" w14:textId="33AC20CE" w:rsidR="008546E7" w:rsidRDefault="008546E7" w:rsidP="00DA1903">
      <w:pPr>
        <w:spacing w:after="0"/>
        <w:rPr>
          <w:rFonts w:asciiTheme="minorHAnsi" w:hAnsiTheme="minorHAnsi" w:cstheme="minorHAnsi"/>
          <w:szCs w:val="22"/>
        </w:rPr>
      </w:pPr>
    </w:p>
    <w:p w14:paraId="6D7347D0" w14:textId="77777777" w:rsidR="008546E7" w:rsidRPr="00DA1903" w:rsidRDefault="008546E7" w:rsidP="00DA1903">
      <w:pPr>
        <w:spacing w:after="0"/>
        <w:rPr>
          <w:rFonts w:asciiTheme="minorHAnsi" w:hAnsiTheme="minorHAnsi" w:cstheme="minorHAnsi"/>
          <w:szCs w:val="22"/>
        </w:rPr>
      </w:pPr>
    </w:p>
    <w:p w14:paraId="509A8545" w14:textId="77777777" w:rsidR="008707F2" w:rsidRDefault="008707F2" w:rsidP="00DA54C5">
      <w:pPr>
        <w:rPr>
          <w:rFonts w:asciiTheme="minorHAnsi" w:hAnsiTheme="minorHAnsi" w:cstheme="minorHAnsi"/>
          <w:szCs w:val="22"/>
        </w:rPr>
      </w:pPr>
    </w:p>
    <w:p w14:paraId="1D9B3D3F" w14:textId="504BAB45" w:rsidR="008707F2" w:rsidRPr="008707F2" w:rsidRDefault="009272AA" w:rsidP="008707F2">
      <w:pPr>
        <w:pStyle w:val="Heading7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707F2">
        <w:rPr>
          <w:rFonts w:asciiTheme="minorHAnsi" w:hAnsiTheme="minorHAnsi" w:cstheme="minorHAnsi"/>
          <w:b w:val="0"/>
          <w:bCs/>
          <w:sz w:val="22"/>
          <w:szCs w:val="22"/>
        </w:rPr>
        <w:t xml:space="preserve">Robert </w:t>
      </w:r>
      <w:proofErr w:type="spellStart"/>
      <w:r w:rsidRPr="008707F2">
        <w:rPr>
          <w:rFonts w:asciiTheme="minorHAnsi" w:hAnsiTheme="minorHAnsi" w:cstheme="minorHAnsi"/>
          <w:b w:val="0"/>
          <w:bCs/>
          <w:sz w:val="22"/>
          <w:szCs w:val="22"/>
        </w:rPr>
        <w:t>Jeremenko</w:t>
      </w:r>
      <w:proofErr w:type="spellEnd"/>
      <w:r w:rsidR="00DA1903" w:rsidRPr="008707F2">
        <w:rPr>
          <w:b w:val="0"/>
          <w:bCs/>
          <w:sz w:val="22"/>
          <w:szCs w:val="22"/>
        </w:rPr>
        <w:br/>
      </w:r>
      <w:r w:rsidRPr="008707F2">
        <w:rPr>
          <w:b w:val="0"/>
          <w:bCs/>
          <w:sz w:val="22"/>
          <w:szCs w:val="22"/>
        </w:rPr>
        <w:t xml:space="preserve">Acting Deputy </w:t>
      </w:r>
      <w:r w:rsidR="00DA1903" w:rsidRPr="008707F2">
        <w:rPr>
          <w:b w:val="0"/>
          <w:bCs/>
          <w:sz w:val="22"/>
          <w:szCs w:val="22"/>
        </w:rPr>
        <w:t>Secretary</w:t>
      </w:r>
    </w:p>
    <w:p w14:paraId="64C55CBF" w14:textId="6011134E" w:rsidR="00585D8B" w:rsidRPr="008707F2" w:rsidRDefault="009272AA" w:rsidP="008707F2">
      <w:pPr>
        <w:pStyle w:val="Heading7"/>
        <w:rPr>
          <w:b w:val="0"/>
          <w:bCs/>
          <w:sz w:val="22"/>
          <w:szCs w:val="22"/>
        </w:rPr>
      </w:pPr>
      <w:r w:rsidRPr="008707F2">
        <w:rPr>
          <w:b w:val="0"/>
          <w:bCs/>
          <w:sz w:val="22"/>
          <w:szCs w:val="22"/>
        </w:rPr>
        <w:t>Markets Group</w:t>
      </w:r>
    </w:p>
    <w:sectPr w:rsidR="00585D8B" w:rsidRPr="008707F2" w:rsidSect="005F0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33BBC" w14:textId="77777777" w:rsidR="00562805" w:rsidRDefault="00562805">
      <w:r>
        <w:separator/>
      </w:r>
    </w:p>
  </w:endnote>
  <w:endnote w:type="continuationSeparator" w:id="0">
    <w:p w14:paraId="71682F0A" w14:textId="77777777" w:rsidR="00562805" w:rsidRDefault="005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C60F" w14:textId="77777777" w:rsidR="002B692A" w:rsidRDefault="002B692A" w:rsidP="002B692A">
    <w:pPr>
      <w:pStyle w:val="SecurityClassificationFooter"/>
    </w:pPr>
  </w:p>
  <w:p w14:paraId="3107E63F" w14:textId="36A4FB5C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7E32" w14:textId="20AB29F2" w:rsidR="000C3D77" w:rsidRDefault="005F6F02">
    <w:pPr>
      <w:tabs>
        <w:tab w:val="center" w:pos="4820"/>
      </w:tabs>
      <w:spacing w:before="120" w:after="0"/>
    </w:pPr>
    <w:r>
      <w:tab/>
    </w:r>
  </w:p>
  <w:p w14:paraId="5C8F06A0" w14:textId="77777777" w:rsidR="002B692A" w:rsidRDefault="002B692A" w:rsidP="002B692A">
    <w:pPr>
      <w:pStyle w:val="SecurityClassificationFooter"/>
    </w:pPr>
  </w:p>
  <w:p w14:paraId="75FE0662" w14:textId="5DD0E9B5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5702" w14:textId="77777777" w:rsidR="00375CB3" w:rsidRPr="00375CB3" w:rsidRDefault="00585D8B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6AADDC85" wp14:editId="2AF1C311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B4E65B" w14:textId="77777777" w:rsidR="005F6F02" w:rsidRPr="00A23E22" w:rsidRDefault="005F6F02" w:rsidP="00A23E22">
    <w:pPr>
      <w:pStyle w:val="FooterAddress"/>
      <w:rPr>
        <w:sz w:val="2"/>
      </w:rPr>
    </w:pPr>
  </w:p>
  <w:p w14:paraId="50F609FF" w14:textId="32E6E95F" w:rsidR="005F6F02" w:rsidRDefault="00BB1A54" w:rsidP="00BB1A54">
    <w:pPr>
      <w:pStyle w:val="FooterAddress"/>
    </w:pPr>
    <w:r>
      <w:t>Langton Crescent, PARKES ACT 2600, AUSTRALIA</w:t>
    </w:r>
    <w:r w:rsidR="00F36FE7">
      <w:br/>
    </w:r>
    <w:r w:rsidR="00021A7F">
      <w:t>P</w:t>
    </w:r>
    <w:r w:rsidR="00AD44A4">
      <w:t>:</w:t>
    </w:r>
    <w:r w:rsidR="005F6F02">
      <w:t xml:space="preserve">  </w:t>
    </w:r>
    <w:r>
      <w:t>61 2 6263</w:t>
    </w:r>
    <w:r w:rsidR="00BB1CF4">
      <w:t xml:space="preserve"> </w:t>
    </w:r>
    <w:proofErr w:type="gramStart"/>
    <w:r w:rsidR="00BB1CF4">
      <w:t>2111</w:t>
    </w:r>
    <w:r>
      <w:t xml:space="preserve"> </w:t>
    </w:r>
    <w:r w:rsidR="00021A7F">
      <w:t xml:space="preserve"> </w:t>
    </w:r>
    <w:proofErr w:type="gramEnd"/>
    <w:r w:rsidR="00F36FE7">
      <w:br/>
    </w:r>
    <w:r w:rsidR="00041147"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DB8A" w14:textId="77777777" w:rsidR="00562805" w:rsidRDefault="00562805">
      <w:r>
        <w:separator/>
      </w:r>
    </w:p>
  </w:footnote>
  <w:footnote w:type="continuationSeparator" w:id="0">
    <w:p w14:paraId="56109681" w14:textId="77777777" w:rsidR="00562805" w:rsidRDefault="0056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C0DB" w14:textId="77777777" w:rsidR="00561A77" w:rsidRDefault="00561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B6030" w14:textId="710F81C8" w:rsidR="005F6F02" w:rsidRDefault="00437881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 w:rsidR="00561A7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DA6F" w14:textId="77777777" w:rsidR="005F6F02" w:rsidRPr="006A320D" w:rsidRDefault="00436CCC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3F7D5FA9" wp14:editId="47CBA60B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32C9"/>
    <w:multiLevelType w:val="multilevel"/>
    <w:tmpl w:val="67A8FDD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False"/>
    <w:docVar w:name="SecurityClassificationInHeader" w:val="False"/>
    <w:docVar w:name="SecurityDLMInHeader" w:val="False"/>
  </w:docVars>
  <w:rsids>
    <w:rsidRoot w:val="00BB1A54"/>
    <w:rsid w:val="00010558"/>
    <w:rsid w:val="00013C16"/>
    <w:rsid w:val="00021A7F"/>
    <w:rsid w:val="00041147"/>
    <w:rsid w:val="00057AC2"/>
    <w:rsid w:val="00070A45"/>
    <w:rsid w:val="00093AAB"/>
    <w:rsid w:val="000A602B"/>
    <w:rsid w:val="000C3D77"/>
    <w:rsid w:val="000D2875"/>
    <w:rsid w:val="000D2CCB"/>
    <w:rsid w:val="000E70A5"/>
    <w:rsid w:val="000F419E"/>
    <w:rsid w:val="00123C4A"/>
    <w:rsid w:val="001263FC"/>
    <w:rsid w:val="00187181"/>
    <w:rsid w:val="001938E5"/>
    <w:rsid w:val="001A264D"/>
    <w:rsid w:val="001A7A9E"/>
    <w:rsid w:val="001D1F06"/>
    <w:rsid w:val="001E1C48"/>
    <w:rsid w:val="001F4A93"/>
    <w:rsid w:val="001F51C2"/>
    <w:rsid w:val="001F5439"/>
    <w:rsid w:val="002554F2"/>
    <w:rsid w:val="002839FA"/>
    <w:rsid w:val="0028586E"/>
    <w:rsid w:val="00297F1A"/>
    <w:rsid w:val="002A2C05"/>
    <w:rsid w:val="002B4ACE"/>
    <w:rsid w:val="002B692A"/>
    <w:rsid w:val="002C270B"/>
    <w:rsid w:val="002E356F"/>
    <w:rsid w:val="002E6BE4"/>
    <w:rsid w:val="002F767C"/>
    <w:rsid w:val="003110D1"/>
    <w:rsid w:val="00333CBB"/>
    <w:rsid w:val="00337317"/>
    <w:rsid w:val="00375CB3"/>
    <w:rsid w:val="00386ED1"/>
    <w:rsid w:val="003E0E1F"/>
    <w:rsid w:val="00436CCC"/>
    <w:rsid w:val="00437881"/>
    <w:rsid w:val="00444ADC"/>
    <w:rsid w:val="004576CE"/>
    <w:rsid w:val="00461E07"/>
    <w:rsid w:val="00485E79"/>
    <w:rsid w:val="00491DD9"/>
    <w:rsid w:val="004C152C"/>
    <w:rsid w:val="004D59F6"/>
    <w:rsid w:val="004F1A4C"/>
    <w:rsid w:val="004F613A"/>
    <w:rsid w:val="00502E4A"/>
    <w:rsid w:val="00521D21"/>
    <w:rsid w:val="00553CDB"/>
    <w:rsid w:val="005570AF"/>
    <w:rsid w:val="00561A77"/>
    <w:rsid w:val="00562805"/>
    <w:rsid w:val="00577A2F"/>
    <w:rsid w:val="00580F1D"/>
    <w:rsid w:val="0058454C"/>
    <w:rsid w:val="00585D8B"/>
    <w:rsid w:val="005D4448"/>
    <w:rsid w:val="005D6D96"/>
    <w:rsid w:val="005E4734"/>
    <w:rsid w:val="005F01D5"/>
    <w:rsid w:val="005F6F02"/>
    <w:rsid w:val="00611859"/>
    <w:rsid w:val="00627DD0"/>
    <w:rsid w:val="006315EF"/>
    <w:rsid w:val="006500B7"/>
    <w:rsid w:val="00683EEE"/>
    <w:rsid w:val="006A1A29"/>
    <w:rsid w:val="006A272A"/>
    <w:rsid w:val="006A320D"/>
    <w:rsid w:val="006A446E"/>
    <w:rsid w:val="006A457C"/>
    <w:rsid w:val="006A7ABF"/>
    <w:rsid w:val="006B363B"/>
    <w:rsid w:val="006D3FF5"/>
    <w:rsid w:val="006E1DD8"/>
    <w:rsid w:val="006F2190"/>
    <w:rsid w:val="007232C5"/>
    <w:rsid w:val="00725491"/>
    <w:rsid w:val="007D5A95"/>
    <w:rsid w:val="007F2B6E"/>
    <w:rsid w:val="007F2CAF"/>
    <w:rsid w:val="007F661C"/>
    <w:rsid w:val="0082021E"/>
    <w:rsid w:val="00821E1E"/>
    <w:rsid w:val="008546E7"/>
    <w:rsid w:val="00857F46"/>
    <w:rsid w:val="008631D8"/>
    <w:rsid w:val="008707F2"/>
    <w:rsid w:val="008901EB"/>
    <w:rsid w:val="008A62E6"/>
    <w:rsid w:val="008B7A91"/>
    <w:rsid w:val="008C14AC"/>
    <w:rsid w:val="008E6465"/>
    <w:rsid w:val="0092186E"/>
    <w:rsid w:val="00924B69"/>
    <w:rsid w:val="009272AA"/>
    <w:rsid w:val="0098490B"/>
    <w:rsid w:val="00984B0D"/>
    <w:rsid w:val="009857F0"/>
    <w:rsid w:val="009C5BFD"/>
    <w:rsid w:val="009F141A"/>
    <w:rsid w:val="00A04C4F"/>
    <w:rsid w:val="00A216AB"/>
    <w:rsid w:val="00A220DC"/>
    <w:rsid w:val="00A23E22"/>
    <w:rsid w:val="00A24156"/>
    <w:rsid w:val="00A3783F"/>
    <w:rsid w:val="00A4365C"/>
    <w:rsid w:val="00A47E73"/>
    <w:rsid w:val="00A50964"/>
    <w:rsid w:val="00A93E37"/>
    <w:rsid w:val="00AD44A4"/>
    <w:rsid w:val="00B112A0"/>
    <w:rsid w:val="00B2240F"/>
    <w:rsid w:val="00B32EDF"/>
    <w:rsid w:val="00B762A5"/>
    <w:rsid w:val="00B8256A"/>
    <w:rsid w:val="00B87235"/>
    <w:rsid w:val="00BA3C9A"/>
    <w:rsid w:val="00BB1A54"/>
    <w:rsid w:val="00BB1CF4"/>
    <w:rsid w:val="00BB743B"/>
    <w:rsid w:val="00BD650C"/>
    <w:rsid w:val="00BD778A"/>
    <w:rsid w:val="00C022CB"/>
    <w:rsid w:val="00C26A41"/>
    <w:rsid w:val="00C3664C"/>
    <w:rsid w:val="00C50396"/>
    <w:rsid w:val="00C634C8"/>
    <w:rsid w:val="00C72C5C"/>
    <w:rsid w:val="00C83F54"/>
    <w:rsid w:val="00C8731A"/>
    <w:rsid w:val="00C978E0"/>
    <w:rsid w:val="00CA030C"/>
    <w:rsid w:val="00CB21A5"/>
    <w:rsid w:val="00CC6DBE"/>
    <w:rsid w:val="00D02349"/>
    <w:rsid w:val="00D562A3"/>
    <w:rsid w:val="00D724E4"/>
    <w:rsid w:val="00DA1903"/>
    <w:rsid w:val="00DA54C5"/>
    <w:rsid w:val="00DC12A0"/>
    <w:rsid w:val="00DC76B2"/>
    <w:rsid w:val="00E0322C"/>
    <w:rsid w:val="00E217CF"/>
    <w:rsid w:val="00E32AAF"/>
    <w:rsid w:val="00E46A3B"/>
    <w:rsid w:val="00E51C9D"/>
    <w:rsid w:val="00E567DA"/>
    <w:rsid w:val="00E61978"/>
    <w:rsid w:val="00E63B36"/>
    <w:rsid w:val="00E90177"/>
    <w:rsid w:val="00EC5544"/>
    <w:rsid w:val="00EE2995"/>
    <w:rsid w:val="00F36FE7"/>
    <w:rsid w:val="00F5164B"/>
    <w:rsid w:val="00F74E4D"/>
    <w:rsid w:val="00F8525F"/>
    <w:rsid w:val="00F92CC5"/>
    <w:rsid w:val="00FA4E29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30D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Bullet">
    <w:name w:val="Bullet"/>
    <w:basedOn w:val="Normal"/>
    <w:link w:val="BulletChar"/>
    <w:rsid w:val="00DA1903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DA1903"/>
    <w:rPr>
      <w:rFonts w:ascii="Calibri" w:hAnsi="Calibri"/>
      <w:sz w:val="22"/>
    </w:rPr>
  </w:style>
  <w:style w:type="paragraph" w:customStyle="1" w:styleId="Dash">
    <w:name w:val="Dash"/>
    <w:basedOn w:val="Normal"/>
    <w:rsid w:val="00DA1903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DA1903"/>
    <w:pPr>
      <w:numPr>
        <w:ilvl w:val="2"/>
        <w:numId w:val="1"/>
      </w:numPr>
    </w:pPr>
  </w:style>
  <w:style w:type="character" w:styleId="CommentReference">
    <w:name w:val="annotation reference"/>
    <w:basedOn w:val="DefaultParagraphFont"/>
    <w:semiHidden/>
    <w:unhideWhenUsed/>
    <w:rsid w:val="00E567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67D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67D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6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67D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2021-12-17T21:35:00Z</dcterms:created>
  <dcterms:modified xsi:type="dcterms:W3CDTF">2021-12-17T21:35:00Z</dcterms:modified>
</cp:coreProperties>
</file>