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3E823" w14:textId="77777777" w:rsidR="00E448C7" w:rsidRDefault="00E448C7" w:rsidP="00A43B0B">
      <w:pPr>
        <w:pStyle w:val="APRANORMAL"/>
      </w:pPr>
      <w:bookmarkStart w:id="0" w:name="_GoBack"/>
      <w:bookmarkEnd w:id="0"/>
    </w:p>
    <w:p w14:paraId="629D85A4" w14:textId="77777777" w:rsidR="0062765D" w:rsidRDefault="0062765D" w:rsidP="000C34C0">
      <w:pPr>
        <w:pStyle w:val="APRANORMAL"/>
      </w:pPr>
    </w:p>
    <w:p w14:paraId="501CD964" w14:textId="77777777" w:rsidR="0062765D" w:rsidRDefault="0062765D" w:rsidP="000C34C0">
      <w:pPr>
        <w:pStyle w:val="APRANORMAL"/>
      </w:pPr>
    </w:p>
    <w:p w14:paraId="7DCCB1FB" w14:textId="77777777" w:rsidR="0062765D" w:rsidRDefault="0062765D" w:rsidP="000C34C0">
      <w:pPr>
        <w:pStyle w:val="APRANORMAL"/>
      </w:pPr>
    </w:p>
    <w:p w14:paraId="30D4F687" w14:textId="77777777" w:rsidR="0062765D" w:rsidRDefault="0062765D" w:rsidP="000C34C0">
      <w:pPr>
        <w:pStyle w:val="APRANORMAL"/>
      </w:pPr>
    </w:p>
    <w:p w14:paraId="750254C2" w14:textId="77777777" w:rsidR="0062765D" w:rsidRDefault="0062765D" w:rsidP="000C34C0">
      <w:pPr>
        <w:pStyle w:val="APRANORMAL"/>
      </w:pPr>
    </w:p>
    <w:p w14:paraId="757A8DC2" w14:textId="77777777" w:rsidR="0062765D" w:rsidRDefault="0062765D" w:rsidP="000C34C0">
      <w:pPr>
        <w:pStyle w:val="APRANORMAL"/>
      </w:pPr>
    </w:p>
    <w:p w14:paraId="799D5245" w14:textId="77777777" w:rsidR="0062765D" w:rsidRPr="00A43B0B" w:rsidRDefault="000C34C0" w:rsidP="004259FB">
      <w:pPr>
        <w:pStyle w:val="APRANORMAL"/>
        <w:ind w:left="-426"/>
        <w:rPr>
          <w:rFonts w:ascii="DIN OT Medium" w:hAnsi="DIN OT Medium"/>
          <w:sz w:val="44"/>
          <w:szCs w:val="44"/>
        </w:rPr>
      </w:pPr>
      <w:r w:rsidRPr="00A43B0B">
        <w:rPr>
          <w:rFonts w:ascii="DIN OT Medium" w:hAnsi="DIN OT Medium"/>
          <w:sz w:val="44"/>
          <w:szCs w:val="44"/>
        </w:rPr>
        <w:br/>
      </w:r>
      <w:r w:rsidR="00803EFD" w:rsidRPr="00C73B57">
        <w:rPr>
          <w:rFonts w:ascii="DIN OT Medium" w:hAnsi="DIN OT Medium"/>
          <w:color w:val="012169"/>
          <w:sz w:val="44"/>
          <w:szCs w:val="44"/>
        </w:rPr>
        <w:t xml:space="preserve">Improving </w:t>
      </w:r>
      <w:r w:rsidR="00F23B93">
        <w:rPr>
          <w:rFonts w:ascii="DIN OT Medium" w:hAnsi="DIN OT Medium"/>
          <w:color w:val="012169"/>
          <w:sz w:val="44"/>
          <w:szCs w:val="44"/>
        </w:rPr>
        <w:t xml:space="preserve">the </w:t>
      </w:r>
      <w:r w:rsidR="0072052E" w:rsidRPr="00C73B57">
        <w:rPr>
          <w:rFonts w:ascii="DIN OT Medium" w:hAnsi="DIN OT Medium"/>
          <w:color w:val="012169"/>
          <w:sz w:val="44"/>
          <w:szCs w:val="44"/>
        </w:rPr>
        <w:t>transparency</w:t>
      </w:r>
      <w:r w:rsidR="00E40D1A" w:rsidRPr="00C73B57">
        <w:rPr>
          <w:rFonts w:ascii="DIN OT Medium" w:hAnsi="DIN OT Medium"/>
          <w:color w:val="012169"/>
          <w:sz w:val="44"/>
          <w:szCs w:val="44"/>
        </w:rPr>
        <w:t xml:space="preserve">, </w:t>
      </w:r>
      <w:r w:rsidR="0072052E" w:rsidRPr="00C73B57">
        <w:rPr>
          <w:rFonts w:ascii="DIN OT Medium" w:hAnsi="DIN OT Medium"/>
          <w:color w:val="012169"/>
          <w:sz w:val="44"/>
          <w:szCs w:val="44"/>
        </w:rPr>
        <w:t xml:space="preserve">comparability </w:t>
      </w:r>
      <w:r w:rsidR="00E40D1A" w:rsidRPr="00C73B57">
        <w:rPr>
          <w:rFonts w:ascii="DIN OT Medium" w:hAnsi="DIN OT Medium"/>
          <w:color w:val="012169"/>
          <w:sz w:val="44"/>
          <w:szCs w:val="44"/>
        </w:rPr>
        <w:t xml:space="preserve">and flexibility </w:t>
      </w:r>
      <w:r w:rsidR="0072052E" w:rsidRPr="00C73B57">
        <w:rPr>
          <w:rFonts w:ascii="DIN OT Medium" w:hAnsi="DIN OT Medium"/>
          <w:color w:val="012169"/>
          <w:sz w:val="44"/>
          <w:szCs w:val="44"/>
        </w:rPr>
        <w:t xml:space="preserve">of </w:t>
      </w:r>
      <w:r w:rsidR="00E93BF3">
        <w:rPr>
          <w:rFonts w:ascii="DIN OT Medium" w:hAnsi="DIN OT Medium"/>
          <w:color w:val="012169"/>
          <w:sz w:val="44"/>
          <w:szCs w:val="44"/>
        </w:rPr>
        <w:t xml:space="preserve">the </w:t>
      </w:r>
      <w:r w:rsidR="00B23FF6" w:rsidRPr="00B23FF6">
        <w:rPr>
          <w:rFonts w:ascii="DIN OT Medium" w:hAnsi="DIN OT Medium"/>
          <w:color w:val="012169"/>
          <w:sz w:val="44"/>
          <w:szCs w:val="44"/>
          <w:lang w:val="en-AU"/>
        </w:rPr>
        <w:t>ADI capital framework</w:t>
      </w:r>
      <w:r w:rsidR="00B23FF6" w:rsidRPr="00B23FF6" w:rsidDel="00B23FF6">
        <w:rPr>
          <w:rFonts w:ascii="DIN OT Medium" w:hAnsi="DIN OT Medium"/>
          <w:color w:val="012169"/>
          <w:sz w:val="44"/>
          <w:szCs w:val="44"/>
          <w:lang w:val="en-AU"/>
        </w:rPr>
        <w:t xml:space="preserve"> </w:t>
      </w:r>
    </w:p>
    <w:p w14:paraId="236A1894" w14:textId="5464D95C" w:rsidR="006A3B63" w:rsidRPr="0072052E" w:rsidRDefault="00621578" w:rsidP="0072052E">
      <w:pPr>
        <w:pStyle w:val="APRAHEADING4"/>
        <w:ind w:left="-425"/>
        <w:rPr>
          <w:color w:val="00B0F0"/>
          <w:sz w:val="24"/>
        </w:rPr>
      </w:pPr>
      <w:r>
        <w:rPr>
          <w:color w:val="00B0F0"/>
          <w:sz w:val="24"/>
        </w:rPr>
        <w:t>14</w:t>
      </w:r>
      <w:r w:rsidR="005B7619">
        <w:rPr>
          <w:color w:val="00B0F0"/>
          <w:sz w:val="24"/>
        </w:rPr>
        <w:t xml:space="preserve"> </w:t>
      </w:r>
      <w:r w:rsidR="00533F63">
        <w:rPr>
          <w:color w:val="00B0F0"/>
          <w:sz w:val="24"/>
        </w:rPr>
        <w:t xml:space="preserve">August </w:t>
      </w:r>
      <w:r w:rsidR="00836787" w:rsidRPr="0072052E">
        <w:rPr>
          <w:color w:val="00B0F0"/>
          <w:sz w:val="24"/>
        </w:rPr>
        <w:t>201</w:t>
      </w:r>
      <w:r w:rsidR="006C6BB4">
        <w:rPr>
          <w:color w:val="00B0F0"/>
          <w:sz w:val="24"/>
        </w:rPr>
        <w:t>8</w:t>
      </w:r>
      <w:r w:rsidR="009F28B5" w:rsidRPr="0072052E">
        <w:rPr>
          <w:color w:val="00B0F0"/>
          <w:sz w:val="24"/>
        </w:rPr>
        <w:br w:type="page"/>
      </w:r>
    </w:p>
    <w:p w14:paraId="383DB4D1" w14:textId="77777777" w:rsidR="00116798" w:rsidRDefault="00116798" w:rsidP="00116798">
      <w:pPr>
        <w:pStyle w:val="APRANORMAL"/>
      </w:pPr>
      <w:bookmarkStart w:id="1" w:name="_Toc460507402"/>
      <w:bookmarkStart w:id="2" w:name="_Toc460507521"/>
      <w:bookmarkStart w:id="3" w:name="_Toc460507760"/>
      <w:bookmarkStart w:id="4" w:name="_Toc460508935"/>
    </w:p>
    <w:p w14:paraId="324E819B" w14:textId="77777777" w:rsidR="00116798" w:rsidRPr="00116798" w:rsidRDefault="00116798" w:rsidP="00116798">
      <w:pPr>
        <w:pStyle w:val="APRANORMAL"/>
      </w:pPr>
    </w:p>
    <w:p w14:paraId="08CEDC52" w14:textId="77777777" w:rsidR="00116798" w:rsidRPr="00116798" w:rsidRDefault="00116798" w:rsidP="00116798">
      <w:pPr>
        <w:pStyle w:val="APRANORMAL"/>
      </w:pPr>
    </w:p>
    <w:p w14:paraId="02E6F46F" w14:textId="77777777" w:rsidR="00116798" w:rsidRPr="00116798" w:rsidRDefault="00116798" w:rsidP="00116798">
      <w:pPr>
        <w:pStyle w:val="APRANORMAL"/>
      </w:pPr>
    </w:p>
    <w:p w14:paraId="713BF41A" w14:textId="77777777" w:rsidR="00116798" w:rsidRPr="00116798" w:rsidRDefault="00116798" w:rsidP="00116798">
      <w:pPr>
        <w:pStyle w:val="APRANORMAL"/>
      </w:pPr>
    </w:p>
    <w:p w14:paraId="241088FA" w14:textId="77777777" w:rsidR="00116798" w:rsidRDefault="00116798" w:rsidP="00116798">
      <w:pPr>
        <w:pStyle w:val="APRANORMAL"/>
      </w:pPr>
    </w:p>
    <w:p w14:paraId="2963AF38" w14:textId="77777777" w:rsidR="00A20D33" w:rsidRDefault="00A20D33" w:rsidP="00A20D33">
      <w:pPr>
        <w:pStyle w:val="APRANORMAL"/>
      </w:pPr>
    </w:p>
    <w:p w14:paraId="7045CD5C" w14:textId="77777777" w:rsidR="00A20D33" w:rsidRPr="00A20D33" w:rsidRDefault="00A20D33" w:rsidP="00A20D33"/>
    <w:p w14:paraId="40E43058" w14:textId="77777777" w:rsidR="00A20D33" w:rsidRPr="00A20D33" w:rsidRDefault="00A20D33" w:rsidP="00A20D33"/>
    <w:p w14:paraId="0D1F656E" w14:textId="77777777" w:rsidR="00A20D33" w:rsidRDefault="00A20D33" w:rsidP="00A20D33">
      <w:pPr>
        <w:pStyle w:val="APRANORMAL"/>
      </w:pPr>
    </w:p>
    <w:p w14:paraId="0882EF0D" w14:textId="77777777" w:rsidR="007956E7" w:rsidRDefault="007956E7" w:rsidP="007956E7">
      <w:pPr>
        <w:pStyle w:val="APRANORMAL"/>
      </w:pPr>
    </w:p>
    <w:p w14:paraId="22198125" w14:textId="77777777" w:rsidR="007956E7" w:rsidRPr="007956E7" w:rsidRDefault="007956E7" w:rsidP="007956E7"/>
    <w:p w14:paraId="477C1D7E" w14:textId="77777777" w:rsidR="007956E7" w:rsidRPr="007956E7" w:rsidRDefault="007956E7" w:rsidP="007956E7"/>
    <w:p w14:paraId="7F843553" w14:textId="77777777" w:rsidR="007956E7" w:rsidRPr="007956E7" w:rsidRDefault="007956E7" w:rsidP="007956E7"/>
    <w:p w14:paraId="0DFEA718" w14:textId="77777777" w:rsidR="007956E7" w:rsidRPr="007956E7" w:rsidRDefault="007956E7" w:rsidP="007956E7"/>
    <w:p w14:paraId="7D5CF398" w14:textId="77777777" w:rsidR="007956E7" w:rsidRPr="007956E7" w:rsidRDefault="007956E7" w:rsidP="007956E7"/>
    <w:p w14:paraId="71FA110A" w14:textId="77777777" w:rsidR="007956E7" w:rsidRPr="007956E7" w:rsidRDefault="007956E7" w:rsidP="007956E7"/>
    <w:p w14:paraId="216CB288" w14:textId="77777777" w:rsidR="007956E7" w:rsidRPr="007956E7" w:rsidRDefault="007956E7" w:rsidP="007956E7"/>
    <w:p w14:paraId="6209D5A9" w14:textId="77777777" w:rsidR="007956E7" w:rsidRPr="007956E7" w:rsidRDefault="007956E7" w:rsidP="007956E7"/>
    <w:p w14:paraId="2E568E76" w14:textId="77777777" w:rsidR="007956E7" w:rsidRPr="007956E7" w:rsidRDefault="007956E7" w:rsidP="007956E7"/>
    <w:p w14:paraId="49A40515" w14:textId="77777777" w:rsidR="007956E7" w:rsidRPr="007956E7" w:rsidRDefault="007956E7" w:rsidP="007956E7"/>
    <w:p w14:paraId="3463C3A8" w14:textId="77777777" w:rsidR="007956E7" w:rsidRPr="007956E7" w:rsidRDefault="007956E7" w:rsidP="007956E7"/>
    <w:p w14:paraId="7255D361" w14:textId="77777777" w:rsidR="007956E7" w:rsidRPr="007956E7" w:rsidRDefault="007956E7" w:rsidP="007956E7"/>
    <w:p w14:paraId="619B17CA" w14:textId="77777777" w:rsidR="007956E7" w:rsidRPr="007956E7" w:rsidRDefault="00A0198D" w:rsidP="007956E7">
      <w:r w:rsidRPr="009D42A8">
        <w:rPr>
          <w:noProof/>
          <w:lang w:eastAsia="en-AU"/>
        </w:rPr>
        <mc:AlternateContent>
          <mc:Choice Requires="wps">
            <w:drawing>
              <wp:anchor distT="0" distB="0" distL="114300" distR="114300" simplePos="0" relativeHeight="251658242" behindDoc="0" locked="1" layoutInCell="1" allowOverlap="1" wp14:anchorId="2F567B0B" wp14:editId="6A8B82CA">
                <wp:simplePos x="0" y="0"/>
                <wp:positionH relativeFrom="column">
                  <wp:posOffset>0</wp:posOffset>
                </wp:positionH>
                <wp:positionV relativeFrom="paragraph">
                  <wp:posOffset>-1238885</wp:posOffset>
                </wp:positionV>
                <wp:extent cx="5741670" cy="2656205"/>
                <wp:effectExtent l="0" t="0" r="0" b="0"/>
                <wp:wrapNone/>
                <wp:docPr id="4" name="Rectangle 4"/>
                <wp:cNvGraphicFramePr/>
                <a:graphic xmlns:a="http://schemas.openxmlformats.org/drawingml/2006/main">
                  <a:graphicData uri="http://schemas.microsoft.com/office/word/2010/wordprocessingShape">
                    <wps:wsp>
                      <wps:cNvSpPr/>
                      <wps:spPr>
                        <a:xfrm>
                          <a:off x="0" y="0"/>
                          <a:ext cx="5741670" cy="26562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829F6" w14:textId="77777777" w:rsidR="004B7595" w:rsidRPr="00A43B0B" w:rsidRDefault="004B7595" w:rsidP="00A0198D">
                            <w:pPr>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513E7C23" w14:textId="77777777" w:rsidR="004B7595" w:rsidRPr="00A43B0B" w:rsidRDefault="004B7595"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652D2646" w14:textId="77777777" w:rsidR="004B7595" w:rsidRPr="00A43B0B" w:rsidRDefault="004B7595"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10224A49" w14:textId="77777777" w:rsidR="004B7595" w:rsidRPr="00A43B0B" w:rsidRDefault="004B7595"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7" w:history="1">
                              <w:r w:rsidRPr="00A43B0B">
                                <w:rPr>
                                  <w:rStyle w:val="Hyperlink"/>
                                  <w:rFonts w:ascii="DIN OT Light" w:hAnsi="DIN OT Light"/>
                                  <w:color w:val="000000" w:themeColor="text1"/>
                                </w:rPr>
                                <w:t>https://creativecommons.org/licenses/by/3.0/au/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67B0B" id="Rectangle 4" o:spid="_x0000_s1026" style="position:absolute;margin-left:0;margin-top:-97.55pt;width:452.1pt;height:20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" fillcolor="#d8d8d8 [2732]" stroked="f" strokeweight="2pt">
                <v:textbox>
                  <w:txbxContent>
                    <w:p w14:paraId="210829F6" w14:textId="77777777" w:rsidR="004B7595" w:rsidRPr="00A43B0B" w:rsidRDefault="004B7595" w:rsidP="00A0198D">
                      <w:pPr>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513E7C23" w14:textId="77777777" w:rsidR="004B7595" w:rsidRPr="00A43B0B" w:rsidRDefault="004B7595"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652D2646" w14:textId="77777777" w:rsidR="004B7595" w:rsidRPr="00A43B0B" w:rsidRDefault="004B7595"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10224A49" w14:textId="77777777" w:rsidR="004B7595" w:rsidRPr="00A43B0B" w:rsidRDefault="004B7595"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 xml:space="preserve">(CCBY 3.0). This licence allows you to copy, distribute and adapt this work, provided you attribute the work and do not suggest that APRA endorses you or your work. To view a full copy of the terms of this licence, visit </w:t>
                      </w:r>
                      <w:hyperlink r:id="rId15" w:history="1">
                        <w:r w:rsidRPr="00A43B0B">
                          <w:rPr>
                            <w:rStyle w:val="Hyperlink"/>
                            <w:rFonts w:ascii="DIN OT Light" w:hAnsi="DIN OT Light"/>
                            <w:color w:val="000000" w:themeColor="text1"/>
                          </w:rPr>
                          <w:t>https://creativecommons.org/licenses/by/3.0/au/</w:t>
                        </w:r>
                      </w:hyperlink>
                    </w:p>
                  </w:txbxContent>
                </v:textbox>
                <w10:anchorlock/>
              </v:rect>
            </w:pict>
          </mc:Fallback>
        </mc:AlternateContent>
      </w:r>
    </w:p>
    <w:p w14:paraId="0E8899DB" w14:textId="77777777" w:rsidR="007956E7" w:rsidRPr="007956E7" w:rsidRDefault="007956E7" w:rsidP="007956E7"/>
    <w:p w14:paraId="2983170A" w14:textId="77777777" w:rsidR="007956E7" w:rsidRDefault="007956E7" w:rsidP="007956E7">
      <w:pPr>
        <w:pStyle w:val="APRANORMAL"/>
      </w:pPr>
    </w:p>
    <w:p w14:paraId="2517A21E" w14:textId="77777777" w:rsidR="004678F4" w:rsidRPr="00443520" w:rsidRDefault="004678F4" w:rsidP="00C0092A">
      <w:pPr>
        <w:pStyle w:val="APRACONTENTSHEADIN"/>
      </w:pPr>
      <w:bookmarkStart w:id="5" w:name="_Toc496628178"/>
      <w:r w:rsidRPr="00E21145">
        <w:lastRenderedPageBreak/>
        <w:t>Contents</w:t>
      </w:r>
      <w:bookmarkEnd w:id="1"/>
      <w:bookmarkEnd w:id="2"/>
      <w:bookmarkEnd w:id="3"/>
      <w:bookmarkEnd w:id="4"/>
      <w:bookmarkEnd w:id="5"/>
    </w:p>
    <w:p w14:paraId="00A88075" w14:textId="77777777" w:rsidR="00D94190" w:rsidRPr="00D94190" w:rsidRDefault="00BD5FC9">
      <w:pPr>
        <w:pStyle w:val="TOC1"/>
      </w:pPr>
      <w:r w:rsidRPr="00D94190">
        <w:fldChar w:fldCharType="begin"/>
      </w:r>
      <w:r w:rsidRPr="00D94190">
        <w:instrText xml:space="preserve"> TOC \o "2-3" \h \z \t "Heading 1,1,APRA HEADING 1,1,APRA HEADING 1-NO NUMBER,1" </w:instrText>
      </w:r>
      <w:r w:rsidRPr="00D94190">
        <w:fldChar w:fldCharType="separate"/>
      </w:r>
      <w:hyperlink w:anchor="_Toc521932755" w:history="1">
        <w:r w:rsidR="00D94190" w:rsidRPr="00D94190">
          <w:t>Executive Summary</w:t>
        </w:r>
        <w:r w:rsidR="00D94190" w:rsidRPr="00D94190">
          <w:rPr>
            <w:webHidden/>
          </w:rPr>
          <w:tab/>
        </w:r>
        <w:r w:rsidR="00D94190" w:rsidRPr="00D94190">
          <w:rPr>
            <w:webHidden/>
          </w:rPr>
          <w:fldChar w:fldCharType="begin"/>
        </w:r>
        <w:r w:rsidR="00D94190" w:rsidRPr="00D94190">
          <w:rPr>
            <w:webHidden/>
          </w:rPr>
          <w:instrText xml:space="preserve"> PAGEREF _Toc521932755 \h </w:instrText>
        </w:r>
        <w:r w:rsidR="00D94190" w:rsidRPr="00D94190">
          <w:rPr>
            <w:webHidden/>
          </w:rPr>
        </w:r>
        <w:r w:rsidR="00D94190" w:rsidRPr="00D94190">
          <w:rPr>
            <w:webHidden/>
          </w:rPr>
          <w:fldChar w:fldCharType="separate"/>
        </w:r>
        <w:r w:rsidR="00D94190" w:rsidRPr="00D94190">
          <w:rPr>
            <w:webHidden/>
          </w:rPr>
          <w:t>4</w:t>
        </w:r>
        <w:r w:rsidR="00D94190" w:rsidRPr="00D94190">
          <w:rPr>
            <w:webHidden/>
          </w:rPr>
          <w:fldChar w:fldCharType="end"/>
        </w:r>
      </w:hyperlink>
    </w:p>
    <w:p w14:paraId="5B54C100" w14:textId="77777777" w:rsidR="00D94190" w:rsidRPr="00D94190" w:rsidRDefault="00CD363A">
      <w:pPr>
        <w:pStyle w:val="TOC1"/>
      </w:pPr>
      <w:hyperlink w:anchor="_Toc521932756" w:history="1">
        <w:r w:rsidR="00D94190" w:rsidRPr="00D94190">
          <w:t>Glossary</w:t>
        </w:r>
        <w:r w:rsidR="00D94190" w:rsidRPr="00D94190">
          <w:rPr>
            <w:webHidden/>
          </w:rPr>
          <w:tab/>
        </w:r>
        <w:r w:rsidR="00D94190" w:rsidRPr="00D94190">
          <w:rPr>
            <w:webHidden/>
          </w:rPr>
          <w:fldChar w:fldCharType="begin"/>
        </w:r>
        <w:r w:rsidR="00D94190" w:rsidRPr="00D94190">
          <w:rPr>
            <w:webHidden/>
          </w:rPr>
          <w:instrText xml:space="preserve"> PAGEREF _Toc521932756 \h </w:instrText>
        </w:r>
        <w:r w:rsidR="00D94190" w:rsidRPr="00D94190">
          <w:rPr>
            <w:webHidden/>
          </w:rPr>
        </w:r>
        <w:r w:rsidR="00D94190" w:rsidRPr="00D94190">
          <w:rPr>
            <w:webHidden/>
          </w:rPr>
          <w:fldChar w:fldCharType="separate"/>
        </w:r>
        <w:r w:rsidR="00D94190" w:rsidRPr="00D94190">
          <w:rPr>
            <w:webHidden/>
          </w:rPr>
          <w:t>7</w:t>
        </w:r>
        <w:r w:rsidR="00D94190" w:rsidRPr="00D94190">
          <w:rPr>
            <w:webHidden/>
          </w:rPr>
          <w:fldChar w:fldCharType="end"/>
        </w:r>
      </w:hyperlink>
    </w:p>
    <w:p w14:paraId="5D7CF531" w14:textId="77777777" w:rsidR="00D94190" w:rsidRPr="00D94190" w:rsidRDefault="00CD363A">
      <w:pPr>
        <w:pStyle w:val="TOC1"/>
      </w:pPr>
      <w:hyperlink w:anchor="_Toc521932757" w:history="1">
        <w:r w:rsidR="00D94190" w:rsidRPr="00D94190">
          <w:t>Chapter 1 – Introduction</w:t>
        </w:r>
        <w:r w:rsidR="00D94190" w:rsidRPr="00D94190">
          <w:rPr>
            <w:webHidden/>
          </w:rPr>
          <w:tab/>
        </w:r>
        <w:r w:rsidR="00D94190" w:rsidRPr="00D94190">
          <w:rPr>
            <w:webHidden/>
          </w:rPr>
          <w:fldChar w:fldCharType="begin"/>
        </w:r>
        <w:r w:rsidR="00D94190" w:rsidRPr="00D94190">
          <w:rPr>
            <w:webHidden/>
          </w:rPr>
          <w:instrText xml:space="preserve"> PAGEREF _Toc521932757 \h </w:instrText>
        </w:r>
        <w:r w:rsidR="00D94190" w:rsidRPr="00D94190">
          <w:rPr>
            <w:webHidden/>
          </w:rPr>
        </w:r>
        <w:r w:rsidR="00D94190" w:rsidRPr="00D94190">
          <w:rPr>
            <w:webHidden/>
          </w:rPr>
          <w:fldChar w:fldCharType="separate"/>
        </w:r>
        <w:r w:rsidR="00D94190" w:rsidRPr="00D94190">
          <w:rPr>
            <w:webHidden/>
          </w:rPr>
          <w:t>9</w:t>
        </w:r>
        <w:r w:rsidR="00D94190" w:rsidRPr="00D94190">
          <w:rPr>
            <w:webHidden/>
          </w:rPr>
          <w:fldChar w:fldCharType="end"/>
        </w:r>
      </w:hyperlink>
    </w:p>
    <w:p w14:paraId="1DD73617" w14:textId="77777777" w:rsidR="00D94190" w:rsidRPr="00D94190" w:rsidRDefault="00CD363A">
      <w:pPr>
        <w:pStyle w:val="TOC2"/>
      </w:pPr>
      <w:hyperlink w:anchor="_Toc521932758" w:history="1">
        <w:r w:rsidR="00D94190" w:rsidRPr="00D94190">
          <w:t>1.1</w:t>
        </w:r>
        <w:r w:rsidR="00D94190" w:rsidRPr="00D94190">
          <w:tab/>
          <w:t>Background</w:t>
        </w:r>
        <w:r w:rsidR="00D94190" w:rsidRPr="00D94190">
          <w:rPr>
            <w:webHidden/>
          </w:rPr>
          <w:tab/>
        </w:r>
        <w:r w:rsidR="00D94190" w:rsidRPr="00D94190">
          <w:rPr>
            <w:webHidden/>
          </w:rPr>
          <w:fldChar w:fldCharType="begin"/>
        </w:r>
        <w:r w:rsidR="00D94190" w:rsidRPr="00D94190">
          <w:rPr>
            <w:webHidden/>
          </w:rPr>
          <w:instrText xml:space="preserve"> PAGEREF _Toc521932758 \h </w:instrText>
        </w:r>
        <w:r w:rsidR="00D94190" w:rsidRPr="00D94190">
          <w:rPr>
            <w:webHidden/>
          </w:rPr>
        </w:r>
        <w:r w:rsidR="00D94190" w:rsidRPr="00D94190">
          <w:rPr>
            <w:webHidden/>
          </w:rPr>
          <w:fldChar w:fldCharType="separate"/>
        </w:r>
        <w:r w:rsidR="00D94190" w:rsidRPr="00D94190">
          <w:rPr>
            <w:webHidden/>
          </w:rPr>
          <w:t>9</w:t>
        </w:r>
        <w:r w:rsidR="00D94190" w:rsidRPr="00D94190">
          <w:rPr>
            <w:webHidden/>
          </w:rPr>
          <w:fldChar w:fldCharType="end"/>
        </w:r>
      </w:hyperlink>
    </w:p>
    <w:p w14:paraId="6442C94D" w14:textId="77777777" w:rsidR="00D94190" w:rsidRPr="00D94190" w:rsidRDefault="00CD363A">
      <w:pPr>
        <w:pStyle w:val="TOC2"/>
      </w:pPr>
      <w:hyperlink w:anchor="_Toc521932759" w:history="1">
        <w:r w:rsidR="00D94190" w:rsidRPr="00D94190">
          <w:t>1.2</w:t>
        </w:r>
        <w:r w:rsidR="00D94190" w:rsidRPr="00D94190">
          <w:tab/>
          <w:t>APRA’s capital framework</w:t>
        </w:r>
        <w:r w:rsidR="00D94190" w:rsidRPr="00D94190">
          <w:rPr>
            <w:webHidden/>
          </w:rPr>
          <w:tab/>
        </w:r>
        <w:r w:rsidR="00D94190" w:rsidRPr="00D94190">
          <w:rPr>
            <w:webHidden/>
          </w:rPr>
          <w:fldChar w:fldCharType="begin"/>
        </w:r>
        <w:r w:rsidR="00D94190" w:rsidRPr="00D94190">
          <w:rPr>
            <w:webHidden/>
          </w:rPr>
          <w:instrText xml:space="preserve"> PAGEREF _Toc521932759 \h </w:instrText>
        </w:r>
        <w:r w:rsidR="00D94190" w:rsidRPr="00D94190">
          <w:rPr>
            <w:webHidden/>
          </w:rPr>
        </w:r>
        <w:r w:rsidR="00D94190" w:rsidRPr="00D94190">
          <w:rPr>
            <w:webHidden/>
          </w:rPr>
          <w:fldChar w:fldCharType="separate"/>
        </w:r>
        <w:r w:rsidR="00D94190" w:rsidRPr="00D94190">
          <w:rPr>
            <w:webHidden/>
          </w:rPr>
          <w:t>10</w:t>
        </w:r>
        <w:r w:rsidR="00D94190" w:rsidRPr="00D94190">
          <w:rPr>
            <w:webHidden/>
          </w:rPr>
          <w:fldChar w:fldCharType="end"/>
        </w:r>
      </w:hyperlink>
    </w:p>
    <w:p w14:paraId="71316A9B" w14:textId="77777777" w:rsidR="00D94190" w:rsidRPr="00D94190" w:rsidRDefault="00CD363A">
      <w:pPr>
        <w:pStyle w:val="TOC2"/>
      </w:pPr>
      <w:hyperlink w:anchor="_Toc521932760" w:history="1">
        <w:r w:rsidR="00D94190" w:rsidRPr="00D94190">
          <w:t>1.3</w:t>
        </w:r>
        <w:r w:rsidR="00D94190" w:rsidRPr="00D94190">
          <w:tab/>
          <w:t>Objectives of the revisions to the capital framework</w:t>
        </w:r>
        <w:r w:rsidR="00D94190" w:rsidRPr="00D94190">
          <w:rPr>
            <w:webHidden/>
          </w:rPr>
          <w:tab/>
        </w:r>
        <w:r w:rsidR="00D94190" w:rsidRPr="00D94190">
          <w:rPr>
            <w:webHidden/>
          </w:rPr>
          <w:fldChar w:fldCharType="begin"/>
        </w:r>
        <w:r w:rsidR="00D94190" w:rsidRPr="00D94190">
          <w:rPr>
            <w:webHidden/>
          </w:rPr>
          <w:instrText xml:space="preserve"> PAGEREF _Toc521932760 \h </w:instrText>
        </w:r>
        <w:r w:rsidR="00D94190" w:rsidRPr="00D94190">
          <w:rPr>
            <w:webHidden/>
          </w:rPr>
        </w:r>
        <w:r w:rsidR="00D94190" w:rsidRPr="00D94190">
          <w:rPr>
            <w:webHidden/>
          </w:rPr>
          <w:fldChar w:fldCharType="separate"/>
        </w:r>
        <w:r w:rsidR="00D94190" w:rsidRPr="00D94190">
          <w:rPr>
            <w:webHidden/>
          </w:rPr>
          <w:t>14</w:t>
        </w:r>
        <w:r w:rsidR="00D94190" w:rsidRPr="00D94190">
          <w:rPr>
            <w:webHidden/>
          </w:rPr>
          <w:fldChar w:fldCharType="end"/>
        </w:r>
      </w:hyperlink>
    </w:p>
    <w:p w14:paraId="0FD3C222" w14:textId="77777777" w:rsidR="00D94190" w:rsidRPr="00D94190" w:rsidRDefault="00CD363A">
      <w:pPr>
        <w:pStyle w:val="TOC2"/>
      </w:pPr>
      <w:hyperlink w:anchor="_Toc521932761" w:history="1">
        <w:r w:rsidR="00D94190" w:rsidRPr="00D94190">
          <w:t>1.4</w:t>
        </w:r>
        <w:r w:rsidR="00D94190" w:rsidRPr="00D94190">
          <w:tab/>
          <w:t>Achieving transparency, comparability and flexibility</w:t>
        </w:r>
        <w:r w:rsidR="00D94190" w:rsidRPr="00D94190">
          <w:rPr>
            <w:webHidden/>
          </w:rPr>
          <w:tab/>
        </w:r>
        <w:r w:rsidR="00D94190" w:rsidRPr="00D94190">
          <w:rPr>
            <w:webHidden/>
          </w:rPr>
          <w:fldChar w:fldCharType="begin"/>
        </w:r>
        <w:r w:rsidR="00D94190" w:rsidRPr="00D94190">
          <w:rPr>
            <w:webHidden/>
          </w:rPr>
          <w:instrText xml:space="preserve"> PAGEREF _Toc521932761 \h </w:instrText>
        </w:r>
        <w:r w:rsidR="00D94190" w:rsidRPr="00D94190">
          <w:rPr>
            <w:webHidden/>
          </w:rPr>
        </w:r>
        <w:r w:rsidR="00D94190" w:rsidRPr="00D94190">
          <w:rPr>
            <w:webHidden/>
          </w:rPr>
          <w:fldChar w:fldCharType="separate"/>
        </w:r>
        <w:r w:rsidR="00D94190" w:rsidRPr="00D94190">
          <w:rPr>
            <w:webHidden/>
          </w:rPr>
          <w:t>15</w:t>
        </w:r>
        <w:r w:rsidR="00D94190" w:rsidRPr="00D94190">
          <w:rPr>
            <w:webHidden/>
          </w:rPr>
          <w:fldChar w:fldCharType="end"/>
        </w:r>
      </w:hyperlink>
    </w:p>
    <w:p w14:paraId="49CB55B6" w14:textId="77777777" w:rsidR="00D94190" w:rsidRPr="00D94190" w:rsidRDefault="00CD363A">
      <w:pPr>
        <w:pStyle w:val="TOC2"/>
      </w:pPr>
      <w:hyperlink w:anchor="_Toc521932762" w:history="1">
        <w:r w:rsidR="00D94190" w:rsidRPr="00D94190">
          <w:t>1.5</w:t>
        </w:r>
        <w:r w:rsidR="00D94190" w:rsidRPr="00D94190">
          <w:tab/>
          <w:t>Outline of this consultation</w:t>
        </w:r>
        <w:r w:rsidR="00D94190" w:rsidRPr="00D94190">
          <w:rPr>
            <w:webHidden/>
          </w:rPr>
          <w:tab/>
        </w:r>
        <w:r w:rsidR="00D94190" w:rsidRPr="00D94190">
          <w:rPr>
            <w:webHidden/>
          </w:rPr>
          <w:fldChar w:fldCharType="begin"/>
        </w:r>
        <w:r w:rsidR="00D94190" w:rsidRPr="00D94190">
          <w:rPr>
            <w:webHidden/>
          </w:rPr>
          <w:instrText xml:space="preserve"> PAGEREF _Toc521932762 \h </w:instrText>
        </w:r>
        <w:r w:rsidR="00D94190" w:rsidRPr="00D94190">
          <w:rPr>
            <w:webHidden/>
          </w:rPr>
        </w:r>
        <w:r w:rsidR="00D94190" w:rsidRPr="00D94190">
          <w:rPr>
            <w:webHidden/>
          </w:rPr>
          <w:fldChar w:fldCharType="separate"/>
        </w:r>
        <w:r w:rsidR="00D94190" w:rsidRPr="00D94190">
          <w:rPr>
            <w:webHidden/>
          </w:rPr>
          <w:t>17</w:t>
        </w:r>
        <w:r w:rsidR="00D94190" w:rsidRPr="00D94190">
          <w:rPr>
            <w:webHidden/>
          </w:rPr>
          <w:fldChar w:fldCharType="end"/>
        </w:r>
      </w:hyperlink>
    </w:p>
    <w:p w14:paraId="18A40C46" w14:textId="77777777" w:rsidR="00D94190" w:rsidRPr="00D94190" w:rsidRDefault="00CD363A">
      <w:pPr>
        <w:pStyle w:val="TOC2"/>
      </w:pPr>
      <w:hyperlink w:anchor="_Toc521932763" w:history="1">
        <w:r w:rsidR="00D94190" w:rsidRPr="00D94190">
          <w:t>1.6</w:t>
        </w:r>
        <w:r w:rsidR="00D94190" w:rsidRPr="00D94190">
          <w:tab/>
          <w:t>Balancing APRA’s objectives</w:t>
        </w:r>
        <w:r w:rsidR="00D94190" w:rsidRPr="00D94190">
          <w:rPr>
            <w:webHidden/>
          </w:rPr>
          <w:tab/>
        </w:r>
        <w:r w:rsidR="00D94190" w:rsidRPr="00D94190">
          <w:rPr>
            <w:webHidden/>
          </w:rPr>
          <w:fldChar w:fldCharType="begin"/>
        </w:r>
        <w:r w:rsidR="00D94190" w:rsidRPr="00D94190">
          <w:rPr>
            <w:webHidden/>
          </w:rPr>
          <w:instrText xml:space="preserve"> PAGEREF _Toc521932763 \h </w:instrText>
        </w:r>
        <w:r w:rsidR="00D94190" w:rsidRPr="00D94190">
          <w:rPr>
            <w:webHidden/>
          </w:rPr>
        </w:r>
        <w:r w:rsidR="00D94190" w:rsidRPr="00D94190">
          <w:rPr>
            <w:webHidden/>
          </w:rPr>
          <w:fldChar w:fldCharType="separate"/>
        </w:r>
        <w:r w:rsidR="00D94190" w:rsidRPr="00D94190">
          <w:rPr>
            <w:webHidden/>
          </w:rPr>
          <w:t>18</w:t>
        </w:r>
        <w:r w:rsidR="00D94190" w:rsidRPr="00D94190">
          <w:rPr>
            <w:webHidden/>
          </w:rPr>
          <w:fldChar w:fldCharType="end"/>
        </w:r>
      </w:hyperlink>
    </w:p>
    <w:p w14:paraId="68779525" w14:textId="77777777" w:rsidR="00D94190" w:rsidRPr="00D94190" w:rsidRDefault="00CD363A">
      <w:pPr>
        <w:pStyle w:val="TOC1"/>
      </w:pPr>
      <w:hyperlink w:anchor="_Toc521932764" w:history="1">
        <w:r w:rsidR="00D94190" w:rsidRPr="00D94190">
          <w:t>Chapter 2 – Options to improve transparency and comparability of capital ratios</w:t>
        </w:r>
        <w:r w:rsidR="00D94190" w:rsidRPr="00D94190">
          <w:rPr>
            <w:webHidden/>
          </w:rPr>
          <w:tab/>
        </w:r>
        <w:r w:rsidR="00D94190" w:rsidRPr="00D94190">
          <w:rPr>
            <w:webHidden/>
          </w:rPr>
          <w:fldChar w:fldCharType="begin"/>
        </w:r>
        <w:r w:rsidR="00D94190" w:rsidRPr="00D94190">
          <w:rPr>
            <w:webHidden/>
          </w:rPr>
          <w:instrText xml:space="preserve"> PAGEREF _Toc521932764 \h </w:instrText>
        </w:r>
        <w:r w:rsidR="00D94190" w:rsidRPr="00D94190">
          <w:rPr>
            <w:webHidden/>
          </w:rPr>
        </w:r>
        <w:r w:rsidR="00D94190" w:rsidRPr="00D94190">
          <w:rPr>
            <w:webHidden/>
          </w:rPr>
          <w:fldChar w:fldCharType="separate"/>
        </w:r>
        <w:r w:rsidR="00D94190" w:rsidRPr="00D94190">
          <w:rPr>
            <w:webHidden/>
          </w:rPr>
          <w:t>19</w:t>
        </w:r>
        <w:r w:rsidR="00D94190" w:rsidRPr="00D94190">
          <w:rPr>
            <w:webHidden/>
          </w:rPr>
          <w:fldChar w:fldCharType="end"/>
        </w:r>
      </w:hyperlink>
    </w:p>
    <w:p w14:paraId="4EA1A3BA" w14:textId="77777777" w:rsidR="00D94190" w:rsidRPr="00D94190" w:rsidRDefault="00CD363A">
      <w:pPr>
        <w:pStyle w:val="TOC2"/>
      </w:pPr>
      <w:hyperlink w:anchor="_Toc521932765" w:history="1">
        <w:r w:rsidR="00D94190" w:rsidRPr="00D94190">
          <w:t>2.1</w:t>
        </w:r>
        <w:r w:rsidR="00D94190" w:rsidRPr="00D94190">
          <w:tab/>
          <w:t>Focus on material items</w:t>
        </w:r>
        <w:r w:rsidR="00D94190" w:rsidRPr="00D94190">
          <w:rPr>
            <w:webHidden/>
          </w:rPr>
          <w:tab/>
        </w:r>
        <w:r w:rsidR="00D94190" w:rsidRPr="00D94190">
          <w:rPr>
            <w:webHidden/>
          </w:rPr>
          <w:fldChar w:fldCharType="begin"/>
        </w:r>
        <w:r w:rsidR="00D94190" w:rsidRPr="00D94190">
          <w:rPr>
            <w:webHidden/>
          </w:rPr>
          <w:instrText xml:space="preserve"> PAGEREF _Toc521932765 \h </w:instrText>
        </w:r>
        <w:r w:rsidR="00D94190" w:rsidRPr="00D94190">
          <w:rPr>
            <w:webHidden/>
          </w:rPr>
        </w:r>
        <w:r w:rsidR="00D94190" w:rsidRPr="00D94190">
          <w:rPr>
            <w:webHidden/>
          </w:rPr>
          <w:fldChar w:fldCharType="separate"/>
        </w:r>
        <w:r w:rsidR="00D94190" w:rsidRPr="00D94190">
          <w:rPr>
            <w:webHidden/>
          </w:rPr>
          <w:t>19</w:t>
        </w:r>
        <w:r w:rsidR="00D94190" w:rsidRPr="00D94190">
          <w:rPr>
            <w:webHidden/>
          </w:rPr>
          <w:fldChar w:fldCharType="end"/>
        </w:r>
      </w:hyperlink>
    </w:p>
    <w:p w14:paraId="2A12F701" w14:textId="77777777" w:rsidR="00D94190" w:rsidRPr="00D94190" w:rsidRDefault="00CD363A">
      <w:pPr>
        <w:pStyle w:val="TOC2"/>
      </w:pPr>
      <w:hyperlink w:anchor="_Toc521932766" w:history="1">
        <w:r w:rsidR="00D94190" w:rsidRPr="00D94190">
          <w:t>2.2</w:t>
        </w:r>
        <w:r w:rsidR="00D94190" w:rsidRPr="00D94190">
          <w:tab/>
          <w:t>Approaches to improving transparency and comparability</w:t>
        </w:r>
        <w:r w:rsidR="00D94190" w:rsidRPr="00D94190">
          <w:rPr>
            <w:webHidden/>
          </w:rPr>
          <w:tab/>
        </w:r>
        <w:r w:rsidR="00D94190" w:rsidRPr="00D94190">
          <w:rPr>
            <w:webHidden/>
          </w:rPr>
          <w:fldChar w:fldCharType="begin"/>
        </w:r>
        <w:r w:rsidR="00D94190" w:rsidRPr="00D94190">
          <w:rPr>
            <w:webHidden/>
          </w:rPr>
          <w:instrText xml:space="preserve"> PAGEREF _Toc521932766 \h </w:instrText>
        </w:r>
        <w:r w:rsidR="00D94190" w:rsidRPr="00D94190">
          <w:rPr>
            <w:webHidden/>
          </w:rPr>
        </w:r>
        <w:r w:rsidR="00D94190" w:rsidRPr="00D94190">
          <w:rPr>
            <w:webHidden/>
          </w:rPr>
          <w:fldChar w:fldCharType="separate"/>
        </w:r>
        <w:r w:rsidR="00D94190" w:rsidRPr="00D94190">
          <w:rPr>
            <w:webHidden/>
          </w:rPr>
          <w:t>21</w:t>
        </w:r>
        <w:r w:rsidR="00D94190" w:rsidRPr="00D94190">
          <w:rPr>
            <w:webHidden/>
          </w:rPr>
          <w:fldChar w:fldCharType="end"/>
        </w:r>
      </w:hyperlink>
    </w:p>
    <w:p w14:paraId="349AB270" w14:textId="77777777" w:rsidR="00D94190" w:rsidRPr="00D94190" w:rsidRDefault="00CD363A">
      <w:pPr>
        <w:pStyle w:val="TOC2"/>
      </w:pPr>
      <w:hyperlink w:anchor="_Toc521932767" w:history="1">
        <w:r w:rsidR="00D94190" w:rsidRPr="00D94190">
          <w:t>2.3</w:t>
        </w:r>
        <w:r w:rsidR="00D94190" w:rsidRPr="00D94190">
          <w:tab/>
          <w:t>Indicative examples</w:t>
        </w:r>
        <w:r w:rsidR="00D94190" w:rsidRPr="00D94190">
          <w:rPr>
            <w:webHidden/>
          </w:rPr>
          <w:tab/>
        </w:r>
        <w:r w:rsidR="00D94190" w:rsidRPr="00D94190">
          <w:rPr>
            <w:webHidden/>
          </w:rPr>
          <w:fldChar w:fldCharType="begin"/>
        </w:r>
        <w:r w:rsidR="00D94190" w:rsidRPr="00D94190">
          <w:rPr>
            <w:webHidden/>
          </w:rPr>
          <w:instrText xml:space="preserve"> PAGEREF _Toc521932767 \h </w:instrText>
        </w:r>
        <w:r w:rsidR="00D94190" w:rsidRPr="00D94190">
          <w:rPr>
            <w:webHidden/>
          </w:rPr>
        </w:r>
        <w:r w:rsidR="00D94190" w:rsidRPr="00D94190">
          <w:rPr>
            <w:webHidden/>
          </w:rPr>
          <w:fldChar w:fldCharType="separate"/>
        </w:r>
        <w:r w:rsidR="00D94190" w:rsidRPr="00D94190">
          <w:rPr>
            <w:webHidden/>
          </w:rPr>
          <w:t>24</w:t>
        </w:r>
        <w:r w:rsidR="00D94190" w:rsidRPr="00D94190">
          <w:rPr>
            <w:webHidden/>
          </w:rPr>
          <w:fldChar w:fldCharType="end"/>
        </w:r>
      </w:hyperlink>
    </w:p>
    <w:p w14:paraId="2DBC3AB2" w14:textId="77777777" w:rsidR="00D94190" w:rsidRPr="00D94190" w:rsidRDefault="00CD363A">
      <w:pPr>
        <w:pStyle w:val="TOC1"/>
      </w:pPr>
      <w:hyperlink w:anchor="_Toc521932768" w:history="1">
        <w:r w:rsidR="00D94190" w:rsidRPr="00D94190">
          <w:t>Chapter 3 – Increasing the flexibility of APRA’s capital framework</w:t>
        </w:r>
        <w:r w:rsidR="00D94190" w:rsidRPr="00D94190">
          <w:rPr>
            <w:webHidden/>
          </w:rPr>
          <w:tab/>
        </w:r>
        <w:r w:rsidR="00D94190" w:rsidRPr="00D94190">
          <w:rPr>
            <w:webHidden/>
          </w:rPr>
          <w:fldChar w:fldCharType="begin"/>
        </w:r>
        <w:r w:rsidR="00D94190" w:rsidRPr="00D94190">
          <w:rPr>
            <w:webHidden/>
          </w:rPr>
          <w:instrText xml:space="preserve"> PAGEREF _Toc521932768 \h </w:instrText>
        </w:r>
        <w:r w:rsidR="00D94190" w:rsidRPr="00D94190">
          <w:rPr>
            <w:webHidden/>
          </w:rPr>
        </w:r>
        <w:r w:rsidR="00D94190" w:rsidRPr="00D94190">
          <w:rPr>
            <w:webHidden/>
          </w:rPr>
          <w:fldChar w:fldCharType="separate"/>
        </w:r>
        <w:r w:rsidR="00D94190" w:rsidRPr="00D94190">
          <w:rPr>
            <w:webHidden/>
          </w:rPr>
          <w:t>29</w:t>
        </w:r>
        <w:r w:rsidR="00D94190" w:rsidRPr="00D94190">
          <w:rPr>
            <w:webHidden/>
          </w:rPr>
          <w:fldChar w:fldCharType="end"/>
        </w:r>
      </w:hyperlink>
    </w:p>
    <w:p w14:paraId="2924877F" w14:textId="77777777" w:rsidR="00D94190" w:rsidRPr="00D94190" w:rsidRDefault="00CD363A">
      <w:pPr>
        <w:pStyle w:val="TOC2"/>
      </w:pPr>
      <w:hyperlink w:anchor="_Toc521932769" w:history="1">
        <w:r w:rsidR="00D94190" w:rsidRPr="00D94190">
          <w:t>3.1</w:t>
        </w:r>
        <w:r w:rsidR="00D94190" w:rsidRPr="00D94190">
          <w:tab/>
          <w:t>Capital buffers</w:t>
        </w:r>
        <w:r w:rsidR="00D94190" w:rsidRPr="00D94190">
          <w:rPr>
            <w:webHidden/>
          </w:rPr>
          <w:tab/>
        </w:r>
        <w:r w:rsidR="00D94190" w:rsidRPr="00D94190">
          <w:rPr>
            <w:webHidden/>
          </w:rPr>
          <w:fldChar w:fldCharType="begin"/>
        </w:r>
        <w:r w:rsidR="00D94190" w:rsidRPr="00D94190">
          <w:rPr>
            <w:webHidden/>
          </w:rPr>
          <w:instrText xml:space="preserve"> PAGEREF _Toc521932769 \h </w:instrText>
        </w:r>
        <w:r w:rsidR="00D94190" w:rsidRPr="00D94190">
          <w:rPr>
            <w:webHidden/>
          </w:rPr>
        </w:r>
        <w:r w:rsidR="00D94190" w:rsidRPr="00D94190">
          <w:rPr>
            <w:webHidden/>
          </w:rPr>
          <w:fldChar w:fldCharType="separate"/>
        </w:r>
        <w:r w:rsidR="00D94190" w:rsidRPr="00D94190">
          <w:rPr>
            <w:webHidden/>
          </w:rPr>
          <w:t>29</w:t>
        </w:r>
        <w:r w:rsidR="00D94190" w:rsidRPr="00D94190">
          <w:rPr>
            <w:webHidden/>
          </w:rPr>
          <w:fldChar w:fldCharType="end"/>
        </w:r>
      </w:hyperlink>
    </w:p>
    <w:p w14:paraId="796EDBE4" w14:textId="77777777" w:rsidR="00D94190" w:rsidRPr="00D94190" w:rsidRDefault="00CD363A">
      <w:pPr>
        <w:pStyle w:val="TOC2"/>
      </w:pPr>
      <w:hyperlink w:anchor="_Toc521932770" w:history="1">
        <w:r w:rsidR="00D94190" w:rsidRPr="00D94190">
          <w:t>3.2</w:t>
        </w:r>
        <w:r w:rsidR="00D94190" w:rsidRPr="00D94190">
          <w:tab/>
          <w:t>Impact of changes on loss absorption trigger point</w:t>
        </w:r>
        <w:r w:rsidR="00D94190" w:rsidRPr="00D94190">
          <w:rPr>
            <w:webHidden/>
          </w:rPr>
          <w:tab/>
        </w:r>
        <w:r w:rsidR="00D94190" w:rsidRPr="00D94190">
          <w:rPr>
            <w:webHidden/>
          </w:rPr>
          <w:fldChar w:fldCharType="begin"/>
        </w:r>
        <w:r w:rsidR="00D94190" w:rsidRPr="00D94190">
          <w:rPr>
            <w:webHidden/>
          </w:rPr>
          <w:instrText xml:space="preserve"> PAGEREF _Toc521932770 \h </w:instrText>
        </w:r>
        <w:r w:rsidR="00D94190" w:rsidRPr="00D94190">
          <w:rPr>
            <w:webHidden/>
          </w:rPr>
        </w:r>
        <w:r w:rsidR="00D94190" w:rsidRPr="00D94190">
          <w:rPr>
            <w:webHidden/>
          </w:rPr>
          <w:fldChar w:fldCharType="separate"/>
        </w:r>
        <w:r w:rsidR="00D94190" w:rsidRPr="00D94190">
          <w:rPr>
            <w:webHidden/>
          </w:rPr>
          <w:t>30</w:t>
        </w:r>
        <w:r w:rsidR="00D94190" w:rsidRPr="00D94190">
          <w:rPr>
            <w:webHidden/>
          </w:rPr>
          <w:fldChar w:fldCharType="end"/>
        </w:r>
      </w:hyperlink>
    </w:p>
    <w:p w14:paraId="2CF6A1FB" w14:textId="77777777" w:rsidR="00D94190" w:rsidRPr="00D94190" w:rsidRDefault="00CD363A">
      <w:pPr>
        <w:pStyle w:val="TOC1"/>
      </w:pPr>
      <w:hyperlink w:anchor="_Toc521932771" w:history="1">
        <w:r w:rsidR="00D94190" w:rsidRPr="00D94190">
          <w:t>Chapter 4 – Consultation and next steps</w:t>
        </w:r>
        <w:r w:rsidR="00D94190" w:rsidRPr="00D94190">
          <w:rPr>
            <w:webHidden/>
          </w:rPr>
          <w:tab/>
        </w:r>
        <w:r w:rsidR="00D94190" w:rsidRPr="00D94190">
          <w:rPr>
            <w:webHidden/>
          </w:rPr>
          <w:fldChar w:fldCharType="begin"/>
        </w:r>
        <w:r w:rsidR="00D94190" w:rsidRPr="00D94190">
          <w:rPr>
            <w:webHidden/>
          </w:rPr>
          <w:instrText xml:space="preserve"> PAGEREF _Toc521932771 \h </w:instrText>
        </w:r>
        <w:r w:rsidR="00D94190" w:rsidRPr="00D94190">
          <w:rPr>
            <w:webHidden/>
          </w:rPr>
        </w:r>
        <w:r w:rsidR="00D94190" w:rsidRPr="00D94190">
          <w:rPr>
            <w:webHidden/>
          </w:rPr>
          <w:fldChar w:fldCharType="separate"/>
        </w:r>
        <w:r w:rsidR="00D94190" w:rsidRPr="00D94190">
          <w:rPr>
            <w:webHidden/>
          </w:rPr>
          <w:t>32</w:t>
        </w:r>
        <w:r w:rsidR="00D94190" w:rsidRPr="00D94190">
          <w:rPr>
            <w:webHidden/>
          </w:rPr>
          <w:fldChar w:fldCharType="end"/>
        </w:r>
      </w:hyperlink>
    </w:p>
    <w:p w14:paraId="0CB0E03F" w14:textId="77777777" w:rsidR="00D94190" w:rsidRPr="00D94190" w:rsidRDefault="00CD363A">
      <w:pPr>
        <w:pStyle w:val="TOC2"/>
      </w:pPr>
      <w:hyperlink w:anchor="_Toc521932772" w:history="1">
        <w:r w:rsidR="00D94190" w:rsidRPr="00D94190">
          <w:t>4.1</w:t>
        </w:r>
        <w:r w:rsidR="00D94190" w:rsidRPr="00D94190">
          <w:tab/>
          <w:t>Request for submissions and cost-benefit analysis information</w:t>
        </w:r>
        <w:r w:rsidR="00D94190" w:rsidRPr="00D94190">
          <w:rPr>
            <w:webHidden/>
          </w:rPr>
          <w:tab/>
        </w:r>
        <w:r w:rsidR="00D94190" w:rsidRPr="00D94190">
          <w:rPr>
            <w:webHidden/>
          </w:rPr>
          <w:fldChar w:fldCharType="begin"/>
        </w:r>
        <w:r w:rsidR="00D94190" w:rsidRPr="00D94190">
          <w:rPr>
            <w:webHidden/>
          </w:rPr>
          <w:instrText xml:space="preserve"> PAGEREF _Toc521932772 \h </w:instrText>
        </w:r>
        <w:r w:rsidR="00D94190" w:rsidRPr="00D94190">
          <w:rPr>
            <w:webHidden/>
          </w:rPr>
        </w:r>
        <w:r w:rsidR="00D94190" w:rsidRPr="00D94190">
          <w:rPr>
            <w:webHidden/>
          </w:rPr>
          <w:fldChar w:fldCharType="separate"/>
        </w:r>
        <w:r w:rsidR="00D94190" w:rsidRPr="00D94190">
          <w:rPr>
            <w:webHidden/>
          </w:rPr>
          <w:t>32</w:t>
        </w:r>
        <w:r w:rsidR="00D94190" w:rsidRPr="00D94190">
          <w:rPr>
            <w:webHidden/>
          </w:rPr>
          <w:fldChar w:fldCharType="end"/>
        </w:r>
      </w:hyperlink>
    </w:p>
    <w:p w14:paraId="78977DFE" w14:textId="77777777" w:rsidR="00D94190" w:rsidRPr="00D94190" w:rsidRDefault="00CD363A">
      <w:pPr>
        <w:pStyle w:val="TOC2"/>
      </w:pPr>
      <w:hyperlink w:anchor="_Toc521932773" w:history="1">
        <w:r w:rsidR="00D94190" w:rsidRPr="00D94190">
          <w:t>4.2</w:t>
        </w:r>
        <w:r w:rsidR="00D94190" w:rsidRPr="00D94190">
          <w:tab/>
          <w:t>Consultation questions</w:t>
        </w:r>
        <w:r w:rsidR="00D94190" w:rsidRPr="00D94190">
          <w:rPr>
            <w:webHidden/>
          </w:rPr>
          <w:tab/>
        </w:r>
        <w:r w:rsidR="00D94190" w:rsidRPr="00D94190">
          <w:rPr>
            <w:webHidden/>
          </w:rPr>
          <w:fldChar w:fldCharType="begin"/>
        </w:r>
        <w:r w:rsidR="00D94190" w:rsidRPr="00D94190">
          <w:rPr>
            <w:webHidden/>
          </w:rPr>
          <w:instrText xml:space="preserve"> PAGEREF _Toc521932773 \h </w:instrText>
        </w:r>
        <w:r w:rsidR="00D94190" w:rsidRPr="00D94190">
          <w:rPr>
            <w:webHidden/>
          </w:rPr>
        </w:r>
        <w:r w:rsidR="00D94190" w:rsidRPr="00D94190">
          <w:rPr>
            <w:webHidden/>
          </w:rPr>
          <w:fldChar w:fldCharType="separate"/>
        </w:r>
        <w:r w:rsidR="00D94190" w:rsidRPr="00D94190">
          <w:rPr>
            <w:webHidden/>
          </w:rPr>
          <w:t>33</w:t>
        </w:r>
        <w:r w:rsidR="00D94190" w:rsidRPr="00D94190">
          <w:rPr>
            <w:webHidden/>
          </w:rPr>
          <w:fldChar w:fldCharType="end"/>
        </w:r>
      </w:hyperlink>
    </w:p>
    <w:p w14:paraId="66C96073" w14:textId="77777777" w:rsidR="00D94190" w:rsidRPr="00D94190" w:rsidRDefault="00CD363A">
      <w:pPr>
        <w:pStyle w:val="TOC2"/>
      </w:pPr>
      <w:hyperlink w:anchor="_Toc521932774" w:history="1">
        <w:r w:rsidR="00D94190" w:rsidRPr="00D94190">
          <w:t>4.3</w:t>
        </w:r>
        <w:r w:rsidR="00D94190" w:rsidRPr="00D94190">
          <w:tab/>
          <w:t>Next steps</w:t>
        </w:r>
        <w:r w:rsidR="00D94190" w:rsidRPr="00D94190">
          <w:rPr>
            <w:webHidden/>
          </w:rPr>
          <w:tab/>
        </w:r>
        <w:r w:rsidR="00D94190" w:rsidRPr="00D94190">
          <w:rPr>
            <w:webHidden/>
          </w:rPr>
          <w:fldChar w:fldCharType="begin"/>
        </w:r>
        <w:r w:rsidR="00D94190" w:rsidRPr="00D94190">
          <w:rPr>
            <w:webHidden/>
          </w:rPr>
          <w:instrText xml:space="preserve"> PAGEREF _Toc521932774 \h </w:instrText>
        </w:r>
        <w:r w:rsidR="00D94190" w:rsidRPr="00D94190">
          <w:rPr>
            <w:webHidden/>
          </w:rPr>
        </w:r>
        <w:r w:rsidR="00D94190" w:rsidRPr="00D94190">
          <w:rPr>
            <w:webHidden/>
          </w:rPr>
          <w:fldChar w:fldCharType="separate"/>
        </w:r>
        <w:r w:rsidR="00D94190" w:rsidRPr="00D94190">
          <w:rPr>
            <w:webHidden/>
          </w:rPr>
          <w:t>34</w:t>
        </w:r>
        <w:r w:rsidR="00D94190" w:rsidRPr="00D94190">
          <w:rPr>
            <w:webHidden/>
          </w:rPr>
          <w:fldChar w:fldCharType="end"/>
        </w:r>
      </w:hyperlink>
    </w:p>
    <w:p w14:paraId="5685FA43" w14:textId="77777777" w:rsidR="00D94190" w:rsidRPr="00D94190" w:rsidRDefault="00CD363A">
      <w:pPr>
        <w:pStyle w:val="TOC1"/>
      </w:pPr>
      <w:hyperlink w:anchor="_Toc521932775" w:history="1">
        <w:r w:rsidR="00D94190" w:rsidRPr="00D94190">
          <w:t>Attachment A – Policy options and estimated comparative net benefit</w:t>
        </w:r>
        <w:r w:rsidR="00D94190" w:rsidRPr="00D94190">
          <w:rPr>
            <w:webHidden/>
          </w:rPr>
          <w:tab/>
        </w:r>
        <w:r w:rsidR="00D94190" w:rsidRPr="00D94190">
          <w:rPr>
            <w:webHidden/>
          </w:rPr>
          <w:fldChar w:fldCharType="begin"/>
        </w:r>
        <w:r w:rsidR="00D94190" w:rsidRPr="00D94190">
          <w:rPr>
            <w:webHidden/>
          </w:rPr>
          <w:instrText xml:space="preserve"> PAGEREF _Toc521932775 \h </w:instrText>
        </w:r>
        <w:r w:rsidR="00D94190" w:rsidRPr="00D94190">
          <w:rPr>
            <w:webHidden/>
          </w:rPr>
        </w:r>
        <w:r w:rsidR="00D94190" w:rsidRPr="00D94190">
          <w:rPr>
            <w:webHidden/>
          </w:rPr>
          <w:fldChar w:fldCharType="separate"/>
        </w:r>
        <w:r w:rsidR="00D94190" w:rsidRPr="00D94190">
          <w:rPr>
            <w:webHidden/>
          </w:rPr>
          <w:t>35</w:t>
        </w:r>
        <w:r w:rsidR="00D94190" w:rsidRPr="00D94190">
          <w:rPr>
            <w:webHidden/>
          </w:rPr>
          <w:fldChar w:fldCharType="end"/>
        </w:r>
      </w:hyperlink>
    </w:p>
    <w:p w14:paraId="1AB14E94" w14:textId="77777777" w:rsidR="004678F4" w:rsidRPr="000C34C0" w:rsidRDefault="00BD5FC9" w:rsidP="00BD5FC9">
      <w:pPr>
        <w:pStyle w:val="TOC1"/>
      </w:pPr>
      <w:r w:rsidRPr="00D94190">
        <w:fldChar w:fldCharType="end"/>
      </w:r>
      <w:r w:rsidR="004678F4" w:rsidRPr="000C34C0">
        <w:br w:type="page"/>
      </w:r>
    </w:p>
    <w:p w14:paraId="1F205717" w14:textId="77777777" w:rsidR="00050BC5" w:rsidRDefault="00050BC5" w:rsidP="005C706C">
      <w:pPr>
        <w:pStyle w:val="APRAHEADING1-NONUMBER"/>
      </w:pPr>
      <w:bookmarkStart w:id="6" w:name="_Toc510689487"/>
      <w:bookmarkStart w:id="7" w:name="_Toc510690465"/>
      <w:bookmarkStart w:id="8" w:name="_Toc514172182"/>
      <w:bookmarkStart w:id="9" w:name="_Toc518658236"/>
      <w:bookmarkStart w:id="10" w:name="_Toc521401208"/>
      <w:bookmarkStart w:id="11" w:name="_Toc521508282"/>
      <w:bookmarkStart w:id="12" w:name="_Toc521932755"/>
      <w:bookmarkStart w:id="13" w:name="_Toc497473650"/>
      <w:r>
        <w:lastRenderedPageBreak/>
        <w:t xml:space="preserve">Executive </w:t>
      </w:r>
      <w:r w:rsidRPr="005C706C">
        <w:t>Summary</w:t>
      </w:r>
      <w:bookmarkEnd w:id="6"/>
      <w:bookmarkEnd w:id="7"/>
      <w:bookmarkEnd w:id="8"/>
      <w:bookmarkEnd w:id="9"/>
      <w:bookmarkEnd w:id="10"/>
      <w:bookmarkEnd w:id="11"/>
      <w:bookmarkEnd w:id="12"/>
    </w:p>
    <w:p w14:paraId="135E60EE" w14:textId="2921047D" w:rsidR="0046583D" w:rsidRDefault="0046583D" w:rsidP="00050BC5">
      <w:pPr>
        <w:rPr>
          <w:rFonts w:ascii="DIN OT Light" w:hAnsi="DIN OT Light"/>
        </w:rPr>
      </w:pPr>
      <w:r>
        <w:rPr>
          <w:rFonts w:ascii="DIN OT Light" w:hAnsi="DIN OT Light"/>
        </w:rPr>
        <w:t>Capital is the co</w:t>
      </w:r>
      <w:r w:rsidR="00A0245B">
        <w:rPr>
          <w:rFonts w:ascii="DIN OT Light" w:hAnsi="DIN OT Light"/>
        </w:rPr>
        <w:t>r</w:t>
      </w:r>
      <w:r>
        <w:rPr>
          <w:rFonts w:ascii="DIN OT Light" w:hAnsi="DIN OT Light"/>
        </w:rPr>
        <w:t>nerstone of a bank’s financial strength. It affords the capacity for banks to take risks, by providing a source of funding to absorb losses when they arise</w:t>
      </w:r>
      <w:r w:rsidR="006636A1">
        <w:rPr>
          <w:rFonts w:ascii="DIN OT Light" w:hAnsi="DIN OT Light"/>
        </w:rPr>
        <w:t>,</w:t>
      </w:r>
      <w:r>
        <w:rPr>
          <w:rFonts w:ascii="DIN OT Light" w:hAnsi="DIN OT Light"/>
        </w:rPr>
        <w:t xml:space="preserve"> without jeopardising the ability of the bank to pay its claims to depositors and other creditors as and when they fall due. Ensuring banks have adequate capital is a core task of prudential regulators.</w:t>
      </w:r>
    </w:p>
    <w:p w14:paraId="7BEC3B09" w14:textId="741CE8BF" w:rsidR="0046583D" w:rsidRDefault="0046583D" w:rsidP="00050BC5">
      <w:pPr>
        <w:rPr>
          <w:rFonts w:ascii="DIN OT Light" w:hAnsi="DIN OT Light"/>
        </w:rPr>
      </w:pPr>
      <w:r>
        <w:rPr>
          <w:rFonts w:ascii="DIN OT Light" w:hAnsi="DIN OT Light"/>
        </w:rPr>
        <w:t xml:space="preserve">Since the business of banking is built on trust and confidence, it is essential that banks not only have adequate capital, but also that depositors and other investors are confident that that is the case. In this regard, disclosure has an important role to play as well, allowing stakeholders to understand and assess a bank’s capital adequacy, both over time and relative to peers.  </w:t>
      </w:r>
    </w:p>
    <w:p w14:paraId="36B9C03C" w14:textId="359ED368" w:rsidR="00050BC5" w:rsidRDefault="00050BC5" w:rsidP="00050BC5">
      <w:pPr>
        <w:rPr>
          <w:rFonts w:ascii="DIN OT Light" w:hAnsi="DIN OT Light"/>
        </w:rPr>
      </w:pPr>
      <w:r>
        <w:rPr>
          <w:rFonts w:ascii="DIN OT Light" w:hAnsi="DIN OT Light"/>
        </w:rPr>
        <w:t xml:space="preserve">In implementing the Basel </w:t>
      </w:r>
      <w:r w:rsidR="004503CB">
        <w:rPr>
          <w:rFonts w:ascii="DIN OT Light" w:hAnsi="DIN OT Light"/>
        </w:rPr>
        <w:t xml:space="preserve">Committee on Banking Supervision’s </w:t>
      </w:r>
      <w:r w:rsidR="00C07978">
        <w:rPr>
          <w:rFonts w:ascii="DIN OT Light" w:hAnsi="DIN OT Light"/>
        </w:rPr>
        <w:t xml:space="preserve">capital </w:t>
      </w:r>
      <w:r>
        <w:rPr>
          <w:rFonts w:ascii="DIN OT Light" w:hAnsi="DIN OT Light"/>
        </w:rPr>
        <w:t xml:space="preserve">framework, the Australian Prudential Regulation Authority (APRA) has adopted a more conservative approach than the </w:t>
      </w:r>
      <w:r w:rsidR="00A3242F">
        <w:rPr>
          <w:rFonts w:ascii="DIN OT Light" w:hAnsi="DIN OT Light"/>
        </w:rPr>
        <w:t>internationally agreed</w:t>
      </w:r>
      <w:r>
        <w:rPr>
          <w:rFonts w:ascii="DIN OT Light" w:hAnsi="DIN OT Light"/>
        </w:rPr>
        <w:t xml:space="preserve"> minimum</w:t>
      </w:r>
      <w:r w:rsidR="00A3242F">
        <w:rPr>
          <w:rFonts w:ascii="DIN OT Light" w:hAnsi="DIN OT Light"/>
        </w:rPr>
        <w:t xml:space="preserve"> requirements</w:t>
      </w:r>
      <w:r w:rsidR="00B86019">
        <w:rPr>
          <w:rFonts w:ascii="DIN OT Light" w:hAnsi="DIN OT Light"/>
        </w:rPr>
        <w:t xml:space="preserve"> in a number of areas</w:t>
      </w:r>
      <w:r>
        <w:rPr>
          <w:rFonts w:ascii="DIN OT Light" w:hAnsi="DIN OT Light"/>
        </w:rPr>
        <w:t xml:space="preserve">. </w:t>
      </w:r>
      <w:r w:rsidR="0046583D">
        <w:rPr>
          <w:rFonts w:ascii="DIN OT Light" w:hAnsi="DIN OT Light"/>
        </w:rPr>
        <w:t>As a result,</w:t>
      </w:r>
      <w:r>
        <w:rPr>
          <w:rFonts w:ascii="DIN OT Light" w:hAnsi="DIN OT Light"/>
        </w:rPr>
        <w:t xml:space="preserve"> the </w:t>
      </w:r>
      <w:r w:rsidR="0046583D">
        <w:rPr>
          <w:rFonts w:ascii="DIN OT Light" w:hAnsi="DIN OT Light"/>
        </w:rPr>
        <w:t xml:space="preserve">reported </w:t>
      </w:r>
      <w:r>
        <w:rPr>
          <w:rFonts w:ascii="DIN OT Light" w:hAnsi="DIN OT Light"/>
        </w:rPr>
        <w:t xml:space="preserve">capital ratios of Australian </w:t>
      </w:r>
      <w:r w:rsidR="00C07978">
        <w:rPr>
          <w:rFonts w:ascii="DIN OT Light" w:hAnsi="DIN OT Light"/>
        </w:rPr>
        <w:t>authorised deposit-taking institutions (</w:t>
      </w:r>
      <w:r>
        <w:rPr>
          <w:rFonts w:ascii="DIN OT Light" w:hAnsi="DIN OT Light"/>
        </w:rPr>
        <w:t>ADIs</w:t>
      </w:r>
      <w:r w:rsidR="00C07978">
        <w:rPr>
          <w:rFonts w:ascii="DIN OT Light" w:hAnsi="DIN OT Light"/>
        </w:rPr>
        <w:t>)</w:t>
      </w:r>
      <w:r>
        <w:rPr>
          <w:rFonts w:ascii="DIN OT Light" w:hAnsi="DIN OT Light"/>
        </w:rPr>
        <w:t xml:space="preserve"> </w:t>
      </w:r>
      <w:r w:rsidR="008F3547">
        <w:rPr>
          <w:rFonts w:ascii="DIN OT Light" w:hAnsi="DIN OT Light"/>
        </w:rPr>
        <w:t xml:space="preserve">will </w:t>
      </w:r>
      <w:r w:rsidR="001D5059">
        <w:rPr>
          <w:rFonts w:ascii="DIN OT Light" w:hAnsi="DIN OT Light"/>
        </w:rPr>
        <w:t xml:space="preserve">generally be </w:t>
      </w:r>
      <w:r>
        <w:rPr>
          <w:rFonts w:ascii="DIN OT Light" w:hAnsi="DIN OT Light"/>
        </w:rPr>
        <w:t>lower than banks of comparable capital strength in other jurisdictions</w:t>
      </w:r>
      <w:r w:rsidR="00E56966">
        <w:rPr>
          <w:rFonts w:ascii="DIN OT Light" w:hAnsi="DIN OT Light"/>
        </w:rPr>
        <w:t xml:space="preserve">. </w:t>
      </w:r>
      <w:r w:rsidR="0046583D">
        <w:rPr>
          <w:rFonts w:ascii="DIN OT Light" w:hAnsi="DIN OT Light"/>
        </w:rPr>
        <w:t xml:space="preserve">Concern has been expressed that, if these Australian differences are not well understood, the capital strength of Australian ADIs may be underestimated, which could in turn </w:t>
      </w:r>
      <w:r>
        <w:rPr>
          <w:rFonts w:ascii="DIN OT Light" w:hAnsi="DIN OT Light"/>
        </w:rPr>
        <w:t xml:space="preserve">make it more difficult or costly for </w:t>
      </w:r>
      <w:r w:rsidR="00A3242F">
        <w:rPr>
          <w:rFonts w:ascii="DIN OT Light" w:hAnsi="DIN OT Light"/>
        </w:rPr>
        <w:t>ADIs</w:t>
      </w:r>
      <w:r>
        <w:rPr>
          <w:rFonts w:ascii="DIN OT Light" w:hAnsi="DIN OT Light"/>
        </w:rPr>
        <w:t xml:space="preserve"> to </w:t>
      </w:r>
      <w:r w:rsidR="0046583D">
        <w:rPr>
          <w:rFonts w:ascii="DIN OT Light" w:hAnsi="DIN OT Light"/>
        </w:rPr>
        <w:t xml:space="preserve">raise funds and </w:t>
      </w:r>
      <w:r>
        <w:rPr>
          <w:rFonts w:ascii="DIN OT Light" w:hAnsi="DIN OT Light"/>
        </w:rPr>
        <w:t>access international capital markets</w:t>
      </w:r>
      <w:r w:rsidR="0046583D">
        <w:rPr>
          <w:rFonts w:ascii="DIN OT Light" w:hAnsi="DIN OT Light"/>
        </w:rPr>
        <w:t xml:space="preserve"> (</w:t>
      </w:r>
      <w:r w:rsidR="00E56966">
        <w:rPr>
          <w:rFonts w:ascii="DIN OT Light" w:hAnsi="DIN OT Light"/>
        </w:rPr>
        <w:t>particularly in times of market disruption or other financial stress</w:t>
      </w:r>
      <w:r w:rsidR="0046583D">
        <w:rPr>
          <w:rFonts w:ascii="DIN OT Light" w:hAnsi="DIN OT Light"/>
        </w:rPr>
        <w:t>)</w:t>
      </w:r>
      <w:r w:rsidR="00E56966">
        <w:rPr>
          <w:rFonts w:ascii="DIN OT Light" w:hAnsi="DIN OT Light"/>
        </w:rPr>
        <w:t>.</w:t>
      </w:r>
    </w:p>
    <w:p w14:paraId="11F4FF81" w14:textId="422AFFB3" w:rsidR="0046583D" w:rsidRDefault="0046583D" w:rsidP="0046583D">
      <w:pPr>
        <w:pStyle w:val="APRANORMAL"/>
      </w:pPr>
      <w:r>
        <w:t>In its current program of reform of the ADI capital framework, APRA is pur</w:t>
      </w:r>
      <w:r w:rsidR="00B22D10">
        <w:t>suin</w:t>
      </w:r>
      <w:r>
        <w:t>g three princip</w:t>
      </w:r>
      <w:r w:rsidR="002756DD">
        <w:t>a</w:t>
      </w:r>
      <w:r>
        <w:t>l objectives:</w:t>
      </w:r>
    </w:p>
    <w:p w14:paraId="7EFABC45" w14:textId="43FF4B9E" w:rsidR="0046583D" w:rsidRDefault="0046583D" w:rsidP="0046583D">
      <w:pPr>
        <w:pStyle w:val="APRABULLET"/>
      </w:pPr>
      <w:r w:rsidRPr="00C36448">
        <w:rPr>
          <w:rFonts w:ascii="DIN OT Medium" w:hAnsi="DIN OT Medium"/>
        </w:rPr>
        <w:t>the quantum of capital</w:t>
      </w:r>
      <w:r>
        <w:t xml:space="preserve"> - to achieve an overall level of capital that meets the ‘unquestionably strong’ aspiration set by the F</w:t>
      </w:r>
      <w:r w:rsidR="00F121CF">
        <w:t xml:space="preserve">inancial </w:t>
      </w:r>
      <w:r>
        <w:t>S</w:t>
      </w:r>
      <w:r w:rsidR="00F121CF">
        <w:t xml:space="preserve">ystem </w:t>
      </w:r>
      <w:r>
        <w:t>I</w:t>
      </w:r>
      <w:r w:rsidR="00F121CF">
        <w:t>nquiry</w:t>
      </w:r>
      <w:r>
        <w:t xml:space="preserve"> (as set out in APRA’s July 2017 Information Paper);</w:t>
      </w:r>
      <w:r w:rsidR="00E20C00">
        <w:rPr>
          <w:rStyle w:val="FootnoteReference"/>
        </w:rPr>
        <w:footnoteReference w:id="2"/>
      </w:r>
      <w:r w:rsidR="00A1758E" w:rsidRPr="00A1758E">
        <w:rPr>
          <w:vertAlign w:val="superscript"/>
        </w:rPr>
        <w:t>,</w:t>
      </w:r>
      <w:r w:rsidR="00E20C00">
        <w:t xml:space="preserve"> </w:t>
      </w:r>
      <w:r w:rsidR="00E20C00">
        <w:rPr>
          <w:rStyle w:val="FootnoteReference"/>
        </w:rPr>
        <w:footnoteReference w:id="3"/>
      </w:r>
    </w:p>
    <w:p w14:paraId="74159D0C" w14:textId="2F18702D" w:rsidR="0046583D" w:rsidRDefault="0046583D" w:rsidP="0046583D">
      <w:pPr>
        <w:pStyle w:val="APRABULLET"/>
      </w:pPr>
      <w:r w:rsidRPr="00C36448">
        <w:rPr>
          <w:rFonts w:ascii="DIN OT Medium" w:hAnsi="DIN OT Medium"/>
        </w:rPr>
        <w:lastRenderedPageBreak/>
        <w:t>the allocation of capital</w:t>
      </w:r>
      <w:r>
        <w:t xml:space="preserve"> - to improve the risk</w:t>
      </w:r>
      <w:r w:rsidR="00A1758E">
        <w:t xml:space="preserve"> </w:t>
      </w:r>
      <w:r>
        <w:t>sensitivity of current capital requirements, where possible, by more appropriately aligning capital requirements to underlying risks (as set out in APRA’s February 2018 Discussion Paper);</w:t>
      </w:r>
      <w:r w:rsidR="00E20C00">
        <w:rPr>
          <w:rStyle w:val="FootnoteReference"/>
        </w:rPr>
        <w:footnoteReference w:id="4"/>
      </w:r>
      <w:r>
        <w:t xml:space="preserve"> and</w:t>
      </w:r>
    </w:p>
    <w:p w14:paraId="28F264F5" w14:textId="1C94E4A4" w:rsidR="0046583D" w:rsidRDefault="0046583D" w:rsidP="0046583D">
      <w:pPr>
        <w:pStyle w:val="APRABULLET"/>
      </w:pPr>
      <w:r w:rsidRPr="00C36448">
        <w:rPr>
          <w:rFonts w:ascii="DIN OT Medium" w:hAnsi="DIN OT Medium"/>
        </w:rPr>
        <w:t>the comparability of capital</w:t>
      </w:r>
      <w:r>
        <w:t xml:space="preserve"> - to improve the transparency, comparability and flexibility of the capital framework where possible, without materially jeopardising either of the other two objectives.</w:t>
      </w:r>
      <w:r w:rsidR="00E20C00">
        <w:t xml:space="preserve"> </w:t>
      </w:r>
    </w:p>
    <w:p w14:paraId="7C36CA78" w14:textId="45F77537" w:rsidR="0046583D" w:rsidRDefault="0046583D" w:rsidP="00C36448">
      <w:pPr>
        <w:pStyle w:val="APRANORMAL"/>
      </w:pPr>
      <w:r>
        <w:t>This paper deals with the third objective, setting out potential options to improve the transparency, comparability and flexibility of the capital framework.</w:t>
      </w:r>
    </w:p>
    <w:p w14:paraId="25B69401" w14:textId="77777777" w:rsidR="00FD67F6" w:rsidRDefault="00FD67F6" w:rsidP="00FD67F6">
      <w:pPr>
        <w:pStyle w:val="APRAFIGURE"/>
      </w:pPr>
      <w:r>
        <w:t>Revisions to the ADI capital framework</w:t>
      </w:r>
    </w:p>
    <w:p w14:paraId="6858A7E1" w14:textId="0F73FB3A" w:rsidR="00FD67F6" w:rsidRDefault="00997765" w:rsidP="006E1FE9">
      <w:pPr>
        <w:pStyle w:val="APRANORMAL"/>
        <w:spacing w:after="0"/>
      </w:pPr>
      <w:r w:rsidRPr="00997765">
        <w:rPr>
          <w:noProof/>
          <w:lang w:val="en-AU" w:eastAsia="en-AU"/>
        </w:rPr>
        <w:drawing>
          <wp:inline distT="0" distB="0" distL="0" distR="0" wp14:anchorId="4CC48D56" wp14:editId="57F737B1">
            <wp:extent cx="5731510" cy="4697181"/>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697181"/>
                    </a:xfrm>
                    <a:prstGeom prst="rect">
                      <a:avLst/>
                    </a:prstGeom>
                    <a:noFill/>
                    <a:ln>
                      <a:noFill/>
                    </a:ln>
                  </pic:spPr>
                </pic:pic>
              </a:graphicData>
            </a:graphic>
          </wp:inline>
        </w:drawing>
      </w:r>
    </w:p>
    <w:p w14:paraId="69C6097E" w14:textId="77777777" w:rsidR="0046583D" w:rsidRDefault="0046583D" w:rsidP="0046583D">
      <w:pPr>
        <w:pStyle w:val="APRANORMAL"/>
      </w:pPr>
    </w:p>
    <w:p w14:paraId="765BC126" w14:textId="5E7A5999" w:rsidR="0046583D" w:rsidRDefault="0046583D" w:rsidP="0046583D">
      <w:pPr>
        <w:pStyle w:val="APRANORMAL"/>
      </w:pPr>
      <w:r w:rsidRPr="00C36448">
        <w:rPr>
          <w:rFonts w:ascii="DIN OT Medium" w:hAnsi="DIN OT Medium"/>
        </w:rPr>
        <w:t>Importantly, the proposals in this paper are not intended to change the quantum or allocation of capital.</w:t>
      </w:r>
      <w:r>
        <w:rPr>
          <w:b/>
        </w:rPr>
        <w:t xml:space="preserve"> </w:t>
      </w:r>
      <w:r w:rsidRPr="00743942">
        <w:t xml:space="preserve">Rather, this paper </w:t>
      </w:r>
      <w:r>
        <w:t xml:space="preserve">commences consultation on potential approaches </w:t>
      </w:r>
      <w:r w:rsidRPr="00743942">
        <w:t xml:space="preserve">to </w:t>
      </w:r>
      <w:r w:rsidRPr="00743942">
        <w:lastRenderedPageBreak/>
        <w:t>improve transparency, comparability and flexibility</w:t>
      </w:r>
      <w:r>
        <w:t xml:space="preserve"> of the ADI capital framework.</w:t>
      </w:r>
      <w:r w:rsidRPr="00743942">
        <w:t xml:space="preserve"> These approaches, which are summarised below, focus on amending disclosure requirements and </w:t>
      </w:r>
      <w:r>
        <w:t>the way in which ADIs would be required to calculate and report capital ratios, without altering the quantum and risk</w:t>
      </w:r>
      <w:r w:rsidR="00A1758E">
        <w:t xml:space="preserve"> </w:t>
      </w:r>
      <w:r>
        <w:t>sensitivity of capital requirements.</w:t>
      </w:r>
      <w:r w:rsidDel="00706959">
        <w:t xml:space="preserve"> </w:t>
      </w:r>
    </w:p>
    <w:p w14:paraId="2C2D4173" w14:textId="337806DB" w:rsidR="001879F8" w:rsidRPr="00743942" w:rsidRDefault="00E56966">
      <w:pPr>
        <w:pStyle w:val="APRANORMAL"/>
      </w:pPr>
      <w:r>
        <w:t>APRA is considering</w:t>
      </w:r>
      <w:r w:rsidR="00B02EDB">
        <w:t xml:space="preserve"> two conceptual approaches</w:t>
      </w:r>
      <w:r w:rsidR="009C0F1D">
        <w:t xml:space="preserve">, which </w:t>
      </w:r>
      <w:r w:rsidR="00972A35">
        <w:t>may be applied individually or in combination</w:t>
      </w:r>
      <w:r w:rsidR="00226B0B">
        <w:t>, to improve transparency and comparability of ADI capital ratios</w:t>
      </w:r>
      <w:r w:rsidR="0046583D">
        <w:t>:</w:t>
      </w:r>
      <w:r>
        <w:t xml:space="preserve"> </w:t>
      </w:r>
    </w:p>
    <w:p w14:paraId="5F34A308" w14:textId="25F75F77" w:rsidR="001879F8" w:rsidRPr="00743942" w:rsidRDefault="007B63E2" w:rsidP="00C36448">
      <w:pPr>
        <w:pStyle w:val="APRABULLET"/>
      </w:pPr>
      <w:r>
        <w:t>Under th</w:t>
      </w:r>
      <w:r w:rsidR="00E56966">
        <w:t>e first</w:t>
      </w:r>
      <w:r>
        <w:t xml:space="preserve"> approach, </w:t>
      </w:r>
      <w:r w:rsidR="001879F8" w:rsidRPr="00743942">
        <w:t xml:space="preserve">APRA </w:t>
      </w:r>
      <w:r w:rsidR="00A75346">
        <w:t>would</w:t>
      </w:r>
      <w:r w:rsidR="001879F8" w:rsidRPr="00743942">
        <w:t xml:space="preserve"> specify </w:t>
      </w:r>
      <w:r w:rsidR="008F3547">
        <w:t xml:space="preserve">a methodology </w:t>
      </w:r>
      <w:r w:rsidR="001879F8" w:rsidRPr="00743942">
        <w:t xml:space="preserve">to quantify </w:t>
      </w:r>
      <w:r w:rsidR="00972A35">
        <w:t>certain</w:t>
      </w:r>
      <w:r w:rsidR="001879F8" w:rsidRPr="00743942">
        <w:t xml:space="preserve"> aspects of </w:t>
      </w:r>
      <w:r w:rsidR="001879F8">
        <w:t xml:space="preserve">relative </w:t>
      </w:r>
      <w:r w:rsidR="001879F8" w:rsidRPr="00743942">
        <w:t xml:space="preserve">conservatism within </w:t>
      </w:r>
      <w:r w:rsidR="00972A35">
        <w:t>the ADI</w:t>
      </w:r>
      <w:r w:rsidR="00972A35" w:rsidRPr="00743942">
        <w:t xml:space="preserve"> </w:t>
      </w:r>
      <w:r w:rsidR="00972A35">
        <w:t xml:space="preserve">capital </w:t>
      </w:r>
      <w:r w:rsidR="001879F8" w:rsidRPr="00743942">
        <w:t>framework. Th</w:t>
      </w:r>
      <w:r w:rsidR="008F3547">
        <w:t xml:space="preserve">is methodology would </w:t>
      </w:r>
      <w:r w:rsidR="001879F8" w:rsidRPr="00743942">
        <w:t>be used to estimate internationally comparable capital ratios</w:t>
      </w:r>
      <w:r w:rsidR="008F3547">
        <w:t xml:space="preserve"> for disclosure purposes only.</w:t>
      </w:r>
      <w:r w:rsidR="00B02EDB">
        <w:t xml:space="preserve"> This approach </w:t>
      </w:r>
      <w:r w:rsidR="001879F8" w:rsidRPr="00743942">
        <w:t>would be subject to mandatory reporting requirements and, for ADIs</w:t>
      </w:r>
      <w:r w:rsidR="00C86C15">
        <w:t xml:space="preserve"> using the internal</w:t>
      </w:r>
      <w:r w:rsidR="009C0F1D">
        <w:t xml:space="preserve"> </w:t>
      </w:r>
      <w:r w:rsidR="00C86C15">
        <w:t>ratings</w:t>
      </w:r>
      <w:r w:rsidR="009C0F1D">
        <w:t>-</w:t>
      </w:r>
      <w:r w:rsidR="00C86C15">
        <w:t>based (IRB) approach to credit risk</w:t>
      </w:r>
      <w:r w:rsidR="000518DB">
        <w:t xml:space="preserve"> (IRB ADIs)</w:t>
      </w:r>
      <w:r w:rsidR="001879F8" w:rsidRPr="00743942">
        <w:t>, mandatory disclosure requirements.</w:t>
      </w:r>
      <w:r w:rsidR="001879F8">
        <w:t xml:space="preserve"> </w:t>
      </w:r>
    </w:p>
    <w:p w14:paraId="015F43F9" w14:textId="31F4CFAE" w:rsidR="001879F8" w:rsidRPr="00743942" w:rsidRDefault="001879F8" w:rsidP="00C36448">
      <w:pPr>
        <w:pStyle w:val="APRABULLET"/>
        <w:spacing w:after="240"/>
        <w:ind w:left="357" w:hanging="357"/>
      </w:pPr>
      <w:r w:rsidRPr="00743942">
        <w:t>Under th</w:t>
      </w:r>
      <w:r w:rsidR="00E56966">
        <w:t>e second</w:t>
      </w:r>
      <w:r w:rsidRPr="00743942">
        <w:t xml:space="preserve"> approach, some aspects of </w:t>
      </w:r>
      <w:r>
        <w:t xml:space="preserve">relative </w:t>
      </w:r>
      <w:r w:rsidRPr="00743942">
        <w:t xml:space="preserve">conservatism within the definition of capital and calculation of </w:t>
      </w:r>
      <w:r w:rsidR="00761585">
        <w:t>risk-weighted assets (</w:t>
      </w:r>
      <w:r w:rsidRPr="00743942">
        <w:t>RWA</w:t>
      </w:r>
      <w:r w:rsidR="00761585">
        <w:t>)</w:t>
      </w:r>
      <w:r w:rsidRPr="00743942">
        <w:t xml:space="preserve"> </w:t>
      </w:r>
      <w:r w:rsidR="00E56966">
        <w:t>w</w:t>
      </w:r>
      <w:r w:rsidRPr="00743942">
        <w:t xml:space="preserve">ould be </w:t>
      </w:r>
      <w:r w:rsidR="008F3547">
        <w:t>modified</w:t>
      </w:r>
      <w:r w:rsidR="008F3547" w:rsidRPr="00743942">
        <w:t xml:space="preserve"> </w:t>
      </w:r>
      <w:r w:rsidRPr="00743942">
        <w:t xml:space="preserve">so that </w:t>
      </w:r>
      <w:r w:rsidR="003F278D">
        <w:t xml:space="preserve">ADI </w:t>
      </w:r>
      <w:r w:rsidRPr="00743942">
        <w:t xml:space="preserve">capital ratios would be calculated on a more internationally harmonised basis. To maintain the strength </w:t>
      </w:r>
      <w:r w:rsidR="00972A35">
        <w:t>and risk</w:t>
      </w:r>
      <w:r w:rsidR="00A1758E">
        <w:t xml:space="preserve"> </w:t>
      </w:r>
      <w:r w:rsidR="00972A35">
        <w:t xml:space="preserve">sensitivity </w:t>
      </w:r>
      <w:r w:rsidRPr="00743942">
        <w:t xml:space="preserve">of the capital framework, there would be corresponding increases in minimum capital ratio </w:t>
      </w:r>
      <w:r w:rsidR="00536C82">
        <w:t>and/</w:t>
      </w:r>
      <w:r w:rsidR="00B25C44">
        <w:t xml:space="preserve">or capital buffer </w:t>
      </w:r>
      <w:r w:rsidRPr="00743942">
        <w:t>requirements. These increases</w:t>
      </w:r>
      <w:r w:rsidR="002A648E">
        <w:t>,</w:t>
      </w:r>
      <w:r w:rsidRPr="00743942">
        <w:t xml:space="preserve"> which would </w:t>
      </w:r>
      <w:r>
        <w:t xml:space="preserve">be </w:t>
      </w:r>
      <w:r w:rsidRPr="00743942">
        <w:t xml:space="preserve">specific to each ADI, would be based on the </w:t>
      </w:r>
      <w:r w:rsidR="0089156A">
        <w:t>data</w:t>
      </w:r>
      <w:r w:rsidR="0089156A" w:rsidRPr="00743942">
        <w:t xml:space="preserve"> </w:t>
      </w:r>
      <w:r w:rsidRPr="00743942">
        <w:t>reported to APRA and</w:t>
      </w:r>
      <w:r w:rsidR="006A64F0">
        <w:t>,</w:t>
      </w:r>
      <w:r w:rsidRPr="00743942">
        <w:t xml:space="preserve"> </w:t>
      </w:r>
      <w:r w:rsidR="00842E5C">
        <w:t xml:space="preserve">for IRB ADIs, </w:t>
      </w:r>
      <w:r w:rsidR="0089156A">
        <w:t>subject to mandatory disclosure requirements</w:t>
      </w:r>
      <w:r w:rsidRPr="00743942">
        <w:t>.</w:t>
      </w:r>
    </w:p>
    <w:p w14:paraId="3EBF67AC" w14:textId="6FF7D782" w:rsidR="009C0F1D" w:rsidRDefault="009C0F1D">
      <w:pPr>
        <w:pStyle w:val="APRANORMAL"/>
      </w:pPr>
      <w:r>
        <w:t xml:space="preserve">APRA remains open to retaining the </w:t>
      </w:r>
      <w:r w:rsidR="0089156A">
        <w:t xml:space="preserve">current </w:t>
      </w:r>
      <w:r w:rsidR="006A7AC5">
        <w:t>methodology</w:t>
      </w:r>
      <w:r>
        <w:t xml:space="preserve"> (i.e. not implementing either approach)</w:t>
      </w:r>
      <w:r w:rsidR="0089156A">
        <w:t xml:space="preserve"> for some </w:t>
      </w:r>
      <w:r w:rsidR="00536C82">
        <w:t xml:space="preserve">or all </w:t>
      </w:r>
      <w:r w:rsidR="0089156A">
        <w:t>aspects of relative conservatism</w:t>
      </w:r>
      <w:r>
        <w:t xml:space="preserve">, particularly if it is concluded that the benefits </w:t>
      </w:r>
      <w:r w:rsidR="0003732A">
        <w:t xml:space="preserve">of </w:t>
      </w:r>
      <w:r>
        <w:t xml:space="preserve">improved transparency and comparability of ADI capital strength do not outweigh the increase in complexity and associated regulatory burden. APRA invites feedback on </w:t>
      </w:r>
      <w:r w:rsidR="0046583D">
        <w:t xml:space="preserve">the relative merits of </w:t>
      </w:r>
      <w:r>
        <w:t>the</w:t>
      </w:r>
      <w:r w:rsidR="003043AD">
        <w:t>se</w:t>
      </w:r>
      <w:r>
        <w:t xml:space="preserve"> approaches.</w:t>
      </w:r>
    </w:p>
    <w:p w14:paraId="4FF8FE83" w14:textId="76395028" w:rsidR="005612ED" w:rsidRDefault="003D0CEA" w:rsidP="00FD3C75">
      <w:pPr>
        <w:pStyle w:val="APRANORMAL"/>
      </w:pPr>
      <w:r>
        <w:t>Regardless of the approach</w:t>
      </w:r>
      <w:r w:rsidR="0046583D">
        <w:t>(es)</w:t>
      </w:r>
      <w:r>
        <w:t xml:space="preserve"> </w:t>
      </w:r>
      <w:r w:rsidR="0046583D">
        <w:t>adopted</w:t>
      </w:r>
      <w:r w:rsidR="00226B0B">
        <w:t xml:space="preserve">, </w:t>
      </w:r>
      <w:r w:rsidR="008D67B2">
        <w:t xml:space="preserve">APRA </w:t>
      </w:r>
      <w:r>
        <w:t xml:space="preserve">is also considering </w:t>
      </w:r>
      <w:r w:rsidR="00842E5C">
        <w:t xml:space="preserve">measures to make the capital framework more </w:t>
      </w:r>
      <w:r w:rsidR="00FE16D5">
        <w:t xml:space="preserve">flexible </w:t>
      </w:r>
      <w:r w:rsidR="00842E5C">
        <w:t>in times of stress. Th</w:t>
      </w:r>
      <w:r w:rsidR="0083550A">
        <w:t>e</w:t>
      </w:r>
      <w:r w:rsidR="00536C82">
        <w:t>se</w:t>
      </w:r>
      <w:r w:rsidR="0083550A">
        <w:t xml:space="preserve"> measures</w:t>
      </w:r>
      <w:r w:rsidR="00842E5C">
        <w:t xml:space="preserve"> include </w:t>
      </w:r>
      <w:r w:rsidR="00226B0B">
        <w:t>increas</w:t>
      </w:r>
      <w:r>
        <w:t>ing</w:t>
      </w:r>
      <w:r w:rsidR="00226B0B">
        <w:t xml:space="preserve"> </w:t>
      </w:r>
      <w:r w:rsidR="00532504" w:rsidRPr="003329A7">
        <w:t xml:space="preserve">the size of the </w:t>
      </w:r>
      <w:r w:rsidR="00952EF5">
        <w:t xml:space="preserve">Capital Conservation Buffer </w:t>
      </w:r>
      <w:r w:rsidR="00532504" w:rsidRPr="003329A7">
        <w:t>relative to the size of the minimum Prudential Capital Requirement</w:t>
      </w:r>
      <w:r w:rsidR="00CE79A5" w:rsidRPr="003329A7">
        <w:t xml:space="preserve"> </w:t>
      </w:r>
      <w:r w:rsidR="00FE16D5">
        <w:t>and potential changes to the point of automatic regulatory intervention</w:t>
      </w:r>
      <w:r w:rsidR="008F3547">
        <w:t>s</w:t>
      </w:r>
      <w:r w:rsidR="00FE16D5">
        <w:t xml:space="preserve">. </w:t>
      </w:r>
      <w:r w:rsidR="00C00018">
        <w:t>Such</w:t>
      </w:r>
      <w:r w:rsidR="00F70E3F">
        <w:t xml:space="preserve"> realignment of regulatory capital ratios would </w:t>
      </w:r>
      <w:r w:rsidR="00547EB7" w:rsidRPr="00547EB7">
        <w:t xml:space="preserve">enhance supervisory flexibility in times of financial </w:t>
      </w:r>
      <w:r w:rsidR="008F3547">
        <w:t xml:space="preserve">or economic </w:t>
      </w:r>
      <w:r w:rsidR="00547EB7" w:rsidRPr="00547EB7">
        <w:t xml:space="preserve">stress, either at an individual ADI </w:t>
      </w:r>
      <w:r w:rsidR="00523761">
        <w:t xml:space="preserve">level </w:t>
      </w:r>
      <w:r w:rsidR="00547EB7" w:rsidRPr="00547EB7">
        <w:t xml:space="preserve">or </w:t>
      </w:r>
      <w:r w:rsidR="00523761">
        <w:t xml:space="preserve">for </w:t>
      </w:r>
      <w:r w:rsidR="00547EB7" w:rsidRPr="00547EB7">
        <w:t xml:space="preserve">the banking system as a whole. </w:t>
      </w:r>
      <w:r w:rsidR="0046583D">
        <w:t xml:space="preserve">It </w:t>
      </w:r>
      <w:r w:rsidR="00B23678">
        <w:t xml:space="preserve">may also </w:t>
      </w:r>
      <w:r w:rsidR="00547EB7" w:rsidRPr="00547EB7">
        <w:t>enhance the usability of capital buffers held by ADIs to manage their capital positions</w:t>
      </w:r>
      <w:r w:rsidR="0046583D">
        <w:t xml:space="preserve"> during periods of stress</w:t>
      </w:r>
      <w:r w:rsidR="002310D2">
        <w:t>.</w:t>
      </w:r>
      <w:r w:rsidR="008330EF">
        <w:t xml:space="preserve"> </w:t>
      </w:r>
    </w:p>
    <w:p w14:paraId="6856C8F3" w14:textId="47756475" w:rsidR="000A1494" w:rsidRDefault="004726A7" w:rsidP="00FD3C75">
      <w:pPr>
        <w:pStyle w:val="APRANORMAL"/>
      </w:pPr>
      <w:r w:rsidRPr="004726A7" w:rsidDel="00E56966">
        <w:lastRenderedPageBreak/>
        <w:t xml:space="preserve">APRA </w:t>
      </w:r>
      <w:r w:rsidDel="00E56966">
        <w:t xml:space="preserve">intends to </w:t>
      </w:r>
      <w:r w:rsidRPr="004726A7" w:rsidDel="00E56966">
        <w:t xml:space="preserve">consult on draft revised prudential standards </w:t>
      </w:r>
      <w:r w:rsidR="00E33217">
        <w:t>incorporating</w:t>
      </w:r>
      <w:r w:rsidR="00733199">
        <w:t xml:space="preserve"> the outcome of this consultation</w:t>
      </w:r>
      <w:r w:rsidR="00E56966">
        <w:t xml:space="preserve"> in 2019</w:t>
      </w:r>
      <w:r w:rsidR="00733199">
        <w:t xml:space="preserve">. </w:t>
      </w:r>
      <w:r w:rsidR="00B01A90">
        <w:t>Further APRA intends to progress</w:t>
      </w:r>
      <w:r w:rsidR="00B02EDB">
        <w:t xml:space="preserve"> any aspects set out in this Discussion Paper that it proposes to adopt</w:t>
      </w:r>
      <w:r w:rsidR="00B01A90">
        <w:t xml:space="preserve"> </w:t>
      </w:r>
      <w:r w:rsidR="003F278D">
        <w:t>in parallel</w:t>
      </w:r>
      <w:r w:rsidR="00B02EDB">
        <w:t xml:space="preserve"> with</w:t>
      </w:r>
      <w:r w:rsidR="003F278D">
        <w:t xml:space="preserve"> </w:t>
      </w:r>
      <w:r w:rsidR="00B01A90">
        <w:t xml:space="preserve">the </w:t>
      </w:r>
      <w:r w:rsidR="003C3CF8">
        <w:t>revis</w:t>
      </w:r>
      <w:r w:rsidR="00B23678">
        <w:t xml:space="preserve">ions to the ADI capital framework </w:t>
      </w:r>
      <w:r w:rsidR="00D579A8">
        <w:t>outlined</w:t>
      </w:r>
      <w:r w:rsidR="00B23678">
        <w:t xml:space="preserve"> in the February 2018 </w:t>
      </w:r>
      <w:r w:rsidR="009B684D">
        <w:t>D</w:t>
      </w:r>
      <w:r w:rsidR="00B23678">
        <w:t xml:space="preserve">iscussion </w:t>
      </w:r>
      <w:r w:rsidR="009B684D">
        <w:t>P</w:t>
      </w:r>
      <w:r w:rsidR="00B23678">
        <w:t>aper</w:t>
      </w:r>
      <w:r w:rsidR="00B01A90">
        <w:t xml:space="preserve">. </w:t>
      </w:r>
    </w:p>
    <w:p w14:paraId="6CEC3B96" w14:textId="29DDBFFD" w:rsidR="00B23678" w:rsidRPr="00B23678" w:rsidRDefault="00B23678" w:rsidP="00B01A90">
      <w:pPr>
        <w:pStyle w:val="APRANORMAL"/>
        <w:rPr>
          <w:lang w:val="en-AU"/>
        </w:rPr>
      </w:pPr>
      <w:r w:rsidRPr="00B23678">
        <w:t xml:space="preserve"> </w:t>
      </w:r>
    </w:p>
    <w:p w14:paraId="36688113" w14:textId="77777777" w:rsidR="00B23678" w:rsidRDefault="00B23678" w:rsidP="00FD3C75">
      <w:pPr>
        <w:pStyle w:val="APRANORMAL"/>
      </w:pPr>
    </w:p>
    <w:p w14:paraId="646802D1" w14:textId="77777777" w:rsidR="0058726F" w:rsidRDefault="00B225F4" w:rsidP="005C706C">
      <w:pPr>
        <w:pStyle w:val="APRAHEADING1-NONUMBER"/>
      </w:pPr>
      <w:bookmarkStart w:id="14" w:name="_Toc510689488"/>
      <w:bookmarkStart w:id="15" w:name="_Toc510690466"/>
      <w:bookmarkStart w:id="16" w:name="_Toc514172183"/>
      <w:bookmarkStart w:id="17" w:name="_Toc518658237"/>
      <w:bookmarkStart w:id="18" w:name="_Toc521401209"/>
      <w:bookmarkStart w:id="19" w:name="_Toc521508283"/>
      <w:bookmarkStart w:id="20" w:name="_Toc521932756"/>
      <w:r w:rsidRPr="005C706C">
        <w:lastRenderedPageBreak/>
        <w:t>Glossary</w:t>
      </w:r>
      <w:bookmarkEnd w:id="13"/>
      <w:bookmarkEnd w:id="14"/>
      <w:bookmarkEnd w:id="15"/>
      <w:bookmarkEnd w:id="16"/>
      <w:bookmarkEnd w:id="17"/>
      <w:bookmarkEnd w:id="18"/>
      <w:bookmarkEnd w:id="19"/>
      <w:bookmarkEnd w:id="20"/>
      <w:r w:rsidR="00720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3"/>
        <w:gridCol w:w="6943"/>
      </w:tblGrid>
      <w:tr w:rsidR="00910E42" w14:paraId="6801DB51" w14:textId="77777777" w:rsidTr="00C75264">
        <w:tc>
          <w:tcPr>
            <w:tcW w:w="2083" w:type="dxa"/>
            <w:tcBorders>
              <w:bottom w:val="single" w:sz="4" w:space="0" w:color="FFFFFF" w:themeColor="background1"/>
            </w:tcBorders>
            <w:shd w:val="clear" w:color="auto" w:fill="002060"/>
          </w:tcPr>
          <w:p w14:paraId="5741936E" w14:textId="77777777" w:rsidR="00910E42" w:rsidRPr="00A3048C" w:rsidRDefault="00910E42" w:rsidP="00A3048C">
            <w:pPr>
              <w:pStyle w:val="APRANORMAL"/>
              <w:rPr>
                <w:rFonts w:ascii="DIN OT Medium" w:hAnsi="DIN OT Medium"/>
              </w:rPr>
            </w:pPr>
            <w:r w:rsidRPr="00A3048C">
              <w:rPr>
                <w:rFonts w:ascii="DIN OT Medium" w:hAnsi="DIN OT Medium"/>
              </w:rPr>
              <w:t>Additional Tier 1 (AT1) capital</w:t>
            </w:r>
          </w:p>
        </w:tc>
        <w:tc>
          <w:tcPr>
            <w:tcW w:w="6943" w:type="dxa"/>
            <w:tcBorders>
              <w:bottom w:val="single" w:sz="4" w:space="0" w:color="FFFFFF" w:themeColor="background1"/>
            </w:tcBorders>
            <w:shd w:val="clear" w:color="auto" w:fill="F2F2F2" w:themeFill="background1" w:themeFillShade="F2"/>
          </w:tcPr>
          <w:p w14:paraId="09C1B9CE" w14:textId="77777777" w:rsidR="00910E42" w:rsidRDefault="00910E42" w:rsidP="00A3048C">
            <w:pPr>
              <w:pStyle w:val="APRANORMAL"/>
            </w:pPr>
            <w:r w:rsidRPr="00E92E6F">
              <w:t>Capital instruments that provide loss-absorption while the ADI remains a going concern, but do not satisfy all of the criteria for inclusion in Common Equity Tier 1 capital</w:t>
            </w:r>
            <w:r>
              <w:t xml:space="preserve"> (see </w:t>
            </w:r>
            <w:r>
              <w:rPr>
                <w:i/>
              </w:rPr>
              <w:t>Prudential Standard APS 111 Capital Adequacy: Measurement of Capital</w:t>
            </w:r>
            <w:r w:rsidRPr="00A900B7">
              <w:t>)</w:t>
            </w:r>
          </w:p>
        </w:tc>
      </w:tr>
      <w:tr w:rsidR="00910E42" w14:paraId="3974464D" w14:textId="77777777" w:rsidTr="00C75264">
        <w:tc>
          <w:tcPr>
            <w:tcW w:w="2083" w:type="dxa"/>
            <w:tcBorders>
              <w:bottom w:val="single" w:sz="4" w:space="0" w:color="FFFFFF" w:themeColor="background1"/>
            </w:tcBorders>
            <w:shd w:val="clear" w:color="auto" w:fill="002060"/>
          </w:tcPr>
          <w:p w14:paraId="2A479735" w14:textId="77777777" w:rsidR="00910E42" w:rsidRPr="00A3048C" w:rsidRDefault="00910E42" w:rsidP="00A3048C">
            <w:pPr>
              <w:pStyle w:val="APRANORMAL"/>
              <w:rPr>
                <w:rFonts w:ascii="DIN OT Medium" w:hAnsi="DIN OT Medium"/>
              </w:rPr>
            </w:pPr>
            <w:r w:rsidRPr="00A3048C">
              <w:rPr>
                <w:rFonts w:ascii="DIN OT Medium" w:hAnsi="DIN OT Medium"/>
              </w:rPr>
              <w:t>ADI</w:t>
            </w:r>
          </w:p>
        </w:tc>
        <w:tc>
          <w:tcPr>
            <w:tcW w:w="6943" w:type="dxa"/>
            <w:tcBorders>
              <w:bottom w:val="single" w:sz="4" w:space="0" w:color="FFFFFF" w:themeColor="background1"/>
            </w:tcBorders>
            <w:shd w:val="clear" w:color="auto" w:fill="F2F2F2" w:themeFill="background1" w:themeFillShade="F2"/>
          </w:tcPr>
          <w:p w14:paraId="17808B7F" w14:textId="77777777" w:rsidR="00910E42" w:rsidRDefault="00910E42" w:rsidP="00A3048C">
            <w:pPr>
              <w:pStyle w:val="APRANORMAL"/>
            </w:pPr>
            <w:r>
              <w:t>Authorised deposit-taking institution</w:t>
            </w:r>
          </w:p>
        </w:tc>
      </w:tr>
      <w:tr w:rsidR="00910E42" w14:paraId="7124E84C" w14:textId="77777777" w:rsidTr="00C75264">
        <w:tc>
          <w:tcPr>
            <w:tcW w:w="2083" w:type="dxa"/>
            <w:tcBorders>
              <w:bottom w:val="single" w:sz="4" w:space="0" w:color="FFFFFF" w:themeColor="background1"/>
            </w:tcBorders>
            <w:shd w:val="clear" w:color="auto" w:fill="002060"/>
          </w:tcPr>
          <w:p w14:paraId="3CB9D688" w14:textId="77777777" w:rsidR="00910E42" w:rsidRPr="00A3048C" w:rsidRDefault="00910E42" w:rsidP="00A3048C">
            <w:pPr>
              <w:pStyle w:val="APRANORMAL"/>
              <w:rPr>
                <w:rFonts w:ascii="DIN OT Medium" w:hAnsi="DIN OT Medium"/>
              </w:rPr>
            </w:pPr>
            <w:r w:rsidRPr="00A3048C">
              <w:rPr>
                <w:rFonts w:ascii="DIN OT Medium" w:hAnsi="DIN OT Medium"/>
              </w:rPr>
              <w:t>APRA</w:t>
            </w:r>
          </w:p>
        </w:tc>
        <w:tc>
          <w:tcPr>
            <w:tcW w:w="6943" w:type="dxa"/>
            <w:tcBorders>
              <w:bottom w:val="single" w:sz="4" w:space="0" w:color="FFFFFF" w:themeColor="background1"/>
            </w:tcBorders>
            <w:shd w:val="clear" w:color="auto" w:fill="F2F2F2" w:themeFill="background1" w:themeFillShade="F2"/>
          </w:tcPr>
          <w:p w14:paraId="40680216" w14:textId="77777777" w:rsidR="00910E42" w:rsidRDefault="00910E42" w:rsidP="00A3048C">
            <w:pPr>
              <w:pStyle w:val="APRANORMAL"/>
            </w:pPr>
            <w:r>
              <w:t>Australian Prudential Regulation Authority</w:t>
            </w:r>
          </w:p>
        </w:tc>
      </w:tr>
      <w:tr w:rsidR="00910E42" w14:paraId="0EBC9CDF" w14:textId="77777777" w:rsidTr="004A3668">
        <w:tc>
          <w:tcPr>
            <w:tcW w:w="2083" w:type="dxa"/>
            <w:tcBorders>
              <w:top w:val="single" w:sz="4" w:space="0" w:color="FFFFFF" w:themeColor="background1"/>
              <w:bottom w:val="single" w:sz="4" w:space="0" w:color="FFFFFF" w:themeColor="background1"/>
            </w:tcBorders>
            <w:shd w:val="clear" w:color="auto" w:fill="002060"/>
          </w:tcPr>
          <w:p w14:paraId="0DE3392F" w14:textId="77777777" w:rsidR="00910E42" w:rsidRPr="00B0104F" w:rsidRDefault="00910E42" w:rsidP="00A3048C">
            <w:pPr>
              <w:pStyle w:val="APRANORMAL"/>
              <w:rPr>
                <w:rFonts w:ascii="DIN OT Medium" w:hAnsi="DIN OT Medium"/>
              </w:rPr>
            </w:pPr>
            <w:r w:rsidRPr="00B0104F">
              <w:rPr>
                <w:rFonts w:ascii="DIN OT Medium" w:hAnsi="DIN OT Medium"/>
              </w:rPr>
              <w:t>Basel capital framework</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611571D3" w14:textId="77777777" w:rsidR="00910E42" w:rsidRDefault="00910E42" w:rsidP="00B0104F">
            <w:pPr>
              <w:pStyle w:val="APRANORMAL"/>
            </w:pPr>
            <w:r w:rsidRPr="00B0104F">
              <w:t>The internationally agreed capital framework for banks developed by the Basel Committee on Banking Supervision</w:t>
            </w:r>
          </w:p>
        </w:tc>
      </w:tr>
      <w:tr w:rsidR="00910E42" w14:paraId="5C020666" w14:textId="77777777" w:rsidTr="004A3668">
        <w:tc>
          <w:tcPr>
            <w:tcW w:w="2083" w:type="dxa"/>
            <w:tcBorders>
              <w:top w:val="single" w:sz="4" w:space="0" w:color="FFFFFF" w:themeColor="background1"/>
              <w:bottom w:val="single" w:sz="4" w:space="0" w:color="FFFFFF" w:themeColor="background1"/>
            </w:tcBorders>
            <w:shd w:val="clear" w:color="auto" w:fill="002060"/>
          </w:tcPr>
          <w:p w14:paraId="74DADC18" w14:textId="77777777" w:rsidR="00910E42" w:rsidRPr="00A3048C" w:rsidRDefault="00910E42" w:rsidP="00A3048C">
            <w:pPr>
              <w:pStyle w:val="APRANORMAL"/>
              <w:rPr>
                <w:rFonts w:ascii="DIN OT Medium" w:hAnsi="DIN OT Medium"/>
              </w:rPr>
            </w:pPr>
            <w:r w:rsidRPr="00A3048C">
              <w:rPr>
                <w:rFonts w:ascii="DIN OT Medium" w:hAnsi="DIN OT Medium"/>
              </w:rPr>
              <w:t>Basel Committee</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0B3A70B2" w14:textId="77777777" w:rsidR="00910E42" w:rsidRDefault="00910E42" w:rsidP="00B0104F">
            <w:pPr>
              <w:pStyle w:val="APRANORMAL"/>
            </w:pPr>
            <w:r>
              <w:t>Basel Committee on Banking Supervision</w:t>
            </w:r>
          </w:p>
        </w:tc>
      </w:tr>
      <w:tr w:rsidR="00910E42" w14:paraId="674E47AE" w14:textId="77777777" w:rsidTr="004A3668">
        <w:tc>
          <w:tcPr>
            <w:tcW w:w="2083" w:type="dxa"/>
            <w:tcBorders>
              <w:top w:val="single" w:sz="4" w:space="0" w:color="FFFFFF" w:themeColor="background1"/>
              <w:bottom w:val="single" w:sz="4" w:space="0" w:color="FFFFFF" w:themeColor="background1"/>
            </w:tcBorders>
            <w:shd w:val="clear" w:color="auto" w:fill="002060"/>
          </w:tcPr>
          <w:p w14:paraId="54BC5790" w14:textId="77777777" w:rsidR="00910E42" w:rsidRPr="00A3048C" w:rsidRDefault="00910E42" w:rsidP="00A3048C">
            <w:pPr>
              <w:pStyle w:val="APRANORMAL"/>
              <w:rPr>
                <w:rFonts w:ascii="DIN OT Medium" w:hAnsi="DIN OT Medium"/>
                <w:i/>
              </w:rPr>
            </w:pPr>
            <w:r w:rsidRPr="00A3048C">
              <w:rPr>
                <w:rFonts w:ascii="DIN OT Medium" w:hAnsi="DIN OT Medium"/>
              </w:rPr>
              <w:t>Basel III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5878075A" w14:textId="77777777" w:rsidR="00910E42" w:rsidRPr="00B0104F" w:rsidRDefault="00910E42" w:rsidP="00A45AFA">
            <w:pPr>
              <w:pStyle w:val="Tabletext"/>
              <w:spacing w:before="0"/>
              <w:rPr>
                <w:sz w:val="22"/>
              </w:rPr>
            </w:pPr>
            <w:r w:rsidRPr="00B0104F">
              <w:rPr>
                <w:sz w:val="22"/>
              </w:rPr>
              <w:t>A series of</w:t>
            </w:r>
            <w:r w:rsidRPr="00B0104F" w:rsidDel="00674470">
              <w:rPr>
                <w:sz w:val="22"/>
              </w:rPr>
              <w:t xml:space="preserve"> </w:t>
            </w:r>
            <w:r w:rsidRPr="00B0104F">
              <w:rPr>
                <w:sz w:val="22"/>
              </w:rPr>
              <w:t>revisions to the Basel capital framework</w:t>
            </w:r>
            <w:r w:rsidRPr="00B0104F" w:rsidDel="009C00DD">
              <w:rPr>
                <w:sz w:val="22"/>
              </w:rPr>
              <w:t xml:space="preserve"> </w:t>
            </w:r>
            <w:r w:rsidRPr="00B0104F">
              <w:rPr>
                <w:sz w:val="22"/>
              </w:rPr>
              <w:t xml:space="preserve">following the global financial crisis that commenced with the Basel Committee on Banking Supervision’s </w:t>
            </w:r>
            <w:r w:rsidRPr="00B0104F">
              <w:rPr>
                <w:i/>
                <w:sz w:val="22"/>
              </w:rPr>
              <w:t>Basel III: A global regulatory framework for more resilient banks and banking systems</w:t>
            </w:r>
            <w:r w:rsidRPr="00B0104F">
              <w:rPr>
                <w:sz w:val="22"/>
              </w:rPr>
              <w:t>, December 2010 (revised June 2011) and includes the following reforms:</w:t>
            </w:r>
          </w:p>
          <w:p w14:paraId="0FBEF1F2" w14:textId="798AA6F8" w:rsidR="00910E42" w:rsidRDefault="00910E42" w:rsidP="00B0104F">
            <w:pPr>
              <w:pStyle w:val="APRABULLET"/>
              <w:ind w:left="357" w:hanging="357"/>
            </w:pPr>
            <w:r w:rsidRPr="003B7654">
              <w:rPr>
                <w:rFonts w:eastAsiaTheme="minorHAnsi"/>
                <w:i/>
              </w:rPr>
              <w:t>Basel III: Finalising post-crisis reforms</w:t>
            </w:r>
            <w:r>
              <w:t xml:space="preserve">, December 2017, which includes revisions to the frameworks for credit risk, credit valuation risk and operational risk, and introduces a floor on RWA using the standardised approaches and a non-risk-based minimum leverage requirement; </w:t>
            </w:r>
          </w:p>
          <w:p w14:paraId="2B549A1F" w14:textId="1126224F" w:rsidR="00910E42" w:rsidRDefault="00910E42" w:rsidP="00B0104F">
            <w:pPr>
              <w:pStyle w:val="APRABULLET"/>
              <w:ind w:left="357" w:hanging="357"/>
            </w:pPr>
            <w:r w:rsidRPr="003B7654">
              <w:rPr>
                <w:rFonts w:eastAsiaTheme="minorHAnsi"/>
                <w:i/>
              </w:rPr>
              <w:t>Minimum capital requirements for market risk</w:t>
            </w:r>
            <w:r>
              <w:t>, January 2016; and</w:t>
            </w:r>
          </w:p>
          <w:p w14:paraId="67A95C7E" w14:textId="34B79B72" w:rsidR="00910E42" w:rsidRPr="00B0104F" w:rsidRDefault="00910E42" w:rsidP="00530933">
            <w:pPr>
              <w:pStyle w:val="APRABULLET"/>
              <w:ind w:left="357" w:hanging="357"/>
            </w:pPr>
            <w:r w:rsidRPr="00B0104F">
              <w:rPr>
                <w:rFonts w:eastAsiaTheme="minorHAnsi"/>
                <w:i/>
              </w:rPr>
              <w:t>Interest rate risk in the banking book</w:t>
            </w:r>
            <w:r w:rsidRPr="00B0104F">
              <w:t>, April 2016</w:t>
            </w:r>
            <w:r w:rsidRPr="00B0104F" w:rsidDel="00674470">
              <w:t>.</w:t>
            </w:r>
          </w:p>
        </w:tc>
      </w:tr>
      <w:tr w:rsidR="00910E42" w14:paraId="6FA3C073" w14:textId="77777777" w:rsidTr="004A3668">
        <w:tc>
          <w:tcPr>
            <w:tcW w:w="2083" w:type="dxa"/>
            <w:tcBorders>
              <w:top w:val="single" w:sz="4" w:space="0" w:color="FFFFFF" w:themeColor="background1"/>
              <w:bottom w:val="single" w:sz="4" w:space="0" w:color="FFFFFF" w:themeColor="background1"/>
            </w:tcBorders>
            <w:shd w:val="clear" w:color="auto" w:fill="002060"/>
          </w:tcPr>
          <w:p w14:paraId="4120CC5B" w14:textId="77777777" w:rsidR="00910E42" w:rsidRPr="00A3048C" w:rsidRDefault="00910E42" w:rsidP="00A3048C">
            <w:pPr>
              <w:pStyle w:val="APRANORMAL"/>
              <w:rPr>
                <w:rFonts w:ascii="DIN OT Medium" w:hAnsi="DIN OT Medium"/>
              </w:rPr>
            </w:pPr>
            <w:r w:rsidRPr="00A3048C">
              <w:rPr>
                <w:rFonts w:ascii="DIN OT Medium" w:hAnsi="DIN OT Medium"/>
              </w:rPr>
              <w:t>CCB</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224C9959" w14:textId="77777777" w:rsidR="00910E42" w:rsidRDefault="00910E42" w:rsidP="00A3048C">
            <w:pPr>
              <w:pStyle w:val="APRANORMAL"/>
            </w:pPr>
            <w:r>
              <w:t xml:space="preserve">Capital conservation buffer (see </w:t>
            </w:r>
            <w:r>
              <w:rPr>
                <w:i/>
              </w:rPr>
              <w:t>Prudential Standard APS 110 Capital Adequacy</w:t>
            </w:r>
            <w:r w:rsidRPr="00A900B7">
              <w:t>)</w:t>
            </w:r>
          </w:p>
        </w:tc>
      </w:tr>
      <w:tr w:rsidR="00910E42" w14:paraId="39E998A2" w14:textId="77777777" w:rsidTr="004A3668">
        <w:tc>
          <w:tcPr>
            <w:tcW w:w="2083" w:type="dxa"/>
            <w:tcBorders>
              <w:top w:val="single" w:sz="4" w:space="0" w:color="FFFFFF" w:themeColor="background1"/>
              <w:bottom w:val="single" w:sz="4" w:space="0" w:color="FFFFFF" w:themeColor="background1"/>
            </w:tcBorders>
            <w:shd w:val="clear" w:color="auto" w:fill="002060"/>
          </w:tcPr>
          <w:p w14:paraId="781AE2CD" w14:textId="77777777" w:rsidR="00910E42" w:rsidRDefault="00910E42" w:rsidP="00910E42">
            <w:pPr>
              <w:pStyle w:val="APRANORMAL"/>
              <w:rPr>
                <w:rFonts w:ascii="DIN OT Medium" w:hAnsi="DIN OT Medium"/>
              </w:rPr>
            </w:pPr>
            <w:r w:rsidRPr="00A3048C">
              <w:rPr>
                <w:rFonts w:ascii="DIN OT Medium" w:hAnsi="DIN OT Medium"/>
              </w:rPr>
              <w:t>CCF</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A7BC962" w14:textId="77777777" w:rsidR="00910E42" w:rsidRDefault="00910E42" w:rsidP="00910E42">
            <w:pPr>
              <w:pStyle w:val="APRANORMAL"/>
            </w:pPr>
            <w:r>
              <w:t>Credit conversion factor</w:t>
            </w:r>
          </w:p>
        </w:tc>
      </w:tr>
      <w:tr w:rsidR="00910E42" w14:paraId="62B2E762" w14:textId="77777777" w:rsidTr="004A3668">
        <w:tc>
          <w:tcPr>
            <w:tcW w:w="2083" w:type="dxa"/>
            <w:tcBorders>
              <w:top w:val="single" w:sz="4" w:space="0" w:color="FFFFFF" w:themeColor="background1"/>
              <w:bottom w:val="single" w:sz="4" w:space="0" w:color="FFFFFF" w:themeColor="background1"/>
            </w:tcBorders>
            <w:shd w:val="clear" w:color="auto" w:fill="002060"/>
          </w:tcPr>
          <w:p w14:paraId="51914522" w14:textId="77777777" w:rsidR="00910E42" w:rsidRPr="00A3048C" w:rsidRDefault="00910E42" w:rsidP="00910E42">
            <w:pPr>
              <w:pStyle w:val="APRANORMAL"/>
              <w:rPr>
                <w:rFonts w:ascii="DIN OT Medium" w:hAnsi="DIN OT Medium"/>
              </w:rPr>
            </w:pPr>
            <w:r>
              <w:rPr>
                <w:rFonts w:ascii="DIN OT Medium" w:hAnsi="DIN OT Medium"/>
              </w:rPr>
              <w:t>CCyB</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4D1611BA" w14:textId="77777777" w:rsidR="00910E42" w:rsidRDefault="00910E42" w:rsidP="00910E42">
            <w:pPr>
              <w:pStyle w:val="APRANORMAL"/>
            </w:pPr>
            <w:r>
              <w:t xml:space="preserve">Countercyclical capital buffer (see </w:t>
            </w:r>
            <w:r>
              <w:rPr>
                <w:i/>
              </w:rPr>
              <w:t>Prudential Standard APS 110 Capital Adequacy</w:t>
            </w:r>
            <w:r w:rsidRPr="00A900B7">
              <w:t>)</w:t>
            </w:r>
          </w:p>
        </w:tc>
      </w:tr>
      <w:tr w:rsidR="00910E42" w14:paraId="0718D64A" w14:textId="77777777" w:rsidTr="004A3668">
        <w:tc>
          <w:tcPr>
            <w:tcW w:w="2083" w:type="dxa"/>
            <w:tcBorders>
              <w:top w:val="single" w:sz="4" w:space="0" w:color="FFFFFF" w:themeColor="background1"/>
              <w:bottom w:val="single" w:sz="4" w:space="0" w:color="FFFFFF" w:themeColor="background1"/>
            </w:tcBorders>
            <w:shd w:val="clear" w:color="auto" w:fill="002060"/>
          </w:tcPr>
          <w:p w14:paraId="04637A24" w14:textId="77777777" w:rsidR="00910E42" w:rsidRPr="00A3048C" w:rsidRDefault="00910E42" w:rsidP="00910E42">
            <w:pPr>
              <w:pStyle w:val="APRANORMAL"/>
              <w:rPr>
                <w:rFonts w:ascii="DIN OT Medium" w:hAnsi="DIN OT Medium"/>
              </w:rPr>
            </w:pPr>
            <w:r w:rsidRPr="00A3048C">
              <w:rPr>
                <w:rFonts w:ascii="DIN OT Medium" w:hAnsi="DIN OT Medium"/>
              </w:rPr>
              <w:lastRenderedPageBreak/>
              <w:t xml:space="preserve">CET1 ratio </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77515AE4" w14:textId="77777777" w:rsidR="00910E42" w:rsidRPr="00C75264" w:rsidRDefault="00910E42" w:rsidP="00910E42">
            <w:pPr>
              <w:pStyle w:val="APRANORMAL"/>
            </w:pPr>
            <w:r w:rsidRPr="00FC34CA">
              <w:t xml:space="preserve">Common Equity Tier 1 capital </w:t>
            </w:r>
            <w:r>
              <w:t xml:space="preserve">divided by </w:t>
            </w:r>
            <w:r w:rsidRPr="00FC34CA">
              <w:t>total risk-weighted assets</w:t>
            </w:r>
            <w:r>
              <w:t xml:space="preserve"> </w:t>
            </w:r>
          </w:p>
        </w:tc>
      </w:tr>
      <w:tr w:rsidR="00910E42" w14:paraId="39620466" w14:textId="77777777" w:rsidTr="004A3668">
        <w:tc>
          <w:tcPr>
            <w:tcW w:w="2083" w:type="dxa"/>
            <w:tcBorders>
              <w:top w:val="single" w:sz="4" w:space="0" w:color="FFFFFF" w:themeColor="background1"/>
              <w:bottom w:val="single" w:sz="4" w:space="0" w:color="FFFFFF" w:themeColor="background1"/>
            </w:tcBorders>
            <w:shd w:val="clear" w:color="auto" w:fill="002060"/>
          </w:tcPr>
          <w:p w14:paraId="5EE1994A" w14:textId="77777777" w:rsidR="00910E42" w:rsidRPr="00A3048C" w:rsidRDefault="00910E42" w:rsidP="00910E42">
            <w:pPr>
              <w:pStyle w:val="APRANORMAL"/>
              <w:rPr>
                <w:rFonts w:ascii="DIN OT Medium" w:hAnsi="DIN OT Medium"/>
              </w:rPr>
            </w:pPr>
            <w:r w:rsidRPr="00A3048C">
              <w:rPr>
                <w:rFonts w:ascii="DIN OT Medium" w:hAnsi="DIN OT Medium"/>
              </w:rPr>
              <w:t>Common Equity Tier 1 (CET1) capital</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0FC2A5DF" w14:textId="77777777" w:rsidR="00910E42" w:rsidRDefault="00910E42" w:rsidP="00910E42">
            <w:pPr>
              <w:pStyle w:val="APRANORMAL"/>
            </w:pPr>
            <w:r w:rsidRPr="00C75264">
              <w:t>The highest quality component of capital. It is subordinated to all other elements of funding, absorbs losses as and when they occur, has full flexibility of dividend payments and has no maturity date</w:t>
            </w:r>
            <w:r>
              <w:t xml:space="preserve"> (see </w:t>
            </w:r>
            <w:r>
              <w:rPr>
                <w:i/>
              </w:rPr>
              <w:t>Prudential Standard APS 111 Capital Adequacy: Measurement of Capital</w:t>
            </w:r>
            <w:r w:rsidRPr="00A900B7">
              <w:t>)</w:t>
            </w:r>
          </w:p>
        </w:tc>
      </w:tr>
      <w:tr w:rsidR="00910E42" w14:paraId="4919D309" w14:textId="77777777" w:rsidTr="004A3668">
        <w:tc>
          <w:tcPr>
            <w:tcW w:w="2083" w:type="dxa"/>
            <w:tcBorders>
              <w:top w:val="single" w:sz="4" w:space="0" w:color="FFFFFF" w:themeColor="background1"/>
              <w:bottom w:val="single" w:sz="4" w:space="0" w:color="FFFFFF" w:themeColor="background1"/>
            </w:tcBorders>
            <w:shd w:val="clear" w:color="auto" w:fill="002060"/>
          </w:tcPr>
          <w:p w14:paraId="004F933A" w14:textId="77777777" w:rsidR="00910E42" w:rsidRPr="00A3048C" w:rsidRDefault="00910E42" w:rsidP="00910E42">
            <w:pPr>
              <w:pStyle w:val="APRANORMAL"/>
              <w:rPr>
                <w:rFonts w:ascii="DIN OT Medium" w:hAnsi="DIN OT Medium"/>
              </w:rPr>
            </w:pPr>
            <w:r w:rsidRPr="00A3048C">
              <w:rPr>
                <w:rFonts w:ascii="DIN OT Medium" w:hAnsi="DIN OT Medium"/>
              </w:rPr>
              <w:t>D-SIB</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07CFC734" w14:textId="77777777" w:rsidR="00910E42" w:rsidRDefault="00910E42" w:rsidP="00910E42">
            <w:pPr>
              <w:pStyle w:val="APRANORMAL"/>
            </w:pPr>
            <w:r w:rsidRPr="00C75264">
              <w:t>Domestic systemically important bank</w:t>
            </w:r>
          </w:p>
        </w:tc>
      </w:tr>
      <w:tr w:rsidR="00910E42" w14:paraId="19F38E91" w14:textId="77777777" w:rsidTr="004A3668">
        <w:tc>
          <w:tcPr>
            <w:tcW w:w="2083" w:type="dxa"/>
            <w:tcBorders>
              <w:top w:val="single" w:sz="4" w:space="0" w:color="FFFFFF" w:themeColor="background1"/>
              <w:bottom w:val="single" w:sz="4" w:space="0" w:color="FFFFFF" w:themeColor="background1"/>
            </w:tcBorders>
            <w:shd w:val="clear" w:color="auto" w:fill="002060"/>
          </w:tcPr>
          <w:p w14:paraId="7EC1CA83" w14:textId="77777777" w:rsidR="00910E42" w:rsidRPr="00A3048C" w:rsidRDefault="00910E42" w:rsidP="00910E42">
            <w:pPr>
              <w:pStyle w:val="APRANORMAL"/>
              <w:rPr>
                <w:rFonts w:ascii="DIN OT Medium" w:hAnsi="DIN OT Medium"/>
              </w:rPr>
            </w:pPr>
            <w:r w:rsidRPr="00A3048C">
              <w:rPr>
                <w:rFonts w:ascii="DIN OT Medium" w:hAnsi="DIN OT Medium"/>
              </w:rPr>
              <w:t>FSI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6B82F4BB" w14:textId="77777777" w:rsidR="00910E42" w:rsidRDefault="00910E42" w:rsidP="00910E42">
            <w:pPr>
              <w:pStyle w:val="APRANORMAL"/>
            </w:pPr>
            <w:r>
              <w:t>Financial System Inquiry</w:t>
            </w:r>
          </w:p>
        </w:tc>
      </w:tr>
      <w:tr w:rsidR="00910E42" w14:paraId="4447058E" w14:textId="77777777" w:rsidTr="004A3668">
        <w:tc>
          <w:tcPr>
            <w:tcW w:w="2083" w:type="dxa"/>
            <w:tcBorders>
              <w:top w:val="single" w:sz="4" w:space="0" w:color="FFFFFF" w:themeColor="background1"/>
              <w:bottom w:val="single" w:sz="4" w:space="0" w:color="FFFFFF" w:themeColor="background1"/>
            </w:tcBorders>
            <w:shd w:val="clear" w:color="auto" w:fill="002060"/>
          </w:tcPr>
          <w:p w14:paraId="2FB1020E" w14:textId="77777777" w:rsidR="00910E42" w:rsidRPr="00A3048C" w:rsidRDefault="00910E42" w:rsidP="00910E42">
            <w:pPr>
              <w:pStyle w:val="APRANORMAL"/>
              <w:rPr>
                <w:rFonts w:ascii="DIN OT Medium" w:hAnsi="DIN OT Medium"/>
              </w:rPr>
            </w:pPr>
            <w:r w:rsidRPr="00A3048C">
              <w:rPr>
                <w:rFonts w:ascii="DIN OT Medium" w:hAnsi="DIN OT Medium"/>
              </w:rPr>
              <w:t>IRB ADI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4A8A176" w14:textId="77777777" w:rsidR="00910E42" w:rsidRDefault="00910E42" w:rsidP="00910E42">
            <w:pPr>
              <w:pStyle w:val="APRANORMAL"/>
            </w:pPr>
            <w:r>
              <w:t>An ADI with approval from APRA to adopt the internal ratings-based approach to credit risk to determine its capital adequacy requirements</w:t>
            </w:r>
          </w:p>
        </w:tc>
      </w:tr>
      <w:tr w:rsidR="00910E42" w14:paraId="519C1FCE" w14:textId="77777777" w:rsidTr="004A3668">
        <w:tc>
          <w:tcPr>
            <w:tcW w:w="2083" w:type="dxa"/>
            <w:tcBorders>
              <w:top w:val="single" w:sz="4" w:space="0" w:color="FFFFFF" w:themeColor="background1"/>
              <w:bottom w:val="single" w:sz="4" w:space="0" w:color="FFFFFF" w:themeColor="background1"/>
            </w:tcBorders>
            <w:shd w:val="clear" w:color="auto" w:fill="002060"/>
          </w:tcPr>
          <w:p w14:paraId="73AD02AE" w14:textId="77777777" w:rsidR="00910E42" w:rsidRPr="00A3048C" w:rsidRDefault="00910E42" w:rsidP="00910E42">
            <w:pPr>
              <w:pStyle w:val="APRANORMAL"/>
              <w:rPr>
                <w:rFonts w:ascii="DIN OT Medium" w:hAnsi="DIN OT Medium"/>
              </w:rPr>
            </w:pPr>
            <w:r w:rsidRPr="00A3048C">
              <w:rPr>
                <w:rFonts w:ascii="DIN OT Medium" w:hAnsi="DIN OT Medium"/>
              </w:rPr>
              <w:t>IRRBB</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4F4CD535" w14:textId="77777777" w:rsidR="00910E42" w:rsidRDefault="00910E42" w:rsidP="00910E42">
            <w:pPr>
              <w:pStyle w:val="APRANORMAL"/>
            </w:pPr>
            <w:r>
              <w:t xml:space="preserve">Interest rate risk in the banking book (see </w:t>
            </w:r>
            <w:r>
              <w:rPr>
                <w:i/>
              </w:rPr>
              <w:t>Prudential Standard APS 117 Capital Adequacy: Interest Rate Risk in the Banking Book (Advanced ADIs))</w:t>
            </w:r>
          </w:p>
        </w:tc>
      </w:tr>
      <w:tr w:rsidR="00910E42" w14:paraId="4B9176E4" w14:textId="77777777" w:rsidTr="004A3668">
        <w:tc>
          <w:tcPr>
            <w:tcW w:w="2083" w:type="dxa"/>
            <w:tcBorders>
              <w:top w:val="single" w:sz="4" w:space="0" w:color="FFFFFF" w:themeColor="background1"/>
              <w:bottom w:val="single" w:sz="4" w:space="0" w:color="FFFFFF" w:themeColor="background1"/>
            </w:tcBorders>
            <w:shd w:val="clear" w:color="auto" w:fill="002060"/>
          </w:tcPr>
          <w:p w14:paraId="6D7CFB99" w14:textId="77777777" w:rsidR="00910E42" w:rsidRPr="00A3048C" w:rsidRDefault="00910E42" w:rsidP="00910E42">
            <w:pPr>
              <w:pStyle w:val="APRANORMAL"/>
              <w:rPr>
                <w:rFonts w:ascii="DIN OT Medium" w:hAnsi="DIN OT Medium"/>
              </w:rPr>
            </w:pPr>
            <w:r w:rsidRPr="00A3048C">
              <w:rPr>
                <w:rFonts w:ascii="DIN OT Medium" w:hAnsi="DIN OT Medium"/>
              </w:rPr>
              <w:t>LGD</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6ECD0DA5" w14:textId="77777777" w:rsidR="00910E42" w:rsidRDefault="00910E42" w:rsidP="00910E42">
            <w:pPr>
              <w:pStyle w:val="APRANORMAL"/>
            </w:pPr>
            <w:r>
              <w:t>Loss given default</w:t>
            </w:r>
          </w:p>
        </w:tc>
      </w:tr>
      <w:tr w:rsidR="00910E42" w14:paraId="28A6775B" w14:textId="77777777" w:rsidTr="008A0DFA">
        <w:trPr>
          <w:cantSplit/>
        </w:trPr>
        <w:tc>
          <w:tcPr>
            <w:tcW w:w="2083" w:type="dxa"/>
            <w:tcBorders>
              <w:top w:val="single" w:sz="4" w:space="0" w:color="FFFFFF" w:themeColor="background1"/>
              <w:bottom w:val="single" w:sz="4" w:space="0" w:color="FFFFFF" w:themeColor="background1"/>
            </w:tcBorders>
            <w:shd w:val="clear" w:color="auto" w:fill="002060"/>
          </w:tcPr>
          <w:p w14:paraId="268ADDB9" w14:textId="77777777" w:rsidR="00910E42" w:rsidRPr="00A3048C" w:rsidRDefault="00910E42" w:rsidP="00910E42">
            <w:pPr>
              <w:pStyle w:val="APRANORMAL"/>
              <w:rPr>
                <w:rFonts w:ascii="DIN OT Medium" w:hAnsi="DIN OT Medium"/>
              </w:rPr>
            </w:pPr>
            <w:r w:rsidRPr="00A3048C">
              <w:rPr>
                <w:rFonts w:ascii="DIN OT Medium" w:hAnsi="DIN OT Medium"/>
              </w:rPr>
              <w:t>Loss absorption trigger point</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868D454" w14:textId="44952AC9" w:rsidR="00910E42" w:rsidRDefault="00910E42" w:rsidP="00910E42">
            <w:pPr>
              <w:pStyle w:val="APRANORMAL"/>
            </w:pPr>
            <w:r w:rsidRPr="00C75264">
              <w:t>The point at which an ADI’s Additional Tier 1 capital instruments</w:t>
            </w:r>
            <w:r>
              <w:t xml:space="preserve"> that are classified as liabilities under Australian Accounting Standards,</w:t>
            </w:r>
            <w:r w:rsidRPr="00C75264">
              <w:t xml:space="preserve"> are either written off, or converted into Common Equity Tier 1 capital. The </w:t>
            </w:r>
            <w:r>
              <w:t>point</w:t>
            </w:r>
            <w:r w:rsidRPr="00C75264">
              <w:t xml:space="preserve"> is reached when an ADI’s </w:t>
            </w:r>
            <w:r>
              <w:t xml:space="preserve">CET1 ratio </w:t>
            </w:r>
            <w:r w:rsidRPr="00C75264">
              <w:t>falls to</w:t>
            </w:r>
            <w:r>
              <w:t>, or below</w:t>
            </w:r>
            <w:r w:rsidRPr="00C75264">
              <w:t xml:space="preserve"> 5.125 per cent</w:t>
            </w:r>
            <w:r w:rsidR="007B6031">
              <w:t xml:space="preserve"> of RWA</w:t>
            </w:r>
            <w:r>
              <w:t xml:space="preserve"> (see </w:t>
            </w:r>
            <w:r w:rsidRPr="0086692B">
              <w:rPr>
                <w:i/>
              </w:rPr>
              <w:t>Prudential Standard APS 111 Capital Adequacy: Measurement of Capital</w:t>
            </w:r>
            <w:r>
              <w:t>)</w:t>
            </w:r>
          </w:p>
        </w:tc>
      </w:tr>
      <w:tr w:rsidR="00910E42" w14:paraId="5B42217D" w14:textId="77777777" w:rsidTr="004A3668">
        <w:tc>
          <w:tcPr>
            <w:tcW w:w="2083" w:type="dxa"/>
            <w:tcBorders>
              <w:top w:val="single" w:sz="4" w:space="0" w:color="FFFFFF" w:themeColor="background1"/>
              <w:bottom w:val="single" w:sz="4" w:space="0" w:color="FFFFFF" w:themeColor="background1"/>
            </w:tcBorders>
            <w:shd w:val="clear" w:color="auto" w:fill="002060"/>
          </w:tcPr>
          <w:p w14:paraId="153D938F" w14:textId="77777777" w:rsidR="00910E42" w:rsidRPr="00A3048C" w:rsidRDefault="00910E42" w:rsidP="00910E42">
            <w:pPr>
              <w:pStyle w:val="APRANORMAL"/>
              <w:rPr>
                <w:rFonts w:ascii="DIN OT Medium" w:hAnsi="DIN OT Medium"/>
              </w:rPr>
            </w:pPr>
            <w:r w:rsidRPr="00A3048C">
              <w:rPr>
                <w:rFonts w:ascii="DIN OT Medium" w:hAnsi="DIN OT Medium"/>
              </w:rPr>
              <w:t>PCR</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7652A2F2" w14:textId="77777777" w:rsidR="00910E42" w:rsidRDefault="00910E42" w:rsidP="00910E42">
            <w:pPr>
              <w:pStyle w:val="APRANORMAL"/>
            </w:pPr>
            <w:r>
              <w:t xml:space="preserve">Prudential capital requirement (see </w:t>
            </w:r>
            <w:r>
              <w:rPr>
                <w:i/>
              </w:rPr>
              <w:t>Prudential Standard APS 110 Capital Adequacy</w:t>
            </w:r>
            <w:r w:rsidRPr="00A900B7">
              <w:t>)</w:t>
            </w:r>
          </w:p>
        </w:tc>
      </w:tr>
      <w:tr w:rsidR="00910E42" w14:paraId="15235B50" w14:textId="77777777" w:rsidTr="004A3668">
        <w:tc>
          <w:tcPr>
            <w:tcW w:w="2083" w:type="dxa"/>
            <w:tcBorders>
              <w:top w:val="single" w:sz="4" w:space="0" w:color="FFFFFF" w:themeColor="background1"/>
              <w:bottom w:val="single" w:sz="4" w:space="0" w:color="FFFFFF" w:themeColor="background1"/>
            </w:tcBorders>
            <w:shd w:val="clear" w:color="auto" w:fill="002060"/>
          </w:tcPr>
          <w:p w14:paraId="130B90C1" w14:textId="77777777" w:rsidR="00910E42" w:rsidRPr="00A3048C" w:rsidRDefault="00910E42" w:rsidP="00910E42">
            <w:pPr>
              <w:pStyle w:val="APRANORMAL"/>
              <w:rPr>
                <w:rFonts w:ascii="DIN OT Medium" w:hAnsi="DIN OT Medium"/>
                <w:i/>
              </w:rPr>
            </w:pPr>
            <w:r w:rsidRPr="00A3048C">
              <w:rPr>
                <w:rFonts w:ascii="DIN OT Medium" w:hAnsi="DIN OT Medium"/>
              </w:rPr>
              <w:t>QIS</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DBCF582" w14:textId="77777777" w:rsidR="00910E42" w:rsidRDefault="00910E42" w:rsidP="00910E42">
            <w:pPr>
              <w:pStyle w:val="APRANORMAL"/>
            </w:pPr>
            <w:r>
              <w:t>Quantitative Impact Study</w:t>
            </w:r>
          </w:p>
        </w:tc>
      </w:tr>
      <w:tr w:rsidR="00910E42" w14:paraId="7DFC201F" w14:textId="77777777" w:rsidTr="004A3668">
        <w:tc>
          <w:tcPr>
            <w:tcW w:w="2083" w:type="dxa"/>
            <w:tcBorders>
              <w:top w:val="single" w:sz="4" w:space="0" w:color="FFFFFF" w:themeColor="background1"/>
              <w:bottom w:val="single" w:sz="4" w:space="0" w:color="FFFFFF" w:themeColor="background1"/>
            </w:tcBorders>
            <w:shd w:val="clear" w:color="auto" w:fill="002060"/>
          </w:tcPr>
          <w:p w14:paraId="0872D2CC" w14:textId="77777777" w:rsidR="00910E42" w:rsidRPr="00A3048C" w:rsidRDefault="00910E42" w:rsidP="00910E42">
            <w:pPr>
              <w:pStyle w:val="APRANORMAL"/>
              <w:rPr>
                <w:rFonts w:ascii="DIN OT Medium" w:hAnsi="DIN OT Medium"/>
              </w:rPr>
            </w:pPr>
            <w:r w:rsidRPr="00A3048C">
              <w:rPr>
                <w:rFonts w:ascii="DIN OT Medium" w:hAnsi="DIN OT Medium"/>
              </w:rPr>
              <w:t>RWA</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80DA192" w14:textId="77777777" w:rsidR="00910E42" w:rsidRDefault="00910E42" w:rsidP="00910E42">
            <w:pPr>
              <w:pStyle w:val="APRANORMAL"/>
            </w:pPr>
            <w:r>
              <w:t>Risk-weighted assets</w:t>
            </w:r>
          </w:p>
        </w:tc>
      </w:tr>
      <w:tr w:rsidR="00910E42" w14:paraId="5CB8AA96" w14:textId="77777777" w:rsidTr="004A3668">
        <w:tc>
          <w:tcPr>
            <w:tcW w:w="2083" w:type="dxa"/>
            <w:tcBorders>
              <w:top w:val="single" w:sz="4" w:space="0" w:color="FFFFFF" w:themeColor="background1"/>
              <w:bottom w:val="single" w:sz="4" w:space="0" w:color="FFFFFF" w:themeColor="background1"/>
            </w:tcBorders>
            <w:shd w:val="clear" w:color="auto" w:fill="002060"/>
          </w:tcPr>
          <w:p w14:paraId="4C694D68" w14:textId="77777777" w:rsidR="00910E42" w:rsidRPr="00A3048C" w:rsidRDefault="00910E42" w:rsidP="00910E42">
            <w:pPr>
              <w:pStyle w:val="APRANORMAL"/>
              <w:rPr>
                <w:rFonts w:ascii="DIN OT Medium" w:hAnsi="DIN OT Medium"/>
              </w:rPr>
            </w:pPr>
            <w:r w:rsidRPr="00A3048C">
              <w:rPr>
                <w:rFonts w:ascii="DIN OT Medium" w:hAnsi="DIN OT Medium"/>
              </w:rPr>
              <w:t>Standardised ADI</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7ECB6A44" w14:textId="77777777" w:rsidR="00910E42" w:rsidRDefault="00910E42" w:rsidP="00910E42">
            <w:pPr>
              <w:pStyle w:val="APRANORMAL"/>
            </w:pPr>
            <w:r>
              <w:t xml:space="preserve">An ADI that has not been granted approval from APRA to adopt the internal ratings-based approach and uses the </w:t>
            </w:r>
            <w:r>
              <w:lastRenderedPageBreak/>
              <w:t>standardised approach to credit risk for determining its capital adequacy requirements</w:t>
            </w:r>
          </w:p>
        </w:tc>
      </w:tr>
      <w:tr w:rsidR="00910E42" w14:paraId="58AF33A0" w14:textId="77777777" w:rsidTr="004A3668">
        <w:tc>
          <w:tcPr>
            <w:tcW w:w="2083" w:type="dxa"/>
            <w:tcBorders>
              <w:top w:val="single" w:sz="4" w:space="0" w:color="FFFFFF" w:themeColor="background1"/>
              <w:bottom w:val="single" w:sz="4" w:space="0" w:color="FFFFFF" w:themeColor="background1"/>
            </w:tcBorders>
            <w:shd w:val="clear" w:color="auto" w:fill="002060"/>
          </w:tcPr>
          <w:p w14:paraId="33752E4F" w14:textId="77777777" w:rsidR="00910E42" w:rsidRPr="00A3048C" w:rsidRDefault="00910E42" w:rsidP="00910E42">
            <w:pPr>
              <w:pStyle w:val="APRANORMAL"/>
              <w:rPr>
                <w:rFonts w:ascii="DIN OT Medium" w:hAnsi="DIN OT Medium"/>
              </w:rPr>
            </w:pPr>
            <w:r>
              <w:rPr>
                <w:rFonts w:ascii="DIN OT Medium" w:hAnsi="DIN OT Medium"/>
              </w:rPr>
              <w:lastRenderedPageBreak/>
              <w:t>Tier 1 capital</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317E632B" w14:textId="77777777" w:rsidR="00910E42" w:rsidRDefault="00910E42" w:rsidP="00910E42">
            <w:pPr>
              <w:pStyle w:val="APRANORMAL"/>
            </w:pPr>
            <w:r>
              <w:t xml:space="preserve">The sum of Common Equity Tier 1 capital and Additional Tier 1 capital (see </w:t>
            </w:r>
            <w:r>
              <w:rPr>
                <w:i/>
              </w:rPr>
              <w:t>Prudential Standard APS 111 Capital Adequacy: Measurement of Capital</w:t>
            </w:r>
            <w:r w:rsidRPr="00A900B7">
              <w:t>)</w:t>
            </w:r>
          </w:p>
        </w:tc>
      </w:tr>
      <w:tr w:rsidR="00910E42" w14:paraId="3FC1AFC2" w14:textId="77777777" w:rsidTr="004A3668">
        <w:tc>
          <w:tcPr>
            <w:tcW w:w="2083" w:type="dxa"/>
            <w:tcBorders>
              <w:top w:val="single" w:sz="4" w:space="0" w:color="FFFFFF" w:themeColor="background1"/>
              <w:bottom w:val="single" w:sz="4" w:space="0" w:color="FFFFFF" w:themeColor="background1"/>
            </w:tcBorders>
            <w:shd w:val="clear" w:color="auto" w:fill="002060"/>
          </w:tcPr>
          <w:p w14:paraId="545C5425" w14:textId="77777777" w:rsidR="00910E42" w:rsidRDefault="00910E42" w:rsidP="00910E42">
            <w:pPr>
              <w:pStyle w:val="APRANORMAL"/>
              <w:rPr>
                <w:rFonts w:ascii="DIN OT Medium" w:hAnsi="DIN OT Medium"/>
              </w:rPr>
            </w:pPr>
            <w:r>
              <w:rPr>
                <w:rFonts w:ascii="DIN OT Medium" w:hAnsi="DIN OT Medium"/>
              </w:rPr>
              <w:t>Total capital</w:t>
            </w:r>
          </w:p>
        </w:tc>
        <w:tc>
          <w:tcPr>
            <w:tcW w:w="6943" w:type="dxa"/>
            <w:tcBorders>
              <w:top w:val="single" w:sz="4" w:space="0" w:color="FFFFFF" w:themeColor="background1"/>
              <w:bottom w:val="single" w:sz="4" w:space="0" w:color="FFFFFF" w:themeColor="background1"/>
            </w:tcBorders>
            <w:shd w:val="clear" w:color="auto" w:fill="F2F2F2" w:themeFill="background1" w:themeFillShade="F2"/>
          </w:tcPr>
          <w:p w14:paraId="7514F32B" w14:textId="77777777" w:rsidR="00910E42" w:rsidRDefault="00910E42" w:rsidP="00910E42">
            <w:pPr>
              <w:pStyle w:val="APRANORMAL"/>
            </w:pPr>
            <w:r>
              <w:t xml:space="preserve">Total capital as defined in </w:t>
            </w:r>
            <w:r>
              <w:rPr>
                <w:i/>
              </w:rPr>
              <w:t>Prudential Standard APS 111 Capital Adequacy: Measurement of Capital</w:t>
            </w:r>
          </w:p>
        </w:tc>
      </w:tr>
    </w:tbl>
    <w:p w14:paraId="1826A803" w14:textId="77777777" w:rsidR="00B94BE8" w:rsidRDefault="00B94BE8" w:rsidP="00670C0C">
      <w:pPr>
        <w:pStyle w:val="APRANORMAL"/>
      </w:pPr>
    </w:p>
    <w:p w14:paraId="1E082C78" w14:textId="77777777" w:rsidR="00B94BE8" w:rsidRDefault="00B94BE8" w:rsidP="00670C0C">
      <w:pPr>
        <w:pStyle w:val="APRANORMAL"/>
      </w:pPr>
      <w:r>
        <w:br w:type="page"/>
      </w:r>
    </w:p>
    <w:p w14:paraId="3A9EC5F8" w14:textId="77777777" w:rsidR="00B94BE8" w:rsidRDefault="006C68CC" w:rsidP="00A4586D">
      <w:pPr>
        <w:pStyle w:val="APRAHEADING1"/>
      </w:pPr>
      <w:bookmarkStart w:id="21" w:name="_Toc492996513"/>
      <w:bookmarkStart w:id="22" w:name="_Toc493154145"/>
      <w:bookmarkStart w:id="23" w:name="_Toc493154591"/>
      <w:bookmarkStart w:id="24" w:name="_Toc493240095"/>
      <w:bookmarkStart w:id="25" w:name="_Toc493240601"/>
      <w:bookmarkStart w:id="26" w:name="_Toc494189564"/>
      <w:bookmarkStart w:id="27" w:name="_Toc496184492"/>
      <w:bookmarkStart w:id="28" w:name="_Toc497403363"/>
      <w:bookmarkStart w:id="29" w:name="_Toc497409651"/>
      <w:bookmarkStart w:id="30" w:name="_Toc497409763"/>
      <w:bookmarkStart w:id="31" w:name="_Toc497409836"/>
      <w:bookmarkStart w:id="32" w:name="_Toc497473651"/>
      <w:r>
        <w:lastRenderedPageBreak/>
        <w:t xml:space="preserve"> </w:t>
      </w:r>
      <w:bookmarkStart w:id="33" w:name="_Toc510595657"/>
      <w:bookmarkStart w:id="34" w:name="_Toc510689489"/>
      <w:bookmarkStart w:id="35" w:name="_Toc510690467"/>
      <w:bookmarkStart w:id="36" w:name="_Toc514172184"/>
      <w:bookmarkStart w:id="37" w:name="_Toc508653005"/>
      <w:bookmarkStart w:id="38" w:name="_Toc518658238"/>
      <w:bookmarkStart w:id="39" w:name="_Toc521401210"/>
      <w:bookmarkStart w:id="40" w:name="_Toc521508284"/>
      <w:bookmarkStart w:id="41" w:name="_Toc521932757"/>
      <w:r>
        <w:t>–</w:t>
      </w:r>
      <w:r w:rsidR="005915DF">
        <w:t xml:space="preserve"> </w:t>
      </w:r>
      <w:r w:rsidR="000F4536">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81D94C8" w14:textId="77777777" w:rsidR="00B94BE8" w:rsidRDefault="0022088E" w:rsidP="00E96FAE">
      <w:pPr>
        <w:pStyle w:val="APRAHEADING2"/>
      </w:pPr>
      <w:bookmarkStart w:id="42" w:name="_Toc492996514"/>
      <w:bookmarkStart w:id="43" w:name="_Toc493154146"/>
      <w:bookmarkStart w:id="44" w:name="_Toc493154592"/>
      <w:bookmarkStart w:id="45" w:name="_Toc493240096"/>
      <w:bookmarkStart w:id="46" w:name="_Toc493240602"/>
      <w:bookmarkStart w:id="47" w:name="_Toc494189565"/>
      <w:bookmarkStart w:id="48" w:name="_Toc496184493"/>
      <w:bookmarkStart w:id="49" w:name="_Toc497403364"/>
      <w:bookmarkStart w:id="50" w:name="_Toc497409652"/>
      <w:bookmarkStart w:id="51" w:name="_Toc497409764"/>
      <w:bookmarkStart w:id="52" w:name="_Toc497409837"/>
      <w:bookmarkStart w:id="53" w:name="_Toc497473652"/>
      <w:bookmarkStart w:id="54" w:name="_Toc508653006"/>
      <w:bookmarkStart w:id="55" w:name="_Toc510595658"/>
      <w:bookmarkStart w:id="56" w:name="_Toc510689490"/>
      <w:bookmarkStart w:id="57" w:name="_Toc510690468"/>
      <w:bookmarkStart w:id="58" w:name="_Toc514172185"/>
      <w:bookmarkStart w:id="59" w:name="_Toc518658239"/>
      <w:bookmarkStart w:id="60" w:name="_Toc521401211"/>
      <w:bookmarkStart w:id="61" w:name="_Toc521508285"/>
      <w:bookmarkStart w:id="62" w:name="_Toc521932758"/>
      <w:r w:rsidRPr="006555C7">
        <w:t>Background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1E1A6C2" w14:textId="2D765C0E" w:rsidR="0023674C" w:rsidRDefault="0023674C" w:rsidP="0001556A">
      <w:pPr>
        <w:pStyle w:val="APRANORMAL"/>
      </w:pPr>
      <w:r>
        <w:t>The Australian Prudential Regulation Authority (APRA) has always regarded compliance with internationally agreed prudential standards to be in the interests of the Australian financial system</w:t>
      </w:r>
      <w:r w:rsidR="002756DD">
        <w:t>;</w:t>
      </w:r>
      <w:r>
        <w:t xml:space="preserve"> this is critical to </w:t>
      </w:r>
      <w:r w:rsidDel="003A57C6">
        <w:t>ensuring</w:t>
      </w:r>
      <w:r>
        <w:t xml:space="preserve"> the attractiveness of regulated institutions to the providers – particularly from offshore – of </w:t>
      </w:r>
      <w:r w:rsidR="00B549CC">
        <w:t xml:space="preserve">debt </w:t>
      </w:r>
      <w:r>
        <w:t>funding and capital. This approach has been endorsed and supported by major inquiries into the financial system, including the Wallis Inquiry (1997) and the Murray Inquiry (2014).</w:t>
      </w:r>
      <w:r w:rsidR="008A7F5E">
        <w:rPr>
          <w:rStyle w:val="FootnoteReference"/>
        </w:rPr>
        <w:footnoteReference w:id="5"/>
      </w:r>
    </w:p>
    <w:p w14:paraId="68C71BBE" w14:textId="6BDD8E59" w:rsidR="0023674C" w:rsidRDefault="0023674C" w:rsidP="0001556A">
      <w:pPr>
        <w:pStyle w:val="APRANORMAL"/>
      </w:pPr>
      <w:r>
        <w:t xml:space="preserve">For the banking industry, the international </w:t>
      </w:r>
      <w:r w:rsidR="00B549CC">
        <w:t xml:space="preserve">prudential </w:t>
      </w:r>
      <w:r>
        <w:t>standard setter is the Basel Committee on Banking Supervision (Basel Committee). APRA therefore seeks to apply Basel Committee standards to Australian authorised deposit-taking institutions (ADIs)</w:t>
      </w:r>
      <w:r w:rsidR="0003732A">
        <w:t>,</w:t>
      </w:r>
      <w:r w:rsidR="0003732A" w:rsidRPr="0003732A">
        <w:t xml:space="preserve"> </w:t>
      </w:r>
      <w:r w:rsidR="0003732A">
        <w:t>wherever appropriate.</w:t>
      </w:r>
    </w:p>
    <w:p w14:paraId="39803BDD" w14:textId="161961F3" w:rsidR="00743942" w:rsidRPr="00743942" w:rsidRDefault="00FE3D0C" w:rsidP="00743942">
      <w:pPr>
        <w:pStyle w:val="APRANORMAL"/>
      </w:pPr>
      <w:r>
        <w:t xml:space="preserve">The capital </w:t>
      </w:r>
      <w:r w:rsidR="0023674C">
        <w:t xml:space="preserve">adequacy </w:t>
      </w:r>
      <w:r>
        <w:t xml:space="preserve">framework that APRA applies to ADIs in Australia is </w:t>
      </w:r>
      <w:r w:rsidR="0023674C">
        <w:t>founded</w:t>
      </w:r>
      <w:r>
        <w:t xml:space="preserve"> on the international</w:t>
      </w:r>
      <w:r w:rsidR="0023674C">
        <w:t>ly agreed and well understood</w:t>
      </w:r>
      <w:r>
        <w:t xml:space="preserve"> framework for </w:t>
      </w:r>
      <w:r w:rsidR="0023674C">
        <w:t xml:space="preserve">measuring bank capital adequacy that the Basel </w:t>
      </w:r>
      <w:r>
        <w:t>Committee</w:t>
      </w:r>
      <w:r w:rsidR="0023674C">
        <w:t xml:space="preserve"> first established in 1988. </w:t>
      </w:r>
      <w:r w:rsidR="00601CC4">
        <w:t>The latest version of the Basel capital framework is commonly known as Basel III, and was developed in response to the global financial crisis.</w:t>
      </w:r>
      <w:r w:rsidR="00944E6E">
        <w:rPr>
          <w:rStyle w:val="FootnoteReference"/>
        </w:rPr>
        <w:footnoteReference w:id="6"/>
      </w:r>
      <w:r w:rsidR="00601CC4">
        <w:t xml:space="preserve"> </w:t>
      </w:r>
      <w:r w:rsidR="00743942" w:rsidRPr="00743942">
        <w:t>Under th</w:t>
      </w:r>
      <w:r w:rsidR="00601CC4">
        <w:t>e Basel</w:t>
      </w:r>
      <w:r w:rsidR="00743942" w:rsidRPr="00743942">
        <w:t xml:space="preserve"> </w:t>
      </w:r>
      <w:r w:rsidR="009B50B8">
        <w:t xml:space="preserve">capital </w:t>
      </w:r>
      <w:r w:rsidR="00743942" w:rsidRPr="00743942">
        <w:t xml:space="preserve">framework, </w:t>
      </w:r>
      <w:r w:rsidR="005B7C80">
        <w:t xml:space="preserve">an </w:t>
      </w:r>
      <w:r w:rsidR="00601CC4">
        <w:t>ADI</w:t>
      </w:r>
      <w:r w:rsidR="005B7C80">
        <w:t>’</w:t>
      </w:r>
      <w:r w:rsidR="00601CC4">
        <w:t xml:space="preserve">s </w:t>
      </w:r>
      <w:r w:rsidR="00743942" w:rsidRPr="00743942">
        <w:t xml:space="preserve">risk-based capital adequacy ratios, which are calculated by dividing </w:t>
      </w:r>
      <w:r w:rsidR="00150D7E">
        <w:t>its</w:t>
      </w:r>
      <w:r w:rsidR="00743942" w:rsidRPr="00743942">
        <w:t xml:space="preserve"> regulatory capital by total risk-weighted assets (RWA), must exceed specified minima.</w:t>
      </w:r>
    </w:p>
    <w:p w14:paraId="07856016" w14:textId="298184C4" w:rsidR="00407343" w:rsidRDefault="00407343" w:rsidP="00407343">
      <w:pPr>
        <w:rPr>
          <w:rFonts w:ascii="DIN OT Light" w:hAnsi="DIN OT Light"/>
        </w:rPr>
      </w:pPr>
      <w:r>
        <w:rPr>
          <w:rFonts w:ascii="DIN OT Light" w:hAnsi="DIN OT Light"/>
        </w:rPr>
        <w:t>In implementing the Basel capital framework in Australia, APRA has traditionally adopted a more conservative approach than the internationally agreed minimum requirements. Two principle</w:t>
      </w:r>
      <w:r w:rsidR="0003732A">
        <w:rPr>
          <w:rFonts w:ascii="DIN OT Light" w:hAnsi="DIN OT Light"/>
        </w:rPr>
        <w:t>s</w:t>
      </w:r>
      <w:r>
        <w:rPr>
          <w:rFonts w:ascii="DIN OT Light" w:hAnsi="DIN OT Light"/>
        </w:rPr>
        <w:t xml:space="preserve"> underpin APRA’s longstanding approach: (i) assets that rely on the future profitability of the ADI to be realised, or that are highly uncertain in value, cannot be included in the calculation of capital</w:t>
      </w:r>
      <w:r w:rsidR="00530933">
        <w:rPr>
          <w:rFonts w:ascii="DIN OT Light" w:hAnsi="DIN OT Light"/>
        </w:rPr>
        <w:t>;</w:t>
      </w:r>
      <w:r>
        <w:rPr>
          <w:rFonts w:ascii="DIN OT Light" w:hAnsi="DIN OT Light"/>
        </w:rPr>
        <w:t xml:space="preserve"> and (ii) capital cannot be used more than once in the financial system to absorb losses. In addition, APRA has used national discretion</w:t>
      </w:r>
      <w:r w:rsidR="00E25A58">
        <w:rPr>
          <w:rFonts w:ascii="DIN OT Light" w:hAnsi="DIN OT Light"/>
        </w:rPr>
        <w:t>s</w:t>
      </w:r>
      <w:r>
        <w:rPr>
          <w:rFonts w:ascii="DIN OT Light" w:hAnsi="DIN OT Light"/>
        </w:rPr>
        <w:t xml:space="preserve"> available within the Basel </w:t>
      </w:r>
      <w:r w:rsidR="00EC2D44">
        <w:rPr>
          <w:rFonts w:ascii="DIN OT Light" w:hAnsi="DIN OT Light"/>
        </w:rPr>
        <w:t xml:space="preserve">capital </w:t>
      </w:r>
      <w:r>
        <w:rPr>
          <w:rFonts w:ascii="DIN OT Light" w:hAnsi="DIN OT Light"/>
        </w:rPr>
        <w:t xml:space="preserve">framework to </w:t>
      </w:r>
      <w:r>
        <w:rPr>
          <w:rFonts w:ascii="DIN OT Light" w:hAnsi="DIN OT Light"/>
        </w:rPr>
        <w:lastRenderedPageBreak/>
        <w:t>tailor the capital treatment</w:t>
      </w:r>
      <w:r w:rsidR="00DC20B9">
        <w:rPr>
          <w:rFonts w:ascii="DIN OT Light" w:hAnsi="DIN OT Light"/>
        </w:rPr>
        <w:t>,</w:t>
      </w:r>
      <w:r w:rsidR="00D36D5A">
        <w:rPr>
          <w:rFonts w:ascii="DIN OT Light" w:hAnsi="DIN OT Light"/>
        </w:rPr>
        <w:t xml:space="preserve"> including the determination of RWA</w:t>
      </w:r>
      <w:r w:rsidR="00DC20B9">
        <w:rPr>
          <w:rFonts w:ascii="DIN OT Light" w:hAnsi="DIN OT Light"/>
        </w:rPr>
        <w:t>,</w:t>
      </w:r>
      <w:r>
        <w:rPr>
          <w:rFonts w:ascii="DIN OT Light" w:hAnsi="DIN OT Light"/>
        </w:rPr>
        <w:t xml:space="preserve"> of certain items to reflect its assessment of Australian conditions and risks.</w:t>
      </w:r>
    </w:p>
    <w:p w14:paraId="75AC4B22" w14:textId="4583F94D" w:rsidR="00CA6065" w:rsidRDefault="00407343" w:rsidP="00F070E5">
      <w:pPr>
        <w:pStyle w:val="APRANORMAL"/>
      </w:pPr>
      <w:r>
        <w:t xml:space="preserve">As a result, APRA’s capital requirements for Australian ADIs are commonly acknowledged as more conservative than is often applied in other jurisdictions, thereby providing additional support for ADIs’ depositors and other creditors. </w:t>
      </w:r>
      <w:r w:rsidR="00601CC4">
        <w:t xml:space="preserve">Unlike some other jurisdictions </w:t>
      </w:r>
      <w:r w:rsidR="0003732A">
        <w:t xml:space="preserve">which </w:t>
      </w:r>
      <w:r w:rsidR="00601CC4">
        <w:t xml:space="preserve">have applied conservatism to their own capital requirements </w:t>
      </w:r>
      <w:r w:rsidR="00601CC4" w:rsidRPr="00743942">
        <w:t>through higher minimum capital ratio requirements</w:t>
      </w:r>
      <w:r w:rsidR="00601CC4">
        <w:t>,</w:t>
      </w:r>
      <w:r w:rsidR="00601CC4" w:rsidRPr="00743942" w:rsidDel="00407343">
        <w:t xml:space="preserve"> </w:t>
      </w:r>
      <w:r w:rsidR="00743942" w:rsidRPr="00743942">
        <w:t xml:space="preserve">APRA has to date applied conservatism through targeted measures that strengthen the definition of capital and determination of RWA. </w:t>
      </w:r>
      <w:r w:rsidR="00601CC4">
        <w:t>APRA’s approach is intended not just to produce an adequate level of capital, but also to ensure that capital better corresponds to the risks that it is designed to support</w:t>
      </w:r>
      <w:r w:rsidR="00CA6065">
        <w:t>.</w:t>
      </w:r>
    </w:p>
    <w:p w14:paraId="6DCB5C7F" w14:textId="2DAAD0BD" w:rsidR="00FC1B10" w:rsidRDefault="00743942" w:rsidP="00F070E5">
      <w:pPr>
        <w:pStyle w:val="APRANORMAL"/>
      </w:pPr>
      <w:r w:rsidRPr="009F0EF1">
        <w:t xml:space="preserve">While </w:t>
      </w:r>
      <w:r w:rsidR="000A67CD" w:rsidRPr="009F0EF1">
        <w:t>APRA’s</w:t>
      </w:r>
      <w:r w:rsidRPr="009F0EF1">
        <w:t xml:space="preserve"> </w:t>
      </w:r>
      <w:r w:rsidR="006E4F0E" w:rsidRPr="009F0EF1">
        <w:t xml:space="preserve">framework </w:t>
      </w:r>
      <w:r w:rsidRPr="009F0EF1">
        <w:t xml:space="preserve">improves the quality </w:t>
      </w:r>
      <w:r w:rsidR="00FC1B10">
        <w:t xml:space="preserve">and effectiveness </w:t>
      </w:r>
      <w:r w:rsidRPr="009F0EF1">
        <w:t xml:space="preserve">of domestic capital requirements, </w:t>
      </w:r>
      <w:r w:rsidR="00D573A5" w:rsidRPr="009F0EF1">
        <w:t>it</w:t>
      </w:r>
      <w:r w:rsidR="00A61F37" w:rsidRPr="009F0EF1">
        <w:t xml:space="preserve"> </w:t>
      </w:r>
      <w:r w:rsidR="0003732A">
        <w:t xml:space="preserve">has two potential </w:t>
      </w:r>
      <w:r w:rsidR="00FC1B10">
        <w:t>drawbacks:</w:t>
      </w:r>
    </w:p>
    <w:p w14:paraId="2DA86BCC" w14:textId="59DA9520" w:rsidR="00FC1B10" w:rsidRDefault="004D7B52" w:rsidP="00924A2C">
      <w:pPr>
        <w:pStyle w:val="APRABULLET"/>
      </w:pPr>
      <w:r>
        <w:t>I</w:t>
      </w:r>
      <w:r w:rsidR="00FC1B10">
        <w:t xml:space="preserve">t may </w:t>
      </w:r>
      <w:r w:rsidR="00A61F37" w:rsidRPr="009F0EF1">
        <w:t xml:space="preserve">complicate </w:t>
      </w:r>
      <w:r w:rsidR="00743942" w:rsidRPr="009F0EF1">
        <w:t>international comparisons of capital strength</w:t>
      </w:r>
      <w:r w:rsidR="00D573A5" w:rsidRPr="009F0EF1">
        <w:t>.</w:t>
      </w:r>
      <w:r w:rsidR="006E4F0E" w:rsidRPr="009F0EF1">
        <w:t xml:space="preserve"> </w:t>
      </w:r>
      <w:r w:rsidR="00FC1B10">
        <w:t xml:space="preserve">In particular, the </w:t>
      </w:r>
      <w:r w:rsidR="003B6116">
        <w:t>reported</w:t>
      </w:r>
      <w:r w:rsidR="00FC1B10">
        <w:t xml:space="preserve"> capital ratios of Australian ADIs will tend to look lower than those of international peers. </w:t>
      </w:r>
      <w:r w:rsidR="00D573A5" w:rsidRPr="009F0EF1">
        <w:t>T</w:t>
      </w:r>
      <w:r w:rsidR="00DA4836" w:rsidRPr="009F0EF1">
        <w:t>his</w:t>
      </w:r>
      <w:r w:rsidR="00743942" w:rsidRPr="009F0EF1">
        <w:t xml:space="preserve"> </w:t>
      </w:r>
      <w:r w:rsidR="00FC1B10">
        <w:t xml:space="preserve">potentially </w:t>
      </w:r>
      <w:r w:rsidR="00743942" w:rsidRPr="009F0EF1">
        <w:t>make</w:t>
      </w:r>
      <w:r w:rsidR="0003732A">
        <w:t>s</w:t>
      </w:r>
      <w:r w:rsidR="00743942" w:rsidRPr="009F0EF1">
        <w:t xml:space="preserve"> it more difficult or costly for </w:t>
      </w:r>
      <w:r w:rsidR="00DA4836" w:rsidRPr="009F0EF1">
        <w:t>ADIs</w:t>
      </w:r>
      <w:r w:rsidR="00743942" w:rsidRPr="009F0EF1">
        <w:t xml:space="preserve"> to access international capital markets if these </w:t>
      </w:r>
      <w:r w:rsidR="00DA4836" w:rsidRPr="009F0EF1">
        <w:t xml:space="preserve">Australian </w:t>
      </w:r>
      <w:r w:rsidR="00743942" w:rsidRPr="009F0EF1">
        <w:t>differences are not well understood</w:t>
      </w:r>
      <w:r w:rsidR="00E56966" w:rsidRPr="009F0EF1">
        <w:t>, particularly</w:t>
      </w:r>
      <w:r w:rsidR="00E56966" w:rsidRPr="009F0EF1" w:rsidDel="002C2A63">
        <w:t xml:space="preserve"> </w:t>
      </w:r>
      <w:r w:rsidR="00E56966" w:rsidRPr="009F0EF1">
        <w:t xml:space="preserve">during times of </w:t>
      </w:r>
      <w:r w:rsidR="00592B2E" w:rsidRPr="009F0EF1">
        <w:t xml:space="preserve">market </w:t>
      </w:r>
      <w:r w:rsidR="00E56966" w:rsidRPr="009F0EF1">
        <w:t>dislocation</w:t>
      </w:r>
      <w:r>
        <w:t>.</w:t>
      </w:r>
      <w:r w:rsidR="00E56966" w:rsidRPr="009F0EF1">
        <w:t xml:space="preserve"> </w:t>
      </w:r>
    </w:p>
    <w:p w14:paraId="718CD884" w14:textId="680BA2CD" w:rsidR="00EF7783" w:rsidRDefault="004D7B52" w:rsidP="004D7B52">
      <w:pPr>
        <w:pStyle w:val="APRABULLET"/>
      </w:pPr>
      <w:r>
        <w:t>T</w:t>
      </w:r>
      <w:r w:rsidR="00E56966" w:rsidRPr="009F0EF1">
        <w:t xml:space="preserve">he more conservatively calculated capital ratios of </w:t>
      </w:r>
      <w:r w:rsidR="009C27A5" w:rsidRPr="009F0EF1">
        <w:t xml:space="preserve">ADIs </w:t>
      </w:r>
      <w:r w:rsidR="00B01A90">
        <w:t>are</w:t>
      </w:r>
      <w:r w:rsidR="00FC1B10" w:rsidRPr="009F0EF1">
        <w:t xml:space="preserve"> </w:t>
      </w:r>
      <w:r w:rsidR="00E56966" w:rsidRPr="009F0EF1">
        <w:t xml:space="preserve">closer to the Basel </w:t>
      </w:r>
      <w:r w:rsidR="00AD481B" w:rsidRPr="009F0EF1">
        <w:t xml:space="preserve">capital framework </w:t>
      </w:r>
      <w:r w:rsidR="00E56966" w:rsidRPr="009F0EF1">
        <w:t>minimum ratios and ‘triggers’ (e.g. the ‘non-viability’ trigger) than those of banks in other jurisdictions</w:t>
      </w:r>
      <w:r w:rsidR="00DE2646" w:rsidRPr="009F0EF1">
        <w:t>. T</w:t>
      </w:r>
      <w:r w:rsidR="00E56966" w:rsidRPr="009F0EF1">
        <w:t xml:space="preserve">his </w:t>
      </w:r>
      <w:r w:rsidR="00FC1B10">
        <w:t xml:space="preserve">potentially </w:t>
      </w:r>
      <w:r w:rsidR="00E56966" w:rsidRPr="009F0EF1">
        <w:t>hinder</w:t>
      </w:r>
      <w:r w:rsidR="0003732A">
        <w:t>s</w:t>
      </w:r>
      <w:r w:rsidR="00E56966" w:rsidRPr="009F0EF1">
        <w:t xml:space="preserve"> an</w:t>
      </w:r>
      <w:r w:rsidR="00E56966">
        <w:t xml:space="preserve"> ADI</w:t>
      </w:r>
      <w:r w:rsidR="0078725A">
        <w:t>’</w:t>
      </w:r>
      <w:r w:rsidR="00E56966">
        <w:t xml:space="preserve">s </w:t>
      </w:r>
      <w:r w:rsidR="00105188">
        <w:t xml:space="preserve">and </w:t>
      </w:r>
      <w:r w:rsidR="00E56966">
        <w:t>APRA’s flexibility in dealing with stress situations.</w:t>
      </w:r>
    </w:p>
    <w:p w14:paraId="435B2C13" w14:textId="77777777" w:rsidR="00FF2E6D" w:rsidRDefault="00925E36" w:rsidP="00D67DD3">
      <w:pPr>
        <w:pStyle w:val="APRAHEADING2"/>
      </w:pPr>
      <w:bookmarkStart w:id="63" w:name="_Toc514172188"/>
      <w:bookmarkStart w:id="64" w:name="_Toc518658240"/>
      <w:bookmarkStart w:id="65" w:name="_Toc521401212"/>
      <w:bookmarkStart w:id="66" w:name="_Toc521508286"/>
      <w:bookmarkStart w:id="67" w:name="_Toc521932759"/>
      <w:bookmarkStart w:id="68" w:name="_Toc508653007"/>
      <w:bookmarkStart w:id="69" w:name="_Toc510595659"/>
      <w:bookmarkStart w:id="70" w:name="_Toc510689492"/>
      <w:bookmarkStart w:id="71" w:name="_Toc510690470"/>
      <w:r>
        <w:t>APRA’s capital framework</w:t>
      </w:r>
      <w:bookmarkEnd w:id="63"/>
      <w:bookmarkEnd w:id="64"/>
      <w:bookmarkEnd w:id="65"/>
      <w:bookmarkEnd w:id="66"/>
      <w:bookmarkEnd w:id="67"/>
      <w:r w:rsidR="00D64DC5">
        <w:t xml:space="preserve"> </w:t>
      </w:r>
      <w:bookmarkEnd w:id="68"/>
      <w:bookmarkEnd w:id="69"/>
      <w:bookmarkEnd w:id="70"/>
      <w:bookmarkEnd w:id="71"/>
      <w:r w:rsidR="00FF2E6D" w:rsidRPr="00FF2E6D">
        <w:t xml:space="preserve"> </w:t>
      </w:r>
    </w:p>
    <w:p w14:paraId="3B2E6742" w14:textId="6017057A" w:rsidR="00105188" w:rsidRDefault="00105188" w:rsidP="00C36448">
      <w:pPr>
        <w:pStyle w:val="APRAHEADING3"/>
      </w:pPr>
      <w:r>
        <w:t>Differences between the standardised and IRB approaches</w:t>
      </w:r>
    </w:p>
    <w:p w14:paraId="7E3C2092" w14:textId="6A5A064E" w:rsidR="00105188" w:rsidRPr="00D77D9A" w:rsidRDefault="00105188" w:rsidP="00105188">
      <w:pPr>
        <w:pStyle w:val="APRANORMAL"/>
      </w:pPr>
      <w:r w:rsidRPr="00D77D9A">
        <w:t xml:space="preserve">Consistent with the Basel </w:t>
      </w:r>
      <w:r>
        <w:t>capital framework</w:t>
      </w:r>
      <w:r w:rsidRPr="00D77D9A">
        <w:t xml:space="preserve">, Australia’s capital </w:t>
      </w:r>
      <w:r>
        <w:t xml:space="preserve">adequacy </w:t>
      </w:r>
      <w:r w:rsidRPr="00D77D9A">
        <w:t xml:space="preserve">framework allows two approaches to determining </w:t>
      </w:r>
      <w:r>
        <w:t xml:space="preserve">RWA for credit risk </w:t>
      </w:r>
      <w:r w:rsidR="00B30671">
        <w:t xml:space="preserve">regulatory </w:t>
      </w:r>
      <w:r>
        <w:t>capital requirements</w:t>
      </w:r>
      <w:r w:rsidRPr="00D77D9A">
        <w:t>:</w:t>
      </w:r>
    </w:p>
    <w:p w14:paraId="63BA79D2" w14:textId="77777777" w:rsidR="00105188" w:rsidRPr="00D77D9A" w:rsidRDefault="00105188" w:rsidP="00105188">
      <w:pPr>
        <w:pStyle w:val="APRABULLET"/>
      </w:pPr>
      <w:r w:rsidRPr="00D77D9A">
        <w:t xml:space="preserve">The standardised approach uses </w:t>
      </w:r>
      <w:r>
        <w:t>a prescribed</w:t>
      </w:r>
      <w:r w:rsidRPr="00D77D9A">
        <w:t xml:space="preserve"> set of risk weights to reflect </w:t>
      </w:r>
      <w:r>
        <w:t>the</w:t>
      </w:r>
      <w:r w:rsidRPr="00D77D9A">
        <w:t xml:space="preserve"> risks of different asset classes. These are not tailored to a specific ADI and are set at a level to ensure adequate capitalisation on average across portfolios and ADIs of differing risk characteristics.</w:t>
      </w:r>
    </w:p>
    <w:p w14:paraId="03E06601" w14:textId="77777777" w:rsidR="00105188" w:rsidRPr="00D77D9A" w:rsidRDefault="00105188" w:rsidP="002A648E">
      <w:pPr>
        <w:pStyle w:val="APRABULLET"/>
        <w:spacing w:after="240"/>
        <w:ind w:left="357" w:hanging="357"/>
      </w:pPr>
      <w:r w:rsidRPr="00D77D9A">
        <w:t xml:space="preserve">The internal ratings-based (IRB) approach permits, subject to APRA approval, an ADI to use its own internal models and experience data to assess risk at a more </w:t>
      </w:r>
      <w:r w:rsidRPr="00D77D9A">
        <w:lastRenderedPageBreak/>
        <w:t xml:space="preserve">granular level, and </w:t>
      </w:r>
      <w:r>
        <w:t>measure risk weights</w:t>
      </w:r>
      <w:r w:rsidRPr="00D77D9A">
        <w:t xml:space="preserve"> accordingly. Achieving APRA’s approval to use the IRB approach requires an ADI to have a strong and sophisticated risk management framework and capacity.</w:t>
      </w:r>
    </w:p>
    <w:p w14:paraId="1DA479A1" w14:textId="69FCA336" w:rsidR="00105188" w:rsidRDefault="00105188" w:rsidP="00105188">
      <w:pPr>
        <w:pStyle w:val="APRANORMAL"/>
      </w:pPr>
      <w:r>
        <w:t>The IRB approach is more risk</w:t>
      </w:r>
      <w:r w:rsidR="00150D7E">
        <w:t xml:space="preserve"> </w:t>
      </w:r>
      <w:r>
        <w:t xml:space="preserve">sensitive and aims to more precisely align risk and capital, compared to the standardised approach, which uses benchmark risk weights to ensure an appropriate level of capital adequacy. The IRB approach also requires capital to be held for broader risk types, for example, </w:t>
      </w:r>
      <w:r w:rsidR="00BA0374">
        <w:t>interest rate risk in the banking book (</w:t>
      </w:r>
      <w:r>
        <w:t>IRRBB</w:t>
      </w:r>
      <w:r w:rsidR="00BA0374">
        <w:t>)</w:t>
      </w:r>
      <w:r>
        <w:t>; and is generally more suited to ADIs with greater risk management capability, scale, and diversified business models.</w:t>
      </w:r>
    </w:p>
    <w:p w14:paraId="61076880" w14:textId="615CC06E" w:rsidR="00105188" w:rsidRPr="00105188" w:rsidRDefault="00105188" w:rsidP="00105188">
      <w:pPr>
        <w:pStyle w:val="APRANORMAL"/>
      </w:pPr>
      <w:r>
        <w:t>The inclusion of two different approaches to the measurement of capital adequacy, by allowing for the use of more granular risk weights where supported by strong risk management and measurement capabilities, serves to improve the risk sensitivity of the capital framework where possible. This should in turn improve the efficiency of capital allocation in the banking sector. However, it will also mean that the capital ratios of ADIs using the standardised approach</w:t>
      </w:r>
      <w:r w:rsidR="00395FF7">
        <w:t xml:space="preserve"> (standardised ADIs)</w:t>
      </w:r>
      <w:r>
        <w:t xml:space="preserve"> and those using the more </w:t>
      </w:r>
      <w:r w:rsidR="00B30671">
        <w:t>risk sensitive</w:t>
      </w:r>
      <w:r>
        <w:t xml:space="preserve"> IRB approach </w:t>
      </w:r>
      <w:r w:rsidR="00395FF7">
        <w:t xml:space="preserve">(IRB ADIs) </w:t>
      </w:r>
      <w:r>
        <w:t>are not strictly comparable. Given the standardised approach is calibrated more conservatively to take account of its relative simplicity, an ADI’s capital ratios will tend to be higher under the IRB approach than the standardised approach.</w:t>
      </w:r>
    </w:p>
    <w:p w14:paraId="1BB6B2F1" w14:textId="415B834F" w:rsidR="0036415F" w:rsidRDefault="00C84E03" w:rsidP="00C454C6">
      <w:pPr>
        <w:pStyle w:val="APRAHEADING3"/>
      </w:pPr>
      <w:r>
        <w:t>Relative conservatism within APRA’s c</w:t>
      </w:r>
      <w:r w:rsidR="00925E36">
        <w:t xml:space="preserve">urrent </w:t>
      </w:r>
      <w:r>
        <w:t xml:space="preserve">capital </w:t>
      </w:r>
      <w:r w:rsidR="00925E36">
        <w:t>framework</w:t>
      </w:r>
    </w:p>
    <w:p w14:paraId="4AFB7974" w14:textId="6EEFF0A2" w:rsidR="0036415F" w:rsidRPr="007A40FB" w:rsidRDefault="00C454C6">
      <w:pPr>
        <w:pStyle w:val="APRANORMAL"/>
        <w:keepNext/>
      </w:pPr>
      <w:r>
        <w:t>APRA’s</w:t>
      </w:r>
      <w:r w:rsidR="00E15E32">
        <w:t xml:space="preserve"> July </w:t>
      </w:r>
      <w:r w:rsidR="00416102">
        <w:t>2015</w:t>
      </w:r>
      <w:r w:rsidR="00E15E32">
        <w:t xml:space="preserve"> </w:t>
      </w:r>
      <w:r w:rsidR="002C5928">
        <w:t xml:space="preserve">international capital comparison </w:t>
      </w:r>
      <w:r w:rsidR="00E15E32">
        <w:t>study</w:t>
      </w:r>
      <w:r>
        <w:t xml:space="preserve"> </w:t>
      </w:r>
      <w:r w:rsidR="00BF3257">
        <w:t xml:space="preserve">identified aspects of relative conservatism within </w:t>
      </w:r>
      <w:r>
        <w:t>the</w:t>
      </w:r>
      <w:r w:rsidR="00BF3257">
        <w:t xml:space="preserve"> capital framework and </w:t>
      </w:r>
      <w:r w:rsidR="0036415F">
        <w:t>detail</w:t>
      </w:r>
      <w:r w:rsidR="00E15E32">
        <w:t>ed</w:t>
      </w:r>
      <w:r w:rsidR="0036415F" w:rsidDel="00E15E32">
        <w:t xml:space="preserve"> </w:t>
      </w:r>
      <w:r w:rsidR="0036415F">
        <w:t xml:space="preserve">the comparative capital adequacy position of Australia’s four largest </w:t>
      </w:r>
      <w:r w:rsidR="00D33C57" w:rsidRPr="00D33C57">
        <w:t xml:space="preserve">ADIs </w:t>
      </w:r>
      <w:r w:rsidR="0036415F">
        <w:t>against a set of global peers, using a range of measures of capital strength.</w:t>
      </w:r>
      <w:r w:rsidR="00286AB8" w:rsidRPr="00B47A53">
        <w:rPr>
          <w:rStyle w:val="FootnoteReference"/>
        </w:rPr>
        <w:footnoteReference w:id="7"/>
      </w:r>
      <w:r w:rsidR="004664EB">
        <w:t xml:space="preserve"> </w:t>
      </w:r>
    </w:p>
    <w:p w14:paraId="408EA0AB" w14:textId="481E4F68" w:rsidR="000500C5" w:rsidRPr="00B47A53" w:rsidRDefault="000500C5" w:rsidP="000500C5">
      <w:pPr>
        <w:pStyle w:val="APRANORMAL"/>
      </w:pPr>
      <w:r>
        <w:t xml:space="preserve">In the 2015 study, the most material </w:t>
      </w:r>
      <w:r w:rsidRPr="00B47A53">
        <w:t xml:space="preserve">aspects of relative conservatism in </w:t>
      </w:r>
      <w:r>
        <w:t>the</w:t>
      </w:r>
      <w:r w:rsidRPr="00B47A53">
        <w:t xml:space="preserve"> definition of </w:t>
      </w:r>
      <w:r>
        <w:t xml:space="preserve">regulatory </w:t>
      </w:r>
      <w:r w:rsidRPr="00B47A53">
        <w:t>capital</w:t>
      </w:r>
      <w:r>
        <w:t xml:space="preserve"> </w:t>
      </w:r>
      <w:r w:rsidRPr="00B47A53">
        <w:t xml:space="preserve">were in respect </w:t>
      </w:r>
      <w:r>
        <w:t>of</w:t>
      </w:r>
      <w:r w:rsidRPr="00B47A53">
        <w:t xml:space="preserve"> capital deductions for:</w:t>
      </w:r>
    </w:p>
    <w:p w14:paraId="3AB6867B" w14:textId="77777777" w:rsidR="000500C5" w:rsidRPr="00B47A53" w:rsidRDefault="000500C5" w:rsidP="000500C5">
      <w:pPr>
        <w:pStyle w:val="APRABULLET"/>
      </w:pPr>
      <w:r w:rsidRPr="00B47A53">
        <w:t>investments in other financial institutions;</w:t>
      </w:r>
    </w:p>
    <w:p w14:paraId="0751E5AB" w14:textId="77777777" w:rsidR="000500C5" w:rsidRPr="00B47A53" w:rsidRDefault="000500C5" w:rsidP="000500C5">
      <w:pPr>
        <w:pStyle w:val="APRABULLET"/>
      </w:pPr>
      <w:r w:rsidRPr="00B47A53">
        <w:t>deferred tax assets arising from timing differences;</w:t>
      </w:r>
    </w:p>
    <w:p w14:paraId="6BE48173" w14:textId="77777777" w:rsidR="000500C5" w:rsidRPr="00B47A53" w:rsidRDefault="000500C5" w:rsidP="000500C5">
      <w:pPr>
        <w:pStyle w:val="APRABULLET"/>
      </w:pPr>
      <w:r w:rsidRPr="00B47A53">
        <w:t>investments in commercial entities;</w:t>
      </w:r>
    </w:p>
    <w:p w14:paraId="3846F8B0" w14:textId="77777777" w:rsidR="000500C5" w:rsidRDefault="000500C5" w:rsidP="000500C5">
      <w:pPr>
        <w:pStyle w:val="APRABULLET"/>
      </w:pPr>
      <w:r w:rsidRPr="00B47A53">
        <w:t>capitalised expenses and transaction costs; and</w:t>
      </w:r>
      <w:r>
        <w:t xml:space="preserve"> </w:t>
      </w:r>
    </w:p>
    <w:p w14:paraId="15BF3E99" w14:textId="77777777" w:rsidR="000500C5" w:rsidRDefault="000500C5" w:rsidP="000500C5">
      <w:pPr>
        <w:pStyle w:val="APRABULLET"/>
        <w:spacing w:after="240"/>
        <w:ind w:left="357" w:hanging="357"/>
      </w:pPr>
      <w:r w:rsidRPr="00B47A53">
        <w:lastRenderedPageBreak/>
        <w:t>holdings of subordinated tranches of securitisations.</w:t>
      </w:r>
    </w:p>
    <w:p w14:paraId="64D13212" w14:textId="520999DF" w:rsidR="000500C5" w:rsidRDefault="000500C5" w:rsidP="000500C5">
      <w:pPr>
        <w:pStyle w:val="APRABULLET"/>
        <w:numPr>
          <w:ilvl w:val="0"/>
          <w:numId w:val="0"/>
        </w:numPr>
        <w:spacing w:after="240"/>
      </w:pPr>
      <w:r>
        <w:t xml:space="preserve">Although the study focussed specifically on the four largest ADIs, who </w:t>
      </w:r>
      <w:r w:rsidR="000E70A8">
        <w:t xml:space="preserve">all </w:t>
      </w:r>
      <w:r>
        <w:t xml:space="preserve">use the IRB approach to </w:t>
      </w:r>
      <w:r w:rsidR="006C10CE">
        <w:t>credit risk</w:t>
      </w:r>
      <w:r>
        <w:t>, these differences also apply to ADIs using the standardised approach.</w:t>
      </w:r>
    </w:p>
    <w:p w14:paraId="7EF5C4B2" w14:textId="1C5FF2F7" w:rsidR="005F6DEF" w:rsidRDefault="000500C5" w:rsidP="005F6DEF">
      <w:pPr>
        <w:pStyle w:val="APRANORMAL"/>
      </w:pPr>
      <w:r>
        <w:t>T</w:t>
      </w:r>
      <w:r w:rsidR="005F6DEF">
        <w:t xml:space="preserve">he most material aspects </w:t>
      </w:r>
      <w:r w:rsidR="005F6DEF" w:rsidRPr="00B47A53">
        <w:t>of relative conservatism</w:t>
      </w:r>
      <w:r w:rsidR="005F6DEF">
        <w:t xml:space="preserve"> in </w:t>
      </w:r>
      <w:r w:rsidR="00C454C6">
        <w:t>the</w:t>
      </w:r>
      <w:r w:rsidR="005F6DEF">
        <w:t xml:space="preserve"> determination of RWA under the IRB framework were as follows:</w:t>
      </w:r>
    </w:p>
    <w:p w14:paraId="3587E630" w14:textId="77777777" w:rsidR="005F6DEF" w:rsidRDefault="00C454C6" w:rsidP="005F6DEF">
      <w:pPr>
        <w:pStyle w:val="APRABULLET"/>
      </w:pPr>
      <w:r>
        <w:t xml:space="preserve">the </w:t>
      </w:r>
      <w:r w:rsidR="005F6DEF">
        <w:t>20 per cent loss given default (LGD) portfolio constraint required for residential mortgage exposures;</w:t>
      </w:r>
    </w:p>
    <w:p w14:paraId="39968D4A" w14:textId="20CE57F9" w:rsidR="005F6DEF" w:rsidRDefault="00C454C6" w:rsidP="005F6DEF">
      <w:pPr>
        <w:pStyle w:val="APRABULLET"/>
      </w:pPr>
      <w:r>
        <w:t xml:space="preserve">the </w:t>
      </w:r>
      <w:r w:rsidR="005F6DEF">
        <w:t xml:space="preserve">capital </w:t>
      </w:r>
      <w:r>
        <w:t xml:space="preserve">requirement </w:t>
      </w:r>
      <w:r w:rsidR="005F6DEF">
        <w:t>for</w:t>
      </w:r>
      <w:r w:rsidR="000B07F7">
        <w:t xml:space="preserve"> </w:t>
      </w:r>
      <w:r w:rsidR="00B846A9">
        <w:t>IRRBB</w:t>
      </w:r>
      <w:r w:rsidR="005F6DEF">
        <w:t xml:space="preserve">, which is not included in </w:t>
      </w:r>
      <w:r w:rsidR="00C94FC6">
        <w:t xml:space="preserve">the </w:t>
      </w:r>
      <w:r w:rsidR="005F6DEF">
        <w:t xml:space="preserve">Basel </w:t>
      </w:r>
      <w:r w:rsidR="00961A4E">
        <w:t>capital framework</w:t>
      </w:r>
      <w:r>
        <w:t>’s</w:t>
      </w:r>
      <w:r w:rsidR="00961A4E">
        <w:t xml:space="preserve"> </w:t>
      </w:r>
      <w:r w:rsidR="005F6DEF">
        <w:t>minimum requirements;</w:t>
      </w:r>
    </w:p>
    <w:p w14:paraId="5FB71F28" w14:textId="77777777" w:rsidR="005F6DEF" w:rsidRDefault="00C454C6" w:rsidP="005F6DEF">
      <w:pPr>
        <w:pStyle w:val="APRABULLET"/>
      </w:pPr>
      <w:r>
        <w:t xml:space="preserve">the </w:t>
      </w:r>
      <w:r w:rsidR="005F6DEF">
        <w:t>LGD parameter for unsecured non-retail exposures;</w:t>
      </w:r>
    </w:p>
    <w:p w14:paraId="0F33221E" w14:textId="77777777" w:rsidR="005F6DEF" w:rsidRDefault="005F6DEF" w:rsidP="005F6DEF">
      <w:pPr>
        <w:pStyle w:val="APRABULLET"/>
      </w:pPr>
      <w:r>
        <w:t>credit conversion factors (CCF</w:t>
      </w:r>
      <w:r w:rsidR="009473CF">
        <w:t>s</w:t>
      </w:r>
      <w:r>
        <w:t>)</w:t>
      </w:r>
      <w:r w:rsidRPr="00B47A53">
        <w:t xml:space="preserve"> for undrawn non</w:t>
      </w:r>
      <w:r>
        <w:t>-retail commitments;</w:t>
      </w:r>
    </w:p>
    <w:p w14:paraId="37B0918C" w14:textId="77777777" w:rsidR="005F6DEF" w:rsidRDefault="00C454C6" w:rsidP="005F6DEF">
      <w:pPr>
        <w:pStyle w:val="APRABULLET"/>
      </w:pPr>
      <w:r>
        <w:t xml:space="preserve">use of </w:t>
      </w:r>
      <w:r w:rsidR="005F6DEF">
        <w:t xml:space="preserve">supervisory slotting and </w:t>
      </w:r>
      <w:r>
        <w:t xml:space="preserve">the </w:t>
      </w:r>
      <w:r w:rsidR="005F6DEF">
        <w:t>scaling factor for specialised lending;</w:t>
      </w:r>
    </w:p>
    <w:p w14:paraId="0BCC67A0" w14:textId="77777777" w:rsidR="005F6DEF" w:rsidRDefault="00C454C6" w:rsidP="005F6DEF">
      <w:pPr>
        <w:pStyle w:val="APRABULLET"/>
      </w:pPr>
      <w:r>
        <w:t xml:space="preserve">risk weights for </w:t>
      </w:r>
      <w:r w:rsidR="005F6DEF">
        <w:t>other retail exposures covered by the standardised approach to credit risk; and</w:t>
      </w:r>
    </w:p>
    <w:p w14:paraId="3BB02EB5" w14:textId="4570CC12" w:rsidR="005F6DEF" w:rsidRDefault="006B5A69" w:rsidP="005F6DEF">
      <w:pPr>
        <w:pStyle w:val="APRABULLET"/>
        <w:spacing w:after="240"/>
        <w:ind w:left="357" w:hanging="357"/>
      </w:pPr>
      <w:r>
        <w:t xml:space="preserve">the </w:t>
      </w:r>
      <w:r w:rsidR="00621432">
        <w:t>exchange rate used to convert E</w:t>
      </w:r>
      <w:r w:rsidR="005F6DEF">
        <w:t xml:space="preserve">uro-denominated thresholds </w:t>
      </w:r>
      <w:r w:rsidR="00961A4E">
        <w:t xml:space="preserve">in the Basel capital framework </w:t>
      </w:r>
      <w:r w:rsidR="005F6DEF">
        <w:t xml:space="preserve">into Australian dollars. </w:t>
      </w:r>
    </w:p>
    <w:p w14:paraId="0D09FC5C" w14:textId="29E74529" w:rsidR="00411585" w:rsidRDefault="00B846A9" w:rsidP="0036415F">
      <w:pPr>
        <w:pStyle w:val="APRANORMAL"/>
      </w:pPr>
      <w:r>
        <w:t xml:space="preserve">Since the 2015 study, </w:t>
      </w:r>
      <w:r w:rsidR="0036415F" w:rsidRPr="000D5F43">
        <w:t xml:space="preserve">APRA has </w:t>
      </w:r>
      <w:r w:rsidR="0036415F" w:rsidRPr="006969AA">
        <w:t xml:space="preserve">introduced </w:t>
      </w:r>
      <w:r>
        <w:t>additional</w:t>
      </w:r>
      <w:r w:rsidR="0036415F" w:rsidRPr="006969AA">
        <w:t xml:space="preserve"> conservatism into the IRB framework through the upward adjustments to the IRB risk weight calculation </w:t>
      </w:r>
      <w:r w:rsidR="005B6063">
        <w:t>for residential mortgage</w:t>
      </w:r>
      <w:r w:rsidR="00642BE1">
        <w:t>s</w:t>
      </w:r>
      <w:r>
        <w:t>. This was instituted in response to a recommendation of the 2014 Financial System Inquiry</w:t>
      </w:r>
      <w:r w:rsidR="00924CC1">
        <w:t xml:space="preserve"> (FSI)</w:t>
      </w:r>
      <w:r>
        <w:t xml:space="preserve">, and </w:t>
      </w:r>
      <w:r w:rsidR="0036415F" w:rsidRPr="006969AA">
        <w:t>came into effect from 1 July 2016.</w:t>
      </w:r>
      <w:r w:rsidR="004A4E41">
        <w:rPr>
          <w:rStyle w:val="FootnoteReference"/>
        </w:rPr>
        <w:footnoteReference w:id="8"/>
      </w:r>
      <w:r w:rsidR="0036415F" w:rsidRPr="006969AA">
        <w:t xml:space="preserve"> </w:t>
      </w:r>
    </w:p>
    <w:p w14:paraId="5322FBA2" w14:textId="7EF2FC3D" w:rsidR="0036415F" w:rsidRDefault="00FF3881" w:rsidP="0036415F">
      <w:pPr>
        <w:pStyle w:val="APRANORMAL"/>
      </w:pPr>
      <w:r>
        <w:t xml:space="preserve">Table 1 below </w:t>
      </w:r>
      <w:r w:rsidR="0036415F" w:rsidRPr="006969AA">
        <w:t xml:space="preserve">provides an indicative quantification of the effect of </w:t>
      </w:r>
      <w:r w:rsidR="00511F41">
        <w:t xml:space="preserve">the </w:t>
      </w:r>
      <w:r w:rsidR="0036415F" w:rsidRPr="006969AA">
        <w:t xml:space="preserve">relative conservatism in </w:t>
      </w:r>
      <w:r w:rsidR="00511F41">
        <w:t xml:space="preserve">APRA’s current framework </w:t>
      </w:r>
      <w:r w:rsidR="0036415F" w:rsidRPr="006969AA">
        <w:t>in terms of the average</w:t>
      </w:r>
      <w:r w:rsidR="009D00D1">
        <w:t xml:space="preserve"> </w:t>
      </w:r>
      <w:r w:rsidR="0036415F" w:rsidRPr="006969AA">
        <w:t xml:space="preserve">CET1 capital ratio for the four largest ADIs as at </w:t>
      </w:r>
      <w:r w:rsidR="0012664F">
        <w:t>June 2017</w:t>
      </w:r>
      <w:r w:rsidR="0036415F" w:rsidRPr="006969AA">
        <w:t>.</w:t>
      </w:r>
      <w:r w:rsidR="00CF2217">
        <w:rPr>
          <w:rStyle w:val="FootnoteReference"/>
        </w:rPr>
        <w:footnoteReference w:id="9"/>
      </w:r>
      <w:r w:rsidR="0036415F" w:rsidRPr="006969AA">
        <w:t xml:space="preserve"> </w:t>
      </w:r>
      <w:r w:rsidR="005041FC">
        <w:t>At</w:t>
      </w:r>
      <w:r w:rsidR="00D0792B">
        <w:t xml:space="preserve"> that time,</w:t>
      </w:r>
      <w:r w:rsidR="002F347F">
        <w:t xml:space="preserve"> </w:t>
      </w:r>
      <w:r w:rsidR="00951986">
        <w:t>t</w:t>
      </w:r>
      <w:r w:rsidR="00325BB8">
        <w:t xml:space="preserve">he average </w:t>
      </w:r>
      <w:r w:rsidR="00325BB8">
        <w:lastRenderedPageBreak/>
        <w:t xml:space="preserve">increase in the CET1 capital ratio due to APRA’s relative conservativism for the four largest ADIs </w:t>
      </w:r>
      <w:r w:rsidR="00E15E32">
        <w:t xml:space="preserve">was </w:t>
      </w:r>
      <w:r w:rsidR="006D7264">
        <w:t xml:space="preserve">in the order of </w:t>
      </w:r>
      <w:r w:rsidR="006169BE">
        <w:t>485</w:t>
      </w:r>
      <w:r w:rsidR="0012664F">
        <w:t xml:space="preserve"> </w:t>
      </w:r>
      <w:r w:rsidR="00325BB8">
        <w:t>basis point</w:t>
      </w:r>
      <w:r w:rsidR="00951986">
        <w:t>s</w:t>
      </w:r>
      <w:r w:rsidR="00325BB8">
        <w:t>.</w:t>
      </w:r>
    </w:p>
    <w:p w14:paraId="5CD320D0" w14:textId="7B2FB2AC" w:rsidR="00FF3881" w:rsidRDefault="005041FC" w:rsidP="00FF3881">
      <w:pPr>
        <w:pStyle w:val="APRATABLE-NUMBER"/>
      </w:pPr>
      <w:r>
        <w:t>E</w:t>
      </w:r>
      <w:r w:rsidR="00FF3881">
        <w:t xml:space="preserve">stimated adjustments to achieve internationally comparable CET1 capital ratios – average over the four largest ADIs as at </w:t>
      </w:r>
      <w:r w:rsidR="000F2228">
        <w:t xml:space="preserve">June </w:t>
      </w:r>
      <w:r w:rsidR="00FF3881">
        <w:t>201</w:t>
      </w:r>
      <w:r w:rsidR="000F2228">
        <w:t>7</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91"/>
        <w:gridCol w:w="2925"/>
      </w:tblGrid>
      <w:tr w:rsidR="00FF3881" w:rsidRPr="001F2225" w14:paraId="446E5660" w14:textId="77777777" w:rsidTr="004664EB">
        <w:trPr>
          <w:trHeight w:val="454"/>
          <w:tblHeader/>
        </w:trPr>
        <w:tc>
          <w:tcPr>
            <w:tcW w:w="6091" w:type="dxa"/>
            <w:shd w:val="clear" w:color="auto" w:fill="002060"/>
            <w:vAlign w:val="bottom"/>
          </w:tcPr>
          <w:p w14:paraId="230E428C" w14:textId="2353A3AA" w:rsidR="00FF3881" w:rsidRPr="001F2225" w:rsidRDefault="00FF3881" w:rsidP="007C04E1">
            <w:pPr>
              <w:keepNext/>
              <w:keepLines/>
              <w:spacing w:after="60"/>
              <w:rPr>
                <w:rFonts w:ascii="DIN OT Medium" w:hAnsi="DIN OT Medium" w:cs="Arial"/>
                <w:sz w:val="20"/>
                <w:szCs w:val="20"/>
              </w:rPr>
            </w:pPr>
            <w:r>
              <w:rPr>
                <w:rFonts w:ascii="DIN OT Medium" w:hAnsi="DIN OT Medium" w:cs="Arial"/>
                <w:sz w:val="20"/>
                <w:szCs w:val="20"/>
              </w:rPr>
              <w:t>A</w:t>
            </w:r>
            <w:r w:rsidRPr="00CB2568">
              <w:rPr>
                <w:rFonts w:ascii="DIN OT Medium" w:hAnsi="DIN OT Medium" w:cs="Arial"/>
                <w:sz w:val="20"/>
                <w:szCs w:val="20"/>
              </w:rPr>
              <w:t xml:space="preserve">verage over the four </w:t>
            </w:r>
            <w:r w:rsidR="007C04E1">
              <w:rPr>
                <w:rFonts w:ascii="DIN OT Medium" w:hAnsi="DIN OT Medium" w:cs="Arial"/>
                <w:sz w:val="20"/>
                <w:szCs w:val="20"/>
              </w:rPr>
              <w:t>largest ADIs</w:t>
            </w:r>
            <w:r w:rsidRPr="00CB2568">
              <w:rPr>
                <w:rFonts w:ascii="DIN OT Medium" w:hAnsi="DIN OT Medium" w:cs="Arial"/>
                <w:sz w:val="20"/>
                <w:szCs w:val="20"/>
              </w:rPr>
              <w:t xml:space="preserve"> as at </w:t>
            </w:r>
            <w:r w:rsidR="007C04E1">
              <w:rPr>
                <w:rFonts w:ascii="DIN OT Medium" w:hAnsi="DIN OT Medium" w:cs="Arial"/>
                <w:sz w:val="20"/>
                <w:szCs w:val="20"/>
              </w:rPr>
              <w:t xml:space="preserve">June </w:t>
            </w:r>
            <w:r w:rsidR="007C04E1" w:rsidRPr="00CB2568">
              <w:rPr>
                <w:rFonts w:ascii="DIN OT Medium" w:hAnsi="DIN OT Medium" w:cs="Arial"/>
                <w:sz w:val="20"/>
                <w:szCs w:val="20"/>
              </w:rPr>
              <w:t>201</w:t>
            </w:r>
            <w:r w:rsidR="007C04E1">
              <w:rPr>
                <w:rFonts w:ascii="DIN OT Medium" w:hAnsi="DIN OT Medium" w:cs="Arial"/>
                <w:sz w:val="20"/>
                <w:szCs w:val="20"/>
              </w:rPr>
              <w:t>7</w:t>
            </w:r>
          </w:p>
        </w:tc>
        <w:tc>
          <w:tcPr>
            <w:tcW w:w="2925" w:type="dxa"/>
            <w:shd w:val="clear" w:color="auto" w:fill="002060"/>
            <w:vAlign w:val="bottom"/>
          </w:tcPr>
          <w:p w14:paraId="751BBEA9" w14:textId="77596D93" w:rsidR="00FF3881" w:rsidRPr="001F2225" w:rsidRDefault="00FF3881" w:rsidP="00105188">
            <w:pPr>
              <w:pStyle w:val="APRANORMAL"/>
              <w:spacing w:after="60"/>
              <w:jc w:val="center"/>
              <w:rPr>
                <w:rFonts w:ascii="DIN OT Medium" w:hAnsi="DIN OT Medium"/>
                <w:sz w:val="20"/>
                <w:szCs w:val="20"/>
              </w:rPr>
            </w:pPr>
            <w:r>
              <w:rPr>
                <w:rFonts w:ascii="DIN OT Medium" w:hAnsi="DIN OT Medium"/>
                <w:sz w:val="20"/>
                <w:szCs w:val="20"/>
              </w:rPr>
              <w:t xml:space="preserve">CET1 capital ratio </w:t>
            </w:r>
            <w:r w:rsidR="00105188">
              <w:rPr>
                <w:rFonts w:ascii="DIN OT Medium" w:hAnsi="DIN OT Medium"/>
                <w:sz w:val="20"/>
                <w:szCs w:val="20"/>
              </w:rPr>
              <w:t xml:space="preserve">impact </w:t>
            </w:r>
            <w:r>
              <w:rPr>
                <w:rFonts w:ascii="DIN OT Medium" w:hAnsi="DIN OT Medium"/>
                <w:sz w:val="20"/>
                <w:szCs w:val="20"/>
              </w:rPr>
              <w:br/>
              <w:t>(basis points)</w:t>
            </w:r>
          </w:p>
        </w:tc>
      </w:tr>
      <w:tr w:rsidR="00E25A58" w:rsidRPr="001F2225" w14:paraId="599E0ADE" w14:textId="77777777" w:rsidTr="00FF3881">
        <w:trPr>
          <w:trHeight w:val="680"/>
        </w:trPr>
        <w:tc>
          <w:tcPr>
            <w:tcW w:w="6091" w:type="dxa"/>
            <w:shd w:val="clear" w:color="auto" w:fill="D9D9D9" w:themeFill="background1" w:themeFillShade="D9"/>
            <w:vAlign w:val="center"/>
          </w:tcPr>
          <w:p w14:paraId="57F479D0" w14:textId="60E3EC25" w:rsidR="00E25A58" w:rsidRPr="00CB2568" w:rsidRDefault="00E25A58" w:rsidP="00E25A58">
            <w:pPr>
              <w:pStyle w:val="APRANORMAL"/>
              <w:spacing w:before="80" w:after="120"/>
              <w:rPr>
                <w:sz w:val="20"/>
                <w:szCs w:val="20"/>
              </w:rPr>
            </w:pPr>
            <w:r>
              <w:rPr>
                <w:sz w:val="20"/>
                <w:szCs w:val="20"/>
              </w:rPr>
              <w:t>Relative c</w:t>
            </w:r>
            <w:r w:rsidRPr="00CB2568">
              <w:rPr>
                <w:sz w:val="20"/>
                <w:szCs w:val="20"/>
              </w:rPr>
              <w:t xml:space="preserve">onservatism within </w:t>
            </w:r>
            <w:r>
              <w:rPr>
                <w:sz w:val="20"/>
                <w:szCs w:val="20"/>
              </w:rPr>
              <w:t>the</w:t>
            </w:r>
            <w:r w:rsidRPr="00CB2568">
              <w:rPr>
                <w:sz w:val="20"/>
                <w:szCs w:val="20"/>
              </w:rPr>
              <w:t xml:space="preserve"> definition of capital</w:t>
            </w:r>
          </w:p>
        </w:tc>
        <w:tc>
          <w:tcPr>
            <w:tcW w:w="2925" w:type="dxa"/>
            <w:shd w:val="clear" w:color="auto" w:fill="D9D9D9" w:themeFill="background1" w:themeFillShade="D9"/>
            <w:vAlign w:val="center"/>
          </w:tcPr>
          <w:p w14:paraId="58F211B4" w14:textId="66F81780" w:rsidR="00E25A58" w:rsidRPr="00CE64D3" w:rsidRDefault="0012664F" w:rsidP="0012664F">
            <w:pPr>
              <w:pStyle w:val="APRANORMAL"/>
              <w:spacing w:before="80" w:after="120"/>
              <w:jc w:val="center"/>
              <w:rPr>
                <w:sz w:val="20"/>
              </w:rPr>
            </w:pPr>
            <w:r w:rsidRPr="00CE64D3">
              <w:rPr>
                <w:sz w:val="20"/>
              </w:rPr>
              <w:t>1</w:t>
            </w:r>
            <w:r>
              <w:rPr>
                <w:sz w:val="20"/>
              </w:rPr>
              <w:t>3</w:t>
            </w:r>
            <w:r w:rsidRPr="00CE64D3">
              <w:rPr>
                <w:sz w:val="20"/>
              </w:rPr>
              <w:t>0</w:t>
            </w:r>
          </w:p>
        </w:tc>
      </w:tr>
      <w:tr w:rsidR="00E25A58" w:rsidRPr="001F2225" w14:paraId="4F66D18B" w14:textId="77777777" w:rsidTr="00FF3881">
        <w:trPr>
          <w:trHeight w:val="680"/>
        </w:trPr>
        <w:tc>
          <w:tcPr>
            <w:tcW w:w="6091" w:type="dxa"/>
            <w:shd w:val="clear" w:color="auto" w:fill="D9D9D9" w:themeFill="background1" w:themeFillShade="D9"/>
            <w:vAlign w:val="center"/>
          </w:tcPr>
          <w:p w14:paraId="1F13D6BE" w14:textId="0FACE7FF" w:rsidR="00E25A58" w:rsidRPr="00CB2568" w:rsidRDefault="00E25A58" w:rsidP="002E624C">
            <w:pPr>
              <w:pStyle w:val="APRANORMAL"/>
              <w:spacing w:before="80" w:after="120"/>
              <w:rPr>
                <w:sz w:val="20"/>
                <w:szCs w:val="20"/>
              </w:rPr>
            </w:pPr>
            <w:r w:rsidRPr="00CB2568">
              <w:rPr>
                <w:sz w:val="20"/>
                <w:szCs w:val="20"/>
              </w:rPr>
              <w:t xml:space="preserve">Other aspects of </w:t>
            </w:r>
            <w:r>
              <w:rPr>
                <w:sz w:val="20"/>
                <w:szCs w:val="20"/>
              </w:rPr>
              <w:t xml:space="preserve">relative </w:t>
            </w:r>
            <w:r w:rsidRPr="00CB2568">
              <w:rPr>
                <w:sz w:val="20"/>
                <w:szCs w:val="20"/>
              </w:rPr>
              <w:t xml:space="preserve">conservatism in </w:t>
            </w:r>
            <w:r>
              <w:rPr>
                <w:sz w:val="20"/>
                <w:szCs w:val="20"/>
              </w:rPr>
              <w:t>the</w:t>
            </w:r>
            <w:r w:rsidRPr="00CB2568">
              <w:rPr>
                <w:sz w:val="20"/>
                <w:szCs w:val="20"/>
              </w:rPr>
              <w:t xml:space="preserve"> determination of RWA in the IRB framework</w:t>
            </w:r>
          </w:p>
        </w:tc>
        <w:tc>
          <w:tcPr>
            <w:tcW w:w="2925" w:type="dxa"/>
            <w:shd w:val="clear" w:color="auto" w:fill="D9D9D9" w:themeFill="background1" w:themeFillShade="D9"/>
            <w:vAlign w:val="center"/>
          </w:tcPr>
          <w:p w14:paraId="572206AC" w14:textId="5A0C43A4" w:rsidR="00E25A58" w:rsidRPr="00CE64D3" w:rsidRDefault="0012664F" w:rsidP="0012664F">
            <w:pPr>
              <w:pStyle w:val="APRANORMAL"/>
              <w:spacing w:before="80" w:after="120"/>
              <w:jc w:val="center"/>
              <w:rPr>
                <w:sz w:val="20"/>
              </w:rPr>
            </w:pPr>
            <w:r w:rsidRPr="00CE64D3">
              <w:rPr>
                <w:sz w:val="20"/>
              </w:rPr>
              <w:t>2</w:t>
            </w:r>
            <w:r>
              <w:rPr>
                <w:sz w:val="20"/>
              </w:rPr>
              <w:t>7</w:t>
            </w:r>
            <w:r w:rsidR="00BA60A4">
              <w:rPr>
                <w:sz w:val="20"/>
              </w:rPr>
              <w:t>0</w:t>
            </w:r>
          </w:p>
        </w:tc>
      </w:tr>
      <w:tr w:rsidR="00E25A58" w:rsidRPr="001F2225" w14:paraId="00D465D2" w14:textId="77777777" w:rsidTr="00FF3881">
        <w:trPr>
          <w:trHeight w:val="680"/>
        </w:trPr>
        <w:tc>
          <w:tcPr>
            <w:tcW w:w="6091" w:type="dxa"/>
            <w:shd w:val="clear" w:color="auto" w:fill="D9D9D9" w:themeFill="background1" w:themeFillShade="D9"/>
            <w:vAlign w:val="center"/>
          </w:tcPr>
          <w:p w14:paraId="333AF227" w14:textId="4DA314EB" w:rsidR="00E25A58" w:rsidRPr="00CB2568" w:rsidRDefault="00E25A58" w:rsidP="00530933">
            <w:pPr>
              <w:pStyle w:val="APRANORMAL"/>
              <w:spacing w:before="80" w:after="120"/>
              <w:rPr>
                <w:sz w:val="20"/>
                <w:szCs w:val="20"/>
              </w:rPr>
            </w:pPr>
            <w:r w:rsidRPr="00CB2568">
              <w:rPr>
                <w:sz w:val="20"/>
                <w:szCs w:val="20"/>
              </w:rPr>
              <w:t xml:space="preserve">Upward adjustments to the IRB </w:t>
            </w:r>
            <w:r>
              <w:rPr>
                <w:sz w:val="20"/>
                <w:szCs w:val="20"/>
              </w:rPr>
              <w:t xml:space="preserve">residential </w:t>
            </w:r>
            <w:r w:rsidRPr="00CB2568">
              <w:rPr>
                <w:sz w:val="20"/>
                <w:szCs w:val="20"/>
              </w:rPr>
              <w:t>mortgage risk</w:t>
            </w:r>
            <w:r w:rsidR="00530933">
              <w:rPr>
                <w:sz w:val="20"/>
                <w:szCs w:val="20"/>
              </w:rPr>
              <w:t xml:space="preserve"> </w:t>
            </w:r>
            <w:r w:rsidRPr="00CB2568">
              <w:rPr>
                <w:sz w:val="20"/>
                <w:szCs w:val="20"/>
              </w:rPr>
              <w:t>weight functi</w:t>
            </w:r>
            <w:r>
              <w:rPr>
                <w:sz w:val="20"/>
                <w:szCs w:val="20"/>
              </w:rPr>
              <w:t>on, introduced from 1 July 2016</w:t>
            </w:r>
          </w:p>
        </w:tc>
        <w:tc>
          <w:tcPr>
            <w:tcW w:w="2925" w:type="dxa"/>
            <w:shd w:val="clear" w:color="auto" w:fill="D9D9D9" w:themeFill="background1" w:themeFillShade="D9"/>
            <w:vAlign w:val="center"/>
          </w:tcPr>
          <w:p w14:paraId="77688C1E" w14:textId="68223E64" w:rsidR="00E25A58" w:rsidRPr="00CE64D3" w:rsidRDefault="00E25A58" w:rsidP="0012664F">
            <w:pPr>
              <w:pStyle w:val="APRANORMAL"/>
              <w:spacing w:before="80" w:after="120"/>
              <w:jc w:val="center"/>
              <w:rPr>
                <w:sz w:val="20"/>
              </w:rPr>
            </w:pPr>
            <w:r w:rsidRPr="00CE64D3">
              <w:rPr>
                <w:sz w:val="20"/>
              </w:rPr>
              <w:t>8</w:t>
            </w:r>
            <w:r w:rsidR="0012664F">
              <w:rPr>
                <w:sz w:val="20"/>
              </w:rPr>
              <w:t>5</w:t>
            </w:r>
          </w:p>
        </w:tc>
      </w:tr>
      <w:tr w:rsidR="00E25A58" w:rsidRPr="001F2225" w14:paraId="7B3E2800" w14:textId="77777777" w:rsidTr="00FF3881">
        <w:trPr>
          <w:trHeight w:val="680"/>
        </w:trPr>
        <w:tc>
          <w:tcPr>
            <w:tcW w:w="6091" w:type="dxa"/>
            <w:shd w:val="clear" w:color="auto" w:fill="D9D9D9" w:themeFill="background1" w:themeFillShade="D9"/>
            <w:vAlign w:val="center"/>
          </w:tcPr>
          <w:p w14:paraId="57A528D2" w14:textId="77777777" w:rsidR="00E25A58" w:rsidRPr="00CB2568" w:rsidRDefault="00E25A58" w:rsidP="00E25A58">
            <w:pPr>
              <w:pStyle w:val="APRANORMAL"/>
              <w:spacing w:before="80" w:after="120"/>
              <w:rPr>
                <w:rFonts w:ascii="DIN OT Medium" w:hAnsi="DIN OT Medium"/>
                <w:sz w:val="20"/>
                <w:szCs w:val="20"/>
              </w:rPr>
            </w:pPr>
            <w:r w:rsidRPr="00CB2568">
              <w:rPr>
                <w:rFonts w:ascii="DIN OT Medium" w:hAnsi="DIN OT Medium"/>
                <w:sz w:val="20"/>
                <w:szCs w:val="20"/>
              </w:rPr>
              <w:t>Total</w:t>
            </w:r>
          </w:p>
        </w:tc>
        <w:tc>
          <w:tcPr>
            <w:tcW w:w="2925" w:type="dxa"/>
            <w:shd w:val="clear" w:color="auto" w:fill="D9D9D9" w:themeFill="background1" w:themeFillShade="D9"/>
            <w:vAlign w:val="center"/>
          </w:tcPr>
          <w:p w14:paraId="761BE4FD" w14:textId="04C07C51" w:rsidR="00E25A58" w:rsidRPr="00CB2568" w:rsidRDefault="0012664F" w:rsidP="00BA60A4">
            <w:pPr>
              <w:pStyle w:val="APRANORMAL"/>
              <w:spacing w:before="80" w:after="120"/>
              <w:jc w:val="center"/>
              <w:rPr>
                <w:rFonts w:ascii="DIN OT Medium" w:hAnsi="DIN OT Medium"/>
                <w:sz w:val="20"/>
              </w:rPr>
            </w:pPr>
            <w:r w:rsidRPr="00CB2568">
              <w:rPr>
                <w:rFonts w:ascii="DIN OT Medium" w:hAnsi="DIN OT Medium"/>
                <w:sz w:val="20"/>
              </w:rPr>
              <w:t>4</w:t>
            </w:r>
            <w:r w:rsidR="00BA60A4">
              <w:rPr>
                <w:rFonts w:ascii="DIN OT Medium" w:hAnsi="DIN OT Medium"/>
                <w:sz w:val="20"/>
              </w:rPr>
              <w:t>85</w:t>
            </w:r>
          </w:p>
        </w:tc>
      </w:tr>
    </w:tbl>
    <w:p w14:paraId="2669CC1B" w14:textId="77777777" w:rsidR="0028429C" w:rsidRDefault="0028429C" w:rsidP="0028429C">
      <w:pPr>
        <w:pStyle w:val="APRANORMAL"/>
        <w:rPr>
          <w:highlight w:val="yellow"/>
        </w:rPr>
      </w:pPr>
    </w:p>
    <w:p w14:paraId="181B72D1" w14:textId="5D7D2C46" w:rsidR="009D2DA4" w:rsidRDefault="009D2DA4" w:rsidP="0028429C">
      <w:pPr>
        <w:pStyle w:val="APRANORMAL"/>
      </w:pPr>
      <w:r w:rsidRPr="009D2DA4">
        <w:t>Relative t</w:t>
      </w:r>
      <w:r>
        <w:t xml:space="preserve">o </w:t>
      </w:r>
      <w:r w:rsidR="00DE7542">
        <w:t xml:space="preserve">the </w:t>
      </w:r>
      <w:r>
        <w:t xml:space="preserve">IRB approach, </w:t>
      </w:r>
      <w:r w:rsidR="00DE7542">
        <w:t>the standardised approach to credit risk provides for a simpler approach for the determination of</w:t>
      </w:r>
      <w:r w:rsidR="00DA049A">
        <w:t xml:space="preserve"> RWA. </w:t>
      </w:r>
      <w:r w:rsidR="00221828">
        <w:t xml:space="preserve">Under </w:t>
      </w:r>
      <w:r w:rsidR="00DA049A">
        <w:t xml:space="preserve">APRA’s </w:t>
      </w:r>
      <w:r>
        <w:t>standardised approach to credit risk</w:t>
      </w:r>
      <w:r w:rsidR="00DA049A">
        <w:t xml:space="preserve">, APRA has applied </w:t>
      </w:r>
      <w:r w:rsidR="00B27DB9">
        <w:t xml:space="preserve">its </w:t>
      </w:r>
      <w:r w:rsidR="00DA049A">
        <w:t>national discretion</w:t>
      </w:r>
      <w:r w:rsidR="00B27DB9">
        <w:t xml:space="preserve"> in two material areas: </w:t>
      </w:r>
    </w:p>
    <w:p w14:paraId="29AFEFBE" w14:textId="3FF9C794" w:rsidR="00522DAC" w:rsidRPr="00522DAC" w:rsidRDefault="00B27DB9" w:rsidP="00221828">
      <w:pPr>
        <w:pStyle w:val="APRABULLET"/>
      </w:pPr>
      <w:r w:rsidRPr="00221828">
        <w:rPr>
          <w:lang w:val="en-US"/>
        </w:rPr>
        <w:t>the use of a risk</w:t>
      </w:r>
      <w:r w:rsidR="00221828" w:rsidRPr="00221828">
        <w:rPr>
          <w:lang w:val="en-US"/>
        </w:rPr>
        <w:t>-weighting scheme for residential mortgage</w:t>
      </w:r>
      <w:r w:rsidR="00522DAC">
        <w:rPr>
          <w:lang w:val="en-US"/>
        </w:rPr>
        <w:t xml:space="preserve"> exposures </w:t>
      </w:r>
      <w:r w:rsidR="00221828" w:rsidRPr="00221828">
        <w:rPr>
          <w:lang w:val="en-US"/>
        </w:rPr>
        <w:t>based on the loan-to-valuation ratio of the loan,</w:t>
      </w:r>
      <w:r w:rsidR="00221828">
        <w:rPr>
          <w:lang w:val="en-US"/>
        </w:rPr>
        <w:t xml:space="preserve"> rather than a </w:t>
      </w:r>
      <w:r w:rsidR="00105188">
        <w:rPr>
          <w:lang w:val="en-US"/>
        </w:rPr>
        <w:t xml:space="preserve">flat </w:t>
      </w:r>
      <w:r w:rsidR="00221828">
        <w:rPr>
          <w:lang w:val="en-US"/>
        </w:rPr>
        <w:t>35 per cent risk</w:t>
      </w:r>
      <w:r w:rsidR="008347BA">
        <w:rPr>
          <w:lang w:val="en-US"/>
        </w:rPr>
        <w:t xml:space="preserve"> </w:t>
      </w:r>
      <w:r w:rsidR="00221828">
        <w:rPr>
          <w:lang w:val="en-US"/>
        </w:rPr>
        <w:t>weight.</w:t>
      </w:r>
      <w:r w:rsidR="00A02E15">
        <w:rPr>
          <w:rStyle w:val="FootnoteReference"/>
          <w:lang w:val="en-US"/>
        </w:rPr>
        <w:footnoteReference w:id="10"/>
      </w:r>
      <w:r w:rsidR="00221828">
        <w:rPr>
          <w:lang w:val="en-US"/>
        </w:rPr>
        <w:t xml:space="preserve"> </w:t>
      </w:r>
      <w:r w:rsidR="00105188">
        <w:rPr>
          <w:lang w:val="en-US"/>
        </w:rPr>
        <w:t xml:space="preserve">APRA’s </w:t>
      </w:r>
      <w:r w:rsidR="00221828">
        <w:rPr>
          <w:lang w:val="en-US"/>
        </w:rPr>
        <w:t>risk</w:t>
      </w:r>
      <w:r w:rsidR="00734FA5">
        <w:rPr>
          <w:lang w:val="en-US"/>
        </w:rPr>
        <w:t>-</w:t>
      </w:r>
      <w:r w:rsidR="00221828">
        <w:rPr>
          <w:lang w:val="en-US"/>
        </w:rPr>
        <w:t xml:space="preserve">weight scheme </w:t>
      </w:r>
      <w:r w:rsidR="00105188">
        <w:rPr>
          <w:lang w:val="en-US"/>
        </w:rPr>
        <w:t>also differentiates</w:t>
      </w:r>
      <w:r w:rsidR="00221828">
        <w:rPr>
          <w:lang w:val="en-US"/>
        </w:rPr>
        <w:t xml:space="preserve"> according to whether </w:t>
      </w:r>
      <w:r w:rsidR="00221828" w:rsidRPr="00221828">
        <w:rPr>
          <w:lang w:val="en-US"/>
        </w:rPr>
        <w:t>the loan has acceptable lenders mortgage insurance</w:t>
      </w:r>
      <w:r w:rsidR="00522DAC">
        <w:rPr>
          <w:lang w:val="en-US"/>
        </w:rPr>
        <w:t xml:space="preserve"> coverage</w:t>
      </w:r>
      <w:r w:rsidR="00221828" w:rsidRPr="00221828">
        <w:rPr>
          <w:lang w:val="en-US"/>
        </w:rPr>
        <w:t xml:space="preserve"> and whether the loan is a </w:t>
      </w:r>
      <w:r w:rsidR="00665901">
        <w:rPr>
          <w:lang w:val="en-US"/>
        </w:rPr>
        <w:t>‘</w:t>
      </w:r>
      <w:r w:rsidR="00221828" w:rsidRPr="00221828">
        <w:rPr>
          <w:lang w:val="en-US"/>
        </w:rPr>
        <w:t>standard</w:t>
      </w:r>
      <w:r w:rsidR="00665901">
        <w:rPr>
          <w:lang w:val="en-US"/>
        </w:rPr>
        <w:t>’</w:t>
      </w:r>
      <w:r w:rsidR="00221828" w:rsidRPr="00221828">
        <w:rPr>
          <w:lang w:val="en-US"/>
        </w:rPr>
        <w:t xml:space="preserve"> or </w:t>
      </w:r>
      <w:r w:rsidR="00665901">
        <w:rPr>
          <w:lang w:val="en-US"/>
        </w:rPr>
        <w:t>‘</w:t>
      </w:r>
      <w:r w:rsidR="00221828" w:rsidRPr="00221828">
        <w:rPr>
          <w:lang w:val="en-US"/>
        </w:rPr>
        <w:t>non-standard</w:t>
      </w:r>
      <w:r w:rsidR="00665901">
        <w:rPr>
          <w:lang w:val="en-US"/>
        </w:rPr>
        <w:t>’</w:t>
      </w:r>
      <w:r w:rsidR="00221828" w:rsidRPr="00221828">
        <w:rPr>
          <w:lang w:val="en-US"/>
        </w:rPr>
        <w:t xml:space="preserve"> </w:t>
      </w:r>
      <w:r w:rsidR="00665901">
        <w:rPr>
          <w:lang w:val="en-US"/>
        </w:rPr>
        <w:t xml:space="preserve">residential mortgage </w:t>
      </w:r>
      <w:r w:rsidR="00221828" w:rsidRPr="00221828">
        <w:rPr>
          <w:lang w:val="en-US"/>
        </w:rPr>
        <w:t>loan</w:t>
      </w:r>
      <w:r w:rsidR="00522DAC">
        <w:rPr>
          <w:lang w:val="en-US"/>
        </w:rPr>
        <w:t>; and</w:t>
      </w:r>
    </w:p>
    <w:p w14:paraId="7C32AE57" w14:textId="5977739D" w:rsidR="00B27DB9" w:rsidRPr="009D2DA4" w:rsidRDefault="00522DAC" w:rsidP="00733385">
      <w:pPr>
        <w:pStyle w:val="APRABULLET"/>
        <w:spacing w:after="240"/>
        <w:ind w:left="357" w:hanging="357"/>
      </w:pPr>
      <w:r>
        <w:rPr>
          <w:lang w:val="en-US"/>
        </w:rPr>
        <w:t>the application of a 100 per cent risk</w:t>
      </w:r>
      <w:r w:rsidR="00446315">
        <w:rPr>
          <w:lang w:val="en-US"/>
        </w:rPr>
        <w:t xml:space="preserve"> </w:t>
      </w:r>
      <w:r>
        <w:rPr>
          <w:lang w:val="en-US"/>
        </w:rPr>
        <w:t xml:space="preserve">weight for ‘other retail’ exposures rather than </w:t>
      </w:r>
      <w:r w:rsidR="00DE5ECC">
        <w:rPr>
          <w:lang w:val="en-US"/>
        </w:rPr>
        <w:t xml:space="preserve">applying a </w:t>
      </w:r>
      <w:r>
        <w:rPr>
          <w:lang w:val="en-US"/>
        </w:rPr>
        <w:t>75 per cent</w:t>
      </w:r>
      <w:r w:rsidR="00DE5ECC">
        <w:rPr>
          <w:lang w:val="en-US"/>
        </w:rPr>
        <w:t xml:space="preserve"> risk</w:t>
      </w:r>
      <w:r w:rsidR="007D4F1D">
        <w:rPr>
          <w:lang w:val="en-US"/>
        </w:rPr>
        <w:t xml:space="preserve"> </w:t>
      </w:r>
      <w:r w:rsidR="00DE5ECC">
        <w:rPr>
          <w:lang w:val="en-US"/>
        </w:rPr>
        <w:t>weight</w:t>
      </w:r>
      <w:r>
        <w:rPr>
          <w:lang w:val="en-US"/>
        </w:rPr>
        <w:t>.</w:t>
      </w:r>
    </w:p>
    <w:p w14:paraId="3FF447CC" w14:textId="55F867A5" w:rsidR="00B61C29" w:rsidRDefault="00B61C29" w:rsidP="0028429C">
      <w:pPr>
        <w:pStyle w:val="APRANORMAL"/>
      </w:pPr>
      <w:r>
        <w:t>APRA’s conservative approach to</w:t>
      </w:r>
      <w:r w:rsidR="0001551D">
        <w:t xml:space="preserve"> capital adequacy for </w:t>
      </w:r>
      <w:r>
        <w:t xml:space="preserve">the residential mortgage </w:t>
      </w:r>
      <w:r w:rsidR="0001551D">
        <w:t xml:space="preserve">and other retail lending </w:t>
      </w:r>
      <w:r>
        <w:t>portfolio</w:t>
      </w:r>
      <w:r w:rsidR="0001551D">
        <w:t xml:space="preserve">s </w:t>
      </w:r>
      <w:r>
        <w:t xml:space="preserve">within the standardised approach </w:t>
      </w:r>
      <w:r w:rsidR="0001551D">
        <w:t xml:space="preserve">would generate, all </w:t>
      </w:r>
      <w:r w:rsidR="0001551D">
        <w:lastRenderedPageBreak/>
        <w:t xml:space="preserve">else equal, lower </w:t>
      </w:r>
      <w:r w:rsidR="00D3757A">
        <w:t>reported</w:t>
      </w:r>
      <w:r w:rsidR="0001551D">
        <w:t xml:space="preserve"> capital ratios for standardised ADIs compared to international peers with comparable portfolios.</w:t>
      </w:r>
      <w:r w:rsidR="0014531C">
        <w:rPr>
          <w:rStyle w:val="FootnoteReference"/>
        </w:rPr>
        <w:footnoteReference w:id="11"/>
      </w:r>
      <w:r w:rsidR="0001551D">
        <w:t xml:space="preserve"> </w:t>
      </w:r>
    </w:p>
    <w:p w14:paraId="5DD5112F" w14:textId="11CFEBF6" w:rsidR="00925E36" w:rsidRDefault="00C84E03" w:rsidP="0028429C">
      <w:pPr>
        <w:pStyle w:val="APRAHEADING3"/>
      </w:pPr>
      <w:r>
        <w:t xml:space="preserve">Impact of </w:t>
      </w:r>
      <w:r w:rsidR="001740C9">
        <w:t>proposed</w:t>
      </w:r>
      <w:r w:rsidR="00925E36">
        <w:t xml:space="preserve"> </w:t>
      </w:r>
      <w:r w:rsidR="00353BE5">
        <w:t>revisions</w:t>
      </w:r>
      <w:r w:rsidR="00C43F5C">
        <w:t xml:space="preserve"> to the ADI capital framework</w:t>
      </w:r>
    </w:p>
    <w:p w14:paraId="520116EF" w14:textId="02C3E33D" w:rsidR="008C53F1" w:rsidRDefault="00B846A9" w:rsidP="003043FE">
      <w:pPr>
        <w:pStyle w:val="APRANORMAL"/>
        <w:spacing w:before="240"/>
      </w:pPr>
      <w:r>
        <w:t xml:space="preserve">In response to Recommendation 1 of the FSI, </w:t>
      </w:r>
      <w:r w:rsidR="008F40E6">
        <w:t xml:space="preserve">APRA </w:t>
      </w:r>
      <w:r w:rsidR="00C84E03">
        <w:t xml:space="preserve">issued an </w:t>
      </w:r>
      <w:r w:rsidR="00C84E03">
        <w:rPr>
          <w:lang w:val="en-AU"/>
        </w:rPr>
        <w:t>Information P</w:t>
      </w:r>
      <w:r w:rsidR="00C84E03" w:rsidRPr="008F40E6">
        <w:rPr>
          <w:lang w:val="en-AU"/>
        </w:rPr>
        <w:t xml:space="preserve">aper </w:t>
      </w:r>
      <w:r w:rsidR="00C84E03">
        <w:rPr>
          <w:lang w:val="en-AU"/>
        </w:rPr>
        <w:t xml:space="preserve">in July 2017 that </w:t>
      </w:r>
      <w:r w:rsidR="008F40E6" w:rsidRPr="008F40E6">
        <w:rPr>
          <w:lang w:val="en-AU"/>
        </w:rPr>
        <w:t xml:space="preserve">set out </w:t>
      </w:r>
      <w:r w:rsidR="008F40E6">
        <w:rPr>
          <w:lang w:val="en-AU"/>
        </w:rPr>
        <w:t>its</w:t>
      </w:r>
      <w:r w:rsidR="008F40E6" w:rsidRPr="008F40E6">
        <w:rPr>
          <w:lang w:val="en-AU"/>
        </w:rPr>
        <w:t xml:space="preserve"> estimate</w:t>
      </w:r>
      <w:r w:rsidR="00583695">
        <w:rPr>
          <w:lang w:val="en-AU"/>
        </w:rPr>
        <w:t>s</w:t>
      </w:r>
      <w:r w:rsidR="008F40E6" w:rsidRPr="008F40E6">
        <w:rPr>
          <w:lang w:val="en-AU"/>
        </w:rPr>
        <w:t xml:space="preserve"> of the amount</w:t>
      </w:r>
      <w:r w:rsidR="00583695">
        <w:rPr>
          <w:lang w:val="en-AU"/>
        </w:rPr>
        <w:t>s</w:t>
      </w:r>
      <w:r w:rsidR="008F40E6" w:rsidRPr="008F40E6">
        <w:rPr>
          <w:lang w:val="en-AU"/>
        </w:rPr>
        <w:t xml:space="preserve"> by which </w:t>
      </w:r>
      <w:r w:rsidR="00131FE4">
        <w:rPr>
          <w:lang w:val="en-AU"/>
        </w:rPr>
        <w:t>domestic</w:t>
      </w:r>
      <w:r w:rsidR="008B5A8B">
        <w:rPr>
          <w:lang w:val="en-AU"/>
        </w:rPr>
        <w:t xml:space="preserve"> </w:t>
      </w:r>
      <w:r w:rsidR="008F40E6" w:rsidRPr="008F40E6">
        <w:rPr>
          <w:lang w:val="en-AU"/>
        </w:rPr>
        <w:t xml:space="preserve">capital requirements would need to be raised to achieve </w:t>
      </w:r>
      <w:r w:rsidR="00C84E03">
        <w:rPr>
          <w:lang w:val="en-AU"/>
        </w:rPr>
        <w:t>‘</w:t>
      </w:r>
      <w:r w:rsidR="008F40E6" w:rsidRPr="008F40E6">
        <w:rPr>
          <w:lang w:val="en-AU"/>
        </w:rPr>
        <w:t>unquestionably strong</w:t>
      </w:r>
      <w:r w:rsidR="00C84E03">
        <w:rPr>
          <w:lang w:val="en-AU"/>
        </w:rPr>
        <w:t>’</w:t>
      </w:r>
      <w:r w:rsidR="008F40E6" w:rsidRPr="008F40E6">
        <w:rPr>
          <w:lang w:val="en-AU"/>
        </w:rPr>
        <w:t xml:space="preserve"> capital ratios</w:t>
      </w:r>
      <w:r w:rsidR="008F40E6">
        <w:rPr>
          <w:lang w:val="en-AU"/>
        </w:rPr>
        <w:t>.</w:t>
      </w:r>
      <w:r w:rsidR="008F40E6">
        <w:rPr>
          <w:rStyle w:val="FootnoteReference"/>
          <w:lang w:val="en-AU"/>
        </w:rPr>
        <w:footnoteReference w:id="12"/>
      </w:r>
      <w:r w:rsidR="00BF0A3C">
        <w:rPr>
          <w:lang w:val="en-AU"/>
        </w:rPr>
        <w:t xml:space="preserve"> APRA </w:t>
      </w:r>
      <w:r w:rsidR="0003732A">
        <w:rPr>
          <w:lang w:val="en-AU"/>
        </w:rPr>
        <w:t xml:space="preserve">then </w:t>
      </w:r>
      <w:r w:rsidR="00BF0A3C">
        <w:rPr>
          <w:lang w:val="en-AU"/>
        </w:rPr>
        <w:t xml:space="preserve">released a discussion paper </w:t>
      </w:r>
      <w:r w:rsidR="00C84E03">
        <w:rPr>
          <w:lang w:val="en-AU"/>
        </w:rPr>
        <w:t xml:space="preserve">in February 2018 </w:t>
      </w:r>
      <w:r w:rsidR="00BF0A3C">
        <w:rPr>
          <w:lang w:val="en-AU"/>
        </w:rPr>
        <w:t>that outlined</w:t>
      </w:r>
      <w:r w:rsidR="00BF0A3C" w:rsidRPr="00BF0A3C">
        <w:rPr>
          <w:lang w:val="en-AU"/>
        </w:rPr>
        <w:t xml:space="preserve"> proposed revisions to risk-based capital requirements for ADIs for credit, market and operational risk</w:t>
      </w:r>
      <w:r w:rsidR="00D162CB">
        <w:rPr>
          <w:lang w:val="en-AU"/>
        </w:rPr>
        <w:t>s</w:t>
      </w:r>
      <w:r w:rsidR="00BF0A3C">
        <w:rPr>
          <w:lang w:val="en-AU"/>
        </w:rPr>
        <w:t>.</w:t>
      </w:r>
      <w:r w:rsidR="00990968">
        <w:rPr>
          <w:rStyle w:val="FootnoteReference"/>
        </w:rPr>
        <w:footnoteReference w:id="13"/>
      </w:r>
      <w:r w:rsidR="00FD67F6">
        <w:rPr>
          <w:lang w:val="en-AU"/>
        </w:rPr>
        <w:t xml:space="preserve"> </w:t>
      </w:r>
    </w:p>
    <w:p w14:paraId="5F0862C1" w14:textId="77777777" w:rsidR="00C84E03" w:rsidRDefault="00C84E03" w:rsidP="003043FE">
      <w:pPr>
        <w:pStyle w:val="APRANORMAL"/>
        <w:spacing w:before="240"/>
      </w:pPr>
      <w:r>
        <w:t>Key changes include:</w:t>
      </w:r>
    </w:p>
    <w:p w14:paraId="1B50E55F" w14:textId="42BB25AA" w:rsidR="0099283B" w:rsidRDefault="0099283B" w:rsidP="0099283B">
      <w:pPr>
        <w:pStyle w:val="APRABULLET"/>
      </w:pPr>
      <w:r>
        <w:tab/>
        <w:t xml:space="preserve">higher correlation factors used within the IRB risk weight calculation for residential </w:t>
      </w:r>
      <w:r w:rsidRPr="001A3C28">
        <w:t>mortgages and commercial property exposures;</w:t>
      </w:r>
    </w:p>
    <w:p w14:paraId="097C3273" w14:textId="77777777" w:rsidR="0099283B" w:rsidRDefault="0099283B" w:rsidP="0099283B">
      <w:pPr>
        <w:pStyle w:val="APRABULLET"/>
      </w:pPr>
      <w:r>
        <w:tab/>
        <w:t xml:space="preserve">higher supervisor-provided estimates for LGD under the foundation IRB approach for some exposures; </w:t>
      </w:r>
    </w:p>
    <w:p w14:paraId="7CA81D72" w14:textId="77777777" w:rsidR="0099283B" w:rsidRDefault="0099283B" w:rsidP="0099283B">
      <w:pPr>
        <w:pStyle w:val="APRABULLET"/>
      </w:pPr>
      <w:r>
        <w:t>higher CCFs under both the standardised and IRB approaches for some exposures;</w:t>
      </w:r>
    </w:p>
    <w:p w14:paraId="587E9D0B" w14:textId="554E854B" w:rsidR="0099283B" w:rsidRDefault="0099283B" w:rsidP="0099283B">
      <w:pPr>
        <w:pStyle w:val="APRABULLET"/>
      </w:pPr>
      <w:r>
        <w:tab/>
        <w:t>different IRB asset class classifications compared with Basel III classifications, with the removal of qualifying revolving retail exposures and retail small-</w:t>
      </w:r>
      <w:r w:rsidR="00013A19">
        <w:t xml:space="preserve"> </w:t>
      </w:r>
      <w:r w:rsidR="00993E87">
        <w:t>and</w:t>
      </w:r>
      <w:r w:rsidR="00013A19">
        <w:t xml:space="preserve"> </w:t>
      </w:r>
      <w:r>
        <w:t>medium</w:t>
      </w:r>
      <w:r w:rsidR="00013A19">
        <w:t>-</w:t>
      </w:r>
      <w:r>
        <w:t>sized</w:t>
      </w:r>
      <w:r w:rsidR="00013A19">
        <w:t xml:space="preserve"> </w:t>
      </w:r>
      <w:r>
        <w:t xml:space="preserve">enterprise </w:t>
      </w:r>
      <w:r w:rsidR="00530933">
        <w:t xml:space="preserve">(SME) </w:t>
      </w:r>
      <w:r>
        <w:t>exposures; and</w:t>
      </w:r>
    </w:p>
    <w:p w14:paraId="0C5B87F1" w14:textId="77777777" w:rsidR="0099283B" w:rsidRDefault="0099283B" w:rsidP="0099283B">
      <w:pPr>
        <w:pStyle w:val="APRABULLET"/>
      </w:pPr>
      <w:r>
        <w:t>higher risk weights for some residential mortgage exposures and some retail exposures under the standardised approach.</w:t>
      </w:r>
    </w:p>
    <w:p w14:paraId="2E7ACCF8" w14:textId="0BD66A29" w:rsidR="0099283B" w:rsidRDefault="0099283B" w:rsidP="0099283B">
      <w:pPr>
        <w:pStyle w:val="APRANORMAL"/>
        <w:spacing w:before="240"/>
      </w:pPr>
      <w:r>
        <w:t xml:space="preserve">APRA is undertaking </w:t>
      </w:r>
      <w:r w:rsidRPr="00071386">
        <w:t>further quantitative analysis</w:t>
      </w:r>
      <w:r>
        <w:t xml:space="preserve"> </w:t>
      </w:r>
      <w:r w:rsidRPr="00071386">
        <w:t xml:space="preserve">to ensure that the final calibration of the revised framework meets the </w:t>
      </w:r>
      <w:r w:rsidR="005C667A">
        <w:t>‘</w:t>
      </w:r>
      <w:r w:rsidRPr="00071386">
        <w:t>unquestionably strong</w:t>
      </w:r>
      <w:r w:rsidR="005C667A">
        <w:t>’</w:t>
      </w:r>
      <w:r w:rsidRPr="00071386">
        <w:t xml:space="preserve"> benchmarks</w:t>
      </w:r>
      <w:r>
        <w:t xml:space="preserve"> set out in the </w:t>
      </w:r>
      <w:r w:rsidRPr="00FE7525">
        <w:t xml:space="preserve">July 2017 </w:t>
      </w:r>
      <w:r w:rsidR="00990968">
        <w:t>I</w:t>
      </w:r>
      <w:r w:rsidRPr="00FE7525">
        <w:t xml:space="preserve">nformation </w:t>
      </w:r>
      <w:r w:rsidR="00990968">
        <w:t>P</w:t>
      </w:r>
      <w:r w:rsidRPr="00FE7525">
        <w:t>aper</w:t>
      </w:r>
      <w:r>
        <w:t xml:space="preserve">. </w:t>
      </w:r>
      <w:r w:rsidRPr="003A6E39">
        <w:t>It</w:t>
      </w:r>
      <w:r w:rsidRPr="00425F49">
        <w:t xml:space="preserve"> </w:t>
      </w:r>
      <w:r>
        <w:t xml:space="preserve">is therefore </w:t>
      </w:r>
      <w:r w:rsidRPr="00425F49">
        <w:t xml:space="preserve">not </w:t>
      </w:r>
      <w:r>
        <w:t xml:space="preserve">currently </w:t>
      </w:r>
      <w:r w:rsidRPr="00425F49">
        <w:t>possible to quantify the impacts of th</w:t>
      </w:r>
      <w:r>
        <w:t>ose</w:t>
      </w:r>
      <w:r w:rsidRPr="00425F49">
        <w:t xml:space="preserve"> proposals until </w:t>
      </w:r>
      <w:r>
        <w:t xml:space="preserve">the results of APRA’s quantitative impact </w:t>
      </w:r>
      <w:r>
        <w:lastRenderedPageBreak/>
        <w:t>study (QIS) have been assessed</w:t>
      </w:r>
      <w:r w:rsidRPr="00B47A53">
        <w:t xml:space="preserve"> and the calibration of </w:t>
      </w:r>
      <w:r>
        <w:t>the</w:t>
      </w:r>
      <w:r w:rsidRPr="00B47A53">
        <w:t xml:space="preserve"> framework has been </w:t>
      </w:r>
      <w:r>
        <w:t>determined</w:t>
      </w:r>
      <w:r w:rsidRPr="00B47A53">
        <w:t xml:space="preserve">. </w:t>
      </w:r>
      <w:r>
        <w:t>T</w:t>
      </w:r>
      <w:r w:rsidRPr="00071386">
        <w:t xml:space="preserve">he risk weights detailed in the February 2018 </w:t>
      </w:r>
      <w:r w:rsidR="009B684D">
        <w:t>D</w:t>
      </w:r>
      <w:r w:rsidRPr="00071386">
        <w:t xml:space="preserve">iscussion </w:t>
      </w:r>
      <w:r w:rsidR="009B684D">
        <w:t>P</w:t>
      </w:r>
      <w:r w:rsidRPr="00071386">
        <w:t xml:space="preserve">aper should therefore be regarded as indicative only. For IRB ADIs in particular, APRA expects that these indicative risk weights will not by themselves meet the </w:t>
      </w:r>
      <w:r w:rsidR="005C667A">
        <w:t>‘</w:t>
      </w:r>
      <w:r w:rsidRPr="00071386">
        <w:t>unquestionably strong</w:t>
      </w:r>
      <w:r w:rsidR="005C667A">
        <w:t>’</w:t>
      </w:r>
      <w:r w:rsidRPr="00071386">
        <w:t xml:space="preserve"> benchmarks, so a</w:t>
      </w:r>
      <w:r>
        <w:t>n additional overlay may</w:t>
      </w:r>
      <w:r w:rsidRPr="00071386">
        <w:t xml:space="preserve"> be necessary.</w:t>
      </w:r>
    </w:p>
    <w:p w14:paraId="45274A73" w14:textId="65525B52" w:rsidR="0028429C" w:rsidRDefault="0099283B" w:rsidP="006B4F07">
      <w:pPr>
        <w:pStyle w:val="APRANORMAL"/>
        <w:spacing w:before="240"/>
      </w:pPr>
      <w:r>
        <w:t xml:space="preserve">However, it is clear that </w:t>
      </w:r>
      <w:r w:rsidR="005E6328">
        <w:rPr>
          <w:lang w:val="en-AU"/>
        </w:rPr>
        <w:t xml:space="preserve">these </w:t>
      </w:r>
      <w:r>
        <w:rPr>
          <w:lang w:val="en-AU"/>
        </w:rPr>
        <w:t xml:space="preserve">proposed revisions </w:t>
      </w:r>
      <w:r>
        <w:t xml:space="preserve">will, if implemented, further increase the overall level of </w:t>
      </w:r>
      <w:r w:rsidRPr="006969AA">
        <w:t>relative conservatism in both the IRB and standardised credit risk frameworks</w:t>
      </w:r>
      <w:r>
        <w:t xml:space="preserve"> to achieve the ‘unquestionably strong’ aspiration set by the FSI, as well as chang</w:t>
      </w:r>
      <w:r w:rsidR="002756DD">
        <w:t>e</w:t>
      </w:r>
      <w:r>
        <w:t xml:space="preserve"> where that conservatism resides within the framework. </w:t>
      </w:r>
      <w:bookmarkStart w:id="72" w:name="_Toc510689491"/>
      <w:bookmarkStart w:id="73" w:name="_Toc510690469"/>
      <w:bookmarkStart w:id="74" w:name="_Toc514172186"/>
      <w:bookmarkStart w:id="75" w:name="_Toc514172190"/>
    </w:p>
    <w:p w14:paraId="13F1B29E" w14:textId="116EEF9B" w:rsidR="00B21BC0" w:rsidRDefault="00B21BC0" w:rsidP="007D33D1">
      <w:pPr>
        <w:pStyle w:val="APRAHEADING4"/>
      </w:pPr>
      <w:r w:rsidRPr="00B21BC0">
        <w:t>Risk-weighted asset floor for the IRB approach</w:t>
      </w:r>
    </w:p>
    <w:p w14:paraId="319D6402" w14:textId="771EC4C8" w:rsidR="002C7C0F" w:rsidRDefault="00D97297" w:rsidP="00B21BC0">
      <w:pPr>
        <w:pStyle w:val="APRANORMAL"/>
      </w:pPr>
      <w:r>
        <w:t>APRA has proposed that</w:t>
      </w:r>
      <w:r w:rsidR="00B21BC0">
        <w:t xml:space="preserve">, </w:t>
      </w:r>
      <w:r w:rsidR="00E4631C">
        <w:t>consistent</w:t>
      </w:r>
      <w:r w:rsidR="00B21BC0">
        <w:t xml:space="preserve"> with Basel III, </w:t>
      </w:r>
      <w:r>
        <w:t xml:space="preserve">it will </w:t>
      </w:r>
      <w:r w:rsidR="00B21BC0">
        <w:t>introduce a floor to minimum RWA for IRB ADIs</w:t>
      </w:r>
      <w:r w:rsidR="008E0CD7">
        <w:t>. This floor</w:t>
      </w:r>
      <w:r w:rsidR="00B21BC0">
        <w:t xml:space="preserve"> will limit the ability of internal models to generate capital outcomes that vary from prescribed standardised risk weights beyond a maximum threshold. </w:t>
      </w:r>
      <w:r>
        <w:t xml:space="preserve">While </w:t>
      </w:r>
      <w:r w:rsidR="00ED74BA" w:rsidRPr="00ED74BA">
        <w:t>the disclosure requirements</w:t>
      </w:r>
      <w:r w:rsidR="00ED74BA">
        <w:t xml:space="preserve"> in relation to the floor</w:t>
      </w:r>
      <w:r>
        <w:t xml:space="preserve"> </w:t>
      </w:r>
      <w:r w:rsidR="009F3E00">
        <w:t xml:space="preserve">have not been finalised by the Basel </w:t>
      </w:r>
      <w:r w:rsidR="00E02652">
        <w:t xml:space="preserve">Committee, </w:t>
      </w:r>
      <w:r w:rsidR="00C7210B">
        <w:t xml:space="preserve">IRB ADIs </w:t>
      </w:r>
      <w:r w:rsidR="00E02652">
        <w:t xml:space="preserve">are likely to </w:t>
      </w:r>
      <w:r w:rsidR="009F3E00">
        <w:t xml:space="preserve">be required to </w:t>
      </w:r>
      <w:r w:rsidR="00ED74BA">
        <w:t>disclose</w:t>
      </w:r>
      <w:r w:rsidR="00C7210B">
        <w:t xml:space="preserve"> RWA on </w:t>
      </w:r>
      <w:r w:rsidR="00E02652">
        <w:t xml:space="preserve">both the IRB </w:t>
      </w:r>
      <w:r w:rsidR="00C7210B">
        <w:t>a</w:t>
      </w:r>
      <w:r w:rsidR="00E02652">
        <w:t>nd</w:t>
      </w:r>
      <w:r w:rsidR="00C7210B">
        <w:t xml:space="preserve"> standardised bas</w:t>
      </w:r>
      <w:r w:rsidR="006C10CE">
        <w:t>e</w:t>
      </w:r>
      <w:r w:rsidR="00C7210B">
        <w:t xml:space="preserve">s. </w:t>
      </w:r>
    </w:p>
    <w:p w14:paraId="67840912" w14:textId="21F41F63" w:rsidR="00FB2BEE" w:rsidRDefault="002C7C0F" w:rsidP="00B21BC0">
      <w:pPr>
        <w:pStyle w:val="APRANORMAL"/>
      </w:pPr>
      <w:r>
        <w:t xml:space="preserve">The </w:t>
      </w:r>
      <w:r w:rsidR="00E4631C">
        <w:t xml:space="preserve">disclosure </w:t>
      </w:r>
      <w:r>
        <w:t xml:space="preserve">of standardised RWA </w:t>
      </w:r>
      <w:r w:rsidR="00B21BC0">
        <w:t xml:space="preserve">will </w:t>
      </w:r>
      <w:r w:rsidR="00FB2BEE">
        <w:t xml:space="preserve">improve </w:t>
      </w:r>
      <w:r w:rsidR="007D33D1">
        <w:t xml:space="preserve">transparency of </w:t>
      </w:r>
      <w:r w:rsidR="00B21BC0">
        <w:t xml:space="preserve">risk weight outcomes between the </w:t>
      </w:r>
      <w:r w:rsidR="00C7210B">
        <w:t xml:space="preserve">IRB and standardised </w:t>
      </w:r>
      <w:r w:rsidR="00B21BC0">
        <w:t>approaches and</w:t>
      </w:r>
      <w:r w:rsidR="00056749">
        <w:t xml:space="preserve"> will</w:t>
      </w:r>
      <w:r w:rsidR="00B21BC0">
        <w:t xml:space="preserve"> enhance </w:t>
      </w:r>
      <w:r w:rsidR="00C43F5C">
        <w:t xml:space="preserve">domestic </w:t>
      </w:r>
      <w:r w:rsidR="00B21BC0">
        <w:t xml:space="preserve">comparability </w:t>
      </w:r>
      <w:r w:rsidR="00056749">
        <w:t>across</w:t>
      </w:r>
      <w:r w:rsidR="00B21BC0">
        <w:t xml:space="preserve"> ADIs. </w:t>
      </w:r>
      <w:r w:rsidR="00FB2BEE">
        <w:t xml:space="preserve">To the extent that </w:t>
      </w:r>
      <w:r w:rsidR="00056749">
        <w:t xml:space="preserve">the Basel III </w:t>
      </w:r>
      <w:r w:rsidR="00DA35E7">
        <w:t>RWA</w:t>
      </w:r>
      <w:r w:rsidR="00056749">
        <w:t xml:space="preserve"> floor is consistently implemented across jurisdictions</w:t>
      </w:r>
      <w:r w:rsidR="00B21BC0">
        <w:t xml:space="preserve">, </w:t>
      </w:r>
      <w:r w:rsidR="00056749">
        <w:t>this</w:t>
      </w:r>
      <w:r w:rsidR="00B21BC0">
        <w:t xml:space="preserve"> </w:t>
      </w:r>
      <w:r w:rsidR="00056749">
        <w:t>will</w:t>
      </w:r>
      <w:r w:rsidR="00B21BC0">
        <w:t xml:space="preserve"> </w:t>
      </w:r>
      <w:r w:rsidR="00056749">
        <w:t xml:space="preserve">also </w:t>
      </w:r>
      <w:r w:rsidR="00B21BC0">
        <w:t xml:space="preserve">enhance international transparency and comparability of capital strength across </w:t>
      </w:r>
      <w:r w:rsidR="00616376">
        <w:t>international peer banks</w:t>
      </w:r>
      <w:r w:rsidR="00B21BC0">
        <w:t xml:space="preserve">. </w:t>
      </w:r>
    </w:p>
    <w:p w14:paraId="0F36EEFB" w14:textId="2D64E5EB" w:rsidR="002C7C0F" w:rsidRDefault="00FB2BEE" w:rsidP="00B21BC0">
      <w:pPr>
        <w:pStyle w:val="APRANORMAL"/>
      </w:pPr>
      <w:r>
        <w:t>However</w:t>
      </w:r>
      <w:r w:rsidR="00B21BC0">
        <w:t xml:space="preserve">, </w:t>
      </w:r>
      <w:r w:rsidR="002C7C0F">
        <w:t>there are limitations o</w:t>
      </w:r>
      <w:r w:rsidR="00A352E2">
        <w:t>n</w:t>
      </w:r>
      <w:r w:rsidR="002C7C0F">
        <w:t xml:space="preserve"> the extent to which the disclosure of a standardised floor may enhance </w:t>
      </w:r>
      <w:r w:rsidR="00A352E2">
        <w:t xml:space="preserve">either domestic or international </w:t>
      </w:r>
      <w:r w:rsidR="002C7C0F">
        <w:t>comparability:</w:t>
      </w:r>
      <w:r w:rsidR="002C7C0F" w:rsidDel="002C7C0F">
        <w:t xml:space="preserve"> </w:t>
      </w:r>
    </w:p>
    <w:p w14:paraId="72B65AFF" w14:textId="1EE86004" w:rsidR="00B21BC0" w:rsidRDefault="00A352E2" w:rsidP="004933C1">
      <w:pPr>
        <w:pStyle w:val="APRABULLET"/>
      </w:pPr>
      <w:r>
        <w:t>Compared to the standardised approach, the IRB approach</w:t>
      </w:r>
      <w:r w:rsidR="002C7C0F">
        <w:t xml:space="preserve"> allows the capital outcome to be more risk</w:t>
      </w:r>
      <w:r w:rsidR="00150D7E">
        <w:t xml:space="preserve"> </w:t>
      </w:r>
      <w:r w:rsidR="002C7C0F">
        <w:t xml:space="preserve">sensitive and </w:t>
      </w:r>
      <w:r>
        <w:t xml:space="preserve">more </w:t>
      </w:r>
      <w:r w:rsidR="002C7C0F">
        <w:t xml:space="preserve">tailored to </w:t>
      </w:r>
      <w:r>
        <w:t xml:space="preserve">each ADI, and to </w:t>
      </w:r>
      <w:r w:rsidR="002C7C0F" w:rsidDel="00EF6AB2">
        <w:t xml:space="preserve">the </w:t>
      </w:r>
      <w:r w:rsidR="002C7C0F">
        <w:t>conditions within each jurisdiction.</w:t>
      </w:r>
    </w:p>
    <w:p w14:paraId="58CDCE3D" w14:textId="3D603FA2" w:rsidR="00B21BC0" w:rsidRDefault="00A352E2" w:rsidP="00B21BC0">
      <w:pPr>
        <w:pStyle w:val="APRABULLET"/>
      </w:pPr>
      <w:r>
        <w:t xml:space="preserve">International comparability may be further limited </w:t>
      </w:r>
      <w:r w:rsidR="00B02EDB">
        <w:t>by t</w:t>
      </w:r>
      <w:r>
        <w:t xml:space="preserve">he extent to which </w:t>
      </w:r>
      <w:r w:rsidR="009F3E00">
        <w:t xml:space="preserve">APRA and </w:t>
      </w:r>
      <w:r>
        <w:t>o</w:t>
      </w:r>
      <w:r w:rsidR="00B21BC0">
        <w:t xml:space="preserve">ther jurisdictions have applied national discretion in the determination of RWA under the standardised approach. </w:t>
      </w:r>
    </w:p>
    <w:p w14:paraId="1CCAFEA5" w14:textId="0CF19D65" w:rsidR="00BD2C19" w:rsidRDefault="003D3116" w:rsidP="00BD2C19">
      <w:pPr>
        <w:pStyle w:val="APRAHEADING2"/>
      </w:pPr>
      <w:bookmarkStart w:id="76" w:name="_Toc521401404"/>
      <w:bookmarkStart w:id="77" w:name="_Toc518658241"/>
      <w:bookmarkStart w:id="78" w:name="_Toc521508287"/>
      <w:bookmarkStart w:id="79" w:name="_Toc521932760"/>
      <w:bookmarkEnd w:id="76"/>
      <w:r>
        <w:t>Objectives of the revisions to the capital framework</w:t>
      </w:r>
      <w:bookmarkEnd w:id="77"/>
      <w:bookmarkEnd w:id="78"/>
      <w:bookmarkEnd w:id="79"/>
    </w:p>
    <w:p w14:paraId="3297C9AC" w14:textId="04503AA5" w:rsidR="00BD2C19" w:rsidRDefault="00BD2C19" w:rsidP="00BD2C19">
      <w:pPr>
        <w:pStyle w:val="APRANORMAL"/>
      </w:pPr>
      <w:r>
        <w:t xml:space="preserve">In reviewing the current capital framework, APRA is </w:t>
      </w:r>
      <w:r w:rsidR="00B22D10">
        <w:t>pursuing</w:t>
      </w:r>
      <w:r>
        <w:t xml:space="preserve"> three princip</w:t>
      </w:r>
      <w:r w:rsidR="002756DD">
        <w:t>a</w:t>
      </w:r>
      <w:r>
        <w:t xml:space="preserve">l </w:t>
      </w:r>
      <w:r w:rsidR="003D3116">
        <w:t>objectives</w:t>
      </w:r>
      <w:r>
        <w:t>:</w:t>
      </w:r>
    </w:p>
    <w:p w14:paraId="04209B23" w14:textId="77777777" w:rsidR="00BD2C19" w:rsidRDefault="00BD2C19" w:rsidP="00BD2C19">
      <w:pPr>
        <w:pStyle w:val="APRABULLET"/>
      </w:pPr>
      <w:r w:rsidRPr="002D4583">
        <w:rPr>
          <w:b/>
        </w:rPr>
        <w:lastRenderedPageBreak/>
        <w:t>the quantum of capital</w:t>
      </w:r>
      <w:r>
        <w:t xml:space="preserve"> - to achieve an overall level of capital that meets the ‘unquestionably strong’ aspiration set by the FSI;</w:t>
      </w:r>
    </w:p>
    <w:p w14:paraId="71EC4469" w14:textId="7B4A7EE2" w:rsidR="00BD2C19" w:rsidRDefault="00BD2C19" w:rsidP="00BD2C19">
      <w:pPr>
        <w:pStyle w:val="APRABULLET"/>
      </w:pPr>
      <w:r w:rsidRPr="002D4583">
        <w:rPr>
          <w:b/>
        </w:rPr>
        <w:t>the allocation of capital</w:t>
      </w:r>
      <w:r>
        <w:t xml:space="preserve"> - to improve the risk</w:t>
      </w:r>
      <w:r w:rsidR="00A1758E">
        <w:t xml:space="preserve"> </w:t>
      </w:r>
      <w:r>
        <w:t>sensitivity of current capital requirements, where possible, by more appropriately aligning capital requirements to underlying risks; and</w:t>
      </w:r>
    </w:p>
    <w:p w14:paraId="100960EA" w14:textId="4710B34E" w:rsidR="00BD2C19" w:rsidRPr="00D92385" w:rsidRDefault="00BD2C19" w:rsidP="00BD2C19">
      <w:pPr>
        <w:pStyle w:val="APRABULLET"/>
      </w:pPr>
      <w:r w:rsidRPr="002D4583">
        <w:rPr>
          <w:b/>
        </w:rPr>
        <w:t>the comparability of capital</w:t>
      </w:r>
      <w:r>
        <w:t xml:space="preserve"> - to improve the transparency, comparability and flexibility of the capital framework where possible, without materially jeopardising either of the other two objectives.</w:t>
      </w:r>
      <w:r w:rsidR="0004794F">
        <w:t xml:space="preserve"> </w:t>
      </w:r>
      <w:r w:rsidR="0004794F">
        <w:rPr>
          <w:lang w:val="en-AU"/>
        </w:rPr>
        <w:t xml:space="preserve">APRA also </w:t>
      </w:r>
      <w:r w:rsidR="00222C6B">
        <w:rPr>
          <w:lang w:val="en-AU"/>
        </w:rPr>
        <w:t>seeks</w:t>
      </w:r>
      <w:r w:rsidR="0004794F">
        <w:rPr>
          <w:lang w:val="en-AU"/>
        </w:rPr>
        <w:t xml:space="preserve"> to avoid</w:t>
      </w:r>
      <w:r w:rsidR="0004794F" w:rsidRPr="00152308">
        <w:rPr>
          <w:lang w:val="en-AU"/>
        </w:rPr>
        <w:t xml:space="preserve"> measures that would introduce undue complexity </w:t>
      </w:r>
      <w:r w:rsidR="0004794F">
        <w:rPr>
          <w:lang w:val="en-AU"/>
        </w:rPr>
        <w:t>into the ADI capital framework.</w:t>
      </w:r>
    </w:p>
    <w:p w14:paraId="52D7B2B8" w14:textId="57EA1E59" w:rsidR="00BD2C19" w:rsidRDefault="00BD2C19" w:rsidP="00BD2C19">
      <w:pPr>
        <w:pStyle w:val="APRANORMAL"/>
        <w:spacing w:before="240"/>
        <w:rPr>
          <w:lang w:val="en-AU"/>
        </w:rPr>
      </w:pPr>
      <w:r>
        <w:t>R</w:t>
      </w:r>
      <w:r w:rsidRPr="009F0EF1">
        <w:t>ecognising the interdependencies between changes to the risk-based capital framework and measures to improve transparency and comparability, APRA</w:t>
      </w:r>
      <w:r w:rsidR="00C43F5C">
        <w:t xml:space="preserve"> intends</w:t>
      </w:r>
      <w:r>
        <w:t xml:space="preserve"> to </w:t>
      </w:r>
      <w:r w:rsidRPr="009F0EF1">
        <w:t>progress these reforms in parallel. The</w:t>
      </w:r>
      <w:r>
        <w:t xml:space="preserve"> following figure summarises APRA’s approach to revisions of the ADI capital framework. </w:t>
      </w:r>
    </w:p>
    <w:p w14:paraId="6BAFD9D0" w14:textId="45D01860" w:rsidR="00BD2C19" w:rsidDel="00BD2C19" w:rsidRDefault="00997765" w:rsidP="0028429C">
      <w:pPr>
        <w:pStyle w:val="APRANORMAL"/>
      </w:pPr>
      <w:r w:rsidRPr="00997765">
        <w:rPr>
          <w:noProof/>
          <w:lang w:val="en-AU" w:eastAsia="en-AU"/>
        </w:rPr>
        <w:drawing>
          <wp:inline distT="0" distB="0" distL="0" distR="0" wp14:anchorId="4BD288A7" wp14:editId="3B5A27B1">
            <wp:extent cx="5731510" cy="4697181"/>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97181"/>
                    </a:xfrm>
                    <a:prstGeom prst="rect">
                      <a:avLst/>
                    </a:prstGeom>
                    <a:noFill/>
                    <a:ln>
                      <a:noFill/>
                    </a:ln>
                  </pic:spPr>
                </pic:pic>
              </a:graphicData>
            </a:graphic>
          </wp:inline>
        </w:drawing>
      </w:r>
    </w:p>
    <w:p w14:paraId="3588DE1E" w14:textId="0F60009C" w:rsidR="00AF313B" w:rsidRDefault="00AF313B" w:rsidP="00AF313B">
      <w:pPr>
        <w:pStyle w:val="APRAHEADING2"/>
      </w:pPr>
      <w:bookmarkStart w:id="80" w:name="_Toc518658242"/>
      <w:bookmarkStart w:id="81" w:name="_Toc521401214"/>
      <w:bookmarkStart w:id="82" w:name="_Toc521508288"/>
      <w:bookmarkStart w:id="83" w:name="_Toc521932761"/>
      <w:r>
        <w:lastRenderedPageBreak/>
        <w:t>Achieving transparency,</w:t>
      </w:r>
      <w:r w:rsidRPr="00477C28">
        <w:t xml:space="preserve"> comparability</w:t>
      </w:r>
      <w:r>
        <w:t xml:space="preserve"> and flexibility</w:t>
      </w:r>
      <w:bookmarkEnd w:id="72"/>
      <w:bookmarkEnd w:id="73"/>
      <w:bookmarkEnd w:id="74"/>
      <w:bookmarkEnd w:id="80"/>
      <w:bookmarkEnd w:id="81"/>
      <w:bookmarkEnd w:id="82"/>
      <w:bookmarkEnd w:id="83"/>
    </w:p>
    <w:p w14:paraId="3B411A8E" w14:textId="77777777" w:rsidR="00AF313B" w:rsidDel="00B13F95" w:rsidRDefault="00AF313B" w:rsidP="00AF313B">
      <w:pPr>
        <w:pStyle w:val="APRAHEADING3"/>
      </w:pPr>
      <w:r w:rsidDel="00B13F95">
        <w:t xml:space="preserve">Transparency </w:t>
      </w:r>
    </w:p>
    <w:p w14:paraId="4BA48EEE" w14:textId="419832F6" w:rsidR="00D60C9E" w:rsidRPr="00685A2F" w:rsidRDefault="00D60C9E" w:rsidP="00AF313B">
      <w:pPr>
        <w:pStyle w:val="APRANORMAL"/>
      </w:pPr>
      <w:r>
        <w:t>Transparency is a core component of the Basel capital framework via its disclosure requirements (known as ‘Pillar 3’ of the framework).</w:t>
      </w:r>
      <w:r>
        <w:rPr>
          <w:rStyle w:val="FootnoteReference"/>
        </w:rPr>
        <w:footnoteReference w:id="14"/>
      </w:r>
      <w:r>
        <w:t xml:space="preserve"> These requirements</w:t>
      </w:r>
      <w:r w:rsidR="00685A2F">
        <w:t xml:space="preserve"> seek to aid market discipline on bank risk</w:t>
      </w:r>
      <w:r w:rsidR="00993E87">
        <w:t xml:space="preserve"> </w:t>
      </w:r>
      <w:r w:rsidR="00685A2F">
        <w:t>taking via the</w:t>
      </w:r>
      <w:r w:rsidR="00685A2F" w:rsidRPr="00BD2C19">
        <w:t xml:space="preserve"> provision of information about common key risk metrics to market participants. </w:t>
      </w:r>
      <w:r w:rsidR="00685A2F">
        <w:t>Pillar 3 is intended to reduce</w:t>
      </w:r>
      <w:r w:rsidR="00685A2F" w:rsidRPr="00BD2C19">
        <w:t xml:space="preserve"> information asymmetry and help promote comparability of banks’ risk profiles within and across jurisdictions.</w:t>
      </w:r>
    </w:p>
    <w:p w14:paraId="63649657" w14:textId="433F0DE1" w:rsidR="00AF313B" w:rsidRDefault="00AF313B" w:rsidP="00AF313B">
      <w:pPr>
        <w:pStyle w:val="APRANORMAL"/>
        <w:rPr>
          <w:lang w:val="en-AU"/>
        </w:rPr>
      </w:pPr>
      <w:r w:rsidDel="00B13F95">
        <w:t>APRA</w:t>
      </w:r>
      <w:r w:rsidR="00D60C9E">
        <w:t xml:space="preserve">’s preference is </w:t>
      </w:r>
      <w:r>
        <w:t>that</w:t>
      </w:r>
      <w:r w:rsidR="00E3710C">
        <w:t>, wherever possible,</w:t>
      </w:r>
      <w:r>
        <w:t xml:space="preserve"> the strength and risk sensitivity of </w:t>
      </w:r>
      <w:r w:rsidDel="00B13F95">
        <w:t xml:space="preserve">its capital framework </w:t>
      </w:r>
      <w:r>
        <w:t>is</w:t>
      </w:r>
      <w:r w:rsidDel="00B13F95">
        <w:t xml:space="preserve"> </w:t>
      </w:r>
      <w:r>
        <w:t xml:space="preserve">sufficiently </w:t>
      </w:r>
      <w:r w:rsidDel="00B13F95">
        <w:t>transparent</w:t>
      </w:r>
      <w:r>
        <w:t xml:space="preserve">. This includes </w:t>
      </w:r>
      <w:r w:rsidR="00105188">
        <w:t xml:space="preserve">examining ways </w:t>
      </w:r>
      <w:r>
        <w:t xml:space="preserve">that domestic adjustments to internationally agreed </w:t>
      </w:r>
      <w:r w:rsidR="00CE16D0">
        <w:t>minimum requirements</w:t>
      </w:r>
      <w:r w:rsidR="00C077B5">
        <w:t xml:space="preserve"> </w:t>
      </w:r>
      <w:r w:rsidR="00105188">
        <w:t xml:space="preserve">could be </w:t>
      </w:r>
      <w:r>
        <w:t>easier to identify</w:t>
      </w:r>
      <w:r w:rsidR="00D60C9E">
        <w:t xml:space="preserve"> and account for</w:t>
      </w:r>
      <w:r w:rsidDel="00B13F95">
        <w:t xml:space="preserve">. </w:t>
      </w:r>
      <w:r>
        <w:t>Improved t</w:t>
      </w:r>
      <w:r w:rsidDel="00B13F95">
        <w:t>ransparen</w:t>
      </w:r>
      <w:r>
        <w:t xml:space="preserve">cy </w:t>
      </w:r>
      <w:r w:rsidR="00105188">
        <w:t xml:space="preserve">would </w:t>
      </w:r>
      <w:r>
        <w:t xml:space="preserve">enable greater understanding of capital strength and risk sensitivity, facilitating </w:t>
      </w:r>
      <w:r w:rsidDel="00B13F95">
        <w:t>market discipline</w:t>
      </w:r>
      <w:r w:rsidR="00523761">
        <w:t>,</w:t>
      </w:r>
      <w:r w:rsidDel="00B13F95">
        <w:t xml:space="preserve"> </w:t>
      </w:r>
      <w:r w:rsidR="00E3710C">
        <w:t>including</w:t>
      </w:r>
      <w:r w:rsidR="00E3710C" w:rsidDel="00B13F95">
        <w:t xml:space="preserve"> </w:t>
      </w:r>
      <w:r w:rsidDel="00B13F95">
        <w:t xml:space="preserve">during times </w:t>
      </w:r>
      <w:r w:rsidR="00E3710C">
        <w:t>of</w:t>
      </w:r>
      <w:r w:rsidDel="00B13F95">
        <w:t xml:space="preserve"> financial stress.</w:t>
      </w:r>
      <w:r w:rsidR="00986B43" w:rsidDel="00986B43">
        <w:t xml:space="preserve"> </w:t>
      </w:r>
    </w:p>
    <w:p w14:paraId="24E881E4" w14:textId="77777777" w:rsidR="00AF313B" w:rsidRDefault="00AF313B" w:rsidP="00AF313B">
      <w:pPr>
        <w:pStyle w:val="APRAHEADING3"/>
      </w:pPr>
      <w:r>
        <w:t xml:space="preserve">Comparability </w:t>
      </w:r>
    </w:p>
    <w:p w14:paraId="06CBCC17" w14:textId="21133C76" w:rsidR="00AF313B" w:rsidRDefault="00AF313B" w:rsidP="00AF313B">
      <w:pPr>
        <w:pStyle w:val="APRANORMAL"/>
      </w:pPr>
      <w:r>
        <w:t xml:space="preserve">Comparability, together with transparency, facilitates a greater understanding of </w:t>
      </w:r>
      <w:r w:rsidR="00E3710C">
        <w:t xml:space="preserve">relative </w:t>
      </w:r>
      <w:r>
        <w:t xml:space="preserve">capital strength. </w:t>
      </w:r>
      <w:r w:rsidRPr="00DA4836">
        <w:t>Given the reliance of the Australian financial system, and therefore the broader economy, on funding sourced from overseas</w:t>
      </w:r>
      <w:r w:rsidR="00E3710C">
        <w:t xml:space="preserve"> by the banking system</w:t>
      </w:r>
      <w:r w:rsidRPr="00DA4836">
        <w:t xml:space="preserve">, </w:t>
      </w:r>
      <w:r>
        <w:t>there may be benefit</w:t>
      </w:r>
      <w:r w:rsidR="00E3710C">
        <w:t>s</w:t>
      </w:r>
      <w:r>
        <w:t xml:space="preserve"> to </w:t>
      </w:r>
      <w:r w:rsidRPr="00DA4836">
        <w:t>impro</w:t>
      </w:r>
      <w:r>
        <w:t>ving</w:t>
      </w:r>
      <w:r w:rsidRPr="00DA4836">
        <w:t xml:space="preserve"> the </w:t>
      </w:r>
      <w:r w:rsidR="00E3710C">
        <w:t xml:space="preserve">ability of investors, particularly from offshore, to better compare the relative capital strength </w:t>
      </w:r>
      <w:r w:rsidRPr="00DA4836">
        <w:t xml:space="preserve">of </w:t>
      </w:r>
      <w:r w:rsidR="00764014">
        <w:t xml:space="preserve">Australian </w:t>
      </w:r>
      <w:r w:rsidRPr="00DA4836">
        <w:t>ADI</w:t>
      </w:r>
      <w:r w:rsidR="00764014">
        <w:t xml:space="preserve">s with their </w:t>
      </w:r>
      <w:r w:rsidR="00264F94">
        <w:t xml:space="preserve">international </w:t>
      </w:r>
      <w:r w:rsidR="00764014">
        <w:t>peers</w:t>
      </w:r>
      <w:r w:rsidR="00C43F5C">
        <w:t xml:space="preserve">. This improved comparability may reduce </w:t>
      </w:r>
      <w:r w:rsidRPr="00DA4836">
        <w:t>the risk of any undue interruption to the flow and cost of funding to the financial system.</w:t>
      </w:r>
      <w:r w:rsidR="00152308" w:rsidDel="00152308">
        <w:t xml:space="preserve"> </w:t>
      </w:r>
    </w:p>
    <w:p w14:paraId="0B27EC8C" w14:textId="5426A274" w:rsidR="00C730DD" w:rsidRDefault="00264F94" w:rsidP="00C730DD">
      <w:pPr>
        <w:pStyle w:val="APRANORMAL"/>
      </w:pPr>
      <w:r w:rsidRPr="00264F94">
        <w:rPr>
          <w:lang w:val="en-AU"/>
        </w:rPr>
        <w:t xml:space="preserve">While the Basel capital framework establishes internationally agreed minimum requirements, it also includes national discretions in a number of areas. </w:t>
      </w:r>
      <w:r w:rsidR="00E627EE">
        <w:rPr>
          <w:lang w:val="en-AU"/>
        </w:rPr>
        <w:t>As is the case in Australia, these</w:t>
      </w:r>
      <w:r w:rsidR="007838A2">
        <w:rPr>
          <w:lang w:val="en-AU"/>
        </w:rPr>
        <w:t xml:space="preserve"> </w:t>
      </w:r>
      <w:r w:rsidRPr="00264F94">
        <w:rPr>
          <w:lang w:val="en-AU"/>
        </w:rPr>
        <w:t xml:space="preserve">have been exercised by many jurisdictions to suit their individual circumstances. </w:t>
      </w:r>
      <w:r w:rsidR="007838A2">
        <w:t xml:space="preserve">Even though </w:t>
      </w:r>
      <w:r w:rsidR="00C730DD">
        <w:t>Australian ADIs are required to disclose information in accordance with the principles of Pillar 3, currently the degree of relative conservatism within APRA’s capital framework is not readily apparent to many investors or other market participants. While</w:t>
      </w:r>
      <w:r w:rsidR="00517DBD">
        <w:t xml:space="preserve"> </w:t>
      </w:r>
      <w:r w:rsidR="00C730DD">
        <w:t>certain informed stakeholders, such as the key credit rating agencies, have analysed and give</w:t>
      </w:r>
      <w:r w:rsidR="00C43F5C">
        <w:t>n consideration</w:t>
      </w:r>
      <w:r w:rsidR="00C730DD">
        <w:t xml:space="preserve"> </w:t>
      </w:r>
      <w:r w:rsidR="00EA067B">
        <w:t>to</w:t>
      </w:r>
      <w:r w:rsidR="00C730DD">
        <w:t xml:space="preserve"> the </w:t>
      </w:r>
      <w:r w:rsidR="00C730DD">
        <w:lastRenderedPageBreak/>
        <w:t>differences as part of their credit assessments</w:t>
      </w:r>
      <w:r w:rsidR="00C730DD" w:rsidDel="009677F7">
        <w:t>,</w:t>
      </w:r>
      <w:r w:rsidR="00C730DD">
        <w:t xml:space="preserve"> that degree of analysis will not be warranted by others who may wish to rely simply on published material. </w:t>
      </w:r>
    </w:p>
    <w:p w14:paraId="15AA7FEB" w14:textId="249D990F" w:rsidR="00C730DD" w:rsidRDefault="00C730DD" w:rsidP="00C730DD">
      <w:pPr>
        <w:pStyle w:val="APRANORMAL"/>
      </w:pPr>
      <w:r>
        <w:t>In seeking to address this, some larger ADIs have begun publishing an ‘internationally comparable’ CET1 capital ratio that is estimated based on the adjustments described in APRA’s 2015 international capital comparison study.</w:t>
      </w:r>
      <w:r>
        <w:rPr>
          <w:rStyle w:val="FootnoteReference"/>
        </w:rPr>
        <w:footnoteReference w:id="15"/>
      </w:r>
      <w:r>
        <w:t xml:space="preserve"> </w:t>
      </w:r>
      <w:r w:rsidR="009E28F9">
        <w:t>The publication by APRA of its own methodology, which has been adopted by the large ADIs, seems to have improved comparability somewhat. However, a</w:t>
      </w:r>
      <w:r>
        <w:t>s noted by the FSI, there are potential impediments to market credibility of these comparative capital ratios that could arise from self-selection of disclosed items and self-reporting of internationally comparable ADI capital ratios.</w:t>
      </w:r>
      <w:r>
        <w:rPr>
          <w:rStyle w:val="FootnoteReference"/>
        </w:rPr>
        <w:footnoteReference w:id="16"/>
      </w:r>
      <w:r>
        <w:t xml:space="preserve"> </w:t>
      </w:r>
    </w:p>
    <w:p w14:paraId="31C06C2C" w14:textId="030BF486" w:rsidR="005A1535" w:rsidRDefault="00505314" w:rsidP="00AF313B">
      <w:pPr>
        <w:pStyle w:val="APRANORMAL"/>
      </w:pPr>
      <w:r>
        <w:t>As discussed above,</w:t>
      </w:r>
      <w:r w:rsidR="001B4EA4">
        <w:t xml:space="preserve"> </w:t>
      </w:r>
      <w:r w:rsidR="00D86E4F">
        <w:t xml:space="preserve">the </w:t>
      </w:r>
      <w:r>
        <w:t>RWA floor</w:t>
      </w:r>
      <w:r w:rsidR="005A1535">
        <w:t>, contingent</w:t>
      </w:r>
      <w:r w:rsidR="00D86E4F">
        <w:t xml:space="preserve"> on </w:t>
      </w:r>
      <w:r w:rsidR="005A1535">
        <w:t>its</w:t>
      </w:r>
      <w:r w:rsidR="00D86E4F">
        <w:t xml:space="preserve"> implementation</w:t>
      </w:r>
      <w:r w:rsidR="005A1535">
        <w:t>, may</w:t>
      </w:r>
      <w:r w:rsidR="00D86E4F">
        <w:t xml:space="preserve"> </w:t>
      </w:r>
      <w:r w:rsidR="001B4EA4">
        <w:t xml:space="preserve">also </w:t>
      </w:r>
      <w:r>
        <w:t>reflect each jurisdiction’s capital adequacy framework rather than</w:t>
      </w:r>
      <w:r w:rsidR="00892C68">
        <w:t xml:space="preserve"> being calculated under </w:t>
      </w:r>
      <w:r>
        <w:t xml:space="preserve">the minimum capital adequacy framework established by the Basel Committee. </w:t>
      </w:r>
    </w:p>
    <w:p w14:paraId="5361540A" w14:textId="652B8ADD" w:rsidR="00AF313B" w:rsidRDefault="005A1535" w:rsidP="00AF313B">
      <w:pPr>
        <w:pStyle w:val="APRANORMAL"/>
      </w:pPr>
      <w:r>
        <w:t>T</w:t>
      </w:r>
      <w:r w:rsidR="00653B58">
        <w:t>aken together, t</w:t>
      </w:r>
      <w:r>
        <w:t>hese factors</w:t>
      </w:r>
      <w:r w:rsidR="009677F7">
        <w:t xml:space="preserve"> </w:t>
      </w:r>
      <w:r w:rsidR="0073303D">
        <w:t xml:space="preserve">mean </w:t>
      </w:r>
      <w:r w:rsidR="00764014">
        <w:t>that there is no single basis of measurement</w:t>
      </w:r>
      <w:r w:rsidR="0073303D">
        <w:t xml:space="preserve"> on which to easily compare all banks internationally</w:t>
      </w:r>
      <w:r w:rsidR="00AF313B">
        <w:t>. APRA</w:t>
      </w:r>
      <w:r w:rsidR="0073303D">
        <w:t xml:space="preserve"> is therefore considering </w:t>
      </w:r>
      <w:r w:rsidR="00C43F5C">
        <w:t>how to improve</w:t>
      </w:r>
      <w:r w:rsidR="0073303D">
        <w:t xml:space="preserve"> </w:t>
      </w:r>
      <w:r w:rsidR="00AF313B">
        <w:t>the comparability of ADI capital ratios</w:t>
      </w:r>
      <w:r w:rsidR="00C43F5C">
        <w:t>,</w:t>
      </w:r>
      <w:r w:rsidR="00205006">
        <w:t xml:space="preserve"> </w:t>
      </w:r>
      <w:r w:rsidR="0073303D">
        <w:t>to the extent reasonably practicable.</w:t>
      </w:r>
    </w:p>
    <w:p w14:paraId="57E1DAA0" w14:textId="77777777" w:rsidR="00AF313B" w:rsidRDefault="00AF313B" w:rsidP="00AF313B">
      <w:pPr>
        <w:pStyle w:val="APRAHEADING3"/>
      </w:pPr>
      <w:r>
        <w:t xml:space="preserve">Flexibility </w:t>
      </w:r>
    </w:p>
    <w:p w14:paraId="0E8D018C" w14:textId="5B5708ED" w:rsidR="00AF313B" w:rsidRDefault="00AF313B" w:rsidP="00AF313B">
      <w:pPr>
        <w:pStyle w:val="APRANORMAL"/>
      </w:pPr>
      <w:r>
        <w:t xml:space="preserve">Improved flexibility within the capital framework would enhance supervisory flexibility in times of financial stress, either at an individual ADI </w:t>
      </w:r>
      <w:r w:rsidR="00523761">
        <w:t xml:space="preserve">level </w:t>
      </w:r>
      <w:r>
        <w:t xml:space="preserve">or </w:t>
      </w:r>
      <w:r w:rsidR="00523761">
        <w:t xml:space="preserve">for </w:t>
      </w:r>
      <w:r>
        <w:t xml:space="preserve">the banking system as a whole. For Australian ADIs, a potential breach of a minimum capital or buffer requirement, and therefore automatic regulatory intervention or restriction, occurs at a </w:t>
      </w:r>
      <w:r w:rsidRPr="00526B9D">
        <w:t>higher</w:t>
      </w:r>
      <w:r>
        <w:t xml:space="preserve"> capital level in dollar terms than those of a number of peer jurisdictions. This </w:t>
      </w:r>
      <w:r w:rsidR="00A17F3E">
        <w:t xml:space="preserve">may have the potential to </w:t>
      </w:r>
      <w:r>
        <w:t>reduce APRA’s flexibility, particularly in times of stress, in terms of the timing and type of action that could be taken.</w:t>
      </w:r>
    </w:p>
    <w:p w14:paraId="57469A03" w14:textId="4755D374" w:rsidR="0073303D" w:rsidRDefault="00AF313B" w:rsidP="002655A1">
      <w:pPr>
        <w:pStyle w:val="APRANORMAL"/>
      </w:pPr>
      <w:r>
        <w:t xml:space="preserve">APRA is </w:t>
      </w:r>
      <w:r w:rsidR="00A17F3E">
        <w:t xml:space="preserve">therefore examining ways </w:t>
      </w:r>
      <w:r>
        <w:t xml:space="preserve">to enhance the flexibility of the </w:t>
      </w:r>
      <w:r w:rsidR="00A17F3E">
        <w:t xml:space="preserve">banking </w:t>
      </w:r>
      <w:r>
        <w:t xml:space="preserve">system’s </w:t>
      </w:r>
      <w:r w:rsidR="00205006">
        <w:t xml:space="preserve">ability to </w:t>
      </w:r>
      <w:r>
        <w:t>respon</w:t>
      </w:r>
      <w:r w:rsidR="00205006">
        <w:t>d</w:t>
      </w:r>
      <w:r>
        <w:t xml:space="preserve"> </w:t>
      </w:r>
      <w:r w:rsidR="00A17F3E">
        <w:t xml:space="preserve">and adjust </w:t>
      </w:r>
      <w:r w:rsidR="003C06C2">
        <w:t>when faced with adversity</w:t>
      </w:r>
      <w:r w:rsidR="00523761">
        <w:t>,</w:t>
      </w:r>
      <w:r>
        <w:t xml:space="preserve"> to enable </w:t>
      </w:r>
      <w:r w:rsidR="003C06C2">
        <w:t xml:space="preserve">sound </w:t>
      </w:r>
      <w:r>
        <w:t>ADIs to continue to lend and provide other</w:t>
      </w:r>
      <w:r w:rsidR="00DB0DE7">
        <w:t xml:space="preserve"> critical economic functions. </w:t>
      </w:r>
    </w:p>
    <w:p w14:paraId="76E0A5F0" w14:textId="77777777" w:rsidR="00EE10CB" w:rsidRPr="0073303D" w:rsidRDefault="00EE10CB" w:rsidP="0073303D">
      <w:pPr>
        <w:pStyle w:val="APRAHEADING2"/>
      </w:pPr>
      <w:bookmarkStart w:id="84" w:name="_Toc518658243"/>
      <w:bookmarkStart w:id="85" w:name="_Toc521401215"/>
      <w:bookmarkStart w:id="86" w:name="_Toc521508289"/>
      <w:bookmarkStart w:id="87" w:name="_Toc521932762"/>
      <w:r w:rsidRPr="0073303D">
        <w:lastRenderedPageBreak/>
        <w:t>Outline of this consultation</w:t>
      </w:r>
      <w:bookmarkEnd w:id="75"/>
      <w:bookmarkEnd w:id="84"/>
      <w:bookmarkEnd w:id="85"/>
      <w:bookmarkEnd w:id="86"/>
      <w:bookmarkEnd w:id="87"/>
    </w:p>
    <w:p w14:paraId="234AD7E8" w14:textId="1D9E0B71" w:rsidR="00EE10CB" w:rsidRDefault="00EE10CB" w:rsidP="00EE10CB">
      <w:pPr>
        <w:pStyle w:val="APRANORMAL"/>
      </w:pPr>
      <w:r>
        <w:t xml:space="preserve">With this </w:t>
      </w:r>
      <w:r w:rsidR="009B684D">
        <w:t>D</w:t>
      </w:r>
      <w:r>
        <w:t xml:space="preserve">iscussion </w:t>
      </w:r>
      <w:r w:rsidR="009B684D">
        <w:t>P</w:t>
      </w:r>
      <w:r>
        <w:t xml:space="preserve">aper, APRA is commencing consultation on potential approaches to improve transparency, comparability and flexibility of ADI capital ratios and requirements. </w:t>
      </w:r>
    </w:p>
    <w:p w14:paraId="0949B288" w14:textId="77777777" w:rsidR="00EE10CB" w:rsidRDefault="00EE10CB" w:rsidP="00EE10CB">
      <w:pPr>
        <w:pStyle w:val="APRANORMAL"/>
      </w:pPr>
      <w:r>
        <w:t>Chapter 2 outlines the possible approaches to modifying the ADI capital framework to improve transparency and comparability of capital ratios, including an assessment of advantages and challenges</w:t>
      </w:r>
      <w:r w:rsidR="00B351BE">
        <w:t>,</w:t>
      </w:r>
      <w:r w:rsidR="00E1497D">
        <w:t xml:space="preserve"> and </w:t>
      </w:r>
      <w:r>
        <w:t xml:space="preserve">indicative examples. </w:t>
      </w:r>
    </w:p>
    <w:p w14:paraId="6B52B750" w14:textId="77777777" w:rsidR="00EE10CB" w:rsidRDefault="00EE10CB" w:rsidP="00EE10CB">
      <w:pPr>
        <w:pStyle w:val="APRANORMAL"/>
      </w:pPr>
      <w:r>
        <w:t xml:space="preserve">Chapter 3 outlines possible options to enhance supervisory flexibility with respect to capital requirements in times of financial stress, either at an individual ADI </w:t>
      </w:r>
      <w:r w:rsidR="00523761">
        <w:t xml:space="preserve">level </w:t>
      </w:r>
      <w:r>
        <w:t xml:space="preserve">or </w:t>
      </w:r>
      <w:r w:rsidR="00523761">
        <w:t xml:space="preserve">for </w:t>
      </w:r>
      <w:r>
        <w:t xml:space="preserve">the banking system as a whole. </w:t>
      </w:r>
    </w:p>
    <w:p w14:paraId="5F4F62D5" w14:textId="347F74B6" w:rsidR="00EE10CB" w:rsidRDefault="00EE10CB" w:rsidP="00EE10CB">
      <w:pPr>
        <w:pStyle w:val="APRANORMAL"/>
      </w:pPr>
      <w:r>
        <w:t>The measures outline</w:t>
      </w:r>
      <w:r w:rsidR="005400C7">
        <w:t xml:space="preserve">d </w:t>
      </w:r>
      <w:r>
        <w:t xml:space="preserve">in </w:t>
      </w:r>
      <w:r w:rsidR="005400C7">
        <w:t xml:space="preserve">this </w:t>
      </w:r>
      <w:r w:rsidR="009B684D">
        <w:t>D</w:t>
      </w:r>
      <w:r>
        <w:t xml:space="preserve">iscussion </w:t>
      </w:r>
      <w:r w:rsidR="009B684D">
        <w:t>P</w:t>
      </w:r>
      <w:r>
        <w:t xml:space="preserve">aper do not </w:t>
      </w:r>
      <w:r w:rsidR="00442789">
        <w:t xml:space="preserve">propose </w:t>
      </w:r>
      <w:r>
        <w:t xml:space="preserve">any further revision to risk-based capital requirements for ADIs, which were outlined in APRA’s February 2018 </w:t>
      </w:r>
      <w:r w:rsidR="009B684D">
        <w:t>D</w:t>
      </w:r>
      <w:r>
        <w:t xml:space="preserve">iscussion </w:t>
      </w:r>
      <w:r w:rsidR="009B684D">
        <w:t>P</w:t>
      </w:r>
      <w:r>
        <w:t>aper.</w:t>
      </w:r>
    </w:p>
    <w:p w14:paraId="4C12C111" w14:textId="77777777" w:rsidR="001E254C" w:rsidRDefault="00EE10CB" w:rsidP="005400C7">
      <w:pPr>
        <w:pStyle w:val="APRANORMAL"/>
      </w:pPr>
      <w:r>
        <w:t xml:space="preserve">APRA intends to consult on draft revised prudential standards incorporating the outcome of this consultation in 2019. Further information on next </w:t>
      </w:r>
      <w:r w:rsidR="00451426">
        <w:t>steps is set out in Chapter 4.</w:t>
      </w:r>
    </w:p>
    <w:p w14:paraId="4A9E4686" w14:textId="77777777" w:rsidR="001E254C" w:rsidRDefault="001E254C">
      <w:pPr>
        <w:spacing w:after="120" w:line="288" w:lineRule="auto"/>
        <w:rPr>
          <w:rFonts w:ascii="DIN OT Light" w:hAnsi="DIN OT Light"/>
          <w:lang w:val="en-GB"/>
        </w:rPr>
      </w:pPr>
      <w:r>
        <w:br w:type="page"/>
      </w:r>
    </w:p>
    <w:p w14:paraId="57C084D4" w14:textId="47BAA5F0" w:rsidR="00004DF4" w:rsidRDefault="00004DF4" w:rsidP="00035885">
      <w:pPr>
        <w:pStyle w:val="APRAHEADING2"/>
      </w:pPr>
      <w:bookmarkStart w:id="88" w:name="_Toc492996515"/>
      <w:bookmarkStart w:id="89" w:name="_Toc493154147"/>
      <w:bookmarkStart w:id="90" w:name="_Toc493154593"/>
      <w:bookmarkStart w:id="91" w:name="_Toc493240097"/>
      <w:bookmarkStart w:id="92" w:name="_Toc493240603"/>
      <w:bookmarkStart w:id="93" w:name="_Toc494189566"/>
      <w:bookmarkStart w:id="94" w:name="_Toc496184494"/>
      <w:bookmarkStart w:id="95" w:name="_Toc497403365"/>
      <w:bookmarkStart w:id="96" w:name="_Toc497409653"/>
      <w:bookmarkStart w:id="97" w:name="_Toc497409765"/>
      <w:bookmarkStart w:id="98" w:name="_Toc497409838"/>
      <w:bookmarkStart w:id="99" w:name="_Toc510595660"/>
      <w:bookmarkStart w:id="100" w:name="_Toc510689493"/>
      <w:bookmarkStart w:id="101" w:name="_Toc510690471"/>
      <w:bookmarkStart w:id="102" w:name="_Toc514172191"/>
      <w:bookmarkStart w:id="103" w:name="_Toc518658244"/>
      <w:bookmarkStart w:id="104" w:name="_Toc521401216"/>
      <w:bookmarkStart w:id="105" w:name="_Toc521508290"/>
      <w:bookmarkStart w:id="106" w:name="_Toc521932763"/>
      <w:bookmarkStart w:id="107" w:name="_Toc497473653"/>
      <w:bookmarkStart w:id="108" w:name="_Toc508653008"/>
      <w:r>
        <w:lastRenderedPageBreak/>
        <w:t xml:space="preserve">Balancing </w:t>
      </w:r>
      <w:bookmarkEnd w:id="88"/>
      <w:bookmarkEnd w:id="89"/>
      <w:bookmarkEnd w:id="90"/>
      <w:bookmarkEnd w:id="91"/>
      <w:bookmarkEnd w:id="92"/>
      <w:bookmarkEnd w:id="93"/>
      <w:bookmarkEnd w:id="94"/>
      <w:bookmarkEnd w:id="95"/>
      <w:bookmarkEnd w:id="96"/>
      <w:bookmarkEnd w:id="97"/>
      <w:bookmarkEnd w:id="98"/>
      <w:r w:rsidR="00620E6C">
        <w:t>APRA’s objectives</w:t>
      </w:r>
      <w:bookmarkEnd w:id="99"/>
      <w:bookmarkEnd w:id="100"/>
      <w:bookmarkEnd w:id="101"/>
      <w:bookmarkEnd w:id="102"/>
      <w:bookmarkEnd w:id="103"/>
      <w:bookmarkEnd w:id="104"/>
      <w:bookmarkEnd w:id="105"/>
      <w:bookmarkEnd w:id="106"/>
      <w:r w:rsidR="00B3125B">
        <w:t xml:space="preserve">  </w:t>
      </w:r>
      <w:bookmarkEnd w:id="107"/>
      <w:bookmarkEnd w:id="108"/>
    </w:p>
    <w:p w14:paraId="0FB48EE3" w14:textId="77777777" w:rsidR="006F4BDE" w:rsidRDefault="00D07306" w:rsidP="00746E2A">
      <w:pPr>
        <w:pStyle w:val="APRANORMAL"/>
      </w:pPr>
      <w:r>
        <w:t>APRA</w:t>
      </w:r>
      <w:r w:rsidR="00665B32">
        <w:t>’s mandate is to</w:t>
      </w:r>
      <w:r w:rsidR="00A20227">
        <w:t xml:space="preserve"> </w:t>
      </w:r>
      <w:r>
        <w:t>balanc</w:t>
      </w:r>
      <w:r w:rsidR="00AD47E8">
        <w:t>e</w:t>
      </w:r>
      <w:r>
        <w:t xml:space="preserve"> the objectives of financial safety and efficiency, competition, contestability and competitive neutrality, </w:t>
      </w:r>
      <w:r w:rsidR="00665B32">
        <w:t xml:space="preserve">and in balancing these objectives, </w:t>
      </w:r>
      <w:r w:rsidR="00A20227">
        <w:t xml:space="preserve">to </w:t>
      </w:r>
      <w:r w:rsidR="00665B32">
        <w:t xml:space="preserve">promote </w:t>
      </w:r>
      <w:r>
        <w:t xml:space="preserve">financial </w:t>
      </w:r>
      <w:r w:rsidR="00665B32">
        <w:t xml:space="preserve">system </w:t>
      </w:r>
      <w:r>
        <w:t>stability</w:t>
      </w:r>
      <w:r w:rsidR="00665B32">
        <w:t xml:space="preserve"> in Australia</w:t>
      </w:r>
      <w:r>
        <w:t xml:space="preserve">. </w:t>
      </w:r>
    </w:p>
    <w:p w14:paraId="1CDA5416" w14:textId="4EAC03FF" w:rsidR="00D07306" w:rsidRPr="00882822" w:rsidRDefault="00EF0AC3" w:rsidP="00746E2A">
      <w:pPr>
        <w:pStyle w:val="APRANORMAL"/>
      </w:pPr>
      <w:r w:rsidRPr="00EF0AC3">
        <w:t xml:space="preserve">On balance, APRA considers that the proposals in this </w:t>
      </w:r>
      <w:r w:rsidR="009B684D">
        <w:t>D</w:t>
      </w:r>
      <w:r w:rsidRPr="00EF0AC3">
        <w:t xml:space="preserve">iscussion </w:t>
      </w:r>
      <w:r w:rsidR="009B684D">
        <w:t>P</w:t>
      </w:r>
      <w:r w:rsidRPr="00EF0AC3">
        <w:t xml:space="preserve">aper </w:t>
      </w:r>
      <w:r w:rsidR="00927507">
        <w:t>have the potential to</w:t>
      </w:r>
      <w:r w:rsidR="00927507" w:rsidRPr="00EF0AC3">
        <w:t xml:space="preserve"> </w:t>
      </w:r>
      <w:r w:rsidR="0000677E">
        <w:t>support the</w:t>
      </w:r>
      <w:r w:rsidR="0000677E" w:rsidRPr="00EF0AC3">
        <w:t xml:space="preserve"> </w:t>
      </w:r>
      <w:r w:rsidR="0096654E">
        <w:t>financial safety</w:t>
      </w:r>
      <w:r w:rsidR="00B97E39">
        <w:t xml:space="preserve"> of </w:t>
      </w:r>
      <w:r w:rsidR="0000677E">
        <w:t xml:space="preserve">ADI depositors </w:t>
      </w:r>
      <w:r w:rsidRPr="00EF0AC3">
        <w:t>and promote financial system stability.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37"/>
        <w:gridCol w:w="2671"/>
        <w:gridCol w:w="4508"/>
      </w:tblGrid>
      <w:tr w:rsidR="00D07306" w:rsidRPr="00DB60C6" w14:paraId="57239721" w14:textId="77777777" w:rsidTr="004A3668">
        <w:tc>
          <w:tcPr>
            <w:tcW w:w="9016" w:type="dxa"/>
            <w:gridSpan w:val="3"/>
            <w:shd w:val="clear" w:color="auto" w:fill="002060"/>
          </w:tcPr>
          <w:p w14:paraId="7ED89D9D" w14:textId="77777777" w:rsidR="00D07306" w:rsidRPr="00FB03B4" w:rsidRDefault="00D07306" w:rsidP="003F758E">
            <w:pPr>
              <w:spacing w:before="120" w:after="120"/>
              <w:jc w:val="center"/>
              <w:rPr>
                <w:rFonts w:ascii="DIN OT Medium" w:hAnsi="DIN OT Medium"/>
                <w:color w:val="FFFFFF" w:themeColor="background1"/>
                <w:sz w:val="20"/>
                <w:szCs w:val="20"/>
                <w:lang w:eastAsia="en-AU"/>
              </w:rPr>
            </w:pPr>
            <w:r w:rsidRPr="00FB03B4">
              <w:rPr>
                <w:rFonts w:ascii="DIN OT Medium" w:hAnsi="DIN OT Medium"/>
                <w:color w:val="FFFFFF" w:themeColor="background1"/>
                <w:sz w:val="20"/>
                <w:szCs w:val="20"/>
                <w:lang w:eastAsia="en-AU"/>
              </w:rPr>
              <w:t>PRIMARY OBJECTIVES</w:t>
            </w:r>
          </w:p>
        </w:tc>
      </w:tr>
      <w:tr w:rsidR="00D07306" w:rsidRPr="008C0E05" w14:paraId="390F0C1C" w14:textId="77777777" w:rsidTr="004A3668">
        <w:tc>
          <w:tcPr>
            <w:tcW w:w="4508" w:type="dxa"/>
            <w:gridSpan w:val="2"/>
            <w:shd w:val="clear" w:color="auto" w:fill="00B0F0"/>
          </w:tcPr>
          <w:p w14:paraId="0B69BA03" w14:textId="77777777" w:rsidR="00BA77ED" w:rsidRPr="00FB03B4" w:rsidRDefault="00BA77ED" w:rsidP="003F758E">
            <w:pPr>
              <w:spacing w:before="120" w:after="120"/>
              <w:jc w:val="center"/>
              <w:rPr>
                <w:rFonts w:ascii="DIN OT Medium" w:hAnsi="DIN OT Medium"/>
                <w:color w:val="FFFFFF" w:themeColor="background1"/>
                <w:sz w:val="20"/>
                <w:szCs w:val="20"/>
              </w:rPr>
            </w:pPr>
            <w:r w:rsidRPr="00FB03B4">
              <w:rPr>
                <w:rFonts w:ascii="DIN OT Medium" w:hAnsi="DIN OT Medium"/>
                <w:color w:val="FFFFFF" w:themeColor="background1"/>
                <w:sz w:val="20"/>
                <w:szCs w:val="20"/>
              </w:rPr>
              <w:t>Financial</w:t>
            </w:r>
            <w:r w:rsidR="00CC1AE9" w:rsidRPr="00FB03B4">
              <w:rPr>
                <w:rFonts w:ascii="DIN OT Medium" w:hAnsi="DIN OT Medium"/>
                <w:color w:val="FFFFFF" w:themeColor="background1"/>
                <w:sz w:val="20"/>
                <w:szCs w:val="20"/>
              </w:rPr>
              <w:t xml:space="preserve"> </w:t>
            </w:r>
            <w:r w:rsidRPr="00FB03B4">
              <w:rPr>
                <w:rFonts w:ascii="DIN OT Medium" w:hAnsi="DIN OT Medium"/>
                <w:color w:val="FFFFFF" w:themeColor="background1"/>
                <w:sz w:val="20"/>
                <w:szCs w:val="20"/>
              </w:rPr>
              <w:br/>
              <w:t>safety</w:t>
            </w:r>
          </w:p>
          <w:p w14:paraId="7211C394" w14:textId="77777777" w:rsidR="00D07306" w:rsidRPr="0073165A" w:rsidRDefault="00841FDD" w:rsidP="003F758E">
            <w:pPr>
              <w:spacing w:before="120" w:after="120"/>
              <w:jc w:val="center"/>
              <w:rPr>
                <w:rFonts w:ascii="DIN OT Light" w:hAnsi="DIN OT Light"/>
                <w:b/>
                <w:color w:val="FFFFFF" w:themeColor="background1"/>
                <w:sz w:val="20"/>
                <w:szCs w:val="20"/>
              </w:rPr>
            </w:pPr>
            <w:r w:rsidRPr="0073165A">
              <w:rPr>
                <w:rFonts w:ascii="DIN OT Light" w:hAnsi="DIN OT Light"/>
                <w:i/>
                <w:noProof/>
                <w:color w:val="FFFFFF" w:themeColor="background1"/>
                <w:sz w:val="20"/>
                <w:szCs w:val="20"/>
                <w:lang w:eastAsia="en-AU"/>
              </w:rPr>
              <mc:AlternateContent>
                <mc:Choice Requires="wps">
                  <w:drawing>
                    <wp:inline distT="0" distB="0" distL="0" distR="0" wp14:anchorId="16528FAD" wp14:editId="1B1B3E36">
                      <wp:extent cx="181536" cy="194983"/>
                      <wp:effectExtent l="19050" t="19050" r="47625" b="14605"/>
                      <wp:docPr id="7" name="Up Arrow 7"/>
                      <wp:cNvGraphicFramePr/>
                      <a:graphic xmlns:a="http://schemas.openxmlformats.org/drawingml/2006/main">
                        <a:graphicData uri="http://schemas.microsoft.com/office/word/2010/wordprocessingShape">
                          <wps:wsp>
                            <wps:cNvSpPr/>
                            <wps:spPr>
                              <a:xfrm>
                                <a:off x="0" y="0"/>
                                <a:ext cx="181536" cy="194983"/>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5C1D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width:14.3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" adj="10055" fillcolor="white [3212]" strokecolor="white [3212]" strokeweight="2pt">
                      <w10:anchorlock/>
                    </v:shape>
                  </w:pict>
                </mc:Fallback>
              </mc:AlternateContent>
            </w:r>
            <w:r w:rsidR="00D07306" w:rsidRPr="0073165A">
              <w:rPr>
                <w:rFonts w:ascii="DIN OT Light" w:hAnsi="DIN OT Light"/>
                <w:b/>
                <w:color w:val="FFFFFF" w:themeColor="background1"/>
                <w:sz w:val="20"/>
                <w:szCs w:val="20"/>
              </w:rPr>
              <w:br/>
            </w:r>
          </w:p>
        </w:tc>
        <w:tc>
          <w:tcPr>
            <w:tcW w:w="4508" w:type="dxa"/>
            <w:shd w:val="clear" w:color="auto" w:fill="00B0F0"/>
          </w:tcPr>
          <w:p w14:paraId="2E88F157" w14:textId="77777777" w:rsidR="00BA77ED" w:rsidRPr="00FB03B4" w:rsidRDefault="00D07306" w:rsidP="003F758E">
            <w:pPr>
              <w:spacing w:before="120" w:after="120"/>
              <w:jc w:val="center"/>
              <w:rPr>
                <w:rFonts w:ascii="DIN OT Medium" w:hAnsi="DIN OT Medium"/>
                <w:color w:val="FFFFFF" w:themeColor="background1"/>
                <w:sz w:val="20"/>
                <w:szCs w:val="20"/>
              </w:rPr>
            </w:pPr>
            <w:r w:rsidRPr="00FB03B4">
              <w:rPr>
                <w:rFonts w:ascii="DIN OT Medium" w:hAnsi="DIN OT Medium"/>
                <w:color w:val="FFFFFF" w:themeColor="background1"/>
                <w:sz w:val="20"/>
                <w:szCs w:val="20"/>
              </w:rPr>
              <w:t>Financial system</w:t>
            </w:r>
            <w:r w:rsidRPr="00FB03B4">
              <w:rPr>
                <w:rFonts w:ascii="DIN OT Medium" w:hAnsi="DIN OT Medium"/>
                <w:color w:val="FFFFFF" w:themeColor="background1"/>
                <w:sz w:val="20"/>
                <w:szCs w:val="20"/>
              </w:rPr>
              <w:br/>
              <w:t>stability</w:t>
            </w:r>
          </w:p>
          <w:p w14:paraId="569F51B9" w14:textId="77777777" w:rsidR="00D07306" w:rsidRPr="0073165A" w:rsidRDefault="00BA77ED" w:rsidP="003F758E">
            <w:pPr>
              <w:spacing w:before="120" w:after="120"/>
              <w:jc w:val="center"/>
              <w:rPr>
                <w:rFonts w:ascii="DIN OT Light" w:hAnsi="DIN OT Light"/>
                <w:b/>
                <w:color w:val="FFFFFF" w:themeColor="background1"/>
                <w:sz w:val="20"/>
                <w:szCs w:val="20"/>
              </w:rPr>
            </w:pPr>
            <w:r w:rsidRPr="0073165A">
              <w:rPr>
                <w:rFonts w:ascii="DIN OT Light" w:hAnsi="DIN OT Light"/>
                <w:i/>
                <w:noProof/>
                <w:color w:val="FFFFFF" w:themeColor="background1"/>
                <w:sz w:val="20"/>
                <w:szCs w:val="20"/>
                <w:lang w:eastAsia="en-AU"/>
              </w:rPr>
              <mc:AlternateContent>
                <mc:Choice Requires="wps">
                  <w:drawing>
                    <wp:inline distT="0" distB="0" distL="0" distR="0" wp14:anchorId="6775AE68" wp14:editId="7F2E5583">
                      <wp:extent cx="181536" cy="194983"/>
                      <wp:effectExtent l="19050" t="19050" r="47625" b="14605"/>
                      <wp:docPr id="8" name="Up Arrow 8"/>
                      <wp:cNvGraphicFramePr/>
                      <a:graphic xmlns:a="http://schemas.openxmlformats.org/drawingml/2006/main">
                        <a:graphicData uri="http://schemas.microsoft.com/office/word/2010/wordprocessingShape">
                          <wps:wsp>
                            <wps:cNvSpPr/>
                            <wps:spPr>
                              <a:xfrm>
                                <a:off x="0" y="0"/>
                                <a:ext cx="181536" cy="194983"/>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2B661" id="Up Arrow 8" o:spid="_x0000_s1026" type="#_x0000_t68" style="width:14.3pt;height:1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" adj="10055" fillcolor="white [3212]" strokecolor="white [3212]" strokeweight="2pt">
                      <w10:anchorlock/>
                    </v:shape>
                  </w:pict>
                </mc:Fallback>
              </mc:AlternateContent>
            </w:r>
          </w:p>
        </w:tc>
      </w:tr>
      <w:tr w:rsidR="00D07306" w14:paraId="58640C7B" w14:textId="77777777" w:rsidTr="00EF0AC3">
        <w:tc>
          <w:tcPr>
            <w:tcW w:w="4508" w:type="dxa"/>
            <w:gridSpan w:val="2"/>
            <w:shd w:val="clear" w:color="auto" w:fill="F2F2F2" w:themeFill="background1" w:themeFillShade="F2"/>
          </w:tcPr>
          <w:p w14:paraId="11506937" w14:textId="77777777" w:rsidR="00F7018A" w:rsidRPr="00EF0AC3" w:rsidRDefault="00841FDD" w:rsidP="00DB2A52">
            <w:pPr>
              <w:pStyle w:val="APRANORMAL"/>
              <w:spacing w:before="120"/>
              <w:rPr>
                <w:sz w:val="20"/>
                <w:szCs w:val="20"/>
              </w:rPr>
            </w:pPr>
            <w:r>
              <w:rPr>
                <w:rFonts w:ascii="DIN OT Medium" w:hAnsi="DIN OT Medium"/>
                <w:sz w:val="20"/>
                <w:szCs w:val="20"/>
              </w:rPr>
              <w:t>Marginally improved</w:t>
            </w:r>
            <w:r w:rsidR="00512CEF" w:rsidRPr="00BB6DF6">
              <w:rPr>
                <w:rFonts w:ascii="DIN OT Medium" w:hAnsi="DIN OT Medium"/>
                <w:sz w:val="20"/>
                <w:szCs w:val="20"/>
              </w:rPr>
              <w:t>:</w:t>
            </w:r>
            <w:r w:rsidR="00512CEF">
              <w:rPr>
                <w:b/>
                <w:sz w:val="20"/>
                <w:szCs w:val="20"/>
              </w:rPr>
              <w:t xml:space="preserve"> </w:t>
            </w:r>
            <w:r w:rsidR="007150D5">
              <w:rPr>
                <w:sz w:val="20"/>
                <w:szCs w:val="20"/>
              </w:rPr>
              <w:t xml:space="preserve">the increased </w:t>
            </w:r>
            <w:r w:rsidR="0000677E">
              <w:rPr>
                <w:sz w:val="20"/>
                <w:szCs w:val="20"/>
              </w:rPr>
              <w:t xml:space="preserve">comparability and </w:t>
            </w:r>
            <w:r w:rsidR="007150D5">
              <w:rPr>
                <w:sz w:val="20"/>
                <w:szCs w:val="20"/>
              </w:rPr>
              <w:t xml:space="preserve">transparency of </w:t>
            </w:r>
            <w:r w:rsidR="0000677E">
              <w:rPr>
                <w:sz w:val="20"/>
                <w:szCs w:val="20"/>
              </w:rPr>
              <w:t>the ADI capital framework</w:t>
            </w:r>
            <w:r w:rsidR="007150D5">
              <w:rPr>
                <w:sz w:val="20"/>
                <w:szCs w:val="20"/>
              </w:rPr>
              <w:t xml:space="preserve"> </w:t>
            </w:r>
            <w:r w:rsidR="0076689D">
              <w:rPr>
                <w:sz w:val="20"/>
                <w:szCs w:val="20"/>
              </w:rPr>
              <w:t>support</w:t>
            </w:r>
            <w:r w:rsidR="006F4BDE">
              <w:rPr>
                <w:sz w:val="20"/>
                <w:szCs w:val="20"/>
              </w:rPr>
              <w:t>s</w:t>
            </w:r>
            <w:r w:rsidR="0076689D">
              <w:rPr>
                <w:sz w:val="20"/>
                <w:szCs w:val="20"/>
              </w:rPr>
              <w:t xml:space="preserve"> the </w:t>
            </w:r>
            <w:r w:rsidR="00A341B4">
              <w:rPr>
                <w:sz w:val="20"/>
                <w:szCs w:val="20"/>
              </w:rPr>
              <w:t>‘</w:t>
            </w:r>
            <w:r w:rsidR="0076689D">
              <w:rPr>
                <w:sz w:val="20"/>
                <w:szCs w:val="20"/>
              </w:rPr>
              <w:t>unquestionably strong</w:t>
            </w:r>
            <w:r w:rsidR="00A341B4">
              <w:rPr>
                <w:sz w:val="20"/>
                <w:szCs w:val="20"/>
              </w:rPr>
              <w:t>’</w:t>
            </w:r>
            <w:r w:rsidR="0076689D">
              <w:rPr>
                <w:sz w:val="20"/>
                <w:szCs w:val="20"/>
              </w:rPr>
              <w:t xml:space="preserve"> objective that </w:t>
            </w:r>
            <w:r w:rsidR="007150D5">
              <w:rPr>
                <w:sz w:val="20"/>
                <w:szCs w:val="20"/>
              </w:rPr>
              <w:t xml:space="preserve">the </w:t>
            </w:r>
            <w:r w:rsidR="0076689D">
              <w:rPr>
                <w:sz w:val="20"/>
                <w:szCs w:val="20"/>
              </w:rPr>
              <w:t xml:space="preserve">actual capital strength </w:t>
            </w:r>
            <w:r w:rsidR="00E10A97">
              <w:rPr>
                <w:sz w:val="20"/>
                <w:szCs w:val="20"/>
              </w:rPr>
              <w:t xml:space="preserve">of ADIs </w:t>
            </w:r>
            <w:r w:rsidR="0076689D">
              <w:rPr>
                <w:sz w:val="20"/>
                <w:szCs w:val="20"/>
              </w:rPr>
              <w:t>should be</w:t>
            </w:r>
            <w:r>
              <w:rPr>
                <w:sz w:val="20"/>
                <w:szCs w:val="20"/>
              </w:rPr>
              <w:t xml:space="preserve"> </w:t>
            </w:r>
            <w:r w:rsidR="0076689D">
              <w:rPr>
                <w:sz w:val="20"/>
                <w:szCs w:val="20"/>
              </w:rPr>
              <w:t xml:space="preserve">perceived </w:t>
            </w:r>
            <w:r w:rsidR="00E10A97">
              <w:rPr>
                <w:sz w:val="20"/>
                <w:szCs w:val="20"/>
              </w:rPr>
              <w:t>a</w:t>
            </w:r>
            <w:r w:rsidR="0076689D">
              <w:rPr>
                <w:sz w:val="20"/>
                <w:szCs w:val="20"/>
              </w:rPr>
              <w:t>s such</w:t>
            </w:r>
            <w:r w:rsidR="006F4BDE">
              <w:rPr>
                <w:sz w:val="20"/>
                <w:szCs w:val="20"/>
              </w:rPr>
              <w:t xml:space="preserve">. </w:t>
            </w:r>
            <w:r w:rsidR="007150D5">
              <w:rPr>
                <w:sz w:val="20"/>
                <w:szCs w:val="20"/>
              </w:rPr>
              <w:t xml:space="preserve"> </w:t>
            </w:r>
          </w:p>
        </w:tc>
        <w:tc>
          <w:tcPr>
            <w:tcW w:w="4508" w:type="dxa"/>
            <w:shd w:val="clear" w:color="auto" w:fill="F2F2F2" w:themeFill="background1" w:themeFillShade="F2"/>
          </w:tcPr>
          <w:p w14:paraId="54E10AB1" w14:textId="18C5A388" w:rsidR="00D07306" w:rsidRPr="00EF0AC3" w:rsidRDefault="00512CEF" w:rsidP="00AB5C1A">
            <w:pPr>
              <w:tabs>
                <w:tab w:val="center" w:pos="2146"/>
              </w:tabs>
              <w:spacing w:before="120"/>
              <w:rPr>
                <w:rFonts w:ascii="DIN OT Light" w:hAnsi="DIN OT Light"/>
                <w:sz w:val="20"/>
                <w:szCs w:val="20"/>
              </w:rPr>
            </w:pPr>
            <w:r w:rsidRPr="00BB6DF6">
              <w:rPr>
                <w:rFonts w:ascii="DIN OT Medium" w:hAnsi="DIN OT Medium"/>
                <w:sz w:val="20"/>
                <w:szCs w:val="20"/>
              </w:rPr>
              <w:t>Improved:</w:t>
            </w:r>
            <w:r>
              <w:rPr>
                <w:rFonts w:ascii="DIN OT Light" w:hAnsi="DIN OT Light"/>
                <w:b/>
                <w:sz w:val="20"/>
                <w:szCs w:val="20"/>
              </w:rPr>
              <w:t xml:space="preserve"> </w:t>
            </w:r>
            <w:r>
              <w:rPr>
                <w:rFonts w:ascii="DIN OT Light" w:hAnsi="DIN OT Light"/>
                <w:sz w:val="20"/>
                <w:szCs w:val="20"/>
              </w:rPr>
              <w:t xml:space="preserve">the </w:t>
            </w:r>
            <w:r w:rsidR="00A20227">
              <w:rPr>
                <w:rFonts w:ascii="DIN OT Light" w:hAnsi="DIN OT Light"/>
                <w:sz w:val="20"/>
                <w:szCs w:val="20"/>
              </w:rPr>
              <w:t xml:space="preserve">approaches </w:t>
            </w:r>
            <w:r>
              <w:rPr>
                <w:rFonts w:ascii="DIN OT Light" w:hAnsi="DIN OT Light"/>
                <w:sz w:val="20"/>
                <w:szCs w:val="20"/>
              </w:rPr>
              <w:t xml:space="preserve">improve </w:t>
            </w:r>
            <w:r w:rsidR="00AB5C1A">
              <w:rPr>
                <w:rFonts w:ascii="DIN OT Light" w:hAnsi="DIN OT Light"/>
                <w:sz w:val="20"/>
                <w:szCs w:val="20"/>
              </w:rPr>
              <w:t xml:space="preserve">the ability of APRA </w:t>
            </w:r>
            <w:r w:rsidR="00EF0AC3" w:rsidRPr="00EF0AC3">
              <w:rPr>
                <w:rFonts w:ascii="DIN OT Light" w:hAnsi="DIN OT Light"/>
                <w:sz w:val="20"/>
                <w:szCs w:val="20"/>
              </w:rPr>
              <w:t>to respond to situations of stress</w:t>
            </w:r>
            <w:r w:rsidR="00A20227">
              <w:rPr>
                <w:rFonts w:ascii="DIN OT Light" w:hAnsi="DIN OT Light"/>
                <w:sz w:val="20"/>
                <w:szCs w:val="20"/>
              </w:rPr>
              <w:t xml:space="preserve"> and reduce the likelihood of any undue interruption to the flow and cost of funding o</w:t>
            </w:r>
            <w:r w:rsidR="00051D37">
              <w:rPr>
                <w:rFonts w:ascii="DIN OT Light" w:hAnsi="DIN OT Light"/>
                <w:sz w:val="20"/>
                <w:szCs w:val="20"/>
              </w:rPr>
              <w:t>f</w:t>
            </w:r>
            <w:r w:rsidR="00A20227">
              <w:rPr>
                <w:rFonts w:ascii="DIN OT Light" w:hAnsi="DIN OT Light"/>
                <w:sz w:val="20"/>
                <w:szCs w:val="20"/>
              </w:rPr>
              <w:t xml:space="preserve"> the financial system. </w:t>
            </w:r>
          </w:p>
        </w:tc>
      </w:tr>
      <w:tr w:rsidR="00D07306" w:rsidRPr="00436774" w14:paraId="50BFE40D" w14:textId="77777777" w:rsidTr="004A3668">
        <w:tc>
          <w:tcPr>
            <w:tcW w:w="9016" w:type="dxa"/>
            <w:gridSpan w:val="3"/>
            <w:shd w:val="clear" w:color="auto" w:fill="002060"/>
          </w:tcPr>
          <w:p w14:paraId="113F9EE8" w14:textId="77777777" w:rsidR="00D07306" w:rsidRPr="00FB03B4" w:rsidRDefault="00D07306" w:rsidP="003F758E">
            <w:pPr>
              <w:spacing w:before="120" w:after="120"/>
              <w:jc w:val="both"/>
              <w:rPr>
                <w:rFonts w:ascii="DIN OT Medium" w:hAnsi="DIN OT Medium"/>
                <w:color w:val="FFFFFF" w:themeColor="background1"/>
                <w:sz w:val="20"/>
                <w:szCs w:val="20"/>
              </w:rPr>
            </w:pPr>
            <w:r w:rsidRPr="00FB03B4">
              <w:rPr>
                <w:rFonts w:ascii="DIN OT Medium" w:hAnsi="DIN OT Medium"/>
                <w:color w:val="FFFFFF" w:themeColor="background1"/>
                <w:sz w:val="20"/>
                <w:szCs w:val="20"/>
              </w:rPr>
              <w:t>OTHER CONSIDERATIONS</w:t>
            </w:r>
          </w:p>
        </w:tc>
      </w:tr>
      <w:tr w:rsidR="00D07306" w:rsidRPr="00436774" w14:paraId="318717A4" w14:textId="77777777" w:rsidTr="004A3668">
        <w:tc>
          <w:tcPr>
            <w:tcW w:w="1837" w:type="dxa"/>
            <w:shd w:val="clear" w:color="auto" w:fill="00B0F0"/>
          </w:tcPr>
          <w:p w14:paraId="6C9CA248" w14:textId="77777777" w:rsidR="00D07306" w:rsidRPr="0073165A" w:rsidRDefault="00D07306" w:rsidP="003F758E">
            <w:pPr>
              <w:spacing w:before="120" w:after="120"/>
              <w:jc w:val="center"/>
              <w:rPr>
                <w:rFonts w:ascii="DIN OT Light" w:hAnsi="DIN OT Light"/>
                <w:sz w:val="20"/>
                <w:szCs w:val="20"/>
              </w:rPr>
            </w:pPr>
            <w:r w:rsidRPr="009855EE">
              <w:rPr>
                <w:rFonts w:ascii="DIN OT Medium" w:hAnsi="DIN OT Medium"/>
                <w:color w:val="FFFFFF" w:themeColor="background1"/>
                <w:sz w:val="20"/>
                <w:szCs w:val="20"/>
              </w:rPr>
              <w:t>Efficiency</w:t>
            </w:r>
            <w:r w:rsidRPr="0073165A">
              <w:rPr>
                <w:rFonts w:ascii="DIN OT Light" w:hAnsi="DIN OT Light"/>
                <w:color w:val="FFFFFF" w:themeColor="background1"/>
                <w:sz w:val="20"/>
                <w:szCs w:val="20"/>
              </w:rPr>
              <w:br/>
            </w:r>
            <w:r w:rsidRPr="0073165A">
              <w:rPr>
                <w:rFonts w:ascii="DIN OT Light" w:hAnsi="DIN OT Light"/>
                <w:i/>
                <w:noProof/>
                <w:color w:val="FFFFFF" w:themeColor="background1"/>
                <w:sz w:val="20"/>
                <w:szCs w:val="20"/>
                <w:lang w:eastAsia="en-AU"/>
              </w:rPr>
              <mc:AlternateContent>
                <mc:Choice Requires="wps">
                  <w:drawing>
                    <wp:inline distT="0" distB="0" distL="0" distR="0" wp14:anchorId="0C7F152D" wp14:editId="72D36F93">
                      <wp:extent cx="181536" cy="296265"/>
                      <wp:effectExtent l="19050" t="0" r="28575" b="46990"/>
                      <wp:docPr id="10" name="Up Arrow 10"/>
                      <wp:cNvGraphicFramePr/>
                      <a:graphic xmlns:a="http://schemas.openxmlformats.org/drawingml/2006/main">
                        <a:graphicData uri="http://schemas.microsoft.com/office/word/2010/wordprocessingShape">
                          <wps:wsp>
                            <wps:cNvSpPr/>
                            <wps:spPr>
                              <a:xfrm rot="10800000">
                                <a:off x="0" y="0"/>
                                <a:ext cx="181536" cy="296265"/>
                              </a:xfrm>
                              <a:prstGeom prst="upArrow">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C099F" id="Up Arrow 10" o:spid="_x0000_s1026" type="#_x0000_t68" style="width:14.3pt;height:23.3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" adj="6618" fillcolor="white [3212]" strokecolor="white [3212]" strokeweight="2pt">
                      <w10:anchorlock/>
                    </v:shape>
                  </w:pict>
                </mc:Fallback>
              </mc:AlternateContent>
            </w:r>
          </w:p>
        </w:tc>
        <w:tc>
          <w:tcPr>
            <w:tcW w:w="7179" w:type="dxa"/>
            <w:gridSpan w:val="2"/>
            <w:shd w:val="clear" w:color="auto" w:fill="F2F2F2" w:themeFill="background1" w:themeFillShade="F2"/>
          </w:tcPr>
          <w:p w14:paraId="500AA302" w14:textId="4E367712" w:rsidR="00A84465" w:rsidRDefault="00D51FE4" w:rsidP="004A785F">
            <w:pPr>
              <w:spacing w:before="120"/>
              <w:rPr>
                <w:rFonts w:ascii="DIN OT Light" w:hAnsi="DIN OT Light"/>
                <w:sz w:val="20"/>
                <w:szCs w:val="20"/>
                <w:lang w:val="en-GB"/>
              </w:rPr>
            </w:pPr>
            <w:r>
              <w:rPr>
                <w:rFonts w:ascii="DIN OT Medium" w:hAnsi="DIN OT Medium"/>
                <w:sz w:val="20"/>
                <w:szCs w:val="20"/>
                <w:lang w:val="en-GB"/>
              </w:rPr>
              <w:t>Marginally reduced</w:t>
            </w:r>
            <w:r w:rsidR="009043DA" w:rsidRPr="00BB6DF6">
              <w:rPr>
                <w:rFonts w:ascii="DIN OT Medium" w:hAnsi="DIN OT Medium"/>
                <w:sz w:val="20"/>
                <w:szCs w:val="20"/>
                <w:lang w:val="en-GB"/>
              </w:rPr>
              <w:t>:</w:t>
            </w:r>
            <w:r w:rsidR="009043DA">
              <w:rPr>
                <w:rFonts w:ascii="DIN OT Light" w:hAnsi="DIN OT Light"/>
                <w:b/>
                <w:sz w:val="20"/>
                <w:szCs w:val="20"/>
                <w:lang w:val="en-GB"/>
              </w:rPr>
              <w:t xml:space="preserve"> </w:t>
            </w:r>
            <w:r w:rsidR="00DE71F6" w:rsidRPr="00DE71F6">
              <w:rPr>
                <w:rFonts w:ascii="DIN OT Light" w:hAnsi="DIN OT Light"/>
                <w:sz w:val="20"/>
                <w:szCs w:val="20"/>
                <w:lang w:val="en-GB"/>
              </w:rPr>
              <w:t xml:space="preserve">the </w:t>
            </w:r>
            <w:r w:rsidR="00DE71F6">
              <w:rPr>
                <w:rFonts w:ascii="DIN OT Light" w:hAnsi="DIN OT Light"/>
                <w:sz w:val="20"/>
                <w:szCs w:val="20"/>
                <w:lang w:val="en-GB"/>
              </w:rPr>
              <w:t>approaches</w:t>
            </w:r>
            <w:r w:rsidR="00DE71F6" w:rsidRPr="00DE71F6">
              <w:rPr>
                <w:rFonts w:ascii="DIN OT Light" w:hAnsi="DIN OT Light"/>
                <w:sz w:val="20"/>
                <w:szCs w:val="20"/>
                <w:lang w:val="en-GB"/>
              </w:rPr>
              <w:t xml:space="preserve"> </w:t>
            </w:r>
            <w:r w:rsidR="004A785F">
              <w:rPr>
                <w:rFonts w:ascii="DIN OT Light" w:hAnsi="DIN OT Light"/>
                <w:sz w:val="20"/>
                <w:szCs w:val="20"/>
                <w:lang w:val="en-GB"/>
              </w:rPr>
              <w:t xml:space="preserve">may </w:t>
            </w:r>
            <w:r w:rsidR="00626DA0">
              <w:rPr>
                <w:rFonts w:ascii="DIN OT Light" w:hAnsi="DIN OT Light"/>
                <w:sz w:val="20"/>
                <w:szCs w:val="20"/>
                <w:lang w:val="en-GB"/>
              </w:rPr>
              <w:t xml:space="preserve">increase complexity </w:t>
            </w:r>
            <w:r w:rsidR="00EB61DD">
              <w:rPr>
                <w:rFonts w:ascii="DIN OT Light" w:hAnsi="DIN OT Light"/>
                <w:sz w:val="20"/>
                <w:szCs w:val="20"/>
                <w:lang w:val="en-GB"/>
              </w:rPr>
              <w:t xml:space="preserve">and associated regulatory burden </w:t>
            </w:r>
            <w:r w:rsidR="00946B2A">
              <w:rPr>
                <w:rFonts w:ascii="DIN OT Light" w:hAnsi="DIN OT Light"/>
                <w:sz w:val="20"/>
                <w:szCs w:val="20"/>
                <w:lang w:val="en-GB"/>
              </w:rPr>
              <w:t>for some ADIs</w:t>
            </w:r>
            <w:r w:rsidR="00A84465" w:rsidRPr="00D51FE4">
              <w:rPr>
                <w:rFonts w:ascii="DIN OT Light" w:hAnsi="DIN OT Light"/>
                <w:sz w:val="20"/>
                <w:szCs w:val="20"/>
              </w:rPr>
              <w:t>.</w:t>
            </w:r>
          </w:p>
          <w:p w14:paraId="431C717F" w14:textId="1641D2B4" w:rsidR="00D07306" w:rsidRPr="00575CEE" w:rsidRDefault="009A0688" w:rsidP="004A60A8">
            <w:pPr>
              <w:spacing w:before="120"/>
              <w:rPr>
                <w:rFonts w:ascii="DIN OT Light" w:hAnsi="DIN OT Light"/>
                <w:sz w:val="20"/>
                <w:szCs w:val="20"/>
                <w:lang w:val="en-GB"/>
              </w:rPr>
            </w:pPr>
            <w:r>
              <w:rPr>
                <w:rFonts w:ascii="DIN OT Light" w:hAnsi="DIN OT Light"/>
                <w:sz w:val="20"/>
                <w:szCs w:val="20"/>
                <w:lang w:val="en-GB"/>
              </w:rPr>
              <w:t>However</w:t>
            </w:r>
            <w:r w:rsidR="00627C19">
              <w:rPr>
                <w:rFonts w:ascii="DIN OT Light" w:hAnsi="DIN OT Light"/>
                <w:sz w:val="20"/>
                <w:szCs w:val="20"/>
                <w:lang w:val="en-GB"/>
              </w:rPr>
              <w:t>,</w:t>
            </w:r>
            <w:r>
              <w:rPr>
                <w:rFonts w:ascii="DIN OT Light" w:hAnsi="DIN OT Light"/>
                <w:sz w:val="20"/>
                <w:szCs w:val="20"/>
                <w:lang w:val="en-GB"/>
              </w:rPr>
              <w:t xml:space="preserve"> m</w:t>
            </w:r>
            <w:r w:rsidR="00EF0AC3" w:rsidRPr="009043DA">
              <w:rPr>
                <w:rFonts w:ascii="DIN OT Light" w:hAnsi="DIN OT Light"/>
                <w:sz w:val="20"/>
                <w:szCs w:val="20"/>
                <w:lang w:val="en-GB"/>
              </w:rPr>
              <w:t>ore transparent</w:t>
            </w:r>
            <w:r w:rsidR="00EF0AC3" w:rsidRPr="00EF0AC3">
              <w:rPr>
                <w:rFonts w:ascii="DIN OT Light" w:hAnsi="DIN OT Light"/>
                <w:sz w:val="20"/>
                <w:szCs w:val="20"/>
                <w:lang w:val="en-GB"/>
              </w:rPr>
              <w:t xml:space="preserve"> and internationally comparable ADI capital ratios </w:t>
            </w:r>
            <w:r w:rsidR="0000677E">
              <w:rPr>
                <w:rFonts w:ascii="DIN OT Light" w:hAnsi="DIN OT Light"/>
                <w:sz w:val="20"/>
                <w:szCs w:val="20"/>
                <w:lang w:val="en-GB"/>
              </w:rPr>
              <w:t>may</w:t>
            </w:r>
            <w:r w:rsidR="004A785F">
              <w:rPr>
                <w:rFonts w:ascii="DIN OT Light" w:hAnsi="DIN OT Light"/>
                <w:sz w:val="20"/>
                <w:szCs w:val="20"/>
                <w:lang w:val="en-GB"/>
              </w:rPr>
              <w:t xml:space="preserve"> </w:t>
            </w:r>
            <w:r w:rsidR="00575CEE">
              <w:rPr>
                <w:rFonts w:ascii="DIN OT Light" w:hAnsi="DIN OT Light"/>
                <w:sz w:val="20"/>
                <w:szCs w:val="20"/>
                <w:lang w:val="en-GB"/>
              </w:rPr>
              <w:t xml:space="preserve">improve </w:t>
            </w:r>
            <w:r w:rsidR="00CF7C40">
              <w:rPr>
                <w:rFonts w:ascii="DIN OT Light" w:hAnsi="DIN OT Light"/>
                <w:sz w:val="20"/>
                <w:szCs w:val="20"/>
                <w:lang w:val="en-GB"/>
              </w:rPr>
              <w:t xml:space="preserve">ADI </w:t>
            </w:r>
            <w:r w:rsidR="00EF0AC3" w:rsidRPr="00EF0AC3">
              <w:rPr>
                <w:rFonts w:ascii="DIN OT Light" w:hAnsi="DIN OT Light"/>
                <w:sz w:val="20"/>
                <w:szCs w:val="20"/>
                <w:lang w:val="en-GB"/>
              </w:rPr>
              <w:t xml:space="preserve">access </w:t>
            </w:r>
            <w:r w:rsidR="0000677E">
              <w:rPr>
                <w:rFonts w:ascii="DIN OT Light" w:hAnsi="DIN OT Light"/>
                <w:sz w:val="20"/>
                <w:szCs w:val="20"/>
                <w:lang w:val="en-GB"/>
              </w:rPr>
              <w:t xml:space="preserve">to </w:t>
            </w:r>
            <w:r w:rsidR="00EF0AC3" w:rsidRPr="00EF0AC3">
              <w:rPr>
                <w:rFonts w:ascii="DIN OT Light" w:hAnsi="DIN OT Light"/>
                <w:sz w:val="20"/>
                <w:szCs w:val="20"/>
                <w:lang w:val="en-GB"/>
              </w:rPr>
              <w:t>international funding markets</w:t>
            </w:r>
            <w:r w:rsidR="00D51FE4">
              <w:rPr>
                <w:rFonts w:ascii="DIN OT Light" w:hAnsi="DIN OT Light"/>
                <w:sz w:val="20"/>
                <w:szCs w:val="20"/>
                <w:lang w:val="en-GB"/>
              </w:rPr>
              <w:t>.</w:t>
            </w:r>
          </w:p>
        </w:tc>
      </w:tr>
      <w:tr w:rsidR="00D07306" w:rsidRPr="00436774" w14:paraId="1BED46EC" w14:textId="77777777" w:rsidTr="004A3668">
        <w:tc>
          <w:tcPr>
            <w:tcW w:w="1837" w:type="dxa"/>
            <w:shd w:val="clear" w:color="auto" w:fill="00B0F0"/>
          </w:tcPr>
          <w:p w14:paraId="26A2AD5F" w14:textId="77777777" w:rsidR="00014FAB" w:rsidRDefault="00D07306" w:rsidP="003F758E">
            <w:pPr>
              <w:spacing w:before="120" w:after="120"/>
              <w:jc w:val="center"/>
              <w:rPr>
                <w:rFonts w:ascii="DIN OT Medium" w:hAnsi="DIN OT Medium"/>
                <w:color w:val="FFFFFF" w:themeColor="background1"/>
                <w:sz w:val="20"/>
                <w:szCs w:val="20"/>
              </w:rPr>
            </w:pPr>
            <w:r w:rsidRPr="009855EE">
              <w:rPr>
                <w:rFonts w:ascii="DIN OT Medium" w:hAnsi="DIN OT Medium"/>
                <w:color w:val="FFFFFF" w:themeColor="background1"/>
                <w:sz w:val="20"/>
                <w:szCs w:val="20"/>
              </w:rPr>
              <w:t>Competition</w:t>
            </w:r>
            <w:r w:rsidRPr="0073165A">
              <w:rPr>
                <w:rFonts w:ascii="DIN OT Light" w:hAnsi="DIN OT Light"/>
                <w:color w:val="FFFFFF" w:themeColor="background1"/>
                <w:sz w:val="20"/>
                <w:szCs w:val="20"/>
              </w:rPr>
              <w:br/>
            </w:r>
            <w:r w:rsidR="00014FAB">
              <w:rPr>
                <w:rFonts w:ascii="DIN OT Light" w:hAnsi="DIN OT Light"/>
                <w:noProof/>
                <w:color w:val="FFFFFF" w:themeColor="background1"/>
                <w:sz w:val="20"/>
                <w:szCs w:val="20"/>
                <w:lang w:eastAsia="en-AU"/>
              </w:rPr>
              <mc:AlternateContent>
                <mc:Choice Requires="wps">
                  <w:drawing>
                    <wp:inline distT="0" distB="0" distL="0" distR="0" wp14:anchorId="4DFA0BD6" wp14:editId="0CA4DDD9">
                      <wp:extent cx="396000" cy="180000"/>
                      <wp:effectExtent l="0" t="0" r="23495" b="10795"/>
                      <wp:docPr id="18" name="Left-Right Arrow 18"/>
                      <wp:cNvGraphicFramePr/>
                      <a:graphic xmlns:a="http://schemas.openxmlformats.org/drawingml/2006/main">
                        <a:graphicData uri="http://schemas.microsoft.com/office/word/2010/wordprocessingShape">
                          <wps:wsp>
                            <wps:cNvSpPr/>
                            <wps:spPr>
                              <a:xfrm>
                                <a:off x="0" y="0"/>
                                <a:ext cx="396000" cy="180000"/>
                              </a:xfrm>
                              <a:prstGeom prst="leftRightArrow">
                                <a:avLst>
                                  <a:gd name="adj1" fmla="val 43724"/>
                                  <a:gd name="adj2" fmla="val 50000"/>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A30B2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8" o:spid="_x0000_s1026" type="#_x0000_t69" style="width:31.2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" adj="4909,6078" fillcolor="window" strokecolor="window" strokeweight="2pt">
                      <w10:anchorlock/>
                    </v:shape>
                  </w:pict>
                </mc:Fallback>
              </mc:AlternateContent>
            </w:r>
          </w:p>
          <w:p w14:paraId="49E1D13B" w14:textId="77777777" w:rsidR="00D07306" w:rsidRPr="0073165A" w:rsidRDefault="00D07306" w:rsidP="003F758E">
            <w:pPr>
              <w:spacing w:before="120" w:after="120"/>
              <w:jc w:val="center"/>
              <w:rPr>
                <w:rFonts w:ascii="DIN OT Light" w:hAnsi="DIN OT Light"/>
                <w:sz w:val="20"/>
                <w:szCs w:val="20"/>
              </w:rPr>
            </w:pPr>
          </w:p>
        </w:tc>
        <w:tc>
          <w:tcPr>
            <w:tcW w:w="7179" w:type="dxa"/>
            <w:gridSpan w:val="2"/>
            <w:shd w:val="clear" w:color="auto" w:fill="F2F2F2" w:themeFill="background1" w:themeFillShade="F2"/>
          </w:tcPr>
          <w:p w14:paraId="7724955A" w14:textId="63BE1CB8" w:rsidR="001A7C12" w:rsidRPr="00EF0AC3" w:rsidRDefault="006B3D00" w:rsidP="006B3D00">
            <w:pPr>
              <w:pStyle w:val="APRANORMAL"/>
              <w:spacing w:before="120"/>
              <w:rPr>
                <w:sz w:val="20"/>
                <w:szCs w:val="20"/>
              </w:rPr>
            </w:pPr>
            <w:r>
              <w:rPr>
                <w:rFonts w:ascii="DIN OT Medium" w:hAnsi="DIN OT Medium"/>
                <w:sz w:val="20"/>
                <w:szCs w:val="20"/>
              </w:rPr>
              <w:t>No material change</w:t>
            </w:r>
            <w:r w:rsidR="009043DA" w:rsidRPr="00BB6DF6">
              <w:rPr>
                <w:rFonts w:ascii="DIN OT Medium" w:hAnsi="DIN OT Medium"/>
                <w:sz w:val="20"/>
                <w:szCs w:val="20"/>
              </w:rPr>
              <w:t>:</w:t>
            </w:r>
            <w:r w:rsidR="00014FAB">
              <w:rPr>
                <w:sz w:val="20"/>
                <w:szCs w:val="20"/>
              </w:rPr>
              <w:t xml:space="preserve"> no</w:t>
            </w:r>
            <w:r w:rsidR="00007EFD">
              <w:rPr>
                <w:sz w:val="20"/>
                <w:szCs w:val="20"/>
              </w:rPr>
              <w:t xml:space="preserve"> likely</w:t>
            </w:r>
            <w:r w:rsidR="00014FAB">
              <w:rPr>
                <w:sz w:val="20"/>
                <w:szCs w:val="20"/>
              </w:rPr>
              <w:t xml:space="preserve"> impact on the competitive landscape </w:t>
            </w:r>
            <w:r w:rsidR="00787384">
              <w:rPr>
                <w:sz w:val="20"/>
                <w:szCs w:val="20"/>
              </w:rPr>
              <w:t>(</w:t>
            </w:r>
            <w:r>
              <w:rPr>
                <w:sz w:val="20"/>
                <w:szCs w:val="20"/>
              </w:rPr>
              <w:t>noting that</w:t>
            </w:r>
            <w:r w:rsidR="00787384">
              <w:rPr>
                <w:sz w:val="20"/>
                <w:szCs w:val="20"/>
              </w:rPr>
              <w:t xml:space="preserve"> any increased regulatory burden would </w:t>
            </w:r>
            <w:r w:rsidR="00AD47E8">
              <w:rPr>
                <w:sz w:val="20"/>
                <w:szCs w:val="20"/>
              </w:rPr>
              <w:t xml:space="preserve">primarily </w:t>
            </w:r>
            <w:r w:rsidR="00787384">
              <w:rPr>
                <w:sz w:val="20"/>
                <w:szCs w:val="20"/>
              </w:rPr>
              <w:t>fall o</w:t>
            </w:r>
            <w:r w:rsidR="001900DF">
              <w:rPr>
                <w:sz w:val="20"/>
                <w:szCs w:val="20"/>
              </w:rPr>
              <w:t>n</w:t>
            </w:r>
            <w:r w:rsidR="00787384">
              <w:rPr>
                <w:sz w:val="20"/>
                <w:szCs w:val="20"/>
              </w:rPr>
              <w:t xml:space="preserve"> large ADIs).</w:t>
            </w:r>
            <w:r w:rsidR="00EE16C5">
              <w:rPr>
                <w:sz w:val="20"/>
                <w:szCs w:val="20"/>
              </w:rPr>
              <w:t xml:space="preserve"> </w:t>
            </w:r>
            <w:r w:rsidR="00E42A91">
              <w:rPr>
                <w:sz w:val="20"/>
                <w:szCs w:val="20"/>
              </w:rPr>
              <w:t>However</w:t>
            </w:r>
            <w:r w:rsidR="009677F7">
              <w:rPr>
                <w:sz w:val="20"/>
                <w:szCs w:val="20"/>
              </w:rPr>
              <w:t>,</w:t>
            </w:r>
            <w:r w:rsidR="00E42A91">
              <w:rPr>
                <w:sz w:val="20"/>
                <w:szCs w:val="20"/>
              </w:rPr>
              <w:t xml:space="preserve"> improved understanding of the comparative capital strength </w:t>
            </w:r>
            <w:r w:rsidR="00500720">
              <w:rPr>
                <w:sz w:val="20"/>
                <w:szCs w:val="20"/>
              </w:rPr>
              <w:t xml:space="preserve">of IRB ADIs against standardised ADIs may </w:t>
            </w:r>
            <w:r w:rsidR="00E42A91">
              <w:rPr>
                <w:sz w:val="20"/>
                <w:szCs w:val="20"/>
              </w:rPr>
              <w:t>enhance domestic market discipline</w:t>
            </w:r>
            <w:r w:rsidR="007B6E4B">
              <w:rPr>
                <w:sz w:val="20"/>
                <w:szCs w:val="20"/>
              </w:rPr>
              <w:t>.</w:t>
            </w:r>
            <w:r w:rsidR="00E42A91">
              <w:rPr>
                <w:sz w:val="20"/>
                <w:szCs w:val="20"/>
              </w:rPr>
              <w:t xml:space="preserve"> </w:t>
            </w:r>
          </w:p>
        </w:tc>
      </w:tr>
      <w:tr w:rsidR="00D07306" w:rsidRPr="00436774" w14:paraId="43D51A38" w14:textId="77777777" w:rsidTr="004A3668">
        <w:tc>
          <w:tcPr>
            <w:tcW w:w="1837" w:type="dxa"/>
            <w:shd w:val="clear" w:color="auto" w:fill="00B0F0"/>
          </w:tcPr>
          <w:p w14:paraId="78C69AB5" w14:textId="77777777" w:rsidR="00D07306" w:rsidRPr="0073165A" w:rsidRDefault="00D07306" w:rsidP="008B5FB6">
            <w:pPr>
              <w:spacing w:before="120" w:after="120"/>
              <w:jc w:val="center"/>
              <w:rPr>
                <w:rFonts w:ascii="DIN OT Light" w:hAnsi="DIN OT Light"/>
                <w:sz w:val="20"/>
                <w:szCs w:val="20"/>
              </w:rPr>
            </w:pPr>
            <w:r w:rsidRPr="009855EE">
              <w:rPr>
                <w:rFonts w:ascii="DIN OT Medium" w:hAnsi="DIN OT Medium"/>
                <w:color w:val="FFFFFF" w:themeColor="background1"/>
                <w:sz w:val="20"/>
                <w:szCs w:val="20"/>
              </w:rPr>
              <w:t>Contestability</w:t>
            </w:r>
            <w:r w:rsidRPr="0073165A">
              <w:rPr>
                <w:rFonts w:ascii="DIN OT Light" w:hAnsi="DIN OT Light"/>
                <w:color w:val="FFFFFF" w:themeColor="background1"/>
                <w:sz w:val="20"/>
                <w:szCs w:val="20"/>
              </w:rPr>
              <w:br/>
            </w:r>
            <w:r w:rsidR="00EF0AC3">
              <w:rPr>
                <w:rFonts w:ascii="DIN OT Light" w:hAnsi="DIN OT Light"/>
                <w:noProof/>
                <w:color w:val="FFFFFF" w:themeColor="background1"/>
                <w:sz w:val="20"/>
                <w:szCs w:val="20"/>
                <w:lang w:eastAsia="en-AU"/>
              </w:rPr>
              <mc:AlternateContent>
                <mc:Choice Requires="wps">
                  <w:drawing>
                    <wp:inline distT="0" distB="0" distL="0" distR="0" wp14:anchorId="51D411B4" wp14:editId="3AD0ECE7">
                      <wp:extent cx="396000" cy="180000"/>
                      <wp:effectExtent l="0" t="0" r="23495" b="10795"/>
                      <wp:docPr id="14" name="Left-Right Arrow 14"/>
                      <wp:cNvGraphicFramePr/>
                      <a:graphic xmlns:a="http://schemas.openxmlformats.org/drawingml/2006/main">
                        <a:graphicData uri="http://schemas.microsoft.com/office/word/2010/wordprocessingShape">
                          <wps:wsp>
                            <wps:cNvSpPr/>
                            <wps:spPr>
                              <a:xfrm>
                                <a:off x="0" y="0"/>
                                <a:ext cx="396000" cy="180000"/>
                              </a:xfrm>
                              <a:prstGeom prst="leftRightArrow">
                                <a:avLst>
                                  <a:gd name="adj1" fmla="val 43724"/>
                                  <a:gd name="adj2"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BD069" id="Left-Right Arrow 14" o:spid="_x0000_s1026" type="#_x0000_t69" style="width:31.2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" adj="4909,6078" fillcolor="white [3212]" strokecolor="white [3212]" strokeweight="2pt">
                      <w10:anchorlock/>
                    </v:shape>
                  </w:pict>
                </mc:Fallback>
              </mc:AlternateContent>
            </w:r>
          </w:p>
        </w:tc>
        <w:tc>
          <w:tcPr>
            <w:tcW w:w="7179" w:type="dxa"/>
            <w:gridSpan w:val="2"/>
            <w:shd w:val="clear" w:color="auto" w:fill="F2F2F2" w:themeFill="background1" w:themeFillShade="F2"/>
          </w:tcPr>
          <w:p w14:paraId="7629FCD3" w14:textId="2D9048BB" w:rsidR="00D07306" w:rsidRPr="00EF0AC3" w:rsidRDefault="0076689D" w:rsidP="00787384">
            <w:pPr>
              <w:pStyle w:val="APRANORMAL"/>
              <w:spacing w:before="120"/>
              <w:rPr>
                <w:sz w:val="20"/>
                <w:szCs w:val="20"/>
              </w:rPr>
            </w:pPr>
            <w:r w:rsidRPr="00BB6DF6">
              <w:rPr>
                <w:rFonts w:ascii="DIN OT Medium" w:hAnsi="DIN OT Medium"/>
                <w:sz w:val="20"/>
                <w:szCs w:val="20"/>
              </w:rPr>
              <w:t>No material change:</w:t>
            </w:r>
            <w:r>
              <w:rPr>
                <w:b/>
                <w:sz w:val="20"/>
                <w:szCs w:val="20"/>
              </w:rPr>
              <w:t xml:space="preserve"> </w:t>
            </w:r>
            <w:r>
              <w:rPr>
                <w:sz w:val="20"/>
                <w:szCs w:val="20"/>
              </w:rPr>
              <w:t>t</w:t>
            </w:r>
            <w:r w:rsidR="00EF0AC3" w:rsidRPr="00EF0AC3">
              <w:rPr>
                <w:sz w:val="20"/>
                <w:szCs w:val="20"/>
              </w:rPr>
              <w:t xml:space="preserve">he </w:t>
            </w:r>
            <w:r w:rsidR="001032DC">
              <w:rPr>
                <w:sz w:val="20"/>
                <w:szCs w:val="20"/>
              </w:rPr>
              <w:t>approaches</w:t>
            </w:r>
            <w:r w:rsidR="001032DC" w:rsidRPr="00EF0AC3">
              <w:rPr>
                <w:sz w:val="20"/>
                <w:szCs w:val="20"/>
              </w:rPr>
              <w:t xml:space="preserve"> </w:t>
            </w:r>
            <w:r w:rsidR="00EF0AC3" w:rsidRPr="00EF0AC3">
              <w:rPr>
                <w:sz w:val="20"/>
                <w:szCs w:val="20"/>
              </w:rPr>
              <w:t xml:space="preserve">in this paper </w:t>
            </w:r>
            <w:r w:rsidR="00FB586B">
              <w:rPr>
                <w:sz w:val="20"/>
                <w:szCs w:val="20"/>
              </w:rPr>
              <w:t>ha</w:t>
            </w:r>
            <w:r w:rsidR="006129A1">
              <w:rPr>
                <w:sz w:val="20"/>
                <w:szCs w:val="20"/>
              </w:rPr>
              <w:t>ve</w:t>
            </w:r>
            <w:r w:rsidR="00FB586B">
              <w:rPr>
                <w:sz w:val="20"/>
                <w:szCs w:val="20"/>
              </w:rPr>
              <w:t xml:space="preserve"> no </w:t>
            </w:r>
            <w:r w:rsidR="00EF0AC3" w:rsidRPr="00EF0AC3">
              <w:rPr>
                <w:sz w:val="20"/>
                <w:szCs w:val="20"/>
              </w:rPr>
              <w:t xml:space="preserve">impact </w:t>
            </w:r>
            <w:r w:rsidR="00FB586B">
              <w:rPr>
                <w:sz w:val="20"/>
                <w:szCs w:val="20"/>
              </w:rPr>
              <w:t xml:space="preserve">on </w:t>
            </w:r>
            <w:r w:rsidR="00EF0AC3" w:rsidRPr="00EF0AC3">
              <w:rPr>
                <w:sz w:val="20"/>
                <w:szCs w:val="20"/>
              </w:rPr>
              <w:t xml:space="preserve">the ability of new entrants to enter the </w:t>
            </w:r>
            <w:r w:rsidR="0047455C">
              <w:rPr>
                <w:sz w:val="20"/>
                <w:szCs w:val="20"/>
              </w:rPr>
              <w:t>banking industry</w:t>
            </w:r>
            <w:r w:rsidR="00EF0AC3" w:rsidRPr="00EF0AC3">
              <w:rPr>
                <w:sz w:val="20"/>
                <w:szCs w:val="20"/>
              </w:rPr>
              <w:t xml:space="preserve">. </w:t>
            </w:r>
            <w:r w:rsidR="00E11302">
              <w:rPr>
                <w:sz w:val="20"/>
                <w:szCs w:val="20"/>
              </w:rPr>
              <w:t xml:space="preserve">  </w:t>
            </w:r>
          </w:p>
        </w:tc>
      </w:tr>
      <w:tr w:rsidR="00D07306" w:rsidRPr="00436774" w14:paraId="5B6C06C1" w14:textId="77777777" w:rsidTr="004A3668">
        <w:tc>
          <w:tcPr>
            <w:tcW w:w="1837" w:type="dxa"/>
            <w:shd w:val="clear" w:color="auto" w:fill="00B0F0"/>
          </w:tcPr>
          <w:p w14:paraId="615BC204" w14:textId="77777777" w:rsidR="00D07306" w:rsidRPr="00F10DDE" w:rsidRDefault="00D07306" w:rsidP="003F758E">
            <w:pPr>
              <w:spacing w:before="120" w:after="120"/>
              <w:jc w:val="center"/>
              <w:rPr>
                <w:rFonts w:ascii="DIN OT Light" w:hAnsi="DIN OT Light"/>
                <w:color w:val="FFFFFF" w:themeColor="background1"/>
                <w:sz w:val="20"/>
                <w:szCs w:val="20"/>
                <w:lang w:eastAsia="en-AU"/>
              </w:rPr>
            </w:pPr>
            <w:r w:rsidRPr="009855EE">
              <w:rPr>
                <w:rFonts w:ascii="DIN OT Medium" w:hAnsi="DIN OT Medium"/>
                <w:color w:val="FFFFFF" w:themeColor="background1"/>
                <w:sz w:val="20"/>
                <w:szCs w:val="20"/>
              </w:rPr>
              <w:lastRenderedPageBreak/>
              <w:t>Competitive Neutrality</w:t>
            </w:r>
            <w:r w:rsidRPr="0073165A">
              <w:rPr>
                <w:rFonts w:ascii="DIN OT Light" w:hAnsi="DIN OT Light"/>
                <w:color w:val="FFFFFF" w:themeColor="background1"/>
                <w:sz w:val="20"/>
                <w:szCs w:val="20"/>
              </w:rPr>
              <w:br/>
            </w:r>
            <w:r w:rsidR="00EF0AC3">
              <w:rPr>
                <w:rFonts w:ascii="DIN OT Light" w:hAnsi="DIN OT Light"/>
                <w:noProof/>
                <w:color w:val="FFFFFF" w:themeColor="background1"/>
                <w:sz w:val="20"/>
                <w:szCs w:val="20"/>
                <w:lang w:eastAsia="en-AU"/>
              </w:rPr>
              <mc:AlternateContent>
                <mc:Choice Requires="wps">
                  <w:drawing>
                    <wp:inline distT="0" distB="0" distL="0" distR="0" wp14:anchorId="2B400998" wp14:editId="7C1D37F3">
                      <wp:extent cx="396000" cy="180000"/>
                      <wp:effectExtent l="0" t="0" r="23495" b="10795"/>
                      <wp:docPr id="3" name="Left-Right Arrow 3"/>
                      <wp:cNvGraphicFramePr/>
                      <a:graphic xmlns:a="http://schemas.openxmlformats.org/drawingml/2006/main">
                        <a:graphicData uri="http://schemas.microsoft.com/office/word/2010/wordprocessingShape">
                          <wps:wsp>
                            <wps:cNvSpPr/>
                            <wps:spPr>
                              <a:xfrm>
                                <a:off x="0" y="0"/>
                                <a:ext cx="396000" cy="180000"/>
                              </a:xfrm>
                              <a:prstGeom prst="leftRightArrow">
                                <a:avLst>
                                  <a:gd name="adj1" fmla="val 43724"/>
                                  <a:gd name="adj2"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FACC0" id="Left-Right Arrow 3" o:spid="_x0000_s1026" type="#_x0000_t69" style="width:31.2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" adj="4909,6078" fillcolor="white [3212]" strokecolor="white [3212]" strokeweight="2pt">
                      <w10:anchorlock/>
                    </v:shape>
                  </w:pict>
                </mc:Fallback>
              </mc:AlternateContent>
            </w:r>
          </w:p>
        </w:tc>
        <w:tc>
          <w:tcPr>
            <w:tcW w:w="7179" w:type="dxa"/>
            <w:gridSpan w:val="2"/>
            <w:shd w:val="clear" w:color="auto" w:fill="F2F2F2" w:themeFill="background1" w:themeFillShade="F2"/>
          </w:tcPr>
          <w:p w14:paraId="182EEDF8" w14:textId="77777777" w:rsidR="00D07306" w:rsidRPr="00EF0AC3" w:rsidRDefault="009043DA" w:rsidP="001032DC">
            <w:pPr>
              <w:pStyle w:val="APRANORMAL"/>
              <w:spacing w:before="120"/>
              <w:rPr>
                <w:sz w:val="20"/>
                <w:szCs w:val="20"/>
              </w:rPr>
            </w:pPr>
            <w:r w:rsidRPr="00BB6DF6">
              <w:rPr>
                <w:rFonts w:ascii="DIN OT Medium" w:hAnsi="DIN OT Medium"/>
                <w:sz w:val="20"/>
                <w:szCs w:val="20"/>
              </w:rPr>
              <w:t>No material change:</w:t>
            </w:r>
            <w:r>
              <w:rPr>
                <w:b/>
                <w:sz w:val="20"/>
                <w:szCs w:val="20"/>
              </w:rPr>
              <w:t xml:space="preserve"> </w:t>
            </w:r>
            <w:r w:rsidR="0047455C">
              <w:rPr>
                <w:sz w:val="20"/>
                <w:szCs w:val="20"/>
              </w:rPr>
              <w:t xml:space="preserve">the </w:t>
            </w:r>
            <w:r w:rsidR="001032DC">
              <w:rPr>
                <w:sz w:val="20"/>
                <w:szCs w:val="20"/>
              </w:rPr>
              <w:t xml:space="preserve">approaches </w:t>
            </w:r>
            <w:r w:rsidR="00C62BF1">
              <w:rPr>
                <w:sz w:val="20"/>
                <w:szCs w:val="20"/>
              </w:rPr>
              <w:t xml:space="preserve">in this paper have no impact on competitive neutrality. </w:t>
            </w:r>
          </w:p>
        </w:tc>
      </w:tr>
    </w:tbl>
    <w:p w14:paraId="5A4BF4C6" w14:textId="77777777" w:rsidR="00F54DB2" w:rsidRDefault="00CD31AE" w:rsidP="00327401">
      <w:pPr>
        <w:pStyle w:val="APRAHEADING1"/>
      </w:pPr>
      <w:bookmarkStart w:id="109" w:name="_Toc497403366"/>
      <w:bookmarkStart w:id="110" w:name="_Toc497409654"/>
      <w:bookmarkStart w:id="111" w:name="_Toc497409766"/>
      <w:bookmarkStart w:id="112" w:name="_Toc497409839"/>
      <w:bookmarkStart w:id="113" w:name="_Toc497473654"/>
      <w:r>
        <w:lastRenderedPageBreak/>
        <w:t xml:space="preserve"> </w:t>
      </w:r>
      <w:bookmarkStart w:id="114" w:name="_Toc510595661"/>
      <w:bookmarkStart w:id="115" w:name="_Toc510689494"/>
      <w:bookmarkStart w:id="116" w:name="_Toc510690472"/>
      <w:bookmarkStart w:id="117" w:name="_Toc514172192"/>
      <w:bookmarkStart w:id="118" w:name="_Toc518658245"/>
      <w:bookmarkStart w:id="119" w:name="_Toc521401217"/>
      <w:bookmarkStart w:id="120" w:name="_Toc521508291"/>
      <w:bookmarkStart w:id="121" w:name="_Toc521932764"/>
      <w:r>
        <w:t>–</w:t>
      </w:r>
      <w:bookmarkStart w:id="122" w:name="_Toc508653009"/>
      <w:r>
        <w:t xml:space="preserve"> </w:t>
      </w:r>
      <w:r w:rsidR="00F54DB2">
        <w:t xml:space="preserve">Options </w:t>
      </w:r>
      <w:r w:rsidR="000A6AD3">
        <w:t>to</w:t>
      </w:r>
      <w:r>
        <w:t xml:space="preserve"> </w:t>
      </w:r>
      <w:r w:rsidR="000A6AD3">
        <w:t>improve</w:t>
      </w:r>
      <w:r w:rsidR="00F54DB2">
        <w:t xml:space="preserve"> transparen</w:t>
      </w:r>
      <w:r w:rsidR="000A6AD3">
        <w:t xml:space="preserve">cy and </w:t>
      </w:r>
      <w:r w:rsidR="00F54DB2">
        <w:t>comparab</w:t>
      </w:r>
      <w:r w:rsidR="000A6AD3">
        <w:t>ility</w:t>
      </w:r>
      <w:r w:rsidR="00F54DB2">
        <w:t xml:space="preserve"> </w:t>
      </w:r>
      <w:r w:rsidR="000A6AD3">
        <w:t xml:space="preserve">of </w:t>
      </w:r>
      <w:r w:rsidR="00F54DB2">
        <w:t xml:space="preserve">capital </w:t>
      </w:r>
      <w:bookmarkEnd w:id="109"/>
      <w:bookmarkEnd w:id="110"/>
      <w:bookmarkEnd w:id="111"/>
      <w:bookmarkEnd w:id="112"/>
      <w:bookmarkEnd w:id="113"/>
      <w:bookmarkEnd w:id="122"/>
      <w:r w:rsidR="000A6AD3">
        <w:t>ratios</w:t>
      </w:r>
      <w:bookmarkEnd w:id="114"/>
      <w:bookmarkEnd w:id="115"/>
      <w:bookmarkEnd w:id="116"/>
      <w:bookmarkEnd w:id="117"/>
      <w:bookmarkEnd w:id="118"/>
      <w:bookmarkEnd w:id="119"/>
      <w:bookmarkEnd w:id="120"/>
      <w:bookmarkEnd w:id="121"/>
    </w:p>
    <w:p w14:paraId="2EFA47E4" w14:textId="50939EA8" w:rsidR="008D7085" w:rsidRDefault="00E92D5D" w:rsidP="002F1A1E">
      <w:pPr>
        <w:pStyle w:val="APRANORMAL"/>
      </w:pPr>
      <w:r>
        <w:t xml:space="preserve">APRA is considering </w:t>
      </w:r>
      <w:r w:rsidR="008D7085">
        <w:t>options</w:t>
      </w:r>
      <w:r>
        <w:t xml:space="preserve"> to </w:t>
      </w:r>
      <w:r w:rsidR="00C66763">
        <w:t>modify</w:t>
      </w:r>
      <w:r w:rsidR="00F54DB2">
        <w:t xml:space="preserve"> the </w:t>
      </w:r>
      <w:r w:rsidR="001032DC">
        <w:t xml:space="preserve">ADI </w:t>
      </w:r>
      <w:r w:rsidR="00F54DB2">
        <w:t xml:space="preserve">capital framework </w:t>
      </w:r>
      <w:r w:rsidR="00117D4F">
        <w:t>to improve transparency and comparability</w:t>
      </w:r>
      <w:r w:rsidR="0082630F">
        <w:t xml:space="preserve"> of </w:t>
      </w:r>
      <w:r w:rsidR="00E628A4">
        <w:t xml:space="preserve">reported </w:t>
      </w:r>
      <w:r w:rsidR="0082630F">
        <w:t>capital ratios</w:t>
      </w:r>
      <w:r w:rsidR="00E628A4">
        <w:t xml:space="preserve">. </w:t>
      </w:r>
      <w:r w:rsidR="00086C4E">
        <w:t xml:space="preserve">The </w:t>
      </w:r>
      <w:r w:rsidR="00E628A4">
        <w:t xml:space="preserve">main </w:t>
      </w:r>
      <w:r w:rsidR="00FF05F9">
        <w:t xml:space="preserve">conceptual </w:t>
      </w:r>
      <w:r w:rsidR="00086C4E">
        <w:t>approaches APRA is considering and seeking feedback on are</w:t>
      </w:r>
      <w:r w:rsidR="008D7085">
        <w:t>:</w:t>
      </w:r>
    </w:p>
    <w:p w14:paraId="52A4C840" w14:textId="12860062" w:rsidR="008D7085" w:rsidRDefault="008D7085" w:rsidP="003B0C65">
      <w:pPr>
        <w:pStyle w:val="APRABULLET"/>
      </w:pPr>
      <w:r>
        <w:t xml:space="preserve">developing more consistent disclosures without modifying the underlying </w:t>
      </w:r>
      <w:r w:rsidR="0063398A">
        <w:t>capital</w:t>
      </w:r>
      <w:r>
        <w:t xml:space="preserve"> framework; and</w:t>
      </w:r>
    </w:p>
    <w:p w14:paraId="16A31199" w14:textId="47D2CEF3" w:rsidR="006C3A79" w:rsidRDefault="008D7085" w:rsidP="003B0C65">
      <w:pPr>
        <w:pStyle w:val="APRABULLET"/>
      </w:pPr>
      <w:r>
        <w:t>modifying the capital framework by adjusting the methodology for calculating capital ratios</w:t>
      </w:r>
      <w:r w:rsidR="00086C4E">
        <w:t xml:space="preserve">. </w:t>
      </w:r>
    </w:p>
    <w:p w14:paraId="08E6E5F7" w14:textId="286BC17D" w:rsidR="008D7085" w:rsidRDefault="008D7085" w:rsidP="0091575B">
      <w:pPr>
        <w:pStyle w:val="APRANORMAL"/>
      </w:pPr>
      <w:r>
        <w:t>These options are not mutually exclusive, and there is potential for both</w:t>
      </w:r>
      <w:r w:rsidR="00A1042C">
        <w:t xml:space="preserve"> </w:t>
      </w:r>
      <w:r w:rsidR="00932322">
        <w:t xml:space="preserve">approaches </w:t>
      </w:r>
      <w:r>
        <w:t>to be adopted</w:t>
      </w:r>
      <w:r w:rsidR="00A1042C">
        <w:t xml:space="preserve"> and applied </w:t>
      </w:r>
      <w:r w:rsidR="00A17F3E">
        <w:t xml:space="preserve">in </w:t>
      </w:r>
      <w:r w:rsidR="00A1042C">
        <w:t>different a</w:t>
      </w:r>
      <w:r w:rsidR="00DC7ED4">
        <w:t>rea</w:t>
      </w:r>
      <w:r w:rsidR="00A1042C">
        <w:t>s</w:t>
      </w:r>
      <w:r>
        <w:t>.</w:t>
      </w:r>
    </w:p>
    <w:p w14:paraId="1D10DDDE" w14:textId="65A1AE1D" w:rsidR="0091575B" w:rsidRDefault="00E628A4" w:rsidP="0091575B">
      <w:pPr>
        <w:pStyle w:val="APRANORMAL"/>
      </w:pPr>
      <w:r>
        <w:t xml:space="preserve">APRA considers there </w:t>
      </w:r>
      <w:r w:rsidR="008D7085">
        <w:t>can</w:t>
      </w:r>
      <w:r>
        <w:t xml:space="preserve"> be benefits for </w:t>
      </w:r>
      <w:r w:rsidR="00086C4E">
        <w:t xml:space="preserve">ADIs from </w:t>
      </w:r>
      <w:r w:rsidR="0091575B">
        <w:t>enhanc</w:t>
      </w:r>
      <w:r w:rsidR="00086C4E">
        <w:t xml:space="preserve">ed </w:t>
      </w:r>
      <w:r w:rsidR="0091575B">
        <w:t xml:space="preserve">transparency and public understanding of </w:t>
      </w:r>
      <w:r w:rsidR="0091575B" w:rsidRPr="005304A2">
        <w:t>their capital strength</w:t>
      </w:r>
      <w:r w:rsidR="0091575B">
        <w:t>.</w:t>
      </w:r>
      <w:r w:rsidR="0091575B" w:rsidRPr="005304A2">
        <w:t xml:space="preserve"> </w:t>
      </w:r>
      <w:r w:rsidR="0091575B">
        <w:t xml:space="preserve">However, </w:t>
      </w:r>
      <w:r w:rsidR="008D7085">
        <w:t xml:space="preserve">achieving these benefits – using either of the broad approaches above – may </w:t>
      </w:r>
      <w:r w:rsidR="003B0C65">
        <w:t xml:space="preserve">increase operational complexity in capital management and regulatory reporting burden. </w:t>
      </w:r>
      <w:r w:rsidR="00C8680F">
        <w:t>Further</w:t>
      </w:r>
      <w:r w:rsidR="00260E38">
        <w:t xml:space="preserve">, as </w:t>
      </w:r>
      <w:r w:rsidR="00474108">
        <w:t xml:space="preserve">the </w:t>
      </w:r>
      <w:r w:rsidR="009C4AA1">
        <w:t>approaches</w:t>
      </w:r>
      <w:r w:rsidR="00474108">
        <w:t xml:space="preserve"> </w:t>
      </w:r>
      <w:r w:rsidR="005E1AD1">
        <w:t xml:space="preserve">being contemplated </w:t>
      </w:r>
      <w:r w:rsidR="00474108">
        <w:t>will have</w:t>
      </w:r>
      <w:r w:rsidR="00260E38">
        <w:t xml:space="preserve"> a considerably smaller impact on capital ratios for standardised ADIs than for IRB ADIs,</w:t>
      </w:r>
      <w:r w:rsidR="0091575B">
        <w:t xml:space="preserve"> APRA is </w:t>
      </w:r>
      <w:r w:rsidR="00A17F3E">
        <w:t xml:space="preserve">also </w:t>
      </w:r>
      <w:r w:rsidR="0091575B">
        <w:t>considering measures that would reduce the regulatory burden of these approaches for standardised ADIs. These measures are outlined in s</w:t>
      </w:r>
      <w:r w:rsidR="00840005">
        <w:t>ection 2.</w:t>
      </w:r>
      <w:r w:rsidR="00653B58">
        <w:t>2</w:t>
      </w:r>
      <w:r w:rsidR="00840005">
        <w:t>.3</w:t>
      </w:r>
      <w:r w:rsidR="0091575B">
        <w:t xml:space="preserve">. </w:t>
      </w:r>
    </w:p>
    <w:p w14:paraId="7A1FEA93" w14:textId="44FDBBA9" w:rsidR="00DB0DE7" w:rsidRDefault="00E80EED" w:rsidP="00DB0DE7">
      <w:pPr>
        <w:pStyle w:val="APRAHEADING2"/>
      </w:pPr>
      <w:bookmarkStart w:id="123" w:name="_Toc518658246"/>
      <w:bookmarkStart w:id="124" w:name="_Toc521401218"/>
      <w:bookmarkStart w:id="125" w:name="_Toc521508292"/>
      <w:bookmarkStart w:id="126" w:name="_Toc521932765"/>
      <w:r>
        <w:t>Focus on material items</w:t>
      </w:r>
      <w:bookmarkEnd w:id="123"/>
      <w:bookmarkEnd w:id="124"/>
      <w:bookmarkEnd w:id="125"/>
      <w:bookmarkEnd w:id="126"/>
    </w:p>
    <w:p w14:paraId="2EFB1C32" w14:textId="3C4955AF" w:rsidR="00E80EED" w:rsidRDefault="00E80EED" w:rsidP="006435B8">
      <w:pPr>
        <w:pStyle w:val="APRANORMAL"/>
      </w:pPr>
      <w:r>
        <w:t>Regardless of the approach adopted, APRA</w:t>
      </w:r>
      <w:r w:rsidR="00102613">
        <w:t xml:space="preserve"> intends </w:t>
      </w:r>
      <w:r>
        <w:t>to focus any measures on areas</w:t>
      </w:r>
      <w:r w:rsidR="00DC6AE3">
        <w:t xml:space="preserve"> of relative conservatism that are material and </w:t>
      </w:r>
      <w:r w:rsidR="00B82645">
        <w:t>can be calculated o</w:t>
      </w:r>
      <w:r w:rsidR="00DC6AE3">
        <w:t>bjecti</w:t>
      </w:r>
      <w:r w:rsidR="00FB3B12">
        <w:t>ve</w:t>
      </w:r>
      <w:r w:rsidR="00B82645">
        <w:t>ly</w:t>
      </w:r>
      <w:r w:rsidR="00DC6AE3">
        <w:t xml:space="preserve">. </w:t>
      </w:r>
    </w:p>
    <w:p w14:paraId="727588B9" w14:textId="18879034" w:rsidR="00F71FD8" w:rsidRDefault="00DC6AE3" w:rsidP="006435B8">
      <w:pPr>
        <w:pStyle w:val="APRANORMAL"/>
      </w:pPr>
      <w:r>
        <w:t xml:space="preserve">Table 2 below </w:t>
      </w:r>
      <w:r w:rsidR="00FB3B12">
        <w:t xml:space="preserve">outlines aspects of the capital framework that </w:t>
      </w:r>
      <w:r w:rsidR="00B47F74">
        <w:t xml:space="preserve">may </w:t>
      </w:r>
      <w:r w:rsidR="00FB3B12">
        <w:t>meet</w:t>
      </w:r>
      <w:r>
        <w:t xml:space="preserve"> these criteria. This table includ</w:t>
      </w:r>
      <w:r w:rsidR="003D7274">
        <w:t>es</w:t>
      </w:r>
      <w:r>
        <w:t xml:space="preserve"> proposals in the February 2018 </w:t>
      </w:r>
      <w:r w:rsidR="009B684D">
        <w:t>D</w:t>
      </w:r>
      <w:r>
        <w:t xml:space="preserve">iscussion </w:t>
      </w:r>
      <w:r w:rsidR="009B684D">
        <w:t>P</w:t>
      </w:r>
      <w:r>
        <w:t>aper</w:t>
      </w:r>
      <w:r w:rsidR="003D7274">
        <w:t xml:space="preserve">, </w:t>
      </w:r>
      <w:r w:rsidR="00E80EED">
        <w:t xml:space="preserve">noting that </w:t>
      </w:r>
      <w:r w:rsidR="003D7274">
        <w:t>t</w:t>
      </w:r>
      <w:r>
        <w:t xml:space="preserve">hese aspects may </w:t>
      </w:r>
      <w:r w:rsidR="003D7274">
        <w:t xml:space="preserve">be subject to </w:t>
      </w:r>
      <w:r>
        <w:t xml:space="preserve">change </w:t>
      </w:r>
      <w:r w:rsidR="00B47F74">
        <w:t xml:space="preserve">reflecting </w:t>
      </w:r>
      <w:r w:rsidR="003D7274">
        <w:t xml:space="preserve">responses to that </w:t>
      </w:r>
      <w:r>
        <w:t>consultation (see section 1.</w:t>
      </w:r>
      <w:r w:rsidR="00F17BEB">
        <w:t>2</w:t>
      </w:r>
      <w:r w:rsidR="00D76B04">
        <w:t>.</w:t>
      </w:r>
      <w:r w:rsidR="006C10CE">
        <w:t>3</w:t>
      </w:r>
      <w:r>
        <w:t xml:space="preserve"> for further detail).  </w:t>
      </w:r>
    </w:p>
    <w:p w14:paraId="105C7089" w14:textId="77777777" w:rsidR="00F71FD8" w:rsidRDefault="00F71FD8">
      <w:pPr>
        <w:spacing w:after="120" w:line="288" w:lineRule="auto"/>
        <w:rPr>
          <w:rFonts w:ascii="DIN OT Light" w:hAnsi="DIN OT Light"/>
          <w:lang w:val="en-GB"/>
        </w:rPr>
      </w:pPr>
      <w:r>
        <w:br w:type="page"/>
      </w:r>
    </w:p>
    <w:p w14:paraId="220B03E4" w14:textId="77777777" w:rsidR="0091575B" w:rsidRDefault="0091575B" w:rsidP="0091575B">
      <w:pPr>
        <w:pStyle w:val="APRATABLE-NUMBER"/>
      </w:pPr>
      <w:r>
        <w:lastRenderedPageBreak/>
        <w:t>Aspects of relative conservatism</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22"/>
        <w:gridCol w:w="2294"/>
      </w:tblGrid>
      <w:tr w:rsidR="0091575B" w:rsidRPr="001F2225" w14:paraId="02DCE4A8" w14:textId="77777777" w:rsidTr="00CB15BE">
        <w:trPr>
          <w:trHeight w:val="454"/>
        </w:trPr>
        <w:tc>
          <w:tcPr>
            <w:tcW w:w="6722" w:type="dxa"/>
            <w:shd w:val="clear" w:color="auto" w:fill="002060"/>
            <w:vAlign w:val="bottom"/>
          </w:tcPr>
          <w:p w14:paraId="1BA0FDD9" w14:textId="77777777" w:rsidR="0091575B" w:rsidRPr="001F2225" w:rsidRDefault="0091575B" w:rsidP="00CB15BE">
            <w:pPr>
              <w:keepNext/>
              <w:keepLines/>
              <w:spacing w:after="60"/>
              <w:rPr>
                <w:rFonts w:ascii="DIN OT Medium" w:hAnsi="DIN OT Medium" w:cs="Arial"/>
                <w:sz w:val="20"/>
                <w:szCs w:val="20"/>
              </w:rPr>
            </w:pPr>
            <w:r>
              <w:rPr>
                <w:rFonts w:ascii="DIN OT Medium" w:hAnsi="DIN OT Medium" w:cs="Arial"/>
                <w:sz w:val="20"/>
                <w:szCs w:val="20"/>
              </w:rPr>
              <w:t xml:space="preserve">Applicable to </w:t>
            </w:r>
            <w:r w:rsidR="004D0F23">
              <w:rPr>
                <w:rFonts w:ascii="DIN OT Medium" w:hAnsi="DIN OT Medium" w:cs="Arial"/>
                <w:sz w:val="20"/>
                <w:szCs w:val="20"/>
              </w:rPr>
              <w:t xml:space="preserve">both </w:t>
            </w:r>
            <w:r>
              <w:rPr>
                <w:rFonts w:ascii="DIN OT Medium" w:hAnsi="DIN OT Medium" w:cs="Arial"/>
                <w:sz w:val="20"/>
                <w:szCs w:val="20"/>
              </w:rPr>
              <w:t>IRB and standardised ADIs</w:t>
            </w:r>
          </w:p>
        </w:tc>
        <w:tc>
          <w:tcPr>
            <w:tcW w:w="2294" w:type="dxa"/>
            <w:shd w:val="clear" w:color="auto" w:fill="002060"/>
            <w:vAlign w:val="bottom"/>
          </w:tcPr>
          <w:p w14:paraId="0A373445" w14:textId="77777777" w:rsidR="0091575B" w:rsidRPr="001F2225" w:rsidRDefault="001B2981" w:rsidP="00B82645">
            <w:pPr>
              <w:pStyle w:val="APRANORMAL"/>
              <w:spacing w:after="60"/>
              <w:jc w:val="center"/>
              <w:rPr>
                <w:rFonts w:ascii="DIN OT Medium" w:hAnsi="DIN OT Medium"/>
                <w:sz w:val="20"/>
                <w:szCs w:val="20"/>
              </w:rPr>
            </w:pPr>
            <w:r>
              <w:rPr>
                <w:rFonts w:ascii="DIN OT Medium" w:hAnsi="DIN OT Medium"/>
                <w:sz w:val="20"/>
                <w:szCs w:val="20"/>
              </w:rPr>
              <w:t xml:space="preserve">Material in size and </w:t>
            </w:r>
            <w:r w:rsidR="00B82645">
              <w:rPr>
                <w:rFonts w:ascii="DIN OT Medium" w:hAnsi="DIN OT Medium"/>
                <w:sz w:val="20"/>
                <w:szCs w:val="20"/>
              </w:rPr>
              <w:t xml:space="preserve">objectively </w:t>
            </w:r>
            <w:r w:rsidR="0091575B">
              <w:rPr>
                <w:rFonts w:ascii="DIN OT Medium" w:hAnsi="DIN OT Medium"/>
                <w:sz w:val="20"/>
                <w:szCs w:val="20"/>
              </w:rPr>
              <w:t>calculable?</w:t>
            </w:r>
          </w:p>
        </w:tc>
      </w:tr>
      <w:tr w:rsidR="0091575B" w:rsidRPr="007E5F2A" w14:paraId="6C12388D" w14:textId="77777777" w:rsidTr="00CB15BE">
        <w:trPr>
          <w:trHeight w:val="498"/>
        </w:trPr>
        <w:tc>
          <w:tcPr>
            <w:tcW w:w="6722" w:type="dxa"/>
            <w:shd w:val="clear" w:color="auto" w:fill="D9D9D9" w:themeFill="background1" w:themeFillShade="D9"/>
          </w:tcPr>
          <w:p w14:paraId="6F3CAD3D" w14:textId="77777777" w:rsidR="0091575B" w:rsidRPr="001F2225" w:rsidRDefault="0091575B" w:rsidP="00B82645">
            <w:pPr>
              <w:pStyle w:val="APRANORMAL"/>
              <w:spacing w:before="80" w:after="120"/>
              <w:rPr>
                <w:rFonts w:ascii="DIN OT Medium" w:hAnsi="DIN OT Medium"/>
                <w:sz w:val="20"/>
                <w:szCs w:val="20"/>
              </w:rPr>
            </w:pPr>
            <w:r>
              <w:rPr>
                <w:rFonts w:ascii="DIN OT Medium" w:hAnsi="DIN OT Medium"/>
                <w:sz w:val="20"/>
                <w:szCs w:val="20"/>
              </w:rPr>
              <w:t xml:space="preserve">Exposures for which APRA requires a capital deduction rather than risk-weighting (refer </w:t>
            </w:r>
            <w:r w:rsidR="00B82645">
              <w:rPr>
                <w:rFonts w:ascii="DIN OT Medium" w:hAnsi="DIN OT Medium"/>
                <w:sz w:val="20"/>
                <w:szCs w:val="20"/>
              </w:rPr>
              <w:t>to section 1.2 above</w:t>
            </w:r>
            <w:r>
              <w:rPr>
                <w:rFonts w:ascii="DIN OT Medium" w:hAnsi="DIN OT Medium"/>
                <w:sz w:val="20"/>
                <w:szCs w:val="20"/>
              </w:rPr>
              <w:t>)</w:t>
            </w:r>
          </w:p>
        </w:tc>
        <w:tc>
          <w:tcPr>
            <w:tcW w:w="2294" w:type="dxa"/>
            <w:shd w:val="clear" w:color="auto" w:fill="D9D9D9" w:themeFill="background1" w:themeFillShade="D9"/>
          </w:tcPr>
          <w:p w14:paraId="05CEDD73" w14:textId="77777777" w:rsidR="0091575B" w:rsidRPr="007E5F2A" w:rsidRDefault="0091575B" w:rsidP="00CB15BE">
            <w:pPr>
              <w:pStyle w:val="APRABULLET"/>
              <w:numPr>
                <w:ilvl w:val="0"/>
                <w:numId w:val="0"/>
              </w:numPr>
              <w:spacing w:before="80"/>
              <w:jc w:val="center"/>
              <w:rPr>
                <w:rFonts w:cs="Arial"/>
                <w:sz w:val="20"/>
                <w:szCs w:val="20"/>
              </w:rPr>
            </w:pPr>
            <w:r>
              <w:rPr>
                <w:rFonts w:cs="Arial"/>
                <w:sz w:val="20"/>
                <w:szCs w:val="20"/>
              </w:rPr>
              <w:t>Yes</w:t>
            </w:r>
          </w:p>
        </w:tc>
      </w:tr>
      <w:tr w:rsidR="007D68F8" w:rsidRPr="007E5F2A" w14:paraId="25451D6D" w14:textId="77777777" w:rsidTr="00CB15BE">
        <w:trPr>
          <w:trHeight w:val="498"/>
        </w:trPr>
        <w:tc>
          <w:tcPr>
            <w:tcW w:w="6722" w:type="dxa"/>
            <w:shd w:val="clear" w:color="auto" w:fill="D9D9D9" w:themeFill="background1" w:themeFillShade="D9"/>
          </w:tcPr>
          <w:p w14:paraId="121066C5" w14:textId="517D6906" w:rsidR="007D68F8" w:rsidRDefault="007D68F8" w:rsidP="009B684D">
            <w:pPr>
              <w:pStyle w:val="APRANORMAL"/>
              <w:spacing w:before="80" w:after="120"/>
              <w:rPr>
                <w:rFonts w:ascii="DIN OT Medium" w:hAnsi="DIN OT Medium"/>
                <w:sz w:val="20"/>
                <w:szCs w:val="20"/>
              </w:rPr>
            </w:pPr>
            <w:r>
              <w:rPr>
                <w:rFonts w:ascii="DIN OT Medium" w:hAnsi="DIN OT Medium"/>
                <w:sz w:val="20"/>
                <w:szCs w:val="20"/>
              </w:rPr>
              <w:t xml:space="preserve">Any additional overlay needed to recalibrate the proposals in the February 2018 </w:t>
            </w:r>
            <w:r w:rsidR="009B684D">
              <w:rPr>
                <w:rFonts w:ascii="DIN OT Medium" w:hAnsi="DIN OT Medium"/>
                <w:sz w:val="20"/>
                <w:szCs w:val="20"/>
              </w:rPr>
              <w:t>D</w:t>
            </w:r>
            <w:r>
              <w:rPr>
                <w:rFonts w:ascii="DIN OT Medium" w:hAnsi="DIN OT Medium"/>
                <w:sz w:val="20"/>
                <w:szCs w:val="20"/>
              </w:rPr>
              <w:t xml:space="preserve">iscussion </w:t>
            </w:r>
            <w:r w:rsidR="009B684D">
              <w:rPr>
                <w:rFonts w:ascii="DIN OT Medium" w:hAnsi="DIN OT Medium"/>
                <w:sz w:val="20"/>
                <w:szCs w:val="20"/>
              </w:rPr>
              <w:t>P</w:t>
            </w:r>
            <w:r>
              <w:rPr>
                <w:rFonts w:ascii="DIN OT Medium" w:hAnsi="DIN OT Medium"/>
                <w:sz w:val="20"/>
                <w:szCs w:val="20"/>
              </w:rPr>
              <w:t xml:space="preserve">aper to </w:t>
            </w:r>
            <w:r w:rsidRPr="000907E6">
              <w:rPr>
                <w:rFonts w:ascii="DIN OT Medium" w:hAnsi="DIN OT Medium"/>
                <w:sz w:val="20"/>
                <w:szCs w:val="20"/>
              </w:rPr>
              <w:t>ensure that the final calibration of the revised framework meets the ‘unquestionably strong’ benchmarks</w:t>
            </w:r>
          </w:p>
        </w:tc>
        <w:tc>
          <w:tcPr>
            <w:tcW w:w="2294" w:type="dxa"/>
            <w:shd w:val="clear" w:color="auto" w:fill="D9D9D9" w:themeFill="background1" w:themeFillShade="D9"/>
          </w:tcPr>
          <w:p w14:paraId="1A435CA0"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Yes</w:t>
            </w:r>
          </w:p>
        </w:tc>
      </w:tr>
      <w:tr w:rsidR="007D68F8" w:rsidRPr="001F2225" w14:paraId="06A905F4" w14:textId="77777777" w:rsidTr="00CB15BE">
        <w:trPr>
          <w:trHeight w:val="454"/>
        </w:trPr>
        <w:tc>
          <w:tcPr>
            <w:tcW w:w="6722" w:type="dxa"/>
            <w:shd w:val="clear" w:color="auto" w:fill="002060"/>
            <w:vAlign w:val="bottom"/>
          </w:tcPr>
          <w:p w14:paraId="67869405" w14:textId="77777777" w:rsidR="007D68F8" w:rsidRPr="001F2225" w:rsidRDefault="007D68F8" w:rsidP="007D68F8">
            <w:pPr>
              <w:keepNext/>
              <w:keepLines/>
              <w:spacing w:after="60"/>
              <w:rPr>
                <w:rFonts w:ascii="DIN OT Medium" w:hAnsi="DIN OT Medium" w:cs="Arial"/>
                <w:sz w:val="20"/>
                <w:szCs w:val="20"/>
              </w:rPr>
            </w:pPr>
            <w:r>
              <w:rPr>
                <w:rFonts w:ascii="DIN OT Medium" w:hAnsi="DIN OT Medium" w:cs="Arial"/>
                <w:sz w:val="20"/>
                <w:szCs w:val="20"/>
              </w:rPr>
              <w:t>Applicable to IRB ADIs</w:t>
            </w:r>
          </w:p>
        </w:tc>
        <w:tc>
          <w:tcPr>
            <w:tcW w:w="2294" w:type="dxa"/>
            <w:shd w:val="clear" w:color="auto" w:fill="002060"/>
            <w:vAlign w:val="bottom"/>
          </w:tcPr>
          <w:p w14:paraId="30E97137" w14:textId="77777777" w:rsidR="007D68F8" w:rsidRPr="001F2225" w:rsidRDefault="002225F4" w:rsidP="00B82645">
            <w:pPr>
              <w:pStyle w:val="APRANORMAL"/>
              <w:spacing w:after="60"/>
              <w:jc w:val="center"/>
              <w:rPr>
                <w:rFonts w:ascii="DIN OT Medium" w:hAnsi="DIN OT Medium"/>
                <w:sz w:val="20"/>
                <w:szCs w:val="20"/>
              </w:rPr>
            </w:pPr>
            <w:r>
              <w:rPr>
                <w:rFonts w:ascii="DIN OT Medium" w:hAnsi="DIN OT Medium"/>
                <w:sz w:val="20"/>
                <w:szCs w:val="20"/>
              </w:rPr>
              <w:t xml:space="preserve">Material in size and </w:t>
            </w:r>
            <w:r w:rsidR="00B82645">
              <w:rPr>
                <w:rFonts w:ascii="DIN OT Medium" w:hAnsi="DIN OT Medium"/>
                <w:sz w:val="20"/>
                <w:szCs w:val="20"/>
              </w:rPr>
              <w:t xml:space="preserve">objectively </w:t>
            </w:r>
            <w:r w:rsidR="007D68F8">
              <w:rPr>
                <w:rFonts w:ascii="DIN OT Medium" w:hAnsi="DIN OT Medium"/>
                <w:sz w:val="20"/>
                <w:szCs w:val="20"/>
              </w:rPr>
              <w:t>calculable?</w:t>
            </w:r>
          </w:p>
        </w:tc>
      </w:tr>
      <w:tr w:rsidR="007D68F8" w:rsidRPr="001F2225" w14:paraId="7E83F029" w14:textId="77777777" w:rsidTr="00CB15BE">
        <w:trPr>
          <w:trHeight w:val="498"/>
        </w:trPr>
        <w:tc>
          <w:tcPr>
            <w:tcW w:w="6722" w:type="dxa"/>
            <w:shd w:val="clear" w:color="auto" w:fill="D9D9D9" w:themeFill="background1" w:themeFillShade="D9"/>
          </w:tcPr>
          <w:p w14:paraId="1D56133F" w14:textId="77777777" w:rsidR="007D68F8" w:rsidRPr="00E721A4" w:rsidRDefault="007D68F8" w:rsidP="007D68F8">
            <w:pPr>
              <w:pStyle w:val="APRANORMAL"/>
              <w:spacing w:before="80" w:after="120"/>
              <w:rPr>
                <w:rFonts w:ascii="DIN OT Medium" w:hAnsi="DIN OT Medium"/>
                <w:sz w:val="20"/>
                <w:szCs w:val="20"/>
              </w:rPr>
            </w:pPr>
            <w:r>
              <w:rPr>
                <w:rFonts w:ascii="DIN OT Medium" w:hAnsi="DIN OT Medium"/>
                <w:sz w:val="20"/>
                <w:szCs w:val="20"/>
              </w:rPr>
              <w:t>Capital for IRRBB</w:t>
            </w:r>
          </w:p>
        </w:tc>
        <w:tc>
          <w:tcPr>
            <w:tcW w:w="2294" w:type="dxa"/>
            <w:shd w:val="clear" w:color="auto" w:fill="D9D9D9" w:themeFill="background1" w:themeFillShade="D9"/>
          </w:tcPr>
          <w:p w14:paraId="0A2D14CF"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Yes</w:t>
            </w:r>
          </w:p>
        </w:tc>
      </w:tr>
      <w:tr w:rsidR="007D68F8" w:rsidRPr="001F2225" w14:paraId="23F9E0FD" w14:textId="77777777" w:rsidTr="00CB15BE">
        <w:trPr>
          <w:trHeight w:val="498"/>
        </w:trPr>
        <w:tc>
          <w:tcPr>
            <w:tcW w:w="6722" w:type="dxa"/>
            <w:shd w:val="clear" w:color="auto" w:fill="D9D9D9" w:themeFill="background1" w:themeFillShade="D9"/>
          </w:tcPr>
          <w:p w14:paraId="26A1401E" w14:textId="77777777" w:rsidR="007D68F8" w:rsidRPr="001F2225" w:rsidRDefault="007D68F8" w:rsidP="007D68F8">
            <w:pPr>
              <w:pStyle w:val="APRANORMAL"/>
              <w:spacing w:before="80" w:after="120"/>
              <w:rPr>
                <w:rFonts w:ascii="DIN OT Medium" w:hAnsi="DIN OT Medium"/>
                <w:sz w:val="20"/>
                <w:szCs w:val="20"/>
              </w:rPr>
            </w:pPr>
            <w:r w:rsidRPr="00E721A4">
              <w:rPr>
                <w:rFonts w:ascii="DIN OT Medium" w:hAnsi="DIN OT Medium"/>
                <w:sz w:val="20"/>
                <w:szCs w:val="20"/>
              </w:rPr>
              <w:t>Higher correlation factors for residential mortgages an</w:t>
            </w:r>
            <w:r>
              <w:rPr>
                <w:rFonts w:ascii="DIN OT Medium" w:hAnsi="DIN OT Medium"/>
                <w:sz w:val="20"/>
                <w:szCs w:val="20"/>
              </w:rPr>
              <w:t>d commercial property exposures</w:t>
            </w:r>
          </w:p>
        </w:tc>
        <w:tc>
          <w:tcPr>
            <w:tcW w:w="2294" w:type="dxa"/>
            <w:shd w:val="clear" w:color="auto" w:fill="D9D9D9" w:themeFill="background1" w:themeFillShade="D9"/>
          </w:tcPr>
          <w:p w14:paraId="1325960B" w14:textId="77777777" w:rsidR="007D68F8" w:rsidRPr="007E5F2A" w:rsidRDefault="007D68F8" w:rsidP="007D68F8">
            <w:pPr>
              <w:pStyle w:val="APRABULLET"/>
              <w:numPr>
                <w:ilvl w:val="0"/>
                <w:numId w:val="0"/>
              </w:numPr>
              <w:spacing w:before="80"/>
              <w:jc w:val="center"/>
              <w:rPr>
                <w:rFonts w:cs="Arial"/>
                <w:sz w:val="20"/>
                <w:szCs w:val="20"/>
              </w:rPr>
            </w:pPr>
            <w:r>
              <w:rPr>
                <w:rFonts w:cs="Arial"/>
                <w:sz w:val="20"/>
                <w:szCs w:val="20"/>
              </w:rPr>
              <w:t>Yes</w:t>
            </w:r>
          </w:p>
        </w:tc>
      </w:tr>
      <w:tr w:rsidR="007D68F8" w:rsidRPr="001F2225" w14:paraId="21FBC2B8" w14:textId="77777777" w:rsidTr="00CB15BE">
        <w:trPr>
          <w:trHeight w:val="498"/>
        </w:trPr>
        <w:tc>
          <w:tcPr>
            <w:tcW w:w="6722" w:type="dxa"/>
            <w:shd w:val="clear" w:color="auto" w:fill="D9D9D9" w:themeFill="background1" w:themeFillShade="D9"/>
          </w:tcPr>
          <w:p w14:paraId="44391E34" w14:textId="77777777" w:rsidR="007D68F8" w:rsidRPr="00E721A4" w:rsidRDefault="007D68F8" w:rsidP="007D68F8">
            <w:pPr>
              <w:pStyle w:val="APRANORMAL"/>
              <w:spacing w:before="80" w:after="120"/>
              <w:rPr>
                <w:rFonts w:ascii="DIN OT Medium" w:hAnsi="DIN OT Medium"/>
                <w:sz w:val="20"/>
                <w:szCs w:val="20"/>
              </w:rPr>
            </w:pPr>
            <w:r w:rsidRPr="00E721A4">
              <w:rPr>
                <w:rFonts w:ascii="DIN OT Medium" w:hAnsi="DIN OT Medium"/>
                <w:sz w:val="20"/>
                <w:szCs w:val="20"/>
              </w:rPr>
              <w:t xml:space="preserve">Higher estimates for LGD </w:t>
            </w:r>
            <w:r>
              <w:rPr>
                <w:rFonts w:ascii="DIN OT Medium" w:hAnsi="DIN OT Medium"/>
                <w:sz w:val="20"/>
                <w:szCs w:val="20"/>
              </w:rPr>
              <w:t xml:space="preserve">for </w:t>
            </w:r>
            <w:r w:rsidRPr="00E721A4">
              <w:rPr>
                <w:rFonts w:ascii="DIN OT Medium" w:hAnsi="DIN OT Medium"/>
                <w:sz w:val="20"/>
                <w:szCs w:val="20"/>
              </w:rPr>
              <w:t>some exposures</w:t>
            </w:r>
          </w:p>
        </w:tc>
        <w:tc>
          <w:tcPr>
            <w:tcW w:w="2294" w:type="dxa"/>
            <w:shd w:val="clear" w:color="auto" w:fill="D9D9D9" w:themeFill="background1" w:themeFillShade="D9"/>
          </w:tcPr>
          <w:p w14:paraId="5E4897FE"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Yes</w:t>
            </w:r>
          </w:p>
        </w:tc>
      </w:tr>
      <w:tr w:rsidR="007D68F8" w:rsidRPr="001F2225" w14:paraId="1B73B6AE" w14:textId="77777777" w:rsidTr="00CB15BE">
        <w:trPr>
          <w:trHeight w:val="498"/>
        </w:trPr>
        <w:tc>
          <w:tcPr>
            <w:tcW w:w="6722" w:type="dxa"/>
            <w:shd w:val="clear" w:color="auto" w:fill="D9D9D9" w:themeFill="background1" w:themeFillShade="D9"/>
          </w:tcPr>
          <w:p w14:paraId="5269BF58" w14:textId="77777777" w:rsidR="007D68F8" w:rsidRPr="00E721A4" w:rsidRDefault="007D68F8" w:rsidP="009C396F">
            <w:pPr>
              <w:pStyle w:val="APRANORMAL"/>
              <w:spacing w:before="80" w:after="120"/>
              <w:rPr>
                <w:rFonts w:ascii="DIN OT Medium" w:hAnsi="DIN OT Medium"/>
                <w:sz w:val="20"/>
                <w:szCs w:val="20"/>
              </w:rPr>
            </w:pPr>
            <w:r w:rsidRPr="00E721A4">
              <w:rPr>
                <w:rFonts w:ascii="DIN OT Medium" w:hAnsi="DIN OT Medium"/>
                <w:sz w:val="20"/>
                <w:szCs w:val="20"/>
              </w:rPr>
              <w:t xml:space="preserve">Higher estimates for </w:t>
            </w:r>
            <w:r>
              <w:rPr>
                <w:rFonts w:ascii="DIN OT Medium" w:hAnsi="DIN OT Medium"/>
                <w:sz w:val="20"/>
                <w:szCs w:val="20"/>
              </w:rPr>
              <w:t>CCF</w:t>
            </w:r>
            <w:r w:rsidR="009473CF">
              <w:rPr>
                <w:rFonts w:ascii="DIN OT Medium" w:hAnsi="DIN OT Medium"/>
                <w:sz w:val="20"/>
                <w:szCs w:val="20"/>
              </w:rPr>
              <w:t>s</w:t>
            </w:r>
            <w:r>
              <w:rPr>
                <w:rFonts w:ascii="DIN OT Medium" w:hAnsi="DIN OT Medium"/>
                <w:sz w:val="20"/>
                <w:szCs w:val="20"/>
              </w:rPr>
              <w:t xml:space="preserve"> </w:t>
            </w:r>
            <w:r w:rsidRPr="00E721A4">
              <w:rPr>
                <w:rFonts w:ascii="DIN OT Medium" w:hAnsi="DIN OT Medium"/>
                <w:sz w:val="20"/>
                <w:szCs w:val="20"/>
              </w:rPr>
              <w:t>for some exposures (</w:t>
            </w:r>
            <w:r>
              <w:rPr>
                <w:rFonts w:ascii="DIN OT Medium" w:hAnsi="DIN OT Medium"/>
                <w:sz w:val="20"/>
                <w:szCs w:val="20"/>
              </w:rPr>
              <w:t xml:space="preserve">other </w:t>
            </w:r>
            <w:r w:rsidRPr="00E721A4">
              <w:rPr>
                <w:rFonts w:ascii="DIN OT Medium" w:hAnsi="DIN OT Medium"/>
                <w:sz w:val="20"/>
                <w:szCs w:val="20"/>
              </w:rPr>
              <w:t>commitments)</w:t>
            </w:r>
          </w:p>
        </w:tc>
        <w:tc>
          <w:tcPr>
            <w:tcW w:w="2294" w:type="dxa"/>
            <w:shd w:val="clear" w:color="auto" w:fill="D9D9D9" w:themeFill="background1" w:themeFillShade="D9"/>
          </w:tcPr>
          <w:p w14:paraId="3DDE7D25"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Yes</w:t>
            </w:r>
          </w:p>
        </w:tc>
      </w:tr>
      <w:tr w:rsidR="007D68F8" w:rsidRPr="001F2225" w14:paraId="2F09D323" w14:textId="77777777" w:rsidTr="00CB15BE">
        <w:trPr>
          <w:trHeight w:val="498"/>
        </w:trPr>
        <w:tc>
          <w:tcPr>
            <w:tcW w:w="6722" w:type="dxa"/>
            <w:shd w:val="clear" w:color="auto" w:fill="D9D9D9" w:themeFill="background1" w:themeFillShade="D9"/>
          </w:tcPr>
          <w:p w14:paraId="4133FA91" w14:textId="77777777" w:rsidR="007D68F8" w:rsidRPr="00E721A4" w:rsidRDefault="007D68F8" w:rsidP="00946B2A">
            <w:pPr>
              <w:pStyle w:val="APRANORMAL"/>
              <w:spacing w:before="80" w:after="120"/>
              <w:rPr>
                <w:rFonts w:ascii="DIN OT Medium" w:hAnsi="DIN OT Medium"/>
                <w:sz w:val="20"/>
                <w:szCs w:val="20"/>
              </w:rPr>
            </w:pPr>
            <w:r w:rsidRPr="00E721A4">
              <w:rPr>
                <w:rFonts w:ascii="DIN OT Medium" w:hAnsi="DIN OT Medium"/>
                <w:sz w:val="20"/>
                <w:szCs w:val="20"/>
              </w:rPr>
              <w:t>Higher residential mortgage LGD estimate</w:t>
            </w:r>
          </w:p>
        </w:tc>
        <w:tc>
          <w:tcPr>
            <w:tcW w:w="2294" w:type="dxa"/>
            <w:shd w:val="clear" w:color="auto" w:fill="D9D9D9" w:themeFill="background1" w:themeFillShade="D9"/>
          </w:tcPr>
          <w:p w14:paraId="02205FDA"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 xml:space="preserve">May use a proxy harmonised estimate (e.g. LGD=15%) </w:t>
            </w:r>
          </w:p>
        </w:tc>
      </w:tr>
      <w:tr w:rsidR="007D68F8" w:rsidRPr="001F2225" w14:paraId="653F86F7" w14:textId="77777777" w:rsidTr="00CB15BE">
        <w:trPr>
          <w:trHeight w:val="498"/>
        </w:trPr>
        <w:tc>
          <w:tcPr>
            <w:tcW w:w="6722" w:type="dxa"/>
            <w:shd w:val="clear" w:color="auto" w:fill="D9D9D9" w:themeFill="background1" w:themeFillShade="D9"/>
          </w:tcPr>
          <w:p w14:paraId="26F5AE40" w14:textId="77777777" w:rsidR="007D68F8" w:rsidRPr="00E721A4" w:rsidRDefault="00CF7C40" w:rsidP="007D68F8">
            <w:pPr>
              <w:pStyle w:val="APRANORMAL"/>
              <w:spacing w:before="80" w:after="120"/>
              <w:rPr>
                <w:rFonts w:ascii="DIN OT Medium" w:hAnsi="DIN OT Medium"/>
                <w:sz w:val="20"/>
                <w:szCs w:val="20"/>
              </w:rPr>
            </w:pPr>
            <w:r>
              <w:rPr>
                <w:rFonts w:ascii="DIN OT Medium" w:hAnsi="DIN OT Medium"/>
                <w:sz w:val="20"/>
                <w:szCs w:val="20"/>
              </w:rPr>
              <w:t xml:space="preserve">Asset class definitions: </w:t>
            </w:r>
            <w:r w:rsidR="007D68F8">
              <w:rPr>
                <w:rFonts w:ascii="DIN OT Medium" w:hAnsi="DIN OT Medium"/>
                <w:sz w:val="20"/>
                <w:szCs w:val="20"/>
              </w:rPr>
              <w:t>removing ‘</w:t>
            </w:r>
            <w:r w:rsidR="007D68F8" w:rsidRPr="00E721A4">
              <w:rPr>
                <w:rFonts w:ascii="DIN OT Medium" w:hAnsi="DIN OT Medium"/>
                <w:sz w:val="20"/>
                <w:szCs w:val="20"/>
              </w:rPr>
              <w:t>Qualifying revolving retail</w:t>
            </w:r>
            <w:r w:rsidR="007D68F8">
              <w:rPr>
                <w:rFonts w:ascii="DIN OT Medium" w:hAnsi="DIN OT Medium"/>
                <w:sz w:val="20"/>
                <w:szCs w:val="20"/>
              </w:rPr>
              <w:t>’</w:t>
            </w:r>
            <w:r w:rsidR="007D68F8" w:rsidRPr="00E721A4">
              <w:rPr>
                <w:rFonts w:ascii="DIN OT Medium" w:hAnsi="DIN OT Medium"/>
                <w:sz w:val="20"/>
                <w:szCs w:val="20"/>
              </w:rPr>
              <w:t xml:space="preserve"> </w:t>
            </w:r>
            <w:r w:rsidR="007D68F8">
              <w:rPr>
                <w:rFonts w:ascii="DIN OT Medium" w:hAnsi="DIN OT Medium"/>
                <w:sz w:val="20"/>
                <w:szCs w:val="20"/>
              </w:rPr>
              <w:t>as a separate asset class and requiring SME to be treated as corporate exposures</w:t>
            </w:r>
            <w:r w:rsidR="007D68F8">
              <w:rPr>
                <w:rStyle w:val="FootnoteReference"/>
                <w:szCs w:val="20"/>
              </w:rPr>
              <w:footnoteReference w:id="17"/>
            </w:r>
          </w:p>
        </w:tc>
        <w:tc>
          <w:tcPr>
            <w:tcW w:w="2294" w:type="dxa"/>
            <w:shd w:val="clear" w:color="auto" w:fill="D9D9D9" w:themeFill="background1" w:themeFillShade="D9"/>
          </w:tcPr>
          <w:p w14:paraId="0E0EB4EC"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No</w:t>
            </w:r>
          </w:p>
        </w:tc>
      </w:tr>
      <w:tr w:rsidR="007D68F8" w:rsidRPr="001F2225" w14:paraId="1524F5B7" w14:textId="77777777" w:rsidTr="00CB15BE">
        <w:trPr>
          <w:trHeight w:val="454"/>
        </w:trPr>
        <w:tc>
          <w:tcPr>
            <w:tcW w:w="6722" w:type="dxa"/>
            <w:shd w:val="clear" w:color="auto" w:fill="002060"/>
            <w:vAlign w:val="bottom"/>
          </w:tcPr>
          <w:p w14:paraId="5129ABA3" w14:textId="77777777" w:rsidR="007D68F8" w:rsidRPr="001F2225" w:rsidRDefault="007D68F8" w:rsidP="007D68F8">
            <w:pPr>
              <w:keepNext/>
              <w:keepLines/>
              <w:spacing w:after="60"/>
              <w:rPr>
                <w:rFonts w:ascii="DIN OT Medium" w:hAnsi="DIN OT Medium" w:cs="Arial"/>
                <w:sz w:val="20"/>
                <w:szCs w:val="20"/>
              </w:rPr>
            </w:pPr>
            <w:r>
              <w:rPr>
                <w:rFonts w:ascii="DIN OT Medium" w:hAnsi="DIN OT Medium" w:cs="Arial"/>
                <w:sz w:val="20"/>
                <w:szCs w:val="20"/>
              </w:rPr>
              <w:t>Applicable to standardised ADIs</w:t>
            </w:r>
          </w:p>
        </w:tc>
        <w:tc>
          <w:tcPr>
            <w:tcW w:w="2294" w:type="dxa"/>
            <w:shd w:val="clear" w:color="auto" w:fill="002060"/>
            <w:vAlign w:val="bottom"/>
          </w:tcPr>
          <w:p w14:paraId="46AA7A5C" w14:textId="77777777" w:rsidR="007D68F8" w:rsidRPr="001F2225" w:rsidRDefault="002225F4" w:rsidP="002225F4">
            <w:pPr>
              <w:pStyle w:val="APRANORMAL"/>
              <w:spacing w:after="60"/>
              <w:jc w:val="center"/>
              <w:rPr>
                <w:rFonts w:ascii="DIN OT Medium" w:hAnsi="DIN OT Medium"/>
                <w:sz w:val="20"/>
                <w:szCs w:val="20"/>
              </w:rPr>
            </w:pPr>
            <w:r>
              <w:rPr>
                <w:rFonts w:ascii="DIN OT Medium" w:hAnsi="DIN OT Medium"/>
                <w:sz w:val="20"/>
                <w:szCs w:val="20"/>
              </w:rPr>
              <w:t>Material in size and r</w:t>
            </w:r>
            <w:r w:rsidR="007D68F8">
              <w:rPr>
                <w:rFonts w:ascii="DIN OT Medium" w:hAnsi="DIN OT Medium"/>
                <w:sz w:val="20"/>
                <w:szCs w:val="20"/>
              </w:rPr>
              <w:t>eadily calculable?</w:t>
            </w:r>
          </w:p>
        </w:tc>
      </w:tr>
      <w:tr w:rsidR="007D68F8" w14:paraId="7D853F1F" w14:textId="77777777" w:rsidTr="00CB15BE">
        <w:trPr>
          <w:trHeight w:val="498"/>
        </w:trPr>
        <w:tc>
          <w:tcPr>
            <w:tcW w:w="6722" w:type="dxa"/>
            <w:shd w:val="clear" w:color="auto" w:fill="D9D9D9" w:themeFill="background1" w:themeFillShade="D9"/>
          </w:tcPr>
          <w:p w14:paraId="45F31C3C" w14:textId="77777777" w:rsidR="007D68F8" w:rsidRPr="00E721A4" w:rsidRDefault="007D68F8" w:rsidP="007D68F8">
            <w:pPr>
              <w:pStyle w:val="APRANORMAL"/>
              <w:spacing w:before="80" w:after="120"/>
              <w:rPr>
                <w:rFonts w:ascii="DIN OT Medium" w:hAnsi="DIN OT Medium"/>
                <w:sz w:val="20"/>
                <w:szCs w:val="20"/>
              </w:rPr>
            </w:pPr>
            <w:r w:rsidRPr="000907E6">
              <w:rPr>
                <w:rFonts w:ascii="DIN OT Medium" w:hAnsi="DIN OT Medium"/>
                <w:sz w:val="20"/>
                <w:szCs w:val="20"/>
              </w:rPr>
              <w:t xml:space="preserve">Higher risk weights for some </w:t>
            </w:r>
            <w:r>
              <w:rPr>
                <w:rFonts w:ascii="DIN OT Medium" w:hAnsi="DIN OT Medium"/>
                <w:sz w:val="20"/>
                <w:szCs w:val="20"/>
              </w:rPr>
              <w:t>exposures</w:t>
            </w:r>
            <w:r w:rsidRPr="000907E6">
              <w:rPr>
                <w:rFonts w:ascii="DIN OT Medium" w:hAnsi="DIN OT Medium"/>
                <w:sz w:val="20"/>
                <w:szCs w:val="20"/>
              </w:rPr>
              <w:t xml:space="preserve"> under the standardised approach</w:t>
            </w:r>
            <w:r>
              <w:rPr>
                <w:rFonts w:ascii="DIN OT Medium" w:hAnsi="DIN OT Medium"/>
                <w:sz w:val="20"/>
                <w:szCs w:val="20"/>
              </w:rPr>
              <w:t xml:space="preserve"> </w:t>
            </w:r>
          </w:p>
        </w:tc>
        <w:tc>
          <w:tcPr>
            <w:tcW w:w="2294" w:type="dxa"/>
            <w:shd w:val="clear" w:color="auto" w:fill="D9D9D9" w:themeFill="background1" w:themeFillShade="D9"/>
          </w:tcPr>
          <w:p w14:paraId="1A8F10D3"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Yes</w:t>
            </w:r>
          </w:p>
        </w:tc>
      </w:tr>
      <w:tr w:rsidR="007D68F8" w:rsidRPr="007E5F2A" w14:paraId="7603CCA8" w14:textId="77777777" w:rsidTr="00CB15BE">
        <w:trPr>
          <w:trHeight w:val="498"/>
        </w:trPr>
        <w:tc>
          <w:tcPr>
            <w:tcW w:w="6722" w:type="dxa"/>
            <w:shd w:val="clear" w:color="auto" w:fill="D9D9D9" w:themeFill="background1" w:themeFillShade="D9"/>
          </w:tcPr>
          <w:p w14:paraId="7BD38B9C" w14:textId="77777777" w:rsidR="007D68F8" w:rsidRPr="001F2225" w:rsidRDefault="007D68F8" w:rsidP="007D68F8">
            <w:pPr>
              <w:pStyle w:val="APRANORMAL"/>
              <w:spacing w:before="80" w:after="120"/>
              <w:rPr>
                <w:rFonts w:ascii="DIN OT Medium" w:hAnsi="DIN OT Medium"/>
                <w:sz w:val="20"/>
                <w:szCs w:val="20"/>
              </w:rPr>
            </w:pPr>
            <w:r>
              <w:rPr>
                <w:rFonts w:ascii="DIN OT Medium" w:hAnsi="DIN OT Medium"/>
                <w:sz w:val="20"/>
                <w:szCs w:val="20"/>
              </w:rPr>
              <w:t>T</w:t>
            </w:r>
            <w:r w:rsidRPr="00090693">
              <w:rPr>
                <w:rFonts w:ascii="DIN OT Medium" w:hAnsi="DIN OT Medium"/>
                <w:sz w:val="20"/>
                <w:szCs w:val="20"/>
              </w:rPr>
              <w:t xml:space="preserve">he classification of residential mortgage loans as </w:t>
            </w:r>
            <w:r>
              <w:rPr>
                <w:rFonts w:ascii="DIN OT Medium" w:hAnsi="DIN OT Medium"/>
                <w:sz w:val="20"/>
                <w:szCs w:val="20"/>
              </w:rPr>
              <w:t>‘</w:t>
            </w:r>
            <w:r w:rsidRPr="00090693">
              <w:rPr>
                <w:rFonts w:ascii="DIN OT Medium" w:hAnsi="DIN OT Medium"/>
                <w:sz w:val="20"/>
                <w:szCs w:val="20"/>
              </w:rPr>
              <w:t>owner occupied P&amp;I</w:t>
            </w:r>
            <w:r>
              <w:rPr>
                <w:rFonts w:ascii="DIN OT Medium" w:hAnsi="DIN OT Medium"/>
                <w:sz w:val="20"/>
                <w:szCs w:val="20"/>
              </w:rPr>
              <w:t>’</w:t>
            </w:r>
            <w:r w:rsidRPr="00090693">
              <w:rPr>
                <w:rFonts w:ascii="DIN OT Medium" w:hAnsi="DIN OT Medium"/>
                <w:sz w:val="20"/>
                <w:szCs w:val="20"/>
              </w:rPr>
              <w:t xml:space="preserve"> and </w:t>
            </w:r>
            <w:r>
              <w:rPr>
                <w:rFonts w:ascii="DIN OT Medium" w:hAnsi="DIN OT Medium"/>
                <w:sz w:val="20"/>
                <w:szCs w:val="20"/>
              </w:rPr>
              <w:t>‘</w:t>
            </w:r>
            <w:r w:rsidRPr="00090693">
              <w:rPr>
                <w:rFonts w:ascii="DIN OT Medium" w:hAnsi="DIN OT Medium"/>
                <w:sz w:val="20"/>
                <w:szCs w:val="20"/>
              </w:rPr>
              <w:t>other</w:t>
            </w:r>
            <w:r>
              <w:rPr>
                <w:rFonts w:ascii="DIN OT Medium" w:hAnsi="DIN OT Medium"/>
                <w:sz w:val="20"/>
                <w:szCs w:val="20"/>
              </w:rPr>
              <w:t>’</w:t>
            </w:r>
            <w:r w:rsidRPr="00090693">
              <w:rPr>
                <w:rFonts w:ascii="DIN OT Medium" w:hAnsi="DIN OT Medium"/>
                <w:sz w:val="20"/>
                <w:szCs w:val="20"/>
              </w:rPr>
              <w:t xml:space="preserve"> rather than </w:t>
            </w:r>
            <w:r>
              <w:rPr>
                <w:rFonts w:ascii="DIN OT Medium" w:hAnsi="DIN OT Medium"/>
                <w:sz w:val="20"/>
                <w:szCs w:val="20"/>
              </w:rPr>
              <w:t>‘</w:t>
            </w:r>
            <w:r w:rsidRPr="00090693">
              <w:rPr>
                <w:rFonts w:ascii="DIN OT Medium" w:hAnsi="DIN OT Medium"/>
                <w:sz w:val="20"/>
                <w:szCs w:val="20"/>
              </w:rPr>
              <w:t>not materially dependent</w:t>
            </w:r>
            <w:r>
              <w:rPr>
                <w:rFonts w:ascii="DIN OT Medium" w:hAnsi="DIN OT Medium"/>
                <w:sz w:val="20"/>
                <w:szCs w:val="20"/>
              </w:rPr>
              <w:t>’</w:t>
            </w:r>
            <w:r w:rsidRPr="00090693">
              <w:rPr>
                <w:rFonts w:ascii="DIN OT Medium" w:hAnsi="DIN OT Medium"/>
                <w:sz w:val="20"/>
                <w:szCs w:val="20"/>
              </w:rPr>
              <w:t xml:space="preserve"> and </w:t>
            </w:r>
            <w:r>
              <w:rPr>
                <w:rFonts w:ascii="DIN OT Medium" w:hAnsi="DIN OT Medium"/>
                <w:sz w:val="20"/>
                <w:szCs w:val="20"/>
              </w:rPr>
              <w:t>‘</w:t>
            </w:r>
            <w:r w:rsidRPr="00090693">
              <w:rPr>
                <w:rFonts w:ascii="DIN OT Medium" w:hAnsi="DIN OT Medium"/>
                <w:sz w:val="20"/>
                <w:szCs w:val="20"/>
              </w:rPr>
              <w:t>materially dependent</w:t>
            </w:r>
            <w:r>
              <w:rPr>
                <w:rFonts w:ascii="DIN OT Medium" w:hAnsi="DIN OT Medium"/>
                <w:sz w:val="20"/>
                <w:szCs w:val="20"/>
              </w:rPr>
              <w:t>’</w:t>
            </w:r>
          </w:p>
        </w:tc>
        <w:tc>
          <w:tcPr>
            <w:tcW w:w="2294" w:type="dxa"/>
            <w:shd w:val="clear" w:color="auto" w:fill="D9D9D9" w:themeFill="background1" w:themeFillShade="D9"/>
          </w:tcPr>
          <w:p w14:paraId="7D9FC98B" w14:textId="77777777" w:rsidR="007D68F8" w:rsidRPr="007E5F2A" w:rsidRDefault="007D68F8" w:rsidP="007D68F8">
            <w:pPr>
              <w:pStyle w:val="APRABULLET"/>
              <w:numPr>
                <w:ilvl w:val="0"/>
                <w:numId w:val="0"/>
              </w:numPr>
              <w:spacing w:before="80"/>
              <w:jc w:val="center"/>
              <w:rPr>
                <w:rFonts w:cs="Arial"/>
                <w:sz w:val="20"/>
                <w:szCs w:val="20"/>
              </w:rPr>
            </w:pPr>
            <w:r>
              <w:rPr>
                <w:rFonts w:cs="Arial"/>
                <w:sz w:val="20"/>
                <w:szCs w:val="20"/>
              </w:rPr>
              <w:t>No</w:t>
            </w:r>
          </w:p>
        </w:tc>
      </w:tr>
      <w:tr w:rsidR="007D68F8" w14:paraId="29481A94" w14:textId="77777777" w:rsidTr="00CB15BE">
        <w:trPr>
          <w:trHeight w:val="498"/>
        </w:trPr>
        <w:tc>
          <w:tcPr>
            <w:tcW w:w="6722" w:type="dxa"/>
            <w:shd w:val="clear" w:color="auto" w:fill="D9D9D9" w:themeFill="background1" w:themeFillShade="D9"/>
          </w:tcPr>
          <w:p w14:paraId="0ACF5048" w14:textId="77777777" w:rsidR="007D68F8" w:rsidRPr="00E721A4" w:rsidRDefault="007D68F8" w:rsidP="007D68F8">
            <w:pPr>
              <w:pStyle w:val="APRANORMAL"/>
              <w:spacing w:before="80" w:after="120"/>
              <w:rPr>
                <w:rFonts w:ascii="DIN OT Medium" w:hAnsi="DIN OT Medium"/>
                <w:sz w:val="20"/>
                <w:szCs w:val="20"/>
              </w:rPr>
            </w:pPr>
            <w:r w:rsidRPr="00090693">
              <w:rPr>
                <w:rFonts w:ascii="DIN OT Medium" w:hAnsi="DIN OT Medium"/>
                <w:sz w:val="20"/>
                <w:szCs w:val="20"/>
              </w:rPr>
              <w:t xml:space="preserve">Higher estimates for </w:t>
            </w:r>
            <w:r>
              <w:rPr>
                <w:rFonts w:ascii="DIN OT Medium" w:hAnsi="DIN OT Medium"/>
                <w:sz w:val="20"/>
                <w:szCs w:val="20"/>
              </w:rPr>
              <w:t>CCF</w:t>
            </w:r>
            <w:r w:rsidR="009473CF">
              <w:rPr>
                <w:rFonts w:ascii="DIN OT Medium" w:hAnsi="DIN OT Medium"/>
                <w:sz w:val="20"/>
                <w:szCs w:val="20"/>
              </w:rPr>
              <w:t>s</w:t>
            </w:r>
            <w:r w:rsidRPr="00090693">
              <w:rPr>
                <w:rFonts w:ascii="DIN OT Medium" w:hAnsi="DIN OT Medium"/>
                <w:sz w:val="20"/>
                <w:szCs w:val="20"/>
              </w:rPr>
              <w:t xml:space="preserve"> </w:t>
            </w:r>
            <w:r>
              <w:rPr>
                <w:rFonts w:ascii="DIN OT Medium" w:hAnsi="DIN OT Medium"/>
                <w:sz w:val="20"/>
                <w:szCs w:val="20"/>
              </w:rPr>
              <w:t>for</w:t>
            </w:r>
            <w:r w:rsidRPr="00090693">
              <w:rPr>
                <w:rFonts w:ascii="DIN OT Medium" w:hAnsi="DIN OT Medium"/>
                <w:sz w:val="20"/>
                <w:szCs w:val="20"/>
              </w:rPr>
              <w:t xml:space="preserve"> some exposures (</w:t>
            </w:r>
            <w:r>
              <w:rPr>
                <w:rFonts w:ascii="DIN OT Medium" w:hAnsi="DIN OT Medium"/>
                <w:sz w:val="20"/>
                <w:szCs w:val="20"/>
              </w:rPr>
              <w:t xml:space="preserve">other </w:t>
            </w:r>
            <w:r w:rsidRPr="00090693">
              <w:rPr>
                <w:rFonts w:ascii="DIN OT Medium" w:hAnsi="DIN OT Medium"/>
                <w:sz w:val="20"/>
                <w:szCs w:val="20"/>
              </w:rPr>
              <w:t>commitments)</w:t>
            </w:r>
          </w:p>
        </w:tc>
        <w:tc>
          <w:tcPr>
            <w:tcW w:w="2294" w:type="dxa"/>
            <w:shd w:val="clear" w:color="auto" w:fill="D9D9D9" w:themeFill="background1" w:themeFillShade="D9"/>
          </w:tcPr>
          <w:p w14:paraId="4E478863" w14:textId="77777777" w:rsidR="007D68F8" w:rsidRDefault="007D68F8" w:rsidP="007D68F8">
            <w:pPr>
              <w:pStyle w:val="APRABULLET"/>
              <w:numPr>
                <w:ilvl w:val="0"/>
                <w:numId w:val="0"/>
              </w:numPr>
              <w:spacing w:before="80"/>
              <w:jc w:val="center"/>
              <w:rPr>
                <w:rFonts w:cs="Arial"/>
                <w:sz w:val="20"/>
                <w:szCs w:val="20"/>
              </w:rPr>
            </w:pPr>
            <w:r>
              <w:rPr>
                <w:rFonts w:cs="Arial"/>
                <w:sz w:val="20"/>
                <w:szCs w:val="20"/>
              </w:rPr>
              <w:t>Yes</w:t>
            </w:r>
          </w:p>
        </w:tc>
      </w:tr>
    </w:tbl>
    <w:p w14:paraId="64968C2E" w14:textId="77777777" w:rsidR="00F71FD8" w:rsidRDefault="00F71FD8" w:rsidP="00F71FD8">
      <w:pPr>
        <w:pStyle w:val="APRANORMAL"/>
      </w:pPr>
      <w:bookmarkStart w:id="127" w:name="_Toc518658247"/>
      <w:bookmarkStart w:id="128" w:name="_Toc521401219"/>
      <w:bookmarkStart w:id="129" w:name="_Toc514172193"/>
    </w:p>
    <w:p w14:paraId="7484B435" w14:textId="77777777" w:rsidR="00F71FD8" w:rsidRDefault="00F71FD8">
      <w:pPr>
        <w:spacing w:after="120" w:line="288" w:lineRule="auto"/>
        <w:rPr>
          <w:rFonts w:ascii="DIN OT Light" w:hAnsi="DIN OT Light"/>
          <w:lang w:val="en-GB"/>
        </w:rPr>
      </w:pPr>
      <w:r>
        <w:br w:type="page"/>
      </w:r>
    </w:p>
    <w:p w14:paraId="4E3066B9" w14:textId="2CF435FD" w:rsidR="00DB0DE7" w:rsidRDefault="00DB0DE7" w:rsidP="008E212B">
      <w:pPr>
        <w:pStyle w:val="APRAHEADING2"/>
      </w:pPr>
      <w:bookmarkStart w:id="130" w:name="_Toc521508293"/>
      <w:bookmarkStart w:id="131" w:name="_Toc521932766"/>
      <w:r>
        <w:lastRenderedPageBreak/>
        <w:t xml:space="preserve">Approaches to </w:t>
      </w:r>
      <w:r w:rsidR="00E80EED">
        <w:t>improving transparency and comparability</w:t>
      </w:r>
      <w:bookmarkEnd w:id="127"/>
      <w:bookmarkEnd w:id="128"/>
      <w:bookmarkEnd w:id="130"/>
      <w:bookmarkEnd w:id="131"/>
    </w:p>
    <w:p w14:paraId="38003A20" w14:textId="77777777" w:rsidR="006C3A79" w:rsidRDefault="006C3A79" w:rsidP="00DB0DE7">
      <w:pPr>
        <w:pStyle w:val="APRAHEADING3"/>
      </w:pPr>
      <w:r>
        <w:t xml:space="preserve">Approach 1 – Consistent </w:t>
      </w:r>
      <w:r w:rsidDel="00746DF3">
        <w:t>d</w:t>
      </w:r>
      <w:r>
        <w:t>isclosures</w:t>
      </w:r>
      <w:bookmarkEnd w:id="129"/>
      <w:r>
        <w:t xml:space="preserve"> </w:t>
      </w:r>
    </w:p>
    <w:p w14:paraId="7BC2C087" w14:textId="5DB21808" w:rsidR="006C3A79" w:rsidRDefault="00E80EED" w:rsidP="006C3A79">
      <w:pPr>
        <w:pStyle w:val="APRANORMAL"/>
      </w:pPr>
      <w:r>
        <w:t xml:space="preserve">Under this approach, </w:t>
      </w:r>
      <w:r w:rsidR="00CF24ED">
        <w:t xml:space="preserve">ADIs would continue to determine </w:t>
      </w:r>
      <w:r>
        <w:t xml:space="preserve">regulatory </w:t>
      </w:r>
      <w:r w:rsidR="00CF24ED">
        <w:t xml:space="preserve">capital ratios using </w:t>
      </w:r>
      <w:r w:rsidR="006C3A79">
        <w:t>APRA’s definition</w:t>
      </w:r>
      <w:r w:rsidR="00E4795B">
        <w:t>s</w:t>
      </w:r>
      <w:r w:rsidR="006C3A79">
        <w:t xml:space="preserve"> of capital and RWA. </w:t>
      </w:r>
      <w:r w:rsidR="00972815">
        <w:t>However</w:t>
      </w:r>
      <w:r w:rsidR="006C3A79">
        <w:t xml:space="preserve">, APRA would </w:t>
      </w:r>
      <w:r>
        <w:t xml:space="preserve">also </w:t>
      </w:r>
      <w:r w:rsidR="006C3A79">
        <w:t xml:space="preserve">specify a methodology for </w:t>
      </w:r>
      <w:r w:rsidR="006C3A79" w:rsidRPr="00081CE4">
        <w:t xml:space="preserve">ADIs to </w:t>
      </w:r>
      <w:r w:rsidR="00972815">
        <w:t>determine</w:t>
      </w:r>
      <w:r w:rsidR="00972815" w:rsidRPr="00081CE4">
        <w:t xml:space="preserve"> </w:t>
      </w:r>
      <w:r>
        <w:t xml:space="preserve">certain </w:t>
      </w:r>
      <w:r w:rsidR="006C3A79" w:rsidRPr="00081CE4">
        <w:t>adjustments to capital and RWA</w:t>
      </w:r>
      <w:r w:rsidR="001B2981">
        <w:t xml:space="preserve"> </w:t>
      </w:r>
      <w:r>
        <w:t xml:space="preserve">that could be used </w:t>
      </w:r>
      <w:r w:rsidR="001B2981">
        <w:t xml:space="preserve">for disclosure </w:t>
      </w:r>
      <w:r w:rsidR="00A17F3E">
        <w:t xml:space="preserve">(Pillar 3) </w:t>
      </w:r>
      <w:r w:rsidR="001B2981">
        <w:t>purposes</w:t>
      </w:r>
      <w:r w:rsidR="00133D90">
        <w:t xml:space="preserve">. As noted above, the methodology would focus </w:t>
      </w:r>
      <w:r w:rsidR="00243926">
        <w:t>on</w:t>
      </w:r>
      <w:r w:rsidR="00243926" w:rsidRPr="00243926">
        <w:t xml:space="preserve"> aspects of relative conservatism that are material in size and able to be calculated simply and objectively</w:t>
      </w:r>
      <w:r w:rsidR="006C3A79" w:rsidRPr="00081CE4">
        <w:t>. Th</w:t>
      </w:r>
      <w:r w:rsidR="008E4BDE">
        <w:t xml:space="preserve">e </w:t>
      </w:r>
      <w:r>
        <w:t xml:space="preserve">supplementary </w:t>
      </w:r>
      <w:r w:rsidR="00972815">
        <w:t>disclosure</w:t>
      </w:r>
      <w:r w:rsidR="008E4BDE">
        <w:t xml:space="preserve"> </w:t>
      </w:r>
      <w:r w:rsidR="006C3A79" w:rsidRPr="00081CE4">
        <w:t>would allow all stakeholder</w:t>
      </w:r>
      <w:r w:rsidR="006C3A79">
        <w:t>s</w:t>
      </w:r>
      <w:r w:rsidR="006C3A79" w:rsidRPr="00081CE4">
        <w:t xml:space="preserve"> to better assess the capital </w:t>
      </w:r>
      <w:r w:rsidR="006C3A79">
        <w:t>strength</w:t>
      </w:r>
      <w:r w:rsidR="006C3A79" w:rsidRPr="00081CE4">
        <w:t xml:space="preserve"> </w:t>
      </w:r>
      <w:r w:rsidR="006C3A79">
        <w:t>of an ADI</w:t>
      </w:r>
      <w:r w:rsidR="00CF7C40">
        <w:t xml:space="preserve"> on a more </w:t>
      </w:r>
      <w:r w:rsidR="006C3A79" w:rsidRPr="00081CE4">
        <w:t>comparable basis.</w:t>
      </w:r>
      <w:r w:rsidR="00702F24">
        <w:t xml:space="preserve"> However, it would result in two </w:t>
      </w:r>
      <w:r w:rsidR="001B2981">
        <w:t>APRA-endorsed</w:t>
      </w:r>
      <w:r w:rsidR="00702F24">
        <w:t xml:space="preserve"> capital ratios</w:t>
      </w:r>
      <w:r>
        <w:t>: an</w:t>
      </w:r>
      <w:r w:rsidR="00702F24">
        <w:t xml:space="preserve"> </w:t>
      </w:r>
      <w:r w:rsidR="008E261B">
        <w:t xml:space="preserve">APRA </w:t>
      </w:r>
      <w:r w:rsidR="00702F24">
        <w:t xml:space="preserve">regulatory </w:t>
      </w:r>
      <w:r w:rsidR="008E261B">
        <w:t>capital ratio</w:t>
      </w:r>
      <w:r w:rsidR="00702F24">
        <w:t xml:space="preserve"> </w:t>
      </w:r>
      <w:r>
        <w:t xml:space="preserve">to be compared against minimum requirements, </w:t>
      </w:r>
      <w:r w:rsidR="00702F24">
        <w:t xml:space="preserve">and </w:t>
      </w:r>
      <w:r w:rsidR="00FF05F9">
        <w:t xml:space="preserve">an additional </w:t>
      </w:r>
      <w:r w:rsidR="001B2981">
        <w:t xml:space="preserve">disclosure-only </w:t>
      </w:r>
      <w:r w:rsidR="008E261B">
        <w:t>capital ratio</w:t>
      </w:r>
      <w:r>
        <w:t xml:space="preserve"> for, in particular, </w:t>
      </w:r>
      <w:r w:rsidR="00EB61DD">
        <w:t xml:space="preserve">international </w:t>
      </w:r>
      <w:r>
        <w:t>comparison</w:t>
      </w:r>
      <w:r w:rsidR="00702F24">
        <w:t xml:space="preserve">. </w:t>
      </w:r>
    </w:p>
    <w:p w14:paraId="173A8128" w14:textId="3E1BE52C" w:rsidR="004D299C" w:rsidRDefault="006C3A79" w:rsidP="006C3A79">
      <w:pPr>
        <w:pStyle w:val="APRANORMAL"/>
      </w:pPr>
      <w:r>
        <w:t xml:space="preserve">The methodology would be included within the reporting framework and subject to the audit testing requirements under </w:t>
      </w:r>
      <w:r>
        <w:rPr>
          <w:i/>
        </w:rPr>
        <w:t xml:space="preserve">Prudential Standard APS 310 Audit and Related Matters </w:t>
      </w:r>
      <w:r w:rsidRPr="00964731">
        <w:t>(</w:t>
      </w:r>
      <w:r>
        <w:t xml:space="preserve">APS 310). </w:t>
      </w:r>
      <w:r w:rsidR="00787388" w:rsidRPr="00E778D5">
        <w:rPr>
          <w:i/>
        </w:rPr>
        <w:t>Prudential Standard APS 330 Public Disclosure</w:t>
      </w:r>
      <w:r w:rsidR="00787388" w:rsidRPr="006D2FC1">
        <w:t xml:space="preserve"> </w:t>
      </w:r>
      <w:r w:rsidR="00787388">
        <w:t>(</w:t>
      </w:r>
      <w:r w:rsidR="00787388" w:rsidRPr="006D2FC1">
        <w:t>APS 330</w:t>
      </w:r>
      <w:r w:rsidR="00787388">
        <w:t>)</w:t>
      </w:r>
      <w:r>
        <w:t xml:space="preserve"> would be re</w:t>
      </w:r>
      <w:r w:rsidR="00946B2A">
        <w:t>vised to</w:t>
      </w:r>
      <w:r w:rsidR="007357A2">
        <w:t xml:space="preserve"> include</w:t>
      </w:r>
      <w:r>
        <w:t>, at a minimum, disclos</w:t>
      </w:r>
      <w:r w:rsidR="007357A2">
        <w:t xml:space="preserve">ure of </w:t>
      </w:r>
      <w:r>
        <w:t xml:space="preserve">the aggregate impact of all adjustments. </w:t>
      </w:r>
      <w:r w:rsidR="00946B2A">
        <w:t>Detailed d</w:t>
      </w:r>
      <w:r>
        <w:t>isclosure of the amount for specific aspects of relative conservatism could also be required</w:t>
      </w:r>
      <w:r w:rsidR="00946B2A">
        <w:t xml:space="preserve"> to further enhance transparency and comparability</w:t>
      </w:r>
      <w:r>
        <w:t xml:space="preserve">. APRA seeks feedback on the </w:t>
      </w:r>
      <w:r w:rsidR="001B2981">
        <w:t xml:space="preserve">most appropriate </w:t>
      </w:r>
      <w:r>
        <w:t>level of disclosure (i.e. in aggregate and/or by specific aspect of relative conservatism)</w:t>
      </w:r>
      <w:r w:rsidR="00496CB9">
        <w:t>,</w:t>
      </w:r>
      <w:r w:rsidR="00B65432">
        <w:t xml:space="preserve"> and</w:t>
      </w:r>
      <w:r>
        <w:t xml:space="preserve"> </w:t>
      </w:r>
      <w:r w:rsidR="00643564">
        <w:t xml:space="preserve">on the </w:t>
      </w:r>
      <w:r>
        <w:t xml:space="preserve">advantages and challenges of this approach. </w:t>
      </w:r>
    </w:p>
    <w:p w14:paraId="3A799168" w14:textId="77777777" w:rsidR="006C3A79" w:rsidRDefault="006C3A79" w:rsidP="00DB0DE7">
      <w:pPr>
        <w:pStyle w:val="APRAHEADING3"/>
      </w:pPr>
      <w:bookmarkStart w:id="132" w:name="_Toc514172194"/>
      <w:r>
        <w:t>Approach 2 – Capital ratio adjustments</w:t>
      </w:r>
      <w:bookmarkEnd w:id="132"/>
    </w:p>
    <w:p w14:paraId="64CC0D42" w14:textId="1DD7EE44" w:rsidR="006C3A79" w:rsidRDefault="00FF05F9" w:rsidP="006C3A79">
      <w:pPr>
        <w:pStyle w:val="APRANORMAL"/>
      </w:pPr>
      <w:r>
        <w:t xml:space="preserve">An alternative approach would involve </w:t>
      </w:r>
      <w:r w:rsidR="006C3A79">
        <w:t>APRA modify</w:t>
      </w:r>
      <w:r>
        <w:t>ing</w:t>
      </w:r>
      <w:r w:rsidR="006C3A79">
        <w:t xml:space="preserve"> the calculation of </w:t>
      </w:r>
      <w:r w:rsidR="009677F7">
        <w:t xml:space="preserve">regulatory </w:t>
      </w:r>
      <w:r w:rsidR="006C3A79">
        <w:t>capital ratios to u</w:t>
      </w:r>
      <w:r>
        <w:t>tili</w:t>
      </w:r>
      <w:r w:rsidR="006C3A79">
        <w:t xml:space="preserve">se more internationally harmonised definitions of capital and RWA. This would involve removing certain aspects of relative conservatism from ADIs’ capital ratio calculations and lifting </w:t>
      </w:r>
      <w:r>
        <w:t xml:space="preserve">minimum </w:t>
      </w:r>
      <w:r w:rsidR="006C3A79">
        <w:t>regulatory capital ratio requirements in tandem.</w:t>
      </w:r>
      <w:r w:rsidR="006C3A79" w:rsidDel="00746DF3">
        <w:t xml:space="preserve"> </w:t>
      </w:r>
      <w:r w:rsidR="003E00FC">
        <w:t xml:space="preserve">This increase in regulatory capital </w:t>
      </w:r>
      <w:r w:rsidR="00C03C0F">
        <w:t xml:space="preserve">ratio </w:t>
      </w:r>
      <w:r w:rsidR="003E00FC">
        <w:t xml:space="preserve">requirements </w:t>
      </w:r>
      <w:r>
        <w:t xml:space="preserve">could </w:t>
      </w:r>
      <w:r w:rsidR="003E00FC">
        <w:t xml:space="preserve">be in the form of </w:t>
      </w:r>
      <w:r w:rsidR="006C3A79">
        <w:t xml:space="preserve">a transparent adjustment to minimum capital ratio requirements—for the purposes of this paper, </w:t>
      </w:r>
      <w:r>
        <w:t xml:space="preserve">such an adjustment is termed </w:t>
      </w:r>
      <w:r w:rsidR="006C3A79">
        <w:t>the ‘APRA Overlay Adjustment’.</w:t>
      </w:r>
    </w:p>
    <w:p w14:paraId="03258BF3" w14:textId="29ABF644" w:rsidR="00FF05F9" w:rsidRDefault="008E4BDE" w:rsidP="006C3A79">
      <w:pPr>
        <w:pStyle w:val="APRANORMAL"/>
        <w:rPr>
          <w:lang w:val="en-AU"/>
        </w:rPr>
      </w:pPr>
      <w:r>
        <w:t xml:space="preserve">To maintain </w:t>
      </w:r>
      <w:r w:rsidR="00FA2727">
        <w:t xml:space="preserve">overall </w:t>
      </w:r>
      <w:r>
        <w:t>capital adequacy, t</w:t>
      </w:r>
      <w:r w:rsidR="006C3A79">
        <w:t xml:space="preserve">he APRA Overlay Adjustment would </w:t>
      </w:r>
      <w:r w:rsidR="00FF05F9">
        <w:t xml:space="preserve">need to </w:t>
      </w:r>
      <w:r w:rsidR="006C3A79">
        <w:t xml:space="preserve">be calculated such that the </w:t>
      </w:r>
      <w:r w:rsidR="00993EBE">
        <w:t xml:space="preserve">total </w:t>
      </w:r>
      <w:r w:rsidR="006C3A79" w:rsidRPr="008E4BDE">
        <w:t xml:space="preserve">dollar amount of Prudential Capital Requirement (PCR) and Capital Conservation Buffer (CCB) would be the same as that required </w:t>
      </w:r>
      <w:r w:rsidR="002965B4">
        <w:t>if these measures were not adopted</w:t>
      </w:r>
      <w:r w:rsidR="006C3A79" w:rsidRPr="008E4BDE">
        <w:t>.</w:t>
      </w:r>
      <w:r w:rsidR="002965B4">
        <w:t xml:space="preserve"> In other words, the risk-based capital requirements of ADIs would be unchanged in absolute dollar terms, maintaining </w:t>
      </w:r>
      <w:r w:rsidR="002965B4">
        <w:lastRenderedPageBreak/>
        <w:t xml:space="preserve">financial safety, but adjustments </w:t>
      </w:r>
      <w:r w:rsidR="00FA5DFC">
        <w:t xml:space="preserve">to the numerator and the denominator of the capital ratio </w:t>
      </w:r>
      <w:r w:rsidR="000B6009">
        <w:t xml:space="preserve">to be more internationally comparable </w:t>
      </w:r>
      <w:r w:rsidR="00FA5DFC">
        <w:t>wou</w:t>
      </w:r>
      <w:r w:rsidR="000B6009">
        <w:t xml:space="preserve">ld increase </w:t>
      </w:r>
      <w:r w:rsidR="00A17F3E">
        <w:t xml:space="preserve">reported </w:t>
      </w:r>
      <w:r w:rsidR="000B6009">
        <w:t>capital ratios.</w:t>
      </w:r>
      <w:r w:rsidR="00C00784">
        <w:rPr>
          <w:lang w:val="en-AU"/>
        </w:rPr>
        <w:t xml:space="preserve"> </w:t>
      </w:r>
      <w:r w:rsidR="007066D8">
        <w:rPr>
          <w:lang w:val="en-AU"/>
        </w:rPr>
        <w:t xml:space="preserve">Further discussion on the allocation of the APRA Overlay Adjustment </w:t>
      </w:r>
      <w:r w:rsidR="00233503">
        <w:rPr>
          <w:lang w:val="en-AU"/>
        </w:rPr>
        <w:t xml:space="preserve">among PCR and CCB is set out in section </w:t>
      </w:r>
      <w:r w:rsidR="00233503">
        <w:rPr>
          <w:lang w:val="en-AU"/>
        </w:rPr>
        <w:fldChar w:fldCharType="begin"/>
      </w:r>
      <w:r w:rsidR="00233503">
        <w:rPr>
          <w:lang w:val="en-AU"/>
        </w:rPr>
        <w:instrText xml:space="preserve"> REF _Ref519244616 \r \h </w:instrText>
      </w:r>
      <w:r w:rsidR="00233503">
        <w:rPr>
          <w:lang w:val="en-AU"/>
        </w:rPr>
      </w:r>
      <w:r w:rsidR="00233503">
        <w:rPr>
          <w:lang w:val="en-AU"/>
        </w:rPr>
        <w:fldChar w:fldCharType="separate"/>
      </w:r>
      <w:r w:rsidR="000B378D">
        <w:rPr>
          <w:lang w:val="en-AU"/>
        </w:rPr>
        <w:t>3.1</w:t>
      </w:r>
      <w:r w:rsidR="00233503">
        <w:rPr>
          <w:lang w:val="en-AU"/>
        </w:rPr>
        <w:fldChar w:fldCharType="end"/>
      </w:r>
      <w:r w:rsidR="00233503">
        <w:rPr>
          <w:lang w:val="en-AU"/>
        </w:rPr>
        <w:t xml:space="preserve">. </w:t>
      </w:r>
    </w:p>
    <w:p w14:paraId="52769D20" w14:textId="5A810106" w:rsidR="006C3A79" w:rsidRDefault="00C1605A" w:rsidP="006C3A79">
      <w:pPr>
        <w:pStyle w:val="APRANORMAL"/>
      </w:pPr>
      <w:r>
        <w:t xml:space="preserve">In </w:t>
      </w:r>
      <w:r w:rsidR="00FF05F9">
        <w:t>practice</w:t>
      </w:r>
      <w:r>
        <w:t>, an APRA Overlay Adjustment</w:t>
      </w:r>
      <w:r w:rsidRPr="00AD3D06">
        <w:t xml:space="preserve"> would be </w:t>
      </w:r>
      <w:r>
        <w:t>required for each tier of capital</w:t>
      </w:r>
      <w:r w:rsidR="003E2FE6">
        <w:t xml:space="preserve">, </w:t>
      </w:r>
      <w:r>
        <w:t>namely CET1,</w:t>
      </w:r>
      <w:r w:rsidRPr="00AD3D06">
        <w:t xml:space="preserve"> Tier 1 and Total capital</w:t>
      </w:r>
      <w:r>
        <w:t>.</w:t>
      </w:r>
      <w:r w:rsidR="00C00784">
        <w:t xml:space="preserve"> For simplicity, this </w:t>
      </w:r>
      <w:r w:rsidR="009B684D">
        <w:t>D</w:t>
      </w:r>
      <w:r w:rsidR="00C00784">
        <w:t>iscussion</w:t>
      </w:r>
      <w:r w:rsidR="00451426">
        <w:t xml:space="preserve"> </w:t>
      </w:r>
      <w:r w:rsidR="009B684D">
        <w:t>P</w:t>
      </w:r>
      <w:r w:rsidR="00451426">
        <w:t>aper focuses on CET1 capital.</w:t>
      </w:r>
    </w:p>
    <w:p w14:paraId="2B76C924" w14:textId="487CE70D" w:rsidR="003E2FE6" w:rsidRDefault="0043313D" w:rsidP="006C3A79">
      <w:pPr>
        <w:pStyle w:val="APRANORMAL"/>
      </w:pPr>
      <w:r>
        <w:t xml:space="preserve">An ADI’s </w:t>
      </w:r>
      <w:r w:rsidR="006C3A79">
        <w:t xml:space="preserve">APRA Overlay Adjustment </w:t>
      </w:r>
      <w:r w:rsidR="000B6009">
        <w:t>would be risk</w:t>
      </w:r>
      <w:r w:rsidR="00150D7E">
        <w:t xml:space="preserve"> </w:t>
      </w:r>
      <w:r w:rsidR="000B6009">
        <w:t xml:space="preserve">sensitive and therefore </w:t>
      </w:r>
      <w:r w:rsidR="00343C8F">
        <w:t>ADI-specific</w:t>
      </w:r>
      <w:r w:rsidR="000B6009">
        <w:t>,</w:t>
      </w:r>
      <w:r w:rsidR="00343C8F">
        <w:t xml:space="preserve"> and </w:t>
      </w:r>
      <w:r w:rsidR="006C3A79">
        <w:t>would vary over time to reflect changes in risk profile.</w:t>
      </w:r>
      <w:r w:rsidR="006C3A79" w:rsidDel="002F72AD">
        <w:t xml:space="preserve"> </w:t>
      </w:r>
      <w:r w:rsidR="002D45FC">
        <w:t xml:space="preserve">Although capital requirements </w:t>
      </w:r>
      <w:r w:rsidR="000B6009">
        <w:t xml:space="preserve">naturally </w:t>
      </w:r>
      <w:r w:rsidR="002D45FC">
        <w:t xml:space="preserve">vary in dollar terms </w:t>
      </w:r>
      <w:r w:rsidR="000B6009">
        <w:t>over time</w:t>
      </w:r>
      <w:r w:rsidR="002D45FC">
        <w:t xml:space="preserve">, under this approach </w:t>
      </w:r>
      <w:r w:rsidR="006C3A79">
        <w:t xml:space="preserve">ADIs would </w:t>
      </w:r>
      <w:r w:rsidR="002D45FC">
        <w:t xml:space="preserve">also </w:t>
      </w:r>
      <w:r w:rsidR="006C3A79">
        <w:t>need to allow for variability in capital ratio requirements in their capital management</w:t>
      </w:r>
      <w:r w:rsidR="008D10AD">
        <w:t>.</w:t>
      </w:r>
      <w:r w:rsidR="002D45FC">
        <w:t xml:space="preserve"> </w:t>
      </w:r>
      <w:r w:rsidR="00212184">
        <w:t>This may</w:t>
      </w:r>
      <w:r w:rsidR="002D45FC">
        <w:t xml:space="preserve"> increase operational complexity for some ADIs.</w:t>
      </w:r>
      <w:r w:rsidR="002D45FC" w:rsidRPr="002D45FC">
        <w:t xml:space="preserve"> </w:t>
      </w:r>
    </w:p>
    <w:p w14:paraId="070F45DE" w14:textId="419A9BB5" w:rsidR="006C3A79" w:rsidRDefault="003E2FE6" w:rsidP="006C3A79">
      <w:pPr>
        <w:pStyle w:val="APRANORMAL"/>
      </w:pPr>
      <w:r>
        <w:t xml:space="preserve">As an option to </w:t>
      </w:r>
      <w:r w:rsidR="008D10AD">
        <w:t>reduce operational complexity</w:t>
      </w:r>
      <w:r w:rsidR="002D45FC">
        <w:t>, the APRA Overlay Adjustment</w:t>
      </w:r>
      <w:r w:rsidR="002D45FC" w:rsidDel="00EF1EB2">
        <w:t xml:space="preserve"> </w:t>
      </w:r>
      <w:r w:rsidR="002D45FC">
        <w:t>could be recalculated on</w:t>
      </w:r>
      <w:r>
        <w:t xml:space="preserve"> a periodic basis. For example, it could occur on</w:t>
      </w:r>
      <w:r w:rsidR="002D45FC">
        <w:t xml:space="preserve"> an annual</w:t>
      </w:r>
      <w:r>
        <w:t xml:space="preserve"> </w:t>
      </w:r>
      <w:r w:rsidR="00C95904">
        <w:t xml:space="preserve">basis </w:t>
      </w:r>
      <w:r>
        <w:t>(</w:t>
      </w:r>
      <w:r w:rsidR="002D45FC">
        <w:t xml:space="preserve">rather than </w:t>
      </w:r>
      <w:r>
        <w:t xml:space="preserve">the </w:t>
      </w:r>
      <w:r w:rsidR="002D45FC">
        <w:t>quarterly basis</w:t>
      </w:r>
      <w:r>
        <w:t xml:space="preserve"> on which capital ratios are currently disclosed)</w:t>
      </w:r>
      <w:r w:rsidR="002D45FC">
        <w:t>, and rounded up, such as to the nearest 25 basis points.</w:t>
      </w:r>
      <w:r w:rsidR="0093764E" w:rsidRPr="0093764E">
        <w:t xml:space="preserve"> </w:t>
      </w:r>
      <w:r w:rsidR="0093764E">
        <w:t>If implemented, the</w:t>
      </w:r>
      <w:r w:rsidR="00EB23AA">
        <w:t xml:space="preserve"> less frequent and rounded calculation of the APRA Overlay Adjustment</w:t>
      </w:r>
      <w:r w:rsidR="0093764E">
        <w:t xml:space="preserve"> would</w:t>
      </w:r>
      <w:r w:rsidR="008D10AD">
        <w:t xml:space="preserve"> be expected to </w:t>
      </w:r>
      <w:r>
        <w:t xml:space="preserve">marginally </w:t>
      </w:r>
      <w:r w:rsidR="0093764E">
        <w:t>reduce the framework’s risk sensitivity.</w:t>
      </w:r>
      <w:r w:rsidR="00D26DC6">
        <w:t xml:space="preserve"> APRA seeks feedback on the potential complexity </w:t>
      </w:r>
      <w:r w:rsidR="00DA636F">
        <w:t xml:space="preserve">arising </w:t>
      </w:r>
      <w:r w:rsidR="00D26DC6">
        <w:t xml:space="preserve">from </w:t>
      </w:r>
      <w:r w:rsidR="00C1605A">
        <w:t xml:space="preserve">a variable capital ratio requirement, including </w:t>
      </w:r>
      <w:r w:rsidR="00212184">
        <w:t>impacts on</w:t>
      </w:r>
      <w:r w:rsidR="00C1605A">
        <w:t xml:space="preserve"> ADIs’ strategic</w:t>
      </w:r>
      <w:r w:rsidR="00212184">
        <w:t>, business</w:t>
      </w:r>
      <w:r w:rsidR="00C1605A">
        <w:t xml:space="preserve"> and capital planning.</w:t>
      </w:r>
    </w:p>
    <w:p w14:paraId="6FF81CAE" w14:textId="400AC2CF" w:rsidR="003E2FE6" w:rsidRDefault="006C3A79" w:rsidP="006C3A79">
      <w:pPr>
        <w:pStyle w:val="APRANORMAL"/>
      </w:pPr>
      <w:r w:rsidRPr="00133D90">
        <w:t xml:space="preserve">Similar to Approach 1, Approach 2 </w:t>
      </w:r>
      <w:r w:rsidR="00993EBE" w:rsidRPr="00133D90">
        <w:t>c</w:t>
      </w:r>
      <w:r w:rsidRPr="00133D90">
        <w:t>ould apply to</w:t>
      </w:r>
      <w:r w:rsidRPr="00133D90" w:rsidDel="00993EBE">
        <w:t xml:space="preserve"> </w:t>
      </w:r>
      <w:r w:rsidRPr="00133D90">
        <w:t>aspects of relative conservatism that are material in size and able to be calculated simply and objectively.</w:t>
      </w:r>
      <w:r w:rsidDel="00536820">
        <w:t xml:space="preserve"> </w:t>
      </w:r>
      <w:r w:rsidR="00A622C6">
        <w:t xml:space="preserve">ADIs would be subject to reporting requirements </w:t>
      </w:r>
      <w:r w:rsidR="00E03C50">
        <w:t xml:space="preserve">and the audit testing requirements under APS 310. </w:t>
      </w:r>
      <w:r>
        <w:t>At a minimum, the aggregate amount of the APRA Overlay Adjustment would be subject to disclosure requirements under a revised</w:t>
      </w:r>
      <w:r>
        <w:rPr>
          <w:i/>
        </w:rPr>
        <w:t xml:space="preserve"> </w:t>
      </w:r>
      <w:r>
        <w:t xml:space="preserve">APS 330. Additionally, the elements comprising the calculation of the APRA Overlay Adjustment could also be subject to disclosure requirements. This would result in a transparent increase </w:t>
      </w:r>
      <w:r w:rsidR="00E4795B">
        <w:t>in</w:t>
      </w:r>
      <w:r>
        <w:t xml:space="preserve"> minimum capital and regulatory buffer ratio requirements. </w:t>
      </w:r>
    </w:p>
    <w:p w14:paraId="1C71208C" w14:textId="1B6A06FA" w:rsidR="00F2789D" w:rsidRDefault="006C3A79" w:rsidP="006C3A79">
      <w:pPr>
        <w:pStyle w:val="APRANORMAL"/>
      </w:pPr>
      <w:r>
        <w:t>APRA would</w:t>
      </w:r>
      <w:r w:rsidR="003E2FE6">
        <w:t>, however,</w:t>
      </w:r>
      <w:r>
        <w:t xml:space="preserve"> continue to </w:t>
      </w:r>
      <w:r w:rsidR="003E2FE6">
        <w:t xml:space="preserve">reserve the right </w:t>
      </w:r>
      <w:r w:rsidR="0071120E">
        <w:t xml:space="preserve">to </w:t>
      </w:r>
      <w:r>
        <w:t>impose ADI-specific adjustments to PCR where appropriate, which would continue to not be disclosable.</w:t>
      </w:r>
    </w:p>
    <w:p w14:paraId="3AFA4C8A" w14:textId="77777777" w:rsidR="00DB0DE7" w:rsidRPr="00DB0DE7" w:rsidRDefault="00DB0DE7" w:rsidP="00DB0DE7">
      <w:pPr>
        <w:pStyle w:val="APRAHEADING3"/>
      </w:pPr>
      <w:bookmarkStart w:id="133" w:name="_Toc514172197"/>
      <w:r w:rsidRPr="00DB0DE7">
        <w:t>Simplifications for standardised ADIs</w:t>
      </w:r>
      <w:bookmarkEnd w:id="133"/>
      <w:r w:rsidRPr="00DB0DE7">
        <w:t xml:space="preserve"> </w:t>
      </w:r>
    </w:p>
    <w:p w14:paraId="39C19F06" w14:textId="6B441785" w:rsidR="00DB0DE7" w:rsidRPr="00DB0DE7" w:rsidRDefault="0017298C" w:rsidP="00DB0DE7">
      <w:pPr>
        <w:pStyle w:val="APRANORMAL"/>
      </w:pPr>
      <w:r>
        <w:t>T</w:t>
      </w:r>
      <w:r w:rsidR="00DB0DE7" w:rsidRPr="00DB0DE7" w:rsidDel="00746DF3">
        <w:t xml:space="preserve">he </w:t>
      </w:r>
      <w:r w:rsidR="00DB0DE7" w:rsidRPr="00DB0DE7">
        <w:t xml:space="preserve">magnitude of adjustments under Approach 1 and Approach 2 would typically be considerably smaller for standardised ADIs when compared to IRB ADIs. Nevertheless, </w:t>
      </w:r>
      <w:r w:rsidR="003E2FE6">
        <w:t xml:space="preserve">conceptually </w:t>
      </w:r>
      <w:r w:rsidR="00DB0DE7" w:rsidRPr="00DB0DE7">
        <w:t xml:space="preserve">these approaches can </w:t>
      </w:r>
      <w:r w:rsidR="003E2FE6">
        <w:t xml:space="preserve">be applied </w:t>
      </w:r>
      <w:r w:rsidR="00DB0DE7" w:rsidRPr="00DB0DE7">
        <w:t xml:space="preserve">to all ADIs. APRA considers that if </w:t>
      </w:r>
      <w:r w:rsidR="00DB0DE7" w:rsidRPr="00DB0DE7">
        <w:lastRenderedPageBreak/>
        <w:t>Approach</w:t>
      </w:r>
      <w:r w:rsidR="00B12560">
        <w:t> </w:t>
      </w:r>
      <w:r w:rsidR="00DB0DE7" w:rsidRPr="00DB0DE7">
        <w:t>2 is applied to the definition of capital,</w:t>
      </w:r>
      <w:r w:rsidR="00DB0DE7" w:rsidRPr="00DB0DE7" w:rsidDel="00746DF3">
        <w:t xml:space="preserve"> </w:t>
      </w:r>
      <w:r w:rsidR="00DB0DE7" w:rsidRPr="00DB0DE7">
        <w:t>it would be appropriate to apply the same approach to all ADIs.</w:t>
      </w:r>
    </w:p>
    <w:p w14:paraId="53FE6E6A" w14:textId="77777777" w:rsidR="00DB0DE7" w:rsidRPr="00DB0DE7" w:rsidRDefault="00DB0DE7" w:rsidP="00DB0DE7">
      <w:pPr>
        <w:pStyle w:val="APRANORMAL"/>
      </w:pPr>
      <w:r w:rsidRPr="00DB0DE7">
        <w:t xml:space="preserve">Further, APRA seeks feedback on the following measures that may be introduced to reduce the regulatory burden for standardised ADIs: </w:t>
      </w:r>
    </w:p>
    <w:p w14:paraId="62DEAC0D" w14:textId="77777777" w:rsidR="00DB0DE7" w:rsidRPr="00DB0DE7" w:rsidRDefault="00DB0DE7" w:rsidP="00F71FD8">
      <w:pPr>
        <w:pStyle w:val="APRABULLET"/>
      </w:pPr>
      <w:r w:rsidRPr="00DB0DE7">
        <w:t xml:space="preserve">the APRA Overlay Adjustment under Approach 2 could be recalculated on a less frequent basis; </w:t>
      </w:r>
    </w:p>
    <w:p w14:paraId="137B5CDF" w14:textId="77777777" w:rsidR="00DB0DE7" w:rsidRPr="00DB0DE7" w:rsidRDefault="00DB0DE7" w:rsidP="00F71FD8">
      <w:pPr>
        <w:pStyle w:val="APRABULLET"/>
      </w:pPr>
      <w:r w:rsidRPr="00DB0DE7">
        <w:t>the adjustments under Approach 1 and Approach 2 could be generated as part of the ADI’s normal APRA regulatory reporting process and would be expected to be largely automated; and</w:t>
      </w:r>
    </w:p>
    <w:p w14:paraId="7EA68AEF" w14:textId="77777777" w:rsidR="00DB0DE7" w:rsidRDefault="00DB0DE7" w:rsidP="00F71FD8">
      <w:pPr>
        <w:pStyle w:val="APRABULLET"/>
      </w:pPr>
      <w:r w:rsidRPr="00DB0DE7">
        <w:t>disclosure could be voluntary.</w:t>
      </w:r>
    </w:p>
    <w:p w14:paraId="28D616E6" w14:textId="77777777" w:rsidR="00F71FD8" w:rsidRDefault="00F71FD8" w:rsidP="00F71FD8">
      <w:pPr>
        <w:pStyle w:val="APRANORMAL"/>
      </w:pPr>
    </w:p>
    <w:p w14:paraId="098528EB" w14:textId="77777777" w:rsidR="00F71FD8" w:rsidRDefault="00F71FD8">
      <w:pPr>
        <w:spacing w:after="120" w:line="288" w:lineRule="auto"/>
        <w:rPr>
          <w:rFonts w:ascii="DIN OT Light" w:hAnsi="DIN OT Light"/>
          <w:lang w:val="en-GB"/>
        </w:rPr>
      </w:pPr>
      <w:r>
        <w:br w:type="page"/>
      </w:r>
    </w:p>
    <w:p w14:paraId="562CEE4E" w14:textId="77777777" w:rsidR="00C01752" w:rsidRDefault="00C01752" w:rsidP="00C01752">
      <w:pPr>
        <w:pStyle w:val="APRAHEADING3"/>
      </w:pPr>
      <w:bookmarkStart w:id="134" w:name="_Toc510689499"/>
      <w:bookmarkStart w:id="135" w:name="_Toc510690477"/>
      <w:bookmarkStart w:id="136" w:name="_Toc514172198"/>
      <w:r>
        <w:lastRenderedPageBreak/>
        <w:t>Advantages and challenges arising from the approaches</w:t>
      </w:r>
      <w:bookmarkEnd w:id="134"/>
      <w:bookmarkEnd w:id="135"/>
      <w:bookmarkEnd w:id="136"/>
      <w:r>
        <w:t xml:space="preserve"> </w:t>
      </w:r>
    </w:p>
    <w:p w14:paraId="14BF0D5E" w14:textId="77777777" w:rsidR="00C01752" w:rsidRDefault="00C01752" w:rsidP="00C01752">
      <w:pPr>
        <w:pStyle w:val="APRANORMAL"/>
      </w:pPr>
      <w:r>
        <w:t xml:space="preserve">The advantages and challenges of both approaches are outlined in the table below. </w:t>
      </w:r>
    </w:p>
    <w:p w14:paraId="00707943" w14:textId="77777777" w:rsidR="00C01752" w:rsidRDefault="00C01752" w:rsidP="00C01752">
      <w:pPr>
        <w:pStyle w:val="APRATABLE-NUMBER"/>
      </w:pPr>
      <w:r>
        <w:t>Advantages and challenges</w:t>
      </w:r>
    </w:p>
    <w:tbl>
      <w:tblPr>
        <w:tblStyle w:val="TableGrid"/>
        <w:tblW w:w="90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7"/>
        <w:gridCol w:w="3798"/>
        <w:gridCol w:w="3798"/>
      </w:tblGrid>
      <w:tr w:rsidR="00C01752" w:rsidRPr="001F2225" w14:paraId="29EED65C" w14:textId="77777777" w:rsidTr="00BD1561">
        <w:trPr>
          <w:trHeight w:val="454"/>
          <w:tblHeader/>
        </w:trPr>
        <w:tc>
          <w:tcPr>
            <w:tcW w:w="1417" w:type="dxa"/>
            <w:shd w:val="clear" w:color="auto" w:fill="002060"/>
            <w:vAlign w:val="bottom"/>
          </w:tcPr>
          <w:p w14:paraId="75E8B5F6" w14:textId="77777777" w:rsidR="00C01752" w:rsidRPr="001F2225" w:rsidRDefault="00C01752" w:rsidP="00BD1561">
            <w:pPr>
              <w:keepNext/>
              <w:keepLines/>
              <w:spacing w:after="60"/>
              <w:rPr>
                <w:rFonts w:ascii="DIN OT Medium" w:hAnsi="DIN OT Medium" w:cs="Arial"/>
                <w:sz w:val="20"/>
                <w:szCs w:val="20"/>
              </w:rPr>
            </w:pPr>
          </w:p>
        </w:tc>
        <w:tc>
          <w:tcPr>
            <w:tcW w:w="3798" w:type="dxa"/>
            <w:shd w:val="clear" w:color="auto" w:fill="002060"/>
            <w:vAlign w:val="bottom"/>
          </w:tcPr>
          <w:p w14:paraId="7B99882A" w14:textId="77777777" w:rsidR="00C01752" w:rsidRPr="001F2225" w:rsidRDefault="00C01752" w:rsidP="00BD1561">
            <w:pPr>
              <w:pStyle w:val="APRANORMAL"/>
              <w:spacing w:after="60"/>
              <w:jc w:val="center"/>
              <w:rPr>
                <w:rFonts w:ascii="DIN OT Medium" w:hAnsi="DIN OT Medium"/>
                <w:sz w:val="20"/>
                <w:szCs w:val="20"/>
              </w:rPr>
            </w:pPr>
            <w:r w:rsidRPr="001F2225">
              <w:rPr>
                <w:rFonts w:ascii="DIN OT Medium" w:hAnsi="DIN OT Medium"/>
                <w:sz w:val="20"/>
                <w:szCs w:val="20"/>
              </w:rPr>
              <w:t>Advantages</w:t>
            </w:r>
          </w:p>
        </w:tc>
        <w:tc>
          <w:tcPr>
            <w:tcW w:w="3798" w:type="dxa"/>
            <w:shd w:val="clear" w:color="auto" w:fill="002060"/>
            <w:vAlign w:val="bottom"/>
          </w:tcPr>
          <w:p w14:paraId="4C09AAEB" w14:textId="77777777" w:rsidR="00C01752" w:rsidRPr="001F2225" w:rsidRDefault="00C01752" w:rsidP="00BD1561">
            <w:pPr>
              <w:pStyle w:val="APRANORMAL"/>
              <w:spacing w:after="60"/>
              <w:jc w:val="center"/>
              <w:rPr>
                <w:rFonts w:ascii="DIN OT Medium" w:hAnsi="DIN OT Medium"/>
                <w:sz w:val="20"/>
                <w:szCs w:val="20"/>
              </w:rPr>
            </w:pPr>
            <w:r w:rsidRPr="001F2225">
              <w:rPr>
                <w:rFonts w:ascii="DIN OT Medium" w:hAnsi="DIN OT Medium"/>
                <w:sz w:val="20"/>
                <w:szCs w:val="20"/>
              </w:rPr>
              <w:t>Challenges</w:t>
            </w:r>
          </w:p>
        </w:tc>
      </w:tr>
      <w:tr w:rsidR="00C01752" w:rsidRPr="001F2225" w14:paraId="4676DCE5" w14:textId="77777777" w:rsidTr="00BD1561">
        <w:trPr>
          <w:trHeight w:val="498"/>
        </w:trPr>
        <w:tc>
          <w:tcPr>
            <w:tcW w:w="1417" w:type="dxa"/>
            <w:shd w:val="clear" w:color="auto" w:fill="002060"/>
          </w:tcPr>
          <w:p w14:paraId="4AA24ADB" w14:textId="77777777" w:rsidR="00C01752" w:rsidRPr="001F2225" w:rsidRDefault="00C01752" w:rsidP="00BD1561">
            <w:pPr>
              <w:pStyle w:val="APRANORMAL"/>
              <w:spacing w:before="80" w:after="120"/>
              <w:rPr>
                <w:rFonts w:ascii="DIN OT Medium" w:hAnsi="DIN OT Medium"/>
                <w:sz w:val="20"/>
                <w:szCs w:val="20"/>
              </w:rPr>
            </w:pPr>
            <w:r>
              <w:rPr>
                <w:rFonts w:ascii="DIN OT Medium" w:hAnsi="DIN OT Medium"/>
                <w:sz w:val="20"/>
                <w:szCs w:val="20"/>
              </w:rPr>
              <w:t>Approach</w:t>
            </w:r>
            <w:r w:rsidRPr="001F2225">
              <w:rPr>
                <w:rFonts w:ascii="DIN OT Medium" w:hAnsi="DIN OT Medium"/>
                <w:sz w:val="20"/>
                <w:szCs w:val="20"/>
              </w:rPr>
              <w:t xml:space="preserve"> 1</w:t>
            </w:r>
            <w:r>
              <w:rPr>
                <w:rFonts w:ascii="DIN OT Medium" w:hAnsi="DIN OT Medium"/>
                <w:sz w:val="20"/>
                <w:szCs w:val="20"/>
              </w:rPr>
              <w:t>: consistent disclosures</w:t>
            </w:r>
          </w:p>
        </w:tc>
        <w:tc>
          <w:tcPr>
            <w:tcW w:w="3798" w:type="dxa"/>
            <w:shd w:val="clear" w:color="auto" w:fill="D9D9D9" w:themeFill="background1" w:themeFillShade="D9"/>
          </w:tcPr>
          <w:p w14:paraId="4F1E9FAE" w14:textId="03F1A878" w:rsidR="00C01752" w:rsidRPr="001F2225" w:rsidRDefault="00C01752" w:rsidP="00BD1561">
            <w:pPr>
              <w:pStyle w:val="APRABULLET"/>
              <w:spacing w:before="80"/>
              <w:ind w:left="357" w:hanging="357"/>
              <w:rPr>
                <w:rFonts w:cs="Arial"/>
                <w:sz w:val="20"/>
                <w:szCs w:val="20"/>
              </w:rPr>
            </w:pPr>
            <w:r w:rsidRPr="001F2225">
              <w:rPr>
                <w:rFonts w:cs="Arial"/>
                <w:sz w:val="20"/>
                <w:szCs w:val="20"/>
              </w:rPr>
              <w:t xml:space="preserve">Simpler approach as it does not involve changes to any </w:t>
            </w:r>
            <w:r w:rsidR="0071120E">
              <w:rPr>
                <w:rFonts w:cs="Arial"/>
                <w:sz w:val="20"/>
                <w:szCs w:val="20"/>
              </w:rPr>
              <w:t xml:space="preserve">regulatory </w:t>
            </w:r>
            <w:r w:rsidRPr="001F2225">
              <w:rPr>
                <w:rFonts w:cs="Arial"/>
                <w:sz w:val="20"/>
                <w:szCs w:val="20"/>
              </w:rPr>
              <w:t>capital requirements.</w:t>
            </w:r>
          </w:p>
          <w:p w14:paraId="64E0B42B" w14:textId="77777777" w:rsidR="00C01752" w:rsidRDefault="00C01752" w:rsidP="00BD1561">
            <w:pPr>
              <w:pStyle w:val="APRABULLET"/>
              <w:spacing w:before="80"/>
              <w:ind w:left="357" w:hanging="357"/>
              <w:rPr>
                <w:rFonts w:cs="Arial"/>
                <w:sz w:val="20"/>
                <w:szCs w:val="20"/>
              </w:rPr>
            </w:pPr>
            <w:r w:rsidRPr="001F2225">
              <w:rPr>
                <w:rFonts w:cs="Arial"/>
                <w:sz w:val="20"/>
                <w:szCs w:val="20"/>
              </w:rPr>
              <w:t xml:space="preserve">Improves transparency of items to which APRA has </w:t>
            </w:r>
            <w:r>
              <w:rPr>
                <w:rFonts w:cs="Arial"/>
                <w:sz w:val="20"/>
                <w:szCs w:val="20"/>
              </w:rPr>
              <w:t xml:space="preserve">applied relative conservatism. </w:t>
            </w:r>
          </w:p>
          <w:p w14:paraId="1B6CCD49" w14:textId="77777777" w:rsidR="00F66008" w:rsidRDefault="00C01752" w:rsidP="00BD1561">
            <w:pPr>
              <w:pStyle w:val="APRABULLET"/>
              <w:rPr>
                <w:rFonts w:cs="Arial"/>
                <w:sz w:val="20"/>
                <w:szCs w:val="20"/>
              </w:rPr>
            </w:pPr>
            <w:r w:rsidRPr="002F4947">
              <w:rPr>
                <w:rFonts w:cs="Arial"/>
                <w:sz w:val="20"/>
                <w:szCs w:val="20"/>
              </w:rPr>
              <w:t>Builds on the existing practice of large</w:t>
            </w:r>
            <w:r>
              <w:rPr>
                <w:rFonts w:cs="Arial"/>
                <w:sz w:val="20"/>
                <w:szCs w:val="20"/>
              </w:rPr>
              <w:t>r</w:t>
            </w:r>
            <w:r w:rsidRPr="002F4947">
              <w:rPr>
                <w:rFonts w:cs="Arial"/>
                <w:sz w:val="20"/>
                <w:szCs w:val="20"/>
              </w:rPr>
              <w:t xml:space="preserve"> ADIs self-disclosing comparable capital ratios, and adds credibility as </w:t>
            </w:r>
            <w:r>
              <w:rPr>
                <w:rFonts w:cs="Arial"/>
                <w:sz w:val="20"/>
                <w:szCs w:val="20"/>
              </w:rPr>
              <w:t xml:space="preserve">the methodology </w:t>
            </w:r>
            <w:r w:rsidRPr="002F4947">
              <w:rPr>
                <w:rFonts w:cs="Arial"/>
                <w:sz w:val="20"/>
                <w:szCs w:val="20"/>
              </w:rPr>
              <w:t xml:space="preserve">would be </w:t>
            </w:r>
            <w:r>
              <w:rPr>
                <w:rFonts w:cs="Arial"/>
                <w:sz w:val="20"/>
                <w:szCs w:val="20"/>
              </w:rPr>
              <w:t>determined by APRA.</w:t>
            </w:r>
          </w:p>
          <w:p w14:paraId="380C2011" w14:textId="732E97B7" w:rsidR="00C01752" w:rsidRPr="007E5F2A" w:rsidRDefault="00F66008" w:rsidP="00F66008">
            <w:pPr>
              <w:pStyle w:val="APRABULLET"/>
              <w:rPr>
                <w:rFonts w:cs="Arial"/>
                <w:sz w:val="20"/>
                <w:szCs w:val="20"/>
              </w:rPr>
            </w:pPr>
            <w:r>
              <w:rPr>
                <w:rFonts w:cs="Arial"/>
                <w:sz w:val="20"/>
                <w:szCs w:val="20"/>
              </w:rPr>
              <w:t>Lowest cost of the two possible approaches</w:t>
            </w:r>
            <w:r w:rsidR="00E1198A">
              <w:rPr>
                <w:rFonts w:cs="Arial"/>
                <w:sz w:val="20"/>
                <w:szCs w:val="20"/>
              </w:rPr>
              <w:t>.</w:t>
            </w:r>
            <w:r w:rsidR="00C01752">
              <w:rPr>
                <w:rFonts w:cs="Arial"/>
                <w:sz w:val="20"/>
                <w:szCs w:val="20"/>
              </w:rPr>
              <w:t xml:space="preserve"> </w:t>
            </w:r>
          </w:p>
        </w:tc>
        <w:tc>
          <w:tcPr>
            <w:tcW w:w="3798" w:type="dxa"/>
            <w:shd w:val="clear" w:color="auto" w:fill="D9D9D9" w:themeFill="background1" w:themeFillShade="D9"/>
          </w:tcPr>
          <w:p w14:paraId="44370F02" w14:textId="7F3767C1" w:rsidR="00F66008" w:rsidRDefault="00C01752" w:rsidP="00BD1561">
            <w:pPr>
              <w:pStyle w:val="APRABULLET"/>
              <w:spacing w:before="80"/>
              <w:ind w:left="357" w:hanging="357"/>
              <w:rPr>
                <w:sz w:val="20"/>
                <w:szCs w:val="20"/>
              </w:rPr>
            </w:pPr>
            <w:r>
              <w:rPr>
                <w:sz w:val="20"/>
                <w:szCs w:val="20"/>
              </w:rPr>
              <w:t xml:space="preserve">Results in two APRA-endorsed capital ratios </w:t>
            </w:r>
            <w:r w:rsidR="00E4795B">
              <w:rPr>
                <w:sz w:val="20"/>
                <w:szCs w:val="20"/>
              </w:rPr>
              <w:t xml:space="preserve">for ADIs </w:t>
            </w:r>
            <w:r>
              <w:rPr>
                <w:sz w:val="20"/>
                <w:szCs w:val="20"/>
              </w:rPr>
              <w:t xml:space="preserve">(one which is a regulatory requirement and one which is a disclosure-only measure) which may create confusion. </w:t>
            </w:r>
          </w:p>
          <w:p w14:paraId="0F47899C" w14:textId="77777777" w:rsidR="00C01752" w:rsidRPr="00636131" w:rsidRDefault="00C01752" w:rsidP="00BD1561">
            <w:pPr>
              <w:pStyle w:val="APRABULLET"/>
              <w:spacing w:before="80"/>
              <w:ind w:left="357" w:hanging="357"/>
              <w:rPr>
                <w:sz w:val="20"/>
                <w:szCs w:val="20"/>
              </w:rPr>
            </w:pPr>
            <w:r>
              <w:rPr>
                <w:sz w:val="20"/>
                <w:szCs w:val="20"/>
              </w:rPr>
              <w:t>I</w:t>
            </w:r>
            <w:r w:rsidRPr="001F2225">
              <w:rPr>
                <w:sz w:val="20"/>
                <w:szCs w:val="20"/>
              </w:rPr>
              <w:t xml:space="preserve">nvestors </w:t>
            </w:r>
            <w:r>
              <w:rPr>
                <w:sz w:val="20"/>
                <w:szCs w:val="20"/>
              </w:rPr>
              <w:t xml:space="preserve">may </w:t>
            </w:r>
            <w:r w:rsidR="00F66008">
              <w:rPr>
                <w:sz w:val="20"/>
                <w:szCs w:val="20"/>
              </w:rPr>
              <w:t xml:space="preserve">still </w:t>
            </w:r>
            <w:r w:rsidRPr="001F2225">
              <w:rPr>
                <w:sz w:val="20"/>
                <w:szCs w:val="20"/>
              </w:rPr>
              <w:t xml:space="preserve">focus on the </w:t>
            </w:r>
            <w:r>
              <w:rPr>
                <w:sz w:val="20"/>
                <w:szCs w:val="20"/>
              </w:rPr>
              <w:t>regulatory</w:t>
            </w:r>
            <w:r w:rsidRPr="001F2225">
              <w:rPr>
                <w:sz w:val="20"/>
                <w:szCs w:val="20"/>
              </w:rPr>
              <w:t xml:space="preserve"> ratios</w:t>
            </w:r>
            <w:r>
              <w:rPr>
                <w:sz w:val="20"/>
                <w:szCs w:val="20"/>
              </w:rPr>
              <w:t xml:space="preserve"> rather than the notionally adjusted ratios</w:t>
            </w:r>
            <w:r w:rsidRPr="001F2225">
              <w:rPr>
                <w:sz w:val="20"/>
                <w:szCs w:val="20"/>
              </w:rPr>
              <w:t>.</w:t>
            </w:r>
          </w:p>
        </w:tc>
      </w:tr>
      <w:tr w:rsidR="00C01752" w:rsidRPr="001F2225" w14:paraId="55C5B35E" w14:textId="77777777" w:rsidTr="00BD1561">
        <w:trPr>
          <w:trHeight w:val="498"/>
        </w:trPr>
        <w:tc>
          <w:tcPr>
            <w:tcW w:w="1417" w:type="dxa"/>
            <w:shd w:val="clear" w:color="auto" w:fill="002060"/>
          </w:tcPr>
          <w:p w14:paraId="59051202" w14:textId="77777777" w:rsidR="00C01752" w:rsidRPr="001F2225" w:rsidRDefault="00C01752" w:rsidP="00BD1561">
            <w:pPr>
              <w:pStyle w:val="APRANORMAL"/>
              <w:spacing w:before="80" w:after="120"/>
              <w:rPr>
                <w:rFonts w:ascii="DIN OT Medium" w:hAnsi="DIN OT Medium"/>
                <w:sz w:val="20"/>
                <w:szCs w:val="20"/>
              </w:rPr>
            </w:pPr>
            <w:r>
              <w:rPr>
                <w:rFonts w:ascii="DIN OT Medium" w:hAnsi="DIN OT Medium"/>
                <w:sz w:val="20"/>
                <w:szCs w:val="20"/>
              </w:rPr>
              <w:t>Approach</w:t>
            </w:r>
            <w:r w:rsidRPr="001F2225">
              <w:rPr>
                <w:rFonts w:ascii="DIN OT Medium" w:hAnsi="DIN OT Medium"/>
                <w:sz w:val="20"/>
                <w:szCs w:val="20"/>
              </w:rPr>
              <w:t xml:space="preserve"> 2</w:t>
            </w:r>
            <w:r>
              <w:rPr>
                <w:rFonts w:ascii="DIN OT Medium" w:hAnsi="DIN OT Medium"/>
                <w:sz w:val="20"/>
                <w:szCs w:val="20"/>
              </w:rPr>
              <w:t>: capital ratio adjustments</w:t>
            </w:r>
          </w:p>
        </w:tc>
        <w:tc>
          <w:tcPr>
            <w:tcW w:w="3798" w:type="dxa"/>
            <w:shd w:val="clear" w:color="auto" w:fill="D9D9D9" w:themeFill="background1" w:themeFillShade="D9"/>
          </w:tcPr>
          <w:p w14:paraId="3290C83E" w14:textId="77777777" w:rsidR="00C01752" w:rsidRDefault="00C01752" w:rsidP="00BD1561">
            <w:pPr>
              <w:pStyle w:val="APRABULLET"/>
              <w:spacing w:before="80"/>
              <w:ind w:left="357" w:hanging="357"/>
              <w:rPr>
                <w:rFonts w:cs="Arial"/>
                <w:sz w:val="20"/>
                <w:szCs w:val="20"/>
              </w:rPr>
            </w:pPr>
            <w:r w:rsidRPr="001F2225">
              <w:rPr>
                <w:rFonts w:cs="Arial"/>
                <w:sz w:val="20"/>
                <w:szCs w:val="20"/>
              </w:rPr>
              <w:t>Improves transparency of items to which APRA has applied relative conservatism.</w:t>
            </w:r>
          </w:p>
          <w:p w14:paraId="775ED37A" w14:textId="7BF15433" w:rsidR="00C01752" w:rsidRPr="009E273B" w:rsidRDefault="00C01752" w:rsidP="00BD1561">
            <w:pPr>
              <w:pStyle w:val="APRABULLET"/>
              <w:spacing w:before="80"/>
              <w:ind w:left="357" w:hanging="357"/>
              <w:rPr>
                <w:rFonts w:cs="Arial"/>
                <w:sz w:val="20"/>
                <w:szCs w:val="20"/>
              </w:rPr>
            </w:pPr>
            <w:r>
              <w:rPr>
                <w:rFonts w:cs="Arial"/>
                <w:sz w:val="20"/>
                <w:szCs w:val="20"/>
              </w:rPr>
              <w:t xml:space="preserve">More effective approach to improving comparability through adjustments to </w:t>
            </w:r>
            <w:r w:rsidR="009677F7">
              <w:rPr>
                <w:rFonts w:cs="Arial"/>
                <w:sz w:val="20"/>
                <w:szCs w:val="20"/>
              </w:rPr>
              <w:t xml:space="preserve">regulatory </w:t>
            </w:r>
            <w:r>
              <w:rPr>
                <w:rFonts w:cs="Arial"/>
                <w:sz w:val="20"/>
                <w:szCs w:val="20"/>
              </w:rPr>
              <w:t xml:space="preserve">capital ratios. </w:t>
            </w:r>
            <w:r w:rsidRPr="00083CB7">
              <w:rPr>
                <w:rFonts w:cs="Arial"/>
                <w:sz w:val="20"/>
                <w:szCs w:val="20"/>
              </w:rPr>
              <w:t xml:space="preserve">Supports the ‘unquestionably strong’ objective that actual capital strength should be </w:t>
            </w:r>
            <w:r w:rsidRPr="001115B3">
              <w:rPr>
                <w:rFonts w:cs="Arial"/>
                <w:sz w:val="20"/>
                <w:szCs w:val="20"/>
              </w:rPr>
              <w:t xml:space="preserve">perceived </w:t>
            </w:r>
            <w:r>
              <w:rPr>
                <w:rFonts w:cs="Arial"/>
                <w:sz w:val="20"/>
                <w:szCs w:val="20"/>
              </w:rPr>
              <w:t>as such</w:t>
            </w:r>
            <w:r w:rsidRPr="009E273B">
              <w:rPr>
                <w:rFonts w:cs="Arial"/>
                <w:sz w:val="20"/>
                <w:szCs w:val="20"/>
              </w:rPr>
              <w:t xml:space="preserve">.  </w:t>
            </w:r>
          </w:p>
          <w:p w14:paraId="0BE3F12D" w14:textId="77777777" w:rsidR="00C01752" w:rsidRPr="001F2225" w:rsidRDefault="00C01752" w:rsidP="00BD1561">
            <w:pPr>
              <w:pStyle w:val="APRABULLET"/>
            </w:pPr>
            <w:r w:rsidRPr="009E273B">
              <w:rPr>
                <w:sz w:val="20"/>
                <w:szCs w:val="20"/>
              </w:rPr>
              <w:t xml:space="preserve">Provides opportunity </w:t>
            </w:r>
            <w:r>
              <w:rPr>
                <w:sz w:val="20"/>
                <w:szCs w:val="20"/>
              </w:rPr>
              <w:t>to increase the responsiveness of the ADI capital framework in times of stress</w:t>
            </w:r>
            <w:r w:rsidRPr="009E273B">
              <w:rPr>
                <w:sz w:val="20"/>
                <w:szCs w:val="20"/>
              </w:rPr>
              <w:t xml:space="preserve"> (refer </w:t>
            </w:r>
            <w:r>
              <w:rPr>
                <w:sz w:val="20"/>
                <w:szCs w:val="20"/>
              </w:rPr>
              <w:t xml:space="preserve">to </w:t>
            </w:r>
            <w:r w:rsidRPr="009E273B">
              <w:rPr>
                <w:sz w:val="20"/>
                <w:szCs w:val="20"/>
              </w:rPr>
              <w:t>Chapter 3).</w:t>
            </w:r>
          </w:p>
        </w:tc>
        <w:tc>
          <w:tcPr>
            <w:tcW w:w="3798" w:type="dxa"/>
            <w:shd w:val="clear" w:color="auto" w:fill="D9D9D9" w:themeFill="background1" w:themeFillShade="D9"/>
          </w:tcPr>
          <w:p w14:paraId="42A7F695" w14:textId="77777777" w:rsidR="00C01752" w:rsidRDefault="00C01752" w:rsidP="00BD1561">
            <w:pPr>
              <w:pStyle w:val="APRABULLET"/>
              <w:spacing w:before="80"/>
              <w:ind w:left="357" w:hanging="357"/>
              <w:rPr>
                <w:rFonts w:cs="Arial"/>
                <w:sz w:val="20"/>
                <w:szCs w:val="20"/>
              </w:rPr>
            </w:pPr>
            <w:r>
              <w:rPr>
                <w:rFonts w:cs="Arial"/>
                <w:sz w:val="20"/>
                <w:szCs w:val="20"/>
              </w:rPr>
              <w:t>Involves changes to both capital and disclosure requirements.</w:t>
            </w:r>
          </w:p>
          <w:p w14:paraId="40AB848D" w14:textId="55852A57" w:rsidR="00C01752" w:rsidRDefault="00C01752" w:rsidP="00BD1561">
            <w:pPr>
              <w:pStyle w:val="APRABULLET"/>
              <w:spacing w:before="80"/>
              <w:ind w:left="357" w:hanging="357"/>
              <w:rPr>
                <w:rFonts w:cs="Arial"/>
                <w:sz w:val="20"/>
                <w:szCs w:val="20"/>
              </w:rPr>
            </w:pPr>
            <w:r w:rsidRPr="001F2225">
              <w:rPr>
                <w:rFonts w:cs="Arial"/>
                <w:sz w:val="20"/>
                <w:szCs w:val="20"/>
              </w:rPr>
              <w:t>May</w:t>
            </w:r>
            <w:r>
              <w:rPr>
                <w:rFonts w:cs="Arial"/>
                <w:sz w:val="20"/>
                <w:szCs w:val="20"/>
              </w:rPr>
              <w:t xml:space="preserve"> </w:t>
            </w:r>
            <w:r w:rsidR="00F66008">
              <w:rPr>
                <w:rFonts w:cs="Arial"/>
                <w:sz w:val="20"/>
                <w:szCs w:val="20"/>
              </w:rPr>
              <w:t xml:space="preserve">significantly </w:t>
            </w:r>
            <w:r w:rsidRPr="001F2225">
              <w:rPr>
                <w:rFonts w:cs="Arial"/>
                <w:sz w:val="20"/>
                <w:szCs w:val="20"/>
              </w:rPr>
              <w:t>increase</w:t>
            </w:r>
            <w:r>
              <w:rPr>
                <w:rFonts w:cs="Arial"/>
                <w:sz w:val="20"/>
                <w:szCs w:val="20"/>
              </w:rPr>
              <w:t xml:space="preserve"> operational</w:t>
            </w:r>
            <w:r w:rsidRPr="001F2225">
              <w:rPr>
                <w:rFonts w:cs="Arial"/>
                <w:sz w:val="20"/>
                <w:szCs w:val="20"/>
              </w:rPr>
              <w:t xml:space="preserve"> complexity</w:t>
            </w:r>
            <w:r w:rsidR="00E01591">
              <w:rPr>
                <w:rFonts w:cs="Arial"/>
                <w:sz w:val="20"/>
                <w:szCs w:val="20"/>
              </w:rPr>
              <w:t xml:space="preserve"> for ADIs</w:t>
            </w:r>
            <w:r>
              <w:rPr>
                <w:rFonts w:cs="Arial"/>
                <w:sz w:val="20"/>
                <w:szCs w:val="20"/>
              </w:rPr>
              <w:t xml:space="preserve"> -</w:t>
            </w:r>
            <w:r w:rsidRPr="001F2225">
              <w:rPr>
                <w:rFonts w:cs="Arial"/>
                <w:sz w:val="20"/>
                <w:szCs w:val="20"/>
              </w:rPr>
              <w:t xml:space="preserve"> </w:t>
            </w:r>
            <w:r>
              <w:rPr>
                <w:rFonts w:cs="Arial"/>
                <w:sz w:val="20"/>
                <w:szCs w:val="20"/>
              </w:rPr>
              <w:t>the application of the APRA Overlay Adjustment would result</w:t>
            </w:r>
            <w:r w:rsidRPr="001F2225">
              <w:rPr>
                <w:rFonts w:cs="Arial"/>
                <w:sz w:val="20"/>
                <w:szCs w:val="20"/>
              </w:rPr>
              <w:t xml:space="preserve"> in a variable capital </w:t>
            </w:r>
            <w:r>
              <w:rPr>
                <w:rFonts w:cs="Arial"/>
                <w:sz w:val="20"/>
                <w:szCs w:val="20"/>
              </w:rPr>
              <w:t xml:space="preserve">ratio </w:t>
            </w:r>
            <w:r w:rsidRPr="001F2225">
              <w:rPr>
                <w:rFonts w:cs="Arial"/>
                <w:sz w:val="20"/>
                <w:szCs w:val="20"/>
              </w:rPr>
              <w:t xml:space="preserve">requirement. </w:t>
            </w:r>
          </w:p>
          <w:p w14:paraId="0F08E792" w14:textId="77777777" w:rsidR="00F66008" w:rsidRPr="001F2225" w:rsidRDefault="00F66008" w:rsidP="00BD1561">
            <w:pPr>
              <w:pStyle w:val="APRABULLET"/>
              <w:spacing w:before="80"/>
              <w:ind w:left="357" w:hanging="357"/>
              <w:rPr>
                <w:rFonts w:cs="Arial"/>
                <w:sz w:val="20"/>
                <w:szCs w:val="20"/>
              </w:rPr>
            </w:pPr>
            <w:r>
              <w:rPr>
                <w:rFonts w:cs="Arial"/>
                <w:sz w:val="20"/>
                <w:szCs w:val="20"/>
              </w:rPr>
              <w:t>Introduction of variability in minimum capital requirements introduces complexity in analysing capital buffers and may undermine desired transparency.</w:t>
            </w:r>
          </w:p>
          <w:p w14:paraId="63A8976A" w14:textId="77777777" w:rsidR="00C01752" w:rsidRPr="002F602F" w:rsidRDefault="00C01752" w:rsidP="00BD1561">
            <w:pPr>
              <w:pStyle w:val="APRABULLET"/>
              <w:spacing w:before="80"/>
              <w:ind w:left="357" w:hanging="357"/>
              <w:rPr>
                <w:rFonts w:cs="Arial"/>
                <w:sz w:val="20"/>
                <w:szCs w:val="20"/>
              </w:rPr>
            </w:pPr>
            <w:r w:rsidRPr="001F2225">
              <w:rPr>
                <w:rFonts w:cs="Arial"/>
                <w:sz w:val="20"/>
                <w:szCs w:val="20"/>
              </w:rPr>
              <w:t>The appropriateness of the</w:t>
            </w:r>
            <w:r>
              <w:rPr>
                <w:rFonts w:cs="Arial"/>
                <w:sz w:val="20"/>
                <w:szCs w:val="20"/>
              </w:rPr>
              <w:t xml:space="preserve"> loss absorption trigger point</w:t>
            </w:r>
            <w:r w:rsidRPr="001F2225">
              <w:rPr>
                <w:rFonts w:cs="Arial"/>
                <w:sz w:val="20"/>
                <w:szCs w:val="20"/>
              </w:rPr>
              <w:t xml:space="preserve"> of 5.125</w:t>
            </w:r>
            <w:r>
              <w:rPr>
                <w:rFonts w:cs="Arial"/>
                <w:sz w:val="20"/>
                <w:szCs w:val="20"/>
              </w:rPr>
              <w:t xml:space="preserve"> per cent of RWA will need to be reviewed (refer to Chapter 3). </w:t>
            </w:r>
          </w:p>
        </w:tc>
      </w:tr>
    </w:tbl>
    <w:p w14:paraId="5974C768" w14:textId="503005DE" w:rsidR="00F71FD8" w:rsidRDefault="00F71FD8" w:rsidP="00F71FD8">
      <w:pPr>
        <w:pStyle w:val="APRANORMAL"/>
      </w:pPr>
      <w:bookmarkStart w:id="137" w:name="_Toc514172195"/>
    </w:p>
    <w:p w14:paraId="09FC408A" w14:textId="77777777" w:rsidR="00F71FD8" w:rsidRDefault="00F71FD8">
      <w:pPr>
        <w:spacing w:after="120" w:line="288" w:lineRule="auto"/>
        <w:rPr>
          <w:rFonts w:ascii="DIN OT Light" w:hAnsi="DIN OT Light"/>
          <w:lang w:val="en-GB"/>
        </w:rPr>
      </w:pPr>
      <w:r>
        <w:lastRenderedPageBreak/>
        <w:br w:type="page"/>
      </w:r>
    </w:p>
    <w:p w14:paraId="1C7F12A3" w14:textId="77777777" w:rsidR="00DC6AE3" w:rsidRDefault="00DC6AE3" w:rsidP="00DB0DE7">
      <w:pPr>
        <w:pStyle w:val="APRAHEADING3"/>
      </w:pPr>
      <w:r>
        <w:lastRenderedPageBreak/>
        <w:t xml:space="preserve">Summary </w:t>
      </w:r>
      <w:bookmarkEnd w:id="137"/>
    </w:p>
    <w:p w14:paraId="4524515D" w14:textId="71E3AC0A" w:rsidR="00DB0DE7" w:rsidRPr="00CB15BE" w:rsidRDefault="00DB0DE7" w:rsidP="00DB0DE7">
      <w:pPr>
        <w:pStyle w:val="APRANORMAL"/>
      </w:pPr>
      <w:r>
        <w:t xml:space="preserve">Table </w:t>
      </w:r>
      <w:r w:rsidR="00C01752">
        <w:t>4</w:t>
      </w:r>
      <w:r>
        <w:t xml:space="preserve"> below summarises the </w:t>
      </w:r>
      <w:r w:rsidR="00F66008">
        <w:t xml:space="preserve">two conceptual </w:t>
      </w:r>
      <w:r>
        <w:t>approaches</w:t>
      </w:r>
      <w:r w:rsidR="00F66008">
        <w:t>:</w:t>
      </w:r>
    </w:p>
    <w:p w14:paraId="1D522D69" w14:textId="77777777" w:rsidR="00DB0DE7" w:rsidRDefault="00DB0DE7" w:rsidP="00DB0DE7">
      <w:pPr>
        <w:pStyle w:val="APRATABLE-NUMBER"/>
      </w:pPr>
      <w:r>
        <w:t>Summary of approaches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6746"/>
      </w:tblGrid>
      <w:tr w:rsidR="00DB0DE7" w:rsidRPr="00B82CAF" w14:paraId="13AAC3F0" w14:textId="77777777" w:rsidTr="00BD1561">
        <w:tc>
          <w:tcPr>
            <w:tcW w:w="2268" w:type="dxa"/>
            <w:shd w:val="clear" w:color="auto" w:fill="002060"/>
          </w:tcPr>
          <w:p w14:paraId="74A4D9B3" w14:textId="77777777" w:rsidR="00DB0DE7" w:rsidRPr="00B82CAF" w:rsidRDefault="00DB0DE7" w:rsidP="00BD1561">
            <w:pPr>
              <w:keepNext/>
              <w:keepLines/>
              <w:rPr>
                <w:rFonts w:ascii="DIN OT Medium" w:hAnsi="DIN OT Medium"/>
                <w:sz w:val="20"/>
                <w:szCs w:val="20"/>
              </w:rPr>
            </w:pPr>
            <w:r>
              <w:rPr>
                <w:rFonts w:ascii="DIN OT Medium" w:hAnsi="DIN OT Medium"/>
                <w:sz w:val="20"/>
                <w:szCs w:val="20"/>
              </w:rPr>
              <w:t xml:space="preserve">Approach 1 – consistent </w:t>
            </w:r>
            <w:r>
              <w:rPr>
                <w:rFonts w:ascii="DIN OT Medium" w:hAnsi="DIN OT Medium"/>
                <w:sz w:val="20"/>
                <w:szCs w:val="20"/>
              </w:rPr>
              <w:br/>
              <w:t>disclosures</w:t>
            </w:r>
            <w:r w:rsidRPr="00B82CAF">
              <w:rPr>
                <w:rFonts w:ascii="DIN OT Medium" w:hAnsi="DIN OT Medium"/>
                <w:sz w:val="20"/>
                <w:szCs w:val="20"/>
              </w:rPr>
              <w:t xml:space="preserve"> </w:t>
            </w:r>
          </w:p>
        </w:tc>
        <w:tc>
          <w:tcPr>
            <w:tcW w:w="6746" w:type="dxa"/>
            <w:shd w:val="clear" w:color="auto" w:fill="D9D9D9" w:themeFill="background1" w:themeFillShade="D9"/>
          </w:tcPr>
          <w:p w14:paraId="7340AFF2" w14:textId="77777777" w:rsidR="00DB0DE7" w:rsidRPr="00B82CAF" w:rsidRDefault="00DB0DE7" w:rsidP="00BD1561">
            <w:pPr>
              <w:keepNext/>
              <w:keepLines/>
              <w:rPr>
                <w:rFonts w:ascii="DIN OT Light" w:hAnsi="DIN OT Light"/>
                <w:sz w:val="20"/>
                <w:szCs w:val="20"/>
              </w:rPr>
            </w:pPr>
            <w:r>
              <w:rPr>
                <w:rFonts w:ascii="DIN OT Light" w:hAnsi="DIN OT Light"/>
                <w:sz w:val="20"/>
                <w:szCs w:val="20"/>
              </w:rPr>
              <w:t>APRA would specify adjustments to reported capital and RWA to enable more credible disclosure of ADI internationally comparable capital ratios without changing the definitions of capital and RWA.</w:t>
            </w:r>
          </w:p>
        </w:tc>
      </w:tr>
      <w:tr w:rsidR="00DB0DE7" w:rsidRPr="00B82CAF" w14:paraId="0843152C" w14:textId="77777777" w:rsidTr="00BD1561">
        <w:tc>
          <w:tcPr>
            <w:tcW w:w="2268" w:type="dxa"/>
            <w:shd w:val="clear" w:color="auto" w:fill="002060"/>
          </w:tcPr>
          <w:p w14:paraId="192B8CC1" w14:textId="77777777" w:rsidR="00DB0DE7" w:rsidRPr="00B82CAF" w:rsidRDefault="00DB0DE7" w:rsidP="00BD1561">
            <w:pPr>
              <w:keepNext/>
              <w:keepLines/>
              <w:rPr>
                <w:rFonts w:ascii="DIN OT Medium" w:hAnsi="DIN OT Medium"/>
                <w:sz w:val="20"/>
                <w:szCs w:val="20"/>
              </w:rPr>
            </w:pPr>
            <w:r>
              <w:rPr>
                <w:rFonts w:ascii="DIN OT Medium" w:hAnsi="DIN OT Medium"/>
                <w:sz w:val="20"/>
                <w:szCs w:val="20"/>
              </w:rPr>
              <w:t xml:space="preserve">Approach 2 – </w:t>
            </w:r>
            <w:r>
              <w:rPr>
                <w:rFonts w:ascii="DIN OT Medium" w:hAnsi="DIN OT Medium"/>
                <w:sz w:val="20"/>
                <w:szCs w:val="20"/>
              </w:rPr>
              <w:br/>
              <w:t>capital ratio adjustments</w:t>
            </w:r>
          </w:p>
        </w:tc>
        <w:tc>
          <w:tcPr>
            <w:tcW w:w="6746" w:type="dxa"/>
            <w:shd w:val="clear" w:color="auto" w:fill="D9D9D9" w:themeFill="background1" w:themeFillShade="D9"/>
          </w:tcPr>
          <w:p w14:paraId="36C3954A" w14:textId="2D5B46BB" w:rsidR="00DB0DE7" w:rsidRPr="00B82CAF" w:rsidRDefault="00DB0DE7" w:rsidP="004F205F">
            <w:pPr>
              <w:keepNext/>
              <w:keepLines/>
              <w:rPr>
                <w:rFonts w:ascii="DIN OT Light" w:hAnsi="DIN OT Light"/>
                <w:sz w:val="20"/>
                <w:szCs w:val="20"/>
              </w:rPr>
            </w:pPr>
            <w:r>
              <w:rPr>
                <w:rFonts w:ascii="DIN OT Light" w:hAnsi="DIN OT Light"/>
                <w:sz w:val="20"/>
                <w:szCs w:val="20"/>
              </w:rPr>
              <w:t>APRA would adopt more internationally harmonised definitions of capital and RWA. The resultant increase in capital ratios would be offset by a</w:t>
            </w:r>
            <w:r w:rsidR="00F66008">
              <w:rPr>
                <w:rFonts w:ascii="DIN OT Light" w:hAnsi="DIN OT Light"/>
                <w:sz w:val="20"/>
                <w:szCs w:val="20"/>
              </w:rPr>
              <w:t>n</w:t>
            </w:r>
            <w:r>
              <w:rPr>
                <w:rFonts w:ascii="DIN OT Light" w:hAnsi="DIN OT Light"/>
                <w:sz w:val="20"/>
                <w:szCs w:val="20"/>
              </w:rPr>
              <w:t xml:space="preserve"> increase in individual ADI regulatory capital ratio requirements. </w:t>
            </w:r>
          </w:p>
        </w:tc>
      </w:tr>
    </w:tbl>
    <w:p w14:paraId="7D411318" w14:textId="319F2403" w:rsidR="00BD0B34" w:rsidRDefault="00F66008" w:rsidP="00F66008">
      <w:pPr>
        <w:pStyle w:val="APRANORMAL"/>
        <w:spacing w:before="240"/>
      </w:pPr>
      <w:r>
        <w:t xml:space="preserve">Taking into account submissions received in response to this </w:t>
      </w:r>
      <w:r w:rsidR="009B684D">
        <w:t>D</w:t>
      </w:r>
      <w:r>
        <w:t xml:space="preserve">iscussion </w:t>
      </w:r>
      <w:r w:rsidR="009B684D">
        <w:t>P</w:t>
      </w:r>
      <w:r>
        <w:t xml:space="preserve">aper, </w:t>
      </w:r>
      <w:r w:rsidR="00BD0B34">
        <w:t xml:space="preserve">there is potential for </w:t>
      </w:r>
      <w:r>
        <w:t xml:space="preserve">APRA’s revised capital framework </w:t>
      </w:r>
      <w:r w:rsidR="00BD0B34">
        <w:t xml:space="preserve">to include elements </w:t>
      </w:r>
      <w:r>
        <w:t xml:space="preserve">of Approach 1 and Approach 2 </w:t>
      </w:r>
      <w:r w:rsidR="009677F7">
        <w:t xml:space="preserve">applying </w:t>
      </w:r>
      <w:r>
        <w:t>to different aspects of relative conservatism</w:t>
      </w:r>
      <w:r w:rsidR="00BD0B34">
        <w:t>,</w:t>
      </w:r>
      <w:r>
        <w:t xml:space="preserve"> as well as maintaining APRA’s current approach </w:t>
      </w:r>
      <w:r w:rsidR="00BD0B34">
        <w:t>in other areas</w:t>
      </w:r>
      <w:r>
        <w:t xml:space="preserve">. </w:t>
      </w:r>
    </w:p>
    <w:p w14:paraId="4486858A" w14:textId="39F43ADF" w:rsidR="00BD0B34" w:rsidRDefault="00F66008" w:rsidP="00F66008">
      <w:pPr>
        <w:pStyle w:val="APRANORMAL"/>
        <w:spacing w:before="240"/>
      </w:pPr>
      <w:r>
        <w:t xml:space="preserve">However, </w:t>
      </w:r>
      <w:r w:rsidR="00BD0B34">
        <w:t>it is not intended that the choice of approach be optional for individual ADIs</w:t>
      </w:r>
      <w:r>
        <w:t xml:space="preserve">. </w:t>
      </w:r>
      <w:r w:rsidR="00BD0B34">
        <w:t>It is critical to transparency and comparability that</w:t>
      </w:r>
      <w:r>
        <w:t xml:space="preserve"> </w:t>
      </w:r>
      <w:r w:rsidR="00BD0B34">
        <w:t>a plethora of capital approaches does not emerge from any changes made</w:t>
      </w:r>
      <w:r>
        <w:t>.</w:t>
      </w:r>
      <w:r w:rsidR="00B12560">
        <w:t xml:space="preserve"> </w:t>
      </w:r>
    </w:p>
    <w:p w14:paraId="77BDE8DB" w14:textId="40B2E68D" w:rsidR="00F66008" w:rsidRDefault="00F66008" w:rsidP="00F66008">
      <w:pPr>
        <w:pStyle w:val="APRANORMAL"/>
        <w:spacing w:before="240"/>
      </w:pPr>
      <w:r>
        <w:t>Further,</w:t>
      </w:r>
      <w:r w:rsidDel="00905592">
        <w:t xml:space="preserve"> </w:t>
      </w:r>
      <w:r>
        <w:t xml:space="preserve">the approaches outlined in this chapter </w:t>
      </w:r>
      <w:r w:rsidR="00BD0B34">
        <w:t>are intended</w:t>
      </w:r>
      <w:r>
        <w:t xml:space="preserve"> </w:t>
      </w:r>
      <w:r w:rsidR="0071120E">
        <w:t xml:space="preserve">to </w:t>
      </w:r>
      <w:r>
        <w:t xml:space="preserve">not materially affect the risk sensitivity and overall </w:t>
      </w:r>
      <w:r w:rsidR="00BD0B34">
        <w:t>calibration</w:t>
      </w:r>
      <w:r>
        <w:t xml:space="preserve"> of the capital framework, but instead focus on improving transparency and comparability of </w:t>
      </w:r>
      <w:r w:rsidR="00D30628">
        <w:t xml:space="preserve">reported </w:t>
      </w:r>
      <w:r>
        <w:t xml:space="preserve">capital ratios. </w:t>
      </w:r>
    </w:p>
    <w:p w14:paraId="4B9AFEB6" w14:textId="77777777" w:rsidR="00F66008" w:rsidRPr="00E64CCD" w:rsidRDefault="00F66008" w:rsidP="00F66008">
      <w:pPr>
        <w:pStyle w:val="APRAHEADING2"/>
      </w:pPr>
      <w:bookmarkStart w:id="138" w:name="_Toc518658248"/>
      <w:bookmarkStart w:id="139" w:name="_Toc521401220"/>
      <w:bookmarkStart w:id="140" w:name="_Toc521508294"/>
      <w:bookmarkStart w:id="141" w:name="_Toc521932767"/>
      <w:r>
        <w:t>I</w:t>
      </w:r>
      <w:r w:rsidRPr="00E64CCD">
        <w:t>ndicative example</w:t>
      </w:r>
      <w:r>
        <w:t>s</w:t>
      </w:r>
      <w:bookmarkEnd w:id="138"/>
      <w:bookmarkEnd w:id="139"/>
      <w:bookmarkEnd w:id="140"/>
      <w:bookmarkEnd w:id="141"/>
      <w:r w:rsidRPr="00E64CCD">
        <w:t xml:space="preserve"> </w:t>
      </w:r>
    </w:p>
    <w:p w14:paraId="142A6E5A" w14:textId="15D21EB0" w:rsidR="00C9364F" w:rsidRDefault="00E64CCD" w:rsidP="00E64CCD">
      <w:pPr>
        <w:rPr>
          <w:rFonts w:ascii="DIN OT Light" w:hAnsi="DIN OT Light"/>
          <w:lang w:val="en-GB"/>
        </w:rPr>
      </w:pPr>
      <w:r w:rsidRPr="00E64CCD">
        <w:rPr>
          <w:rFonts w:ascii="DIN OT Light" w:hAnsi="DIN OT Light"/>
          <w:lang w:val="en-GB"/>
        </w:rPr>
        <w:t>Th</w:t>
      </w:r>
      <w:r w:rsidR="004713EA">
        <w:rPr>
          <w:rFonts w:ascii="DIN OT Light" w:hAnsi="DIN OT Light"/>
          <w:lang w:val="en-GB"/>
        </w:rPr>
        <w:t>is section</w:t>
      </w:r>
      <w:r w:rsidRPr="00E64CCD">
        <w:rPr>
          <w:rFonts w:ascii="DIN OT Light" w:hAnsi="DIN OT Light"/>
          <w:lang w:val="en-GB"/>
        </w:rPr>
        <w:t xml:space="preserve"> </w:t>
      </w:r>
      <w:r w:rsidR="006F61B7">
        <w:rPr>
          <w:rFonts w:ascii="DIN OT Light" w:hAnsi="DIN OT Light"/>
          <w:lang w:val="en-GB"/>
        </w:rPr>
        <w:t xml:space="preserve">provides </w:t>
      </w:r>
      <w:r w:rsidR="00C9364F">
        <w:rPr>
          <w:rFonts w:ascii="DIN OT Light" w:hAnsi="DIN OT Light"/>
          <w:lang w:val="en-GB"/>
        </w:rPr>
        <w:t>examples of the two approaches outlined above.</w:t>
      </w:r>
    </w:p>
    <w:p w14:paraId="3AD82B31" w14:textId="350466EA" w:rsidR="005576DC" w:rsidRDefault="00C9364F" w:rsidP="00E64CCD">
      <w:pPr>
        <w:rPr>
          <w:rFonts w:ascii="DIN OT Light" w:hAnsi="DIN OT Light"/>
          <w:lang w:val="en-GB"/>
        </w:rPr>
      </w:pPr>
      <w:r>
        <w:rPr>
          <w:rFonts w:ascii="DIN OT Light" w:hAnsi="DIN OT Light"/>
          <w:lang w:val="en-GB"/>
        </w:rPr>
        <w:t>For illustrative purposes, the examples use</w:t>
      </w:r>
      <w:r w:rsidR="00596D22">
        <w:rPr>
          <w:rFonts w:ascii="DIN OT Light" w:hAnsi="DIN OT Light"/>
          <w:lang w:val="en-GB"/>
        </w:rPr>
        <w:t xml:space="preserve"> </w:t>
      </w:r>
      <w:r w:rsidR="00E64CCD" w:rsidRPr="00E64CCD">
        <w:rPr>
          <w:rFonts w:ascii="DIN OT Light" w:hAnsi="DIN OT Light"/>
          <w:lang w:val="en-GB"/>
        </w:rPr>
        <w:t xml:space="preserve">two </w:t>
      </w:r>
      <w:r w:rsidR="00C41A16">
        <w:rPr>
          <w:rFonts w:ascii="DIN OT Light" w:hAnsi="DIN OT Light"/>
          <w:lang w:val="en-GB"/>
        </w:rPr>
        <w:t xml:space="preserve">of the more material </w:t>
      </w:r>
      <w:r w:rsidR="00E64CCD" w:rsidRPr="00E64CCD">
        <w:rPr>
          <w:rFonts w:ascii="DIN OT Light" w:hAnsi="DIN OT Light"/>
          <w:lang w:val="en-GB"/>
        </w:rPr>
        <w:t>areas</w:t>
      </w:r>
      <w:r w:rsidR="009B1F39">
        <w:rPr>
          <w:rFonts w:ascii="DIN OT Light" w:hAnsi="DIN OT Light"/>
          <w:lang w:val="en-GB"/>
        </w:rPr>
        <w:t xml:space="preserve"> </w:t>
      </w:r>
      <w:r w:rsidR="009B1F39" w:rsidRPr="00E64CCD">
        <w:rPr>
          <w:rFonts w:ascii="DIN OT Light" w:hAnsi="DIN OT Light"/>
          <w:lang w:val="en-GB"/>
        </w:rPr>
        <w:t xml:space="preserve">where APRA </w:t>
      </w:r>
      <w:r w:rsidR="00B83D3A">
        <w:rPr>
          <w:rFonts w:ascii="DIN OT Light" w:hAnsi="DIN OT Light"/>
          <w:lang w:val="en-GB"/>
        </w:rPr>
        <w:t xml:space="preserve">applies </w:t>
      </w:r>
      <w:r w:rsidR="009B1F39" w:rsidRPr="00E64CCD">
        <w:rPr>
          <w:rFonts w:ascii="DIN OT Light" w:hAnsi="DIN OT Light"/>
          <w:lang w:val="en-GB"/>
        </w:rPr>
        <w:t xml:space="preserve">a more conservative approach than the </w:t>
      </w:r>
      <w:r w:rsidR="00C1102E">
        <w:rPr>
          <w:rFonts w:ascii="DIN OT Light" w:hAnsi="DIN OT Light"/>
          <w:lang w:val="en-GB"/>
        </w:rPr>
        <w:t xml:space="preserve">internationally agreed </w:t>
      </w:r>
      <w:r w:rsidR="009B1F39" w:rsidRPr="00E64CCD">
        <w:rPr>
          <w:rFonts w:ascii="DIN OT Light" w:hAnsi="DIN OT Light"/>
          <w:lang w:val="en-GB"/>
        </w:rPr>
        <w:t>minimum</w:t>
      </w:r>
      <w:r w:rsidR="00C1102E">
        <w:rPr>
          <w:rFonts w:ascii="DIN OT Light" w:hAnsi="DIN OT Light"/>
          <w:lang w:val="en-GB"/>
        </w:rPr>
        <w:t xml:space="preserve"> </w:t>
      </w:r>
      <w:r w:rsidR="0071120E">
        <w:rPr>
          <w:rFonts w:ascii="DIN OT Light" w:hAnsi="DIN OT Light"/>
          <w:lang w:val="en-GB"/>
        </w:rPr>
        <w:t xml:space="preserve">requirements </w:t>
      </w:r>
      <w:r w:rsidR="005576DC">
        <w:rPr>
          <w:rFonts w:ascii="DIN OT Light" w:hAnsi="DIN OT Light"/>
          <w:lang w:val="en-GB"/>
        </w:rPr>
        <w:t xml:space="preserve">of the Basel </w:t>
      </w:r>
      <w:r w:rsidR="00C757DD">
        <w:rPr>
          <w:rFonts w:ascii="DIN OT Light" w:hAnsi="DIN OT Light"/>
          <w:lang w:val="en-GB"/>
        </w:rPr>
        <w:t xml:space="preserve">capital </w:t>
      </w:r>
      <w:r w:rsidR="005576DC">
        <w:rPr>
          <w:rFonts w:ascii="DIN OT Light" w:hAnsi="DIN OT Light"/>
          <w:lang w:val="en-GB"/>
        </w:rPr>
        <w:t>framework</w:t>
      </w:r>
      <w:r w:rsidR="009B1F39">
        <w:rPr>
          <w:rFonts w:ascii="DIN OT Light" w:hAnsi="DIN OT Light"/>
          <w:lang w:val="en-GB"/>
        </w:rPr>
        <w:t xml:space="preserve">: </w:t>
      </w:r>
    </w:p>
    <w:p w14:paraId="11FDCEFF" w14:textId="77777777" w:rsidR="005576DC" w:rsidRDefault="009B1F39" w:rsidP="0071120E">
      <w:pPr>
        <w:pStyle w:val="APRABULLET"/>
      </w:pPr>
      <w:r w:rsidRPr="005576DC">
        <w:t xml:space="preserve">capital requirements </w:t>
      </w:r>
      <w:r w:rsidR="00E64CCD" w:rsidRPr="005576DC">
        <w:t xml:space="preserve">for </w:t>
      </w:r>
      <w:r w:rsidR="00F7654D" w:rsidRPr="005576DC">
        <w:t>IRRBB</w:t>
      </w:r>
      <w:r w:rsidRPr="005576DC">
        <w:t xml:space="preserve">; </w:t>
      </w:r>
      <w:r w:rsidR="00E64CCD" w:rsidRPr="005576DC">
        <w:t xml:space="preserve">and </w:t>
      </w:r>
    </w:p>
    <w:p w14:paraId="50FAB818" w14:textId="6AC44C09" w:rsidR="00E64CCD" w:rsidRDefault="008567A4" w:rsidP="0071120E">
      <w:pPr>
        <w:pStyle w:val="APRABULLET"/>
      </w:pPr>
      <w:r w:rsidRPr="005576DC">
        <w:t xml:space="preserve">the proposed </w:t>
      </w:r>
      <w:r w:rsidR="00E64CCD" w:rsidRPr="005576DC">
        <w:t>mortgage correlation factor changes for IRB ADI</w:t>
      </w:r>
      <w:r w:rsidR="008E3D2F">
        <w:t>s</w:t>
      </w:r>
      <w:r w:rsidR="00E64CCD" w:rsidRPr="005576DC">
        <w:t xml:space="preserve">’ residential mortgage exposures. </w:t>
      </w:r>
    </w:p>
    <w:p w14:paraId="3D75580C" w14:textId="530D168F" w:rsidR="00851649" w:rsidRPr="005576DC" w:rsidRDefault="00851649" w:rsidP="0071120E">
      <w:pPr>
        <w:pStyle w:val="APRABULLET"/>
        <w:numPr>
          <w:ilvl w:val="0"/>
          <w:numId w:val="0"/>
        </w:numPr>
      </w:pPr>
      <w:r>
        <w:t xml:space="preserve">To keep the examples simple, </w:t>
      </w:r>
      <w:r w:rsidR="00D30628">
        <w:t xml:space="preserve">only </w:t>
      </w:r>
      <w:r>
        <w:t>the impact on CET1 capital ratios is presented.</w:t>
      </w:r>
    </w:p>
    <w:p w14:paraId="59BF8A57" w14:textId="77777777" w:rsidR="00E64CCD" w:rsidRDefault="00FA1133" w:rsidP="00E64CCD">
      <w:pPr>
        <w:pStyle w:val="APRAHEADING3"/>
      </w:pPr>
      <w:r>
        <w:lastRenderedPageBreak/>
        <w:t>I</w:t>
      </w:r>
      <w:r w:rsidR="00E64CCD" w:rsidRPr="00E64CCD">
        <w:t>nterest rate risk in the banking book</w:t>
      </w:r>
    </w:p>
    <w:p w14:paraId="242B1E79" w14:textId="419D920E" w:rsidR="00C41A16" w:rsidRPr="00E64CCD" w:rsidRDefault="00C41A16" w:rsidP="006E2C1C">
      <w:pPr>
        <w:pStyle w:val="APRANORMAL"/>
      </w:pPr>
      <w:r w:rsidRPr="00E64CCD">
        <w:t>APRA require</w:t>
      </w:r>
      <w:r w:rsidR="004B0EF2">
        <w:t>s</w:t>
      </w:r>
      <w:r w:rsidRPr="00E64CCD">
        <w:t xml:space="preserve"> </w:t>
      </w:r>
      <w:r w:rsidR="00131FE4">
        <w:t xml:space="preserve">IRB </w:t>
      </w:r>
      <w:r w:rsidRPr="00E64CCD">
        <w:t xml:space="preserve">ADIs </w:t>
      </w:r>
      <w:r>
        <w:t xml:space="preserve">to </w:t>
      </w:r>
      <w:r w:rsidRPr="00E64CCD">
        <w:t xml:space="preserve">hold capital for IRRBB </w:t>
      </w:r>
      <w:r w:rsidR="004713EA">
        <w:t>through higher RWA</w:t>
      </w:r>
      <w:r w:rsidRPr="00E64CCD">
        <w:t xml:space="preserve"> </w:t>
      </w:r>
      <w:r w:rsidR="007B44C7">
        <w:t xml:space="preserve">within minimum capital requirements </w:t>
      </w:r>
      <w:r w:rsidRPr="00E64CCD">
        <w:t xml:space="preserve">rather than </w:t>
      </w:r>
      <w:r>
        <w:t xml:space="preserve">the more common international practice </w:t>
      </w:r>
      <w:r w:rsidR="004713EA">
        <w:t>of su</w:t>
      </w:r>
      <w:r w:rsidRPr="00E64CCD">
        <w:t>pervisory adjustments. As a result, APRA’s approach to IRRBB</w:t>
      </w:r>
      <w:r w:rsidR="0055250F">
        <w:t xml:space="preserve"> </w:t>
      </w:r>
      <w:r w:rsidRPr="00E64CCD">
        <w:t>produces low</w:t>
      </w:r>
      <w:r w:rsidR="00F93219">
        <w:t>er capital ratios than</w:t>
      </w:r>
      <w:r w:rsidRPr="00E64CCD">
        <w:t xml:space="preserve"> other jurisdictions.</w:t>
      </w:r>
    </w:p>
    <w:p w14:paraId="253CCCE5" w14:textId="6E9D6C32" w:rsidR="00E64CCD" w:rsidRPr="00E64CCD" w:rsidRDefault="009B1F39" w:rsidP="00E64CCD">
      <w:pPr>
        <w:rPr>
          <w:rFonts w:ascii="DIN OT Light" w:hAnsi="DIN OT Light"/>
          <w:lang w:val="en-GB"/>
        </w:rPr>
      </w:pPr>
      <w:r>
        <w:rPr>
          <w:rFonts w:ascii="DIN OT Light" w:hAnsi="DIN OT Light"/>
          <w:highlight w:val="yellow"/>
          <w:lang w:val="en-GB"/>
        </w:rPr>
        <w:fldChar w:fldCharType="begin"/>
      </w:r>
      <w:r>
        <w:rPr>
          <w:rFonts w:ascii="DIN OT Light" w:hAnsi="DIN OT Light"/>
          <w:lang w:val="en-GB"/>
        </w:rPr>
        <w:instrText xml:space="preserve"> REF _Ref509412340 \r \h </w:instrText>
      </w:r>
      <w:r>
        <w:rPr>
          <w:rFonts w:ascii="DIN OT Light" w:hAnsi="DIN OT Light"/>
          <w:highlight w:val="yellow"/>
          <w:lang w:val="en-GB"/>
        </w:rPr>
      </w:r>
      <w:r>
        <w:rPr>
          <w:rFonts w:ascii="DIN OT Light" w:hAnsi="DIN OT Light"/>
          <w:highlight w:val="yellow"/>
          <w:lang w:val="en-GB"/>
        </w:rPr>
        <w:fldChar w:fldCharType="separate"/>
      </w:r>
      <w:r w:rsidR="000B378D">
        <w:rPr>
          <w:rFonts w:ascii="DIN OT Light" w:hAnsi="DIN OT Light"/>
          <w:lang w:val="en-GB"/>
        </w:rPr>
        <w:t>Table 5</w:t>
      </w:r>
      <w:r>
        <w:rPr>
          <w:rFonts w:ascii="DIN OT Light" w:hAnsi="DIN OT Light"/>
          <w:highlight w:val="yellow"/>
          <w:lang w:val="en-GB"/>
        </w:rPr>
        <w:fldChar w:fldCharType="end"/>
      </w:r>
      <w:r w:rsidR="00E64CCD" w:rsidRPr="00E64CCD">
        <w:rPr>
          <w:rFonts w:ascii="DIN OT Light" w:hAnsi="DIN OT Light"/>
          <w:lang w:val="en-GB"/>
        </w:rPr>
        <w:t xml:space="preserve"> below sets out the </w:t>
      </w:r>
      <w:r w:rsidR="00541272">
        <w:rPr>
          <w:rFonts w:ascii="DIN OT Light" w:hAnsi="DIN OT Light"/>
          <w:lang w:val="en-GB"/>
        </w:rPr>
        <w:t>assumptions</w:t>
      </w:r>
      <w:r w:rsidR="00541272" w:rsidRPr="00E64CCD">
        <w:rPr>
          <w:rFonts w:ascii="DIN OT Light" w:hAnsi="DIN OT Light"/>
          <w:lang w:val="en-GB"/>
        </w:rPr>
        <w:t xml:space="preserve"> </w:t>
      </w:r>
      <w:r w:rsidR="00D56C86">
        <w:rPr>
          <w:rFonts w:ascii="DIN OT Light" w:hAnsi="DIN OT Light"/>
          <w:lang w:val="en-GB"/>
        </w:rPr>
        <w:t>used in</w:t>
      </w:r>
      <w:r w:rsidR="00D56C86" w:rsidRPr="00E64CCD">
        <w:rPr>
          <w:rFonts w:ascii="DIN OT Light" w:hAnsi="DIN OT Light"/>
          <w:lang w:val="en-GB"/>
        </w:rPr>
        <w:t xml:space="preserve"> </w:t>
      </w:r>
      <w:r w:rsidR="00E64CCD" w:rsidRPr="00E64CCD">
        <w:rPr>
          <w:rFonts w:ascii="DIN OT Light" w:hAnsi="DIN OT Light"/>
          <w:lang w:val="en-GB"/>
        </w:rPr>
        <w:t>this example</w:t>
      </w:r>
      <w:r w:rsidR="00D56C86">
        <w:rPr>
          <w:rFonts w:ascii="DIN OT Light" w:hAnsi="DIN OT Light"/>
          <w:lang w:val="en-GB"/>
        </w:rPr>
        <w:t>,</w:t>
      </w:r>
      <w:r>
        <w:rPr>
          <w:rFonts w:ascii="DIN OT Light" w:hAnsi="DIN OT Light"/>
          <w:lang w:val="en-GB"/>
        </w:rPr>
        <w:t xml:space="preserve"> which </w:t>
      </w:r>
      <w:r w:rsidR="00E64CCD" w:rsidRPr="00E64CCD">
        <w:rPr>
          <w:rFonts w:ascii="DIN OT Light" w:hAnsi="DIN OT Light"/>
          <w:lang w:val="en-GB"/>
        </w:rPr>
        <w:t xml:space="preserve">assumes an average IRB ADI that </w:t>
      </w:r>
      <w:r w:rsidR="00851649">
        <w:rPr>
          <w:rFonts w:ascii="DIN OT Light" w:hAnsi="DIN OT Light"/>
          <w:lang w:val="en-GB"/>
        </w:rPr>
        <w:t xml:space="preserve">needs to meet a </w:t>
      </w:r>
      <w:r w:rsidR="009415F0">
        <w:rPr>
          <w:rFonts w:ascii="DIN OT Light" w:hAnsi="DIN OT Light"/>
          <w:lang w:val="en-GB"/>
        </w:rPr>
        <w:t xml:space="preserve">CET1 requirement </w:t>
      </w:r>
      <w:r w:rsidR="00851649">
        <w:rPr>
          <w:rFonts w:ascii="DIN OT Light" w:hAnsi="DIN OT Light"/>
          <w:lang w:val="en-GB"/>
        </w:rPr>
        <w:t>of</w:t>
      </w:r>
      <w:r w:rsidR="009415F0">
        <w:rPr>
          <w:rFonts w:ascii="DIN OT Light" w:hAnsi="DIN OT Light"/>
          <w:lang w:val="en-GB"/>
        </w:rPr>
        <w:t xml:space="preserve"> 8 per cent</w:t>
      </w:r>
      <w:r w:rsidR="00D30628">
        <w:rPr>
          <w:rFonts w:ascii="DIN OT Light" w:hAnsi="DIN OT Light"/>
          <w:lang w:val="en-GB"/>
        </w:rPr>
        <w:t>,</w:t>
      </w:r>
      <w:r w:rsidR="00541272">
        <w:rPr>
          <w:rStyle w:val="FootnoteReference"/>
          <w:lang w:val="en-GB"/>
        </w:rPr>
        <w:footnoteReference w:id="18"/>
      </w:r>
      <w:r w:rsidR="00A2180B">
        <w:rPr>
          <w:rFonts w:ascii="DIN OT Light" w:hAnsi="DIN OT Light"/>
          <w:lang w:val="en-GB"/>
        </w:rPr>
        <w:t xml:space="preserve"> and currently meets the ‘unquestionably strong’ benchmark for IRB ADIs</w:t>
      </w:r>
      <w:r w:rsidR="00C757DD">
        <w:rPr>
          <w:rFonts w:ascii="DIN OT Light" w:hAnsi="DIN OT Light"/>
          <w:lang w:val="en-GB"/>
        </w:rPr>
        <w:t>.</w:t>
      </w:r>
      <w:r w:rsidR="00E64CCD" w:rsidRPr="00E64CCD">
        <w:rPr>
          <w:rFonts w:ascii="DIN OT Light" w:hAnsi="DIN OT Light"/>
          <w:lang w:val="en-GB"/>
        </w:rPr>
        <w:t xml:space="preserve"> </w:t>
      </w:r>
      <w:r w:rsidR="008A252F" w:rsidRPr="008A252F">
        <w:rPr>
          <w:rFonts w:ascii="DIN OT Light" w:hAnsi="DIN OT Light"/>
          <w:lang w:val="en-GB"/>
        </w:rPr>
        <w:t>In this example</w:t>
      </w:r>
      <w:r>
        <w:rPr>
          <w:rFonts w:ascii="DIN OT Light" w:hAnsi="DIN OT Light"/>
          <w:lang w:val="en-GB"/>
        </w:rPr>
        <w:t>,</w:t>
      </w:r>
      <w:r w:rsidR="008A252F" w:rsidRPr="008A252F">
        <w:rPr>
          <w:rFonts w:ascii="DIN OT Light" w:hAnsi="DIN OT Light"/>
          <w:lang w:val="en-GB"/>
        </w:rPr>
        <w:t xml:space="preserve"> </w:t>
      </w:r>
      <w:r w:rsidR="009415F0">
        <w:rPr>
          <w:rFonts w:ascii="DIN OT Light" w:hAnsi="DIN OT Light"/>
          <w:lang w:val="en-GB"/>
        </w:rPr>
        <w:t xml:space="preserve">RWA for </w:t>
      </w:r>
      <w:r w:rsidR="008A252F" w:rsidRPr="008A252F">
        <w:rPr>
          <w:rFonts w:ascii="DIN OT Light" w:hAnsi="DIN OT Light"/>
          <w:lang w:val="en-GB"/>
        </w:rPr>
        <w:t xml:space="preserve">IRRBB </w:t>
      </w:r>
      <w:r w:rsidR="009415F0">
        <w:rPr>
          <w:rFonts w:ascii="DIN OT Light" w:hAnsi="DIN OT Light"/>
          <w:lang w:val="en-GB"/>
        </w:rPr>
        <w:t>total</w:t>
      </w:r>
      <w:r w:rsidR="008A252F" w:rsidRPr="008A252F">
        <w:rPr>
          <w:rFonts w:ascii="DIN OT Light" w:hAnsi="DIN OT Light"/>
          <w:lang w:val="en-GB"/>
        </w:rPr>
        <w:t xml:space="preserve"> $15</w:t>
      </w:r>
      <w:r w:rsidR="009415F0">
        <w:rPr>
          <w:rFonts w:ascii="DIN OT Light" w:hAnsi="DIN OT Light"/>
          <w:lang w:val="en-GB"/>
        </w:rPr>
        <w:t> </w:t>
      </w:r>
      <w:r w:rsidR="004713EA">
        <w:rPr>
          <w:rFonts w:ascii="DIN OT Light" w:hAnsi="DIN OT Light"/>
          <w:lang w:val="en-GB"/>
        </w:rPr>
        <w:t>b</w:t>
      </w:r>
      <w:r w:rsidR="006F61B7">
        <w:rPr>
          <w:rFonts w:ascii="DIN OT Light" w:hAnsi="DIN OT Light"/>
          <w:lang w:val="en-GB"/>
        </w:rPr>
        <w:t>illion</w:t>
      </w:r>
      <w:r w:rsidR="008A252F" w:rsidRPr="008A252F">
        <w:rPr>
          <w:rFonts w:ascii="DIN OT Light" w:hAnsi="DIN OT Light"/>
          <w:lang w:val="en-GB"/>
        </w:rPr>
        <w:t>.</w:t>
      </w:r>
    </w:p>
    <w:p w14:paraId="49CC0A8D" w14:textId="77777777" w:rsidR="00E64CCD" w:rsidRPr="00E64CCD" w:rsidRDefault="00E64CCD" w:rsidP="00E64CCD">
      <w:pPr>
        <w:pStyle w:val="APRATABLE-NUMBER"/>
      </w:pPr>
      <w:bookmarkStart w:id="142" w:name="_Ref509412340"/>
      <w:r w:rsidRPr="00E64CCD">
        <w:t>IRRBB example</w:t>
      </w:r>
      <w:bookmarkEnd w:id="14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11"/>
        <w:gridCol w:w="3215"/>
      </w:tblGrid>
      <w:tr w:rsidR="00E64CCD" w:rsidRPr="00E64CCD" w14:paraId="624915F7" w14:textId="77777777" w:rsidTr="00CD157D">
        <w:tc>
          <w:tcPr>
            <w:tcW w:w="5811" w:type="dxa"/>
          </w:tcPr>
          <w:tbl>
            <w:tblPr>
              <w:tblStyle w:val="TableGrid1"/>
              <w:tblW w:w="58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28"/>
              <w:gridCol w:w="975"/>
              <w:gridCol w:w="278"/>
              <w:gridCol w:w="1960"/>
              <w:gridCol w:w="824"/>
              <w:gridCol w:w="236"/>
            </w:tblGrid>
            <w:tr w:rsidR="00E64CCD" w:rsidRPr="00E64CCD" w14:paraId="75873197" w14:textId="77777777" w:rsidTr="00CD157D">
              <w:tc>
                <w:tcPr>
                  <w:tcW w:w="2503" w:type="dxa"/>
                  <w:gridSpan w:val="2"/>
                  <w:shd w:val="clear" w:color="auto" w:fill="012169"/>
                  <w:vAlign w:val="center"/>
                </w:tcPr>
                <w:p w14:paraId="33BD9C04" w14:textId="77777777" w:rsidR="00E64CCD" w:rsidRPr="00E64CCD" w:rsidRDefault="00E64CCD" w:rsidP="00E64CCD">
                  <w:pPr>
                    <w:spacing w:before="120" w:after="120"/>
                    <w:rPr>
                      <w:rFonts w:ascii="DIN OT Light" w:hAnsi="DIN OT Light"/>
                      <w:sz w:val="20"/>
                      <w:lang w:val="en-GB"/>
                    </w:rPr>
                  </w:pPr>
                  <w:r w:rsidRPr="00E64CCD">
                    <w:rPr>
                      <w:rFonts w:ascii="DIN OT Medium" w:hAnsi="DIN OT Medium"/>
                      <w:sz w:val="20"/>
                      <w:lang w:val="en-GB"/>
                    </w:rPr>
                    <w:t>Capital and RWA ($m)</w:t>
                  </w:r>
                </w:p>
              </w:tc>
              <w:tc>
                <w:tcPr>
                  <w:tcW w:w="278" w:type="dxa"/>
                  <w:vAlign w:val="center"/>
                </w:tcPr>
                <w:p w14:paraId="0C17024C" w14:textId="77777777" w:rsidR="00E64CCD" w:rsidRPr="00E64CCD" w:rsidRDefault="00E64CCD" w:rsidP="00E64CCD">
                  <w:pPr>
                    <w:spacing w:before="120" w:after="120"/>
                    <w:rPr>
                      <w:rFonts w:ascii="DIN OT Light" w:hAnsi="DIN OT Light"/>
                      <w:sz w:val="20"/>
                      <w:lang w:val="en-GB"/>
                    </w:rPr>
                  </w:pPr>
                </w:p>
              </w:tc>
              <w:tc>
                <w:tcPr>
                  <w:tcW w:w="2784" w:type="dxa"/>
                  <w:gridSpan w:val="2"/>
                  <w:shd w:val="clear" w:color="auto" w:fill="012169"/>
                  <w:vAlign w:val="center"/>
                </w:tcPr>
                <w:p w14:paraId="69BFE3F7"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Current capital ratios (%)</w:t>
                  </w:r>
                </w:p>
              </w:tc>
              <w:tc>
                <w:tcPr>
                  <w:tcW w:w="236" w:type="dxa"/>
                </w:tcPr>
                <w:p w14:paraId="01996A14" w14:textId="77777777" w:rsidR="00E64CCD" w:rsidRPr="00E64CCD" w:rsidRDefault="00E64CCD" w:rsidP="00E64CCD">
                  <w:pPr>
                    <w:spacing w:before="120" w:after="120"/>
                    <w:jc w:val="center"/>
                    <w:rPr>
                      <w:rFonts w:ascii="DIN OT Light" w:hAnsi="DIN OT Light"/>
                      <w:sz w:val="20"/>
                      <w:lang w:val="en-GB"/>
                    </w:rPr>
                  </w:pPr>
                </w:p>
              </w:tc>
            </w:tr>
            <w:tr w:rsidR="00E64CCD" w:rsidRPr="00E64CCD" w14:paraId="41400F51" w14:textId="77777777" w:rsidTr="00CD157D">
              <w:tc>
                <w:tcPr>
                  <w:tcW w:w="1528" w:type="dxa"/>
                  <w:shd w:val="clear" w:color="auto" w:fill="D9D9D9" w:themeFill="background1" w:themeFillShade="D9"/>
                  <w:vAlign w:val="center"/>
                </w:tcPr>
                <w:p w14:paraId="5E867420"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 xml:space="preserve">CET1 capital </w:t>
                  </w:r>
                </w:p>
              </w:tc>
              <w:tc>
                <w:tcPr>
                  <w:tcW w:w="975" w:type="dxa"/>
                  <w:shd w:val="clear" w:color="auto" w:fill="D9D9D9" w:themeFill="background1" w:themeFillShade="D9"/>
                  <w:vAlign w:val="center"/>
                </w:tcPr>
                <w:p w14:paraId="6721E82F"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42,525</w:t>
                  </w:r>
                </w:p>
              </w:tc>
              <w:tc>
                <w:tcPr>
                  <w:tcW w:w="278" w:type="dxa"/>
                  <w:vAlign w:val="center"/>
                </w:tcPr>
                <w:p w14:paraId="1AD536E2" w14:textId="77777777" w:rsidR="00E64CCD" w:rsidRPr="00E64CCD" w:rsidRDefault="00E64CCD" w:rsidP="00E64CCD">
                  <w:pPr>
                    <w:spacing w:before="120" w:after="120"/>
                    <w:rPr>
                      <w:rFonts w:ascii="DIN OT Light" w:hAnsi="DIN OT Light"/>
                      <w:sz w:val="20"/>
                      <w:lang w:val="en-GB"/>
                    </w:rPr>
                  </w:pPr>
                </w:p>
              </w:tc>
              <w:tc>
                <w:tcPr>
                  <w:tcW w:w="1960" w:type="dxa"/>
                  <w:shd w:val="clear" w:color="auto" w:fill="D9D9D9" w:themeFill="background1" w:themeFillShade="D9"/>
                  <w:vAlign w:val="center"/>
                </w:tcPr>
                <w:p w14:paraId="00A72D7C"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CET1 ratio</w:t>
                  </w:r>
                </w:p>
              </w:tc>
              <w:tc>
                <w:tcPr>
                  <w:tcW w:w="824" w:type="dxa"/>
                  <w:shd w:val="clear" w:color="auto" w:fill="D9D9D9" w:themeFill="background1" w:themeFillShade="D9"/>
                  <w:vAlign w:val="center"/>
                </w:tcPr>
                <w:p w14:paraId="2888960F" w14:textId="77777777" w:rsidR="00E64CCD" w:rsidRPr="00E64CCD" w:rsidRDefault="00E64CCD" w:rsidP="00E64CCD">
                  <w:pPr>
                    <w:spacing w:before="120" w:after="120"/>
                    <w:jc w:val="center"/>
                    <w:rPr>
                      <w:rFonts w:ascii="DIN OT Light" w:hAnsi="DIN OT Light"/>
                      <w:sz w:val="20"/>
                      <w:lang w:val="en-GB"/>
                    </w:rPr>
                  </w:pPr>
                  <w:r w:rsidRPr="00E64CCD">
                    <w:rPr>
                      <w:rFonts w:ascii="DIN OT Light" w:hAnsi="DIN OT Light"/>
                      <w:sz w:val="20"/>
                      <w:lang w:val="en-GB"/>
                    </w:rPr>
                    <w:t>10.5%</w:t>
                  </w:r>
                </w:p>
              </w:tc>
              <w:tc>
                <w:tcPr>
                  <w:tcW w:w="236" w:type="dxa"/>
                </w:tcPr>
                <w:p w14:paraId="1AF19724" w14:textId="77777777" w:rsidR="00E64CCD" w:rsidRPr="00E64CCD" w:rsidRDefault="00E64CCD" w:rsidP="00E64CCD">
                  <w:pPr>
                    <w:spacing w:before="120" w:after="120"/>
                    <w:jc w:val="center"/>
                    <w:rPr>
                      <w:rFonts w:ascii="DIN OT Light" w:hAnsi="DIN OT Light"/>
                      <w:sz w:val="20"/>
                      <w:lang w:val="en-GB"/>
                    </w:rPr>
                  </w:pPr>
                </w:p>
              </w:tc>
            </w:tr>
            <w:tr w:rsidR="00851649" w:rsidRPr="00E64CCD" w14:paraId="584A932B" w14:textId="77777777" w:rsidTr="004A6168">
              <w:tc>
                <w:tcPr>
                  <w:tcW w:w="1528" w:type="dxa"/>
                  <w:shd w:val="clear" w:color="auto" w:fill="D9D9D9" w:themeFill="background1" w:themeFillShade="D9"/>
                  <w:vAlign w:val="center"/>
                </w:tcPr>
                <w:p w14:paraId="51986058"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 xml:space="preserve">Tier 1 capital </w:t>
                  </w:r>
                </w:p>
              </w:tc>
              <w:tc>
                <w:tcPr>
                  <w:tcW w:w="975" w:type="dxa"/>
                  <w:shd w:val="clear" w:color="auto" w:fill="D9D9D9" w:themeFill="background1" w:themeFillShade="D9"/>
                  <w:vAlign w:val="center"/>
                </w:tcPr>
                <w:p w14:paraId="5DB4DDE5" w14:textId="77777777" w:rsidR="00851649" w:rsidRPr="00E64CCD" w:rsidRDefault="00851649" w:rsidP="00851649">
                  <w:pPr>
                    <w:spacing w:before="120" w:after="120"/>
                    <w:jc w:val="right"/>
                    <w:rPr>
                      <w:rFonts w:ascii="DIN OT Light" w:hAnsi="DIN OT Light"/>
                      <w:sz w:val="20"/>
                      <w:lang w:val="en-GB"/>
                    </w:rPr>
                  </w:pPr>
                  <w:r w:rsidRPr="00E64CCD">
                    <w:rPr>
                      <w:rFonts w:ascii="DIN OT Light" w:hAnsi="DIN OT Light"/>
                      <w:sz w:val="20"/>
                      <w:lang w:val="en-GB"/>
                    </w:rPr>
                    <w:t>51,000</w:t>
                  </w:r>
                </w:p>
              </w:tc>
              <w:tc>
                <w:tcPr>
                  <w:tcW w:w="278" w:type="dxa"/>
                  <w:vAlign w:val="center"/>
                </w:tcPr>
                <w:p w14:paraId="7EB1706E" w14:textId="77777777" w:rsidR="00851649" w:rsidRPr="00E64CCD" w:rsidRDefault="00851649" w:rsidP="00851649">
                  <w:pPr>
                    <w:spacing w:before="120" w:after="120"/>
                    <w:rPr>
                      <w:rFonts w:ascii="DIN OT Light" w:hAnsi="DIN OT Light"/>
                      <w:sz w:val="20"/>
                      <w:lang w:val="en-GB"/>
                    </w:rPr>
                  </w:pPr>
                </w:p>
              </w:tc>
              <w:tc>
                <w:tcPr>
                  <w:tcW w:w="1960" w:type="dxa"/>
                  <w:shd w:val="clear" w:color="auto" w:fill="D9D9D9" w:themeFill="background1" w:themeFillShade="D9"/>
                  <w:vAlign w:val="center"/>
                </w:tcPr>
                <w:p w14:paraId="78332EC8"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Tier 1 capital ratio</w:t>
                  </w:r>
                </w:p>
              </w:tc>
              <w:tc>
                <w:tcPr>
                  <w:tcW w:w="824" w:type="dxa"/>
                  <w:shd w:val="clear" w:color="auto" w:fill="D9D9D9" w:themeFill="background1" w:themeFillShade="D9"/>
                  <w:vAlign w:val="center"/>
                </w:tcPr>
                <w:p w14:paraId="5E96B48D" w14:textId="77777777" w:rsidR="00851649" w:rsidRPr="00E64CCD" w:rsidRDefault="00851649" w:rsidP="00851649">
                  <w:pPr>
                    <w:spacing w:before="120" w:after="120"/>
                    <w:jc w:val="center"/>
                    <w:rPr>
                      <w:rFonts w:ascii="DIN OT Light" w:hAnsi="DIN OT Light"/>
                      <w:sz w:val="20"/>
                      <w:lang w:val="en-GB"/>
                    </w:rPr>
                  </w:pPr>
                  <w:r w:rsidRPr="00E64CCD">
                    <w:rPr>
                      <w:rFonts w:ascii="DIN OT Light" w:hAnsi="DIN OT Light"/>
                      <w:sz w:val="20"/>
                      <w:lang w:val="en-GB"/>
                    </w:rPr>
                    <w:t>12.6%</w:t>
                  </w:r>
                </w:p>
              </w:tc>
              <w:tc>
                <w:tcPr>
                  <w:tcW w:w="236" w:type="dxa"/>
                </w:tcPr>
                <w:p w14:paraId="569975D7" w14:textId="77777777" w:rsidR="00851649" w:rsidRPr="00E64CCD" w:rsidRDefault="00851649" w:rsidP="00851649">
                  <w:pPr>
                    <w:spacing w:before="120" w:after="120"/>
                    <w:jc w:val="center"/>
                    <w:rPr>
                      <w:rFonts w:ascii="DIN OT Light" w:hAnsi="DIN OT Light"/>
                      <w:sz w:val="20"/>
                      <w:lang w:val="en-GB"/>
                    </w:rPr>
                  </w:pPr>
                </w:p>
              </w:tc>
            </w:tr>
            <w:tr w:rsidR="00851649" w:rsidRPr="00E64CCD" w14:paraId="3795F007" w14:textId="77777777" w:rsidTr="004A6168">
              <w:tc>
                <w:tcPr>
                  <w:tcW w:w="1528" w:type="dxa"/>
                  <w:shd w:val="clear" w:color="auto" w:fill="D9D9D9" w:themeFill="background1" w:themeFillShade="D9"/>
                  <w:vAlign w:val="center"/>
                </w:tcPr>
                <w:p w14:paraId="3FFCBF33"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Total Capital</w:t>
                  </w:r>
                </w:p>
              </w:tc>
              <w:tc>
                <w:tcPr>
                  <w:tcW w:w="975" w:type="dxa"/>
                  <w:shd w:val="clear" w:color="auto" w:fill="D9D9D9" w:themeFill="background1" w:themeFillShade="D9"/>
                  <w:vAlign w:val="center"/>
                </w:tcPr>
                <w:p w14:paraId="5E3FD48D" w14:textId="77777777" w:rsidR="00851649" w:rsidRPr="00E64CCD" w:rsidRDefault="00851649" w:rsidP="00851649">
                  <w:pPr>
                    <w:spacing w:before="120" w:after="120"/>
                    <w:jc w:val="right"/>
                    <w:rPr>
                      <w:rFonts w:ascii="DIN OT Light" w:hAnsi="DIN OT Light"/>
                      <w:sz w:val="20"/>
                      <w:lang w:val="en-GB"/>
                    </w:rPr>
                  </w:pPr>
                  <w:r w:rsidRPr="00E64CCD">
                    <w:rPr>
                      <w:rFonts w:ascii="DIN OT Light" w:hAnsi="DIN OT Light"/>
                      <w:sz w:val="20"/>
                      <w:lang w:val="en-GB"/>
                    </w:rPr>
                    <w:t>60,000</w:t>
                  </w:r>
                </w:p>
              </w:tc>
              <w:tc>
                <w:tcPr>
                  <w:tcW w:w="278" w:type="dxa"/>
                  <w:vAlign w:val="center"/>
                </w:tcPr>
                <w:p w14:paraId="51CA1AEF" w14:textId="77777777" w:rsidR="00851649" w:rsidRPr="00E64CCD" w:rsidRDefault="00851649" w:rsidP="00851649">
                  <w:pPr>
                    <w:spacing w:before="120" w:after="120"/>
                    <w:rPr>
                      <w:rFonts w:ascii="DIN OT Light" w:hAnsi="DIN OT Light"/>
                      <w:sz w:val="20"/>
                      <w:lang w:val="en-GB"/>
                    </w:rPr>
                  </w:pPr>
                </w:p>
              </w:tc>
              <w:tc>
                <w:tcPr>
                  <w:tcW w:w="1960" w:type="dxa"/>
                  <w:shd w:val="clear" w:color="auto" w:fill="D9D9D9" w:themeFill="background1" w:themeFillShade="D9"/>
                  <w:vAlign w:val="center"/>
                </w:tcPr>
                <w:p w14:paraId="51782A60"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Total Capital ratio</w:t>
                  </w:r>
                </w:p>
              </w:tc>
              <w:tc>
                <w:tcPr>
                  <w:tcW w:w="824" w:type="dxa"/>
                  <w:shd w:val="clear" w:color="auto" w:fill="D9D9D9" w:themeFill="background1" w:themeFillShade="D9"/>
                  <w:vAlign w:val="center"/>
                </w:tcPr>
                <w:p w14:paraId="09FE7FC4" w14:textId="77777777" w:rsidR="00851649" w:rsidRPr="00E64CCD" w:rsidRDefault="00851649" w:rsidP="00851649">
                  <w:pPr>
                    <w:spacing w:before="120" w:after="120"/>
                    <w:jc w:val="center"/>
                    <w:rPr>
                      <w:rFonts w:ascii="DIN OT Light" w:hAnsi="DIN OT Light"/>
                      <w:sz w:val="20"/>
                      <w:lang w:val="en-GB"/>
                    </w:rPr>
                  </w:pPr>
                  <w:r w:rsidRPr="00E64CCD">
                    <w:rPr>
                      <w:rFonts w:ascii="DIN OT Light" w:hAnsi="DIN OT Light"/>
                      <w:sz w:val="20"/>
                      <w:lang w:val="en-GB"/>
                    </w:rPr>
                    <w:t>14.8%</w:t>
                  </w:r>
                </w:p>
              </w:tc>
              <w:tc>
                <w:tcPr>
                  <w:tcW w:w="236" w:type="dxa"/>
                </w:tcPr>
                <w:p w14:paraId="03784259" w14:textId="77777777" w:rsidR="00851649" w:rsidRPr="00E64CCD" w:rsidRDefault="00851649" w:rsidP="00851649">
                  <w:pPr>
                    <w:spacing w:before="120" w:after="120"/>
                    <w:jc w:val="center"/>
                    <w:rPr>
                      <w:rFonts w:ascii="DIN OT Light" w:hAnsi="DIN OT Light"/>
                      <w:sz w:val="20"/>
                      <w:lang w:val="en-GB"/>
                    </w:rPr>
                  </w:pPr>
                </w:p>
              </w:tc>
            </w:tr>
            <w:tr w:rsidR="004A6168" w:rsidRPr="00E64CCD" w14:paraId="5AC10AC3" w14:textId="77777777" w:rsidTr="00CD157D">
              <w:tc>
                <w:tcPr>
                  <w:tcW w:w="1528" w:type="dxa"/>
                  <w:shd w:val="clear" w:color="auto" w:fill="D9D9D9" w:themeFill="background1" w:themeFillShade="D9"/>
                  <w:vAlign w:val="center"/>
                </w:tcPr>
                <w:p w14:paraId="0E261004" w14:textId="77777777" w:rsidR="004A6168" w:rsidRPr="00E64CCD" w:rsidRDefault="004A6168" w:rsidP="004A6168">
                  <w:pPr>
                    <w:spacing w:before="120" w:after="120"/>
                    <w:rPr>
                      <w:rFonts w:ascii="DIN OT Medium" w:hAnsi="DIN OT Medium"/>
                      <w:sz w:val="20"/>
                      <w:lang w:val="en-GB"/>
                    </w:rPr>
                  </w:pPr>
                  <w:r w:rsidRPr="00E64CCD">
                    <w:rPr>
                      <w:rFonts w:ascii="DIN OT Medium" w:hAnsi="DIN OT Medium"/>
                      <w:sz w:val="20"/>
                      <w:lang w:val="en-GB"/>
                    </w:rPr>
                    <w:t>Total RWA</w:t>
                  </w:r>
                </w:p>
              </w:tc>
              <w:tc>
                <w:tcPr>
                  <w:tcW w:w="975" w:type="dxa"/>
                  <w:shd w:val="clear" w:color="auto" w:fill="D9D9D9" w:themeFill="background1" w:themeFillShade="D9"/>
                  <w:vAlign w:val="center"/>
                </w:tcPr>
                <w:p w14:paraId="65412A44" w14:textId="77777777" w:rsidR="004A6168" w:rsidRPr="00E64CCD" w:rsidRDefault="004A6168" w:rsidP="004A6168">
                  <w:pPr>
                    <w:spacing w:before="120" w:after="120"/>
                    <w:jc w:val="right"/>
                    <w:rPr>
                      <w:rFonts w:ascii="DIN OT Light" w:hAnsi="DIN OT Light"/>
                      <w:sz w:val="20"/>
                      <w:lang w:val="en-GB"/>
                    </w:rPr>
                  </w:pPr>
                  <w:r w:rsidRPr="00E64CCD">
                    <w:rPr>
                      <w:rFonts w:ascii="DIN OT Light" w:hAnsi="DIN OT Light"/>
                      <w:sz w:val="20"/>
                      <w:lang w:val="en-GB"/>
                    </w:rPr>
                    <w:t>405,000</w:t>
                  </w:r>
                </w:p>
              </w:tc>
              <w:tc>
                <w:tcPr>
                  <w:tcW w:w="278" w:type="dxa"/>
                  <w:vAlign w:val="center"/>
                </w:tcPr>
                <w:p w14:paraId="0FFF511E" w14:textId="77777777" w:rsidR="004A6168" w:rsidRPr="00E64CCD" w:rsidRDefault="004A6168" w:rsidP="004A6168">
                  <w:pPr>
                    <w:spacing w:before="120" w:after="120"/>
                    <w:rPr>
                      <w:rFonts w:ascii="DIN OT Light" w:hAnsi="DIN OT Light"/>
                      <w:sz w:val="20"/>
                      <w:lang w:val="en-GB"/>
                    </w:rPr>
                  </w:pPr>
                </w:p>
              </w:tc>
              <w:tc>
                <w:tcPr>
                  <w:tcW w:w="1960" w:type="dxa"/>
                  <w:vAlign w:val="center"/>
                </w:tcPr>
                <w:p w14:paraId="50D79A47" w14:textId="77777777" w:rsidR="004A6168" w:rsidRPr="00E64CCD" w:rsidRDefault="004A6168" w:rsidP="004A6168">
                  <w:pPr>
                    <w:spacing w:before="120" w:after="120"/>
                    <w:rPr>
                      <w:rFonts w:ascii="DIN OT Light" w:hAnsi="DIN OT Light"/>
                      <w:sz w:val="20"/>
                      <w:lang w:val="en-GB"/>
                    </w:rPr>
                  </w:pPr>
                </w:p>
              </w:tc>
              <w:tc>
                <w:tcPr>
                  <w:tcW w:w="824" w:type="dxa"/>
                  <w:vAlign w:val="center"/>
                </w:tcPr>
                <w:p w14:paraId="7A468056" w14:textId="77777777" w:rsidR="004A6168" w:rsidRPr="00E64CCD" w:rsidRDefault="004A6168" w:rsidP="004A6168">
                  <w:pPr>
                    <w:spacing w:before="120" w:after="120"/>
                    <w:jc w:val="center"/>
                    <w:rPr>
                      <w:rFonts w:ascii="DIN OT Light" w:hAnsi="DIN OT Light"/>
                      <w:sz w:val="20"/>
                      <w:lang w:val="en-GB"/>
                    </w:rPr>
                  </w:pPr>
                </w:p>
              </w:tc>
              <w:tc>
                <w:tcPr>
                  <w:tcW w:w="236" w:type="dxa"/>
                </w:tcPr>
                <w:p w14:paraId="7DB66EAE" w14:textId="77777777" w:rsidR="004A6168" w:rsidRPr="00E64CCD" w:rsidRDefault="004A6168" w:rsidP="004A6168">
                  <w:pPr>
                    <w:spacing w:before="120" w:after="120"/>
                    <w:jc w:val="center"/>
                    <w:rPr>
                      <w:rFonts w:ascii="DIN OT Light" w:hAnsi="DIN OT Light"/>
                      <w:sz w:val="20"/>
                      <w:lang w:val="en-GB"/>
                    </w:rPr>
                  </w:pPr>
                </w:p>
              </w:tc>
            </w:tr>
            <w:tr w:rsidR="004A6168" w:rsidRPr="00E64CCD" w14:paraId="5228E213" w14:textId="77777777" w:rsidTr="00CD157D">
              <w:tc>
                <w:tcPr>
                  <w:tcW w:w="1528" w:type="dxa"/>
                  <w:shd w:val="clear" w:color="auto" w:fill="D9D9D9" w:themeFill="background1" w:themeFillShade="D9"/>
                  <w:vAlign w:val="center"/>
                </w:tcPr>
                <w:p w14:paraId="3AC6B6ED" w14:textId="77777777" w:rsidR="004A6168" w:rsidRPr="00E64CCD" w:rsidRDefault="004A6168" w:rsidP="004A6168">
                  <w:pPr>
                    <w:spacing w:before="120" w:after="120"/>
                    <w:rPr>
                      <w:rFonts w:ascii="DIN OT Medium" w:hAnsi="DIN OT Medium"/>
                      <w:i/>
                      <w:sz w:val="20"/>
                      <w:lang w:val="en-GB"/>
                    </w:rPr>
                  </w:pPr>
                  <w:r w:rsidRPr="00E64CCD">
                    <w:rPr>
                      <w:rFonts w:ascii="DIN OT Medium" w:hAnsi="DIN OT Medium"/>
                      <w:i/>
                      <w:sz w:val="20"/>
                      <w:lang w:val="en-GB"/>
                    </w:rPr>
                    <w:t>Of which, IRRBB RWA</w:t>
                  </w:r>
                </w:p>
              </w:tc>
              <w:tc>
                <w:tcPr>
                  <w:tcW w:w="975" w:type="dxa"/>
                  <w:shd w:val="clear" w:color="auto" w:fill="D9D9D9" w:themeFill="background1" w:themeFillShade="D9"/>
                  <w:vAlign w:val="center"/>
                </w:tcPr>
                <w:p w14:paraId="74648500" w14:textId="77777777" w:rsidR="004A6168" w:rsidRPr="00E64CCD" w:rsidRDefault="004A6168" w:rsidP="004A6168">
                  <w:pPr>
                    <w:spacing w:before="120" w:after="120"/>
                    <w:jc w:val="right"/>
                    <w:rPr>
                      <w:rFonts w:ascii="DIN OT Light" w:hAnsi="DIN OT Light"/>
                      <w:sz w:val="20"/>
                      <w:lang w:val="en-GB"/>
                    </w:rPr>
                  </w:pPr>
                  <w:r w:rsidRPr="00E64CCD">
                    <w:rPr>
                      <w:rFonts w:ascii="DIN OT Light" w:hAnsi="DIN OT Light"/>
                      <w:sz w:val="20"/>
                      <w:lang w:val="en-GB"/>
                    </w:rPr>
                    <w:t>15,000</w:t>
                  </w:r>
                </w:p>
              </w:tc>
              <w:tc>
                <w:tcPr>
                  <w:tcW w:w="278" w:type="dxa"/>
                  <w:vAlign w:val="center"/>
                </w:tcPr>
                <w:p w14:paraId="4F4F4836" w14:textId="77777777" w:rsidR="004A6168" w:rsidRPr="00E64CCD" w:rsidRDefault="004A6168" w:rsidP="004A6168">
                  <w:pPr>
                    <w:spacing w:before="120" w:after="120"/>
                    <w:rPr>
                      <w:rFonts w:ascii="DIN OT Light" w:hAnsi="DIN OT Light"/>
                      <w:sz w:val="20"/>
                      <w:lang w:val="en-GB"/>
                    </w:rPr>
                  </w:pPr>
                </w:p>
              </w:tc>
              <w:tc>
                <w:tcPr>
                  <w:tcW w:w="1960" w:type="dxa"/>
                  <w:vAlign w:val="center"/>
                </w:tcPr>
                <w:p w14:paraId="2F921928" w14:textId="77777777" w:rsidR="004A6168" w:rsidRPr="00E64CCD" w:rsidRDefault="004A6168" w:rsidP="004A6168">
                  <w:pPr>
                    <w:spacing w:before="120" w:after="120"/>
                    <w:rPr>
                      <w:rFonts w:ascii="DIN OT Light" w:hAnsi="DIN OT Light"/>
                      <w:sz w:val="20"/>
                      <w:lang w:val="en-GB"/>
                    </w:rPr>
                  </w:pPr>
                </w:p>
              </w:tc>
              <w:tc>
                <w:tcPr>
                  <w:tcW w:w="824" w:type="dxa"/>
                  <w:vAlign w:val="center"/>
                </w:tcPr>
                <w:p w14:paraId="12DBEFB2" w14:textId="77777777" w:rsidR="004A6168" w:rsidRPr="00E64CCD" w:rsidRDefault="004A6168" w:rsidP="004A6168">
                  <w:pPr>
                    <w:spacing w:before="120" w:after="120"/>
                    <w:jc w:val="center"/>
                    <w:rPr>
                      <w:rFonts w:ascii="DIN OT Light" w:hAnsi="DIN OT Light"/>
                      <w:sz w:val="20"/>
                      <w:lang w:val="en-GB"/>
                    </w:rPr>
                  </w:pPr>
                </w:p>
              </w:tc>
              <w:tc>
                <w:tcPr>
                  <w:tcW w:w="236" w:type="dxa"/>
                </w:tcPr>
                <w:p w14:paraId="1A87432D" w14:textId="77777777" w:rsidR="004A6168" w:rsidRPr="00E64CCD" w:rsidRDefault="004A6168" w:rsidP="004A6168">
                  <w:pPr>
                    <w:spacing w:before="120" w:after="120"/>
                    <w:jc w:val="center"/>
                    <w:rPr>
                      <w:rFonts w:ascii="DIN OT Light" w:hAnsi="DIN OT Light"/>
                      <w:sz w:val="20"/>
                      <w:lang w:val="en-GB"/>
                    </w:rPr>
                  </w:pPr>
                </w:p>
              </w:tc>
            </w:tr>
          </w:tbl>
          <w:p w14:paraId="0575CCBF" w14:textId="77777777" w:rsidR="00E64CCD" w:rsidRPr="00E64CCD" w:rsidRDefault="00E64CCD" w:rsidP="00E64CCD">
            <w:pPr>
              <w:spacing w:before="120" w:after="120"/>
              <w:rPr>
                <w:rFonts w:ascii="DIN OT Light" w:hAnsi="DIN OT Light"/>
                <w:sz w:val="20"/>
                <w:lang w:val="en-GB"/>
              </w:rPr>
            </w:pPr>
          </w:p>
        </w:tc>
        <w:tc>
          <w:tcPr>
            <w:tcW w:w="3215" w:type="dxa"/>
          </w:tcPr>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18"/>
              <w:gridCol w:w="687"/>
            </w:tblGrid>
            <w:tr w:rsidR="00E64CCD" w:rsidRPr="00E64CCD" w14:paraId="0F3C940F" w14:textId="77777777" w:rsidTr="00CD157D">
              <w:tc>
                <w:tcPr>
                  <w:tcW w:w="3205" w:type="dxa"/>
                  <w:gridSpan w:val="2"/>
                  <w:shd w:val="clear" w:color="auto" w:fill="012169"/>
                </w:tcPr>
                <w:p w14:paraId="133C66B3"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shd w:val="clear" w:color="auto" w:fill="012169"/>
                      <w:lang w:val="en-GB"/>
                    </w:rPr>
                    <w:t>Current capital requirements (%)</w:t>
                  </w:r>
                </w:p>
              </w:tc>
            </w:tr>
            <w:tr w:rsidR="00E64CCD" w:rsidRPr="00E64CCD" w14:paraId="54EA08E7" w14:textId="77777777" w:rsidTr="00CD157D">
              <w:tc>
                <w:tcPr>
                  <w:tcW w:w="2518" w:type="dxa"/>
                  <w:shd w:val="clear" w:color="auto" w:fill="D9D9D9" w:themeFill="background1" w:themeFillShade="D9"/>
                  <w:vAlign w:val="center"/>
                </w:tcPr>
                <w:p w14:paraId="2208AB50"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CET1 PCR</w:t>
                  </w:r>
                </w:p>
              </w:tc>
              <w:tc>
                <w:tcPr>
                  <w:tcW w:w="687" w:type="dxa"/>
                  <w:shd w:val="clear" w:color="auto" w:fill="D9D9D9" w:themeFill="background1" w:themeFillShade="D9"/>
                  <w:vAlign w:val="center"/>
                </w:tcPr>
                <w:p w14:paraId="41A0E7D1" w14:textId="77777777" w:rsidR="00E64CCD" w:rsidRPr="00E64CCD" w:rsidRDefault="00E64CCD" w:rsidP="00E64CCD">
                  <w:pPr>
                    <w:spacing w:before="120" w:after="120"/>
                    <w:jc w:val="center"/>
                    <w:rPr>
                      <w:rFonts w:ascii="DIN OT Light" w:hAnsi="DIN OT Light"/>
                      <w:sz w:val="20"/>
                      <w:lang w:val="en-GB"/>
                    </w:rPr>
                  </w:pPr>
                  <w:r w:rsidRPr="00E64CCD">
                    <w:rPr>
                      <w:rFonts w:ascii="DIN OT Light" w:hAnsi="DIN OT Light"/>
                      <w:sz w:val="20"/>
                      <w:lang w:val="en-GB"/>
                    </w:rPr>
                    <w:t>4.5%</w:t>
                  </w:r>
                </w:p>
              </w:tc>
            </w:tr>
            <w:tr w:rsidR="00851649" w:rsidRPr="00E64CCD" w14:paraId="71EED7EA" w14:textId="77777777" w:rsidTr="00CD157D">
              <w:tc>
                <w:tcPr>
                  <w:tcW w:w="2518" w:type="dxa"/>
                  <w:shd w:val="clear" w:color="auto" w:fill="D9D9D9" w:themeFill="background1" w:themeFillShade="D9"/>
                  <w:vAlign w:val="center"/>
                </w:tcPr>
                <w:p w14:paraId="316466CD"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Tier 1 PCR</w:t>
                  </w:r>
                </w:p>
              </w:tc>
              <w:tc>
                <w:tcPr>
                  <w:tcW w:w="687" w:type="dxa"/>
                  <w:shd w:val="clear" w:color="auto" w:fill="D9D9D9" w:themeFill="background1" w:themeFillShade="D9"/>
                  <w:vAlign w:val="center"/>
                </w:tcPr>
                <w:p w14:paraId="73C89AFD" w14:textId="77777777" w:rsidR="00851649" w:rsidRPr="00E64CCD" w:rsidRDefault="00851649" w:rsidP="00851649">
                  <w:pPr>
                    <w:spacing w:before="120" w:after="120"/>
                    <w:jc w:val="center"/>
                    <w:rPr>
                      <w:rFonts w:ascii="DIN OT Light" w:hAnsi="DIN OT Light"/>
                      <w:sz w:val="20"/>
                      <w:lang w:val="en-GB"/>
                    </w:rPr>
                  </w:pPr>
                  <w:r w:rsidRPr="00E64CCD">
                    <w:rPr>
                      <w:rFonts w:ascii="DIN OT Light" w:hAnsi="DIN OT Light"/>
                      <w:sz w:val="20"/>
                      <w:lang w:val="en-GB"/>
                    </w:rPr>
                    <w:t>6.0%</w:t>
                  </w:r>
                </w:p>
              </w:tc>
            </w:tr>
            <w:tr w:rsidR="00851649" w:rsidRPr="00E64CCD" w14:paraId="294CEEA6" w14:textId="77777777" w:rsidTr="00CD157D">
              <w:tc>
                <w:tcPr>
                  <w:tcW w:w="2518" w:type="dxa"/>
                  <w:shd w:val="clear" w:color="auto" w:fill="D9D9D9" w:themeFill="background1" w:themeFillShade="D9"/>
                  <w:vAlign w:val="center"/>
                </w:tcPr>
                <w:p w14:paraId="72DE1D85"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Total Capital PCR</w:t>
                  </w:r>
                </w:p>
              </w:tc>
              <w:tc>
                <w:tcPr>
                  <w:tcW w:w="687" w:type="dxa"/>
                  <w:shd w:val="clear" w:color="auto" w:fill="D9D9D9" w:themeFill="background1" w:themeFillShade="D9"/>
                  <w:vAlign w:val="center"/>
                </w:tcPr>
                <w:p w14:paraId="4E1F7EB6" w14:textId="77777777" w:rsidR="00851649" w:rsidRPr="00E64CCD" w:rsidRDefault="00851649" w:rsidP="00851649">
                  <w:pPr>
                    <w:spacing w:before="120" w:after="120"/>
                    <w:jc w:val="center"/>
                    <w:rPr>
                      <w:rFonts w:ascii="DIN OT Light" w:hAnsi="DIN OT Light"/>
                      <w:sz w:val="20"/>
                      <w:lang w:val="en-GB"/>
                    </w:rPr>
                  </w:pPr>
                  <w:r w:rsidRPr="00E64CCD">
                    <w:rPr>
                      <w:rFonts w:ascii="DIN OT Light" w:hAnsi="DIN OT Light"/>
                      <w:sz w:val="20"/>
                      <w:lang w:val="en-GB"/>
                    </w:rPr>
                    <w:t>8.0%</w:t>
                  </w:r>
                </w:p>
              </w:tc>
            </w:tr>
            <w:tr w:rsidR="00851649" w:rsidRPr="00E64CCD" w14:paraId="3BD878E8" w14:textId="77777777" w:rsidTr="00CD157D">
              <w:tc>
                <w:tcPr>
                  <w:tcW w:w="2518" w:type="dxa"/>
                  <w:shd w:val="clear" w:color="auto" w:fill="D9D9D9" w:themeFill="background1" w:themeFillShade="D9"/>
                  <w:vAlign w:val="center"/>
                </w:tcPr>
                <w:p w14:paraId="076C2AAD" w14:textId="77777777" w:rsidR="00851649" w:rsidRPr="00E64CCD" w:rsidRDefault="00851649" w:rsidP="00851649">
                  <w:pPr>
                    <w:spacing w:before="120" w:after="120"/>
                    <w:rPr>
                      <w:rFonts w:ascii="DIN OT Medium" w:hAnsi="DIN OT Medium"/>
                      <w:sz w:val="20"/>
                      <w:lang w:val="en-GB"/>
                    </w:rPr>
                  </w:pPr>
                  <w:r w:rsidRPr="00E64CCD">
                    <w:rPr>
                      <w:rFonts w:ascii="DIN OT Medium" w:hAnsi="DIN OT Medium"/>
                      <w:sz w:val="20"/>
                      <w:lang w:val="en-GB"/>
                    </w:rPr>
                    <w:t>Capital conservation buffer (CCB)</w:t>
                  </w:r>
                </w:p>
              </w:tc>
              <w:tc>
                <w:tcPr>
                  <w:tcW w:w="687" w:type="dxa"/>
                  <w:shd w:val="clear" w:color="auto" w:fill="D9D9D9" w:themeFill="background1" w:themeFillShade="D9"/>
                  <w:vAlign w:val="center"/>
                </w:tcPr>
                <w:p w14:paraId="5BADF68D" w14:textId="77777777" w:rsidR="00851649" w:rsidRPr="00E64CCD" w:rsidRDefault="00851649" w:rsidP="00851649">
                  <w:pPr>
                    <w:spacing w:before="120" w:after="120"/>
                    <w:jc w:val="center"/>
                    <w:rPr>
                      <w:rFonts w:ascii="DIN OT Light" w:hAnsi="DIN OT Light"/>
                      <w:sz w:val="20"/>
                      <w:lang w:val="en-GB"/>
                    </w:rPr>
                  </w:pPr>
                  <w:r w:rsidRPr="00E64CCD">
                    <w:rPr>
                      <w:rFonts w:ascii="DIN OT Light" w:hAnsi="DIN OT Light"/>
                      <w:sz w:val="20"/>
                      <w:lang w:val="en-GB"/>
                    </w:rPr>
                    <w:t>3.5%</w:t>
                  </w:r>
                </w:p>
              </w:tc>
            </w:tr>
          </w:tbl>
          <w:p w14:paraId="7AA33585" w14:textId="77777777" w:rsidR="00E64CCD" w:rsidRPr="00E64CCD" w:rsidRDefault="00E64CCD" w:rsidP="00E64CCD">
            <w:pPr>
              <w:spacing w:before="120" w:after="120"/>
              <w:rPr>
                <w:rFonts w:ascii="DIN OT Light" w:hAnsi="DIN OT Light"/>
                <w:sz w:val="20"/>
                <w:lang w:val="en-GB"/>
              </w:rPr>
            </w:pPr>
          </w:p>
        </w:tc>
      </w:tr>
    </w:tbl>
    <w:p w14:paraId="28DC9F3D" w14:textId="77777777" w:rsidR="00E64CCD" w:rsidRPr="00E64CCD" w:rsidRDefault="00E64CCD" w:rsidP="00E64CCD">
      <w:pPr>
        <w:rPr>
          <w:rFonts w:ascii="DIN OT Light" w:hAnsi="DIN OT Light"/>
          <w:lang w:val="en-GB"/>
        </w:rPr>
      </w:pPr>
    </w:p>
    <w:p w14:paraId="32D5C053" w14:textId="77777777" w:rsidR="00E64CCD" w:rsidRPr="00E64CCD" w:rsidRDefault="008067F1" w:rsidP="00E64CCD">
      <w:pPr>
        <w:pStyle w:val="APRAHEADING4"/>
      </w:pPr>
      <w:r>
        <w:t>Approach</w:t>
      </w:r>
      <w:r w:rsidRPr="00E64CCD">
        <w:t xml:space="preserve"> </w:t>
      </w:r>
      <w:r w:rsidR="00E64CCD" w:rsidRPr="00E64CCD">
        <w:t xml:space="preserve">1 – </w:t>
      </w:r>
      <w:r w:rsidR="00122888">
        <w:t xml:space="preserve">consistent </w:t>
      </w:r>
      <w:r w:rsidR="00E64CCD" w:rsidRPr="00E64CCD">
        <w:t>disclosure</w:t>
      </w:r>
      <w:r w:rsidR="00122888">
        <w:t>s</w:t>
      </w:r>
      <w:r w:rsidR="00E64CCD" w:rsidRPr="00E64CCD">
        <w:t xml:space="preserve"> </w:t>
      </w:r>
    </w:p>
    <w:p w14:paraId="4D400FD6" w14:textId="07BD6F9A" w:rsidR="00E64CCD" w:rsidRPr="00E64CCD" w:rsidRDefault="00E64CCD" w:rsidP="00E64CCD">
      <w:pPr>
        <w:rPr>
          <w:rFonts w:ascii="DIN OT Light" w:hAnsi="DIN OT Light"/>
          <w:lang w:val="en-GB"/>
        </w:rPr>
      </w:pPr>
      <w:r w:rsidRPr="00E64CCD">
        <w:rPr>
          <w:rFonts w:ascii="DIN OT Light" w:hAnsi="DIN OT Light"/>
          <w:lang w:val="en-GB"/>
        </w:rPr>
        <w:t xml:space="preserve">Under </w:t>
      </w:r>
      <w:r w:rsidR="008B7B4C">
        <w:rPr>
          <w:rFonts w:ascii="DIN OT Light" w:hAnsi="DIN OT Light"/>
          <w:lang w:val="en-GB"/>
        </w:rPr>
        <w:t>Approach</w:t>
      </w:r>
      <w:r w:rsidRPr="00E64CCD">
        <w:rPr>
          <w:rFonts w:ascii="DIN OT Light" w:hAnsi="DIN OT Light"/>
          <w:lang w:val="en-GB"/>
        </w:rPr>
        <w:t xml:space="preserve"> 1, </w:t>
      </w:r>
      <w:r w:rsidR="00751775" w:rsidRPr="00751775">
        <w:rPr>
          <w:rFonts w:ascii="DIN OT Light" w:hAnsi="DIN OT Light"/>
          <w:lang w:val="en-GB"/>
        </w:rPr>
        <w:t>IRB ADIs would continue to include IRRBB</w:t>
      </w:r>
      <w:r w:rsidR="00D56C86">
        <w:rPr>
          <w:rFonts w:ascii="DIN OT Light" w:hAnsi="DIN OT Light"/>
          <w:lang w:val="en-GB"/>
        </w:rPr>
        <w:t xml:space="preserve"> </w:t>
      </w:r>
      <w:r w:rsidR="00751775" w:rsidRPr="00751775">
        <w:rPr>
          <w:rFonts w:ascii="DIN OT Light" w:hAnsi="DIN OT Light"/>
          <w:lang w:val="en-GB"/>
        </w:rPr>
        <w:t xml:space="preserve">in </w:t>
      </w:r>
      <w:r w:rsidR="002B2811">
        <w:rPr>
          <w:rFonts w:ascii="DIN OT Light" w:hAnsi="DIN OT Light"/>
          <w:lang w:val="en-GB"/>
        </w:rPr>
        <w:t>their</w:t>
      </w:r>
      <w:r w:rsidR="00751775" w:rsidRPr="00751775">
        <w:rPr>
          <w:rFonts w:ascii="DIN OT Light" w:hAnsi="DIN OT Light"/>
          <w:lang w:val="en-GB"/>
        </w:rPr>
        <w:t xml:space="preserve"> calculation of </w:t>
      </w:r>
      <w:r w:rsidR="00A2180B">
        <w:rPr>
          <w:rFonts w:ascii="DIN OT Light" w:hAnsi="DIN OT Light"/>
          <w:lang w:val="en-GB"/>
        </w:rPr>
        <w:t>regulatory</w:t>
      </w:r>
      <w:r w:rsidR="00A2180B" w:rsidRPr="00751775">
        <w:rPr>
          <w:rFonts w:ascii="DIN OT Light" w:hAnsi="DIN OT Light"/>
          <w:lang w:val="en-GB"/>
        </w:rPr>
        <w:t xml:space="preserve"> </w:t>
      </w:r>
      <w:r w:rsidR="00751775" w:rsidRPr="00751775">
        <w:rPr>
          <w:rFonts w:ascii="DIN OT Light" w:hAnsi="DIN OT Light"/>
          <w:lang w:val="en-GB"/>
        </w:rPr>
        <w:t xml:space="preserve">RWA and corresponding </w:t>
      </w:r>
      <w:r w:rsidR="00A2180B">
        <w:rPr>
          <w:rFonts w:ascii="DIN OT Light" w:hAnsi="DIN OT Light"/>
          <w:lang w:val="en-GB"/>
        </w:rPr>
        <w:t>regulatory</w:t>
      </w:r>
      <w:r w:rsidR="00A2180B" w:rsidRPr="00751775">
        <w:rPr>
          <w:rFonts w:ascii="DIN OT Light" w:hAnsi="DIN OT Light"/>
          <w:lang w:val="en-GB"/>
        </w:rPr>
        <w:t xml:space="preserve"> </w:t>
      </w:r>
      <w:r w:rsidR="00751775" w:rsidRPr="00751775">
        <w:rPr>
          <w:rFonts w:ascii="DIN OT Light" w:hAnsi="DIN OT Light"/>
          <w:lang w:val="en-GB"/>
        </w:rPr>
        <w:t>capital ratios</w:t>
      </w:r>
      <w:r w:rsidR="00751775">
        <w:rPr>
          <w:rFonts w:ascii="DIN OT Light" w:hAnsi="DIN OT Light"/>
          <w:lang w:val="en-GB"/>
        </w:rPr>
        <w:t>.</w:t>
      </w:r>
      <w:r w:rsidR="00751775" w:rsidRPr="00751775">
        <w:rPr>
          <w:rFonts w:ascii="DIN OT Light" w:hAnsi="DIN OT Light"/>
          <w:lang w:val="en-GB"/>
        </w:rPr>
        <w:t xml:space="preserve"> </w:t>
      </w:r>
      <w:r w:rsidR="00751775">
        <w:rPr>
          <w:rFonts w:ascii="DIN OT Light" w:hAnsi="DIN OT Light"/>
          <w:lang w:val="en-GB"/>
        </w:rPr>
        <w:t xml:space="preserve">IRB ADIs would also disclose </w:t>
      </w:r>
      <w:r w:rsidRPr="00E64CCD">
        <w:rPr>
          <w:rFonts w:ascii="DIN OT Light" w:hAnsi="DIN OT Light"/>
          <w:lang w:val="en-GB"/>
        </w:rPr>
        <w:t xml:space="preserve">the uplift in capital ratios </w:t>
      </w:r>
      <w:r w:rsidR="00751775">
        <w:rPr>
          <w:rFonts w:ascii="DIN OT Light" w:hAnsi="DIN OT Light"/>
          <w:lang w:val="en-GB"/>
        </w:rPr>
        <w:t xml:space="preserve">that would result </w:t>
      </w:r>
      <w:r w:rsidRPr="00E64CCD">
        <w:rPr>
          <w:rFonts w:ascii="DIN OT Light" w:hAnsi="DIN OT Light"/>
          <w:lang w:val="en-GB"/>
        </w:rPr>
        <w:t>from removing IRRBB RWA from total RWA. This is done by revising the denominator of the capital ratio calculation to reflect a lower total RWA:</w:t>
      </w:r>
    </w:p>
    <w:p w14:paraId="2DAC5CDC" w14:textId="77777777" w:rsidR="00E64CCD" w:rsidRPr="00E64CCD" w:rsidRDefault="00E64CCD" w:rsidP="00E64CCD">
      <w:pPr>
        <w:tabs>
          <w:tab w:val="left" w:pos="1701"/>
        </w:tabs>
        <w:ind w:left="567"/>
        <w:rPr>
          <w:rFonts w:ascii="DIN OT Light" w:eastAsiaTheme="minorEastAsia" w:hAnsi="DIN OT Light"/>
          <w:lang w:val="en-GB" w:eastAsia="en-AU"/>
        </w:rPr>
      </w:pPr>
      <w:r w:rsidRPr="00E64CCD">
        <w:rPr>
          <w:rFonts w:ascii="DIN OT Light" w:hAnsi="DIN OT Light"/>
          <w:lang w:val="en-GB"/>
        </w:rPr>
        <w:t>(1)</w:t>
      </w:r>
      <w:r w:rsidRPr="00E64CCD">
        <w:rPr>
          <w:rFonts w:ascii="DIN OT Light" w:hAnsi="DIN OT Light"/>
          <w:lang w:val="en-GB"/>
        </w:rPr>
        <w:tab/>
      </w:r>
      <m:oMath>
        <m:r>
          <m:rPr>
            <m:nor/>
          </m:rPr>
          <w:rPr>
            <w:rFonts w:ascii="DIN OT Light" w:hAnsi="DIN OT Light"/>
            <w:lang w:val="en-GB" w:eastAsia="en-AU"/>
          </w:rPr>
          <m:t xml:space="preserve">Adjustment for IRRBB (%) = </m:t>
        </m:r>
        <m:f>
          <m:fPr>
            <m:ctrlPr>
              <w:rPr>
                <w:rFonts w:ascii="Cambria Math" w:hAnsi="Cambria Math"/>
                <w:lang w:val="en-GB" w:eastAsia="en-AU"/>
              </w:rPr>
            </m:ctrlPr>
          </m:fPr>
          <m:num>
            <m:r>
              <m:rPr>
                <m:nor/>
              </m:rPr>
              <w:rPr>
                <w:rFonts w:ascii="DIN OT Light" w:hAnsi="DIN OT Light"/>
                <w:lang w:val="en-GB" w:eastAsia="en-AU"/>
              </w:rPr>
              <m:t>Capital measure</m:t>
            </m:r>
          </m:num>
          <m:den>
            <m:sSub>
              <m:sSubPr>
                <m:ctrlPr>
                  <w:rPr>
                    <w:rFonts w:ascii="Cambria Math" w:hAnsi="Cambria Math"/>
                    <w:lang w:val="en-GB" w:eastAsia="en-AU"/>
                  </w:rPr>
                </m:ctrlPr>
              </m:sSubPr>
              <m:e>
                <m:r>
                  <m:rPr>
                    <m:nor/>
                  </m:rPr>
                  <w:rPr>
                    <w:rFonts w:ascii="DIN OT Light" w:hAnsi="DIN OT Light"/>
                    <w:lang w:val="en-GB" w:eastAsia="en-AU"/>
                  </w:rPr>
                  <m:t>RWA</m:t>
                </m:r>
              </m:e>
              <m:sub>
                <m:r>
                  <m:rPr>
                    <m:nor/>
                  </m:rPr>
                  <w:rPr>
                    <w:rFonts w:ascii="DIN OT Light" w:hAnsi="DIN OT Light"/>
                    <w:lang w:val="en-GB" w:eastAsia="en-AU"/>
                  </w:rPr>
                  <m:t xml:space="preserve">Total excl. IRRBB </m:t>
                </m:r>
              </m:sub>
            </m:sSub>
            <m:r>
              <m:rPr>
                <m:nor/>
              </m:rPr>
              <w:rPr>
                <w:rFonts w:ascii="DIN OT Light" w:hAnsi="DIN OT Light"/>
                <w:lang w:val="en-GB" w:eastAsia="en-AU"/>
              </w:rPr>
              <m:t xml:space="preserve">  </m:t>
            </m:r>
          </m:den>
        </m:f>
        <m:r>
          <m:rPr>
            <m:nor/>
          </m:rPr>
          <w:rPr>
            <w:rFonts w:ascii="DIN OT Light" w:hAnsi="DIN OT Light"/>
            <w:lang w:val="en-GB" w:eastAsia="en-AU"/>
          </w:rPr>
          <m:t xml:space="preserve"> - </m:t>
        </m:r>
        <m:f>
          <m:fPr>
            <m:ctrlPr>
              <w:rPr>
                <w:rFonts w:ascii="Cambria Math" w:hAnsi="Cambria Math"/>
                <w:lang w:val="en-GB" w:eastAsia="en-AU"/>
              </w:rPr>
            </m:ctrlPr>
          </m:fPr>
          <m:num>
            <m:r>
              <m:rPr>
                <m:nor/>
              </m:rPr>
              <w:rPr>
                <w:rFonts w:ascii="DIN OT Light" w:hAnsi="DIN OT Light"/>
                <w:lang w:val="en-GB" w:eastAsia="en-AU"/>
              </w:rPr>
              <m:t>Capital measure</m:t>
            </m:r>
          </m:num>
          <m:den>
            <m:sSub>
              <m:sSubPr>
                <m:ctrlPr>
                  <w:rPr>
                    <w:rFonts w:ascii="Cambria Math" w:hAnsi="Cambria Math"/>
                    <w:lang w:val="en-GB" w:eastAsia="en-AU"/>
                  </w:rPr>
                </m:ctrlPr>
              </m:sSubPr>
              <m:e>
                <m:r>
                  <m:rPr>
                    <m:nor/>
                  </m:rPr>
                  <w:rPr>
                    <w:rFonts w:ascii="DIN OT Light" w:hAnsi="DIN OT Light"/>
                    <w:lang w:val="en-GB" w:eastAsia="en-AU"/>
                  </w:rPr>
                  <m:t>RWA</m:t>
                </m:r>
              </m:e>
              <m:sub>
                <m:r>
                  <m:rPr>
                    <m:nor/>
                  </m:rPr>
                  <w:rPr>
                    <w:rFonts w:ascii="DIN OT Light" w:hAnsi="DIN OT Light"/>
                    <w:lang w:val="en-GB" w:eastAsia="en-AU"/>
                  </w:rPr>
                  <m:t>Total</m:t>
                </m:r>
              </m:sub>
            </m:sSub>
          </m:den>
        </m:f>
      </m:oMath>
    </w:p>
    <w:p w14:paraId="4686B63C" w14:textId="77777777" w:rsidR="00E64CCD" w:rsidRPr="00E64CCD" w:rsidRDefault="00E64CCD" w:rsidP="00E64CCD">
      <w:pPr>
        <w:pStyle w:val="APRAFIGURE"/>
        <w:rPr>
          <w:lang w:val="en-GB"/>
        </w:rPr>
      </w:pPr>
      <w:bookmarkStart w:id="143" w:name="_Ref509414415"/>
      <w:r w:rsidRPr="00E64CCD">
        <w:rPr>
          <w:lang w:val="en-GB"/>
        </w:rPr>
        <w:lastRenderedPageBreak/>
        <w:t xml:space="preserve">Indicative example of IRRBB under </w:t>
      </w:r>
      <w:bookmarkEnd w:id="143"/>
      <w:r w:rsidR="008067F1">
        <w:rPr>
          <w:lang w:val="en-GB"/>
        </w:rPr>
        <w:t>Approach</w:t>
      </w:r>
      <w:r w:rsidR="008067F1" w:rsidRPr="00E64CCD">
        <w:rPr>
          <w:lang w:val="en-GB"/>
        </w:rPr>
        <w:t xml:space="preserve"> </w:t>
      </w:r>
      <w:r w:rsidRPr="00E64CCD">
        <w:rPr>
          <w:lang w:val="en-GB"/>
        </w:rPr>
        <w:t>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9"/>
        <w:gridCol w:w="5047"/>
      </w:tblGrid>
      <w:tr w:rsidR="00E64CCD" w:rsidRPr="00E64CCD" w14:paraId="45E0FB4B" w14:textId="77777777" w:rsidTr="00CD157D">
        <w:tc>
          <w:tcPr>
            <w:tcW w:w="3979" w:type="dxa"/>
            <w:shd w:val="clear" w:color="auto" w:fill="D9D9D9" w:themeFill="background1" w:themeFillShade="D9"/>
          </w:tcPr>
          <w:tbl>
            <w:tblPr>
              <w:tblStyle w:val="TableGrid1"/>
              <w:tblW w:w="3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038"/>
            </w:tblGrid>
            <w:tr w:rsidR="00E64CCD" w:rsidRPr="00E64CCD" w14:paraId="04877796" w14:textId="77777777" w:rsidTr="00CD157D">
              <w:trPr>
                <w:trHeight w:val="567"/>
              </w:trPr>
              <w:tc>
                <w:tcPr>
                  <w:tcW w:w="2835" w:type="dxa"/>
                  <w:tcBorders>
                    <w:bottom w:val="single" w:sz="4" w:space="0" w:color="FFFFFF" w:themeColor="background1"/>
                    <w:right w:val="single" w:sz="4" w:space="0" w:color="FFFFFF" w:themeColor="background1"/>
                  </w:tcBorders>
                  <w:shd w:val="clear" w:color="auto" w:fill="D9D9D9" w:themeFill="background1" w:themeFillShade="D9"/>
                  <w:vAlign w:val="center"/>
                </w:tcPr>
                <w:p w14:paraId="3909EA2C"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CET1 capital ($m)</w:t>
                  </w:r>
                </w:p>
              </w:tc>
              <w:tc>
                <w:tcPr>
                  <w:tcW w:w="1038" w:type="dxa"/>
                  <w:tcBorders>
                    <w:left w:val="single" w:sz="4" w:space="0" w:color="FFFFFF" w:themeColor="background1"/>
                    <w:bottom w:val="single" w:sz="4" w:space="0" w:color="FFFFFF" w:themeColor="background1"/>
                  </w:tcBorders>
                  <w:shd w:val="clear" w:color="auto" w:fill="D9D9D9" w:themeFill="background1" w:themeFillShade="D9"/>
                  <w:vAlign w:val="center"/>
                </w:tcPr>
                <w:p w14:paraId="4C6973AC"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42,525</w:t>
                  </w:r>
                </w:p>
              </w:tc>
            </w:tr>
            <w:tr w:rsidR="00E64CCD" w:rsidRPr="00E64CCD" w14:paraId="0EA4143A" w14:textId="77777777" w:rsidTr="00CD157D">
              <w:trPr>
                <w:trHeight w:val="567"/>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0370C2"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Total RWA ($m)</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0B09B652"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405,000</w:t>
                  </w:r>
                </w:p>
              </w:tc>
            </w:tr>
            <w:tr w:rsidR="00E64CCD" w:rsidRPr="00E64CCD" w14:paraId="47B570DE" w14:textId="77777777" w:rsidTr="00CD157D">
              <w:trPr>
                <w:trHeight w:val="567"/>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7A89D88" w14:textId="77777777" w:rsidR="00E64CCD" w:rsidRPr="00E64CCD" w:rsidRDefault="00E64CCD" w:rsidP="00E64CCD">
                  <w:pPr>
                    <w:spacing w:before="120" w:after="120"/>
                    <w:ind w:left="284"/>
                    <w:rPr>
                      <w:rFonts w:ascii="DIN OT Medium" w:hAnsi="DIN OT Medium"/>
                      <w:i/>
                      <w:sz w:val="20"/>
                      <w:lang w:val="en-GB"/>
                    </w:rPr>
                  </w:pPr>
                  <w:r w:rsidRPr="00E64CCD">
                    <w:rPr>
                      <w:rFonts w:ascii="DIN OT Medium" w:hAnsi="DIN OT Medium"/>
                      <w:i/>
                      <w:sz w:val="20"/>
                      <w:lang w:val="en-GB"/>
                    </w:rPr>
                    <w:t xml:space="preserve">Of which, IRRBB RWA </w:t>
                  </w:r>
                  <w:r w:rsidRPr="00E64CCD">
                    <w:rPr>
                      <w:rFonts w:ascii="DIN OT Medium" w:hAnsi="DIN OT Medium"/>
                      <w:sz w:val="20"/>
                      <w:lang w:val="en-GB"/>
                    </w:rPr>
                    <w:t>($m)</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2AB0478B"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15,000</w:t>
                  </w:r>
                </w:p>
              </w:tc>
            </w:tr>
            <w:tr w:rsidR="00E64CCD" w:rsidRPr="00E64CCD" w14:paraId="18B6635F" w14:textId="77777777" w:rsidTr="00CD157D">
              <w:trPr>
                <w:trHeight w:val="567"/>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6B7D888" w14:textId="77777777" w:rsidR="00E64CCD" w:rsidRPr="00E64CCD" w:rsidRDefault="00E67207" w:rsidP="00E64CCD">
                  <w:pPr>
                    <w:spacing w:before="120" w:after="120"/>
                    <w:rPr>
                      <w:rFonts w:ascii="DIN OT Medium" w:hAnsi="DIN OT Medium"/>
                      <w:sz w:val="20"/>
                      <w:lang w:val="en-GB"/>
                    </w:rPr>
                  </w:pPr>
                  <w:r>
                    <w:rPr>
                      <w:rFonts w:ascii="DIN OT Medium" w:hAnsi="DIN OT Medium"/>
                      <w:sz w:val="20"/>
                      <w:lang w:val="en-GB"/>
                    </w:rPr>
                    <w:t>Comparison</w:t>
                  </w:r>
                  <w:r w:rsidRPr="00E64CCD">
                    <w:rPr>
                      <w:rFonts w:ascii="DIN OT Medium" w:hAnsi="DIN OT Medium"/>
                      <w:sz w:val="20"/>
                      <w:lang w:val="en-GB"/>
                    </w:rPr>
                    <w:t xml:space="preserve"> </w:t>
                  </w:r>
                  <w:r w:rsidR="00E64CCD" w:rsidRPr="00E64CCD">
                    <w:rPr>
                      <w:rFonts w:ascii="DIN OT Medium" w:hAnsi="DIN OT Medium"/>
                      <w:sz w:val="20"/>
                      <w:lang w:val="en-GB"/>
                    </w:rPr>
                    <w:t>Total RWA ($m)</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25FA91C1"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390,000</w:t>
                  </w:r>
                </w:p>
              </w:tc>
            </w:tr>
            <w:tr w:rsidR="00E64CCD" w:rsidRPr="00E64CCD" w14:paraId="5CA6F030" w14:textId="77777777" w:rsidTr="00CD157D">
              <w:trPr>
                <w:trHeight w:val="567"/>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80EE737"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Current CET1 ratio</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5EC8E931"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10.5</w:t>
                  </w:r>
                  <w:r w:rsidR="00452DA4">
                    <w:rPr>
                      <w:rFonts w:ascii="DIN OT Light" w:hAnsi="DIN OT Light"/>
                      <w:sz w:val="20"/>
                      <w:lang w:val="en-GB"/>
                    </w:rPr>
                    <w:t>0</w:t>
                  </w:r>
                  <w:r w:rsidRPr="00E64CCD">
                    <w:rPr>
                      <w:rFonts w:ascii="DIN OT Light" w:hAnsi="DIN OT Light"/>
                      <w:sz w:val="20"/>
                      <w:lang w:val="en-GB"/>
                    </w:rPr>
                    <w:t>%</w:t>
                  </w:r>
                </w:p>
              </w:tc>
            </w:tr>
            <w:tr w:rsidR="00E64CCD" w:rsidRPr="00E64CCD" w14:paraId="7AF261F1" w14:textId="77777777" w:rsidTr="00CD157D">
              <w:trPr>
                <w:trHeight w:val="567"/>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B595727"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Adjustment for IRRBB</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7D71345A"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0.4</w:t>
                  </w:r>
                  <w:r w:rsidR="00452DA4">
                    <w:rPr>
                      <w:rFonts w:ascii="DIN OT Light" w:hAnsi="DIN OT Light"/>
                      <w:sz w:val="20"/>
                      <w:lang w:val="en-GB"/>
                    </w:rPr>
                    <w:t>0</w:t>
                  </w:r>
                  <w:r w:rsidRPr="00E64CCD">
                    <w:rPr>
                      <w:rFonts w:ascii="DIN OT Light" w:hAnsi="DIN OT Light"/>
                      <w:sz w:val="20"/>
                      <w:lang w:val="en-GB"/>
                    </w:rPr>
                    <w:t>%</w:t>
                  </w:r>
                </w:p>
              </w:tc>
            </w:tr>
            <w:tr w:rsidR="00E64CCD" w:rsidRPr="00E64CCD" w14:paraId="5AA47CB1" w14:textId="77777777" w:rsidTr="00CD157D">
              <w:trPr>
                <w:trHeight w:val="510"/>
              </w:trPr>
              <w:tc>
                <w:tcPr>
                  <w:tcW w:w="2835" w:type="dxa"/>
                  <w:tcBorders>
                    <w:top w:val="single" w:sz="4" w:space="0" w:color="FFFFFF" w:themeColor="background1"/>
                    <w:right w:val="single" w:sz="4" w:space="0" w:color="FFFFFF" w:themeColor="background1"/>
                  </w:tcBorders>
                  <w:shd w:val="clear" w:color="auto" w:fill="D9D9D9" w:themeFill="background1" w:themeFillShade="D9"/>
                  <w:vAlign w:val="center"/>
                </w:tcPr>
                <w:p w14:paraId="3FA4677E" w14:textId="15939BD7" w:rsidR="00E64CCD" w:rsidRPr="00E64CCD" w:rsidRDefault="00E67207" w:rsidP="003219A2">
                  <w:pPr>
                    <w:spacing w:before="120" w:after="120"/>
                    <w:rPr>
                      <w:rFonts w:ascii="DIN OT Medium" w:hAnsi="DIN OT Medium"/>
                      <w:sz w:val="20"/>
                      <w:lang w:val="en-GB"/>
                    </w:rPr>
                  </w:pPr>
                  <w:r>
                    <w:rPr>
                      <w:rFonts w:ascii="DIN OT Medium" w:hAnsi="DIN OT Medium"/>
                      <w:sz w:val="20"/>
                      <w:lang w:val="en-GB"/>
                    </w:rPr>
                    <w:t>Comparison</w:t>
                  </w:r>
                  <w:r w:rsidRPr="00E64CCD">
                    <w:rPr>
                      <w:rFonts w:ascii="DIN OT Medium" w:hAnsi="DIN OT Medium"/>
                      <w:sz w:val="20"/>
                      <w:lang w:val="en-GB"/>
                    </w:rPr>
                    <w:t xml:space="preserve"> </w:t>
                  </w:r>
                  <w:r w:rsidR="00E64CCD" w:rsidRPr="00E64CCD">
                    <w:rPr>
                      <w:rFonts w:ascii="DIN OT Medium" w:hAnsi="DIN OT Medium"/>
                      <w:sz w:val="20"/>
                      <w:lang w:val="en-GB"/>
                    </w:rPr>
                    <w:t>CET1 ratio</w:t>
                  </w:r>
                </w:p>
              </w:tc>
              <w:tc>
                <w:tcPr>
                  <w:tcW w:w="1038" w:type="dxa"/>
                  <w:tcBorders>
                    <w:top w:val="single" w:sz="4" w:space="0" w:color="FFFFFF" w:themeColor="background1"/>
                    <w:left w:val="single" w:sz="4" w:space="0" w:color="FFFFFF" w:themeColor="background1"/>
                  </w:tcBorders>
                  <w:shd w:val="clear" w:color="auto" w:fill="D9D9D9" w:themeFill="background1" w:themeFillShade="D9"/>
                  <w:vAlign w:val="center"/>
                </w:tcPr>
                <w:p w14:paraId="212319E0"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10.9</w:t>
                  </w:r>
                  <w:r w:rsidR="00452DA4">
                    <w:rPr>
                      <w:rFonts w:ascii="DIN OT Light" w:hAnsi="DIN OT Light"/>
                      <w:sz w:val="20"/>
                      <w:lang w:val="en-GB"/>
                    </w:rPr>
                    <w:t>0</w:t>
                  </w:r>
                  <w:r w:rsidRPr="00E64CCD">
                    <w:rPr>
                      <w:rFonts w:ascii="DIN OT Light" w:hAnsi="DIN OT Light"/>
                      <w:sz w:val="20"/>
                      <w:lang w:val="en-GB"/>
                    </w:rPr>
                    <w:t>%</w:t>
                  </w:r>
                </w:p>
              </w:tc>
            </w:tr>
          </w:tbl>
          <w:p w14:paraId="735075BA" w14:textId="77777777" w:rsidR="00E64CCD" w:rsidRPr="00E64CCD" w:rsidRDefault="00E64CCD" w:rsidP="00E64CCD">
            <w:pPr>
              <w:spacing w:before="120" w:after="120"/>
              <w:rPr>
                <w:rFonts w:ascii="DIN OT Light" w:hAnsi="DIN OT Light"/>
                <w:sz w:val="20"/>
                <w:lang w:val="en-GB"/>
              </w:rPr>
            </w:pPr>
          </w:p>
        </w:tc>
        <w:tc>
          <w:tcPr>
            <w:tcW w:w="5047" w:type="dxa"/>
            <w:shd w:val="clear" w:color="auto" w:fill="D9D9D9" w:themeFill="background1" w:themeFillShade="D9"/>
            <w:vAlign w:val="center"/>
          </w:tcPr>
          <w:p w14:paraId="70C16232" w14:textId="23D86AFE" w:rsidR="00E64CCD" w:rsidRPr="00E64CCD" w:rsidRDefault="000A0AF8" w:rsidP="00E64CCD">
            <w:pPr>
              <w:spacing w:after="0"/>
              <w:jc w:val="center"/>
              <w:rPr>
                <w:rFonts w:ascii="DIN OT Light" w:hAnsi="DIN OT Light"/>
                <w:sz w:val="20"/>
                <w:lang w:val="en-GB"/>
              </w:rPr>
            </w:pPr>
            <w:r w:rsidRPr="000A0AF8">
              <w:rPr>
                <w:rFonts w:ascii="DIN OT Light" w:hAnsi="DIN OT Light"/>
                <w:noProof/>
                <w:sz w:val="20"/>
                <w:lang w:eastAsia="en-AU"/>
              </w:rPr>
              <w:drawing>
                <wp:inline distT="0" distB="0" distL="0" distR="0" wp14:anchorId="5E5838CD" wp14:editId="6023BB39">
                  <wp:extent cx="3188335" cy="2520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8335" cy="2520315"/>
                          </a:xfrm>
                          <a:prstGeom prst="rect">
                            <a:avLst/>
                          </a:prstGeom>
                          <a:noFill/>
                          <a:ln>
                            <a:noFill/>
                          </a:ln>
                        </pic:spPr>
                      </pic:pic>
                    </a:graphicData>
                  </a:graphic>
                </wp:inline>
              </w:drawing>
            </w:r>
          </w:p>
        </w:tc>
      </w:tr>
    </w:tbl>
    <w:p w14:paraId="63155212" w14:textId="77777777" w:rsidR="00E64CCD" w:rsidRDefault="00E64CCD" w:rsidP="00E64CCD">
      <w:pPr>
        <w:rPr>
          <w:rFonts w:ascii="DIN OT Light" w:hAnsi="DIN OT Light"/>
          <w:lang w:val="en-GB"/>
        </w:rPr>
      </w:pPr>
    </w:p>
    <w:p w14:paraId="43FA76F9" w14:textId="5F8D766A" w:rsidR="007738D5" w:rsidRPr="00E64CCD" w:rsidRDefault="001831E7" w:rsidP="00E64CCD">
      <w:pPr>
        <w:rPr>
          <w:rFonts w:ascii="DIN OT Light" w:hAnsi="DIN OT Light"/>
          <w:lang w:val="en-GB"/>
        </w:rPr>
      </w:pPr>
      <w:r>
        <w:rPr>
          <w:rFonts w:ascii="DIN OT Light" w:hAnsi="DIN OT Light"/>
          <w:lang w:val="en-GB"/>
        </w:rPr>
        <w:t xml:space="preserve">As shown in </w:t>
      </w:r>
      <w:r>
        <w:rPr>
          <w:rFonts w:ascii="DIN OT Light" w:hAnsi="DIN OT Light"/>
          <w:lang w:val="en-GB"/>
        </w:rPr>
        <w:fldChar w:fldCharType="begin"/>
      </w:r>
      <w:r>
        <w:rPr>
          <w:rFonts w:ascii="DIN OT Light" w:hAnsi="DIN OT Light"/>
          <w:lang w:val="en-GB"/>
        </w:rPr>
        <w:instrText xml:space="preserve"> REF _Ref509414415 \r \h </w:instrText>
      </w:r>
      <w:r>
        <w:rPr>
          <w:rFonts w:ascii="DIN OT Light" w:hAnsi="DIN OT Light"/>
          <w:lang w:val="en-GB"/>
        </w:rPr>
      </w:r>
      <w:r>
        <w:rPr>
          <w:rFonts w:ascii="DIN OT Light" w:hAnsi="DIN OT Light"/>
          <w:lang w:val="en-GB"/>
        </w:rPr>
        <w:fldChar w:fldCharType="separate"/>
      </w:r>
      <w:r w:rsidR="000B378D">
        <w:rPr>
          <w:rFonts w:ascii="DIN OT Light" w:hAnsi="DIN OT Light"/>
          <w:lang w:val="en-GB"/>
        </w:rPr>
        <w:t>Figure 2</w:t>
      </w:r>
      <w:r>
        <w:rPr>
          <w:rFonts w:ascii="DIN OT Light" w:hAnsi="DIN OT Light"/>
          <w:lang w:val="en-GB"/>
        </w:rPr>
        <w:fldChar w:fldCharType="end"/>
      </w:r>
      <w:r>
        <w:rPr>
          <w:rFonts w:ascii="DIN OT Light" w:hAnsi="DIN OT Light"/>
          <w:lang w:val="en-GB"/>
        </w:rPr>
        <w:t>, t</w:t>
      </w:r>
      <w:r w:rsidR="007738D5">
        <w:rPr>
          <w:rFonts w:ascii="DIN OT Light" w:hAnsi="DIN OT Light"/>
          <w:lang w:val="en-GB"/>
        </w:rPr>
        <w:t xml:space="preserve">he </w:t>
      </w:r>
      <w:r w:rsidR="008C2CA0">
        <w:rPr>
          <w:rFonts w:ascii="DIN OT Light" w:hAnsi="DIN OT Light"/>
          <w:lang w:val="en-GB"/>
        </w:rPr>
        <w:t xml:space="preserve">adjustment </w:t>
      </w:r>
      <w:r>
        <w:rPr>
          <w:rFonts w:ascii="DIN OT Light" w:hAnsi="DIN OT Light"/>
          <w:lang w:val="en-GB"/>
        </w:rPr>
        <w:t>for IRRBB results in a</w:t>
      </w:r>
      <w:r w:rsidR="0030692F">
        <w:rPr>
          <w:rFonts w:ascii="DIN OT Light" w:hAnsi="DIN OT Light"/>
          <w:lang w:val="en-GB"/>
        </w:rPr>
        <w:t xml:space="preserve"> more</w:t>
      </w:r>
      <w:r>
        <w:rPr>
          <w:rFonts w:ascii="DIN OT Light" w:hAnsi="DIN OT Light"/>
          <w:lang w:val="en-GB"/>
        </w:rPr>
        <w:t xml:space="preserve"> internationally comparable CET1 ratio of 10.9</w:t>
      </w:r>
      <w:r w:rsidR="00452DA4">
        <w:rPr>
          <w:rFonts w:ascii="DIN OT Light" w:hAnsi="DIN OT Light"/>
          <w:lang w:val="en-GB"/>
        </w:rPr>
        <w:t>0</w:t>
      </w:r>
      <w:r w:rsidR="00B07F4F">
        <w:rPr>
          <w:rFonts w:ascii="DIN OT Light" w:hAnsi="DIN OT Light"/>
          <w:lang w:val="en-GB"/>
        </w:rPr>
        <w:t xml:space="preserve"> per cent, </w:t>
      </w:r>
      <w:r w:rsidR="00751775">
        <w:rPr>
          <w:rFonts w:ascii="DIN OT Light" w:hAnsi="DIN OT Light"/>
          <w:lang w:val="en-GB"/>
        </w:rPr>
        <w:t xml:space="preserve">which is 40 basis points higher than the </w:t>
      </w:r>
      <w:r w:rsidR="00A2180B">
        <w:rPr>
          <w:rFonts w:ascii="DIN OT Light" w:hAnsi="DIN OT Light"/>
          <w:lang w:val="en-GB"/>
        </w:rPr>
        <w:t xml:space="preserve">regulatory </w:t>
      </w:r>
      <w:r w:rsidR="00751775">
        <w:rPr>
          <w:rFonts w:ascii="DIN OT Light" w:hAnsi="DIN OT Light"/>
          <w:lang w:val="en-GB"/>
        </w:rPr>
        <w:t>CET1 ratio</w:t>
      </w:r>
      <w:r>
        <w:rPr>
          <w:rFonts w:ascii="DIN OT Light" w:hAnsi="DIN OT Light"/>
          <w:lang w:val="en-GB"/>
        </w:rPr>
        <w:t xml:space="preserve">. </w:t>
      </w:r>
    </w:p>
    <w:p w14:paraId="7AB300A6" w14:textId="5104A031" w:rsidR="0030692F" w:rsidRDefault="00E64CCD" w:rsidP="00E64CCD">
      <w:pPr>
        <w:pStyle w:val="APRANORMAL"/>
      </w:pPr>
      <w:r w:rsidRPr="00E64CCD">
        <w:t xml:space="preserve">Under </w:t>
      </w:r>
      <w:r w:rsidR="00F4495C">
        <w:t>Approach 1</w:t>
      </w:r>
      <w:r w:rsidRPr="00E64CCD">
        <w:t xml:space="preserve">, </w:t>
      </w:r>
      <w:r w:rsidR="0030692F">
        <w:t xml:space="preserve">in addition to disclosing the </w:t>
      </w:r>
      <w:r w:rsidR="00A2180B">
        <w:t xml:space="preserve">regulatory </w:t>
      </w:r>
      <w:r w:rsidR="0030692F">
        <w:t>CET1 ratio</w:t>
      </w:r>
      <w:r w:rsidR="00A2180B">
        <w:t>,</w:t>
      </w:r>
      <w:r w:rsidR="0030692F" w:rsidDel="00746DF3">
        <w:t xml:space="preserve"> </w:t>
      </w:r>
      <w:r w:rsidR="00746DF3">
        <w:t>ADIs</w:t>
      </w:r>
      <w:r w:rsidR="0030692F">
        <w:t xml:space="preserve"> would disclose:</w:t>
      </w:r>
    </w:p>
    <w:p w14:paraId="402CEA79" w14:textId="77777777" w:rsidR="0030692F" w:rsidRDefault="0030692F" w:rsidP="00BE4194">
      <w:pPr>
        <w:pStyle w:val="APRABULLET"/>
      </w:pPr>
      <w:r>
        <w:t xml:space="preserve">the </w:t>
      </w:r>
      <w:r w:rsidR="00E64CCD" w:rsidRPr="00E64CCD">
        <w:t xml:space="preserve">quantitative elements where APRA has differed from the Basel </w:t>
      </w:r>
      <w:r w:rsidR="00031089">
        <w:t xml:space="preserve">capital </w:t>
      </w:r>
      <w:r w:rsidR="00E64CCD" w:rsidRPr="00E64CCD">
        <w:t xml:space="preserve">framework </w:t>
      </w:r>
      <w:r>
        <w:t>(RWA adjustment of $15,000m); and</w:t>
      </w:r>
    </w:p>
    <w:p w14:paraId="162BFBB3" w14:textId="39824FEB" w:rsidR="00E64CCD" w:rsidRPr="00E64CCD" w:rsidRDefault="00F47A14" w:rsidP="00BE4194">
      <w:pPr>
        <w:pStyle w:val="APRABULLET"/>
      </w:pPr>
      <w:r>
        <w:t xml:space="preserve">the comparable CET1 ratio </w:t>
      </w:r>
      <w:r w:rsidR="00D44A09">
        <w:t>resulting</w:t>
      </w:r>
      <w:r>
        <w:t xml:space="preserve"> from applying the APRA-specified </w:t>
      </w:r>
      <w:r w:rsidR="00D56C86">
        <w:t xml:space="preserve">methodology to estimate </w:t>
      </w:r>
      <w:r>
        <w:t>adjustments (10.9</w:t>
      </w:r>
      <w:r w:rsidR="00452DA4">
        <w:t>0</w:t>
      </w:r>
      <w:r w:rsidR="00B07F4F">
        <w:t xml:space="preserve"> per cent).</w:t>
      </w:r>
    </w:p>
    <w:p w14:paraId="3063D067" w14:textId="77777777" w:rsidR="00E64CCD" w:rsidRPr="00E64CCD" w:rsidRDefault="008067F1" w:rsidP="00E64CCD">
      <w:pPr>
        <w:pStyle w:val="APRAHEADING4"/>
      </w:pPr>
      <w:r>
        <w:t>Approach</w:t>
      </w:r>
      <w:r w:rsidRPr="00E64CCD">
        <w:t xml:space="preserve"> </w:t>
      </w:r>
      <w:r w:rsidR="00E64CCD" w:rsidRPr="00E64CCD">
        <w:t xml:space="preserve">2 – </w:t>
      </w:r>
      <w:r w:rsidR="00122888">
        <w:t xml:space="preserve">Capital ratio adjustments </w:t>
      </w:r>
    </w:p>
    <w:p w14:paraId="003ED91D" w14:textId="47F18E3D" w:rsidR="00E64CCD" w:rsidRPr="00E64CCD" w:rsidRDefault="00E64CCD" w:rsidP="00E64CCD">
      <w:pPr>
        <w:rPr>
          <w:rFonts w:ascii="DIN OT Light" w:hAnsi="DIN OT Light"/>
          <w:lang w:val="en-GB"/>
        </w:rPr>
      </w:pPr>
      <w:r w:rsidRPr="00E64CCD">
        <w:rPr>
          <w:rFonts w:ascii="DIN OT Light" w:hAnsi="DIN OT Light"/>
          <w:lang w:val="en-GB"/>
        </w:rPr>
        <w:t xml:space="preserve">Under </w:t>
      </w:r>
      <w:r w:rsidR="008067F1">
        <w:rPr>
          <w:rFonts w:ascii="DIN OT Light" w:hAnsi="DIN OT Light"/>
          <w:lang w:val="en-GB"/>
        </w:rPr>
        <w:t>Approach</w:t>
      </w:r>
      <w:r w:rsidRPr="00E64CCD">
        <w:rPr>
          <w:rFonts w:ascii="DIN OT Light" w:hAnsi="DIN OT Light"/>
          <w:lang w:val="en-GB"/>
        </w:rPr>
        <w:t xml:space="preserve"> 2, </w:t>
      </w:r>
      <w:r w:rsidR="00F47A14" w:rsidRPr="00751775">
        <w:rPr>
          <w:rFonts w:ascii="DIN OT Light" w:hAnsi="DIN OT Light"/>
          <w:lang w:val="en-GB"/>
        </w:rPr>
        <w:t xml:space="preserve">IRB ADIs would </w:t>
      </w:r>
      <w:r w:rsidR="002B2811">
        <w:rPr>
          <w:rFonts w:ascii="DIN OT Light" w:hAnsi="DIN OT Light"/>
          <w:lang w:val="en-GB"/>
        </w:rPr>
        <w:t xml:space="preserve">not </w:t>
      </w:r>
      <w:r w:rsidR="00F47A14" w:rsidRPr="00751775">
        <w:rPr>
          <w:rFonts w:ascii="DIN OT Light" w:hAnsi="DIN OT Light"/>
          <w:lang w:val="en-GB"/>
        </w:rPr>
        <w:t xml:space="preserve">include IRRBB in </w:t>
      </w:r>
      <w:r w:rsidR="002B2811">
        <w:rPr>
          <w:rFonts w:ascii="DIN OT Light" w:hAnsi="DIN OT Light"/>
          <w:lang w:val="en-GB"/>
        </w:rPr>
        <w:t>their</w:t>
      </w:r>
      <w:r w:rsidR="00F47A14" w:rsidRPr="00751775">
        <w:rPr>
          <w:rFonts w:ascii="DIN OT Light" w:hAnsi="DIN OT Light"/>
          <w:lang w:val="en-GB"/>
        </w:rPr>
        <w:t xml:space="preserve"> calculation of RWA and corresponding capital ratios</w:t>
      </w:r>
      <w:r w:rsidRPr="00E64CCD">
        <w:rPr>
          <w:rFonts w:ascii="DIN OT Light" w:hAnsi="DIN OT Light"/>
          <w:lang w:val="en-GB"/>
        </w:rPr>
        <w:t xml:space="preserve">. A commensurate adjustment </w:t>
      </w:r>
      <w:r w:rsidR="00FA1133">
        <w:rPr>
          <w:rFonts w:ascii="DIN OT Light" w:hAnsi="DIN OT Light"/>
          <w:lang w:val="en-GB"/>
        </w:rPr>
        <w:t>would instead be made</w:t>
      </w:r>
      <w:r w:rsidRPr="00E64CCD">
        <w:rPr>
          <w:rFonts w:ascii="DIN OT Light" w:hAnsi="DIN OT Light"/>
          <w:lang w:val="en-GB"/>
        </w:rPr>
        <w:t xml:space="preserve"> to </w:t>
      </w:r>
      <w:r w:rsidR="002B2811">
        <w:rPr>
          <w:rFonts w:ascii="DIN OT Light" w:hAnsi="DIN OT Light"/>
          <w:lang w:val="en-GB"/>
        </w:rPr>
        <w:t xml:space="preserve">capital </w:t>
      </w:r>
      <w:r w:rsidR="009928D8">
        <w:rPr>
          <w:rFonts w:ascii="DIN OT Light" w:hAnsi="DIN OT Light"/>
          <w:lang w:val="en-GB"/>
        </w:rPr>
        <w:t xml:space="preserve">ratio </w:t>
      </w:r>
      <w:r w:rsidR="002B2811">
        <w:rPr>
          <w:rFonts w:ascii="DIN OT Light" w:hAnsi="DIN OT Light"/>
          <w:lang w:val="en-GB"/>
        </w:rPr>
        <w:t>requirements (</w:t>
      </w:r>
      <w:r w:rsidRPr="00E64CCD">
        <w:rPr>
          <w:rFonts w:ascii="DIN OT Light" w:hAnsi="DIN OT Light"/>
          <w:lang w:val="en-GB"/>
        </w:rPr>
        <w:t>PCR</w:t>
      </w:r>
      <w:r w:rsidR="002B2811">
        <w:rPr>
          <w:rFonts w:ascii="DIN OT Light" w:hAnsi="DIN OT Light"/>
          <w:lang w:val="en-GB"/>
        </w:rPr>
        <w:t>+</w:t>
      </w:r>
      <w:r w:rsidRPr="00E64CCD">
        <w:rPr>
          <w:rFonts w:ascii="DIN OT Light" w:hAnsi="DIN OT Light"/>
          <w:lang w:val="en-GB"/>
        </w:rPr>
        <w:t xml:space="preserve">CCB) to maintain an equivalent </w:t>
      </w:r>
      <w:r w:rsidR="007738D5">
        <w:rPr>
          <w:rFonts w:ascii="DIN OT Light" w:hAnsi="DIN OT Light"/>
          <w:lang w:val="en-GB"/>
        </w:rPr>
        <w:t xml:space="preserve">dollar </w:t>
      </w:r>
      <w:r w:rsidRPr="00E64CCD">
        <w:rPr>
          <w:rFonts w:ascii="DIN OT Light" w:hAnsi="DIN OT Light"/>
          <w:lang w:val="en-GB"/>
        </w:rPr>
        <w:t xml:space="preserve">level of capital </w:t>
      </w:r>
      <w:r w:rsidR="005B1032">
        <w:rPr>
          <w:rFonts w:ascii="DIN OT Light" w:hAnsi="DIN OT Light"/>
          <w:lang w:val="en-GB"/>
        </w:rPr>
        <w:t xml:space="preserve">which ensures appropriate capital </w:t>
      </w:r>
      <w:r w:rsidRPr="00E64CCD">
        <w:rPr>
          <w:rFonts w:ascii="DIN OT Light" w:hAnsi="DIN OT Light"/>
          <w:lang w:val="en-GB"/>
        </w:rPr>
        <w:t>adequacy. Th</w:t>
      </w:r>
      <w:r w:rsidR="002A478E">
        <w:rPr>
          <w:rFonts w:ascii="DIN OT Light" w:hAnsi="DIN OT Light"/>
          <w:lang w:val="en-GB"/>
        </w:rPr>
        <w:t>is</w:t>
      </w:r>
      <w:r w:rsidRPr="00E64CCD">
        <w:rPr>
          <w:rFonts w:ascii="DIN OT Light" w:hAnsi="DIN OT Light"/>
          <w:lang w:val="en-GB"/>
        </w:rPr>
        <w:t xml:space="preserve"> adjustment </w:t>
      </w:r>
      <w:r w:rsidR="002A478E">
        <w:rPr>
          <w:rFonts w:ascii="DIN OT Light" w:hAnsi="DIN OT Light"/>
          <w:lang w:val="en-GB"/>
        </w:rPr>
        <w:t>is</w:t>
      </w:r>
      <w:r w:rsidRPr="00E64CCD">
        <w:rPr>
          <w:rFonts w:ascii="DIN OT Light" w:hAnsi="DIN OT Light"/>
          <w:lang w:val="en-GB"/>
        </w:rPr>
        <w:t xml:space="preserve"> given by the following equation: </w:t>
      </w:r>
    </w:p>
    <w:p w14:paraId="061BCAE9" w14:textId="77777777" w:rsidR="00E64CCD" w:rsidRDefault="00E64CCD" w:rsidP="00E64CCD">
      <w:pPr>
        <w:tabs>
          <w:tab w:val="left" w:pos="1701"/>
        </w:tabs>
        <w:ind w:left="567"/>
        <w:rPr>
          <w:rFonts w:ascii="DIN OT Light" w:eastAsiaTheme="minorEastAsia" w:hAnsi="DIN OT Light"/>
          <w:lang w:val="en-GB" w:eastAsia="en-AU"/>
        </w:rPr>
      </w:pPr>
      <w:r w:rsidRPr="00E64CCD">
        <w:rPr>
          <w:rFonts w:ascii="DIN OT Light" w:hAnsi="DIN OT Light"/>
          <w:lang w:val="en-GB"/>
        </w:rPr>
        <w:t>(2)</w:t>
      </w:r>
      <w:r w:rsidRPr="00E64CCD">
        <w:rPr>
          <w:rFonts w:ascii="DIN OT Light" w:hAnsi="DIN OT Light"/>
          <w:lang w:val="en-GB"/>
        </w:rPr>
        <w:tab/>
      </w:r>
      <m:oMath>
        <m:r>
          <m:rPr>
            <m:nor/>
          </m:rPr>
          <w:rPr>
            <w:rFonts w:ascii="DIN OT Light" w:hAnsi="DIN OT Light"/>
            <w:lang w:val="en-GB" w:eastAsia="en-AU"/>
          </w:rPr>
          <m:t>APRA Overlay Adjustment (%) =</m:t>
        </m:r>
        <m:r>
          <w:rPr>
            <w:rFonts w:ascii="Cambria Math" w:hAnsi="Cambria Math"/>
            <w:lang w:val="en-GB" w:eastAsia="en-AU"/>
          </w:rPr>
          <m:t xml:space="preserve"> </m:t>
        </m:r>
        <m:f>
          <m:fPr>
            <m:ctrlPr>
              <w:rPr>
                <w:rFonts w:ascii="Cambria Math" w:hAnsi="Cambria Math"/>
                <w:lang w:val="en-GB" w:eastAsia="en-AU"/>
              </w:rPr>
            </m:ctrlPr>
          </m:fPr>
          <m:num>
            <m:sSub>
              <m:sSubPr>
                <m:ctrlPr>
                  <w:rPr>
                    <w:rFonts w:ascii="Cambria Math" w:hAnsi="Cambria Math"/>
                    <w:lang w:val="en-GB" w:eastAsia="en-AU"/>
                  </w:rPr>
                </m:ctrlPr>
              </m:sSubPr>
              <m:e>
                <m:r>
                  <m:rPr>
                    <m:nor/>
                  </m:rPr>
                  <w:rPr>
                    <w:rFonts w:ascii="DIN OT Light" w:hAnsi="DIN OT Light"/>
                    <w:lang w:val="en-GB" w:eastAsia="en-AU"/>
                  </w:rPr>
                  <m:t xml:space="preserve">(PCR+CCB) </m:t>
                </m:r>
              </m:e>
              <m:sub>
                <m:r>
                  <m:rPr>
                    <m:nor/>
                  </m:rPr>
                  <w:rPr>
                    <w:rFonts w:ascii="DIN OT Light" w:hAnsi="DIN OT Light"/>
                    <w:lang w:val="en-GB" w:eastAsia="en-AU"/>
                  </w:rPr>
                  <m:t>CET1</m:t>
                </m:r>
              </m:sub>
            </m:sSub>
            <m:r>
              <m:rPr>
                <m:nor/>
              </m:rPr>
              <w:rPr>
                <w:rFonts w:ascii="DIN OT Light" w:hAnsi="DIN OT Light"/>
                <w:lang w:val="en-GB" w:eastAsia="en-AU"/>
              </w:rPr>
              <m:t xml:space="preserve">(%) × </m:t>
            </m:r>
            <m:sSub>
              <m:sSubPr>
                <m:ctrlPr>
                  <w:rPr>
                    <w:rFonts w:ascii="Cambria Math" w:hAnsi="Cambria Math"/>
                    <w:lang w:val="en-GB" w:eastAsia="en-AU"/>
                  </w:rPr>
                </m:ctrlPr>
              </m:sSubPr>
              <m:e>
                <m:r>
                  <m:rPr>
                    <m:nor/>
                  </m:rPr>
                  <w:rPr>
                    <w:rFonts w:ascii="DIN OT Light" w:hAnsi="DIN OT Light"/>
                    <w:lang w:val="en-GB" w:eastAsia="en-AU"/>
                  </w:rPr>
                  <m:t xml:space="preserve">RWA </m:t>
                </m:r>
              </m:e>
              <m:sub>
                <m:r>
                  <m:rPr>
                    <m:nor/>
                  </m:rPr>
                  <w:rPr>
                    <w:rFonts w:ascii="DIN OT Light" w:hAnsi="DIN OT Light"/>
                    <w:lang w:val="en-GB" w:eastAsia="en-AU"/>
                  </w:rPr>
                  <m:t>adjustment</m:t>
                </m:r>
              </m:sub>
            </m:sSub>
            <m:r>
              <m:rPr>
                <m:nor/>
              </m:rPr>
              <w:rPr>
                <w:rFonts w:ascii="DIN OT Light" w:hAnsi="DIN OT Light"/>
                <w:lang w:val="en-GB" w:eastAsia="en-AU"/>
              </w:rPr>
              <m:t xml:space="preserve"> ($)</m:t>
            </m:r>
          </m:num>
          <m:den>
            <m:sSub>
              <m:sSubPr>
                <m:ctrlPr>
                  <w:rPr>
                    <w:rFonts w:ascii="Cambria Math" w:hAnsi="Cambria Math"/>
                    <w:lang w:val="en-GB" w:eastAsia="en-AU"/>
                  </w:rPr>
                </m:ctrlPr>
              </m:sSubPr>
              <m:e>
                <m:r>
                  <m:rPr>
                    <m:nor/>
                  </m:rPr>
                  <w:rPr>
                    <w:rFonts w:ascii="DIN OT Light" w:hAnsi="DIN OT Light"/>
                    <w:lang w:val="en-GB" w:eastAsia="en-AU"/>
                  </w:rPr>
                  <m:t xml:space="preserve">  RWA </m:t>
                </m:r>
              </m:e>
              <m:sub>
                <m:r>
                  <m:rPr>
                    <m:nor/>
                  </m:rPr>
                  <w:rPr>
                    <w:rFonts w:ascii="DIN OT Light" w:hAnsi="DIN OT Light"/>
                    <w:lang w:val="en-GB" w:eastAsia="en-AU"/>
                  </w:rPr>
                  <m:t>new headline</m:t>
                </m:r>
              </m:sub>
            </m:sSub>
            <m:r>
              <m:rPr>
                <m:nor/>
              </m:rPr>
              <w:rPr>
                <w:rFonts w:ascii="DIN OT Light" w:hAnsi="DIN OT Light"/>
                <w:lang w:val="en-GB" w:eastAsia="en-AU"/>
              </w:rPr>
              <m:t xml:space="preserve"> ($)</m:t>
            </m:r>
          </m:den>
        </m:f>
      </m:oMath>
    </w:p>
    <w:p w14:paraId="7A64B42E" w14:textId="77777777" w:rsidR="000C1121" w:rsidRPr="00E64CCD" w:rsidRDefault="000C1121" w:rsidP="00E64CCD">
      <w:pPr>
        <w:tabs>
          <w:tab w:val="left" w:pos="1701"/>
        </w:tabs>
        <w:ind w:left="567"/>
        <w:rPr>
          <w:rFonts w:ascii="DIN OT Light" w:eastAsiaTheme="minorEastAsia" w:hAnsi="DIN OT Light"/>
          <w:lang w:val="en-GB" w:eastAsia="en-AU"/>
        </w:rPr>
      </w:pPr>
      <w:r>
        <w:rPr>
          <w:rFonts w:ascii="DIN OT Light" w:hAnsi="DIN OT Light"/>
          <w:lang w:val="en-GB"/>
        </w:rPr>
        <w:tab/>
        <w:t xml:space="preserve">Where RWA </w:t>
      </w:r>
      <w:r w:rsidRPr="00B30DC0">
        <w:rPr>
          <w:rFonts w:ascii="DIN OT Light" w:hAnsi="DIN OT Light"/>
          <w:sz w:val="14"/>
          <w:szCs w:val="14"/>
          <w:lang w:val="en-GB"/>
        </w:rPr>
        <w:t>new headline</w:t>
      </w:r>
      <w:r>
        <w:rPr>
          <w:rFonts w:ascii="DIN OT Light" w:hAnsi="DIN OT Light"/>
          <w:lang w:val="en-GB"/>
        </w:rPr>
        <w:t xml:space="preserve"> = RWA </w:t>
      </w:r>
      <w:r w:rsidRPr="00B30DC0">
        <w:rPr>
          <w:rFonts w:ascii="DIN OT Light" w:hAnsi="DIN OT Light"/>
          <w:sz w:val="14"/>
          <w:szCs w:val="14"/>
          <w:lang w:val="en-GB"/>
        </w:rPr>
        <w:t>old headline</w:t>
      </w:r>
      <w:r>
        <w:rPr>
          <w:rFonts w:ascii="DIN OT Light" w:hAnsi="DIN OT Light"/>
          <w:lang w:val="en-GB"/>
        </w:rPr>
        <w:t xml:space="preserve"> – RWA </w:t>
      </w:r>
      <w:r w:rsidRPr="00B30DC0">
        <w:rPr>
          <w:rFonts w:ascii="DIN OT Light" w:hAnsi="DIN OT Light"/>
          <w:sz w:val="14"/>
          <w:lang w:val="en-GB"/>
        </w:rPr>
        <w:t>adjustment</w:t>
      </w:r>
    </w:p>
    <w:p w14:paraId="04613EF4" w14:textId="2420206F" w:rsidR="002A478E" w:rsidRDefault="00E64CCD" w:rsidP="00E64CCD">
      <w:pPr>
        <w:rPr>
          <w:rFonts w:ascii="DIN OT Light" w:eastAsiaTheme="minorEastAsia" w:hAnsi="DIN OT Light"/>
          <w:lang w:val="en-GB"/>
        </w:rPr>
      </w:pPr>
      <w:r w:rsidRPr="00E64CCD">
        <w:rPr>
          <w:rFonts w:ascii="DIN OT Light" w:hAnsi="DIN OT Light"/>
          <w:lang w:val="en-GB"/>
        </w:rPr>
        <w:lastRenderedPageBreak/>
        <w:t>Using the data provided in</w:t>
      </w:r>
      <w:r w:rsidR="007738D5">
        <w:rPr>
          <w:rFonts w:ascii="DIN OT Light" w:hAnsi="DIN OT Light"/>
          <w:lang w:val="en-GB"/>
        </w:rPr>
        <w:t xml:space="preserve"> </w:t>
      </w:r>
      <w:r w:rsidR="007738D5">
        <w:rPr>
          <w:rFonts w:ascii="DIN OT Light" w:hAnsi="DIN OT Light"/>
          <w:highlight w:val="yellow"/>
          <w:lang w:val="en-GB"/>
        </w:rPr>
        <w:fldChar w:fldCharType="begin"/>
      </w:r>
      <w:r w:rsidR="007738D5">
        <w:rPr>
          <w:rFonts w:ascii="DIN OT Light" w:hAnsi="DIN OT Light"/>
          <w:lang w:val="en-GB"/>
        </w:rPr>
        <w:instrText xml:space="preserve"> REF _Ref509412340 \r \h </w:instrText>
      </w:r>
      <w:r w:rsidR="007738D5">
        <w:rPr>
          <w:rFonts w:ascii="DIN OT Light" w:hAnsi="DIN OT Light"/>
          <w:highlight w:val="yellow"/>
          <w:lang w:val="en-GB"/>
        </w:rPr>
      </w:r>
      <w:r w:rsidR="007738D5">
        <w:rPr>
          <w:rFonts w:ascii="DIN OT Light" w:hAnsi="DIN OT Light"/>
          <w:highlight w:val="yellow"/>
          <w:lang w:val="en-GB"/>
        </w:rPr>
        <w:fldChar w:fldCharType="separate"/>
      </w:r>
      <w:r w:rsidR="000B378D">
        <w:rPr>
          <w:rFonts w:ascii="DIN OT Light" w:hAnsi="DIN OT Light"/>
          <w:lang w:val="en-GB"/>
        </w:rPr>
        <w:t>Table 5</w:t>
      </w:r>
      <w:r w:rsidR="007738D5">
        <w:rPr>
          <w:rFonts w:ascii="DIN OT Light" w:hAnsi="DIN OT Light"/>
          <w:highlight w:val="yellow"/>
          <w:lang w:val="en-GB"/>
        </w:rPr>
        <w:fldChar w:fldCharType="end"/>
      </w:r>
      <w:r w:rsidR="007738D5" w:rsidRPr="00E64CCD">
        <w:rPr>
          <w:rFonts w:ascii="DIN OT Light" w:hAnsi="DIN OT Light"/>
          <w:lang w:val="en-GB"/>
        </w:rPr>
        <w:t xml:space="preserve"> </w:t>
      </w:r>
      <w:r w:rsidRPr="00E64CCD">
        <w:rPr>
          <w:rFonts w:ascii="DIN OT Light" w:hAnsi="DIN OT Light"/>
          <w:lang w:val="en-GB"/>
        </w:rPr>
        <w:t xml:space="preserve">above, the recalculated </w:t>
      </w:r>
      <w:r w:rsidR="009677F7">
        <w:rPr>
          <w:rFonts w:ascii="DIN OT Light" w:hAnsi="DIN OT Light"/>
          <w:lang w:val="en-GB"/>
        </w:rPr>
        <w:t>regulatory</w:t>
      </w:r>
      <w:r w:rsidR="009677F7" w:rsidRPr="00E64CCD">
        <w:rPr>
          <w:rFonts w:ascii="DIN OT Light" w:hAnsi="DIN OT Light"/>
          <w:lang w:val="en-GB"/>
        </w:rPr>
        <w:t xml:space="preserve"> </w:t>
      </w:r>
      <w:r w:rsidRPr="00E64CCD">
        <w:rPr>
          <w:rFonts w:ascii="DIN OT Light" w:hAnsi="DIN OT Light"/>
          <w:lang w:val="en-GB"/>
        </w:rPr>
        <w:t xml:space="preserve">capital ratios and revised PCR and CCB requirements are </w:t>
      </w:r>
      <w:r w:rsidR="008C4699">
        <w:rPr>
          <w:rFonts w:ascii="DIN OT Light" w:hAnsi="DIN OT Light"/>
          <w:lang w:val="en-GB"/>
        </w:rPr>
        <w:t>set out below</w:t>
      </w:r>
      <w:r w:rsidR="00B20A3C">
        <w:rPr>
          <w:rFonts w:ascii="DIN OT Light" w:hAnsi="DIN OT Light"/>
          <w:lang w:val="en-GB"/>
        </w:rPr>
        <w:t>, w</w:t>
      </w:r>
      <w:r w:rsidR="000C1121">
        <w:rPr>
          <w:rFonts w:ascii="DIN OT Light" w:hAnsi="DIN OT Light"/>
          <w:lang w:val="en-GB"/>
        </w:rPr>
        <w:t>here RWA</w:t>
      </w:r>
      <w:r w:rsidR="00F25928">
        <w:rPr>
          <w:rFonts w:ascii="DIN OT Light" w:hAnsi="DIN OT Light"/>
          <w:lang w:val="en-GB"/>
        </w:rPr>
        <w:t xml:space="preserve"> </w:t>
      </w:r>
      <w:r w:rsidR="000C1121" w:rsidRPr="00B30DC0">
        <w:rPr>
          <w:rFonts w:ascii="DIN OT Light" w:hAnsi="DIN OT Light"/>
          <w:sz w:val="14"/>
          <w:szCs w:val="14"/>
          <w:lang w:val="en-GB"/>
        </w:rPr>
        <w:t>adjustment</w:t>
      </w:r>
      <w:r w:rsidR="000C1121" w:rsidRPr="000C1121">
        <w:rPr>
          <w:rFonts w:ascii="DIN OT Light" w:hAnsi="DIN OT Light"/>
          <w:vertAlign w:val="subscript"/>
          <w:lang w:val="en-GB"/>
        </w:rPr>
        <w:t xml:space="preserve"> </w:t>
      </w:r>
      <w:r w:rsidR="000C1121">
        <w:rPr>
          <w:rFonts w:ascii="DIN OT Light" w:hAnsi="DIN OT Light"/>
          <w:lang w:val="en-GB"/>
        </w:rPr>
        <w:t>is equal to IRRBB RWA. This is shown in</w:t>
      </w:r>
      <w:r w:rsidRPr="00E64CCD">
        <w:rPr>
          <w:rFonts w:ascii="DIN OT Light" w:hAnsi="DIN OT Light"/>
          <w:lang w:val="en-GB"/>
        </w:rPr>
        <w:t xml:space="preserve"> </w:t>
      </w:r>
      <w:r w:rsidR="007738D5">
        <w:rPr>
          <w:rFonts w:ascii="DIN OT Light" w:hAnsi="DIN OT Light"/>
          <w:lang w:val="en-GB"/>
        </w:rPr>
        <w:fldChar w:fldCharType="begin"/>
      </w:r>
      <w:r w:rsidR="007738D5">
        <w:rPr>
          <w:rFonts w:ascii="DIN OT Light" w:hAnsi="DIN OT Light"/>
          <w:lang w:val="en-GB"/>
        </w:rPr>
        <w:instrText xml:space="preserve"> REF _Ref509413806 \r \h </w:instrText>
      </w:r>
      <w:r w:rsidR="007738D5">
        <w:rPr>
          <w:rFonts w:ascii="DIN OT Light" w:hAnsi="DIN OT Light"/>
          <w:lang w:val="en-GB"/>
        </w:rPr>
      </w:r>
      <w:r w:rsidR="007738D5">
        <w:rPr>
          <w:rFonts w:ascii="DIN OT Light" w:hAnsi="DIN OT Light"/>
          <w:lang w:val="en-GB"/>
        </w:rPr>
        <w:fldChar w:fldCharType="separate"/>
      </w:r>
      <w:r w:rsidR="000B378D">
        <w:rPr>
          <w:rFonts w:ascii="DIN OT Light" w:hAnsi="DIN OT Light"/>
          <w:lang w:val="en-GB"/>
        </w:rPr>
        <w:t>Figure 3</w:t>
      </w:r>
      <w:r w:rsidR="007738D5">
        <w:rPr>
          <w:rFonts w:ascii="DIN OT Light" w:hAnsi="DIN OT Light"/>
          <w:lang w:val="en-GB"/>
        </w:rPr>
        <w:fldChar w:fldCharType="end"/>
      </w:r>
      <w:r w:rsidRPr="00E64CCD">
        <w:rPr>
          <w:rFonts w:ascii="DIN OT Light" w:hAnsi="DIN OT Light"/>
          <w:lang w:val="en-GB"/>
        </w:rPr>
        <w:t xml:space="preserve"> below.</w:t>
      </w:r>
    </w:p>
    <w:p w14:paraId="21B8BC08" w14:textId="77777777" w:rsidR="00E64CCD" w:rsidRPr="00BE4194" w:rsidRDefault="002A478E" w:rsidP="00E64CCD">
      <w:pPr>
        <w:rPr>
          <w:rFonts w:ascii="DIN OT Light" w:hAnsi="DIN OT Light"/>
          <w:lang w:val="en-GB"/>
        </w:rPr>
      </w:pPr>
      <m:oMathPara>
        <m:oMath>
          <m:r>
            <m:rPr>
              <m:nor/>
            </m:rPr>
            <w:rPr>
              <w:rFonts w:ascii="DIN OT Light" w:hAnsi="DIN OT Light"/>
              <w:lang w:val="en-GB" w:eastAsia="en-AU"/>
            </w:rPr>
            <m:t xml:space="preserve"> APRA Overlay Adjustment (%) = </m:t>
          </m:r>
          <m:f>
            <m:fPr>
              <m:ctrlPr>
                <w:rPr>
                  <w:rFonts w:ascii="Cambria Math" w:hAnsi="Cambria Math"/>
                  <w:lang w:val="en-GB" w:eastAsia="en-AU"/>
                </w:rPr>
              </m:ctrlPr>
            </m:fPr>
            <m:num>
              <m:r>
                <m:rPr>
                  <m:nor/>
                </m:rPr>
                <w:rPr>
                  <w:rFonts w:ascii="DIN OT Light" w:hAnsi="DIN OT Light"/>
                  <w:lang w:val="en-GB" w:eastAsia="en-AU"/>
                </w:rPr>
                <m:t>8% × 15 billion</m:t>
              </m:r>
            </m:num>
            <m:den>
              <m:r>
                <m:rPr>
                  <m:nor/>
                </m:rPr>
                <w:rPr>
                  <w:rFonts w:ascii="DIN OT Light" w:hAnsi="DIN OT Light"/>
                  <w:lang w:val="en-GB" w:eastAsia="en-AU"/>
                </w:rPr>
                <m:t>390 billion</m:t>
              </m:r>
            </m:den>
          </m:f>
          <m:r>
            <m:rPr>
              <m:nor/>
            </m:rPr>
            <w:rPr>
              <w:rFonts w:ascii="DIN OT Light" w:hAnsi="DIN OT Light"/>
              <w:lang w:val="en-GB" w:eastAsia="en-AU"/>
            </w:rPr>
            <m:t>=0.31%</m:t>
          </m:r>
        </m:oMath>
      </m:oMathPara>
    </w:p>
    <w:p w14:paraId="1D27F872" w14:textId="4084051D" w:rsidR="00D34564" w:rsidRDefault="00702730" w:rsidP="00E64CCD">
      <w:pPr>
        <w:rPr>
          <w:rFonts w:ascii="DIN OT Light" w:eastAsiaTheme="minorEastAsia" w:hAnsi="DIN OT Light"/>
          <w:lang w:val="en-GB" w:eastAsia="en-AU"/>
        </w:rPr>
      </w:pPr>
      <w:r>
        <w:rPr>
          <w:rFonts w:ascii="DIN OT Light" w:eastAsiaTheme="minorEastAsia" w:hAnsi="DIN OT Light"/>
          <w:lang w:val="en-GB" w:eastAsia="en-AU"/>
        </w:rPr>
        <w:t xml:space="preserve">If the allocation of </w:t>
      </w:r>
      <w:r w:rsidR="008E3D2F">
        <w:rPr>
          <w:rFonts w:ascii="DIN OT Light" w:eastAsiaTheme="minorEastAsia" w:hAnsi="DIN OT Light"/>
          <w:lang w:val="en-GB" w:eastAsia="en-AU"/>
        </w:rPr>
        <w:t xml:space="preserve">the </w:t>
      </w:r>
      <w:r>
        <w:rPr>
          <w:rFonts w:ascii="DIN OT Light" w:eastAsiaTheme="minorEastAsia" w:hAnsi="DIN OT Light"/>
          <w:lang w:val="en-GB" w:eastAsia="en-AU"/>
        </w:rPr>
        <w:t>overlay to the PCR and CCB were to be consistent with APRA’s existing framework, it would be</w:t>
      </w:r>
      <w:r w:rsidR="00981E84">
        <w:rPr>
          <w:rFonts w:ascii="DIN OT Light" w:eastAsiaTheme="minorEastAsia" w:hAnsi="DIN OT Light"/>
          <w:lang w:val="en-GB" w:eastAsia="en-AU"/>
        </w:rPr>
        <w:t xml:space="preserve"> based on the allocation o</w:t>
      </w:r>
      <w:r w:rsidR="00EA7580">
        <w:rPr>
          <w:rFonts w:ascii="DIN OT Light" w:eastAsiaTheme="minorEastAsia" w:hAnsi="DIN OT Light"/>
          <w:lang w:val="en-GB" w:eastAsia="en-AU"/>
        </w:rPr>
        <w:t xml:space="preserve">f CET1 capital </w:t>
      </w:r>
      <w:r w:rsidR="007319BD">
        <w:rPr>
          <w:rFonts w:ascii="DIN OT Light" w:eastAsiaTheme="minorEastAsia" w:hAnsi="DIN OT Light"/>
          <w:lang w:val="en-GB" w:eastAsia="en-AU"/>
        </w:rPr>
        <w:t>requirements of a 4.5 per cent</w:t>
      </w:r>
      <w:r w:rsidR="00107AA5">
        <w:rPr>
          <w:rFonts w:ascii="DIN OT Light" w:eastAsiaTheme="minorEastAsia" w:hAnsi="DIN OT Light"/>
          <w:lang w:val="en-GB" w:eastAsia="en-AU"/>
        </w:rPr>
        <w:t xml:space="preserve"> </w:t>
      </w:r>
      <w:r w:rsidR="00484945">
        <w:rPr>
          <w:rFonts w:ascii="DIN OT Light" w:eastAsiaTheme="minorEastAsia" w:hAnsi="DIN OT Light"/>
          <w:lang w:val="en-GB" w:eastAsia="en-AU"/>
        </w:rPr>
        <w:t xml:space="preserve">PCR and </w:t>
      </w:r>
      <w:r w:rsidR="00584AA0">
        <w:rPr>
          <w:rFonts w:ascii="DIN OT Light" w:eastAsiaTheme="minorEastAsia" w:hAnsi="DIN OT Light"/>
          <w:lang w:val="en-GB" w:eastAsia="en-AU"/>
        </w:rPr>
        <w:t xml:space="preserve">a </w:t>
      </w:r>
      <w:r w:rsidR="00484945">
        <w:rPr>
          <w:rFonts w:ascii="DIN OT Light" w:eastAsiaTheme="minorEastAsia" w:hAnsi="DIN OT Light"/>
          <w:lang w:val="en-GB" w:eastAsia="en-AU"/>
        </w:rPr>
        <w:t>3.5</w:t>
      </w:r>
      <w:r w:rsidR="007319BD">
        <w:rPr>
          <w:rFonts w:ascii="DIN OT Light" w:eastAsiaTheme="minorEastAsia" w:hAnsi="DIN OT Light"/>
          <w:lang w:val="en-GB" w:eastAsia="en-AU"/>
        </w:rPr>
        <w:t xml:space="preserve"> per cent</w:t>
      </w:r>
      <w:r w:rsidR="00484945">
        <w:rPr>
          <w:rFonts w:ascii="DIN OT Light" w:eastAsiaTheme="minorEastAsia" w:hAnsi="DIN OT Light"/>
          <w:lang w:val="en-GB" w:eastAsia="en-AU"/>
        </w:rPr>
        <w:t xml:space="preserve"> CCB</w:t>
      </w:r>
      <w:r w:rsidR="009F5DBE">
        <w:rPr>
          <w:rFonts w:ascii="DIN OT Light" w:eastAsiaTheme="minorEastAsia" w:hAnsi="DIN OT Light"/>
          <w:lang w:val="en-GB" w:eastAsia="en-AU"/>
        </w:rPr>
        <w:t>.</w:t>
      </w:r>
      <w:r w:rsidR="00792257">
        <w:rPr>
          <w:rFonts w:ascii="DIN OT Light" w:eastAsiaTheme="minorEastAsia" w:hAnsi="DIN OT Light"/>
          <w:lang w:val="en-GB" w:eastAsia="en-AU"/>
        </w:rPr>
        <w:t xml:space="preserve"> </w:t>
      </w:r>
      <w:r w:rsidR="00830563">
        <w:rPr>
          <w:rFonts w:ascii="DIN OT Light" w:eastAsiaTheme="minorEastAsia" w:hAnsi="DIN OT Light"/>
          <w:lang w:val="en-GB" w:eastAsia="en-AU"/>
        </w:rPr>
        <w:t>Hence</w:t>
      </w:r>
      <w:r w:rsidR="007319BD">
        <w:rPr>
          <w:rFonts w:ascii="DIN OT Light" w:eastAsiaTheme="minorEastAsia" w:hAnsi="DIN OT Light"/>
          <w:lang w:val="en-GB" w:eastAsia="en-AU"/>
        </w:rPr>
        <w:t>,</w:t>
      </w:r>
      <w:r w:rsidR="00830563">
        <w:rPr>
          <w:rFonts w:ascii="DIN OT Light" w:eastAsiaTheme="minorEastAsia" w:hAnsi="DIN OT Light"/>
          <w:lang w:val="en-GB" w:eastAsia="en-AU"/>
        </w:rPr>
        <w:t xml:space="preserve"> 56</w:t>
      </w:r>
      <w:r w:rsidR="00B07F4F">
        <w:rPr>
          <w:rFonts w:ascii="DIN OT Light" w:eastAsiaTheme="minorEastAsia" w:hAnsi="DIN OT Light"/>
          <w:lang w:val="en-GB" w:eastAsia="en-AU"/>
        </w:rPr>
        <w:t xml:space="preserve"> per cent </w:t>
      </w:r>
      <w:r w:rsidR="00830563">
        <w:rPr>
          <w:rFonts w:ascii="DIN OT Light" w:eastAsiaTheme="minorEastAsia" w:hAnsi="DIN OT Light"/>
          <w:lang w:val="en-GB" w:eastAsia="en-AU"/>
        </w:rPr>
        <w:t>of the overlay would be allocated to the PCR and 44</w:t>
      </w:r>
      <w:r w:rsidR="00B07F4F">
        <w:rPr>
          <w:rFonts w:ascii="DIN OT Light" w:eastAsiaTheme="minorEastAsia" w:hAnsi="DIN OT Light"/>
          <w:lang w:val="en-GB" w:eastAsia="en-AU"/>
        </w:rPr>
        <w:t xml:space="preserve"> per cent </w:t>
      </w:r>
      <w:r w:rsidR="00830563">
        <w:rPr>
          <w:rFonts w:ascii="DIN OT Light" w:eastAsiaTheme="minorEastAsia" w:hAnsi="DIN OT Light"/>
          <w:lang w:val="en-GB" w:eastAsia="en-AU"/>
        </w:rPr>
        <w:t>to the CCB</w:t>
      </w:r>
      <w:r w:rsidR="00B07F4F">
        <w:rPr>
          <w:rFonts w:ascii="DIN OT Light" w:eastAsiaTheme="minorEastAsia" w:hAnsi="DIN OT Light"/>
          <w:lang w:val="en-GB" w:eastAsia="en-AU"/>
        </w:rPr>
        <w:t xml:space="preserve"> (as per</w:t>
      </w:r>
      <w:r w:rsidR="0058346A">
        <w:rPr>
          <w:rFonts w:ascii="DIN OT Light" w:eastAsiaTheme="minorEastAsia" w:hAnsi="DIN OT Light"/>
          <w:lang w:val="en-GB" w:eastAsia="en-AU"/>
        </w:rPr>
        <w:t xml:space="preserve"> </w:t>
      </w:r>
      <w:r w:rsidR="0058346A">
        <w:rPr>
          <w:rFonts w:ascii="DIN OT Light" w:eastAsiaTheme="minorEastAsia" w:hAnsi="DIN OT Light"/>
          <w:lang w:val="en-GB" w:eastAsia="en-AU"/>
        </w:rPr>
        <w:fldChar w:fldCharType="begin"/>
      </w:r>
      <w:r w:rsidR="0058346A">
        <w:rPr>
          <w:rFonts w:ascii="DIN OT Light" w:eastAsiaTheme="minorEastAsia" w:hAnsi="DIN OT Light"/>
          <w:lang w:val="en-GB" w:eastAsia="en-AU"/>
        </w:rPr>
        <w:instrText xml:space="preserve"> REF _Ref511801889 \r \h </w:instrText>
      </w:r>
      <w:r w:rsidR="0058346A">
        <w:rPr>
          <w:rFonts w:ascii="DIN OT Light" w:eastAsiaTheme="minorEastAsia" w:hAnsi="DIN OT Light"/>
          <w:lang w:val="en-GB" w:eastAsia="en-AU"/>
        </w:rPr>
      </w:r>
      <w:r w:rsidR="0058346A">
        <w:rPr>
          <w:rFonts w:ascii="DIN OT Light" w:eastAsiaTheme="minorEastAsia" w:hAnsi="DIN OT Light"/>
          <w:lang w:val="en-GB" w:eastAsia="en-AU"/>
        </w:rPr>
        <w:fldChar w:fldCharType="separate"/>
      </w:r>
      <w:r w:rsidR="000B378D">
        <w:rPr>
          <w:rFonts w:ascii="DIN OT Light" w:eastAsiaTheme="minorEastAsia" w:hAnsi="DIN OT Light"/>
          <w:lang w:val="en-GB" w:eastAsia="en-AU"/>
        </w:rPr>
        <w:t>Figure 3</w:t>
      </w:r>
      <w:r w:rsidR="0058346A">
        <w:rPr>
          <w:rFonts w:ascii="DIN OT Light" w:eastAsiaTheme="minorEastAsia" w:hAnsi="DIN OT Light"/>
          <w:lang w:val="en-GB" w:eastAsia="en-AU"/>
        </w:rPr>
        <w:fldChar w:fldCharType="end"/>
      </w:r>
      <w:r w:rsidR="0058346A">
        <w:rPr>
          <w:rFonts w:ascii="DIN OT Light" w:eastAsiaTheme="minorEastAsia" w:hAnsi="DIN OT Light"/>
          <w:lang w:val="en-GB" w:eastAsia="en-AU"/>
        </w:rPr>
        <w:t xml:space="preserve"> below</w:t>
      </w:r>
      <w:r w:rsidR="00B07F4F">
        <w:rPr>
          <w:rFonts w:ascii="DIN OT Light" w:eastAsiaTheme="minorEastAsia" w:hAnsi="DIN OT Light"/>
          <w:lang w:val="en-GB" w:eastAsia="en-AU"/>
        </w:rPr>
        <w:t>)</w:t>
      </w:r>
      <w:r w:rsidR="0058346A">
        <w:rPr>
          <w:rFonts w:ascii="DIN OT Light" w:eastAsiaTheme="minorEastAsia" w:hAnsi="DIN OT Light"/>
          <w:lang w:val="en-GB" w:eastAsia="en-AU"/>
        </w:rPr>
        <w:t>.</w:t>
      </w:r>
      <w:r w:rsidR="00DD18BA">
        <w:rPr>
          <w:rFonts w:ascii="DIN OT Light" w:eastAsiaTheme="minorEastAsia" w:hAnsi="DIN OT Light"/>
          <w:lang w:val="en-GB" w:eastAsia="en-AU"/>
        </w:rPr>
        <w:t xml:space="preserve"> </w:t>
      </w:r>
    </w:p>
    <w:p w14:paraId="503B7037" w14:textId="77777777" w:rsidR="00E64CCD" w:rsidRPr="00E64CCD" w:rsidRDefault="00E64CCD" w:rsidP="00E64CCD">
      <w:pPr>
        <w:pStyle w:val="APRAFIGURE"/>
        <w:rPr>
          <w:lang w:val="en-GB"/>
        </w:rPr>
      </w:pPr>
      <w:bookmarkStart w:id="144" w:name="_Ref509413806"/>
      <w:bookmarkStart w:id="145" w:name="_Ref511801889"/>
      <w:r w:rsidRPr="00E64CCD">
        <w:rPr>
          <w:lang w:val="en-GB"/>
        </w:rPr>
        <w:t xml:space="preserve">Indicative </w:t>
      </w:r>
      <w:r w:rsidRPr="00E64CCD">
        <w:t>example</w:t>
      </w:r>
      <w:r w:rsidRPr="00E64CCD">
        <w:rPr>
          <w:lang w:val="en-GB"/>
        </w:rPr>
        <w:t xml:space="preserve"> of IRRBB under </w:t>
      </w:r>
      <w:bookmarkEnd w:id="144"/>
      <w:r w:rsidR="008067F1">
        <w:rPr>
          <w:lang w:val="en-GB"/>
        </w:rPr>
        <w:t>Approach</w:t>
      </w:r>
      <w:r w:rsidR="008067F1" w:rsidRPr="00E64CCD">
        <w:rPr>
          <w:lang w:val="en-GB"/>
        </w:rPr>
        <w:t xml:space="preserve"> </w:t>
      </w:r>
      <w:r w:rsidRPr="00E64CCD">
        <w:rPr>
          <w:lang w:val="en-GB"/>
        </w:rPr>
        <w:t>2</w:t>
      </w:r>
      <w:bookmarkEnd w:id="145"/>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79"/>
        <w:gridCol w:w="5047"/>
      </w:tblGrid>
      <w:tr w:rsidR="00E64CCD" w:rsidRPr="00E64CCD" w14:paraId="5AE576C9" w14:textId="77777777" w:rsidTr="00CD157D">
        <w:tc>
          <w:tcPr>
            <w:tcW w:w="3979" w:type="dxa"/>
            <w:shd w:val="clear" w:color="auto" w:fill="D9D9D9" w:themeFill="background1" w:themeFillShade="D9"/>
          </w:tcPr>
          <w:tbl>
            <w:tblPr>
              <w:tblStyle w:val="TableGrid1"/>
              <w:tblW w:w="3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038"/>
            </w:tblGrid>
            <w:tr w:rsidR="00E64CCD" w:rsidRPr="00E64CCD" w14:paraId="0BC990E6" w14:textId="77777777" w:rsidTr="00CD157D">
              <w:trPr>
                <w:trHeight w:val="794"/>
              </w:trPr>
              <w:tc>
                <w:tcPr>
                  <w:tcW w:w="2835" w:type="dxa"/>
                  <w:tcBorders>
                    <w:bottom w:val="single" w:sz="4" w:space="0" w:color="FFFFFF" w:themeColor="background1"/>
                    <w:right w:val="single" w:sz="4" w:space="0" w:color="FFFFFF" w:themeColor="background1"/>
                  </w:tcBorders>
                  <w:shd w:val="clear" w:color="auto" w:fill="D9D9D9" w:themeFill="background1" w:themeFillShade="D9"/>
                  <w:vAlign w:val="center"/>
                </w:tcPr>
                <w:p w14:paraId="134CBF81"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Current CET1 ratio</w:t>
                  </w:r>
                </w:p>
              </w:tc>
              <w:tc>
                <w:tcPr>
                  <w:tcW w:w="1038" w:type="dxa"/>
                  <w:tcBorders>
                    <w:left w:val="single" w:sz="4" w:space="0" w:color="FFFFFF" w:themeColor="background1"/>
                    <w:bottom w:val="single" w:sz="4" w:space="0" w:color="FFFFFF" w:themeColor="background1"/>
                  </w:tcBorders>
                  <w:shd w:val="clear" w:color="auto" w:fill="D9D9D9" w:themeFill="background1" w:themeFillShade="D9"/>
                  <w:vAlign w:val="center"/>
                </w:tcPr>
                <w:p w14:paraId="025B8352"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10.5</w:t>
                  </w:r>
                  <w:r w:rsidR="00452DA4">
                    <w:rPr>
                      <w:rFonts w:ascii="DIN OT Light" w:hAnsi="DIN OT Light"/>
                      <w:sz w:val="20"/>
                      <w:lang w:val="en-GB"/>
                    </w:rPr>
                    <w:t>0</w:t>
                  </w:r>
                  <w:r w:rsidRPr="00E64CCD">
                    <w:rPr>
                      <w:rFonts w:ascii="DIN OT Light" w:hAnsi="DIN OT Light"/>
                      <w:sz w:val="20"/>
                      <w:lang w:val="en-GB"/>
                    </w:rPr>
                    <w:t>%</w:t>
                  </w:r>
                </w:p>
              </w:tc>
            </w:tr>
            <w:tr w:rsidR="00E64CCD" w:rsidRPr="00E64CCD" w14:paraId="60064416" w14:textId="77777777" w:rsidTr="00CD157D">
              <w:trPr>
                <w:trHeight w:val="794"/>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EC86C32"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Disclosed APRA overlay adjustment for IRRBB</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79EBA42D" w14:textId="77777777" w:rsidR="00E64CCD" w:rsidRPr="00E64CCD" w:rsidRDefault="00E64CCD" w:rsidP="0058346A">
                  <w:pPr>
                    <w:spacing w:before="120" w:after="120"/>
                    <w:jc w:val="right"/>
                    <w:rPr>
                      <w:rFonts w:ascii="DIN OT Light" w:hAnsi="DIN OT Light"/>
                      <w:sz w:val="20"/>
                      <w:lang w:val="en-GB"/>
                    </w:rPr>
                  </w:pPr>
                  <w:r w:rsidRPr="00E64CCD">
                    <w:rPr>
                      <w:rFonts w:ascii="DIN OT Light" w:hAnsi="DIN OT Light"/>
                      <w:sz w:val="20"/>
                      <w:lang w:val="en-GB"/>
                    </w:rPr>
                    <w:t>0.</w:t>
                  </w:r>
                  <w:r w:rsidR="0058346A">
                    <w:rPr>
                      <w:rFonts w:ascii="DIN OT Light" w:hAnsi="DIN OT Light"/>
                      <w:sz w:val="20"/>
                      <w:lang w:val="en-GB"/>
                    </w:rPr>
                    <w:t>31</w:t>
                  </w:r>
                  <w:r w:rsidRPr="00E64CCD">
                    <w:rPr>
                      <w:rFonts w:ascii="DIN OT Light" w:hAnsi="DIN OT Light"/>
                      <w:sz w:val="20"/>
                      <w:lang w:val="en-GB"/>
                    </w:rPr>
                    <w:t>%</w:t>
                  </w:r>
                </w:p>
              </w:tc>
            </w:tr>
            <w:tr w:rsidR="00E64CCD" w:rsidRPr="00E64CCD" w14:paraId="2D065D27" w14:textId="77777777" w:rsidTr="00CD157D">
              <w:trPr>
                <w:trHeight w:val="794"/>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6EF600" w14:textId="7EB5C923" w:rsidR="00E64CCD" w:rsidRPr="00E64CCD" w:rsidRDefault="00E64CCD" w:rsidP="009677F7">
                  <w:pPr>
                    <w:spacing w:before="120" w:after="120"/>
                    <w:rPr>
                      <w:rFonts w:ascii="DIN OT Medium" w:hAnsi="DIN OT Medium"/>
                      <w:i/>
                      <w:sz w:val="20"/>
                      <w:lang w:val="en-GB"/>
                    </w:rPr>
                  </w:pPr>
                  <w:r w:rsidRPr="00E64CCD">
                    <w:rPr>
                      <w:rFonts w:ascii="DIN OT Medium" w:hAnsi="DIN OT Medium"/>
                      <w:sz w:val="20"/>
                      <w:lang w:val="en-GB"/>
                    </w:rPr>
                    <w:t xml:space="preserve">New </w:t>
                  </w:r>
                  <w:r w:rsidR="009677F7">
                    <w:rPr>
                      <w:rFonts w:ascii="DIN OT Medium" w:hAnsi="DIN OT Medium"/>
                      <w:sz w:val="20"/>
                      <w:lang w:val="en-GB"/>
                    </w:rPr>
                    <w:t>regulatory</w:t>
                  </w:r>
                  <w:r w:rsidR="009677F7" w:rsidRPr="00E64CCD">
                    <w:rPr>
                      <w:rFonts w:ascii="DIN OT Medium" w:hAnsi="DIN OT Medium"/>
                      <w:sz w:val="20"/>
                      <w:lang w:val="en-GB"/>
                    </w:rPr>
                    <w:t xml:space="preserve"> </w:t>
                  </w:r>
                  <w:r w:rsidRPr="00E64CCD">
                    <w:rPr>
                      <w:rFonts w:ascii="DIN OT Medium" w:hAnsi="DIN OT Medium"/>
                      <w:sz w:val="20"/>
                      <w:lang w:val="en-GB"/>
                    </w:rPr>
                    <w:t>CET1 ratio</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1AE0616D"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10.9</w:t>
                  </w:r>
                  <w:r w:rsidR="00452DA4">
                    <w:rPr>
                      <w:rFonts w:ascii="DIN OT Light" w:hAnsi="DIN OT Light"/>
                      <w:sz w:val="20"/>
                      <w:lang w:val="en-GB"/>
                    </w:rPr>
                    <w:t>0</w:t>
                  </w:r>
                  <w:r w:rsidRPr="00E64CCD">
                    <w:rPr>
                      <w:rFonts w:ascii="DIN OT Light" w:hAnsi="DIN OT Light"/>
                      <w:sz w:val="20"/>
                      <w:lang w:val="en-GB"/>
                    </w:rPr>
                    <w:t>%</w:t>
                  </w:r>
                </w:p>
              </w:tc>
            </w:tr>
            <w:tr w:rsidR="00E64CCD" w:rsidRPr="00E64CCD" w14:paraId="3B84F06D" w14:textId="77777777" w:rsidTr="00CD157D">
              <w:trPr>
                <w:trHeight w:val="794"/>
              </w:trPr>
              <w:tc>
                <w:tcPr>
                  <w:tcW w:w="283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83070BD"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New CET1 PCR</w:t>
                  </w:r>
                </w:p>
              </w:tc>
              <w:tc>
                <w:tcPr>
                  <w:tcW w:w="103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vAlign w:val="center"/>
                </w:tcPr>
                <w:p w14:paraId="2561FF1E"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4.6</w:t>
                  </w:r>
                  <w:r w:rsidR="0058346A">
                    <w:rPr>
                      <w:rFonts w:ascii="DIN OT Light" w:hAnsi="DIN OT Light"/>
                      <w:sz w:val="20"/>
                      <w:lang w:val="en-GB"/>
                    </w:rPr>
                    <w:t>7</w:t>
                  </w:r>
                  <w:r w:rsidRPr="00E64CCD">
                    <w:rPr>
                      <w:rFonts w:ascii="DIN OT Light" w:hAnsi="DIN OT Light"/>
                      <w:sz w:val="20"/>
                      <w:lang w:val="en-GB"/>
                    </w:rPr>
                    <w:t>%</w:t>
                  </w:r>
                </w:p>
              </w:tc>
            </w:tr>
            <w:tr w:rsidR="00E64CCD" w:rsidRPr="00E64CCD" w14:paraId="4B357FD3" w14:textId="77777777" w:rsidTr="00CD157D">
              <w:trPr>
                <w:trHeight w:val="794"/>
              </w:trPr>
              <w:tc>
                <w:tcPr>
                  <w:tcW w:w="2835" w:type="dxa"/>
                  <w:tcBorders>
                    <w:top w:val="single" w:sz="4" w:space="0" w:color="FFFFFF" w:themeColor="background1"/>
                    <w:right w:val="single" w:sz="4" w:space="0" w:color="FFFFFF" w:themeColor="background1"/>
                  </w:tcBorders>
                  <w:shd w:val="clear" w:color="auto" w:fill="D9D9D9" w:themeFill="background1" w:themeFillShade="D9"/>
                  <w:vAlign w:val="center"/>
                </w:tcPr>
                <w:p w14:paraId="760846DB" w14:textId="77777777" w:rsidR="00E64CCD" w:rsidRPr="00E64CCD" w:rsidRDefault="00E64CCD" w:rsidP="00E64CCD">
                  <w:pPr>
                    <w:spacing w:before="120" w:after="120"/>
                    <w:rPr>
                      <w:rFonts w:ascii="DIN OT Medium" w:hAnsi="DIN OT Medium"/>
                      <w:sz w:val="20"/>
                      <w:lang w:val="en-GB"/>
                    </w:rPr>
                  </w:pPr>
                  <w:r w:rsidRPr="00E64CCD">
                    <w:rPr>
                      <w:rFonts w:ascii="DIN OT Medium" w:hAnsi="DIN OT Medium"/>
                      <w:sz w:val="20"/>
                      <w:lang w:val="en-GB"/>
                    </w:rPr>
                    <w:t>New CCB</w:t>
                  </w:r>
                </w:p>
              </w:tc>
              <w:tc>
                <w:tcPr>
                  <w:tcW w:w="1038" w:type="dxa"/>
                  <w:tcBorders>
                    <w:top w:val="single" w:sz="4" w:space="0" w:color="FFFFFF" w:themeColor="background1"/>
                    <w:left w:val="single" w:sz="4" w:space="0" w:color="FFFFFF" w:themeColor="background1"/>
                  </w:tcBorders>
                  <w:shd w:val="clear" w:color="auto" w:fill="D9D9D9" w:themeFill="background1" w:themeFillShade="D9"/>
                  <w:vAlign w:val="center"/>
                </w:tcPr>
                <w:p w14:paraId="369347C7" w14:textId="77777777" w:rsidR="00E64CCD" w:rsidRPr="00E64CCD" w:rsidRDefault="00E64CCD" w:rsidP="00E64CCD">
                  <w:pPr>
                    <w:spacing w:before="120" w:after="120"/>
                    <w:jc w:val="right"/>
                    <w:rPr>
                      <w:rFonts w:ascii="DIN OT Light" w:hAnsi="DIN OT Light"/>
                      <w:sz w:val="20"/>
                      <w:lang w:val="en-GB"/>
                    </w:rPr>
                  </w:pPr>
                  <w:r w:rsidRPr="00E64CCD">
                    <w:rPr>
                      <w:rFonts w:ascii="DIN OT Light" w:hAnsi="DIN OT Light"/>
                      <w:sz w:val="20"/>
                      <w:lang w:val="en-GB"/>
                    </w:rPr>
                    <w:t>3.6</w:t>
                  </w:r>
                  <w:r w:rsidR="0058346A">
                    <w:rPr>
                      <w:rFonts w:ascii="DIN OT Light" w:hAnsi="DIN OT Light"/>
                      <w:sz w:val="20"/>
                      <w:lang w:val="en-GB"/>
                    </w:rPr>
                    <w:t>3</w:t>
                  </w:r>
                  <w:r w:rsidRPr="00E64CCD">
                    <w:rPr>
                      <w:rFonts w:ascii="DIN OT Light" w:hAnsi="DIN OT Light"/>
                      <w:sz w:val="20"/>
                      <w:lang w:val="en-GB"/>
                    </w:rPr>
                    <w:t>%</w:t>
                  </w:r>
                </w:p>
              </w:tc>
            </w:tr>
          </w:tbl>
          <w:p w14:paraId="5E759605" w14:textId="77777777" w:rsidR="00E64CCD" w:rsidRPr="00E64CCD" w:rsidRDefault="00E64CCD" w:rsidP="00E64CCD">
            <w:pPr>
              <w:spacing w:before="120" w:after="120"/>
              <w:rPr>
                <w:rFonts w:ascii="DIN OT Light" w:hAnsi="DIN OT Light"/>
                <w:sz w:val="20"/>
                <w:lang w:val="en-GB"/>
              </w:rPr>
            </w:pPr>
          </w:p>
        </w:tc>
        <w:tc>
          <w:tcPr>
            <w:tcW w:w="5047" w:type="dxa"/>
            <w:shd w:val="clear" w:color="auto" w:fill="D9D9D9" w:themeFill="background1" w:themeFillShade="D9"/>
            <w:vAlign w:val="center"/>
          </w:tcPr>
          <w:p w14:paraId="60092BE2" w14:textId="408D5F86" w:rsidR="00E64CCD" w:rsidRPr="00E64CCD" w:rsidRDefault="00C81C8E" w:rsidP="00E64CCD">
            <w:pPr>
              <w:spacing w:after="0"/>
              <w:jc w:val="center"/>
              <w:rPr>
                <w:rFonts w:ascii="DIN OT Light" w:hAnsi="DIN OT Light"/>
                <w:sz w:val="20"/>
                <w:lang w:val="en-GB"/>
              </w:rPr>
            </w:pPr>
            <w:r w:rsidRPr="00C81C8E">
              <w:rPr>
                <w:rFonts w:ascii="DIN OT Light" w:hAnsi="DIN OT Light"/>
                <w:noProof/>
                <w:sz w:val="20"/>
                <w:lang w:eastAsia="en-AU"/>
              </w:rPr>
              <w:drawing>
                <wp:inline distT="0" distB="0" distL="0" distR="0" wp14:anchorId="7DE98CA8" wp14:editId="0952F931">
                  <wp:extent cx="3189605" cy="2516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9605" cy="2516505"/>
                          </a:xfrm>
                          <a:prstGeom prst="rect">
                            <a:avLst/>
                          </a:prstGeom>
                          <a:noFill/>
                          <a:ln>
                            <a:noFill/>
                          </a:ln>
                        </pic:spPr>
                      </pic:pic>
                    </a:graphicData>
                  </a:graphic>
                </wp:inline>
              </w:drawing>
            </w:r>
          </w:p>
        </w:tc>
      </w:tr>
    </w:tbl>
    <w:p w14:paraId="300AD643" w14:textId="1CACBDF7" w:rsidR="00E64CCD" w:rsidRDefault="00E64CCD" w:rsidP="001170E2">
      <w:pPr>
        <w:tabs>
          <w:tab w:val="left" w:pos="1751"/>
        </w:tabs>
        <w:rPr>
          <w:rFonts w:ascii="DIN OT Light" w:hAnsi="DIN OT Light"/>
          <w:lang w:val="en-GB"/>
        </w:rPr>
      </w:pPr>
    </w:p>
    <w:p w14:paraId="2ACA88A1" w14:textId="20183457" w:rsidR="00DD18BA" w:rsidRPr="00E64CCD" w:rsidRDefault="00DD18BA" w:rsidP="00E64CCD">
      <w:pPr>
        <w:rPr>
          <w:rFonts w:ascii="DIN OT Light" w:hAnsi="DIN OT Light"/>
          <w:lang w:val="en-GB"/>
        </w:rPr>
      </w:pPr>
      <w:r>
        <w:rPr>
          <w:rFonts w:ascii="DIN OT Light" w:hAnsi="DIN OT Light"/>
          <w:lang w:val="en-GB"/>
        </w:rPr>
        <w:t>Under Approach 2, ADIs would disclose th</w:t>
      </w:r>
      <w:r w:rsidR="00C01752">
        <w:rPr>
          <w:rFonts w:ascii="DIN OT Light" w:hAnsi="DIN OT Light"/>
          <w:lang w:val="en-GB"/>
        </w:rPr>
        <w:t xml:space="preserve">e </w:t>
      </w:r>
      <w:r w:rsidR="00467EFD">
        <w:rPr>
          <w:rFonts w:ascii="DIN OT Light" w:hAnsi="DIN OT Light"/>
          <w:lang w:val="en-GB"/>
        </w:rPr>
        <w:t xml:space="preserve">regulatory </w:t>
      </w:r>
      <w:r w:rsidR="00C01752">
        <w:rPr>
          <w:rFonts w:ascii="DIN OT Light" w:hAnsi="DIN OT Light"/>
          <w:lang w:val="en-GB"/>
        </w:rPr>
        <w:t>CET1 ratio of 10.90</w:t>
      </w:r>
      <w:r w:rsidR="00B07F4F">
        <w:rPr>
          <w:rFonts w:ascii="DIN OT Light" w:hAnsi="DIN OT Light"/>
          <w:lang w:val="en-GB"/>
        </w:rPr>
        <w:t xml:space="preserve"> per cent, </w:t>
      </w:r>
      <w:r w:rsidR="00C01752">
        <w:rPr>
          <w:rFonts w:ascii="DIN OT Light" w:hAnsi="DIN OT Light"/>
          <w:lang w:val="en-GB"/>
        </w:rPr>
        <w:t xml:space="preserve">which would also be used for prudential reporting and compliance, </w:t>
      </w:r>
      <w:r>
        <w:rPr>
          <w:rFonts w:ascii="DIN OT Light" w:hAnsi="DIN OT Light"/>
          <w:lang w:val="en-GB"/>
        </w:rPr>
        <w:t xml:space="preserve">and the APRA </w:t>
      </w:r>
      <w:r w:rsidR="00971320">
        <w:rPr>
          <w:rFonts w:ascii="DIN OT Light" w:hAnsi="DIN OT Light"/>
          <w:lang w:val="en-GB"/>
        </w:rPr>
        <w:t>O</w:t>
      </w:r>
      <w:r>
        <w:rPr>
          <w:rFonts w:ascii="DIN OT Light" w:hAnsi="DIN OT Light"/>
          <w:lang w:val="en-GB"/>
        </w:rPr>
        <w:t xml:space="preserve">verlay </w:t>
      </w:r>
      <w:r w:rsidR="00971320">
        <w:rPr>
          <w:rFonts w:ascii="DIN OT Light" w:hAnsi="DIN OT Light"/>
          <w:lang w:val="en-GB"/>
        </w:rPr>
        <w:t>A</w:t>
      </w:r>
      <w:r w:rsidR="00451426">
        <w:rPr>
          <w:rFonts w:ascii="DIN OT Light" w:hAnsi="DIN OT Light"/>
          <w:lang w:val="en-GB"/>
        </w:rPr>
        <w:t>djustment of 0.31</w:t>
      </w:r>
      <w:r w:rsidR="00B07F4F">
        <w:rPr>
          <w:rFonts w:ascii="DIN OT Light" w:hAnsi="DIN OT Light"/>
          <w:lang w:val="en-GB"/>
        </w:rPr>
        <w:t xml:space="preserve"> per cent.</w:t>
      </w:r>
    </w:p>
    <w:p w14:paraId="36E85C7C" w14:textId="5D7569F7" w:rsidR="00E64CCD" w:rsidRPr="00E64CCD" w:rsidRDefault="00E64CCD" w:rsidP="00E64CCD">
      <w:pPr>
        <w:pStyle w:val="APRAHEADING3"/>
      </w:pPr>
      <w:r w:rsidRPr="00E64CCD">
        <w:t xml:space="preserve">Example of </w:t>
      </w:r>
      <w:r w:rsidR="00557450">
        <w:t>harmonising risk weight calculations</w:t>
      </w:r>
    </w:p>
    <w:p w14:paraId="0B30CC47" w14:textId="5F4EE00E" w:rsidR="002E588C" w:rsidRDefault="00B07F4F" w:rsidP="00E07966">
      <w:pPr>
        <w:pStyle w:val="APRANORMAL"/>
      </w:pPr>
      <w:r>
        <w:t xml:space="preserve">APRA’s </w:t>
      </w:r>
      <w:r w:rsidR="002E588C">
        <w:t xml:space="preserve">February 2018 </w:t>
      </w:r>
      <w:r w:rsidR="009B684D">
        <w:t>D</w:t>
      </w:r>
      <w:r w:rsidR="002E588C">
        <w:t xml:space="preserve">iscussion </w:t>
      </w:r>
      <w:r w:rsidR="009B684D">
        <w:t>P</w:t>
      </w:r>
      <w:r w:rsidR="002E588C">
        <w:t xml:space="preserve">aper </w:t>
      </w:r>
      <w:r w:rsidDel="007354A9">
        <w:t>propose</w:t>
      </w:r>
      <w:r>
        <w:t>d</w:t>
      </w:r>
      <w:r w:rsidDel="007354A9">
        <w:t xml:space="preserve"> </w:t>
      </w:r>
      <w:r w:rsidR="002E588C">
        <w:t>adjust</w:t>
      </w:r>
      <w:r w:rsidR="002E588C" w:rsidDel="007354A9">
        <w:t>ments to</w:t>
      </w:r>
      <w:r w:rsidR="002E588C">
        <w:t xml:space="preserve"> IRB risk</w:t>
      </w:r>
      <w:r w:rsidR="004368CF">
        <w:t>-</w:t>
      </w:r>
      <w:r w:rsidR="002E588C">
        <w:t xml:space="preserve">weight functions that are materially different from those under </w:t>
      </w:r>
      <w:r w:rsidR="00C01752">
        <w:t xml:space="preserve">the </w:t>
      </w:r>
      <w:r w:rsidR="002E588C">
        <w:t>Basel III</w:t>
      </w:r>
      <w:r w:rsidR="00C01752">
        <w:t xml:space="preserve"> framework</w:t>
      </w:r>
      <w:r w:rsidR="002E588C">
        <w:t xml:space="preserve">. Under both </w:t>
      </w:r>
      <w:r w:rsidR="006E4E64">
        <w:t xml:space="preserve">approaches </w:t>
      </w:r>
      <w:r w:rsidR="002E588C">
        <w:t xml:space="preserve">in this paper, IRB ADIs would calculate </w:t>
      </w:r>
      <w:r w:rsidR="00653528">
        <w:t xml:space="preserve">RWA </w:t>
      </w:r>
      <w:r w:rsidR="002E588C">
        <w:t xml:space="preserve">under APRA’s </w:t>
      </w:r>
      <w:r w:rsidR="00444ECC">
        <w:t xml:space="preserve">more conservative </w:t>
      </w:r>
      <w:r w:rsidR="002E588C">
        <w:t xml:space="preserve">capital framework and </w:t>
      </w:r>
      <w:r w:rsidR="00653528">
        <w:t xml:space="preserve">also on a </w:t>
      </w:r>
      <w:r w:rsidR="002E588C">
        <w:t xml:space="preserve">harmonised </w:t>
      </w:r>
      <w:r w:rsidR="00653528">
        <w:t xml:space="preserve">basis. </w:t>
      </w:r>
    </w:p>
    <w:p w14:paraId="6A19815A" w14:textId="5F03A313" w:rsidR="00B96E54" w:rsidRDefault="00B96E54" w:rsidP="00E07966">
      <w:pPr>
        <w:pStyle w:val="APRANORMAL"/>
      </w:pPr>
      <w:r>
        <w:t xml:space="preserve">In </w:t>
      </w:r>
      <w:r w:rsidR="00653528">
        <w:t xml:space="preserve">this </w:t>
      </w:r>
      <w:r>
        <w:t>example</w:t>
      </w:r>
      <w:r w:rsidR="007319BD">
        <w:t>,</w:t>
      </w:r>
      <w:r>
        <w:t xml:space="preserve"> </w:t>
      </w:r>
      <w:r w:rsidR="00444ECC">
        <w:t xml:space="preserve">using </w:t>
      </w:r>
      <w:r>
        <w:t>APRA’s proposals on the risk</w:t>
      </w:r>
      <w:r w:rsidR="004368CF">
        <w:t>-</w:t>
      </w:r>
      <w:r>
        <w:t xml:space="preserve">weight function for owner-occupied </w:t>
      </w:r>
      <w:r w:rsidR="00653528">
        <w:t xml:space="preserve">principal and interest </w:t>
      </w:r>
      <w:r>
        <w:t xml:space="preserve">residential mortgages, IRB ADIs would calculate </w:t>
      </w:r>
      <w:r w:rsidR="007319BD">
        <w:t>RWA</w:t>
      </w:r>
      <w:r>
        <w:t xml:space="preserve"> using APRA’s proposed correlation function, given by equation </w:t>
      </w:r>
      <w:r w:rsidR="0055325D">
        <w:t>(</w:t>
      </w:r>
      <w:r w:rsidR="00A37425">
        <w:t>3</w:t>
      </w:r>
      <w:r w:rsidR="0055325D">
        <w:t>)</w:t>
      </w:r>
      <w:r>
        <w:t xml:space="preserve"> below: </w:t>
      </w:r>
    </w:p>
    <w:p w14:paraId="6F84576C" w14:textId="77777777" w:rsidR="00B96E54" w:rsidRDefault="00B96E54" w:rsidP="00BE4194">
      <w:pPr>
        <w:pStyle w:val="APRANORMAL"/>
        <w:ind w:left="567"/>
      </w:pPr>
      <w:r>
        <w:lastRenderedPageBreak/>
        <w:t>(</w:t>
      </w:r>
      <w:r w:rsidR="00A37425">
        <w:t>3</w:t>
      </w:r>
      <w:r>
        <w:t>)</w:t>
      </w:r>
      <w:r>
        <w:tab/>
      </w:r>
      <w:r w:rsidR="00F474B0">
        <w:t xml:space="preserve">Correlation (R) = </w:t>
      </w:r>
      <m:oMath>
        <m:r>
          <m:rPr>
            <m:nor/>
          </m:rPr>
          <m:t>0.15</m:t>
        </m:r>
        <m:r>
          <m:rPr>
            <m:nor/>
          </m:rPr>
          <w:rPr>
            <w:rFonts w:ascii="Cambria Math"/>
          </w:rPr>
          <m:t xml:space="preserve"> </m:t>
        </m:r>
        <m:r>
          <m:rPr>
            <m:nor/>
          </m:rPr>
          <w:rPr>
            <w:lang w:eastAsia="en-AU"/>
          </w:rPr>
          <m:t>×</m:t>
        </m:r>
        <m:r>
          <m:rPr>
            <m:nor/>
          </m:rPr>
          <w:rPr>
            <w:rFonts w:ascii="Cambria Math"/>
          </w:rPr>
          <m:t xml:space="preserve"> </m:t>
        </m:r>
        <m:f>
          <m:fPr>
            <m:ctrlPr>
              <w:rPr>
                <w:rFonts w:ascii="Cambria Math" w:hAnsi="Cambria Math"/>
                <w:i/>
              </w:rPr>
            </m:ctrlPr>
          </m:fPr>
          <m:num>
            <m:r>
              <m:rPr>
                <m:nor/>
              </m:rPr>
              <m:t>1-</m:t>
            </m:r>
            <m:sSup>
              <m:sSupPr>
                <m:ctrlPr>
                  <w:rPr>
                    <w:rFonts w:ascii="Cambria Math" w:hAnsi="Cambria Math"/>
                    <w:i/>
                  </w:rPr>
                </m:ctrlPr>
              </m:sSupPr>
              <m:e>
                <m:r>
                  <m:rPr>
                    <m:nor/>
                  </m:rPr>
                  <m:t>e</m:t>
                </m:r>
              </m:e>
              <m:sup>
                <m:r>
                  <m:rPr>
                    <m:nor/>
                  </m:rPr>
                  <m:t>-35PD</m:t>
                </m:r>
              </m:sup>
            </m:sSup>
          </m:num>
          <m:den>
            <m:r>
              <m:rPr>
                <m:nor/>
              </m:rPr>
              <m:t>1-</m:t>
            </m:r>
            <m:sSup>
              <m:sSupPr>
                <m:ctrlPr>
                  <w:rPr>
                    <w:rFonts w:ascii="Cambria Math" w:hAnsi="Cambria Math"/>
                    <w:i/>
                  </w:rPr>
                </m:ctrlPr>
              </m:sSupPr>
              <m:e>
                <m:r>
                  <m:rPr>
                    <m:nor/>
                  </m:rPr>
                  <m:t>e</m:t>
                </m:r>
              </m:e>
              <m:sup>
                <m:r>
                  <m:rPr>
                    <m:nor/>
                  </m:rPr>
                  <m:t>-35</m:t>
                </m:r>
              </m:sup>
            </m:sSup>
          </m:den>
        </m:f>
        <m:r>
          <m:rPr>
            <m:nor/>
          </m:rPr>
          <m:t>+0.22</m:t>
        </m:r>
        <m:r>
          <m:rPr>
            <m:nor/>
          </m:rPr>
          <w:rPr>
            <w:rFonts w:ascii="Cambria Math"/>
          </w:rPr>
          <m:t xml:space="preserve"> </m:t>
        </m:r>
        <m:r>
          <m:rPr>
            <m:nor/>
          </m:rPr>
          <w:rPr>
            <w:lang w:eastAsia="en-AU"/>
          </w:rPr>
          <m:t>×</m:t>
        </m:r>
        <m:r>
          <m:rPr>
            <m:nor/>
          </m:rPr>
          <w:rPr>
            <w:rFonts w:ascii="Cambria Math"/>
          </w:rPr>
          <m:t xml:space="preserve"> </m:t>
        </m:r>
        <m:f>
          <m:fPr>
            <m:ctrlPr>
              <w:rPr>
                <w:rFonts w:ascii="Cambria Math" w:hAnsi="Cambria Math"/>
                <w:i/>
              </w:rPr>
            </m:ctrlPr>
          </m:fPr>
          <m:num>
            <m:r>
              <m:rPr>
                <m:nor/>
              </m:rPr>
              <m:t>1-</m:t>
            </m:r>
            <m:d>
              <m:dPr>
                <m:ctrlPr>
                  <w:rPr>
                    <w:rFonts w:ascii="Cambria Math" w:hAnsi="Cambria Math"/>
                    <w:i/>
                  </w:rPr>
                </m:ctrlPr>
              </m:dPr>
              <m:e>
                <m:r>
                  <m:rPr>
                    <m:nor/>
                  </m:rPr>
                  <m:t>1-</m:t>
                </m:r>
                <m:sSup>
                  <m:sSupPr>
                    <m:ctrlPr>
                      <w:rPr>
                        <w:rFonts w:ascii="Cambria Math" w:hAnsi="Cambria Math"/>
                        <w:i/>
                      </w:rPr>
                    </m:ctrlPr>
                  </m:sSupPr>
                  <m:e>
                    <m:r>
                      <m:rPr>
                        <m:nor/>
                      </m:rPr>
                      <m:t>e</m:t>
                    </m:r>
                  </m:e>
                  <m:sup>
                    <m:r>
                      <m:rPr>
                        <m:nor/>
                      </m:rPr>
                      <m:t>-35PD</m:t>
                    </m:r>
                  </m:sup>
                </m:sSup>
              </m:e>
            </m:d>
          </m:num>
          <m:den>
            <m:r>
              <m:rPr>
                <m:nor/>
              </m:rPr>
              <m:t>1-</m:t>
            </m:r>
            <m:sSup>
              <m:sSupPr>
                <m:ctrlPr>
                  <w:rPr>
                    <w:rFonts w:ascii="Cambria Math" w:hAnsi="Cambria Math"/>
                    <w:i/>
                  </w:rPr>
                </m:ctrlPr>
              </m:sSupPr>
              <m:e>
                <m:r>
                  <m:rPr>
                    <m:nor/>
                  </m:rPr>
                  <m:t>e</m:t>
                </m:r>
              </m:e>
              <m:sup>
                <m:r>
                  <m:rPr>
                    <m:nor/>
                  </m:rPr>
                  <m:t>-35</m:t>
                </m:r>
              </m:sup>
            </m:sSup>
          </m:den>
        </m:f>
      </m:oMath>
    </w:p>
    <w:p w14:paraId="21AFB714" w14:textId="34E72F5D" w:rsidR="00827375" w:rsidRDefault="00827375" w:rsidP="001A5123">
      <w:pPr>
        <w:pStyle w:val="APRANORMAL"/>
        <w:rPr>
          <w:rFonts w:eastAsiaTheme="minorEastAsia"/>
          <w:noProof/>
        </w:rPr>
      </w:pPr>
      <w:r>
        <w:t xml:space="preserve">The proposed correlation calculation is more conservative than </w:t>
      </w:r>
      <w:r w:rsidR="005D2424">
        <w:t>a more harmonised calculation</w:t>
      </w:r>
      <w:r>
        <w:t xml:space="preserve">, </w:t>
      </w:r>
      <w:r w:rsidR="000C1FF0">
        <w:t xml:space="preserve">which applies a flat </w:t>
      </w:r>
      <w:r w:rsidR="001A5123">
        <w:t xml:space="preserve">correlation </w:t>
      </w:r>
      <w:r w:rsidR="000C1FF0">
        <w:t xml:space="preserve">factor of 0.15. </w:t>
      </w:r>
    </w:p>
    <w:p w14:paraId="6D0F3C6D" w14:textId="1DA7492B" w:rsidR="00827375" w:rsidRDefault="00827375" w:rsidP="00E07966">
      <w:pPr>
        <w:pStyle w:val="APRANORMAL"/>
      </w:pPr>
      <w:r>
        <w:t xml:space="preserve">Under </w:t>
      </w:r>
      <w:r w:rsidR="008067F1">
        <w:t>Approach</w:t>
      </w:r>
      <w:r>
        <w:t xml:space="preserve"> 1, </w:t>
      </w:r>
      <w:r w:rsidR="000D0FB7">
        <w:t xml:space="preserve">there would be no change in the calculation of </w:t>
      </w:r>
      <w:r w:rsidR="000C1FF0">
        <w:t xml:space="preserve">regulatory </w:t>
      </w:r>
      <w:r w:rsidR="000D0FB7">
        <w:t xml:space="preserve">capital ratios, so </w:t>
      </w:r>
      <w:r>
        <w:t xml:space="preserve">an ADI would apply </w:t>
      </w:r>
      <w:r w:rsidR="001A5DEA">
        <w:t xml:space="preserve">(the more conservative) </w:t>
      </w:r>
      <w:r>
        <w:t xml:space="preserve">equation </w:t>
      </w:r>
      <w:r w:rsidR="0055325D">
        <w:t>(</w:t>
      </w:r>
      <w:r w:rsidR="00A37425">
        <w:t>3</w:t>
      </w:r>
      <w:r w:rsidR="0055325D">
        <w:t>)</w:t>
      </w:r>
      <w:r>
        <w:t xml:space="preserve"> for the purposes of calculating </w:t>
      </w:r>
      <w:r w:rsidR="000C1FF0">
        <w:t xml:space="preserve">regulatory </w:t>
      </w:r>
      <w:r w:rsidR="00DA271A">
        <w:t>RWA</w:t>
      </w:r>
      <w:r w:rsidR="004478A6">
        <w:t xml:space="preserve"> and</w:t>
      </w:r>
      <w:r w:rsidR="002B28C6">
        <w:t xml:space="preserve"> </w:t>
      </w:r>
      <w:r w:rsidR="00DA271A">
        <w:t xml:space="preserve">corresponding </w:t>
      </w:r>
      <w:r w:rsidR="000C1FF0">
        <w:t xml:space="preserve">regulatory </w:t>
      </w:r>
      <w:r>
        <w:t xml:space="preserve">capital ratios. ADIs would </w:t>
      </w:r>
      <w:r w:rsidR="002B28C6">
        <w:t xml:space="preserve">apply </w:t>
      </w:r>
      <w:r w:rsidR="000C1FF0">
        <w:t xml:space="preserve">the flat </w:t>
      </w:r>
      <w:r w:rsidR="001A5123">
        <w:t xml:space="preserve">correlation </w:t>
      </w:r>
      <w:r w:rsidR="000C1FF0">
        <w:t>factor of 0.15</w:t>
      </w:r>
      <w:r w:rsidR="002B28C6">
        <w:t xml:space="preserve"> </w:t>
      </w:r>
      <w:r w:rsidR="00653528">
        <w:t xml:space="preserve">to </w:t>
      </w:r>
      <w:r w:rsidR="002B28C6">
        <w:t>calculat</w:t>
      </w:r>
      <w:r w:rsidR="00653528">
        <w:t>e</w:t>
      </w:r>
      <w:r w:rsidR="002B28C6">
        <w:t xml:space="preserve"> the comparison </w:t>
      </w:r>
      <w:r w:rsidR="00E67207">
        <w:t>RWA</w:t>
      </w:r>
      <w:r w:rsidR="002B28C6">
        <w:t>.</w:t>
      </w:r>
      <w:r w:rsidR="001B49EE">
        <w:t xml:space="preserve"> Th</w:t>
      </w:r>
      <w:r w:rsidR="00773840">
        <w:t xml:space="preserve">e </w:t>
      </w:r>
      <w:r w:rsidR="000C1FF0">
        <w:t xml:space="preserve">regulatory </w:t>
      </w:r>
      <w:r w:rsidR="00773840">
        <w:t xml:space="preserve">RWA, comparison RWA and corresponding capital ratios </w:t>
      </w:r>
      <w:r w:rsidR="001B49EE">
        <w:t xml:space="preserve">would be subject to reporting and disclosure requirements. </w:t>
      </w:r>
    </w:p>
    <w:p w14:paraId="7C8E0A58" w14:textId="50EC96F4" w:rsidR="005642BC" w:rsidRDefault="005642BC" w:rsidP="00E07966">
      <w:pPr>
        <w:pStyle w:val="APRANORMAL"/>
      </w:pPr>
      <w:r>
        <w:t xml:space="preserve">Under </w:t>
      </w:r>
      <w:r w:rsidR="008067F1">
        <w:t>Approach</w:t>
      </w:r>
      <w:r>
        <w:t xml:space="preserve"> 2, APRA’s prudential requirements for determining RWA would be modified so that an ADI would instead apply </w:t>
      </w:r>
      <w:r w:rsidR="000C1FF0">
        <w:t>the flat factor</w:t>
      </w:r>
      <w:r w:rsidR="008E3D2F">
        <w:t xml:space="preserve"> of 0.15</w:t>
      </w:r>
      <w:r>
        <w:t xml:space="preserve"> for the purposes of calculating RWA and corresponding capital ratios. </w:t>
      </w:r>
      <w:r w:rsidR="00444ECC">
        <w:t xml:space="preserve">To determine the RWA adjustment, </w:t>
      </w:r>
      <w:r>
        <w:t xml:space="preserve">ADIs would </w:t>
      </w:r>
      <w:r w:rsidR="00680E6D">
        <w:t xml:space="preserve">also </w:t>
      </w:r>
      <w:r>
        <w:t xml:space="preserve">calculate RWA using equation </w:t>
      </w:r>
      <w:r w:rsidR="0055325D">
        <w:t>(</w:t>
      </w:r>
      <w:r w:rsidR="00A37425">
        <w:t>3</w:t>
      </w:r>
      <w:r w:rsidR="0055325D">
        <w:t>)</w:t>
      </w:r>
      <w:r>
        <w:t xml:space="preserve">. The ensuing difference </w:t>
      </w:r>
      <w:r w:rsidR="000C1FF0">
        <w:t>between the two calculations</w:t>
      </w:r>
      <w:r w:rsidR="00444ECC">
        <w:t xml:space="preserve"> </w:t>
      </w:r>
      <w:r>
        <w:t>determine</w:t>
      </w:r>
      <w:r w:rsidR="006309DC">
        <w:t>s</w:t>
      </w:r>
      <w:r>
        <w:t xml:space="preserve"> the APRA Overlay Adjustment</w:t>
      </w:r>
      <w:r w:rsidR="00E56175">
        <w:t xml:space="preserve"> </w:t>
      </w:r>
      <w:r w:rsidR="000C1FF0">
        <w:t>to be added to the minimum capital ratio requirement</w:t>
      </w:r>
      <w:r>
        <w:t>.</w:t>
      </w:r>
      <w:r w:rsidR="00680E6D">
        <w:t xml:space="preserve"> </w:t>
      </w:r>
      <w:r w:rsidR="001B49EE">
        <w:t>Th</w:t>
      </w:r>
      <w:r w:rsidR="00773840">
        <w:t xml:space="preserve">e </w:t>
      </w:r>
      <w:r w:rsidR="00460C59">
        <w:t xml:space="preserve">recalculated </w:t>
      </w:r>
      <w:r w:rsidR="000C1FF0">
        <w:t xml:space="preserve">regulatory </w:t>
      </w:r>
      <w:r w:rsidR="00773840">
        <w:t>capital ratio</w:t>
      </w:r>
      <w:r w:rsidR="00460C59">
        <w:t>, which includes the</w:t>
      </w:r>
      <w:r w:rsidR="00773840">
        <w:t xml:space="preserve"> APRA </w:t>
      </w:r>
      <w:r w:rsidR="006309DC">
        <w:t>O</w:t>
      </w:r>
      <w:r w:rsidR="00773840">
        <w:t xml:space="preserve">verlay </w:t>
      </w:r>
      <w:r w:rsidR="006309DC">
        <w:t>A</w:t>
      </w:r>
      <w:r w:rsidR="00773840">
        <w:t>djustment</w:t>
      </w:r>
      <w:r w:rsidR="00460C59">
        <w:t>,</w:t>
      </w:r>
      <w:r w:rsidR="00773840">
        <w:t xml:space="preserve"> </w:t>
      </w:r>
      <w:r w:rsidR="001B49EE">
        <w:t>would be subject to reporting and disclosure requirements.</w:t>
      </w:r>
    </w:p>
    <w:p w14:paraId="0AC3C361" w14:textId="665C829C" w:rsidR="00AC6B48" w:rsidRDefault="00E1060C" w:rsidP="004933C1">
      <w:pPr>
        <w:pStyle w:val="APRAHEADING3"/>
      </w:pPr>
      <w:r>
        <w:t xml:space="preserve">Possible simplification </w:t>
      </w:r>
      <w:r w:rsidR="00A01D5B">
        <w:t xml:space="preserve">– applying scalars to harmonised RWA </w:t>
      </w:r>
    </w:p>
    <w:p w14:paraId="597C2955" w14:textId="6BF030FA" w:rsidR="00E1060C" w:rsidRDefault="00C062C7" w:rsidP="00E1060C">
      <w:pPr>
        <w:pStyle w:val="APRANORMAL"/>
      </w:pPr>
      <w:r>
        <w:t xml:space="preserve">It may be possible to simplify the implementation of Approaches 1 and 2 </w:t>
      </w:r>
      <w:r w:rsidR="00F2728F">
        <w:t xml:space="preserve">by modifying </w:t>
      </w:r>
      <w:r>
        <w:t>the approach to implementing relative conservatism in credit risk functions.</w:t>
      </w:r>
      <w:r w:rsidR="00E1060C">
        <w:t xml:space="preserve"> For example, </w:t>
      </w:r>
      <w:r w:rsidR="00B57E20">
        <w:t xml:space="preserve">instead of applying the correlation curve in </w:t>
      </w:r>
      <w:r w:rsidR="007319BD">
        <w:t xml:space="preserve">equation </w:t>
      </w:r>
      <w:r w:rsidR="00B57E20">
        <w:t xml:space="preserve">(3) above, the </w:t>
      </w:r>
      <w:r w:rsidR="00E1060C">
        <w:t>credit risk weight function</w:t>
      </w:r>
      <w:r w:rsidR="00E6766D">
        <w:t xml:space="preserve"> for owner occupied princip</w:t>
      </w:r>
      <w:r w:rsidR="00A17F3E">
        <w:t>al</w:t>
      </w:r>
      <w:r w:rsidR="00E6766D">
        <w:t xml:space="preserve"> and interest mortgages </w:t>
      </w:r>
      <w:r w:rsidR="00E1060C">
        <w:t xml:space="preserve">could be based </w:t>
      </w:r>
      <w:r w:rsidR="00B57E20">
        <w:t xml:space="preserve">on a correlation </w:t>
      </w:r>
      <w:r w:rsidR="00E6766D">
        <w:t xml:space="preserve">factor </w:t>
      </w:r>
      <w:r w:rsidR="00B57E20">
        <w:t>of 0.15</w:t>
      </w:r>
      <w:r w:rsidR="00E1060C">
        <w:t xml:space="preserve">, with APRA’s relative conservatism achieved by multiplying the RWA </w:t>
      </w:r>
      <w:r w:rsidR="00E6766D">
        <w:t>for these mortgages b</w:t>
      </w:r>
      <w:r w:rsidR="00E1060C">
        <w:t xml:space="preserve">y </w:t>
      </w:r>
      <w:r w:rsidR="00B57E20">
        <w:t xml:space="preserve">suitably calibrated </w:t>
      </w:r>
      <w:r w:rsidR="00E1060C">
        <w:t>scalar</w:t>
      </w:r>
      <w:r w:rsidR="008C150D">
        <w:t>s</w:t>
      </w:r>
      <w:r w:rsidR="00E6766D">
        <w:t xml:space="preserve"> to</w:t>
      </w:r>
      <w:r w:rsidR="00E1060C">
        <w:t xml:space="preserve"> apply to all IRB ADIs.</w:t>
      </w:r>
    </w:p>
    <w:p w14:paraId="63790A0E" w14:textId="01B2498F" w:rsidR="00B72C1C" w:rsidRDefault="00F21959" w:rsidP="004933C1">
      <w:pPr>
        <w:pStyle w:val="APRANORMAL"/>
      </w:pPr>
      <w:r>
        <w:t xml:space="preserve">While </w:t>
      </w:r>
      <w:r w:rsidR="008C150D">
        <w:t>simplifying the</w:t>
      </w:r>
      <w:r w:rsidR="00E1060C">
        <w:t xml:space="preserve"> methodology for calculating credit risk weight functions </w:t>
      </w:r>
      <w:r>
        <w:t>c</w:t>
      </w:r>
      <w:r w:rsidR="00E1060C">
        <w:t>ould allow for more direct, and more transparent calculations under Approaches 1 and 2</w:t>
      </w:r>
      <w:r>
        <w:t>,</w:t>
      </w:r>
      <w:r w:rsidR="00E1060C">
        <w:t xml:space="preserve"> APRA would need to balance these benefits against the possibility of reduced risk sensitivity.</w:t>
      </w:r>
      <w:bookmarkStart w:id="146" w:name="_Toc492996529"/>
      <w:bookmarkStart w:id="147" w:name="_Toc493154163"/>
      <w:bookmarkStart w:id="148" w:name="_Toc493154609"/>
      <w:bookmarkStart w:id="149" w:name="_Toc493240113"/>
      <w:bookmarkStart w:id="150" w:name="_Toc493240619"/>
      <w:bookmarkStart w:id="151" w:name="_Toc494189589"/>
      <w:bookmarkStart w:id="152" w:name="_Toc496184522"/>
      <w:bookmarkStart w:id="153" w:name="_Toc508653013"/>
      <w:bookmarkEnd w:id="146"/>
      <w:bookmarkEnd w:id="147"/>
      <w:bookmarkEnd w:id="148"/>
      <w:bookmarkEnd w:id="149"/>
      <w:bookmarkEnd w:id="150"/>
      <w:bookmarkEnd w:id="151"/>
      <w:bookmarkEnd w:id="152"/>
      <w:bookmarkEnd w:id="153"/>
      <w:r w:rsidR="00B81235">
        <w:t xml:space="preserve"> </w:t>
      </w:r>
    </w:p>
    <w:p w14:paraId="2D15D446" w14:textId="0E90C8EE" w:rsidR="00AC6B48" w:rsidRDefault="00AC6B48" w:rsidP="0029256A">
      <w:pPr>
        <w:pStyle w:val="APRANORMAL"/>
      </w:pPr>
    </w:p>
    <w:p w14:paraId="702FCFC5" w14:textId="3841924F" w:rsidR="001F3E11" w:rsidRDefault="00E4795B" w:rsidP="00EB4F95">
      <w:pPr>
        <w:pStyle w:val="APRAHEADING1"/>
      </w:pPr>
      <w:bookmarkStart w:id="154" w:name="_Toc510595667"/>
      <w:bookmarkStart w:id="155" w:name="_Toc510689500"/>
      <w:bookmarkStart w:id="156" w:name="_Toc510690478"/>
      <w:bookmarkStart w:id="157" w:name="_Toc514172200"/>
      <w:bookmarkStart w:id="158" w:name="_Toc518658249"/>
      <w:bookmarkStart w:id="159" w:name="_Toc521401221"/>
      <w:bookmarkStart w:id="160" w:name="_Toc521508295"/>
      <w:bookmarkStart w:id="161" w:name="_Toc497403370"/>
      <w:bookmarkStart w:id="162" w:name="_Toc497409658"/>
      <w:bookmarkStart w:id="163" w:name="_Toc497409770"/>
      <w:bookmarkStart w:id="164" w:name="_Toc497409843"/>
      <w:bookmarkStart w:id="165" w:name="_Toc497473658"/>
      <w:bookmarkStart w:id="166" w:name="_Toc492996538"/>
      <w:bookmarkStart w:id="167" w:name="_Toc493154172"/>
      <w:bookmarkStart w:id="168" w:name="_Toc493154618"/>
      <w:bookmarkStart w:id="169" w:name="_Toc493240123"/>
      <w:bookmarkStart w:id="170" w:name="_Toc493240629"/>
      <w:bookmarkStart w:id="171" w:name="_Toc494189600"/>
      <w:bookmarkStart w:id="172" w:name="_Toc496184533"/>
      <w:r>
        <w:lastRenderedPageBreak/>
        <w:t xml:space="preserve"> </w:t>
      </w:r>
      <w:bookmarkStart w:id="173" w:name="_Toc521932768"/>
      <w:r>
        <w:t xml:space="preserve">– </w:t>
      </w:r>
      <w:r w:rsidR="0052072E">
        <w:t>Increasing the flexibility of APRA’s capital framework</w:t>
      </w:r>
      <w:bookmarkEnd w:id="154"/>
      <w:bookmarkEnd w:id="155"/>
      <w:bookmarkEnd w:id="156"/>
      <w:bookmarkEnd w:id="157"/>
      <w:bookmarkEnd w:id="158"/>
      <w:bookmarkEnd w:id="159"/>
      <w:bookmarkEnd w:id="160"/>
      <w:bookmarkEnd w:id="173"/>
    </w:p>
    <w:p w14:paraId="7542B7DE" w14:textId="78427A2F" w:rsidR="00B74531" w:rsidRPr="00C04D5F" w:rsidRDefault="00C01752" w:rsidP="00042FC6">
      <w:pPr>
        <w:pStyle w:val="APRANORMAL"/>
        <w:rPr>
          <w:lang w:val="en-AU"/>
        </w:rPr>
      </w:pPr>
      <w:r>
        <w:rPr>
          <w:lang w:val="en-AU"/>
        </w:rPr>
        <w:t>The ADI capital framework should support</w:t>
      </w:r>
      <w:r w:rsidR="00453DB9" w:rsidRPr="00453DB9">
        <w:rPr>
          <w:lang w:val="en-AU"/>
        </w:rPr>
        <w:t xml:space="preserve"> the financial system’s ability to respond when faced with adversity</w:t>
      </w:r>
      <w:r w:rsidR="0023144D">
        <w:rPr>
          <w:lang w:val="en-AU"/>
        </w:rPr>
        <w:t>,</w:t>
      </w:r>
      <w:r w:rsidR="00453DB9" w:rsidRPr="00453DB9">
        <w:rPr>
          <w:lang w:val="en-AU"/>
        </w:rPr>
        <w:t xml:space="preserve"> </w:t>
      </w:r>
      <w:r w:rsidR="0023144D">
        <w:rPr>
          <w:lang w:val="en-AU"/>
        </w:rPr>
        <w:t xml:space="preserve">so as </w:t>
      </w:r>
      <w:r w:rsidR="00453DB9" w:rsidRPr="00453DB9">
        <w:rPr>
          <w:lang w:val="en-AU"/>
        </w:rPr>
        <w:t xml:space="preserve">to </w:t>
      </w:r>
      <w:r w:rsidR="0023144D">
        <w:rPr>
          <w:lang w:val="en-AU"/>
        </w:rPr>
        <w:t>aid</w:t>
      </w:r>
      <w:r w:rsidR="0023144D" w:rsidRPr="00453DB9">
        <w:rPr>
          <w:lang w:val="en-AU"/>
        </w:rPr>
        <w:t xml:space="preserve"> </w:t>
      </w:r>
      <w:r w:rsidR="00453DB9" w:rsidRPr="00453DB9">
        <w:rPr>
          <w:lang w:val="en-AU"/>
        </w:rPr>
        <w:t>sound ADIs to continue to lend and provide other critical economic functions.</w:t>
      </w:r>
      <w:r w:rsidR="00B642F0">
        <w:rPr>
          <w:lang w:val="en-AU"/>
        </w:rPr>
        <w:t xml:space="preserve"> </w:t>
      </w:r>
      <w:r w:rsidR="00F62374" w:rsidRPr="00C04D5F">
        <w:t>R</w:t>
      </w:r>
      <w:r w:rsidR="002A5700" w:rsidRPr="00C04D5F">
        <w:t xml:space="preserve">egulatory buffer requirements </w:t>
      </w:r>
      <w:r w:rsidR="00B74531" w:rsidRPr="00C04D5F">
        <w:rPr>
          <w:lang w:val="en-AU"/>
        </w:rPr>
        <w:t xml:space="preserve">are designed to </w:t>
      </w:r>
      <w:r w:rsidR="00B2391E">
        <w:rPr>
          <w:lang w:val="en-AU"/>
        </w:rPr>
        <w:t>support</w:t>
      </w:r>
      <w:r w:rsidR="00042FC6" w:rsidRPr="00C04D5F">
        <w:rPr>
          <w:lang w:val="en-AU"/>
        </w:rPr>
        <w:t xml:space="preserve"> the conservation of capital above minimum requirements</w:t>
      </w:r>
      <w:r w:rsidR="006B4614" w:rsidRPr="00C04D5F">
        <w:rPr>
          <w:lang w:val="en-AU"/>
        </w:rPr>
        <w:t xml:space="preserve"> </w:t>
      </w:r>
      <w:r w:rsidR="000B5FB3">
        <w:rPr>
          <w:lang w:val="en-AU"/>
        </w:rPr>
        <w:t>whil</w:t>
      </w:r>
      <w:r w:rsidR="00A9142C">
        <w:rPr>
          <w:lang w:val="en-AU"/>
        </w:rPr>
        <w:t>e</w:t>
      </w:r>
      <w:r w:rsidR="000B5FB3">
        <w:rPr>
          <w:lang w:val="en-AU"/>
        </w:rPr>
        <w:t xml:space="preserve"> also </w:t>
      </w:r>
      <w:r w:rsidR="00333DF8" w:rsidRPr="00C04D5F">
        <w:rPr>
          <w:lang w:val="en-AU"/>
        </w:rPr>
        <w:t>enhancing</w:t>
      </w:r>
      <w:r w:rsidR="00303D05" w:rsidRPr="00C04D5F">
        <w:rPr>
          <w:lang w:val="en-AU"/>
        </w:rPr>
        <w:t xml:space="preserve"> the </w:t>
      </w:r>
      <w:r w:rsidR="000B5FB3">
        <w:rPr>
          <w:lang w:val="en-AU"/>
        </w:rPr>
        <w:t xml:space="preserve">capacity of the </w:t>
      </w:r>
      <w:r w:rsidR="00303D05" w:rsidRPr="00C04D5F">
        <w:rPr>
          <w:lang w:val="en-AU"/>
        </w:rPr>
        <w:t xml:space="preserve">financial system </w:t>
      </w:r>
      <w:r w:rsidR="000B5FB3">
        <w:rPr>
          <w:lang w:val="en-AU"/>
        </w:rPr>
        <w:t>and individual ADI</w:t>
      </w:r>
      <w:r w:rsidR="00496E79">
        <w:rPr>
          <w:lang w:val="en-AU"/>
        </w:rPr>
        <w:t>s</w:t>
      </w:r>
      <w:r w:rsidR="000B5FB3">
        <w:rPr>
          <w:lang w:val="en-AU"/>
        </w:rPr>
        <w:t xml:space="preserve"> to continue to operate effectively </w:t>
      </w:r>
      <w:r w:rsidR="006B4614" w:rsidRPr="00C04D5F">
        <w:rPr>
          <w:lang w:val="en-AU"/>
        </w:rPr>
        <w:t>during periods of stress</w:t>
      </w:r>
      <w:r w:rsidR="00435F5E" w:rsidRPr="00C04D5F">
        <w:rPr>
          <w:lang w:val="en-AU"/>
        </w:rPr>
        <w:t>.</w:t>
      </w:r>
    </w:p>
    <w:p w14:paraId="1B94B0DE" w14:textId="4E288562" w:rsidR="0023144D" w:rsidRDefault="0023144D" w:rsidP="001B586D">
      <w:pPr>
        <w:pStyle w:val="APRANORMAL"/>
      </w:pPr>
      <w:r>
        <w:t>Given APRA’s relatively conservative approach to measuring capital adequacy</w:t>
      </w:r>
      <w:r w:rsidR="00642495" w:rsidRPr="00C04D5F">
        <w:t xml:space="preserve">, a potential breach of </w:t>
      </w:r>
      <w:r w:rsidR="00C01752">
        <w:t xml:space="preserve">the </w:t>
      </w:r>
      <w:r w:rsidR="00642495" w:rsidRPr="00C04D5F">
        <w:t>PCR or CCB, and therefore regulatory intervention</w:t>
      </w:r>
      <w:r>
        <w:t>s</w:t>
      </w:r>
      <w:r w:rsidR="00642495" w:rsidRPr="00C04D5F">
        <w:t xml:space="preserve">, occurs at a higher capital level in dollar terms </w:t>
      </w:r>
      <w:r>
        <w:t>f</w:t>
      </w:r>
      <w:r w:rsidRPr="00C04D5F">
        <w:t xml:space="preserve">or Australian ADIs </w:t>
      </w:r>
      <w:r w:rsidR="00642495" w:rsidRPr="00C04D5F">
        <w:t xml:space="preserve">than </w:t>
      </w:r>
      <w:r>
        <w:t>might be the case in</w:t>
      </w:r>
      <w:r w:rsidR="00642495" w:rsidRPr="00C04D5F">
        <w:t xml:space="preserve"> a number of peer jurisdictions. </w:t>
      </w:r>
      <w:r>
        <w:t>Absent any other compensating factors, t</w:t>
      </w:r>
      <w:r w:rsidR="00642495" w:rsidRPr="00C04D5F">
        <w:t xml:space="preserve">his </w:t>
      </w:r>
      <w:r>
        <w:t xml:space="preserve">will tend to </w:t>
      </w:r>
      <w:r w:rsidR="00642495" w:rsidRPr="00C04D5F">
        <w:t xml:space="preserve">reduce </w:t>
      </w:r>
      <w:r>
        <w:t xml:space="preserve">the </w:t>
      </w:r>
      <w:r w:rsidR="00496E79">
        <w:t xml:space="preserve">relative </w:t>
      </w:r>
      <w:r w:rsidR="00642495" w:rsidRPr="00C04D5F">
        <w:t xml:space="preserve">flexibility </w:t>
      </w:r>
      <w:r w:rsidR="00496E79">
        <w:t xml:space="preserve">of ADIs to absorb losses </w:t>
      </w:r>
      <w:r>
        <w:t xml:space="preserve">and continue to operate </w:t>
      </w:r>
      <w:r w:rsidR="00642495" w:rsidRPr="00C04D5F">
        <w:t xml:space="preserve">in times of stress. </w:t>
      </w:r>
    </w:p>
    <w:p w14:paraId="3251F9CF" w14:textId="4AD87878" w:rsidR="001B586D" w:rsidRPr="00F93219" w:rsidRDefault="0038597F" w:rsidP="001B586D">
      <w:pPr>
        <w:pStyle w:val="APRANORMAL"/>
      </w:pPr>
      <w:r w:rsidRPr="00C04D5F">
        <w:t xml:space="preserve">This chapter </w:t>
      </w:r>
      <w:r w:rsidR="00435F5E" w:rsidRPr="00C04D5F">
        <w:t xml:space="preserve">explores </w:t>
      </w:r>
      <w:r w:rsidRPr="00C04D5F">
        <w:t xml:space="preserve">the options that APRA is considering to </w:t>
      </w:r>
      <w:r w:rsidR="006B4614" w:rsidRPr="00C04D5F">
        <w:t xml:space="preserve">improve the responsiveness of </w:t>
      </w:r>
      <w:r w:rsidR="00E4795B">
        <w:t>its</w:t>
      </w:r>
      <w:r w:rsidR="006B4614" w:rsidRPr="00C04D5F">
        <w:t xml:space="preserve"> capital framework in times of stress</w:t>
      </w:r>
      <w:r w:rsidR="008D3581" w:rsidRPr="00C04D5F">
        <w:t xml:space="preserve">, including </w:t>
      </w:r>
      <w:r w:rsidR="0023144D">
        <w:t xml:space="preserve">improving </w:t>
      </w:r>
      <w:r w:rsidR="008D3581" w:rsidRPr="00C04D5F">
        <w:t xml:space="preserve">the usability of capital buffers </w:t>
      </w:r>
      <w:r w:rsidR="0023144D">
        <w:t xml:space="preserve">for ADIs, </w:t>
      </w:r>
      <w:r w:rsidR="008D3581" w:rsidRPr="00C04D5F">
        <w:t xml:space="preserve">and </w:t>
      </w:r>
      <w:r w:rsidR="0023144D">
        <w:t xml:space="preserve">the </w:t>
      </w:r>
      <w:r w:rsidR="008D3581" w:rsidRPr="00C04D5F">
        <w:t>supervisory flexibility for APRA</w:t>
      </w:r>
      <w:r w:rsidR="00D5434B" w:rsidRPr="00C04D5F">
        <w:t xml:space="preserve"> to act</w:t>
      </w:r>
      <w:r w:rsidR="006B4614" w:rsidRPr="00C04D5F">
        <w:t>.</w:t>
      </w:r>
      <w:r w:rsidR="00DB6025">
        <w:t xml:space="preserve"> Some of these options may only be available under a revised capital framework that incorporates Approach 2 </w:t>
      </w:r>
      <w:r w:rsidR="00A048E4">
        <w:t xml:space="preserve">outlined </w:t>
      </w:r>
      <w:r w:rsidR="008E21C9">
        <w:t xml:space="preserve">in the previous </w:t>
      </w:r>
      <w:r w:rsidR="007319BD">
        <w:t>c</w:t>
      </w:r>
      <w:r w:rsidR="008E21C9">
        <w:t>hapter</w:t>
      </w:r>
      <w:r w:rsidR="00DB6025">
        <w:t>.</w:t>
      </w:r>
    </w:p>
    <w:p w14:paraId="494D0C32" w14:textId="77777777" w:rsidR="00782102" w:rsidRDefault="00C01752" w:rsidP="00EB4F95">
      <w:pPr>
        <w:pStyle w:val="APRAHEADING2"/>
      </w:pPr>
      <w:bookmarkStart w:id="174" w:name="_Toc518658250"/>
      <w:bookmarkStart w:id="175" w:name="_Ref519244616"/>
      <w:bookmarkStart w:id="176" w:name="_Toc521401222"/>
      <w:bookmarkStart w:id="177" w:name="_Toc521508296"/>
      <w:bookmarkStart w:id="178" w:name="_Toc521932769"/>
      <w:r>
        <w:t>Capital buffers</w:t>
      </w:r>
      <w:bookmarkEnd w:id="174"/>
      <w:bookmarkEnd w:id="175"/>
      <w:bookmarkEnd w:id="176"/>
      <w:bookmarkEnd w:id="177"/>
      <w:bookmarkEnd w:id="178"/>
    </w:p>
    <w:p w14:paraId="322DD7D3" w14:textId="5A84F233" w:rsidR="00B642F0" w:rsidRDefault="00BC502E" w:rsidP="009F0EF1">
      <w:pPr>
        <w:pStyle w:val="APRANORMAL"/>
      </w:pPr>
      <w:r>
        <w:t xml:space="preserve">In </w:t>
      </w:r>
      <w:r w:rsidR="00B73446">
        <w:t>conjunction with the approaches</w:t>
      </w:r>
      <w:r>
        <w:t xml:space="preserve"> outlined in Chapter 2</w:t>
      </w:r>
      <w:r w:rsidR="00B73446">
        <w:t xml:space="preserve">, </w:t>
      </w:r>
      <w:r w:rsidR="00EE10CB">
        <w:t xml:space="preserve">APRA is </w:t>
      </w:r>
      <w:r w:rsidR="008E21C9">
        <w:t xml:space="preserve">exploring </w:t>
      </w:r>
      <w:r w:rsidR="00130B41">
        <w:t>options that might</w:t>
      </w:r>
      <w:r w:rsidR="008E21C9">
        <w:t xml:space="preserve">, without increasing ADIs’ overall capital requirements, </w:t>
      </w:r>
      <w:r w:rsidR="00EE10CB">
        <w:t>increas</w:t>
      </w:r>
      <w:r w:rsidR="00130B41">
        <w:t>e</w:t>
      </w:r>
      <w:r w:rsidR="00EE10CB">
        <w:t xml:space="preserve"> </w:t>
      </w:r>
      <w:r w:rsidR="00EE10CB" w:rsidRPr="003329A7">
        <w:t xml:space="preserve">the size of the </w:t>
      </w:r>
      <w:r w:rsidR="007973DD">
        <w:t xml:space="preserve">CCB </w:t>
      </w:r>
      <w:r w:rsidR="00EE10CB" w:rsidRPr="003329A7">
        <w:t xml:space="preserve">relative to the size of the minimum </w:t>
      </w:r>
      <w:r w:rsidR="00C149D8">
        <w:t xml:space="preserve">CET1 </w:t>
      </w:r>
      <w:r w:rsidR="007973DD">
        <w:t>PCR</w:t>
      </w:r>
      <w:r w:rsidR="00C36D74">
        <w:t>.</w:t>
      </w:r>
      <w:r w:rsidR="00B642F0" w:rsidRPr="00B642F0">
        <w:rPr>
          <w:lang w:val="en-AU"/>
        </w:rPr>
        <w:t xml:space="preserve"> </w:t>
      </w:r>
      <w:r w:rsidR="007973DD">
        <w:t xml:space="preserve">As well as enhancing supervisory flexibility </w:t>
      </w:r>
      <w:r w:rsidR="00102613">
        <w:t>for</w:t>
      </w:r>
      <w:r w:rsidR="007973DD">
        <w:t xml:space="preserve"> APRA to address capital fluctuations</w:t>
      </w:r>
      <w:r w:rsidR="00BE0379">
        <w:t xml:space="preserve"> </w:t>
      </w:r>
      <w:r w:rsidR="00C6346C">
        <w:t>dur</w:t>
      </w:r>
      <w:r w:rsidR="00BE0379">
        <w:t>in</w:t>
      </w:r>
      <w:r w:rsidR="00C6346C">
        <w:t>g</w:t>
      </w:r>
      <w:r w:rsidR="00BE0379">
        <w:t xml:space="preserve"> a period of financial or economic stress</w:t>
      </w:r>
      <w:r w:rsidR="007973DD">
        <w:t xml:space="preserve">, the realignment of regulatory capital ratios </w:t>
      </w:r>
      <w:r w:rsidR="00EE10CB">
        <w:t xml:space="preserve">would </w:t>
      </w:r>
      <w:r w:rsidR="00D5434B">
        <w:t xml:space="preserve">be expected to </w:t>
      </w:r>
      <w:r w:rsidR="00EE10CB" w:rsidRPr="00547EB7">
        <w:t>enhance the usability of capital buffers held by ADIs to manage their capital positions</w:t>
      </w:r>
      <w:r w:rsidR="00451426">
        <w:t>.</w:t>
      </w:r>
      <w:r w:rsidR="00523761" w:rsidRPr="00523761">
        <w:t xml:space="preserve"> </w:t>
      </w:r>
    </w:p>
    <w:p w14:paraId="382C98D6" w14:textId="2A80687D" w:rsidR="00B73446" w:rsidRDefault="00B73446" w:rsidP="00044482">
      <w:pPr>
        <w:pStyle w:val="APRAHEADING4"/>
      </w:pPr>
      <w:r>
        <w:t xml:space="preserve">Buffer allocation under Approach 2 </w:t>
      </w:r>
    </w:p>
    <w:p w14:paraId="21F02C80" w14:textId="77777777" w:rsidR="00A149D0" w:rsidRDefault="00EE10CB" w:rsidP="00B73446">
      <w:pPr>
        <w:pStyle w:val="APRANORMAL"/>
      </w:pPr>
      <w:r>
        <w:t xml:space="preserve">A key component of Approach 2 is the addition of an ADI’s APRA Overlay Adjustment to the sum of the </w:t>
      </w:r>
      <w:r w:rsidR="00FF7E5A">
        <w:t xml:space="preserve">minimum </w:t>
      </w:r>
      <w:r w:rsidR="00C149D8">
        <w:t xml:space="preserve">CET1 </w:t>
      </w:r>
      <w:r w:rsidR="00FF7E5A">
        <w:t>PCR</w:t>
      </w:r>
      <w:r w:rsidRPr="003F2BC2">
        <w:t xml:space="preserve"> and </w:t>
      </w:r>
      <w:r>
        <w:t>the CCB.</w:t>
      </w:r>
      <w:r w:rsidR="00D5434B">
        <w:t xml:space="preserve"> </w:t>
      </w:r>
    </w:p>
    <w:p w14:paraId="15E7ED6A" w14:textId="1795BA68" w:rsidR="007B47A6" w:rsidRPr="0052428F" w:rsidRDefault="00A5041B" w:rsidP="00B73446">
      <w:pPr>
        <w:pStyle w:val="APRANORMAL"/>
      </w:pPr>
      <w:r>
        <w:t xml:space="preserve">If Approach 2 is implemented, </w:t>
      </w:r>
      <w:r w:rsidR="00D5434B">
        <w:t xml:space="preserve">APRA </w:t>
      </w:r>
      <w:r w:rsidR="00C6346C">
        <w:t>could</w:t>
      </w:r>
      <w:r>
        <w:t xml:space="preserve"> </w:t>
      </w:r>
      <w:r w:rsidR="00D5434B">
        <w:t xml:space="preserve">consider </w:t>
      </w:r>
      <w:r w:rsidR="00EE10CB">
        <w:t xml:space="preserve">whether this adjustment should be allocated in proportion to an ADI’s existing </w:t>
      </w:r>
      <w:r w:rsidR="00C149D8">
        <w:t xml:space="preserve">CET1 </w:t>
      </w:r>
      <w:r w:rsidR="00FF7E5A">
        <w:t>PCR</w:t>
      </w:r>
      <w:r w:rsidR="00EE10CB" w:rsidRPr="003F2BC2">
        <w:t xml:space="preserve"> and </w:t>
      </w:r>
      <w:r w:rsidR="00EE10CB">
        <w:t>CCB</w:t>
      </w:r>
      <w:r w:rsidR="004A422B" w:rsidRPr="00B73446">
        <w:rPr>
          <w:lang w:val="en-AU"/>
        </w:rPr>
        <w:t xml:space="preserve">, which </w:t>
      </w:r>
      <w:r w:rsidR="00A149D0">
        <w:rPr>
          <w:lang w:val="en-AU"/>
        </w:rPr>
        <w:t xml:space="preserve">would align </w:t>
      </w:r>
      <w:r w:rsidR="00A149D0">
        <w:rPr>
          <w:lang w:val="en-AU"/>
        </w:rPr>
        <w:lastRenderedPageBreak/>
        <w:t>most closely</w:t>
      </w:r>
      <w:r w:rsidR="004A422B" w:rsidRPr="00B73446">
        <w:rPr>
          <w:lang w:val="en-AU"/>
        </w:rPr>
        <w:t xml:space="preserve"> with the existing framework. </w:t>
      </w:r>
      <w:r w:rsidR="008E21C9">
        <w:rPr>
          <w:lang w:val="en-AU"/>
        </w:rPr>
        <w:t>However,</w:t>
      </w:r>
      <w:r w:rsidR="004A422B" w:rsidRPr="00B73446">
        <w:rPr>
          <w:lang w:val="en-AU"/>
        </w:rPr>
        <w:t xml:space="preserve"> </w:t>
      </w:r>
      <w:r w:rsidR="004A422B">
        <w:t xml:space="preserve">an </w:t>
      </w:r>
      <w:r w:rsidR="00EE10CB">
        <w:t xml:space="preserve">alternative allocation </w:t>
      </w:r>
      <w:r w:rsidR="008E21C9">
        <w:t xml:space="preserve">that might enhance </w:t>
      </w:r>
      <w:r w:rsidR="00EE10CB">
        <w:t xml:space="preserve">the framework’s flexibility </w:t>
      </w:r>
      <w:r w:rsidR="004A422B">
        <w:t xml:space="preserve">would be </w:t>
      </w:r>
      <w:r w:rsidR="008E21C9">
        <w:t>to</w:t>
      </w:r>
      <w:r w:rsidR="00EE10CB">
        <w:t xml:space="preserve"> allocat</w:t>
      </w:r>
      <w:r w:rsidR="008E21C9">
        <w:t>e</w:t>
      </w:r>
      <w:r w:rsidR="00EE10CB">
        <w:t xml:space="preserve"> the APRA Overlay Adjustment in a way that increases the size of an ADI’s CCB relative to its </w:t>
      </w:r>
      <w:r w:rsidR="00C149D8">
        <w:t xml:space="preserve">CET1 </w:t>
      </w:r>
      <w:r w:rsidR="002E0CAA">
        <w:t>PCR</w:t>
      </w:r>
      <w:r w:rsidR="008E21C9">
        <w:t xml:space="preserve"> (for </w:t>
      </w:r>
      <w:r w:rsidR="00A149D0">
        <w:t>example, the entire APRA Overlay Adjustment could be implemented as an increase in the CCB, with no adjustment made to the PCR</w:t>
      </w:r>
      <w:r w:rsidR="002722FD">
        <w:t>)</w:t>
      </w:r>
      <w:r w:rsidR="00A149D0">
        <w:t xml:space="preserve">. </w:t>
      </w:r>
      <w:r w:rsidR="00EE10CB">
        <w:t xml:space="preserve">Regardless of how this allocation </w:t>
      </w:r>
      <w:r w:rsidR="004A422B">
        <w:t>is</w:t>
      </w:r>
      <w:r w:rsidR="00EE10CB">
        <w:t xml:space="preserve"> achieved, APRA would seek to ensure that </w:t>
      </w:r>
      <w:r w:rsidR="00EE10CB" w:rsidRPr="0052428F">
        <w:t xml:space="preserve">the resulting </w:t>
      </w:r>
      <w:r w:rsidR="00A149D0">
        <w:t xml:space="preserve">total </w:t>
      </w:r>
      <w:r w:rsidR="000F6FF8">
        <w:t xml:space="preserve">PCR and CCB </w:t>
      </w:r>
      <w:r w:rsidR="00487D85">
        <w:t>requirement</w:t>
      </w:r>
      <w:r w:rsidR="00EE10CB" w:rsidRPr="0052428F">
        <w:t xml:space="preserve"> </w:t>
      </w:r>
      <w:r w:rsidR="007D3382">
        <w:t xml:space="preserve">would </w:t>
      </w:r>
      <w:r w:rsidR="00FF0962">
        <w:t>remain</w:t>
      </w:r>
      <w:r w:rsidR="00A149D0">
        <w:t xml:space="preserve"> unchanged</w:t>
      </w:r>
      <w:r w:rsidR="00451426">
        <w:t>.</w:t>
      </w:r>
    </w:p>
    <w:p w14:paraId="7D8BB6D9" w14:textId="504575CD" w:rsidR="007B47A6" w:rsidRDefault="007B47A6" w:rsidP="007D0743">
      <w:pPr>
        <w:pStyle w:val="APRANORMAL"/>
      </w:pPr>
      <w:r>
        <w:t>A</w:t>
      </w:r>
      <w:r w:rsidR="00A149D0">
        <w:t>n important</w:t>
      </w:r>
      <w:r>
        <w:t xml:space="preserve"> consequence of </w:t>
      </w:r>
      <w:r w:rsidR="0052428F">
        <w:t xml:space="preserve">changing the size of the </w:t>
      </w:r>
      <w:r w:rsidR="00C149D8">
        <w:t xml:space="preserve">CET1 </w:t>
      </w:r>
      <w:r w:rsidR="0052428F">
        <w:t xml:space="preserve">PCR </w:t>
      </w:r>
      <w:r w:rsidR="001869B2">
        <w:t xml:space="preserve">and </w:t>
      </w:r>
      <w:r w:rsidR="0052428F">
        <w:t xml:space="preserve">CCB </w:t>
      </w:r>
      <w:r w:rsidR="001869B2">
        <w:t xml:space="preserve">in </w:t>
      </w:r>
      <w:r w:rsidR="00A149D0">
        <w:t xml:space="preserve">proportional </w:t>
      </w:r>
      <w:r w:rsidR="001869B2">
        <w:t xml:space="preserve">terms </w:t>
      </w:r>
      <w:r w:rsidR="00A149D0">
        <w:t>would be</w:t>
      </w:r>
      <w:r w:rsidR="00D721E8">
        <w:t xml:space="preserve"> that the </w:t>
      </w:r>
      <w:r w:rsidR="0052428F">
        <w:t xml:space="preserve">point </w:t>
      </w:r>
      <w:r w:rsidR="00523761">
        <w:t xml:space="preserve">at which </w:t>
      </w:r>
      <w:r w:rsidR="0052428F">
        <w:t>automatic regulatory intervention or restriction triggers</w:t>
      </w:r>
      <w:r w:rsidR="00D721E8">
        <w:t xml:space="preserve"> </w:t>
      </w:r>
      <w:r w:rsidR="00523761">
        <w:t xml:space="preserve">are activated </w:t>
      </w:r>
      <w:r w:rsidR="00D721E8">
        <w:t xml:space="preserve">will </w:t>
      </w:r>
      <w:r w:rsidR="00A149D0">
        <w:t xml:space="preserve">effectively </w:t>
      </w:r>
      <w:r w:rsidR="00D721E8">
        <w:t>change</w:t>
      </w:r>
      <w:r w:rsidR="0052428F">
        <w:t xml:space="preserve">. </w:t>
      </w:r>
      <w:r w:rsidR="00A149D0">
        <w:t xml:space="preserve">All other things being equal, this </w:t>
      </w:r>
      <w:r w:rsidR="00AC494D">
        <w:t>approach would</w:t>
      </w:r>
      <w:r w:rsidR="00AC494D" w:rsidRPr="00D476EF">
        <w:t xml:space="preserve"> increase the ‘distance’ between going concern capital ratios and automatic regulatory intervention points</w:t>
      </w:r>
      <w:r w:rsidR="00AC494D">
        <w:t xml:space="preserve">, </w:t>
      </w:r>
      <w:r w:rsidR="00AC494D" w:rsidRPr="00D476EF">
        <w:t>increasing the flexibility of the ADI to undertake recovery actions as well as for APRA to undertake supervisory action</w:t>
      </w:r>
      <w:r w:rsidR="00AC494D">
        <w:t xml:space="preserve">. </w:t>
      </w:r>
      <w:r w:rsidR="0052428F">
        <w:t>Further detail is provided in section 3.2 below.</w:t>
      </w:r>
    </w:p>
    <w:p w14:paraId="3D966B54" w14:textId="77777777" w:rsidR="00D721E8" w:rsidRDefault="00B73446" w:rsidP="00044482">
      <w:pPr>
        <w:pStyle w:val="APRAHEADING4"/>
      </w:pPr>
      <w:r>
        <w:t>Buffer calibration</w:t>
      </w:r>
    </w:p>
    <w:p w14:paraId="4EA04BC2" w14:textId="2F284F4B" w:rsidR="00471603" w:rsidRDefault="007722F5" w:rsidP="007D0743">
      <w:pPr>
        <w:pStyle w:val="APRANORMAL"/>
      </w:pPr>
      <w:r>
        <w:t>APRA is currently increasing the c</w:t>
      </w:r>
      <w:r w:rsidR="005512CB" w:rsidRPr="00471603">
        <w:t xml:space="preserve">alibration </w:t>
      </w:r>
      <w:r w:rsidR="00B73446">
        <w:t>of the overall ADI capital framework to meet the ‘</w:t>
      </w:r>
      <w:r w:rsidR="005512CB" w:rsidRPr="00471603">
        <w:t>unquestionably strong</w:t>
      </w:r>
      <w:r w:rsidR="00B73446">
        <w:t>’</w:t>
      </w:r>
      <w:r w:rsidR="007C66B8">
        <w:t xml:space="preserve"> benchmarks</w:t>
      </w:r>
      <w:r>
        <w:t xml:space="preserve">. As well as (or instead of) increasing various risk weights to achieve higher capital levels, the overall calibration could </w:t>
      </w:r>
      <w:r w:rsidR="008F5ADB">
        <w:t xml:space="preserve">be </w:t>
      </w:r>
      <w:r>
        <w:t xml:space="preserve">achieved in part </w:t>
      </w:r>
      <w:r w:rsidR="008F5ADB">
        <w:t>by increasing the quantum of the CCB</w:t>
      </w:r>
      <w:r w:rsidR="00D0456B">
        <w:t>, and could be considered separately to the approaches outlined in Chapter 2</w:t>
      </w:r>
      <w:r w:rsidR="008F5ADB">
        <w:t>.</w:t>
      </w:r>
      <w:r w:rsidR="00713E3D">
        <w:t xml:space="preserve"> </w:t>
      </w:r>
      <w:r w:rsidR="00961282">
        <w:t>Th</w:t>
      </w:r>
      <w:r>
        <w:t xml:space="preserve">is might also allow, if necessary, differential calibration of buffer requirements for IRB and </w:t>
      </w:r>
      <w:r w:rsidR="00961282">
        <w:t>standardised ADIs</w:t>
      </w:r>
      <w:r w:rsidR="00451426">
        <w:t>.</w:t>
      </w:r>
    </w:p>
    <w:p w14:paraId="279CAD95" w14:textId="3C8A34CD" w:rsidR="00205867" w:rsidRDefault="006D7EBF" w:rsidP="007D0743">
      <w:pPr>
        <w:pStyle w:val="APRANORMAL"/>
      </w:pPr>
      <w:r>
        <w:t>APRA</w:t>
      </w:r>
      <w:r w:rsidR="00205867" w:rsidRPr="00205867">
        <w:t xml:space="preserve"> is also exploring the option that </w:t>
      </w:r>
      <w:r w:rsidR="00205867">
        <w:t xml:space="preserve">the </w:t>
      </w:r>
      <w:r w:rsidR="00205867" w:rsidRPr="00205867">
        <w:t xml:space="preserve">increase in capital buffers may be achieved by </w:t>
      </w:r>
      <w:r w:rsidR="00205867">
        <w:t xml:space="preserve">increasing the baseline (normal economic times) setting of the </w:t>
      </w:r>
      <w:r w:rsidR="00205867" w:rsidRPr="00205867">
        <w:t xml:space="preserve">countercyclical </w:t>
      </w:r>
      <w:r>
        <w:t xml:space="preserve">capital </w:t>
      </w:r>
      <w:r w:rsidR="00205867" w:rsidRPr="00205867">
        <w:t>buffer (CCyB)</w:t>
      </w:r>
      <w:r w:rsidR="00205867">
        <w:t xml:space="preserve"> </w:t>
      </w:r>
      <w:r w:rsidR="00205867" w:rsidRPr="00205867">
        <w:t xml:space="preserve">from its </w:t>
      </w:r>
      <w:r w:rsidR="00C92BB0">
        <w:t xml:space="preserve">default </w:t>
      </w:r>
      <w:r w:rsidR="00205867" w:rsidRPr="00205867">
        <w:t>setting of zero.</w:t>
      </w:r>
      <w:r w:rsidR="00205867">
        <w:rPr>
          <w:rStyle w:val="FootnoteReference"/>
        </w:rPr>
        <w:footnoteReference w:id="19"/>
      </w:r>
      <w:r w:rsidR="00205867" w:rsidRPr="00205867">
        <w:t xml:space="preserve"> While ensuring that ADIs have an increased level of resilience prior to a period of financial stress, this would allow APRA the flexibility to temporarily set the CCyB below the baseline during a period of financial stress.</w:t>
      </w:r>
    </w:p>
    <w:p w14:paraId="2AFFD6B9" w14:textId="37F109F0" w:rsidR="00E04E3D" w:rsidRDefault="002722FD" w:rsidP="00E04E3D">
      <w:pPr>
        <w:pStyle w:val="APRAHEADING2"/>
      </w:pPr>
      <w:bookmarkStart w:id="179" w:name="_Toc521401415"/>
      <w:bookmarkStart w:id="180" w:name="_Toc521401416"/>
      <w:bookmarkStart w:id="181" w:name="_Toc510689502"/>
      <w:bookmarkStart w:id="182" w:name="_Toc510690480"/>
      <w:bookmarkStart w:id="183" w:name="_Toc514172202"/>
      <w:bookmarkStart w:id="184" w:name="_Toc518658251"/>
      <w:bookmarkStart w:id="185" w:name="_Toc521508297"/>
      <w:bookmarkStart w:id="186" w:name="_Toc521932770"/>
      <w:bookmarkEnd w:id="179"/>
      <w:bookmarkEnd w:id="180"/>
      <w:r>
        <w:lastRenderedPageBreak/>
        <w:t xml:space="preserve">Impact of changes on loss </w:t>
      </w:r>
      <w:r w:rsidR="00E04E3D">
        <w:t>absorption trigger point</w:t>
      </w:r>
      <w:bookmarkEnd w:id="181"/>
      <w:bookmarkEnd w:id="182"/>
      <w:bookmarkEnd w:id="183"/>
      <w:bookmarkEnd w:id="184"/>
      <w:bookmarkEnd w:id="185"/>
      <w:bookmarkEnd w:id="186"/>
    </w:p>
    <w:p w14:paraId="33DD3327" w14:textId="77777777" w:rsidR="007722F5" w:rsidRDefault="007722F5">
      <w:pPr>
        <w:pStyle w:val="APRANORMAL"/>
      </w:pPr>
      <w:r>
        <w:t xml:space="preserve">As noted, </w:t>
      </w:r>
      <w:r w:rsidR="00E04E3D" w:rsidRPr="002879A9">
        <w:t>APRA’s current approach to defining capital and RWA results in lower capital ratios relative to a</w:t>
      </w:r>
      <w:r w:rsidR="0097214D">
        <w:t xml:space="preserve"> more </w:t>
      </w:r>
      <w:r w:rsidR="00FB0272">
        <w:t xml:space="preserve">internationally </w:t>
      </w:r>
      <w:r w:rsidR="0097214D">
        <w:t xml:space="preserve">harmonised </w:t>
      </w:r>
      <w:r w:rsidR="00E04E3D" w:rsidRPr="002879A9">
        <w:t xml:space="preserve">methodology. </w:t>
      </w:r>
    </w:p>
    <w:p w14:paraId="48001EA2" w14:textId="43C31B7B" w:rsidR="00A341B4" w:rsidRDefault="00497C88">
      <w:pPr>
        <w:pStyle w:val="APRANORMAL"/>
      </w:pPr>
      <w:r>
        <w:t xml:space="preserve">APRA currently requires </w:t>
      </w:r>
      <w:r w:rsidRPr="00581FBA">
        <w:rPr>
          <w:rStyle w:val="APRANORMALChar"/>
        </w:rPr>
        <w:t xml:space="preserve">Additional Tier 1 </w:t>
      </w:r>
      <w:r w:rsidR="00FC466B">
        <w:rPr>
          <w:rStyle w:val="APRANORMALChar"/>
        </w:rPr>
        <w:t xml:space="preserve">(AT1) </w:t>
      </w:r>
      <w:r w:rsidRPr="00581FBA">
        <w:rPr>
          <w:rStyle w:val="APRANORMALChar"/>
        </w:rPr>
        <w:t xml:space="preserve">capital instruments classified as liabilities under Australian Accounting Standards </w:t>
      </w:r>
      <w:r>
        <w:rPr>
          <w:rStyle w:val="APRANORMALChar"/>
        </w:rPr>
        <w:t xml:space="preserve">to </w:t>
      </w:r>
      <w:r w:rsidRPr="00581FBA">
        <w:rPr>
          <w:rStyle w:val="APRANORMALChar"/>
        </w:rPr>
        <w:t xml:space="preserve">convert to CET1 capital or be written off when </w:t>
      </w:r>
      <w:r>
        <w:rPr>
          <w:rStyle w:val="APRANORMALChar"/>
        </w:rPr>
        <w:t xml:space="preserve">an ADI’s </w:t>
      </w:r>
      <w:r w:rsidRPr="00581FBA">
        <w:rPr>
          <w:rStyle w:val="APRANORMALChar"/>
        </w:rPr>
        <w:t>CET1 ratio falls to or below 5.125 per cent of total RWA (the loss absorption trigger point)</w:t>
      </w:r>
      <w:r w:rsidR="00451426">
        <w:rPr>
          <w:rStyle w:val="APRANORMALChar"/>
        </w:rPr>
        <w:t>.</w:t>
      </w:r>
    </w:p>
    <w:p w14:paraId="47A400EC" w14:textId="77777777" w:rsidR="001218DC" w:rsidRDefault="0092401E" w:rsidP="000C248F">
      <w:pPr>
        <w:pStyle w:val="APRANORMAL"/>
        <w:spacing w:after="160"/>
      </w:pPr>
      <w:r>
        <w:t xml:space="preserve">The </w:t>
      </w:r>
      <w:r w:rsidR="00E04E3D">
        <w:t>consequence</w:t>
      </w:r>
      <w:r w:rsidR="001218DC">
        <w:t>s</w:t>
      </w:r>
      <w:r w:rsidR="00E04E3D">
        <w:t xml:space="preserve"> of implementing </w:t>
      </w:r>
      <w:r w:rsidR="0061599E">
        <w:t xml:space="preserve">Approach 2 </w:t>
      </w:r>
      <w:r w:rsidR="007722F5">
        <w:t xml:space="preserve">would </w:t>
      </w:r>
      <w:r w:rsidR="00365B06">
        <w:t>include:</w:t>
      </w:r>
    </w:p>
    <w:p w14:paraId="79C42FED" w14:textId="36A6D894" w:rsidR="001218DC" w:rsidRDefault="00E04E3D" w:rsidP="007D0743">
      <w:pPr>
        <w:pStyle w:val="APRABULLET"/>
        <w:ind w:left="357" w:hanging="357"/>
      </w:pPr>
      <w:r>
        <w:t xml:space="preserve">the loss absorption </w:t>
      </w:r>
      <w:r w:rsidRPr="005F4905">
        <w:t>trigger point would be reduced in dollar terms</w:t>
      </w:r>
      <w:r w:rsidR="001218DC">
        <w:t>, as this becomes 5.125</w:t>
      </w:r>
      <w:r w:rsidR="002722FD">
        <w:t> </w:t>
      </w:r>
      <w:r w:rsidR="001218DC">
        <w:t xml:space="preserve">per cent of </w:t>
      </w:r>
      <w:r w:rsidR="00DC0C54">
        <w:t xml:space="preserve">a </w:t>
      </w:r>
      <w:r w:rsidR="001218DC">
        <w:t>smaller total RWA</w:t>
      </w:r>
      <w:r w:rsidR="00EA27F9">
        <w:t xml:space="preserve"> and would therefore be triggered </w:t>
      </w:r>
      <w:r w:rsidR="00D9174C">
        <w:t xml:space="preserve">at a lower level of capital strength </w:t>
      </w:r>
      <w:r w:rsidR="00EA27F9">
        <w:t>than it currently does</w:t>
      </w:r>
      <w:r w:rsidR="001218DC">
        <w:t>;</w:t>
      </w:r>
      <w:r w:rsidR="00365B06">
        <w:t xml:space="preserve"> and</w:t>
      </w:r>
    </w:p>
    <w:p w14:paraId="338A8572" w14:textId="5BE5C798" w:rsidR="001218DC" w:rsidRDefault="001218DC" w:rsidP="007D0743">
      <w:pPr>
        <w:pStyle w:val="APRABULLET"/>
        <w:spacing w:after="240"/>
        <w:ind w:left="357" w:hanging="357"/>
      </w:pPr>
      <w:r>
        <w:t xml:space="preserve">if some of the APRA Overlay Adjustment is applied to increase the </w:t>
      </w:r>
      <w:r w:rsidRPr="001218DC">
        <w:t>minimum capital requirement</w:t>
      </w:r>
      <w:r>
        <w:t xml:space="preserve">, then </w:t>
      </w:r>
      <w:r w:rsidR="007722F5">
        <w:t xml:space="preserve">it may be possible that </w:t>
      </w:r>
      <w:r>
        <w:t xml:space="preserve">an ADI’s </w:t>
      </w:r>
      <w:r w:rsidR="007E423F">
        <w:t>PCR</w:t>
      </w:r>
      <w:r>
        <w:t xml:space="preserve"> may be </w:t>
      </w:r>
      <w:r w:rsidR="00365B06">
        <w:t>higher than 5.125 per cent.</w:t>
      </w:r>
      <w:r w:rsidR="007E423F">
        <w:t xml:space="preserve"> This would serve to undermine the purpose of the loss absorption trigger</w:t>
      </w:r>
      <w:r w:rsidR="00A9142C">
        <w:t xml:space="preserve"> point</w:t>
      </w:r>
      <w:r w:rsidR="007E423F">
        <w:t>, which is designed to recapitalise a</w:t>
      </w:r>
      <w:r w:rsidR="00ED4945">
        <w:t>n ADI</w:t>
      </w:r>
      <w:r w:rsidR="007E423F">
        <w:t xml:space="preserve"> before it reaches its PCR.</w:t>
      </w:r>
    </w:p>
    <w:p w14:paraId="642E34DD" w14:textId="4F1BA641" w:rsidR="00E04E3D" w:rsidRDefault="00E04E3D" w:rsidP="007D0743">
      <w:pPr>
        <w:pStyle w:val="APRANORMAL"/>
        <w:spacing w:after="160"/>
      </w:pPr>
      <w:r>
        <w:t xml:space="preserve">Accordingly, </w:t>
      </w:r>
      <w:r w:rsidR="007E423F">
        <w:t xml:space="preserve">if APRA were to adopt Approach 2, </w:t>
      </w:r>
      <w:r w:rsidR="002A1C57">
        <w:t>it</w:t>
      </w:r>
      <w:r>
        <w:t xml:space="preserve"> </w:t>
      </w:r>
      <w:r w:rsidR="007E423F">
        <w:t>would need to consider</w:t>
      </w:r>
      <w:r>
        <w:t xml:space="preserve"> whether to:</w:t>
      </w:r>
    </w:p>
    <w:p w14:paraId="5BAEE2F1" w14:textId="6EA3B073" w:rsidR="00E04E3D" w:rsidRDefault="00E04E3D" w:rsidP="007D0743">
      <w:pPr>
        <w:pStyle w:val="APRABULLET"/>
        <w:ind w:left="357" w:hanging="357"/>
      </w:pPr>
      <w:r>
        <w:t>maintain a prescribed loss absorption trigger point at 5.125 per cent of RWA and thus harmonise its approach with a number of peer jurisdictions; or</w:t>
      </w:r>
    </w:p>
    <w:p w14:paraId="5F451D87" w14:textId="77777777" w:rsidR="00E04E3D" w:rsidRDefault="00E04E3D" w:rsidP="007D0743">
      <w:pPr>
        <w:pStyle w:val="APRABULLET"/>
        <w:spacing w:after="240"/>
        <w:ind w:left="357" w:hanging="357"/>
      </w:pPr>
      <w:r>
        <w:t xml:space="preserve">recalibrate the loss absorption trigger point to an appropriate </w:t>
      </w:r>
      <w:r w:rsidR="009644E9">
        <w:t xml:space="preserve">higher </w:t>
      </w:r>
      <w:r>
        <w:t>level.</w:t>
      </w:r>
    </w:p>
    <w:p w14:paraId="798AA60C" w14:textId="344CD8A0" w:rsidR="0052072E" w:rsidRPr="000C248F" w:rsidRDefault="00102613" w:rsidP="00670308">
      <w:pPr>
        <w:spacing w:after="0"/>
        <w:rPr>
          <w:rStyle w:val="APRANORMALChar"/>
        </w:rPr>
      </w:pPr>
      <w:r>
        <w:rPr>
          <w:rFonts w:ascii="DIN OT Light" w:hAnsi="DIN OT Light"/>
        </w:rPr>
        <w:t>I</w:t>
      </w:r>
      <w:r w:rsidR="00E04E3D" w:rsidRPr="008C7977">
        <w:rPr>
          <w:rFonts w:ascii="DIN OT Light" w:hAnsi="DIN OT Light"/>
        </w:rPr>
        <w:t xml:space="preserve">nternational practices </w:t>
      </w:r>
      <w:r w:rsidR="00594B02">
        <w:rPr>
          <w:rFonts w:ascii="DIN OT Light" w:hAnsi="DIN OT Light"/>
        </w:rPr>
        <w:t>on</w:t>
      </w:r>
      <w:r w:rsidR="00594B02" w:rsidRPr="008C7977">
        <w:rPr>
          <w:rFonts w:ascii="DIN OT Light" w:hAnsi="DIN OT Light"/>
        </w:rPr>
        <w:t xml:space="preserve"> </w:t>
      </w:r>
      <w:r w:rsidR="00E04E3D" w:rsidRPr="008C7977">
        <w:rPr>
          <w:rFonts w:ascii="DIN OT Light" w:hAnsi="DIN OT Light"/>
        </w:rPr>
        <w:t>the loss absorption trigger point var</w:t>
      </w:r>
      <w:r w:rsidR="00746DF3" w:rsidRPr="008C7977">
        <w:rPr>
          <w:rFonts w:ascii="DIN OT Light" w:hAnsi="DIN OT Light"/>
        </w:rPr>
        <w:t>y</w:t>
      </w:r>
      <w:r w:rsidR="00E04E3D" w:rsidRPr="008C7977">
        <w:rPr>
          <w:rFonts w:ascii="DIN OT Light" w:hAnsi="DIN OT Light"/>
        </w:rPr>
        <w:t xml:space="preserve">. While some peer jurisdictions allow their banks to voluntarily set a higher trigger point, others have prescribed a higher trigger point. Either of these </w:t>
      </w:r>
      <w:r w:rsidR="00CE5AD8">
        <w:rPr>
          <w:rFonts w:ascii="DIN OT Light" w:hAnsi="DIN OT Light"/>
        </w:rPr>
        <w:t>options</w:t>
      </w:r>
      <w:r w:rsidR="00CE5AD8" w:rsidRPr="008C7977">
        <w:rPr>
          <w:rFonts w:ascii="DIN OT Light" w:hAnsi="DIN OT Light"/>
        </w:rPr>
        <w:t xml:space="preserve"> </w:t>
      </w:r>
      <w:r w:rsidR="004E6378">
        <w:rPr>
          <w:rFonts w:ascii="DIN OT Light" w:hAnsi="DIN OT Light"/>
        </w:rPr>
        <w:t>could be</w:t>
      </w:r>
      <w:r w:rsidR="004E6378" w:rsidRPr="008C7977">
        <w:rPr>
          <w:rFonts w:ascii="DIN OT Light" w:hAnsi="DIN OT Light"/>
        </w:rPr>
        <w:t xml:space="preserve"> </w:t>
      </w:r>
      <w:r w:rsidR="00E04E3D" w:rsidRPr="008C7977">
        <w:rPr>
          <w:rFonts w:ascii="DIN OT Light" w:hAnsi="DIN OT Light"/>
        </w:rPr>
        <w:t>appropriate under</w:t>
      </w:r>
      <w:r w:rsidR="009644E9" w:rsidRPr="008C7977">
        <w:rPr>
          <w:rFonts w:ascii="DIN OT Light" w:hAnsi="DIN OT Light"/>
        </w:rPr>
        <w:t xml:space="preserve"> Approach 2</w:t>
      </w:r>
      <w:r w:rsidR="00E04E3D" w:rsidRPr="008C7977" w:rsidDel="009644E9">
        <w:rPr>
          <w:rFonts w:ascii="DIN OT Light" w:hAnsi="DIN OT Light"/>
        </w:rPr>
        <w:t xml:space="preserve"> </w:t>
      </w:r>
      <w:r w:rsidR="00E04E3D" w:rsidRPr="008C7977">
        <w:rPr>
          <w:rFonts w:ascii="DIN OT Light" w:hAnsi="DIN OT Light"/>
        </w:rPr>
        <w:t>given any increase in minimum capital ratio requirements would be transparently</w:t>
      </w:r>
      <w:r w:rsidR="00E04E3D">
        <w:rPr>
          <w:rFonts w:ascii="DIN OT Light" w:hAnsi="DIN OT Light"/>
        </w:rPr>
        <w:t xml:space="preserve"> </w:t>
      </w:r>
      <w:r w:rsidR="00E04E3D" w:rsidRPr="008C7977">
        <w:rPr>
          <w:rFonts w:ascii="DIN OT Light" w:hAnsi="DIN OT Light"/>
        </w:rPr>
        <w:t>disclosed</w:t>
      </w:r>
      <w:r w:rsidR="008C7977" w:rsidRPr="008C7977">
        <w:rPr>
          <w:rFonts w:ascii="DIN OT Light" w:hAnsi="DIN OT Light"/>
        </w:rPr>
        <w:t>.</w:t>
      </w:r>
      <w:r w:rsidR="008C7977" w:rsidRPr="008C7977">
        <w:rPr>
          <w:rFonts w:ascii="DIN OT Light" w:hAnsi="DIN OT Light"/>
          <w:lang w:eastAsia="en-AU"/>
        </w:rPr>
        <w:t xml:space="preserve"> </w:t>
      </w:r>
      <w:r w:rsidR="00883EEC">
        <w:rPr>
          <w:rFonts w:ascii="DIN OT Light" w:hAnsi="DIN OT Light"/>
          <w:lang w:eastAsia="en-AU"/>
        </w:rPr>
        <w:t xml:space="preserve">APRA is seeking feedback on the implications of altering the loss absorption trigger point </w:t>
      </w:r>
      <w:r w:rsidR="00451426">
        <w:rPr>
          <w:rFonts w:ascii="DIN OT Light" w:hAnsi="DIN OT Light"/>
          <w:lang w:eastAsia="en-AU"/>
        </w:rPr>
        <w:t>under either option</w:t>
      </w:r>
      <w:r w:rsidR="007E423F">
        <w:rPr>
          <w:rFonts w:ascii="DIN OT Light" w:hAnsi="DIN OT Light"/>
          <w:lang w:eastAsia="en-AU"/>
        </w:rPr>
        <w:t xml:space="preserve">, and on the implications of potentially having multiple trigger points in the market for AT1 </w:t>
      </w:r>
      <w:r w:rsidR="00FC466B">
        <w:rPr>
          <w:rFonts w:ascii="DIN OT Light" w:hAnsi="DIN OT Light"/>
          <w:lang w:eastAsia="en-AU"/>
        </w:rPr>
        <w:t xml:space="preserve">capital </w:t>
      </w:r>
      <w:r w:rsidR="007E423F">
        <w:rPr>
          <w:rFonts w:ascii="DIN OT Light" w:hAnsi="DIN OT Light"/>
          <w:lang w:eastAsia="en-AU"/>
        </w:rPr>
        <w:t>instruments</w:t>
      </w:r>
      <w:r w:rsidR="00451426">
        <w:rPr>
          <w:rFonts w:ascii="DIN OT Light" w:hAnsi="DIN OT Light"/>
          <w:lang w:eastAsia="en-AU"/>
        </w:rPr>
        <w:t>.</w:t>
      </w:r>
    </w:p>
    <w:p w14:paraId="57110AAD" w14:textId="0271660A" w:rsidR="009E3636" w:rsidRDefault="00E4795B" w:rsidP="00C0092A">
      <w:pPr>
        <w:pStyle w:val="APRAHEADING1"/>
      </w:pPr>
      <w:r>
        <w:lastRenderedPageBreak/>
        <w:t xml:space="preserve"> </w:t>
      </w:r>
      <w:bookmarkStart w:id="187" w:name="_Toc521932771"/>
      <w:r>
        <w:t xml:space="preserve">– </w:t>
      </w:r>
      <w:bookmarkStart w:id="188" w:name="_Toc508653014"/>
      <w:bookmarkStart w:id="189" w:name="_Toc510595670"/>
      <w:bookmarkStart w:id="190" w:name="_Toc510689503"/>
      <w:bookmarkStart w:id="191" w:name="_Toc510690481"/>
      <w:bookmarkStart w:id="192" w:name="_Toc514172203"/>
      <w:bookmarkStart w:id="193" w:name="_Toc518658252"/>
      <w:bookmarkStart w:id="194" w:name="_Toc521401224"/>
      <w:bookmarkStart w:id="195" w:name="_Toc521508298"/>
      <w:r w:rsidR="009E3636">
        <w:t>Consultation and next steps</w:t>
      </w:r>
      <w:bookmarkEnd w:id="161"/>
      <w:bookmarkEnd w:id="162"/>
      <w:bookmarkEnd w:id="163"/>
      <w:bookmarkEnd w:id="164"/>
      <w:bookmarkEnd w:id="165"/>
      <w:bookmarkEnd w:id="187"/>
      <w:bookmarkEnd w:id="188"/>
      <w:bookmarkEnd w:id="189"/>
      <w:bookmarkEnd w:id="190"/>
      <w:bookmarkEnd w:id="191"/>
      <w:bookmarkEnd w:id="192"/>
      <w:bookmarkEnd w:id="193"/>
      <w:bookmarkEnd w:id="194"/>
      <w:bookmarkEnd w:id="195"/>
    </w:p>
    <w:p w14:paraId="43D3737A" w14:textId="77777777" w:rsidR="009E3636" w:rsidRDefault="009E3636" w:rsidP="009E3636">
      <w:pPr>
        <w:pStyle w:val="APRAHEADING2"/>
      </w:pPr>
      <w:bookmarkStart w:id="196" w:name="_Toc494189567"/>
      <w:bookmarkStart w:id="197" w:name="_Toc496184495"/>
      <w:bookmarkStart w:id="198" w:name="_Toc497403371"/>
      <w:bookmarkStart w:id="199" w:name="_Toc497409659"/>
      <w:bookmarkStart w:id="200" w:name="_Toc497409771"/>
      <w:bookmarkStart w:id="201" w:name="_Toc497409844"/>
      <w:bookmarkStart w:id="202" w:name="_Toc497473659"/>
      <w:bookmarkStart w:id="203" w:name="_Toc508653015"/>
      <w:bookmarkStart w:id="204" w:name="_Toc510595671"/>
      <w:bookmarkStart w:id="205" w:name="_Toc510689504"/>
      <w:bookmarkStart w:id="206" w:name="_Toc510690482"/>
      <w:bookmarkStart w:id="207" w:name="_Toc514172204"/>
      <w:bookmarkStart w:id="208" w:name="_Toc518658253"/>
      <w:bookmarkStart w:id="209" w:name="_Toc521401225"/>
      <w:bookmarkStart w:id="210" w:name="_Toc521508299"/>
      <w:bookmarkStart w:id="211" w:name="_Toc521932772"/>
      <w:bookmarkStart w:id="212" w:name="_Toc492996516"/>
      <w:bookmarkStart w:id="213" w:name="_Toc493154148"/>
      <w:bookmarkStart w:id="214" w:name="_Toc493154594"/>
      <w:bookmarkStart w:id="215" w:name="_Toc493240098"/>
      <w:bookmarkStart w:id="216" w:name="_Toc493240604"/>
      <w:r>
        <w:t>Request for submissions and cost-benefit analysis information</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t xml:space="preserve"> </w:t>
      </w:r>
    </w:p>
    <w:p w14:paraId="2201E6FD" w14:textId="1B681482" w:rsidR="009E3636" w:rsidRPr="00EB23EA" w:rsidRDefault="009E3636" w:rsidP="001F577E">
      <w:pPr>
        <w:pStyle w:val="APRANORMAL"/>
        <w:tabs>
          <w:tab w:val="left" w:pos="8505"/>
        </w:tabs>
      </w:pPr>
      <w:r w:rsidRPr="00BD34E9">
        <w:t xml:space="preserve">APRA invites written submissions on </w:t>
      </w:r>
      <w:r>
        <w:t>the</w:t>
      </w:r>
      <w:r w:rsidRPr="00BD34E9">
        <w:t xml:space="preserve"> proposals</w:t>
      </w:r>
      <w:r>
        <w:t xml:space="preserve"> set out in this </w:t>
      </w:r>
      <w:r w:rsidR="009B684D">
        <w:t>D</w:t>
      </w:r>
      <w:r>
        <w:t xml:space="preserve">iscussion </w:t>
      </w:r>
      <w:r w:rsidR="009B684D">
        <w:t>P</w:t>
      </w:r>
      <w:r>
        <w:t>aper</w:t>
      </w:r>
      <w:r w:rsidRPr="00BD34E9">
        <w:t xml:space="preserve">. Written submissions should be sent to </w:t>
      </w:r>
      <w:hyperlink r:id="rId20" w:history="1">
        <w:r w:rsidRPr="00BD34E9">
          <w:rPr>
            <w:rStyle w:val="Hyperlink"/>
            <w:rFonts w:ascii="DIN OT Light" w:hAnsi="DIN OT Light"/>
          </w:rPr>
          <w:t>ADIpolicy@apra.gov.au</w:t>
        </w:r>
      </w:hyperlink>
      <w:r w:rsidRPr="00BD34E9">
        <w:t xml:space="preserve"> by </w:t>
      </w:r>
      <w:r w:rsidR="006636A1" w:rsidRPr="008F2A18">
        <w:t>2</w:t>
      </w:r>
      <w:r w:rsidRPr="008F2A18">
        <w:t xml:space="preserve"> </w:t>
      </w:r>
      <w:r w:rsidR="006636A1" w:rsidRPr="008F2A18">
        <w:t>Nov</w:t>
      </w:r>
      <w:r w:rsidR="00FC46F5" w:rsidRPr="008F2A18">
        <w:t>ember</w:t>
      </w:r>
      <w:r w:rsidR="005063F9">
        <w:t xml:space="preserve"> </w:t>
      </w:r>
      <w:r w:rsidRPr="00EB23EA">
        <w:t>201</w:t>
      </w:r>
      <w:r>
        <w:t>8</w:t>
      </w:r>
      <w:r w:rsidRPr="00EB23EA">
        <w:t xml:space="preserve"> and addressed to:</w:t>
      </w:r>
    </w:p>
    <w:p w14:paraId="3E073F51" w14:textId="77777777" w:rsidR="00456846" w:rsidRDefault="009E3636" w:rsidP="009E3636">
      <w:pPr>
        <w:spacing w:after="0"/>
        <w:ind w:left="720"/>
        <w:rPr>
          <w:rFonts w:ascii="DIN OT Light" w:hAnsi="DIN OT Light"/>
        </w:rPr>
      </w:pPr>
      <w:r w:rsidRPr="00EB23EA">
        <w:rPr>
          <w:rFonts w:ascii="DIN OT Light" w:hAnsi="DIN OT Light"/>
        </w:rPr>
        <w:t xml:space="preserve">General Manager </w:t>
      </w:r>
    </w:p>
    <w:p w14:paraId="3714E43D" w14:textId="77777777" w:rsidR="009E3636" w:rsidRPr="00EB23EA" w:rsidRDefault="009E3636" w:rsidP="009E3636">
      <w:pPr>
        <w:spacing w:after="0"/>
        <w:ind w:left="720"/>
        <w:rPr>
          <w:rFonts w:ascii="DIN OT Light" w:hAnsi="DIN OT Light"/>
        </w:rPr>
      </w:pPr>
      <w:r w:rsidRPr="00EB23EA">
        <w:rPr>
          <w:rFonts w:ascii="DIN OT Light" w:hAnsi="DIN OT Light"/>
        </w:rPr>
        <w:t>Policy Development</w:t>
      </w:r>
    </w:p>
    <w:p w14:paraId="3784BB86" w14:textId="77777777" w:rsidR="009E3636" w:rsidRPr="004003C2" w:rsidRDefault="009E3636" w:rsidP="009E3636">
      <w:pPr>
        <w:spacing w:after="0"/>
        <w:ind w:left="720"/>
        <w:rPr>
          <w:rFonts w:ascii="DIN OT Light" w:hAnsi="DIN OT Light"/>
        </w:rPr>
      </w:pPr>
      <w:r w:rsidRPr="004003C2">
        <w:rPr>
          <w:rFonts w:ascii="DIN OT Light" w:hAnsi="DIN OT Light"/>
        </w:rPr>
        <w:t>Policy and Advice Division</w:t>
      </w:r>
    </w:p>
    <w:p w14:paraId="7A1AC277" w14:textId="77777777" w:rsidR="009E3636" w:rsidRPr="00737E43" w:rsidRDefault="009E3636" w:rsidP="009E3636">
      <w:pPr>
        <w:spacing w:after="120" w:line="288" w:lineRule="auto"/>
        <w:ind w:left="720"/>
        <w:rPr>
          <w:rFonts w:ascii="DIN OT Light" w:hAnsi="DIN OT Light"/>
        </w:rPr>
      </w:pPr>
      <w:r w:rsidRPr="00737E43">
        <w:rPr>
          <w:rFonts w:ascii="DIN OT Light" w:hAnsi="DIN OT Light"/>
        </w:rPr>
        <w:t>Australian Prudential Regulation Authority</w:t>
      </w:r>
    </w:p>
    <w:p w14:paraId="6FA357AC" w14:textId="77777777" w:rsidR="009E3636" w:rsidRPr="00BD34E9" w:rsidRDefault="009E3636" w:rsidP="00901AC5">
      <w:pPr>
        <w:pStyle w:val="APRAHEADING3-NONUMBER"/>
      </w:pPr>
      <w:bookmarkStart w:id="217" w:name="_Toc494189568"/>
      <w:bookmarkStart w:id="218" w:name="_Toc496184496"/>
      <w:r w:rsidRPr="00BD34E9">
        <w:t>Important disclosure notice – publication of submissions</w:t>
      </w:r>
      <w:bookmarkEnd w:id="217"/>
      <w:bookmarkEnd w:id="218"/>
    </w:p>
    <w:p w14:paraId="686758D8" w14:textId="77777777" w:rsidR="009E3636" w:rsidRPr="00BD34E9" w:rsidRDefault="009E3636" w:rsidP="009E3636">
      <w:pPr>
        <w:pStyle w:val="APRANORMAL"/>
      </w:pPr>
      <w:r w:rsidRPr="00BD34E9">
        <w:t>All information in submissions will be made available to the public on the APRA website unless a respondent expressly requests that all or part of the submiss</w:t>
      </w:r>
      <w:r w:rsidR="00451426">
        <w:t>ion is to remain in confidence.</w:t>
      </w:r>
    </w:p>
    <w:p w14:paraId="5FC83DF1" w14:textId="77777777" w:rsidR="009E3636" w:rsidRPr="00BD34E9" w:rsidRDefault="009E3636" w:rsidP="009E3636">
      <w:pPr>
        <w:pStyle w:val="APRANORMAL"/>
      </w:pPr>
      <w:r w:rsidRPr="00BD34E9">
        <w:t>Automatically generated confidentiality statements in emails d</w:t>
      </w:r>
      <w:r w:rsidR="00451426">
        <w:t>o not suffice for this purpose.</w:t>
      </w:r>
    </w:p>
    <w:p w14:paraId="1FFD40D6" w14:textId="77777777" w:rsidR="009E3636" w:rsidRPr="00BD34E9" w:rsidRDefault="009E3636" w:rsidP="009E3636">
      <w:pPr>
        <w:pStyle w:val="APRANORMAL"/>
      </w:pPr>
      <w:r w:rsidRPr="00BD34E9">
        <w:t>Respondents who would like part of their submission to remain in confidence should provide this information marked as confidential in a separate attachment.</w:t>
      </w:r>
    </w:p>
    <w:p w14:paraId="51AD1600" w14:textId="77777777" w:rsidR="009E3636" w:rsidRPr="00BD34E9" w:rsidRDefault="009E3636" w:rsidP="009E3636">
      <w:pPr>
        <w:pStyle w:val="APRANORMAL"/>
      </w:pPr>
      <w:r w:rsidRPr="00BD34E9">
        <w:t xml:space="preserve">Submissions may be the subject of a request for access made under the </w:t>
      </w:r>
      <w:r w:rsidRPr="00BD34E9">
        <w:rPr>
          <w:i/>
        </w:rPr>
        <w:t>Freedom of Information Act 1982</w:t>
      </w:r>
      <w:r w:rsidR="00451426">
        <w:t xml:space="preserve"> (FOIA).</w:t>
      </w:r>
    </w:p>
    <w:p w14:paraId="7831EA0B" w14:textId="77777777" w:rsidR="009E3636" w:rsidRPr="000F4536" w:rsidRDefault="009E3636" w:rsidP="009E3636">
      <w:pPr>
        <w:pStyle w:val="APRANORMAL"/>
      </w:pPr>
      <w:r w:rsidRPr="00BD34E9">
        <w:t xml:space="preserve">APRA will determine such requests, if any, in accordance with the provisions of the FOIA. Information in the submission about any APRA-regulated entity that is not in the public domain and that is identified as confidential will be protected by section 56 of the </w:t>
      </w:r>
      <w:r w:rsidRPr="00BD34E9">
        <w:rPr>
          <w:i/>
        </w:rPr>
        <w:t>Australian Prudential Regulation Authority Act 1998</w:t>
      </w:r>
      <w:r w:rsidRPr="00BD34E9">
        <w:t xml:space="preserve"> and will therefore be exempt from production under the FOIA.</w:t>
      </w:r>
    </w:p>
    <w:p w14:paraId="2DECA55A" w14:textId="77777777" w:rsidR="00E3706A" w:rsidRDefault="00E3706A" w:rsidP="00400F43">
      <w:pPr>
        <w:pStyle w:val="APRAHEADING3-NONUMBER"/>
      </w:pPr>
      <w:r>
        <w:t>Request for cost-benefit analysis information</w:t>
      </w:r>
    </w:p>
    <w:p w14:paraId="6A904330" w14:textId="77777777" w:rsidR="009E3636" w:rsidRDefault="009E3636" w:rsidP="009E3636">
      <w:pPr>
        <w:pStyle w:val="APRANORMAL"/>
      </w:pPr>
      <w:r w:rsidRPr="00E31FB4">
        <w:t>APRA asks that all stakeholders use this consultation opportunity to provide information on the c</w:t>
      </w:r>
      <w:r>
        <w:t>ompliance impact of the proposals</w:t>
      </w:r>
      <w:r w:rsidRPr="00E31FB4">
        <w:t xml:space="preserve">, and any other substantive costs associated with the changes. Compliance costs are defined as direct costs to businesses of performing activities associated with complying with government </w:t>
      </w:r>
      <w:r w:rsidRPr="00E31FB4">
        <w:lastRenderedPageBreak/>
        <w:t>regulation. Specifically, information is sought on any changes to compliance costs incurred by businesses as a r</w:t>
      </w:r>
      <w:r w:rsidR="00451426">
        <w:t>esult of APRA’s proposals.</w:t>
      </w:r>
    </w:p>
    <w:p w14:paraId="3B6E6BF1" w14:textId="77777777" w:rsidR="009E3636" w:rsidRPr="00E31FB4" w:rsidRDefault="009E3636" w:rsidP="009E3636">
      <w:pPr>
        <w:pStyle w:val="APRANORMAL"/>
      </w:pPr>
      <w:r w:rsidRPr="00E31FB4">
        <w:t xml:space="preserve">Consistent with the Government’s approach, APRA will use the methodology behind the Regulatory Burden Measurement </w:t>
      </w:r>
      <w:r>
        <w:t>t</w:t>
      </w:r>
      <w:r w:rsidRPr="00E31FB4">
        <w:t xml:space="preserve">ool to assess compliance costs. This tool is designed to capture the relevant costs in a structured way, including a separate assessment of upfront costs and ongoing costs. It is available at </w:t>
      </w:r>
      <w:hyperlink r:id="rId21" w:history="1">
        <w:r w:rsidRPr="004C3B29">
          <w:rPr>
            <w:rStyle w:val="Hyperlink"/>
            <w:rFonts w:ascii="DIN OT Light" w:hAnsi="DIN OT Light"/>
          </w:rPr>
          <w:t>https://rbm.obpr.gov.au/</w:t>
        </w:r>
      </w:hyperlink>
      <w:r w:rsidR="00451426">
        <w:t>.</w:t>
      </w:r>
    </w:p>
    <w:p w14:paraId="162FDEC9" w14:textId="77777777" w:rsidR="009E3636" w:rsidRPr="00E31FB4" w:rsidRDefault="009E3636" w:rsidP="009E3636">
      <w:pPr>
        <w:pStyle w:val="APRANORMAL"/>
        <w:rPr>
          <w:lang w:val="en-AU"/>
        </w:rPr>
      </w:pPr>
      <w:r w:rsidRPr="00E31FB4">
        <w:rPr>
          <w:lang w:val="en-AU"/>
        </w:rPr>
        <w:t>APRA requests that respondents use this methodology to estimate costs to ensure the data supplied to APRA can be aggregated and used in an industry-wide assessment. When submitting their costs assessment to APRA, respondents should include any assumptions made and, where relevant, any limitations inherent in their assessment. Feedback should address the additional costs incurred as a result of complying with APRA’s requirements, not activities that institutions would undertake due to foreign regulatory requirements or in their ordinary course of business.</w:t>
      </w:r>
      <w:r w:rsidR="00614AFB">
        <w:rPr>
          <w:lang w:val="en-AU"/>
        </w:rPr>
        <w:t xml:space="preserve"> Attachment A sets out APRA’s preliminary analysis of the co</w:t>
      </w:r>
      <w:r w:rsidR="00451426">
        <w:rPr>
          <w:lang w:val="en-AU"/>
        </w:rPr>
        <w:t>st and benefits of each option.</w:t>
      </w:r>
    </w:p>
    <w:p w14:paraId="45827D84" w14:textId="77777777" w:rsidR="00837273" w:rsidRDefault="00837273" w:rsidP="009E3636">
      <w:pPr>
        <w:pStyle w:val="APRAHEADING2"/>
      </w:pPr>
      <w:bookmarkStart w:id="219" w:name="_Toc497403372"/>
      <w:bookmarkStart w:id="220" w:name="_Toc497409660"/>
      <w:bookmarkStart w:id="221" w:name="_Toc497409772"/>
      <w:bookmarkStart w:id="222" w:name="_Toc497409845"/>
      <w:bookmarkStart w:id="223" w:name="_Toc497473660"/>
      <w:bookmarkStart w:id="224" w:name="_Toc508653016"/>
      <w:bookmarkStart w:id="225" w:name="_Toc510595672"/>
      <w:bookmarkStart w:id="226" w:name="_Toc510689505"/>
      <w:bookmarkStart w:id="227" w:name="_Toc510690483"/>
      <w:bookmarkStart w:id="228" w:name="_Toc514172205"/>
      <w:bookmarkStart w:id="229" w:name="_Toc518658254"/>
      <w:bookmarkStart w:id="230" w:name="_Toc521401226"/>
      <w:bookmarkStart w:id="231" w:name="_Toc521508300"/>
      <w:bookmarkStart w:id="232" w:name="_Toc521932773"/>
      <w:bookmarkStart w:id="233" w:name="_Toc494189569"/>
      <w:bookmarkStart w:id="234" w:name="_Toc496184497"/>
      <w:r>
        <w:t>Consultation questions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A160925" w14:textId="28A3550B" w:rsidR="00837273" w:rsidRDefault="00B14F74" w:rsidP="00837273">
      <w:pPr>
        <w:pStyle w:val="APRANORMAL"/>
        <w:rPr>
          <w:rFonts w:eastAsia="Calibri"/>
        </w:rPr>
      </w:pPr>
      <w:r>
        <w:rPr>
          <w:rFonts w:eastAsia="Calibri"/>
        </w:rPr>
        <w:t xml:space="preserve">To assist interested stakeholders in providing feedback on the proposals outlined in this </w:t>
      </w:r>
      <w:r w:rsidR="009B684D">
        <w:rPr>
          <w:rFonts w:eastAsia="Calibri"/>
        </w:rPr>
        <w:t>D</w:t>
      </w:r>
      <w:r w:rsidR="00D95E79">
        <w:rPr>
          <w:rFonts w:eastAsia="Calibri"/>
        </w:rPr>
        <w:t xml:space="preserve">iscussion </w:t>
      </w:r>
      <w:r w:rsidR="009B684D">
        <w:rPr>
          <w:rFonts w:eastAsia="Calibri"/>
        </w:rPr>
        <w:t>P</w:t>
      </w:r>
      <w:r w:rsidR="00D95E79">
        <w:rPr>
          <w:rFonts w:eastAsia="Calibri"/>
        </w:rPr>
        <w:t>aper</w:t>
      </w:r>
      <w:r>
        <w:rPr>
          <w:rFonts w:eastAsia="Calibri"/>
        </w:rPr>
        <w:t>, APRA offers the following considerations to guide, but not limit, responses: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68"/>
        <w:gridCol w:w="6746"/>
      </w:tblGrid>
      <w:tr w:rsidR="00D040A5" w:rsidRPr="001F2225" w14:paraId="66DBB01E" w14:textId="77777777" w:rsidTr="00EB4F95">
        <w:trPr>
          <w:trHeight w:val="851"/>
        </w:trPr>
        <w:tc>
          <w:tcPr>
            <w:tcW w:w="2268" w:type="dxa"/>
            <w:shd w:val="clear" w:color="auto" w:fill="002060"/>
          </w:tcPr>
          <w:p w14:paraId="7A69A243" w14:textId="77777777" w:rsidR="00D040A5" w:rsidRPr="00D040A5" w:rsidRDefault="00D040A5"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4182CBAB" w14:textId="77777777" w:rsidR="00516E8B" w:rsidRDefault="00FB1330" w:rsidP="00516E8B">
            <w:pPr>
              <w:pStyle w:val="APRANUMBERBULLET"/>
              <w:numPr>
                <w:ilvl w:val="0"/>
                <w:numId w:val="0"/>
              </w:numPr>
              <w:spacing w:before="80" w:after="120"/>
              <w:rPr>
                <w:rFonts w:cs="Arial"/>
                <w:sz w:val="20"/>
                <w:szCs w:val="20"/>
              </w:rPr>
            </w:pPr>
            <w:r>
              <w:rPr>
                <w:rFonts w:cs="Arial"/>
                <w:sz w:val="20"/>
                <w:szCs w:val="20"/>
              </w:rPr>
              <w:t>What are the advantages and disadvantages of each approach</w:t>
            </w:r>
            <w:r w:rsidR="001B724C">
              <w:rPr>
                <w:rFonts w:cs="Arial"/>
                <w:sz w:val="20"/>
                <w:szCs w:val="20"/>
              </w:rPr>
              <w:t xml:space="preserve"> (refer </w:t>
            </w:r>
            <w:r w:rsidR="00B73446">
              <w:rPr>
                <w:rFonts w:cs="Arial"/>
                <w:sz w:val="20"/>
                <w:szCs w:val="20"/>
              </w:rPr>
              <w:t>to Chapter 2</w:t>
            </w:r>
            <w:r w:rsidR="001B724C">
              <w:rPr>
                <w:rFonts w:cs="Arial"/>
                <w:sz w:val="20"/>
                <w:szCs w:val="20"/>
              </w:rPr>
              <w:t>)</w:t>
            </w:r>
            <w:r w:rsidR="00516E8B">
              <w:rPr>
                <w:rFonts w:cs="Arial"/>
                <w:sz w:val="20"/>
                <w:szCs w:val="20"/>
              </w:rPr>
              <w:t>:</w:t>
            </w:r>
          </w:p>
          <w:p w14:paraId="51CC252E" w14:textId="77777777" w:rsidR="00516E8B" w:rsidRPr="00EB4F95" w:rsidRDefault="008B7B4C" w:rsidP="00EB4F95">
            <w:pPr>
              <w:pStyle w:val="APRABULLET"/>
              <w:rPr>
                <w:sz w:val="20"/>
                <w:szCs w:val="20"/>
              </w:rPr>
            </w:pPr>
            <w:r>
              <w:rPr>
                <w:sz w:val="20"/>
                <w:szCs w:val="20"/>
              </w:rPr>
              <w:t>Approach</w:t>
            </w:r>
            <w:r w:rsidRPr="00EB4F95">
              <w:rPr>
                <w:sz w:val="20"/>
                <w:szCs w:val="20"/>
              </w:rPr>
              <w:t xml:space="preserve"> </w:t>
            </w:r>
            <w:r w:rsidR="00516E8B" w:rsidRPr="00EB4F95">
              <w:rPr>
                <w:sz w:val="20"/>
                <w:szCs w:val="20"/>
              </w:rPr>
              <w:t>1 (</w:t>
            </w:r>
            <w:r w:rsidR="00122888">
              <w:rPr>
                <w:sz w:val="20"/>
                <w:szCs w:val="20"/>
              </w:rPr>
              <w:t>consistent</w:t>
            </w:r>
            <w:r w:rsidR="00516E8B" w:rsidRPr="00EB4F95">
              <w:rPr>
                <w:sz w:val="20"/>
                <w:szCs w:val="20"/>
              </w:rPr>
              <w:t xml:space="preserve"> disclosure</w:t>
            </w:r>
            <w:r w:rsidR="00122888">
              <w:rPr>
                <w:sz w:val="20"/>
                <w:szCs w:val="20"/>
              </w:rPr>
              <w:t>s</w:t>
            </w:r>
            <w:r w:rsidR="00516E8B" w:rsidRPr="00EB4F95">
              <w:rPr>
                <w:sz w:val="20"/>
                <w:szCs w:val="20"/>
              </w:rPr>
              <w:t>)</w:t>
            </w:r>
            <w:r w:rsidR="0003486F" w:rsidRPr="00EB4F95">
              <w:rPr>
                <w:sz w:val="20"/>
                <w:szCs w:val="20"/>
              </w:rPr>
              <w:t>;</w:t>
            </w:r>
          </w:p>
          <w:p w14:paraId="1FBB292F" w14:textId="77777777" w:rsidR="00516E8B" w:rsidRPr="00EB4F95" w:rsidRDefault="008B7B4C" w:rsidP="00EB4F95">
            <w:pPr>
              <w:pStyle w:val="APRABULLET"/>
              <w:rPr>
                <w:sz w:val="20"/>
                <w:szCs w:val="20"/>
              </w:rPr>
            </w:pPr>
            <w:r>
              <w:rPr>
                <w:sz w:val="20"/>
                <w:szCs w:val="20"/>
              </w:rPr>
              <w:t>Approach</w:t>
            </w:r>
            <w:r w:rsidRPr="00EB4F95">
              <w:rPr>
                <w:sz w:val="20"/>
                <w:szCs w:val="20"/>
              </w:rPr>
              <w:t xml:space="preserve"> </w:t>
            </w:r>
            <w:r w:rsidR="00516E8B" w:rsidRPr="00EB4F95">
              <w:rPr>
                <w:sz w:val="20"/>
                <w:szCs w:val="20"/>
              </w:rPr>
              <w:t>2 (</w:t>
            </w:r>
            <w:r w:rsidR="00122888">
              <w:rPr>
                <w:sz w:val="20"/>
                <w:szCs w:val="20"/>
              </w:rPr>
              <w:t>capital</w:t>
            </w:r>
            <w:r w:rsidR="00516E8B" w:rsidRPr="00EB4F95">
              <w:rPr>
                <w:sz w:val="20"/>
                <w:szCs w:val="20"/>
              </w:rPr>
              <w:t xml:space="preserve"> ratio </w:t>
            </w:r>
            <w:r w:rsidR="00122888">
              <w:rPr>
                <w:sz w:val="20"/>
                <w:szCs w:val="20"/>
              </w:rPr>
              <w:t>adjustments</w:t>
            </w:r>
            <w:r w:rsidR="00516E8B" w:rsidRPr="00EB4F95">
              <w:rPr>
                <w:sz w:val="20"/>
                <w:szCs w:val="20"/>
              </w:rPr>
              <w:t>)</w:t>
            </w:r>
            <w:r w:rsidR="0003486F" w:rsidRPr="00EB4F95">
              <w:rPr>
                <w:sz w:val="20"/>
                <w:szCs w:val="20"/>
              </w:rPr>
              <w:t>;</w:t>
            </w:r>
          </w:p>
          <w:p w14:paraId="6A27B0E3" w14:textId="77777777" w:rsidR="00516E8B" w:rsidRPr="00EB4F95" w:rsidRDefault="00516E8B" w:rsidP="00EB4F95">
            <w:pPr>
              <w:pStyle w:val="APRABULLET"/>
              <w:rPr>
                <w:sz w:val="20"/>
                <w:szCs w:val="20"/>
              </w:rPr>
            </w:pPr>
            <w:r w:rsidRPr="00EB4F95">
              <w:rPr>
                <w:sz w:val="20"/>
                <w:szCs w:val="20"/>
              </w:rPr>
              <w:t xml:space="preserve">A combination of </w:t>
            </w:r>
            <w:r w:rsidR="008B7B4C">
              <w:rPr>
                <w:sz w:val="20"/>
                <w:szCs w:val="20"/>
              </w:rPr>
              <w:t>Approach</w:t>
            </w:r>
            <w:r w:rsidRPr="00EB4F95">
              <w:rPr>
                <w:sz w:val="20"/>
                <w:szCs w:val="20"/>
              </w:rPr>
              <w:t xml:space="preserve"> 1 and </w:t>
            </w:r>
            <w:r w:rsidR="008B7B4C">
              <w:rPr>
                <w:sz w:val="20"/>
                <w:szCs w:val="20"/>
              </w:rPr>
              <w:t>Approach</w:t>
            </w:r>
            <w:r w:rsidRPr="00EB4F95">
              <w:rPr>
                <w:sz w:val="20"/>
                <w:szCs w:val="20"/>
              </w:rPr>
              <w:t xml:space="preserve"> 2</w:t>
            </w:r>
            <w:r w:rsidR="0003486F" w:rsidRPr="00EB4F95">
              <w:rPr>
                <w:sz w:val="20"/>
                <w:szCs w:val="20"/>
              </w:rPr>
              <w:t>,</w:t>
            </w:r>
            <w:r w:rsidRPr="00EB4F95">
              <w:rPr>
                <w:sz w:val="20"/>
                <w:szCs w:val="20"/>
              </w:rPr>
              <w:t xml:space="preserve"> applying to different aspects of</w:t>
            </w:r>
            <w:r w:rsidR="007D70B9">
              <w:rPr>
                <w:sz w:val="20"/>
                <w:szCs w:val="20"/>
              </w:rPr>
              <w:t xml:space="preserve"> material</w:t>
            </w:r>
            <w:r w:rsidRPr="00EB4F95">
              <w:rPr>
                <w:sz w:val="20"/>
                <w:szCs w:val="20"/>
              </w:rPr>
              <w:t xml:space="preserve"> relative conservatism</w:t>
            </w:r>
            <w:r w:rsidR="0003486F" w:rsidRPr="00EB4F95">
              <w:rPr>
                <w:sz w:val="20"/>
                <w:szCs w:val="20"/>
              </w:rPr>
              <w:t>; or</w:t>
            </w:r>
          </w:p>
          <w:p w14:paraId="0FB9D2E1" w14:textId="77777777" w:rsidR="00D040A5" w:rsidRPr="00D040A5" w:rsidRDefault="0003486F" w:rsidP="00EB4F95">
            <w:pPr>
              <w:pStyle w:val="APRABULLET"/>
            </w:pPr>
            <w:r w:rsidRPr="00EB4F95">
              <w:rPr>
                <w:sz w:val="20"/>
                <w:szCs w:val="20"/>
              </w:rPr>
              <w:t>Status</w:t>
            </w:r>
            <w:r w:rsidR="00516E8B" w:rsidRPr="00EB4F95">
              <w:rPr>
                <w:sz w:val="20"/>
                <w:szCs w:val="20"/>
              </w:rPr>
              <w:t xml:space="preserve"> quo – retain the exi</w:t>
            </w:r>
            <w:r w:rsidR="00B468D3">
              <w:rPr>
                <w:sz w:val="20"/>
                <w:szCs w:val="20"/>
              </w:rPr>
              <w:t>s</w:t>
            </w:r>
            <w:r w:rsidR="00516E8B" w:rsidRPr="00EB4F95">
              <w:rPr>
                <w:sz w:val="20"/>
                <w:szCs w:val="20"/>
              </w:rPr>
              <w:t xml:space="preserve">ting </w:t>
            </w:r>
            <w:r w:rsidR="008B7B4C">
              <w:rPr>
                <w:sz w:val="20"/>
                <w:szCs w:val="20"/>
              </w:rPr>
              <w:t>approach</w:t>
            </w:r>
            <w:r w:rsidRPr="00EB4F95">
              <w:rPr>
                <w:sz w:val="20"/>
                <w:szCs w:val="20"/>
              </w:rPr>
              <w:t>?</w:t>
            </w:r>
            <w:r w:rsidR="00EA6447">
              <w:t xml:space="preserve"> </w:t>
            </w:r>
          </w:p>
        </w:tc>
      </w:tr>
      <w:tr w:rsidR="00931428" w:rsidRPr="001F2225" w14:paraId="0E1A6FE4" w14:textId="77777777" w:rsidTr="00EB4F95">
        <w:trPr>
          <w:trHeight w:val="851"/>
        </w:trPr>
        <w:tc>
          <w:tcPr>
            <w:tcW w:w="2268" w:type="dxa"/>
            <w:shd w:val="clear" w:color="auto" w:fill="002060"/>
          </w:tcPr>
          <w:p w14:paraId="15005973" w14:textId="77777777" w:rsidR="00931428" w:rsidRPr="00D040A5" w:rsidRDefault="00931428"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49744F7E" w14:textId="77777777" w:rsidR="00931428" w:rsidRDefault="00931428" w:rsidP="00931428">
            <w:pPr>
              <w:pStyle w:val="APRABULLET"/>
              <w:numPr>
                <w:ilvl w:val="0"/>
                <w:numId w:val="0"/>
              </w:numPr>
              <w:spacing w:before="80"/>
              <w:rPr>
                <w:rFonts w:cs="Arial"/>
                <w:sz w:val="20"/>
                <w:szCs w:val="20"/>
              </w:rPr>
            </w:pPr>
            <w:r>
              <w:rPr>
                <w:rFonts w:cs="Arial"/>
                <w:sz w:val="20"/>
                <w:szCs w:val="20"/>
              </w:rPr>
              <w:t xml:space="preserve">If APRA </w:t>
            </w:r>
            <w:r w:rsidR="00FB1330">
              <w:rPr>
                <w:rFonts w:cs="Arial"/>
                <w:sz w:val="20"/>
                <w:szCs w:val="20"/>
              </w:rPr>
              <w:t xml:space="preserve">were </w:t>
            </w:r>
            <w:r>
              <w:rPr>
                <w:rFonts w:cs="Arial"/>
                <w:sz w:val="20"/>
                <w:szCs w:val="20"/>
              </w:rPr>
              <w:t>to apply a</w:t>
            </w:r>
            <w:r w:rsidRPr="00931428">
              <w:rPr>
                <w:rFonts w:cs="Arial"/>
                <w:sz w:val="20"/>
                <w:szCs w:val="20"/>
              </w:rPr>
              <w:t xml:space="preserve"> combination of Approach 1 and Approach 2, </w:t>
            </w:r>
            <w:r>
              <w:rPr>
                <w:rFonts w:cs="Arial"/>
                <w:sz w:val="20"/>
                <w:szCs w:val="20"/>
              </w:rPr>
              <w:t xml:space="preserve">which aspects of </w:t>
            </w:r>
            <w:r w:rsidRPr="00931428">
              <w:rPr>
                <w:rFonts w:cs="Arial"/>
                <w:sz w:val="20"/>
                <w:szCs w:val="20"/>
              </w:rPr>
              <w:t>relative conservatism</w:t>
            </w:r>
            <w:r>
              <w:rPr>
                <w:rFonts w:cs="Arial"/>
                <w:sz w:val="20"/>
                <w:szCs w:val="20"/>
              </w:rPr>
              <w:t xml:space="preserve"> </w:t>
            </w:r>
            <w:r w:rsidR="00FB1330">
              <w:rPr>
                <w:rFonts w:cs="Arial"/>
                <w:sz w:val="20"/>
                <w:szCs w:val="20"/>
              </w:rPr>
              <w:t xml:space="preserve">are best suited to be treated under </w:t>
            </w:r>
            <w:r>
              <w:rPr>
                <w:rFonts w:cs="Arial"/>
                <w:sz w:val="20"/>
                <w:szCs w:val="20"/>
              </w:rPr>
              <w:t>Approach 2?</w:t>
            </w:r>
          </w:p>
        </w:tc>
      </w:tr>
      <w:tr w:rsidR="0003486F" w:rsidRPr="001F2225" w14:paraId="0294601E" w14:textId="77777777" w:rsidTr="00EB4F95">
        <w:trPr>
          <w:trHeight w:val="851"/>
        </w:trPr>
        <w:tc>
          <w:tcPr>
            <w:tcW w:w="2268" w:type="dxa"/>
            <w:shd w:val="clear" w:color="auto" w:fill="002060"/>
          </w:tcPr>
          <w:p w14:paraId="27432C83" w14:textId="77777777" w:rsidR="0003486F" w:rsidRPr="00D040A5" w:rsidRDefault="0003486F"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570F5749" w14:textId="77777777" w:rsidR="0003486F" w:rsidRPr="00D040A5" w:rsidRDefault="0003486F" w:rsidP="00304C22">
            <w:pPr>
              <w:pStyle w:val="APRABULLET"/>
              <w:numPr>
                <w:ilvl w:val="0"/>
                <w:numId w:val="0"/>
              </w:numPr>
              <w:spacing w:before="80"/>
              <w:rPr>
                <w:sz w:val="20"/>
                <w:szCs w:val="20"/>
              </w:rPr>
            </w:pPr>
            <w:r>
              <w:rPr>
                <w:rFonts w:cs="Arial"/>
                <w:sz w:val="20"/>
                <w:szCs w:val="20"/>
              </w:rPr>
              <w:t xml:space="preserve">Are there alternative </w:t>
            </w:r>
            <w:r w:rsidR="008B7B4C">
              <w:rPr>
                <w:rFonts w:cs="Arial"/>
                <w:sz w:val="20"/>
                <w:szCs w:val="20"/>
              </w:rPr>
              <w:t>approach</w:t>
            </w:r>
            <w:r w:rsidR="00931428">
              <w:rPr>
                <w:rFonts w:cs="Arial"/>
                <w:sz w:val="20"/>
                <w:szCs w:val="20"/>
              </w:rPr>
              <w:t>e</w:t>
            </w:r>
            <w:r w:rsidR="009D47DE">
              <w:rPr>
                <w:rFonts w:cs="Arial"/>
                <w:sz w:val="20"/>
                <w:szCs w:val="20"/>
              </w:rPr>
              <w:t>s</w:t>
            </w:r>
            <w:r>
              <w:rPr>
                <w:rFonts w:cs="Arial"/>
                <w:sz w:val="20"/>
                <w:szCs w:val="20"/>
              </w:rPr>
              <w:t xml:space="preserve"> </w:t>
            </w:r>
            <w:r w:rsidR="00B73446">
              <w:rPr>
                <w:rFonts w:cs="Arial"/>
                <w:sz w:val="20"/>
                <w:szCs w:val="20"/>
              </w:rPr>
              <w:t xml:space="preserve">to those </w:t>
            </w:r>
            <w:r>
              <w:rPr>
                <w:rFonts w:cs="Arial"/>
                <w:sz w:val="20"/>
                <w:szCs w:val="20"/>
              </w:rPr>
              <w:t xml:space="preserve">outlined in </w:t>
            </w:r>
            <w:r w:rsidR="00B73446">
              <w:rPr>
                <w:rFonts w:cs="Arial"/>
                <w:sz w:val="20"/>
                <w:szCs w:val="20"/>
              </w:rPr>
              <w:t>Chapter 2</w:t>
            </w:r>
            <w:r w:rsidR="00304C22">
              <w:rPr>
                <w:rFonts w:cs="Arial"/>
                <w:sz w:val="20"/>
                <w:szCs w:val="20"/>
              </w:rPr>
              <w:t xml:space="preserve"> </w:t>
            </w:r>
            <w:r w:rsidR="00FB1330">
              <w:rPr>
                <w:rFonts w:cs="Arial"/>
                <w:sz w:val="20"/>
                <w:szCs w:val="20"/>
              </w:rPr>
              <w:t>that APRA should consider</w:t>
            </w:r>
            <w:r>
              <w:rPr>
                <w:rFonts w:cs="Arial"/>
                <w:sz w:val="20"/>
                <w:szCs w:val="20"/>
              </w:rPr>
              <w:t>?</w:t>
            </w:r>
          </w:p>
        </w:tc>
      </w:tr>
      <w:tr w:rsidR="00126DAA" w:rsidRPr="001F2225" w14:paraId="46393F35" w14:textId="77777777" w:rsidTr="00EB4F95">
        <w:trPr>
          <w:trHeight w:val="851"/>
        </w:trPr>
        <w:tc>
          <w:tcPr>
            <w:tcW w:w="2268" w:type="dxa"/>
            <w:shd w:val="clear" w:color="auto" w:fill="002060"/>
          </w:tcPr>
          <w:p w14:paraId="11381526" w14:textId="77777777" w:rsidR="00126DAA" w:rsidRPr="00D040A5" w:rsidRDefault="00126DAA"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2F9019C4" w14:textId="77777777" w:rsidR="00126DAA" w:rsidRDefault="00523423" w:rsidP="009A2514">
            <w:pPr>
              <w:pStyle w:val="APRABULLET"/>
              <w:numPr>
                <w:ilvl w:val="0"/>
                <w:numId w:val="0"/>
              </w:numPr>
              <w:spacing w:before="80"/>
              <w:rPr>
                <w:rFonts w:cs="Arial"/>
                <w:sz w:val="20"/>
                <w:szCs w:val="20"/>
              </w:rPr>
            </w:pPr>
            <w:r>
              <w:rPr>
                <w:rFonts w:cs="Arial"/>
                <w:sz w:val="20"/>
                <w:szCs w:val="20"/>
              </w:rPr>
              <w:t xml:space="preserve">What are the material considerations </w:t>
            </w:r>
            <w:r w:rsidR="00126DAA">
              <w:rPr>
                <w:rFonts w:cs="Arial"/>
                <w:sz w:val="20"/>
                <w:szCs w:val="20"/>
              </w:rPr>
              <w:t xml:space="preserve">in regards to the </w:t>
            </w:r>
            <w:r>
              <w:rPr>
                <w:rFonts w:cs="Arial"/>
                <w:sz w:val="20"/>
                <w:szCs w:val="20"/>
              </w:rPr>
              <w:t xml:space="preserve">disclosure of adjustments to capital ratio requirements under Approach 2? Should </w:t>
            </w:r>
            <w:r w:rsidR="00126DAA">
              <w:rPr>
                <w:rFonts w:cs="Arial"/>
                <w:sz w:val="20"/>
                <w:szCs w:val="20"/>
              </w:rPr>
              <w:t xml:space="preserve">the level of disclosure of the adjustments </w:t>
            </w:r>
            <w:r>
              <w:rPr>
                <w:rFonts w:cs="Arial"/>
                <w:sz w:val="20"/>
                <w:szCs w:val="20"/>
              </w:rPr>
              <w:t>be</w:t>
            </w:r>
            <w:r w:rsidR="00126DAA">
              <w:rPr>
                <w:rFonts w:cs="Arial"/>
                <w:sz w:val="20"/>
                <w:szCs w:val="20"/>
              </w:rPr>
              <w:t xml:space="preserve"> in aggregate </w:t>
            </w:r>
            <w:r w:rsidR="00AF5D97">
              <w:rPr>
                <w:rFonts w:cs="Arial"/>
                <w:sz w:val="20"/>
                <w:szCs w:val="20"/>
              </w:rPr>
              <w:t xml:space="preserve">only </w:t>
            </w:r>
            <w:r w:rsidR="00126DAA">
              <w:rPr>
                <w:rFonts w:cs="Arial"/>
                <w:sz w:val="20"/>
                <w:szCs w:val="20"/>
              </w:rPr>
              <w:t xml:space="preserve">or </w:t>
            </w:r>
            <w:r w:rsidR="00AF5D97">
              <w:rPr>
                <w:rFonts w:cs="Arial"/>
                <w:sz w:val="20"/>
                <w:szCs w:val="20"/>
              </w:rPr>
              <w:t xml:space="preserve">also </w:t>
            </w:r>
            <w:r>
              <w:rPr>
                <w:rFonts w:cs="Arial"/>
                <w:sz w:val="20"/>
                <w:szCs w:val="20"/>
              </w:rPr>
              <w:t xml:space="preserve">attributed </w:t>
            </w:r>
            <w:r w:rsidR="00AF5D97">
              <w:rPr>
                <w:rFonts w:cs="Arial"/>
                <w:sz w:val="20"/>
                <w:szCs w:val="20"/>
              </w:rPr>
              <w:t xml:space="preserve">to </w:t>
            </w:r>
            <w:r w:rsidR="00126DAA">
              <w:rPr>
                <w:rFonts w:cs="Arial"/>
                <w:sz w:val="20"/>
                <w:szCs w:val="20"/>
              </w:rPr>
              <w:t xml:space="preserve">aspects of relative conservatism? </w:t>
            </w:r>
          </w:p>
        </w:tc>
      </w:tr>
      <w:tr w:rsidR="009D47DE" w:rsidRPr="001F2225" w14:paraId="444F51AB" w14:textId="77777777" w:rsidTr="00EB4F95">
        <w:trPr>
          <w:trHeight w:val="851"/>
        </w:trPr>
        <w:tc>
          <w:tcPr>
            <w:tcW w:w="2268" w:type="dxa"/>
            <w:shd w:val="clear" w:color="auto" w:fill="002060"/>
          </w:tcPr>
          <w:p w14:paraId="1D3AA747" w14:textId="77777777" w:rsidR="009D47DE" w:rsidRDefault="009D47DE"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6E300C28" w14:textId="77777777" w:rsidR="009D47DE" w:rsidRDefault="00E03B76" w:rsidP="009D47DE">
            <w:pPr>
              <w:pStyle w:val="APRABULLET"/>
              <w:numPr>
                <w:ilvl w:val="0"/>
                <w:numId w:val="0"/>
              </w:numPr>
              <w:spacing w:before="80"/>
              <w:rPr>
                <w:sz w:val="20"/>
                <w:szCs w:val="20"/>
              </w:rPr>
            </w:pPr>
            <w:r>
              <w:rPr>
                <w:sz w:val="20"/>
                <w:szCs w:val="20"/>
              </w:rPr>
              <w:t xml:space="preserve">Are there other </w:t>
            </w:r>
            <w:r w:rsidR="009D47DE" w:rsidRPr="00D040A5">
              <w:rPr>
                <w:sz w:val="20"/>
                <w:szCs w:val="20"/>
              </w:rPr>
              <w:t>implementation</w:t>
            </w:r>
            <w:r w:rsidR="009D47DE">
              <w:rPr>
                <w:sz w:val="20"/>
                <w:szCs w:val="20"/>
              </w:rPr>
              <w:t xml:space="preserve"> con</w:t>
            </w:r>
            <w:r>
              <w:rPr>
                <w:sz w:val="20"/>
                <w:szCs w:val="20"/>
              </w:rPr>
              <w:t xml:space="preserve">siderations that </w:t>
            </w:r>
            <w:r w:rsidR="009D47DE">
              <w:rPr>
                <w:sz w:val="20"/>
                <w:szCs w:val="20"/>
              </w:rPr>
              <w:t xml:space="preserve">may arise with the </w:t>
            </w:r>
            <w:r>
              <w:rPr>
                <w:sz w:val="20"/>
                <w:szCs w:val="20"/>
              </w:rPr>
              <w:t xml:space="preserve">approaches outlined </w:t>
            </w:r>
            <w:r w:rsidR="00F772FA">
              <w:rPr>
                <w:sz w:val="20"/>
                <w:szCs w:val="20"/>
              </w:rPr>
              <w:t>in Chapter 2</w:t>
            </w:r>
            <w:r w:rsidR="009D47DE" w:rsidRPr="00D040A5">
              <w:rPr>
                <w:sz w:val="20"/>
                <w:szCs w:val="20"/>
              </w:rPr>
              <w:t xml:space="preserve">, </w:t>
            </w:r>
            <w:r>
              <w:rPr>
                <w:sz w:val="20"/>
                <w:szCs w:val="20"/>
              </w:rPr>
              <w:t xml:space="preserve">such as costs in modifying systems and processes for capital calculations or </w:t>
            </w:r>
            <w:r w:rsidR="009D47DE" w:rsidRPr="00D040A5">
              <w:rPr>
                <w:sz w:val="20"/>
                <w:szCs w:val="20"/>
              </w:rPr>
              <w:t>integration into ADIs’ strategic and capital planning cycles</w:t>
            </w:r>
            <w:r w:rsidR="009D47DE">
              <w:rPr>
                <w:sz w:val="20"/>
                <w:szCs w:val="20"/>
              </w:rPr>
              <w:t>?</w:t>
            </w:r>
          </w:p>
        </w:tc>
      </w:tr>
      <w:tr w:rsidR="009D47DE" w:rsidRPr="001F2225" w14:paraId="110BCC86" w14:textId="77777777" w:rsidTr="00EB4F95">
        <w:trPr>
          <w:trHeight w:val="851"/>
        </w:trPr>
        <w:tc>
          <w:tcPr>
            <w:tcW w:w="2268" w:type="dxa"/>
            <w:shd w:val="clear" w:color="auto" w:fill="002060"/>
          </w:tcPr>
          <w:p w14:paraId="31FCDFC5" w14:textId="77777777" w:rsidR="009D47DE" w:rsidRPr="00D040A5" w:rsidRDefault="009D47DE"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4D214974" w14:textId="77777777" w:rsidR="00B15C68" w:rsidRPr="00B15C68" w:rsidRDefault="009D47DE" w:rsidP="00304C22">
            <w:pPr>
              <w:pStyle w:val="APRABULLET"/>
              <w:numPr>
                <w:ilvl w:val="0"/>
                <w:numId w:val="0"/>
              </w:numPr>
              <w:spacing w:before="80"/>
              <w:rPr>
                <w:rFonts w:cs="Arial"/>
                <w:sz w:val="20"/>
                <w:szCs w:val="20"/>
              </w:rPr>
            </w:pPr>
            <w:r>
              <w:rPr>
                <w:rFonts w:cs="Arial"/>
                <w:sz w:val="20"/>
                <w:szCs w:val="20"/>
              </w:rPr>
              <w:t>Are there alternative</w:t>
            </w:r>
            <w:r w:rsidR="00E03B76">
              <w:rPr>
                <w:rFonts w:cs="Arial"/>
                <w:sz w:val="20"/>
                <w:szCs w:val="20"/>
              </w:rPr>
              <w:t xml:space="preserve"> </w:t>
            </w:r>
            <w:r w:rsidR="00C21847">
              <w:rPr>
                <w:rFonts w:cs="Arial"/>
                <w:sz w:val="20"/>
                <w:szCs w:val="20"/>
              </w:rPr>
              <w:t xml:space="preserve">measures to </w:t>
            </w:r>
            <w:r w:rsidR="00E03B76">
              <w:rPr>
                <w:rFonts w:cs="Arial"/>
                <w:sz w:val="20"/>
                <w:szCs w:val="20"/>
              </w:rPr>
              <w:t xml:space="preserve">mitigate the </w:t>
            </w:r>
            <w:r w:rsidR="00C21847">
              <w:rPr>
                <w:rFonts w:cs="Arial"/>
                <w:sz w:val="20"/>
                <w:szCs w:val="20"/>
              </w:rPr>
              <w:t xml:space="preserve">operational complexity </w:t>
            </w:r>
            <w:r w:rsidR="00304C22">
              <w:rPr>
                <w:rFonts w:cs="Arial"/>
                <w:sz w:val="20"/>
                <w:szCs w:val="20"/>
              </w:rPr>
              <w:t>under Approach 2</w:t>
            </w:r>
            <w:r>
              <w:rPr>
                <w:rFonts w:cs="Arial"/>
                <w:sz w:val="20"/>
                <w:szCs w:val="20"/>
              </w:rPr>
              <w:t>?</w:t>
            </w:r>
          </w:p>
        </w:tc>
      </w:tr>
      <w:tr w:rsidR="00F772FA" w:rsidRPr="001F2225" w14:paraId="28F557BB" w14:textId="77777777" w:rsidTr="00EB4F95">
        <w:trPr>
          <w:trHeight w:val="851"/>
        </w:trPr>
        <w:tc>
          <w:tcPr>
            <w:tcW w:w="2268" w:type="dxa"/>
            <w:shd w:val="clear" w:color="auto" w:fill="002060"/>
          </w:tcPr>
          <w:p w14:paraId="0CB1DAF1" w14:textId="77777777" w:rsidR="00F772FA" w:rsidRPr="00D040A5" w:rsidRDefault="00F772FA"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1E29141D" w14:textId="5714152E" w:rsidR="00F772FA" w:rsidRPr="00304C22" w:rsidRDefault="00304C22" w:rsidP="00C92BB0">
            <w:pPr>
              <w:pStyle w:val="APRANUMBERBULLET"/>
              <w:numPr>
                <w:ilvl w:val="0"/>
                <w:numId w:val="0"/>
              </w:numPr>
              <w:spacing w:before="80" w:after="120"/>
              <w:rPr>
                <w:sz w:val="20"/>
                <w:szCs w:val="20"/>
              </w:rPr>
            </w:pPr>
            <w:r>
              <w:rPr>
                <w:sz w:val="20"/>
                <w:szCs w:val="20"/>
              </w:rPr>
              <w:t xml:space="preserve">Would increasing the size of </w:t>
            </w:r>
            <w:r w:rsidR="00463FC4">
              <w:rPr>
                <w:sz w:val="20"/>
                <w:szCs w:val="20"/>
              </w:rPr>
              <w:t xml:space="preserve">capital buffers (either by increasing </w:t>
            </w:r>
            <w:r>
              <w:rPr>
                <w:sz w:val="20"/>
                <w:szCs w:val="20"/>
              </w:rPr>
              <w:t xml:space="preserve">the CCB </w:t>
            </w:r>
            <w:r w:rsidR="00463FC4">
              <w:rPr>
                <w:sz w:val="20"/>
                <w:szCs w:val="20"/>
              </w:rPr>
              <w:t xml:space="preserve">or by setting a non-zero baseline CCyB) </w:t>
            </w:r>
            <w:r>
              <w:rPr>
                <w:sz w:val="20"/>
                <w:szCs w:val="20"/>
              </w:rPr>
              <w:t>relative to PCR appropriately balance capital strength with financial stability through the cycle?</w:t>
            </w:r>
          </w:p>
        </w:tc>
      </w:tr>
      <w:tr w:rsidR="00F772FA" w:rsidRPr="001F2225" w14:paraId="33A7688B" w14:textId="77777777" w:rsidTr="00EB4F95">
        <w:trPr>
          <w:trHeight w:val="851"/>
        </w:trPr>
        <w:tc>
          <w:tcPr>
            <w:tcW w:w="2268" w:type="dxa"/>
            <w:shd w:val="clear" w:color="auto" w:fill="002060"/>
          </w:tcPr>
          <w:p w14:paraId="67336770" w14:textId="77777777" w:rsidR="00F772FA" w:rsidRPr="00D040A5" w:rsidRDefault="00F772FA" w:rsidP="000127A5">
            <w:pPr>
              <w:pStyle w:val="APRANORMAL"/>
              <w:numPr>
                <w:ilvl w:val="0"/>
                <w:numId w:val="20"/>
              </w:numPr>
              <w:spacing w:before="80" w:after="120"/>
              <w:ind w:left="357" w:hanging="357"/>
              <w:rPr>
                <w:rFonts w:ascii="DIN OT Medium" w:hAnsi="DIN OT Medium"/>
                <w:sz w:val="20"/>
                <w:szCs w:val="20"/>
              </w:rPr>
            </w:pPr>
          </w:p>
        </w:tc>
        <w:tc>
          <w:tcPr>
            <w:tcW w:w="6746" w:type="dxa"/>
            <w:shd w:val="clear" w:color="auto" w:fill="D9D9D9" w:themeFill="background1" w:themeFillShade="D9"/>
          </w:tcPr>
          <w:p w14:paraId="3A1430F8" w14:textId="06770D7D" w:rsidR="00304C22" w:rsidRPr="00D040A5" w:rsidRDefault="00304C22" w:rsidP="00310158">
            <w:pPr>
              <w:pStyle w:val="APRANUMBERBULLET"/>
              <w:numPr>
                <w:ilvl w:val="0"/>
                <w:numId w:val="0"/>
              </w:numPr>
              <w:spacing w:before="80" w:after="120"/>
              <w:rPr>
                <w:sz w:val="20"/>
                <w:szCs w:val="20"/>
              </w:rPr>
            </w:pPr>
            <w:r w:rsidRPr="00304C22">
              <w:rPr>
                <w:sz w:val="20"/>
                <w:szCs w:val="20"/>
                <w:lang w:val="en-AU"/>
              </w:rPr>
              <w:t>What may be some of the potential impacts if APRA increases the prescribed loss absorption trigger point above 5.125 per cent of RWA?</w:t>
            </w:r>
          </w:p>
        </w:tc>
      </w:tr>
    </w:tbl>
    <w:p w14:paraId="38627D28" w14:textId="77777777" w:rsidR="00A24DCE" w:rsidRDefault="009E3636" w:rsidP="00A24DCE">
      <w:pPr>
        <w:pStyle w:val="APRAHEADING2"/>
      </w:pPr>
      <w:bookmarkStart w:id="235" w:name="_Toc497403373"/>
      <w:bookmarkStart w:id="236" w:name="_Toc497409661"/>
      <w:bookmarkStart w:id="237" w:name="_Toc497409773"/>
      <w:bookmarkStart w:id="238" w:name="_Toc497409846"/>
      <w:bookmarkStart w:id="239" w:name="_Toc497473661"/>
      <w:bookmarkStart w:id="240" w:name="_Toc508653017"/>
      <w:bookmarkStart w:id="241" w:name="_Toc510595673"/>
      <w:bookmarkStart w:id="242" w:name="_Toc510689506"/>
      <w:bookmarkStart w:id="243" w:name="_Toc510690484"/>
      <w:bookmarkStart w:id="244" w:name="_Toc514172206"/>
      <w:bookmarkStart w:id="245" w:name="_Toc518658255"/>
      <w:bookmarkStart w:id="246" w:name="_Toc521401227"/>
      <w:bookmarkStart w:id="247" w:name="_Toc521508301"/>
      <w:bookmarkStart w:id="248" w:name="_Toc521932774"/>
      <w:r>
        <w:t>Next steps</w:t>
      </w:r>
      <w:bookmarkEnd w:id="212"/>
      <w:bookmarkEnd w:id="213"/>
      <w:bookmarkEnd w:id="214"/>
      <w:bookmarkEnd w:id="215"/>
      <w:bookmarkEnd w:id="216"/>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5DD88FA2" w14:textId="46334DAD" w:rsidR="001B3243" w:rsidRDefault="009E3636" w:rsidP="009E3636">
      <w:pPr>
        <w:pStyle w:val="APRANORMAL"/>
        <w:rPr>
          <w:lang w:val="en-AU"/>
        </w:rPr>
      </w:pPr>
      <w:r>
        <w:rPr>
          <w:lang w:val="en-AU"/>
        </w:rPr>
        <w:t xml:space="preserve">APRA </w:t>
      </w:r>
      <w:r w:rsidR="002A5A4E">
        <w:rPr>
          <w:lang w:val="en-AU"/>
        </w:rPr>
        <w:t xml:space="preserve">is </w:t>
      </w:r>
      <w:r w:rsidR="0088133C">
        <w:rPr>
          <w:lang w:val="en-AU"/>
        </w:rPr>
        <w:t xml:space="preserve">currently </w:t>
      </w:r>
      <w:r w:rsidR="002A5A4E">
        <w:rPr>
          <w:lang w:val="en-AU"/>
        </w:rPr>
        <w:t xml:space="preserve">undertaking </w:t>
      </w:r>
      <w:r>
        <w:rPr>
          <w:lang w:val="en-AU"/>
        </w:rPr>
        <w:t xml:space="preserve">a </w:t>
      </w:r>
      <w:r w:rsidR="005F79A9">
        <w:rPr>
          <w:lang w:val="en-AU"/>
        </w:rPr>
        <w:t xml:space="preserve">quantitative impact study </w:t>
      </w:r>
      <w:r>
        <w:rPr>
          <w:lang w:val="en-AU"/>
        </w:rPr>
        <w:t xml:space="preserve">to </w:t>
      </w:r>
      <w:r w:rsidR="005F79A9">
        <w:rPr>
          <w:lang w:val="en-AU"/>
        </w:rPr>
        <w:t xml:space="preserve">calibrate </w:t>
      </w:r>
      <w:r>
        <w:rPr>
          <w:lang w:val="en-AU"/>
        </w:rPr>
        <w:t xml:space="preserve">the proposals </w:t>
      </w:r>
      <w:r w:rsidR="005F79A9">
        <w:rPr>
          <w:lang w:val="en-AU"/>
        </w:rPr>
        <w:t xml:space="preserve">detailed </w:t>
      </w:r>
      <w:r>
        <w:rPr>
          <w:lang w:val="en-AU"/>
        </w:rPr>
        <w:t>in th</w:t>
      </w:r>
      <w:r w:rsidR="002A5A4E">
        <w:rPr>
          <w:lang w:val="en-AU"/>
        </w:rPr>
        <w:t xml:space="preserve">e February 2018 </w:t>
      </w:r>
      <w:r w:rsidR="00304C22">
        <w:rPr>
          <w:lang w:val="en-AU"/>
        </w:rPr>
        <w:t>D</w:t>
      </w:r>
      <w:r w:rsidR="002A5A4E">
        <w:rPr>
          <w:lang w:val="en-AU"/>
        </w:rPr>
        <w:t xml:space="preserve">iscussion </w:t>
      </w:r>
      <w:r w:rsidR="00304C22">
        <w:rPr>
          <w:lang w:val="en-AU"/>
        </w:rPr>
        <w:t>P</w:t>
      </w:r>
      <w:r>
        <w:rPr>
          <w:lang w:val="en-AU"/>
        </w:rPr>
        <w:t xml:space="preserve">aper. </w:t>
      </w:r>
      <w:r w:rsidR="009F5926">
        <w:rPr>
          <w:lang w:val="en-AU"/>
        </w:rPr>
        <w:t xml:space="preserve">APRA </w:t>
      </w:r>
      <w:r w:rsidR="00B94CC4">
        <w:rPr>
          <w:lang w:val="en-AU"/>
        </w:rPr>
        <w:t xml:space="preserve">will initially consult on </w:t>
      </w:r>
      <w:r w:rsidR="009F5926">
        <w:rPr>
          <w:lang w:val="en-AU"/>
        </w:rPr>
        <w:t>draft revised prudential standards</w:t>
      </w:r>
      <w:r w:rsidR="00B94CC4">
        <w:rPr>
          <w:lang w:val="en-AU"/>
        </w:rPr>
        <w:t xml:space="preserve"> </w:t>
      </w:r>
      <w:r w:rsidR="005F79A9">
        <w:rPr>
          <w:lang w:val="en-AU"/>
        </w:rPr>
        <w:t>without regard to the options outlined in this paper</w:t>
      </w:r>
      <w:r w:rsidR="001B3243" w:rsidRPr="001B3243">
        <w:rPr>
          <w:lang w:val="en-AU"/>
        </w:rPr>
        <w:t xml:space="preserve"> by the end of 2018. In early 2019, APRA will respond to the submissions in this </w:t>
      </w:r>
      <w:r w:rsidR="009B684D">
        <w:rPr>
          <w:lang w:val="en-AU"/>
        </w:rPr>
        <w:t>D</w:t>
      </w:r>
      <w:r w:rsidR="001B3243" w:rsidRPr="001B3243">
        <w:rPr>
          <w:lang w:val="en-AU"/>
        </w:rPr>
        <w:t xml:space="preserve">iscussion </w:t>
      </w:r>
      <w:r w:rsidR="009B684D">
        <w:rPr>
          <w:lang w:val="en-AU"/>
        </w:rPr>
        <w:t>P</w:t>
      </w:r>
      <w:r w:rsidR="001B3243" w:rsidRPr="001B3243">
        <w:rPr>
          <w:lang w:val="en-AU"/>
        </w:rPr>
        <w:t>aper</w:t>
      </w:r>
      <w:r w:rsidR="005F79A9">
        <w:rPr>
          <w:lang w:val="en-AU"/>
        </w:rPr>
        <w:t>.</w:t>
      </w:r>
    </w:p>
    <w:p w14:paraId="198F3DBC" w14:textId="6553EB4A" w:rsidR="00FD44A8" w:rsidRDefault="005F79A9">
      <w:pPr>
        <w:pStyle w:val="APRANORMAL"/>
      </w:pPr>
      <w:r>
        <w:rPr>
          <w:lang w:val="en-AU"/>
        </w:rPr>
        <w:t xml:space="preserve">Depending on the outcome of this consultation, </w:t>
      </w:r>
      <w:r w:rsidR="00B94CC4">
        <w:rPr>
          <w:lang w:val="en-AU"/>
        </w:rPr>
        <w:t xml:space="preserve">APRA expects to release </w:t>
      </w:r>
      <w:r w:rsidR="001B724C">
        <w:rPr>
          <w:lang w:val="en-AU"/>
        </w:rPr>
        <w:t xml:space="preserve">for consultation </w:t>
      </w:r>
      <w:r w:rsidR="00B94CC4">
        <w:rPr>
          <w:lang w:val="en-AU"/>
        </w:rPr>
        <w:t>draft revised prudential standards</w:t>
      </w:r>
      <w:r w:rsidR="001B3243" w:rsidRPr="001B3243">
        <w:t xml:space="preserve"> </w:t>
      </w:r>
      <w:r w:rsidR="001B3243" w:rsidRPr="001B3243">
        <w:rPr>
          <w:lang w:val="en-AU"/>
        </w:rPr>
        <w:t>on credit and operational risk</w:t>
      </w:r>
      <w:r w:rsidR="001B3243">
        <w:rPr>
          <w:lang w:val="en-AU"/>
        </w:rPr>
        <w:t>s</w:t>
      </w:r>
      <w:r w:rsidR="00B94CC4">
        <w:rPr>
          <w:lang w:val="en-AU"/>
        </w:rPr>
        <w:t xml:space="preserve"> </w:t>
      </w:r>
      <w:r>
        <w:rPr>
          <w:lang w:val="en-AU"/>
        </w:rPr>
        <w:t xml:space="preserve">in 2019 that would incorporate any aspects set out </w:t>
      </w:r>
      <w:r w:rsidR="00B94CC4">
        <w:rPr>
          <w:lang w:val="en-AU"/>
        </w:rPr>
        <w:t xml:space="preserve">in this </w:t>
      </w:r>
      <w:r w:rsidR="009B684D">
        <w:rPr>
          <w:lang w:val="en-AU"/>
        </w:rPr>
        <w:t>D</w:t>
      </w:r>
      <w:r w:rsidR="00B94CC4">
        <w:rPr>
          <w:lang w:val="en-AU"/>
        </w:rPr>
        <w:t xml:space="preserve">iscussion </w:t>
      </w:r>
      <w:r w:rsidR="009B684D">
        <w:rPr>
          <w:lang w:val="en-AU"/>
        </w:rPr>
        <w:t>P</w:t>
      </w:r>
      <w:r w:rsidR="00B94CC4">
        <w:rPr>
          <w:lang w:val="en-AU"/>
        </w:rPr>
        <w:t>aper</w:t>
      </w:r>
      <w:r>
        <w:rPr>
          <w:lang w:val="en-AU"/>
        </w:rPr>
        <w:t xml:space="preserve"> that APRA proposes to adopt</w:t>
      </w:r>
      <w:r w:rsidR="00B94CC4">
        <w:rPr>
          <w:lang w:val="en-AU"/>
        </w:rPr>
        <w:t>.</w:t>
      </w:r>
    </w:p>
    <w:p w14:paraId="27401390" w14:textId="675206BD" w:rsidR="009E3636" w:rsidRDefault="001B3243" w:rsidP="009E3636">
      <w:pPr>
        <w:pStyle w:val="APRANORMAL"/>
        <w:rPr>
          <w:lang w:val="en-AU"/>
        </w:rPr>
      </w:pPr>
      <w:r w:rsidRPr="001B3243">
        <w:rPr>
          <w:lang w:val="en-AU"/>
        </w:rPr>
        <w:t xml:space="preserve">APRA expects that final prudential standards would be released by mid-2020. </w:t>
      </w:r>
      <w:r w:rsidR="00B94CC4" w:rsidRPr="00B94CC4">
        <w:rPr>
          <w:lang w:val="en-AU"/>
        </w:rPr>
        <w:t>In</w:t>
      </w:r>
      <w:r w:rsidR="009E3636" w:rsidRPr="00B94CC4">
        <w:rPr>
          <w:lang w:val="en-AU"/>
        </w:rPr>
        <w:t xml:space="preserve"> finalising the revised ADI capital framework, APRA will have regard to the Basel III implementation timetable. However, as indicated in the </w:t>
      </w:r>
      <w:r w:rsidR="009019B8">
        <w:rPr>
          <w:lang w:val="en-AU"/>
        </w:rPr>
        <w:t xml:space="preserve">February 2018 </w:t>
      </w:r>
      <w:r w:rsidR="009B684D">
        <w:rPr>
          <w:lang w:val="en-AU"/>
        </w:rPr>
        <w:t>D</w:t>
      </w:r>
      <w:r w:rsidR="009019B8">
        <w:rPr>
          <w:lang w:val="en-AU"/>
        </w:rPr>
        <w:t xml:space="preserve">iscussion </w:t>
      </w:r>
      <w:r w:rsidR="009B684D">
        <w:rPr>
          <w:lang w:val="en-AU"/>
        </w:rPr>
        <w:t>P</w:t>
      </w:r>
      <w:r w:rsidR="009019B8">
        <w:rPr>
          <w:lang w:val="en-AU"/>
        </w:rPr>
        <w:t>aper</w:t>
      </w:r>
      <w:r w:rsidR="009E3636" w:rsidRPr="00B94CC4">
        <w:rPr>
          <w:lang w:val="en-AU"/>
        </w:rPr>
        <w:t xml:space="preserve">, it is likely that the revised prudential requirements would commence from 1 January </w:t>
      </w:r>
      <w:r w:rsidR="009E3636" w:rsidRPr="00A341B4">
        <w:rPr>
          <w:lang w:val="en-AU"/>
        </w:rPr>
        <w:t>202</w:t>
      </w:r>
      <w:r w:rsidR="00D90B7D" w:rsidRPr="00A341B4">
        <w:rPr>
          <w:lang w:val="en-AU"/>
        </w:rPr>
        <w:t>1</w:t>
      </w:r>
      <w:r w:rsidR="009E3636" w:rsidRPr="00B94CC4">
        <w:rPr>
          <w:lang w:val="en-AU"/>
        </w:rPr>
        <w:t>.</w:t>
      </w:r>
    </w:p>
    <w:p w14:paraId="603B52FA" w14:textId="44226DA9" w:rsidR="00160279" w:rsidRDefault="00160279" w:rsidP="00D61063">
      <w:pPr>
        <w:pStyle w:val="APRAHEADING1"/>
        <w:numPr>
          <w:ilvl w:val="0"/>
          <w:numId w:val="0"/>
        </w:numPr>
      </w:pPr>
      <w:bookmarkStart w:id="249" w:name="_Toc510595674"/>
      <w:bookmarkStart w:id="250" w:name="_Toc510689507"/>
      <w:bookmarkStart w:id="251" w:name="_Toc510690485"/>
      <w:bookmarkStart w:id="252" w:name="_Toc514172207"/>
      <w:bookmarkStart w:id="253" w:name="_Toc518658256"/>
      <w:bookmarkStart w:id="254" w:name="_Toc521401228"/>
      <w:bookmarkStart w:id="255" w:name="_Toc521508302"/>
      <w:bookmarkStart w:id="256" w:name="_Toc521932775"/>
      <w:bookmarkEnd w:id="166"/>
      <w:bookmarkEnd w:id="167"/>
      <w:bookmarkEnd w:id="168"/>
      <w:bookmarkEnd w:id="169"/>
      <w:bookmarkEnd w:id="170"/>
      <w:bookmarkEnd w:id="171"/>
      <w:bookmarkEnd w:id="172"/>
      <w:r>
        <w:lastRenderedPageBreak/>
        <w:t>Attachment A</w:t>
      </w:r>
      <w:r w:rsidR="00E4795B">
        <w:t xml:space="preserve"> – </w:t>
      </w:r>
      <w:r>
        <w:t>Policy options and estimated comparative net benefit</w:t>
      </w:r>
      <w:bookmarkEnd w:id="249"/>
      <w:bookmarkEnd w:id="250"/>
      <w:bookmarkEnd w:id="251"/>
      <w:bookmarkEnd w:id="252"/>
      <w:bookmarkEnd w:id="253"/>
      <w:bookmarkEnd w:id="254"/>
      <w:bookmarkEnd w:id="255"/>
      <w:bookmarkEnd w:id="256"/>
    </w:p>
    <w:p w14:paraId="5EEB2E97" w14:textId="72C5F20A" w:rsidR="00160279" w:rsidRDefault="00160279">
      <w:pPr>
        <w:pStyle w:val="APRANORMAL"/>
      </w:pPr>
      <w:r>
        <w:t xml:space="preserve">The overriding objective of the proposed changes is to achieve more transparent and comparable capital ratios and improve the flexibility of the capital framework for ADIs. Within this context, APRA has considered four policy options as set out in </w:t>
      </w:r>
      <w:r w:rsidR="00F31E29">
        <w:fldChar w:fldCharType="begin"/>
      </w:r>
      <w:r w:rsidR="00F31E29">
        <w:instrText xml:space="preserve"> REF _Ref510624030 \r \h </w:instrText>
      </w:r>
      <w:r w:rsidR="00F31E29">
        <w:fldChar w:fldCharType="separate"/>
      </w:r>
      <w:r w:rsidR="000B378D">
        <w:t>Table 6</w:t>
      </w:r>
      <w:r w:rsidR="00F31E29">
        <w:fldChar w:fldCharType="end"/>
      </w:r>
      <w:r w:rsidR="00F31E29">
        <w:t xml:space="preserve"> </w:t>
      </w:r>
      <w:r>
        <w:t>below. Also set out is APRA's preliminary analysis of the cos</w:t>
      </w:r>
      <w:r w:rsidR="00451426">
        <w:t>ts and benefits of each option.</w:t>
      </w:r>
    </w:p>
    <w:p w14:paraId="7F6734AA" w14:textId="77777777" w:rsidR="00160279" w:rsidRDefault="00160279">
      <w:pPr>
        <w:pStyle w:val="APRANORMAL"/>
      </w:pPr>
      <w:r>
        <w:t>Any information provided in response to the request for cost-benefit information in Chapter 4 will be used to quantify the change in regulatory burden using the Commonwealth Regulatory Burden Measure and inform APRA's determination of t</w:t>
      </w:r>
      <w:r w:rsidR="00451426">
        <w:t>he net benefits of the options.</w:t>
      </w:r>
    </w:p>
    <w:p w14:paraId="355C477C" w14:textId="77777777" w:rsidR="00160279" w:rsidRDefault="00160279" w:rsidP="00160279">
      <w:pPr>
        <w:pStyle w:val="APRATABLE-NUMBER"/>
      </w:pPr>
      <w:bookmarkStart w:id="257" w:name="_Ref510624030"/>
      <w:r>
        <w:t>Regulatory options</w:t>
      </w:r>
      <w:bookmarkEnd w:id="257"/>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51"/>
        <w:gridCol w:w="6565"/>
      </w:tblGrid>
      <w:tr w:rsidR="00160279" w:rsidRPr="001F2225" w14:paraId="14FDAE78" w14:textId="77777777" w:rsidTr="008B36E0">
        <w:trPr>
          <w:trHeight w:val="498"/>
        </w:trPr>
        <w:tc>
          <w:tcPr>
            <w:tcW w:w="1359" w:type="pct"/>
            <w:shd w:val="clear" w:color="auto" w:fill="002060"/>
          </w:tcPr>
          <w:p w14:paraId="302F1EEA" w14:textId="77777777" w:rsidR="00160279" w:rsidRPr="008B36E0" w:rsidRDefault="00160279" w:rsidP="00160279">
            <w:pPr>
              <w:pStyle w:val="APRANORMAL"/>
              <w:spacing w:before="80" w:after="120"/>
              <w:rPr>
                <w:rFonts w:ascii="DIN OT Medium" w:hAnsi="DIN OT Medium"/>
                <w:sz w:val="20"/>
                <w:szCs w:val="20"/>
              </w:rPr>
            </w:pPr>
            <w:r w:rsidRPr="00D61063">
              <w:rPr>
                <w:rFonts w:ascii="DIN OT Medium" w:hAnsi="DIN OT Medium"/>
                <w:sz w:val="20"/>
                <w:szCs w:val="20"/>
              </w:rPr>
              <w:t xml:space="preserve">Option </w:t>
            </w:r>
            <w:r w:rsidR="00F300E8">
              <w:rPr>
                <w:rFonts w:ascii="DIN OT Medium" w:hAnsi="DIN OT Medium"/>
                <w:sz w:val="20"/>
                <w:szCs w:val="20"/>
              </w:rPr>
              <w:t>1</w:t>
            </w:r>
            <w:r w:rsidRPr="00D61063">
              <w:rPr>
                <w:rFonts w:ascii="DIN OT Medium" w:hAnsi="DIN OT Medium"/>
                <w:sz w:val="20"/>
                <w:szCs w:val="20"/>
              </w:rPr>
              <w:t xml:space="preserve">: </w:t>
            </w:r>
            <w:r w:rsidR="0095517F">
              <w:rPr>
                <w:rFonts w:ascii="DIN OT Medium" w:hAnsi="DIN OT Medium"/>
                <w:sz w:val="20"/>
                <w:szCs w:val="20"/>
              </w:rPr>
              <w:t>Consistent</w:t>
            </w:r>
            <w:r w:rsidRPr="00D61063">
              <w:rPr>
                <w:rFonts w:ascii="DIN OT Medium" w:hAnsi="DIN OT Medium"/>
                <w:sz w:val="20"/>
                <w:szCs w:val="20"/>
              </w:rPr>
              <w:t xml:space="preserve"> disclosure</w:t>
            </w:r>
            <w:r w:rsidR="0095517F">
              <w:rPr>
                <w:rFonts w:ascii="DIN OT Medium" w:hAnsi="DIN OT Medium"/>
                <w:sz w:val="20"/>
                <w:szCs w:val="20"/>
              </w:rPr>
              <w:t>s</w:t>
            </w:r>
          </w:p>
        </w:tc>
        <w:tc>
          <w:tcPr>
            <w:tcW w:w="3641" w:type="pct"/>
            <w:shd w:val="clear" w:color="auto" w:fill="D9D9D9" w:themeFill="background1" w:themeFillShade="D9"/>
          </w:tcPr>
          <w:p w14:paraId="1AC1B9B2" w14:textId="77777777" w:rsidR="00160279" w:rsidRPr="00160279" w:rsidRDefault="00512B4F" w:rsidP="00512B4F">
            <w:pPr>
              <w:pStyle w:val="APRANORMAL"/>
              <w:rPr>
                <w:sz w:val="20"/>
                <w:szCs w:val="20"/>
              </w:rPr>
            </w:pPr>
            <w:r w:rsidRPr="00512B4F">
              <w:rPr>
                <w:sz w:val="20"/>
                <w:szCs w:val="20"/>
                <w:lang w:val="en-AU"/>
              </w:rPr>
              <w:t>APRA would specify adjustments to reported capital and RWA to enable more credible disclosure of ADI internationally comparable capital ratios without changing the definitions of capital and RWA.</w:t>
            </w:r>
          </w:p>
        </w:tc>
      </w:tr>
      <w:tr w:rsidR="00160279" w:rsidRPr="001F2225" w14:paraId="531329D6" w14:textId="77777777" w:rsidTr="00160279">
        <w:trPr>
          <w:trHeight w:val="498"/>
        </w:trPr>
        <w:tc>
          <w:tcPr>
            <w:tcW w:w="1359" w:type="pct"/>
            <w:shd w:val="clear" w:color="auto" w:fill="002060"/>
          </w:tcPr>
          <w:p w14:paraId="631AEC09" w14:textId="77777777" w:rsidR="00160279" w:rsidRPr="00160279" w:rsidRDefault="00160279" w:rsidP="00160279">
            <w:pPr>
              <w:pStyle w:val="APRANORMAL"/>
              <w:spacing w:before="80" w:after="120"/>
              <w:rPr>
                <w:rFonts w:ascii="DIN OT Medium" w:hAnsi="DIN OT Medium"/>
                <w:sz w:val="20"/>
                <w:szCs w:val="20"/>
              </w:rPr>
            </w:pPr>
            <w:r w:rsidRPr="00160279">
              <w:rPr>
                <w:rFonts w:ascii="DIN OT Medium" w:hAnsi="DIN OT Medium"/>
                <w:sz w:val="20"/>
                <w:szCs w:val="20"/>
              </w:rPr>
              <w:t xml:space="preserve">Option </w:t>
            </w:r>
            <w:r w:rsidR="00F300E8">
              <w:rPr>
                <w:rFonts w:ascii="DIN OT Medium" w:hAnsi="DIN OT Medium"/>
                <w:sz w:val="20"/>
                <w:szCs w:val="20"/>
              </w:rPr>
              <w:t>2</w:t>
            </w:r>
            <w:r w:rsidRPr="00160279">
              <w:rPr>
                <w:rFonts w:ascii="DIN OT Medium" w:hAnsi="DIN OT Medium"/>
                <w:sz w:val="20"/>
                <w:szCs w:val="20"/>
              </w:rPr>
              <w:t xml:space="preserve">: </w:t>
            </w:r>
            <w:r w:rsidR="0095517F">
              <w:rPr>
                <w:rFonts w:ascii="DIN OT Medium" w:hAnsi="DIN OT Medium"/>
                <w:sz w:val="20"/>
                <w:szCs w:val="20"/>
              </w:rPr>
              <w:t>Capital</w:t>
            </w:r>
            <w:r w:rsidR="00A60923">
              <w:rPr>
                <w:rFonts w:ascii="DIN OT Medium" w:hAnsi="DIN OT Medium"/>
                <w:sz w:val="20"/>
                <w:szCs w:val="20"/>
              </w:rPr>
              <w:t xml:space="preserve"> ratio </w:t>
            </w:r>
            <w:r w:rsidR="0095517F">
              <w:rPr>
                <w:rFonts w:ascii="DIN OT Medium" w:hAnsi="DIN OT Medium"/>
                <w:sz w:val="20"/>
                <w:szCs w:val="20"/>
              </w:rPr>
              <w:t>adjust</w:t>
            </w:r>
            <w:r w:rsidR="00A60923">
              <w:rPr>
                <w:rFonts w:ascii="DIN OT Medium" w:hAnsi="DIN OT Medium"/>
                <w:sz w:val="20"/>
                <w:szCs w:val="20"/>
              </w:rPr>
              <w:t>ments</w:t>
            </w:r>
          </w:p>
        </w:tc>
        <w:tc>
          <w:tcPr>
            <w:tcW w:w="3641" w:type="pct"/>
            <w:shd w:val="clear" w:color="auto" w:fill="D9D9D9" w:themeFill="background1" w:themeFillShade="D9"/>
          </w:tcPr>
          <w:p w14:paraId="1ADE0930" w14:textId="032EAE57" w:rsidR="00160279" w:rsidRPr="00160279" w:rsidRDefault="00512B4F" w:rsidP="004F205F">
            <w:pPr>
              <w:pStyle w:val="APRANORMAL"/>
              <w:rPr>
                <w:sz w:val="20"/>
                <w:szCs w:val="20"/>
              </w:rPr>
            </w:pPr>
            <w:r w:rsidRPr="00512B4F">
              <w:rPr>
                <w:sz w:val="20"/>
                <w:szCs w:val="20"/>
                <w:lang w:val="en-AU"/>
              </w:rPr>
              <w:t>APRA would adopt more internationally harmonised definitions of capital and RWA. The resultant increase in capital ratios would be offset by a transparent increase in individual ADI regulatory capital ratio requirements.</w:t>
            </w:r>
          </w:p>
        </w:tc>
      </w:tr>
      <w:tr w:rsidR="00F300E8" w:rsidRPr="001F2225" w14:paraId="6EDD8CF7" w14:textId="77777777" w:rsidTr="00160279">
        <w:trPr>
          <w:trHeight w:val="498"/>
        </w:trPr>
        <w:tc>
          <w:tcPr>
            <w:tcW w:w="1359" w:type="pct"/>
            <w:shd w:val="clear" w:color="auto" w:fill="002060"/>
          </w:tcPr>
          <w:p w14:paraId="2138E7D0" w14:textId="77777777" w:rsidR="00F300E8" w:rsidRPr="00160279" w:rsidRDefault="00F300E8" w:rsidP="00F300E8">
            <w:pPr>
              <w:pStyle w:val="APRANORMAL"/>
              <w:spacing w:before="80" w:after="120"/>
              <w:rPr>
                <w:rFonts w:ascii="DIN OT Medium" w:hAnsi="DIN OT Medium"/>
                <w:sz w:val="20"/>
                <w:szCs w:val="20"/>
              </w:rPr>
            </w:pPr>
            <w:r>
              <w:rPr>
                <w:rFonts w:ascii="DIN OT Medium" w:hAnsi="DIN OT Medium"/>
                <w:sz w:val="20"/>
                <w:szCs w:val="20"/>
              </w:rPr>
              <w:t>Option 3</w:t>
            </w:r>
            <w:r w:rsidRPr="00D61063">
              <w:rPr>
                <w:rFonts w:ascii="DIN OT Medium" w:hAnsi="DIN OT Medium"/>
                <w:sz w:val="20"/>
                <w:szCs w:val="20"/>
              </w:rPr>
              <w:t xml:space="preserve">: Maintain the </w:t>
            </w:r>
            <w:r>
              <w:rPr>
                <w:rFonts w:ascii="DIN OT Medium" w:hAnsi="DIN OT Medium"/>
                <w:sz w:val="20"/>
                <w:szCs w:val="20"/>
              </w:rPr>
              <w:t>current approach</w:t>
            </w:r>
          </w:p>
        </w:tc>
        <w:tc>
          <w:tcPr>
            <w:tcW w:w="3641" w:type="pct"/>
            <w:shd w:val="clear" w:color="auto" w:fill="D9D9D9" w:themeFill="background1" w:themeFillShade="D9"/>
          </w:tcPr>
          <w:p w14:paraId="1F21CDB6" w14:textId="18520BCB" w:rsidR="00F300E8" w:rsidRPr="00160279" w:rsidRDefault="00B02EDB" w:rsidP="00B02EDB">
            <w:pPr>
              <w:pStyle w:val="APRANORMAL"/>
              <w:rPr>
                <w:sz w:val="20"/>
                <w:szCs w:val="20"/>
              </w:rPr>
            </w:pPr>
            <w:r>
              <w:rPr>
                <w:sz w:val="20"/>
                <w:szCs w:val="20"/>
              </w:rPr>
              <w:t>A</w:t>
            </w:r>
            <w:r w:rsidR="00F300E8" w:rsidRPr="00160279">
              <w:rPr>
                <w:sz w:val="20"/>
                <w:szCs w:val="20"/>
              </w:rPr>
              <w:t>PRA</w:t>
            </w:r>
            <w:r>
              <w:rPr>
                <w:sz w:val="20"/>
                <w:szCs w:val="20"/>
              </w:rPr>
              <w:t xml:space="preserve"> would maintain its </w:t>
            </w:r>
            <w:r w:rsidR="00F300E8" w:rsidRPr="00160279">
              <w:rPr>
                <w:sz w:val="20"/>
                <w:szCs w:val="20"/>
              </w:rPr>
              <w:t xml:space="preserve">current approach to </w:t>
            </w:r>
            <w:r w:rsidR="00F300E8">
              <w:rPr>
                <w:sz w:val="20"/>
                <w:szCs w:val="20"/>
              </w:rPr>
              <w:t>determining</w:t>
            </w:r>
            <w:r w:rsidR="00F300E8" w:rsidRPr="00160279">
              <w:rPr>
                <w:sz w:val="20"/>
                <w:szCs w:val="20"/>
              </w:rPr>
              <w:t xml:space="preserve"> more conservative capital requirements than the internationally agreed minimum through tighter definitions of cap</w:t>
            </w:r>
            <w:r w:rsidR="00451426">
              <w:rPr>
                <w:sz w:val="20"/>
                <w:szCs w:val="20"/>
              </w:rPr>
              <w:t>ital and determination of RWA.</w:t>
            </w:r>
          </w:p>
        </w:tc>
      </w:tr>
      <w:tr w:rsidR="00F300E8" w:rsidRPr="001F2225" w14:paraId="1E433FB0" w14:textId="77777777" w:rsidTr="00160279">
        <w:trPr>
          <w:trHeight w:val="498"/>
        </w:trPr>
        <w:tc>
          <w:tcPr>
            <w:tcW w:w="1359" w:type="pct"/>
            <w:shd w:val="clear" w:color="auto" w:fill="002060"/>
          </w:tcPr>
          <w:p w14:paraId="4475D55E" w14:textId="77777777" w:rsidR="00F300E8" w:rsidRPr="00160279" w:rsidRDefault="00F300E8" w:rsidP="00F300E8">
            <w:pPr>
              <w:pStyle w:val="APRANORMAL"/>
              <w:spacing w:before="80" w:after="120"/>
              <w:rPr>
                <w:rFonts w:ascii="DIN OT Medium" w:hAnsi="DIN OT Medium"/>
                <w:sz w:val="20"/>
                <w:szCs w:val="20"/>
              </w:rPr>
            </w:pPr>
            <w:r w:rsidRPr="00160279">
              <w:rPr>
                <w:rFonts w:ascii="DIN OT Medium" w:hAnsi="DIN OT Medium"/>
                <w:sz w:val="20"/>
                <w:szCs w:val="20"/>
              </w:rPr>
              <w:t>Option 4: Combination of options 1 - 3</w:t>
            </w:r>
          </w:p>
        </w:tc>
        <w:tc>
          <w:tcPr>
            <w:tcW w:w="3641" w:type="pct"/>
            <w:shd w:val="clear" w:color="auto" w:fill="D9D9D9" w:themeFill="background1" w:themeFillShade="D9"/>
          </w:tcPr>
          <w:p w14:paraId="778757E1" w14:textId="77777777" w:rsidR="00F300E8" w:rsidRPr="00160279" w:rsidRDefault="00F300E8" w:rsidP="00F300E8">
            <w:pPr>
              <w:pStyle w:val="APRABULLET"/>
              <w:numPr>
                <w:ilvl w:val="0"/>
                <w:numId w:val="0"/>
              </w:numPr>
              <w:spacing w:before="80"/>
              <w:rPr>
                <w:sz w:val="20"/>
                <w:szCs w:val="20"/>
              </w:rPr>
            </w:pPr>
            <w:r w:rsidRPr="00160279">
              <w:rPr>
                <w:sz w:val="20"/>
                <w:szCs w:val="20"/>
              </w:rPr>
              <w:t xml:space="preserve">APRA could apply </w:t>
            </w:r>
            <w:r>
              <w:rPr>
                <w:sz w:val="20"/>
                <w:szCs w:val="20"/>
              </w:rPr>
              <w:t xml:space="preserve">a combination of </w:t>
            </w:r>
            <w:r w:rsidRPr="00160279">
              <w:rPr>
                <w:sz w:val="20"/>
                <w:szCs w:val="20"/>
              </w:rPr>
              <w:t xml:space="preserve">options 1 to 3 to different aspects of relative conservatism in APRA's capital framework. </w:t>
            </w:r>
            <w:r>
              <w:rPr>
                <w:sz w:val="20"/>
                <w:szCs w:val="20"/>
              </w:rPr>
              <w:t>The approach applying to specific aspects of relative conservatism would be determined by APRA, taking into acco</w:t>
            </w:r>
            <w:r w:rsidR="00451426">
              <w:rPr>
                <w:sz w:val="20"/>
                <w:szCs w:val="20"/>
              </w:rPr>
              <w:t>unt feedback from consultation.</w:t>
            </w:r>
          </w:p>
        </w:tc>
      </w:tr>
    </w:tbl>
    <w:p w14:paraId="012D76C7" w14:textId="77777777" w:rsidR="00A048E4" w:rsidRDefault="00A048E4" w:rsidP="00A048E4">
      <w:pPr>
        <w:pStyle w:val="APRANORMAL"/>
        <w:spacing w:after="0"/>
      </w:pPr>
    </w:p>
    <w:p w14:paraId="14EEFA9D" w14:textId="1E9B21E6" w:rsidR="00160279" w:rsidRDefault="00160279" w:rsidP="007153E6">
      <w:pPr>
        <w:pStyle w:val="APRANORMAL"/>
        <w:spacing w:before="120"/>
      </w:pPr>
      <w:r>
        <w:t xml:space="preserve">Under option </w:t>
      </w:r>
      <w:r w:rsidR="00F300E8">
        <w:t>1</w:t>
      </w:r>
      <w:r>
        <w:t xml:space="preserve">, APRA would specify adjustments to reported capital and RWA but would not modify the </w:t>
      </w:r>
      <w:r w:rsidR="00857355">
        <w:t xml:space="preserve">current </w:t>
      </w:r>
      <w:r>
        <w:t>capital framework. This option would achieve the objective of improving transparency and comparability of capital ratios</w:t>
      </w:r>
      <w:r w:rsidR="00C8680F">
        <w:t>,</w:t>
      </w:r>
      <w:r>
        <w:t xml:space="preserve"> which would </w:t>
      </w:r>
      <w:r w:rsidR="00F455A3">
        <w:lastRenderedPageBreak/>
        <w:t>improve</w:t>
      </w:r>
      <w:r>
        <w:t xml:space="preserve"> ADIs' ability to participate in international </w:t>
      </w:r>
      <w:r w:rsidR="00A9142C">
        <w:t xml:space="preserve">capital </w:t>
      </w:r>
      <w:r>
        <w:t>markets, particularly during times of market dislocation</w:t>
      </w:r>
      <w:r w:rsidR="00955460">
        <w:t>,</w:t>
      </w:r>
      <w:r>
        <w:t xml:space="preserve"> and give credibility to the adjusted capital ratios. However, </w:t>
      </w:r>
      <w:r w:rsidR="00F455A3">
        <w:t xml:space="preserve">as the ADI capital framework </w:t>
      </w:r>
      <w:r w:rsidR="00C8680F">
        <w:t>would not be</w:t>
      </w:r>
      <w:r w:rsidR="00F455A3">
        <w:t xml:space="preserve"> modified for regulatory purposes, </w:t>
      </w:r>
      <w:r>
        <w:t xml:space="preserve">the comparability of capital ratios </w:t>
      </w:r>
      <w:r w:rsidR="001B724C">
        <w:t xml:space="preserve">may </w:t>
      </w:r>
      <w:r>
        <w:t xml:space="preserve">be hampered by the existence of two </w:t>
      </w:r>
      <w:r w:rsidR="001B724C">
        <w:t xml:space="preserve">APRA-endorsed </w:t>
      </w:r>
      <w:r>
        <w:t>capital ratios</w:t>
      </w:r>
      <w:r w:rsidR="00F31E29">
        <w:t xml:space="preserve"> – a </w:t>
      </w:r>
      <w:r w:rsidR="00A9142C">
        <w:t xml:space="preserve">regulatory </w:t>
      </w:r>
      <w:r w:rsidR="00F31E29">
        <w:t xml:space="preserve">capital ratio and an </w:t>
      </w:r>
      <w:r w:rsidR="00A9142C">
        <w:t xml:space="preserve">additional disclosure-only capital </w:t>
      </w:r>
      <w:r w:rsidR="00F31E29">
        <w:t>ratio</w:t>
      </w:r>
      <w:r>
        <w:t>. This option would involve amendments to reporting and disclosure requirements and would therefore involve some implementation costs as ADIs would need t</w:t>
      </w:r>
      <w:r w:rsidR="00451426">
        <w:t>o amend systems and processes.</w:t>
      </w:r>
    </w:p>
    <w:p w14:paraId="2F110AF0" w14:textId="4DE8C1A0" w:rsidR="00160279" w:rsidRDefault="00160279">
      <w:pPr>
        <w:pStyle w:val="APRANORMAL"/>
      </w:pPr>
      <w:r>
        <w:t xml:space="preserve">Under option </w:t>
      </w:r>
      <w:r w:rsidR="00F300E8">
        <w:t>2</w:t>
      </w:r>
      <w:r>
        <w:t>, APRA would amend the capital framework to use more harmonised definitions of capital and RWA. This approach would satisfy APRA's objectives</w:t>
      </w:r>
      <w:r w:rsidR="00F455A3">
        <w:t xml:space="preserve"> </w:t>
      </w:r>
      <w:r w:rsidR="00FD38AE">
        <w:t>as</w:t>
      </w:r>
      <w:r w:rsidR="00F455A3">
        <w:t xml:space="preserve"> </w:t>
      </w:r>
      <w:r w:rsidR="00FD38AE">
        <w:t>t</w:t>
      </w:r>
      <w:r>
        <w:t>he conservatism APRA applies to capital and RWA would be more transparently understood, comparability of capital ratios would improve</w:t>
      </w:r>
      <w:r w:rsidR="006C10CE">
        <w:t>,</w:t>
      </w:r>
      <w:r>
        <w:t xml:space="preserve"> and flexibility of the capital framework </w:t>
      </w:r>
      <w:r w:rsidR="006C10CE">
        <w:t>would increase</w:t>
      </w:r>
      <w:r w:rsidR="00F25CD6">
        <w:t xml:space="preserve"> </w:t>
      </w:r>
      <w:r>
        <w:t xml:space="preserve">by varying the portions of minimum capital requirements and regulatory capital buffer requirements. As with option </w:t>
      </w:r>
      <w:r w:rsidR="00F300E8">
        <w:t>1</w:t>
      </w:r>
      <w:r>
        <w:t>, this would involve some implementation costs as ADI</w:t>
      </w:r>
      <w:r w:rsidR="00525D48">
        <w:t>s</w:t>
      </w:r>
      <w:r>
        <w:t xml:space="preserve"> would need </w:t>
      </w:r>
      <w:r w:rsidR="00451426">
        <w:t>to amend systems and processes.</w:t>
      </w:r>
    </w:p>
    <w:p w14:paraId="3BDD71FA" w14:textId="40265DB0" w:rsidR="00F300E8" w:rsidRDefault="00F300E8" w:rsidP="00F300E8">
      <w:pPr>
        <w:pStyle w:val="APRANORMAL"/>
        <w:spacing w:before="240"/>
      </w:pPr>
      <w:r>
        <w:t xml:space="preserve">Under option 3, APRA would maintain its current approach to determining capital requirements for ADIs. Adopting this approach would not satisfy any of the objectives to improve the transparency and </w:t>
      </w:r>
      <w:r w:rsidRPr="00596D22">
        <w:t>comparability of the</w:t>
      </w:r>
      <w:r>
        <w:t xml:space="preserve"> ADI capital framework. Potential impediments to comparability of capital ratios arising from self-selection and self-reporting of internationally comparable ADI </w:t>
      </w:r>
      <w:r w:rsidR="00A9142C">
        <w:t xml:space="preserve">capital </w:t>
      </w:r>
      <w:r>
        <w:t>ratios would persist and transparency of the relative conservativism within APRA's capital f</w:t>
      </w:r>
      <w:r w:rsidR="00451426">
        <w:t>ramework would not be improved.</w:t>
      </w:r>
    </w:p>
    <w:p w14:paraId="396A6707" w14:textId="0313DF75" w:rsidR="00160279" w:rsidRDefault="00160279">
      <w:pPr>
        <w:pStyle w:val="APRANORMAL"/>
      </w:pPr>
      <w:r>
        <w:t>Under option 4, a combination of options 1 to 3 would be applied to different aspects of relative conservatism in APRA's capital framework</w:t>
      </w:r>
      <w:r w:rsidR="00955460">
        <w:t xml:space="preserve"> for ADIs</w:t>
      </w:r>
      <w:r>
        <w:t>. There are some aspects of relative conservatism that are not material or are too complex to make an adjustment</w:t>
      </w:r>
      <w:r w:rsidR="00E4795B">
        <w:t>,</w:t>
      </w:r>
      <w:r>
        <w:t xml:space="preserve"> so option 1 would be appropriate. For other aspects, option 2 or 3 would be appropriate</w:t>
      </w:r>
      <w:r w:rsidR="00A9142C">
        <w:t>. T</w:t>
      </w:r>
      <w:r>
        <w:t xml:space="preserve">he use of </w:t>
      </w:r>
      <w:r w:rsidR="00A9142C">
        <w:t xml:space="preserve">the approaches </w:t>
      </w:r>
      <w:r>
        <w:t xml:space="preserve">may vary </w:t>
      </w:r>
      <w:r w:rsidR="00955460">
        <w:t xml:space="preserve">between </w:t>
      </w:r>
      <w:r>
        <w:t xml:space="preserve">standardised and IRB ADIs. </w:t>
      </w:r>
      <w:r w:rsidR="00525D48">
        <w:t>O</w:t>
      </w:r>
      <w:r>
        <w:t>ption</w:t>
      </w:r>
      <w:r w:rsidR="00525D48">
        <w:t xml:space="preserve"> 4</w:t>
      </w:r>
      <w:r>
        <w:t xml:space="preserve"> is likely to provide the greatest benefit as it </w:t>
      </w:r>
      <w:r w:rsidR="00FD67FC">
        <w:t>c</w:t>
      </w:r>
      <w:r>
        <w:t>ould</w:t>
      </w:r>
      <w:r w:rsidDel="00FD67FC">
        <w:t xml:space="preserve"> </w:t>
      </w:r>
      <w:r w:rsidR="00FD67FC">
        <w:t xml:space="preserve">be </w:t>
      </w:r>
      <w:r>
        <w:t>tailored to minimise any unnecessary regulatory burden whil</w:t>
      </w:r>
      <w:r w:rsidR="00CF2D14">
        <w:t>e</w:t>
      </w:r>
      <w:r>
        <w:t xml:space="preserve"> achieving the objectives of improving transparency, comparability and flexibility of the ADI capital framework.</w:t>
      </w:r>
      <w:r>
        <w:br w:type="page"/>
      </w:r>
    </w:p>
    <w:p w14:paraId="41FF3DE7" w14:textId="77777777" w:rsidR="00F21BFB" w:rsidRDefault="00F21BFB" w:rsidP="00EC46FB">
      <w:pPr>
        <w:pStyle w:val="APRANORMAL"/>
      </w:pPr>
    </w:p>
    <w:p w14:paraId="77F68FE5" w14:textId="77777777" w:rsidR="002813DB" w:rsidRDefault="002813DB" w:rsidP="00F21BFB">
      <w:pPr>
        <w:pStyle w:val="APRANORMAL"/>
      </w:pPr>
    </w:p>
    <w:p w14:paraId="48FB413F" w14:textId="77777777" w:rsidR="005F6AE8" w:rsidRPr="005F6AE8" w:rsidRDefault="000F25EC" w:rsidP="000C34C0">
      <w:pPr>
        <w:pStyle w:val="APRANORMAL"/>
      </w:pPr>
      <w:r>
        <w:rPr>
          <w:noProof/>
          <w:lang w:val="en-AU" w:eastAsia="en-AU"/>
        </w:rPr>
        <mc:AlternateContent>
          <mc:Choice Requires="wps">
            <w:drawing>
              <wp:anchor distT="0" distB="0" distL="114300" distR="114300" simplePos="0" relativeHeight="251658240" behindDoc="0" locked="1" layoutInCell="1" allowOverlap="1" wp14:anchorId="35FA6CCE" wp14:editId="0CFA8E87">
                <wp:simplePos x="0" y="0"/>
                <wp:positionH relativeFrom="margin">
                  <wp:align>center</wp:align>
                </wp:positionH>
                <wp:positionV relativeFrom="margin">
                  <wp:align>center</wp:align>
                </wp:positionV>
                <wp:extent cx="7887335" cy="11105515"/>
                <wp:effectExtent l="0" t="0" r="0" b="635"/>
                <wp:wrapNone/>
                <wp:docPr id="9" name="Rectangle 9"/>
                <wp:cNvGraphicFramePr/>
                <a:graphic xmlns:a="http://schemas.openxmlformats.org/drawingml/2006/main">
                  <a:graphicData uri="http://schemas.microsoft.com/office/word/2010/wordprocessingShape">
                    <wps:wsp>
                      <wps:cNvSpPr/>
                      <wps:spPr>
                        <a:xfrm>
                          <a:off x="0" y="0"/>
                          <a:ext cx="7887335" cy="1110551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A48721" id="Rectangle 9" o:spid="_x0000_s1026" style="position:absolute;margin-left:0;margin-top:0;width:621.05pt;height:874.4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" fillcolor="#002060" stroked="f" strokeweight="2pt">
                <w10:wrap anchorx="margin" anchory="margin"/>
                <w10:anchorlock/>
              </v:rect>
            </w:pict>
          </mc:Fallback>
        </mc:AlternateContent>
      </w:r>
      <w:r w:rsidR="00B8477A">
        <w:rPr>
          <w:noProof/>
          <w:lang w:val="en-AU" w:eastAsia="en-AU"/>
        </w:rPr>
        <w:drawing>
          <wp:anchor distT="0" distB="0" distL="114300" distR="114300" simplePos="0" relativeHeight="251658241" behindDoc="0" locked="1" layoutInCell="1" allowOverlap="1" wp14:anchorId="4D09F5A9" wp14:editId="033A9AC7">
            <wp:simplePos x="0" y="0"/>
            <wp:positionH relativeFrom="margin">
              <wp:align>center</wp:align>
            </wp:positionH>
            <wp:positionV relativeFrom="margin">
              <wp:align>center</wp:align>
            </wp:positionV>
            <wp:extent cx="3625200" cy="110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A_logo_Wh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5200" cy="1105200"/>
                    </a:xfrm>
                    <a:prstGeom prst="rect">
                      <a:avLst/>
                    </a:prstGeom>
                  </pic:spPr>
                </pic:pic>
              </a:graphicData>
            </a:graphic>
            <wp14:sizeRelH relativeFrom="page">
              <wp14:pctWidth>0</wp14:pctWidth>
            </wp14:sizeRelH>
            <wp14:sizeRelV relativeFrom="page">
              <wp14:pctHeight>0</wp14:pctHeight>
            </wp14:sizeRelV>
          </wp:anchor>
        </w:drawing>
      </w:r>
    </w:p>
    <w:sectPr w:rsidR="005F6AE8" w:rsidRPr="005F6AE8" w:rsidSect="008511E7">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95469" w14:textId="77777777" w:rsidR="00CD363A" w:rsidRDefault="00CD363A" w:rsidP="007A463E">
      <w:pPr>
        <w:spacing w:after="0"/>
      </w:pPr>
      <w:r>
        <w:separator/>
      </w:r>
    </w:p>
    <w:p w14:paraId="680840CB" w14:textId="77777777" w:rsidR="00CD363A" w:rsidRDefault="00CD363A"/>
    <w:p w14:paraId="1FAAA74E" w14:textId="77777777" w:rsidR="00CD363A" w:rsidRDefault="00CD363A"/>
    <w:p w14:paraId="70E122F7" w14:textId="77777777" w:rsidR="00CD363A" w:rsidRDefault="00CD363A"/>
    <w:p w14:paraId="08075073" w14:textId="77777777" w:rsidR="00CD363A" w:rsidRDefault="00CD363A"/>
    <w:p w14:paraId="1BA602DA" w14:textId="77777777" w:rsidR="00CD363A" w:rsidRDefault="00CD363A"/>
  </w:endnote>
  <w:endnote w:type="continuationSeparator" w:id="0">
    <w:p w14:paraId="7C4FCEA8" w14:textId="77777777" w:rsidR="00CD363A" w:rsidRDefault="00CD363A" w:rsidP="007A463E">
      <w:pPr>
        <w:spacing w:after="0"/>
      </w:pPr>
      <w:r>
        <w:continuationSeparator/>
      </w:r>
    </w:p>
    <w:p w14:paraId="1CB8099B" w14:textId="77777777" w:rsidR="00CD363A" w:rsidRDefault="00CD363A"/>
    <w:p w14:paraId="5B553B7A" w14:textId="77777777" w:rsidR="00CD363A" w:rsidRDefault="00CD363A"/>
    <w:p w14:paraId="6FD78BB0" w14:textId="77777777" w:rsidR="00CD363A" w:rsidRDefault="00CD363A"/>
    <w:p w14:paraId="3B16CD02" w14:textId="77777777" w:rsidR="00CD363A" w:rsidRDefault="00CD363A"/>
    <w:p w14:paraId="74C3991E" w14:textId="77777777" w:rsidR="00CD363A" w:rsidRDefault="00CD363A"/>
  </w:endnote>
  <w:endnote w:type="continuationNotice" w:id="1">
    <w:p w14:paraId="46C25020" w14:textId="77777777" w:rsidR="00CD363A" w:rsidRDefault="00CD36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T">
    <w:altName w:val="MV Boli"/>
    <w:charset w:val="00"/>
    <w:family w:val="swiss"/>
    <w:pitch w:val="variable"/>
    <w:sig w:usb0="800000EF" w:usb1="4000A47B" w:usb2="00000000" w:usb3="00000000" w:csb0="00000001" w:csb1="00000000"/>
  </w:font>
  <w:font w:name="DIN Offc Light">
    <w:altName w:val="Segoe Script"/>
    <w:charset w:val="00"/>
    <w:family w:val="swiss"/>
    <w:pitch w:val="variable"/>
    <w:sig w:usb0="00000003" w:usb1="4000A47B" w:usb2="00000000" w:usb3="00000000" w:csb0="00000001" w:csb1="00000000"/>
  </w:font>
  <w:font w:name="DIN OT Medium">
    <w:altName w:val="Arial"/>
    <w:charset w:val="00"/>
    <w:family w:val="swiss"/>
    <w:pitch w:val="variable"/>
    <w:sig w:usb0="800000EF" w:usb1="4000A47B" w:usb2="00000000" w:usb3="00000000" w:csb0="00000001" w:csb1="00000000"/>
  </w:font>
  <w:font w:name="DIN OT Light">
    <w:altName w:val="MV Boli"/>
    <w:charset w:val="00"/>
    <w:family w:val="swiss"/>
    <w:pitch w:val="variable"/>
    <w:sig w:usb0="800000EF" w:usb1="4000A4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 Offc">
    <w:altName w:val="Segoe Script"/>
    <w:charset w:val="00"/>
    <w:family w:val="swiss"/>
    <w:pitch w:val="variable"/>
    <w:sig w:usb0="00000003" w:usb1="4000A47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422A2" w14:textId="77777777" w:rsidR="00D41CC1" w:rsidRDefault="00D41C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B6340" w14:textId="3E336716" w:rsidR="004B7595" w:rsidRPr="00A43B0B" w:rsidRDefault="004B7595" w:rsidP="005D1D3A">
    <w:pPr>
      <w:pStyle w:val="Footer"/>
      <w:rPr>
        <w:rFonts w:ascii="DIN OT Light" w:hAnsi="DIN OT Light"/>
      </w:rPr>
    </w:pPr>
    <w:r w:rsidRPr="00A43B0B">
      <w:rPr>
        <w:rFonts w:ascii="DIN OT Light" w:hAnsi="DIN OT Light"/>
        <w:noProof/>
        <w:spacing w:val="10"/>
        <w:sz w:val="16"/>
        <w:szCs w:val="16"/>
        <w:lang w:eastAsia="en-AU"/>
      </w:rPr>
      <mc:AlternateContent>
        <mc:Choice Requires="wps">
          <w:drawing>
            <wp:anchor distT="0" distB="0" distL="114300" distR="114300" simplePos="0" relativeHeight="251658240" behindDoc="0" locked="0" layoutInCell="1" allowOverlap="1" wp14:anchorId="7438A26E" wp14:editId="4653972A">
              <wp:simplePos x="0" y="0"/>
              <wp:positionH relativeFrom="column">
                <wp:posOffset>-971550</wp:posOffset>
              </wp:positionH>
              <wp:positionV relativeFrom="paragraph">
                <wp:posOffset>283210</wp:posOffset>
              </wp:positionV>
              <wp:extent cx="7677150" cy="276225"/>
              <wp:effectExtent l="0" t="0" r="0" b="9525"/>
              <wp:wrapNone/>
              <wp:docPr id="5" name="Rectangle 5"/>
              <wp:cNvGraphicFramePr/>
              <a:graphic xmlns:a="http://schemas.openxmlformats.org/drawingml/2006/main">
                <a:graphicData uri="http://schemas.microsoft.com/office/word/2010/wordprocessingShape">
                  <wps:wsp>
                    <wps:cNvSpPr/>
                    <wps:spPr>
                      <a:xfrm>
                        <a:off x="0" y="0"/>
                        <a:ext cx="7677150" cy="2762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BEECD9" id="Rectangle 5" o:spid="_x0000_s1026" style="position:absolute;margin-left:-76.5pt;margin-top:22.3pt;width:604.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" fillcolor="#00b0f0" stroked="f" strokeweight="2pt"/>
          </w:pict>
        </mc:Fallback>
      </mc:AlternateContent>
    </w:r>
    <w:sdt>
      <w:sdtPr>
        <w:rPr>
          <w:rFonts w:ascii="DIN OT Light" w:hAnsi="DIN OT Light"/>
        </w:rPr>
        <w:id w:val="1960831827"/>
        <w:docPartObj>
          <w:docPartGallery w:val="Page Numbers (Bottom of Page)"/>
          <w:docPartUnique/>
        </w:docPartObj>
      </w:sdtPr>
      <w:sdtEndPr/>
      <w:sdtContent>
        <w:sdt>
          <w:sdtPr>
            <w:rPr>
              <w:rFonts w:ascii="DIN OT Light" w:hAnsi="DIN OT Light"/>
            </w:rPr>
            <w:id w:val="922769774"/>
            <w:docPartObj>
              <w:docPartGallery w:val="Page Numbers (Top of Page)"/>
              <w:docPartUnique/>
            </w:docPartObj>
          </w:sdtPr>
          <w:sdtEndPr/>
          <w:sdtContent>
            <w:r w:rsidRPr="00A43B0B">
              <w:rPr>
                <w:rFonts w:ascii="DIN OT Light" w:hAnsi="DIN OT Light"/>
                <w:spacing w:val="10"/>
                <w:sz w:val="16"/>
                <w:szCs w:val="16"/>
              </w:rPr>
              <w:t>AUSTRALIAN PRUDENTIAL REGULATION AUTHORITY</w:t>
            </w:r>
            <w:r w:rsidRPr="00A43B0B">
              <w:rPr>
                <w:rFonts w:ascii="DIN OT Light" w:hAnsi="DIN OT Light"/>
              </w:rPr>
              <w:t xml:space="preserve"> </w:t>
            </w:r>
            <w:r w:rsidRPr="00A43B0B">
              <w:rPr>
                <w:rFonts w:ascii="DIN OT Light" w:hAnsi="DIN OT Light"/>
              </w:rPr>
              <w:tab/>
            </w:r>
            <w:r w:rsidRPr="00A43B0B">
              <w:rPr>
                <w:rFonts w:ascii="DIN OT Light" w:hAnsi="DIN OT Light"/>
              </w:rPr>
              <w:tab/>
            </w:r>
            <w:r w:rsidRPr="00A43B0B">
              <w:rPr>
                <w:rFonts w:ascii="DIN OT Light" w:hAnsi="DIN OT Light"/>
                <w:bCs/>
                <w:szCs w:val="18"/>
              </w:rPr>
              <w:fldChar w:fldCharType="begin"/>
            </w:r>
            <w:r w:rsidRPr="00A43B0B">
              <w:rPr>
                <w:rFonts w:ascii="DIN OT Light" w:hAnsi="DIN OT Light"/>
                <w:bCs/>
                <w:szCs w:val="18"/>
              </w:rPr>
              <w:instrText xml:space="preserve"> PAGE </w:instrText>
            </w:r>
            <w:r w:rsidRPr="00A43B0B">
              <w:rPr>
                <w:rFonts w:ascii="DIN OT Light" w:hAnsi="DIN OT Light"/>
                <w:bCs/>
                <w:szCs w:val="18"/>
              </w:rPr>
              <w:fldChar w:fldCharType="separate"/>
            </w:r>
            <w:r w:rsidR="00D41CC1">
              <w:rPr>
                <w:rFonts w:ascii="DIN OT Light" w:hAnsi="DIN OT Light"/>
                <w:bCs/>
                <w:noProof/>
                <w:szCs w:val="18"/>
              </w:rPr>
              <w:t>2</w:t>
            </w:r>
            <w:r w:rsidRPr="00A43B0B">
              <w:rPr>
                <w:rFonts w:ascii="DIN OT Light" w:hAnsi="DIN OT Light"/>
                <w:bCs/>
                <w:szCs w:val="18"/>
              </w:rPr>
              <w:fldChar w:fldCharType="end"/>
            </w:r>
          </w:sdtContent>
        </w:sdt>
      </w:sdtContent>
    </w:sdt>
  </w:p>
  <w:p w14:paraId="741B5C06" w14:textId="092EB954" w:rsidR="004B7595" w:rsidRDefault="008B6321">
    <w:r w:rsidRPr="00A43B0B">
      <w:rPr>
        <w:rFonts w:ascii="DIN OT Light" w:hAnsi="DIN OT Light"/>
        <w:noProof/>
        <w:color w:val="00B0F0"/>
        <w:sz w:val="24"/>
        <w:szCs w:val="24"/>
        <w:lang w:eastAsia="en-AU"/>
      </w:rPr>
      <mc:AlternateContent>
        <mc:Choice Requires="wps">
          <w:drawing>
            <wp:anchor distT="0" distB="0" distL="114300" distR="114300" simplePos="0" relativeHeight="251658243" behindDoc="0" locked="0" layoutInCell="1" allowOverlap="1" wp14:anchorId="57339DF0" wp14:editId="27ECE680">
              <wp:simplePos x="0" y="0"/>
              <wp:positionH relativeFrom="column">
                <wp:posOffset>-9525</wp:posOffset>
              </wp:positionH>
              <wp:positionV relativeFrom="paragraph">
                <wp:posOffset>135890</wp:posOffset>
              </wp:positionV>
              <wp:extent cx="2733675" cy="277200"/>
              <wp:effectExtent l="0" t="0" r="9525" b="8890"/>
              <wp:wrapNone/>
              <wp:docPr id="6" name="Rectangle 6"/>
              <wp:cNvGraphicFramePr/>
              <a:graphic xmlns:a="http://schemas.openxmlformats.org/drawingml/2006/main">
                <a:graphicData uri="http://schemas.microsoft.com/office/word/2010/wordprocessingShape">
                  <wps:wsp>
                    <wps:cNvSpPr/>
                    <wps:spPr>
                      <a:xfrm>
                        <a:off x="0" y="0"/>
                        <a:ext cx="2733675" cy="277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90C7CF" id="Rectangle 6" o:spid="_x0000_s1026" style="position:absolute;margin-left:-.75pt;margin-top:10.7pt;width:215.25pt;height:2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" fillcolor="#002060" stroked="f"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B540B" w14:textId="77777777" w:rsidR="00D41CC1" w:rsidRDefault="00D41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BB82B" w14:textId="77777777" w:rsidR="00CD363A" w:rsidRPr="000C34C0" w:rsidRDefault="00CD363A" w:rsidP="000C34C0">
      <w:pPr>
        <w:pStyle w:val="Footer"/>
      </w:pPr>
    </w:p>
    <w:p w14:paraId="28855451" w14:textId="77777777" w:rsidR="00CD363A" w:rsidRDefault="00CD363A" w:rsidP="00E659C0">
      <w:pPr>
        <w:spacing w:after="0"/>
      </w:pPr>
    </w:p>
  </w:footnote>
  <w:footnote w:type="continuationSeparator" w:id="0">
    <w:p w14:paraId="0FEE131C" w14:textId="77777777" w:rsidR="00CD363A" w:rsidRDefault="00CD363A" w:rsidP="007A463E">
      <w:pPr>
        <w:spacing w:after="0"/>
      </w:pPr>
      <w:r>
        <w:continuationSeparator/>
      </w:r>
    </w:p>
    <w:p w14:paraId="3B5FCB00" w14:textId="77777777" w:rsidR="00CD363A" w:rsidRDefault="00CD363A"/>
    <w:p w14:paraId="64FB90D2" w14:textId="77777777" w:rsidR="00CD363A" w:rsidRDefault="00CD363A"/>
    <w:p w14:paraId="21EFAF9E" w14:textId="77777777" w:rsidR="00CD363A" w:rsidRDefault="00CD363A"/>
    <w:p w14:paraId="03310663" w14:textId="77777777" w:rsidR="00CD363A" w:rsidRDefault="00CD363A"/>
    <w:p w14:paraId="0ACEAA1B" w14:textId="77777777" w:rsidR="00CD363A" w:rsidRDefault="00CD363A"/>
  </w:footnote>
  <w:footnote w:type="continuationNotice" w:id="1">
    <w:p w14:paraId="54EA780D" w14:textId="77777777" w:rsidR="00CD363A" w:rsidRDefault="00CD363A">
      <w:pPr>
        <w:spacing w:after="0"/>
      </w:pPr>
    </w:p>
  </w:footnote>
  <w:footnote w:id="2">
    <w:p w14:paraId="2A338413" w14:textId="59B5BC83" w:rsidR="004B7595" w:rsidRDefault="004B7595">
      <w:pPr>
        <w:pStyle w:val="FootnoteText"/>
      </w:pPr>
      <w:r>
        <w:rPr>
          <w:rStyle w:val="FootnoteReference"/>
        </w:rPr>
        <w:footnoteRef/>
      </w:r>
      <w:r>
        <w:t xml:space="preserve"> Financial System Inquiry, </w:t>
      </w:r>
      <w:r>
        <w:rPr>
          <w:i/>
        </w:rPr>
        <w:t xml:space="preserve">Final Report </w:t>
      </w:r>
      <w:r>
        <w:t>(November 2014).</w:t>
      </w:r>
    </w:p>
  </w:footnote>
  <w:footnote w:id="3">
    <w:p w14:paraId="318E35A3" w14:textId="5EA7618D" w:rsidR="004B7595" w:rsidRDefault="004B7595">
      <w:pPr>
        <w:pStyle w:val="FootnoteText"/>
      </w:pPr>
      <w:r>
        <w:rPr>
          <w:rStyle w:val="FootnoteReference"/>
        </w:rPr>
        <w:footnoteRef/>
      </w:r>
      <w:r>
        <w:t xml:space="preserve"> </w:t>
      </w:r>
      <w:r w:rsidRPr="00E20C00">
        <w:t xml:space="preserve">APRA, </w:t>
      </w:r>
      <w:r w:rsidRPr="00E20C00">
        <w:rPr>
          <w:i/>
        </w:rPr>
        <w:t>Strengthening banking sector resilience: establishing unquestionably strong capital ratios</w:t>
      </w:r>
      <w:r w:rsidRPr="00E20C00">
        <w:t xml:space="preserve"> (Information Paper, July 2017), available at: </w:t>
      </w:r>
      <w:hyperlink r:id="rId1" w:history="1">
        <w:r w:rsidRPr="00E20C00">
          <w:rPr>
            <w:rStyle w:val="Hyperlink"/>
            <w:rFonts w:ascii="DIN OT Light" w:hAnsi="DIN OT Light"/>
            <w:sz w:val="18"/>
          </w:rPr>
          <w:t>https://www.apra.gov.au/information-papers-released-apra</w:t>
        </w:r>
      </w:hyperlink>
      <w:r>
        <w:rPr>
          <w:rStyle w:val="Hyperlink"/>
          <w:rFonts w:ascii="DIN OT Light" w:hAnsi="DIN OT Light"/>
          <w:sz w:val="18"/>
        </w:rPr>
        <w:t>.</w:t>
      </w:r>
    </w:p>
  </w:footnote>
  <w:footnote w:id="4">
    <w:p w14:paraId="5BAE82CD" w14:textId="56564E50" w:rsidR="004B7595" w:rsidRDefault="004B7595">
      <w:pPr>
        <w:pStyle w:val="FootnoteText"/>
      </w:pPr>
      <w:r>
        <w:rPr>
          <w:rStyle w:val="FootnoteReference"/>
        </w:rPr>
        <w:footnoteRef/>
      </w:r>
      <w:r>
        <w:t xml:space="preserve"> APRA, </w:t>
      </w:r>
      <w:r w:rsidRPr="00AE419A">
        <w:rPr>
          <w:i/>
        </w:rPr>
        <w:t>Revisions to the capital framework for authorised deposit-taking institutions</w:t>
      </w:r>
      <w:r>
        <w:t xml:space="preserve"> (Discussion Paper, February 2018), available at: </w:t>
      </w:r>
      <w:hyperlink r:id="rId2" w:history="1">
        <w:r w:rsidRPr="003E6B9F">
          <w:rPr>
            <w:rStyle w:val="Hyperlink"/>
            <w:rFonts w:ascii="DIN OT Light" w:hAnsi="DIN OT Light"/>
            <w:sz w:val="18"/>
          </w:rPr>
          <w:t>https://www.apra.gov.au/implementing-basel-iii-capital-reforms-australia</w:t>
        </w:r>
      </w:hyperlink>
      <w:r>
        <w:rPr>
          <w:rStyle w:val="Hyperlink"/>
          <w:rFonts w:ascii="DIN OT Light" w:hAnsi="DIN OT Light"/>
          <w:sz w:val="18"/>
        </w:rPr>
        <w:t>.</w:t>
      </w:r>
    </w:p>
  </w:footnote>
  <w:footnote w:id="5">
    <w:p w14:paraId="1B5AE43B" w14:textId="2A61E023" w:rsidR="004B7595" w:rsidRPr="008A7F5E" w:rsidRDefault="004B7595">
      <w:pPr>
        <w:pStyle w:val="FootnoteText"/>
      </w:pPr>
      <w:r>
        <w:rPr>
          <w:rStyle w:val="FootnoteReference"/>
        </w:rPr>
        <w:footnoteRef/>
      </w:r>
      <w:r>
        <w:t xml:space="preserve"> Financial System Inquiry, </w:t>
      </w:r>
      <w:r>
        <w:rPr>
          <w:i/>
        </w:rPr>
        <w:t xml:space="preserve">Final Report </w:t>
      </w:r>
      <w:r>
        <w:t xml:space="preserve">(March 1997); Financial System Inquiry, </w:t>
      </w:r>
      <w:r>
        <w:rPr>
          <w:i/>
        </w:rPr>
        <w:t xml:space="preserve">Final Report </w:t>
      </w:r>
      <w:r>
        <w:t>(November 2014).</w:t>
      </w:r>
    </w:p>
  </w:footnote>
  <w:footnote w:id="6">
    <w:p w14:paraId="1A1DDA95" w14:textId="532E6FAE" w:rsidR="004B7595" w:rsidRDefault="004B7595">
      <w:pPr>
        <w:pStyle w:val="FootnoteText"/>
      </w:pPr>
      <w:r>
        <w:rPr>
          <w:rStyle w:val="FootnoteReference"/>
        </w:rPr>
        <w:footnoteRef/>
      </w:r>
      <w:r>
        <w:t xml:space="preserve"> </w:t>
      </w:r>
      <w:r>
        <w:rPr>
          <w:szCs w:val="18"/>
        </w:rPr>
        <w:t xml:space="preserve">Basel Committee on Banking Supervision, </w:t>
      </w:r>
      <w:r>
        <w:rPr>
          <w:i/>
          <w:iCs/>
          <w:szCs w:val="18"/>
        </w:rPr>
        <w:t>Basel III: Finalising post-crisis reforms</w:t>
      </w:r>
      <w:r>
        <w:rPr>
          <w:szCs w:val="18"/>
        </w:rPr>
        <w:t xml:space="preserve"> (December 2017), available at: </w:t>
      </w:r>
      <w:hyperlink r:id="rId3" w:history="1">
        <w:r w:rsidRPr="00DA6C43">
          <w:rPr>
            <w:rStyle w:val="Hyperlink"/>
            <w:rFonts w:ascii="DIN OT Light" w:hAnsi="DIN OT Light"/>
            <w:sz w:val="18"/>
            <w:szCs w:val="18"/>
          </w:rPr>
          <w:t>https://www.bis.org/bcbs/publ/d424.htm</w:t>
        </w:r>
      </w:hyperlink>
      <w:r>
        <w:rPr>
          <w:rStyle w:val="Hyperlink"/>
          <w:rFonts w:ascii="DIN OT Light" w:hAnsi="DIN OT Light"/>
          <w:sz w:val="18"/>
          <w:szCs w:val="18"/>
        </w:rPr>
        <w:t>.</w:t>
      </w:r>
    </w:p>
  </w:footnote>
  <w:footnote w:id="7">
    <w:p w14:paraId="24D56665" w14:textId="26316DB0" w:rsidR="004B7595" w:rsidRDefault="004B7595" w:rsidP="00286AB8">
      <w:pPr>
        <w:pStyle w:val="FootnoteText"/>
      </w:pPr>
      <w:r>
        <w:rPr>
          <w:rStyle w:val="FootnoteReference"/>
        </w:rPr>
        <w:footnoteRef/>
      </w:r>
      <w:r>
        <w:t xml:space="preserve"> </w:t>
      </w:r>
      <w:r w:rsidRPr="0020575E">
        <w:t xml:space="preserve">See </w:t>
      </w:r>
      <w:r>
        <w:t xml:space="preserve">APRA, </w:t>
      </w:r>
      <w:r>
        <w:rPr>
          <w:i/>
        </w:rPr>
        <w:t xml:space="preserve">International capital comparison study, </w:t>
      </w:r>
      <w:r>
        <w:t xml:space="preserve">(Information Paper, </w:t>
      </w:r>
      <w:r w:rsidRPr="007E181E">
        <w:t>July 2015</w:t>
      </w:r>
      <w:r>
        <w:t>)</w:t>
      </w:r>
      <w:r w:rsidRPr="007E181E">
        <w:t xml:space="preserve"> </w:t>
      </w:r>
      <w:r w:rsidRPr="0020575E">
        <w:t>for more detail</w:t>
      </w:r>
      <w:r>
        <w:t xml:space="preserve">, available at:  </w:t>
      </w:r>
      <w:hyperlink r:id="rId4" w:history="1">
        <w:r w:rsidRPr="00F10553">
          <w:rPr>
            <w:rStyle w:val="Hyperlink"/>
            <w:rFonts w:ascii="DIN OT Light" w:hAnsi="DIN OT Light"/>
            <w:sz w:val="18"/>
          </w:rPr>
          <w:t>https://www.apra.gov.au/information-papers-released-apra</w:t>
        </w:r>
      </w:hyperlink>
      <w:r>
        <w:rPr>
          <w:rStyle w:val="Hyperlink"/>
          <w:rFonts w:ascii="DIN OT Light" w:hAnsi="DIN OT Light"/>
          <w:sz w:val="18"/>
        </w:rPr>
        <w:t>.</w:t>
      </w:r>
    </w:p>
  </w:footnote>
  <w:footnote w:id="8">
    <w:p w14:paraId="106587B1" w14:textId="0964E99A" w:rsidR="004B7595" w:rsidRDefault="004B7595">
      <w:pPr>
        <w:pStyle w:val="FootnoteText"/>
      </w:pPr>
      <w:r>
        <w:rPr>
          <w:rStyle w:val="FootnoteReference"/>
        </w:rPr>
        <w:footnoteRef/>
      </w:r>
      <w:r>
        <w:t xml:space="preserve"> </w:t>
      </w:r>
      <w:r w:rsidRPr="004A4E41">
        <w:t>This change was announced in July 2015 and represented APRA’s interim response to Recommendation 2 of the F</w:t>
      </w:r>
      <w:r>
        <w:t xml:space="preserve">inancial System Inquiry (2014) </w:t>
      </w:r>
      <w:r w:rsidRPr="004A4E41">
        <w:t>that APRA raise the average IRB mortgage risk</w:t>
      </w:r>
      <w:r>
        <w:t xml:space="preserve"> </w:t>
      </w:r>
      <w:r w:rsidRPr="004A4E41">
        <w:t>weight to narrow the difference between IRB and standardised risk</w:t>
      </w:r>
      <w:r>
        <w:t xml:space="preserve"> </w:t>
      </w:r>
      <w:r w:rsidRPr="004A4E41">
        <w:t>weights.</w:t>
      </w:r>
      <w:r>
        <w:t xml:space="preserve"> See </w:t>
      </w:r>
      <w:hyperlink r:id="rId5" w:history="1">
        <w:r w:rsidRPr="00F3790D">
          <w:rPr>
            <w:rStyle w:val="Hyperlink"/>
            <w:rFonts w:ascii="DIN OT Light" w:hAnsi="DIN OT Light"/>
            <w:sz w:val="18"/>
          </w:rPr>
          <w:t>https://www.apra.gov.au/media-centre/media-releases/apra-increases-capital-adequacy-requirements-residential-mortgage</w:t>
        </w:r>
      </w:hyperlink>
      <w:r>
        <w:t xml:space="preserve">. </w:t>
      </w:r>
    </w:p>
  </w:footnote>
  <w:footnote w:id="9">
    <w:p w14:paraId="4AC3AAE4" w14:textId="51497CD0" w:rsidR="004B7595" w:rsidRDefault="004B7595">
      <w:pPr>
        <w:pStyle w:val="FootnoteText"/>
      </w:pPr>
      <w:r>
        <w:rPr>
          <w:rStyle w:val="FootnoteReference"/>
        </w:rPr>
        <w:footnoteRef/>
      </w:r>
      <w:r>
        <w:t xml:space="preserve"> The latest comprehensive quantitative impact study undertaken was based on data as at June 2017. APRA expects that more recent calculations would not be materially different from the figures presented in Table 1.</w:t>
      </w:r>
    </w:p>
  </w:footnote>
  <w:footnote w:id="10">
    <w:p w14:paraId="3D56105A" w14:textId="45EA8FA1" w:rsidR="004B7595" w:rsidRDefault="004B7595">
      <w:pPr>
        <w:pStyle w:val="FootnoteText"/>
      </w:pPr>
      <w:r>
        <w:rPr>
          <w:rStyle w:val="FootnoteReference"/>
        </w:rPr>
        <w:footnoteRef/>
      </w:r>
      <w:r>
        <w:t xml:space="preserve"> Under APRA’s standardised approach, t</w:t>
      </w:r>
      <w:r w:rsidRPr="00A02E15">
        <w:t>he average risk weight for residential mortgages is approximately 38 per cent as at June 2017.</w:t>
      </w:r>
    </w:p>
  </w:footnote>
  <w:footnote w:id="11">
    <w:p w14:paraId="24E19C2D" w14:textId="02376721" w:rsidR="004B7595" w:rsidRDefault="004B7595">
      <w:pPr>
        <w:pStyle w:val="FootnoteText"/>
      </w:pPr>
      <w:r>
        <w:rPr>
          <w:rStyle w:val="FootnoteReference"/>
        </w:rPr>
        <w:footnoteRef/>
      </w:r>
      <w:r>
        <w:t xml:space="preserve"> </w:t>
      </w:r>
      <w:r w:rsidRPr="0014531C">
        <w:t>The impact on standardised ADIs</w:t>
      </w:r>
      <w:r>
        <w:t>’</w:t>
      </w:r>
      <w:r w:rsidRPr="0014531C">
        <w:t xml:space="preserve"> reported CET1 ratios varies considerably by ADI; </w:t>
      </w:r>
      <w:r>
        <w:t>a</w:t>
      </w:r>
      <w:r w:rsidRPr="0014531C">
        <w:t>veraged across all standardised ADIs, the impact on reported CET1 ratios is estimated to be between 100 and 150 basis points.</w:t>
      </w:r>
    </w:p>
  </w:footnote>
  <w:footnote w:id="12">
    <w:p w14:paraId="2D5B1768" w14:textId="1C19FD3C" w:rsidR="004B7595" w:rsidRPr="00BF0A3C" w:rsidRDefault="004B7595">
      <w:pPr>
        <w:pStyle w:val="FootnoteText"/>
      </w:pPr>
      <w:r>
        <w:rPr>
          <w:rStyle w:val="FootnoteReference"/>
        </w:rPr>
        <w:footnoteRef/>
      </w:r>
      <w:r>
        <w:t xml:space="preserve"> </w:t>
      </w:r>
      <w:r w:rsidRPr="005041FC">
        <w:t xml:space="preserve">APRA, </w:t>
      </w:r>
      <w:r w:rsidRPr="005041FC">
        <w:rPr>
          <w:i/>
        </w:rPr>
        <w:t>Strengthening banking sector resilience: establishing unquestionably strong capital ratios</w:t>
      </w:r>
      <w:r w:rsidRPr="005041FC">
        <w:t xml:space="preserve"> (Information Paper, July 2017), available at: </w:t>
      </w:r>
      <w:hyperlink r:id="rId6" w:history="1">
        <w:r w:rsidRPr="00F10553">
          <w:rPr>
            <w:rStyle w:val="Hyperlink"/>
            <w:rFonts w:ascii="DIN OT Light" w:hAnsi="DIN OT Light"/>
            <w:sz w:val="18"/>
          </w:rPr>
          <w:t>https://www.apra.gov.au/information-papers-released-apra</w:t>
        </w:r>
      </w:hyperlink>
      <w:r>
        <w:rPr>
          <w:rStyle w:val="Hyperlink"/>
          <w:rFonts w:ascii="DIN OT Light" w:hAnsi="DIN OT Light"/>
          <w:sz w:val="18"/>
        </w:rPr>
        <w:t>.</w:t>
      </w:r>
    </w:p>
  </w:footnote>
  <w:footnote w:id="13">
    <w:p w14:paraId="73560259" w14:textId="1E55C81C" w:rsidR="004B7595" w:rsidRDefault="004B7595" w:rsidP="00990968">
      <w:pPr>
        <w:pStyle w:val="FootnoteText"/>
      </w:pPr>
      <w:r>
        <w:rPr>
          <w:rStyle w:val="FootnoteReference"/>
        </w:rPr>
        <w:footnoteRef/>
      </w:r>
      <w:r>
        <w:t xml:space="preserve"> APRA, </w:t>
      </w:r>
      <w:r w:rsidRPr="00AE419A">
        <w:rPr>
          <w:i/>
        </w:rPr>
        <w:t>Revisions to the capital framework for authorised deposit-taking institutions</w:t>
      </w:r>
      <w:r>
        <w:t xml:space="preserve"> (Discussion Paper, February 2018), available at: </w:t>
      </w:r>
      <w:hyperlink r:id="rId7" w:history="1">
        <w:r w:rsidRPr="003E6B9F">
          <w:rPr>
            <w:rStyle w:val="Hyperlink"/>
            <w:rFonts w:ascii="DIN OT Light" w:hAnsi="DIN OT Light"/>
            <w:sz w:val="18"/>
          </w:rPr>
          <w:t>https://www.apra.gov.au/implementing-basel-iii-capital-reforms-australia</w:t>
        </w:r>
      </w:hyperlink>
      <w:r>
        <w:rPr>
          <w:rStyle w:val="Hyperlink"/>
          <w:rFonts w:ascii="DIN OT Light" w:hAnsi="DIN OT Light"/>
          <w:sz w:val="18"/>
        </w:rPr>
        <w:t>.</w:t>
      </w:r>
      <w:r>
        <w:t xml:space="preserve"> </w:t>
      </w:r>
    </w:p>
  </w:footnote>
  <w:footnote w:id="14">
    <w:p w14:paraId="46F07B16" w14:textId="77777777" w:rsidR="004B7595" w:rsidRDefault="004B7595">
      <w:pPr>
        <w:pStyle w:val="FootnoteText"/>
      </w:pPr>
      <w:r>
        <w:rPr>
          <w:rStyle w:val="FootnoteReference"/>
        </w:rPr>
        <w:footnoteRef/>
      </w:r>
      <w:r>
        <w:t xml:space="preserve"> The other two pillars of the framework are the minimum capital requirements themselves (Pillar 1); and the supervisory review process (Pillar 2).</w:t>
      </w:r>
    </w:p>
  </w:footnote>
  <w:footnote w:id="15">
    <w:p w14:paraId="3C84A8E9" w14:textId="23B87943" w:rsidR="004B7595" w:rsidRDefault="004B7595" w:rsidP="00C730DD">
      <w:pPr>
        <w:pStyle w:val="FootnoteText"/>
      </w:pPr>
      <w:r>
        <w:rPr>
          <w:rStyle w:val="FootnoteReference"/>
        </w:rPr>
        <w:footnoteRef/>
      </w:r>
      <w:r>
        <w:t xml:space="preserve"> </w:t>
      </w:r>
      <w:r w:rsidRPr="00BC6391">
        <w:t xml:space="preserve">See APRA, </w:t>
      </w:r>
      <w:r w:rsidRPr="00BC6391">
        <w:rPr>
          <w:i/>
        </w:rPr>
        <w:t xml:space="preserve">International capital comparison study, </w:t>
      </w:r>
      <w:r w:rsidRPr="00BC6391">
        <w:t>(Information Paper, July 2015) for more detail, available at</w:t>
      </w:r>
      <w:r w:rsidRPr="00FB080C">
        <w:t xml:space="preserve"> </w:t>
      </w:r>
      <w:hyperlink r:id="rId8" w:history="1">
        <w:r w:rsidRPr="00F10553">
          <w:rPr>
            <w:rStyle w:val="Hyperlink"/>
            <w:rFonts w:ascii="DIN OT Light" w:hAnsi="DIN OT Light"/>
            <w:sz w:val="18"/>
          </w:rPr>
          <w:t>https://www.apra.gov.au/information-papers-released-apra</w:t>
        </w:r>
      </w:hyperlink>
      <w:r>
        <w:rPr>
          <w:rStyle w:val="Hyperlink"/>
          <w:rFonts w:ascii="DIN OT Light" w:hAnsi="DIN OT Light"/>
          <w:sz w:val="18"/>
        </w:rPr>
        <w:t>.</w:t>
      </w:r>
      <w:r w:rsidRPr="00BC6391" w:rsidDel="00FB080C">
        <w:t xml:space="preserve"> </w:t>
      </w:r>
    </w:p>
  </w:footnote>
  <w:footnote w:id="16">
    <w:p w14:paraId="4850B9AD" w14:textId="77777777" w:rsidR="004B7595" w:rsidRDefault="004B7595" w:rsidP="00C730DD">
      <w:pPr>
        <w:pStyle w:val="FootnoteText"/>
      </w:pPr>
      <w:r>
        <w:rPr>
          <w:rStyle w:val="FootnoteReference"/>
        </w:rPr>
        <w:footnoteRef/>
      </w:r>
      <w:r>
        <w:t xml:space="preserve"> </w:t>
      </w:r>
      <w:r w:rsidRPr="00081CE4">
        <w:t xml:space="preserve">Financial System Inquiry, </w:t>
      </w:r>
      <w:r w:rsidRPr="008D6AD6">
        <w:rPr>
          <w:i/>
        </w:rPr>
        <w:t>Final Report</w:t>
      </w:r>
      <w:r w:rsidRPr="00081CE4">
        <w:t xml:space="preserve"> (November 2014)</w:t>
      </w:r>
      <w:r>
        <w:t>,</w:t>
      </w:r>
      <w:r w:rsidRPr="00081CE4">
        <w:t xml:space="preserve"> p77.</w:t>
      </w:r>
    </w:p>
  </w:footnote>
  <w:footnote w:id="17">
    <w:p w14:paraId="4675D886" w14:textId="6341B4AC" w:rsidR="004B7595" w:rsidRDefault="004B7595" w:rsidP="0091575B">
      <w:pPr>
        <w:pStyle w:val="FootnoteText"/>
      </w:pPr>
      <w:r>
        <w:rPr>
          <w:rStyle w:val="FootnoteReference"/>
        </w:rPr>
        <w:footnoteRef/>
      </w:r>
      <w:r>
        <w:t xml:space="preserve"> For commercial property exposures in the SME asset class, APRA proposed that </w:t>
      </w:r>
      <w:r w:rsidRPr="009F697A">
        <w:t>ADIs would apply a commercial property risk-weight function.</w:t>
      </w:r>
    </w:p>
  </w:footnote>
  <w:footnote w:id="18">
    <w:p w14:paraId="32007282" w14:textId="7D8ACF8E" w:rsidR="004B7595" w:rsidRDefault="004B7595">
      <w:pPr>
        <w:pStyle w:val="FootnoteText"/>
      </w:pPr>
      <w:r>
        <w:rPr>
          <w:rStyle w:val="FootnoteReference"/>
        </w:rPr>
        <w:footnoteRef/>
      </w:r>
      <w:r>
        <w:rPr>
          <w:lang w:val="en-GB"/>
        </w:rPr>
        <w:t xml:space="preserve"> The 8 per cent requirement is derived from a </w:t>
      </w:r>
      <w:r w:rsidRPr="00E64CCD">
        <w:rPr>
          <w:lang w:val="en-GB"/>
        </w:rPr>
        <w:t xml:space="preserve">minimum </w:t>
      </w:r>
      <w:r>
        <w:rPr>
          <w:lang w:val="en-GB"/>
        </w:rPr>
        <w:t xml:space="preserve">CET1 ratio of 4.5 per cent, a CCB of 2.5 per cent, and an additional 1 per cent add-on to the CCB as a result of being designated as a </w:t>
      </w:r>
      <w:r w:rsidRPr="00E64CCD">
        <w:rPr>
          <w:lang w:val="en-GB"/>
        </w:rPr>
        <w:t xml:space="preserve">domestic systemically important bank </w:t>
      </w:r>
      <w:r>
        <w:rPr>
          <w:lang w:val="en-GB"/>
        </w:rPr>
        <w:t>(D-SIB)</w:t>
      </w:r>
      <w:r>
        <w:t>.</w:t>
      </w:r>
    </w:p>
  </w:footnote>
  <w:footnote w:id="19">
    <w:p w14:paraId="2A5C731A" w14:textId="67D28752" w:rsidR="004B7595" w:rsidRDefault="004B7595">
      <w:pPr>
        <w:pStyle w:val="FootnoteText"/>
      </w:pPr>
      <w:r>
        <w:rPr>
          <w:rStyle w:val="FootnoteReference"/>
        </w:rPr>
        <w:footnoteRef/>
      </w:r>
      <w:r>
        <w:t xml:space="preserve"> </w:t>
      </w:r>
      <w:r w:rsidRPr="00205867">
        <w:t>The CCyB is a component of APRA’s capital buffer framework that is designed to ensure that ADIs build up capital buffers when excess aggregate credit growth is judged to be associated with a build-up of system-wide risk. The baseline setting of CCyB in normal economic times is zero, and the CCyB is ‘turned on’ where there is a build-up of system-wide risk. This additional buffer can then be released during periods of system-wide stress, to reduce the risk of the supply of credit being impacted by regulatory capital requirements. The CCyB may range from 0 to 2.5 per cent</w:t>
      </w:r>
      <w:r>
        <w:t xml:space="preserve"> of RWA</w:t>
      </w:r>
      <w:r w:rsidRPr="00205867">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C51A4" w14:textId="77777777" w:rsidR="004B7595" w:rsidRDefault="00CD363A">
    <w:pPr>
      <w:pStyle w:val="Header"/>
    </w:pPr>
    <w:r>
      <w:rPr>
        <w:noProof/>
        <w:lang w:eastAsia="en-AU"/>
      </w:rPr>
      <w:pict w14:anchorId="730D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87235" o:spid="_x0000_s2070" type="#_x0000_t75" style="position:absolute;margin-left:0;margin-top:0;width:595.45pt;height:841.9pt;z-index:-251658238;mso-position-horizontal:center;mso-position-horizontal-relative:margin;mso-position-vertical:center;mso-position-vertical-relative:margin" o:allowincell="f">
          <v:imagedata r:id="rId1" o:title="Discussion-paper-cover-2016"/>
          <w10:wrap anchorx="margin" anchory="margin"/>
        </v:shape>
      </w:pict>
    </w:r>
  </w:p>
  <w:p w14:paraId="0F84BAF3" w14:textId="77777777" w:rsidR="004B7595" w:rsidRDefault="004B7595"/>
  <w:p w14:paraId="7204C2DB" w14:textId="77777777" w:rsidR="004B7595" w:rsidRDefault="004B7595"/>
  <w:p w14:paraId="3BB44FCF" w14:textId="77777777" w:rsidR="004B7595" w:rsidRDefault="004B7595"/>
  <w:p w14:paraId="0F66829B" w14:textId="77777777" w:rsidR="004B7595" w:rsidRDefault="004B759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0B4E2" w14:textId="77777777" w:rsidR="00D41CC1" w:rsidRDefault="00D41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2A99B" w14:textId="77777777" w:rsidR="004B7595" w:rsidRDefault="00CD363A" w:rsidP="001D3B1C">
    <w:pPr>
      <w:pStyle w:val="Header"/>
      <w:jc w:val="right"/>
    </w:pPr>
    <w:r>
      <w:rPr>
        <w:noProof/>
        <w:lang w:eastAsia="en-AU"/>
      </w:rPr>
      <w:pict w14:anchorId="4308D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87234" o:spid="_x0000_s2069" type="#_x0000_t75" style="position:absolute;left:0;text-align:left;margin-left:0;margin-top:0;width:595.45pt;height:841.9pt;z-index:-251658239;mso-position-horizontal:center;mso-position-horizontal-relative:margin;mso-position-vertical:center;mso-position-vertical-relative:margin" o:allowincell="f">
          <v:imagedata r:id="rId1" o:title="Discussion-paper-cover-20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692F6"/>
    <w:lvl w:ilvl="0">
      <w:start w:val="1"/>
      <w:numFmt w:val="lowerLetter"/>
      <w:pStyle w:val="ListNumber5"/>
      <w:lvlText w:val="%1."/>
      <w:lvlJc w:val="left"/>
      <w:pPr>
        <w:ind w:left="1492" w:hanging="360"/>
      </w:pPr>
    </w:lvl>
  </w:abstractNum>
  <w:abstractNum w:abstractNumId="1" w15:restartNumberingAfterBreak="0">
    <w:nsid w:val="FFFFFF7D"/>
    <w:multiLevelType w:val="singleLevel"/>
    <w:tmpl w:val="E4901F6C"/>
    <w:lvl w:ilvl="0">
      <w:start w:val="1"/>
      <w:numFmt w:val="lowerRoman"/>
      <w:pStyle w:val="ListNumber4"/>
      <w:lvlText w:val="%1."/>
      <w:lvlJc w:val="right"/>
      <w:pPr>
        <w:ind w:left="1209" w:hanging="360"/>
      </w:pPr>
    </w:lvl>
  </w:abstractNum>
  <w:abstractNum w:abstractNumId="2" w15:restartNumberingAfterBreak="0">
    <w:nsid w:val="FFFFFF7E"/>
    <w:multiLevelType w:val="singleLevel"/>
    <w:tmpl w:val="335CDAA6"/>
    <w:lvl w:ilvl="0">
      <w:start w:val="1"/>
      <w:numFmt w:val="decimal"/>
      <w:pStyle w:val="ListNumber3"/>
      <w:lvlText w:val="%1.1.1"/>
      <w:lvlJc w:val="left"/>
      <w:pPr>
        <w:ind w:left="926" w:hanging="360"/>
      </w:pPr>
      <w:rPr>
        <w:rFonts w:ascii="Trebuchet MS" w:hAnsi="Trebuchet MS" w:hint="default"/>
      </w:rPr>
    </w:lvl>
  </w:abstractNum>
  <w:abstractNum w:abstractNumId="3" w15:restartNumberingAfterBreak="0">
    <w:nsid w:val="FFFFFF7F"/>
    <w:multiLevelType w:val="singleLevel"/>
    <w:tmpl w:val="297E4934"/>
    <w:lvl w:ilvl="0">
      <w:start w:val="1"/>
      <w:numFmt w:val="decimal"/>
      <w:pStyle w:val="ListNumber2"/>
      <w:lvlText w:val="%1.1"/>
      <w:lvlJc w:val="left"/>
      <w:pPr>
        <w:ind w:left="643" w:hanging="360"/>
      </w:pPr>
      <w:rPr>
        <w:rFonts w:ascii="Trebuchet MS" w:hAnsi="Trebuchet MS" w:hint="default"/>
      </w:rPr>
    </w:lvl>
  </w:abstractNum>
  <w:abstractNum w:abstractNumId="4" w15:restartNumberingAfterBreak="0">
    <w:nsid w:val="FFFFFF80"/>
    <w:multiLevelType w:val="singleLevel"/>
    <w:tmpl w:val="B56219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6621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4E4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EEFA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38B0E3C"/>
    <w:multiLevelType w:val="hybridMultilevel"/>
    <w:tmpl w:val="88AC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927C65"/>
    <w:multiLevelType w:val="hybridMultilevel"/>
    <w:tmpl w:val="2326D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493EE4"/>
    <w:multiLevelType w:val="hybridMultilevel"/>
    <w:tmpl w:val="0BE6E6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FC3AF0"/>
    <w:multiLevelType w:val="hybridMultilevel"/>
    <w:tmpl w:val="FFB447A8"/>
    <w:lvl w:ilvl="0" w:tplc="18A4CDF6">
      <w:start w:val="2"/>
      <w:numFmt w:val="bullet"/>
      <w:lvlText w:val="-"/>
      <w:lvlJc w:val="left"/>
      <w:pPr>
        <w:ind w:left="720" w:hanging="360"/>
      </w:pPr>
      <w:rPr>
        <w:rFonts w:ascii="Trebuchet MS" w:eastAsiaTheme="minorHAnsi"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DA7EB4"/>
    <w:multiLevelType w:val="hybridMultilevel"/>
    <w:tmpl w:val="1F402302"/>
    <w:lvl w:ilvl="0" w:tplc="7BC0FBC2">
      <w:start w:val="1"/>
      <w:numFmt w:val="bullet"/>
      <w:lvlText w:val=""/>
      <w:lvlJc w:val="left"/>
      <w:pPr>
        <w:ind w:left="360" w:hanging="360"/>
      </w:pPr>
      <w:rPr>
        <w:rFonts w:ascii="Symbol" w:hAnsi="Symbol" w:hint="default"/>
      </w:rPr>
    </w:lvl>
    <w:lvl w:ilvl="1" w:tplc="0E26411C">
      <w:start w:val="1"/>
      <w:numFmt w:val="bullet"/>
      <w:lvlText w:val="—"/>
      <w:lvlJc w:val="left"/>
      <w:pPr>
        <w:ind w:left="1080" w:hanging="360"/>
      </w:pPr>
      <w:rPr>
        <w:rFonts w:ascii="DIN OT" w:hAnsi="DIN O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21665B"/>
    <w:multiLevelType w:val="hybridMultilevel"/>
    <w:tmpl w:val="EF3C7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C61CAE"/>
    <w:multiLevelType w:val="hybridMultilevel"/>
    <w:tmpl w:val="81FABD56"/>
    <w:lvl w:ilvl="0" w:tplc="6802A5FE">
      <w:start w:val="2"/>
      <w:numFmt w:val="bullet"/>
      <w:lvlText w:val="-"/>
      <w:lvlJc w:val="left"/>
      <w:pPr>
        <w:ind w:left="720" w:hanging="360"/>
      </w:pPr>
      <w:rPr>
        <w:rFonts w:ascii="Trebuchet MS" w:eastAsiaTheme="minorHAnsi"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2A5A87"/>
    <w:multiLevelType w:val="hybridMultilevel"/>
    <w:tmpl w:val="7688A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890CD0"/>
    <w:multiLevelType w:val="hybridMultilevel"/>
    <w:tmpl w:val="96329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D4468"/>
    <w:multiLevelType w:val="hybridMultilevel"/>
    <w:tmpl w:val="11D4741C"/>
    <w:lvl w:ilvl="0" w:tplc="D04A22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6E2E20"/>
    <w:multiLevelType w:val="hybridMultilevel"/>
    <w:tmpl w:val="53A2E68C"/>
    <w:lvl w:ilvl="0" w:tplc="1C60E128">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D16C5C"/>
    <w:multiLevelType w:val="hybridMultilevel"/>
    <w:tmpl w:val="AB521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A673BE"/>
    <w:multiLevelType w:val="hybridMultilevel"/>
    <w:tmpl w:val="403C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9B7A70"/>
    <w:multiLevelType w:val="hybridMultilevel"/>
    <w:tmpl w:val="D0D8895A"/>
    <w:lvl w:ilvl="0" w:tplc="097E752E">
      <w:start w:val="1"/>
      <w:numFmt w:val="decimal"/>
      <w:lvlText w:val="Ques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0E198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EB2FE3"/>
    <w:multiLevelType w:val="multilevel"/>
    <w:tmpl w:val="BF50E1A6"/>
    <w:lvl w:ilvl="0">
      <w:start w:val="1"/>
      <w:numFmt w:val="decimal"/>
      <w:pStyle w:val="APRAHEADING1"/>
      <w:suff w:val="nothing"/>
      <w:lvlText w:val="Chapter %1"/>
      <w:lvlJc w:val="left"/>
      <w:pPr>
        <w:ind w:left="2410" w:firstLine="0"/>
      </w:pPr>
      <w:rPr>
        <w:rFonts w:hint="default"/>
      </w:rPr>
    </w:lvl>
    <w:lvl w:ilvl="1">
      <w:start w:val="1"/>
      <w:numFmt w:val="decimal"/>
      <w:pStyle w:val="APRAHEADING2"/>
      <w:lvlText w:val="%1.%2"/>
      <w:lvlJc w:val="left"/>
      <w:pPr>
        <w:tabs>
          <w:tab w:val="num" w:pos="5387"/>
        </w:tabs>
        <w:ind w:left="4536" w:firstLine="0"/>
      </w:pPr>
      <w:rPr>
        <w:rFonts w:hint="default"/>
      </w:rPr>
    </w:lvl>
    <w:lvl w:ilvl="2">
      <w:start w:val="1"/>
      <w:numFmt w:val="decimal"/>
      <w:pStyle w:val="APRAHEADING3"/>
      <w:lvlText w:val="%1.%2.%3"/>
      <w:lvlJc w:val="left"/>
      <w:pPr>
        <w:tabs>
          <w:tab w:val="num" w:pos="851"/>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893F03"/>
    <w:multiLevelType w:val="hybridMultilevel"/>
    <w:tmpl w:val="28C2E712"/>
    <w:lvl w:ilvl="0" w:tplc="8FC88054">
      <w:start w:val="1"/>
      <w:numFmt w:val="decimal"/>
      <w:pStyle w:val="APRA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5B44E9"/>
    <w:multiLevelType w:val="multilevel"/>
    <w:tmpl w:val="D7EADFB4"/>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62964F4E"/>
    <w:multiLevelType w:val="hybridMultilevel"/>
    <w:tmpl w:val="39803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2870C2"/>
    <w:multiLevelType w:val="hybridMultilevel"/>
    <w:tmpl w:val="38D01180"/>
    <w:lvl w:ilvl="0" w:tplc="097E752E">
      <w:start w:val="1"/>
      <w:numFmt w:val="decimal"/>
      <w:lvlText w:val="Ques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7B3157"/>
    <w:multiLevelType w:val="hybridMultilevel"/>
    <w:tmpl w:val="477E2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4A62C3"/>
    <w:multiLevelType w:val="hybridMultilevel"/>
    <w:tmpl w:val="34D40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FA1C64"/>
    <w:multiLevelType w:val="hybridMultilevel"/>
    <w:tmpl w:val="99BA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335E4"/>
    <w:multiLevelType w:val="hybridMultilevel"/>
    <w:tmpl w:val="950C8224"/>
    <w:lvl w:ilvl="0" w:tplc="B8D09E3A">
      <w:start w:val="1"/>
      <w:numFmt w:val="decimal"/>
      <w:pStyle w:val="APRATABLE-NUMBER"/>
      <w:lvlText w:val="Table %1"/>
      <w:lvlJc w:val="left"/>
      <w:pPr>
        <w:ind w:left="844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8C1943"/>
    <w:multiLevelType w:val="hybridMultilevel"/>
    <w:tmpl w:val="BE46FB86"/>
    <w:lvl w:ilvl="0" w:tplc="033EA69A">
      <w:start w:val="1"/>
      <w:numFmt w:val="decimal"/>
      <w:pStyle w:val="APRA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AD0EF4"/>
    <w:multiLevelType w:val="hybridMultilevel"/>
    <w:tmpl w:val="B0EE12BA"/>
    <w:lvl w:ilvl="0" w:tplc="7BC0FBC2">
      <w:start w:val="1"/>
      <w:numFmt w:val="bullet"/>
      <w:pStyle w:val="APRA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8"/>
  </w:num>
  <w:num w:numId="6">
    <w:abstractNumId w:val="25"/>
  </w:num>
  <w:num w:numId="7">
    <w:abstractNumId w:val="17"/>
  </w:num>
  <w:num w:numId="8">
    <w:abstractNumId w:val="23"/>
  </w:num>
  <w:num w:numId="9">
    <w:abstractNumId w:val="31"/>
  </w:num>
  <w:num w:numId="10">
    <w:abstractNumId w:val="24"/>
  </w:num>
  <w:num w:numId="11">
    <w:abstractNumId w:val="22"/>
  </w:num>
  <w:num w:numId="12">
    <w:abstractNumId w:val="33"/>
  </w:num>
  <w:num w:numId="13">
    <w:abstractNumId w:val="14"/>
  </w:num>
  <w:num w:numId="14">
    <w:abstractNumId w:val="11"/>
  </w:num>
  <w:num w:numId="15">
    <w:abstractNumId w:val="32"/>
  </w:num>
  <w:num w:numId="16">
    <w:abstractNumId w:val="33"/>
  </w:num>
  <w:num w:numId="17">
    <w:abstractNumId w:val="33"/>
  </w:num>
  <w:num w:numId="18">
    <w:abstractNumId w:val="13"/>
  </w:num>
  <w:num w:numId="19">
    <w:abstractNumId w:val="8"/>
  </w:num>
  <w:num w:numId="20">
    <w:abstractNumId w:val="27"/>
  </w:num>
  <w:num w:numId="21">
    <w:abstractNumId w:val="21"/>
  </w:num>
  <w:num w:numId="22">
    <w:abstractNumId w:val="16"/>
  </w:num>
  <w:num w:numId="23">
    <w:abstractNumId w:val="23"/>
  </w:num>
  <w:num w:numId="24">
    <w:abstractNumId w:val="30"/>
  </w:num>
  <w:num w:numId="25">
    <w:abstractNumId w:val="23"/>
  </w:num>
  <w:num w:numId="26">
    <w:abstractNumId w:val="19"/>
  </w:num>
  <w:num w:numId="27">
    <w:abstractNumId w:val="7"/>
  </w:num>
  <w:num w:numId="28">
    <w:abstractNumId w:val="6"/>
  </w:num>
  <w:num w:numId="29">
    <w:abstractNumId w:val="5"/>
  </w:num>
  <w:num w:numId="30">
    <w:abstractNumId w:val="4"/>
  </w:num>
  <w:num w:numId="31">
    <w:abstractNumId w:val="12"/>
  </w:num>
  <w:num w:numId="32">
    <w:abstractNumId w:val="26"/>
  </w:num>
  <w:num w:numId="33">
    <w:abstractNumId w:val="9"/>
  </w:num>
  <w:num w:numId="34">
    <w:abstractNumId w:val="20"/>
  </w:num>
  <w:num w:numId="35">
    <w:abstractNumId w:val="10"/>
  </w:num>
  <w:num w:numId="36">
    <w:abstractNumId w:val="15"/>
  </w:num>
  <w:num w:numId="37">
    <w:abstractNumId w:val="28"/>
  </w:num>
  <w:num w:numId="38">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readOnly" w:enforcement="0"/>
  <w:defaultTabStop w:val="720"/>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B67"/>
    <w:rsid w:val="00000237"/>
    <w:rsid w:val="000004DC"/>
    <w:rsid w:val="000007E3"/>
    <w:rsid w:val="000007FF"/>
    <w:rsid w:val="000009FC"/>
    <w:rsid w:val="00000B6B"/>
    <w:rsid w:val="00000F6F"/>
    <w:rsid w:val="00001454"/>
    <w:rsid w:val="00001668"/>
    <w:rsid w:val="00001A76"/>
    <w:rsid w:val="0000247A"/>
    <w:rsid w:val="0000267F"/>
    <w:rsid w:val="000027C9"/>
    <w:rsid w:val="00002A1E"/>
    <w:rsid w:val="00002A20"/>
    <w:rsid w:val="00003065"/>
    <w:rsid w:val="0000363D"/>
    <w:rsid w:val="00003D75"/>
    <w:rsid w:val="000042FC"/>
    <w:rsid w:val="0000437F"/>
    <w:rsid w:val="000044EC"/>
    <w:rsid w:val="00004DF4"/>
    <w:rsid w:val="00005AE7"/>
    <w:rsid w:val="0000676E"/>
    <w:rsid w:val="0000677E"/>
    <w:rsid w:val="00006861"/>
    <w:rsid w:val="0000687B"/>
    <w:rsid w:val="0000700E"/>
    <w:rsid w:val="0000769D"/>
    <w:rsid w:val="00007C0F"/>
    <w:rsid w:val="00007EFD"/>
    <w:rsid w:val="00010002"/>
    <w:rsid w:val="000100E4"/>
    <w:rsid w:val="0001020F"/>
    <w:rsid w:val="0001023A"/>
    <w:rsid w:val="000103A6"/>
    <w:rsid w:val="00010A41"/>
    <w:rsid w:val="00010D1D"/>
    <w:rsid w:val="00010DCC"/>
    <w:rsid w:val="000115E5"/>
    <w:rsid w:val="000118C7"/>
    <w:rsid w:val="00011975"/>
    <w:rsid w:val="00011B0A"/>
    <w:rsid w:val="00011FED"/>
    <w:rsid w:val="00012024"/>
    <w:rsid w:val="0001244E"/>
    <w:rsid w:val="000127A5"/>
    <w:rsid w:val="000127D8"/>
    <w:rsid w:val="0001289E"/>
    <w:rsid w:val="00012BA1"/>
    <w:rsid w:val="0001306C"/>
    <w:rsid w:val="000130CB"/>
    <w:rsid w:val="0001348F"/>
    <w:rsid w:val="000135AC"/>
    <w:rsid w:val="00013A19"/>
    <w:rsid w:val="00013DEB"/>
    <w:rsid w:val="00013E32"/>
    <w:rsid w:val="00014434"/>
    <w:rsid w:val="0001455F"/>
    <w:rsid w:val="00014567"/>
    <w:rsid w:val="00014DF5"/>
    <w:rsid w:val="00014FAB"/>
    <w:rsid w:val="0001551D"/>
    <w:rsid w:val="0001556A"/>
    <w:rsid w:val="00015BE4"/>
    <w:rsid w:val="00016024"/>
    <w:rsid w:val="000160CD"/>
    <w:rsid w:val="000160F5"/>
    <w:rsid w:val="0001614C"/>
    <w:rsid w:val="000161CD"/>
    <w:rsid w:val="000164B9"/>
    <w:rsid w:val="00016C93"/>
    <w:rsid w:val="0001765C"/>
    <w:rsid w:val="000176AC"/>
    <w:rsid w:val="00020316"/>
    <w:rsid w:val="00020ADA"/>
    <w:rsid w:val="00020D54"/>
    <w:rsid w:val="00021687"/>
    <w:rsid w:val="0002181F"/>
    <w:rsid w:val="000227AC"/>
    <w:rsid w:val="000227D4"/>
    <w:rsid w:val="00022BD0"/>
    <w:rsid w:val="0002337C"/>
    <w:rsid w:val="00023EFD"/>
    <w:rsid w:val="00023F7C"/>
    <w:rsid w:val="00024072"/>
    <w:rsid w:val="000241A2"/>
    <w:rsid w:val="000242AB"/>
    <w:rsid w:val="000250DB"/>
    <w:rsid w:val="0002518E"/>
    <w:rsid w:val="000251AB"/>
    <w:rsid w:val="000254EC"/>
    <w:rsid w:val="00025995"/>
    <w:rsid w:val="0002608B"/>
    <w:rsid w:val="00026290"/>
    <w:rsid w:val="0002677A"/>
    <w:rsid w:val="00026B0A"/>
    <w:rsid w:val="00026F9F"/>
    <w:rsid w:val="0002708C"/>
    <w:rsid w:val="0002723C"/>
    <w:rsid w:val="0002789E"/>
    <w:rsid w:val="00030026"/>
    <w:rsid w:val="0003021A"/>
    <w:rsid w:val="00030E0A"/>
    <w:rsid w:val="00030EA0"/>
    <w:rsid w:val="00031089"/>
    <w:rsid w:val="0003134E"/>
    <w:rsid w:val="000313C3"/>
    <w:rsid w:val="000314B2"/>
    <w:rsid w:val="00031F41"/>
    <w:rsid w:val="00031F68"/>
    <w:rsid w:val="00032A13"/>
    <w:rsid w:val="00032ACB"/>
    <w:rsid w:val="00032B27"/>
    <w:rsid w:val="000331D3"/>
    <w:rsid w:val="000333B4"/>
    <w:rsid w:val="0003342D"/>
    <w:rsid w:val="00034214"/>
    <w:rsid w:val="0003459C"/>
    <w:rsid w:val="00034681"/>
    <w:rsid w:val="0003486F"/>
    <w:rsid w:val="00034FFA"/>
    <w:rsid w:val="00035466"/>
    <w:rsid w:val="000355DC"/>
    <w:rsid w:val="0003576F"/>
    <w:rsid w:val="00035885"/>
    <w:rsid w:val="000358B3"/>
    <w:rsid w:val="000361BA"/>
    <w:rsid w:val="000362B9"/>
    <w:rsid w:val="000366A4"/>
    <w:rsid w:val="0003693E"/>
    <w:rsid w:val="00036DCF"/>
    <w:rsid w:val="00036F6C"/>
    <w:rsid w:val="000370B1"/>
    <w:rsid w:val="000370F7"/>
    <w:rsid w:val="0003732A"/>
    <w:rsid w:val="0003751F"/>
    <w:rsid w:val="00037C5D"/>
    <w:rsid w:val="000400BC"/>
    <w:rsid w:val="0004015E"/>
    <w:rsid w:val="0004021A"/>
    <w:rsid w:val="00040297"/>
    <w:rsid w:val="0004030B"/>
    <w:rsid w:val="000408CA"/>
    <w:rsid w:val="00040913"/>
    <w:rsid w:val="000417BD"/>
    <w:rsid w:val="00041AE5"/>
    <w:rsid w:val="00042710"/>
    <w:rsid w:val="0004276F"/>
    <w:rsid w:val="00042C6E"/>
    <w:rsid w:val="00042FC6"/>
    <w:rsid w:val="00043ADF"/>
    <w:rsid w:val="00043F76"/>
    <w:rsid w:val="000440F3"/>
    <w:rsid w:val="00044482"/>
    <w:rsid w:val="00044551"/>
    <w:rsid w:val="00044873"/>
    <w:rsid w:val="000449C4"/>
    <w:rsid w:val="00044ACB"/>
    <w:rsid w:val="00044C73"/>
    <w:rsid w:val="00044D1A"/>
    <w:rsid w:val="00044FCE"/>
    <w:rsid w:val="00045B72"/>
    <w:rsid w:val="00045C6D"/>
    <w:rsid w:val="00046393"/>
    <w:rsid w:val="00046697"/>
    <w:rsid w:val="00046D39"/>
    <w:rsid w:val="0004717C"/>
    <w:rsid w:val="00047202"/>
    <w:rsid w:val="0004794F"/>
    <w:rsid w:val="000479E7"/>
    <w:rsid w:val="000500C5"/>
    <w:rsid w:val="00050ACE"/>
    <w:rsid w:val="00050BC5"/>
    <w:rsid w:val="00050E2C"/>
    <w:rsid w:val="000511E6"/>
    <w:rsid w:val="000518DB"/>
    <w:rsid w:val="00051D37"/>
    <w:rsid w:val="0005223A"/>
    <w:rsid w:val="000525D7"/>
    <w:rsid w:val="00052801"/>
    <w:rsid w:val="000529BC"/>
    <w:rsid w:val="00052B75"/>
    <w:rsid w:val="00053729"/>
    <w:rsid w:val="00053F0B"/>
    <w:rsid w:val="0005410B"/>
    <w:rsid w:val="000542CA"/>
    <w:rsid w:val="00054306"/>
    <w:rsid w:val="00054418"/>
    <w:rsid w:val="00055316"/>
    <w:rsid w:val="00055A34"/>
    <w:rsid w:val="00055B37"/>
    <w:rsid w:val="00056278"/>
    <w:rsid w:val="000566B0"/>
    <w:rsid w:val="00056749"/>
    <w:rsid w:val="00056FE9"/>
    <w:rsid w:val="00057151"/>
    <w:rsid w:val="00057368"/>
    <w:rsid w:val="000573FB"/>
    <w:rsid w:val="000577C9"/>
    <w:rsid w:val="00057AA5"/>
    <w:rsid w:val="00057FDE"/>
    <w:rsid w:val="0006003D"/>
    <w:rsid w:val="0006028B"/>
    <w:rsid w:val="000602C8"/>
    <w:rsid w:val="00060453"/>
    <w:rsid w:val="00060A3C"/>
    <w:rsid w:val="00060ED0"/>
    <w:rsid w:val="0006110C"/>
    <w:rsid w:val="0006124D"/>
    <w:rsid w:val="00061254"/>
    <w:rsid w:val="000613F1"/>
    <w:rsid w:val="000617D0"/>
    <w:rsid w:val="00061A26"/>
    <w:rsid w:val="000620EC"/>
    <w:rsid w:val="000622BE"/>
    <w:rsid w:val="00062BCC"/>
    <w:rsid w:val="00062C8B"/>
    <w:rsid w:val="00062D27"/>
    <w:rsid w:val="0006342E"/>
    <w:rsid w:val="000635B8"/>
    <w:rsid w:val="00063700"/>
    <w:rsid w:val="00063799"/>
    <w:rsid w:val="000638B4"/>
    <w:rsid w:val="00063BDC"/>
    <w:rsid w:val="000648E8"/>
    <w:rsid w:val="00064E01"/>
    <w:rsid w:val="0006520D"/>
    <w:rsid w:val="000655B7"/>
    <w:rsid w:val="000656BD"/>
    <w:rsid w:val="000658F5"/>
    <w:rsid w:val="00065C70"/>
    <w:rsid w:val="00065FEA"/>
    <w:rsid w:val="0006674D"/>
    <w:rsid w:val="000668A3"/>
    <w:rsid w:val="000668D4"/>
    <w:rsid w:val="000672FE"/>
    <w:rsid w:val="00067990"/>
    <w:rsid w:val="000701AF"/>
    <w:rsid w:val="000701BE"/>
    <w:rsid w:val="00070252"/>
    <w:rsid w:val="000705E0"/>
    <w:rsid w:val="00070C3A"/>
    <w:rsid w:val="00070F79"/>
    <w:rsid w:val="00071386"/>
    <w:rsid w:val="0007148A"/>
    <w:rsid w:val="000716EF"/>
    <w:rsid w:val="00071742"/>
    <w:rsid w:val="000718B0"/>
    <w:rsid w:val="00071CA6"/>
    <w:rsid w:val="00071FBF"/>
    <w:rsid w:val="0007252D"/>
    <w:rsid w:val="00072A19"/>
    <w:rsid w:val="00073197"/>
    <w:rsid w:val="00073693"/>
    <w:rsid w:val="00073792"/>
    <w:rsid w:val="00073B6B"/>
    <w:rsid w:val="00074214"/>
    <w:rsid w:val="000743E0"/>
    <w:rsid w:val="000745A8"/>
    <w:rsid w:val="0007498F"/>
    <w:rsid w:val="00074BEF"/>
    <w:rsid w:val="00074F73"/>
    <w:rsid w:val="00075953"/>
    <w:rsid w:val="00075B8F"/>
    <w:rsid w:val="00075C2C"/>
    <w:rsid w:val="00075E10"/>
    <w:rsid w:val="0007655F"/>
    <w:rsid w:val="000765D5"/>
    <w:rsid w:val="00076658"/>
    <w:rsid w:val="000767FD"/>
    <w:rsid w:val="00077144"/>
    <w:rsid w:val="00077762"/>
    <w:rsid w:val="00077A61"/>
    <w:rsid w:val="00077B1B"/>
    <w:rsid w:val="00080522"/>
    <w:rsid w:val="00080714"/>
    <w:rsid w:val="0008076F"/>
    <w:rsid w:val="00081661"/>
    <w:rsid w:val="000817DD"/>
    <w:rsid w:val="00081CE4"/>
    <w:rsid w:val="0008222F"/>
    <w:rsid w:val="00082679"/>
    <w:rsid w:val="00082792"/>
    <w:rsid w:val="00082796"/>
    <w:rsid w:val="000829D8"/>
    <w:rsid w:val="00083139"/>
    <w:rsid w:val="00083380"/>
    <w:rsid w:val="00083426"/>
    <w:rsid w:val="000834C8"/>
    <w:rsid w:val="00083A42"/>
    <w:rsid w:val="00083CB7"/>
    <w:rsid w:val="0008400F"/>
    <w:rsid w:val="00084456"/>
    <w:rsid w:val="00084473"/>
    <w:rsid w:val="00084C27"/>
    <w:rsid w:val="00084C8B"/>
    <w:rsid w:val="00084CCB"/>
    <w:rsid w:val="00084DB6"/>
    <w:rsid w:val="00084EFE"/>
    <w:rsid w:val="00084F31"/>
    <w:rsid w:val="000858B8"/>
    <w:rsid w:val="00085D6E"/>
    <w:rsid w:val="00086171"/>
    <w:rsid w:val="000862A5"/>
    <w:rsid w:val="00086493"/>
    <w:rsid w:val="00086628"/>
    <w:rsid w:val="000866E5"/>
    <w:rsid w:val="00086C4E"/>
    <w:rsid w:val="00086EBD"/>
    <w:rsid w:val="0008711C"/>
    <w:rsid w:val="00087927"/>
    <w:rsid w:val="000879B1"/>
    <w:rsid w:val="000901C4"/>
    <w:rsid w:val="000904B0"/>
    <w:rsid w:val="00090693"/>
    <w:rsid w:val="000907E6"/>
    <w:rsid w:val="00090D4F"/>
    <w:rsid w:val="00090DEA"/>
    <w:rsid w:val="0009110B"/>
    <w:rsid w:val="00091151"/>
    <w:rsid w:val="000912D2"/>
    <w:rsid w:val="00091305"/>
    <w:rsid w:val="000914B4"/>
    <w:rsid w:val="00092008"/>
    <w:rsid w:val="0009218B"/>
    <w:rsid w:val="000922B3"/>
    <w:rsid w:val="000929FF"/>
    <w:rsid w:val="00092EAE"/>
    <w:rsid w:val="00093229"/>
    <w:rsid w:val="00093385"/>
    <w:rsid w:val="0009346A"/>
    <w:rsid w:val="00093703"/>
    <w:rsid w:val="00093840"/>
    <w:rsid w:val="00093DA6"/>
    <w:rsid w:val="000941FF"/>
    <w:rsid w:val="0009425E"/>
    <w:rsid w:val="00094644"/>
    <w:rsid w:val="00094733"/>
    <w:rsid w:val="00094E47"/>
    <w:rsid w:val="000953BB"/>
    <w:rsid w:val="0009584B"/>
    <w:rsid w:val="00095EC6"/>
    <w:rsid w:val="00096185"/>
    <w:rsid w:val="00096652"/>
    <w:rsid w:val="00096CD8"/>
    <w:rsid w:val="00097128"/>
    <w:rsid w:val="00097C0B"/>
    <w:rsid w:val="00097D49"/>
    <w:rsid w:val="00097E31"/>
    <w:rsid w:val="000A01D6"/>
    <w:rsid w:val="000A0AF8"/>
    <w:rsid w:val="000A0F35"/>
    <w:rsid w:val="000A1494"/>
    <w:rsid w:val="000A1A18"/>
    <w:rsid w:val="000A1A2E"/>
    <w:rsid w:val="000A1C6B"/>
    <w:rsid w:val="000A2DC5"/>
    <w:rsid w:val="000A3020"/>
    <w:rsid w:val="000A324B"/>
    <w:rsid w:val="000A385F"/>
    <w:rsid w:val="000A38D3"/>
    <w:rsid w:val="000A3ABA"/>
    <w:rsid w:val="000A3C61"/>
    <w:rsid w:val="000A3DD8"/>
    <w:rsid w:val="000A3EB4"/>
    <w:rsid w:val="000A494E"/>
    <w:rsid w:val="000A4F83"/>
    <w:rsid w:val="000A5558"/>
    <w:rsid w:val="000A562C"/>
    <w:rsid w:val="000A5ADE"/>
    <w:rsid w:val="000A5E7F"/>
    <w:rsid w:val="000A601C"/>
    <w:rsid w:val="000A67CD"/>
    <w:rsid w:val="000A6890"/>
    <w:rsid w:val="000A6AD3"/>
    <w:rsid w:val="000A736F"/>
    <w:rsid w:val="000A7D45"/>
    <w:rsid w:val="000A7D8A"/>
    <w:rsid w:val="000A7E78"/>
    <w:rsid w:val="000B03BF"/>
    <w:rsid w:val="000B07F7"/>
    <w:rsid w:val="000B0AC9"/>
    <w:rsid w:val="000B0B04"/>
    <w:rsid w:val="000B0C67"/>
    <w:rsid w:val="000B0E36"/>
    <w:rsid w:val="000B174C"/>
    <w:rsid w:val="000B1D66"/>
    <w:rsid w:val="000B1F90"/>
    <w:rsid w:val="000B2588"/>
    <w:rsid w:val="000B2744"/>
    <w:rsid w:val="000B33C1"/>
    <w:rsid w:val="000B3530"/>
    <w:rsid w:val="000B378D"/>
    <w:rsid w:val="000B399F"/>
    <w:rsid w:val="000B3B6E"/>
    <w:rsid w:val="000B3EEF"/>
    <w:rsid w:val="000B43E7"/>
    <w:rsid w:val="000B4B32"/>
    <w:rsid w:val="000B56A4"/>
    <w:rsid w:val="000B572F"/>
    <w:rsid w:val="000B59AB"/>
    <w:rsid w:val="000B5FB3"/>
    <w:rsid w:val="000B6009"/>
    <w:rsid w:val="000B7D2C"/>
    <w:rsid w:val="000B7ED3"/>
    <w:rsid w:val="000C0065"/>
    <w:rsid w:val="000C011B"/>
    <w:rsid w:val="000C076A"/>
    <w:rsid w:val="000C0DA8"/>
    <w:rsid w:val="000C1121"/>
    <w:rsid w:val="000C13E2"/>
    <w:rsid w:val="000C16F3"/>
    <w:rsid w:val="000C170D"/>
    <w:rsid w:val="000C1713"/>
    <w:rsid w:val="000C19B4"/>
    <w:rsid w:val="000C1CCE"/>
    <w:rsid w:val="000C1D5C"/>
    <w:rsid w:val="000C1FF0"/>
    <w:rsid w:val="000C20BB"/>
    <w:rsid w:val="000C248F"/>
    <w:rsid w:val="000C29DD"/>
    <w:rsid w:val="000C2A2A"/>
    <w:rsid w:val="000C2BD5"/>
    <w:rsid w:val="000C318A"/>
    <w:rsid w:val="000C33F4"/>
    <w:rsid w:val="000C34C0"/>
    <w:rsid w:val="000C3DA7"/>
    <w:rsid w:val="000C470B"/>
    <w:rsid w:val="000C487A"/>
    <w:rsid w:val="000C4D75"/>
    <w:rsid w:val="000C5728"/>
    <w:rsid w:val="000C5958"/>
    <w:rsid w:val="000C5997"/>
    <w:rsid w:val="000C5F27"/>
    <w:rsid w:val="000C6041"/>
    <w:rsid w:val="000C61A9"/>
    <w:rsid w:val="000C689F"/>
    <w:rsid w:val="000C7028"/>
    <w:rsid w:val="000C7140"/>
    <w:rsid w:val="000C77CD"/>
    <w:rsid w:val="000C793F"/>
    <w:rsid w:val="000C79A8"/>
    <w:rsid w:val="000C7A3F"/>
    <w:rsid w:val="000C7BA6"/>
    <w:rsid w:val="000C7C4D"/>
    <w:rsid w:val="000C7CE6"/>
    <w:rsid w:val="000D00AE"/>
    <w:rsid w:val="000D07B6"/>
    <w:rsid w:val="000D0807"/>
    <w:rsid w:val="000D092C"/>
    <w:rsid w:val="000D096B"/>
    <w:rsid w:val="000D09FA"/>
    <w:rsid w:val="000D0B8B"/>
    <w:rsid w:val="000D0D13"/>
    <w:rsid w:val="000D0FB7"/>
    <w:rsid w:val="000D2341"/>
    <w:rsid w:val="000D2452"/>
    <w:rsid w:val="000D270E"/>
    <w:rsid w:val="000D2C7B"/>
    <w:rsid w:val="000D2D92"/>
    <w:rsid w:val="000D2F74"/>
    <w:rsid w:val="000D331A"/>
    <w:rsid w:val="000D36DA"/>
    <w:rsid w:val="000D420E"/>
    <w:rsid w:val="000D46EF"/>
    <w:rsid w:val="000D4873"/>
    <w:rsid w:val="000D4C8F"/>
    <w:rsid w:val="000D57A0"/>
    <w:rsid w:val="000D5B11"/>
    <w:rsid w:val="000D5BE4"/>
    <w:rsid w:val="000D5E50"/>
    <w:rsid w:val="000D5F43"/>
    <w:rsid w:val="000D5F5E"/>
    <w:rsid w:val="000D652C"/>
    <w:rsid w:val="000D690C"/>
    <w:rsid w:val="000D789D"/>
    <w:rsid w:val="000D7AF5"/>
    <w:rsid w:val="000D7C9F"/>
    <w:rsid w:val="000E04D2"/>
    <w:rsid w:val="000E06F4"/>
    <w:rsid w:val="000E081B"/>
    <w:rsid w:val="000E143D"/>
    <w:rsid w:val="000E179F"/>
    <w:rsid w:val="000E1924"/>
    <w:rsid w:val="000E1B2D"/>
    <w:rsid w:val="000E1C30"/>
    <w:rsid w:val="000E1D39"/>
    <w:rsid w:val="000E2938"/>
    <w:rsid w:val="000E2EE5"/>
    <w:rsid w:val="000E2F8C"/>
    <w:rsid w:val="000E3241"/>
    <w:rsid w:val="000E3414"/>
    <w:rsid w:val="000E355B"/>
    <w:rsid w:val="000E3840"/>
    <w:rsid w:val="000E448A"/>
    <w:rsid w:val="000E4497"/>
    <w:rsid w:val="000E4676"/>
    <w:rsid w:val="000E4BBC"/>
    <w:rsid w:val="000E4DB3"/>
    <w:rsid w:val="000E4F42"/>
    <w:rsid w:val="000E4F61"/>
    <w:rsid w:val="000E54F4"/>
    <w:rsid w:val="000E56F3"/>
    <w:rsid w:val="000E5791"/>
    <w:rsid w:val="000E5958"/>
    <w:rsid w:val="000E5B3F"/>
    <w:rsid w:val="000E6246"/>
    <w:rsid w:val="000E6670"/>
    <w:rsid w:val="000E6E25"/>
    <w:rsid w:val="000E6E8E"/>
    <w:rsid w:val="000E6F35"/>
    <w:rsid w:val="000E6FDD"/>
    <w:rsid w:val="000E7037"/>
    <w:rsid w:val="000E70A8"/>
    <w:rsid w:val="000E779E"/>
    <w:rsid w:val="000E7F7D"/>
    <w:rsid w:val="000F04E9"/>
    <w:rsid w:val="000F07C6"/>
    <w:rsid w:val="000F09C6"/>
    <w:rsid w:val="000F0F54"/>
    <w:rsid w:val="000F11D2"/>
    <w:rsid w:val="000F162F"/>
    <w:rsid w:val="000F1736"/>
    <w:rsid w:val="000F1D5B"/>
    <w:rsid w:val="000F20CF"/>
    <w:rsid w:val="000F2228"/>
    <w:rsid w:val="000F25EC"/>
    <w:rsid w:val="000F3754"/>
    <w:rsid w:val="000F37AC"/>
    <w:rsid w:val="000F3CB4"/>
    <w:rsid w:val="000F4466"/>
    <w:rsid w:val="000F4536"/>
    <w:rsid w:val="000F471E"/>
    <w:rsid w:val="000F4A6F"/>
    <w:rsid w:val="000F4ABA"/>
    <w:rsid w:val="000F505D"/>
    <w:rsid w:val="000F50AC"/>
    <w:rsid w:val="000F541E"/>
    <w:rsid w:val="000F55C9"/>
    <w:rsid w:val="000F568B"/>
    <w:rsid w:val="000F56A7"/>
    <w:rsid w:val="000F5BBA"/>
    <w:rsid w:val="000F5C4A"/>
    <w:rsid w:val="000F6328"/>
    <w:rsid w:val="000F6E18"/>
    <w:rsid w:val="000F6FF8"/>
    <w:rsid w:val="000F722F"/>
    <w:rsid w:val="000F7781"/>
    <w:rsid w:val="000F78D8"/>
    <w:rsid w:val="00100318"/>
    <w:rsid w:val="0010099D"/>
    <w:rsid w:val="001012D8"/>
    <w:rsid w:val="0010149E"/>
    <w:rsid w:val="00101923"/>
    <w:rsid w:val="00101C44"/>
    <w:rsid w:val="00101E8E"/>
    <w:rsid w:val="00101F5F"/>
    <w:rsid w:val="00102337"/>
    <w:rsid w:val="001024C4"/>
    <w:rsid w:val="00102613"/>
    <w:rsid w:val="00102815"/>
    <w:rsid w:val="00102D56"/>
    <w:rsid w:val="00102EC8"/>
    <w:rsid w:val="001032DC"/>
    <w:rsid w:val="00103661"/>
    <w:rsid w:val="001045DB"/>
    <w:rsid w:val="001049BF"/>
    <w:rsid w:val="00105064"/>
    <w:rsid w:val="00105160"/>
    <w:rsid w:val="00105188"/>
    <w:rsid w:val="001055F9"/>
    <w:rsid w:val="00105883"/>
    <w:rsid w:val="00105998"/>
    <w:rsid w:val="00105DD7"/>
    <w:rsid w:val="001066B7"/>
    <w:rsid w:val="0010679E"/>
    <w:rsid w:val="001070F6"/>
    <w:rsid w:val="001076A7"/>
    <w:rsid w:val="00107806"/>
    <w:rsid w:val="00107AA5"/>
    <w:rsid w:val="00107BF9"/>
    <w:rsid w:val="00110204"/>
    <w:rsid w:val="0011051B"/>
    <w:rsid w:val="0011063E"/>
    <w:rsid w:val="00110E05"/>
    <w:rsid w:val="00111030"/>
    <w:rsid w:val="001114C7"/>
    <w:rsid w:val="001115B3"/>
    <w:rsid w:val="00111B78"/>
    <w:rsid w:val="00111C1E"/>
    <w:rsid w:val="00111CF3"/>
    <w:rsid w:val="00112030"/>
    <w:rsid w:val="00112119"/>
    <w:rsid w:val="001122CD"/>
    <w:rsid w:val="0011246E"/>
    <w:rsid w:val="001125E1"/>
    <w:rsid w:val="001127DE"/>
    <w:rsid w:val="00112932"/>
    <w:rsid w:val="00113B8F"/>
    <w:rsid w:val="00113BAE"/>
    <w:rsid w:val="00114650"/>
    <w:rsid w:val="00114AD7"/>
    <w:rsid w:val="00116489"/>
    <w:rsid w:val="00116798"/>
    <w:rsid w:val="00116E25"/>
    <w:rsid w:val="001170E2"/>
    <w:rsid w:val="0011745E"/>
    <w:rsid w:val="0011797B"/>
    <w:rsid w:val="00117D4F"/>
    <w:rsid w:val="00117D96"/>
    <w:rsid w:val="00120727"/>
    <w:rsid w:val="00120A8D"/>
    <w:rsid w:val="00120AE2"/>
    <w:rsid w:val="0012101C"/>
    <w:rsid w:val="00121312"/>
    <w:rsid w:val="0012140D"/>
    <w:rsid w:val="001218DC"/>
    <w:rsid w:val="00121A70"/>
    <w:rsid w:val="00121AF8"/>
    <w:rsid w:val="00121CD6"/>
    <w:rsid w:val="00121CF0"/>
    <w:rsid w:val="00122137"/>
    <w:rsid w:val="00122469"/>
    <w:rsid w:val="00122491"/>
    <w:rsid w:val="0012286F"/>
    <w:rsid w:val="00122888"/>
    <w:rsid w:val="0012293D"/>
    <w:rsid w:val="00123121"/>
    <w:rsid w:val="001232D5"/>
    <w:rsid w:val="00123F74"/>
    <w:rsid w:val="00123FB5"/>
    <w:rsid w:val="001240A6"/>
    <w:rsid w:val="00124245"/>
    <w:rsid w:val="0012448E"/>
    <w:rsid w:val="00125755"/>
    <w:rsid w:val="00125B6F"/>
    <w:rsid w:val="00125F0D"/>
    <w:rsid w:val="00126272"/>
    <w:rsid w:val="0012664F"/>
    <w:rsid w:val="00126DAA"/>
    <w:rsid w:val="00126E49"/>
    <w:rsid w:val="00127166"/>
    <w:rsid w:val="001279F5"/>
    <w:rsid w:val="00127C68"/>
    <w:rsid w:val="00127F41"/>
    <w:rsid w:val="00130189"/>
    <w:rsid w:val="001305D9"/>
    <w:rsid w:val="001306A5"/>
    <w:rsid w:val="00130966"/>
    <w:rsid w:val="00130B41"/>
    <w:rsid w:val="001319F9"/>
    <w:rsid w:val="00131BAE"/>
    <w:rsid w:val="00131F47"/>
    <w:rsid w:val="00131FE4"/>
    <w:rsid w:val="001321BC"/>
    <w:rsid w:val="001325AB"/>
    <w:rsid w:val="001327AD"/>
    <w:rsid w:val="00132835"/>
    <w:rsid w:val="001329CA"/>
    <w:rsid w:val="00132CF5"/>
    <w:rsid w:val="00132F6C"/>
    <w:rsid w:val="00132F92"/>
    <w:rsid w:val="001338E7"/>
    <w:rsid w:val="00133D90"/>
    <w:rsid w:val="001342B0"/>
    <w:rsid w:val="00134D56"/>
    <w:rsid w:val="001354B2"/>
    <w:rsid w:val="00135A24"/>
    <w:rsid w:val="00135B09"/>
    <w:rsid w:val="00136834"/>
    <w:rsid w:val="00136E32"/>
    <w:rsid w:val="0013701D"/>
    <w:rsid w:val="0013768F"/>
    <w:rsid w:val="00137B74"/>
    <w:rsid w:val="00137F34"/>
    <w:rsid w:val="00140089"/>
    <w:rsid w:val="00140162"/>
    <w:rsid w:val="001407CD"/>
    <w:rsid w:val="00140CF7"/>
    <w:rsid w:val="00140E40"/>
    <w:rsid w:val="001416A1"/>
    <w:rsid w:val="00141D00"/>
    <w:rsid w:val="00141E7F"/>
    <w:rsid w:val="001426AB"/>
    <w:rsid w:val="0014283B"/>
    <w:rsid w:val="00143106"/>
    <w:rsid w:val="0014338B"/>
    <w:rsid w:val="00143565"/>
    <w:rsid w:val="00144216"/>
    <w:rsid w:val="0014479F"/>
    <w:rsid w:val="0014531C"/>
    <w:rsid w:val="00145345"/>
    <w:rsid w:val="001453D2"/>
    <w:rsid w:val="00145B91"/>
    <w:rsid w:val="001460EF"/>
    <w:rsid w:val="0014677F"/>
    <w:rsid w:val="00146B8E"/>
    <w:rsid w:val="00146FC7"/>
    <w:rsid w:val="001472C0"/>
    <w:rsid w:val="0014731C"/>
    <w:rsid w:val="00147689"/>
    <w:rsid w:val="00147ADD"/>
    <w:rsid w:val="00147E67"/>
    <w:rsid w:val="001502F1"/>
    <w:rsid w:val="00150785"/>
    <w:rsid w:val="0015083F"/>
    <w:rsid w:val="00150B27"/>
    <w:rsid w:val="00150C4F"/>
    <w:rsid w:val="00150D6B"/>
    <w:rsid w:val="00150D7E"/>
    <w:rsid w:val="00150DB4"/>
    <w:rsid w:val="00151319"/>
    <w:rsid w:val="00151381"/>
    <w:rsid w:val="001513AC"/>
    <w:rsid w:val="0015178E"/>
    <w:rsid w:val="001519CF"/>
    <w:rsid w:val="00151A06"/>
    <w:rsid w:val="00151BEF"/>
    <w:rsid w:val="00151C5A"/>
    <w:rsid w:val="00151C65"/>
    <w:rsid w:val="001521D8"/>
    <w:rsid w:val="00152308"/>
    <w:rsid w:val="00152B4A"/>
    <w:rsid w:val="00152E2D"/>
    <w:rsid w:val="0015361C"/>
    <w:rsid w:val="00153657"/>
    <w:rsid w:val="00153DA8"/>
    <w:rsid w:val="00153E20"/>
    <w:rsid w:val="001542EC"/>
    <w:rsid w:val="001559D2"/>
    <w:rsid w:val="001564EB"/>
    <w:rsid w:val="001565F5"/>
    <w:rsid w:val="001568BC"/>
    <w:rsid w:val="001568F2"/>
    <w:rsid w:val="00156964"/>
    <w:rsid w:val="00156DB6"/>
    <w:rsid w:val="00157D7A"/>
    <w:rsid w:val="00157FCA"/>
    <w:rsid w:val="00160279"/>
    <w:rsid w:val="00161388"/>
    <w:rsid w:val="0016174C"/>
    <w:rsid w:val="00161E69"/>
    <w:rsid w:val="001628C3"/>
    <w:rsid w:val="00162A51"/>
    <w:rsid w:val="00162A7F"/>
    <w:rsid w:val="001635BE"/>
    <w:rsid w:val="00163C7E"/>
    <w:rsid w:val="001640BF"/>
    <w:rsid w:val="00164B53"/>
    <w:rsid w:val="00164BEB"/>
    <w:rsid w:val="00165974"/>
    <w:rsid w:val="00165BC3"/>
    <w:rsid w:val="00165C17"/>
    <w:rsid w:val="00165C47"/>
    <w:rsid w:val="00165CF6"/>
    <w:rsid w:val="0016608F"/>
    <w:rsid w:val="0016634B"/>
    <w:rsid w:val="0016659C"/>
    <w:rsid w:val="00166619"/>
    <w:rsid w:val="0016671E"/>
    <w:rsid w:val="00166798"/>
    <w:rsid w:val="00166C71"/>
    <w:rsid w:val="00166D2C"/>
    <w:rsid w:val="001671FD"/>
    <w:rsid w:val="00167716"/>
    <w:rsid w:val="00167E31"/>
    <w:rsid w:val="001701F3"/>
    <w:rsid w:val="0017068C"/>
    <w:rsid w:val="00170721"/>
    <w:rsid w:val="001708B3"/>
    <w:rsid w:val="00170ADE"/>
    <w:rsid w:val="00170BF1"/>
    <w:rsid w:val="00171F14"/>
    <w:rsid w:val="001721FB"/>
    <w:rsid w:val="001722BF"/>
    <w:rsid w:val="001727D9"/>
    <w:rsid w:val="0017298C"/>
    <w:rsid w:val="00172EC2"/>
    <w:rsid w:val="0017304A"/>
    <w:rsid w:val="0017374B"/>
    <w:rsid w:val="00173A1B"/>
    <w:rsid w:val="00173B03"/>
    <w:rsid w:val="001740C9"/>
    <w:rsid w:val="001744FC"/>
    <w:rsid w:val="001745ED"/>
    <w:rsid w:val="00174ECE"/>
    <w:rsid w:val="00175DD0"/>
    <w:rsid w:val="0017685D"/>
    <w:rsid w:val="00176A59"/>
    <w:rsid w:val="00176E75"/>
    <w:rsid w:val="00180575"/>
    <w:rsid w:val="001809AC"/>
    <w:rsid w:val="00180A9D"/>
    <w:rsid w:val="001814A8"/>
    <w:rsid w:val="00181593"/>
    <w:rsid w:val="00181A51"/>
    <w:rsid w:val="00181AE0"/>
    <w:rsid w:val="00181D48"/>
    <w:rsid w:val="00182769"/>
    <w:rsid w:val="00182A2C"/>
    <w:rsid w:val="00182B67"/>
    <w:rsid w:val="001831E7"/>
    <w:rsid w:val="00183874"/>
    <w:rsid w:val="00183C21"/>
    <w:rsid w:val="001842BE"/>
    <w:rsid w:val="001842FC"/>
    <w:rsid w:val="0018490D"/>
    <w:rsid w:val="00184A3B"/>
    <w:rsid w:val="00184D80"/>
    <w:rsid w:val="00184FF4"/>
    <w:rsid w:val="00185000"/>
    <w:rsid w:val="00185372"/>
    <w:rsid w:val="001859A3"/>
    <w:rsid w:val="00186858"/>
    <w:rsid w:val="001868B5"/>
    <w:rsid w:val="00186984"/>
    <w:rsid w:val="001869B2"/>
    <w:rsid w:val="00186B74"/>
    <w:rsid w:val="00186C57"/>
    <w:rsid w:val="00186C59"/>
    <w:rsid w:val="001874D9"/>
    <w:rsid w:val="00187879"/>
    <w:rsid w:val="00187889"/>
    <w:rsid w:val="001879F8"/>
    <w:rsid w:val="00187EB0"/>
    <w:rsid w:val="001900DF"/>
    <w:rsid w:val="00190299"/>
    <w:rsid w:val="00190BDF"/>
    <w:rsid w:val="00190F2F"/>
    <w:rsid w:val="00191423"/>
    <w:rsid w:val="00191820"/>
    <w:rsid w:val="00191A38"/>
    <w:rsid w:val="00191A84"/>
    <w:rsid w:val="00191ED7"/>
    <w:rsid w:val="001936A3"/>
    <w:rsid w:val="0019374A"/>
    <w:rsid w:val="001938F4"/>
    <w:rsid w:val="00193E21"/>
    <w:rsid w:val="00194735"/>
    <w:rsid w:val="001948D9"/>
    <w:rsid w:val="0019514A"/>
    <w:rsid w:val="0019519E"/>
    <w:rsid w:val="00195226"/>
    <w:rsid w:val="0019525F"/>
    <w:rsid w:val="001957C3"/>
    <w:rsid w:val="00195FA3"/>
    <w:rsid w:val="00196068"/>
    <w:rsid w:val="00196118"/>
    <w:rsid w:val="001962D0"/>
    <w:rsid w:val="001964A3"/>
    <w:rsid w:val="0019662F"/>
    <w:rsid w:val="00196683"/>
    <w:rsid w:val="00196780"/>
    <w:rsid w:val="00196ACC"/>
    <w:rsid w:val="00197452"/>
    <w:rsid w:val="0019766D"/>
    <w:rsid w:val="00197A05"/>
    <w:rsid w:val="00197C30"/>
    <w:rsid w:val="00197CE8"/>
    <w:rsid w:val="001A0340"/>
    <w:rsid w:val="001A0354"/>
    <w:rsid w:val="001A0553"/>
    <w:rsid w:val="001A0754"/>
    <w:rsid w:val="001A1353"/>
    <w:rsid w:val="001A14ED"/>
    <w:rsid w:val="001A1846"/>
    <w:rsid w:val="001A2E55"/>
    <w:rsid w:val="001A36EF"/>
    <w:rsid w:val="001A372E"/>
    <w:rsid w:val="001A3BCD"/>
    <w:rsid w:val="001A3C28"/>
    <w:rsid w:val="001A436F"/>
    <w:rsid w:val="001A488A"/>
    <w:rsid w:val="001A489D"/>
    <w:rsid w:val="001A4AFF"/>
    <w:rsid w:val="001A4CD3"/>
    <w:rsid w:val="001A5123"/>
    <w:rsid w:val="001A5302"/>
    <w:rsid w:val="001A591E"/>
    <w:rsid w:val="001A5D31"/>
    <w:rsid w:val="001A5DEA"/>
    <w:rsid w:val="001A6BCA"/>
    <w:rsid w:val="001A7B6B"/>
    <w:rsid w:val="001A7C12"/>
    <w:rsid w:val="001B011E"/>
    <w:rsid w:val="001B01EB"/>
    <w:rsid w:val="001B04F9"/>
    <w:rsid w:val="001B0945"/>
    <w:rsid w:val="001B095E"/>
    <w:rsid w:val="001B0B87"/>
    <w:rsid w:val="001B1081"/>
    <w:rsid w:val="001B12C6"/>
    <w:rsid w:val="001B175F"/>
    <w:rsid w:val="001B1A3A"/>
    <w:rsid w:val="001B2589"/>
    <w:rsid w:val="001B25F6"/>
    <w:rsid w:val="001B26F1"/>
    <w:rsid w:val="001B2937"/>
    <w:rsid w:val="001B2981"/>
    <w:rsid w:val="001B2D90"/>
    <w:rsid w:val="001B2F3B"/>
    <w:rsid w:val="001B30ED"/>
    <w:rsid w:val="001B3243"/>
    <w:rsid w:val="001B324F"/>
    <w:rsid w:val="001B33EA"/>
    <w:rsid w:val="001B35F0"/>
    <w:rsid w:val="001B3683"/>
    <w:rsid w:val="001B38DF"/>
    <w:rsid w:val="001B38E6"/>
    <w:rsid w:val="001B3B26"/>
    <w:rsid w:val="001B3B99"/>
    <w:rsid w:val="001B3C35"/>
    <w:rsid w:val="001B4278"/>
    <w:rsid w:val="001B4333"/>
    <w:rsid w:val="001B452A"/>
    <w:rsid w:val="001B49A8"/>
    <w:rsid w:val="001B49EE"/>
    <w:rsid w:val="001B4C85"/>
    <w:rsid w:val="001B4D48"/>
    <w:rsid w:val="001B4EA4"/>
    <w:rsid w:val="001B508C"/>
    <w:rsid w:val="001B5671"/>
    <w:rsid w:val="001B586D"/>
    <w:rsid w:val="001B643E"/>
    <w:rsid w:val="001B719C"/>
    <w:rsid w:val="001B724C"/>
    <w:rsid w:val="001B751D"/>
    <w:rsid w:val="001B79B5"/>
    <w:rsid w:val="001C01C3"/>
    <w:rsid w:val="001C08CF"/>
    <w:rsid w:val="001C1365"/>
    <w:rsid w:val="001C1C54"/>
    <w:rsid w:val="001C1D0E"/>
    <w:rsid w:val="001C2298"/>
    <w:rsid w:val="001C27B5"/>
    <w:rsid w:val="001C2B01"/>
    <w:rsid w:val="001C2BA9"/>
    <w:rsid w:val="001C2D96"/>
    <w:rsid w:val="001C2F7F"/>
    <w:rsid w:val="001C33E2"/>
    <w:rsid w:val="001C3499"/>
    <w:rsid w:val="001C38A7"/>
    <w:rsid w:val="001C3B1E"/>
    <w:rsid w:val="001C3C3E"/>
    <w:rsid w:val="001C4617"/>
    <w:rsid w:val="001C4D63"/>
    <w:rsid w:val="001C5223"/>
    <w:rsid w:val="001C5514"/>
    <w:rsid w:val="001C5559"/>
    <w:rsid w:val="001C55B1"/>
    <w:rsid w:val="001C6019"/>
    <w:rsid w:val="001C609F"/>
    <w:rsid w:val="001C687A"/>
    <w:rsid w:val="001C75A5"/>
    <w:rsid w:val="001C76C0"/>
    <w:rsid w:val="001D007F"/>
    <w:rsid w:val="001D014A"/>
    <w:rsid w:val="001D09C4"/>
    <w:rsid w:val="001D0A2F"/>
    <w:rsid w:val="001D0B75"/>
    <w:rsid w:val="001D0C9A"/>
    <w:rsid w:val="001D138B"/>
    <w:rsid w:val="001D15BF"/>
    <w:rsid w:val="001D164C"/>
    <w:rsid w:val="001D1C39"/>
    <w:rsid w:val="001D1DD6"/>
    <w:rsid w:val="001D206F"/>
    <w:rsid w:val="001D23AE"/>
    <w:rsid w:val="001D27AD"/>
    <w:rsid w:val="001D2B64"/>
    <w:rsid w:val="001D3046"/>
    <w:rsid w:val="001D3287"/>
    <w:rsid w:val="001D34D3"/>
    <w:rsid w:val="001D3606"/>
    <w:rsid w:val="001D39EF"/>
    <w:rsid w:val="001D3B1C"/>
    <w:rsid w:val="001D3B5A"/>
    <w:rsid w:val="001D4530"/>
    <w:rsid w:val="001D4605"/>
    <w:rsid w:val="001D4D2B"/>
    <w:rsid w:val="001D5059"/>
    <w:rsid w:val="001D505A"/>
    <w:rsid w:val="001D5DAE"/>
    <w:rsid w:val="001D629D"/>
    <w:rsid w:val="001D63D2"/>
    <w:rsid w:val="001D67B7"/>
    <w:rsid w:val="001D6D93"/>
    <w:rsid w:val="001D73EC"/>
    <w:rsid w:val="001D785D"/>
    <w:rsid w:val="001D7A40"/>
    <w:rsid w:val="001D7A77"/>
    <w:rsid w:val="001D7D3C"/>
    <w:rsid w:val="001E00D2"/>
    <w:rsid w:val="001E0176"/>
    <w:rsid w:val="001E0572"/>
    <w:rsid w:val="001E074E"/>
    <w:rsid w:val="001E0AFB"/>
    <w:rsid w:val="001E0CE0"/>
    <w:rsid w:val="001E1AB4"/>
    <w:rsid w:val="001E22B0"/>
    <w:rsid w:val="001E243D"/>
    <w:rsid w:val="001E254C"/>
    <w:rsid w:val="001E29D4"/>
    <w:rsid w:val="001E2F64"/>
    <w:rsid w:val="001E301E"/>
    <w:rsid w:val="001E3360"/>
    <w:rsid w:val="001E38A7"/>
    <w:rsid w:val="001E3E87"/>
    <w:rsid w:val="001E40EC"/>
    <w:rsid w:val="001E4A80"/>
    <w:rsid w:val="001E4C9C"/>
    <w:rsid w:val="001E5350"/>
    <w:rsid w:val="001E53EB"/>
    <w:rsid w:val="001E57BA"/>
    <w:rsid w:val="001E5974"/>
    <w:rsid w:val="001E63C2"/>
    <w:rsid w:val="001E6609"/>
    <w:rsid w:val="001E6A4A"/>
    <w:rsid w:val="001E6E69"/>
    <w:rsid w:val="001E71B2"/>
    <w:rsid w:val="001E7A69"/>
    <w:rsid w:val="001E7D6B"/>
    <w:rsid w:val="001F011C"/>
    <w:rsid w:val="001F05D0"/>
    <w:rsid w:val="001F05DF"/>
    <w:rsid w:val="001F0FCD"/>
    <w:rsid w:val="001F123D"/>
    <w:rsid w:val="001F13F7"/>
    <w:rsid w:val="001F1417"/>
    <w:rsid w:val="001F1BAB"/>
    <w:rsid w:val="001F1DA4"/>
    <w:rsid w:val="001F1ED9"/>
    <w:rsid w:val="001F1FF4"/>
    <w:rsid w:val="001F2138"/>
    <w:rsid w:val="001F2225"/>
    <w:rsid w:val="001F28F2"/>
    <w:rsid w:val="001F2B68"/>
    <w:rsid w:val="001F2BC7"/>
    <w:rsid w:val="001F2C83"/>
    <w:rsid w:val="001F3316"/>
    <w:rsid w:val="001F3664"/>
    <w:rsid w:val="001F3831"/>
    <w:rsid w:val="001F3A0C"/>
    <w:rsid w:val="001F3E11"/>
    <w:rsid w:val="001F4632"/>
    <w:rsid w:val="001F464A"/>
    <w:rsid w:val="001F4AED"/>
    <w:rsid w:val="001F4EAE"/>
    <w:rsid w:val="001F5404"/>
    <w:rsid w:val="001F5713"/>
    <w:rsid w:val="001F577E"/>
    <w:rsid w:val="001F635A"/>
    <w:rsid w:val="001F6A10"/>
    <w:rsid w:val="001F6CDA"/>
    <w:rsid w:val="001F75AF"/>
    <w:rsid w:val="001F7627"/>
    <w:rsid w:val="002001EC"/>
    <w:rsid w:val="00200732"/>
    <w:rsid w:val="00200761"/>
    <w:rsid w:val="00200DC3"/>
    <w:rsid w:val="00201014"/>
    <w:rsid w:val="002014D6"/>
    <w:rsid w:val="002019CA"/>
    <w:rsid w:val="00201DB6"/>
    <w:rsid w:val="0020218D"/>
    <w:rsid w:val="00202526"/>
    <w:rsid w:val="00202594"/>
    <w:rsid w:val="0020278B"/>
    <w:rsid w:val="0020347C"/>
    <w:rsid w:val="00203918"/>
    <w:rsid w:val="00203BF2"/>
    <w:rsid w:val="00203DDE"/>
    <w:rsid w:val="00203F86"/>
    <w:rsid w:val="00204548"/>
    <w:rsid w:val="00204AFD"/>
    <w:rsid w:val="00204B08"/>
    <w:rsid w:val="00205006"/>
    <w:rsid w:val="002052DF"/>
    <w:rsid w:val="0020575E"/>
    <w:rsid w:val="00205867"/>
    <w:rsid w:val="00205FF3"/>
    <w:rsid w:val="002066DB"/>
    <w:rsid w:val="00206C5D"/>
    <w:rsid w:val="002070BE"/>
    <w:rsid w:val="00207293"/>
    <w:rsid w:val="00207F0C"/>
    <w:rsid w:val="002100F2"/>
    <w:rsid w:val="00210959"/>
    <w:rsid w:val="00210F94"/>
    <w:rsid w:val="00210FE5"/>
    <w:rsid w:val="0021143E"/>
    <w:rsid w:val="00212184"/>
    <w:rsid w:val="0021236E"/>
    <w:rsid w:val="0021249B"/>
    <w:rsid w:val="002129FC"/>
    <w:rsid w:val="00212A42"/>
    <w:rsid w:val="00212D9A"/>
    <w:rsid w:val="00212E53"/>
    <w:rsid w:val="0021319F"/>
    <w:rsid w:val="0021372E"/>
    <w:rsid w:val="00213C38"/>
    <w:rsid w:val="00213EFD"/>
    <w:rsid w:val="002140E4"/>
    <w:rsid w:val="00214180"/>
    <w:rsid w:val="002143B3"/>
    <w:rsid w:val="00214AD6"/>
    <w:rsid w:val="00214FE8"/>
    <w:rsid w:val="002156BB"/>
    <w:rsid w:val="00215B7E"/>
    <w:rsid w:val="00215F0C"/>
    <w:rsid w:val="0021668F"/>
    <w:rsid w:val="00216755"/>
    <w:rsid w:val="002169D9"/>
    <w:rsid w:val="00216AAF"/>
    <w:rsid w:val="00216CE8"/>
    <w:rsid w:val="00216FE9"/>
    <w:rsid w:val="0021757A"/>
    <w:rsid w:val="002201AC"/>
    <w:rsid w:val="00220205"/>
    <w:rsid w:val="0022088E"/>
    <w:rsid w:val="00220A42"/>
    <w:rsid w:val="00220DA3"/>
    <w:rsid w:val="002215FB"/>
    <w:rsid w:val="00221828"/>
    <w:rsid w:val="00221C65"/>
    <w:rsid w:val="00221F9F"/>
    <w:rsid w:val="002225F4"/>
    <w:rsid w:val="0022275E"/>
    <w:rsid w:val="00222C6B"/>
    <w:rsid w:val="00222DAC"/>
    <w:rsid w:val="00223558"/>
    <w:rsid w:val="002237DE"/>
    <w:rsid w:val="00223DCB"/>
    <w:rsid w:val="002247E4"/>
    <w:rsid w:val="00224957"/>
    <w:rsid w:val="00224D07"/>
    <w:rsid w:val="00224D8A"/>
    <w:rsid w:val="002252A5"/>
    <w:rsid w:val="00225F86"/>
    <w:rsid w:val="00226917"/>
    <w:rsid w:val="0022692A"/>
    <w:rsid w:val="00226B0B"/>
    <w:rsid w:val="00226B5B"/>
    <w:rsid w:val="00226F4B"/>
    <w:rsid w:val="0022794D"/>
    <w:rsid w:val="00230294"/>
    <w:rsid w:val="002302BA"/>
    <w:rsid w:val="00230B63"/>
    <w:rsid w:val="002310D2"/>
    <w:rsid w:val="00231227"/>
    <w:rsid w:val="0023144D"/>
    <w:rsid w:val="00231536"/>
    <w:rsid w:val="00231670"/>
    <w:rsid w:val="002317AD"/>
    <w:rsid w:val="0023184A"/>
    <w:rsid w:val="00231A71"/>
    <w:rsid w:val="00232171"/>
    <w:rsid w:val="002324D7"/>
    <w:rsid w:val="002325C8"/>
    <w:rsid w:val="00232A73"/>
    <w:rsid w:val="00232CA0"/>
    <w:rsid w:val="00233503"/>
    <w:rsid w:val="00233675"/>
    <w:rsid w:val="00233C65"/>
    <w:rsid w:val="002341F9"/>
    <w:rsid w:val="002342F8"/>
    <w:rsid w:val="002345EA"/>
    <w:rsid w:val="00234632"/>
    <w:rsid w:val="00234DBB"/>
    <w:rsid w:val="0023592B"/>
    <w:rsid w:val="00235D65"/>
    <w:rsid w:val="00236588"/>
    <w:rsid w:val="0023674C"/>
    <w:rsid w:val="00236E4E"/>
    <w:rsid w:val="00236F37"/>
    <w:rsid w:val="0023713A"/>
    <w:rsid w:val="002377C1"/>
    <w:rsid w:val="00240089"/>
    <w:rsid w:val="002403C3"/>
    <w:rsid w:val="002403C8"/>
    <w:rsid w:val="0024058E"/>
    <w:rsid w:val="002407AB"/>
    <w:rsid w:val="00240B52"/>
    <w:rsid w:val="00240E70"/>
    <w:rsid w:val="00240FE9"/>
    <w:rsid w:val="00241B70"/>
    <w:rsid w:val="00242566"/>
    <w:rsid w:val="0024275D"/>
    <w:rsid w:val="00242A05"/>
    <w:rsid w:val="00242D70"/>
    <w:rsid w:val="0024332F"/>
    <w:rsid w:val="002434E4"/>
    <w:rsid w:val="00243579"/>
    <w:rsid w:val="00243626"/>
    <w:rsid w:val="002436C6"/>
    <w:rsid w:val="00243926"/>
    <w:rsid w:val="00243A0F"/>
    <w:rsid w:val="00243BA4"/>
    <w:rsid w:val="00243C4F"/>
    <w:rsid w:val="00243E1D"/>
    <w:rsid w:val="00243EBE"/>
    <w:rsid w:val="00243FDE"/>
    <w:rsid w:val="002449C5"/>
    <w:rsid w:val="00244DA7"/>
    <w:rsid w:val="002450C5"/>
    <w:rsid w:val="00245235"/>
    <w:rsid w:val="002453E3"/>
    <w:rsid w:val="0024587C"/>
    <w:rsid w:val="00245889"/>
    <w:rsid w:val="00245E42"/>
    <w:rsid w:val="00246C6F"/>
    <w:rsid w:val="002473A0"/>
    <w:rsid w:val="002473BC"/>
    <w:rsid w:val="002473E9"/>
    <w:rsid w:val="002474E7"/>
    <w:rsid w:val="002476EB"/>
    <w:rsid w:val="002479B9"/>
    <w:rsid w:val="00247B16"/>
    <w:rsid w:val="00247EFC"/>
    <w:rsid w:val="0025004D"/>
    <w:rsid w:val="00250156"/>
    <w:rsid w:val="00250BFF"/>
    <w:rsid w:val="00250E5B"/>
    <w:rsid w:val="002519D6"/>
    <w:rsid w:val="00251F9D"/>
    <w:rsid w:val="002521F9"/>
    <w:rsid w:val="0025377A"/>
    <w:rsid w:val="00253C0B"/>
    <w:rsid w:val="0025405C"/>
    <w:rsid w:val="00254062"/>
    <w:rsid w:val="002545A7"/>
    <w:rsid w:val="002545B2"/>
    <w:rsid w:val="002545CE"/>
    <w:rsid w:val="00254696"/>
    <w:rsid w:val="00254B34"/>
    <w:rsid w:val="00254C83"/>
    <w:rsid w:val="00254FD0"/>
    <w:rsid w:val="002553B1"/>
    <w:rsid w:val="00256051"/>
    <w:rsid w:val="00256132"/>
    <w:rsid w:val="002562F0"/>
    <w:rsid w:val="0025695C"/>
    <w:rsid w:val="00257227"/>
    <w:rsid w:val="00257E33"/>
    <w:rsid w:val="00257F01"/>
    <w:rsid w:val="00260751"/>
    <w:rsid w:val="00260E10"/>
    <w:rsid w:val="00260E2D"/>
    <w:rsid w:val="00260E38"/>
    <w:rsid w:val="00260EB7"/>
    <w:rsid w:val="00260F0A"/>
    <w:rsid w:val="00260F98"/>
    <w:rsid w:val="00261270"/>
    <w:rsid w:val="0026161C"/>
    <w:rsid w:val="00262389"/>
    <w:rsid w:val="00262936"/>
    <w:rsid w:val="00262AC5"/>
    <w:rsid w:val="00262E38"/>
    <w:rsid w:val="0026345C"/>
    <w:rsid w:val="00263755"/>
    <w:rsid w:val="00263935"/>
    <w:rsid w:val="00263F7A"/>
    <w:rsid w:val="0026435B"/>
    <w:rsid w:val="0026447A"/>
    <w:rsid w:val="00264F94"/>
    <w:rsid w:val="00265068"/>
    <w:rsid w:val="0026530A"/>
    <w:rsid w:val="0026537F"/>
    <w:rsid w:val="0026540B"/>
    <w:rsid w:val="0026542C"/>
    <w:rsid w:val="002655A1"/>
    <w:rsid w:val="0026657B"/>
    <w:rsid w:val="00266E5A"/>
    <w:rsid w:val="002674FA"/>
    <w:rsid w:val="00267EBC"/>
    <w:rsid w:val="00271541"/>
    <w:rsid w:val="002715A4"/>
    <w:rsid w:val="00271C79"/>
    <w:rsid w:val="00271DF1"/>
    <w:rsid w:val="002722FD"/>
    <w:rsid w:val="00272766"/>
    <w:rsid w:val="002727C9"/>
    <w:rsid w:val="00273878"/>
    <w:rsid w:val="00273879"/>
    <w:rsid w:val="00273ECC"/>
    <w:rsid w:val="0027408B"/>
    <w:rsid w:val="002745E7"/>
    <w:rsid w:val="00274632"/>
    <w:rsid w:val="0027466E"/>
    <w:rsid w:val="00275466"/>
    <w:rsid w:val="0027551F"/>
    <w:rsid w:val="002756DD"/>
    <w:rsid w:val="00275FAD"/>
    <w:rsid w:val="0027609E"/>
    <w:rsid w:val="002760BF"/>
    <w:rsid w:val="002767C9"/>
    <w:rsid w:val="002767F4"/>
    <w:rsid w:val="00276A11"/>
    <w:rsid w:val="00277A07"/>
    <w:rsid w:val="00277AD8"/>
    <w:rsid w:val="00277B09"/>
    <w:rsid w:val="00277B17"/>
    <w:rsid w:val="00277CDB"/>
    <w:rsid w:val="00277D99"/>
    <w:rsid w:val="00280129"/>
    <w:rsid w:val="0028037E"/>
    <w:rsid w:val="0028068C"/>
    <w:rsid w:val="00280A58"/>
    <w:rsid w:val="00280B9C"/>
    <w:rsid w:val="00281032"/>
    <w:rsid w:val="002812C8"/>
    <w:rsid w:val="002813DB"/>
    <w:rsid w:val="00281637"/>
    <w:rsid w:val="0028192C"/>
    <w:rsid w:val="00282B3E"/>
    <w:rsid w:val="00282B9E"/>
    <w:rsid w:val="0028323D"/>
    <w:rsid w:val="00283D10"/>
    <w:rsid w:val="0028407B"/>
    <w:rsid w:val="0028429C"/>
    <w:rsid w:val="002842ED"/>
    <w:rsid w:val="00284421"/>
    <w:rsid w:val="00284A29"/>
    <w:rsid w:val="00284BCA"/>
    <w:rsid w:val="00285229"/>
    <w:rsid w:val="0028543F"/>
    <w:rsid w:val="00285968"/>
    <w:rsid w:val="002859E4"/>
    <w:rsid w:val="00285C57"/>
    <w:rsid w:val="00285C95"/>
    <w:rsid w:val="00285F03"/>
    <w:rsid w:val="00286365"/>
    <w:rsid w:val="00286455"/>
    <w:rsid w:val="00286483"/>
    <w:rsid w:val="002865C5"/>
    <w:rsid w:val="002865F0"/>
    <w:rsid w:val="0028669B"/>
    <w:rsid w:val="0028671E"/>
    <w:rsid w:val="002869F8"/>
    <w:rsid w:val="00286AB8"/>
    <w:rsid w:val="00286E62"/>
    <w:rsid w:val="00287061"/>
    <w:rsid w:val="00287197"/>
    <w:rsid w:val="00287291"/>
    <w:rsid w:val="002873AD"/>
    <w:rsid w:val="002879A9"/>
    <w:rsid w:val="00287B37"/>
    <w:rsid w:val="00290588"/>
    <w:rsid w:val="002908C9"/>
    <w:rsid w:val="00290D5B"/>
    <w:rsid w:val="00290DE8"/>
    <w:rsid w:val="0029141B"/>
    <w:rsid w:val="0029146C"/>
    <w:rsid w:val="00291755"/>
    <w:rsid w:val="00291CE8"/>
    <w:rsid w:val="00292115"/>
    <w:rsid w:val="0029256A"/>
    <w:rsid w:val="00292756"/>
    <w:rsid w:val="00292968"/>
    <w:rsid w:val="00292A68"/>
    <w:rsid w:val="00292FCD"/>
    <w:rsid w:val="00293433"/>
    <w:rsid w:val="00295ECF"/>
    <w:rsid w:val="00295F8F"/>
    <w:rsid w:val="002961AA"/>
    <w:rsid w:val="002965B4"/>
    <w:rsid w:val="002965E1"/>
    <w:rsid w:val="00296F19"/>
    <w:rsid w:val="00297823"/>
    <w:rsid w:val="00297BA9"/>
    <w:rsid w:val="00297DAD"/>
    <w:rsid w:val="002A0061"/>
    <w:rsid w:val="002A039A"/>
    <w:rsid w:val="002A05F5"/>
    <w:rsid w:val="002A0619"/>
    <w:rsid w:val="002A071B"/>
    <w:rsid w:val="002A0C6F"/>
    <w:rsid w:val="002A0DF2"/>
    <w:rsid w:val="002A11B4"/>
    <w:rsid w:val="002A1749"/>
    <w:rsid w:val="002A1B77"/>
    <w:rsid w:val="002A1C57"/>
    <w:rsid w:val="002A1C8E"/>
    <w:rsid w:val="002A229E"/>
    <w:rsid w:val="002A24EF"/>
    <w:rsid w:val="002A2523"/>
    <w:rsid w:val="002A288A"/>
    <w:rsid w:val="002A2957"/>
    <w:rsid w:val="002A2DA8"/>
    <w:rsid w:val="002A2F10"/>
    <w:rsid w:val="002A34E8"/>
    <w:rsid w:val="002A3598"/>
    <w:rsid w:val="002A3746"/>
    <w:rsid w:val="002A390A"/>
    <w:rsid w:val="002A3C83"/>
    <w:rsid w:val="002A3C94"/>
    <w:rsid w:val="002A431B"/>
    <w:rsid w:val="002A436C"/>
    <w:rsid w:val="002A478E"/>
    <w:rsid w:val="002A47BF"/>
    <w:rsid w:val="002A4A2C"/>
    <w:rsid w:val="002A4BBE"/>
    <w:rsid w:val="002A52FC"/>
    <w:rsid w:val="002A5700"/>
    <w:rsid w:val="002A581B"/>
    <w:rsid w:val="002A58E0"/>
    <w:rsid w:val="002A5A4E"/>
    <w:rsid w:val="002A5E6E"/>
    <w:rsid w:val="002A6141"/>
    <w:rsid w:val="002A648E"/>
    <w:rsid w:val="002A7350"/>
    <w:rsid w:val="002A73C5"/>
    <w:rsid w:val="002A7F15"/>
    <w:rsid w:val="002A7F39"/>
    <w:rsid w:val="002B0064"/>
    <w:rsid w:val="002B0661"/>
    <w:rsid w:val="002B0B89"/>
    <w:rsid w:val="002B0BC6"/>
    <w:rsid w:val="002B0D6F"/>
    <w:rsid w:val="002B0FB9"/>
    <w:rsid w:val="002B103C"/>
    <w:rsid w:val="002B10A3"/>
    <w:rsid w:val="002B12E7"/>
    <w:rsid w:val="002B1908"/>
    <w:rsid w:val="002B1BC2"/>
    <w:rsid w:val="002B1F1F"/>
    <w:rsid w:val="002B256F"/>
    <w:rsid w:val="002B2811"/>
    <w:rsid w:val="002B28C6"/>
    <w:rsid w:val="002B2BAE"/>
    <w:rsid w:val="002B3A62"/>
    <w:rsid w:val="002B4727"/>
    <w:rsid w:val="002B5403"/>
    <w:rsid w:val="002B5B43"/>
    <w:rsid w:val="002B5E8F"/>
    <w:rsid w:val="002B6458"/>
    <w:rsid w:val="002B6507"/>
    <w:rsid w:val="002B691F"/>
    <w:rsid w:val="002B6B99"/>
    <w:rsid w:val="002B6D6A"/>
    <w:rsid w:val="002B6F5E"/>
    <w:rsid w:val="002B7349"/>
    <w:rsid w:val="002B7C19"/>
    <w:rsid w:val="002B7C78"/>
    <w:rsid w:val="002B7CA3"/>
    <w:rsid w:val="002C076F"/>
    <w:rsid w:val="002C0802"/>
    <w:rsid w:val="002C1117"/>
    <w:rsid w:val="002C1F46"/>
    <w:rsid w:val="002C230E"/>
    <w:rsid w:val="002C2469"/>
    <w:rsid w:val="002C2A63"/>
    <w:rsid w:val="002C2B81"/>
    <w:rsid w:val="002C2BE6"/>
    <w:rsid w:val="002C2CAC"/>
    <w:rsid w:val="002C2E7C"/>
    <w:rsid w:val="002C369D"/>
    <w:rsid w:val="002C3847"/>
    <w:rsid w:val="002C3FFE"/>
    <w:rsid w:val="002C40EF"/>
    <w:rsid w:val="002C41E8"/>
    <w:rsid w:val="002C42E0"/>
    <w:rsid w:val="002C43D4"/>
    <w:rsid w:val="002C461E"/>
    <w:rsid w:val="002C4732"/>
    <w:rsid w:val="002C4C72"/>
    <w:rsid w:val="002C5928"/>
    <w:rsid w:val="002C6030"/>
    <w:rsid w:val="002C66BD"/>
    <w:rsid w:val="002C6B64"/>
    <w:rsid w:val="002C7105"/>
    <w:rsid w:val="002C714F"/>
    <w:rsid w:val="002C7317"/>
    <w:rsid w:val="002C7BCA"/>
    <w:rsid w:val="002C7C0F"/>
    <w:rsid w:val="002D0699"/>
    <w:rsid w:val="002D0995"/>
    <w:rsid w:val="002D09A1"/>
    <w:rsid w:val="002D0EAD"/>
    <w:rsid w:val="002D0F9A"/>
    <w:rsid w:val="002D1108"/>
    <w:rsid w:val="002D12C0"/>
    <w:rsid w:val="002D1ED8"/>
    <w:rsid w:val="002D2789"/>
    <w:rsid w:val="002D2E78"/>
    <w:rsid w:val="002D2F29"/>
    <w:rsid w:val="002D303F"/>
    <w:rsid w:val="002D3196"/>
    <w:rsid w:val="002D3915"/>
    <w:rsid w:val="002D3BF8"/>
    <w:rsid w:val="002D3C0C"/>
    <w:rsid w:val="002D3CEF"/>
    <w:rsid w:val="002D45FC"/>
    <w:rsid w:val="002D497A"/>
    <w:rsid w:val="002D4A58"/>
    <w:rsid w:val="002D4C51"/>
    <w:rsid w:val="002D4E25"/>
    <w:rsid w:val="002D5F29"/>
    <w:rsid w:val="002D6304"/>
    <w:rsid w:val="002D6CEC"/>
    <w:rsid w:val="002D6E9E"/>
    <w:rsid w:val="002D7115"/>
    <w:rsid w:val="002D730F"/>
    <w:rsid w:val="002D78A9"/>
    <w:rsid w:val="002E0419"/>
    <w:rsid w:val="002E04D7"/>
    <w:rsid w:val="002E07B5"/>
    <w:rsid w:val="002E0CAA"/>
    <w:rsid w:val="002E0FCF"/>
    <w:rsid w:val="002E11F7"/>
    <w:rsid w:val="002E12A4"/>
    <w:rsid w:val="002E146B"/>
    <w:rsid w:val="002E14B6"/>
    <w:rsid w:val="002E17D2"/>
    <w:rsid w:val="002E1C6B"/>
    <w:rsid w:val="002E2537"/>
    <w:rsid w:val="002E2768"/>
    <w:rsid w:val="002E2772"/>
    <w:rsid w:val="002E290B"/>
    <w:rsid w:val="002E2B57"/>
    <w:rsid w:val="002E39FD"/>
    <w:rsid w:val="002E3D21"/>
    <w:rsid w:val="002E43EA"/>
    <w:rsid w:val="002E4930"/>
    <w:rsid w:val="002E4BB0"/>
    <w:rsid w:val="002E4D66"/>
    <w:rsid w:val="002E5826"/>
    <w:rsid w:val="002E588C"/>
    <w:rsid w:val="002E5F30"/>
    <w:rsid w:val="002E624C"/>
    <w:rsid w:val="002E6484"/>
    <w:rsid w:val="002E6494"/>
    <w:rsid w:val="002E66FB"/>
    <w:rsid w:val="002E6A0C"/>
    <w:rsid w:val="002E6B73"/>
    <w:rsid w:val="002E73F3"/>
    <w:rsid w:val="002E7679"/>
    <w:rsid w:val="002F0157"/>
    <w:rsid w:val="002F022E"/>
    <w:rsid w:val="002F0243"/>
    <w:rsid w:val="002F039E"/>
    <w:rsid w:val="002F0A4F"/>
    <w:rsid w:val="002F0D30"/>
    <w:rsid w:val="002F172B"/>
    <w:rsid w:val="002F1A1E"/>
    <w:rsid w:val="002F1BF9"/>
    <w:rsid w:val="002F246F"/>
    <w:rsid w:val="002F32AA"/>
    <w:rsid w:val="002F32BA"/>
    <w:rsid w:val="002F32E2"/>
    <w:rsid w:val="002F3326"/>
    <w:rsid w:val="002F347F"/>
    <w:rsid w:val="002F357F"/>
    <w:rsid w:val="002F3A7B"/>
    <w:rsid w:val="002F3ABD"/>
    <w:rsid w:val="002F411E"/>
    <w:rsid w:val="002F44A9"/>
    <w:rsid w:val="002F4645"/>
    <w:rsid w:val="002F47B9"/>
    <w:rsid w:val="002F4800"/>
    <w:rsid w:val="002F4947"/>
    <w:rsid w:val="002F4AD4"/>
    <w:rsid w:val="002F5035"/>
    <w:rsid w:val="002F5193"/>
    <w:rsid w:val="002F548E"/>
    <w:rsid w:val="002F5533"/>
    <w:rsid w:val="002F56EB"/>
    <w:rsid w:val="002F5A43"/>
    <w:rsid w:val="002F602F"/>
    <w:rsid w:val="002F6144"/>
    <w:rsid w:val="002F66BF"/>
    <w:rsid w:val="002F6776"/>
    <w:rsid w:val="002F679A"/>
    <w:rsid w:val="002F72AD"/>
    <w:rsid w:val="002F7A33"/>
    <w:rsid w:val="002F7A9F"/>
    <w:rsid w:val="002F7E9E"/>
    <w:rsid w:val="003009AB"/>
    <w:rsid w:val="00300BE1"/>
    <w:rsid w:val="00300CDC"/>
    <w:rsid w:val="00300D5C"/>
    <w:rsid w:val="003013A3"/>
    <w:rsid w:val="00301725"/>
    <w:rsid w:val="0030177D"/>
    <w:rsid w:val="0030182C"/>
    <w:rsid w:val="00302A9B"/>
    <w:rsid w:val="00302ADE"/>
    <w:rsid w:val="00302B01"/>
    <w:rsid w:val="00303B5B"/>
    <w:rsid w:val="00303D05"/>
    <w:rsid w:val="00303E48"/>
    <w:rsid w:val="003043AD"/>
    <w:rsid w:val="003043FE"/>
    <w:rsid w:val="0030484C"/>
    <w:rsid w:val="00304A9D"/>
    <w:rsid w:val="00304C22"/>
    <w:rsid w:val="00304F24"/>
    <w:rsid w:val="003053C0"/>
    <w:rsid w:val="00305693"/>
    <w:rsid w:val="00305DB3"/>
    <w:rsid w:val="003061F1"/>
    <w:rsid w:val="003064F2"/>
    <w:rsid w:val="00306539"/>
    <w:rsid w:val="0030692F"/>
    <w:rsid w:val="00306EE3"/>
    <w:rsid w:val="003072E1"/>
    <w:rsid w:val="0030737F"/>
    <w:rsid w:val="0030795D"/>
    <w:rsid w:val="00307AF7"/>
    <w:rsid w:val="00310064"/>
    <w:rsid w:val="00310158"/>
    <w:rsid w:val="0031031A"/>
    <w:rsid w:val="00310B4A"/>
    <w:rsid w:val="00310CEA"/>
    <w:rsid w:val="003110A3"/>
    <w:rsid w:val="003111E8"/>
    <w:rsid w:val="003113AC"/>
    <w:rsid w:val="003114CF"/>
    <w:rsid w:val="00311591"/>
    <w:rsid w:val="00311B79"/>
    <w:rsid w:val="0031205C"/>
    <w:rsid w:val="00312114"/>
    <w:rsid w:val="00312204"/>
    <w:rsid w:val="003126F6"/>
    <w:rsid w:val="00312D27"/>
    <w:rsid w:val="00312E23"/>
    <w:rsid w:val="00312F9C"/>
    <w:rsid w:val="00313076"/>
    <w:rsid w:val="003137EE"/>
    <w:rsid w:val="00313891"/>
    <w:rsid w:val="00313BF1"/>
    <w:rsid w:val="00313FCE"/>
    <w:rsid w:val="00314163"/>
    <w:rsid w:val="00314178"/>
    <w:rsid w:val="00314225"/>
    <w:rsid w:val="00314969"/>
    <w:rsid w:val="00314D58"/>
    <w:rsid w:val="00315010"/>
    <w:rsid w:val="0031521C"/>
    <w:rsid w:val="00315666"/>
    <w:rsid w:val="00315A32"/>
    <w:rsid w:val="0031614A"/>
    <w:rsid w:val="00316251"/>
    <w:rsid w:val="00316681"/>
    <w:rsid w:val="00316734"/>
    <w:rsid w:val="00316C0A"/>
    <w:rsid w:val="00317071"/>
    <w:rsid w:val="0031721E"/>
    <w:rsid w:val="003172A6"/>
    <w:rsid w:val="003173AD"/>
    <w:rsid w:val="003174A8"/>
    <w:rsid w:val="00317812"/>
    <w:rsid w:val="00317F66"/>
    <w:rsid w:val="00320EAD"/>
    <w:rsid w:val="00321018"/>
    <w:rsid w:val="003211B0"/>
    <w:rsid w:val="0032197B"/>
    <w:rsid w:val="003219A2"/>
    <w:rsid w:val="00321E8F"/>
    <w:rsid w:val="00322C07"/>
    <w:rsid w:val="00322C0D"/>
    <w:rsid w:val="00322E80"/>
    <w:rsid w:val="003232C7"/>
    <w:rsid w:val="00323468"/>
    <w:rsid w:val="003234ED"/>
    <w:rsid w:val="00323686"/>
    <w:rsid w:val="00323838"/>
    <w:rsid w:val="00323870"/>
    <w:rsid w:val="00323A67"/>
    <w:rsid w:val="0032403B"/>
    <w:rsid w:val="00324E32"/>
    <w:rsid w:val="003255CC"/>
    <w:rsid w:val="00325BB8"/>
    <w:rsid w:val="00325D0A"/>
    <w:rsid w:val="00325D92"/>
    <w:rsid w:val="00325F8D"/>
    <w:rsid w:val="00326220"/>
    <w:rsid w:val="003263EC"/>
    <w:rsid w:val="00326866"/>
    <w:rsid w:val="00326DF2"/>
    <w:rsid w:val="00326F5C"/>
    <w:rsid w:val="00326F63"/>
    <w:rsid w:val="0032702F"/>
    <w:rsid w:val="00327401"/>
    <w:rsid w:val="00327A49"/>
    <w:rsid w:val="00327AE8"/>
    <w:rsid w:val="00330124"/>
    <w:rsid w:val="003301B6"/>
    <w:rsid w:val="003304CD"/>
    <w:rsid w:val="003306C5"/>
    <w:rsid w:val="0033100C"/>
    <w:rsid w:val="00331F76"/>
    <w:rsid w:val="0033211D"/>
    <w:rsid w:val="00332258"/>
    <w:rsid w:val="003329A7"/>
    <w:rsid w:val="00332BEA"/>
    <w:rsid w:val="00333218"/>
    <w:rsid w:val="003334DF"/>
    <w:rsid w:val="00333931"/>
    <w:rsid w:val="00333CF9"/>
    <w:rsid w:val="00333DF8"/>
    <w:rsid w:val="003343A9"/>
    <w:rsid w:val="003346C2"/>
    <w:rsid w:val="00334708"/>
    <w:rsid w:val="0033522C"/>
    <w:rsid w:val="00335AE5"/>
    <w:rsid w:val="00335D07"/>
    <w:rsid w:val="00335DFC"/>
    <w:rsid w:val="0033612B"/>
    <w:rsid w:val="00336368"/>
    <w:rsid w:val="00336584"/>
    <w:rsid w:val="0033663C"/>
    <w:rsid w:val="0033682D"/>
    <w:rsid w:val="00336F8F"/>
    <w:rsid w:val="003370AC"/>
    <w:rsid w:val="00337123"/>
    <w:rsid w:val="00337253"/>
    <w:rsid w:val="00340359"/>
    <w:rsid w:val="00340564"/>
    <w:rsid w:val="00340778"/>
    <w:rsid w:val="00340867"/>
    <w:rsid w:val="00341570"/>
    <w:rsid w:val="003419E5"/>
    <w:rsid w:val="00341BBE"/>
    <w:rsid w:val="0034203E"/>
    <w:rsid w:val="003421BB"/>
    <w:rsid w:val="00342258"/>
    <w:rsid w:val="003427F1"/>
    <w:rsid w:val="00342B2C"/>
    <w:rsid w:val="00342C62"/>
    <w:rsid w:val="00342CA3"/>
    <w:rsid w:val="00342D38"/>
    <w:rsid w:val="00342EE4"/>
    <w:rsid w:val="003433EA"/>
    <w:rsid w:val="0034371D"/>
    <w:rsid w:val="00343983"/>
    <w:rsid w:val="00343B33"/>
    <w:rsid w:val="00343C8F"/>
    <w:rsid w:val="00343CA4"/>
    <w:rsid w:val="00343F94"/>
    <w:rsid w:val="0034427D"/>
    <w:rsid w:val="00344595"/>
    <w:rsid w:val="00344969"/>
    <w:rsid w:val="00344D17"/>
    <w:rsid w:val="00344EE1"/>
    <w:rsid w:val="00344F5A"/>
    <w:rsid w:val="00345208"/>
    <w:rsid w:val="00345BDE"/>
    <w:rsid w:val="00345E18"/>
    <w:rsid w:val="00345E93"/>
    <w:rsid w:val="00346726"/>
    <w:rsid w:val="00347314"/>
    <w:rsid w:val="00347839"/>
    <w:rsid w:val="0034796E"/>
    <w:rsid w:val="00350114"/>
    <w:rsid w:val="003506D7"/>
    <w:rsid w:val="00351695"/>
    <w:rsid w:val="00351A7B"/>
    <w:rsid w:val="00351B6C"/>
    <w:rsid w:val="00352156"/>
    <w:rsid w:val="00352A90"/>
    <w:rsid w:val="003531DD"/>
    <w:rsid w:val="0035367C"/>
    <w:rsid w:val="00353BE5"/>
    <w:rsid w:val="00353DE2"/>
    <w:rsid w:val="0035404E"/>
    <w:rsid w:val="00354656"/>
    <w:rsid w:val="003546DB"/>
    <w:rsid w:val="0035499B"/>
    <w:rsid w:val="00354DFF"/>
    <w:rsid w:val="003550A9"/>
    <w:rsid w:val="00355150"/>
    <w:rsid w:val="003551BD"/>
    <w:rsid w:val="00355520"/>
    <w:rsid w:val="003555F3"/>
    <w:rsid w:val="00355B55"/>
    <w:rsid w:val="00355EAC"/>
    <w:rsid w:val="0035634E"/>
    <w:rsid w:val="003563D2"/>
    <w:rsid w:val="00356D55"/>
    <w:rsid w:val="00356F6F"/>
    <w:rsid w:val="003570EE"/>
    <w:rsid w:val="00357279"/>
    <w:rsid w:val="00357684"/>
    <w:rsid w:val="003579CE"/>
    <w:rsid w:val="00360091"/>
    <w:rsid w:val="003603AC"/>
    <w:rsid w:val="003612FD"/>
    <w:rsid w:val="003617CD"/>
    <w:rsid w:val="00361DAD"/>
    <w:rsid w:val="00362397"/>
    <w:rsid w:val="0036258B"/>
    <w:rsid w:val="00362717"/>
    <w:rsid w:val="00362760"/>
    <w:rsid w:val="003631FA"/>
    <w:rsid w:val="00363BEB"/>
    <w:rsid w:val="00363D8C"/>
    <w:rsid w:val="00363DE2"/>
    <w:rsid w:val="0036415F"/>
    <w:rsid w:val="00364C22"/>
    <w:rsid w:val="00364E05"/>
    <w:rsid w:val="00365294"/>
    <w:rsid w:val="0036545E"/>
    <w:rsid w:val="003658F6"/>
    <w:rsid w:val="003659BC"/>
    <w:rsid w:val="00365B06"/>
    <w:rsid w:val="00365F21"/>
    <w:rsid w:val="0036658A"/>
    <w:rsid w:val="003668B3"/>
    <w:rsid w:val="00366C61"/>
    <w:rsid w:val="00366D91"/>
    <w:rsid w:val="00366DF7"/>
    <w:rsid w:val="00367855"/>
    <w:rsid w:val="00367A5D"/>
    <w:rsid w:val="00367AE5"/>
    <w:rsid w:val="00367B0C"/>
    <w:rsid w:val="0037003D"/>
    <w:rsid w:val="0037038D"/>
    <w:rsid w:val="0037057F"/>
    <w:rsid w:val="003707EE"/>
    <w:rsid w:val="003709E0"/>
    <w:rsid w:val="00370C03"/>
    <w:rsid w:val="0037123E"/>
    <w:rsid w:val="003718D1"/>
    <w:rsid w:val="0037223C"/>
    <w:rsid w:val="00372735"/>
    <w:rsid w:val="00372A4D"/>
    <w:rsid w:val="00372EDE"/>
    <w:rsid w:val="003734D0"/>
    <w:rsid w:val="00373871"/>
    <w:rsid w:val="00373B0D"/>
    <w:rsid w:val="003747F5"/>
    <w:rsid w:val="00374885"/>
    <w:rsid w:val="0037567E"/>
    <w:rsid w:val="00375763"/>
    <w:rsid w:val="00375B53"/>
    <w:rsid w:val="003762C4"/>
    <w:rsid w:val="003768F9"/>
    <w:rsid w:val="00376B82"/>
    <w:rsid w:val="00376DD1"/>
    <w:rsid w:val="003770A9"/>
    <w:rsid w:val="003771B8"/>
    <w:rsid w:val="00377913"/>
    <w:rsid w:val="003800C0"/>
    <w:rsid w:val="003803D8"/>
    <w:rsid w:val="003804F3"/>
    <w:rsid w:val="003806E0"/>
    <w:rsid w:val="00381C81"/>
    <w:rsid w:val="00381E8A"/>
    <w:rsid w:val="0038213A"/>
    <w:rsid w:val="003824EA"/>
    <w:rsid w:val="00382A9B"/>
    <w:rsid w:val="00382B17"/>
    <w:rsid w:val="00382C46"/>
    <w:rsid w:val="00382F4A"/>
    <w:rsid w:val="003833E5"/>
    <w:rsid w:val="003834F2"/>
    <w:rsid w:val="00383692"/>
    <w:rsid w:val="00383717"/>
    <w:rsid w:val="00383C44"/>
    <w:rsid w:val="0038434E"/>
    <w:rsid w:val="00384624"/>
    <w:rsid w:val="0038462B"/>
    <w:rsid w:val="00384942"/>
    <w:rsid w:val="00384DDD"/>
    <w:rsid w:val="00384E73"/>
    <w:rsid w:val="0038500F"/>
    <w:rsid w:val="0038583B"/>
    <w:rsid w:val="0038597F"/>
    <w:rsid w:val="00385A66"/>
    <w:rsid w:val="00385A88"/>
    <w:rsid w:val="0038617D"/>
    <w:rsid w:val="0038630D"/>
    <w:rsid w:val="00386316"/>
    <w:rsid w:val="003874E4"/>
    <w:rsid w:val="00390744"/>
    <w:rsid w:val="0039100A"/>
    <w:rsid w:val="00391873"/>
    <w:rsid w:val="00392B5D"/>
    <w:rsid w:val="0039308E"/>
    <w:rsid w:val="00393351"/>
    <w:rsid w:val="00393364"/>
    <w:rsid w:val="00395283"/>
    <w:rsid w:val="003955FD"/>
    <w:rsid w:val="00395914"/>
    <w:rsid w:val="00395FF7"/>
    <w:rsid w:val="00396CC0"/>
    <w:rsid w:val="00396D65"/>
    <w:rsid w:val="00397377"/>
    <w:rsid w:val="0039752D"/>
    <w:rsid w:val="003979C6"/>
    <w:rsid w:val="00397BD8"/>
    <w:rsid w:val="00397DBB"/>
    <w:rsid w:val="003A01A1"/>
    <w:rsid w:val="003A01AB"/>
    <w:rsid w:val="003A11DE"/>
    <w:rsid w:val="003A144E"/>
    <w:rsid w:val="003A1529"/>
    <w:rsid w:val="003A17B8"/>
    <w:rsid w:val="003A1E06"/>
    <w:rsid w:val="003A23A2"/>
    <w:rsid w:val="003A295A"/>
    <w:rsid w:val="003A2DC4"/>
    <w:rsid w:val="003A2EFA"/>
    <w:rsid w:val="003A3052"/>
    <w:rsid w:val="003A31CB"/>
    <w:rsid w:val="003A32B0"/>
    <w:rsid w:val="003A35A5"/>
    <w:rsid w:val="003A3600"/>
    <w:rsid w:val="003A3ED0"/>
    <w:rsid w:val="003A4103"/>
    <w:rsid w:val="003A43FF"/>
    <w:rsid w:val="003A57C6"/>
    <w:rsid w:val="003A5C11"/>
    <w:rsid w:val="003A5EB2"/>
    <w:rsid w:val="003A5FD9"/>
    <w:rsid w:val="003A6683"/>
    <w:rsid w:val="003A679F"/>
    <w:rsid w:val="003A6ABD"/>
    <w:rsid w:val="003A6AF8"/>
    <w:rsid w:val="003A6BA1"/>
    <w:rsid w:val="003A6E39"/>
    <w:rsid w:val="003A7038"/>
    <w:rsid w:val="003A7100"/>
    <w:rsid w:val="003A71C2"/>
    <w:rsid w:val="003A7368"/>
    <w:rsid w:val="003A74A1"/>
    <w:rsid w:val="003A797A"/>
    <w:rsid w:val="003A7C02"/>
    <w:rsid w:val="003B05A2"/>
    <w:rsid w:val="003B0852"/>
    <w:rsid w:val="003B0B58"/>
    <w:rsid w:val="003B0C65"/>
    <w:rsid w:val="003B1200"/>
    <w:rsid w:val="003B14BB"/>
    <w:rsid w:val="003B15E8"/>
    <w:rsid w:val="003B188E"/>
    <w:rsid w:val="003B1A6E"/>
    <w:rsid w:val="003B1AAC"/>
    <w:rsid w:val="003B1AC6"/>
    <w:rsid w:val="003B1DBB"/>
    <w:rsid w:val="003B1E27"/>
    <w:rsid w:val="003B22AB"/>
    <w:rsid w:val="003B22FC"/>
    <w:rsid w:val="003B2304"/>
    <w:rsid w:val="003B2B2F"/>
    <w:rsid w:val="003B426C"/>
    <w:rsid w:val="003B445A"/>
    <w:rsid w:val="003B4D29"/>
    <w:rsid w:val="003B4E71"/>
    <w:rsid w:val="003B4EBE"/>
    <w:rsid w:val="003B5123"/>
    <w:rsid w:val="003B560C"/>
    <w:rsid w:val="003B564D"/>
    <w:rsid w:val="003B57DC"/>
    <w:rsid w:val="003B6116"/>
    <w:rsid w:val="003B62C7"/>
    <w:rsid w:val="003B64EF"/>
    <w:rsid w:val="003B68C6"/>
    <w:rsid w:val="003B698C"/>
    <w:rsid w:val="003B6F26"/>
    <w:rsid w:val="003B6FE6"/>
    <w:rsid w:val="003B736A"/>
    <w:rsid w:val="003B7571"/>
    <w:rsid w:val="003B77BE"/>
    <w:rsid w:val="003B788E"/>
    <w:rsid w:val="003B7A83"/>
    <w:rsid w:val="003C0112"/>
    <w:rsid w:val="003C03DB"/>
    <w:rsid w:val="003C06C2"/>
    <w:rsid w:val="003C077E"/>
    <w:rsid w:val="003C0BCA"/>
    <w:rsid w:val="003C1094"/>
    <w:rsid w:val="003C11C2"/>
    <w:rsid w:val="003C165B"/>
    <w:rsid w:val="003C1C8A"/>
    <w:rsid w:val="003C235D"/>
    <w:rsid w:val="003C2604"/>
    <w:rsid w:val="003C2A98"/>
    <w:rsid w:val="003C2D9D"/>
    <w:rsid w:val="003C325C"/>
    <w:rsid w:val="003C36D9"/>
    <w:rsid w:val="003C3933"/>
    <w:rsid w:val="003C3CF8"/>
    <w:rsid w:val="003C3F75"/>
    <w:rsid w:val="003C44BA"/>
    <w:rsid w:val="003C46D0"/>
    <w:rsid w:val="003C488B"/>
    <w:rsid w:val="003C52A6"/>
    <w:rsid w:val="003C56D5"/>
    <w:rsid w:val="003C572D"/>
    <w:rsid w:val="003C57DF"/>
    <w:rsid w:val="003C5B4F"/>
    <w:rsid w:val="003C62D3"/>
    <w:rsid w:val="003C62D8"/>
    <w:rsid w:val="003C65D2"/>
    <w:rsid w:val="003C68EB"/>
    <w:rsid w:val="003C6A9E"/>
    <w:rsid w:val="003C6CBE"/>
    <w:rsid w:val="003C77CB"/>
    <w:rsid w:val="003C7FD9"/>
    <w:rsid w:val="003D00CB"/>
    <w:rsid w:val="003D05CD"/>
    <w:rsid w:val="003D0996"/>
    <w:rsid w:val="003D0CEA"/>
    <w:rsid w:val="003D0DC3"/>
    <w:rsid w:val="003D13A2"/>
    <w:rsid w:val="003D1EB8"/>
    <w:rsid w:val="003D2790"/>
    <w:rsid w:val="003D2918"/>
    <w:rsid w:val="003D2C82"/>
    <w:rsid w:val="003D2CAC"/>
    <w:rsid w:val="003D3116"/>
    <w:rsid w:val="003D3196"/>
    <w:rsid w:val="003D35A2"/>
    <w:rsid w:val="003D3910"/>
    <w:rsid w:val="003D3958"/>
    <w:rsid w:val="003D3D78"/>
    <w:rsid w:val="003D3FEF"/>
    <w:rsid w:val="003D47CB"/>
    <w:rsid w:val="003D5045"/>
    <w:rsid w:val="003D55E6"/>
    <w:rsid w:val="003D5631"/>
    <w:rsid w:val="003D57AF"/>
    <w:rsid w:val="003D5960"/>
    <w:rsid w:val="003D5AFF"/>
    <w:rsid w:val="003D5B38"/>
    <w:rsid w:val="003D5B7B"/>
    <w:rsid w:val="003D5DD0"/>
    <w:rsid w:val="003D5EBA"/>
    <w:rsid w:val="003D62D0"/>
    <w:rsid w:val="003D63AD"/>
    <w:rsid w:val="003D6738"/>
    <w:rsid w:val="003D684C"/>
    <w:rsid w:val="003D6BEA"/>
    <w:rsid w:val="003D7182"/>
    <w:rsid w:val="003D7274"/>
    <w:rsid w:val="003D7732"/>
    <w:rsid w:val="003D77D9"/>
    <w:rsid w:val="003D7846"/>
    <w:rsid w:val="003E00FC"/>
    <w:rsid w:val="003E03ED"/>
    <w:rsid w:val="003E05FB"/>
    <w:rsid w:val="003E11B7"/>
    <w:rsid w:val="003E1856"/>
    <w:rsid w:val="003E19F9"/>
    <w:rsid w:val="003E1FA4"/>
    <w:rsid w:val="003E2328"/>
    <w:rsid w:val="003E27E8"/>
    <w:rsid w:val="003E2FE6"/>
    <w:rsid w:val="003E30A2"/>
    <w:rsid w:val="003E3121"/>
    <w:rsid w:val="003E3273"/>
    <w:rsid w:val="003E328C"/>
    <w:rsid w:val="003E32C8"/>
    <w:rsid w:val="003E3BC7"/>
    <w:rsid w:val="003E4551"/>
    <w:rsid w:val="003E4B11"/>
    <w:rsid w:val="003E4C08"/>
    <w:rsid w:val="003E4C8E"/>
    <w:rsid w:val="003E4D4F"/>
    <w:rsid w:val="003E50E6"/>
    <w:rsid w:val="003E5429"/>
    <w:rsid w:val="003E5770"/>
    <w:rsid w:val="003E5D6B"/>
    <w:rsid w:val="003E5EC8"/>
    <w:rsid w:val="003E6453"/>
    <w:rsid w:val="003E6620"/>
    <w:rsid w:val="003E67A0"/>
    <w:rsid w:val="003E6963"/>
    <w:rsid w:val="003E7061"/>
    <w:rsid w:val="003E7975"/>
    <w:rsid w:val="003E7E52"/>
    <w:rsid w:val="003F00F0"/>
    <w:rsid w:val="003F011C"/>
    <w:rsid w:val="003F0D17"/>
    <w:rsid w:val="003F17D7"/>
    <w:rsid w:val="003F1938"/>
    <w:rsid w:val="003F1A53"/>
    <w:rsid w:val="003F1B93"/>
    <w:rsid w:val="003F1EE8"/>
    <w:rsid w:val="003F20CA"/>
    <w:rsid w:val="003F21AB"/>
    <w:rsid w:val="003F23BA"/>
    <w:rsid w:val="003F24AC"/>
    <w:rsid w:val="003F257A"/>
    <w:rsid w:val="003F278D"/>
    <w:rsid w:val="003F29D3"/>
    <w:rsid w:val="003F2B88"/>
    <w:rsid w:val="003F2BC2"/>
    <w:rsid w:val="003F3E6F"/>
    <w:rsid w:val="003F4117"/>
    <w:rsid w:val="003F4326"/>
    <w:rsid w:val="003F4390"/>
    <w:rsid w:val="003F4759"/>
    <w:rsid w:val="003F4832"/>
    <w:rsid w:val="003F4849"/>
    <w:rsid w:val="003F4D47"/>
    <w:rsid w:val="003F4D79"/>
    <w:rsid w:val="003F4DA5"/>
    <w:rsid w:val="003F5578"/>
    <w:rsid w:val="003F577F"/>
    <w:rsid w:val="003F5CB4"/>
    <w:rsid w:val="003F642E"/>
    <w:rsid w:val="003F6A58"/>
    <w:rsid w:val="003F726F"/>
    <w:rsid w:val="003F7337"/>
    <w:rsid w:val="003F758E"/>
    <w:rsid w:val="003F7D3B"/>
    <w:rsid w:val="003F7FBD"/>
    <w:rsid w:val="003F7FF7"/>
    <w:rsid w:val="00400364"/>
    <w:rsid w:val="00400D7B"/>
    <w:rsid w:val="00400F43"/>
    <w:rsid w:val="004011A9"/>
    <w:rsid w:val="0040128F"/>
    <w:rsid w:val="00401AEC"/>
    <w:rsid w:val="00402070"/>
    <w:rsid w:val="00402192"/>
    <w:rsid w:val="00402579"/>
    <w:rsid w:val="00402C9E"/>
    <w:rsid w:val="00403052"/>
    <w:rsid w:val="0040307F"/>
    <w:rsid w:val="00403192"/>
    <w:rsid w:val="00403BBF"/>
    <w:rsid w:val="00403E7C"/>
    <w:rsid w:val="0040467E"/>
    <w:rsid w:val="00404872"/>
    <w:rsid w:val="0040496E"/>
    <w:rsid w:val="00404BCF"/>
    <w:rsid w:val="00404E89"/>
    <w:rsid w:val="004050BA"/>
    <w:rsid w:val="00405532"/>
    <w:rsid w:val="00405682"/>
    <w:rsid w:val="00405CE3"/>
    <w:rsid w:val="00405D52"/>
    <w:rsid w:val="00405DA1"/>
    <w:rsid w:val="00405F47"/>
    <w:rsid w:val="0040607D"/>
    <w:rsid w:val="004069E2"/>
    <w:rsid w:val="00407003"/>
    <w:rsid w:val="00407246"/>
    <w:rsid w:val="00407343"/>
    <w:rsid w:val="00407658"/>
    <w:rsid w:val="00407CAA"/>
    <w:rsid w:val="00407DB0"/>
    <w:rsid w:val="00407E48"/>
    <w:rsid w:val="00410292"/>
    <w:rsid w:val="004103A2"/>
    <w:rsid w:val="004107D7"/>
    <w:rsid w:val="00410DFC"/>
    <w:rsid w:val="00410E4F"/>
    <w:rsid w:val="00411585"/>
    <w:rsid w:val="00411C30"/>
    <w:rsid w:val="00411F14"/>
    <w:rsid w:val="00412362"/>
    <w:rsid w:val="004127DA"/>
    <w:rsid w:val="00412F30"/>
    <w:rsid w:val="00412F7D"/>
    <w:rsid w:val="00413097"/>
    <w:rsid w:val="00413119"/>
    <w:rsid w:val="004133D9"/>
    <w:rsid w:val="0041341C"/>
    <w:rsid w:val="004134BC"/>
    <w:rsid w:val="0041395F"/>
    <w:rsid w:val="00413B14"/>
    <w:rsid w:val="00413B42"/>
    <w:rsid w:val="00413EA2"/>
    <w:rsid w:val="00414213"/>
    <w:rsid w:val="00414515"/>
    <w:rsid w:val="00414665"/>
    <w:rsid w:val="0041490A"/>
    <w:rsid w:val="00414963"/>
    <w:rsid w:val="00414FD5"/>
    <w:rsid w:val="00415194"/>
    <w:rsid w:val="00415F54"/>
    <w:rsid w:val="00416102"/>
    <w:rsid w:val="0041673E"/>
    <w:rsid w:val="00416E55"/>
    <w:rsid w:val="0041721C"/>
    <w:rsid w:val="00417224"/>
    <w:rsid w:val="00417AE3"/>
    <w:rsid w:val="00417B56"/>
    <w:rsid w:val="00420509"/>
    <w:rsid w:val="0042063F"/>
    <w:rsid w:val="00420751"/>
    <w:rsid w:val="00420A83"/>
    <w:rsid w:val="00420ED8"/>
    <w:rsid w:val="00421886"/>
    <w:rsid w:val="00421AB9"/>
    <w:rsid w:val="00422257"/>
    <w:rsid w:val="00422274"/>
    <w:rsid w:val="004228C7"/>
    <w:rsid w:val="00422938"/>
    <w:rsid w:val="00423280"/>
    <w:rsid w:val="00423314"/>
    <w:rsid w:val="004236F0"/>
    <w:rsid w:val="00423A9B"/>
    <w:rsid w:val="00424165"/>
    <w:rsid w:val="00425022"/>
    <w:rsid w:val="00425782"/>
    <w:rsid w:val="0042591E"/>
    <w:rsid w:val="004259FB"/>
    <w:rsid w:val="00425AD5"/>
    <w:rsid w:val="00425F49"/>
    <w:rsid w:val="004261FD"/>
    <w:rsid w:val="00427134"/>
    <w:rsid w:val="004271AC"/>
    <w:rsid w:val="004277BE"/>
    <w:rsid w:val="00427936"/>
    <w:rsid w:val="00430254"/>
    <w:rsid w:val="00430397"/>
    <w:rsid w:val="004304EB"/>
    <w:rsid w:val="004306FE"/>
    <w:rsid w:val="00430A4A"/>
    <w:rsid w:val="00430E3C"/>
    <w:rsid w:val="00430E4D"/>
    <w:rsid w:val="0043131D"/>
    <w:rsid w:val="004318D9"/>
    <w:rsid w:val="00431AB8"/>
    <w:rsid w:val="00431D24"/>
    <w:rsid w:val="00432246"/>
    <w:rsid w:val="00432705"/>
    <w:rsid w:val="00432706"/>
    <w:rsid w:val="00432BFD"/>
    <w:rsid w:val="00432DA1"/>
    <w:rsid w:val="0043313D"/>
    <w:rsid w:val="00433420"/>
    <w:rsid w:val="004335A0"/>
    <w:rsid w:val="00433650"/>
    <w:rsid w:val="00434254"/>
    <w:rsid w:val="00434255"/>
    <w:rsid w:val="004342F3"/>
    <w:rsid w:val="0043440F"/>
    <w:rsid w:val="00435F5E"/>
    <w:rsid w:val="004366B3"/>
    <w:rsid w:val="004368CF"/>
    <w:rsid w:val="00436A93"/>
    <w:rsid w:val="00436E94"/>
    <w:rsid w:val="00437074"/>
    <w:rsid w:val="00437424"/>
    <w:rsid w:val="00437849"/>
    <w:rsid w:val="00437B1F"/>
    <w:rsid w:val="00437EB8"/>
    <w:rsid w:val="00437FA0"/>
    <w:rsid w:val="004401E2"/>
    <w:rsid w:val="00440597"/>
    <w:rsid w:val="004406A7"/>
    <w:rsid w:val="004409D8"/>
    <w:rsid w:val="00440F93"/>
    <w:rsid w:val="00441006"/>
    <w:rsid w:val="00441418"/>
    <w:rsid w:val="00441754"/>
    <w:rsid w:val="00441A3A"/>
    <w:rsid w:val="004421DF"/>
    <w:rsid w:val="00442789"/>
    <w:rsid w:val="00442B09"/>
    <w:rsid w:val="004431D6"/>
    <w:rsid w:val="00443499"/>
    <w:rsid w:val="00443520"/>
    <w:rsid w:val="00443AD8"/>
    <w:rsid w:val="00443B68"/>
    <w:rsid w:val="00443D8F"/>
    <w:rsid w:val="0044408E"/>
    <w:rsid w:val="0044421D"/>
    <w:rsid w:val="00444577"/>
    <w:rsid w:val="00444767"/>
    <w:rsid w:val="00444BF0"/>
    <w:rsid w:val="00444D69"/>
    <w:rsid w:val="00444ECC"/>
    <w:rsid w:val="004453A6"/>
    <w:rsid w:val="00445452"/>
    <w:rsid w:val="00445D45"/>
    <w:rsid w:val="0044605F"/>
    <w:rsid w:val="00446315"/>
    <w:rsid w:val="0044687C"/>
    <w:rsid w:val="00446F0C"/>
    <w:rsid w:val="004473F4"/>
    <w:rsid w:val="0044757B"/>
    <w:rsid w:val="004476A1"/>
    <w:rsid w:val="004477E2"/>
    <w:rsid w:val="004478A6"/>
    <w:rsid w:val="004478D6"/>
    <w:rsid w:val="00447C00"/>
    <w:rsid w:val="004501D6"/>
    <w:rsid w:val="004502D9"/>
    <w:rsid w:val="004503CB"/>
    <w:rsid w:val="00450706"/>
    <w:rsid w:val="00450CA4"/>
    <w:rsid w:val="00450DE9"/>
    <w:rsid w:val="0045124D"/>
    <w:rsid w:val="00451426"/>
    <w:rsid w:val="00451A44"/>
    <w:rsid w:val="004521CA"/>
    <w:rsid w:val="0045296E"/>
    <w:rsid w:val="00452DA4"/>
    <w:rsid w:val="00452E67"/>
    <w:rsid w:val="00453408"/>
    <w:rsid w:val="0045357F"/>
    <w:rsid w:val="0045388C"/>
    <w:rsid w:val="00453DB9"/>
    <w:rsid w:val="00454763"/>
    <w:rsid w:val="00454CAC"/>
    <w:rsid w:val="00455367"/>
    <w:rsid w:val="00455843"/>
    <w:rsid w:val="00455A31"/>
    <w:rsid w:val="00455F48"/>
    <w:rsid w:val="00456077"/>
    <w:rsid w:val="00456464"/>
    <w:rsid w:val="00456846"/>
    <w:rsid w:val="00456CE7"/>
    <w:rsid w:val="00457D74"/>
    <w:rsid w:val="00460C59"/>
    <w:rsid w:val="00460E9D"/>
    <w:rsid w:val="00460EE8"/>
    <w:rsid w:val="00461B16"/>
    <w:rsid w:val="00461D6C"/>
    <w:rsid w:val="00461F28"/>
    <w:rsid w:val="0046208E"/>
    <w:rsid w:val="00462698"/>
    <w:rsid w:val="00462FEB"/>
    <w:rsid w:val="004634F0"/>
    <w:rsid w:val="00463B05"/>
    <w:rsid w:val="00463FC4"/>
    <w:rsid w:val="0046403D"/>
    <w:rsid w:val="00464093"/>
    <w:rsid w:val="0046410A"/>
    <w:rsid w:val="0046456C"/>
    <w:rsid w:val="00464C17"/>
    <w:rsid w:val="00464CB9"/>
    <w:rsid w:val="00464DDD"/>
    <w:rsid w:val="00464FE2"/>
    <w:rsid w:val="004651E3"/>
    <w:rsid w:val="004657EC"/>
    <w:rsid w:val="0046583D"/>
    <w:rsid w:val="00465893"/>
    <w:rsid w:val="0046595F"/>
    <w:rsid w:val="0046625C"/>
    <w:rsid w:val="00466318"/>
    <w:rsid w:val="0046631C"/>
    <w:rsid w:val="004664EB"/>
    <w:rsid w:val="004665EB"/>
    <w:rsid w:val="004667C5"/>
    <w:rsid w:val="004668EB"/>
    <w:rsid w:val="00466B9F"/>
    <w:rsid w:val="00466EC0"/>
    <w:rsid w:val="00467834"/>
    <w:rsid w:val="004678F4"/>
    <w:rsid w:val="00467E70"/>
    <w:rsid w:val="00467EFD"/>
    <w:rsid w:val="00467FA8"/>
    <w:rsid w:val="0047073C"/>
    <w:rsid w:val="0047087B"/>
    <w:rsid w:val="004711B0"/>
    <w:rsid w:val="004713EA"/>
    <w:rsid w:val="00471603"/>
    <w:rsid w:val="004720DF"/>
    <w:rsid w:val="004725C0"/>
    <w:rsid w:val="004725C6"/>
    <w:rsid w:val="004726A7"/>
    <w:rsid w:val="0047286F"/>
    <w:rsid w:val="004728BC"/>
    <w:rsid w:val="00472C92"/>
    <w:rsid w:val="00472D9C"/>
    <w:rsid w:val="00472E0A"/>
    <w:rsid w:val="0047309B"/>
    <w:rsid w:val="004733D1"/>
    <w:rsid w:val="00473437"/>
    <w:rsid w:val="00473579"/>
    <w:rsid w:val="00474108"/>
    <w:rsid w:val="0047455C"/>
    <w:rsid w:val="00474940"/>
    <w:rsid w:val="00474B2E"/>
    <w:rsid w:val="004751A6"/>
    <w:rsid w:val="00475373"/>
    <w:rsid w:val="004755AD"/>
    <w:rsid w:val="004758E9"/>
    <w:rsid w:val="00475C9B"/>
    <w:rsid w:val="004760CE"/>
    <w:rsid w:val="00476131"/>
    <w:rsid w:val="00476DBB"/>
    <w:rsid w:val="00476DD6"/>
    <w:rsid w:val="00477C28"/>
    <w:rsid w:val="00477D29"/>
    <w:rsid w:val="00477D9D"/>
    <w:rsid w:val="004807C8"/>
    <w:rsid w:val="00480AB3"/>
    <w:rsid w:val="00480B3E"/>
    <w:rsid w:val="00481927"/>
    <w:rsid w:val="00481928"/>
    <w:rsid w:val="004824E6"/>
    <w:rsid w:val="004825EC"/>
    <w:rsid w:val="00482B51"/>
    <w:rsid w:val="00482B67"/>
    <w:rsid w:val="00482DB0"/>
    <w:rsid w:val="004834B1"/>
    <w:rsid w:val="0048358D"/>
    <w:rsid w:val="004836B5"/>
    <w:rsid w:val="004839DF"/>
    <w:rsid w:val="00483A4E"/>
    <w:rsid w:val="004846E2"/>
    <w:rsid w:val="0048470F"/>
    <w:rsid w:val="00484732"/>
    <w:rsid w:val="00484945"/>
    <w:rsid w:val="0048529C"/>
    <w:rsid w:val="0048535B"/>
    <w:rsid w:val="0048557E"/>
    <w:rsid w:val="004859F4"/>
    <w:rsid w:val="004865FD"/>
    <w:rsid w:val="004866CA"/>
    <w:rsid w:val="00486E01"/>
    <w:rsid w:val="00486F80"/>
    <w:rsid w:val="00486FEA"/>
    <w:rsid w:val="004873F0"/>
    <w:rsid w:val="0048781A"/>
    <w:rsid w:val="00487D05"/>
    <w:rsid w:val="00487D85"/>
    <w:rsid w:val="00487F20"/>
    <w:rsid w:val="00490077"/>
    <w:rsid w:val="00490AC7"/>
    <w:rsid w:val="0049151B"/>
    <w:rsid w:val="00491BC0"/>
    <w:rsid w:val="00491E77"/>
    <w:rsid w:val="0049256F"/>
    <w:rsid w:val="00492675"/>
    <w:rsid w:val="00492715"/>
    <w:rsid w:val="00492A7C"/>
    <w:rsid w:val="00492B00"/>
    <w:rsid w:val="00492BEE"/>
    <w:rsid w:val="00492CE4"/>
    <w:rsid w:val="00492F4D"/>
    <w:rsid w:val="004930A7"/>
    <w:rsid w:val="0049314F"/>
    <w:rsid w:val="004933C1"/>
    <w:rsid w:val="004934A1"/>
    <w:rsid w:val="00493972"/>
    <w:rsid w:val="00493BA9"/>
    <w:rsid w:val="00494876"/>
    <w:rsid w:val="00494BCC"/>
    <w:rsid w:val="00494C64"/>
    <w:rsid w:val="00494D00"/>
    <w:rsid w:val="004950C6"/>
    <w:rsid w:val="0049514C"/>
    <w:rsid w:val="00495380"/>
    <w:rsid w:val="0049595F"/>
    <w:rsid w:val="00495961"/>
    <w:rsid w:val="00495C6F"/>
    <w:rsid w:val="00495CAD"/>
    <w:rsid w:val="00495E7B"/>
    <w:rsid w:val="004960DA"/>
    <w:rsid w:val="0049676C"/>
    <w:rsid w:val="00496CB9"/>
    <w:rsid w:val="00496E79"/>
    <w:rsid w:val="004970BB"/>
    <w:rsid w:val="00497611"/>
    <w:rsid w:val="00497964"/>
    <w:rsid w:val="00497A0E"/>
    <w:rsid w:val="00497C88"/>
    <w:rsid w:val="00497CF0"/>
    <w:rsid w:val="004A0022"/>
    <w:rsid w:val="004A0552"/>
    <w:rsid w:val="004A09B2"/>
    <w:rsid w:val="004A10F0"/>
    <w:rsid w:val="004A1194"/>
    <w:rsid w:val="004A18C5"/>
    <w:rsid w:val="004A1C5E"/>
    <w:rsid w:val="004A1F0E"/>
    <w:rsid w:val="004A210F"/>
    <w:rsid w:val="004A21A0"/>
    <w:rsid w:val="004A225D"/>
    <w:rsid w:val="004A2483"/>
    <w:rsid w:val="004A2CC5"/>
    <w:rsid w:val="004A2F2B"/>
    <w:rsid w:val="004A332F"/>
    <w:rsid w:val="004A3345"/>
    <w:rsid w:val="004A33EE"/>
    <w:rsid w:val="004A3668"/>
    <w:rsid w:val="004A3B71"/>
    <w:rsid w:val="004A3CF0"/>
    <w:rsid w:val="004A422B"/>
    <w:rsid w:val="004A4455"/>
    <w:rsid w:val="004A49EF"/>
    <w:rsid w:val="004A4C79"/>
    <w:rsid w:val="004A4D25"/>
    <w:rsid w:val="004A4E41"/>
    <w:rsid w:val="004A5536"/>
    <w:rsid w:val="004A60A8"/>
    <w:rsid w:val="004A6106"/>
    <w:rsid w:val="004A6168"/>
    <w:rsid w:val="004A6610"/>
    <w:rsid w:val="004A6969"/>
    <w:rsid w:val="004A6A6E"/>
    <w:rsid w:val="004A6B44"/>
    <w:rsid w:val="004A7000"/>
    <w:rsid w:val="004A74D3"/>
    <w:rsid w:val="004A785F"/>
    <w:rsid w:val="004A7A09"/>
    <w:rsid w:val="004A7ADB"/>
    <w:rsid w:val="004B00B8"/>
    <w:rsid w:val="004B00C1"/>
    <w:rsid w:val="004B09FC"/>
    <w:rsid w:val="004B0A27"/>
    <w:rsid w:val="004B0EF2"/>
    <w:rsid w:val="004B100F"/>
    <w:rsid w:val="004B182B"/>
    <w:rsid w:val="004B198F"/>
    <w:rsid w:val="004B1A95"/>
    <w:rsid w:val="004B2478"/>
    <w:rsid w:val="004B27AD"/>
    <w:rsid w:val="004B27DD"/>
    <w:rsid w:val="004B2A77"/>
    <w:rsid w:val="004B3231"/>
    <w:rsid w:val="004B32BE"/>
    <w:rsid w:val="004B32CA"/>
    <w:rsid w:val="004B3476"/>
    <w:rsid w:val="004B38D5"/>
    <w:rsid w:val="004B3995"/>
    <w:rsid w:val="004B401F"/>
    <w:rsid w:val="004B4492"/>
    <w:rsid w:val="004B4899"/>
    <w:rsid w:val="004B491A"/>
    <w:rsid w:val="004B4CE5"/>
    <w:rsid w:val="004B4E51"/>
    <w:rsid w:val="004B51E2"/>
    <w:rsid w:val="004B5290"/>
    <w:rsid w:val="004B5BBD"/>
    <w:rsid w:val="004B5DF6"/>
    <w:rsid w:val="004B67D6"/>
    <w:rsid w:val="004B69D0"/>
    <w:rsid w:val="004B6AAD"/>
    <w:rsid w:val="004B710B"/>
    <w:rsid w:val="004B73D6"/>
    <w:rsid w:val="004B7595"/>
    <w:rsid w:val="004B7D07"/>
    <w:rsid w:val="004C06F3"/>
    <w:rsid w:val="004C073D"/>
    <w:rsid w:val="004C0A83"/>
    <w:rsid w:val="004C176C"/>
    <w:rsid w:val="004C1F0B"/>
    <w:rsid w:val="004C1FE8"/>
    <w:rsid w:val="004C2034"/>
    <w:rsid w:val="004C2107"/>
    <w:rsid w:val="004C2269"/>
    <w:rsid w:val="004C2A89"/>
    <w:rsid w:val="004C2EC4"/>
    <w:rsid w:val="004C3CD1"/>
    <w:rsid w:val="004C3FEE"/>
    <w:rsid w:val="004C4044"/>
    <w:rsid w:val="004C4376"/>
    <w:rsid w:val="004C44AE"/>
    <w:rsid w:val="004C4E58"/>
    <w:rsid w:val="004C5A7E"/>
    <w:rsid w:val="004C5B39"/>
    <w:rsid w:val="004C5CA9"/>
    <w:rsid w:val="004C5DBA"/>
    <w:rsid w:val="004C6069"/>
    <w:rsid w:val="004C6748"/>
    <w:rsid w:val="004C68AC"/>
    <w:rsid w:val="004C6C43"/>
    <w:rsid w:val="004C6CE4"/>
    <w:rsid w:val="004C72CE"/>
    <w:rsid w:val="004C759F"/>
    <w:rsid w:val="004C7D36"/>
    <w:rsid w:val="004C7F32"/>
    <w:rsid w:val="004D01EC"/>
    <w:rsid w:val="004D03BC"/>
    <w:rsid w:val="004D0A0C"/>
    <w:rsid w:val="004D0B92"/>
    <w:rsid w:val="004D0D5A"/>
    <w:rsid w:val="004D0F23"/>
    <w:rsid w:val="004D1973"/>
    <w:rsid w:val="004D197E"/>
    <w:rsid w:val="004D1C63"/>
    <w:rsid w:val="004D1EB7"/>
    <w:rsid w:val="004D2054"/>
    <w:rsid w:val="004D294D"/>
    <w:rsid w:val="004D299C"/>
    <w:rsid w:val="004D3ED1"/>
    <w:rsid w:val="004D41B9"/>
    <w:rsid w:val="004D468A"/>
    <w:rsid w:val="004D4CE8"/>
    <w:rsid w:val="004D6639"/>
    <w:rsid w:val="004D699B"/>
    <w:rsid w:val="004D6C4A"/>
    <w:rsid w:val="004D6C68"/>
    <w:rsid w:val="004D6C7E"/>
    <w:rsid w:val="004D6D79"/>
    <w:rsid w:val="004D7117"/>
    <w:rsid w:val="004D71ED"/>
    <w:rsid w:val="004D7B52"/>
    <w:rsid w:val="004D7D54"/>
    <w:rsid w:val="004E0BC5"/>
    <w:rsid w:val="004E0F04"/>
    <w:rsid w:val="004E11EF"/>
    <w:rsid w:val="004E13AF"/>
    <w:rsid w:val="004E1921"/>
    <w:rsid w:val="004E1999"/>
    <w:rsid w:val="004E1CBB"/>
    <w:rsid w:val="004E1E55"/>
    <w:rsid w:val="004E1FAF"/>
    <w:rsid w:val="004E2328"/>
    <w:rsid w:val="004E24B5"/>
    <w:rsid w:val="004E26AA"/>
    <w:rsid w:val="004E2BE2"/>
    <w:rsid w:val="004E30AA"/>
    <w:rsid w:val="004E30CB"/>
    <w:rsid w:val="004E3176"/>
    <w:rsid w:val="004E388B"/>
    <w:rsid w:val="004E390D"/>
    <w:rsid w:val="004E3EEB"/>
    <w:rsid w:val="004E3F78"/>
    <w:rsid w:val="004E4CBA"/>
    <w:rsid w:val="004E4EFD"/>
    <w:rsid w:val="004E4FF8"/>
    <w:rsid w:val="004E5958"/>
    <w:rsid w:val="004E5BAD"/>
    <w:rsid w:val="004E61FF"/>
    <w:rsid w:val="004E6208"/>
    <w:rsid w:val="004E625A"/>
    <w:rsid w:val="004E6267"/>
    <w:rsid w:val="004E6360"/>
    <w:rsid w:val="004E6378"/>
    <w:rsid w:val="004E6395"/>
    <w:rsid w:val="004E6471"/>
    <w:rsid w:val="004E6841"/>
    <w:rsid w:val="004E6AA7"/>
    <w:rsid w:val="004E72F0"/>
    <w:rsid w:val="004E7310"/>
    <w:rsid w:val="004E7E11"/>
    <w:rsid w:val="004F0710"/>
    <w:rsid w:val="004F13A2"/>
    <w:rsid w:val="004F1C6C"/>
    <w:rsid w:val="004F205F"/>
    <w:rsid w:val="004F27CF"/>
    <w:rsid w:val="004F2917"/>
    <w:rsid w:val="004F2A14"/>
    <w:rsid w:val="004F2A1D"/>
    <w:rsid w:val="004F2C09"/>
    <w:rsid w:val="004F3CCE"/>
    <w:rsid w:val="004F3D62"/>
    <w:rsid w:val="004F3F06"/>
    <w:rsid w:val="004F3F19"/>
    <w:rsid w:val="004F4558"/>
    <w:rsid w:val="004F457F"/>
    <w:rsid w:val="004F4798"/>
    <w:rsid w:val="004F486B"/>
    <w:rsid w:val="004F4AC3"/>
    <w:rsid w:val="004F4ACA"/>
    <w:rsid w:val="004F4CFB"/>
    <w:rsid w:val="004F502C"/>
    <w:rsid w:val="004F50E5"/>
    <w:rsid w:val="004F55CC"/>
    <w:rsid w:val="004F5DCE"/>
    <w:rsid w:val="004F5EAE"/>
    <w:rsid w:val="004F6DC6"/>
    <w:rsid w:val="004F712E"/>
    <w:rsid w:val="004F7A9E"/>
    <w:rsid w:val="004F7D82"/>
    <w:rsid w:val="004F7F97"/>
    <w:rsid w:val="0050005C"/>
    <w:rsid w:val="0050031B"/>
    <w:rsid w:val="0050034A"/>
    <w:rsid w:val="00500720"/>
    <w:rsid w:val="00501541"/>
    <w:rsid w:val="0050193F"/>
    <w:rsid w:val="00501E34"/>
    <w:rsid w:val="00502060"/>
    <w:rsid w:val="005022F7"/>
    <w:rsid w:val="00502448"/>
    <w:rsid w:val="00502AD0"/>
    <w:rsid w:val="00502BC3"/>
    <w:rsid w:val="00502FBD"/>
    <w:rsid w:val="00503113"/>
    <w:rsid w:val="005037C3"/>
    <w:rsid w:val="0050396F"/>
    <w:rsid w:val="005041C5"/>
    <w:rsid w:val="005041FC"/>
    <w:rsid w:val="005042E3"/>
    <w:rsid w:val="005046BE"/>
    <w:rsid w:val="00504990"/>
    <w:rsid w:val="00504A2A"/>
    <w:rsid w:val="00504F50"/>
    <w:rsid w:val="00504F8D"/>
    <w:rsid w:val="0050524A"/>
    <w:rsid w:val="00505314"/>
    <w:rsid w:val="005063AC"/>
    <w:rsid w:val="005063F9"/>
    <w:rsid w:val="00506591"/>
    <w:rsid w:val="0050663A"/>
    <w:rsid w:val="00506996"/>
    <w:rsid w:val="00507075"/>
    <w:rsid w:val="0050757A"/>
    <w:rsid w:val="0051007D"/>
    <w:rsid w:val="005104FF"/>
    <w:rsid w:val="00510691"/>
    <w:rsid w:val="005108D4"/>
    <w:rsid w:val="00510E4E"/>
    <w:rsid w:val="00510F5E"/>
    <w:rsid w:val="00511BEE"/>
    <w:rsid w:val="00511D11"/>
    <w:rsid w:val="00511F41"/>
    <w:rsid w:val="00512435"/>
    <w:rsid w:val="0051248C"/>
    <w:rsid w:val="00512865"/>
    <w:rsid w:val="005129E9"/>
    <w:rsid w:val="00512B4F"/>
    <w:rsid w:val="00512C16"/>
    <w:rsid w:val="00512CEF"/>
    <w:rsid w:val="00512E9B"/>
    <w:rsid w:val="00512FE3"/>
    <w:rsid w:val="005130AF"/>
    <w:rsid w:val="005136B8"/>
    <w:rsid w:val="00513ECB"/>
    <w:rsid w:val="00513EDD"/>
    <w:rsid w:val="00514605"/>
    <w:rsid w:val="00515342"/>
    <w:rsid w:val="005157AE"/>
    <w:rsid w:val="00516221"/>
    <w:rsid w:val="00516E8B"/>
    <w:rsid w:val="00517D9A"/>
    <w:rsid w:val="00517DBD"/>
    <w:rsid w:val="00517FC5"/>
    <w:rsid w:val="005201A3"/>
    <w:rsid w:val="0052072E"/>
    <w:rsid w:val="005209D5"/>
    <w:rsid w:val="00520B01"/>
    <w:rsid w:val="00520BBB"/>
    <w:rsid w:val="0052129B"/>
    <w:rsid w:val="0052169F"/>
    <w:rsid w:val="00522499"/>
    <w:rsid w:val="00522B50"/>
    <w:rsid w:val="00522DAC"/>
    <w:rsid w:val="0052322D"/>
    <w:rsid w:val="005233EE"/>
    <w:rsid w:val="00523423"/>
    <w:rsid w:val="005234A7"/>
    <w:rsid w:val="005234B5"/>
    <w:rsid w:val="00523761"/>
    <w:rsid w:val="00523F33"/>
    <w:rsid w:val="00523FAF"/>
    <w:rsid w:val="00524281"/>
    <w:rsid w:val="0052428F"/>
    <w:rsid w:val="00524799"/>
    <w:rsid w:val="00524B3F"/>
    <w:rsid w:val="00525540"/>
    <w:rsid w:val="0052598D"/>
    <w:rsid w:val="00525B46"/>
    <w:rsid w:val="00525D48"/>
    <w:rsid w:val="00525EB5"/>
    <w:rsid w:val="00525F51"/>
    <w:rsid w:val="00525F94"/>
    <w:rsid w:val="00526908"/>
    <w:rsid w:val="00526ACD"/>
    <w:rsid w:val="00526B9D"/>
    <w:rsid w:val="005271D6"/>
    <w:rsid w:val="00527268"/>
    <w:rsid w:val="00527293"/>
    <w:rsid w:val="00527295"/>
    <w:rsid w:val="00527953"/>
    <w:rsid w:val="00527BEF"/>
    <w:rsid w:val="005304A2"/>
    <w:rsid w:val="0053053F"/>
    <w:rsid w:val="00530933"/>
    <w:rsid w:val="00530AB5"/>
    <w:rsid w:val="00530B82"/>
    <w:rsid w:val="00530E31"/>
    <w:rsid w:val="00530F12"/>
    <w:rsid w:val="0053163B"/>
    <w:rsid w:val="00531A4E"/>
    <w:rsid w:val="00532504"/>
    <w:rsid w:val="005336B7"/>
    <w:rsid w:val="00533F63"/>
    <w:rsid w:val="00534964"/>
    <w:rsid w:val="00534A83"/>
    <w:rsid w:val="00534CAC"/>
    <w:rsid w:val="00535682"/>
    <w:rsid w:val="005357E9"/>
    <w:rsid w:val="00535DFD"/>
    <w:rsid w:val="00536102"/>
    <w:rsid w:val="0053644A"/>
    <w:rsid w:val="00536820"/>
    <w:rsid w:val="00536C82"/>
    <w:rsid w:val="005370F0"/>
    <w:rsid w:val="0053729B"/>
    <w:rsid w:val="0053759B"/>
    <w:rsid w:val="00537A13"/>
    <w:rsid w:val="005400C7"/>
    <w:rsid w:val="00540BBF"/>
    <w:rsid w:val="00540E77"/>
    <w:rsid w:val="00540FF2"/>
    <w:rsid w:val="00541069"/>
    <w:rsid w:val="00541272"/>
    <w:rsid w:val="0054147E"/>
    <w:rsid w:val="0054190B"/>
    <w:rsid w:val="005419B3"/>
    <w:rsid w:val="00541DFA"/>
    <w:rsid w:val="00542AB5"/>
    <w:rsid w:val="005432F2"/>
    <w:rsid w:val="00543667"/>
    <w:rsid w:val="00543685"/>
    <w:rsid w:val="005436FD"/>
    <w:rsid w:val="00543E8A"/>
    <w:rsid w:val="00544052"/>
    <w:rsid w:val="00544962"/>
    <w:rsid w:val="005453D6"/>
    <w:rsid w:val="0054572C"/>
    <w:rsid w:val="00545EE5"/>
    <w:rsid w:val="005463F8"/>
    <w:rsid w:val="00547263"/>
    <w:rsid w:val="0054758C"/>
    <w:rsid w:val="005476E8"/>
    <w:rsid w:val="005477A5"/>
    <w:rsid w:val="00547864"/>
    <w:rsid w:val="00547C0A"/>
    <w:rsid w:val="00547EB7"/>
    <w:rsid w:val="00547FD1"/>
    <w:rsid w:val="00550B92"/>
    <w:rsid w:val="00550C2E"/>
    <w:rsid w:val="005512CB"/>
    <w:rsid w:val="00551305"/>
    <w:rsid w:val="005515FC"/>
    <w:rsid w:val="00551A8F"/>
    <w:rsid w:val="00552366"/>
    <w:rsid w:val="0055250F"/>
    <w:rsid w:val="00552946"/>
    <w:rsid w:val="00552A92"/>
    <w:rsid w:val="00552CA7"/>
    <w:rsid w:val="00552E03"/>
    <w:rsid w:val="0055325D"/>
    <w:rsid w:val="00553504"/>
    <w:rsid w:val="00553561"/>
    <w:rsid w:val="0055363B"/>
    <w:rsid w:val="00553677"/>
    <w:rsid w:val="005536FA"/>
    <w:rsid w:val="00553A20"/>
    <w:rsid w:val="00554236"/>
    <w:rsid w:val="005544F3"/>
    <w:rsid w:val="00554E59"/>
    <w:rsid w:val="005552AE"/>
    <w:rsid w:val="00555813"/>
    <w:rsid w:val="0055639F"/>
    <w:rsid w:val="00556457"/>
    <w:rsid w:val="00556517"/>
    <w:rsid w:val="00556578"/>
    <w:rsid w:val="005569A8"/>
    <w:rsid w:val="00556C80"/>
    <w:rsid w:val="00557450"/>
    <w:rsid w:val="005576DC"/>
    <w:rsid w:val="0055786C"/>
    <w:rsid w:val="00557B82"/>
    <w:rsid w:val="005607E2"/>
    <w:rsid w:val="005612ED"/>
    <w:rsid w:val="005619C8"/>
    <w:rsid w:val="00561C67"/>
    <w:rsid w:val="00561F21"/>
    <w:rsid w:val="00562225"/>
    <w:rsid w:val="005627AD"/>
    <w:rsid w:val="0056294F"/>
    <w:rsid w:val="005629E5"/>
    <w:rsid w:val="0056323A"/>
    <w:rsid w:val="005632C4"/>
    <w:rsid w:val="00563883"/>
    <w:rsid w:val="005638AC"/>
    <w:rsid w:val="00563BB7"/>
    <w:rsid w:val="00563CC2"/>
    <w:rsid w:val="00563F4C"/>
    <w:rsid w:val="00564131"/>
    <w:rsid w:val="005641C3"/>
    <w:rsid w:val="005642BC"/>
    <w:rsid w:val="00564541"/>
    <w:rsid w:val="00564C54"/>
    <w:rsid w:val="005650D6"/>
    <w:rsid w:val="0056519B"/>
    <w:rsid w:val="005654F6"/>
    <w:rsid w:val="00565621"/>
    <w:rsid w:val="0056583B"/>
    <w:rsid w:val="00565C87"/>
    <w:rsid w:val="0056603B"/>
    <w:rsid w:val="00566581"/>
    <w:rsid w:val="005668FF"/>
    <w:rsid w:val="00566A0A"/>
    <w:rsid w:val="00566AAD"/>
    <w:rsid w:val="00566E81"/>
    <w:rsid w:val="005672F0"/>
    <w:rsid w:val="00567629"/>
    <w:rsid w:val="00567ED5"/>
    <w:rsid w:val="00570270"/>
    <w:rsid w:val="005704C8"/>
    <w:rsid w:val="005704D8"/>
    <w:rsid w:val="00570789"/>
    <w:rsid w:val="005709C6"/>
    <w:rsid w:val="00570AD6"/>
    <w:rsid w:val="0057154A"/>
    <w:rsid w:val="005718C3"/>
    <w:rsid w:val="00571DD5"/>
    <w:rsid w:val="0057270F"/>
    <w:rsid w:val="00572CFA"/>
    <w:rsid w:val="00573039"/>
    <w:rsid w:val="0057328E"/>
    <w:rsid w:val="00573583"/>
    <w:rsid w:val="00573587"/>
    <w:rsid w:val="00573967"/>
    <w:rsid w:val="00573B45"/>
    <w:rsid w:val="00573C20"/>
    <w:rsid w:val="00573D7C"/>
    <w:rsid w:val="00573E75"/>
    <w:rsid w:val="00573E7C"/>
    <w:rsid w:val="00574FCD"/>
    <w:rsid w:val="0057561E"/>
    <w:rsid w:val="00575CEE"/>
    <w:rsid w:val="00576233"/>
    <w:rsid w:val="005762B1"/>
    <w:rsid w:val="005765E2"/>
    <w:rsid w:val="005766B7"/>
    <w:rsid w:val="0057674F"/>
    <w:rsid w:val="005767A0"/>
    <w:rsid w:val="00576B70"/>
    <w:rsid w:val="005770AF"/>
    <w:rsid w:val="00577581"/>
    <w:rsid w:val="00577B2B"/>
    <w:rsid w:val="00577C1C"/>
    <w:rsid w:val="00577E06"/>
    <w:rsid w:val="00580071"/>
    <w:rsid w:val="0058026C"/>
    <w:rsid w:val="0058053D"/>
    <w:rsid w:val="005805AC"/>
    <w:rsid w:val="00580B0F"/>
    <w:rsid w:val="00580BA1"/>
    <w:rsid w:val="00580D0A"/>
    <w:rsid w:val="005815DC"/>
    <w:rsid w:val="005819C5"/>
    <w:rsid w:val="00581A82"/>
    <w:rsid w:val="00581D8B"/>
    <w:rsid w:val="005826D3"/>
    <w:rsid w:val="00582B43"/>
    <w:rsid w:val="00582CA6"/>
    <w:rsid w:val="00582D87"/>
    <w:rsid w:val="00582E34"/>
    <w:rsid w:val="005830B0"/>
    <w:rsid w:val="005833A4"/>
    <w:rsid w:val="0058346A"/>
    <w:rsid w:val="005835F2"/>
    <w:rsid w:val="00583695"/>
    <w:rsid w:val="00583FC1"/>
    <w:rsid w:val="00583FE5"/>
    <w:rsid w:val="00584510"/>
    <w:rsid w:val="005847DA"/>
    <w:rsid w:val="00584A70"/>
    <w:rsid w:val="00584A8F"/>
    <w:rsid w:val="00584A9F"/>
    <w:rsid w:val="00584AA0"/>
    <w:rsid w:val="0058542A"/>
    <w:rsid w:val="00585678"/>
    <w:rsid w:val="00585C40"/>
    <w:rsid w:val="00585E2B"/>
    <w:rsid w:val="00585FC6"/>
    <w:rsid w:val="005867C2"/>
    <w:rsid w:val="00586805"/>
    <w:rsid w:val="00586A11"/>
    <w:rsid w:val="00586BE9"/>
    <w:rsid w:val="00586EE4"/>
    <w:rsid w:val="00587239"/>
    <w:rsid w:val="0058726F"/>
    <w:rsid w:val="00587790"/>
    <w:rsid w:val="00590615"/>
    <w:rsid w:val="00590916"/>
    <w:rsid w:val="00590ABA"/>
    <w:rsid w:val="00590AED"/>
    <w:rsid w:val="00590CCF"/>
    <w:rsid w:val="005910DB"/>
    <w:rsid w:val="005915DF"/>
    <w:rsid w:val="00591725"/>
    <w:rsid w:val="005918E0"/>
    <w:rsid w:val="00591B1D"/>
    <w:rsid w:val="005920E8"/>
    <w:rsid w:val="005921A1"/>
    <w:rsid w:val="0059246E"/>
    <w:rsid w:val="00592B2E"/>
    <w:rsid w:val="0059317B"/>
    <w:rsid w:val="005933F0"/>
    <w:rsid w:val="00593886"/>
    <w:rsid w:val="00593A24"/>
    <w:rsid w:val="00593A73"/>
    <w:rsid w:val="00593AB6"/>
    <w:rsid w:val="005940EA"/>
    <w:rsid w:val="005941DA"/>
    <w:rsid w:val="00594375"/>
    <w:rsid w:val="00594389"/>
    <w:rsid w:val="0059497B"/>
    <w:rsid w:val="00594B02"/>
    <w:rsid w:val="00594C52"/>
    <w:rsid w:val="00594D7E"/>
    <w:rsid w:val="00595074"/>
    <w:rsid w:val="00595128"/>
    <w:rsid w:val="00595163"/>
    <w:rsid w:val="0059541B"/>
    <w:rsid w:val="005954F5"/>
    <w:rsid w:val="00595701"/>
    <w:rsid w:val="00595945"/>
    <w:rsid w:val="005966E4"/>
    <w:rsid w:val="005967EA"/>
    <w:rsid w:val="005969CB"/>
    <w:rsid w:val="00596D22"/>
    <w:rsid w:val="00596E8F"/>
    <w:rsid w:val="0059713D"/>
    <w:rsid w:val="005973D6"/>
    <w:rsid w:val="00597935"/>
    <w:rsid w:val="005A0089"/>
    <w:rsid w:val="005A03E3"/>
    <w:rsid w:val="005A058C"/>
    <w:rsid w:val="005A0A64"/>
    <w:rsid w:val="005A0C1A"/>
    <w:rsid w:val="005A14E9"/>
    <w:rsid w:val="005A1535"/>
    <w:rsid w:val="005A1592"/>
    <w:rsid w:val="005A1817"/>
    <w:rsid w:val="005A1D5C"/>
    <w:rsid w:val="005A21A5"/>
    <w:rsid w:val="005A2632"/>
    <w:rsid w:val="005A2636"/>
    <w:rsid w:val="005A2B9C"/>
    <w:rsid w:val="005A2D6C"/>
    <w:rsid w:val="005A30FD"/>
    <w:rsid w:val="005A3348"/>
    <w:rsid w:val="005A336C"/>
    <w:rsid w:val="005A3482"/>
    <w:rsid w:val="005A39FB"/>
    <w:rsid w:val="005A3F14"/>
    <w:rsid w:val="005A4282"/>
    <w:rsid w:val="005A4671"/>
    <w:rsid w:val="005A56D2"/>
    <w:rsid w:val="005A582A"/>
    <w:rsid w:val="005A58CA"/>
    <w:rsid w:val="005A6034"/>
    <w:rsid w:val="005A6679"/>
    <w:rsid w:val="005A686B"/>
    <w:rsid w:val="005A6D66"/>
    <w:rsid w:val="005A6FFF"/>
    <w:rsid w:val="005A7273"/>
    <w:rsid w:val="005A77BA"/>
    <w:rsid w:val="005A78CA"/>
    <w:rsid w:val="005A7B9C"/>
    <w:rsid w:val="005B025E"/>
    <w:rsid w:val="005B07F2"/>
    <w:rsid w:val="005B0CF8"/>
    <w:rsid w:val="005B1032"/>
    <w:rsid w:val="005B14FC"/>
    <w:rsid w:val="005B1B45"/>
    <w:rsid w:val="005B1DC0"/>
    <w:rsid w:val="005B20C5"/>
    <w:rsid w:val="005B20EF"/>
    <w:rsid w:val="005B2B8E"/>
    <w:rsid w:val="005B30BE"/>
    <w:rsid w:val="005B3113"/>
    <w:rsid w:val="005B3F11"/>
    <w:rsid w:val="005B41C5"/>
    <w:rsid w:val="005B430E"/>
    <w:rsid w:val="005B4638"/>
    <w:rsid w:val="005B4BDB"/>
    <w:rsid w:val="005B4C29"/>
    <w:rsid w:val="005B514D"/>
    <w:rsid w:val="005B51A4"/>
    <w:rsid w:val="005B5A11"/>
    <w:rsid w:val="005B5B40"/>
    <w:rsid w:val="005B5BCD"/>
    <w:rsid w:val="005B6063"/>
    <w:rsid w:val="005B6DAA"/>
    <w:rsid w:val="005B6E71"/>
    <w:rsid w:val="005B70C7"/>
    <w:rsid w:val="005B73AE"/>
    <w:rsid w:val="005B7619"/>
    <w:rsid w:val="005B76D8"/>
    <w:rsid w:val="005B7880"/>
    <w:rsid w:val="005B7927"/>
    <w:rsid w:val="005B7C80"/>
    <w:rsid w:val="005B7DC5"/>
    <w:rsid w:val="005B7E8B"/>
    <w:rsid w:val="005C0466"/>
    <w:rsid w:val="005C05FE"/>
    <w:rsid w:val="005C0E97"/>
    <w:rsid w:val="005C15A6"/>
    <w:rsid w:val="005C1FAA"/>
    <w:rsid w:val="005C1FB7"/>
    <w:rsid w:val="005C2510"/>
    <w:rsid w:val="005C37BC"/>
    <w:rsid w:val="005C3B54"/>
    <w:rsid w:val="005C3C02"/>
    <w:rsid w:val="005C3DB3"/>
    <w:rsid w:val="005C52B9"/>
    <w:rsid w:val="005C5916"/>
    <w:rsid w:val="005C5ED7"/>
    <w:rsid w:val="005C667A"/>
    <w:rsid w:val="005C67BF"/>
    <w:rsid w:val="005C6D2D"/>
    <w:rsid w:val="005C706C"/>
    <w:rsid w:val="005C711B"/>
    <w:rsid w:val="005C7291"/>
    <w:rsid w:val="005C74B2"/>
    <w:rsid w:val="005C7C17"/>
    <w:rsid w:val="005C7D32"/>
    <w:rsid w:val="005D03BA"/>
    <w:rsid w:val="005D0405"/>
    <w:rsid w:val="005D0DE5"/>
    <w:rsid w:val="005D105E"/>
    <w:rsid w:val="005D10B6"/>
    <w:rsid w:val="005D167E"/>
    <w:rsid w:val="005D1D3A"/>
    <w:rsid w:val="005D2424"/>
    <w:rsid w:val="005D244C"/>
    <w:rsid w:val="005D28CD"/>
    <w:rsid w:val="005D3297"/>
    <w:rsid w:val="005D3593"/>
    <w:rsid w:val="005D36F8"/>
    <w:rsid w:val="005D3740"/>
    <w:rsid w:val="005D390F"/>
    <w:rsid w:val="005D3C58"/>
    <w:rsid w:val="005D4905"/>
    <w:rsid w:val="005D4E78"/>
    <w:rsid w:val="005D5189"/>
    <w:rsid w:val="005D586A"/>
    <w:rsid w:val="005D5C01"/>
    <w:rsid w:val="005D5C25"/>
    <w:rsid w:val="005D5FD9"/>
    <w:rsid w:val="005D731E"/>
    <w:rsid w:val="005D7539"/>
    <w:rsid w:val="005E03F2"/>
    <w:rsid w:val="005E08F0"/>
    <w:rsid w:val="005E0A1F"/>
    <w:rsid w:val="005E0D10"/>
    <w:rsid w:val="005E0E0C"/>
    <w:rsid w:val="005E1426"/>
    <w:rsid w:val="005E1AD1"/>
    <w:rsid w:val="005E1CF3"/>
    <w:rsid w:val="005E2192"/>
    <w:rsid w:val="005E2D5F"/>
    <w:rsid w:val="005E2F62"/>
    <w:rsid w:val="005E3340"/>
    <w:rsid w:val="005E39E6"/>
    <w:rsid w:val="005E3ED3"/>
    <w:rsid w:val="005E41B0"/>
    <w:rsid w:val="005E4323"/>
    <w:rsid w:val="005E4475"/>
    <w:rsid w:val="005E4AB1"/>
    <w:rsid w:val="005E4EED"/>
    <w:rsid w:val="005E52A9"/>
    <w:rsid w:val="005E5990"/>
    <w:rsid w:val="005E5A5D"/>
    <w:rsid w:val="005E5BA7"/>
    <w:rsid w:val="005E6099"/>
    <w:rsid w:val="005E60B3"/>
    <w:rsid w:val="005E62F2"/>
    <w:rsid w:val="005E6328"/>
    <w:rsid w:val="005E66D5"/>
    <w:rsid w:val="005E6706"/>
    <w:rsid w:val="005E6AF8"/>
    <w:rsid w:val="005E75CA"/>
    <w:rsid w:val="005E792E"/>
    <w:rsid w:val="005F0114"/>
    <w:rsid w:val="005F03AA"/>
    <w:rsid w:val="005F2216"/>
    <w:rsid w:val="005F22BF"/>
    <w:rsid w:val="005F274E"/>
    <w:rsid w:val="005F2A7F"/>
    <w:rsid w:val="005F3094"/>
    <w:rsid w:val="005F3898"/>
    <w:rsid w:val="005F398D"/>
    <w:rsid w:val="005F3DB3"/>
    <w:rsid w:val="005F3FEB"/>
    <w:rsid w:val="005F4905"/>
    <w:rsid w:val="005F4D10"/>
    <w:rsid w:val="005F4E9B"/>
    <w:rsid w:val="005F5401"/>
    <w:rsid w:val="005F551C"/>
    <w:rsid w:val="005F55EC"/>
    <w:rsid w:val="005F66DC"/>
    <w:rsid w:val="005F6899"/>
    <w:rsid w:val="005F6AE8"/>
    <w:rsid w:val="005F6B66"/>
    <w:rsid w:val="005F6B85"/>
    <w:rsid w:val="005F6DEF"/>
    <w:rsid w:val="005F7231"/>
    <w:rsid w:val="005F72C6"/>
    <w:rsid w:val="005F73F1"/>
    <w:rsid w:val="005F760C"/>
    <w:rsid w:val="005F7956"/>
    <w:rsid w:val="005F79A9"/>
    <w:rsid w:val="005F7CD1"/>
    <w:rsid w:val="0060066F"/>
    <w:rsid w:val="00600EFA"/>
    <w:rsid w:val="00601CC4"/>
    <w:rsid w:val="00601EF7"/>
    <w:rsid w:val="00602184"/>
    <w:rsid w:val="00602318"/>
    <w:rsid w:val="0060285A"/>
    <w:rsid w:val="00602899"/>
    <w:rsid w:val="00602A8A"/>
    <w:rsid w:val="00602AD2"/>
    <w:rsid w:val="00602DB3"/>
    <w:rsid w:val="00602E18"/>
    <w:rsid w:val="00602F2B"/>
    <w:rsid w:val="00603893"/>
    <w:rsid w:val="00603936"/>
    <w:rsid w:val="00603C41"/>
    <w:rsid w:val="0060428D"/>
    <w:rsid w:val="0060485B"/>
    <w:rsid w:val="00605B21"/>
    <w:rsid w:val="00605B3E"/>
    <w:rsid w:val="00605C75"/>
    <w:rsid w:val="0060648B"/>
    <w:rsid w:val="006064CB"/>
    <w:rsid w:val="00606500"/>
    <w:rsid w:val="006065CB"/>
    <w:rsid w:val="0060661A"/>
    <w:rsid w:val="00606DFD"/>
    <w:rsid w:val="00606F5A"/>
    <w:rsid w:val="0060742D"/>
    <w:rsid w:val="00607516"/>
    <w:rsid w:val="00607609"/>
    <w:rsid w:val="00607839"/>
    <w:rsid w:val="006079BF"/>
    <w:rsid w:val="00607D92"/>
    <w:rsid w:val="00607FAA"/>
    <w:rsid w:val="006104BA"/>
    <w:rsid w:val="006105EE"/>
    <w:rsid w:val="00610815"/>
    <w:rsid w:val="00610A02"/>
    <w:rsid w:val="00611128"/>
    <w:rsid w:val="00611593"/>
    <w:rsid w:val="006118AD"/>
    <w:rsid w:val="00611F1C"/>
    <w:rsid w:val="0061206A"/>
    <w:rsid w:val="00612198"/>
    <w:rsid w:val="006128BA"/>
    <w:rsid w:val="006129A1"/>
    <w:rsid w:val="006129ED"/>
    <w:rsid w:val="00612D3E"/>
    <w:rsid w:val="006132B1"/>
    <w:rsid w:val="0061366E"/>
    <w:rsid w:val="006137D1"/>
    <w:rsid w:val="00614AF7"/>
    <w:rsid w:val="00614AFB"/>
    <w:rsid w:val="00614BD0"/>
    <w:rsid w:val="006153AA"/>
    <w:rsid w:val="0061599E"/>
    <w:rsid w:val="00615AEF"/>
    <w:rsid w:val="00616259"/>
    <w:rsid w:val="006162BA"/>
    <w:rsid w:val="00616376"/>
    <w:rsid w:val="0061698C"/>
    <w:rsid w:val="006169BE"/>
    <w:rsid w:val="00616D06"/>
    <w:rsid w:val="00616D44"/>
    <w:rsid w:val="00616F08"/>
    <w:rsid w:val="006171E8"/>
    <w:rsid w:val="006174C8"/>
    <w:rsid w:val="00617F93"/>
    <w:rsid w:val="00620BF7"/>
    <w:rsid w:val="00620CA0"/>
    <w:rsid w:val="00620D4D"/>
    <w:rsid w:val="00620E6C"/>
    <w:rsid w:val="00621432"/>
    <w:rsid w:val="006214E7"/>
    <w:rsid w:val="00621513"/>
    <w:rsid w:val="00621578"/>
    <w:rsid w:val="00621A00"/>
    <w:rsid w:val="00621F44"/>
    <w:rsid w:val="00621F91"/>
    <w:rsid w:val="00622718"/>
    <w:rsid w:val="00622D3E"/>
    <w:rsid w:val="00622EA1"/>
    <w:rsid w:val="0062326F"/>
    <w:rsid w:val="006236CC"/>
    <w:rsid w:val="00624022"/>
    <w:rsid w:val="00624743"/>
    <w:rsid w:val="00624C79"/>
    <w:rsid w:val="0062521F"/>
    <w:rsid w:val="006255D7"/>
    <w:rsid w:val="0062591A"/>
    <w:rsid w:val="00626241"/>
    <w:rsid w:val="0062634B"/>
    <w:rsid w:val="0062635B"/>
    <w:rsid w:val="00626819"/>
    <w:rsid w:val="0062689F"/>
    <w:rsid w:val="00626B09"/>
    <w:rsid w:val="00626CFC"/>
    <w:rsid w:val="00626DA0"/>
    <w:rsid w:val="00626E2F"/>
    <w:rsid w:val="0062716C"/>
    <w:rsid w:val="0062765D"/>
    <w:rsid w:val="0062787B"/>
    <w:rsid w:val="00627B9B"/>
    <w:rsid w:val="00627C19"/>
    <w:rsid w:val="006303C9"/>
    <w:rsid w:val="00630921"/>
    <w:rsid w:val="006309DC"/>
    <w:rsid w:val="00630CB8"/>
    <w:rsid w:val="00631365"/>
    <w:rsid w:val="006316CA"/>
    <w:rsid w:val="00631C52"/>
    <w:rsid w:val="0063224A"/>
    <w:rsid w:val="00632D4D"/>
    <w:rsid w:val="00632F8C"/>
    <w:rsid w:val="006335FF"/>
    <w:rsid w:val="00633652"/>
    <w:rsid w:val="006337C8"/>
    <w:rsid w:val="0063398A"/>
    <w:rsid w:val="00633FC5"/>
    <w:rsid w:val="00634B00"/>
    <w:rsid w:val="00634CDE"/>
    <w:rsid w:val="00634E8D"/>
    <w:rsid w:val="006350FD"/>
    <w:rsid w:val="006352A2"/>
    <w:rsid w:val="00636131"/>
    <w:rsid w:val="00636283"/>
    <w:rsid w:val="006364FB"/>
    <w:rsid w:val="0063706E"/>
    <w:rsid w:val="00637CA0"/>
    <w:rsid w:val="006404AE"/>
    <w:rsid w:val="006405CD"/>
    <w:rsid w:val="00640843"/>
    <w:rsid w:val="00640927"/>
    <w:rsid w:val="00640A13"/>
    <w:rsid w:val="00640D31"/>
    <w:rsid w:val="00640FF5"/>
    <w:rsid w:val="006411A9"/>
    <w:rsid w:val="006411BC"/>
    <w:rsid w:val="006414E6"/>
    <w:rsid w:val="00641784"/>
    <w:rsid w:val="00641E32"/>
    <w:rsid w:val="00641E45"/>
    <w:rsid w:val="00642375"/>
    <w:rsid w:val="00642495"/>
    <w:rsid w:val="006425B0"/>
    <w:rsid w:val="006426D8"/>
    <w:rsid w:val="006428A6"/>
    <w:rsid w:val="00642BE1"/>
    <w:rsid w:val="00642FD4"/>
    <w:rsid w:val="006430E3"/>
    <w:rsid w:val="00643564"/>
    <w:rsid w:val="006435B8"/>
    <w:rsid w:val="0064363E"/>
    <w:rsid w:val="006438E9"/>
    <w:rsid w:val="00643C75"/>
    <w:rsid w:val="00643CA7"/>
    <w:rsid w:val="00643CF3"/>
    <w:rsid w:val="006441E0"/>
    <w:rsid w:val="00644351"/>
    <w:rsid w:val="006448CA"/>
    <w:rsid w:val="00644B35"/>
    <w:rsid w:val="00644D29"/>
    <w:rsid w:val="00644EB9"/>
    <w:rsid w:val="00644F9A"/>
    <w:rsid w:val="00645002"/>
    <w:rsid w:val="006450A3"/>
    <w:rsid w:val="006453E3"/>
    <w:rsid w:val="00645623"/>
    <w:rsid w:val="00645DD8"/>
    <w:rsid w:val="00645EFD"/>
    <w:rsid w:val="00646125"/>
    <w:rsid w:val="00646278"/>
    <w:rsid w:val="006463E7"/>
    <w:rsid w:val="0064664F"/>
    <w:rsid w:val="00646878"/>
    <w:rsid w:val="00646BFC"/>
    <w:rsid w:val="00646C7A"/>
    <w:rsid w:val="00646F9B"/>
    <w:rsid w:val="00647473"/>
    <w:rsid w:val="0065002D"/>
    <w:rsid w:val="0065004D"/>
    <w:rsid w:val="00650181"/>
    <w:rsid w:val="006502C8"/>
    <w:rsid w:val="0065067F"/>
    <w:rsid w:val="0065069B"/>
    <w:rsid w:val="0065153E"/>
    <w:rsid w:val="0065194D"/>
    <w:rsid w:val="00651992"/>
    <w:rsid w:val="00651C2B"/>
    <w:rsid w:val="00651D2A"/>
    <w:rsid w:val="00651F17"/>
    <w:rsid w:val="0065213B"/>
    <w:rsid w:val="00653528"/>
    <w:rsid w:val="0065353F"/>
    <w:rsid w:val="006538EA"/>
    <w:rsid w:val="00653985"/>
    <w:rsid w:val="00653B58"/>
    <w:rsid w:val="00654167"/>
    <w:rsid w:val="00654E68"/>
    <w:rsid w:val="00654EE4"/>
    <w:rsid w:val="006550B7"/>
    <w:rsid w:val="006555C7"/>
    <w:rsid w:val="00655964"/>
    <w:rsid w:val="00655993"/>
    <w:rsid w:val="00655AE6"/>
    <w:rsid w:val="0065635B"/>
    <w:rsid w:val="006566FC"/>
    <w:rsid w:val="00657012"/>
    <w:rsid w:val="006573F2"/>
    <w:rsid w:val="006615ED"/>
    <w:rsid w:val="006616B9"/>
    <w:rsid w:val="0066219B"/>
    <w:rsid w:val="00662491"/>
    <w:rsid w:val="006627FF"/>
    <w:rsid w:val="00662AD2"/>
    <w:rsid w:val="00662CBD"/>
    <w:rsid w:val="00662DB6"/>
    <w:rsid w:val="006632EC"/>
    <w:rsid w:val="00663480"/>
    <w:rsid w:val="006636A1"/>
    <w:rsid w:val="006642A6"/>
    <w:rsid w:val="00664356"/>
    <w:rsid w:val="006644B2"/>
    <w:rsid w:val="00664A69"/>
    <w:rsid w:val="00664B29"/>
    <w:rsid w:val="00664B67"/>
    <w:rsid w:val="0066505C"/>
    <w:rsid w:val="00665465"/>
    <w:rsid w:val="00665634"/>
    <w:rsid w:val="00665665"/>
    <w:rsid w:val="00665727"/>
    <w:rsid w:val="00665901"/>
    <w:rsid w:val="00665B32"/>
    <w:rsid w:val="0066630F"/>
    <w:rsid w:val="006663E1"/>
    <w:rsid w:val="00666A8D"/>
    <w:rsid w:val="00666EC7"/>
    <w:rsid w:val="006670E3"/>
    <w:rsid w:val="0066719A"/>
    <w:rsid w:val="006672E2"/>
    <w:rsid w:val="00670085"/>
    <w:rsid w:val="00670112"/>
    <w:rsid w:val="006702AC"/>
    <w:rsid w:val="00670308"/>
    <w:rsid w:val="006704BD"/>
    <w:rsid w:val="00670A4F"/>
    <w:rsid w:val="00670C0C"/>
    <w:rsid w:val="006710EA"/>
    <w:rsid w:val="006716B4"/>
    <w:rsid w:val="00671867"/>
    <w:rsid w:val="006718A1"/>
    <w:rsid w:val="00671B74"/>
    <w:rsid w:val="00671F3B"/>
    <w:rsid w:val="0067221F"/>
    <w:rsid w:val="006725AC"/>
    <w:rsid w:val="00672AC3"/>
    <w:rsid w:val="006734F5"/>
    <w:rsid w:val="00673505"/>
    <w:rsid w:val="00673A37"/>
    <w:rsid w:val="00673AF2"/>
    <w:rsid w:val="00673D96"/>
    <w:rsid w:val="00674351"/>
    <w:rsid w:val="0067443E"/>
    <w:rsid w:val="00674752"/>
    <w:rsid w:val="00674E38"/>
    <w:rsid w:val="00674E9F"/>
    <w:rsid w:val="006758EC"/>
    <w:rsid w:val="006759FA"/>
    <w:rsid w:val="006761B4"/>
    <w:rsid w:val="00676533"/>
    <w:rsid w:val="00676DE9"/>
    <w:rsid w:val="00677111"/>
    <w:rsid w:val="006774AC"/>
    <w:rsid w:val="006776DA"/>
    <w:rsid w:val="006777F5"/>
    <w:rsid w:val="00677817"/>
    <w:rsid w:val="00677A36"/>
    <w:rsid w:val="00677BD6"/>
    <w:rsid w:val="00677DCB"/>
    <w:rsid w:val="0068014A"/>
    <w:rsid w:val="00680E6D"/>
    <w:rsid w:val="006811E5"/>
    <w:rsid w:val="00681352"/>
    <w:rsid w:val="006816A1"/>
    <w:rsid w:val="006816A7"/>
    <w:rsid w:val="00681DE9"/>
    <w:rsid w:val="00681F29"/>
    <w:rsid w:val="00681F4A"/>
    <w:rsid w:val="006823FA"/>
    <w:rsid w:val="006828C3"/>
    <w:rsid w:val="00682C46"/>
    <w:rsid w:val="00683160"/>
    <w:rsid w:val="00683D0E"/>
    <w:rsid w:val="00683D5B"/>
    <w:rsid w:val="006844BF"/>
    <w:rsid w:val="0068462D"/>
    <w:rsid w:val="00684810"/>
    <w:rsid w:val="00684E53"/>
    <w:rsid w:val="00685044"/>
    <w:rsid w:val="006852CD"/>
    <w:rsid w:val="00685436"/>
    <w:rsid w:val="00685A2F"/>
    <w:rsid w:val="00685FD2"/>
    <w:rsid w:val="006860F3"/>
    <w:rsid w:val="006864B6"/>
    <w:rsid w:val="006865DF"/>
    <w:rsid w:val="00686723"/>
    <w:rsid w:val="00686B17"/>
    <w:rsid w:val="00686CE6"/>
    <w:rsid w:val="00686D1F"/>
    <w:rsid w:val="006870FC"/>
    <w:rsid w:val="0068732E"/>
    <w:rsid w:val="0068743E"/>
    <w:rsid w:val="00687ABF"/>
    <w:rsid w:val="00687C06"/>
    <w:rsid w:val="00690069"/>
    <w:rsid w:val="00690F07"/>
    <w:rsid w:val="00691187"/>
    <w:rsid w:val="00691DBA"/>
    <w:rsid w:val="00691F6C"/>
    <w:rsid w:val="006921DD"/>
    <w:rsid w:val="006934EB"/>
    <w:rsid w:val="00693517"/>
    <w:rsid w:val="00693B34"/>
    <w:rsid w:val="00693DC3"/>
    <w:rsid w:val="00693EAF"/>
    <w:rsid w:val="00693EF6"/>
    <w:rsid w:val="00694136"/>
    <w:rsid w:val="00694BD6"/>
    <w:rsid w:val="00694E92"/>
    <w:rsid w:val="00694F7B"/>
    <w:rsid w:val="00695396"/>
    <w:rsid w:val="006954B6"/>
    <w:rsid w:val="006959AE"/>
    <w:rsid w:val="00695A55"/>
    <w:rsid w:val="00695AEC"/>
    <w:rsid w:val="00695C74"/>
    <w:rsid w:val="00696042"/>
    <w:rsid w:val="0069662E"/>
    <w:rsid w:val="00696785"/>
    <w:rsid w:val="0069678F"/>
    <w:rsid w:val="006969AA"/>
    <w:rsid w:val="00696AB7"/>
    <w:rsid w:val="00696C42"/>
    <w:rsid w:val="00696D47"/>
    <w:rsid w:val="00697032"/>
    <w:rsid w:val="00697168"/>
    <w:rsid w:val="00697876"/>
    <w:rsid w:val="00697991"/>
    <w:rsid w:val="00697E4E"/>
    <w:rsid w:val="00697F2A"/>
    <w:rsid w:val="006A0468"/>
    <w:rsid w:val="006A04C9"/>
    <w:rsid w:val="006A08C8"/>
    <w:rsid w:val="006A08FB"/>
    <w:rsid w:val="006A0DA6"/>
    <w:rsid w:val="006A11A6"/>
    <w:rsid w:val="006A11EA"/>
    <w:rsid w:val="006A1222"/>
    <w:rsid w:val="006A14E4"/>
    <w:rsid w:val="006A1598"/>
    <w:rsid w:val="006A15BA"/>
    <w:rsid w:val="006A15E8"/>
    <w:rsid w:val="006A1C19"/>
    <w:rsid w:val="006A3412"/>
    <w:rsid w:val="006A37C1"/>
    <w:rsid w:val="006A38C3"/>
    <w:rsid w:val="006A3B63"/>
    <w:rsid w:val="006A3C92"/>
    <w:rsid w:val="006A3D41"/>
    <w:rsid w:val="006A406F"/>
    <w:rsid w:val="006A41F0"/>
    <w:rsid w:val="006A42B8"/>
    <w:rsid w:val="006A447C"/>
    <w:rsid w:val="006A4633"/>
    <w:rsid w:val="006A46A0"/>
    <w:rsid w:val="006A49D4"/>
    <w:rsid w:val="006A4A24"/>
    <w:rsid w:val="006A4B40"/>
    <w:rsid w:val="006A5026"/>
    <w:rsid w:val="006A5169"/>
    <w:rsid w:val="006A56A7"/>
    <w:rsid w:val="006A5798"/>
    <w:rsid w:val="006A5AB0"/>
    <w:rsid w:val="006A5C1F"/>
    <w:rsid w:val="006A5E9C"/>
    <w:rsid w:val="006A5F4A"/>
    <w:rsid w:val="006A64B0"/>
    <w:rsid w:val="006A64F0"/>
    <w:rsid w:val="006A67B2"/>
    <w:rsid w:val="006A6D93"/>
    <w:rsid w:val="006A6E30"/>
    <w:rsid w:val="006A78AA"/>
    <w:rsid w:val="006A7AC5"/>
    <w:rsid w:val="006B0151"/>
    <w:rsid w:val="006B0571"/>
    <w:rsid w:val="006B0E8A"/>
    <w:rsid w:val="006B1208"/>
    <w:rsid w:val="006B135F"/>
    <w:rsid w:val="006B14FF"/>
    <w:rsid w:val="006B1695"/>
    <w:rsid w:val="006B1A7C"/>
    <w:rsid w:val="006B1D30"/>
    <w:rsid w:val="006B231E"/>
    <w:rsid w:val="006B247E"/>
    <w:rsid w:val="006B2792"/>
    <w:rsid w:val="006B2AC2"/>
    <w:rsid w:val="006B2AD2"/>
    <w:rsid w:val="006B2D80"/>
    <w:rsid w:val="006B2EEC"/>
    <w:rsid w:val="006B2F8F"/>
    <w:rsid w:val="006B32D2"/>
    <w:rsid w:val="006B3B3E"/>
    <w:rsid w:val="006B3B4F"/>
    <w:rsid w:val="006B3D00"/>
    <w:rsid w:val="006B3D89"/>
    <w:rsid w:val="006B3EBA"/>
    <w:rsid w:val="006B406D"/>
    <w:rsid w:val="006B42A8"/>
    <w:rsid w:val="006B4451"/>
    <w:rsid w:val="006B4614"/>
    <w:rsid w:val="006B4BAB"/>
    <w:rsid w:val="006B4BAD"/>
    <w:rsid w:val="006B4F07"/>
    <w:rsid w:val="006B5527"/>
    <w:rsid w:val="006B5573"/>
    <w:rsid w:val="006B57A5"/>
    <w:rsid w:val="006B586F"/>
    <w:rsid w:val="006B5A69"/>
    <w:rsid w:val="006B5B6B"/>
    <w:rsid w:val="006B5D01"/>
    <w:rsid w:val="006B623F"/>
    <w:rsid w:val="006B6289"/>
    <w:rsid w:val="006B69AD"/>
    <w:rsid w:val="006B6AB8"/>
    <w:rsid w:val="006B6CFA"/>
    <w:rsid w:val="006B7CFA"/>
    <w:rsid w:val="006C058E"/>
    <w:rsid w:val="006C0D97"/>
    <w:rsid w:val="006C0F83"/>
    <w:rsid w:val="006C10CE"/>
    <w:rsid w:val="006C119E"/>
    <w:rsid w:val="006C11C1"/>
    <w:rsid w:val="006C1429"/>
    <w:rsid w:val="006C1A08"/>
    <w:rsid w:val="006C1A1A"/>
    <w:rsid w:val="006C221D"/>
    <w:rsid w:val="006C233C"/>
    <w:rsid w:val="006C2797"/>
    <w:rsid w:val="006C27F7"/>
    <w:rsid w:val="006C28FB"/>
    <w:rsid w:val="006C2AED"/>
    <w:rsid w:val="006C2B10"/>
    <w:rsid w:val="006C2FDF"/>
    <w:rsid w:val="006C3287"/>
    <w:rsid w:val="006C362E"/>
    <w:rsid w:val="006C3A79"/>
    <w:rsid w:val="006C3CC4"/>
    <w:rsid w:val="006C413F"/>
    <w:rsid w:val="006C455E"/>
    <w:rsid w:val="006C473E"/>
    <w:rsid w:val="006C4B13"/>
    <w:rsid w:val="006C5159"/>
    <w:rsid w:val="006C54B7"/>
    <w:rsid w:val="006C5A33"/>
    <w:rsid w:val="006C5C92"/>
    <w:rsid w:val="006C64AD"/>
    <w:rsid w:val="006C68CC"/>
    <w:rsid w:val="006C6B1E"/>
    <w:rsid w:val="006C6BB4"/>
    <w:rsid w:val="006C6D2F"/>
    <w:rsid w:val="006C711D"/>
    <w:rsid w:val="006D009B"/>
    <w:rsid w:val="006D0243"/>
    <w:rsid w:val="006D039D"/>
    <w:rsid w:val="006D0426"/>
    <w:rsid w:val="006D0445"/>
    <w:rsid w:val="006D065A"/>
    <w:rsid w:val="006D1059"/>
    <w:rsid w:val="006D1700"/>
    <w:rsid w:val="006D174F"/>
    <w:rsid w:val="006D18A3"/>
    <w:rsid w:val="006D1A0C"/>
    <w:rsid w:val="006D1EBC"/>
    <w:rsid w:val="006D2556"/>
    <w:rsid w:val="006D2714"/>
    <w:rsid w:val="006D2FC1"/>
    <w:rsid w:val="006D319E"/>
    <w:rsid w:val="006D3334"/>
    <w:rsid w:val="006D3616"/>
    <w:rsid w:val="006D36F9"/>
    <w:rsid w:val="006D385C"/>
    <w:rsid w:val="006D3CD8"/>
    <w:rsid w:val="006D3D47"/>
    <w:rsid w:val="006D400F"/>
    <w:rsid w:val="006D453A"/>
    <w:rsid w:val="006D4618"/>
    <w:rsid w:val="006D463A"/>
    <w:rsid w:val="006D4A37"/>
    <w:rsid w:val="006D5503"/>
    <w:rsid w:val="006D5A77"/>
    <w:rsid w:val="006D5E02"/>
    <w:rsid w:val="006D62ED"/>
    <w:rsid w:val="006D6457"/>
    <w:rsid w:val="006D6C59"/>
    <w:rsid w:val="006D6CD7"/>
    <w:rsid w:val="006D6E7A"/>
    <w:rsid w:val="006D6EFC"/>
    <w:rsid w:val="006D70D6"/>
    <w:rsid w:val="006D7264"/>
    <w:rsid w:val="006D7352"/>
    <w:rsid w:val="006D7802"/>
    <w:rsid w:val="006D79C8"/>
    <w:rsid w:val="006D7EBF"/>
    <w:rsid w:val="006E08E3"/>
    <w:rsid w:val="006E1059"/>
    <w:rsid w:val="006E11C9"/>
    <w:rsid w:val="006E120A"/>
    <w:rsid w:val="006E130E"/>
    <w:rsid w:val="006E13E5"/>
    <w:rsid w:val="006E16A4"/>
    <w:rsid w:val="006E1CDB"/>
    <w:rsid w:val="006E1E91"/>
    <w:rsid w:val="006E1FE9"/>
    <w:rsid w:val="006E2098"/>
    <w:rsid w:val="006E250C"/>
    <w:rsid w:val="006E2B59"/>
    <w:rsid w:val="006E2C1C"/>
    <w:rsid w:val="006E2E8E"/>
    <w:rsid w:val="006E33BD"/>
    <w:rsid w:val="006E38D2"/>
    <w:rsid w:val="006E4003"/>
    <w:rsid w:val="006E4770"/>
    <w:rsid w:val="006E4E64"/>
    <w:rsid w:val="006E4EFD"/>
    <w:rsid w:val="006E4F0E"/>
    <w:rsid w:val="006E50ED"/>
    <w:rsid w:val="006E537F"/>
    <w:rsid w:val="006E63E8"/>
    <w:rsid w:val="006E653B"/>
    <w:rsid w:val="006E6F02"/>
    <w:rsid w:val="006E6FE7"/>
    <w:rsid w:val="006E701F"/>
    <w:rsid w:val="006E70CE"/>
    <w:rsid w:val="006E7297"/>
    <w:rsid w:val="006E7E34"/>
    <w:rsid w:val="006F0141"/>
    <w:rsid w:val="006F09B4"/>
    <w:rsid w:val="006F0D07"/>
    <w:rsid w:val="006F0E79"/>
    <w:rsid w:val="006F14A8"/>
    <w:rsid w:val="006F19E9"/>
    <w:rsid w:val="006F1D80"/>
    <w:rsid w:val="006F1E0A"/>
    <w:rsid w:val="006F1E63"/>
    <w:rsid w:val="006F1F1D"/>
    <w:rsid w:val="006F234D"/>
    <w:rsid w:val="006F272C"/>
    <w:rsid w:val="006F2CC1"/>
    <w:rsid w:val="006F2D19"/>
    <w:rsid w:val="006F3540"/>
    <w:rsid w:val="006F3645"/>
    <w:rsid w:val="006F3D86"/>
    <w:rsid w:val="006F3FD9"/>
    <w:rsid w:val="006F4212"/>
    <w:rsid w:val="006F45C3"/>
    <w:rsid w:val="006F46C6"/>
    <w:rsid w:val="006F4BDE"/>
    <w:rsid w:val="006F50E8"/>
    <w:rsid w:val="006F5E81"/>
    <w:rsid w:val="006F5F34"/>
    <w:rsid w:val="006F6103"/>
    <w:rsid w:val="006F61B7"/>
    <w:rsid w:val="006F63EB"/>
    <w:rsid w:val="006F6926"/>
    <w:rsid w:val="006F6B47"/>
    <w:rsid w:val="006F6BB0"/>
    <w:rsid w:val="006F7A22"/>
    <w:rsid w:val="006F7F3B"/>
    <w:rsid w:val="006F7F6A"/>
    <w:rsid w:val="0070023B"/>
    <w:rsid w:val="00700339"/>
    <w:rsid w:val="007006D3"/>
    <w:rsid w:val="00700787"/>
    <w:rsid w:val="00700C5F"/>
    <w:rsid w:val="00700CE9"/>
    <w:rsid w:val="007011D3"/>
    <w:rsid w:val="00701242"/>
    <w:rsid w:val="00701515"/>
    <w:rsid w:val="007015B5"/>
    <w:rsid w:val="00701976"/>
    <w:rsid w:val="00701E93"/>
    <w:rsid w:val="0070210B"/>
    <w:rsid w:val="00702202"/>
    <w:rsid w:val="00702730"/>
    <w:rsid w:val="00702AF7"/>
    <w:rsid w:val="00702DB2"/>
    <w:rsid w:val="00702F24"/>
    <w:rsid w:val="00702F68"/>
    <w:rsid w:val="00703020"/>
    <w:rsid w:val="00703363"/>
    <w:rsid w:val="0070368C"/>
    <w:rsid w:val="00703ACE"/>
    <w:rsid w:val="00703B31"/>
    <w:rsid w:val="00703FB5"/>
    <w:rsid w:val="0070440A"/>
    <w:rsid w:val="0070495C"/>
    <w:rsid w:val="00705761"/>
    <w:rsid w:val="007058D8"/>
    <w:rsid w:val="007061EB"/>
    <w:rsid w:val="00706254"/>
    <w:rsid w:val="007066D8"/>
    <w:rsid w:val="007067D6"/>
    <w:rsid w:val="00706959"/>
    <w:rsid w:val="00706A2F"/>
    <w:rsid w:val="00706CED"/>
    <w:rsid w:val="00706F9D"/>
    <w:rsid w:val="0070743F"/>
    <w:rsid w:val="00707997"/>
    <w:rsid w:val="007079B0"/>
    <w:rsid w:val="00707DAA"/>
    <w:rsid w:val="0071023A"/>
    <w:rsid w:val="0071029B"/>
    <w:rsid w:val="0071036A"/>
    <w:rsid w:val="0071044E"/>
    <w:rsid w:val="00710B88"/>
    <w:rsid w:val="00710F0A"/>
    <w:rsid w:val="00711186"/>
    <w:rsid w:val="0071120E"/>
    <w:rsid w:val="00711458"/>
    <w:rsid w:val="007116EA"/>
    <w:rsid w:val="00711F70"/>
    <w:rsid w:val="00712417"/>
    <w:rsid w:val="0071260D"/>
    <w:rsid w:val="0071298C"/>
    <w:rsid w:val="00712D6B"/>
    <w:rsid w:val="007131C7"/>
    <w:rsid w:val="00713A6A"/>
    <w:rsid w:val="00713E3D"/>
    <w:rsid w:val="00714CA9"/>
    <w:rsid w:val="007150D5"/>
    <w:rsid w:val="007150DB"/>
    <w:rsid w:val="007153E6"/>
    <w:rsid w:val="00715B55"/>
    <w:rsid w:val="00715BE5"/>
    <w:rsid w:val="00716299"/>
    <w:rsid w:val="0071647C"/>
    <w:rsid w:val="00716903"/>
    <w:rsid w:val="00716AEB"/>
    <w:rsid w:val="00716B4E"/>
    <w:rsid w:val="00717117"/>
    <w:rsid w:val="007172F5"/>
    <w:rsid w:val="007177AD"/>
    <w:rsid w:val="0072052E"/>
    <w:rsid w:val="00720606"/>
    <w:rsid w:val="0072070B"/>
    <w:rsid w:val="00720840"/>
    <w:rsid w:val="00720A04"/>
    <w:rsid w:val="00720EAD"/>
    <w:rsid w:val="007210A4"/>
    <w:rsid w:val="00721109"/>
    <w:rsid w:val="007211B6"/>
    <w:rsid w:val="007213A4"/>
    <w:rsid w:val="00721A48"/>
    <w:rsid w:val="00721B6C"/>
    <w:rsid w:val="00721C3B"/>
    <w:rsid w:val="00721C5A"/>
    <w:rsid w:val="00721D15"/>
    <w:rsid w:val="007224CD"/>
    <w:rsid w:val="0072256F"/>
    <w:rsid w:val="007225FD"/>
    <w:rsid w:val="00722979"/>
    <w:rsid w:val="00722A79"/>
    <w:rsid w:val="00722CDE"/>
    <w:rsid w:val="0072332F"/>
    <w:rsid w:val="00723350"/>
    <w:rsid w:val="00723354"/>
    <w:rsid w:val="007234BB"/>
    <w:rsid w:val="00723525"/>
    <w:rsid w:val="007236E2"/>
    <w:rsid w:val="007236EE"/>
    <w:rsid w:val="00723797"/>
    <w:rsid w:val="00723841"/>
    <w:rsid w:val="007239F1"/>
    <w:rsid w:val="00724709"/>
    <w:rsid w:val="00725045"/>
    <w:rsid w:val="007257AD"/>
    <w:rsid w:val="007258E9"/>
    <w:rsid w:val="007261AF"/>
    <w:rsid w:val="00726935"/>
    <w:rsid w:val="00727A90"/>
    <w:rsid w:val="00730442"/>
    <w:rsid w:val="00730DDD"/>
    <w:rsid w:val="007314A5"/>
    <w:rsid w:val="00731651"/>
    <w:rsid w:val="00731884"/>
    <w:rsid w:val="007319BD"/>
    <w:rsid w:val="0073269C"/>
    <w:rsid w:val="0073284B"/>
    <w:rsid w:val="00732BD9"/>
    <w:rsid w:val="0073303D"/>
    <w:rsid w:val="00733199"/>
    <w:rsid w:val="00733385"/>
    <w:rsid w:val="007334CA"/>
    <w:rsid w:val="007334D5"/>
    <w:rsid w:val="007336B1"/>
    <w:rsid w:val="0073379F"/>
    <w:rsid w:val="00733996"/>
    <w:rsid w:val="00733A3D"/>
    <w:rsid w:val="0073430C"/>
    <w:rsid w:val="00734395"/>
    <w:rsid w:val="007345E1"/>
    <w:rsid w:val="00734791"/>
    <w:rsid w:val="007347F6"/>
    <w:rsid w:val="007349ED"/>
    <w:rsid w:val="00734D9F"/>
    <w:rsid w:val="00734E27"/>
    <w:rsid w:val="00734FA5"/>
    <w:rsid w:val="00735103"/>
    <w:rsid w:val="007354A9"/>
    <w:rsid w:val="007357A2"/>
    <w:rsid w:val="00735809"/>
    <w:rsid w:val="00735816"/>
    <w:rsid w:val="0073667D"/>
    <w:rsid w:val="00736981"/>
    <w:rsid w:val="00736D41"/>
    <w:rsid w:val="00736F86"/>
    <w:rsid w:val="00737333"/>
    <w:rsid w:val="00737375"/>
    <w:rsid w:val="007379AD"/>
    <w:rsid w:val="00737B67"/>
    <w:rsid w:val="00737D6A"/>
    <w:rsid w:val="00737FA4"/>
    <w:rsid w:val="007403DD"/>
    <w:rsid w:val="00740505"/>
    <w:rsid w:val="00740A34"/>
    <w:rsid w:val="0074119A"/>
    <w:rsid w:val="00741465"/>
    <w:rsid w:val="007416C2"/>
    <w:rsid w:val="00741B0D"/>
    <w:rsid w:val="00741D77"/>
    <w:rsid w:val="00742105"/>
    <w:rsid w:val="00742B70"/>
    <w:rsid w:val="00742C84"/>
    <w:rsid w:val="00742D20"/>
    <w:rsid w:val="00743417"/>
    <w:rsid w:val="00743942"/>
    <w:rsid w:val="00743A92"/>
    <w:rsid w:val="00743C0B"/>
    <w:rsid w:val="0074408B"/>
    <w:rsid w:val="007444BB"/>
    <w:rsid w:val="007446F7"/>
    <w:rsid w:val="00744BF0"/>
    <w:rsid w:val="00745050"/>
    <w:rsid w:val="007457D4"/>
    <w:rsid w:val="00745ABE"/>
    <w:rsid w:val="00745BC6"/>
    <w:rsid w:val="007462E5"/>
    <w:rsid w:val="0074691D"/>
    <w:rsid w:val="00746DF3"/>
    <w:rsid w:val="00746E2A"/>
    <w:rsid w:val="00746FEF"/>
    <w:rsid w:val="00747369"/>
    <w:rsid w:val="00747401"/>
    <w:rsid w:val="0074761E"/>
    <w:rsid w:val="007477AF"/>
    <w:rsid w:val="00747B4A"/>
    <w:rsid w:val="00747D9C"/>
    <w:rsid w:val="00747FCD"/>
    <w:rsid w:val="00750435"/>
    <w:rsid w:val="00750697"/>
    <w:rsid w:val="00750BD3"/>
    <w:rsid w:val="007511AC"/>
    <w:rsid w:val="00751775"/>
    <w:rsid w:val="00751812"/>
    <w:rsid w:val="0075198F"/>
    <w:rsid w:val="00751ABF"/>
    <w:rsid w:val="00751AE5"/>
    <w:rsid w:val="007521BE"/>
    <w:rsid w:val="00752352"/>
    <w:rsid w:val="00753040"/>
    <w:rsid w:val="00753238"/>
    <w:rsid w:val="0075343B"/>
    <w:rsid w:val="00753534"/>
    <w:rsid w:val="0075465B"/>
    <w:rsid w:val="00754755"/>
    <w:rsid w:val="00754961"/>
    <w:rsid w:val="00754A1A"/>
    <w:rsid w:val="00754FC1"/>
    <w:rsid w:val="007554B8"/>
    <w:rsid w:val="00755612"/>
    <w:rsid w:val="00756077"/>
    <w:rsid w:val="007560F6"/>
    <w:rsid w:val="0075651A"/>
    <w:rsid w:val="00756758"/>
    <w:rsid w:val="00756AA3"/>
    <w:rsid w:val="00756DEA"/>
    <w:rsid w:val="00756F8C"/>
    <w:rsid w:val="0075746A"/>
    <w:rsid w:val="00760156"/>
    <w:rsid w:val="00760540"/>
    <w:rsid w:val="0076093D"/>
    <w:rsid w:val="00761585"/>
    <w:rsid w:val="0076173F"/>
    <w:rsid w:val="007619EA"/>
    <w:rsid w:val="00761F80"/>
    <w:rsid w:val="00762077"/>
    <w:rsid w:val="0076248C"/>
    <w:rsid w:val="00762684"/>
    <w:rsid w:val="007633F7"/>
    <w:rsid w:val="00763AFF"/>
    <w:rsid w:val="00763BA4"/>
    <w:rsid w:val="00763EBB"/>
    <w:rsid w:val="00764014"/>
    <w:rsid w:val="00764269"/>
    <w:rsid w:val="007644C0"/>
    <w:rsid w:val="007646B9"/>
    <w:rsid w:val="0076497C"/>
    <w:rsid w:val="00764E26"/>
    <w:rsid w:val="00764F3D"/>
    <w:rsid w:val="00764F8F"/>
    <w:rsid w:val="007651EA"/>
    <w:rsid w:val="00765531"/>
    <w:rsid w:val="007656C3"/>
    <w:rsid w:val="007658C4"/>
    <w:rsid w:val="007659D6"/>
    <w:rsid w:val="007660C9"/>
    <w:rsid w:val="00766727"/>
    <w:rsid w:val="007667E9"/>
    <w:rsid w:val="0076689D"/>
    <w:rsid w:val="00766CAE"/>
    <w:rsid w:val="007671A7"/>
    <w:rsid w:val="00767C3D"/>
    <w:rsid w:val="00767EFD"/>
    <w:rsid w:val="00770319"/>
    <w:rsid w:val="00770663"/>
    <w:rsid w:val="007706A6"/>
    <w:rsid w:val="007707DE"/>
    <w:rsid w:val="0077089E"/>
    <w:rsid w:val="00770B98"/>
    <w:rsid w:val="0077135A"/>
    <w:rsid w:val="007713EF"/>
    <w:rsid w:val="007716B5"/>
    <w:rsid w:val="00771B8A"/>
    <w:rsid w:val="0077209B"/>
    <w:rsid w:val="00772299"/>
    <w:rsid w:val="007722F5"/>
    <w:rsid w:val="007723A3"/>
    <w:rsid w:val="0077241C"/>
    <w:rsid w:val="007727D9"/>
    <w:rsid w:val="00772EC0"/>
    <w:rsid w:val="00772F39"/>
    <w:rsid w:val="00773177"/>
    <w:rsid w:val="00773404"/>
    <w:rsid w:val="00773840"/>
    <w:rsid w:val="007738D5"/>
    <w:rsid w:val="007738FE"/>
    <w:rsid w:val="007739FF"/>
    <w:rsid w:val="00773BFF"/>
    <w:rsid w:val="00774678"/>
    <w:rsid w:val="00774685"/>
    <w:rsid w:val="007749DA"/>
    <w:rsid w:val="00774BD8"/>
    <w:rsid w:val="00775527"/>
    <w:rsid w:val="00775531"/>
    <w:rsid w:val="007757B6"/>
    <w:rsid w:val="00776045"/>
    <w:rsid w:val="00776227"/>
    <w:rsid w:val="00776A8F"/>
    <w:rsid w:val="00777443"/>
    <w:rsid w:val="00777694"/>
    <w:rsid w:val="007779E4"/>
    <w:rsid w:val="00777DFC"/>
    <w:rsid w:val="00777F26"/>
    <w:rsid w:val="00781B84"/>
    <w:rsid w:val="00781FF4"/>
    <w:rsid w:val="00782102"/>
    <w:rsid w:val="007825A0"/>
    <w:rsid w:val="007825E7"/>
    <w:rsid w:val="007826C5"/>
    <w:rsid w:val="00782FD5"/>
    <w:rsid w:val="00783742"/>
    <w:rsid w:val="007838A2"/>
    <w:rsid w:val="00783C29"/>
    <w:rsid w:val="00784251"/>
    <w:rsid w:val="00784529"/>
    <w:rsid w:val="00784830"/>
    <w:rsid w:val="007850B9"/>
    <w:rsid w:val="007854BD"/>
    <w:rsid w:val="00785C86"/>
    <w:rsid w:val="00785F43"/>
    <w:rsid w:val="00785FA9"/>
    <w:rsid w:val="00786B63"/>
    <w:rsid w:val="00786B93"/>
    <w:rsid w:val="0078725A"/>
    <w:rsid w:val="0078736F"/>
    <w:rsid w:val="00787384"/>
    <w:rsid w:val="00787388"/>
    <w:rsid w:val="00787F24"/>
    <w:rsid w:val="00790868"/>
    <w:rsid w:val="00790CD6"/>
    <w:rsid w:val="00790D5F"/>
    <w:rsid w:val="00790EB2"/>
    <w:rsid w:val="00791F10"/>
    <w:rsid w:val="007920B5"/>
    <w:rsid w:val="00792257"/>
    <w:rsid w:val="0079226A"/>
    <w:rsid w:val="007922C8"/>
    <w:rsid w:val="007925A7"/>
    <w:rsid w:val="00792696"/>
    <w:rsid w:val="00792B92"/>
    <w:rsid w:val="00792E94"/>
    <w:rsid w:val="0079301B"/>
    <w:rsid w:val="00793122"/>
    <w:rsid w:val="00793367"/>
    <w:rsid w:val="0079344A"/>
    <w:rsid w:val="007944E5"/>
    <w:rsid w:val="00794821"/>
    <w:rsid w:val="00794B60"/>
    <w:rsid w:val="00794E69"/>
    <w:rsid w:val="00795572"/>
    <w:rsid w:val="007956E7"/>
    <w:rsid w:val="00795BD2"/>
    <w:rsid w:val="00796254"/>
    <w:rsid w:val="0079655C"/>
    <w:rsid w:val="00797116"/>
    <w:rsid w:val="007973DD"/>
    <w:rsid w:val="007974D5"/>
    <w:rsid w:val="007976AB"/>
    <w:rsid w:val="00797ACC"/>
    <w:rsid w:val="00797C30"/>
    <w:rsid w:val="00797D7D"/>
    <w:rsid w:val="00797EE5"/>
    <w:rsid w:val="007A02A5"/>
    <w:rsid w:val="007A0B67"/>
    <w:rsid w:val="007A11E9"/>
    <w:rsid w:val="007A1569"/>
    <w:rsid w:val="007A19A1"/>
    <w:rsid w:val="007A1F3C"/>
    <w:rsid w:val="007A27D3"/>
    <w:rsid w:val="007A28A0"/>
    <w:rsid w:val="007A28FB"/>
    <w:rsid w:val="007A2B75"/>
    <w:rsid w:val="007A2B97"/>
    <w:rsid w:val="007A30C0"/>
    <w:rsid w:val="007A35C1"/>
    <w:rsid w:val="007A387C"/>
    <w:rsid w:val="007A3E80"/>
    <w:rsid w:val="007A40FB"/>
    <w:rsid w:val="007A4404"/>
    <w:rsid w:val="007A463E"/>
    <w:rsid w:val="007A4E0D"/>
    <w:rsid w:val="007A5A46"/>
    <w:rsid w:val="007A5AE4"/>
    <w:rsid w:val="007A5FA8"/>
    <w:rsid w:val="007A6071"/>
    <w:rsid w:val="007A61CB"/>
    <w:rsid w:val="007A67E5"/>
    <w:rsid w:val="007A681F"/>
    <w:rsid w:val="007A7143"/>
    <w:rsid w:val="007A746A"/>
    <w:rsid w:val="007A74BE"/>
    <w:rsid w:val="007A7636"/>
    <w:rsid w:val="007A76B3"/>
    <w:rsid w:val="007A7E27"/>
    <w:rsid w:val="007B09AD"/>
    <w:rsid w:val="007B1B21"/>
    <w:rsid w:val="007B2316"/>
    <w:rsid w:val="007B2DB2"/>
    <w:rsid w:val="007B2FFD"/>
    <w:rsid w:val="007B3B7D"/>
    <w:rsid w:val="007B3E56"/>
    <w:rsid w:val="007B44C7"/>
    <w:rsid w:val="007B4585"/>
    <w:rsid w:val="007B45AB"/>
    <w:rsid w:val="007B4669"/>
    <w:rsid w:val="007B47A6"/>
    <w:rsid w:val="007B4AD8"/>
    <w:rsid w:val="007B50F2"/>
    <w:rsid w:val="007B5407"/>
    <w:rsid w:val="007B569A"/>
    <w:rsid w:val="007B5765"/>
    <w:rsid w:val="007B5B12"/>
    <w:rsid w:val="007B5E3A"/>
    <w:rsid w:val="007B6031"/>
    <w:rsid w:val="007B63E2"/>
    <w:rsid w:val="007B64CD"/>
    <w:rsid w:val="007B6A71"/>
    <w:rsid w:val="007B6E06"/>
    <w:rsid w:val="007B6E4B"/>
    <w:rsid w:val="007B7058"/>
    <w:rsid w:val="007B74EF"/>
    <w:rsid w:val="007B77C4"/>
    <w:rsid w:val="007B77FA"/>
    <w:rsid w:val="007B7A18"/>
    <w:rsid w:val="007B7BD0"/>
    <w:rsid w:val="007B7C9A"/>
    <w:rsid w:val="007B7F78"/>
    <w:rsid w:val="007C0137"/>
    <w:rsid w:val="007C013F"/>
    <w:rsid w:val="007C04E1"/>
    <w:rsid w:val="007C0695"/>
    <w:rsid w:val="007C0AF9"/>
    <w:rsid w:val="007C0FEF"/>
    <w:rsid w:val="007C12B0"/>
    <w:rsid w:val="007C1504"/>
    <w:rsid w:val="007C2C42"/>
    <w:rsid w:val="007C2FF2"/>
    <w:rsid w:val="007C3179"/>
    <w:rsid w:val="007C35C9"/>
    <w:rsid w:val="007C3703"/>
    <w:rsid w:val="007C375A"/>
    <w:rsid w:val="007C47EA"/>
    <w:rsid w:val="007C4916"/>
    <w:rsid w:val="007C50FA"/>
    <w:rsid w:val="007C5DB5"/>
    <w:rsid w:val="007C6008"/>
    <w:rsid w:val="007C662A"/>
    <w:rsid w:val="007C66B8"/>
    <w:rsid w:val="007C66F8"/>
    <w:rsid w:val="007C6895"/>
    <w:rsid w:val="007C6963"/>
    <w:rsid w:val="007C6C1A"/>
    <w:rsid w:val="007C71D1"/>
    <w:rsid w:val="007C7A06"/>
    <w:rsid w:val="007C7B90"/>
    <w:rsid w:val="007C7C85"/>
    <w:rsid w:val="007C7D21"/>
    <w:rsid w:val="007C7E12"/>
    <w:rsid w:val="007C7E51"/>
    <w:rsid w:val="007D0743"/>
    <w:rsid w:val="007D0A7A"/>
    <w:rsid w:val="007D0C68"/>
    <w:rsid w:val="007D0DCE"/>
    <w:rsid w:val="007D0F0D"/>
    <w:rsid w:val="007D1313"/>
    <w:rsid w:val="007D23DD"/>
    <w:rsid w:val="007D247B"/>
    <w:rsid w:val="007D2C66"/>
    <w:rsid w:val="007D2D02"/>
    <w:rsid w:val="007D2DB7"/>
    <w:rsid w:val="007D2E5D"/>
    <w:rsid w:val="007D2ECB"/>
    <w:rsid w:val="007D2F96"/>
    <w:rsid w:val="007D3382"/>
    <w:rsid w:val="007D33D1"/>
    <w:rsid w:val="007D35BD"/>
    <w:rsid w:val="007D388C"/>
    <w:rsid w:val="007D484B"/>
    <w:rsid w:val="007D4CD8"/>
    <w:rsid w:val="007D4F1D"/>
    <w:rsid w:val="007D5611"/>
    <w:rsid w:val="007D5E26"/>
    <w:rsid w:val="007D6447"/>
    <w:rsid w:val="007D644B"/>
    <w:rsid w:val="007D6613"/>
    <w:rsid w:val="007D6753"/>
    <w:rsid w:val="007D68F8"/>
    <w:rsid w:val="007D70B9"/>
    <w:rsid w:val="007D7375"/>
    <w:rsid w:val="007D74AF"/>
    <w:rsid w:val="007D76EF"/>
    <w:rsid w:val="007D790B"/>
    <w:rsid w:val="007D7924"/>
    <w:rsid w:val="007D7DD4"/>
    <w:rsid w:val="007E037D"/>
    <w:rsid w:val="007E06AA"/>
    <w:rsid w:val="007E0740"/>
    <w:rsid w:val="007E0ACC"/>
    <w:rsid w:val="007E108C"/>
    <w:rsid w:val="007E12B1"/>
    <w:rsid w:val="007E15CE"/>
    <w:rsid w:val="007E15E7"/>
    <w:rsid w:val="007E16DE"/>
    <w:rsid w:val="007E1795"/>
    <w:rsid w:val="007E1F6B"/>
    <w:rsid w:val="007E1FA9"/>
    <w:rsid w:val="007E24C9"/>
    <w:rsid w:val="007E267F"/>
    <w:rsid w:val="007E2D37"/>
    <w:rsid w:val="007E3217"/>
    <w:rsid w:val="007E3A3E"/>
    <w:rsid w:val="007E3B13"/>
    <w:rsid w:val="007E4088"/>
    <w:rsid w:val="007E4106"/>
    <w:rsid w:val="007E423F"/>
    <w:rsid w:val="007E4365"/>
    <w:rsid w:val="007E4544"/>
    <w:rsid w:val="007E45F0"/>
    <w:rsid w:val="007E4772"/>
    <w:rsid w:val="007E4E52"/>
    <w:rsid w:val="007E4FDE"/>
    <w:rsid w:val="007E50B0"/>
    <w:rsid w:val="007E513E"/>
    <w:rsid w:val="007E5CB8"/>
    <w:rsid w:val="007E5E74"/>
    <w:rsid w:val="007E5F2A"/>
    <w:rsid w:val="007E5F3C"/>
    <w:rsid w:val="007E6359"/>
    <w:rsid w:val="007E63D8"/>
    <w:rsid w:val="007E6B9F"/>
    <w:rsid w:val="007E7071"/>
    <w:rsid w:val="007E7699"/>
    <w:rsid w:val="007E7D64"/>
    <w:rsid w:val="007E7F2A"/>
    <w:rsid w:val="007F03B0"/>
    <w:rsid w:val="007F04DD"/>
    <w:rsid w:val="007F0F60"/>
    <w:rsid w:val="007F11AE"/>
    <w:rsid w:val="007F11F5"/>
    <w:rsid w:val="007F1424"/>
    <w:rsid w:val="007F160B"/>
    <w:rsid w:val="007F19B8"/>
    <w:rsid w:val="007F1A19"/>
    <w:rsid w:val="007F202B"/>
    <w:rsid w:val="007F206E"/>
    <w:rsid w:val="007F23C0"/>
    <w:rsid w:val="007F2866"/>
    <w:rsid w:val="007F28E5"/>
    <w:rsid w:val="007F2BBD"/>
    <w:rsid w:val="007F2C06"/>
    <w:rsid w:val="007F3148"/>
    <w:rsid w:val="007F3ADB"/>
    <w:rsid w:val="007F3B56"/>
    <w:rsid w:val="007F4677"/>
    <w:rsid w:val="007F4A0F"/>
    <w:rsid w:val="007F4A4F"/>
    <w:rsid w:val="007F4D5F"/>
    <w:rsid w:val="007F522D"/>
    <w:rsid w:val="007F52E0"/>
    <w:rsid w:val="007F54BE"/>
    <w:rsid w:val="007F5920"/>
    <w:rsid w:val="007F5BCF"/>
    <w:rsid w:val="007F5D7D"/>
    <w:rsid w:val="007F5DB3"/>
    <w:rsid w:val="007F5DDF"/>
    <w:rsid w:val="007F5F82"/>
    <w:rsid w:val="007F6217"/>
    <w:rsid w:val="007F7491"/>
    <w:rsid w:val="007F78F9"/>
    <w:rsid w:val="007F7F63"/>
    <w:rsid w:val="00800700"/>
    <w:rsid w:val="0080074A"/>
    <w:rsid w:val="008008C0"/>
    <w:rsid w:val="00800E8D"/>
    <w:rsid w:val="00801088"/>
    <w:rsid w:val="00801608"/>
    <w:rsid w:val="00801686"/>
    <w:rsid w:val="008017F9"/>
    <w:rsid w:val="00801979"/>
    <w:rsid w:val="00801ABA"/>
    <w:rsid w:val="00801AE8"/>
    <w:rsid w:val="00801C65"/>
    <w:rsid w:val="008020CA"/>
    <w:rsid w:val="0080268F"/>
    <w:rsid w:val="008027AA"/>
    <w:rsid w:val="00802B80"/>
    <w:rsid w:val="0080318D"/>
    <w:rsid w:val="0080333F"/>
    <w:rsid w:val="008035C9"/>
    <w:rsid w:val="008038DB"/>
    <w:rsid w:val="008039DD"/>
    <w:rsid w:val="00803B4A"/>
    <w:rsid w:val="00803B9E"/>
    <w:rsid w:val="00803C2B"/>
    <w:rsid w:val="00803D40"/>
    <w:rsid w:val="00803EFD"/>
    <w:rsid w:val="00804230"/>
    <w:rsid w:val="008045A5"/>
    <w:rsid w:val="00804B75"/>
    <w:rsid w:val="008056C8"/>
    <w:rsid w:val="008056FA"/>
    <w:rsid w:val="00806091"/>
    <w:rsid w:val="00806303"/>
    <w:rsid w:val="008067F1"/>
    <w:rsid w:val="00806A98"/>
    <w:rsid w:val="00806F8D"/>
    <w:rsid w:val="008073ED"/>
    <w:rsid w:val="00807934"/>
    <w:rsid w:val="00807AE8"/>
    <w:rsid w:val="00807FD1"/>
    <w:rsid w:val="0081066C"/>
    <w:rsid w:val="008108A6"/>
    <w:rsid w:val="0081091B"/>
    <w:rsid w:val="00811171"/>
    <w:rsid w:val="00811E41"/>
    <w:rsid w:val="00811E47"/>
    <w:rsid w:val="008122A3"/>
    <w:rsid w:val="00812ADF"/>
    <w:rsid w:val="00812BB2"/>
    <w:rsid w:val="0081356B"/>
    <w:rsid w:val="00813BC1"/>
    <w:rsid w:val="00814996"/>
    <w:rsid w:val="00814A44"/>
    <w:rsid w:val="00814CAE"/>
    <w:rsid w:val="00814F6B"/>
    <w:rsid w:val="00815484"/>
    <w:rsid w:val="008154C4"/>
    <w:rsid w:val="00815872"/>
    <w:rsid w:val="00815BD0"/>
    <w:rsid w:val="00815C96"/>
    <w:rsid w:val="00815D12"/>
    <w:rsid w:val="00815F78"/>
    <w:rsid w:val="00816049"/>
    <w:rsid w:val="008160E4"/>
    <w:rsid w:val="00816147"/>
    <w:rsid w:val="00816255"/>
    <w:rsid w:val="00816291"/>
    <w:rsid w:val="008164E5"/>
    <w:rsid w:val="008165AA"/>
    <w:rsid w:val="0081684B"/>
    <w:rsid w:val="008170C6"/>
    <w:rsid w:val="008172DB"/>
    <w:rsid w:val="00817331"/>
    <w:rsid w:val="00817332"/>
    <w:rsid w:val="008204C0"/>
    <w:rsid w:val="00820665"/>
    <w:rsid w:val="008208F0"/>
    <w:rsid w:val="0082128F"/>
    <w:rsid w:val="00821295"/>
    <w:rsid w:val="00821E16"/>
    <w:rsid w:val="00821F17"/>
    <w:rsid w:val="0082206C"/>
    <w:rsid w:val="008223FA"/>
    <w:rsid w:val="00822BC1"/>
    <w:rsid w:val="008237D6"/>
    <w:rsid w:val="00823FED"/>
    <w:rsid w:val="008244EA"/>
    <w:rsid w:val="00824514"/>
    <w:rsid w:val="0082468C"/>
    <w:rsid w:val="008259EE"/>
    <w:rsid w:val="008262B9"/>
    <w:rsid w:val="0082630F"/>
    <w:rsid w:val="00826A01"/>
    <w:rsid w:val="00826A7B"/>
    <w:rsid w:val="0082715D"/>
    <w:rsid w:val="0082715F"/>
    <w:rsid w:val="008272E7"/>
    <w:rsid w:val="00827375"/>
    <w:rsid w:val="00827BF2"/>
    <w:rsid w:val="00830170"/>
    <w:rsid w:val="00830563"/>
    <w:rsid w:val="0083135F"/>
    <w:rsid w:val="008315A8"/>
    <w:rsid w:val="0083190D"/>
    <w:rsid w:val="00831B4A"/>
    <w:rsid w:val="008322D6"/>
    <w:rsid w:val="00832974"/>
    <w:rsid w:val="008330D2"/>
    <w:rsid w:val="008330EF"/>
    <w:rsid w:val="0083345C"/>
    <w:rsid w:val="00833B5E"/>
    <w:rsid w:val="00833CBA"/>
    <w:rsid w:val="00833DA9"/>
    <w:rsid w:val="00833F64"/>
    <w:rsid w:val="008343C3"/>
    <w:rsid w:val="008347BA"/>
    <w:rsid w:val="00834970"/>
    <w:rsid w:val="00834DE8"/>
    <w:rsid w:val="008352FD"/>
    <w:rsid w:val="0083550A"/>
    <w:rsid w:val="00835571"/>
    <w:rsid w:val="008358B3"/>
    <w:rsid w:val="00835AA4"/>
    <w:rsid w:val="00835C8E"/>
    <w:rsid w:val="00836787"/>
    <w:rsid w:val="00836CD7"/>
    <w:rsid w:val="00836D90"/>
    <w:rsid w:val="00837273"/>
    <w:rsid w:val="0083785D"/>
    <w:rsid w:val="00840005"/>
    <w:rsid w:val="008402DC"/>
    <w:rsid w:val="0084048F"/>
    <w:rsid w:val="00840905"/>
    <w:rsid w:val="00841057"/>
    <w:rsid w:val="0084139C"/>
    <w:rsid w:val="008415A9"/>
    <w:rsid w:val="00841D67"/>
    <w:rsid w:val="00841DA2"/>
    <w:rsid w:val="00841F2A"/>
    <w:rsid w:val="00841FDD"/>
    <w:rsid w:val="00842A02"/>
    <w:rsid w:val="00842A91"/>
    <w:rsid w:val="00842DCA"/>
    <w:rsid w:val="00842E5C"/>
    <w:rsid w:val="00842F34"/>
    <w:rsid w:val="008432F4"/>
    <w:rsid w:val="008438FE"/>
    <w:rsid w:val="008442B3"/>
    <w:rsid w:val="008443DB"/>
    <w:rsid w:val="008443F7"/>
    <w:rsid w:val="008448C0"/>
    <w:rsid w:val="00845780"/>
    <w:rsid w:val="00845D3D"/>
    <w:rsid w:val="00845D88"/>
    <w:rsid w:val="0084653F"/>
    <w:rsid w:val="00846802"/>
    <w:rsid w:val="00846B44"/>
    <w:rsid w:val="00846BA0"/>
    <w:rsid w:val="00846D28"/>
    <w:rsid w:val="00846E67"/>
    <w:rsid w:val="00846E81"/>
    <w:rsid w:val="008472BF"/>
    <w:rsid w:val="008478E4"/>
    <w:rsid w:val="00847B5A"/>
    <w:rsid w:val="00847D62"/>
    <w:rsid w:val="008505F4"/>
    <w:rsid w:val="008508ED"/>
    <w:rsid w:val="008510CD"/>
    <w:rsid w:val="00851117"/>
    <w:rsid w:val="008511E7"/>
    <w:rsid w:val="00851649"/>
    <w:rsid w:val="00851D75"/>
    <w:rsid w:val="008521EA"/>
    <w:rsid w:val="008528D2"/>
    <w:rsid w:val="00852AB3"/>
    <w:rsid w:val="00852ACD"/>
    <w:rsid w:val="00852E3D"/>
    <w:rsid w:val="00852ED5"/>
    <w:rsid w:val="0085368C"/>
    <w:rsid w:val="008536C2"/>
    <w:rsid w:val="00853788"/>
    <w:rsid w:val="00854260"/>
    <w:rsid w:val="00854890"/>
    <w:rsid w:val="00854DB0"/>
    <w:rsid w:val="00854E50"/>
    <w:rsid w:val="00855071"/>
    <w:rsid w:val="008551A1"/>
    <w:rsid w:val="00855B13"/>
    <w:rsid w:val="00856579"/>
    <w:rsid w:val="00856640"/>
    <w:rsid w:val="008567A4"/>
    <w:rsid w:val="008569B0"/>
    <w:rsid w:val="00856BE0"/>
    <w:rsid w:val="00856C74"/>
    <w:rsid w:val="00856D78"/>
    <w:rsid w:val="00857355"/>
    <w:rsid w:val="00857460"/>
    <w:rsid w:val="00857706"/>
    <w:rsid w:val="00857D68"/>
    <w:rsid w:val="00857E52"/>
    <w:rsid w:val="00860270"/>
    <w:rsid w:val="00860585"/>
    <w:rsid w:val="00860B81"/>
    <w:rsid w:val="00860C38"/>
    <w:rsid w:val="00860C3B"/>
    <w:rsid w:val="00860E9A"/>
    <w:rsid w:val="00861D85"/>
    <w:rsid w:val="00861EF8"/>
    <w:rsid w:val="00862112"/>
    <w:rsid w:val="008624B8"/>
    <w:rsid w:val="0086258D"/>
    <w:rsid w:val="00862781"/>
    <w:rsid w:val="00863376"/>
    <w:rsid w:val="0086398E"/>
    <w:rsid w:val="008639B5"/>
    <w:rsid w:val="00863A0B"/>
    <w:rsid w:val="00863C04"/>
    <w:rsid w:val="00863C50"/>
    <w:rsid w:val="0086408C"/>
    <w:rsid w:val="0086448C"/>
    <w:rsid w:val="00864FA8"/>
    <w:rsid w:val="008653ED"/>
    <w:rsid w:val="00865855"/>
    <w:rsid w:val="0086595A"/>
    <w:rsid w:val="00865ADF"/>
    <w:rsid w:val="008664B6"/>
    <w:rsid w:val="0086681E"/>
    <w:rsid w:val="0086692B"/>
    <w:rsid w:val="00866D40"/>
    <w:rsid w:val="0086720D"/>
    <w:rsid w:val="00867E60"/>
    <w:rsid w:val="00867F36"/>
    <w:rsid w:val="0087020F"/>
    <w:rsid w:val="00870FFC"/>
    <w:rsid w:val="0087121B"/>
    <w:rsid w:val="0087145F"/>
    <w:rsid w:val="008719B7"/>
    <w:rsid w:val="00871C68"/>
    <w:rsid w:val="00871D4A"/>
    <w:rsid w:val="00872245"/>
    <w:rsid w:val="0087234A"/>
    <w:rsid w:val="00872418"/>
    <w:rsid w:val="00872912"/>
    <w:rsid w:val="00872E1D"/>
    <w:rsid w:val="00872F6A"/>
    <w:rsid w:val="008731BB"/>
    <w:rsid w:val="00873322"/>
    <w:rsid w:val="008734ED"/>
    <w:rsid w:val="00873AEC"/>
    <w:rsid w:val="00873BD9"/>
    <w:rsid w:val="0087405D"/>
    <w:rsid w:val="0087462D"/>
    <w:rsid w:val="00875238"/>
    <w:rsid w:val="008757DC"/>
    <w:rsid w:val="00875BD5"/>
    <w:rsid w:val="00876ACB"/>
    <w:rsid w:val="00876B8E"/>
    <w:rsid w:val="00876C8F"/>
    <w:rsid w:val="008770DD"/>
    <w:rsid w:val="0087721B"/>
    <w:rsid w:val="00877955"/>
    <w:rsid w:val="0087796B"/>
    <w:rsid w:val="0088008F"/>
    <w:rsid w:val="00880732"/>
    <w:rsid w:val="00880BF2"/>
    <w:rsid w:val="0088133C"/>
    <w:rsid w:val="008817DA"/>
    <w:rsid w:val="00881C36"/>
    <w:rsid w:val="00882379"/>
    <w:rsid w:val="008826A0"/>
    <w:rsid w:val="00882A47"/>
    <w:rsid w:val="00882D72"/>
    <w:rsid w:val="00883EEC"/>
    <w:rsid w:val="008842B1"/>
    <w:rsid w:val="00885008"/>
    <w:rsid w:val="0088596A"/>
    <w:rsid w:val="008866C8"/>
    <w:rsid w:val="00886CBE"/>
    <w:rsid w:val="0088746A"/>
    <w:rsid w:val="00887541"/>
    <w:rsid w:val="00887DF7"/>
    <w:rsid w:val="00887F33"/>
    <w:rsid w:val="00887FE8"/>
    <w:rsid w:val="00887FEA"/>
    <w:rsid w:val="0089017F"/>
    <w:rsid w:val="00890306"/>
    <w:rsid w:val="00890332"/>
    <w:rsid w:val="00890792"/>
    <w:rsid w:val="00890B00"/>
    <w:rsid w:val="00890DBE"/>
    <w:rsid w:val="00890E18"/>
    <w:rsid w:val="00890F62"/>
    <w:rsid w:val="0089111A"/>
    <w:rsid w:val="0089114D"/>
    <w:rsid w:val="00891426"/>
    <w:rsid w:val="0089156A"/>
    <w:rsid w:val="00891D37"/>
    <w:rsid w:val="00891E6C"/>
    <w:rsid w:val="0089247A"/>
    <w:rsid w:val="00892763"/>
    <w:rsid w:val="00892C68"/>
    <w:rsid w:val="0089302E"/>
    <w:rsid w:val="008932FD"/>
    <w:rsid w:val="00893372"/>
    <w:rsid w:val="008933D0"/>
    <w:rsid w:val="008933DB"/>
    <w:rsid w:val="008934A4"/>
    <w:rsid w:val="008937B0"/>
    <w:rsid w:val="008940E4"/>
    <w:rsid w:val="00894F2D"/>
    <w:rsid w:val="0089514C"/>
    <w:rsid w:val="00895DDE"/>
    <w:rsid w:val="0089607F"/>
    <w:rsid w:val="008962D3"/>
    <w:rsid w:val="00896EC1"/>
    <w:rsid w:val="0089703E"/>
    <w:rsid w:val="008977CF"/>
    <w:rsid w:val="00897989"/>
    <w:rsid w:val="00897ABA"/>
    <w:rsid w:val="00897B1A"/>
    <w:rsid w:val="008A06AC"/>
    <w:rsid w:val="008A09E2"/>
    <w:rsid w:val="008A0A6A"/>
    <w:rsid w:val="008A0DFA"/>
    <w:rsid w:val="008A0E62"/>
    <w:rsid w:val="008A1346"/>
    <w:rsid w:val="008A160F"/>
    <w:rsid w:val="008A1A75"/>
    <w:rsid w:val="008A1E2C"/>
    <w:rsid w:val="008A20D5"/>
    <w:rsid w:val="008A23B7"/>
    <w:rsid w:val="008A252F"/>
    <w:rsid w:val="008A2871"/>
    <w:rsid w:val="008A28F4"/>
    <w:rsid w:val="008A312F"/>
    <w:rsid w:val="008A3264"/>
    <w:rsid w:val="008A3405"/>
    <w:rsid w:val="008A3777"/>
    <w:rsid w:val="008A3DD0"/>
    <w:rsid w:val="008A47C4"/>
    <w:rsid w:val="008A49C4"/>
    <w:rsid w:val="008A4ECD"/>
    <w:rsid w:val="008A4F3F"/>
    <w:rsid w:val="008A4F64"/>
    <w:rsid w:val="008A5106"/>
    <w:rsid w:val="008A5286"/>
    <w:rsid w:val="008A52A0"/>
    <w:rsid w:val="008A5304"/>
    <w:rsid w:val="008A5541"/>
    <w:rsid w:val="008A5E68"/>
    <w:rsid w:val="008A5EC7"/>
    <w:rsid w:val="008A6451"/>
    <w:rsid w:val="008A6BD2"/>
    <w:rsid w:val="008A6CA0"/>
    <w:rsid w:val="008A753A"/>
    <w:rsid w:val="008A781A"/>
    <w:rsid w:val="008A7906"/>
    <w:rsid w:val="008A7B89"/>
    <w:rsid w:val="008A7D4F"/>
    <w:rsid w:val="008A7F5E"/>
    <w:rsid w:val="008B034E"/>
    <w:rsid w:val="008B1E15"/>
    <w:rsid w:val="008B1E1E"/>
    <w:rsid w:val="008B2372"/>
    <w:rsid w:val="008B248B"/>
    <w:rsid w:val="008B295D"/>
    <w:rsid w:val="008B2BF6"/>
    <w:rsid w:val="008B2E54"/>
    <w:rsid w:val="008B2F19"/>
    <w:rsid w:val="008B2FAE"/>
    <w:rsid w:val="008B3440"/>
    <w:rsid w:val="008B36E0"/>
    <w:rsid w:val="008B37BF"/>
    <w:rsid w:val="008B3B53"/>
    <w:rsid w:val="008B3FCE"/>
    <w:rsid w:val="008B427C"/>
    <w:rsid w:val="008B460B"/>
    <w:rsid w:val="008B463E"/>
    <w:rsid w:val="008B46E5"/>
    <w:rsid w:val="008B4841"/>
    <w:rsid w:val="008B4869"/>
    <w:rsid w:val="008B490B"/>
    <w:rsid w:val="008B4A39"/>
    <w:rsid w:val="008B4EDC"/>
    <w:rsid w:val="008B517A"/>
    <w:rsid w:val="008B5190"/>
    <w:rsid w:val="008B57D4"/>
    <w:rsid w:val="008B5A8B"/>
    <w:rsid w:val="008B5ABE"/>
    <w:rsid w:val="008B5BD8"/>
    <w:rsid w:val="008B5DBD"/>
    <w:rsid w:val="008B5FB6"/>
    <w:rsid w:val="008B6167"/>
    <w:rsid w:val="008B6321"/>
    <w:rsid w:val="008B63A1"/>
    <w:rsid w:val="008B643E"/>
    <w:rsid w:val="008B667C"/>
    <w:rsid w:val="008B6B76"/>
    <w:rsid w:val="008B6C36"/>
    <w:rsid w:val="008B709C"/>
    <w:rsid w:val="008B718D"/>
    <w:rsid w:val="008B7810"/>
    <w:rsid w:val="008B7964"/>
    <w:rsid w:val="008B7B4C"/>
    <w:rsid w:val="008C0060"/>
    <w:rsid w:val="008C0152"/>
    <w:rsid w:val="008C03B9"/>
    <w:rsid w:val="008C0659"/>
    <w:rsid w:val="008C06C7"/>
    <w:rsid w:val="008C0C78"/>
    <w:rsid w:val="008C11BA"/>
    <w:rsid w:val="008C150D"/>
    <w:rsid w:val="008C1702"/>
    <w:rsid w:val="008C20B3"/>
    <w:rsid w:val="008C2254"/>
    <w:rsid w:val="008C2303"/>
    <w:rsid w:val="008C2CA0"/>
    <w:rsid w:val="008C2F9D"/>
    <w:rsid w:val="008C3157"/>
    <w:rsid w:val="008C31E6"/>
    <w:rsid w:val="008C343E"/>
    <w:rsid w:val="008C344D"/>
    <w:rsid w:val="008C3743"/>
    <w:rsid w:val="008C3837"/>
    <w:rsid w:val="008C3D01"/>
    <w:rsid w:val="008C4184"/>
    <w:rsid w:val="008C45D1"/>
    <w:rsid w:val="008C4699"/>
    <w:rsid w:val="008C4764"/>
    <w:rsid w:val="008C49D4"/>
    <w:rsid w:val="008C4DD5"/>
    <w:rsid w:val="008C53F1"/>
    <w:rsid w:val="008C574C"/>
    <w:rsid w:val="008C5EF5"/>
    <w:rsid w:val="008C657E"/>
    <w:rsid w:val="008C65AA"/>
    <w:rsid w:val="008C6838"/>
    <w:rsid w:val="008C6897"/>
    <w:rsid w:val="008C73AA"/>
    <w:rsid w:val="008C7841"/>
    <w:rsid w:val="008C7977"/>
    <w:rsid w:val="008C7FA8"/>
    <w:rsid w:val="008D0441"/>
    <w:rsid w:val="008D10AD"/>
    <w:rsid w:val="008D178D"/>
    <w:rsid w:val="008D1C09"/>
    <w:rsid w:val="008D1F48"/>
    <w:rsid w:val="008D2187"/>
    <w:rsid w:val="008D2983"/>
    <w:rsid w:val="008D2BD2"/>
    <w:rsid w:val="008D2CBD"/>
    <w:rsid w:val="008D344F"/>
    <w:rsid w:val="008D3581"/>
    <w:rsid w:val="008D3AB1"/>
    <w:rsid w:val="008D3C5E"/>
    <w:rsid w:val="008D4770"/>
    <w:rsid w:val="008D4836"/>
    <w:rsid w:val="008D4F17"/>
    <w:rsid w:val="008D51BC"/>
    <w:rsid w:val="008D5624"/>
    <w:rsid w:val="008D57D1"/>
    <w:rsid w:val="008D58B2"/>
    <w:rsid w:val="008D656D"/>
    <w:rsid w:val="008D664F"/>
    <w:rsid w:val="008D67B2"/>
    <w:rsid w:val="008D68CB"/>
    <w:rsid w:val="008D6AD6"/>
    <w:rsid w:val="008D6BA3"/>
    <w:rsid w:val="008D6CBA"/>
    <w:rsid w:val="008D7085"/>
    <w:rsid w:val="008D7107"/>
    <w:rsid w:val="008D781B"/>
    <w:rsid w:val="008D7913"/>
    <w:rsid w:val="008D7F8D"/>
    <w:rsid w:val="008E0744"/>
    <w:rsid w:val="008E0C8F"/>
    <w:rsid w:val="008E0CD7"/>
    <w:rsid w:val="008E0F5A"/>
    <w:rsid w:val="008E145B"/>
    <w:rsid w:val="008E16B1"/>
    <w:rsid w:val="008E175C"/>
    <w:rsid w:val="008E1BB7"/>
    <w:rsid w:val="008E212B"/>
    <w:rsid w:val="008E21C9"/>
    <w:rsid w:val="008E2506"/>
    <w:rsid w:val="008E261B"/>
    <w:rsid w:val="008E2AFC"/>
    <w:rsid w:val="008E2DB4"/>
    <w:rsid w:val="008E339B"/>
    <w:rsid w:val="008E3483"/>
    <w:rsid w:val="008E36B2"/>
    <w:rsid w:val="008E3840"/>
    <w:rsid w:val="008E3A0E"/>
    <w:rsid w:val="008E3C2D"/>
    <w:rsid w:val="008E3D2F"/>
    <w:rsid w:val="008E3DF9"/>
    <w:rsid w:val="008E4A95"/>
    <w:rsid w:val="008E4B34"/>
    <w:rsid w:val="008E4BDE"/>
    <w:rsid w:val="008E4BEB"/>
    <w:rsid w:val="008E4F3D"/>
    <w:rsid w:val="008E554A"/>
    <w:rsid w:val="008E561B"/>
    <w:rsid w:val="008E5B6A"/>
    <w:rsid w:val="008E5D6A"/>
    <w:rsid w:val="008E5DC8"/>
    <w:rsid w:val="008E638B"/>
    <w:rsid w:val="008E6746"/>
    <w:rsid w:val="008E682D"/>
    <w:rsid w:val="008E6A36"/>
    <w:rsid w:val="008E6BE5"/>
    <w:rsid w:val="008E6C94"/>
    <w:rsid w:val="008E6ED9"/>
    <w:rsid w:val="008E74BA"/>
    <w:rsid w:val="008E78CF"/>
    <w:rsid w:val="008E7E8A"/>
    <w:rsid w:val="008F00E8"/>
    <w:rsid w:val="008F0977"/>
    <w:rsid w:val="008F0A1D"/>
    <w:rsid w:val="008F1677"/>
    <w:rsid w:val="008F1877"/>
    <w:rsid w:val="008F1D52"/>
    <w:rsid w:val="008F222F"/>
    <w:rsid w:val="008F2395"/>
    <w:rsid w:val="008F2773"/>
    <w:rsid w:val="008F29FA"/>
    <w:rsid w:val="008F29FC"/>
    <w:rsid w:val="008F2A18"/>
    <w:rsid w:val="008F2DC8"/>
    <w:rsid w:val="008F3275"/>
    <w:rsid w:val="008F332C"/>
    <w:rsid w:val="008F3366"/>
    <w:rsid w:val="008F33DF"/>
    <w:rsid w:val="008F3547"/>
    <w:rsid w:val="008F377C"/>
    <w:rsid w:val="008F3BE0"/>
    <w:rsid w:val="008F3D7B"/>
    <w:rsid w:val="008F3DDC"/>
    <w:rsid w:val="008F404B"/>
    <w:rsid w:val="008F40E6"/>
    <w:rsid w:val="008F5522"/>
    <w:rsid w:val="008F5ADB"/>
    <w:rsid w:val="008F64B2"/>
    <w:rsid w:val="008F659D"/>
    <w:rsid w:val="008F688E"/>
    <w:rsid w:val="008F6A79"/>
    <w:rsid w:val="008F77BC"/>
    <w:rsid w:val="00900465"/>
    <w:rsid w:val="00900840"/>
    <w:rsid w:val="009008BB"/>
    <w:rsid w:val="00900BAC"/>
    <w:rsid w:val="00900DEC"/>
    <w:rsid w:val="0090153D"/>
    <w:rsid w:val="009019B8"/>
    <w:rsid w:val="00901AC5"/>
    <w:rsid w:val="00901FF9"/>
    <w:rsid w:val="00902367"/>
    <w:rsid w:val="00902378"/>
    <w:rsid w:val="0090274F"/>
    <w:rsid w:val="00902D68"/>
    <w:rsid w:val="00902EDC"/>
    <w:rsid w:val="00903265"/>
    <w:rsid w:val="009032EB"/>
    <w:rsid w:val="00903445"/>
    <w:rsid w:val="009034D7"/>
    <w:rsid w:val="00903B04"/>
    <w:rsid w:val="00903D49"/>
    <w:rsid w:val="009043DA"/>
    <w:rsid w:val="009045AB"/>
    <w:rsid w:val="009047DF"/>
    <w:rsid w:val="00904B20"/>
    <w:rsid w:val="00905592"/>
    <w:rsid w:val="00905F06"/>
    <w:rsid w:val="009071A6"/>
    <w:rsid w:val="00907438"/>
    <w:rsid w:val="00907579"/>
    <w:rsid w:val="0090780C"/>
    <w:rsid w:val="00907A0E"/>
    <w:rsid w:val="00907B9E"/>
    <w:rsid w:val="00910073"/>
    <w:rsid w:val="0091012A"/>
    <w:rsid w:val="0091020D"/>
    <w:rsid w:val="0091053F"/>
    <w:rsid w:val="00910B2D"/>
    <w:rsid w:val="00910B49"/>
    <w:rsid w:val="00910BE3"/>
    <w:rsid w:val="00910E42"/>
    <w:rsid w:val="0091196A"/>
    <w:rsid w:val="00911A34"/>
    <w:rsid w:val="00911D50"/>
    <w:rsid w:val="009120DA"/>
    <w:rsid w:val="009128B9"/>
    <w:rsid w:val="00912B8F"/>
    <w:rsid w:val="00912BFF"/>
    <w:rsid w:val="00912FDD"/>
    <w:rsid w:val="009130F6"/>
    <w:rsid w:val="009130FE"/>
    <w:rsid w:val="00913152"/>
    <w:rsid w:val="00913571"/>
    <w:rsid w:val="00913592"/>
    <w:rsid w:val="0091364A"/>
    <w:rsid w:val="009136CA"/>
    <w:rsid w:val="009138B8"/>
    <w:rsid w:val="00913EC4"/>
    <w:rsid w:val="009140DC"/>
    <w:rsid w:val="009149E1"/>
    <w:rsid w:val="00914BDE"/>
    <w:rsid w:val="00914D77"/>
    <w:rsid w:val="009150A9"/>
    <w:rsid w:val="009155F6"/>
    <w:rsid w:val="0091575B"/>
    <w:rsid w:val="00915EFD"/>
    <w:rsid w:val="00917196"/>
    <w:rsid w:val="009176AA"/>
    <w:rsid w:val="00917A2C"/>
    <w:rsid w:val="00917B7E"/>
    <w:rsid w:val="00920089"/>
    <w:rsid w:val="009201C1"/>
    <w:rsid w:val="0092092F"/>
    <w:rsid w:val="00920AC1"/>
    <w:rsid w:val="00920DA7"/>
    <w:rsid w:val="00921171"/>
    <w:rsid w:val="009211F4"/>
    <w:rsid w:val="00921203"/>
    <w:rsid w:val="0092122C"/>
    <w:rsid w:val="00921341"/>
    <w:rsid w:val="009218D3"/>
    <w:rsid w:val="00921F8E"/>
    <w:rsid w:val="00921FD4"/>
    <w:rsid w:val="0092200A"/>
    <w:rsid w:val="00922154"/>
    <w:rsid w:val="00922292"/>
    <w:rsid w:val="00922457"/>
    <w:rsid w:val="00922825"/>
    <w:rsid w:val="00922ADE"/>
    <w:rsid w:val="00922E81"/>
    <w:rsid w:val="00923E68"/>
    <w:rsid w:val="00923FFF"/>
    <w:rsid w:val="0092401E"/>
    <w:rsid w:val="00924260"/>
    <w:rsid w:val="00924819"/>
    <w:rsid w:val="00924897"/>
    <w:rsid w:val="009249CC"/>
    <w:rsid w:val="00924A2C"/>
    <w:rsid w:val="00924CC1"/>
    <w:rsid w:val="00925430"/>
    <w:rsid w:val="009258E7"/>
    <w:rsid w:val="00925B31"/>
    <w:rsid w:val="00925DF3"/>
    <w:rsid w:val="00925E36"/>
    <w:rsid w:val="0092635A"/>
    <w:rsid w:val="00926526"/>
    <w:rsid w:val="00927085"/>
    <w:rsid w:val="0092733D"/>
    <w:rsid w:val="009274EE"/>
    <w:rsid w:val="00927507"/>
    <w:rsid w:val="009300A2"/>
    <w:rsid w:val="0093095E"/>
    <w:rsid w:val="00930E89"/>
    <w:rsid w:val="009312A9"/>
    <w:rsid w:val="00931300"/>
    <w:rsid w:val="00931428"/>
    <w:rsid w:val="00931854"/>
    <w:rsid w:val="009321FC"/>
    <w:rsid w:val="00932322"/>
    <w:rsid w:val="0093251D"/>
    <w:rsid w:val="00932564"/>
    <w:rsid w:val="0093269D"/>
    <w:rsid w:val="00933C86"/>
    <w:rsid w:val="00933EAF"/>
    <w:rsid w:val="009349FE"/>
    <w:rsid w:val="00934B1D"/>
    <w:rsid w:val="00934ED1"/>
    <w:rsid w:val="0093501D"/>
    <w:rsid w:val="0093522F"/>
    <w:rsid w:val="00935424"/>
    <w:rsid w:val="0093558C"/>
    <w:rsid w:val="009355C1"/>
    <w:rsid w:val="0093562E"/>
    <w:rsid w:val="00935DBF"/>
    <w:rsid w:val="00935FD2"/>
    <w:rsid w:val="009361CC"/>
    <w:rsid w:val="0093649C"/>
    <w:rsid w:val="0093668B"/>
    <w:rsid w:val="00936724"/>
    <w:rsid w:val="009367BF"/>
    <w:rsid w:val="0093689F"/>
    <w:rsid w:val="009369F3"/>
    <w:rsid w:val="009372D0"/>
    <w:rsid w:val="0093764E"/>
    <w:rsid w:val="0093792C"/>
    <w:rsid w:val="00937990"/>
    <w:rsid w:val="00937AFD"/>
    <w:rsid w:val="00937BEB"/>
    <w:rsid w:val="009415F0"/>
    <w:rsid w:val="00941608"/>
    <w:rsid w:val="00941AE0"/>
    <w:rsid w:val="00941D12"/>
    <w:rsid w:val="009421A5"/>
    <w:rsid w:val="00942230"/>
    <w:rsid w:val="00943130"/>
    <w:rsid w:val="00943267"/>
    <w:rsid w:val="00943F96"/>
    <w:rsid w:val="009440D9"/>
    <w:rsid w:val="00944E6E"/>
    <w:rsid w:val="009450EB"/>
    <w:rsid w:val="00945224"/>
    <w:rsid w:val="0094535E"/>
    <w:rsid w:val="0094561E"/>
    <w:rsid w:val="009458FB"/>
    <w:rsid w:val="00945ABD"/>
    <w:rsid w:val="009464AE"/>
    <w:rsid w:val="00946697"/>
    <w:rsid w:val="00946AEB"/>
    <w:rsid w:val="00946B2A"/>
    <w:rsid w:val="00946F76"/>
    <w:rsid w:val="009473CF"/>
    <w:rsid w:val="00947934"/>
    <w:rsid w:val="009503FF"/>
    <w:rsid w:val="00950485"/>
    <w:rsid w:val="00950A2B"/>
    <w:rsid w:val="00950B6C"/>
    <w:rsid w:val="00950CA9"/>
    <w:rsid w:val="00950EC4"/>
    <w:rsid w:val="00951413"/>
    <w:rsid w:val="0095148B"/>
    <w:rsid w:val="0095189C"/>
    <w:rsid w:val="00951986"/>
    <w:rsid w:val="009519F8"/>
    <w:rsid w:val="00951F84"/>
    <w:rsid w:val="00952009"/>
    <w:rsid w:val="0095201F"/>
    <w:rsid w:val="00952221"/>
    <w:rsid w:val="009527A7"/>
    <w:rsid w:val="00952BD2"/>
    <w:rsid w:val="00952EA5"/>
    <w:rsid w:val="00952EF5"/>
    <w:rsid w:val="009534D9"/>
    <w:rsid w:val="0095366E"/>
    <w:rsid w:val="00953A20"/>
    <w:rsid w:val="00954300"/>
    <w:rsid w:val="009545E8"/>
    <w:rsid w:val="00954F2E"/>
    <w:rsid w:val="0095517F"/>
    <w:rsid w:val="00955370"/>
    <w:rsid w:val="00955460"/>
    <w:rsid w:val="00955595"/>
    <w:rsid w:val="00955A2D"/>
    <w:rsid w:val="00956117"/>
    <w:rsid w:val="00956140"/>
    <w:rsid w:val="00956552"/>
    <w:rsid w:val="00956586"/>
    <w:rsid w:val="00956940"/>
    <w:rsid w:val="00956B99"/>
    <w:rsid w:val="00956F4D"/>
    <w:rsid w:val="009570D0"/>
    <w:rsid w:val="0095758C"/>
    <w:rsid w:val="0095760D"/>
    <w:rsid w:val="009577EE"/>
    <w:rsid w:val="00957816"/>
    <w:rsid w:val="00957AB7"/>
    <w:rsid w:val="00957AE6"/>
    <w:rsid w:val="00957C3D"/>
    <w:rsid w:val="00957CC8"/>
    <w:rsid w:val="00957E4C"/>
    <w:rsid w:val="00957F14"/>
    <w:rsid w:val="0096018B"/>
    <w:rsid w:val="00960419"/>
    <w:rsid w:val="00960CAF"/>
    <w:rsid w:val="00961282"/>
    <w:rsid w:val="00961A4E"/>
    <w:rsid w:val="00961EA2"/>
    <w:rsid w:val="0096214C"/>
    <w:rsid w:val="0096221B"/>
    <w:rsid w:val="009622E3"/>
    <w:rsid w:val="009624A4"/>
    <w:rsid w:val="00962510"/>
    <w:rsid w:val="009627F4"/>
    <w:rsid w:val="0096316C"/>
    <w:rsid w:val="009635A2"/>
    <w:rsid w:val="00963678"/>
    <w:rsid w:val="00963D73"/>
    <w:rsid w:val="00963EFE"/>
    <w:rsid w:val="00964410"/>
    <w:rsid w:val="0096446B"/>
    <w:rsid w:val="009644E9"/>
    <w:rsid w:val="0096450C"/>
    <w:rsid w:val="00964731"/>
    <w:rsid w:val="009648EF"/>
    <w:rsid w:val="009650AE"/>
    <w:rsid w:val="009652DD"/>
    <w:rsid w:val="00965935"/>
    <w:rsid w:val="00965BB9"/>
    <w:rsid w:val="00966041"/>
    <w:rsid w:val="009662EC"/>
    <w:rsid w:val="0096654E"/>
    <w:rsid w:val="009668E9"/>
    <w:rsid w:val="00966970"/>
    <w:rsid w:val="00966EFD"/>
    <w:rsid w:val="0096723F"/>
    <w:rsid w:val="009673E0"/>
    <w:rsid w:val="0096740C"/>
    <w:rsid w:val="0096744C"/>
    <w:rsid w:val="009677F7"/>
    <w:rsid w:val="00967AE0"/>
    <w:rsid w:val="00970097"/>
    <w:rsid w:val="009708FE"/>
    <w:rsid w:val="009709F6"/>
    <w:rsid w:val="00970A4C"/>
    <w:rsid w:val="00970D72"/>
    <w:rsid w:val="00971053"/>
    <w:rsid w:val="00971258"/>
    <w:rsid w:val="00971320"/>
    <w:rsid w:val="00971384"/>
    <w:rsid w:val="009717E7"/>
    <w:rsid w:val="00971AF0"/>
    <w:rsid w:val="00971B62"/>
    <w:rsid w:val="00971C48"/>
    <w:rsid w:val="00971DA1"/>
    <w:rsid w:val="0097214D"/>
    <w:rsid w:val="00972415"/>
    <w:rsid w:val="009724C7"/>
    <w:rsid w:val="009727B9"/>
    <w:rsid w:val="00972815"/>
    <w:rsid w:val="00972A35"/>
    <w:rsid w:val="00972C9A"/>
    <w:rsid w:val="00972E51"/>
    <w:rsid w:val="009731DF"/>
    <w:rsid w:val="009744B4"/>
    <w:rsid w:val="009748D9"/>
    <w:rsid w:val="00974BA1"/>
    <w:rsid w:val="00974EC6"/>
    <w:rsid w:val="00975E94"/>
    <w:rsid w:val="0097650A"/>
    <w:rsid w:val="00977584"/>
    <w:rsid w:val="00977761"/>
    <w:rsid w:val="009804E0"/>
    <w:rsid w:val="00980610"/>
    <w:rsid w:val="009807A7"/>
    <w:rsid w:val="00980DA2"/>
    <w:rsid w:val="0098141E"/>
    <w:rsid w:val="00981A92"/>
    <w:rsid w:val="00981E84"/>
    <w:rsid w:val="0098213D"/>
    <w:rsid w:val="0098228C"/>
    <w:rsid w:val="0098233C"/>
    <w:rsid w:val="00982585"/>
    <w:rsid w:val="009826FB"/>
    <w:rsid w:val="00982AF5"/>
    <w:rsid w:val="00982C2B"/>
    <w:rsid w:val="00982C62"/>
    <w:rsid w:val="00983285"/>
    <w:rsid w:val="00984038"/>
    <w:rsid w:val="009841D3"/>
    <w:rsid w:val="009844B5"/>
    <w:rsid w:val="009848C3"/>
    <w:rsid w:val="00984A11"/>
    <w:rsid w:val="00984CC9"/>
    <w:rsid w:val="00984CF9"/>
    <w:rsid w:val="00984D66"/>
    <w:rsid w:val="009852F3"/>
    <w:rsid w:val="009855EE"/>
    <w:rsid w:val="0098561E"/>
    <w:rsid w:val="0098628A"/>
    <w:rsid w:val="0098635A"/>
    <w:rsid w:val="00986544"/>
    <w:rsid w:val="00986827"/>
    <w:rsid w:val="00986B43"/>
    <w:rsid w:val="00986DD8"/>
    <w:rsid w:val="00987858"/>
    <w:rsid w:val="009903CE"/>
    <w:rsid w:val="00990968"/>
    <w:rsid w:val="00991568"/>
    <w:rsid w:val="00991826"/>
    <w:rsid w:val="00991BDF"/>
    <w:rsid w:val="0099283B"/>
    <w:rsid w:val="009928D8"/>
    <w:rsid w:val="00992AF2"/>
    <w:rsid w:val="00992D71"/>
    <w:rsid w:val="00993058"/>
    <w:rsid w:val="00993316"/>
    <w:rsid w:val="009934C5"/>
    <w:rsid w:val="00993811"/>
    <w:rsid w:val="009938FF"/>
    <w:rsid w:val="00993E87"/>
    <w:rsid w:val="00993EBE"/>
    <w:rsid w:val="009942B6"/>
    <w:rsid w:val="00994331"/>
    <w:rsid w:val="0099479C"/>
    <w:rsid w:val="00994982"/>
    <w:rsid w:val="00994C39"/>
    <w:rsid w:val="00994EFB"/>
    <w:rsid w:val="00995658"/>
    <w:rsid w:val="0099593D"/>
    <w:rsid w:val="00996043"/>
    <w:rsid w:val="00996152"/>
    <w:rsid w:val="0099677D"/>
    <w:rsid w:val="00996922"/>
    <w:rsid w:val="00996EEA"/>
    <w:rsid w:val="00996F5D"/>
    <w:rsid w:val="009975E3"/>
    <w:rsid w:val="009976A4"/>
    <w:rsid w:val="00997753"/>
    <w:rsid w:val="00997765"/>
    <w:rsid w:val="009977B4"/>
    <w:rsid w:val="00997BB9"/>
    <w:rsid w:val="00997E26"/>
    <w:rsid w:val="00997E45"/>
    <w:rsid w:val="00997EE9"/>
    <w:rsid w:val="00997F2A"/>
    <w:rsid w:val="009A016C"/>
    <w:rsid w:val="009A0276"/>
    <w:rsid w:val="009A0421"/>
    <w:rsid w:val="009A0688"/>
    <w:rsid w:val="009A06A0"/>
    <w:rsid w:val="009A074A"/>
    <w:rsid w:val="009A0E93"/>
    <w:rsid w:val="009A137D"/>
    <w:rsid w:val="009A1AF2"/>
    <w:rsid w:val="009A1B34"/>
    <w:rsid w:val="009A1CA6"/>
    <w:rsid w:val="009A1FBE"/>
    <w:rsid w:val="009A229D"/>
    <w:rsid w:val="009A2514"/>
    <w:rsid w:val="009A2CE3"/>
    <w:rsid w:val="009A35DC"/>
    <w:rsid w:val="009A397A"/>
    <w:rsid w:val="009A3F0C"/>
    <w:rsid w:val="009A3F34"/>
    <w:rsid w:val="009A4137"/>
    <w:rsid w:val="009A494B"/>
    <w:rsid w:val="009A496A"/>
    <w:rsid w:val="009A4C07"/>
    <w:rsid w:val="009A4D4A"/>
    <w:rsid w:val="009A52CB"/>
    <w:rsid w:val="009A541F"/>
    <w:rsid w:val="009A546A"/>
    <w:rsid w:val="009A57FF"/>
    <w:rsid w:val="009A60A6"/>
    <w:rsid w:val="009A63EA"/>
    <w:rsid w:val="009A673F"/>
    <w:rsid w:val="009A6EE2"/>
    <w:rsid w:val="009A714A"/>
    <w:rsid w:val="009A71F6"/>
    <w:rsid w:val="009A7C5D"/>
    <w:rsid w:val="009B0245"/>
    <w:rsid w:val="009B07EF"/>
    <w:rsid w:val="009B0A35"/>
    <w:rsid w:val="009B1F39"/>
    <w:rsid w:val="009B20D1"/>
    <w:rsid w:val="009B2159"/>
    <w:rsid w:val="009B23D0"/>
    <w:rsid w:val="009B264E"/>
    <w:rsid w:val="009B27B9"/>
    <w:rsid w:val="009B3044"/>
    <w:rsid w:val="009B305B"/>
    <w:rsid w:val="009B35D0"/>
    <w:rsid w:val="009B3658"/>
    <w:rsid w:val="009B38CF"/>
    <w:rsid w:val="009B458A"/>
    <w:rsid w:val="009B469C"/>
    <w:rsid w:val="009B4732"/>
    <w:rsid w:val="009B4886"/>
    <w:rsid w:val="009B4905"/>
    <w:rsid w:val="009B4CC4"/>
    <w:rsid w:val="009B4FB6"/>
    <w:rsid w:val="009B50B8"/>
    <w:rsid w:val="009B5129"/>
    <w:rsid w:val="009B514E"/>
    <w:rsid w:val="009B55BD"/>
    <w:rsid w:val="009B6340"/>
    <w:rsid w:val="009B684D"/>
    <w:rsid w:val="009B68A7"/>
    <w:rsid w:val="009B6E23"/>
    <w:rsid w:val="009B6F33"/>
    <w:rsid w:val="009B7435"/>
    <w:rsid w:val="009B75C7"/>
    <w:rsid w:val="009B77CE"/>
    <w:rsid w:val="009B7CFB"/>
    <w:rsid w:val="009C008A"/>
    <w:rsid w:val="009C00B9"/>
    <w:rsid w:val="009C0316"/>
    <w:rsid w:val="009C0480"/>
    <w:rsid w:val="009C0700"/>
    <w:rsid w:val="009C0D4E"/>
    <w:rsid w:val="009C0F1D"/>
    <w:rsid w:val="009C0FD1"/>
    <w:rsid w:val="009C12CC"/>
    <w:rsid w:val="009C1311"/>
    <w:rsid w:val="009C152A"/>
    <w:rsid w:val="009C1A05"/>
    <w:rsid w:val="009C1D5D"/>
    <w:rsid w:val="009C1E69"/>
    <w:rsid w:val="009C22CC"/>
    <w:rsid w:val="009C24F5"/>
    <w:rsid w:val="009C25BB"/>
    <w:rsid w:val="009C2791"/>
    <w:rsid w:val="009C27A5"/>
    <w:rsid w:val="009C2E5D"/>
    <w:rsid w:val="009C2FF6"/>
    <w:rsid w:val="009C34C0"/>
    <w:rsid w:val="009C37DF"/>
    <w:rsid w:val="009C37FB"/>
    <w:rsid w:val="009C396F"/>
    <w:rsid w:val="009C39F9"/>
    <w:rsid w:val="009C447C"/>
    <w:rsid w:val="009C4686"/>
    <w:rsid w:val="009C48C5"/>
    <w:rsid w:val="009C4AA1"/>
    <w:rsid w:val="009C53FC"/>
    <w:rsid w:val="009C5491"/>
    <w:rsid w:val="009C5564"/>
    <w:rsid w:val="009C5585"/>
    <w:rsid w:val="009C5815"/>
    <w:rsid w:val="009C5842"/>
    <w:rsid w:val="009C5BE3"/>
    <w:rsid w:val="009C5CF7"/>
    <w:rsid w:val="009C613A"/>
    <w:rsid w:val="009C65C5"/>
    <w:rsid w:val="009C6925"/>
    <w:rsid w:val="009C71A8"/>
    <w:rsid w:val="009C7B62"/>
    <w:rsid w:val="009C7BB2"/>
    <w:rsid w:val="009D0086"/>
    <w:rsid w:val="009D00D1"/>
    <w:rsid w:val="009D04F0"/>
    <w:rsid w:val="009D087E"/>
    <w:rsid w:val="009D098B"/>
    <w:rsid w:val="009D0E33"/>
    <w:rsid w:val="009D1550"/>
    <w:rsid w:val="009D16CF"/>
    <w:rsid w:val="009D1AA1"/>
    <w:rsid w:val="009D1FD0"/>
    <w:rsid w:val="009D229C"/>
    <w:rsid w:val="009D296A"/>
    <w:rsid w:val="009D2DA4"/>
    <w:rsid w:val="009D2F93"/>
    <w:rsid w:val="009D3506"/>
    <w:rsid w:val="009D3D14"/>
    <w:rsid w:val="009D3D85"/>
    <w:rsid w:val="009D42A8"/>
    <w:rsid w:val="009D42DC"/>
    <w:rsid w:val="009D43AE"/>
    <w:rsid w:val="009D47DE"/>
    <w:rsid w:val="009D4A0B"/>
    <w:rsid w:val="009D5386"/>
    <w:rsid w:val="009D622A"/>
    <w:rsid w:val="009D6493"/>
    <w:rsid w:val="009D6784"/>
    <w:rsid w:val="009D6C33"/>
    <w:rsid w:val="009D7924"/>
    <w:rsid w:val="009D7F6A"/>
    <w:rsid w:val="009E06EB"/>
    <w:rsid w:val="009E0F45"/>
    <w:rsid w:val="009E0F82"/>
    <w:rsid w:val="009E1467"/>
    <w:rsid w:val="009E146C"/>
    <w:rsid w:val="009E16A9"/>
    <w:rsid w:val="009E1AE9"/>
    <w:rsid w:val="009E273B"/>
    <w:rsid w:val="009E28D9"/>
    <w:rsid w:val="009E28F9"/>
    <w:rsid w:val="009E2BB0"/>
    <w:rsid w:val="009E2CA6"/>
    <w:rsid w:val="009E33C0"/>
    <w:rsid w:val="009E34B2"/>
    <w:rsid w:val="009E3636"/>
    <w:rsid w:val="009E3C17"/>
    <w:rsid w:val="009E3DC7"/>
    <w:rsid w:val="009E3E60"/>
    <w:rsid w:val="009E3FB0"/>
    <w:rsid w:val="009E4303"/>
    <w:rsid w:val="009E4919"/>
    <w:rsid w:val="009E4ADE"/>
    <w:rsid w:val="009E4C52"/>
    <w:rsid w:val="009E4EE5"/>
    <w:rsid w:val="009E53A2"/>
    <w:rsid w:val="009E5677"/>
    <w:rsid w:val="009E59BE"/>
    <w:rsid w:val="009E5EE9"/>
    <w:rsid w:val="009E6001"/>
    <w:rsid w:val="009E7098"/>
    <w:rsid w:val="009E7369"/>
    <w:rsid w:val="009E75AE"/>
    <w:rsid w:val="009E75C8"/>
    <w:rsid w:val="009E774F"/>
    <w:rsid w:val="009E7B21"/>
    <w:rsid w:val="009E7B28"/>
    <w:rsid w:val="009F0015"/>
    <w:rsid w:val="009F0B4A"/>
    <w:rsid w:val="009F0C5B"/>
    <w:rsid w:val="009F0E24"/>
    <w:rsid w:val="009F0EF1"/>
    <w:rsid w:val="009F1036"/>
    <w:rsid w:val="009F174C"/>
    <w:rsid w:val="009F1FBF"/>
    <w:rsid w:val="009F210E"/>
    <w:rsid w:val="009F243A"/>
    <w:rsid w:val="009F2492"/>
    <w:rsid w:val="009F28B5"/>
    <w:rsid w:val="009F2C48"/>
    <w:rsid w:val="009F2EF8"/>
    <w:rsid w:val="009F2FC8"/>
    <w:rsid w:val="009F37BF"/>
    <w:rsid w:val="009F3E00"/>
    <w:rsid w:val="009F415D"/>
    <w:rsid w:val="009F4380"/>
    <w:rsid w:val="009F43AF"/>
    <w:rsid w:val="009F441F"/>
    <w:rsid w:val="009F4659"/>
    <w:rsid w:val="009F4763"/>
    <w:rsid w:val="009F48C6"/>
    <w:rsid w:val="009F4960"/>
    <w:rsid w:val="009F4C5D"/>
    <w:rsid w:val="009F50F6"/>
    <w:rsid w:val="009F5717"/>
    <w:rsid w:val="009F571E"/>
    <w:rsid w:val="009F5926"/>
    <w:rsid w:val="009F5C8D"/>
    <w:rsid w:val="009F5DBE"/>
    <w:rsid w:val="009F61E5"/>
    <w:rsid w:val="009F657B"/>
    <w:rsid w:val="009F6606"/>
    <w:rsid w:val="009F6694"/>
    <w:rsid w:val="009F697A"/>
    <w:rsid w:val="009F72F8"/>
    <w:rsid w:val="009F75B2"/>
    <w:rsid w:val="009F7CF8"/>
    <w:rsid w:val="00A00652"/>
    <w:rsid w:val="00A012AB"/>
    <w:rsid w:val="00A0138C"/>
    <w:rsid w:val="00A01710"/>
    <w:rsid w:val="00A0198D"/>
    <w:rsid w:val="00A01A79"/>
    <w:rsid w:val="00A01D5B"/>
    <w:rsid w:val="00A01E68"/>
    <w:rsid w:val="00A02080"/>
    <w:rsid w:val="00A0245B"/>
    <w:rsid w:val="00A02ADC"/>
    <w:rsid w:val="00A02C47"/>
    <w:rsid w:val="00A02E15"/>
    <w:rsid w:val="00A02EEC"/>
    <w:rsid w:val="00A03376"/>
    <w:rsid w:val="00A033DC"/>
    <w:rsid w:val="00A04191"/>
    <w:rsid w:val="00A04335"/>
    <w:rsid w:val="00A04391"/>
    <w:rsid w:val="00A0445C"/>
    <w:rsid w:val="00A046B0"/>
    <w:rsid w:val="00A048E4"/>
    <w:rsid w:val="00A04BEB"/>
    <w:rsid w:val="00A050DE"/>
    <w:rsid w:val="00A05457"/>
    <w:rsid w:val="00A054A9"/>
    <w:rsid w:val="00A05AF9"/>
    <w:rsid w:val="00A066D7"/>
    <w:rsid w:val="00A06D65"/>
    <w:rsid w:val="00A06EE8"/>
    <w:rsid w:val="00A075C5"/>
    <w:rsid w:val="00A100A0"/>
    <w:rsid w:val="00A103C4"/>
    <w:rsid w:val="00A103C8"/>
    <w:rsid w:val="00A1042C"/>
    <w:rsid w:val="00A105E5"/>
    <w:rsid w:val="00A1140B"/>
    <w:rsid w:val="00A1171F"/>
    <w:rsid w:val="00A121EA"/>
    <w:rsid w:val="00A122A6"/>
    <w:rsid w:val="00A12405"/>
    <w:rsid w:val="00A129DD"/>
    <w:rsid w:val="00A12D1B"/>
    <w:rsid w:val="00A136BE"/>
    <w:rsid w:val="00A137BA"/>
    <w:rsid w:val="00A13DA6"/>
    <w:rsid w:val="00A143FC"/>
    <w:rsid w:val="00A149D0"/>
    <w:rsid w:val="00A14F75"/>
    <w:rsid w:val="00A15334"/>
    <w:rsid w:val="00A15436"/>
    <w:rsid w:val="00A164BF"/>
    <w:rsid w:val="00A1654F"/>
    <w:rsid w:val="00A1758E"/>
    <w:rsid w:val="00A17662"/>
    <w:rsid w:val="00A17687"/>
    <w:rsid w:val="00A1798E"/>
    <w:rsid w:val="00A17DAC"/>
    <w:rsid w:val="00A17F3E"/>
    <w:rsid w:val="00A2008F"/>
    <w:rsid w:val="00A20227"/>
    <w:rsid w:val="00A2072E"/>
    <w:rsid w:val="00A20A5B"/>
    <w:rsid w:val="00A20D33"/>
    <w:rsid w:val="00A210CA"/>
    <w:rsid w:val="00A210D2"/>
    <w:rsid w:val="00A217F3"/>
    <w:rsid w:val="00A2180B"/>
    <w:rsid w:val="00A2188E"/>
    <w:rsid w:val="00A21E55"/>
    <w:rsid w:val="00A222DF"/>
    <w:rsid w:val="00A222FA"/>
    <w:rsid w:val="00A22466"/>
    <w:rsid w:val="00A22586"/>
    <w:rsid w:val="00A226E3"/>
    <w:rsid w:val="00A228BB"/>
    <w:rsid w:val="00A2343F"/>
    <w:rsid w:val="00A24053"/>
    <w:rsid w:val="00A2412C"/>
    <w:rsid w:val="00A24203"/>
    <w:rsid w:val="00A24585"/>
    <w:rsid w:val="00A24642"/>
    <w:rsid w:val="00A2468D"/>
    <w:rsid w:val="00A24C02"/>
    <w:rsid w:val="00A24DCE"/>
    <w:rsid w:val="00A25150"/>
    <w:rsid w:val="00A251A1"/>
    <w:rsid w:val="00A252FE"/>
    <w:rsid w:val="00A254D2"/>
    <w:rsid w:val="00A25698"/>
    <w:rsid w:val="00A256CB"/>
    <w:rsid w:val="00A257E9"/>
    <w:rsid w:val="00A25E5F"/>
    <w:rsid w:val="00A2622B"/>
    <w:rsid w:val="00A26386"/>
    <w:rsid w:val="00A26856"/>
    <w:rsid w:val="00A27F58"/>
    <w:rsid w:val="00A3048C"/>
    <w:rsid w:val="00A30827"/>
    <w:rsid w:val="00A30F75"/>
    <w:rsid w:val="00A30FA9"/>
    <w:rsid w:val="00A3218A"/>
    <w:rsid w:val="00A32403"/>
    <w:rsid w:val="00A3242F"/>
    <w:rsid w:val="00A324CB"/>
    <w:rsid w:val="00A328D6"/>
    <w:rsid w:val="00A33996"/>
    <w:rsid w:val="00A33D55"/>
    <w:rsid w:val="00A341B4"/>
    <w:rsid w:val="00A342BA"/>
    <w:rsid w:val="00A346CF"/>
    <w:rsid w:val="00A3474E"/>
    <w:rsid w:val="00A34E42"/>
    <w:rsid w:val="00A352E2"/>
    <w:rsid w:val="00A35B3D"/>
    <w:rsid w:val="00A35D1C"/>
    <w:rsid w:val="00A36096"/>
    <w:rsid w:val="00A360DF"/>
    <w:rsid w:val="00A3610E"/>
    <w:rsid w:val="00A36230"/>
    <w:rsid w:val="00A3642A"/>
    <w:rsid w:val="00A36B19"/>
    <w:rsid w:val="00A36BBE"/>
    <w:rsid w:val="00A36E75"/>
    <w:rsid w:val="00A37017"/>
    <w:rsid w:val="00A370E0"/>
    <w:rsid w:val="00A37425"/>
    <w:rsid w:val="00A379F7"/>
    <w:rsid w:val="00A37D3E"/>
    <w:rsid w:val="00A37F1E"/>
    <w:rsid w:val="00A401DD"/>
    <w:rsid w:val="00A40773"/>
    <w:rsid w:val="00A40904"/>
    <w:rsid w:val="00A409A5"/>
    <w:rsid w:val="00A40F4A"/>
    <w:rsid w:val="00A41496"/>
    <w:rsid w:val="00A4171A"/>
    <w:rsid w:val="00A418FF"/>
    <w:rsid w:val="00A421D6"/>
    <w:rsid w:val="00A42C2B"/>
    <w:rsid w:val="00A435DE"/>
    <w:rsid w:val="00A439F4"/>
    <w:rsid w:val="00A43A25"/>
    <w:rsid w:val="00A43B0B"/>
    <w:rsid w:val="00A43B7C"/>
    <w:rsid w:val="00A43F98"/>
    <w:rsid w:val="00A4457C"/>
    <w:rsid w:val="00A445BD"/>
    <w:rsid w:val="00A44A7E"/>
    <w:rsid w:val="00A44D34"/>
    <w:rsid w:val="00A44E73"/>
    <w:rsid w:val="00A452F4"/>
    <w:rsid w:val="00A45312"/>
    <w:rsid w:val="00A4586D"/>
    <w:rsid w:val="00A45AFA"/>
    <w:rsid w:val="00A460A9"/>
    <w:rsid w:val="00A462F0"/>
    <w:rsid w:val="00A46471"/>
    <w:rsid w:val="00A46ADD"/>
    <w:rsid w:val="00A46B69"/>
    <w:rsid w:val="00A47B99"/>
    <w:rsid w:val="00A50046"/>
    <w:rsid w:val="00A50180"/>
    <w:rsid w:val="00A5041B"/>
    <w:rsid w:val="00A50486"/>
    <w:rsid w:val="00A504AA"/>
    <w:rsid w:val="00A50E2F"/>
    <w:rsid w:val="00A512E9"/>
    <w:rsid w:val="00A51A84"/>
    <w:rsid w:val="00A51ED1"/>
    <w:rsid w:val="00A537DF"/>
    <w:rsid w:val="00A53FAE"/>
    <w:rsid w:val="00A53FF8"/>
    <w:rsid w:val="00A541B3"/>
    <w:rsid w:val="00A546A3"/>
    <w:rsid w:val="00A54701"/>
    <w:rsid w:val="00A54766"/>
    <w:rsid w:val="00A54CC2"/>
    <w:rsid w:val="00A54D4C"/>
    <w:rsid w:val="00A554A5"/>
    <w:rsid w:val="00A55D06"/>
    <w:rsid w:val="00A560BB"/>
    <w:rsid w:val="00A561DF"/>
    <w:rsid w:val="00A5633C"/>
    <w:rsid w:val="00A5669B"/>
    <w:rsid w:val="00A56DE9"/>
    <w:rsid w:val="00A56F08"/>
    <w:rsid w:val="00A57450"/>
    <w:rsid w:val="00A5787F"/>
    <w:rsid w:val="00A57D62"/>
    <w:rsid w:val="00A57EB5"/>
    <w:rsid w:val="00A57EB6"/>
    <w:rsid w:val="00A60923"/>
    <w:rsid w:val="00A60E3D"/>
    <w:rsid w:val="00A619BC"/>
    <w:rsid w:val="00A61CB4"/>
    <w:rsid w:val="00A61F37"/>
    <w:rsid w:val="00A622C6"/>
    <w:rsid w:val="00A629D6"/>
    <w:rsid w:val="00A63CB3"/>
    <w:rsid w:val="00A63EFC"/>
    <w:rsid w:val="00A641D6"/>
    <w:rsid w:val="00A64555"/>
    <w:rsid w:val="00A647AE"/>
    <w:rsid w:val="00A64A77"/>
    <w:rsid w:val="00A64C25"/>
    <w:rsid w:val="00A64DF2"/>
    <w:rsid w:val="00A65022"/>
    <w:rsid w:val="00A65649"/>
    <w:rsid w:val="00A657D2"/>
    <w:rsid w:val="00A659C0"/>
    <w:rsid w:val="00A65C21"/>
    <w:rsid w:val="00A6695E"/>
    <w:rsid w:val="00A66992"/>
    <w:rsid w:val="00A66C04"/>
    <w:rsid w:val="00A66D08"/>
    <w:rsid w:val="00A66E87"/>
    <w:rsid w:val="00A67135"/>
    <w:rsid w:val="00A671A5"/>
    <w:rsid w:val="00A67268"/>
    <w:rsid w:val="00A67373"/>
    <w:rsid w:val="00A673EB"/>
    <w:rsid w:val="00A675C7"/>
    <w:rsid w:val="00A678C6"/>
    <w:rsid w:val="00A67C6F"/>
    <w:rsid w:val="00A7014C"/>
    <w:rsid w:val="00A70353"/>
    <w:rsid w:val="00A70438"/>
    <w:rsid w:val="00A70728"/>
    <w:rsid w:val="00A70A7F"/>
    <w:rsid w:val="00A715B0"/>
    <w:rsid w:val="00A7169A"/>
    <w:rsid w:val="00A716F3"/>
    <w:rsid w:val="00A71822"/>
    <w:rsid w:val="00A71E9A"/>
    <w:rsid w:val="00A7211A"/>
    <w:rsid w:val="00A72AA1"/>
    <w:rsid w:val="00A730C2"/>
    <w:rsid w:val="00A7341C"/>
    <w:rsid w:val="00A73746"/>
    <w:rsid w:val="00A73B60"/>
    <w:rsid w:val="00A740CF"/>
    <w:rsid w:val="00A7422B"/>
    <w:rsid w:val="00A7470C"/>
    <w:rsid w:val="00A74A71"/>
    <w:rsid w:val="00A74AA3"/>
    <w:rsid w:val="00A74C73"/>
    <w:rsid w:val="00A74F0F"/>
    <w:rsid w:val="00A750AB"/>
    <w:rsid w:val="00A7510D"/>
    <w:rsid w:val="00A75346"/>
    <w:rsid w:val="00A75936"/>
    <w:rsid w:val="00A75DF5"/>
    <w:rsid w:val="00A765F3"/>
    <w:rsid w:val="00A76BE5"/>
    <w:rsid w:val="00A76D88"/>
    <w:rsid w:val="00A77489"/>
    <w:rsid w:val="00A77B2C"/>
    <w:rsid w:val="00A77F92"/>
    <w:rsid w:val="00A77FD8"/>
    <w:rsid w:val="00A80920"/>
    <w:rsid w:val="00A80941"/>
    <w:rsid w:val="00A80A66"/>
    <w:rsid w:val="00A80C87"/>
    <w:rsid w:val="00A81034"/>
    <w:rsid w:val="00A81AAB"/>
    <w:rsid w:val="00A824B6"/>
    <w:rsid w:val="00A8292C"/>
    <w:rsid w:val="00A82BA9"/>
    <w:rsid w:val="00A83EE7"/>
    <w:rsid w:val="00A841D2"/>
    <w:rsid w:val="00A84465"/>
    <w:rsid w:val="00A846FF"/>
    <w:rsid w:val="00A84973"/>
    <w:rsid w:val="00A84D0C"/>
    <w:rsid w:val="00A85071"/>
    <w:rsid w:val="00A8579E"/>
    <w:rsid w:val="00A862C7"/>
    <w:rsid w:val="00A8763F"/>
    <w:rsid w:val="00A876FF"/>
    <w:rsid w:val="00A87850"/>
    <w:rsid w:val="00A87A32"/>
    <w:rsid w:val="00A87FD4"/>
    <w:rsid w:val="00A900B7"/>
    <w:rsid w:val="00A900DA"/>
    <w:rsid w:val="00A90A40"/>
    <w:rsid w:val="00A90E78"/>
    <w:rsid w:val="00A91039"/>
    <w:rsid w:val="00A9142C"/>
    <w:rsid w:val="00A91501"/>
    <w:rsid w:val="00A91EE2"/>
    <w:rsid w:val="00A9285C"/>
    <w:rsid w:val="00A931E6"/>
    <w:rsid w:val="00A9366C"/>
    <w:rsid w:val="00A93AC7"/>
    <w:rsid w:val="00A93CAA"/>
    <w:rsid w:val="00A93F15"/>
    <w:rsid w:val="00A9475A"/>
    <w:rsid w:val="00A949DA"/>
    <w:rsid w:val="00A95094"/>
    <w:rsid w:val="00A952D3"/>
    <w:rsid w:val="00A95919"/>
    <w:rsid w:val="00A95A41"/>
    <w:rsid w:val="00A95F19"/>
    <w:rsid w:val="00A96202"/>
    <w:rsid w:val="00A96689"/>
    <w:rsid w:val="00A96B18"/>
    <w:rsid w:val="00AA0967"/>
    <w:rsid w:val="00AA0C5F"/>
    <w:rsid w:val="00AA0CFA"/>
    <w:rsid w:val="00AA10BA"/>
    <w:rsid w:val="00AA1EB6"/>
    <w:rsid w:val="00AA1FC3"/>
    <w:rsid w:val="00AA21EE"/>
    <w:rsid w:val="00AA25C5"/>
    <w:rsid w:val="00AA2E2B"/>
    <w:rsid w:val="00AA2F64"/>
    <w:rsid w:val="00AA38A8"/>
    <w:rsid w:val="00AA3D0B"/>
    <w:rsid w:val="00AA4414"/>
    <w:rsid w:val="00AA451E"/>
    <w:rsid w:val="00AA4658"/>
    <w:rsid w:val="00AA4665"/>
    <w:rsid w:val="00AA4F47"/>
    <w:rsid w:val="00AA4FF0"/>
    <w:rsid w:val="00AA53C8"/>
    <w:rsid w:val="00AA5409"/>
    <w:rsid w:val="00AA552C"/>
    <w:rsid w:val="00AA5560"/>
    <w:rsid w:val="00AA5D22"/>
    <w:rsid w:val="00AA6276"/>
    <w:rsid w:val="00AA65F3"/>
    <w:rsid w:val="00AA6C09"/>
    <w:rsid w:val="00AA6FEC"/>
    <w:rsid w:val="00AA7506"/>
    <w:rsid w:val="00AA7631"/>
    <w:rsid w:val="00AA7795"/>
    <w:rsid w:val="00AA779F"/>
    <w:rsid w:val="00AA7FD2"/>
    <w:rsid w:val="00AB0187"/>
    <w:rsid w:val="00AB102D"/>
    <w:rsid w:val="00AB1064"/>
    <w:rsid w:val="00AB1236"/>
    <w:rsid w:val="00AB136E"/>
    <w:rsid w:val="00AB141B"/>
    <w:rsid w:val="00AB146B"/>
    <w:rsid w:val="00AB1755"/>
    <w:rsid w:val="00AB1F7E"/>
    <w:rsid w:val="00AB20AB"/>
    <w:rsid w:val="00AB2168"/>
    <w:rsid w:val="00AB2336"/>
    <w:rsid w:val="00AB24E7"/>
    <w:rsid w:val="00AB33F0"/>
    <w:rsid w:val="00AB3456"/>
    <w:rsid w:val="00AB3AB7"/>
    <w:rsid w:val="00AB3EDF"/>
    <w:rsid w:val="00AB3FC1"/>
    <w:rsid w:val="00AB48C9"/>
    <w:rsid w:val="00AB499E"/>
    <w:rsid w:val="00AB49F0"/>
    <w:rsid w:val="00AB5120"/>
    <w:rsid w:val="00AB552E"/>
    <w:rsid w:val="00AB5724"/>
    <w:rsid w:val="00AB5C1A"/>
    <w:rsid w:val="00AB63E3"/>
    <w:rsid w:val="00AB6717"/>
    <w:rsid w:val="00AB68B4"/>
    <w:rsid w:val="00AB6BC1"/>
    <w:rsid w:val="00AB6BC4"/>
    <w:rsid w:val="00AB6E1F"/>
    <w:rsid w:val="00AB7A12"/>
    <w:rsid w:val="00AB7AE4"/>
    <w:rsid w:val="00AB7C40"/>
    <w:rsid w:val="00AB7DB3"/>
    <w:rsid w:val="00AB7F55"/>
    <w:rsid w:val="00AC0533"/>
    <w:rsid w:val="00AC0C8C"/>
    <w:rsid w:val="00AC0FB3"/>
    <w:rsid w:val="00AC10E1"/>
    <w:rsid w:val="00AC1386"/>
    <w:rsid w:val="00AC150C"/>
    <w:rsid w:val="00AC1550"/>
    <w:rsid w:val="00AC16C2"/>
    <w:rsid w:val="00AC17EF"/>
    <w:rsid w:val="00AC194F"/>
    <w:rsid w:val="00AC20DD"/>
    <w:rsid w:val="00AC26A2"/>
    <w:rsid w:val="00AC2E83"/>
    <w:rsid w:val="00AC2E8B"/>
    <w:rsid w:val="00AC30D6"/>
    <w:rsid w:val="00AC3819"/>
    <w:rsid w:val="00AC4500"/>
    <w:rsid w:val="00AC48BC"/>
    <w:rsid w:val="00AC494D"/>
    <w:rsid w:val="00AC4BD0"/>
    <w:rsid w:val="00AC4D8C"/>
    <w:rsid w:val="00AC4DB6"/>
    <w:rsid w:val="00AC5548"/>
    <w:rsid w:val="00AC5912"/>
    <w:rsid w:val="00AC5E16"/>
    <w:rsid w:val="00AC65BD"/>
    <w:rsid w:val="00AC6B48"/>
    <w:rsid w:val="00AC7487"/>
    <w:rsid w:val="00AC77BF"/>
    <w:rsid w:val="00AC7BC4"/>
    <w:rsid w:val="00AC7C4B"/>
    <w:rsid w:val="00AC7CF2"/>
    <w:rsid w:val="00AD0148"/>
    <w:rsid w:val="00AD055D"/>
    <w:rsid w:val="00AD0AB1"/>
    <w:rsid w:val="00AD0B39"/>
    <w:rsid w:val="00AD0CF4"/>
    <w:rsid w:val="00AD0DCD"/>
    <w:rsid w:val="00AD1106"/>
    <w:rsid w:val="00AD143F"/>
    <w:rsid w:val="00AD1F6F"/>
    <w:rsid w:val="00AD205F"/>
    <w:rsid w:val="00AD2308"/>
    <w:rsid w:val="00AD285A"/>
    <w:rsid w:val="00AD2BCA"/>
    <w:rsid w:val="00AD2C5B"/>
    <w:rsid w:val="00AD301B"/>
    <w:rsid w:val="00AD34A0"/>
    <w:rsid w:val="00AD3984"/>
    <w:rsid w:val="00AD3C25"/>
    <w:rsid w:val="00AD3D06"/>
    <w:rsid w:val="00AD3F1B"/>
    <w:rsid w:val="00AD3F41"/>
    <w:rsid w:val="00AD401E"/>
    <w:rsid w:val="00AD44F4"/>
    <w:rsid w:val="00AD4673"/>
    <w:rsid w:val="00AD47E8"/>
    <w:rsid w:val="00AD481B"/>
    <w:rsid w:val="00AD4F8E"/>
    <w:rsid w:val="00AD5059"/>
    <w:rsid w:val="00AD59E0"/>
    <w:rsid w:val="00AD5BED"/>
    <w:rsid w:val="00AD5E30"/>
    <w:rsid w:val="00AD60D6"/>
    <w:rsid w:val="00AD621D"/>
    <w:rsid w:val="00AD6248"/>
    <w:rsid w:val="00AD6A73"/>
    <w:rsid w:val="00AD6D53"/>
    <w:rsid w:val="00AD789D"/>
    <w:rsid w:val="00AD78E1"/>
    <w:rsid w:val="00AD7D3F"/>
    <w:rsid w:val="00AD7E7F"/>
    <w:rsid w:val="00AD7F49"/>
    <w:rsid w:val="00AE0756"/>
    <w:rsid w:val="00AE0AE7"/>
    <w:rsid w:val="00AE12F2"/>
    <w:rsid w:val="00AE19E5"/>
    <w:rsid w:val="00AE1B6B"/>
    <w:rsid w:val="00AE1C33"/>
    <w:rsid w:val="00AE29D0"/>
    <w:rsid w:val="00AE29FB"/>
    <w:rsid w:val="00AE2A87"/>
    <w:rsid w:val="00AE2F04"/>
    <w:rsid w:val="00AE37CE"/>
    <w:rsid w:val="00AE38EA"/>
    <w:rsid w:val="00AE3C34"/>
    <w:rsid w:val="00AE3C3F"/>
    <w:rsid w:val="00AE419A"/>
    <w:rsid w:val="00AE44A7"/>
    <w:rsid w:val="00AE49EB"/>
    <w:rsid w:val="00AE4A2C"/>
    <w:rsid w:val="00AE5712"/>
    <w:rsid w:val="00AE582A"/>
    <w:rsid w:val="00AE6775"/>
    <w:rsid w:val="00AE6AA2"/>
    <w:rsid w:val="00AE6BDC"/>
    <w:rsid w:val="00AE6C3D"/>
    <w:rsid w:val="00AE6E27"/>
    <w:rsid w:val="00AE6E3B"/>
    <w:rsid w:val="00AF0ACF"/>
    <w:rsid w:val="00AF0DBF"/>
    <w:rsid w:val="00AF107B"/>
    <w:rsid w:val="00AF12F6"/>
    <w:rsid w:val="00AF19CC"/>
    <w:rsid w:val="00AF1D66"/>
    <w:rsid w:val="00AF2146"/>
    <w:rsid w:val="00AF2766"/>
    <w:rsid w:val="00AF28DF"/>
    <w:rsid w:val="00AF2994"/>
    <w:rsid w:val="00AF313B"/>
    <w:rsid w:val="00AF36E2"/>
    <w:rsid w:val="00AF37D8"/>
    <w:rsid w:val="00AF4302"/>
    <w:rsid w:val="00AF4304"/>
    <w:rsid w:val="00AF432E"/>
    <w:rsid w:val="00AF46FC"/>
    <w:rsid w:val="00AF4F31"/>
    <w:rsid w:val="00AF5D0F"/>
    <w:rsid w:val="00AF5D97"/>
    <w:rsid w:val="00AF5F50"/>
    <w:rsid w:val="00AF6812"/>
    <w:rsid w:val="00AF6876"/>
    <w:rsid w:val="00AF696D"/>
    <w:rsid w:val="00AF6BD5"/>
    <w:rsid w:val="00AF6F4B"/>
    <w:rsid w:val="00AF714A"/>
    <w:rsid w:val="00AF74D9"/>
    <w:rsid w:val="00AF7D77"/>
    <w:rsid w:val="00B0084B"/>
    <w:rsid w:val="00B00AFE"/>
    <w:rsid w:val="00B0104F"/>
    <w:rsid w:val="00B01130"/>
    <w:rsid w:val="00B012F5"/>
    <w:rsid w:val="00B01A90"/>
    <w:rsid w:val="00B029E2"/>
    <w:rsid w:val="00B02EDB"/>
    <w:rsid w:val="00B034A9"/>
    <w:rsid w:val="00B03A90"/>
    <w:rsid w:val="00B042FF"/>
    <w:rsid w:val="00B045CF"/>
    <w:rsid w:val="00B04EFB"/>
    <w:rsid w:val="00B05DBF"/>
    <w:rsid w:val="00B05F51"/>
    <w:rsid w:val="00B06155"/>
    <w:rsid w:val="00B062CA"/>
    <w:rsid w:val="00B0640C"/>
    <w:rsid w:val="00B067E7"/>
    <w:rsid w:val="00B06AAF"/>
    <w:rsid w:val="00B06B09"/>
    <w:rsid w:val="00B072C8"/>
    <w:rsid w:val="00B07445"/>
    <w:rsid w:val="00B07E97"/>
    <w:rsid w:val="00B07F4F"/>
    <w:rsid w:val="00B103F1"/>
    <w:rsid w:val="00B10414"/>
    <w:rsid w:val="00B104EB"/>
    <w:rsid w:val="00B105A7"/>
    <w:rsid w:val="00B10D91"/>
    <w:rsid w:val="00B118AC"/>
    <w:rsid w:val="00B1191E"/>
    <w:rsid w:val="00B11A75"/>
    <w:rsid w:val="00B11B71"/>
    <w:rsid w:val="00B12560"/>
    <w:rsid w:val="00B12F3B"/>
    <w:rsid w:val="00B13224"/>
    <w:rsid w:val="00B1330B"/>
    <w:rsid w:val="00B13348"/>
    <w:rsid w:val="00B1357A"/>
    <w:rsid w:val="00B135F0"/>
    <w:rsid w:val="00B137F0"/>
    <w:rsid w:val="00B1394A"/>
    <w:rsid w:val="00B139B4"/>
    <w:rsid w:val="00B13B37"/>
    <w:rsid w:val="00B13F95"/>
    <w:rsid w:val="00B14F74"/>
    <w:rsid w:val="00B156F4"/>
    <w:rsid w:val="00B15C68"/>
    <w:rsid w:val="00B15E4D"/>
    <w:rsid w:val="00B16013"/>
    <w:rsid w:val="00B16032"/>
    <w:rsid w:val="00B16526"/>
    <w:rsid w:val="00B1674B"/>
    <w:rsid w:val="00B17050"/>
    <w:rsid w:val="00B1738B"/>
    <w:rsid w:val="00B17AEE"/>
    <w:rsid w:val="00B201BC"/>
    <w:rsid w:val="00B201F0"/>
    <w:rsid w:val="00B2053E"/>
    <w:rsid w:val="00B207BC"/>
    <w:rsid w:val="00B20936"/>
    <w:rsid w:val="00B20A3C"/>
    <w:rsid w:val="00B20CD1"/>
    <w:rsid w:val="00B2129D"/>
    <w:rsid w:val="00B21405"/>
    <w:rsid w:val="00B21682"/>
    <w:rsid w:val="00B21A2A"/>
    <w:rsid w:val="00B21A37"/>
    <w:rsid w:val="00B21AD1"/>
    <w:rsid w:val="00B21BC0"/>
    <w:rsid w:val="00B21FF6"/>
    <w:rsid w:val="00B221C4"/>
    <w:rsid w:val="00B222AD"/>
    <w:rsid w:val="00B2232E"/>
    <w:rsid w:val="00B22568"/>
    <w:rsid w:val="00B22582"/>
    <w:rsid w:val="00B225F4"/>
    <w:rsid w:val="00B22687"/>
    <w:rsid w:val="00B22D10"/>
    <w:rsid w:val="00B23678"/>
    <w:rsid w:val="00B2391E"/>
    <w:rsid w:val="00B2394F"/>
    <w:rsid w:val="00B23FF6"/>
    <w:rsid w:val="00B241EB"/>
    <w:rsid w:val="00B24207"/>
    <w:rsid w:val="00B2454A"/>
    <w:rsid w:val="00B2462A"/>
    <w:rsid w:val="00B24790"/>
    <w:rsid w:val="00B24D76"/>
    <w:rsid w:val="00B2532B"/>
    <w:rsid w:val="00B25387"/>
    <w:rsid w:val="00B25C44"/>
    <w:rsid w:val="00B25C96"/>
    <w:rsid w:val="00B263CE"/>
    <w:rsid w:val="00B26B9F"/>
    <w:rsid w:val="00B26CC8"/>
    <w:rsid w:val="00B26D33"/>
    <w:rsid w:val="00B271E0"/>
    <w:rsid w:val="00B27460"/>
    <w:rsid w:val="00B27483"/>
    <w:rsid w:val="00B274CC"/>
    <w:rsid w:val="00B27DB9"/>
    <w:rsid w:val="00B27F0C"/>
    <w:rsid w:val="00B30142"/>
    <w:rsid w:val="00B30416"/>
    <w:rsid w:val="00B30671"/>
    <w:rsid w:val="00B30691"/>
    <w:rsid w:val="00B30911"/>
    <w:rsid w:val="00B3092B"/>
    <w:rsid w:val="00B30CB3"/>
    <w:rsid w:val="00B30DC0"/>
    <w:rsid w:val="00B3121D"/>
    <w:rsid w:val="00B3125B"/>
    <w:rsid w:val="00B31856"/>
    <w:rsid w:val="00B31A3F"/>
    <w:rsid w:val="00B31DF7"/>
    <w:rsid w:val="00B32597"/>
    <w:rsid w:val="00B32DAC"/>
    <w:rsid w:val="00B32E57"/>
    <w:rsid w:val="00B33346"/>
    <w:rsid w:val="00B338E3"/>
    <w:rsid w:val="00B33B4B"/>
    <w:rsid w:val="00B33F0E"/>
    <w:rsid w:val="00B33FD8"/>
    <w:rsid w:val="00B347F3"/>
    <w:rsid w:val="00B34C72"/>
    <w:rsid w:val="00B34E5C"/>
    <w:rsid w:val="00B34EB0"/>
    <w:rsid w:val="00B351BE"/>
    <w:rsid w:val="00B3531A"/>
    <w:rsid w:val="00B35B2A"/>
    <w:rsid w:val="00B35D82"/>
    <w:rsid w:val="00B3611B"/>
    <w:rsid w:val="00B3673D"/>
    <w:rsid w:val="00B378EC"/>
    <w:rsid w:val="00B37A9F"/>
    <w:rsid w:val="00B37B9E"/>
    <w:rsid w:val="00B37C04"/>
    <w:rsid w:val="00B40CA5"/>
    <w:rsid w:val="00B40D8B"/>
    <w:rsid w:val="00B40F0A"/>
    <w:rsid w:val="00B412DB"/>
    <w:rsid w:val="00B418F7"/>
    <w:rsid w:val="00B41AE0"/>
    <w:rsid w:val="00B41C98"/>
    <w:rsid w:val="00B41D3A"/>
    <w:rsid w:val="00B41D52"/>
    <w:rsid w:val="00B41F94"/>
    <w:rsid w:val="00B4221C"/>
    <w:rsid w:val="00B426CE"/>
    <w:rsid w:val="00B43404"/>
    <w:rsid w:val="00B4379A"/>
    <w:rsid w:val="00B438C8"/>
    <w:rsid w:val="00B43BAB"/>
    <w:rsid w:val="00B43DA1"/>
    <w:rsid w:val="00B440C4"/>
    <w:rsid w:val="00B4490D"/>
    <w:rsid w:val="00B4497A"/>
    <w:rsid w:val="00B44CAA"/>
    <w:rsid w:val="00B458C6"/>
    <w:rsid w:val="00B45C78"/>
    <w:rsid w:val="00B46010"/>
    <w:rsid w:val="00B46247"/>
    <w:rsid w:val="00B463A2"/>
    <w:rsid w:val="00B463CB"/>
    <w:rsid w:val="00B463DD"/>
    <w:rsid w:val="00B468D3"/>
    <w:rsid w:val="00B46D74"/>
    <w:rsid w:val="00B47A53"/>
    <w:rsid w:val="00B47F0B"/>
    <w:rsid w:val="00B47F74"/>
    <w:rsid w:val="00B501C0"/>
    <w:rsid w:val="00B50357"/>
    <w:rsid w:val="00B51313"/>
    <w:rsid w:val="00B5139A"/>
    <w:rsid w:val="00B51BA0"/>
    <w:rsid w:val="00B51BBF"/>
    <w:rsid w:val="00B51DAC"/>
    <w:rsid w:val="00B51E3F"/>
    <w:rsid w:val="00B5233C"/>
    <w:rsid w:val="00B5259C"/>
    <w:rsid w:val="00B52A8B"/>
    <w:rsid w:val="00B52BB2"/>
    <w:rsid w:val="00B53604"/>
    <w:rsid w:val="00B53ABD"/>
    <w:rsid w:val="00B53D05"/>
    <w:rsid w:val="00B5446D"/>
    <w:rsid w:val="00B5458C"/>
    <w:rsid w:val="00B54636"/>
    <w:rsid w:val="00B546D9"/>
    <w:rsid w:val="00B546F5"/>
    <w:rsid w:val="00B54985"/>
    <w:rsid w:val="00B549B5"/>
    <w:rsid w:val="00B549CC"/>
    <w:rsid w:val="00B54A3D"/>
    <w:rsid w:val="00B54B93"/>
    <w:rsid w:val="00B54C22"/>
    <w:rsid w:val="00B54F0A"/>
    <w:rsid w:val="00B54F0D"/>
    <w:rsid w:val="00B54F8C"/>
    <w:rsid w:val="00B55249"/>
    <w:rsid w:val="00B55325"/>
    <w:rsid w:val="00B55DCF"/>
    <w:rsid w:val="00B55E27"/>
    <w:rsid w:val="00B5632F"/>
    <w:rsid w:val="00B56720"/>
    <w:rsid w:val="00B56D95"/>
    <w:rsid w:val="00B56E6D"/>
    <w:rsid w:val="00B56EC5"/>
    <w:rsid w:val="00B56F7C"/>
    <w:rsid w:val="00B571E2"/>
    <w:rsid w:val="00B57251"/>
    <w:rsid w:val="00B573F6"/>
    <w:rsid w:val="00B57681"/>
    <w:rsid w:val="00B57A2C"/>
    <w:rsid w:val="00B57E20"/>
    <w:rsid w:val="00B60608"/>
    <w:rsid w:val="00B60EE9"/>
    <w:rsid w:val="00B61736"/>
    <w:rsid w:val="00B61B1D"/>
    <w:rsid w:val="00B61BA3"/>
    <w:rsid w:val="00B61C29"/>
    <w:rsid w:val="00B62705"/>
    <w:rsid w:val="00B62772"/>
    <w:rsid w:val="00B62932"/>
    <w:rsid w:val="00B629D1"/>
    <w:rsid w:val="00B632A5"/>
    <w:rsid w:val="00B635A5"/>
    <w:rsid w:val="00B6371F"/>
    <w:rsid w:val="00B63CF1"/>
    <w:rsid w:val="00B640A9"/>
    <w:rsid w:val="00B640FB"/>
    <w:rsid w:val="00B642F0"/>
    <w:rsid w:val="00B6459A"/>
    <w:rsid w:val="00B64C56"/>
    <w:rsid w:val="00B65432"/>
    <w:rsid w:val="00B656EA"/>
    <w:rsid w:val="00B657BD"/>
    <w:rsid w:val="00B65AEB"/>
    <w:rsid w:val="00B661B7"/>
    <w:rsid w:val="00B6627C"/>
    <w:rsid w:val="00B664AF"/>
    <w:rsid w:val="00B66A73"/>
    <w:rsid w:val="00B66C85"/>
    <w:rsid w:val="00B66DC7"/>
    <w:rsid w:val="00B6758C"/>
    <w:rsid w:val="00B67622"/>
    <w:rsid w:val="00B6762A"/>
    <w:rsid w:val="00B678C5"/>
    <w:rsid w:val="00B6794D"/>
    <w:rsid w:val="00B67994"/>
    <w:rsid w:val="00B679BB"/>
    <w:rsid w:val="00B67E5E"/>
    <w:rsid w:val="00B702CF"/>
    <w:rsid w:val="00B70D11"/>
    <w:rsid w:val="00B70F55"/>
    <w:rsid w:val="00B70FA1"/>
    <w:rsid w:val="00B7127C"/>
    <w:rsid w:val="00B71B25"/>
    <w:rsid w:val="00B71EF1"/>
    <w:rsid w:val="00B7293D"/>
    <w:rsid w:val="00B72C1C"/>
    <w:rsid w:val="00B73446"/>
    <w:rsid w:val="00B734B2"/>
    <w:rsid w:val="00B7351A"/>
    <w:rsid w:val="00B737B4"/>
    <w:rsid w:val="00B73C07"/>
    <w:rsid w:val="00B73CE0"/>
    <w:rsid w:val="00B73E60"/>
    <w:rsid w:val="00B74467"/>
    <w:rsid w:val="00B74531"/>
    <w:rsid w:val="00B76323"/>
    <w:rsid w:val="00B77214"/>
    <w:rsid w:val="00B776EA"/>
    <w:rsid w:val="00B77729"/>
    <w:rsid w:val="00B77E77"/>
    <w:rsid w:val="00B80596"/>
    <w:rsid w:val="00B808B3"/>
    <w:rsid w:val="00B81235"/>
    <w:rsid w:val="00B8137C"/>
    <w:rsid w:val="00B813E5"/>
    <w:rsid w:val="00B8216C"/>
    <w:rsid w:val="00B8221F"/>
    <w:rsid w:val="00B82374"/>
    <w:rsid w:val="00B82645"/>
    <w:rsid w:val="00B82864"/>
    <w:rsid w:val="00B83126"/>
    <w:rsid w:val="00B8344C"/>
    <w:rsid w:val="00B8371E"/>
    <w:rsid w:val="00B83818"/>
    <w:rsid w:val="00B83D3A"/>
    <w:rsid w:val="00B83F08"/>
    <w:rsid w:val="00B8414E"/>
    <w:rsid w:val="00B846A9"/>
    <w:rsid w:val="00B8477A"/>
    <w:rsid w:val="00B8488C"/>
    <w:rsid w:val="00B84B76"/>
    <w:rsid w:val="00B84CBD"/>
    <w:rsid w:val="00B84CF8"/>
    <w:rsid w:val="00B84E14"/>
    <w:rsid w:val="00B84E4B"/>
    <w:rsid w:val="00B84EEC"/>
    <w:rsid w:val="00B84FF4"/>
    <w:rsid w:val="00B85467"/>
    <w:rsid w:val="00B855D3"/>
    <w:rsid w:val="00B85F11"/>
    <w:rsid w:val="00B85F49"/>
    <w:rsid w:val="00B86019"/>
    <w:rsid w:val="00B86347"/>
    <w:rsid w:val="00B8638D"/>
    <w:rsid w:val="00B86EF7"/>
    <w:rsid w:val="00B871D1"/>
    <w:rsid w:val="00B87637"/>
    <w:rsid w:val="00B87AC3"/>
    <w:rsid w:val="00B900C7"/>
    <w:rsid w:val="00B90527"/>
    <w:rsid w:val="00B9076B"/>
    <w:rsid w:val="00B90882"/>
    <w:rsid w:val="00B90B46"/>
    <w:rsid w:val="00B9105B"/>
    <w:rsid w:val="00B91147"/>
    <w:rsid w:val="00B913FA"/>
    <w:rsid w:val="00B916C1"/>
    <w:rsid w:val="00B916D9"/>
    <w:rsid w:val="00B916E2"/>
    <w:rsid w:val="00B9186A"/>
    <w:rsid w:val="00B920B7"/>
    <w:rsid w:val="00B923B5"/>
    <w:rsid w:val="00B92DFB"/>
    <w:rsid w:val="00B92FA6"/>
    <w:rsid w:val="00B938E7"/>
    <w:rsid w:val="00B939DF"/>
    <w:rsid w:val="00B93B77"/>
    <w:rsid w:val="00B94694"/>
    <w:rsid w:val="00B9481A"/>
    <w:rsid w:val="00B94BE8"/>
    <w:rsid w:val="00B94CC4"/>
    <w:rsid w:val="00B95012"/>
    <w:rsid w:val="00B956A3"/>
    <w:rsid w:val="00B95919"/>
    <w:rsid w:val="00B95B7A"/>
    <w:rsid w:val="00B95CCD"/>
    <w:rsid w:val="00B95EA8"/>
    <w:rsid w:val="00B95F56"/>
    <w:rsid w:val="00B96047"/>
    <w:rsid w:val="00B961B2"/>
    <w:rsid w:val="00B963B4"/>
    <w:rsid w:val="00B96526"/>
    <w:rsid w:val="00B96572"/>
    <w:rsid w:val="00B96E54"/>
    <w:rsid w:val="00B9735F"/>
    <w:rsid w:val="00B97482"/>
    <w:rsid w:val="00B976ED"/>
    <w:rsid w:val="00B977CA"/>
    <w:rsid w:val="00B9794B"/>
    <w:rsid w:val="00B97AD7"/>
    <w:rsid w:val="00B97E39"/>
    <w:rsid w:val="00BA0374"/>
    <w:rsid w:val="00BA03D3"/>
    <w:rsid w:val="00BA045D"/>
    <w:rsid w:val="00BA088D"/>
    <w:rsid w:val="00BA0B9A"/>
    <w:rsid w:val="00BA0C8C"/>
    <w:rsid w:val="00BA11A4"/>
    <w:rsid w:val="00BA12FC"/>
    <w:rsid w:val="00BA142C"/>
    <w:rsid w:val="00BA1593"/>
    <w:rsid w:val="00BA185C"/>
    <w:rsid w:val="00BA1D36"/>
    <w:rsid w:val="00BA1EBF"/>
    <w:rsid w:val="00BA2286"/>
    <w:rsid w:val="00BA240D"/>
    <w:rsid w:val="00BA3758"/>
    <w:rsid w:val="00BA42A4"/>
    <w:rsid w:val="00BA42AE"/>
    <w:rsid w:val="00BA4852"/>
    <w:rsid w:val="00BA4A26"/>
    <w:rsid w:val="00BA4A58"/>
    <w:rsid w:val="00BA53FB"/>
    <w:rsid w:val="00BA5767"/>
    <w:rsid w:val="00BA5B68"/>
    <w:rsid w:val="00BA5C50"/>
    <w:rsid w:val="00BA60A4"/>
    <w:rsid w:val="00BA6556"/>
    <w:rsid w:val="00BA689B"/>
    <w:rsid w:val="00BA696D"/>
    <w:rsid w:val="00BA73AE"/>
    <w:rsid w:val="00BA7631"/>
    <w:rsid w:val="00BA769D"/>
    <w:rsid w:val="00BA77ED"/>
    <w:rsid w:val="00BA7896"/>
    <w:rsid w:val="00BA7B84"/>
    <w:rsid w:val="00BA7C0D"/>
    <w:rsid w:val="00BB0341"/>
    <w:rsid w:val="00BB04A6"/>
    <w:rsid w:val="00BB0658"/>
    <w:rsid w:val="00BB0BE0"/>
    <w:rsid w:val="00BB0C25"/>
    <w:rsid w:val="00BB0C47"/>
    <w:rsid w:val="00BB103C"/>
    <w:rsid w:val="00BB1088"/>
    <w:rsid w:val="00BB11E7"/>
    <w:rsid w:val="00BB1C69"/>
    <w:rsid w:val="00BB20E5"/>
    <w:rsid w:val="00BB221A"/>
    <w:rsid w:val="00BB2465"/>
    <w:rsid w:val="00BB26CD"/>
    <w:rsid w:val="00BB2948"/>
    <w:rsid w:val="00BB2D17"/>
    <w:rsid w:val="00BB339C"/>
    <w:rsid w:val="00BB4ABC"/>
    <w:rsid w:val="00BB4BF4"/>
    <w:rsid w:val="00BB4E04"/>
    <w:rsid w:val="00BB4EC5"/>
    <w:rsid w:val="00BB4F1F"/>
    <w:rsid w:val="00BB565C"/>
    <w:rsid w:val="00BB58FB"/>
    <w:rsid w:val="00BB5B86"/>
    <w:rsid w:val="00BB602B"/>
    <w:rsid w:val="00BB62E2"/>
    <w:rsid w:val="00BB6DF6"/>
    <w:rsid w:val="00BB791F"/>
    <w:rsid w:val="00BB7AB9"/>
    <w:rsid w:val="00BB7EBF"/>
    <w:rsid w:val="00BB7F2D"/>
    <w:rsid w:val="00BC15AE"/>
    <w:rsid w:val="00BC17AE"/>
    <w:rsid w:val="00BC1AE4"/>
    <w:rsid w:val="00BC21B4"/>
    <w:rsid w:val="00BC2480"/>
    <w:rsid w:val="00BC2A01"/>
    <w:rsid w:val="00BC30FC"/>
    <w:rsid w:val="00BC3668"/>
    <w:rsid w:val="00BC39C3"/>
    <w:rsid w:val="00BC3F49"/>
    <w:rsid w:val="00BC4150"/>
    <w:rsid w:val="00BC4205"/>
    <w:rsid w:val="00BC4300"/>
    <w:rsid w:val="00BC44F6"/>
    <w:rsid w:val="00BC4907"/>
    <w:rsid w:val="00BC4A43"/>
    <w:rsid w:val="00BC502E"/>
    <w:rsid w:val="00BC50BE"/>
    <w:rsid w:val="00BC5503"/>
    <w:rsid w:val="00BC563F"/>
    <w:rsid w:val="00BC6391"/>
    <w:rsid w:val="00BC65D1"/>
    <w:rsid w:val="00BC6989"/>
    <w:rsid w:val="00BC6E61"/>
    <w:rsid w:val="00BC77AA"/>
    <w:rsid w:val="00BC796C"/>
    <w:rsid w:val="00BC7B2F"/>
    <w:rsid w:val="00BD0694"/>
    <w:rsid w:val="00BD06FC"/>
    <w:rsid w:val="00BD0878"/>
    <w:rsid w:val="00BD0B34"/>
    <w:rsid w:val="00BD0D77"/>
    <w:rsid w:val="00BD12A8"/>
    <w:rsid w:val="00BD1384"/>
    <w:rsid w:val="00BD1561"/>
    <w:rsid w:val="00BD1A4A"/>
    <w:rsid w:val="00BD1A66"/>
    <w:rsid w:val="00BD1CBF"/>
    <w:rsid w:val="00BD1FD8"/>
    <w:rsid w:val="00BD221A"/>
    <w:rsid w:val="00BD2235"/>
    <w:rsid w:val="00BD2A5D"/>
    <w:rsid w:val="00BD2BE3"/>
    <w:rsid w:val="00BD2C19"/>
    <w:rsid w:val="00BD2C39"/>
    <w:rsid w:val="00BD2EF3"/>
    <w:rsid w:val="00BD34FA"/>
    <w:rsid w:val="00BD37CD"/>
    <w:rsid w:val="00BD3886"/>
    <w:rsid w:val="00BD3C26"/>
    <w:rsid w:val="00BD43FC"/>
    <w:rsid w:val="00BD4E45"/>
    <w:rsid w:val="00BD4FAD"/>
    <w:rsid w:val="00BD5044"/>
    <w:rsid w:val="00BD5FC9"/>
    <w:rsid w:val="00BD6410"/>
    <w:rsid w:val="00BD6A33"/>
    <w:rsid w:val="00BD6E7B"/>
    <w:rsid w:val="00BD6ED1"/>
    <w:rsid w:val="00BD70E8"/>
    <w:rsid w:val="00BD744C"/>
    <w:rsid w:val="00BD7863"/>
    <w:rsid w:val="00BD7CB8"/>
    <w:rsid w:val="00BD7D61"/>
    <w:rsid w:val="00BE00F6"/>
    <w:rsid w:val="00BE0379"/>
    <w:rsid w:val="00BE04A7"/>
    <w:rsid w:val="00BE07EA"/>
    <w:rsid w:val="00BE0AB6"/>
    <w:rsid w:val="00BE0CFD"/>
    <w:rsid w:val="00BE0ED0"/>
    <w:rsid w:val="00BE1286"/>
    <w:rsid w:val="00BE14A6"/>
    <w:rsid w:val="00BE203E"/>
    <w:rsid w:val="00BE2484"/>
    <w:rsid w:val="00BE26A5"/>
    <w:rsid w:val="00BE2B58"/>
    <w:rsid w:val="00BE3431"/>
    <w:rsid w:val="00BE378B"/>
    <w:rsid w:val="00BE4194"/>
    <w:rsid w:val="00BE41B8"/>
    <w:rsid w:val="00BE4283"/>
    <w:rsid w:val="00BE462F"/>
    <w:rsid w:val="00BE4713"/>
    <w:rsid w:val="00BE4991"/>
    <w:rsid w:val="00BE49DD"/>
    <w:rsid w:val="00BE5425"/>
    <w:rsid w:val="00BE6EE2"/>
    <w:rsid w:val="00BE6F22"/>
    <w:rsid w:val="00BE7169"/>
    <w:rsid w:val="00BF0A3C"/>
    <w:rsid w:val="00BF0B7B"/>
    <w:rsid w:val="00BF0E52"/>
    <w:rsid w:val="00BF13EA"/>
    <w:rsid w:val="00BF15B8"/>
    <w:rsid w:val="00BF1696"/>
    <w:rsid w:val="00BF192E"/>
    <w:rsid w:val="00BF1F7F"/>
    <w:rsid w:val="00BF21FC"/>
    <w:rsid w:val="00BF2516"/>
    <w:rsid w:val="00BF2546"/>
    <w:rsid w:val="00BF27F7"/>
    <w:rsid w:val="00BF3257"/>
    <w:rsid w:val="00BF36C4"/>
    <w:rsid w:val="00BF3741"/>
    <w:rsid w:val="00BF3775"/>
    <w:rsid w:val="00BF48EB"/>
    <w:rsid w:val="00BF4E53"/>
    <w:rsid w:val="00BF4EC9"/>
    <w:rsid w:val="00BF50E9"/>
    <w:rsid w:val="00BF540D"/>
    <w:rsid w:val="00BF5964"/>
    <w:rsid w:val="00BF5A50"/>
    <w:rsid w:val="00BF5C73"/>
    <w:rsid w:val="00BF60DC"/>
    <w:rsid w:val="00BF6F18"/>
    <w:rsid w:val="00BF71A4"/>
    <w:rsid w:val="00BF7B17"/>
    <w:rsid w:val="00BF7E38"/>
    <w:rsid w:val="00C00018"/>
    <w:rsid w:val="00C00784"/>
    <w:rsid w:val="00C0092A"/>
    <w:rsid w:val="00C00B81"/>
    <w:rsid w:val="00C0104E"/>
    <w:rsid w:val="00C0118C"/>
    <w:rsid w:val="00C01482"/>
    <w:rsid w:val="00C0152B"/>
    <w:rsid w:val="00C01752"/>
    <w:rsid w:val="00C01B49"/>
    <w:rsid w:val="00C01BF3"/>
    <w:rsid w:val="00C01D60"/>
    <w:rsid w:val="00C0278D"/>
    <w:rsid w:val="00C02DA1"/>
    <w:rsid w:val="00C02FE7"/>
    <w:rsid w:val="00C03BF5"/>
    <w:rsid w:val="00C03C0F"/>
    <w:rsid w:val="00C03D7E"/>
    <w:rsid w:val="00C041C7"/>
    <w:rsid w:val="00C045C7"/>
    <w:rsid w:val="00C04964"/>
    <w:rsid w:val="00C04D5F"/>
    <w:rsid w:val="00C05860"/>
    <w:rsid w:val="00C05A34"/>
    <w:rsid w:val="00C05A7C"/>
    <w:rsid w:val="00C05B04"/>
    <w:rsid w:val="00C05CA4"/>
    <w:rsid w:val="00C060B3"/>
    <w:rsid w:val="00C061C8"/>
    <w:rsid w:val="00C062C7"/>
    <w:rsid w:val="00C0639B"/>
    <w:rsid w:val="00C0644B"/>
    <w:rsid w:val="00C066EE"/>
    <w:rsid w:val="00C0672F"/>
    <w:rsid w:val="00C06860"/>
    <w:rsid w:val="00C072AB"/>
    <w:rsid w:val="00C07489"/>
    <w:rsid w:val="00C07496"/>
    <w:rsid w:val="00C077B5"/>
    <w:rsid w:val="00C07978"/>
    <w:rsid w:val="00C07DF0"/>
    <w:rsid w:val="00C07FAD"/>
    <w:rsid w:val="00C10375"/>
    <w:rsid w:val="00C103F2"/>
    <w:rsid w:val="00C109C3"/>
    <w:rsid w:val="00C10A9E"/>
    <w:rsid w:val="00C10C40"/>
    <w:rsid w:val="00C1102E"/>
    <w:rsid w:val="00C1121A"/>
    <w:rsid w:val="00C113BD"/>
    <w:rsid w:val="00C11549"/>
    <w:rsid w:val="00C11645"/>
    <w:rsid w:val="00C11762"/>
    <w:rsid w:val="00C11BCA"/>
    <w:rsid w:val="00C1271A"/>
    <w:rsid w:val="00C12EB4"/>
    <w:rsid w:val="00C13171"/>
    <w:rsid w:val="00C13270"/>
    <w:rsid w:val="00C13442"/>
    <w:rsid w:val="00C135EA"/>
    <w:rsid w:val="00C1396F"/>
    <w:rsid w:val="00C13A31"/>
    <w:rsid w:val="00C13B53"/>
    <w:rsid w:val="00C13C18"/>
    <w:rsid w:val="00C14441"/>
    <w:rsid w:val="00C14523"/>
    <w:rsid w:val="00C146AC"/>
    <w:rsid w:val="00C149D8"/>
    <w:rsid w:val="00C14AAB"/>
    <w:rsid w:val="00C14C2E"/>
    <w:rsid w:val="00C14C75"/>
    <w:rsid w:val="00C14D84"/>
    <w:rsid w:val="00C14E1D"/>
    <w:rsid w:val="00C14E82"/>
    <w:rsid w:val="00C15034"/>
    <w:rsid w:val="00C1503B"/>
    <w:rsid w:val="00C15B30"/>
    <w:rsid w:val="00C15C74"/>
    <w:rsid w:val="00C15C9D"/>
    <w:rsid w:val="00C15DE1"/>
    <w:rsid w:val="00C16055"/>
    <w:rsid w:val="00C1605A"/>
    <w:rsid w:val="00C16089"/>
    <w:rsid w:val="00C16175"/>
    <w:rsid w:val="00C163FF"/>
    <w:rsid w:val="00C16753"/>
    <w:rsid w:val="00C17248"/>
    <w:rsid w:val="00C17B36"/>
    <w:rsid w:val="00C17EF6"/>
    <w:rsid w:val="00C17F60"/>
    <w:rsid w:val="00C201F5"/>
    <w:rsid w:val="00C2067E"/>
    <w:rsid w:val="00C20998"/>
    <w:rsid w:val="00C20EE8"/>
    <w:rsid w:val="00C21348"/>
    <w:rsid w:val="00C21847"/>
    <w:rsid w:val="00C21905"/>
    <w:rsid w:val="00C21971"/>
    <w:rsid w:val="00C21D25"/>
    <w:rsid w:val="00C21EFA"/>
    <w:rsid w:val="00C21F0A"/>
    <w:rsid w:val="00C2214E"/>
    <w:rsid w:val="00C221AA"/>
    <w:rsid w:val="00C222A5"/>
    <w:rsid w:val="00C2239B"/>
    <w:rsid w:val="00C22502"/>
    <w:rsid w:val="00C22525"/>
    <w:rsid w:val="00C23017"/>
    <w:rsid w:val="00C2372D"/>
    <w:rsid w:val="00C23EE8"/>
    <w:rsid w:val="00C24027"/>
    <w:rsid w:val="00C2459C"/>
    <w:rsid w:val="00C2470E"/>
    <w:rsid w:val="00C247F1"/>
    <w:rsid w:val="00C24867"/>
    <w:rsid w:val="00C2491C"/>
    <w:rsid w:val="00C24B78"/>
    <w:rsid w:val="00C24CDD"/>
    <w:rsid w:val="00C24DC6"/>
    <w:rsid w:val="00C250AC"/>
    <w:rsid w:val="00C25B72"/>
    <w:rsid w:val="00C26C51"/>
    <w:rsid w:val="00C270FC"/>
    <w:rsid w:val="00C2765A"/>
    <w:rsid w:val="00C27E0F"/>
    <w:rsid w:val="00C27E69"/>
    <w:rsid w:val="00C30619"/>
    <w:rsid w:val="00C30CFA"/>
    <w:rsid w:val="00C31042"/>
    <w:rsid w:val="00C3235B"/>
    <w:rsid w:val="00C32508"/>
    <w:rsid w:val="00C32539"/>
    <w:rsid w:val="00C326F7"/>
    <w:rsid w:val="00C32BEF"/>
    <w:rsid w:val="00C33AC5"/>
    <w:rsid w:val="00C33ED2"/>
    <w:rsid w:val="00C33FDB"/>
    <w:rsid w:val="00C3401F"/>
    <w:rsid w:val="00C34360"/>
    <w:rsid w:val="00C3443E"/>
    <w:rsid w:val="00C3470D"/>
    <w:rsid w:val="00C34C40"/>
    <w:rsid w:val="00C34CD8"/>
    <w:rsid w:val="00C34FA7"/>
    <w:rsid w:val="00C35367"/>
    <w:rsid w:val="00C35545"/>
    <w:rsid w:val="00C35613"/>
    <w:rsid w:val="00C363EF"/>
    <w:rsid w:val="00C36448"/>
    <w:rsid w:val="00C3688B"/>
    <w:rsid w:val="00C36BA9"/>
    <w:rsid w:val="00C36D74"/>
    <w:rsid w:val="00C36F56"/>
    <w:rsid w:val="00C37047"/>
    <w:rsid w:val="00C37081"/>
    <w:rsid w:val="00C372AE"/>
    <w:rsid w:val="00C37442"/>
    <w:rsid w:val="00C37B8C"/>
    <w:rsid w:val="00C401BF"/>
    <w:rsid w:val="00C4024F"/>
    <w:rsid w:val="00C4041B"/>
    <w:rsid w:val="00C4062A"/>
    <w:rsid w:val="00C40923"/>
    <w:rsid w:val="00C40A36"/>
    <w:rsid w:val="00C40B5E"/>
    <w:rsid w:val="00C4122E"/>
    <w:rsid w:val="00C4123D"/>
    <w:rsid w:val="00C41541"/>
    <w:rsid w:val="00C415EB"/>
    <w:rsid w:val="00C41A16"/>
    <w:rsid w:val="00C41BC2"/>
    <w:rsid w:val="00C41BDA"/>
    <w:rsid w:val="00C41BE7"/>
    <w:rsid w:val="00C41D39"/>
    <w:rsid w:val="00C41DAF"/>
    <w:rsid w:val="00C41DC7"/>
    <w:rsid w:val="00C41E09"/>
    <w:rsid w:val="00C42278"/>
    <w:rsid w:val="00C4280C"/>
    <w:rsid w:val="00C42C2A"/>
    <w:rsid w:val="00C42F43"/>
    <w:rsid w:val="00C43AED"/>
    <w:rsid w:val="00C43F5C"/>
    <w:rsid w:val="00C43F8F"/>
    <w:rsid w:val="00C44678"/>
    <w:rsid w:val="00C44D71"/>
    <w:rsid w:val="00C44E27"/>
    <w:rsid w:val="00C454C6"/>
    <w:rsid w:val="00C455E8"/>
    <w:rsid w:val="00C45619"/>
    <w:rsid w:val="00C459BB"/>
    <w:rsid w:val="00C45B32"/>
    <w:rsid w:val="00C45C15"/>
    <w:rsid w:val="00C45DF4"/>
    <w:rsid w:val="00C45FA8"/>
    <w:rsid w:val="00C46018"/>
    <w:rsid w:val="00C462FB"/>
    <w:rsid w:val="00C4630D"/>
    <w:rsid w:val="00C46585"/>
    <w:rsid w:val="00C46B03"/>
    <w:rsid w:val="00C46CFE"/>
    <w:rsid w:val="00C4716C"/>
    <w:rsid w:val="00C47ABF"/>
    <w:rsid w:val="00C47DD8"/>
    <w:rsid w:val="00C50D03"/>
    <w:rsid w:val="00C51AAB"/>
    <w:rsid w:val="00C52109"/>
    <w:rsid w:val="00C52181"/>
    <w:rsid w:val="00C52665"/>
    <w:rsid w:val="00C526F8"/>
    <w:rsid w:val="00C5285C"/>
    <w:rsid w:val="00C52F8E"/>
    <w:rsid w:val="00C5330C"/>
    <w:rsid w:val="00C534CC"/>
    <w:rsid w:val="00C536B8"/>
    <w:rsid w:val="00C53AE1"/>
    <w:rsid w:val="00C53B81"/>
    <w:rsid w:val="00C53DEA"/>
    <w:rsid w:val="00C543C2"/>
    <w:rsid w:val="00C54861"/>
    <w:rsid w:val="00C54E86"/>
    <w:rsid w:val="00C551A9"/>
    <w:rsid w:val="00C5531C"/>
    <w:rsid w:val="00C55483"/>
    <w:rsid w:val="00C554B0"/>
    <w:rsid w:val="00C56107"/>
    <w:rsid w:val="00C561EC"/>
    <w:rsid w:val="00C562C3"/>
    <w:rsid w:val="00C56ABD"/>
    <w:rsid w:val="00C56E23"/>
    <w:rsid w:val="00C56FBC"/>
    <w:rsid w:val="00C571AA"/>
    <w:rsid w:val="00C57219"/>
    <w:rsid w:val="00C572AB"/>
    <w:rsid w:val="00C5769A"/>
    <w:rsid w:val="00C5772C"/>
    <w:rsid w:val="00C57B9D"/>
    <w:rsid w:val="00C57FDE"/>
    <w:rsid w:val="00C60025"/>
    <w:rsid w:val="00C603D4"/>
    <w:rsid w:val="00C6052B"/>
    <w:rsid w:val="00C60648"/>
    <w:rsid w:val="00C60DBD"/>
    <w:rsid w:val="00C61001"/>
    <w:rsid w:val="00C613D4"/>
    <w:rsid w:val="00C614C0"/>
    <w:rsid w:val="00C617FE"/>
    <w:rsid w:val="00C61C2F"/>
    <w:rsid w:val="00C61D56"/>
    <w:rsid w:val="00C61DD3"/>
    <w:rsid w:val="00C6220A"/>
    <w:rsid w:val="00C62325"/>
    <w:rsid w:val="00C6265F"/>
    <w:rsid w:val="00C626B7"/>
    <w:rsid w:val="00C62913"/>
    <w:rsid w:val="00C62BF1"/>
    <w:rsid w:val="00C62C6D"/>
    <w:rsid w:val="00C62E5D"/>
    <w:rsid w:val="00C62FD4"/>
    <w:rsid w:val="00C63209"/>
    <w:rsid w:val="00C6346C"/>
    <w:rsid w:val="00C63CCC"/>
    <w:rsid w:val="00C63D03"/>
    <w:rsid w:val="00C63FA9"/>
    <w:rsid w:val="00C64025"/>
    <w:rsid w:val="00C6447A"/>
    <w:rsid w:val="00C6466B"/>
    <w:rsid w:val="00C6466C"/>
    <w:rsid w:val="00C64E0D"/>
    <w:rsid w:val="00C64EF1"/>
    <w:rsid w:val="00C6562F"/>
    <w:rsid w:val="00C658A3"/>
    <w:rsid w:val="00C65EE5"/>
    <w:rsid w:val="00C660CF"/>
    <w:rsid w:val="00C66506"/>
    <w:rsid w:val="00C666A2"/>
    <w:rsid w:val="00C66763"/>
    <w:rsid w:val="00C66CEB"/>
    <w:rsid w:val="00C674C9"/>
    <w:rsid w:val="00C678E5"/>
    <w:rsid w:val="00C67AD5"/>
    <w:rsid w:val="00C702A9"/>
    <w:rsid w:val="00C70346"/>
    <w:rsid w:val="00C705DA"/>
    <w:rsid w:val="00C708FD"/>
    <w:rsid w:val="00C70A59"/>
    <w:rsid w:val="00C70A7F"/>
    <w:rsid w:val="00C70F1B"/>
    <w:rsid w:val="00C7102E"/>
    <w:rsid w:val="00C715A4"/>
    <w:rsid w:val="00C71617"/>
    <w:rsid w:val="00C720CE"/>
    <w:rsid w:val="00C7210B"/>
    <w:rsid w:val="00C72113"/>
    <w:rsid w:val="00C726C0"/>
    <w:rsid w:val="00C72D2A"/>
    <w:rsid w:val="00C72DCD"/>
    <w:rsid w:val="00C730DD"/>
    <w:rsid w:val="00C73839"/>
    <w:rsid w:val="00C7389A"/>
    <w:rsid w:val="00C73A8E"/>
    <w:rsid w:val="00C73B57"/>
    <w:rsid w:val="00C74584"/>
    <w:rsid w:val="00C74B46"/>
    <w:rsid w:val="00C74DB1"/>
    <w:rsid w:val="00C74FB5"/>
    <w:rsid w:val="00C7505F"/>
    <w:rsid w:val="00C75264"/>
    <w:rsid w:val="00C7534C"/>
    <w:rsid w:val="00C753D0"/>
    <w:rsid w:val="00C755C8"/>
    <w:rsid w:val="00C757DD"/>
    <w:rsid w:val="00C76AC8"/>
    <w:rsid w:val="00C76B6E"/>
    <w:rsid w:val="00C76CF6"/>
    <w:rsid w:val="00C76EF2"/>
    <w:rsid w:val="00C7700E"/>
    <w:rsid w:val="00C8000C"/>
    <w:rsid w:val="00C80046"/>
    <w:rsid w:val="00C8046E"/>
    <w:rsid w:val="00C8062E"/>
    <w:rsid w:val="00C80641"/>
    <w:rsid w:val="00C806C3"/>
    <w:rsid w:val="00C80D6C"/>
    <w:rsid w:val="00C80FAC"/>
    <w:rsid w:val="00C8102E"/>
    <w:rsid w:val="00C812A7"/>
    <w:rsid w:val="00C8169B"/>
    <w:rsid w:val="00C8197D"/>
    <w:rsid w:val="00C81C8E"/>
    <w:rsid w:val="00C81D46"/>
    <w:rsid w:val="00C821EF"/>
    <w:rsid w:val="00C82740"/>
    <w:rsid w:val="00C82817"/>
    <w:rsid w:val="00C82D3E"/>
    <w:rsid w:val="00C82D78"/>
    <w:rsid w:val="00C82F20"/>
    <w:rsid w:val="00C82F44"/>
    <w:rsid w:val="00C83101"/>
    <w:rsid w:val="00C83463"/>
    <w:rsid w:val="00C838E6"/>
    <w:rsid w:val="00C83A91"/>
    <w:rsid w:val="00C83B3A"/>
    <w:rsid w:val="00C83C6E"/>
    <w:rsid w:val="00C83CBB"/>
    <w:rsid w:val="00C83F50"/>
    <w:rsid w:val="00C84E03"/>
    <w:rsid w:val="00C851E8"/>
    <w:rsid w:val="00C85788"/>
    <w:rsid w:val="00C867ED"/>
    <w:rsid w:val="00C8680F"/>
    <w:rsid w:val="00C86C15"/>
    <w:rsid w:val="00C86CB9"/>
    <w:rsid w:val="00C86EC0"/>
    <w:rsid w:val="00C86FA7"/>
    <w:rsid w:val="00C87A50"/>
    <w:rsid w:val="00C87EDB"/>
    <w:rsid w:val="00C87F09"/>
    <w:rsid w:val="00C900CD"/>
    <w:rsid w:val="00C901EC"/>
    <w:rsid w:val="00C909C7"/>
    <w:rsid w:val="00C90DDC"/>
    <w:rsid w:val="00C91447"/>
    <w:rsid w:val="00C92731"/>
    <w:rsid w:val="00C92BB0"/>
    <w:rsid w:val="00C93153"/>
    <w:rsid w:val="00C9364F"/>
    <w:rsid w:val="00C942B8"/>
    <w:rsid w:val="00C94300"/>
    <w:rsid w:val="00C9471F"/>
    <w:rsid w:val="00C94FC6"/>
    <w:rsid w:val="00C951DD"/>
    <w:rsid w:val="00C952A1"/>
    <w:rsid w:val="00C953F8"/>
    <w:rsid w:val="00C9550A"/>
    <w:rsid w:val="00C95904"/>
    <w:rsid w:val="00C9598F"/>
    <w:rsid w:val="00C96456"/>
    <w:rsid w:val="00C967CE"/>
    <w:rsid w:val="00C96D76"/>
    <w:rsid w:val="00C97324"/>
    <w:rsid w:val="00C9755A"/>
    <w:rsid w:val="00C97A8A"/>
    <w:rsid w:val="00C97AED"/>
    <w:rsid w:val="00C97F58"/>
    <w:rsid w:val="00CA00AF"/>
    <w:rsid w:val="00CA0287"/>
    <w:rsid w:val="00CA05BE"/>
    <w:rsid w:val="00CA06E1"/>
    <w:rsid w:val="00CA06FF"/>
    <w:rsid w:val="00CA07BF"/>
    <w:rsid w:val="00CA0E18"/>
    <w:rsid w:val="00CA2200"/>
    <w:rsid w:val="00CA2769"/>
    <w:rsid w:val="00CA28F1"/>
    <w:rsid w:val="00CA2A80"/>
    <w:rsid w:val="00CA2C44"/>
    <w:rsid w:val="00CA2CBD"/>
    <w:rsid w:val="00CA2E87"/>
    <w:rsid w:val="00CA3572"/>
    <w:rsid w:val="00CA35F4"/>
    <w:rsid w:val="00CA3708"/>
    <w:rsid w:val="00CA37D5"/>
    <w:rsid w:val="00CA38DE"/>
    <w:rsid w:val="00CA3FA2"/>
    <w:rsid w:val="00CA3FFE"/>
    <w:rsid w:val="00CA4110"/>
    <w:rsid w:val="00CA4359"/>
    <w:rsid w:val="00CA4949"/>
    <w:rsid w:val="00CA4953"/>
    <w:rsid w:val="00CA4ADA"/>
    <w:rsid w:val="00CA4E22"/>
    <w:rsid w:val="00CA4F43"/>
    <w:rsid w:val="00CA53D5"/>
    <w:rsid w:val="00CA5463"/>
    <w:rsid w:val="00CA5DC0"/>
    <w:rsid w:val="00CA6065"/>
    <w:rsid w:val="00CA6CB2"/>
    <w:rsid w:val="00CA79E3"/>
    <w:rsid w:val="00CA7E18"/>
    <w:rsid w:val="00CB056C"/>
    <w:rsid w:val="00CB08A1"/>
    <w:rsid w:val="00CB0CDF"/>
    <w:rsid w:val="00CB15BE"/>
    <w:rsid w:val="00CB1915"/>
    <w:rsid w:val="00CB1940"/>
    <w:rsid w:val="00CB1CF7"/>
    <w:rsid w:val="00CB2069"/>
    <w:rsid w:val="00CB21A0"/>
    <w:rsid w:val="00CB2568"/>
    <w:rsid w:val="00CB2816"/>
    <w:rsid w:val="00CB35AE"/>
    <w:rsid w:val="00CB38ED"/>
    <w:rsid w:val="00CB3923"/>
    <w:rsid w:val="00CB3AC2"/>
    <w:rsid w:val="00CB47B5"/>
    <w:rsid w:val="00CB4A68"/>
    <w:rsid w:val="00CB4D98"/>
    <w:rsid w:val="00CB4E69"/>
    <w:rsid w:val="00CB502C"/>
    <w:rsid w:val="00CB5551"/>
    <w:rsid w:val="00CB5F78"/>
    <w:rsid w:val="00CB5F80"/>
    <w:rsid w:val="00CB6328"/>
    <w:rsid w:val="00CB657C"/>
    <w:rsid w:val="00CB69D9"/>
    <w:rsid w:val="00CB6A07"/>
    <w:rsid w:val="00CB6AF1"/>
    <w:rsid w:val="00CB7050"/>
    <w:rsid w:val="00CB716E"/>
    <w:rsid w:val="00CB72B8"/>
    <w:rsid w:val="00CB76FF"/>
    <w:rsid w:val="00CB7AD7"/>
    <w:rsid w:val="00CB7D4E"/>
    <w:rsid w:val="00CC007C"/>
    <w:rsid w:val="00CC05EA"/>
    <w:rsid w:val="00CC0F3C"/>
    <w:rsid w:val="00CC1008"/>
    <w:rsid w:val="00CC11DF"/>
    <w:rsid w:val="00CC1223"/>
    <w:rsid w:val="00CC1972"/>
    <w:rsid w:val="00CC1AE9"/>
    <w:rsid w:val="00CC1C22"/>
    <w:rsid w:val="00CC1D4B"/>
    <w:rsid w:val="00CC1D87"/>
    <w:rsid w:val="00CC201A"/>
    <w:rsid w:val="00CC2AA9"/>
    <w:rsid w:val="00CC2D58"/>
    <w:rsid w:val="00CC2E1D"/>
    <w:rsid w:val="00CC2E42"/>
    <w:rsid w:val="00CC2EAF"/>
    <w:rsid w:val="00CC354C"/>
    <w:rsid w:val="00CC3A89"/>
    <w:rsid w:val="00CC43B6"/>
    <w:rsid w:val="00CC4822"/>
    <w:rsid w:val="00CC4873"/>
    <w:rsid w:val="00CC4D82"/>
    <w:rsid w:val="00CC56B2"/>
    <w:rsid w:val="00CC58B3"/>
    <w:rsid w:val="00CC595C"/>
    <w:rsid w:val="00CC5A68"/>
    <w:rsid w:val="00CC60E2"/>
    <w:rsid w:val="00CC62FA"/>
    <w:rsid w:val="00CC659B"/>
    <w:rsid w:val="00CC77B4"/>
    <w:rsid w:val="00CC7EF9"/>
    <w:rsid w:val="00CC7F5C"/>
    <w:rsid w:val="00CD0D1A"/>
    <w:rsid w:val="00CD125F"/>
    <w:rsid w:val="00CD13F8"/>
    <w:rsid w:val="00CD157D"/>
    <w:rsid w:val="00CD1648"/>
    <w:rsid w:val="00CD1844"/>
    <w:rsid w:val="00CD1982"/>
    <w:rsid w:val="00CD1DF9"/>
    <w:rsid w:val="00CD20D2"/>
    <w:rsid w:val="00CD257B"/>
    <w:rsid w:val="00CD31AE"/>
    <w:rsid w:val="00CD33D0"/>
    <w:rsid w:val="00CD363A"/>
    <w:rsid w:val="00CD3644"/>
    <w:rsid w:val="00CD45E7"/>
    <w:rsid w:val="00CD495B"/>
    <w:rsid w:val="00CD4FB9"/>
    <w:rsid w:val="00CD5629"/>
    <w:rsid w:val="00CD5B64"/>
    <w:rsid w:val="00CD60ED"/>
    <w:rsid w:val="00CD6204"/>
    <w:rsid w:val="00CD635E"/>
    <w:rsid w:val="00CD64D7"/>
    <w:rsid w:val="00CD65EE"/>
    <w:rsid w:val="00CD6A74"/>
    <w:rsid w:val="00CD6B43"/>
    <w:rsid w:val="00CD7354"/>
    <w:rsid w:val="00CD75E7"/>
    <w:rsid w:val="00CD784E"/>
    <w:rsid w:val="00CD7CE2"/>
    <w:rsid w:val="00CE05CA"/>
    <w:rsid w:val="00CE05D3"/>
    <w:rsid w:val="00CE0AFD"/>
    <w:rsid w:val="00CE11A1"/>
    <w:rsid w:val="00CE1317"/>
    <w:rsid w:val="00CE1437"/>
    <w:rsid w:val="00CE14AF"/>
    <w:rsid w:val="00CE16D0"/>
    <w:rsid w:val="00CE1F63"/>
    <w:rsid w:val="00CE22C5"/>
    <w:rsid w:val="00CE23B8"/>
    <w:rsid w:val="00CE24F9"/>
    <w:rsid w:val="00CE3198"/>
    <w:rsid w:val="00CE3828"/>
    <w:rsid w:val="00CE3A64"/>
    <w:rsid w:val="00CE3B03"/>
    <w:rsid w:val="00CE3B0D"/>
    <w:rsid w:val="00CE4CB1"/>
    <w:rsid w:val="00CE595C"/>
    <w:rsid w:val="00CE5AD8"/>
    <w:rsid w:val="00CE6074"/>
    <w:rsid w:val="00CE60EB"/>
    <w:rsid w:val="00CE6185"/>
    <w:rsid w:val="00CE63BA"/>
    <w:rsid w:val="00CE64D3"/>
    <w:rsid w:val="00CE6A42"/>
    <w:rsid w:val="00CE6B12"/>
    <w:rsid w:val="00CE7580"/>
    <w:rsid w:val="00CE76AD"/>
    <w:rsid w:val="00CE79A5"/>
    <w:rsid w:val="00CE7A5E"/>
    <w:rsid w:val="00CF02F8"/>
    <w:rsid w:val="00CF06F3"/>
    <w:rsid w:val="00CF1486"/>
    <w:rsid w:val="00CF1999"/>
    <w:rsid w:val="00CF1FC4"/>
    <w:rsid w:val="00CF2130"/>
    <w:rsid w:val="00CF2217"/>
    <w:rsid w:val="00CF238F"/>
    <w:rsid w:val="00CF2392"/>
    <w:rsid w:val="00CF24ED"/>
    <w:rsid w:val="00CF2740"/>
    <w:rsid w:val="00CF28BD"/>
    <w:rsid w:val="00CF2D14"/>
    <w:rsid w:val="00CF2FF1"/>
    <w:rsid w:val="00CF3019"/>
    <w:rsid w:val="00CF31F2"/>
    <w:rsid w:val="00CF33A5"/>
    <w:rsid w:val="00CF3FCE"/>
    <w:rsid w:val="00CF3FEC"/>
    <w:rsid w:val="00CF4438"/>
    <w:rsid w:val="00CF4503"/>
    <w:rsid w:val="00CF4A88"/>
    <w:rsid w:val="00CF4CAE"/>
    <w:rsid w:val="00CF4DA8"/>
    <w:rsid w:val="00CF4E49"/>
    <w:rsid w:val="00CF4FA8"/>
    <w:rsid w:val="00CF5380"/>
    <w:rsid w:val="00CF59E3"/>
    <w:rsid w:val="00CF5B28"/>
    <w:rsid w:val="00CF5DD3"/>
    <w:rsid w:val="00CF6002"/>
    <w:rsid w:val="00CF600F"/>
    <w:rsid w:val="00CF62CE"/>
    <w:rsid w:val="00CF6FC4"/>
    <w:rsid w:val="00CF7131"/>
    <w:rsid w:val="00CF76CD"/>
    <w:rsid w:val="00CF7C40"/>
    <w:rsid w:val="00CF7D8C"/>
    <w:rsid w:val="00D00150"/>
    <w:rsid w:val="00D0029E"/>
    <w:rsid w:val="00D00446"/>
    <w:rsid w:val="00D009E3"/>
    <w:rsid w:val="00D01969"/>
    <w:rsid w:val="00D01CC0"/>
    <w:rsid w:val="00D01E1F"/>
    <w:rsid w:val="00D01ED3"/>
    <w:rsid w:val="00D02242"/>
    <w:rsid w:val="00D02293"/>
    <w:rsid w:val="00D022D2"/>
    <w:rsid w:val="00D024BF"/>
    <w:rsid w:val="00D0283C"/>
    <w:rsid w:val="00D02CCB"/>
    <w:rsid w:val="00D03217"/>
    <w:rsid w:val="00D0382B"/>
    <w:rsid w:val="00D03B00"/>
    <w:rsid w:val="00D03BD8"/>
    <w:rsid w:val="00D03BDE"/>
    <w:rsid w:val="00D03F52"/>
    <w:rsid w:val="00D040A5"/>
    <w:rsid w:val="00D0456B"/>
    <w:rsid w:val="00D04ACB"/>
    <w:rsid w:val="00D04DFF"/>
    <w:rsid w:val="00D04EA9"/>
    <w:rsid w:val="00D04FC0"/>
    <w:rsid w:val="00D050AC"/>
    <w:rsid w:val="00D052CA"/>
    <w:rsid w:val="00D061C2"/>
    <w:rsid w:val="00D064D7"/>
    <w:rsid w:val="00D068E4"/>
    <w:rsid w:val="00D069AA"/>
    <w:rsid w:val="00D07306"/>
    <w:rsid w:val="00D077DF"/>
    <w:rsid w:val="00D0792B"/>
    <w:rsid w:val="00D079B4"/>
    <w:rsid w:val="00D10102"/>
    <w:rsid w:val="00D10134"/>
    <w:rsid w:val="00D10155"/>
    <w:rsid w:val="00D10574"/>
    <w:rsid w:val="00D10983"/>
    <w:rsid w:val="00D10DA3"/>
    <w:rsid w:val="00D11B5B"/>
    <w:rsid w:val="00D11BD1"/>
    <w:rsid w:val="00D11C88"/>
    <w:rsid w:val="00D11DD0"/>
    <w:rsid w:val="00D11E88"/>
    <w:rsid w:val="00D11F71"/>
    <w:rsid w:val="00D12386"/>
    <w:rsid w:val="00D12CEF"/>
    <w:rsid w:val="00D12D6E"/>
    <w:rsid w:val="00D130A9"/>
    <w:rsid w:val="00D132B3"/>
    <w:rsid w:val="00D134CD"/>
    <w:rsid w:val="00D13A97"/>
    <w:rsid w:val="00D13D4C"/>
    <w:rsid w:val="00D13E2E"/>
    <w:rsid w:val="00D13E41"/>
    <w:rsid w:val="00D14049"/>
    <w:rsid w:val="00D14291"/>
    <w:rsid w:val="00D14400"/>
    <w:rsid w:val="00D14729"/>
    <w:rsid w:val="00D15481"/>
    <w:rsid w:val="00D15D6B"/>
    <w:rsid w:val="00D161F1"/>
    <w:rsid w:val="00D162AB"/>
    <w:rsid w:val="00D162CB"/>
    <w:rsid w:val="00D162E0"/>
    <w:rsid w:val="00D166D7"/>
    <w:rsid w:val="00D169F8"/>
    <w:rsid w:val="00D16A7C"/>
    <w:rsid w:val="00D16B29"/>
    <w:rsid w:val="00D16FC5"/>
    <w:rsid w:val="00D17744"/>
    <w:rsid w:val="00D205D0"/>
    <w:rsid w:val="00D20619"/>
    <w:rsid w:val="00D2103A"/>
    <w:rsid w:val="00D22076"/>
    <w:rsid w:val="00D22603"/>
    <w:rsid w:val="00D23087"/>
    <w:rsid w:val="00D23E53"/>
    <w:rsid w:val="00D24000"/>
    <w:rsid w:val="00D240B3"/>
    <w:rsid w:val="00D242AF"/>
    <w:rsid w:val="00D247D3"/>
    <w:rsid w:val="00D25547"/>
    <w:rsid w:val="00D2577A"/>
    <w:rsid w:val="00D2597F"/>
    <w:rsid w:val="00D25C64"/>
    <w:rsid w:val="00D26452"/>
    <w:rsid w:val="00D265BB"/>
    <w:rsid w:val="00D265FA"/>
    <w:rsid w:val="00D266E4"/>
    <w:rsid w:val="00D26DC6"/>
    <w:rsid w:val="00D26E66"/>
    <w:rsid w:val="00D26E8E"/>
    <w:rsid w:val="00D26FA5"/>
    <w:rsid w:val="00D272DD"/>
    <w:rsid w:val="00D274B0"/>
    <w:rsid w:val="00D30628"/>
    <w:rsid w:val="00D30EC4"/>
    <w:rsid w:val="00D314E5"/>
    <w:rsid w:val="00D31735"/>
    <w:rsid w:val="00D31905"/>
    <w:rsid w:val="00D31DA1"/>
    <w:rsid w:val="00D32169"/>
    <w:rsid w:val="00D322D3"/>
    <w:rsid w:val="00D324BC"/>
    <w:rsid w:val="00D324EA"/>
    <w:rsid w:val="00D32739"/>
    <w:rsid w:val="00D32C80"/>
    <w:rsid w:val="00D32E8E"/>
    <w:rsid w:val="00D32F2B"/>
    <w:rsid w:val="00D32F63"/>
    <w:rsid w:val="00D333B1"/>
    <w:rsid w:val="00D336E8"/>
    <w:rsid w:val="00D3372D"/>
    <w:rsid w:val="00D33915"/>
    <w:rsid w:val="00D33BC7"/>
    <w:rsid w:val="00D33C57"/>
    <w:rsid w:val="00D33D99"/>
    <w:rsid w:val="00D33D9F"/>
    <w:rsid w:val="00D33DDE"/>
    <w:rsid w:val="00D34564"/>
    <w:rsid w:val="00D349CD"/>
    <w:rsid w:val="00D350BD"/>
    <w:rsid w:val="00D35A9F"/>
    <w:rsid w:val="00D35BB8"/>
    <w:rsid w:val="00D35EA9"/>
    <w:rsid w:val="00D36408"/>
    <w:rsid w:val="00D36D5A"/>
    <w:rsid w:val="00D3717F"/>
    <w:rsid w:val="00D3757A"/>
    <w:rsid w:val="00D37897"/>
    <w:rsid w:val="00D37B8D"/>
    <w:rsid w:val="00D4005B"/>
    <w:rsid w:val="00D40431"/>
    <w:rsid w:val="00D40804"/>
    <w:rsid w:val="00D40893"/>
    <w:rsid w:val="00D408CB"/>
    <w:rsid w:val="00D40DB8"/>
    <w:rsid w:val="00D40EF2"/>
    <w:rsid w:val="00D41594"/>
    <w:rsid w:val="00D4169E"/>
    <w:rsid w:val="00D41B63"/>
    <w:rsid w:val="00D41CC1"/>
    <w:rsid w:val="00D41FF4"/>
    <w:rsid w:val="00D424B6"/>
    <w:rsid w:val="00D426AA"/>
    <w:rsid w:val="00D428F7"/>
    <w:rsid w:val="00D42C0E"/>
    <w:rsid w:val="00D42DD5"/>
    <w:rsid w:val="00D43DEF"/>
    <w:rsid w:val="00D44A09"/>
    <w:rsid w:val="00D44C70"/>
    <w:rsid w:val="00D44DBF"/>
    <w:rsid w:val="00D44E89"/>
    <w:rsid w:val="00D45060"/>
    <w:rsid w:val="00D454AC"/>
    <w:rsid w:val="00D45699"/>
    <w:rsid w:val="00D45A5E"/>
    <w:rsid w:val="00D45AF9"/>
    <w:rsid w:val="00D45EBD"/>
    <w:rsid w:val="00D45F0D"/>
    <w:rsid w:val="00D46051"/>
    <w:rsid w:val="00D46560"/>
    <w:rsid w:val="00D46CEA"/>
    <w:rsid w:val="00D46D29"/>
    <w:rsid w:val="00D46DE9"/>
    <w:rsid w:val="00D46E1B"/>
    <w:rsid w:val="00D46E25"/>
    <w:rsid w:val="00D4758A"/>
    <w:rsid w:val="00D476EF"/>
    <w:rsid w:val="00D47AF2"/>
    <w:rsid w:val="00D47E0E"/>
    <w:rsid w:val="00D50353"/>
    <w:rsid w:val="00D5039A"/>
    <w:rsid w:val="00D5062F"/>
    <w:rsid w:val="00D50DE5"/>
    <w:rsid w:val="00D50E1B"/>
    <w:rsid w:val="00D50FB8"/>
    <w:rsid w:val="00D51F7F"/>
    <w:rsid w:val="00D51FA6"/>
    <w:rsid w:val="00D51FE4"/>
    <w:rsid w:val="00D52CA5"/>
    <w:rsid w:val="00D52E76"/>
    <w:rsid w:val="00D5304B"/>
    <w:rsid w:val="00D533DF"/>
    <w:rsid w:val="00D534A9"/>
    <w:rsid w:val="00D53735"/>
    <w:rsid w:val="00D53782"/>
    <w:rsid w:val="00D53C49"/>
    <w:rsid w:val="00D5434B"/>
    <w:rsid w:val="00D5470C"/>
    <w:rsid w:val="00D54CBE"/>
    <w:rsid w:val="00D55350"/>
    <w:rsid w:val="00D55618"/>
    <w:rsid w:val="00D556FA"/>
    <w:rsid w:val="00D55E31"/>
    <w:rsid w:val="00D56013"/>
    <w:rsid w:val="00D56313"/>
    <w:rsid w:val="00D565E2"/>
    <w:rsid w:val="00D566A6"/>
    <w:rsid w:val="00D56C86"/>
    <w:rsid w:val="00D570BB"/>
    <w:rsid w:val="00D573A5"/>
    <w:rsid w:val="00D579A8"/>
    <w:rsid w:val="00D57B65"/>
    <w:rsid w:val="00D57CCE"/>
    <w:rsid w:val="00D57E9E"/>
    <w:rsid w:val="00D60038"/>
    <w:rsid w:val="00D608D5"/>
    <w:rsid w:val="00D60984"/>
    <w:rsid w:val="00D609EB"/>
    <w:rsid w:val="00D60C9E"/>
    <w:rsid w:val="00D61063"/>
    <w:rsid w:val="00D61785"/>
    <w:rsid w:val="00D6185B"/>
    <w:rsid w:val="00D61C76"/>
    <w:rsid w:val="00D61E49"/>
    <w:rsid w:val="00D61FC5"/>
    <w:rsid w:val="00D62496"/>
    <w:rsid w:val="00D63849"/>
    <w:rsid w:val="00D639DC"/>
    <w:rsid w:val="00D63D2F"/>
    <w:rsid w:val="00D63FAC"/>
    <w:rsid w:val="00D642CF"/>
    <w:rsid w:val="00D64323"/>
    <w:rsid w:val="00D64717"/>
    <w:rsid w:val="00D64DC5"/>
    <w:rsid w:val="00D64E4A"/>
    <w:rsid w:val="00D661A6"/>
    <w:rsid w:val="00D673F2"/>
    <w:rsid w:val="00D67436"/>
    <w:rsid w:val="00D675E3"/>
    <w:rsid w:val="00D67636"/>
    <w:rsid w:val="00D67967"/>
    <w:rsid w:val="00D67976"/>
    <w:rsid w:val="00D67CED"/>
    <w:rsid w:val="00D67DD3"/>
    <w:rsid w:val="00D700C0"/>
    <w:rsid w:val="00D705F6"/>
    <w:rsid w:val="00D70B26"/>
    <w:rsid w:val="00D70DA2"/>
    <w:rsid w:val="00D70F64"/>
    <w:rsid w:val="00D70F73"/>
    <w:rsid w:val="00D71953"/>
    <w:rsid w:val="00D71B22"/>
    <w:rsid w:val="00D71C10"/>
    <w:rsid w:val="00D71D0C"/>
    <w:rsid w:val="00D721E8"/>
    <w:rsid w:val="00D72608"/>
    <w:rsid w:val="00D72A79"/>
    <w:rsid w:val="00D73025"/>
    <w:rsid w:val="00D73289"/>
    <w:rsid w:val="00D733B0"/>
    <w:rsid w:val="00D7348C"/>
    <w:rsid w:val="00D73B8D"/>
    <w:rsid w:val="00D73D83"/>
    <w:rsid w:val="00D741B1"/>
    <w:rsid w:val="00D741DF"/>
    <w:rsid w:val="00D7475F"/>
    <w:rsid w:val="00D748C2"/>
    <w:rsid w:val="00D74957"/>
    <w:rsid w:val="00D75A96"/>
    <w:rsid w:val="00D75ABC"/>
    <w:rsid w:val="00D75C54"/>
    <w:rsid w:val="00D75CCE"/>
    <w:rsid w:val="00D768E3"/>
    <w:rsid w:val="00D76B04"/>
    <w:rsid w:val="00D76B66"/>
    <w:rsid w:val="00D76C2D"/>
    <w:rsid w:val="00D76E5E"/>
    <w:rsid w:val="00D7756A"/>
    <w:rsid w:val="00D77663"/>
    <w:rsid w:val="00D77D9A"/>
    <w:rsid w:val="00D80508"/>
    <w:rsid w:val="00D8077F"/>
    <w:rsid w:val="00D8078D"/>
    <w:rsid w:val="00D80863"/>
    <w:rsid w:val="00D80D91"/>
    <w:rsid w:val="00D81387"/>
    <w:rsid w:val="00D81645"/>
    <w:rsid w:val="00D81778"/>
    <w:rsid w:val="00D81982"/>
    <w:rsid w:val="00D81C3E"/>
    <w:rsid w:val="00D81C90"/>
    <w:rsid w:val="00D825C4"/>
    <w:rsid w:val="00D82609"/>
    <w:rsid w:val="00D82EED"/>
    <w:rsid w:val="00D831F6"/>
    <w:rsid w:val="00D8324A"/>
    <w:rsid w:val="00D83AED"/>
    <w:rsid w:val="00D8448E"/>
    <w:rsid w:val="00D8451A"/>
    <w:rsid w:val="00D8529C"/>
    <w:rsid w:val="00D85424"/>
    <w:rsid w:val="00D85B00"/>
    <w:rsid w:val="00D85DE1"/>
    <w:rsid w:val="00D8615B"/>
    <w:rsid w:val="00D861E9"/>
    <w:rsid w:val="00D8621F"/>
    <w:rsid w:val="00D86236"/>
    <w:rsid w:val="00D86778"/>
    <w:rsid w:val="00D86BFF"/>
    <w:rsid w:val="00D86E4F"/>
    <w:rsid w:val="00D87001"/>
    <w:rsid w:val="00D8758D"/>
    <w:rsid w:val="00D87C33"/>
    <w:rsid w:val="00D90083"/>
    <w:rsid w:val="00D902B3"/>
    <w:rsid w:val="00D90AB5"/>
    <w:rsid w:val="00D90B7D"/>
    <w:rsid w:val="00D91036"/>
    <w:rsid w:val="00D9174C"/>
    <w:rsid w:val="00D92385"/>
    <w:rsid w:val="00D924E0"/>
    <w:rsid w:val="00D9251E"/>
    <w:rsid w:val="00D9254E"/>
    <w:rsid w:val="00D92B98"/>
    <w:rsid w:val="00D92E6D"/>
    <w:rsid w:val="00D93690"/>
    <w:rsid w:val="00D94190"/>
    <w:rsid w:val="00D94328"/>
    <w:rsid w:val="00D9445C"/>
    <w:rsid w:val="00D944BD"/>
    <w:rsid w:val="00D9455C"/>
    <w:rsid w:val="00D945E3"/>
    <w:rsid w:val="00D94C4E"/>
    <w:rsid w:val="00D94DDB"/>
    <w:rsid w:val="00D95166"/>
    <w:rsid w:val="00D95789"/>
    <w:rsid w:val="00D95847"/>
    <w:rsid w:val="00D95999"/>
    <w:rsid w:val="00D95E79"/>
    <w:rsid w:val="00D95F44"/>
    <w:rsid w:val="00D9613B"/>
    <w:rsid w:val="00D963DB"/>
    <w:rsid w:val="00D96468"/>
    <w:rsid w:val="00D9654C"/>
    <w:rsid w:val="00D9689E"/>
    <w:rsid w:val="00D97297"/>
    <w:rsid w:val="00D9753C"/>
    <w:rsid w:val="00D97658"/>
    <w:rsid w:val="00DA049A"/>
    <w:rsid w:val="00DA08AE"/>
    <w:rsid w:val="00DA08FA"/>
    <w:rsid w:val="00DA0904"/>
    <w:rsid w:val="00DA0ADF"/>
    <w:rsid w:val="00DA1BF7"/>
    <w:rsid w:val="00DA202D"/>
    <w:rsid w:val="00DA21E8"/>
    <w:rsid w:val="00DA22F0"/>
    <w:rsid w:val="00DA2303"/>
    <w:rsid w:val="00DA271A"/>
    <w:rsid w:val="00DA291B"/>
    <w:rsid w:val="00DA2FBE"/>
    <w:rsid w:val="00DA354C"/>
    <w:rsid w:val="00DA35E7"/>
    <w:rsid w:val="00DA379B"/>
    <w:rsid w:val="00DA3862"/>
    <w:rsid w:val="00DA3A0E"/>
    <w:rsid w:val="00DA3A5E"/>
    <w:rsid w:val="00DA3F04"/>
    <w:rsid w:val="00DA40B4"/>
    <w:rsid w:val="00DA4436"/>
    <w:rsid w:val="00DA4836"/>
    <w:rsid w:val="00DA4B30"/>
    <w:rsid w:val="00DA521A"/>
    <w:rsid w:val="00DA5BCA"/>
    <w:rsid w:val="00DA5D1B"/>
    <w:rsid w:val="00DA636F"/>
    <w:rsid w:val="00DA64D1"/>
    <w:rsid w:val="00DA65E8"/>
    <w:rsid w:val="00DA6795"/>
    <w:rsid w:val="00DA698E"/>
    <w:rsid w:val="00DA6DEE"/>
    <w:rsid w:val="00DA7AA5"/>
    <w:rsid w:val="00DB032B"/>
    <w:rsid w:val="00DB03D7"/>
    <w:rsid w:val="00DB07EF"/>
    <w:rsid w:val="00DB0BFC"/>
    <w:rsid w:val="00DB0C2E"/>
    <w:rsid w:val="00DB0DE7"/>
    <w:rsid w:val="00DB0E0C"/>
    <w:rsid w:val="00DB0ECD"/>
    <w:rsid w:val="00DB14D3"/>
    <w:rsid w:val="00DB183E"/>
    <w:rsid w:val="00DB1966"/>
    <w:rsid w:val="00DB25AB"/>
    <w:rsid w:val="00DB26DC"/>
    <w:rsid w:val="00DB2A52"/>
    <w:rsid w:val="00DB3139"/>
    <w:rsid w:val="00DB3A80"/>
    <w:rsid w:val="00DB4079"/>
    <w:rsid w:val="00DB44EE"/>
    <w:rsid w:val="00DB4BDA"/>
    <w:rsid w:val="00DB4E20"/>
    <w:rsid w:val="00DB59B1"/>
    <w:rsid w:val="00DB5A28"/>
    <w:rsid w:val="00DB6025"/>
    <w:rsid w:val="00DB642C"/>
    <w:rsid w:val="00DB6FA4"/>
    <w:rsid w:val="00DB70E1"/>
    <w:rsid w:val="00DB71E8"/>
    <w:rsid w:val="00DB7495"/>
    <w:rsid w:val="00DB7513"/>
    <w:rsid w:val="00DB753A"/>
    <w:rsid w:val="00DB7E49"/>
    <w:rsid w:val="00DC0534"/>
    <w:rsid w:val="00DC0760"/>
    <w:rsid w:val="00DC0AC2"/>
    <w:rsid w:val="00DC0B41"/>
    <w:rsid w:val="00DC0C54"/>
    <w:rsid w:val="00DC0E9B"/>
    <w:rsid w:val="00DC1220"/>
    <w:rsid w:val="00DC1F10"/>
    <w:rsid w:val="00DC20B9"/>
    <w:rsid w:val="00DC20BE"/>
    <w:rsid w:val="00DC226E"/>
    <w:rsid w:val="00DC23BD"/>
    <w:rsid w:val="00DC2C86"/>
    <w:rsid w:val="00DC2E6B"/>
    <w:rsid w:val="00DC35F1"/>
    <w:rsid w:val="00DC3FF8"/>
    <w:rsid w:val="00DC406A"/>
    <w:rsid w:val="00DC4284"/>
    <w:rsid w:val="00DC4C2C"/>
    <w:rsid w:val="00DC4D40"/>
    <w:rsid w:val="00DC5349"/>
    <w:rsid w:val="00DC5437"/>
    <w:rsid w:val="00DC57AE"/>
    <w:rsid w:val="00DC587F"/>
    <w:rsid w:val="00DC5AD5"/>
    <w:rsid w:val="00DC5D07"/>
    <w:rsid w:val="00DC5E83"/>
    <w:rsid w:val="00DC637B"/>
    <w:rsid w:val="00DC64C3"/>
    <w:rsid w:val="00DC652B"/>
    <w:rsid w:val="00DC6688"/>
    <w:rsid w:val="00DC676F"/>
    <w:rsid w:val="00DC6784"/>
    <w:rsid w:val="00DC69A0"/>
    <w:rsid w:val="00DC6AE3"/>
    <w:rsid w:val="00DC7B33"/>
    <w:rsid w:val="00DC7ED4"/>
    <w:rsid w:val="00DC7EF3"/>
    <w:rsid w:val="00DD04A2"/>
    <w:rsid w:val="00DD054F"/>
    <w:rsid w:val="00DD08AF"/>
    <w:rsid w:val="00DD189C"/>
    <w:rsid w:val="00DD18BA"/>
    <w:rsid w:val="00DD1DF7"/>
    <w:rsid w:val="00DD21C6"/>
    <w:rsid w:val="00DD23BC"/>
    <w:rsid w:val="00DD246D"/>
    <w:rsid w:val="00DD28B1"/>
    <w:rsid w:val="00DD29C6"/>
    <w:rsid w:val="00DD2E09"/>
    <w:rsid w:val="00DD30BE"/>
    <w:rsid w:val="00DD4990"/>
    <w:rsid w:val="00DD4B51"/>
    <w:rsid w:val="00DD4F1F"/>
    <w:rsid w:val="00DD50A6"/>
    <w:rsid w:val="00DD522F"/>
    <w:rsid w:val="00DD5B48"/>
    <w:rsid w:val="00DD5C75"/>
    <w:rsid w:val="00DD5CF0"/>
    <w:rsid w:val="00DD617D"/>
    <w:rsid w:val="00DD6311"/>
    <w:rsid w:val="00DD6D6D"/>
    <w:rsid w:val="00DD6E69"/>
    <w:rsid w:val="00DD7D2C"/>
    <w:rsid w:val="00DD7DAF"/>
    <w:rsid w:val="00DD7DBD"/>
    <w:rsid w:val="00DD7E5B"/>
    <w:rsid w:val="00DD7F16"/>
    <w:rsid w:val="00DE00DB"/>
    <w:rsid w:val="00DE01EA"/>
    <w:rsid w:val="00DE02B0"/>
    <w:rsid w:val="00DE08C0"/>
    <w:rsid w:val="00DE0A59"/>
    <w:rsid w:val="00DE0A9E"/>
    <w:rsid w:val="00DE0BE5"/>
    <w:rsid w:val="00DE116D"/>
    <w:rsid w:val="00DE1549"/>
    <w:rsid w:val="00DE15F9"/>
    <w:rsid w:val="00DE1751"/>
    <w:rsid w:val="00DE2646"/>
    <w:rsid w:val="00DE2A13"/>
    <w:rsid w:val="00DE2AB9"/>
    <w:rsid w:val="00DE2D93"/>
    <w:rsid w:val="00DE3052"/>
    <w:rsid w:val="00DE3723"/>
    <w:rsid w:val="00DE3C81"/>
    <w:rsid w:val="00DE3FEE"/>
    <w:rsid w:val="00DE41B8"/>
    <w:rsid w:val="00DE4296"/>
    <w:rsid w:val="00DE4315"/>
    <w:rsid w:val="00DE44AF"/>
    <w:rsid w:val="00DE4651"/>
    <w:rsid w:val="00DE4A03"/>
    <w:rsid w:val="00DE50F1"/>
    <w:rsid w:val="00DE5867"/>
    <w:rsid w:val="00DE5ECC"/>
    <w:rsid w:val="00DE606C"/>
    <w:rsid w:val="00DE6360"/>
    <w:rsid w:val="00DE660B"/>
    <w:rsid w:val="00DE71F6"/>
    <w:rsid w:val="00DE7542"/>
    <w:rsid w:val="00DE7DA7"/>
    <w:rsid w:val="00DF0644"/>
    <w:rsid w:val="00DF0AA9"/>
    <w:rsid w:val="00DF0ADE"/>
    <w:rsid w:val="00DF0B1F"/>
    <w:rsid w:val="00DF0CB8"/>
    <w:rsid w:val="00DF1959"/>
    <w:rsid w:val="00DF19B4"/>
    <w:rsid w:val="00DF1AB2"/>
    <w:rsid w:val="00DF2372"/>
    <w:rsid w:val="00DF283A"/>
    <w:rsid w:val="00DF2B6E"/>
    <w:rsid w:val="00DF2CCB"/>
    <w:rsid w:val="00DF2CFB"/>
    <w:rsid w:val="00DF33CC"/>
    <w:rsid w:val="00DF408E"/>
    <w:rsid w:val="00DF40D9"/>
    <w:rsid w:val="00DF50B0"/>
    <w:rsid w:val="00DF50DD"/>
    <w:rsid w:val="00DF5352"/>
    <w:rsid w:val="00DF5AE1"/>
    <w:rsid w:val="00DF5C26"/>
    <w:rsid w:val="00DF6119"/>
    <w:rsid w:val="00DF65F8"/>
    <w:rsid w:val="00DF67B9"/>
    <w:rsid w:val="00DF6AB5"/>
    <w:rsid w:val="00DF6AE5"/>
    <w:rsid w:val="00DF7C50"/>
    <w:rsid w:val="00E0011B"/>
    <w:rsid w:val="00E001A2"/>
    <w:rsid w:val="00E00332"/>
    <w:rsid w:val="00E00BDC"/>
    <w:rsid w:val="00E00D1A"/>
    <w:rsid w:val="00E00E30"/>
    <w:rsid w:val="00E01549"/>
    <w:rsid w:val="00E01591"/>
    <w:rsid w:val="00E01612"/>
    <w:rsid w:val="00E01AD7"/>
    <w:rsid w:val="00E021E1"/>
    <w:rsid w:val="00E02652"/>
    <w:rsid w:val="00E02A77"/>
    <w:rsid w:val="00E02F58"/>
    <w:rsid w:val="00E0304C"/>
    <w:rsid w:val="00E033FA"/>
    <w:rsid w:val="00E03446"/>
    <w:rsid w:val="00E03595"/>
    <w:rsid w:val="00E0382F"/>
    <w:rsid w:val="00E03A00"/>
    <w:rsid w:val="00E03A61"/>
    <w:rsid w:val="00E03B76"/>
    <w:rsid w:val="00E03C50"/>
    <w:rsid w:val="00E03EC1"/>
    <w:rsid w:val="00E040C7"/>
    <w:rsid w:val="00E040FB"/>
    <w:rsid w:val="00E04124"/>
    <w:rsid w:val="00E0425E"/>
    <w:rsid w:val="00E048F3"/>
    <w:rsid w:val="00E04E3D"/>
    <w:rsid w:val="00E04ED0"/>
    <w:rsid w:val="00E050C6"/>
    <w:rsid w:val="00E052D5"/>
    <w:rsid w:val="00E05C1E"/>
    <w:rsid w:val="00E0621C"/>
    <w:rsid w:val="00E06373"/>
    <w:rsid w:val="00E06402"/>
    <w:rsid w:val="00E065B9"/>
    <w:rsid w:val="00E06C2C"/>
    <w:rsid w:val="00E06CFA"/>
    <w:rsid w:val="00E070D3"/>
    <w:rsid w:val="00E07137"/>
    <w:rsid w:val="00E07966"/>
    <w:rsid w:val="00E07A05"/>
    <w:rsid w:val="00E07AED"/>
    <w:rsid w:val="00E07DB2"/>
    <w:rsid w:val="00E1007C"/>
    <w:rsid w:val="00E1060C"/>
    <w:rsid w:val="00E108BB"/>
    <w:rsid w:val="00E10A01"/>
    <w:rsid w:val="00E10A81"/>
    <w:rsid w:val="00E10A97"/>
    <w:rsid w:val="00E11136"/>
    <w:rsid w:val="00E11302"/>
    <w:rsid w:val="00E11400"/>
    <w:rsid w:val="00E11674"/>
    <w:rsid w:val="00E1198A"/>
    <w:rsid w:val="00E1206A"/>
    <w:rsid w:val="00E1225E"/>
    <w:rsid w:val="00E124E8"/>
    <w:rsid w:val="00E12584"/>
    <w:rsid w:val="00E12F01"/>
    <w:rsid w:val="00E13750"/>
    <w:rsid w:val="00E1379F"/>
    <w:rsid w:val="00E137D3"/>
    <w:rsid w:val="00E13A0D"/>
    <w:rsid w:val="00E13AB6"/>
    <w:rsid w:val="00E1430F"/>
    <w:rsid w:val="00E143C6"/>
    <w:rsid w:val="00E144E1"/>
    <w:rsid w:val="00E14569"/>
    <w:rsid w:val="00E14907"/>
    <w:rsid w:val="00E1497D"/>
    <w:rsid w:val="00E14AC1"/>
    <w:rsid w:val="00E14CB6"/>
    <w:rsid w:val="00E15006"/>
    <w:rsid w:val="00E154FF"/>
    <w:rsid w:val="00E1563A"/>
    <w:rsid w:val="00E15E32"/>
    <w:rsid w:val="00E16150"/>
    <w:rsid w:val="00E1621D"/>
    <w:rsid w:val="00E1625F"/>
    <w:rsid w:val="00E16359"/>
    <w:rsid w:val="00E16AD3"/>
    <w:rsid w:val="00E16FF4"/>
    <w:rsid w:val="00E172BD"/>
    <w:rsid w:val="00E17582"/>
    <w:rsid w:val="00E17A3B"/>
    <w:rsid w:val="00E17C7D"/>
    <w:rsid w:val="00E17EF4"/>
    <w:rsid w:val="00E20265"/>
    <w:rsid w:val="00E207C1"/>
    <w:rsid w:val="00E208F2"/>
    <w:rsid w:val="00E20AED"/>
    <w:rsid w:val="00E20C00"/>
    <w:rsid w:val="00E21145"/>
    <w:rsid w:val="00E214F1"/>
    <w:rsid w:val="00E21706"/>
    <w:rsid w:val="00E2184C"/>
    <w:rsid w:val="00E21D16"/>
    <w:rsid w:val="00E221A9"/>
    <w:rsid w:val="00E22593"/>
    <w:rsid w:val="00E22F6E"/>
    <w:rsid w:val="00E22FB3"/>
    <w:rsid w:val="00E2323D"/>
    <w:rsid w:val="00E23560"/>
    <w:rsid w:val="00E2394C"/>
    <w:rsid w:val="00E2408D"/>
    <w:rsid w:val="00E24237"/>
    <w:rsid w:val="00E245F7"/>
    <w:rsid w:val="00E246AB"/>
    <w:rsid w:val="00E24705"/>
    <w:rsid w:val="00E247C9"/>
    <w:rsid w:val="00E24ACA"/>
    <w:rsid w:val="00E2512D"/>
    <w:rsid w:val="00E25460"/>
    <w:rsid w:val="00E255B7"/>
    <w:rsid w:val="00E25849"/>
    <w:rsid w:val="00E25A3A"/>
    <w:rsid w:val="00E25A58"/>
    <w:rsid w:val="00E25C3A"/>
    <w:rsid w:val="00E25EF6"/>
    <w:rsid w:val="00E26015"/>
    <w:rsid w:val="00E26EBA"/>
    <w:rsid w:val="00E26F94"/>
    <w:rsid w:val="00E26FC5"/>
    <w:rsid w:val="00E274E3"/>
    <w:rsid w:val="00E2784D"/>
    <w:rsid w:val="00E27952"/>
    <w:rsid w:val="00E27AB5"/>
    <w:rsid w:val="00E27CD6"/>
    <w:rsid w:val="00E27E25"/>
    <w:rsid w:val="00E30993"/>
    <w:rsid w:val="00E30C62"/>
    <w:rsid w:val="00E310CB"/>
    <w:rsid w:val="00E31180"/>
    <w:rsid w:val="00E314A2"/>
    <w:rsid w:val="00E31989"/>
    <w:rsid w:val="00E31D8D"/>
    <w:rsid w:val="00E31DA4"/>
    <w:rsid w:val="00E31FB4"/>
    <w:rsid w:val="00E32235"/>
    <w:rsid w:val="00E32872"/>
    <w:rsid w:val="00E32BA5"/>
    <w:rsid w:val="00E32CE9"/>
    <w:rsid w:val="00E32D3E"/>
    <w:rsid w:val="00E32EA0"/>
    <w:rsid w:val="00E33217"/>
    <w:rsid w:val="00E334F4"/>
    <w:rsid w:val="00E33BB7"/>
    <w:rsid w:val="00E33ED6"/>
    <w:rsid w:val="00E34577"/>
    <w:rsid w:val="00E34F8F"/>
    <w:rsid w:val="00E35266"/>
    <w:rsid w:val="00E352D1"/>
    <w:rsid w:val="00E35668"/>
    <w:rsid w:val="00E3586D"/>
    <w:rsid w:val="00E35A18"/>
    <w:rsid w:val="00E35ABC"/>
    <w:rsid w:val="00E36155"/>
    <w:rsid w:val="00E3683C"/>
    <w:rsid w:val="00E36B61"/>
    <w:rsid w:val="00E36C9E"/>
    <w:rsid w:val="00E37029"/>
    <w:rsid w:val="00E3706A"/>
    <w:rsid w:val="00E3710C"/>
    <w:rsid w:val="00E4009C"/>
    <w:rsid w:val="00E40261"/>
    <w:rsid w:val="00E409AD"/>
    <w:rsid w:val="00E40D1A"/>
    <w:rsid w:val="00E41422"/>
    <w:rsid w:val="00E41B88"/>
    <w:rsid w:val="00E41EAA"/>
    <w:rsid w:val="00E422DF"/>
    <w:rsid w:val="00E423A8"/>
    <w:rsid w:val="00E427CE"/>
    <w:rsid w:val="00E42A91"/>
    <w:rsid w:val="00E42F5F"/>
    <w:rsid w:val="00E4344A"/>
    <w:rsid w:val="00E434ED"/>
    <w:rsid w:val="00E435DE"/>
    <w:rsid w:val="00E43DA0"/>
    <w:rsid w:val="00E43FA0"/>
    <w:rsid w:val="00E44327"/>
    <w:rsid w:val="00E44522"/>
    <w:rsid w:val="00E446D1"/>
    <w:rsid w:val="00E446F4"/>
    <w:rsid w:val="00E4485C"/>
    <w:rsid w:val="00E448C7"/>
    <w:rsid w:val="00E45377"/>
    <w:rsid w:val="00E45ADB"/>
    <w:rsid w:val="00E4631C"/>
    <w:rsid w:val="00E4655E"/>
    <w:rsid w:val="00E474F4"/>
    <w:rsid w:val="00E4755B"/>
    <w:rsid w:val="00E47620"/>
    <w:rsid w:val="00E477AE"/>
    <w:rsid w:val="00E4795B"/>
    <w:rsid w:val="00E4797D"/>
    <w:rsid w:val="00E501CE"/>
    <w:rsid w:val="00E504BE"/>
    <w:rsid w:val="00E510DC"/>
    <w:rsid w:val="00E517F4"/>
    <w:rsid w:val="00E51AF9"/>
    <w:rsid w:val="00E51E68"/>
    <w:rsid w:val="00E520EE"/>
    <w:rsid w:val="00E52665"/>
    <w:rsid w:val="00E52F4E"/>
    <w:rsid w:val="00E52FDA"/>
    <w:rsid w:val="00E5369F"/>
    <w:rsid w:val="00E53D59"/>
    <w:rsid w:val="00E53E6B"/>
    <w:rsid w:val="00E54073"/>
    <w:rsid w:val="00E54C98"/>
    <w:rsid w:val="00E54D93"/>
    <w:rsid w:val="00E55100"/>
    <w:rsid w:val="00E552FB"/>
    <w:rsid w:val="00E553B3"/>
    <w:rsid w:val="00E55A7E"/>
    <w:rsid w:val="00E56175"/>
    <w:rsid w:val="00E56203"/>
    <w:rsid w:val="00E5647A"/>
    <w:rsid w:val="00E56966"/>
    <w:rsid w:val="00E56DFE"/>
    <w:rsid w:val="00E56ECE"/>
    <w:rsid w:val="00E56F0C"/>
    <w:rsid w:val="00E56FE2"/>
    <w:rsid w:val="00E570D4"/>
    <w:rsid w:val="00E57194"/>
    <w:rsid w:val="00E5748C"/>
    <w:rsid w:val="00E57717"/>
    <w:rsid w:val="00E57B0F"/>
    <w:rsid w:val="00E60115"/>
    <w:rsid w:val="00E6077B"/>
    <w:rsid w:val="00E60B0D"/>
    <w:rsid w:val="00E60BA3"/>
    <w:rsid w:val="00E611E7"/>
    <w:rsid w:val="00E61437"/>
    <w:rsid w:val="00E61AC8"/>
    <w:rsid w:val="00E61C9D"/>
    <w:rsid w:val="00E61EF0"/>
    <w:rsid w:val="00E61F2E"/>
    <w:rsid w:val="00E6211D"/>
    <w:rsid w:val="00E627EE"/>
    <w:rsid w:val="00E62898"/>
    <w:rsid w:val="00E628A4"/>
    <w:rsid w:val="00E629E8"/>
    <w:rsid w:val="00E62B85"/>
    <w:rsid w:val="00E62CB9"/>
    <w:rsid w:val="00E63012"/>
    <w:rsid w:val="00E63166"/>
    <w:rsid w:val="00E63648"/>
    <w:rsid w:val="00E63809"/>
    <w:rsid w:val="00E63F1A"/>
    <w:rsid w:val="00E640AF"/>
    <w:rsid w:val="00E64C1E"/>
    <w:rsid w:val="00E64CCD"/>
    <w:rsid w:val="00E64DEF"/>
    <w:rsid w:val="00E64ECB"/>
    <w:rsid w:val="00E65242"/>
    <w:rsid w:val="00E65437"/>
    <w:rsid w:val="00E656F3"/>
    <w:rsid w:val="00E65919"/>
    <w:rsid w:val="00E6599D"/>
    <w:rsid w:val="00E659C0"/>
    <w:rsid w:val="00E66190"/>
    <w:rsid w:val="00E66608"/>
    <w:rsid w:val="00E66A04"/>
    <w:rsid w:val="00E67207"/>
    <w:rsid w:val="00E675D2"/>
    <w:rsid w:val="00E6766D"/>
    <w:rsid w:val="00E6789C"/>
    <w:rsid w:val="00E700BA"/>
    <w:rsid w:val="00E703B3"/>
    <w:rsid w:val="00E70721"/>
    <w:rsid w:val="00E709F3"/>
    <w:rsid w:val="00E70FE2"/>
    <w:rsid w:val="00E71B91"/>
    <w:rsid w:val="00E721A4"/>
    <w:rsid w:val="00E72313"/>
    <w:rsid w:val="00E72D90"/>
    <w:rsid w:val="00E73460"/>
    <w:rsid w:val="00E744BA"/>
    <w:rsid w:val="00E7476E"/>
    <w:rsid w:val="00E752C0"/>
    <w:rsid w:val="00E7605C"/>
    <w:rsid w:val="00E7654A"/>
    <w:rsid w:val="00E77330"/>
    <w:rsid w:val="00E778D5"/>
    <w:rsid w:val="00E77CE7"/>
    <w:rsid w:val="00E80149"/>
    <w:rsid w:val="00E8052D"/>
    <w:rsid w:val="00E80A29"/>
    <w:rsid w:val="00E80CF5"/>
    <w:rsid w:val="00E80E15"/>
    <w:rsid w:val="00E80EED"/>
    <w:rsid w:val="00E81C1F"/>
    <w:rsid w:val="00E821F0"/>
    <w:rsid w:val="00E8287C"/>
    <w:rsid w:val="00E82965"/>
    <w:rsid w:val="00E82C88"/>
    <w:rsid w:val="00E8323B"/>
    <w:rsid w:val="00E833E5"/>
    <w:rsid w:val="00E83D2B"/>
    <w:rsid w:val="00E83D82"/>
    <w:rsid w:val="00E840E8"/>
    <w:rsid w:val="00E841DE"/>
    <w:rsid w:val="00E841FA"/>
    <w:rsid w:val="00E84247"/>
    <w:rsid w:val="00E84536"/>
    <w:rsid w:val="00E84A08"/>
    <w:rsid w:val="00E84E90"/>
    <w:rsid w:val="00E855A2"/>
    <w:rsid w:val="00E85A85"/>
    <w:rsid w:val="00E86053"/>
    <w:rsid w:val="00E863E3"/>
    <w:rsid w:val="00E8641F"/>
    <w:rsid w:val="00E86613"/>
    <w:rsid w:val="00E86805"/>
    <w:rsid w:val="00E86D92"/>
    <w:rsid w:val="00E86E26"/>
    <w:rsid w:val="00E87105"/>
    <w:rsid w:val="00E874DE"/>
    <w:rsid w:val="00E875FE"/>
    <w:rsid w:val="00E878D2"/>
    <w:rsid w:val="00E879EE"/>
    <w:rsid w:val="00E87A3E"/>
    <w:rsid w:val="00E87D56"/>
    <w:rsid w:val="00E87E08"/>
    <w:rsid w:val="00E9015A"/>
    <w:rsid w:val="00E902F3"/>
    <w:rsid w:val="00E9030C"/>
    <w:rsid w:val="00E904E3"/>
    <w:rsid w:val="00E90582"/>
    <w:rsid w:val="00E905DB"/>
    <w:rsid w:val="00E9123F"/>
    <w:rsid w:val="00E91368"/>
    <w:rsid w:val="00E913E5"/>
    <w:rsid w:val="00E91983"/>
    <w:rsid w:val="00E92AAC"/>
    <w:rsid w:val="00E92D3B"/>
    <w:rsid w:val="00E92D5D"/>
    <w:rsid w:val="00E92E6F"/>
    <w:rsid w:val="00E92FBF"/>
    <w:rsid w:val="00E9319C"/>
    <w:rsid w:val="00E93993"/>
    <w:rsid w:val="00E93BF3"/>
    <w:rsid w:val="00E94038"/>
    <w:rsid w:val="00E940D3"/>
    <w:rsid w:val="00E946F1"/>
    <w:rsid w:val="00E94F98"/>
    <w:rsid w:val="00E955FD"/>
    <w:rsid w:val="00E95779"/>
    <w:rsid w:val="00E95AEB"/>
    <w:rsid w:val="00E95B0F"/>
    <w:rsid w:val="00E96232"/>
    <w:rsid w:val="00E9649C"/>
    <w:rsid w:val="00E96618"/>
    <w:rsid w:val="00E96EB1"/>
    <w:rsid w:val="00E96F0E"/>
    <w:rsid w:val="00E96FAE"/>
    <w:rsid w:val="00E97250"/>
    <w:rsid w:val="00E97949"/>
    <w:rsid w:val="00E97B47"/>
    <w:rsid w:val="00E97C81"/>
    <w:rsid w:val="00E97CE3"/>
    <w:rsid w:val="00EA02F1"/>
    <w:rsid w:val="00EA03FD"/>
    <w:rsid w:val="00EA067B"/>
    <w:rsid w:val="00EA0826"/>
    <w:rsid w:val="00EA0CC4"/>
    <w:rsid w:val="00EA0F43"/>
    <w:rsid w:val="00EA181C"/>
    <w:rsid w:val="00EA1827"/>
    <w:rsid w:val="00EA1CE4"/>
    <w:rsid w:val="00EA27F9"/>
    <w:rsid w:val="00EA2E4F"/>
    <w:rsid w:val="00EA34BC"/>
    <w:rsid w:val="00EA3981"/>
    <w:rsid w:val="00EA3A84"/>
    <w:rsid w:val="00EA3B86"/>
    <w:rsid w:val="00EA3C3D"/>
    <w:rsid w:val="00EA3FF3"/>
    <w:rsid w:val="00EA4116"/>
    <w:rsid w:val="00EA4221"/>
    <w:rsid w:val="00EA454C"/>
    <w:rsid w:val="00EA48B5"/>
    <w:rsid w:val="00EA4B0B"/>
    <w:rsid w:val="00EA5515"/>
    <w:rsid w:val="00EA5F27"/>
    <w:rsid w:val="00EA6447"/>
    <w:rsid w:val="00EA6872"/>
    <w:rsid w:val="00EA70F8"/>
    <w:rsid w:val="00EA72EB"/>
    <w:rsid w:val="00EA7580"/>
    <w:rsid w:val="00EA7F07"/>
    <w:rsid w:val="00EB05D4"/>
    <w:rsid w:val="00EB0F45"/>
    <w:rsid w:val="00EB0FC1"/>
    <w:rsid w:val="00EB120B"/>
    <w:rsid w:val="00EB18CD"/>
    <w:rsid w:val="00EB1BC2"/>
    <w:rsid w:val="00EB2135"/>
    <w:rsid w:val="00EB23AA"/>
    <w:rsid w:val="00EB24D9"/>
    <w:rsid w:val="00EB251B"/>
    <w:rsid w:val="00EB2A5C"/>
    <w:rsid w:val="00EB2DB7"/>
    <w:rsid w:val="00EB2F6B"/>
    <w:rsid w:val="00EB3220"/>
    <w:rsid w:val="00EB33E1"/>
    <w:rsid w:val="00EB369B"/>
    <w:rsid w:val="00EB39E3"/>
    <w:rsid w:val="00EB46DA"/>
    <w:rsid w:val="00EB4B91"/>
    <w:rsid w:val="00EB4F02"/>
    <w:rsid w:val="00EB4F95"/>
    <w:rsid w:val="00EB51D9"/>
    <w:rsid w:val="00EB548B"/>
    <w:rsid w:val="00EB54BA"/>
    <w:rsid w:val="00EB5A21"/>
    <w:rsid w:val="00EB5F7C"/>
    <w:rsid w:val="00EB61DD"/>
    <w:rsid w:val="00EB67F7"/>
    <w:rsid w:val="00EB68AA"/>
    <w:rsid w:val="00EB6AA1"/>
    <w:rsid w:val="00EB6B28"/>
    <w:rsid w:val="00EB6D4A"/>
    <w:rsid w:val="00EB742A"/>
    <w:rsid w:val="00EB7732"/>
    <w:rsid w:val="00EB7ACB"/>
    <w:rsid w:val="00EB7BDA"/>
    <w:rsid w:val="00EB7D90"/>
    <w:rsid w:val="00EC00DE"/>
    <w:rsid w:val="00EC0490"/>
    <w:rsid w:val="00EC059F"/>
    <w:rsid w:val="00EC0992"/>
    <w:rsid w:val="00EC0A2A"/>
    <w:rsid w:val="00EC0A2B"/>
    <w:rsid w:val="00EC0AB4"/>
    <w:rsid w:val="00EC0DC9"/>
    <w:rsid w:val="00EC0EDF"/>
    <w:rsid w:val="00EC109F"/>
    <w:rsid w:val="00EC1342"/>
    <w:rsid w:val="00EC1382"/>
    <w:rsid w:val="00EC1486"/>
    <w:rsid w:val="00EC15F5"/>
    <w:rsid w:val="00EC1B96"/>
    <w:rsid w:val="00EC1C0E"/>
    <w:rsid w:val="00EC1E6E"/>
    <w:rsid w:val="00EC1EF8"/>
    <w:rsid w:val="00EC202F"/>
    <w:rsid w:val="00EC20AA"/>
    <w:rsid w:val="00EC24FE"/>
    <w:rsid w:val="00EC28BE"/>
    <w:rsid w:val="00EC2D44"/>
    <w:rsid w:val="00EC32FE"/>
    <w:rsid w:val="00EC344F"/>
    <w:rsid w:val="00EC3764"/>
    <w:rsid w:val="00EC3914"/>
    <w:rsid w:val="00EC409B"/>
    <w:rsid w:val="00EC4424"/>
    <w:rsid w:val="00EC4443"/>
    <w:rsid w:val="00EC44D7"/>
    <w:rsid w:val="00EC46FB"/>
    <w:rsid w:val="00EC486E"/>
    <w:rsid w:val="00EC4928"/>
    <w:rsid w:val="00EC4F51"/>
    <w:rsid w:val="00EC53A3"/>
    <w:rsid w:val="00EC60E4"/>
    <w:rsid w:val="00EC61CE"/>
    <w:rsid w:val="00EC6683"/>
    <w:rsid w:val="00EC682B"/>
    <w:rsid w:val="00EC6876"/>
    <w:rsid w:val="00EC6ABB"/>
    <w:rsid w:val="00EC6EBC"/>
    <w:rsid w:val="00EC7172"/>
    <w:rsid w:val="00EC7481"/>
    <w:rsid w:val="00EC7636"/>
    <w:rsid w:val="00EC7842"/>
    <w:rsid w:val="00EC7FEF"/>
    <w:rsid w:val="00ED01C8"/>
    <w:rsid w:val="00ED020E"/>
    <w:rsid w:val="00ED09D6"/>
    <w:rsid w:val="00ED0A3E"/>
    <w:rsid w:val="00ED132E"/>
    <w:rsid w:val="00ED13AD"/>
    <w:rsid w:val="00ED1537"/>
    <w:rsid w:val="00ED1664"/>
    <w:rsid w:val="00ED179F"/>
    <w:rsid w:val="00ED199D"/>
    <w:rsid w:val="00ED1C0C"/>
    <w:rsid w:val="00ED1F7E"/>
    <w:rsid w:val="00ED2237"/>
    <w:rsid w:val="00ED26C0"/>
    <w:rsid w:val="00ED27DD"/>
    <w:rsid w:val="00ED2CBA"/>
    <w:rsid w:val="00ED2D34"/>
    <w:rsid w:val="00ED3726"/>
    <w:rsid w:val="00ED3752"/>
    <w:rsid w:val="00ED3926"/>
    <w:rsid w:val="00ED3B7C"/>
    <w:rsid w:val="00ED48F3"/>
    <w:rsid w:val="00ED4945"/>
    <w:rsid w:val="00ED4D74"/>
    <w:rsid w:val="00ED5344"/>
    <w:rsid w:val="00ED53D9"/>
    <w:rsid w:val="00ED55EB"/>
    <w:rsid w:val="00ED5701"/>
    <w:rsid w:val="00ED5875"/>
    <w:rsid w:val="00ED5B9B"/>
    <w:rsid w:val="00ED6236"/>
    <w:rsid w:val="00ED62EA"/>
    <w:rsid w:val="00ED6929"/>
    <w:rsid w:val="00ED6FE5"/>
    <w:rsid w:val="00ED74BA"/>
    <w:rsid w:val="00ED77F4"/>
    <w:rsid w:val="00ED7898"/>
    <w:rsid w:val="00EE021C"/>
    <w:rsid w:val="00EE05C6"/>
    <w:rsid w:val="00EE05E7"/>
    <w:rsid w:val="00EE0BBF"/>
    <w:rsid w:val="00EE0BC0"/>
    <w:rsid w:val="00EE10CB"/>
    <w:rsid w:val="00EE1400"/>
    <w:rsid w:val="00EE1621"/>
    <w:rsid w:val="00EE1688"/>
    <w:rsid w:val="00EE16C5"/>
    <w:rsid w:val="00EE19DB"/>
    <w:rsid w:val="00EE1BEC"/>
    <w:rsid w:val="00EE28D4"/>
    <w:rsid w:val="00EE2D7C"/>
    <w:rsid w:val="00EE30B0"/>
    <w:rsid w:val="00EE364E"/>
    <w:rsid w:val="00EE403B"/>
    <w:rsid w:val="00EE41DB"/>
    <w:rsid w:val="00EE47FC"/>
    <w:rsid w:val="00EE494F"/>
    <w:rsid w:val="00EE4D13"/>
    <w:rsid w:val="00EE4E1F"/>
    <w:rsid w:val="00EE524A"/>
    <w:rsid w:val="00EE5515"/>
    <w:rsid w:val="00EE55FD"/>
    <w:rsid w:val="00EE5928"/>
    <w:rsid w:val="00EE5AB5"/>
    <w:rsid w:val="00EE6006"/>
    <w:rsid w:val="00EE60DD"/>
    <w:rsid w:val="00EE698B"/>
    <w:rsid w:val="00EE6BCA"/>
    <w:rsid w:val="00EE75B8"/>
    <w:rsid w:val="00EE767B"/>
    <w:rsid w:val="00EE7C25"/>
    <w:rsid w:val="00EE7D0E"/>
    <w:rsid w:val="00EF0000"/>
    <w:rsid w:val="00EF0586"/>
    <w:rsid w:val="00EF0934"/>
    <w:rsid w:val="00EF0AC3"/>
    <w:rsid w:val="00EF0E25"/>
    <w:rsid w:val="00EF1054"/>
    <w:rsid w:val="00EF13B5"/>
    <w:rsid w:val="00EF1730"/>
    <w:rsid w:val="00EF178D"/>
    <w:rsid w:val="00EF1E7F"/>
    <w:rsid w:val="00EF1EB2"/>
    <w:rsid w:val="00EF2680"/>
    <w:rsid w:val="00EF276A"/>
    <w:rsid w:val="00EF2FBF"/>
    <w:rsid w:val="00EF3DED"/>
    <w:rsid w:val="00EF3FE7"/>
    <w:rsid w:val="00EF457C"/>
    <w:rsid w:val="00EF496F"/>
    <w:rsid w:val="00EF49A6"/>
    <w:rsid w:val="00EF49BE"/>
    <w:rsid w:val="00EF4C10"/>
    <w:rsid w:val="00EF4D40"/>
    <w:rsid w:val="00EF52C0"/>
    <w:rsid w:val="00EF5459"/>
    <w:rsid w:val="00EF5658"/>
    <w:rsid w:val="00EF59CD"/>
    <w:rsid w:val="00EF5A12"/>
    <w:rsid w:val="00EF5AD4"/>
    <w:rsid w:val="00EF5EE9"/>
    <w:rsid w:val="00EF61F6"/>
    <w:rsid w:val="00EF6323"/>
    <w:rsid w:val="00EF6AB2"/>
    <w:rsid w:val="00EF75A3"/>
    <w:rsid w:val="00EF7783"/>
    <w:rsid w:val="00EF7BE6"/>
    <w:rsid w:val="00EF7DC3"/>
    <w:rsid w:val="00F00062"/>
    <w:rsid w:val="00F00A88"/>
    <w:rsid w:val="00F00E1E"/>
    <w:rsid w:val="00F00F13"/>
    <w:rsid w:val="00F00F24"/>
    <w:rsid w:val="00F00F6B"/>
    <w:rsid w:val="00F01DA2"/>
    <w:rsid w:val="00F02FE4"/>
    <w:rsid w:val="00F037DB"/>
    <w:rsid w:val="00F03BA5"/>
    <w:rsid w:val="00F04206"/>
    <w:rsid w:val="00F04350"/>
    <w:rsid w:val="00F04564"/>
    <w:rsid w:val="00F04B02"/>
    <w:rsid w:val="00F04B7B"/>
    <w:rsid w:val="00F05137"/>
    <w:rsid w:val="00F0513C"/>
    <w:rsid w:val="00F053EB"/>
    <w:rsid w:val="00F05FF6"/>
    <w:rsid w:val="00F0641B"/>
    <w:rsid w:val="00F06454"/>
    <w:rsid w:val="00F0667C"/>
    <w:rsid w:val="00F06DC8"/>
    <w:rsid w:val="00F070E5"/>
    <w:rsid w:val="00F07668"/>
    <w:rsid w:val="00F07EF6"/>
    <w:rsid w:val="00F07F00"/>
    <w:rsid w:val="00F10664"/>
    <w:rsid w:val="00F10A5F"/>
    <w:rsid w:val="00F10DDE"/>
    <w:rsid w:val="00F11133"/>
    <w:rsid w:val="00F11972"/>
    <w:rsid w:val="00F11AFB"/>
    <w:rsid w:val="00F121CF"/>
    <w:rsid w:val="00F126A3"/>
    <w:rsid w:val="00F129CE"/>
    <w:rsid w:val="00F12FD3"/>
    <w:rsid w:val="00F132E6"/>
    <w:rsid w:val="00F1346A"/>
    <w:rsid w:val="00F13529"/>
    <w:rsid w:val="00F13EB5"/>
    <w:rsid w:val="00F1424A"/>
    <w:rsid w:val="00F1432F"/>
    <w:rsid w:val="00F14FA7"/>
    <w:rsid w:val="00F151EE"/>
    <w:rsid w:val="00F1541A"/>
    <w:rsid w:val="00F15B4F"/>
    <w:rsid w:val="00F15DCC"/>
    <w:rsid w:val="00F16366"/>
    <w:rsid w:val="00F16791"/>
    <w:rsid w:val="00F16D36"/>
    <w:rsid w:val="00F17934"/>
    <w:rsid w:val="00F17A9B"/>
    <w:rsid w:val="00F17B2D"/>
    <w:rsid w:val="00F17BAD"/>
    <w:rsid w:val="00F17BEB"/>
    <w:rsid w:val="00F17CB9"/>
    <w:rsid w:val="00F17D5A"/>
    <w:rsid w:val="00F17EE4"/>
    <w:rsid w:val="00F17FC0"/>
    <w:rsid w:val="00F20CD4"/>
    <w:rsid w:val="00F21326"/>
    <w:rsid w:val="00F215C0"/>
    <w:rsid w:val="00F21853"/>
    <w:rsid w:val="00F21959"/>
    <w:rsid w:val="00F21BFB"/>
    <w:rsid w:val="00F21D68"/>
    <w:rsid w:val="00F21E78"/>
    <w:rsid w:val="00F220D6"/>
    <w:rsid w:val="00F22361"/>
    <w:rsid w:val="00F224E7"/>
    <w:rsid w:val="00F22A4B"/>
    <w:rsid w:val="00F231C0"/>
    <w:rsid w:val="00F23535"/>
    <w:rsid w:val="00F2397C"/>
    <w:rsid w:val="00F23B93"/>
    <w:rsid w:val="00F23F2B"/>
    <w:rsid w:val="00F24063"/>
    <w:rsid w:val="00F24312"/>
    <w:rsid w:val="00F246AB"/>
    <w:rsid w:val="00F24D99"/>
    <w:rsid w:val="00F24F95"/>
    <w:rsid w:val="00F24FEC"/>
    <w:rsid w:val="00F25219"/>
    <w:rsid w:val="00F25425"/>
    <w:rsid w:val="00F25755"/>
    <w:rsid w:val="00F257D3"/>
    <w:rsid w:val="00F25928"/>
    <w:rsid w:val="00F259E0"/>
    <w:rsid w:val="00F25CD6"/>
    <w:rsid w:val="00F25E0D"/>
    <w:rsid w:val="00F25E4F"/>
    <w:rsid w:val="00F26770"/>
    <w:rsid w:val="00F2704E"/>
    <w:rsid w:val="00F2728F"/>
    <w:rsid w:val="00F2765A"/>
    <w:rsid w:val="00F2789D"/>
    <w:rsid w:val="00F27BB9"/>
    <w:rsid w:val="00F27E56"/>
    <w:rsid w:val="00F300E8"/>
    <w:rsid w:val="00F3043B"/>
    <w:rsid w:val="00F30B46"/>
    <w:rsid w:val="00F30B88"/>
    <w:rsid w:val="00F30BCB"/>
    <w:rsid w:val="00F311E5"/>
    <w:rsid w:val="00F31C4D"/>
    <w:rsid w:val="00F31E29"/>
    <w:rsid w:val="00F325D1"/>
    <w:rsid w:val="00F32B0D"/>
    <w:rsid w:val="00F32C89"/>
    <w:rsid w:val="00F32E89"/>
    <w:rsid w:val="00F33078"/>
    <w:rsid w:val="00F330BC"/>
    <w:rsid w:val="00F330BE"/>
    <w:rsid w:val="00F33BE7"/>
    <w:rsid w:val="00F33FA8"/>
    <w:rsid w:val="00F345FA"/>
    <w:rsid w:val="00F3460A"/>
    <w:rsid w:val="00F34926"/>
    <w:rsid w:val="00F34F34"/>
    <w:rsid w:val="00F3531D"/>
    <w:rsid w:val="00F353B2"/>
    <w:rsid w:val="00F358EC"/>
    <w:rsid w:val="00F35AD5"/>
    <w:rsid w:val="00F36042"/>
    <w:rsid w:val="00F36252"/>
    <w:rsid w:val="00F3644C"/>
    <w:rsid w:val="00F365F7"/>
    <w:rsid w:val="00F370A8"/>
    <w:rsid w:val="00F3759A"/>
    <w:rsid w:val="00F37680"/>
    <w:rsid w:val="00F37B7C"/>
    <w:rsid w:val="00F37FAB"/>
    <w:rsid w:val="00F40283"/>
    <w:rsid w:val="00F40516"/>
    <w:rsid w:val="00F408F3"/>
    <w:rsid w:val="00F4092D"/>
    <w:rsid w:val="00F40B42"/>
    <w:rsid w:val="00F40C1A"/>
    <w:rsid w:val="00F411F8"/>
    <w:rsid w:val="00F412AB"/>
    <w:rsid w:val="00F4140D"/>
    <w:rsid w:val="00F41D0B"/>
    <w:rsid w:val="00F41D3A"/>
    <w:rsid w:val="00F41E4B"/>
    <w:rsid w:val="00F41FEE"/>
    <w:rsid w:val="00F4216A"/>
    <w:rsid w:val="00F421C0"/>
    <w:rsid w:val="00F422B2"/>
    <w:rsid w:val="00F423B8"/>
    <w:rsid w:val="00F424D3"/>
    <w:rsid w:val="00F42563"/>
    <w:rsid w:val="00F42EF9"/>
    <w:rsid w:val="00F42F00"/>
    <w:rsid w:val="00F42FF6"/>
    <w:rsid w:val="00F43094"/>
    <w:rsid w:val="00F438B9"/>
    <w:rsid w:val="00F438CC"/>
    <w:rsid w:val="00F43A5D"/>
    <w:rsid w:val="00F4434C"/>
    <w:rsid w:val="00F4495C"/>
    <w:rsid w:val="00F44B49"/>
    <w:rsid w:val="00F44B56"/>
    <w:rsid w:val="00F45204"/>
    <w:rsid w:val="00F455A3"/>
    <w:rsid w:val="00F460DC"/>
    <w:rsid w:val="00F46A41"/>
    <w:rsid w:val="00F46EF2"/>
    <w:rsid w:val="00F47000"/>
    <w:rsid w:val="00F470A5"/>
    <w:rsid w:val="00F47400"/>
    <w:rsid w:val="00F474B0"/>
    <w:rsid w:val="00F477E3"/>
    <w:rsid w:val="00F47A14"/>
    <w:rsid w:val="00F47E0D"/>
    <w:rsid w:val="00F50570"/>
    <w:rsid w:val="00F506EC"/>
    <w:rsid w:val="00F50C92"/>
    <w:rsid w:val="00F50CE9"/>
    <w:rsid w:val="00F51159"/>
    <w:rsid w:val="00F51196"/>
    <w:rsid w:val="00F51431"/>
    <w:rsid w:val="00F51E41"/>
    <w:rsid w:val="00F525D5"/>
    <w:rsid w:val="00F5278E"/>
    <w:rsid w:val="00F52938"/>
    <w:rsid w:val="00F52D49"/>
    <w:rsid w:val="00F53204"/>
    <w:rsid w:val="00F53B11"/>
    <w:rsid w:val="00F53DCE"/>
    <w:rsid w:val="00F542A1"/>
    <w:rsid w:val="00F5449D"/>
    <w:rsid w:val="00F54611"/>
    <w:rsid w:val="00F54A5C"/>
    <w:rsid w:val="00F54DB2"/>
    <w:rsid w:val="00F55030"/>
    <w:rsid w:val="00F5520F"/>
    <w:rsid w:val="00F572B0"/>
    <w:rsid w:val="00F573C1"/>
    <w:rsid w:val="00F57A9C"/>
    <w:rsid w:val="00F57ADC"/>
    <w:rsid w:val="00F57B31"/>
    <w:rsid w:val="00F60C6A"/>
    <w:rsid w:val="00F60DA2"/>
    <w:rsid w:val="00F61BD6"/>
    <w:rsid w:val="00F61F76"/>
    <w:rsid w:val="00F62374"/>
    <w:rsid w:val="00F623BD"/>
    <w:rsid w:val="00F629D2"/>
    <w:rsid w:val="00F62B94"/>
    <w:rsid w:val="00F62C5E"/>
    <w:rsid w:val="00F62FD7"/>
    <w:rsid w:val="00F64288"/>
    <w:rsid w:val="00F6460D"/>
    <w:rsid w:val="00F64867"/>
    <w:rsid w:val="00F64C6B"/>
    <w:rsid w:val="00F64EDB"/>
    <w:rsid w:val="00F64EF6"/>
    <w:rsid w:val="00F657A3"/>
    <w:rsid w:val="00F659A8"/>
    <w:rsid w:val="00F659E4"/>
    <w:rsid w:val="00F66008"/>
    <w:rsid w:val="00F6603D"/>
    <w:rsid w:val="00F663FA"/>
    <w:rsid w:val="00F66448"/>
    <w:rsid w:val="00F66896"/>
    <w:rsid w:val="00F66A87"/>
    <w:rsid w:val="00F66BE6"/>
    <w:rsid w:val="00F66C14"/>
    <w:rsid w:val="00F67BB2"/>
    <w:rsid w:val="00F7018A"/>
    <w:rsid w:val="00F708D7"/>
    <w:rsid w:val="00F70B6D"/>
    <w:rsid w:val="00F70BBF"/>
    <w:rsid w:val="00F70E3F"/>
    <w:rsid w:val="00F70FDB"/>
    <w:rsid w:val="00F7144A"/>
    <w:rsid w:val="00F71B8C"/>
    <w:rsid w:val="00F71EFA"/>
    <w:rsid w:val="00F71FD8"/>
    <w:rsid w:val="00F72094"/>
    <w:rsid w:val="00F7241C"/>
    <w:rsid w:val="00F724DC"/>
    <w:rsid w:val="00F728CA"/>
    <w:rsid w:val="00F72D35"/>
    <w:rsid w:val="00F73767"/>
    <w:rsid w:val="00F73F9B"/>
    <w:rsid w:val="00F743CA"/>
    <w:rsid w:val="00F749B0"/>
    <w:rsid w:val="00F74F87"/>
    <w:rsid w:val="00F74FD4"/>
    <w:rsid w:val="00F751CD"/>
    <w:rsid w:val="00F75323"/>
    <w:rsid w:val="00F755FC"/>
    <w:rsid w:val="00F75647"/>
    <w:rsid w:val="00F759DB"/>
    <w:rsid w:val="00F75C19"/>
    <w:rsid w:val="00F75C93"/>
    <w:rsid w:val="00F760FF"/>
    <w:rsid w:val="00F76433"/>
    <w:rsid w:val="00F7654D"/>
    <w:rsid w:val="00F766AE"/>
    <w:rsid w:val="00F7710B"/>
    <w:rsid w:val="00F77190"/>
    <w:rsid w:val="00F772FA"/>
    <w:rsid w:val="00F773D9"/>
    <w:rsid w:val="00F77C8E"/>
    <w:rsid w:val="00F77F5D"/>
    <w:rsid w:val="00F8003A"/>
    <w:rsid w:val="00F802F8"/>
    <w:rsid w:val="00F80721"/>
    <w:rsid w:val="00F807CE"/>
    <w:rsid w:val="00F80A2B"/>
    <w:rsid w:val="00F80EA2"/>
    <w:rsid w:val="00F8170A"/>
    <w:rsid w:val="00F8188C"/>
    <w:rsid w:val="00F819BB"/>
    <w:rsid w:val="00F82124"/>
    <w:rsid w:val="00F828A4"/>
    <w:rsid w:val="00F82DFE"/>
    <w:rsid w:val="00F82F4D"/>
    <w:rsid w:val="00F8378A"/>
    <w:rsid w:val="00F83FB7"/>
    <w:rsid w:val="00F842CE"/>
    <w:rsid w:val="00F84EA1"/>
    <w:rsid w:val="00F84F28"/>
    <w:rsid w:val="00F84FDC"/>
    <w:rsid w:val="00F8515B"/>
    <w:rsid w:val="00F852E5"/>
    <w:rsid w:val="00F85C4F"/>
    <w:rsid w:val="00F85E25"/>
    <w:rsid w:val="00F85EE6"/>
    <w:rsid w:val="00F863EE"/>
    <w:rsid w:val="00F865EB"/>
    <w:rsid w:val="00F86AFF"/>
    <w:rsid w:val="00F873A3"/>
    <w:rsid w:val="00F87489"/>
    <w:rsid w:val="00F87A1F"/>
    <w:rsid w:val="00F87BEB"/>
    <w:rsid w:val="00F90D07"/>
    <w:rsid w:val="00F914EA"/>
    <w:rsid w:val="00F91716"/>
    <w:rsid w:val="00F91A8E"/>
    <w:rsid w:val="00F92286"/>
    <w:rsid w:val="00F926C5"/>
    <w:rsid w:val="00F927CB"/>
    <w:rsid w:val="00F929D4"/>
    <w:rsid w:val="00F92B62"/>
    <w:rsid w:val="00F93219"/>
    <w:rsid w:val="00F9327F"/>
    <w:rsid w:val="00F93555"/>
    <w:rsid w:val="00F93A9B"/>
    <w:rsid w:val="00F93D62"/>
    <w:rsid w:val="00F940A8"/>
    <w:rsid w:val="00F9419B"/>
    <w:rsid w:val="00F946A7"/>
    <w:rsid w:val="00F949E3"/>
    <w:rsid w:val="00F94A66"/>
    <w:rsid w:val="00F94C9A"/>
    <w:rsid w:val="00F94CC7"/>
    <w:rsid w:val="00F94D92"/>
    <w:rsid w:val="00F959CD"/>
    <w:rsid w:val="00F95BDA"/>
    <w:rsid w:val="00F95C0D"/>
    <w:rsid w:val="00F95D9D"/>
    <w:rsid w:val="00F9646E"/>
    <w:rsid w:val="00F9661C"/>
    <w:rsid w:val="00F9685A"/>
    <w:rsid w:val="00F9728A"/>
    <w:rsid w:val="00F976AC"/>
    <w:rsid w:val="00F979DF"/>
    <w:rsid w:val="00F97A4D"/>
    <w:rsid w:val="00F97C8B"/>
    <w:rsid w:val="00FA0882"/>
    <w:rsid w:val="00FA0995"/>
    <w:rsid w:val="00FA0DA5"/>
    <w:rsid w:val="00FA10DA"/>
    <w:rsid w:val="00FA1133"/>
    <w:rsid w:val="00FA1222"/>
    <w:rsid w:val="00FA1F08"/>
    <w:rsid w:val="00FA261A"/>
    <w:rsid w:val="00FA2727"/>
    <w:rsid w:val="00FA2F99"/>
    <w:rsid w:val="00FA3023"/>
    <w:rsid w:val="00FA3421"/>
    <w:rsid w:val="00FA39DD"/>
    <w:rsid w:val="00FA3DC5"/>
    <w:rsid w:val="00FA400C"/>
    <w:rsid w:val="00FA4068"/>
    <w:rsid w:val="00FA4174"/>
    <w:rsid w:val="00FA4379"/>
    <w:rsid w:val="00FA4451"/>
    <w:rsid w:val="00FA44E5"/>
    <w:rsid w:val="00FA48E8"/>
    <w:rsid w:val="00FA4D5A"/>
    <w:rsid w:val="00FA50B1"/>
    <w:rsid w:val="00FA563F"/>
    <w:rsid w:val="00FA5DFC"/>
    <w:rsid w:val="00FA5FB1"/>
    <w:rsid w:val="00FA6527"/>
    <w:rsid w:val="00FA68CF"/>
    <w:rsid w:val="00FA6E91"/>
    <w:rsid w:val="00FA6F88"/>
    <w:rsid w:val="00FA70EF"/>
    <w:rsid w:val="00FA7F00"/>
    <w:rsid w:val="00FA7FF2"/>
    <w:rsid w:val="00FB00BF"/>
    <w:rsid w:val="00FB0272"/>
    <w:rsid w:val="00FB02F8"/>
    <w:rsid w:val="00FB0395"/>
    <w:rsid w:val="00FB03B4"/>
    <w:rsid w:val="00FB0422"/>
    <w:rsid w:val="00FB059C"/>
    <w:rsid w:val="00FB0719"/>
    <w:rsid w:val="00FB07F1"/>
    <w:rsid w:val="00FB080C"/>
    <w:rsid w:val="00FB085A"/>
    <w:rsid w:val="00FB0A29"/>
    <w:rsid w:val="00FB0D92"/>
    <w:rsid w:val="00FB0E7D"/>
    <w:rsid w:val="00FB1330"/>
    <w:rsid w:val="00FB1985"/>
    <w:rsid w:val="00FB1D6D"/>
    <w:rsid w:val="00FB2278"/>
    <w:rsid w:val="00FB24F9"/>
    <w:rsid w:val="00FB2BD7"/>
    <w:rsid w:val="00FB2BEE"/>
    <w:rsid w:val="00FB2D39"/>
    <w:rsid w:val="00FB2ED5"/>
    <w:rsid w:val="00FB31AD"/>
    <w:rsid w:val="00FB3474"/>
    <w:rsid w:val="00FB3B12"/>
    <w:rsid w:val="00FB46D5"/>
    <w:rsid w:val="00FB4965"/>
    <w:rsid w:val="00FB586B"/>
    <w:rsid w:val="00FB5AFD"/>
    <w:rsid w:val="00FB61D2"/>
    <w:rsid w:val="00FB6796"/>
    <w:rsid w:val="00FB6CA9"/>
    <w:rsid w:val="00FB73C9"/>
    <w:rsid w:val="00FB7B73"/>
    <w:rsid w:val="00FB7D10"/>
    <w:rsid w:val="00FC01AC"/>
    <w:rsid w:val="00FC02D6"/>
    <w:rsid w:val="00FC0532"/>
    <w:rsid w:val="00FC0870"/>
    <w:rsid w:val="00FC1247"/>
    <w:rsid w:val="00FC1467"/>
    <w:rsid w:val="00FC1867"/>
    <w:rsid w:val="00FC1B10"/>
    <w:rsid w:val="00FC2081"/>
    <w:rsid w:val="00FC20A2"/>
    <w:rsid w:val="00FC22B1"/>
    <w:rsid w:val="00FC2707"/>
    <w:rsid w:val="00FC2921"/>
    <w:rsid w:val="00FC2D0A"/>
    <w:rsid w:val="00FC2D7B"/>
    <w:rsid w:val="00FC30EC"/>
    <w:rsid w:val="00FC34CA"/>
    <w:rsid w:val="00FC3BFF"/>
    <w:rsid w:val="00FC44DE"/>
    <w:rsid w:val="00FC466B"/>
    <w:rsid w:val="00FC46F5"/>
    <w:rsid w:val="00FC4A31"/>
    <w:rsid w:val="00FC4BC5"/>
    <w:rsid w:val="00FC4CFA"/>
    <w:rsid w:val="00FC5009"/>
    <w:rsid w:val="00FC5B31"/>
    <w:rsid w:val="00FC6126"/>
    <w:rsid w:val="00FC640D"/>
    <w:rsid w:val="00FC68EF"/>
    <w:rsid w:val="00FC6AB3"/>
    <w:rsid w:val="00FC6ADB"/>
    <w:rsid w:val="00FC6DFE"/>
    <w:rsid w:val="00FC7662"/>
    <w:rsid w:val="00FC7CEA"/>
    <w:rsid w:val="00FD06DB"/>
    <w:rsid w:val="00FD07F3"/>
    <w:rsid w:val="00FD08E3"/>
    <w:rsid w:val="00FD092C"/>
    <w:rsid w:val="00FD0BE7"/>
    <w:rsid w:val="00FD0CC0"/>
    <w:rsid w:val="00FD1B33"/>
    <w:rsid w:val="00FD2321"/>
    <w:rsid w:val="00FD36C5"/>
    <w:rsid w:val="00FD38AE"/>
    <w:rsid w:val="00FD3C75"/>
    <w:rsid w:val="00FD4117"/>
    <w:rsid w:val="00FD44A8"/>
    <w:rsid w:val="00FD4643"/>
    <w:rsid w:val="00FD4E36"/>
    <w:rsid w:val="00FD5372"/>
    <w:rsid w:val="00FD53C9"/>
    <w:rsid w:val="00FD5D1C"/>
    <w:rsid w:val="00FD5E74"/>
    <w:rsid w:val="00FD5F18"/>
    <w:rsid w:val="00FD67F6"/>
    <w:rsid w:val="00FD67FC"/>
    <w:rsid w:val="00FD696D"/>
    <w:rsid w:val="00FD7544"/>
    <w:rsid w:val="00FD7785"/>
    <w:rsid w:val="00FD7962"/>
    <w:rsid w:val="00FD79C1"/>
    <w:rsid w:val="00FD7F5B"/>
    <w:rsid w:val="00FE03ED"/>
    <w:rsid w:val="00FE06D9"/>
    <w:rsid w:val="00FE0BCA"/>
    <w:rsid w:val="00FE16D5"/>
    <w:rsid w:val="00FE1849"/>
    <w:rsid w:val="00FE1AB4"/>
    <w:rsid w:val="00FE1C6C"/>
    <w:rsid w:val="00FE1FE9"/>
    <w:rsid w:val="00FE26C4"/>
    <w:rsid w:val="00FE39BC"/>
    <w:rsid w:val="00FE3D0C"/>
    <w:rsid w:val="00FE4028"/>
    <w:rsid w:val="00FE403C"/>
    <w:rsid w:val="00FE4F37"/>
    <w:rsid w:val="00FE5166"/>
    <w:rsid w:val="00FE57A8"/>
    <w:rsid w:val="00FE5E2C"/>
    <w:rsid w:val="00FE5FBD"/>
    <w:rsid w:val="00FE6B28"/>
    <w:rsid w:val="00FE6BB4"/>
    <w:rsid w:val="00FE6C1B"/>
    <w:rsid w:val="00FE6D80"/>
    <w:rsid w:val="00FE6E52"/>
    <w:rsid w:val="00FE7525"/>
    <w:rsid w:val="00FE783D"/>
    <w:rsid w:val="00FF05F9"/>
    <w:rsid w:val="00FF0637"/>
    <w:rsid w:val="00FF0933"/>
    <w:rsid w:val="00FF0962"/>
    <w:rsid w:val="00FF0E42"/>
    <w:rsid w:val="00FF237C"/>
    <w:rsid w:val="00FF294C"/>
    <w:rsid w:val="00FF2C25"/>
    <w:rsid w:val="00FF2C79"/>
    <w:rsid w:val="00FF2DF8"/>
    <w:rsid w:val="00FF2E6D"/>
    <w:rsid w:val="00FF32EC"/>
    <w:rsid w:val="00FF3586"/>
    <w:rsid w:val="00FF3881"/>
    <w:rsid w:val="00FF4373"/>
    <w:rsid w:val="00FF4A8E"/>
    <w:rsid w:val="00FF4C0B"/>
    <w:rsid w:val="00FF4D06"/>
    <w:rsid w:val="00FF4F9E"/>
    <w:rsid w:val="00FF5845"/>
    <w:rsid w:val="00FF669C"/>
    <w:rsid w:val="00FF6881"/>
    <w:rsid w:val="00FF69A5"/>
    <w:rsid w:val="00FF7468"/>
    <w:rsid w:val="00FF7624"/>
    <w:rsid w:val="00FF7929"/>
    <w:rsid w:val="00FF792D"/>
    <w:rsid w:val="00FF7E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3C4872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6C0A"/>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styleId="TOCHeading">
    <w:name w:val="TOC Heading"/>
    <w:basedOn w:val="Heading1"/>
    <w:next w:val="Normal"/>
    <w:uiPriority w:val="39"/>
    <w:semiHidden/>
    <w:unhideWhenUsed/>
    <w:qFormat/>
    <w:rsid w:val="00316C0A"/>
    <w:pPr>
      <w:spacing w:after="0" w:line="276" w:lineRule="auto"/>
      <w:contextualSpacing w:val="0"/>
      <w:outlineLvl w:val="9"/>
    </w:pPr>
    <w:rPr>
      <w:rFonts w:asciiTheme="majorHAnsi" w:hAnsiTheme="majorHAnsi"/>
      <w:color w:val="365F91" w:themeColor="accent1" w:themeShade="BF"/>
      <w:kern w:val="0"/>
      <w:sz w:val="28"/>
      <w:szCs w:val="28"/>
      <w:lang w:val="en-US" w:eastAsia="ja-JP"/>
    </w:rPr>
  </w:style>
  <w:style w:type="paragraph" w:styleId="TOC3">
    <w:name w:val="toc 3"/>
    <w:basedOn w:val="Normal"/>
    <w:next w:val="Normal"/>
    <w:autoRedefine/>
    <w:uiPriority w:val="39"/>
    <w:semiHidden/>
    <w:unhideWhenUsed/>
    <w:qFormat/>
    <w:rsid w:val="00316C0A"/>
    <w:pPr>
      <w:spacing w:after="100" w:line="276" w:lineRule="auto"/>
      <w:ind w:left="440"/>
    </w:pPr>
    <w:rPr>
      <w:rFonts w:asciiTheme="minorHAnsi" w:eastAsiaTheme="minorEastAsia" w:hAnsiTheme="minorHAnsi" w:cstheme="minorBidi"/>
      <w:lang w:val="en-US" w:eastAsia="ja-JP"/>
    </w:rPr>
  </w:style>
  <w:style w:type="character" w:customStyle="1" w:styleId="Heading5Char">
    <w:name w:val="Heading 5 Char"/>
    <w:link w:val="Heading5"/>
    <w:uiPriority w:val="9"/>
    <w:rsid w:val="00444BF0"/>
    <w:rPr>
      <w:rFonts w:eastAsiaTheme="majorEastAsia" w:cstheme="majorBidi"/>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next w:val="APRANORMAL"/>
    <w:uiPriority w:val="39"/>
    <w:qFormat/>
    <w:rsid w:val="00316C0A"/>
    <w:pPr>
      <w:tabs>
        <w:tab w:val="right" w:pos="9016"/>
      </w:tabs>
      <w:spacing w:after="240" w:line="240" w:lineRule="auto"/>
    </w:pPr>
    <w:rPr>
      <w:rFonts w:ascii="DIN OT Medium" w:hAnsi="DIN OT Medium"/>
      <w:noProof/>
      <w:lang w:val="en-GB"/>
    </w:rPr>
  </w:style>
  <w:style w:type="paragraph" w:styleId="TOC2">
    <w:name w:val="toc 2"/>
    <w:aliases w:val="APRA TOC 2"/>
    <w:next w:val="APRANORMAL"/>
    <w:autoRedefine/>
    <w:uiPriority w:val="39"/>
    <w:qFormat/>
    <w:rsid w:val="00A13DA6"/>
    <w:pPr>
      <w:tabs>
        <w:tab w:val="left" w:pos="880"/>
        <w:tab w:val="right" w:pos="9015"/>
      </w:tabs>
      <w:spacing w:after="240" w:line="240" w:lineRule="auto"/>
      <w:ind w:left="221"/>
    </w:pPr>
    <w:rPr>
      <w:rFonts w:ascii="DIN OT Light" w:hAnsi="DIN OT Light"/>
      <w:noProof/>
      <w:lang w:val="en-GB"/>
    </w:rPr>
  </w:style>
  <w:style w:type="paragraph" w:styleId="FootnoteText">
    <w:name w:val="footnote text"/>
    <w:basedOn w:val="Normal"/>
    <w:link w:val="FootnoteTextChar"/>
    <w:uiPriority w:val="99"/>
    <w:unhideWhenUsed/>
    <w:rsid w:val="009855EE"/>
    <w:pPr>
      <w:spacing w:before="120" w:after="120"/>
    </w:pPr>
    <w:rPr>
      <w:rFonts w:ascii="DIN OT Light" w:hAnsi="DIN OT Light"/>
      <w:sz w:val="18"/>
    </w:rPr>
  </w:style>
  <w:style w:type="character" w:customStyle="1" w:styleId="FootnoteTextChar">
    <w:name w:val="Footnote Text Char"/>
    <w:link w:val="FootnoteText"/>
    <w:uiPriority w:val="99"/>
    <w:rsid w:val="009855EE"/>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2B1BC2"/>
    <w:pPr>
      <w:tabs>
        <w:tab w:val="center" w:pos="4513"/>
        <w:tab w:val="right" w:pos="9026"/>
      </w:tabs>
      <w:spacing w:after="0"/>
      <w:jc w:val="right"/>
    </w:pPr>
    <w:rPr>
      <w:rFonts w:ascii="DIN OT" w:hAnsi="DIN OT"/>
      <w:sz w:val="18"/>
    </w:rPr>
  </w:style>
  <w:style w:type="character" w:customStyle="1" w:styleId="FooterChar">
    <w:name w:val="Footer Char"/>
    <w:link w:val="Footer"/>
    <w:uiPriority w:val="99"/>
    <w:rsid w:val="002B1BC2"/>
    <w:rPr>
      <w:rFonts w:ascii="DIN OT" w:hAnsi="DIN OT"/>
      <w:sz w:val="18"/>
    </w:rPr>
  </w:style>
  <w:style w:type="character" w:styleId="FootnoteReference">
    <w:name w:val="footnote reference"/>
    <w:uiPriority w:val="99"/>
    <w:unhideWhenUsed/>
    <w:qFormat/>
    <w:rsid w:val="00C32539"/>
    <w:rPr>
      <w:rFonts w:ascii="DIN OT Medium" w:hAnsi="DIN OT Medium"/>
      <w:i w:val="0"/>
      <w:color w:val="595959" w:themeColor="text1" w:themeTint="A6"/>
      <w:sz w:val="22"/>
      <w:vertAlign w:val="superscript"/>
    </w:rPr>
  </w:style>
  <w:style w:type="character" w:styleId="Hyperlink">
    <w:name w:val="Hyperlink"/>
    <w:uiPriority w:val="99"/>
    <w:rsid w:val="00A13DA6"/>
    <w:rPr>
      <w:rFonts w:ascii="DIN OT" w:hAnsi="DIN OT"/>
      <w:color w:val="00B0F0"/>
      <w:sz w:val="22"/>
      <w:u w:val="single"/>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77A36"/>
    <w:pPr>
      <w:ind w:left="720"/>
      <w:contextualSpacing/>
    </w:p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paragraph" w:styleId="ListBullet">
    <w:name w:val="List Bullet"/>
    <w:basedOn w:val="List"/>
    <w:uiPriority w:val="99"/>
    <w:unhideWhenUsed/>
    <w:rsid w:val="00677A36"/>
    <w:pPr>
      <w:ind w:left="720" w:hanging="360"/>
      <w:contextualSpacing w:val="0"/>
    </w:pPr>
  </w:style>
  <w:style w:type="paragraph" w:styleId="ListNumber2">
    <w:name w:val="List Number 2"/>
    <w:basedOn w:val="Normal"/>
    <w:uiPriority w:val="99"/>
    <w:unhideWhenUsed/>
    <w:rsid w:val="0026542C"/>
    <w:pPr>
      <w:numPr>
        <w:numId w:val="1"/>
      </w:numPr>
      <w:contextualSpacing/>
    </w:pPr>
  </w:style>
  <w:style w:type="paragraph" w:styleId="ListNumber3">
    <w:name w:val="List Number 3"/>
    <w:basedOn w:val="Normal"/>
    <w:link w:val="ListNumber3Char"/>
    <w:uiPriority w:val="99"/>
    <w:unhideWhenUsed/>
    <w:rsid w:val="0026542C"/>
    <w:pPr>
      <w:numPr>
        <w:numId w:val="2"/>
      </w:numPr>
      <w:contextualSpacing/>
    </w:pPr>
  </w:style>
  <w:style w:type="paragraph" w:styleId="ListNumber4">
    <w:name w:val="List Number 4"/>
    <w:basedOn w:val="Normal"/>
    <w:uiPriority w:val="99"/>
    <w:semiHidden/>
    <w:unhideWhenUsed/>
    <w:rsid w:val="0026542C"/>
    <w:pPr>
      <w:numPr>
        <w:numId w:val="3"/>
      </w:numPr>
      <w:contextualSpacing/>
    </w:pPr>
  </w:style>
  <w:style w:type="paragraph" w:styleId="ListNumber5">
    <w:name w:val="List Number 5"/>
    <w:basedOn w:val="Normal"/>
    <w:uiPriority w:val="99"/>
    <w:semiHidden/>
    <w:unhideWhenUsed/>
    <w:rsid w:val="0026542C"/>
    <w:pPr>
      <w:numPr>
        <w:numId w:val="4"/>
      </w:numPr>
      <w:contextualSpacing/>
    </w:pPr>
  </w:style>
  <w:style w:type="paragraph" w:styleId="ListNumber">
    <w:name w:val="List Number"/>
    <w:basedOn w:val="Normal"/>
    <w:uiPriority w:val="99"/>
    <w:unhideWhenUsed/>
    <w:rsid w:val="0026542C"/>
    <w:pPr>
      <w:tabs>
        <w:tab w:val="num" w:pos="360"/>
      </w:tabs>
      <w:ind w:left="360" w:hanging="360"/>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11"/>
      </w:numPr>
    </w:pPr>
  </w:style>
  <w:style w:type="character" w:customStyle="1" w:styleId="ListNumber3Char">
    <w:name w:val="List Number 3 Char"/>
    <w:basedOn w:val="DefaultParagraphFont"/>
    <w:link w:val="ListNumber3"/>
    <w:uiPriority w:val="99"/>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DIN OT Medium" w:hAnsi="DIN OT Medium"/>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character" w:styleId="PlaceholderText">
    <w:name w:val="Placeholder Text"/>
    <w:basedOn w:val="DefaultParagraphFont"/>
    <w:uiPriority w:val="99"/>
    <w:semiHidden/>
    <w:rsid w:val="0043440F"/>
    <w:rPr>
      <w:color w:val="808080"/>
    </w:rPr>
  </w:style>
  <w:style w:type="paragraph" w:customStyle="1" w:styleId="APRAHEADING1">
    <w:name w:val="APRA HEADING 1"/>
    <w:next w:val="APRANORMAL"/>
    <w:link w:val="APRAHEADING1Char"/>
    <w:qFormat/>
    <w:rsid w:val="007F7F63"/>
    <w:pPr>
      <w:pageBreakBefore/>
      <w:numPr>
        <w:numId w:val="8"/>
      </w:numPr>
      <w:pBdr>
        <w:bottom w:val="single" w:sz="4" w:space="3" w:color="BFBFBF" w:themeColor="background1" w:themeShade="BF"/>
      </w:pBdr>
      <w:spacing w:after="480" w:line="240" w:lineRule="auto"/>
      <w:ind w:left="0"/>
      <w:outlineLvl w:val="0"/>
    </w:pPr>
    <w:rPr>
      <w:rFonts w:ascii="DIN OT Medium" w:hAnsi="DIN OT Medium"/>
      <w:color w:val="012169"/>
      <w:sz w:val="40"/>
      <w:szCs w:val="40"/>
    </w:rPr>
  </w:style>
  <w:style w:type="paragraph" w:customStyle="1" w:styleId="APRANORMAL">
    <w:name w:val="APRA NORMAL"/>
    <w:basedOn w:val="Normal"/>
    <w:link w:val="APRANORMALChar"/>
    <w:qFormat/>
    <w:rsid w:val="00B94BE8"/>
    <w:rPr>
      <w:rFonts w:ascii="DIN OT Light" w:hAnsi="DIN OT Light"/>
      <w:lang w:val="en-GB"/>
    </w:rPr>
  </w:style>
  <w:style w:type="character" w:customStyle="1" w:styleId="APRAHEADING1Char">
    <w:name w:val="APRA HEADING 1 Char"/>
    <w:basedOn w:val="DefaultParagraphFont"/>
    <w:link w:val="APRAHEADING1"/>
    <w:rsid w:val="007F7F63"/>
    <w:rPr>
      <w:rFonts w:ascii="DIN OT Medium" w:hAnsi="DIN OT Medium"/>
      <w:color w:val="012169"/>
      <w:sz w:val="40"/>
      <w:szCs w:val="40"/>
    </w:rPr>
  </w:style>
  <w:style w:type="character" w:customStyle="1" w:styleId="APRANORMALChar">
    <w:name w:val="APRA NORMAL Char"/>
    <w:basedOn w:val="DefaultParagraphFont"/>
    <w:link w:val="APRANORMAL"/>
    <w:rsid w:val="00B94BE8"/>
    <w:rPr>
      <w:rFonts w:ascii="DIN OT Light" w:hAnsi="DIN OT Light"/>
      <w:lang w:val="en-GB"/>
    </w:rPr>
  </w:style>
  <w:style w:type="paragraph" w:customStyle="1" w:styleId="APRAHEADING2">
    <w:name w:val="APRA HEADING 2"/>
    <w:next w:val="APRANORMAL"/>
    <w:link w:val="APRAHEADING2Char"/>
    <w:qFormat/>
    <w:rsid w:val="007F7F63"/>
    <w:pPr>
      <w:keepNext/>
      <w:numPr>
        <w:ilvl w:val="1"/>
        <w:numId w:val="8"/>
      </w:numPr>
      <w:tabs>
        <w:tab w:val="clear" w:pos="5387"/>
        <w:tab w:val="left" w:pos="851"/>
      </w:tabs>
      <w:spacing w:before="360" w:after="240" w:line="240" w:lineRule="auto"/>
      <w:ind w:left="0"/>
      <w:outlineLvl w:val="1"/>
    </w:pPr>
    <w:rPr>
      <w:rFonts w:ascii="DIN OT Medium" w:hAnsi="DIN OT Medium"/>
      <w:color w:val="012169"/>
      <w:sz w:val="30"/>
      <w:szCs w:val="28"/>
    </w:rPr>
  </w:style>
  <w:style w:type="paragraph" w:customStyle="1" w:styleId="APRAHEADING3">
    <w:name w:val="APRA HEADING 3"/>
    <w:next w:val="APRANORMAL"/>
    <w:link w:val="APRAHEADING3Char"/>
    <w:qFormat/>
    <w:rsid w:val="00316C0A"/>
    <w:pPr>
      <w:keepNext/>
      <w:numPr>
        <w:ilvl w:val="2"/>
        <w:numId w:val="8"/>
      </w:numPr>
      <w:spacing w:before="360" w:line="240" w:lineRule="auto"/>
    </w:pPr>
    <w:rPr>
      <w:rFonts w:ascii="DIN OT Medium" w:hAnsi="DIN OT Medium"/>
      <w:color w:val="012169"/>
      <w:sz w:val="26"/>
      <w:szCs w:val="24"/>
      <w:lang w:val="en-GB"/>
    </w:rPr>
  </w:style>
  <w:style w:type="character" w:customStyle="1" w:styleId="APRAHEADING2Char">
    <w:name w:val="APRA HEADING 2 Char"/>
    <w:basedOn w:val="APRAHEADING1Char"/>
    <w:link w:val="APRAHEADING2"/>
    <w:rsid w:val="007F7F63"/>
    <w:rPr>
      <w:rFonts w:ascii="DIN OT Medium" w:hAnsi="DIN OT Medium"/>
      <w:color w:val="012169"/>
      <w:sz w:val="30"/>
      <w:szCs w:val="28"/>
    </w:rPr>
  </w:style>
  <w:style w:type="paragraph" w:customStyle="1" w:styleId="APRAHEADING4">
    <w:name w:val="APRA HEADING 4"/>
    <w:link w:val="APRAHEADING4Char"/>
    <w:qFormat/>
    <w:rsid w:val="00316C0A"/>
    <w:pPr>
      <w:keepNext/>
      <w:suppressAutoHyphens/>
      <w:autoSpaceDE w:val="0"/>
      <w:autoSpaceDN w:val="0"/>
      <w:adjustRightInd w:val="0"/>
      <w:spacing w:before="240" w:after="60" w:line="240"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316C0A"/>
    <w:rPr>
      <w:rFonts w:ascii="DIN OT Medium" w:hAnsi="DIN OT Medium"/>
      <w:color w:val="012169"/>
      <w:sz w:val="26"/>
      <w:szCs w:val="24"/>
      <w:lang w:val="en-GB"/>
    </w:rPr>
  </w:style>
  <w:style w:type="paragraph" w:customStyle="1" w:styleId="APRAHEADING5">
    <w:name w:val="APRA HEADING 5"/>
    <w:link w:val="APRAHEADING5Char"/>
    <w:qFormat/>
    <w:rsid w:val="00316C0A"/>
    <w:pPr>
      <w:spacing w:line="240" w:lineRule="auto"/>
    </w:pPr>
    <w:rPr>
      <w:rFonts w:ascii="DIN OT Medium" w:hAnsi="DIN OT Medium" w:cs="DIN Offc"/>
      <w:bCs/>
      <w:i/>
      <w:lang w:val="en-GB"/>
    </w:rPr>
  </w:style>
  <w:style w:type="character" w:customStyle="1" w:styleId="APRAHEADING4Char">
    <w:name w:val="APRA HEADING 4 Char"/>
    <w:basedOn w:val="DefaultParagraphFont"/>
    <w:link w:val="APRAHEADING4"/>
    <w:rsid w:val="00316C0A"/>
    <w:rPr>
      <w:rFonts w:ascii="DIN OT Medium" w:hAnsi="DIN OT Medium" w:cs="DIN Offc"/>
      <w:bCs/>
      <w:lang w:val="en-GB"/>
    </w:rPr>
  </w:style>
  <w:style w:type="paragraph" w:customStyle="1" w:styleId="APRABULLET">
    <w:name w:val="APRA BULLET"/>
    <w:link w:val="APRABULLETChar"/>
    <w:qFormat/>
    <w:rsid w:val="00CA4ADA"/>
    <w:pPr>
      <w:numPr>
        <w:numId w:val="12"/>
      </w:numPr>
      <w:tabs>
        <w:tab w:val="left" w:pos="357"/>
      </w:tabs>
      <w:spacing w:before="120" w:line="240" w:lineRule="auto"/>
    </w:pPr>
    <w:rPr>
      <w:rFonts w:ascii="DIN OT Light" w:hAnsi="DIN OT Light"/>
      <w:lang w:val="en-GB"/>
    </w:rPr>
  </w:style>
  <w:style w:type="character" w:customStyle="1" w:styleId="APRAHEADING5Char">
    <w:name w:val="APRA HEADING 5 Char"/>
    <w:basedOn w:val="APRAHEADING4Char"/>
    <w:link w:val="APRAHEADING5"/>
    <w:rsid w:val="00316C0A"/>
    <w:rPr>
      <w:rFonts w:ascii="DIN OT Medium" w:hAnsi="DIN OT Medium" w:cs="DIN Offc"/>
      <w:bCs/>
      <w:i/>
      <w:lang w:val="en-GB"/>
    </w:rPr>
  </w:style>
  <w:style w:type="paragraph" w:customStyle="1" w:styleId="APRANUMBERBULLET">
    <w:name w:val="APRA NUMBER BULLET"/>
    <w:basedOn w:val="ListParagraph"/>
    <w:link w:val="APRANUMBERBULLETChar"/>
    <w:qFormat/>
    <w:rsid w:val="00BB0C47"/>
    <w:pPr>
      <w:numPr>
        <w:numId w:val="15"/>
      </w:numPr>
      <w:tabs>
        <w:tab w:val="left" w:pos="357"/>
      </w:tabs>
      <w:ind w:left="357" w:hanging="357"/>
      <w:contextualSpacing w:val="0"/>
    </w:pPr>
    <w:rPr>
      <w:rFonts w:ascii="DIN OT Light" w:hAnsi="DIN OT Light"/>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CA4ADA"/>
    <w:rPr>
      <w:rFonts w:ascii="DIN OT Light" w:hAnsi="DIN OT Light"/>
      <w:color w:val="000000" w:themeColor="text1"/>
      <w:lang w:val="en-GB"/>
    </w:rPr>
  </w:style>
  <w:style w:type="character" w:customStyle="1" w:styleId="APRANUMBERBULLETChar">
    <w:name w:val="APRA NUMBER BULLET Char"/>
    <w:basedOn w:val="ListParagraphChar"/>
    <w:link w:val="APRANUMBERBULLET"/>
    <w:rsid w:val="00BB0C47"/>
    <w:rPr>
      <w:rFonts w:ascii="DIN OT Light" w:hAnsi="DIN OT Light"/>
      <w:color w:val="000000" w:themeColor="text1"/>
      <w:lang w:val="en-GB"/>
    </w:rPr>
  </w:style>
  <w:style w:type="paragraph" w:customStyle="1" w:styleId="APRACONTENTSHEADIN">
    <w:name w:val="APRA CONTENTS HEADIN"/>
    <w:next w:val="APRANORMAL"/>
    <w:rsid w:val="00316C0A"/>
    <w:pPr>
      <w:pageBreakBefore/>
      <w:pBdr>
        <w:bottom w:val="single" w:sz="4" w:space="3" w:color="BFBFBF" w:themeColor="background1" w:themeShade="BF"/>
      </w:pBdr>
      <w:spacing w:after="480" w:line="240" w:lineRule="auto"/>
      <w:outlineLvl w:val="0"/>
    </w:pPr>
    <w:rPr>
      <w:rFonts w:ascii="DIN OT Medium" w:hAnsi="DIN OT Medium"/>
      <w:color w:val="012169"/>
      <w:sz w:val="40"/>
      <w:szCs w:val="40"/>
    </w:rPr>
  </w:style>
  <w:style w:type="character" w:styleId="CommentReference">
    <w:name w:val="annotation reference"/>
    <w:basedOn w:val="DefaultParagraphFont"/>
    <w:uiPriority w:val="99"/>
    <w:semiHidden/>
    <w:unhideWhenUsed/>
    <w:rsid w:val="00443520"/>
    <w:rPr>
      <w:sz w:val="16"/>
      <w:szCs w:val="16"/>
    </w:rPr>
  </w:style>
  <w:style w:type="paragraph" w:styleId="CommentText">
    <w:name w:val="annotation text"/>
    <w:basedOn w:val="Normal"/>
    <w:link w:val="CommentTextChar"/>
    <w:uiPriority w:val="99"/>
    <w:unhideWhenUsed/>
    <w:rsid w:val="00443520"/>
    <w:rPr>
      <w:sz w:val="20"/>
      <w:szCs w:val="20"/>
    </w:rPr>
  </w:style>
  <w:style w:type="character" w:customStyle="1" w:styleId="CommentTextChar">
    <w:name w:val="Comment Text Char"/>
    <w:basedOn w:val="DefaultParagraphFont"/>
    <w:link w:val="CommentText"/>
    <w:uiPriority w:val="99"/>
    <w:rsid w:val="00443520"/>
    <w:rPr>
      <w:sz w:val="20"/>
      <w:szCs w:val="20"/>
    </w:rPr>
  </w:style>
  <w:style w:type="paragraph" w:styleId="CommentSubject">
    <w:name w:val="annotation subject"/>
    <w:basedOn w:val="CommentText"/>
    <w:next w:val="CommentText"/>
    <w:link w:val="CommentSubjectChar"/>
    <w:uiPriority w:val="99"/>
    <w:semiHidden/>
    <w:unhideWhenUsed/>
    <w:rsid w:val="00443520"/>
    <w:rPr>
      <w:b/>
      <w:bCs/>
    </w:rPr>
  </w:style>
  <w:style w:type="character" w:customStyle="1" w:styleId="CommentSubjectChar">
    <w:name w:val="Comment Subject Char"/>
    <w:basedOn w:val="CommentTextChar"/>
    <w:link w:val="CommentSubject"/>
    <w:uiPriority w:val="99"/>
    <w:semiHidden/>
    <w:rsid w:val="00443520"/>
    <w:rPr>
      <w:b/>
      <w:bCs/>
      <w:sz w:val="20"/>
      <w:szCs w:val="20"/>
    </w:rPr>
  </w:style>
  <w:style w:type="paragraph" w:customStyle="1" w:styleId="Tabletext">
    <w:name w:val="Table text"/>
    <w:basedOn w:val="APRANORMAL"/>
    <w:link w:val="TabletextChar"/>
    <w:qFormat/>
    <w:rsid w:val="00316C0A"/>
    <w:pPr>
      <w:spacing w:before="120" w:after="120"/>
    </w:pPr>
    <w:rPr>
      <w:rFonts w:eastAsia="Times New Roman"/>
      <w:sz w:val="20"/>
    </w:rPr>
  </w:style>
  <w:style w:type="paragraph" w:styleId="NormalWeb">
    <w:name w:val="Normal (Web)"/>
    <w:basedOn w:val="Normal"/>
    <w:uiPriority w:val="99"/>
    <w:semiHidden/>
    <w:unhideWhenUsed/>
    <w:rsid w:val="0075746A"/>
    <w:rPr>
      <w:rFonts w:ascii="Times New Roman" w:hAnsi="Times New Roman"/>
      <w:sz w:val="24"/>
      <w:szCs w:val="24"/>
    </w:rPr>
  </w:style>
  <w:style w:type="paragraph" w:customStyle="1" w:styleId="Default">
    <w:name w:val="Default"/>
    <w:rsid w:val="000F50AC"/>
    <w:pPr>
      <w:autoSpaceDE w:val="0"/>
      <w:autoSpaceDN w:val="0"/>
      <w:adjustRightInd w:val="0"/>
      <w:spacing w:after="0" w:line="240" w:lineRule="auto"/>
    </w:pPr>
    <w:rPr>
      <w:rFonts w:ascii="DIN OT" w:hAnsi="DIN OT" w:cs="DIN OT"/>
      <w:color w:val="000000"/>
      <w:sz w:val="24"/>
      <w:szCs w:val="24"/>
    </w:rPr>
  </w:style>
  <w:style w:type="table" w:styleId="GridTable5Dark-Accent1">
    <w:name w:val="Grid Table 5 Dark Accent 1"/>
    <w:basedOn w:val="TableNormal"/>
    <w:uiPriority w:val="50"/>
    <w:rsid w:val="004D69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3D3196"/>
    <w:pPr>
      <w:spacing w:after="0" w:line="240" w:lineRule="auto"/>
    </w:pPr>
  </w:style>
  <w:style w:type="character" w:styleId="HTMLCite">
    <w:name w:val="HTML Cite"/>
    <w:basedOn w:val="DefaultParagraphFont"/>
    <w:uiPriority w:val="99"/>
    <w:semiHidden/>
    <w:unhideWhenUsed/>
    <w:rsid w:val="005A6034"/>
    <w:rPr>
      <w:i/>
      <w:iCs/>
    </w:rPr>
  </w:style>
  <w:style w:type="paragraph" w:customStyle="1" w:styleId="APRAHEADING1-NONUMBER">
    <w:name w:val="APRA HEADING 1-NO NUMBER"/>
    <w:next w:val="APRANORMAL"/>
    <w:rsid w:val="00316C0A"/>
    <w:pPr>
      <w:pageBreakBefore/>
      <w:pBdr>
        <w:bottom w:val="single" w:sz="4" w:space="3" w:color="BFBFBF" w:themeColor="background1" w:themeShade="BF"/>
      </w:pBdr>
      <w:spacing w:after="480" w:line="240" w:lineRule="auto"/>
      <w:outlineLvl w:val="0"/>
    </w:pPr>
    <w:rPr>
      <w:rFonts w:ascii="DIN OT Medium" w:hAnsi="DIN OT Medium"/>
      <w:color w:val="012169"/>
      <w:sz w:val="40"/>
      <w:szCs w:val="40"/>
    </w:rPr>
  </w:style>
  <w:style w:type="paragraph" w:customStyle="1" w:styleId="APRAHEADING3-NONUMBER">
    <w:name w:val="APRA HEADING 3-NO NUMBER"/>
    <w:rsid w:val="00316C0A"/>
    <w:pPr>
      <w:spacing w:before="360" w:line="240" w:lineRule="auto"/>
    </w:pPr>
    <w:rPr>
      <w:rFonts w:ascii="DIN OT Medium" w:hAnsi="DIN OT Medium"/>
      <w:color w:val="002060"/>
      <w:sz w:val="26"/>
      <w:szCs w:val="24"/>
      <w:lang w:val="en-GB"/>
    </w:rPr>
  </w:style>
  <w:style w:type="paragraph" w:customStyle="1" w:styleId="APRATABLE-NUMBER">
    <w:name w:val="APRA TABLE - NUMBER"/>
    <w:basedOn w:val="APRANORMAL"/>
    <w:next w:val="APRANORMAL"/>
    <w:rsid w:val="009855EE"/>
    <w:pPr>
      <w:keepNext/>
      <w:numPr>
        <w:numId w:val="9"/>
      </w:numPr>
      <w:tabs>
        <w:tab w:val="left" w:pos="1134"/>
      </w:tabs>
      <w:spacing w:before="240" w:after="120"/>
      <w:ind w:left="1134" w:hanging="1134"/>
    </w:pPr>
    <w:rPr>
      <w:rFonts w:ascii="DIN OT Medium" w:hAnsi="DIN OT Medium"/>
      <w:i/>
    </w:rPr>
  </w:style>
  <w:style w:type="paragraph" w:customStyle="1" w:styleId="APRAFIGURE">
    <w:name w:val="APRA FIGURE"/>
    <w:next w:val="APRANORMAL"/>
    <w:rsid w:val="009855EE"/>
    <w:pPr>
      <w:keepNext/>
      <w:numPr>
        <w:numId w:val="10"/>
      </w:numPr>
      <w:tabs>
        <w:tab w:val="left" w:pos="1134"/>
      </w:tabs>
      <w:spacing w:before="240" w:line="240" w:lineRule="auto"/>
      <w:ind w:left="1134" w:hanging="1134"/>
    </w:pPr>
    <w:rPr>
      <w:rFonts w:ascii="DIN OT Medium" w:hAnsi="DIN OT Medium"/>
      <w:i/>
    </w:rPr>
  </w:style>
  <w:style w:type="character" w:customStyle="1" w:styleId="TabletextChar">
    <w:name w:val="Table text Char"/>
    <w:basedOn w:val="DefaultParagraphFont"/>
    <w:link w:val="Tabletext"/>
    <w:rsid w:val="00316C0A"/>
    <w:rPr>
      <w:rFonts w:ascii="DIN OT Light" w:eastAsia="Times New Roman" w:hAnsi="DIN OT Light"/>
      <w:sz w:val="20"/>
      <w:lang w:val="en-GB"/>
    </w:rPr>
  </w:style>
  <w:style w:type="table" w:customStyle="1" w:styleId="TableGrid1">
    <w:name w:val="Table Grid1"/>
    <w:basedOn w:val="TableNormal"/>
    <w:next w:val="TableGrid"/>
    <w:uiPriority w:val="59"/>
    <w:rsid w:val="00E64CCD"/>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7966"/>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39385">
      <w:bodyDiv w:val="1"/>
      <w:marLeft w:val="0"/>
      <w:marRight w:val="0"/>
      <w:marTop w:val="0"/>
      <w:marBottom w:val="0"/>
      <w:divBdr>
        <w:top w:val="none" w:sz="0" w:space="0" w:color="auto"/>
        <w:left w:val="none" w:sz="0" w:space="0" w:color="auto"/>
        <w:bottom w:val="none" w:sz="0" w:space="0" w:color="auto"/>
        <w:right w:val="none" w:sz="0" w:space="0" w:color="auto"/>
      </w:divBdr>
    </w:div>
    <w:div w:id="124855294">
      <w:bodyDiv w:val="1"/>
      <w:marLeft w:val="0"/>
      <w:marRight w:val="0"/>
      <w:marTop w:val="0"/>
      <w:marBottom w:val="0"/>
      <w:divBdr>
        <w:top w:val="none" w:sz="0" w:space="0" w:color="auto"/>
        <w:left w:val="none" w:sz="0" w:space="0" w:color="auto"/>
        <w:bottom w:val="none" w:sz="0" w:space="0" w:color="auto"/>
        <w:right w:val="none" w:sz="0" w:space="0" w:color="auto"/>
      </w:divBdr>
    </w:div>
    <w:div w:id="138496179">
      <w:bodyDiv w:val="1"/>
      <w:marLeft w:val="0"/>
      <w:marRight w:val="0"/>
      <w:marTop w:val="0"/>
      <w:marBottom w:val="0"/>
      <w:divBdr>
        <w:top w:val="none" w:sz="0" w:space="0" w:color="auto"/>
        <w:left w:val="none" w:sz="0" w:space="0" w:color="auto"/>
        <w:bottom w:val="none" w:sz="0" w:space="0" w:color="auto"/>
        <w:right w:val="none" w:sz="0" w:space="0" w:color="auto"/>
      </w:divBdr>
    </w:div>
    <w:div w:id="436950081">
      <w:bodyDiv w:val="1"/>
      <w:marLeft w:val="0"/>
      <w:marRight w:val="0"/>
      <w:marTop w:val="0"/>
      <w:marBottom w:val="0"/>
      <w:divBdr>
        <w:top w:val="none" w:sz="0" w:space="0" w:color="auto"/>
        <w:left w:val="none" w:sz="0" w:space="0" w:color="auto"/>
        <w:bottom w:val="none" w:sz="0" w:space="0" w:color="auto"/>
        <w:right w:val="none" w:sz="0" w:space="0" w:color="auto"/>
      </w:divBdr>
    </w:div>
    <w:div w:id="523792611">
      <w:bodyDiv w:val="1"/>
      <w:marLeft w:val="0"/>
      <w:marRight w:val="0"/>
      <w:marTop w:val="0"/>
      <w:marBottom w:val="0"/>
      <w:divBdr>
        <w:top w:val="none" w:sz="0" w:space="0" w:color="auto"/>
        <w:left w:val="none" w:sz="0" w:space="0" w:color="auto"/>
        <w:bottom w:val="none" w:sz="0" w:space="0" w:color="auto"/>
        <w:right w:val="none" w:sz="0" w:space="0" w:color="auto"/>
      </w:divBdr>
    </w:div>
    <w:div w:id="534192068">
      <w:bodyDiv w:val="1"/>
      <w:marLeft w:val="0"/>
      <w:marRight w:val="0"/>
      <w:marTop w:val="0"/>
      <w:marBottom w:val="0"/>
      <w:divBdr>
        <w:top w:val="none" w:sz="0" w:space="0" w:color="auto"/>
        <w:left w:val="none" w:sz="0" w:space="0" w:color="auto"/>
        <w:bottom w:val="none" w:sz="0" w:space="0" w:color="auto"/>
        <w:right w:val="none" w:sz="0" w:space="0" w:color="auto"/>
      </w:divBdr>
    </w:div>
    <w:div w:id="610288319">
      <w:bodyDiv w:val="1"/>
      <w:marLeft w:val="0"/>
      <w:marRight w:val="0"/>
      <w:marTop w:val="0"/>
      <w:marBottom w:val="0"/>
      <w:divBdr>
        <w:top w:val="none" w:sz="0" w:space="0" w:color="auto"/>
        <w:left w:val="none" w:sz="0" w:space="0" w:color="auto"/>
        <w:bottom w:val="none" w:sz="0" w:space="0" w:color="auto"/>
        <w:right w:val="none" w:sz="0" w:space="0" w:color="auto"/>
      </w:divBdr>
    </w:div>
    <w:div w:id="665672034">
      <w:bodyDiv w:val="1"/>
      <w:marLeft w:val="0"/>
      <w:marRight w:val="0"/>
      <w:marTop w:val="0"/>
      <w:marBottom w:val="0"/>
      <w:divBdr>
        <w:top w:val="none" w:sz="0" w:space="0" w:color="auto"/>
        <w:left w:val="none" w:sz="0" w:space="0" w:color="auto"/>
        <w:bottom w:val="none" w:sz="0" w:space="0" w:color="auto"/>
        <w:right w:val="none" w:sz="0" w:space="0" w:color="auto"/>
      </w:divBdr>
    </w:div>
    <w:div w:id="753552038">
      <w:bodyDiv w:val="1"/>
      <w:marLeft w:val="0"/>
      <w:marRight w:val="0"/>
      <w:marTop w:val="0"/>
      <w:marBottom w:val="0"/>
      <w:divBdr>
        <w:top w:val="none" w:sz="0" w:space="0" w:color="auto"/>
        <w:left w:val="none" w:sz="0" w:space="0" w:color="auto"/>
        <w:bottom w:val="none" w:sz="0" w:space="0" w:color="auto"/>
        <w:right w:val="none" w:sz="0" w:space="0" w:color="auto"/>
      </w:divBdr>
    </w:div>
    <w:div w:id="796530560">
      <w:bodyDiv w:val="1"/>
      <w:marLeft w:val="0"/>
      <w:marRight w:val="0"/>
      <w:marTop w:val="0"/>
      <w:marBottom w:val="0"/>
      <w:divBdr>
        <w:top w:val="none" w:sz="0" w:space="0" w:color="auto"/>
        <w:left w:val="none" w:sz="0" w:space="0" w:color="auto"/>
        <w:bottom w:val="none" w:sz="0" w:space="0" w:color="auto"/>
        <w:right w:val="none" w:sz="0" w:space="0" w:color="auto"/>
      </w:divBdr>
    </w:div>
    <w:div w:id="991910108">
      <w:bodyDiv w:val="1"/>
      <w:marLeft w:val="0"/>
      <w:marRight w:val="0"/>
      <w:marTop w:val="0"/>
      <w:marBottom w:val="0"/>
      <w:divBdr>
        <w:top w:val="none" w:sz="0" w:space="0" w:color="auto"/>
        <w:left w:val="none" w:sz="0" w:space="0" w:color="auto"/>
        <w:bottom w:val="none" w:sz="0" w:space="0" w:color="auto"/>
        <w:right w:val="none" w:sz="0" w:space="0" w:color="auto"/>
      </w:divBdr>
    </w:div>
    <w:div w:id="1005743432">
      <w:bodyDiv w:val="1"/>
      <w:marLeft w:val="0"/>
      <w:marRight w:val="0"/>
      <w:marTop w:val="0"/>
      <w:marBottom w:val="0"/>
      <w:divBdr>
        <w:top w:val="none" w:sz="0" w:space="0" w:color="auto"/>
        <w:left w:val="none" w:sz="0" w:space="0" w:color="auto"/>
        <w:bottom w:val="none" w:sz="0" w:space="0" w:color="auto"/>
        <w:right w:val="none" w:sz="0" w:space="0" w:color="auto"/>
      </w:divBdr>
    </w:div>
    <w:div w:id="1048921731">
      <w:bodyDiv w:val="1"/>
      <w:marLeft w:val="0"/>
      <w:marRight w:val="0"/>
      <w:marTop w:val="0"/>
      <w:marBottom w:val="0"/>
      <w:divBdr>
        <w:top w:val="none" w:sz="0" w:space="0" w:color="auto"/>
        <w:left w:val="none" w:sz="0" w:space="0" w:color="auto"/>
        <w:bottom w:val="none" w:sz="0" w:space="0" w:color="auto"/>
        <w:right w:val="none" w:sz="0" w:space="0" w:color="auto"/>
      </w:divBdr>
    </w:div>
    <w:div w:id="1103182734">
      <w:bodyDiv w:val="1"/>
      <w:marLeft w:val="0"/>
      <w:marRight w:val="0"/>
      <w:marTop w:val="0"/>
      <w:marBottom w:val="0"/>
      <w:divBdr>
        <w:top w:val="none" w:sz="0" w:space="0" w:color="auto"/>
        <w:left w:val="none" w:sz="0" w:space="0" w:color="auto"/>
        <w:bottom w:val="none" w:sz="0" w:space="0" w:color="auto"/>
        <w:right w:val="none" w:sz="0" w:space="0" w:color="auto"/>
      </w:divBdr>
    </w:div>
    <w:div w:id="1156799600">
      <w:bodyDiv w:val="1"/>
      <w:marLeft w:val="0"/>
      <w:marRight w:val="0"/>
      <w:marTop w:val="0"/>
      <w:marBottom w:val="0"/>
      <w:divBdr>
        <w:top w:val="none" w:sz="0" w:space="0" w:color="auto"/>
        <w:left w:val="none" w:sz="0" w:space="0" w:color="auto"/>
        <w:bottom w:val="none" w:sz="0" w:space="0" w:color="auto"/>
        <w:right w:val="none" w:sz="0" w:space="0" w:color="auto"/>
      </w:divBdr>
    </w:div>
    <w:div w:id="1315522972">
      <w:bodyDiv w:val="1"/>
      <w:marLeft w:val="0"/>
      <w:marRight w:val="0"/>
      <w:marTop w:val="0"/>
      <w:marBottom w:val="0"/>
      <w:divBdr>
        <w:top w:val="none" w:sz="0" w:space="0" w:color="auto"/>
        <w:left w:val="none" w:sz="0" w:space="0" w:color="auto"/>
        <w:bottom w:val="none" w:sz="0" w:space="0" w:color="auto"/>
        <w:right w:val="none" w:sz="0" w:space="0" w:color="auto"/>
      </w:divBdr>
    </w:div>
    <w:div w:id="1438520220">
      <w:bodyDiv w:val="1"/>
      <w:marLeft w:val="0"/>
      <w:marRight w:val="0"/>
      <w:marTop w:val="0"/>
      <w:marBottom w:val="0"/>
      <w:divBdr>
        <w:top w:val="none" w:sz="0" w:space="0" w:color="auto"/>
        <w:left w:val="none" w:sz="0" w:space="0" w:color="auto"/>
        <w:bottom w:val="none" w:sz="0" w:space="0" w:color="auto"/>
        <w:right w:val="none" w:sz="0" w:space="0" w:color="auto"/>
      </w:divBdr>
    </w:div>
    <w:div w:id="1458140706">
      <w:bodyDiv w:val="1"/>
      <w:marLeft w:val="0"/>
      <w:marRight w:val="0"/>
      <w:marTop w:val="0"/>
      <w:marBottom w:val="0"/>
      <w:divBdr>
        <w:top w:val="none" w:sz="0" w:space="0" w:color="auto"/>
        <w:left w:val="none" w:sz="0" w:space="0" w:color="auto"/>
        <w:bottom w:val="none" w:sz="0" w:space="0" w:color="auto"/>
        <w:right w:val="none" w:sz="0" w:space="0" w:color="auto"/>
      </w:divBdr>
    </w:div>
    <w:div w:id="1498691705">
      <w:bodyDiv w:val="1"/>
      <w:marLeft w:val="0"/>
      <w:marRight w:val="0"/>
      <w:marTop w:val="0"/>
      <w:marBottom w:val="0"/>
      <w:divBdr>
        <w:top w:val="none" w:sz="0" w:space="0" w:color="auto"/>
        <w:left w:val="none" w:sz="0" w:space="0" w:color="auto"/>
        <w:bottom w:val="none" w:sz="0" w:space="0" w:color="auto"/>
        <w:right w:val="none" w:sz="0" w:space="0" w:color="auto"/>
      </w:divBdr>
    </w:div>
    <w:div w:id="1502086136">
      <w:bodyDiv w:val="1"/>
      <w:marLeft w:val="0"/>
      <w:marRight w:val="0"/>
      <w:marTop w:val="0"/>
      <w:marBottom w:val="0"/>
      <w:divBdr>
        <w:top w:val="none" w:sz="0" w:space="0" w:color="auto"/>
        <w:left w:val="none" w:sz="0" w:space="0" w:color="auto"/>
        <w:bottom w:val="none" w:sz="0" w:space="0" w:color="auto"/>
        <w:right w:val="none" w:sz="0" w:space="0" w:color="auto"/>
      </w:divBdr>
    </w:div>
    <w:div w:id="1664971466">
      <w:bodyDiv w:val="1"/>
      <w:marLeft w:val="0"/>
      <w:marRight w:val="0"/>
      <w:marTop w:val="0"/>
      <w:marBottom w:val="0"/>
      <w:divBdr>
        <w:top w:val="none" w:sz="0" w:space="0" w:color="auto"/>
        <w:left w:val="none" w:sz="0" w:space="0" w:color="auto"/>
        <w:bottom w:val="none" w:sz="0" w:space="0" w:color="auto"/>
        <w:right w:val="none" w:sz="0" w:space="0" w:color="auto"/>
      </w:divBdr>
    </w:div>
    <w:div w:id="1676226864">
      <w:bodyDiv w:val="1"/>
      <w:marLeft w:val="0"/>
      <w:marRight w:val="0"/>
      <w:marTop w:val="0"/>
      <w:marBottom w:val="0"/>
      <w:divBdr>
        <w:top w:val="none" w:sz="0" w:space="0" w:color="auto"/>
        <w:left w:val="none" w:sz="0" w:space="0" w:color="auto"/>
        <w:bottom w:val="none" w:sz="0" w:space="0" w:color="auto"/>
        <w:right w:val="none" w:sz="0" w:space="0" w:color="auto"/>
      </w:divBdr>
    </w:div>
    <w:div w:id="1693679324">
      <w:bodyDiv w:val="1"/>
      <w:marLeft w:val="0"/>
      <w:marRight w:val="0"/>
      <w:marTop w:val="0"/>
      <w:marBottom w:val="0"/>
      <w:divBdr>
        <w:top w:val="none" w:sz="0" w:space="0" w:color="auto"/>
        <w:left w:val="none" w:sz="0" w:space="0" w:color="auto"/>
        <w:bottom w:val="none" w:sz="0" w:space="0" w:color="auto"/>
        <w:right w:val="none" w:sz="0" w:space="0" w:color="auto"/>
      </w:divBdr>
    </w:div>
    <w:div w:id="1694459964">
      <w:bodyDiv w:val="1"/>
      <w:marLeft w:val="0"/>
      <w:marRight w:val="0"/>
      <w:marTop w:val="0"/>
      <w:marBottom w:val="0"/>
      <w:divBdr>
        <w:top w:val="none" w:sz="0" w:space="0" w:color="auto"/>
        <w:left w:val="none" w:sz="0" w:space="0" w:color="auto"/>
        <w:bottom w:val="none" w:sz="0" w:space="0" w:color="auto"/>
        <w:right w:val="none" w:sz="0" w:space="0" w:color="auto"/>
      </w:divBdr>
    </w:div>
    <w:div w:id="1722749516">
      <w:bodyDiv w:val="1"/>
      <w:marLeft w:val="0"/>
      <w:marRight w:val="0"/>
      <w:marTop w:val="0"/>
      <w:marBottom w:val="0"/>
      <w:divBdr>
        <w:top w:val="none" w:sz="0" w:space="0" w:color="auto"/>
        <w:left w:val="none" w:sz="0" w:space="0" w:color="auto"/>
        <w:bottom w:val="none" w:sz="0" w:space="0" w:color="auto"/>
        <w:right w:val="none" w:sz="0" w:space="0" w:color="auto"/>
      </w:divBdr>
    </w:div>
    <w:div w:id="1780904687">
      <w:bodyDiv w:val="1"/>
      <w:marLeft w:val="0"/>
      <w:marRight w:val="0"/>
      <w:marTop w:val="0"/>
      <w:marBottom w:val="0"/>
      <w:divBdr>
        <w:top w:val="none" w:sz="0" w:space="0" w:color="auto"/>
        <w:left w:val="none" w:sz="0" w:space="0" w:color="auto"/>
        <w:bottom w:val="none" w:sz="0" w:space="0" w:color="auto"/>
        <w:right w:val="none" w:sz="0" w:space="0" w:color="auto"/>
      </w:divBdr>
    </w:div>
    <w:div w:id="1832134345">
      <w:bodyDiv w:val="1"/>
      <w:marLeft w:val="0"/>
      <w:marRight w:val="0"/>
      <w:marTop w:val="0"/>
      <w:marBottom w:val="0"/>
      <w:divBdr>
        <w:top w:val="none" w:sz="0" w:space="0" w:color="auto"/>
        <w:left w:val="none" w:sz="0" w:space="0" w:color="auto"/>
        <w:bottom w:val="none" w:sz="0" w:space="0" w:color="auto"/>
        <w:right w:val="none" w:sz="0" w:space="0" w:color="auto"/>
      </w:divBdr>
    </w:div>
    <w:div w:id="1851598730">
      <w:bodyDiv w:val="1"/>
      <w:marLeft w:val="0"/>
      <w:marRight w:val="0"/>
      <w:marTop w:val="0"/>
      <w:marBottom w:val="0"/>
      <w:divBdr>
        <w:top w:val="none" w:sz="0" w:space="0" w:color="auto"/>
        <w:left w:val="none" w:sz="0" w:space="0" w:color="auto"/>
        <w:bottom w:val="none" w:sz="0" w:space="0" w:color="auto"/>
        <w:right w:val="none" w:sz="0" w:space="0" w:color="auto"/>
      </w:divBdr>
    </w:div>
    <w:div w:id="1964800447">
      <w:bodyDiv w:val="1"/>
      <w:marLeft w:val="0"/>
      <w:marRight w:val="0"/>
      <w:marTop w:val="0"/>
      <w:marBottom w:val="0"/>
      <w:divBdr>
        <w:top w:val="none" w:sz="0" w:space="0" w:color="auto"/>
        <w:left w:val="none" w:sz="0" w:space="0" w:color="auto"/>
        <w:bottom w:val="none" w:sz="0" w:space="0" w:color="auto"/>
        <w:right w:val="none" w:sz="0" w:space="0" w:color="auto"/>
      </w:divBdr>
    </w:div>
    <w:div w:id="2126534702">
      <w:bodyDiv w:val="1"/>
      <w:marLeft w:val="0"/>
      <w:marRight w:val="0"/>
      <w:marTop w:val="0"/>
      <w:marBottom w:val="0"/>
      <w:divBdr>
        <w:top w:val="none" w:sz="0" w:space="0" w:color="auto"/>
        <w:left w:val="none" w:sz="0" w:space="0" w:color="auto"/>
        <w:bottom w:val="none" w:sz="0" w:space="0" w:color="auto"/>
        <w:right w:val="none" w:sz="0" w:space="0" w:color="auto"/>
      </w:divBdr>
    </w:div>
    <w:div w:id="2140342767">
      <w:bodyDiv w:val="1"/>
      <w:marLeft w:val="0"/>
      <w:marRight w:val="0"/>
      <w:marTop w:val="0"/>
      <w:marBottom w:val="0"/>
      <w:divBdr>
        <w:top w:val="none" w:sz="0" w:space="0" w:color="auto"/>
        <w:left w:val="none" w:sz="0" w:space="0" w:color="auto"/>
        <w:bottom w:val="none" w:sz="0" w:space="0" w:color="auto"/>
        <w:right w:val="none" w:sz="0" w:space="0" w:color="auto"/>
      </w:divBdr>
      <w:divsChild>
        <w:div w:id="373968077">
          <w:marLeft w:val="0"/>
          <w:marRight w:val="0"/>
          <w:marTop w:val="0"/>
          <w:marBottom w:val="0"/>
          <w:divBdr>
            <w:top w:val="none" w:sz="0" w:space="0" w:color="auto"/>
            <w:left w:val="none" w:sz="0" w:space="0" w:color="auto"/>
            <w:bottom w:val="none" w:sz="0" w:space="0" w:color="auto"/>
            <w:right w:val="none" w:sz="0" w:space="0" w:color="auto"/>
          </w:divBdr>
          <w:divsChild>
            <w:div w:id="876234877">
              <w:marLeft w:val="0"/>
              <w:marRight w:val="0"/>
              <w:marTop w:val="0"/>
              <w:marBottom w:val="0"/>
              <w:divBdr>
                <w:top w:val="none" w:sz="0" w:space="0" w:color="auto"/>
                <w:left w:val="none" w:sz="0" w:space="0" w:color="auto"/>
                <w:bottom w:val="none" w:sz="0" w:space="0" w:color="auto"/>
                <w:right w:val="none" w:sz="0" w:space="0" w:color="auto"/>
              </w:divBdr>
              <w:divsChild>
                <w:div w:id="2072923706">
                  <w:marLeft w:val="0"/>
                  <w:marRight w:val="0"/>
                  <w:marTop w:val="0"/>
                  <w:marBottom w:val="0"/>
                  <w:divBdr>
                    <w:top w:val="none" w:sz="0" w:space="0" w:color="auto"/>
                    <w:left w:val="none" w:sz="0" w:space="0" w:color="auto"/>
                    <w:bottom w:val="none" w:sz="0" w:space="0" w:color="auto"/>
                    <w:right w:val="none" w:sz="0" w:space="0" w:color="auto"/>
                  </w:divBdr>
                  <w:divsChild>
                    <w:div w:id="96676753">
                      <w:marLeft w:val="0"/>
                      <w:marRight w:val="0"/>
                      <w:marTop w:val="0"/>
                      <w:marBottom w:val="0"/>
                      <w:divBdr>
                        <w:top w:val="none" w:sz="0" w:space="0" w:color="auto"/>
                        <w:left w:val="none" w:sz="0" w:space="0" w:color="auto"/>
                        <w:bottom w:val="none" w:sz="0" w:space="0" w:color="auto"/>
                        <w:right w:val="none" w:sz="0" w:space="0" w:color="auto"/>
                      </w:divBdr>
                      <w:divsChild>
                        <w:div w:id="1143499687">
                          <w:marLeft w:val="0"/>
                          <w:marRight w:val="0"/>
                          <w:marTop w:val="0"/>
                          <w:marBottom w:val="0"/>
                          <w:divBdr>
                            <w:top w:val="none" w:sz="0" w:space="0" w:color="auto"/>
                            <w:left w:val="none" w:sz="0" w:space="0" w:color="auto"/>
                            <w:bottom w:val="none" w:sz="0" w:space="0" w:color="auto"/>
                            <w:right w:val="none" w:sz="0" w:space="0" w:color="auto"/>
                          </w:divBdr>
                          <w:divsChild>
                            <w:div w:id="256181617">
                              <w:marLeft w:val="0"/>
                              <w:marRight w:val="0"/>
                              <w:marTop w:val="0"/>
                              <w:marBottom w:val="0"/>
                              <w:divBdr>
                                <w:top w:val="none" w:sz="0" w:space="0" w:color="auto"/>
                                <w:left w:val="none" w:sz="0" w:space="0" w:color="auto"/>
                                <w:bottom w:val="none" w:sz="0" w:space="0" w:color="auto"/>
                                <w:right w:val="none" w:sz="0" w:space="0" w:color="auto"/>
                              </w:divBdr>
                              <w:divsChild>
                                <w:div w:id="221719849">
                                  <w:marLeft w:val="0"/>
                                  <w:marRight w:val="0"/>
                                  <w:marTop w:val="0"/>
                                  <w:marBottom w:val="0"/>
                                  <w:divBdr>
                                    <w:top w:val="none" w:sz="0" w:space="0" w:color="auto"/>
                                    <w:left w:val="none" w:sz="0" w:space="0" w:color="auto"/>
                                    <w:bottom w:val="none" w:sz="0" w:space="0" w:color="auto"/>
                                    <w:right w:val="none" w:sz="0" w:space="0" w:color="auto"/>
                                  </w:divBdr>
                                  <w:divsChild>
                                    <w:div w:id="1496649472">
                                      <w:marLeft w:val="60"/>
                                      <w:marRight w:val="0"/>
                                      <w:marTop w:val="0"/>
                                      <w:marBottom w:val="0"/>
                                      <w:divBdr>
                                        <w:top w:val="none" w:sz="0" w:space="0" w:color="auto"/>
                                        <w:left w:val="none" w:sz="0" w:space="0" w:color="auto"/>
                                        <w:bottom w:val="none" w:sz="0" w:space="0" w:color="auto"/>
                                        <w:right w:val="none" w:sz="0" w:space="0" w:color="auto"/>
                                      </w:divBdr>
                                      <w:divsChild>
                                        <w:div w:id="1006135873">
                                          <w:marLeft w:val="0"/>
                                          <w:marRight w:val="0"/>
                                          <w:marTop w:val="0"/>
                                          <w:marBottom w:val="0"/>
                                          <w:divBdr>
                                            <w:top w:val="none" w:sz="0" w:space="0" w:color="auto"/>
                                            <w:left w:val="none" w:sz="0" w:space="0" w:color="auto"/>
                                            <w:bottom w:val="none" w:sz="0" w:space="0" w:color="auto"/>
                                            <w:right w:val="none" w:sz="0" w:space="0" w:color="auto"/>
                                          </w:divBdr>
                                          <w:divsChild>
                                            <w:div w:id="160582341">
                                              <w:marLeft w:val="0"/>
                                              <w:marRight w:val="0"/>
                                              <w:marTop w:val="0"/>
                                              <w:marBottom w:val="120"/>
                                              <w:divBdr>
                                                <w:top w:val="single" w:sz="6" w:space="0" w:color="F5F5F5"/>
                                                <w:left w:val="single" w:sz="6" w:space="0" w:color="F5F5F5"/>
                                                <w:bottom w:val="single" w:sz="6" w:space="0" w:color="F5F5F5"/>
                                                <w:right w:val="single" w:sz="6" w:space="0" w:color="F5F5F5"/>
                                              </w:divBdr>
                                              <w:divsChild>
                                                <w:div w:id="1096094115">
                                                  <w:marLeft w:val="0"/>
                                                  <w:marRight w:val="0"/>
                                                  <w:marTop w:val="0"/>
                                                  <w:marBottom w:val="0"/>
                                                  <w:divBdr>
                                                    <w:top w:val="none" w:sz="0" w:space="0" w:color="auto"/>
                                                    <w:left w:val="none" w:sz="0" w:space="0" w:color="auto"/>
                                                    <w:bottom w:val="none" w:sz="0" w:space="0" w:color="auto"/>
                                                    <w:right w:val="none" w:sz="0" w:space="0" w:color="auto"/>
                                                  </w:divBdr>
                                                  <w:divsChild>
                                                    <w:div w:id="1139347132">
                                                      <w:marLeft w:val="0"/>
                                                      <w:marRight w:val="0"/>
                                                      <w:marTop w:val="0"/>
                                                      <w:marBottom w:val="0"/>
                                                      <w:divBdr>
                                                        <w:top w:val="none" w:sz="0" w:space="0" w:color="auto"/>
                                                        <w:left w:val="none" w:sz="0" w:space="0" w:color="auto"/>
                                                        <w:bottom w:val="none" w:sz="0" w:space="0" w:color="auto"/>
                                                        <w:right w:val="none" w:sz="0" w:space="0" w:color="auto"/>
                                                      </w:divBdr>
                                                    </w:div>
                                                  </w:divsChild>
                                                </w:div>
                                                <w:div w:id="749422663">
                                                  <w:marLeft w:val="0"/>
                                                  <w:marRight w:val="0"/>
                                                  <w:marTop w:val="0"/>
                                                  <w:marBottom w:val="0"/>
                                                  <w:divBdr>
                                                    <w:top w:val="none" w:sz="0" w:space="0" w:color="auto"/>
                                                    <w:left w:val="none" w:sz="0" w:space="0" w:color="auto"/>
                                                    <w:bottom w:val="none" w:sz="0" w:space="0" w:color="auto"/>
                                                    <w:right w:val="none" w:sz="0" w:space="0" w:color="auto"/>
                                                  </w:divBdr>
                                                  <w:divsChild>
                                                    <w:div w:id="352920239">
                                                      <w:marLeft w:val="0"/>
                                                      <w:marRight w:val="0"/>
                                                      <w:marTop w:val="0"/>
                                                      <w:marBottom w:val="0"/>
                                                      <w:divBdr>
                                                        <w:top w:val="none" w:sz="0" w:space="0" w:color="auto"/>
                                                        <w:left w:val="none" w:sz="0" w:space="0" w:color="auto"/>
                                                        <w:bottom w:val="none" w:sz="0" w:space="0" w:color="auto"/>
                                                        <w:right w:val="none" w:sz="0" w:space="0" w:color="auto"/>
                                                      </w:divBdr>
                                                    </w:div>
                                                  </w:divsChild>
                                                </w:div>
                                                <w:div w:id="143200377">
                                                  <w:marLeft w:val="0"/>
                                                  <w:marRight w:val="0"/>
                                                  <w:marTop w:val="0"/>
                                                  <w:marBottom w:val="0"/>
                                                  <w:divBdr>
                                                    <w:top w:val="none" w:sz="0" w:space="0" w:color="auto"/>
                                                    <w:left w:val="none" w:sz="0" w:space="0" w:color="auto"/>
                                                    <w:bottom w:val="none" w:sz="0" w:space="0" w:color="auto"/>
                                                    <w:right w:val="none" w:sz="0" w:space="0" w:color="auto"/>
                                                  </w:divBdr>
                                                  <w:divsChild>
                                                    <w:div w:id="154300367">
                                                      <w:marLeft w:val="0"/>
                                                      <w:marRight w:val="0"/>
                                                      <w:marTop w:val="0"/>
                                                      <w:marBottom w:val="0"/>
                                                      <w:divBdr>
                                                        <w:top w:val="none" w:sz="0" w:space="0" w:color="auto"/>
                                                        <w:left w:val="none" w:sz="0" w:space="0" w:color="auto"/>
                                                        <w:bottom w:val="none" w:sz="0" w:space="0" w:color="auto"/>
                                                        <w:right w:val="none" w:sz="0" w:space="0" w:color="auto"/>
                                                      </w:divBdr>
                                                      <w:divsChild>
                                                        <w:div w:id="1768427251">
                                                          <w:marLeft w:val="0"/>
                                                          <w:marRight w:val="0"/>
                                                          <w:marTop w:val="0"/>
                                                          <w:marBottom w:val="0"/>
                                                          <w:divBdr>
                                                            <w:top w:val="none" w:sz="0" w:space="0" w:color="auto"/>
                                                            <w:left w:val="none" w:sz="0" w:space="0" w:color="auto"/>
                                                            <w:bottom w:val="none" w:sz="0" w:space="0" w:color="auto"/>
                                                            <w:right w:val="none" w:sz="0" w:space="0" w:color="auto"/>
                                                          </w:divBdr>
                                                        </w:div>
                                                        <w:div w:id="4843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54161">
                                              <w:marLeft w:val="0"/>
                                              <w:marRight w:val="0"/>
                                              <w:marTop w:val="0"/>
                                              <w:marBottom w:val="0"/>
                                              <w:divBdr>
                                                <w:top w:val="none" w:sz="0" w:space="0" w:color="auto"/>
                                                <w:left w:val="none" w:sz="0" w:space="0" w:color="auto"/>
                                                <w:bottom w:val="none" w:sz="0" w:space="0" w:color="auto"/>
                                                <w:right w:val="none" w:sz="0" w:space="0" w:color="auto"/>
                                              </w:divBdr>
                                              <w:divsChild>
                                                <w:div w:id="974414469">
                                                  <w:marLeft w:val="0"/>
                                                  <w:marRight w:val="0"/>
                                                  <w:marTop w:val="600"/>
                                                  <w:marBottom w:val="0"/>
                                                  <w:divBdr>
                                                    <w:top w:val="none" w:sz="0" w:space="0" w:color="auto"/>
                                                    <w:left w:val="none" w:sz="0" w:space="0" w:color="auto"/>
                                                    <w:bottom w:val="none" w:sz="0" w:space="0" w:color="auto"/>
                                                    <w:right w:val="none" w:sz="0" w:space="0" w:color="auto"/>
                                                  </w:divBdr>
                                                  <w:divsChild>
                                                    <w:div w:id="1571769551">
                                                      <w:marLeft w:val="0"/>
                                                      <w:marRight w:val="0"/>
                                                      <w:marTop w:val="0"/>
                                                      <w:marBottom w:val="0"/>
                                                      <w:divBdr>
                                                        <w:top w:val="none" w:sz="0" w:space="0" w:color="auto"/>
                                                        <w:left w:val="none" w:sz="0" w:space="0" w:color="auto"/>
                                                        <w:bottom w:val="none" w:sz="0" w:space="0" w:color="auto"/>
                                                        <w:right w:val="none" w:sz="0" w:space="0" w:color="auto"/>
                                                      </w:divBdr>
                                                      <w:divsChild>
                                                        <w:div w:id="379942019">
                                                          <w:marLeft w:val="0"/>
                                                          <w:marRight w:val="0"/>
                                                          <w:marTop w:val="0"/>
                                                          <w:marBottom w:val="0"/>
                                                          <w:divBdr>
                                                            <w:top w:val="none" w:sz="0" w:space="0" w:color="auto"/>
                                                            <w:left w:val="none" w:sz="0" w:space="0" w:color="auto"/>
                                                            <w:bottom w:val="none" w:sz="0" w:space="0" w:color="auto"/>
                                                            <w:right w:val="none" w:sz="0" w:space="0" w:color="auto"/>
                                                          </w:divBdr>
                                                          <w:divsChild>
                                                            <w:div w:id="654726431">
                                                              <w:marLeft w:val="0"/>
                                                              <w:marRight w:val="0"/>
                                                              <w:marTop w:val="0"/>
                                                              <w:marBottom w:val="0"/>
                                                              <w:divBdr>
                                                                <w:top w:val="none" w:sz="0" w:space="0" w:color="auto"/>
                                                                <w:left w:val="none" w:sz="0" w:space="0" w:color="auto"/>
                                                                <w:bottom w:val="none" w:sz="0" w:space="0" w:color="auto"/>
                                                                <w:right w:val="none" w:sz="0" w:space="0" w:color="auto"/>
                                                              </w:divBdr>
                                                              <w:divsChild>
                                                                <w:div w:id="2025205759">
                                                                  <w:marLeft w:val="0"/>
                                                                  <w:marRight w:val="0"/>
                                                                  <w:marTop w:val="100"/>
                                                                  <w:marBottom w:val="100"/>
                                                                  <w:divBdr>
                                                                    <w:top w:val="none" w:sz="0" w:space="0" w:color="auto"/>
                                                                    <w:left w:val="none" w:sz="0" w:space="0" w:color="auto"/>
                                                                    <w:bottom w:val="none" w:sz="0" w:space="0" w:color="auto"/>
                                                                    <w:right w:val="none" w:sz="0" w:space="0" w:color="auto"/>
                                                                  </w:divBdr>
                                                                </w:div>
                                                                <w:div w:id="405942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40938113">
                                                  <w:marLeft w:val="0"/>
                                                  <w:marRight w:val="0"/>
                                                  <w:marTop w:val="0"/>
                                                  <w:marBottom w:val="0"/>
                                                  <w:divBdr>
                                                    <w:top w:val="none" w:sz="0" w:space="0" w:color="auto"/>
                                                    <w:left w:val="none" w:sz="0" w:space="0" w:color="auto"/>
                                                    <w:bottom w:val="none" w:sz="0" w:space="0" w:color="auto"/>
                                                    <w:right w:val="none" w:sz="0" w:space="0" w:color="auto"/>
                                                  </w:divBdr>
                                                  <w:divsChild>
                                                    <w:div w:id="1127314510">
                                                      <w:marLeft w:val="0"/>
                                                      <w:marRight w:val="0"/>
                                                      <w:marTop w:val="90"/>
                                                      <w:marBottom w:val="90"/>
                                                      <w:divBdr>
                                                        <w:top w:val="none" w:sz="0" w:space="4" w:color="F0C36D"/>
                                                        <w:left w:val="none" w:sz="0" w:space="4" w:color="F0C36D"/>
                                                        <w:bottom w:val="none" w:sz="0" w:space="4" w:color="F0C36D"/>
                                                        <w:right w:val="none" w:sz="0" w:space="4" w:color="F0C36D"/>
                                                      </w:divBdr>
                                                      <w:divsChild>
                                                        <w:div w:id="884635738">
                                                          <w:marLeft w:val="0"/>
                                                          <w:marRight w:val="0"/>
                                                          <w:marTop w:val="0"/>
                                                          <w:marBottom w:val="0"/>
                                                          <w:divBdr>
                                                            <w:top w:val="none" w:sz="0" w:space="0" w:color="auto"/>
                                                            <w:left w:val="none" w:sz="0" w:space="0" w:color="auto"/>
                                                            <w:bottom w:val="none" w:sz="0" w:space="0" w:color="auto"/>
                                                            <w:right w:val="none" w:sz="0" w:space="0" w:color="auto"/>
                                                          </w:divBdr>
                                                        </w:div>
                                                      </w:divsChild>
                                                    </w:div>
                                                    <w:div w:id="1816991169">
                                                      <w:marLeft w:val="0"/>
                                                      <w:marRight w:val="0"/>
                                                      <w:marTop w:val="0"/>
                                                      <w:marBottom w:val="0"/>
                                                      <w:divBdr>
                                                        <w:top w:val="none" w:sz="0" w:space="0" w:color="auto"/>
                                                        <w:left w:val="none" w:sz="0" w:space="0" w:color="auto"/>
                                                        <w:bottom w:val="none" w:sz="0" w:space="0" w:color="auto"/>
                                                        <w:right w:val="none" w:sz="0" w:space="0" w:color="auto"/>
                                                      </w:divBdr>
                                                      <w:divsChild>
                                                        <w:div w:id="251361137">
                                                          <w:marLeft w:val="0"/>
                                                          <w:marRight w:val="0"/>
                                                          <w:marTop w:val="0"/>
                                                          <w:marBottom w:val="0"/>
                                                          <w:divBdr>
                                                            <w:top w:val="none" w:sz="0" w:space="0" w:color="auto"/>
                                                            <w:left w:val="none" w:sz="0" w:space="0" w:color="auto"/>
                                                            <w:bottom w:val="none" w:sz="0" w:space="0" w:color="auto"/>
                                                            <w:right w:val="none" w:sz="0" w:space="0" w:color="auto"/>
                                                          </w:divBdr>
                                                        </w:div>
                                                        <w:div w:id="1503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857829">
                                  <w:marLeft w:val="0"/>
                                  <w:marRight w:val="0"/>
                                  <w:marTop w:val="0"/>
                                  <w:marBottom w:val="0"/>
                                  <w:divBdr>
                                    <w:top w:val="none" w:sz="0" w:space="0" w:color="auto"/>
                                    <w:left w:val="none" w:sz="0" w:space="0" w:color="auto"/>
                                    <w:bottom w:val="none" w:sz="0" w:space="0" w:color="auto"/>
                                    <w:right w:val="none" w:sz="0" w:space="0" w:color="auto"/>
                                  </w:divBdr>
                                  <w:divsChild>
                                    <w:div w:id="1377705623">
                                      <w:marLeft w:val="0"/>
                                      <w:marRight w:val="0"/>
                                      <w:marTop w:val="600"/>
                                      <w:marBottom w:val="0"/>
                                      <w:divBdr>
                                        <w:top w:val="none" w:sz="0" w:space="0" w:color="auto"/>
                                        <w:left w:val="none" w:sz="0" w:space="0" w:color="auto"/>
                                        <w:bottom w:val="none" w:sz="0" w:space="0" w:color="auto"/>
                                        <w:right w:val="none" w:sz="0" w:space="0" w:color="auto"/>
                                      </w:divBdr>
                                      <w:divsChild>
                                        <w:div w:id="1767581390">
                                          <w:marLeft w:val="0"/>
                                          <w:marRight w:val="0"/>
                                          <w:marTop w:val="0"/>
                                          <w:marBottom w:val="0"/>
                                          <w:divBdr>
                                            <w:top w:val="none" w:sz="0" w:space="0" w:color="auto"/>
                                            <w:left w:val="none" w:sz="0" w:space="0" w:color="auto"/>
                                            <w:bottom w:val="none" w:sz="0" w:space="0" w:color="auto"/>
                                            <w:right w:val="none" w:sz="0" w:space="0" w:color="auto"/>
                                          </w:divBdr>
                                          <w:divsChild>
                                            <w:div w:id="1477336607">
                                              <w:marLeft w:val="0"/>
                                              <w:marRight w:val="0"/>
                                              <w:marTop w:val="0"/>
                                              <w:marBottom w:val="0"/>
                                              <w:divBdr>
                                                <w:top w:val="none" w:sz="0" w:space="0" w:color="auto"/>
                                                <w:left w:val="none" w:sz="0" w:space="0" w:color="auto"/>
                                                <w:bottom w:val="none" w:sz="0" w:space="0" w:color="auto"/>
                                                <w:right w:val="none" w:sz="0" w:space="0" w:color="auto"/>
                                              </w:divBdr>
                                              <w:divsChild>
                                                <w:div w:id="400057003">
                                                  <w:marLeft w:val="0"/>
                                                  <w:marRight w:val="0"/>
                                                  <w:marTop w:val="0"/>
                                                  <w:marBottom w:val="0"/>
                                                  <w:divBdr>
                                                    <w:top w:val="none" w:sz="0" w:space="0" w:color="auto"/>
                                                    <w:left w:val="none" w:sz="0" w:space="0" w:color="auto"/>
                                                    <w:bottom w:val="none" w:sz="0" w:space="0" w:color="auto"/>
                                                    <w:right w:val="none" w:sz="0" w:space="0" w:color="auto"/>
                                                  </w:divBdr>
                                                  <w:divsChild>
                                                    <w:div w:id="304941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04383679">
                                  <w:marLeft w:val="0"/>
                                  <w:marRight w:val="0"/>
                                  <w:marTop w:val="0"/>
                                  <w:marBottom w:val="0"/>
                                  <w:divBdr>
                                    <w:top w:val="none" w:sz="0" w:space="0" w:color="auto"/>
                                    <w:left w:val="none" w:sz="0" w:space="0" w:color="auto"/>
                                    <w:bottom w:val="none" w:sz="0" w:space="0" w:color="auto"/>
                                    <w:right w:val="none" w:sz="0" w:space="0" w:color="auto"/>
                                  </w:divBdr>
                                  <w:divsChild>
                                    <w:div w:id="388959079">
                                      <w:marLeft w:val="0"/>
                                      <w:marRight w:val="0"/>
                                      <w:marTop w:val="0"/>
                                      <w:marBottom w:val="0"/>
                                      <w:divBdr>
                                        <w:top w:val="none" w:sz="0" w:space="0" w:color="auto"/>
                                        <w:left w:val="none" w:sz="0" w:space="0" w:color="auto"/>
                                        <w:bottom w:val="single" w:sz="6" w:space="3" w:color="CCCCCC"/>
                                        <w:right w:val="none" w:sz="0" w:space="0" w:color="auto"/>
                                      </w:divBdr>
                                    </w:div>
                                    <w:div w:id="1349716342">
                                      <w:marLeft w:val="0"/>
                                      <w:marRight w:val="0"/>
                                      <w:marTop w:val="0"/>
                                      <w:marBottom w:val="0"/>
                                      <w:divBdr>
                                        <w:top w:val="none" w:sz="0" w:space="0" w:color="auto"/>
                                        <w:left w:val="none" w:sz="0" w:space="0" w:color="auto"/>
                                        <w:bottom w:val="none" w:sz="0" w:space="0" w:color="auto"/>
                                        <w:right w:val="none" w:sz="0" w:space="0" w:color="auto"/>
                                      </w:divBdr>
                                      <w:divsChild>
                                        <w:div w:id="1201164326">
                                          <w:marLeft w:val="0"/>
                                          <w:marRight w:val="0"/>
                                          <w:marTop w:val="0"/>
                                          <w:marBottom w:val="0"/>
                                          <w:divBdr>
                                            <w:top w:val="none" w:sz="0" w:space="0" w:color="auto"/>
                                            <w:left w:val="none" w:sz="0" w:space="0" w:color="auto"/>
                                            <w:bottom w:val="none" w:sz="0" w:space="0" w:color="auto"/>
                                            <w:right w:val="none" w:sz="0" w:space="0" w:color="auto"/>
                                          </w:divBdr>
                                          <w:divsChild>
                                            <w:div w:id="2359404">
                                              <w:marLeft w:val="0"/>
                                              <w:marRight w:val="60"/>
                                              <w:marTop w:val="0"/>
                                              <w:marBottom w:val="0"/>
                                              <w:divBdr>
                                                <w:top w:val="none" w:sz="0" w:space="0" w:color="auto"/>
                                                <w:left w:val="none" w:sz="0" w:space="0" w:color="auto"/>
                                                <w:bottom w:val="none" w:sz="0" w:space="0" w:color="auto"/>
                                                <w:right w:val="none" w:sz="0" w:space="0" w:color="auto"/>
                                              </w:divBdr>
                                              <w:divsChild>
                                                <w:div w:id="19361130">
                                                  <w:marLeft w:val="0"/>
                                                  <w:marRight w:val="0"/>
                                                  <w:marTop w:val="0"/>
                                                  <w:marBottom w:val="0"/>
                                                  <w:divBdr>
                                                    <w:top w:val="none" w:sz="0" w:space="0" w:color="auto"/>
                                                    <w:left w:val="none" w:sz="0" w:space="0" w:color="auto"/>
                                                    <w:bottom w:val="none" w:sz="0" w:space="0" w:color="auto"/>
                                                    <w:right w:val="none" w:sz="0" w:space="0" w:color="auto"/>
                                                  </w:divBdr>
                                                  <w:divsChild>
                                                    <w:div w:id="1022587325">
                                                      <w:marLeft w:val="0"/>
                                                      <w:marRight w:val="0"/>
                                                      <w:marTop w:val="0"/>
                                                      <w:marBottom w:val="0"/>
                                                      <w:divBdr>
                                                        <w:top w:val="none" w:sz="0" w:space="0" w:color="auto"/>
                                                        <w:left w:val="none" w:sz="0" w:space="0" w:color="auto"/>
                                                        <w:bottom w:val="none" w:sz="0" w:space="0" w:color="auto"/>
                                                        <w:right w:val="none" w:sz="0" w:space="0" w:color="auto"/>
                                                      </w:divBdr>
                                                      <w:divsChild>
                                                        <w:div w:id="1660378357">
                                                          <w:marLeft w:val="0"/>
                                                          <w:marRight w:val="0"/>
                                                          <w:marTop w:val="0"/>
                                                          <w:marBottom w:val="0"/>
                                                          <w:divBdr>
                                                            <w:top w:val="none" w:sz="0" w:space="0" w:color="auto"/>
                                                            <w:left w:val="none" w:sz="0" w:space="0" w:color="auto"/>
                                                            <w:bottom w:val="none" w:sz="0" w:space="0" w:color="auto"/>
                                                            <w:right w:val="none" w:sz="0" w:space="0" w:color="auto"/>
                                                          </w:divBdr>
                                                          <w:divsChild>
                                                            <w:div w:id="2078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4721">
                                                      <w:marLeft w:val="0"/>
                                                      <w:marRight w:val="0"/>
                                                      <w:marTop w:val="0"/>
                                                      <w:marBottom w:val="0"/>
                                                      <w:divBdr>
                                                        <w:top w:val="none" w:sz="0" w:space="0" w:color="auto"/>
                                                        <w:left w:val="none" w:sz="0" w:space="0" w:color="auto"/>
                                                        <w:bottom w:val="none" w:sz="0" w:space="0" w:color="auto"/>
                                                        <w:right w:val="none" w:sz="0" w:space="0" w:color="auto"/>
                                                      </w:divBdr>
                                                      <w:divsChild>
                                                        <w:div w:id="143786510">
                                                          <w:marLeft w:val="0"/>
                                                          <w:marRight w:val="0"/>
                                                          <w:marTop w:val="0"/>
                                                          <w:marBottom w:val="0"/>
                                                          <w:divBdr>
                                                            <w:top w:val="none" w:sz="0" w:space="0" w:color="auto"/>
                                                            <w:left w:val="none" w:sz="0" w:space="0" w:color="auto"/>
                                                            <w:bottom w:val="none" w:sz="0" w:space="0" w:color="auto"/>
                                                            <w:right w:val="none" w:sz="0" w:space="0" w:color="auto"/>
                                                          </w:divBdr>
                                                        </w:div>
                                                        <w:div w:id="1529217610">
                                                          <w:marLeft w:val="510"/>
                                                          <w:marRight w:val="300"/>
                                                          <w:marTop w:val="0"/>
                                                          <w:marBottom w:val="0"/>
                                                          <w:divBdr>
                                                            <w:top w:val="none" w:sz="0" w:space="0" w:color="auto"/>
                                                            <w:left w:val="none" w:sz="0" w:space="0" w:color="auto"/>
                                                            <w:bottom w:val="none" w:sz="0" w:space="0" w:color="auto"/>
                                                            <w:right w:val="none" w:sz="0" w:space="0" w:color="auto"/>
                                                          </w:divBdr>
                                                          <w:divsChild>
                                                            <w:div w:id="1401564259">
                                                              <w:marLeft w:val="0"/>
                                                              <w:marRight w:val="0"/>
                                                              <w:marTop w:val="0"/>
                                                              <w:marBottom w:val="180"/>
                                                              <w:divBdr>
                                                                <w:top w:val="none" w:sz="0" w:space="0" w:color="auto"/>
                                                                <w:left w:val="none" w:sz="0" w:space="0" w:color="auto"/>
                                                                <w:bottom w:val="none" w:sz="0" w:space="0" w:color="auto"/>
                                                                <w:right w:val="none" w:sz="0" w:space="0" w:color="auto"/>
                                                              </w:divBdr>
                                                              <w:divsChild>
                                                                <w:div w:id="18050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7231">
                                                          <w:marLeft w:val="510"/>
                                                          <w:marRight w:val="300"/>
                                                          <w:marTop w:val="0"/>
                                                          <w:marBottom w:val="0"/>
                                                          <w:divBdr>
                                                            <w:top w:val="none" w:sz="0" w:space="0" w:color="auto"/>
                                                            <w:left w:val="none" w:sz="0" w:space="0" w:color="auto"/>
                                                            <w:bottom w:val="none" w:sz="0" w:space="0" w:color="auto"/>
                                                            <w:right w:val="none" w:sz="0" w:space="0" w:color="auto"/>
                                                          </w:divBdr>
                                                          <w:divsChild>
                                                            <w:div w:id="883446507">
                                                              <w:marLeft w:val="0"/>
                                                              <w:marRight w:val="0"/>
                                                              <w:marTop w:val="0"/>
                                                              <w:marBottom w:val="180"/>
                                                              <w:divBdr>
                                                                <w:top w:val="none" w:sz="0" w:space="0" w:color="auto"/>
                                                                <w:left w:val="none" w:sz="0" w:space="0" w:color="auto"/>
                                                                <w:bottom w:val="none" w:sz="0" w:space="0" w:color="auto"/>
                                                                <w:right w:val="none" w:sz="0" w:space="0" w:color="auto"/>
                                                              </w:divBdr>
                                                              <w:divsChild>
                                                                <w:div w:id="1383673824">
                                                                  <w:marLeft w:val="0"/>
                                                                  <w:marRight w:val="0"/>
                                                                  <w:marTop w:val="0"/>
                                                                  <w:marBottom w:val="0"/>
                                                                  <w:divBdr>
                                                                    <w:top w:val="none" w:sz="0" w:space="0" w:color="auto"/>
                                                                    <w:left w:val="none" w:sz="0" w:space="0" w:color="auto"/>
                                                                    <w:bottom w:val="none" w:sz="0" w:space="0" w:color="auto"/>
                                                                    <w:right w:val="none" w:sz="0" w:space="0" w:color="auto"/>
                                                                  </w:divBdr>
                                                                </w:div>
                                                                <w:div w:id="12646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8455">
                                                      <w:marLeft w:val="0"/>
                                                      <w:marRight w:val="0"/>
                                                      <w:marTop w:val="0"/>
                                                      <w:marBottom w:val="0"/>
                                                      <w:divBdr>
                                                        <w:top w:val="none" w:sz="0" w:space="0" w:color="auto"/>
                                                        <w:left w:val="none" w:sz="0" w:space="0" w:color="auto"/>
                                                        <w:bottom w:val="none" w:sz="0" w:space="0" w:color="auto"/>
                                                        <w:right w:val="none" w:sz="0" w:space="0" w:color="auto"/>
                                                      </w:divBdr>
                                                    </w:div>
                                                  </w:divsChild>
                                                </w:div>
                                                <w:div w:id="1670911030">
                                                  <w:marLeft w:val="0"/>
                                                  <w:marRight w:val="0"/>
                                                  <w:marTop w:val="0"/>
                                                  <w:marBottom w:val="0"/>
                                                  <w:divBdr>
                                                    <w:top w:val="none" w:sz="0" w:space="0" w:color="auto"/>
                                                    <w:left w:val="none" w:sz="0" w:space="0" w:color="auto"/>
                                                    <w:bottom w:val="none" w:sz="0" w:space="0" w:color="auto"/>
                                                    <w:right w:val="none" w:sz="0" w:space="0" w:color="auto"/>
                                                  </w:divBdr>
                                                  <w:divsChild>
                                                    <w:div w:id="2031376370">
                                                      <w:marLeft w:val="0"/>
                                                      <w:marRight w:val="0"/>
                                                      <w:marTop w:val="0"/>
                                                      <w:marBottom w:val="0"/>
                                                      <w:divBdr>
                                                        <w:top w:val="none" w:sz="0" w:space="0" w:color="auto"/>
                                                        <w:left w:val="none" w:sz="0" w:space="0" w:color="auto"/>
                                                        <w:bottom w:val="none" w:sz="0" w:space="0" w:color="auto"/>
                                                        <w:right w:val="none" w:sz="0" w:space="0" w:color="auto"/>
                                                      </w:divBdr>
                                                      <w:divsChild>
                                                        <w:div w:id="2026858746">
                                                          <w:marLeft w:val="0"/>
                                                          <w:marRight w:val="0"/>
                                                          <w:marTop w:val="0"/>
                                                          <w:marBottom w:val="0"/>
                                                          <w:divBdr>
                                                            <w:top w:val="none" w:sz="0" w:space="0" w:color="auto"/>
                                                            <w:left w:val="none" w:sz="0" w:space="0" w:color="auto"/>
                                                            <w:bottom w:val="none" w:sz="0" w:space="0" w:color="auto"/>
                                                            <w:right w:val="none" w:sz="0" w:space="0" w:color="auto"/>
                                                          </w:divBdr>
                                                          <w:divsChild>
                                                            <w:div w:id="6872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9126">
                                                      <w:marLeft w:val="0"/>
                                                      <w:marRight w:val="0"/>
                                                      <w:marTop w:val="0"/>
                                                      <w:marBottom w:val="0"/>
                                                      <w:divBdr>
                                                        <w:top w:val="none" w:sz="0" w:space="0" w:color="auto"/>
                                                        <w:left w:val="none" w:sz="0" w:space="0" w:color="auto"/>
                                                        <w:bottom w:val="none" w:sz="0" w:space="0" w:color="auto"/>
                                                        <w:right w:val="none" w:sz="0" w:space="0" w:color="auto"/>
                                                      </w:divBdr>
                                                      <w:divsChild>
                                                        <w:div w:id="296842318">
                                                          <w:marLeft w:val="0"/>
                                                          <w:marRight w:val="0"/>
                                                          <w:marTop w:val="0"/>
                                                          <w:marBottom w:val="0"/>
                                                          <w:divBdr>
                                                            <w:top w:val="none" w:sz="0" w:space="0" w:color="auto"/>
                                                            <w:left w:val="none" w:sz="0" w:space="0" w:color="auto"/>
                                                            <w:bottom w:val="none" w:sz="0" w:space="0" w:color="auto"/>
                                                            <w:right w:val="none" w:sz="0" w:space="0" w:color="auto"/>
                                                          </w:divBdr>
                                                        </w:div>
                                                        <w:div w:id="878783338">
                                                          <w:marLeft w:val="0"/>
                                                          <w:marRight w:val="-240"/>
                                                          <w:marTop w:val="0"/>
                                                          <w:marBottom w:val="0"/>
                                                          <w:divBdr>
                                                            <w:top w:val="none" w:sz="0" w:space="0" w:color="auto"/>
                                                            <w:left w:val="none" w:sz="0" w:space="0" w:color="auto"/>
                                                            <w:bottom w:val="none" w:sz="0" w:space="0" w:color="auto"/>
                                                            <w:right w:val="none" w:sz="0" w:space="0" w:color="auto"/>
                                                          </w:divBdr>
                                                          <w:divsChild>
                                                            <w:div w:id="1177037134">
                                                              <w:marLeft w:val="240"/>
                                                              <w:marRight w:val="0"/>
                                                              <w:marTop w:val="0"/>
                                                              <w:marBottom w:val="0"/>
                                                              <w:divBdr>
                                                                <w:top w:val="none" w:sz="0" w:space="0" w:color="auto"/>
                                                                <w:left w:val="none" w:sz="0" w:space="0" w:color="auto"/>
                                                                <w:bottom w:val="none" w:sz="0" w:space="0" w:color="auto"/>
                                                                <w:right w:val="none" w:sz="0" w:space="0" w:color="auto"/>
                                                              </w:divBdr>
                                                            </w:div>
                                                          </w:divsChild>
                                                        </w:div>
                                                        <w:div w:id="279845615">
                                                          <w:marLeft w:val="0"/>
                                                          <w:marRight w:val="0"/>
                                                          <w:marTop w:val="0"/>
                                                          <w:marBottom w:val="0"/>
                                                          <w:divBdr>
                                                            <w:top w:val="none" w:sz="0" w:space="0" w:color="auto"/>
                                                            <w:left w:val="none" w:sz="0" w:space="0" w:color="auto"/>
                                                            <w:bottom w:val="none" w:sz="0" w:space="0" w:color="auto"/>
                                                            <w:right w:val="none" w:sz="0" w:space="0" w:color="auto"/>
                                                          </w:divBdr>
                                                        </w:div>
                                                        <w:div w:id="1220750365">
                                                          <w:marLeft w:val="0"/>
                                                          <w:marRight w:val="0"/>
                                                          <w:marTop w:val="0"/>
                                                          <w:marBottom w:val="0"/>
                                                          <w:divBdr>
                                                            <w:top w:val="none" w:sz="0" w:space="0" w:color="auto"/>
                                                            <w:left w:val="none" w:sz="0" w:space="0" w:color="auto"/>
                                                            <w:bottom w:val="none" w:sz="0" w:space="0" w:color="auto"/>
                                                            <w:right w:val="none" w:sz="0" w:space="0" w:color="auto"/>
                                                          </w:divBdr>
                                                        </w:div>
                                                        <w:div w:id="1597249153">
                                                          <w:marLeft w:val="0"/>
                                                          <w:marRight w:val="0"/>
                                                          <w:marTop w:val="0"/>
                                                          <w:marBottom w:val="0"/>
                                                          <w:divBdr>
                                                            <w:top w:val="none" w:sz="0" w:space="0" w:color="auto"/>
                                                            <w:left w:val="none" w:sz="0" w:space="0" w:color="auto"/>
                                                            <w:bottom w:val="none" w:sz="0" w:space="0" w:color="auto"/>
                                                            <w:right w:val="none" w:sz="0" w:space="0" w:color="auto"/>
                                                          </w:divBdr>
                                                        </w:div>
                                                        <w:div w:id="1369331475">
                                                          <w:marLeft w:val="0"/>
                                                          <w:marRight w:val="0"/>
                                                          <w:marTop w:val="0"/>
                                                          <w:marBottom w:val="0"/>
                                                          <w:divBdr>
                                                            <w:top w:val="none" w:sz="0" w:space="0" w:color="auto"/>
                                                            <w:left w:val="none" w:sz="0" w:space="0" w:color="auto"/>
                                                            <w:bottom w:val="none" w:sz="0" w:space="0" w:color="auto"/>
                                                            <w:right w:val="none" w:sz="0" w:space="0" w:color="auto"/>
                                                          </w:divBdr>
                                                        </w:div>
                                                        <w:div w:id="144780869">
                                                          <w:marLeft w:val="0"/>
                                                          <w:marRight w:val="0"/>
                                                          <w:marTop w:val="0"/>
                                                          <w:marBottom w:val="0"/>
                                                          <w:divBdr>
                                                            <w:top w:val="none" w:sz="0" w:space="0" w:color="auto"/>
                                                            <w:left w:val="none" w:sz="0" w:space="0" w:color="auto"/>
                                                            <w:bottom w:val="none" w:sz="0" w:space="0" w:color="auto"/>
                                                            <w:right w:val="none" w:sz="0" w:space="0" w:color="auto"/>
                                                          </w:divBdr>
                                                        </w:div>
                                                        <w:div w:id="603195573">
                                                          <w:marLeft w:val="0"/>
                                                          <w:marRight w:val="0"/>
                                                          <w:marTop w:val="0"/>
                                                          <w:marBottom w:val="0"/>
                                                          <w:divBdr>
                                                            <w:top w:val="none" w:sz="0" w:space="0" w:color="auto"/>
                                                            <w:left w:val="none" w:sz="0" w:space="0" w:color="auto"/>
                                                            <w:bottom w:val="none" w:sz="0" w:space="0" w:color="auto"/>
                                                            <w:right w:val="none" w:sz="0" w:space="0" w:color="auto"/>
                                                          </w:divBdr>
                                                        </w:div>
                                                        <w:div w:id="544368336">
                                                          <w:marLeft w:val="0"/>
                                                          <w:marRight w:val="0"/>
                                                          <w:marTop w:val="0"/>
                                                          <w:marBottom w:val="0"/>
                                                          <w:divBdr>
                                                            <w:top w:val="none" w:sz="0" w:space="0" w:color="auto"/>
                                                            <w:left w:val="none" w:sz="0" w:space="0" w:color="auto"/>
                                                            <w:bottom w:val="none" w:sz="0" w:space="0" w:color="auto"/>
                                                            <w:right w:val="none" w:sz="0" w:space="0" w:color="auto"/>
                                                          </w:divBdr>
                                                        </w:div>
                                                        <w:div w:id="1408962077">
                                                          <w:marLeft w:val="0"/>
                                                          <w:marRight w:val="0"/>
                                                          <w:marTop w:val="0"/>
                                                          <w:marBottom w:val="0"/>
                                                          <w:divBdr>
                                                            <w:top w:val="none" w:sz="0" w:space="0" w:color="auto"/>
                                                            <w:left w:val="none" w:sz="0" w:space="0" w:color="auto"/>
                                                            <w:bottom w:val="none" w:sz="0" w:space="0" w:color="auto"/>
                                                            <w:right w:val="none" w:sz="0" w:space="0" w:color="auto"/>
                                                          </w:divBdr>
                                                        </w:div>
                                                      </w:divsChild>
                                                    </w:div>
                                                    <w:div w:id="432097514">
                                                      <w:marLeft w:val="0"/>
                                                      <w:marRight w:val="0"/>
                                                      <w:marTop w:val="0"/>
                                                      <w:marBottom w:val="0"/>
                                                      <w:divBdr>
                                                        <w:top w:val="none" w:sz="0" w:space="0" w:color="auto"/>
                                                        <w:left w:val="none" w:sz="0" w:space="0" w:color="auto"/>
                                                        <w:bottom w:val="none" w:sz="0" w:space="0" w:color="auto"/>
                                                        <w:right w:val="none" w:sz="0" w:space="0" w:color="auto"/>
                                                      </w:divBdr>
                                                    </w:div>
                                                  </w:divsChild>
                                                </w:div>
                                                <w:div w:id="213929817">
                                                  <w:marLeft w:val="0"/>
                                                  <w:marRight w:val="0"/>
                                                  <w:marTop w:val="0"/>
                                                  <w:marBottom w:val="0"/>
                                                  <w:divBdr>
                                                    <w:top w:val="none" w:sz="0" w:space="0" w:color="auto"/>
                                                    <w:left w:val="none" w:sz="0" w:space="0" w:color="auto"/>
                                                    <w:bottom w:val="none" w:sz="0" w:space="0" w:color="auto"/>
                                                    <w:right w:val="none" w:sz="0" w:space="0" w:color="auto"/>
                                                  </w:divBdr>
                                                  <w:divsChild>
                                                    <w:div w:id="3938779">
                                                      <w:marLeft w:val="0"/>
                                                      <w:marRight w:val="0"/>
                                                      <w:marTop w:val="0"/>
                                                      <w:marBottom w:val="0"/>
                                                      <w:divBdr>
                                                        <w:top w:val="none" w:sz="0" w:space="0" w:color="auto"/>
                                                        <w:left w:val="none" w:sz="0" w:space="0" w:color="auto"/>
                                                        <w:bottom w:val="none" w:sz="0" w:space="0" w:color="auto"/>
                                                        <w:right w:val="none" w:sz="0" w:space="0" w:color="auto"/>
                                                      </w:divBdr>
                                                      <w:divsChild>
                                                        <w:div w:id="1994605386">
                                                          <w:marLeft w:val="0"/>
                                                          <w:marRight w:val="0"/>
                                                          <w:marTop w:val="0"/>
                                                          <w:marBottom w:val="0"/>
                                                          <w:divBdr>
                                                            <w:top w:val="none" w:sz="0" w:space="0" w:color="auto"/>
                                                            <w:left w:val="none" w:sz="0" w:space="0" w:color="auto"/>
                                                            <w:bottom w:val="none" w:sz="0" w:space="0" w:color="auto"/>
                                                            <w:right w:val="none" w:sz="0" w:space="0" w:color="auto"/>
                                                          </w:divBdr>
                                                          <w:divsChild>
                                                            <w:div w:id="16225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7737">
                                                      <w:marLeft w:val="0"/>
                                                      <w:marRight w:val="0"/>
                                                      <w:marTop w:val="0"/>
                                                      <w:marBottom w:val="0"/>
                                                      <w:divBdr>
                                                        <w:top w:val="none" w:sz="0" w:space="0" w:color="auto"/>
                                                        <w:left w:val="none" w:sz="0" w:space="0" w:color="auto"/>
                                                        <w:bottom w:val="none" w:sz="0" w:space="0" w:color="auto"/>
                                                        <w:right w:val="none" w:sz="0" w:space="0" w:color="auto"/>
                                                      </w:divBdr>
                                                    </w:div>
                                                  </w:divsChild>
                                                </w:div>
                                                <w:div w:id="68164483">
                                                  <w:marLeft w:val="0"/>
                                                  <w:marRight w:val="0"/>
                                                  <w:marTop w:val="0"/>
                                                  <w:marBottom w:val="0"/>
                                                  <w:divBdr>
                                                    <w:top w:val="none" w:sz="0" w:space="0" w:color="auto"/>
                                                    <w:left w:val="none" w:sz="0" w:space="0" w:color="auto"/>
                                                    <w:bottom w:val="none" w:sz="0" w:space="0" w:color="auto"/>
                                                    <w:right w:val="none" w:sz="0" w:space="0" w:color="auto"/>
                                                  </w:divBdr>
                                                  <w:divsChild>
                                                    <w:div w:id="201720919">
                                                      <w:marLeft w:val="0"/>
                                                      <w:marRight w:val="0"/>
                                                      <w:marTop w:val="0"/>
                                                      <w:marBottom w:val="0"/>
                                                      <w:divBdr>
                                                        <w:top w:val="none" w:sz="0" w:space="0" w:color="auto"/>
                                                        <w:left w:val="none" w:sz="0" w:space="0" w:color="auto"/>
                                                        <w:bottom w:val="none" w:sz="0" w:space="0" w:color="auto"/>
                                                        <w:right w:val="none" w:sz="0" w:space="0" w:color="auto"/>
                                                      </w:divBdr>
                                                      <w:divsChild>
                                                        <w:div w:id="424880191">
                                                          <w:marLeft w:val="0"/>
                                                          <w:marRight w:val="0"/>
                                                          <w:marTop w:val="0"/>
                                                          <w:marBottom w:val="0"/>
                                                          <w:divBdr>
                                                            <w:top w:val="none" w:sz="0" w:space="0" w:color="auto"/>
                                                            <w:left w:val="none" w:sz="0" w:space="0" w:color="auto"/>
                                                            <w:bottom w:val="none" w:sz="0" w:space="0" w:color="auto"/>
                                                            <w:right w:val="none" w:sz="0" w:space="0" w:color="auto"/>
                                                          </w:divBdr>
                                                        </w:div>
                                                      </w:divsChild>
                                                    </w:div>
                                                    <w:div w:id="413012032">
                                                      <w:marLeft w:val="0"/>
                                                      <w:marRight w:val="0"/>
                                                      <w:marTop w:val="0"/>
                                                      <w:marBottom w:val="0"/>
                                                      <w:divBdr>
                                                        <w:top w:val="none" w:sz="0" w:space="0" w:color="auto"/>
                                                        <w:left w:val="none" w:sz="0" w:space="0" w:color="auto"/>
                                                        <w:bottom w:val="none" w:sz="0" w:space="0" w:color="auto"/>
                                                        <w:right w:val="none" w:sz="0" w:space="0" w:color="auto"/>
                                                      </w:divBdr>
                                                      <w:divsChild>
                                                        <w:div w:id="2333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80468">
                                          <w:marLeft w:val="0"/>
                                          <w:marRight w:val="0"/>
                                          <w:marTop w:val="0"/>
                                          <w:marBottom w:val="0"/>
                                          <w:divBdr>
                                            <w:top w:val="none" w:sz="0" w:space="0" w:color="auto"/>
                                            <w:left w:val="none" w:sz="0" w:space="0" w:color="auto"/>
                                            <w:bottom w:val="none" w:sz="0" w:space="0" w:color="auto"/>
                                            <w:right w:val="none" w:sz="0" w:space="0" w:color="auto"/>
                                          </w:divBdr>
                                          <w:divsChild>
                                            <w:div w:id="1534538320">
                                              <w:marLeft w:val="60"/>
                                              <w:marRight w:val="0"/>
                                              <w:marTop w:val="0"/>
                                              <w:marBottom w:val="0"/>
                                              <w:divBdr>
                                                <w:top w:val="none" w:sz="0" w:space="0" w:color="auto"/>
                                                <w:left w:val="none" w:sz="0" w:space="0" w:color="auto"/>
                                                <w:bottom w:val="none" w:sz="0" w:space="0" w:color="auto"/>
                                                <w:right w:val="none" w:sz="0" w:space="0" w:color="auto"/>
                                              </w:divBdr>
                                              <w:divsChild>
                                                <w:div w:id="1541937516">
                                                  <w:marLeft w:val="0"/>
                                                  <w:marRight w:val="0"/>
                                                  <w:marTop w:val="0"/>
                                                  <w:marBottom w:val="0"/>
                                                  <w:divBdr>
                                                    <w:top w:val="none" w:sz="0" w:space="0" w:color="auto"/>
                                                    <w:left w:val="none" w:sz="0" w:space="0" w:color="auto"/>
                                                    <w:bottom w:val="none" w:sz="0" w:space="0" w:color="auto"/>
                                                    <w:right w:val="none" w:sz="0" w:space="0" w:color="auto"/>
                                                  </w:divBdr>
                                                  <w:divsChild>
                                                    <w:div w:id="780489858">
                                                      <w:marLeft w:val="0"/>
                                                      <w:marRight w:val="0"/>
                                                      <w:marTop w:val="0"/>
                                                      <w:marBottom w:val="0"/>
                                                      <w:divBdr>
                                                        <w:top w:val="none" w:sz="0" w:space="0" w:color="auto"/>
                                                        <w:left w:val="none" w:sz="0" w:space="0" w:color="auto"/>
                                                        <w:bottom w:val="none" w:sz="0" w:space="0" w:color="auto"/>
                                                        <w:right w:val="none" w:sz="0" w:space="0" w:color="auto"/>
                                                      </w:divBdr>
                                                      <w:divsChild>
                                                        <w:div w:id="921060228">
                                                          <w:marLeft w:val="0"/>
                                                          <w:marRight w:val="0"/>
                                                          <w:marTop w:val="0"/>
                                                          <w:marBottom w:val="0"/>
                                                          <w:divBdr>
                                                            <w:top w:val="none" w:sz="0" w:space="0" w:color="auto"/>
                                                            <w:left w:val="none" w:sz="0" w:space="0" w:color="auto"/>
                                                            <w:bottom w:val="none" w:sz="0" w:space="0" w:color="auto"/>
                                                            <w:right w:val="none" w:sz="0" w:space="0" w:color="auto"/>
                                                          </w:divBdr>
                                                          <w:divsChild>
                                                            <w:div w:id="15967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9172">
                                                      <w:marLeft w:val="0"/>
                                                      <w:marRight w:val="0"/>
                                                      <w:marTop w:val="0"/>
                                                      <w:marBottom w:val="0"/>
                                                      <w:divBdr>
                                                        <w:top w:val="none" w:sz="0" w:space="0" w:color="auto"/>
                                                        <w:left w:val="none" w:sz="0" w:space="0" w:color="auto"/>
                                                        <w:bottom w:val="none" w:sz="0" w:space="0" w:color="auto"/>
                                                        <w:right w:val="none" w:sz="0" w:space="0" w:color="auto"/>
                                                      </w:divBdr>
                                                      <w:divsChild>
                                                        <w:div w:id="256138330">
                                                          <w:marLeft w:val="0"/>
                                                          <w:marRight w:val="0"/>
                                                          <w:marTop w:val="0"/>
                                                          <w:marBottom w:val="0"/>
                                                          <w:divBdr>
                                                            <w:top w:val="none" w:sz="0" w:space="0" w:color="auto"/>
                                                            <w:left w:val="none" w:sz="0" w:space="0" w:color="auto"/>
                                                            <w:bottom w:val="none" w:sz="0" w:space="0" w:color="auto"/>
                                                            <w:right w:val="none" w:sz="0" w:space="0" w:color="auto"/>
                                                          </w:divBdr>
                                                        </w:div>
                                                        <w:div w:id="215361770">
                                                          <w:marLeft w:val="0"/>
                                                          <w:marRight w:val="0"/>
                                                          <w:marTop w:val="0"/>
                                                          <w:marBottom w:val="0"/>
                                                          <w:divBdr>
                                                            <w:top w:val="none" w:sz="0" w:space="0" w:color="auto"/>
                                                            <w:left w:val="none" w:sz="0" w:space="0" w:color="auto"/>
                                                            <w:bottom w:val="none" w:sz="0" w:space="0" w:color="auto"/>
                                                            <w:right w:val="none" w:sz="0" w:space="0" w:color="auto"/>
                                                          </w:divBdr>
                                                        </w:div>
                                                        <w:div w:id="810025527">
                                                          <w:marLeft w:val="0"/>
                                                          <w:marRight w:val="0"/>
                                                          <w:marTop w:val="0"/>
                                                          <w:marBottom w:val="0"/>
                                                          <w:divBdr>
                                                            <w:top w:val="none" w:sz="0" w:space="0" w:color="auto"/>
                                                            <w:left w:val="none" w:sz="0" w:space="0" w:color="auto"/>
                                                            <w:bottom w:val="none" w:sz="0" w:space="0" w:color="auto"/>
                                                            <w:right w:val="none" w:sz="0" w:space="0" w:color="auto"/>
                                                          </w:divBdr>
                                                        </w:div>
                                                        <w:div w:id="2145196049">
                                                          <w:marLeft w:val="0"/>
                                                          <w:marRight w:val="0"/>
                                                          <w:marTop w:val="0"/>
                                                          <w:marBottom w:val="0"/>
                                                          <w:divBdr>
                                                            <w:top w:val="none" w:sz="0" w:space="0" w:color="auto"/>
                                                            <w:left w:val="none" w:sz="0" w:space="0" w:color="auto"/>
                                                            <w:bottom w:val="none" w:sz="0" w:space="0" w:color="auto"/>
                                                            <w:right w:val="none" w:sz="0" w:space="0" w:color="auto"/>
                                                          </w:divBdr>
                                                        </w:div>
                                                        <w:div w:id="1603759756">
                                                          <w:marLeft w:val="0"/>
                                                          <w:marRight w:val="0"/>
                                                          <w:marTop w:val="0"/>
                                                          <w:marBottom w:val="0"/>
                                                          <w:divBdr>
                                                            <w:top w:val="none" w:sz="0" w:space="0" w:color="auto"/>
                                                            <w:left w:val="none" w:sz="0" w:space="0" w:color="auto"/>
                                                            <w:bottom w:val="none" w:sz="0" w:space="0" w:color="auto"/>
                                                            <w:right w:val="none" w:sz="0" w:space="0" w:color="auto"/>
                                                          </w:divBdr>
                                                        </w:div>
                                                        <w:div w:id="168905823">
                                                          <w:marLeft w:val="0"/>
                                                          <w:marRight w:val="0"/>
                                                          <w:marTop w:val="0"/>
                                                          <w:marBottom w:val="0"/>
                                                          <w:divBdr>
                                                            <w:top w:val="none" w:sz="0" w:space="0" w:color="auto"/>
                                                            <w:left w:val="none" w:sz="0" w:space="0" w:color="auto"/>
                                                            <w:bottom w:val="none" w:sz="0" w:space="0" w:color="auto"/>
                                                            <w:right w:val="none" w:sz="0" w:space="0" w:color="auto"/>
                                                          </w:divBdr>
                                                        </w:div>
                                                        <w:div w:id="1868910346">
                                                          <w:marLeft w:val="0"/>
                                                          <w:marRight w:val="0"/>
                                                          <w:marTop w:val="0"/>
                                                          <w:marBottom w:val="0"/>
                                                          <w:divBdr>
                                                            <w:top w:val="none" w:sz="0" w:space="0" w:color="auto"/>
                                                            <w:left w:val="none" w:sz="0" w:space="0" w:color="auto"/>
                                                            <w:bottom w:val="none" w:sz="0" w:space="0" w:color="auto"/>
                                                            <w:right w:val="none" w:sz="0" w:space="0" w:color="auto"/>
                                                          </w:divBdr>
                                                        </w:div>
                                                        <w:div w:id="1510557756">
                                                          <w:marLeft w:val="0"/>
                                                          <w:marRight w:val="0"/>
                                                          <w:marTop w:val="0"/>
                                                          <w:marBottom w:val="0"/>
                                                          <w:divBdr>
                                                            <w:top w:val="none" w:sz="0" w:space="0" w:color="auto"/>
                                                            <w:left w:val="none" w:sz="0" w:space="0" w:color="auto"/>
                                                            <w:bottom w:val="none" w:sz="0" w:space="0" w:color="auto"/>
                                                            <w:right w:val="none" w:sz="0" w:space="0" w:color="auto"/>
                                                          </w:divBdr>
                                                        </w:div>
                                                        <w:div w:id="10814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947415">
              <w:marLeft w:val="0"/>
              <w:marRight w:val="0"/>
              <w:marTop w:val="0"/>
              <w:marBottom w:val="0"/>
              <w:divBdr>
                <w:top w:val="single" w:sz="6" w:space="31" w:color="F0C36D"/>
                <w:left w:val="single" w:sz="6" w:space="31" w:color="F0C36D"/>
                <w:bottom w:val="single" w:sz="6" w:space="31" w:color="F0C36D"/>
                <w:right w:val="single" w:sz="6" w:space="31" w:color="F0C36D"/>
              </w:divBdr>
            </w:div>
            <w:div w:id="1011222998">
              <w:marLeft w:val="0"/>
              <w:marRight w:val="0"/>
              <w:marTop w:val="0"/>
              <w:marBottom w:val="0"/>
              <w:divBdr>
                <w:top w:val="single" w:sz="6" w:space="31" w:color="F0C36D"/>
                <w:left w:val="single" w:sz="6" w:space="31" w:color="F0C36D"/>
                <w:bottom w:val="single" w:sz="6" w:space="31" w:color="F0C36D"/>
                <w:right w:val="single" w:sz="6" w:space="31" w:color="F0C36D"/>
              </w:divBdr>
            </w:div>
            <w:div w:id="1358316234">
              <w:marLeft w:val="0"/>
              <w:marRight w:val="0"/>
              <w:marTop w:val="0"/>
              <w:marBottom w:val="0"/>
              <w:divBdr>
                <w:top w:val="single" w:sz="6" w:space="31" w:color="F0C36D"/>
                <w:left w:val="single" w:sz="6" w:space="31" w:color="F0C36D"/>
                <w:bottom w:val="single" w:sz="6" w:space="31" w:color="F0C36D"/>
                <w:right w:val="single" w:sz="6" w:space="31" w:color="F0C36D"/>
              </w:divBdr>
            </w:div>
            <w:div w:id="1663467321">
              <w:marLeft w:val="0"/>
              <w:marRight w:val="0"/>
              <w:marTop w:val="0"/>
              <w:marBottom w:val="0"/>
              <w:divBdr>
                <w:top w:val="single" w:sz="6" w:space="31" w:color="F0C36D"/>
                <w:left w:val="single" w:sz="6" w:space="31" w:color="F0C36D"/>
                <w:bottom w:val="single" w:sz="6" w:space="31" w:color="F0C36D"/>
                <w:right w:val="single" w:sz="6" w:space="31" w:color="F0C36D"/>
              </w:divBdr>
            </w:div>
            <w:div w:id="137916301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rbm.obpr.gov.au/" TargetMode="External"/><Relationship Id="rId7" Type="http://schemas.openxmlformats.org/officeDocument/2006/relationships/hyperlink" Target="https://creativecommons.org/licenses/by/3.0/au/" TargetMode="External"/><Relationship Id="rId17" Type="http://schemas.openxmlformats.org/officeDocument/2006/relationships/image" Target="media/image2.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hyperlink" Target="mailto:ADIpolicy@apra.gov.a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creativecommons.org/licenses/by/3.0/au/" TargetMode="External"/><Relationship Id="rId23" Type="http://schemas.openxmlformats.org/officeDocument/2006/relationships/header" Target="header1.xml"/><Relationship Id="rId28" Type="http://schemas.openxmlformats.org/officeDocument/2006/relationships/footer" Target="footer3.xml"/><Relationship Id="rId19" Type="http://schemas.openxmlformats.org/officeDocument/2006/relationships/image" Target="media/image4.emf"/><Relationship Id="rId4" Type="http://schemas.openxmlformats.org/officeDocument/2006/relationships/webSettings" Target="webSettings.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pra.gov.au/information-papers-released-apra" TargetMode="External"/><Relationship Id="rId3" Type="http://schemas.openxmlformats.org/officeDocument/2006/relationships/hyperlink" Target="https://www.bis.org/bcbs/publ/d424.htm" TargetMode="External"/><Relationship Id="rId7" Type="http://schemas.openxmlformats.org/officeDocument/2006/relationships/hyperlink" Target="https://www.apra.gov.au/implementing-basel-iii-capital-reforms-australia" TargetMode="External"/><Relationship Id="rId2" Type="http://schemas.openxmlformats.org/officeDocument/2006/relationships/hyperlink" Target="https://www.apra.gov.au/implementing-basel-iii-capital-reforms-australia" TargetMode="External"/><Relationship Id="rId1" Type="http://schemas.openxmlformats.org/officeDocument/2006/relationships/hyperlink" Target="https://www.apra.gov.au/information-papers-released-apra" TargetMode="External"/><Relationship Id="rId6" Type="http://schemas.openxmlformats.org/officeDocument/2006/relationships/hyperlink" Target="https://www.apra.gov.au/information-papers-released-apra" TargetMode="External"/><Relationship Id="rId5" Type="http://schemas.openxmlformats.org/officeDocument/2006/relationships/hyperlink" Target="https://www.apra.gov.au/media-centre/media-releases/apra-increases-capital-adequacy-requirements-residential-mortgage" TargetMode="External"/><Relationship Id="rId4" Type="http://schemas.openxmlformats.org/officeDocument/2006/relationships/hyperlink" Target="https://www.apra.gov.au/information-papers-released-ap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RA">
  <a:themeElements>
    <a:clrScheme name="APRA">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R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10194</Words>
  <Characters>58111</Characters>
  <Application>Microsoft Office Word</Application>
  <DocSecurity>0</DocSecurity>
  <Lines>484</Lines>
  <Paragraphs>136</Paragraphs>
  <ScaleCrop>false</ScaleCrop>
  <Company/>
  <LinksUpToDate>false</LinksUpToDate>
  <CharactersWithSpaces>68169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2021-11-19T01:44:00Z</dcterms:created>
  <dcterms:modified xsi:type="dcterms:W3CDTF">2021-11-19T01:44:00Z</dcterms:modified>
  <cp:category/>
  <cp:contentStatus/>
</cp:coreProperties>
</file>