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E6A2E" w14:textId="77777777" w:rsidR="00E448C7" w:rsidRDefault="00E448C7" w:rsidP="00A43B0B">
      <w:pPr>
        <w:pStyle w:val="APRANORMAL"/>
      </w:pPr>
      <w:bookmarkStart w:id="0" w:name="_GoBack"/>
      <w:bookmarkEnd w:id="0"/>
    </w:p>
    <w:p w14:paraId="68AC40C6" w14:textId="77777777" w:rsidR="0062765D" w:rsidRDefault="0062765D" w:rsidP="000C34C0">
      <w:pPr>
        <w:pStyle w:val="APRANORMAL"/>
      </w:pPr>
    </w:p>
    <w:p w14:paraId="333DD282" w14:textId="77777777" w:rsidR="0062765D" w:rsidRDefault="0062765D" w:rsidP="000C34C0">
      <w:pPr>
        <w:pStyle w:val="APRANORMAL"/>
      </w:pPr>
    </w:p>
    <w:p w14:paraId="65C19240" w14:textId="77777777" w:rsidR="0062765D" w:rsidRDefault="0062765D" w:rsidP="000C34C0">
      <w:pPr>
        <w:pStyle w:val="APRANORMAL"/>
      </w:pPr>
    </w:p>
    <w:p w14:paraId="4E1496F6" w14:textId="77777777" w:rsidR="0062765D" w:rsidRDefault="0062765D" w:rsidP="000C34C0">
      <w:pPr>
        <w:pStyle w:val="APRANORMAL"/>
      </w:pPr>
    </w:p>
    <w:p w14:paraId="06F042EC" w14:textId="77777777" w:rsidR="0062765D" w:rsidRDefault="0062765D" w:rsidP="000C34C0">
      <w:pPr>
        <w:pStyle w:val="APRANORMAL"/>
      </w:pPr>
    </w:p>
    <w:p w14:paraId="4A440C42" w14:textId="77777777" w:rsidR="0062765D" w:rsidRDefault="0062765D" w:rsidP="000C34C0">
      <w:pPr>
        <w:pStyle w:val="APRANORMAL"/>
      </w:pPr>
    </w:p>
    <w:p w14:paraId="2F97267B" w14:textId="7A509DA3" w:rsidR="0062765D" w:rsidRPr="00A43B0B" w:rsidRDefault="000C34C0" w:rsidP="004259FB">
      <w:pPr>
        <w:pStyle w:val="APRANORMAL"/>
        <w:ind w:left="-426"/>
        <w:rPr>
          <w:rFonts w:ascii="DIN OT Medium" w:hAnsi="DIN OT Medium"/>
          <w:sz w:val="44"/>
          <w:szCs w:val="44"/>
        </w:rPr>
      </w:pPr>
      <w:r w:rsidRPr="00A43B0B">
        <w:rPr>
          <w:rFonts w:ascii="DIN OT Medium" w:hAnsi="DIN OT Medium"/>
          <w:sz w:val="44"/>
          <w:szCs w:val="44"/>
        </w:rPr>
        <w:br/>
      </w:r>
      <w:r w:rsidR="00836787">
        <w:rPr>
          <w:rFonts w:ascii="DIN OT Medium" w:hAnsi="DIN OT Medium"/>
          <w:color w:val="002060"/>
          <w:sz w:val="44"/>
          <w:szCs w:val="44"/>
        </w:rPr>
        <w:t>Revisions to the capital framework for authorised deposit-taking institutions</w:t>
      </w:r>
    </w:p>
    <w:p w14:paraId="54AC02BE" w14:textId="1E15E4ED" w:rsidR="006A3B63" w:rsidRPr="00836787" w:rsidRDefault="00CA649E" w:rsidP="00C42224">
      <w:pPr>
        <w:pStyle w:val="APRAHEADING4"/>
        <w:ind w:left="-425"/>
      </w:pPr>
      <w:r>
        <w:rPr>
          <w:color w:val="00B0F0"/>
          <w:sz w:val="24"/>
        </w:rPr>
        <w:t>14</w:t>
      </w:r>
      <w:r w:rsidR="009F28B5" w:rsidRPr="00BB7F20">
        <w:rPr>
          <w:color w:val="00B0F0"/>
          <w:sz w:val="24"/>
        </w:rPr>
        <w:t xml:space="preserve"> </w:t>
      </w:r>
      <w:r w:rsidR="00824265">
        <w:rPr>
          <w:color w:val="00B0F0"/>
          <w:sz w:val="24"/>
        </w:rPr>
        <w:t>February</w:t>
      </w:r>
      <w:r w:rsidR="009F28B5" w:rsidRPr="00BB7F20">
        <w:rPr>
          <w:color w:val="00B0F0"/>
          <w:sz w:val="24"/>
        </w:rPr>
        <w:t xml:space="preserve"> </w:t>
      </w:r>
      <w:r w:rsidR="00836787" w:rsidRPr="00BB7F20">
        <w:rPr>
          <w:color w:val="00B0F0"/>
          <w:sz w:val="24"/>
        </w:rPr>
        <w:t>201</w:t>
      </w:r>
      <w:r w:rsidR="00824265">
        <w:rPr>
          <w:color w:val="00B0F0"/>
          <w:sz w:val="24"/>
        </w:rPr>
        <w:t>8</w:t>
      </w:r>
      <w:r w:rsidR="009F28B5" w:rsidRPr="00BB7F20">
        <w:rPr>
          <w:color w:val="00B0F0"/>
          <w:sz w:val="24"/>
        </w:rPr>
        <w:br w:type="page"/>
      </w:r>
    </w:p>
    <w:p w14:paraId="65F2067E" w14:textId="77777777" w:rsidR="00116798" w:rsidRDefault="00116798" w:rsidP="00116798">
      <w:pPr>
        <w:pStyle w:val="APRANORMAL"/>
      </w:pPr>
      <w:bookmarkStart w:id="1" w:name="_Toc460507402"/>
      <w:bookmarkStart w:id="2" w:name="_Toc460507521"/>
      <w:bookmarkStart w:id="3" w:name="_Toc460507760"/>
      <w:bookmarkStart w:id="4" w:name="_Toc460508935"/>
    </w:p>
    <w:p w14:paraId="10EFF6F4" w14:textId="77777777" w:rsidR="00116798" w:rsidRPr="00116798" w:rsidRDefault="00116798" w:rsidP="00116798">
      <w:pPr>
        <w:pStyle w:val="APRANORMAL"/>
      </w:pPr>
    </w:p>
    <w:p w14:paraId="60E1A6AF" w14:textId="77777777" w:rsidR="00116798" w:rsidRPr="00116798" w:rsidRDefault="00116798" w:rsidP="00116798">
      <w:pPr>
        <w:pStyle w:val="APRANORMAL"/>
      </w:pPr>
    </w:p>
    <w:p w14:paraId="4BC482AE" w14:textId="77777777" w:rsidR="00116798" w:rsidRPr="00116798" w:rsidRDefault="00116798" w:rsidP="00116798">
      <w:pPr>
        <w:pStyle w:val="APRANORMAL"/>
      </w:pPr>
    </w:p>
    <w:p w14:paraId="5125F28E" w14:textId="77777777" w:rsidR="00116798" w:rsidRDefault="00116798" w:rsidP="00116798">
      <w:pPr>
        <w:pStyle w:val="APRANORMAL"/>
      </w:pPr>
    </w:p>
    <w:p w14:paraId="37D70CB3" w14:textId="77777777" w:rsidR="00A20D33" w:rsidRDefault="00A20D33" w:rsidP="00A20D33">
      <w:pPr>
        <w:pStyle w:val="APRANORMAL"/>
      </w:pPr>
    </w:p>
    <w:p w14:paraId="500F0412" w14:textId="77777777" w:rsidR="00A20D33" w:rsidRPr="00A20D33" w:rsidRDefault="00A20D33" w:rsidP="00A20D33"/>
    <w:p w14:paraId="6B1C0698" w14:textId="77777777" w:rsidR="00A20D33" w:rsidRPr="00A20D33" w:rsidRDefault="00A20D33" w:rsidP="00A20D33"/>
    <w:p w14:paraId="2D35F02D" w14:textId="77777777" w:rsidR="00A20D33" w:rsidRDefault="00A20D33" w:rsidP="00A20D33">
      <w:pPr>
        <w:pStyle w:val="APRANORMAL"/>
      </w:pPr>
    </w:p>
    <w:p w14:paraId="094BCB0A" w14:textId="77777777" w:rsidR="007956E7" w:rsidRDefault="007956E7" w:rsidP="007956E7">
      <w:pPr>
        <w:pStyle w:val="APRANORMAL"/>
      </w:pPr>
    </w:p>
    <w:p w14:paraId="3BB8E632" w14:textId="77777777" w:rsidR="007956E7" w:rsidRPr="007956E7" w:rsidRDefault="007956E7" w:rsidP="007956E7"/>
    <w:p w14:paraId="3F63E268" w14:textId="77777777" w:rsidR="007956E7" w:rsidRPr="007956E7" w:rsidRDefault="007956E7" w:rsidP="007956E7"/>
    <w:p w14:paraId="75F18C3D" w14:textId="77777777" w:rsidR="007956E7" w:rsidRPr="007956E7" w:rsidRDefault="007956E7" w:rsidP="007956E7"/>
    <w:p w14:paraId="4E9E05E8" w14:textId="77777777" w:rsidR="007956E7" w:rsidRPr="007956E7" w:rsidRDefault="007956E7" w:rsidP="007956E7"/>
    <w:p w14:paraId="1F5577F7" w14:textId="77777777" w:rsidR="007956E7" w:rsidRPr="007956E7" w:rsidRDefault="007956E7" w:rsidP="007956E7"/>
    <w:p w14:paraId="2CE7FAAD" w14:textId="77777777" w:rsidR="007956E7" w:rsidRPr="007956E7" w:rsidRDefault="007956E7" w:rsidP="007956E7"/>
    <w:p w14:paraId="5A887E50" w14:textId="77777777" w:rsidR="007956E7" w:rsidRPr="007956E7" w:rsidRDefault="007956E7" w:rsidP="007956E7"/>
    <w:p w14:paraId="41629722" w14:textId="77777777" w:rsidR="007956E7" w:rsidRPr="007956E7" w:rsidRDefault="007956E7" w:rsidP="007956E7"/>
    <w:p w14:paraId="7E4CC58B" w14:textId="77777777" w:rsidR="007956E7" w:rsidRPr="007956E7" w:rsidRDefault="007956E7" w:rsidP="007956E7"/>
    <w:p w14:paraId="62436FA9" w14:textId="77777777" w:rsidR="007956E7" w:rsidRPr="007956E7" w:rsidRDefault="007956E7" w:rsidP="007956E7"/>
    <w:p w14:paraId="501FA480" w14:textId="77777777" w:rsidR="007956E7" w:rsidRPr="007956E7" w:rsidRDefault="007956E7" w:rsidP="007956E7"/>
    <w:p w14:paraId="68F690DF" w14:textId="77777777" w:rsidR="007956E7" w:rsidRPr="007956E7" w:rsidRDefault="007956E7" w:rsidP="007956E7"/>
    <w:p w14:paraId="5620BB10" w14:textId="77777777" w:rsidR="007956E7" w:rsidRPr="007956E7" w:rsidRDefault="00A0198D" w:rsidP="007956E7">
      <w:r w:rsidRPr="009D42A8">
        <w:rPr>
          <w:noProof/>
          <w:lang w:eastAsia="en-AU"/>
        </w:rPr>
        <mc:AlternateContent>
          <mc:Choice Requires="wps">
            <w:drawing>
              <wp:anchor distT="0" distB="0" distL="114300" distR="114300" simplePos="0" relativeHeight="251658241" behindDoc="0" locked="1" layoutInCell="1" allowOverlap="1" wp14:anchorId="2F567B0B" wp14:editId="23BB301C">
                <wp:simplePos x="0" y="0"/>
                <wp:positionH relativeFrom="column">
                  <wp:posOffset>0</wp:posOffset>
                </wp:positionH>
                <wp:positionV relativeFrom="paragraph">
                  <wp:posOffset>-1238885</wp:posOffset>
                </wp:positionV>
                <wp:extent cx="5741670" cy="2656205"/>
                <wp:effectExtent l="0" t="0" r="0" b="0"/>
                <wp:wrapNone/>
                <wp:docPr id="4" name="Rectangle 4"/>
                <wp:cNvGraphicFramePr/>
                <a:graphic xmlns:a="http://schemas.openxmlformats.org/drawingml/2006/main">
                  <a:graphicData uri="http://schemas.microsoft.com/office/word/2010/wordprocessingShape">
                    <wps:wsp>
                      <wps:cNvSpPr/>
                      <wps:spPr>
                        <a:xfrm>
                          <a:off x="0" y="0"/>
                          <a:ext cx="5741670" cy="26562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D09CF" w14:textId="77777777" w:rsidR="00BF5B92" w:rsidRPr="00A43B0B" w:rsidRDefault="00BF5B92"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132E2F21" w14:textId="77777777" w:rsidR="00BF5B92" w:rsidRPr="00A43B0B" w:rsidRDefault="00BF5B92"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6DD2D23D" w14:textId="77777777" w:rsidR="00BF5B92" w:rsidRPr="00A43B0B" w:rsidRDefault="00BF5B92"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BD8526A" w14:textId="77777777" w:rsidR="00BF5B92" w:rsidRPr="00A43B0B" w:rsidRDefault="00BF5B92"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7" w:history="1">
                              <w:r w:rsidRPr="00A43B0B">
                                <w:rPr>
                                  <w:rStyle w:val="Hyperlink"/>
                                  <w:rFonts w:ascii="DIN OT Light" w:hAnsi="DIN OT Light"/>
                                  <w:color w:val="000000" w:themeColor="text1"/>
                                </w:rPr>
                                <w:t>https://creativecommons.org/licenses/by/3.0/au/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67B0B" id="Rectangle 4" o:spid="_x0000_s1026" style="position:absolute;margin-left:0;margin-top:-97.55pt;width:452.1pt;height:20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" fillcolor="#d8d8d8 [2732]" stroked="f" strokeweight="2pt">
                <v:textbox>
                  <w:txbxContent>
                    <w:p w14:paraId="74BD09CF" w14:textId="77777777" w:rsidR="00BF5B92" w:rsidRPr="00A43B0B" w:rsidRDefault="00BF5B92"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132E2F21" w14:textId="77777777" w:rsidR="00BF5B92" w:rsidRPr="00A43B0B" w:rsidRDefault="00BF5B92"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6DD2D23D" w14:textId="77777777" w:rsidR="00BF5B92" w:rsidRPr="00A43B0B" w:rsidRDefault="00BF5B92"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BD8526A" w14:textId="77777777" w:rsidR="00BF5B92" w:rsidRPr="00A43B0B" w:rsidRDefault="00BF5B92"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15" w:history="1">
                        <w:r w:rsidRPr="00A43B0B">
                          <w:rPr>
                            <w:rStyle w:val="Hyperlink"/>
                            <w:rFonts w:ascii="DIN OT Light" w:hAnsi="DIN OT Light"/>
                            <w:color w:val="000000" w:themeColor="text1"/>
                          </w:rPr>
                          <w:t>https://creativecommons.org/licenses/by/3.0/au/</w:t>
                        </w:r>
                      </w:hyperlink>
                    </w:p>
                  </w:txbxContent>
                </v:textbox>
                <w10:anchorlock/>
              </v:rect>
            </w:pict>
          </mc:Fallback>
        </mc:AlternateContent>
      </w:r>
    </w:p>
    <w:p w14:paraId="40B53EE9" w14:textId="77777777" w:rsidR="007956E7" w:rsidRPr="007956E7" w:rsidRDefault="007956E7" w:rsidP="007956E7"/>
    <w:p w14:paraId="043B5248" w14:textId="77777777" w:rsidR="007956E7" w:rsidRDefault="007956E7" w:rsidP="007956E7">
      <w:pPr>
        <w:pStyle w:val="APRANORMAL"/>
      </w:pPr>
    </w:p>
    <w:p w14:paraId="72D03B44" w14:textId="51CB3F30" w:rsidR="004678F4" w:rsidRPr="00443520" w:rsidRDefault="004678F4" w:rsidP="00C0092A">
      <w:pPr>
        <w:pStyle w:val="APRACONTENTSHEADIN"/>
      </w:pPr>
      <w:bookmarkStart w:id="5" w:name="_Toc496628178"/>
      <w:r w:rsidRPr="00E21145">
        <w:lastRenderedPageBreak/>
        <w:t>Contents</w:t>
      </w:r>
      <w:bookmarkEnd w:id="1"/>
      <w:bookmarkEnd w:id="2"/>
      <w:bookmarkEnd w:id="3"/>
      <w:bookmarkEnd w:id="4"/>
      <w:bookmarkEnd w:id="5"/>
    </w:p>
    <w:p w14:paraId="4EB96218" w14:textId="77777777" w:rsidR="00EB1F7A" w:rsidRPr="00EB1F7A" w:rsidRDefault="003D5631">
      <w:pPr>
        <w:pStyle w:val="TOC1"/>
      </w:pPr>
      <w:r w:rsidRPr="00202071">
        <w:fldChar w:fldCharType="begin"/>
      </w:r>
      <w:r w:rsidRPr="00202071">
        <w:instrText xml:space="preserve"> TOC \h \z \t "APRA HEADING 1,1,APRA HEADING 2,2,APRA HEAD-NO NUMBER,1" </w:instrText>
      </w:r>
      <w:r w:rsidRPr="00202071">
        <w:fldChar w:fldCharType="separate"/>
      </w:r>
      <w:hyperlink w:anchor="_Toc506285794" w:history="1">
        <w:r w:rsidR="00EB1F7A" w:rsidRPr="00EB1F7A">
          <w:t>Executive summary</w:t>
        </w:r>
        <w:r w:rsidR="00EB1F7A" w:rsidRPr="00EB1F7A">
          <w:rPr>
            <w:webHidden/>
          </w:rPr>
          <w:tab/>
        </w:r>
        <w:r w:rsidR="00EB1F7A" w:rsidRPr="00EB1F7A">
          <w:rPr>
            <w:webHidden/>
          </w:rPr>
          <w:fldChar w:fldCharType="begin"/>
        </w:r>
        <w:r w:rsidR="00EB1F7A" w:rsidRPr="00EB1F7A">
          <w:rPr>
            <w:webHidden/>
          </w:rPr>
          <w:instrText xml:space="preserve"> PAGEREF _Toc506285794 \h </w:instrText>
        </w:r>
        <w:r w:rsidR="00EB1F7A" w:rsidRPr="00EB1F7A">
          <w:rPr>
            <w:webHidden/>
          </w:rPr>
        </w:r>
        <w:r w:rsidR="00EB1F7A" w:rsidRPr="00EB1F7A">
          <w:rPr>
            <w:webHidden/>
          </w:rPr>
          <w:fldChar w:fldCharType="separate"/>
        </w:r>
        <w:r w:rsidR="00EB1F7A" w:rsidRPr="00EB1F7A">
          <w:rPr>
            <w:webHidden/>
          </w:rPr>
          <w:t>5</w:t>
        </w:r>
        <w:r w:rsidR="00EB1F7A" w:rsidRPr="00EB1F7A">
          <w:rPr>
            <w:webHidden/>
          </w:rPr>
          <w:fldChar w:fldCharType="end"/>
        </w:r>
      </w:hyperlink>
    </w:p>
    <w:p w14:paraId="38F511BB" w14:textId="77777777" w:rsidR="00EB1F7A" w:rsidRPr="00EB1F7A" w:rsidRDefault="00AA7CB6">
      <w:pPr>
        <w:pStyle w:val="TOC1"/>
      </w:pPr>
      <w:hyperlink w:anchor="_Toc506285795" w:history="1">
        <w:r w:rsidR="00EB1F7A" w:rsidRPr="00EB1F7A">
          <w:t>Glossary</w:t>
        </w:r>
        <w:r w:rsidR="00EB1F7A" w:rsidRPr="00EB1F7A">
          <w:rPr>
            <w:webHidden/>
          </w:rPr>
          <w:tab/>
        </w:r>
        <w:r w:rsidR="00EB1F7A" w:rsidRPr="00EB1F7A">
          <w:rPr>
            <w:webHidden/>
          </w:rPr>
          <w:fldChar w:fldCharType="begin"/>
        </w:r>
        <w:r w:rsidR="00EB1F7A" w:rsidRPr="00EB1F7A">
          <w:rPr>
            <w:webHidden/>
          </w:rPr>
          <w:instrText xml:space="preserve"> PAGEREF _Toc506285795 \h </w:instrText>
        </w:r>
        <w:r w:rsidR="00EB1F7A" w:rsidRPr="00EB1F7A">
          <w:rPr>
            <w:webHidden/>
          </w:rPr>
        </w:r>
        <w:r w:rsidR="00EB1F7A" w:rsidRPr="00EB1F7A">
          <w:rPr>
            <w:webHidden/>
          </w:rPr>
          <w:fldChar w:fldCharType="separate"/>
        </w:r>
        <w:r w:rsidR="00EB1F7A" w:rsidRPr="00EB1F7A">
          <w:rPr>
            <w:webHidden/>
          </w:rPr>
          <w:t>9</w:t>
        </w:r>
        <w:r w:rsidR="00EB1F7A" w:rsidRPr="00EB1F7A">
          <w:rPr>
            <w:webHidden/>
          </w:rPr>
          <w:fldChar w:fldCharType="end"/>
        </w:r>
      </w:hyperlink>
    </w:p>
    <w:p w14:paraId="2CB5F2B3" w14:textId="77777777" w:rsidR="00EB1F7A" w:rsidRPr="00EB1F7A" w:rsidRDefault="00AA7CB6">
      <w:pPr>
        <w:pStyle w:val="TOC1"/>
      </w:pPr>
      <w:hyperlink w:anchor="_Toc506285796" w:history="1">
        <w:r w:rsidR="00EB1F7A" w:rsidRPr="00EB1F7A">
          <w:t>Chapter 1 - Introduction</w:t>
        </w:r>
        <w:r w:rsidR="00EB1F7A" w:rsidRPr="00EB1F7A">
          <w:rPr>
            <w:webHidden/>
          </w:rPr>
          <w:tab/>
        </w:r>
        <w:r w:rsidR="00EB1F7A" w:rsidRPr="00EB1F7A">
          <w:rPr>
            <w:webHidden/>
          </w:rPr>
          <w:fldChar w:fldCharType="begin"/>
        </w:r>
        <w:r w:rsidR="00EB1F7A" w:rsidRPr="00EB1F7A">
          <w:rPr>
            <w:webHidden/>
          </w:rPr>
          <w:instrText xml:space="preserve"> PAGEREF _Toc506285796 \h </w:instrText>
        </w:r>
        <w:r w:rsidR="00EB1F7A" w:rsidRPr="00EB1F7A">
          <w:rPr>
            <w:webHidden/>
          </w:rPr>
        </w:r>
        <w:r w:rsidR="00EB1F7A" w:rsidRPr="00EB1F7A">
          <w:rPr>
            <w:webHidden/>
          </w:rPr>
          <w:fldChar w:fldCharType="separate"/>
        </w:r>
        <w:r w:rsidR="00EB1F7A" w:rsidRPr="00EB1F7A">
          <w:rPr>
            <w:webHidden/>
          </w:rPr>
          <w:t>12</w:t>
        </w:r>
        <w:r w:rsidR="00EB1F7A" w:rsidRPr="00EB1F7A">
          <w:rPr>
            <w:webHidden/>
          </w:rPr>
          <w:fldChar w:fldCharType="end"/>
        </w:r>
      </w:hyperlink>
    </w:p>
    <w:p w14:paraId="5B2C869B" w14:textId="77777777" w:rsidR="00EB1F7A" w:rsidRPr="00EB1F7A" w:rsidRDefault="00AA7CB6">
      <w:pPr>
        <w:pStyle w:val="TOC2"/>
      </w:pPr>
      <w:hyperlink w:anchor="_Toc506285797" w:history="1">
        <w:r w:rsidR="00EB1F7A" w:rsidRPr="00EB1F7A">
          <w:t>1.1</w:t>
        </w:r>
        <w:r w:rsidR="00EB1F7A" w:rsidRPr="00EB1F7A">
          <w:tab/>
          <w:t>Background</w:t>
        </w:r>
        <w:r w:rsidR="00EB1F7A" w:rsidRPr="00EB1F7A">
          <w:rPr>
            <w:webHidden/>
          </w:rPr>
          <w:tab/>
        </w:r>
        <w:r w:rsidR="00EB1F7A" w:rsidRPr="00EB1F7A">
          <w:rPr>
            <w:webHidden/>
          </w:rPr>
          <w:fldChar w:fldCharType="begin"/>
        </w:r>
        <w:r w:rsidR="00EB1F7A" w:rsidRPr="00EB1F7A">
          <w:rPr>
            <w:webHidden/>
          </w:rPr>
          <w:instrText xml:space="preserve"> PAGEREF _Toc506285797 \h </w:instrText>
        </w:r>
        <w:r w:rsidR="00EB1F7A" w:rsidRPr="00EB1F7A">
          <w:rPr>
            <w:webHidden/>
          </w:rPr>
        </w:r>
        <w:r w:rsidR="00EB1F7A" w:rsidRPr="00EB1F7A">
          <w:rPr>
            <w:webHidden/>
          </w:rPr>
          <w:fldChar w:fldCharType="separate"/>
        </w:r>
        <w:r w:rsidR="00EB1F7A" w:rsidRPr="00EB1F7A">
          <w:rPr>
            <w:webHidden/>
          </w:rPr>
          <w:t>12</w:t>
        </w:r>
        <w:r w:rsidR="00EB1F7A" w:rsidRPr="00EB1F7A">
          <w:rPr>
            <w:webHidden/>
          </w:rPr>
          <w:fldChar w:fldCharType="end"/>
        </w:r>
      </w:hyperlink>
    </w:p>
    <w:p w14:paraId="5634D062" w14:textId="77777777" w:rsidR="00EB1F7A" w:rsidRPr="00EB1F7A" w:rsidRDefault="00AA7CB6">
      <w:pPr>
        <w:pStyle w:val="TOC2"/>
      </w:pPr>
      <w:hyperlink w:anchor="_Toc506285798" w:history="1">
        <w:r w:rsidR="00EB1F7A" w:rsidRPr="00EB1F7A">
          <w:t>1.2</w:t>
        </w:r>
        <w:r w:rsidR="00EB1F7A" w:rsidRPr="00EB1F7A">
          <w:tab/>
          <w:t>Balancing APRA’s objectives</w:t>
        </w:r>
        <w:r w:rsidR="00EB1F7A" w:rsidRPr="00EB1F7A">
          <w:rPr>
            <w:webHidden/>
          </w:rPr>
          <w:tab/>
        </w:r>
        <w:r w:rsidR="00EB1F7A" w:rsidRPr="00EB1F7A">
          <w:rPr>
            <w:webHidden/>
          </w:rPr>
          <w:fldChar w:fldCharType="begin"/>
        </w:r>
        <w:r w:rsidR="00EB1F7A" w:rsidRPr="00EB1F7A">
          <w:rPr>
            <w:webHidden/>
          </w:rPr>
          <w:instrText xml:space="preserve"> PAGEREF _Toc506285798 \h </w:instrText>
        </w:r>
        <w:r w:rsidR="00EB1F7A" w:rsidRPr="00EB1F7A">
          <w:rPr>
            <w:webHidden/>
          </w:rPr>
        </w:r>
        <w:r w:rsidR="00EB1F7A" w:rsidRPr="00EB1F7A">
          <w:rPr>
            <w:webHidden/>
          </w:rPr>
          <w:fldChar w:fldCharType="separate"/>
        </w:r>
        <w:r w:rsidR="00EB1F7A" w:rsidRPr="00EB1F7A">
          <w:rPr>
            <w:webHidden/>
          </w:rPr>
          <w:t>17</w:t>
        </w:r>
        <w:r w:rsidR="00EB1F7A" w:rsidRPr="00EB1F7A">
          <w:rPr>
            <w:webHidden/>
          </w:rPr>
          <w:fldChar w:fldCharType="end"/>
        </w:r>
      </w:hyperlink>
    </w:p>
    <w:p w14:paraId="432B24E8" w14:textId="77777777" w:rsidR="00EB1F7A" w:rsidRPr="00EB1F7A" w:rsidRDefault="00AA7CB6">
      <w:pPr>
        <w:pStyle w:val="TOC1"/>
      </w:pPr>
      <w:hyperlink w:anchor="_Toc506285799" w:history="1">
        <w:r w:rsidR="00EB1F7A" w:rsidRPr="00EB1F7A">
          <w:t>Chapter 2 - Credit risk: residential mortgage lending</w:t>
        </w:r>
        <w:r w:rsidR="00EB1F7A" w:rsidRPr="00EB1F7A">
          <w:rPr>
            <w:webHidden/>
          </w:rPr>
          <w:tab/>
        </w:r>
        <w:r w:rsidR="00EB1F7A" w:rsidRPr="00EB1F7A">
          <w:rPr>
            <w:webHidden/>
          </w:rPr>
          <w:fldChar w:fldCharType="begin"/>
        </w:r>
        <w:r w:rsidR="00EB1F7A" w:rsidRPr="00EB1F7A">
          <w:rPr>
            <w:webHidden/>
          </w:rPr>
          <w:instrText xml:space="preserve"> PAGEREF _Toc506285799 \h </w:instrText>
        </w:r>
        <w:r w:rsidR="00EB1F7A" w:rsidRPr="00EB1F7A">
          <w:rPr>
            <w:webHidden/>
          </w:rPr>
        </w:r>
        <w:r w:rsidR="00EB1F7A" w:rsidRPr="00EB1F7A">
          <w:rPr>
            <w:webHidden/>
          </w:rPr>
          <w:fldChar w:fldCharType="separate"/>
        </w:r>
        <w:r w:rsidR="00EB1F7A" w:rsidRPr="00EB1F7A">
          <w:rPr>
            <w:webHidden/>
          </w:rPr>
          <w:t>18</w:t>
        </w:r>
        <w:r w:rsidR="00EB1F7A" w:rsidRPr="00EB1F7A">
          <w:rPr>
            <w:webHidden/>
          </w:rPr>
          <w:fldChar w:fldCharType="end"/>
        </w:r>
      </w:hyperlink>
    </w:p>
    <w:p w14:paraId="6933A1EF" w14:textId="77777777" w:rsidR="00EB1F7A" w:rsidRPr="00EB1F7A" w:rsidRDefault="00AA7CB6">
      <w:pPr>
        <w:pStyle w:val="TOC2"/>
      </w:pPr>
      <w:hyperlink w:anchor="_Toc506285800" w:history="1">
        <w:r w:rsidR="00EB1F7A" w:rsidRPr="00EB1F7A">
          <w:t>2.1</w:t>
        </w:r>
        <w:r w:rsidR="00EB1F7A" w:rsidRPr="00EB1F7A">
          <w:tab/>
          <w:t>Residential mortgage lending risks</w:t>
        </w:r>
        <w:r w:rsidR="00EB1F7A" w:rsidRPr="00EB1F7A">
          <w:rPr>
            <w:webHidden/>
          </w:rPr>
          <w:tab/>
        </w:r>
        <w:r w:rsidR="00EB1F7A" w:rsidRPr="00EB1F7A">
          <w:rPr>
            <w:webHidden/>
          </w:rPr>
          <w:fldChar w:fldCharType="begin"/>
        </w:r>
        <w:r w:rsidR="00EB1F7A" w:rsidRPr="00EB1F7A">
          <w:rPr>
            <w:webHidden/>
          </w:rPr>
          <w:instrText xml:space="preserve"> PAGEREF _Toc506285800 \h </w:instrText>
        </w:r>
        <w:r w:rsidR="00EB1F7A" w:rsidRPr="00EB1F7A">
          <w:rPr>
            <w:webHidden/>
          </w:rPr>
        </w:r>
        <w:r w:rsidR="00EB1F7A" w:rsidRPr="00EB1F7A">
          <w:rPr>
            <w:webHidden/>
          </w:rPr>
          <w:fldChar w:fldCharType="separate"/>
        </w:r>
        <w:r w:rsidR="00EB1F7A" w:rsidRPr="00EB1F7A">
          <w:rPr>
            <w:webHidden/>
          </w:rPr>
          <w:t>18</w:t>
        </w:r>
        <w:r w:rsidR="00EB1F7A" w:rsidRPr="00EB1F7A">
          <w:rPr>
            <w:webHidden/>
          </w:rPr>
          <w:fldChar w:fldCharType="end"/>
        </w:r>
      </w:hyperlink>
    </w:p>
    <w:p w14:paraId="7CD83CDD" w14:textId="77777777" w:rsidR="00EB1F7A" w:rsidRPr="00EB1F7A" w:rsidRDefault="00AA7CB6">
      <w:pPr>
        <w:pStyle w:val="TOC2"/>
      </w:pPr>
      <w:hyperlink w:anchor="_Toc506285801" w:history="1">
        <w:r w:rsidR="00EB1F7A" w:rsidRPr="00EB1F7A">
          <w:t>2.2</w:t>
        </w:r>
        <w:r w:rsidR="00EB1F7A" w:rsidRPr="00EB1F7A">
          <w:tab/>
          <w:t>Basel III framework</w:t>
        </w:r>
        <w:r w:rsidR="00EB1F7A" w:rsidRPr="00EB1F7A">
          <w:rPr>
            <w:webHidden/>
          </w:rPr>
          <w:tab/>
        </w:r>
        <w:r w:rsidR="00EB1F7A" w:rsidRPr="00EB1F7A">
          <w:rPr>
            <w:webHidden/>
          </w:rPr>
          <w:fldChar w:fldCharType="begin"/>
        </w:r>
        <w:r w:rsidR="00EB1F7A" w:rsidRPr="00EB1F7A">
          <w:rPr>
            <w:webHidden/>
          </w:rPr>
          <w:instrText xml:space="preserve"> PAGEREF _Toc506285801 \h </w:instrText>
        </w:r>
        <w:r w:rsidR="00EB1F7A" w:rsidRPr="00EB1F7A">
          <w:rPr>
            <w:webHidden/>
          </w:rPr>
        </w:r>
        <w:r w:rsidR="00EB1F7A" w:rsidRPr="00EB1F7A">
          <w:rPr>
            <w:webHidden/>
          </w:rPr>
          <w:fldChar w:fldCharType="separate"/>
        </w:r>
        <w:r w:rsidR="00EB1F7A" w:rsidRPr="00EB1F7A">
          <w:rPr>
            <w:webHidden/>
          </w:rPr>
          <w:t>19</w:t>
        </w:r>
        <w:r w:rsidR="00EB1F7A" w:rsidRPr="00EB1F7A">
          <w:rPr>
            <w:webHidden/>
          </w:rPr>
          <w:fldChar w:fldCharType="end"/>
        </w:r>
      </w:hyperlink>
    </w:p>
    <w:p w14:paraId="0EA3F1D5" w14:textId="77777777" w:rsidR="00EB1F7A" w:rsidRPr="00EB1F7A" w:rsidRDefault="00AA7CB6">
      <w:pPr>
        <w:pStyle w:val="TOC2"/>
      </w:pPr>
      <w:hyperlink w:anchor="_Toc506285802" w:history="1">
        <w:r w:rsidR="00EB1F7A" w:rsidRPr="00EB1F7A">
          <w:t>2.3</w:t>
        </w:r>
        <w:r w:rsidR="00EB1F7A" w:rsidRPr="00EB1F7A">
          <w:tab/>
          <w:t>APRA’s proposals</w:t>
        </w:r>
        <w:r w:rsidR="00EB1F7A" w:rsidRPr="00EB1F7A">
          <w:rPr>
            <w:webHidden/>
          </w:rPr>
          <w:tab/>
        </w:r>
        <w:r w:rsidR="00EB1F7A" w:rsidRPr="00EB1F7A">
          <w:rPr>
            <w:webHidden/>
          </w:rPr>
          <w:fldChar w:fldCharType="begin"/>
        </w:r>
        <w:r w:rsidR="00EB1F7A" w:rsidRPr="00EB1F7A">
          <w:rPr>
            <w:webHidden/>
          </w:rPr>
          <w:instrText xml:space="preserve"> PAGEREF _Toc506285802 \h </w:instrText>
        </w:r>
        <w:r w:rsidR="00EB1F7A" w:rsidRPr="00EB1F7A">
          <w:rPr>
            <w:webHidden/>
          </w:rPr>
        </w:r>
        <w:r w:rsidR="00EB1F7A" w:rsidRPr="00EB1F7A">
          <w:rPr>
            <w:webHidden/>
          </w:rPr>
          <w:fldChar w:fldCharType="separate"/>
        </w:r>
        <w:r w:rsidR="00EB1F7A" w:rsidRPr="00EB1F7A">
          <w:rPr>
            <w:webHidden/>
          </w:rPr>
          <w:t>22</w:t>
        </w:r>
        <w:r w:rsidR="00EB1F7A" w:rsidRPr="00EB1F7A">
          <w:rPr>
            <w:webHidden/>
          </w:rPr>
          <w:fldChar w:fldCharType="end"/>
        </w:r>
      </w:hyperlink>
    </w:p>
    <w:p w14:paraId="4281427C" w14:textId="77777777" w:rsidR="00EB1F7A" w:rsidRPr="00EB1F7A" w:rsidRDefault="00AA7CB6">
      <w:pPr>
        <w:pStyle w:val="TOC1"/>
      </w:pPr>
      <w:hyperlink w:anchor="_Toc506285803" w:history="1">
        <w:r w:rsidR="00EB1F7A" w:rsidRPr="00EB1F7A">
          <w:t>Chapter 3 - Credit risk: other standardised exposures</w:t>
        </w:r>
        <w:r w:rsidR="00EB1F7A" w:rsidRPr="00EB1F7A">
          <w:rPr>
            <w:webHidden/>
          </w:rPr>
          <w:tab/>
        </w:r>
        <w:r w:rsidR="00EB1F7A" w:rsidRPr="00EB1F7A">
          <w:rPr>
            <w:webHidden/>
          </w:rPr>
          <w:fldChar w:fldCharType="begin"/>
        </w:r>
        <w:r w:rsidR="00EB1F7A" w:rsidRPr="00EB1F7A">
          <w:rPr>
            <w:webHidden/>
          </w:rPr>
          <w:instrText xml:space="preserve"> PAGEREF _Toc506285803 \h </w:instrText>
        </w:r>
        <w:r w:rsidR="00EB1F7A" w:rsidRPr="00EB1F7A">
          <w:rPr>
            <w:webHidden/>
          </w:rPr>
        </w:r>
        <w:r w:rsidR="00EB1F7A" w:rsidRPr="00EB1F7A">
          <w:rPr>
            <w:webHidden/>
          </w:rPr>
          <w:fldChar w:fldCharType="separate"/>
        </w:r>
        <w:r w:rsidR="00EB1F7A" w:rsidRPr="00EB1F7A">
          <w:rPr>
            <w:webHidden/>
          </w:rPr>
          <w:t>27</w:t>
        </w:r>
        <w:r w:rsidR="00EB1F7A" w:rsidRPr="00EB1F7A">
          <w:rPr>
            <w:webHidden/>
          </w:rPr>
          <w:fldChar w:fldCharType="end"/>
        </w:r>
      </w:hyperlink>
    </w:p>
    <w:p w14:paraId="73E05B2C" w14:textId="77777777" w:rsidR="00EB1F7A" w:rsidRPr="00EB1F7A" w:rsidRDefault="00AA7CB6">
      <w:pPr>
        <w:pStyle w:val="TOC2"/>
      </w:pPr>
      <w:hyperlink w:anchor="_Toc506285804" w:history="1">
        <w:r w:rsidR="00EB1F7A" w:rsidRPr="00EB1F7A">
          <w:t>3.1</w:t>
        </w:r>
        <w:r w:rsidR="00EB1F7A" w:rsidRPr="00EB1F7A">
          <w:tab/>
          <w:t>Retail exposures</w:t>
        </w:r>
        <w:r w:rsidR="00EB1F7A" w:rsidRPr="00EB1F7A">
          <w:rPr>
            <w:webHidden/>
          </w:rPr>
          <w:tab/>
        </w:r>
        <w:r w:rsidR="00EB1F7A" w:rsidRPr="00EB1F7A">
          <w:rPr>
            <w:webHidden/>
          </w:rPr>
          <w:fldChar w:fldCharType="begin"/>
        </w:r>
        <w:r w:rsidR="00EB1F7A" w:rsidRPr="00EB1F7A">
          <w:rPr>
            <w:webHidden/>
          </w:rPr>
          <w:instrText xml:space="preserve"> PAGEREF _Toc506285804 \h </w:instrText>
        </w:r>
        <w:r w:rsidR="00EB1F7A" w:rsidRPr="00EB1F7A">
          <w:rPr>
            <w:webHidden/>
          </w:rPr>
        </w:r>
        <w:r w:rsidR="00EB1F7A" w:rsidRPr="00EB1F7A">
          <w:rPr>
            <w:webHidden/>
          </w:rPr>
          <w:fldChar w:fldCharType="separate"/>
        </w:r>
        <w:r w:rsidR="00EB1F7A" w:rsidRPr="00EB1F7A">
          <w:rPr>
            <w:webHidden/>
          </w:rPr>
          <w:t>27</w:t>
        </w:r>
        <w:r w:rsidR="00EB1F7A" w:rsidRPr="00EB1F7A">
          <w:rPr>
            <w:webHidden/>
          </w:rPr>
          <w:fldChar w:fldCharType="end"/>
        </w:r>
      </w:hyperlink>
    </w:p>
    <w:p w14:paraId="011695CF" w14:textId="77777777" w:rsidR="00EB1F7A" w:rsidRPr="00EB1F7A" w:rsidRDefault="00AA7CB6">
      <w:pPr>
        <w:pStyle w:val="TOC2"/>
      </w:pPr>
      <w:hyperlink w:anchor="_Toc506285805" w:history="1">
        <w:r w:rsidR="00EB1F7A" w:rsidRPr="00EB1F7A">
          <w:t>3.2</w:t>
        </w:r>
        <w:r w:rsidR="00EB1F7A" w:rsidRPr="00EB1F7A">
          <w:tab/>
          <w:t>Small- and medium- sized enterprise exposures</w:t>
        </w:r>
        <w:r w:rsidR="00EB1F7A" w:rsidRPr="00EB1F7A">
          <w:rPr>
            <w:webHidden/>
          </w:rPr>
          <w:tab/>
        </w:r>
        <w:r w:rsidR="00EB1F7A" w:rsidRPr="00EB1F7A">
          <w:rPr>
            <w:webHidden/>
          </w:rPr>
          <w:fldChar w:fldCharType="begin"/>
        </w:r>
        <w:r w:rsidR="00EB1F7A" w:rsidRPr="00EB1F7A">
          <w:rPr>
            <w:webHidden/>
          </w:rPr>
          <w:instrText xml:space="preserve"> PAGEREF _Toc506285805 \h </w:instrText>
        </w:r>
        <w:r w:rsidR="00EB1F7A" w:rsidRPr="00EB1F7A">
          <w:rPr>
            <w:webHidden/>
          </w:rPr>
        </w:r>
        <w:r w:rsidR="00EB1F7A" w:rsidRPr="00EB1F7A">
          <w:rPr>
            <w:webHidden/>
          </w:rPr>
          <w:fldChar w:fldCharType="separate"/>
        </w:r>
        <w:r w:rsidR="00EB1F7A" w:rsidRPr="00EB1F7A">
          <w:rPr>
            <w:webHidden/>
          </w:rPr>
          <w:t>28</w:t>
        </w:r>
        <w:r w:rsidR="00EB1F7A" w:rsidRPr="00EB1F7A">
          <w:rPr>
            <w:webHidden/>
          </w:rPr>
          <w:fldChar w:fldCharType="end"/>
        </w:r>
      </w:hyperlink>
    </w:p>
    <w:p w14:paraId="5A7DCC30" w14:textId="77777777" w:rsidR="00EB1F7A" w:rsidRPr="00EB1F7A" w:rsidRDefault="00AA7CB6">
      <w:pPr>
        <w:pStyle w:val="TOC2"/>
      </w:pPr>
      <w:hyperlink w:anchor="_Toc506285806" w:history="1">
        <w:r w:rsidR="00EB1F7A" w:rsidRPr="00EB1F7A">
          <w:t>3.3</w:t>
        </w:r>
        <w:r w:rsidR="00EB1F7A" w:rsidRPr="00EB1F7A">
          <w:tab/>
          <w:t>Credit conversion factors</w:t>
        </w:r>
        <w:r w:rsidR="00EB1F7A" w:rsidRPr="00EB1F7A">
          <w:rPr>
            <w:webHidden/>
          </w:rPr>
          <w:tab/>
        </w:r>
        <w:r w:rsidR="00EB1F7A" w:rsidRPr="00EB1F7A">
          <w:rPr>
            <w:webHidden/>
          </w:rPr>
          <w:fldChar w:fldCharType="begin"/>
        </w:r>
        <w:r w:rsidR="00EB1F7A" w:rsidRPr="00EB1F7A">
          <w:rPr>
            <w:webHidden/>
          </w:rPr>
          <w:instrText xml:space="preserve"> PAGEREF _Toc506285806 \h </w:instrText>
        </w:r>
        <w:r w:rsidR="00EB1F7A" w:rsidRPr="00EB1F7A">
          <w:rPr>
            <w:webHidden/>
          </w:rPr>
        </w:r>
        <w:r w:rsidR="00EB1F7A" w:rsidRPr="00EB1F7A">
          <w:rPr>
            <w:webHidden/>
          </w:rPr>
          <w:fldChar w:fldCharType="separate"/>
        </w:r>
        <w:r w:rsidR="00EB1F7A" w:rsidRPr="00EB1F7A">
          <w:rPr>
            <w:webHidden/>
          </w:rPr>
          <w:t>29</w:t>
        </w:r>
        <w:r w:rsidR="00EB1F7A" w:rsidRPr="00EB1F7A">
          <w:rPr>
            <w:webHidden/>
          </w:rPr>
          <w:fldChar w:fldCharType="end"/>
        </w:r>
      </w:hyperlink>
    </w:p>
    <w:p w14:paraId="270F2ACD" w14:textId="77777777" w:rsidR="00EB1F7A" w:rsidRPr="00EB1F7A" w:rsidRDefault="00AA7CB6">
      <w:pPr>
        <w:pStyle w:val="TOC2"/>
      </w:pPr>
      <w:hyperlink w:anchor="_Toc506285807" w:history="1">
        <w:r w:rsidR="00EB1F7A" w:rsidRPr="00EB1F7A">
          <w:t>3.4</w:t>
        </w:r>
        <w:r w:rsidR="00EB1F7A" w:rsidRPr="00EB1F7A">
          <w:tab/>
          <w:t>Other proposals</w:t>
        </w:r>
        <w:r w:rsidR="00EB1F7A" w:rsidRPr="00EB1F7A">
          <w:rPr>
            <w:webHidden/>
          </w:rPr>
          <w:tab/>
        </w:r>
        <w:r w:rsidR="00EB1F7A" w:rsidRPr="00EB1F7A">
          <w:rPr>
            <w:webHidden/>
          </w:rPr>
          <w:fldChar w:fldCharType="begin"/>
        </w:r>
        <w:r w:rsidR="00EB1F7A" w:rsidRPr="00EB1F7A">
          <w:rPr>
            <w:webHidden/>
          </w:rPr>
          <w:instrText xml:space="preserve"> PAGEREF _Toc506285807 \h </w:instrText>
        </w:r>
        <w:r w:rsidR="00EB1F7A" w:rsidRPr="00EB1F7A">
          <w:rPr>
            <w:webHidden/>
          </w:rPr>
        </w:r>
        <w:r w:rsidR="00EB1F7A" w:rsidRPr="00EB1F7A">
          <w:rPr>
            <w:webHidden/>
          </w:rPr>
          <w:fldChar w:fldCharType="separate"/>
        </w:r>
        <w:r w:rsidR="00EB1F7A" w:rsidRPr="00EB1F7A">
          <w:rPr>
            <w:webHidden/>
          </w:rPr>
          <w:t>30</w:t>
        </w:r>
        <w:r w:rsidR="00EB1F7A" w:rsidRPr="00EB1F7A">
          <w:rPr>
            <w:webHidden/>
          </w:rPr>
          <w:fldChar w:fldCharType="end"/>
        </w:r>
      </w:hyperlink>
    </w:p>
    <w:p w14:paraId="0BE9C5DB" w14:textId="77777777" w:rsidR="00EB1F7A" w:rsidRPr="00EB1F7A" w:rsidRDefault="00AA7CB6">
      <w:pPr>
        <w:pStyle w:val="TOC1"/>
      </w:pPr>
      <w:hyperlink w:anchor="_Toc506285808" w:history="1">
        <w:r w:rsidR="00EB1F7A" w:rsidRPr="00EB1F7A">
          <w:t>Chapter 4 - Credit risk: other IRB exposures</w:t>
        </w:r>
        <w:r w:rsidR="00EB1F7A" w:rsidRPr="00EB1F7A">
          <w:rPr>
            <w:webHidden/>
          </w:rPr>
          <w:tab/>
        </w:r>
        <w:r w:rsidR="00EB1F7A" w:rsidRPr="00EB1F7A">
          <w:rPr>
            <w:webHidden/>
          </w:rPr>
          <w:fldChar w:fldCharType="begin"/>
        </w:r>
        <w:r w:rsidR="00EB1F7A" w:rsidRPr="00EB1F7A">
          <w:rPr>
            <w:webHidden/>
          </w:rPr>
          <w:instrText xml:space="preserve"> PAGEREF _Toc506285808 \h </w:instrText>
        </w:r>
        <w:r w:rsidR="00EB1F7A" w:rsidRPr="00EB1F7A">
          <w:rPr>
            <w:webHidden/>
          </w:rPr>
        </w:r>
        <w:r w:rsidR="00EB1F7A" w:rsidRPr="00EB1F7A">
          <w:rPr>
            <w:webHidden/>
          </w:rPr>
          <w:fldChar w:fldCharType="separate"/>
        </w:r>
        <w:r w:rsidR="00EB1F7A" w:rsidRPr="00EB1F7A">
          <w:rPr>
            <w:webHidden/>
          </w:rPr>
          <w:t>32</w:t>
        </w:r>
        <w:r w:rsidR="00EB1F7A" w:rsidRPr="00EB1F7A">
          <w:rPr>
            <w:webHidden/>
          </w:rPr>
          <w:fldChar w:fldCharType="end"/>
        </w:r>
      </w:hyperlink>
    </w:p>
    <w:p w14:paraId="22580BB2" w14:textId="77777777" w:rsidR="00EB1F7A" w:rsidRPr="00EB1F7A" w:rsidRDefault="00AA7CB6">
      <w:pPr>
        <w:pStyle w:val="TOC2"/>
      </w:pPr>
      <w:hyperlink w:anchor="_Toc506285809" w:history="1">
        <w:r w:rsidR="00EB1F7A" w:rsidRPr="00EB1F7A">
          <w:t>4.1</w:t>
        </w:r>
        <w:r w:rsidR="00EB1F7A" w:rsidRPr="00EB1F7A">
          <w:tab/>
          <w:t>Constraints to IRB modelling</w:t>
        </w:r>
        <w:r w:rsidR="00EB1F7A" w:rsidRPr="00EB1F7A">
          <w:rPr>
            <w:webHidden/>
          </w:rPr>
          <w:tab/>
        </w:r>
        <w:r w:rsidR="00EB1F7A" w:rsidRPr="00EB1F7A">
          <w:rPr>
            <w:webHidden/>
          </w:rPr>
          <w:fldChar w:fldCharType="begin"/>
        </w:r>
        <w:r w:rsidR="00EB1F7A" w:rsidRPr="00EB1F7A">
          <w:rPr>
            <w:webHidden/>
          </w:rPr>
          <w:instrText xml:space="preserve"> PAGEREF _Toc506285809 \h </w:instrText>
        </w:r>
        <w:r w:rsidR="00EB1F7A" w:rsidRPr="00EB1F7A">
          <w:rPr>
            <w:webHidden/>
          </w:rPr>
        </w:r>
        <w:r w:rsidR="00EB1F7A" w:rsidRPr="00EB1F7A">
          <w:rPr>
            <w:webHidden/>
          </w:rPr>
          <w:fldChar w:fldCharType="separate"/>
        </w:r>
        <w:r w:rsidR="00EB1F7A" w:rsidRPr="00EB1F7A">
          <w:rPr>
            <w:webHidden/>
          </w:rPr>
          <w:t>32</w:t>
        </w:r>
        <w:r w:rsidR="00EB1F7A" w:rsidRPr="00EB1F7A">
          <w:rPr>
            <w:webHidden/>
          </w:rPr>
          <w:fldChar w:fldCharType="end"/>
        </w:r>
      </w:hyperlink>
    </w:p>
    <w:p w14:paraId="26C57ACA" w14:textId="77777777" w:rsidR="00EB1F7A" w:rsidRPr="00EB1F7A" w:rsidRDefault="00AA7CB6">
      <w:pPr>
        <w:pStyle w:val="TOC2"/>
      </w:pPr>
      <w:hyperlink w:anchor="_Toc506285810" w:history="1">
        <w:r w:rsidR="00EB1F7A" w:rsidRPr="00EB1F7A">
          <w:t>4.2</w:t>
        </w:r>
        <w:r w:rsidR="00EB1F7A" w:rsidRPr="00EB1F7A">
          <w:tab/>
          <w:t>Commercial property exposures</w:t>
        </w:r>
        <w:r w:rsidR="00EB1F7A" w:rsidRPr="00EB1F7A">
          <w:rPr>
            <w:webHidden/>
          </w:rPr>
          <w:tab/>
        </w:r>
        <w:r w:rsidR="00EB1F7A" w:rsidRPr="00EB1F7A">
          <w:rPr>
            <w:webHidden/>
          </w:rPr>
          <w:fldChar w:fldCharType="begin"/>
        </w:r>
        <w:r w:rsidR="00EB1F7A" w:rsidRPr="00EB1F7A">
          <w:rPr>
            <w:webHidden/>
          </w:rPr>
          <w:instrText xml:space="preserve"> PAGEREF _Toc506285810 \h </w:instrText>
        </w:r>
        <w:r w:rsidR="00EB1F7A" w:rsidRPr="00EB1F7A">
          <w:rPr>
            <w:webHidden/>
          </w:rPr>
        </w:r>
        <w:r w:rsidR="00EB1F7A" w:rsidRPr="00EB1F7A">
          <w:rPr>
            <w:webHidden/>
          </w:rPr>
          <w:fldChar w:fldCharType="separate"/>
        </w:r>
        <w:r w:rsidR="00EB1F7A" w:rsidRPr="00EB1F7A">
          <w:rPr>
            <w:webHidden/>
          </w:rPr>
          <w:t>35</w:t>
        </w:r>
        <w:r w:rsidR="00EB1F7A" w:rsidRPr="00EB1F7A">
          <w:rPr>
            <w:webHidden/>
          </w:rPr>
          <w:fldChar w:fldCharType="end"/>
        </w:r>
      </w:hyperlink>
    </w:p>
    <w:p w14:paraId="01046A08" w14:textId="77777777" w:rsidR="00EB1F7A" w:rsidRPr="00EB1F7A" w:rsidRDefault="00AA7CB6">
      <w:pPr>
        <w:pStyle w:val="TOC2"/>
      </w:pPr>
      <w:hyperlink w:anchor="_Toc506285811" w:history="1">
        <w:r w:rsidR="00EB1F7A" w:rsidRPr="00EB1F7A">
          <w:t>4.3</w:t>
        </w:r>
        <w:r w:rsidR="00EB1F7A" w:rsidRPr="00EB1F7A">
          <w:tab/>
          <w:t>Small- and medium-sized enterprise exposures</w:t>
        </w:r>
        <w:r w:rsidR="00EB1F7A" w:rsidRPr="00EB1F7A">
          <w:rPr>
            <w:webHidden/>
          </w:rPr>
          <w:tab/>
        </w:r>
        <w:r w:rsidR="00EB1F7A" w:rsidRPr="00EB1F7A">
          <w:rPr>
            <w:webHidden/>
          </w:rPr>
          <w:fldChar w:fldCharType="begin"/>
        </w:r>
        <w:r w:rsidR="00EB1F7A" w:rsidRPr="00EB1F7A">
          <w:rPr>
            <w:webHidden/>
          </w:rPr>
          <w:instrText xml:space="preserve"> PAGEREF _Toc506285811 \h </w:instrText>
        </w:r>
        <w:r w:rsidR="00EB1F7A" w:rsidRPr="00EB1F7A">
          <w:rPr>
            <w:webHidden/>
          </w:rPr>
        </w:r>
        <w:r w:rsidR="00EB1F7A" w:rsidRPr="00EB1F7A">
          <w:rPr>
            <w:webHidden/>
          </w:rPr>
          <w:fldChar w:fldCharType="separate"/>
        </w:r>
        <w:r w:rsidR="00EB1F7A" w:rsidRPr="00EB1F7A">
          <w:rPr>
            <w:webHidden/>
          </w:rPr>
          <w:t>36</w:t>
        </w:r>
        <w:r w:rsidR="00EB1F7A" w:rsidRPr="00EB1F7A">
          <w:rPr>
            <w:webHidden/>
          </w:rPr>
          <w:fldChar w:fldCharType="end"/>
        </w:r>
      </w:hyperlink>
    </w:p>
    <w:p w14:paraId="216475CC" w14:textId="77777777" w:rsidR="00EB1F7A" w:rsidRPr="00EB1F7A" w:rsidRDefault="00AA7CB6">
      <w:pPr>
        <w:pStyle w:val="TOC2"/>
      </w:pPr>
      <w:hyperlink w:anchor="_Toc506285812" w:history="1">
        <w:r w:rsidR="00EB1F7A" w:rsidRPr="00EB1F7A">
          <w:t>4.4</w:t>
        </w:r>
        <w:r w:rsidR="00EB1F7A" w:rsidRPr="00EB1F7A">
          <w:tab/>
          <w:t>Qualifying revolving retail exposures</w:t>
        </w:r>
        <w:r w:rsidR="00EB1F7A" w:rsidRPr="00EB1F7A">
          <w:rPr>
            <w:webHidden/>
          </w:rPr>
          <w:tab/>
        </w:r>
        <w:r w:rsidR="00EB1F7A" w:rsidRPr="00EB1F7A">
          <w:rPr>
            <w:webHidden/>
          </w:rPr>
          <w:fldChar w:fldCharType="begin"/>
        </w:r>
        <w:r w:rsidR="00EB1F7A" w:rsidRPr="00EB1F7A">
          <w:rPr>
            <w:webHidden/>
          </w:rPr>
          <w:instrText xml:space="preserve"> PAGEREF _Toc506285812 \h </w:instrText>
        </w:r>
        <w:r w:rsidR="00EB1F7A" w:rsidRPr="00EB1F7A">
          <w:rPr>
            <w:webHidden/>
          </w:rPr>
        </w:r>
        <w:r w:rsidR="00EB1F7A" w:rsidRPr="00EB1F7A">
          <w:rPr>
            <w:webHidden/>
          </w:rPr>
          <w:fldChar w:fldCharType="separate"/>
        </w:r>
        <w:r w:rsidR="00EB1F7A" w:rsidRPr="00EB1F7A">
          <w:rPr>
            <w:webHidden/>
          </w:rPr>
          <w:t>37</w:t>
        </w:r>
        <w:r w:rsidR="00EB1F7A" w:rsidRPr="00EB1F7A">
          <w:rPr>
            <w:webHidden/>
          </w:rPr>
          <w:fldChar w:fldCharType="end"/>
        </w:r>
      </w:hyperlink>
    </w:p>
    <w:p w14:paraId="2607D221" w14:textId="77777777" w:rsidR="00EB1F7A" w:rsidRPr="00EB1F7A" w:rsidRDefault="00AA7CB6">
      <w:pPr>
        <w:pStyle w:val="TOC2"/>
      </w:pPr>
      <w:hyperlink w:anchor="_Toc506285813" w:history="1">
        <w:r w:rsidR="00EB1F7A" w:rsidRPr="00EB1F7A">
          <w:t>4.5</w:t>
        </w:r>
        <w:r w:rsidR="00EB1F7A" w:rsidRPr="00EB1F7A">
          <w:tab/>
          <w:t>Other proposals</w:t>
        </w:r>
        <w:r w:rsidR="00EB1F7A" w:rsidRPr="00EB1F7A">
          <w:rPr>
            <w:webHidden/>
          </w:rPr>
          <w:tab/>
        </w:r>
        <w:r w:rsidR="00EB1F7A" w:rsidRPr="00EB1F7A">
          <w:rPr>
            <w:webHidden/>
          </w:rPr>
          <w:fldChar w:fldCharType="begin"/>
        </w:r>
        <w:r w:rsidR="00EB1F7A" w:rsidRPr="00EB1F7A">
          <w:rPr>
            <w:webHidden/>
          </w:rPr>
          <w:instrText xml:space="preserve"> PAGEREF _Toc506285813 \h </w:instrText>
        </w:r>
        <w:r w:rsidR="00EB1F7A" w:rsidRPr="00EB1F7A">
          <w:rPr>
            <w:webHidden/>
          </w:rPr>
        </w:r>
        <w:r w:rsidR="00EB1F7A" w:rsidRPr="00EB1F7A">
          <w:rPr>
            <w:webHidden/>
          </w:rPr>
          <w:fldChar w:fldCharType="separate"/>
        </w:r>
        <w:r w:rsidR="00EB1F7A" w:rsidRPr="00EB1F7A">
          <w:rPr>
            <w:webHidden/>
          </w:rPr>
          <w:t>38</w:t>
        </w:r>
        <w:r w:rsidR="00EB1F7A" w:rsidRPr="00EB1F7A">
          <w:rPr>
            <w:webHidden/>
          </w:rPr>
          <w:fldChar w:fldCharType="end"/>
        </w:r>
      </w:hyperlink>
    </w:p>
    <w:p w14:paraId="1514F1C1" w14:textId="77777777" w:rsidR="00EB1F7A" w:rsidRPr="00EB1F7A" w:rsidRDefault="00AA7CB6">
      <w:pPr>
        <w:pStyle w:val="TOC1"/>
      </w:pPr>
      <w:hyperlink w:anchor="_Toc506285814" w:history="1">
        <w:r w:rsidR="00EB1F7A" w:rsidRPr="00EB1F7A">
          <w:t>Chapter 5 - Operational risk</w:t>
        </w:r>
        <w:r w:rsidR="00EB1F7A" w:rsidRPr="00EB1F7A">
          <w:rPr>
            <w:webHidden/>
          </w:rPr>
          <w:tab/>
        </w:r>
        <w:r w:rsidR="00EB1F7A" w:rsidRPr="00EB1F7A">
          <w:rPr>
            <w:webHidden/>
          </w:rPr>
          <w:fldChar w:fldCharType="begin"/>
        </w:r>
        <w:r w:rsidR="00EB1F7A" w:rsidRPr="00EB1F7A">
          <w:rPr>
            <w:webHidden/>
          </w:rPr>
          <w:instrText xml:space="preserve"> PAGEREF _Toc506285814 \h </w:instrText>
        </w:r>
        <w:r w:rsidR="00EB1F7A" w:rsidRPr="00EB1F7A">
          <w:rPr>
            <w:webHidden/>
          </w:rPr>
        </w:r>
        <w:r w:rsidR="00EB1F7A" w:rsidRPr="00EB1F7A">
          <w:rPr>
            <w:webHidden/>
          </w:rPr>
          <w:fldChar w:fldCharType="separate"/>
        </w:r>
        <w:r w:rsidR="00EB1F7A" w:rsidRPr="00EB1F7A">
          <w:rPr>
            <w:webHidden/>
          </w:rPr>
          <w:t>40</w:t>
        </w:r>
        <w:r w:rsidR="00EB1F7A" w:rsidRPr="00EB1F7A">
          <w:rPr>
            <w:webHidden/>
          </w:rPr>
          <w:fldChar w:fldCharType="end"/>
        </w:r>
      </w:hyperlink>
    </w:p>
    <w:p w14:paraId="5F8B25F5" w14:textId="77777777" w:rsidR="00EB1F7A" w:rsidRPr="00EB1F7A" w:rsidRDefault="00AA7CB6">
      <w:pPr>
        <w:pStyle w:val="TOC2"/>
      </w:pPr>
      <w:hyperlink w:anchor="_Toc506285815" w:history="1">
        <w:r w:rsidR="00EB1F7A" w:rsidRPr="00EB1F7A">
          <w:t>5.1</w:t>
        </w:r>
        <w:r w:rsidR="00EB1F7A" w:rsidRPr="00EB1F7A">
          <w:tab/>
          <w:t>Basel III framework</w:t>
        </w:r>
        <w:r w:rsidR="00EB1F7A" w:rsidRPr="00EB1F7A">
          <w:rPr>
            <w:webHidden/>
          </w:rPr>
          <w:tab/>
        </w:r>
        <w:r w:rsidR="00EB1F7A" w:rsidRPr="00EB1F7A">
          <w:rPr>
            <w:webHidden/>
          </w:rPr>
          <w:fldChar w:fldCharType="begin"/>
        </w:r>
        <w:r w:rsidR="00EB1F7A" w:rsidRPr="00EB1F7A">
          <w:rPr>
            <w:webHidden/>
          </w:rPr>
          <w:instrText xml:space="preserve"> PAGEREF _Toc506285815 \h </w:instrText>
        </w:r>
        <w:r w:rsidR="00EB1F7A" w:rsidRPr="00EB1F7A">
          <w:rPr>
            <w:webHidden/>
          </w:rPr>
        </w:r>
        <w:r w:rsidR="00EB1F7A" w:rsidRPr="00EB1F7A">
          <w:rPr>
            <w:webHidden/>
          </w:rPr>
          <w:fldChar w:fldCharType="separate"/>
        </w:r>
        <w:r w:rsidR="00EB1F7A" w:rsidRPr="00EB1F7A">
          <w:rPr>
            <w:webHidden/>
          </w:rPr>
          <w:t>40</w:t>
        </w:r>
        <w:r w:rsidR="00EB1F7A" w:rsidRPr="00EB1F7A">
          <w:rPr>
            <w:webHidden/>
          </w:rPr>
          <w:fldChar w:fldCharType="end"/>
        </w:r>
      </w:hyperlink>
    </w:p>
    <w:p w14:paraId="783C09F8" w14:textId="77777777" w:rsidR="00EB1F7A" w:rsidRPr="00EB1F7A" w:rsidRDefault="00AA7CB6">
      <w:pPr>
        <w:pStyle w:val="TOC2"/>
      </w:pPr>
      <w:hyperlink w:anchor="_Toc506285816" w:history="1">
        <w:r w:rsidR="00EB1F7A" w:rsidRPr="00EB1F7A">
          <w:t>5.2</w:t>
        </w:r>
        <w:r w:rsidR="00EB1F7A" w:rsidRPr="00EB1F7A">
          <w:tab/>
          <w:t>APRA’s proposals</w:t>
        </w:r>
        <w:r w:rsidR="00EB1F7A" w:rsidRPr="00EB1F7A">
          <w:rPr>
            <w:webHidden/>
          </w:rPr>
          <w:tab/>
        </w:r>
        <w:r w:rsidR="00EB1F7A" w:rsidRPr="00EB1F7A">
          <w:rPr>
            <w:webHidden/>
          </w:rPr>
          <w:fldChar w:fldCharType="begin"/>
        </w:r>
        <w:r w:rsidR="00EB1F7A" w:rsidRPr="00EB1F7A">
          <w:rPr>
            <w:webHidden/>
          </w:rPr>
          <w:instrText xml:space="preserve"> PAGEREF _Toc506285816 \h </w:instrText>
        </w:r>
        <w:r w:rsidR="00EB1F7A" w:rsidRPr="00EB1F7A">
          <w:rPr>
            <w:webHidden/>
          </w:rPr>
        </w:r>
        <w:r w:rsidR="00EB1F7A" w:rsidRPr="00EB1F7A">
          <w:rPr>
            <w:webHidden/>
          </w:rPr>
          <w:fldChar w:fldCharType="separate"/>
        </w:r>
        <w:r w:rsidR="00EB1F7A" w:rsidRPr="00EB1F7A">
          <w:rPr>
            <w:webHidden/>
          </w:rPr>
          <w:t>41</w:t>
        </w:r>
        <w:r w:rsidR="00EB1F7A" w:rsidRPr="00EB1F7A">
          <w:rPr>
            <w:webHidden/>
          </w:rPr>
          <w:fldChar w:fldCharType="end"/>
        </w:r>
      </w:hyperlink>
    </w:p>
    <w:p w14:paraId="32576F13" w14:textId="77777777" w:rsidR="00EB1F7A" w:rsidRPr="00EB1F7A" w:rsidRDefault="00AA7CB6">
      <w:pPr>
        <w:pStyle w:val="TOC1"/>
      </w:pPr>
      <w:hyperlink w:anchor="_Toc506285817" w:history="1">
        <w:r w:rsidR="00EB1F7A" w:rsidRPr="00EB1F7A">
          <w:t>Chapter 6 - Interest rate risk, market risk and credit valuation adjustment</w:t>
        </w:r>
        <w:r w:rsidR="00EB1F7A" w:rsidRPr="00EB1F7A">
          <w:rPr>
            <w:webHidden/>
          </w:rPr>
          <w:tab/>
        </w:r>
        <w:r w:rsidR="00EB1F7A" w:rsidRPr="00EB1F7A">
          <w:rPr>
            <w:webHidden/>
          </w:rPr>
          <w:fldChar w:fldCharType="begin"/>
        </w:r>
        <w:r w:rsidR="00EB1F7A" w:rsidRPr="00EB1F7A">
          <w:rPr>
            <w:webHidden/>
          </w:rPr>
          <w:instrText xml:space="preserve"> PAGEREF _Toc506285817 \h </w:instrText>
        </w:r>
        <w:r w:rsidR="00EB1F7A" w:rsidRPr="00EB1F7A">
          <w:rPr>
            <w:webHidden/>
          </w:rPr>
        </w:r>
        <w:r w:rsidR="00EB1F7A" w:rsidRPr="00EB1F7A">
          <w:rPr>
            <w:webHidden/>
          </w:rPr>
          <w:fldChar w:fldCharType="separate"/>
        </w:r>
        <w:r w:rsidR="00EB1F7A" w:rsidRPr="00EB1F7A">
          <w:rPr>
            <w:webHidden/>
          </w:rPr>
          <w:t>43</w:t>
        </w:r>
        <w:r w:rsidR="00EB1F7A" w:rsidRPr="00EB1F7A">
          <w:rPr>
            <w:webHidden/>
          </w:rPr>
          <w:fldChar w:fldCharType="end"/>
        </w:r>
      </w:hyperlink>
    </w:p>
    <w:p w14:paraId="5F4CE8AB" w14:textId="77777777" w:rsidR="00EB1F7A" w:rsidRPr="00EB1F7A" w:rsidRDefault="00AA7CB6">
      <w:pPr>
        <w:pStyle w:val="TOC2"/>
      </w:pPr>
      <w:hyperlink w:anchor="_Toc506285818" w:history="1">
        <w:r w:rsidR="00EB1F7A" w:rsidRPr="00EB1F7A">
          <w:t>6.1</w:t>
        </w:r>
        <w:r w:rsidR="00EB1F7A" w:rsidRPr="00EB1F7A">
          <w:tab/>
          <w:t>Interest rate risk in the banking book</w:t>
        </w:r>
        <w:r w:rsidR="00EB1F7A" w:rsidRPr="00EB1F7A">
          <w:rPr>
            <w:webHidden/>
          </w:rPr>
          <w:tab/>
        </w:r>
        <w:r w:rsidR="00EB1F7A" w:rsidRPr="00EB1F7A">
          <w:rPr>
            <w:webHidden/>
          </w:rPr>
          <w:fldChar w:fldCharType="begin"/>
        </w:r>
        <w:r w:rsidR="00EB1F7A" w:rsidRPr="00EB1F7A">
          <w:rPr>
            <w:webHidden/>
          </w:rPr>
          <w:instrText xml:space="preserve"> PAGEREF _Toc506285818 \h </w:instrText>
        </w:r>
        <w:r w:rsidR="00EB1F7A" w:rsidRPr="00EB1F7A">
          <w:rPr>
            <w:webHidden/>
          </w:rPr>
        </w:r>
        <w:r w:rsidR="00EB1F7A" w:rsidRPr="00EB1F7A">
          <w:rPr>
            <w:webHidden/>
          </w:rPr>
          <w:fldChar w:fldCharType="separate"/>
        </w:r>
        <w:r w:rsidR="00EB1F7A" w:rsidRPr="00EB1F7A">
          <w:rPr>
            <w:webHidden/>
          </w:rPr>
          <w:t>43</w:t>
        </w:r>
        <w:r w:rsidR="00EB1F7A" w:rsidRPr="00EB1F7A">
          <w:rPr>
            <w:webHidden/>
          </w:rPr>
          <w:fldChar w:fldCharType="end"/>
        </w:r>
      </w:hyperlink>
    </w:p>
    <w:p w14:paraId="2486CDE0" w14:textId="77777777" w:rsidR="00EB1F7A" w:rsidRPr="00EB1F7A" w:rsidRDefault="00AA7CB6">
      <w:pPr>
        <w:pStyle w:val="TOC2"/>
      </w:pPr>
      <w:hyperlink w:anchor="_Toc506285819" w:history="1">
        <w:r w:rsidR="00EB1F7A" w:rsidRPr="00EB1F7A">
          <w:t>6.2</w:t>
        </w:r>
        <w:r w:rsidR="00EB1F7A" w:rsidRPr="00EB1F7A">
          <w:tab/>
          <w:t>Traded market risk and credit valuation adjustment risk</w:t>
        </w:r>
        <w:r w:rsidR="00EB1F7A" w:rsidRPr="00EB1F7A">
          <w:rPr>
            <w:webHidden/>
          </w:rPr>
          <w:tab/>
        </w:r>
        <w:r w:rsidR="00EB1F7A" w:rsidRPr="00EB1F7A">
          <w:rPr>
            <w:webHidden/>
          </w:rPr>
          <w:fldChar w:fldCharType="begin"/>
        </w:r>
        <w:r w:rsidR="00EB1F7A" w:rsidRPr="00EB1F7A">
          <w:rPr>
            <w:webHidden/>
          </w:rPr>
          <w:instrText xml:space="preserve"> PAGEREF _Toc506285819 \h </w:instrText>
        </w:r>
        <w:r w:rsidR="00EB1F7A" w:rsidRPr="00EB1F7A">
          <w:rPr>
            <w:webHidden/>
          </w:rPr>
        </w:r>
        <w:r w:rsidR="00EB1F7A" w:rsidRPr="00EB1F7A">
          <w:rPr>
            <w:webHidden/>
          </w:rPr>
          <w:fldChar w:fldCharType="separate"/>
        </w:r>
        <w:r w:rsidR="00EB1F7A" w:rsidRPr="00EB1F7A">
          <w:rPr>
            <w:webHidden/>
          </w:rPr>
          <w:t>45</w:t>
        </w:r>
        <w:r w:rsidR="00EB1F7A" w:rsidRPr="00EB1F7A">
          <w:rPr>
            <w:webHidden/>
          </w:rPr>
          <w:fldChar w:fldCharType="end"/>
        </w:r>
      </w:hyperlink>
    </w:p>
    <w:p w14:paraId="6294D779" w14:textId="77777777" w:rsidR="00EB1F7A" w:rsidRPr="00EB1F7A" w:rsidRDefault="00AA7CB6">
      <w:pPr>
        <w:pStyle w:val="TOC1"/>
      </w:pPr>
      <w:hyperlink w:anchor="_Toc506285820" w:history="1">
        <w:r w:rsidR="00EB1F7A" w:rsidRPr="00EB1F7A">
          <w:t>Chapter 7 - Approach to overall calibration</w:t>
        </w:r>
        <w:r w:rsidR="00EB1F7A" w:rsidRPr="00EB1F7A">
          <w:rPr>
            <w:webHidden/>
          </w:rPr>
          <w:tab/>
        </w:r>
        <w:r w:rsidR="00EB1F7A" w:rsidRPr="00EB1F7A">
          <w:rPr>
            <w:webHidden/>
          </w:rPr>
          <w:fldChar w:fldCharType="begin"/>
        </w:r>
        <w:r w:rsidR="00EB1F7A" w:rsidRPr="00EB1F7A">
          <w:rPr>
            <w:webHidden/>
          </w:rPr>
          <w:instrText xml:space="preserve"> PAGEREF _Toc506285820 \h </w:instrText>
        </w:r>
        <w:r w:rsidR="00EB1F7A" w:rsidRPr="00EB1F7A">
          <w:rPr>
            <w:webHidden/>
          </w:rPr>
        </w:r>
        <w:r w:rsidR="00EB1F7A" w:rsidRPr="00EB1F7A">
          <w:rPr>
            <w:webHidden/>
          </w:rPr>
          <w:fldChar w:fldCharType="separate"/>
        </w:r>
        <w:r w:rsidR="00EB1F7A" w:rsidRPr="00EB1F7A">
          <w:rPr>
            <w:webHidden/>
          </w:rPr>
          <w:t>47</w:t>
        </w:r>
        <w:r w:rsidR="00EB1F7A" w:rsidRPr="00EB1F7A">
          <w:rPr>
            <w:webHidden/>
          </w:rPr>
          <w:fldChar w:fldCharType="end"/>
        </w:r>
      </w:hyperlink>
    </w:p>
    <w:p w14:paraId="031B39A4" w14:textId="77777777" w:rsidR="00EB1F7A" w:rsidRPr="00EB1F7A" w:rsidRDefault="00AA7CB6">
      <w:pPr>
        <w:pStyle w:val="TOC2"/>
      </w:pPr>
      <w:hyperlink w:anchor="_Toc506285821" w:history="1">
        <w:r w:rsidR="00EB1F7A" w:rsidRPr="00EB1F7A">
          <w:t>7.1</w:t>
        </w:r>
        <w:r w:rsidR="00EB1F7A" w:rsidRPr="00EB1F7A">
          <w:tab/>
          <w:t>Risk-weighted asset floor for IRB banks</w:t>
        </w:r>
        <w:r w:rsidR="00EB1F7A" w:rsidRPr="00EB1F7A">
          <w:rPr>
            <w:webHidden/>
          </w:rPr>
          <w:tab/>
        </w:r>
        <w:r w:rsidR="00EB1F7A" w:rsidRPr="00EB1F7A">
          <w:rPr>
            <w:webHidden/>
          </w:rPr>
          <w:fldChar w:fldCharType="begin"/>
        </w:r>
        <w:r w:rsidR="00EB1F7A" w:rsidRPr="00EB1F7A">
          <w:rPr>
            <w:webHidden/>
          </w:rPr>
          <w:instrText xml:space="preserve"> PAGEREF _Toc506285821 \h </w:instrText>
        </w:r>
        <w:r w:rsidR="00EB1F7A" w:rsidRPr="00EB1F7A">
          <w:rPr>
            <w:webHidden/>
          </w:rPr>
        </w:r>
        <w:r w:rsidR="00EB1F7A" w:rsidRPr="00EB1F7A">
          <w:rPr>
            <w:webHidden/>
          </w:rPr>
          <w:fldChar w:fldCharType="separate"/>
        </w:r>
        <w:r w:rsidR="00EB1F7A" w:rsidRPr="00EB1F7A">
          <w:rPr>
            <w:webHidden/>
          </w:rPr>
          <w:t>48</w:t>
        </w:r>
        <w:r w:rsidR="00EB1F7A" w:rsidRPr="00EB1F7A">
          <w:rPr>
            <w:webHidden/>
          </w:rPr>
          <w:fldChar w:fldCharType="end"/>
        </w:r>
      </w:hyperlink>
    </w:p>
    <w:p w14:paraId="467F05A5" w14:textId="77777777" w:rsidR="00EB1F7A" w:rsidRPr="00EB1F7A" w:rsidRDefault="00AA7CB6">
      <w:pPr>
        <w:pStyle w:val="TOC1"/>
      </w:pPr>
      <w:hyperlink w:anchor="_Toc506285822" w:history="1">
        <w:r w:rsidR="00EB1F7A" w:rsidRPr="00EB1F7A">
          <w:t>Chapter 8 - A simpler approach for small ADIs</w:t>
        </w:r>
        <w:r w:rsidR="00EB1F7A" w:rsidRPr="00EB1F7A">
          <w:rPr>
            <w:webHidden/>
          </w:rPr>
          <w:tab/>
        </w:r>
        <w:r w:rsidR="00EB1F7A" w:rsidRPr="00EB1F7A">
          <w:rPr>
            <w:webHidden/>
          </w:rPr>
          <w:fldChar w:fldCharType="begin"/>
        </w:r>
        <w:r w:rsidR="00EB1F7A" w:rsidRPr="00EB1F7A">
          <w:rPr>
            <w:webHidden/>
          </w:rPr>
          <w:instrText xml:space="preserve"> PAGEREF _Toc506285822 \h </w:instrText>
        </w:r>
        <w:r w:rsidR="00EB1F7A" w:rsidRPr="00EB1F7A">
          <w:rPr>
            <w:webHidden/>
          </w:rPr>
        </w:r>
        <w:r w:rsidR="00EB1F7A" w:rsidRPr="00EB1F7A">
          <w:rPr>
            <w:webHidden/>
          </w:rPr>
          <w:fldChar w:fldCharType="separate"/>
        </w:r>
        <w:r w:rsidR="00EB1F7A" w:rsidRPr="00EB1F7A">
          <w:rPr>
            <w:webHidden/>
          </w:rPr>
          <w:t>49</w:t>
        </w:r>
        <w:r w:rsidR="00EB1F7A" w:rsidRPr="00EB1F7A">
          <w:rPr>
            <w:webHidden/>
          </w:rPr>
          <w:fldChar w:fldCharType="end"/>
        </w:r>
      </w:hyperlink>
    </w:p>
    <w:p w14:paraId="12086636" w14:textId="77777777" w:rsidR="00EB1F7A" w:rsidRPr="00EB1F7A" w:rsidRDefault="00AA7CB6">
      <w:pPr>
        <w:pStyle w:val="TOC2"/>
      </w:pPr>
      <w:hyperlink w:anchor="_Toc506285823" w:history="1">
        <w:r w:rsidR="00EB1F7A" w:rsidRPr="00EB1F7A">
          <w:t>8.1</w:t>
        </w:r>
        <w:r w:rsidR="00EB1F7A" w:rsidRPr="00EB1F7A">
          <w:tab/>
          <w:t>Background</w:t>
        </w:r>
        <w:r w:rsidR="00EB1F7A" w:rsidRPr="00EB1F7A">
          <w:rPr>
            <w:webHidden/>
          </w:rPr>
          <w:tab/>
        </w:r>
        <w:r w:rsidR="00EB1F7A" w:rsidRPr="00EB1F7A">
          <w:rPr>
            <w:webHidden/>
          </w:rPr>
          <w:fldChar w:fldCharType="begin"/>
        </w:r>
        <w:r w:rsidR="00EB1F7A" w:rsidRPr="00EB1F7A">
          <w:rPr>
            <w:webHidden/>
          </w:rPr>
          <w:instrText xml:space="preserve"> PAGEREF _Toc506285823 \h </w:instrText>
        </w:r>
        <w:r w:rsidR="00EB1F7A" w:rsidRPr="00EB1F7A">
          <w:rPr>
            <w:webHidden/>
          </w:rPr>
        </w:r>
        <w:r w:rsidR="00EB1F7A" w:rsidRPr="00EB1F7A">
          <w:rPr>
            <w:webHidden/>
          </w:rPr>
          <w:fldChar w:fldCharType="separate"/>
        </w:r>
        <w:r w:rsidR="00EB1F7A" w:rsidRPr="00EB1F7A">
          <w:rPr>
            <w:webHidden/>
          </w:rPr>
          <w:t>49</w:t>
        </w:r>
        <w:r w:rsidR="00EB1F7A" w:rsidRPr="00EB1F7A">
          <w:rPr>
            <w:webHidden/>
          </w:rPr>
          <w:fldChar w:fldCharType="end"/>
        </w:r>
      </w:hyperlink>
    </w:p>
    <w:p w14:paraId="6745D2DF" w14:textId="77777777" w:rsidR="00EB1F7A" w:rsidRPr="00EB1F7A" w:rsidRDefault="00AA7CB6">
      <w:pPr>
        <w:pStyle w:val="TOC2"/>
      </w:pPr>
      <w:hyperlink w:anchor="_Toc506285824" w:history="1">
        <w:r w:rsidR="00EB1F7A" w:rsidRPr="00EB1F7A">
          <w:t>8.2</w:t>
        </w:r>
        <w:r w:rsidR="00EB1F7A" w:rsidRPr="00EB1F7A">
          <w:tab/>
          <w:t>Scope of a simplified framework</w:t>
        </w:r>
        <w:r w:rsidR="00EB1F7A" w:rsidRPr="00EB1F7A">
          <w:rPr>
            <w:webHidden/>
          </w:rPr>
          <w:tab/>
        </w:r>
        <w:r w:rsidR="00EB1F7A" w:rsidRPr="00EB1F7A">
          <w:rPr>
            <w:webHidden/>
          </w:rPr>
          <w:fldChar w:fldCharType="begin"/>
        </w:r>
        <w:r w:rsidR="00EB1F7A" w:rsidRPr="00EB1F7A">
          <w:rPr>
            <w:webHidden/>
          </w:rPr>
          <w:instrText xml:space="preserve"> PAGEREF _Toc506285824 \h </w:instrText>
        </w:r>
        <w:r w:rsidR="00EB1F7A" w:rsidRPr="00EB1F7A">
          <w:rPr>
            <w:webHidden/>
          </w:rPr>
        </w:r>
        <w:r w:rsidR="00EB1F7A" w:rsidRPr="00EB1F7A">
          <w:rPr>
            <w:webHidden/>
          </w:rPr>
          <w:fldChar w:fldCharType="separate"/>
        </w:r>
        <w:r w:rsidR="00EB1F7A" w:rsidRPr="00EB1F7A">
          <w:rPr>
            <w:webHidden/>
          </w:rPr>
          <w:t>49</w:t>
        </w:r>
        <w:r w:rsidR="00EB1F7A" w:rsidRPr="00EB1F7A">
          <w:rPr>
            <w:webHidden/>
          </w:rPr>
          <w:fldChar w:fldCharType="end"/>
        </w:r>
      </w:hyperlink>
    </w:p>
    <w:p w14:paraId="7CB7AA1F" w14:textId="77777777" w:rsidR="00EB1F7A" w:rsidRPr="00EB1F7A" w:rsidRDefault="00AA7CB6">
      <w:pPr>
        <w:pStyle w:val="TOC2"/>
      </w:pPr>
      <w:hyperlink w:anchor="_Toc506285825" w:history="1">
        <w:r w:rsidR="00EB1F7A" w:rsidRPr="00EB1F7A">
          <w:t>8.3</w:t>
        </w:r>
        <w:r w:rsidR="00EB1F7A" w:rsidRPr="00EB1F7A">
          <w:tab/>
          <w:t>Eligibility criteria</w:t>
        </w:r>
        <w:r w:rsidR="00EB1F7A" w:rsidRPr="00EB1F7A">
          <w:rPr>
            <w:webHidden/>
          </w:rPr>
          <w:tab/>
        </w:r>
        <w:r w:rsidR="00EB1F7A" w:rsidRPr="00EB1F7A">
          <w:rPr>
            <w:webHidden/>
          </w:rPr>
          <w:fldChar w:fldCharType="begin"/>
        </w:r>
        <w:r w:rsidR="00EB1F7A" w:rsidRPr="00EB1F7A">
          <w:rPr>
            <w:webHidden/>
          </w:rPr>
          <w:instrText xml:space="preserve"> PAGEREF _Toc506285825 \h </w:instrText>
        </w:r>
        <w:r w:rsidR="00EB1F7A" w:rsidRPr="00EB1F7A">
          <w:rPr>
            <w:webHidden/>
          </w:rPr>
        </w:r>
        <w:r w:rsidR="00EB1F7A" w:rsidRPr="00EB1F7A">
          <w:rPr>
            <w:webHidden/>
          </w:rPr>
          <w:fldChar w:fldCharType="separate"/>
        </w:r>
        <w:r w:rsidR="00EB1F7A" w:rsidRPr="00EB1F7A">
          <w:rPr>
            <w:webHidden/>
          </w:rPr>
          <w:t>51</w:t>
        </w:r>
        <w:r w:rsidR="00EB1F7A" w:rsidRPr="00EB1F7A">
          <w:rPr>
            <w:webHidden/>
          </w:rPr>
          <w:fldChar w:fldCharType="end"/>
        </w:r>
      </w:hyperlink>
    </w:p>
    <w:p w14:paraId="2D0663CB" w14:textId="77777777" w:rsidR="00EB1F7A" w:rsidRPr="00EB1F7A" w:rsidRDefault="00AA7CB6">
      <w:pPr>
        <w:pStyle w:val="TOC1"/>
      </w:pPr>
      <w:hyperlink w:anchor="_Toc506285826" w:history="1">
        <w:r w:rsidR="00EB1F7A" w:rsidRPr="00EB1F7A">
          <w:t>Chapter 9 - Consultation and next steps</w:t>
        </w:r>
        <w:r w:rsidR="00EB1F7A" w:rsidRPr="00EB1F7A">
          <w:rPr>
            <w:webHidden/>
          </w:rPr>
          <w:tab/>
        </w:r>
        <w:r w:rsidR="00EB1F7A" w:rsidRPr="00EB1F7A">
          <w:rPr>
            <w:webHidden/>
          </w:rPr>
          <w:fldChar w:fldCharType="begin"/>
        </w:r>
        <w:r w:rsidR="00EB1F7A" w:rsidRPr="00EB1F7A">
          <w:rPr>
            <w:webHidden/>
          </w:rPr>
          <w:instrText xml:space="preserve"> PAGEREF _Toc506285826 \h </w:instrText>
        </w:r>
        <w:r w:rsidR="00EB1F7A" w:rsidRPr="00EB1F7A">
          <w:rPr>
            <w:webHidden/>
          </w:rPr>
        </w:r>
        <w:r w:rsidR="00EB1F7A" w:rsidRPr="00EB1F7A">
          <w:rPr>
            <w:webHidden/>
          </w:rPr>
          <w:fldChar w:fldCharType="separate"/>
        </w:r>
        <w:r w:rsidR="00EB1F7A" w:rsidRPr="00EB1F7A">
          <w:rPr>
            <w:webHidden/>
          </w:rPr>
          <w:t>52</w:t>
        </w:r>
        <w:r w:rsidR="00EB1F7A" w:rsidRPr="00EB1F7A">
          <w:rPr>
            <w:webHidden/>
          </w:rPr>
          <w:fldChar w:fldCharType="end"/>
        </w:r>
      </w:hyperlink>
    </w:p>
    <w:p w14:paraId="692F3863" w14:textId="77777777" w:rsidR="00EB1F7A" w:rsidRPr="00EB1F7A" w:rsidRDefault="00AA7CB6">
      <w:pPr>
        <w:pStyle w:val="TOC2"/>
      </w:pPr>
      <w:hyperlink w:anchor="_Toc506285827" w:history="1">
        <w:r w:rsidR="00EB1F7A" w:rsidRPr="00EB1F7A">
          <w:t>9.1</w:t>
        </w:r>
        <w:r w:rsidR="00EB1F7A" w:rsidRPr="00EB1F7A">
          <w:tab/>
          <w:t>Request for submissions and cost-benefit analysis information</w:t>
        </w:r>
        <w:r w:rsidR="00EB1F7A" w:rsidRPr="00EB1F7A">
          <w:rPr>
            <w:webHidden/>
          </w:rPr>
          <w:tab/>
        </w:r>
        <w:r w:rsidR="00EB1F7A" w:rsidRPr="00EB1F7A">
          <w:rPr>
            <w:webHidden/>
          </w:rPr>
          <w:fldChar w:fldCharType="begin"/>
        </w:r>
        <w:r w:rsidR="00EB1F7A" w:rsidRPr="00EB1F7A">
          <w:rPr>
            <w:webHidden/>
          </w:rPr>
          <w:instrText xml:space="preserve"> PAGEREF _Toc506285827 \h </w:instrText>
        </w:r>
        <w:r w:rsidR="00EB1F7A" w:rsidRPr="00EB1F7A">
          <w:rPr>
            <w:webHidden/>
          </w:rPr>
        </w:r>
        <w:r w:rsidR="00EB1F7A" w:rsidRPr="00EB1F7A">
          <w:rPr>
            <w:webHidden/>
          </w:rPr>
          <w:fldChar w:fldCharType="separate"/>
        </w:r>
        <w:r w:rsidR="00EB1F7A" w:rsidRPr="00EB1F7A">
          <w:rPr>
            <w:webHidden/>
          </w:rPr>
          <w:t>52</w:t>
        </w:r>
        <w:r w:rsidR="00EB1F7A" w:rsidRPr="00EB1F7A">
          <w:rPr>
            <w:webHidden/>
          </w:rPr>
          <w:fldChar w:fldCharType="end"/>
        </w:r>
      </w:hyperlink>
    </w:p>
    <w:p w14:paraId="53931F68" w14:textId="77777777" w:rsidR="00EB1F7A" w:rsidRPr="00EB1F7A" w:rsidRDefault="00AA7CB6">
      <w:pPr>
        <w:pStyle w:val="TOC2"/>
      </w:pPr>
      <w:hyperlink w:anchor="_Toc506285828" w:history="1">
        <w:r w:rsidR="00EB1F7A" w:rsidRPr="00EB1F7A">
          <w:t>9.2</w:t>
        </w:r>
        <w:r w:rsidR="00EB1F7A" w:rsidRPr="00EB1F7A">
          <w:tab/>
          <w:t>Consultation questions</w:t>
        </w:r>
        <w:r w:rsidR="00EB1F7A" w:rsidRPr="00EB1F7A">
          <w:rPr>
            <w:webHidden/>
          </w:rPr>
          <w:tab/>
        </w:r>
        <w:r w:rsidR="00EB1F7A" w:rsidRPr="00EB1F7A">
          <w:rPr>
            <w:webHidden/>
          </w:rPr>
          <w:fldChar w:fldCharType="begin"/>
        </w:r>
        <w:r w:rsidR="00EB1F7A" w:rsidRPr="00EB1F7A">
          <w:rPr>
            <w:webHidden/>
          </w:rPr>
          <w:instrText xml:space="preserve"> PAGEREF _Toc506285828 \h </w:instrText>
        </w:r>
        <w:r w:rsidR="00EB1F7A" w:rsidRPr="00EB1F7A">
          <w:rPr>
            <w:webHidden/>
          </w:rPr>
        </w:r>
        <w:r w:rsidR="00EB1F7A" w:rsidRPr="00EB1F7A">
          <w:rPr>
            <w:webHidden/>
          </w:rPr>
          <w:fldChar w:fldCharType="separate"/>
        </w:r>
        <w:r w:rsidR="00EB1F7A" w:rsidRPr="00EB1F7A">
          <w:rPr>
            <w:webHidden/>
          </w:rPr>
          <w:t>53</w:t>
        </w:r>
        <w:r w:rsidR="00EB1F7A" w:rsidRPr="00EB1F7A">
          <w:rPr>
            <w:webHidden/>
          </w:rPr>
          <w:fldChar w:fldCharType="end"/>
        </w:r>
      </w:hyperlink>
    </w:p>
    <w:p w14:paraId="4E28B2C5" w14:textId="77777777" w:rsidR="00EB1F7A" w:rsidRPr="00EB1F7A" w:rsidRDefault="00AA7CB6">
      <w:pPr>
        <w:pStyle w:val="TOC2"/>
      </w:pPr>
      <w:hyperlink w:anchor="_Toc506285829" w:history="1">
        <w:r w:rsidR="00EB1F7A" w:rsidRPr="00EB1F7A">
          <w:t>9.3</w:t>
        </w:r>
        <w:r w:rsidR="00EB1F7A" w:rsidRPr="00EB1F7A">
          <w:tab/>
          <w:t>Quantitative impact study</w:t>
        </w:r>
        <w:r w:rsidR="00EB1F7A" w:rsidRPr="00EB1F7A">
          <w:rPr>
            <w:webHidden/>
          </w:rPr>
          <w:tab/>
        </w:r>
        <w:r w:rsidR="00EB1F7A" w:rsidRPr="00EB1F7A">
          <w:rPr>
            <w:webHidden/>
          </w:rPr>
          <w:fldChar w:fldCharType="begin"/>
        </w:r>
        <w:r w:rsidR="00EB1F7A" w:rsidRPr="00EB1F7A">
          <w:rPr>
            <w:webHidden/>
          </w:rPr>
          <w:instrText xml:space="preserve"> PAGEREF _Toc506285829 \h </w:instrText>
        </w:r>
        <w:r w:rsidR="00EB1F7A" w:rsidRPr="00EB1F7A">
          <w:rPr>
            <w:webHidden/>
          </w:rPr>
        </w:r>
        <w:r w:rsidR="00EB1F7A" w:rsidRPr="00EB1F7A">
          <w:rPr>
            <w:webHidden/>
          </w:rPr>
          <w:fldChar w:fldCharType="separate"/>
        </w:r>
        <w:r w:rsidR="00EB1F7A" w:rsidRPr="00EB1F7A">
          <w:rPr>
            <w:webHidden/>
          </w:rPr>
          <w:t>54</w:t>
        </w:r>
        <w:r w:rsidR="00EB1F7A" w:rsidRPr="00EB1F7A">
          <w:rPr>
            <w:webHidden/>
          </w:rPr>
          <w:fldChar w:fldCharType="end"/>
        </w:r>
      </w:hyperlink>
    </w:p>
    <w:p w14:paraId="0A5F0F2E" w14:textId="77777777" w:rsidR="00EB1F7A" w:rsidRPr="00EB1F7A" w:rsidRDefault="00AA7CB6">
      <w:pPr>
        <w:pStyle w:val="TOC2"/>
      </w:pPr>
      <w:hyperlink w:anchor="_Toc506285830" w:history="1">
        <w:r w:rsidR="00EB1F7A" w:rsidRPr="00EB1F7A">
          <w:t>9.4</w:t>
        </w:r>
        <w:r w:rsidR="00EB1F7A" w:rsidRPr="00EB1F7A">
          <w:tab/>
          <w:t>Next steps and implementation</w:t>
        </w:r>
        <w:r w:rsidR="00EB1F7A" w:rsidRPr="00EB1F7A">
          <w:rPr>
            <w:webHidden/>
          </w:rPr>
          <w:tab/>
        </w:r>
        <w:r w:rsidR="00EB1F7A" w:rsidRPr="00EB1F7A">
          <w:rPr>
            <w:webHidden/>
          </w:rPr>
          <w:fldChar w:fldCharType="begin"/>
        </w:r>
        <w:r w:rsidR="00EB1F7A" w:rsidRPr="00EB1F7A">
          <w:rPr>
            <w:webHidden/>
          </w:rPr>
          <w:instrText xml:space="preserve"> PAGEREF _Toc506285830 \h </w:instrText>
        </w:r>
        <w:r w:rsidR="00EB1F7A" w:rsidRPr="00EB1F7A">
          <w:rPr>
            <w:webHidden/>
          </w:rPr>
        </w:r>
        <w:r w:rsidR="00EB1F7A" w:rsidRPr="00EB1F7A">
          <w:rPr>
            <w:webHidden/>
          </w:rPr>
          <w:fldChar w:fldCharType="separate"/>
        </w:r>
        <w:r w:rsidR="00EB1F7A" w:rsidRPr="00EB1F7A">
          <w:rPr>
            <w:webHidden/>
          </w:rPr>
          <w:t>54</w:t>
        </w:r>
        <w:r w:rsidR="00EB1F7A" w:rsidRPr="00EB1F7A">
          <w:rPr>
            <w:webHidden/>
          </w:rPr>
          <w:fldChar w:fldCharType="end"/>
        </w:r>
      </w:hyperlink>
    </w:p>
    <w:p w14:paraId="7BD6027E" w14:textId="77777777" w:rsidR="00EB1F7A" w:rsidRPr="00EB1F7A" w:rsidRDefault="00AA7CB6">
      <w:pPr>
        <w:pStyle w:val="TOC1"/>
      </w:pPr>
      <w:hyperlink w:anchor="_Toc506285831" w:history="1">
        <w:r w:rsidR="00EB1F7A" w:rsidRPr="00EB1F7A">
          <w:t>Attachment A - Standardised credit proposals</w:t>
        </w:r>
        <w:r w:rsidR="00EB1F7A" w:rsidRPr="00EB1F7A">
          <w:rPr>
            <w:webHidden/>
          </w:rPr>
          <w:tab/>
        </w:r>
        <w:r w:rsidR="00EB1F7A" w:rsidRPr="00EB1F7A">
          <w:rPr>
            <w:webHidden/>
          </w:rPr>
          <w:fldChar w:fldCharType="begin"/>
        </w:r>
        <w:r w:rsidR="00EB1F7A" w:rsidRPr="00EB1F7A">
          <w:rPr>
            <w:webHidden/>
          </w:rPr>
          <w:instrText xml:space="preserve"> PAGEREF _Toc506285831 \h </w:instrText>
        </w:r>
        <w:r w:rsidR="00EB1F7A" w:rsidRPr="00EB1F7A">
          <w:rPr>
            <w:webHidden/>
          </w:rPr>
        </w:r>
        <w:r w:rsidR="00EB1F7A" w:rsidRPr="00EB1F7A">
          <w:rPr>
            <w:webHidden/>
          </w:rPr>
          <w:fldChar w:fldCharType="separate"/>
        </w:r>
        <w:r w:rsidR="00EB1F7A" w:rsidRPr="00EB1F7A">
          <w:rPr>
            <w:webHidden/>
          </w:rPr>
          <w:t>56</w:t>
        </w:r>
        <w:r w:rsidR="00EB1F7A" w:rsidRPr="00EB1F7A">
          <w:rPr>
            <w:webHidden/>
          </w:rPr>
          <w:fldChar w:fldCharType="end"/>
        </w:r>
      </w:hyperlink>
    </w:p>
    <w:p w14:paraId="5C2A911C" w14:textId="77777777" w:rsidR="00EB1F7A" w:rsidRPr="00EB1F7A" w:rsidRDefault="00AA7CB6">
      <w:pPr>
        <w:pStyle w:val="TOC1"/>
      </w:pPr>
      <w:hyperlink w:anchor="_Toc506285832" w:history="1">
        <w:r w:rsidR="00EB1F7A" w:rsidRPr="00EB1F7A">
          <w:t>Attachment B - IRB credit proposals</w:t>
        </w:r>
        <w:r w:rsidR="00EB1F7A" w:rsidRPr="00EB1F7A">
          <w:rPr>
            <w:webHidden/>
          </w:rPr>
          <w:tab/>
        </w:r>
        <w:r w:rsidR="00EB1F7A" w:rsidRPr="00EB1F7A">
          <w:rPr>
            <w:webHidden/>
          </w:rPr>
          <w:fldChar w:fldCharType="begin"/>
        </w:r>
        <w:r w:rsidR="00EB1F7A" w:rsidRPr="00EB1F7A">
          <w:rPr>
            <w:webHidden/>
          </w:rPr>
          <w:instrText xml:space="preserve"> PAGEREF _Toc506285832 \h </w:instrText>
        </w:r>
        <w:r w:rsidR="00EB1F7A" w:rsidRPr="00EB1F7A">
          <w:rPr>
            <w:webHidden/>
          </w:rPr>
        </w:r>
        <w:r w:rsidR="00EB1F7A" w:rsidRPr="00EB1F7A">
          <w:rPr>
            <w:webHidden/>
          </w:rPr>
          <w:fldChar w:fldCharType="separate"/>
        </w:r>
        <w:r w:rsidR="00EB1F7A" w:rsidRPr="00EB1F7A">
          <w:rPr>
            <w:webHidden/>
          </w:rPr>
          <w:t>65</w:t>
        </w:r>
        <w:r w:rsidR="00EB1F7A" w:rsidRPr="00EB1F7A">
          <w:rPr>
            <w:webHidden/>
          </w:rPr>
          <w:fldChar w:fldCharType="end"/>
        </w:r>
      </w:hyperlink>
    </w:p>
    <w:p w14:paraId="680DCA64" w14:textId="77777777" w:rsidR="00EB1F7A" w:rsidRDefault="00AA7CB6">
      <w:pPr>
        <w:pStyle w:val="TOC1"/>
        <w:rPr>
          <w:rFonts w:asciiTheme="minorHAnsi" w:eastAsiaTheme="minorEastAsia" w:hAnsiTheme="minorHAnsi" w:cstheme="minorBidi"/>
          <w:lang w:val="en-AU" w:eastAsia="en-AU"/>
        </w:rPr>
      </w:pPr>
      <w:hyperlink w:anchor="_Toc506285833" w:history="1">
        <w:r w:rsidR="00EB1F7A" w:rsidRPr="00EB1F7A">
          <w:t>Attachment C - Policy options and estimated comparative net benefits</w:t>
        </w:r>
        <w:r w:rsidR="00EB1F7A" w:rsidRPr="00EB1F7A">
          <w:rPr>
            <w:webHidden/>
          </w:rPr>
          <w:tab/>
        </w:r>
        <w:r w:rsidR="00EB1F7A" w:rsidRPr="00EB1F7A">
          <w:rPr>
            <w:webHidden/>
          </w:rPr>
          <w:fldChar w:fldCharType="begin"/>
        </w:r>
        <w:r w:rsidR="00EB1F7A" w:rsidRPr="00EB1F7A">
          <w:rPr>
            <w:webHidden/>
          </w:rPr>
          <w:instrText xml:space="preserve"> PAGEREF _Toc506285833 \h </w:instrText>
        </w:r>
        <w:r w:rsidR="00EB1F7A" w:rsidRPr="00EB1F7A">
          <w:rPr>
            <w:webHidden/>
          </w:rPr>
        </w:r>
        <w:r w:rsidR="00EB1F7A" w:rsidRPr="00EB1F7A">
          <w:rPr>
            <w:webHidden/>
          </w:rPr>
          <w:fldChar w:fldCharType="separate"/>
        </w:r>
        <w:r w:rsidR="00EB1F7A" w:rsidRPr="00EB1F7A">
          <w:rPr>
            <w:webHidden/>
          </w:rPr>
          <w:t>67</w:t>
        </w:r>
        <w:r w:rsidR="00EB1F7A" w:rsidRPr="00EB1F7A">
          <w:rPr>
            <w:webHidden/>
          </w:rPr>
          <w:fldChar w:fldCharType="end"/>
        </w:r>
      </w:hyperlink>
    </w:p>
    <w:p w14:paraId="470C91F6" w14:textId="668DC0A8" w:rsidR="004678F4" w:rsidRPr="000C34C0" w:rsidRDefault="003D5631" w:rsidP="00DF7085">
      <w:pPr>
        <w:pStyle w:val="TOC1"/>
      </w:pPr>
      <w:r w:rsidRPr="00202071">
        <w:fldChar w:fldCharType="end"/>
      </w:r>
      <w:r w:rsidR="004678F4" w:rsidRPr="000C34C0">
        <w:br w:type="page"/>
      </w:r>
    </w:p>
    <w:p w14:paraId="48486E9F" w14:textId="7F5EA8F7" w:rsidR="00E70FE2" w:rsidRPr="00EF1054" w:rsidRDefault="00B225F4" w:rsidP="003D5631">
      <w:pPr>
        <w:pStyle w:val="APRAHEAD-NONUMBER"/>
      </w:pPr>
      <w:bookmarkStart w:id="6" w:name="_Toc460507403"/>
      <w:bookmarkStart w:id="7" w:name="_Toc460507522"/>
      <w:bookmarkStart w:id="8" w:name="_Toc492996512"/>
      <w:bookmarkStart w:id="9" w:name="_Toc493154144"/>
      <w:bookmarkStart w:id="10" w:name="_Toc493154590"/>
      <w:bookmarkStart w:id="11" w:name="_Toc493240094"/>
      <w:bookmarkStart w:id="12" w:name="_Toc493240600"/>
      <w:bookmarkStart w:id="13" w:name="_Toc494189563"/>
      <w:bookmarkStart w:id="14" w:name="_Toc496184491"/>
      <w:bookmarkStart w:id="15" w:name="_Toc497209089"/>
      <w:bookmarkStart w:id="16" w:name="_Toc500151915"/>
      <w:bookmarkStart w:id="17" w:name="_Toc505676404"/>
      <w:bookmarkStart w:id="18" w:name="_Toc505676496"/>
      <w:bookmarkStart w:id="19" w:name="_Toc505681568"/>
      <w:bookmarkStart w:id="20" w:name="_Toc505681750"/>
      <w:bookmarkStart w:id="21" w:name="_Toc505854694"/>
      <w:bookmarkStart w:id="22" w:name="_Toc506285794"/>
      <w:r w:rsidRPr="00C0092A">
        <w:lastRenderedPageBreak/>
        <w:t>Executive</w:t>
      </w:r>
      <w:r>
        <w:t xml:space="preserve"> summary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30B345C" w14:textId="67AA7A29" w:rsidR="004A5F96" w:rsidRDefault="007A6D3B" w:rsidP="007E5E6E">
      <w:pPr>
        <w:pStyle w:val="APRANORMAL"/>
      </w:pPr>
      <w:r>
        <w:t xml:space="preserve">Regulatory capital requirements are designed to </w:t>
      </w:r>
      <w:r w:rsidR="00044253">
        <w:t xml:space="preserve">broadly </w:t>
      </w:r>
      <w:r>
        <w:t>reflect risk</w:t>
      </w:r>
      <w:r w:rsidR="00044253">
        <w:t xml:space="preserve">s in </w:t>
      </w:r>
      <w:r w:rsidR="004A5F96">
        <w:t>a financial institution’s</w:t>
      </w:r>
      <w:r w:rsidR="00044253">
        <w:t xml:space="preserve"> business and </w:t>
      </w:r>
      <w:r>
        <w:t xml:space="preserve">ensure </w:t>
      </w:r>
      <w:r w:rsidR="00C6038E">
        <w:t xml:space="preserve">they hold </w:t>
      </w:r>
      <w:r>
        <w:t xml:space="preserve">a minimum amount of capital to absorb potential losses. </w:t>
      </w:r>
      <w:r w:rsidR="004A5F96">
        <w:t xml:space="preserve">Australian banks and other authorised deposit-taking institutions (ADIs) have traditionally been well capitalised to withstand risks they have faced. Nonetheless, the 2014 Financial System Inquiry recommended that capital requirements for ADIs should be </w:t>
      </w:r>
      <w:r w:rsidR="00D75802">
        <w:t xml:space="preserve">set such that they </w:t>
      </w:r>
      <w:r w:rsidR="004A5F96">
        <w:t>are ‘unquestionably strong’.</w:t>
      </w:r>
      <w:r w:rsidR="00F332F0">
        <w:rPr>
          <w:rStyle w:val="FootnoteReference"/>
        </w:rPr>
        <w:footnoteReference w:id="2"/>
      </w:r>
      <w:r w:rsidR="004A5F96">
        <w:t xml:space="preserve"> </w:t>
      </w:r>
      <w:r w:rsidR="00F72C92">
        <w:t>The Australian Government subsequently endorsed that recommendation.</w:t>
      </w:r>
    </w:p>
    <w:p w14:paraId="35007009" w14:textId="36B8AF54" w:rsidR="00426ED2" w:rsidRPr="00B24767" w:rsidRDefault="002861AE" w:rsidP="007E5E6E">
      <w:pPr>
        <w:pStyle w:val="APRANORMAL"/>
        <w:rPr>
          <w:rFonts w:cs="Segoe UI"/>
          <w:lang w:val="en"/>
        </w:rPr>
      </w:pPr>
      <w:r>
        <w:t>T</w:t>
      </w:r>
      <w:r w:rsidR="00426ED2" w:rsidRPr="00003FE6">
        <w:t xml:space="preserve">he capital framework </w:t>
      </w:r>
      <w:r>
        <w:t>that the Australian Prudential Regulation Authority (APRA</w:t>
      </w:r>
      <w:r w:rsidR="00AB1218">
        <w:t>)</w:t>
      </w:r>
      <w:r>
        <w:t xml:space="preserve"> applies to </w:t>
      </w:r>
      <w:r w:rsidR="00426ED2" w:rsidRPr="00003FE6">
        <w:t xml:space="preserve">ADIs </w:t>
      </w:r>
      <w:r>
        <w:t xml:space="preserve">in Australia </w:t>
      </w:r>
      <w:r w:rsidR="00426ED2" w:rsidRPr="00003FE6">
        <w:t>is</w:t>
      </w:r>
      <w:r w:rsidR="00426ED2" w:rsidRPr="009F2F37">
        <w:t xml:space="preserve"> </w:t>
      </w:r>
      <w:r w:rsidR="00426ED2" w:rsidRPr="007A0CDB">
        <w:t xml:space="preserve">largely based on the international framework </w:t>
      </w:r>
      <w:r w:rsidR="006B6F43">
        <w:t xml:space="preserve">for banks </w:t>
      </w:r>
      <w:r w:rsidR="00426ED2" w:rsidRPr="007A0CDB">
        <w:t xml:space="preserve">developed by the Basel Committee on Banking Supervision (Basel Committee). </w:t>
      </w:r>
      <w:r w:rsidR="00EB107A">
        <w:t xml:space="preserve">In addition to its </w:t>
      </w:r>
      <w:r w:rsidR="00F332F0">
        <w:t xml:space="preserve">work </w:t>
      </w:r>
      <w:r w:rsidR="00EB107A">
        <w:t>on</w:t>
      </w:r>
      <w:r w:rsidR="00876B47">
        <w:t xml:space="preserve"> </w:t>
      </w:r>
      <w:r w:rsidR="00AA3E81" w:rsidRPr="00853319">
        <w:t xml:space="preserve">strengthening the quality and quantity of </w:t>
      </w:r>
      <w:r w:rsidR="006B6F43">
        <w:t>bank</w:t>
      </w:r>
      <w:r w:rsidR="00AA3E81" w:rsidRPr="00853319">
        <w:t xml:space="preserve"> capital</w:t>
      </w:r>
      <w:r w:rsidR="00EB107A">
        <w:t xml:space="preserve"> since the </w:t>
      </w:r>
      <w:r w:rsidR="00876B47">
        <w:t>g</w:t>
      </w:r>
      <w:r w:rsidR="00EB107A">
        <w:t xml:space="preserve">lobal </w:t>
      </w:r>
      <w:r w:rsidR="00876B47">
        <w:t>f</w:t>
      </w:r>
      <w:r w:rsidR="00EB107A">
        <w:t xml:space="preserve">inancial </w:t>
      </w:r>
      <w:r w:rsidR="00876B47">
        <w:t>c</w:t>
      </w:r>
      <w:r w:rsidR="00EB107A">
        <w:t>risis</w:t>
      </w:r>
      <w:r w:rsidR="00F72C92">
        <w:t xml:space="preserve">, </w:t>
      </w:r>
      <w:r w:rsidR="00AA3E81" w:rsidRPr="00B24767">
        <w:t>the Basel Committee undert</w:t>
      </w:r>
      <w:r w:rsidR="00972154">
        <w:t>ook</w:t>
      </w:r>
      <w:r w:rsidR="00AA3E81" w:rsidRPr="00B24767">
        <w:t xml:space="preserve"> a</w:t>
      </w:r>
      <w:r w:rsidR="00AA3E81" w:rsidRPr="00B24767">
        <w:rPr>
          <w:rFonts w:cs="Segoe UI"/>
          <w:lang w:val="en"/>
        </w:rPr>
        <w:t xml:space="preserve"> broader review of the capital framework</w:t>
      </w:r>
      <w:r w:rsidR="00EB107A">
        <w:rPr>
          <w:rFonts w:cs="Segoe UI"/>
          <w:lang w:val="en"/>
        </w:rPr>
        <w:t>. This review was designed</w:t>
      </w:r>
      <w:r w:rsidR="00AA3E81" w:rsidRPr="00B24767">
        <w:rPr>
          <w:rFonts w:cs="Segoe UI"/>
          <w:lang w:val="en"/>
        </w:rPr>
        <w:t xml:space="preserve"> to </w:t>
      </w:r>
      <w:r w:rsidR="00F72C92">
        <w:rPr>
          <w:rFonts w:cs="Segoe UI"/>
          <w:lang w:val="en"/>
        </w:rPr>
        <w:t xml:space="preserve">achieve a better </w:t>
      </w:r>
      <w:r w:rsidR="00AA3E81" w:rsidRPr="00B24767">
        <w:rPr>
          <w:rFonts w:cs="Segoe UI"/>
          <w:lang w:val="en"/>
        </w:rPr>
        <w:t xml:space="preserve">balance </w:t>
      </w:r>
      <w:r w:rsidR="00F72C92">
        <w:rPr>
          <w:rFonts w:cs="Segoe UI"/>
          <w:lang w:val="en"/>
        </w:rPr>
        <w:t xml:space="preserve">between </w:t>
      </w:r>
      <w:r w:rsidR="00AA3E81" w:rsidRPr="00B24767">
        <w:rPr>
          <w:rFonts w:cs="Segoe UI"/>
          <w:lang w:val="en"/>
        </w:rPr>
        <w:t xml:space="preserve">simplicity and risk sensitivity, and to promote </w:t>
      </w:r>
      <w:r w:rsidR="00F72C92">
        <w:rPr>
          <w:rFonts w:cs="Segoe UI"/>
          <w:lang w:val="en"/>
        </w:rPr>
        <w:t xml:space="preserve">greater </w:t>
      </w:r>
      <w:r w:rsidR="00AA3E81" w:rsidRPr="00B24767">
        <w:rPr>
          <w:rFonts w:cs="Segoe UI"/>
          <w:lang w:val="en"/>
        </w:rPr>
        <w:t xml:space="preserve">comparability </w:t>
      </w:r>
      <w:r w:rsidR="007A6D3B">
        <w:rPr>
          <w:rFonts w:cs="Segoe UI"/>
          <w:lang w:val="en"/>
        </w:rPr>
        <w:t xml:space="preserve">in the risk-based capital approaches </w:t>
      </w:r>
      <w:r w:rsidR="00AA3E81" w:rsidRPr="00B24767">
        <w:rPr>
          <w:rFonts w:cs="Segoe UI"/>
          <w:lang w:val="en"/>
        </w:rPr>
        <w:t xml:space="preserve">by reducing variability in risk-weighted assets </w:t>
      </w:r>
      <w:r w:rsidR="00A14604" w:rsidRPr="00B24767">
        <w:rPr>
          <w:rFonts w:cs="Segoe UI"/>
          <w:lang w:val="en"/>
        </w:rPr>
        <w:t>(RWA</w:t>
      </w:r>
      <w:r w:rsidR="009803D4">
        <w:rPr>
          <w:rFonts w:cs="Segoe UI"/>
          <w:lang w:val="en"/>
        </w:rPr>
        <w:t>s</w:t>
      </w:r>
      <w:r w:rsidR="00A14604" w:rsidRPr="00B24767">
        <w:rPr>
          <w:rFonts w:cs="Segoe UI"/>
          <w:lang w:val="en"/>
        </w:rPr>
        <w:t xml:space="preserve">) </w:t>
      </w:r>
      <w:r w:rsidR="00AA3E81" w:rsidRPr="00B24767">
        <w:rPr>
          <w:rFonts w:cs="Segoe UI"/>
          <w:lang w:val="en"/>
        </w:rPr>
        <w:t>across banks and jurisdictions</w:t>
      </w:r>
      <w:r w:rsidR="00C56F36">
        <w:rPr>
          <w:rFonts w:cs="Segoe UI"/>
          <w:lang w:val="en"/>
        </w:rPr>
        <w:t>, particularly within the advanced modelling approaches used by more sophisticated banks</w:t>
      </w:r>
      <w:r w:rsidR="00AA3E81" w:rsidRPr="00B24767">
        <w:rPr>
          <w:rFonts w:cs="Segoe UI"/>
          <w:lang w:val="en"/>
        </w:rPr>
        <w:t xml:space="preserve">. </w:t>
      </w:r>
      <w:r w:rsidR="00CF46F2">
        <w:rPr>
          <w:rFonts w:cs="Segoe UI"/>
          <w:lang w:val="en"/>
        </w:rPr>
        <w:t>Th</w:t>
      </w:r>
      <w:r w:rsidR="004D1330">
        <w:rPr>
          <w:rFonts w:cs="Segoe UI"/>
          <w:lang w:val="en"/>
        </w:rPr>
        <w:t>e</w:t>
      </w:r>
      <w:r w:rsidR="00CF46F2">
        <w:rPr>
          <w:rFonts w:cs="Segoe UI"/>
          <w:lang w:val="en"/>
        </w:rPr>
        <w:t xml:space="preserve"> review was </w:t>
      </w:r>
      <w:r>
        <w:rPr>
          <w:rFonts w:cs="Segoe UI"/>
          <w:lang w:val="en"/>
        </w:rPr>
        <w:t xml:space="preserve">largely </w:t>
      </w:r>
      <w:r w:rsidR="00CF46F2">
        <w:rPr>
          <w:rFonts w:cs="Segoe UI"/>
          <w:lang w:val="en"/>
        </w:rPr>
        <w:t>completed in December 2017</w:t>
      </w:r>
      <w:r w:rsidR="00F72C92">
        <w:rPr>
          <w:rFonts w:cs="Segoe UI"/>
          <w:lang w:val="en"/>
        </w:rPr>
        <w:t>,</w:t>
      </w:r>
      <w:r w:rsidR="00CF46F2">
        <w:rPr>
          <w:rFonts w:cs="Segoe UI"/>
          <w:lang w:val="en"/>
        </w:rPr>
        <w:t xml:space="preserve"> with the </w:t>
      </w:r>
      <w:r w:rsidR="00FD0AB7">
        <w:rPr>
          <w:rFonts w:cs="Segoe UI"/>
          <w:lang w:val="en"/>
        </w:rPr>
        <w:t xml:space="preserve">Basel Committee’s </w:t>
      </w:r>
      <w:r w:rsidR="00972154">
        <w:rPr>
          <w:rFonts w:cs="Segoe UI"/>
          <w:lang w:val="en"/>
        </w:rPr>
        <w:t>release of</w:t>
      </w:r>
      <w:r w:rsidR="00CF46F2">
        <w:rPr>
          <w:rFonts w:cs="Segoe UI"/>
          <w:lang w:val="en"/>
        </w:rPr>
        <w:t xml:space="preserve"> </w:t>
      </w:r>
      <w:r w:rsidR="00CF46F2">
        <w:t xml:space="preserve">revisions to the </w:t>
      </w:r>
      <w:r w:rsidR="007A6D3B">
        <w:t>RWA calculations</w:t>
      </w:r>
      <w:r w:rsidR="00F72C92">
        <w:t>, the</w:t>
      </w:r>
      <w:r w:rsidR="008F38DF">
        <w:t xml:space="preserve"> introduction of a floor to minimum RWA for banks</w:t>
      </w:r>
      <w:r w:rsidR="007A6D3B">
        <w:t xml:space="preserve"> </w:t>
      </w:r>
      <w:r w:rsidR="008F38DF">
        <w:t>using the advanced approaches</w:t>
      </w:r>
      <w:r w:rsidR="00F72C92">
        <w:t>,</w:t>
      </w:r>
      <w:r w:rsidR="008F38DF">
        <w:t xml:space="preserve"> </w:t>
      </w:r>
      <w:r w:rsidR="0046203D">
        <w:t>and a non-risk-</w:t>
      </w:r>
      <w:r w:rsidR="00804026">
        <w:t xml:space="preserve">based minimum leverage </w:t>
      </w:r>
      <w:r w:rsidR="00736CBC">
        <w:t xml:space="preserve">ratio </w:t>
      </w:r>
      <w:r w:rsidR="00804026">
        <w:t>requirement</w:t>
      </w:r>
      <w:r w:rsidR="00F87412">
        <w:t xml:space="preserve"> </w:t>
      </w:r>
      <w:r w:rsidR="00F72C92">
        <w:t xml:space="preserve">as a backstop </w:t>
      </w:r>
      <w:r w:rsidR="00F87412">
        <w:t>(</w:t>
      </w:r>
      <w:r w:rsidR="00F72C92">
        <w:t xml:space="preserve">collectively, </w:t>
      </w:r>
      <w:r w:rsidR="00F87412">
        <w:t>the Basel III reforms)</w:t>
      </w:r>
      <w:r w:rsidR="00CF46F2">
        <w:t>.</w:t>
      </w:r>
      <w:r w:rsidR="006C7B5C">
        <w:rPr>
          <w:rStyle w:val="FootnoteReference"/>
        </w:rPr>
        <w:footnoteReference w:id="3"/>
      </w:r>
    </w:p>
    <w:p w14:paraId="100CBEF4" w14:textId="11D90B5E" w:rsidR="00D15618" w:rsidRPr="00B24767" w:rsidRDefault="001908FF" w:rsidP="007E5E6E">
      <w:pPr>
        <w:pStyle w:val="APRANORMAL"/>
      </w:pPr>
      <w:r>
        <w:t>To address the FSI recommendation, i</w:t>
      </w:r>
      <w:r w:rsidR="00AA3E81" w:rsidRPr="00B24767">
        <w:t xml:space="preserve">n July 2017, APRA </w:t>
      </w:r>
      <w:r w:rsidR="00003FE6" w:rsidRPr="00B24767">
        <w:t>released the information paper</w:t>
      </w:r>
      <w:r w:rsidR="002444D1">
        <w:t>,</w:t>
      </w:r>
      <w:r w:rsidR="00003FE6" w:rsidRPr="00B24767">
        <w:t xml:space="preserve"> </w:t>
      </w:r>
      <w:r w:rsidR="00003FE6" w:rsidRPr="00B24767">
        <w:rPr>
          <w:i/>
        </w:rPr>
        <w:t>Strengthen</w:t>
      </w:r>
      <w:r w:rsidR="007F20AD" w:rsidRPr="00B24767">
        <w:rPr>
          <w:i/>
        </w:rPr>
        <w:t>ing banking system resilience—</w:t>
      </w:r>
      <w:r w:rsidR="00003FE6" w:rsidRPr="00B24767">
        <w:rPr>
          <w:i/>
        </w:rPr>
        <w:t>establishing unquestionably strong capital ratios</w:t>
      </w:r>
      <w:r w:rsidR="009B440D">
        <w:t xml:space="preserve"> (July 2017 information paper)</w:t>
      </w:r>
      <w:r w:rsidR="00003FE6" w:rsidRPr="00B24767">
        <w:rPr>
          <w:i/>
        </w:rPr>
        <w:t>.</w:t>
      </w:r>
      <w:r w:rsidR="006C7B5C" w:rsidRPr="00EA3B03">
        <w:rPr>
          <w:rStyle w:val="FootnoteReference"/>
        </w:rPr>
        <w:footnoteReference w:id="4"/>
      </w:r>
      <w:r w:rsidR="00003FE6" w:rsidRPr="00B24767">
        <w:rPr>
          <w:i/>
        </w:rPr>
        <w:t xml:space="preserve"> </w:t>
      </w:r>
      <w:r w:rsidR="004D1330" w:rsidRPr="00B24767">
        <w:t>Th</w:t>
      </w:r>
      <w:r w:rsidR="004D1330">
        <w:t>e</w:t>
      </w:r>
      <w:r w:rsidR="004D1330" w:rsidRPr="00B24767">
        <w:t xml:space="preserve"> </w:t>
      </w:r>
      <w:r w:rsidR="00003FE6" w:rsidRPr="00B24767">
        <w:t xml:space="preserve">paper </w:t>
      </w:r>
      <w:r w:rsidR="006B6F43">
        <w:t>set out</w:t>
      </w:r>
      <w:r w:rsidR="00003FE6" w:rsidRPr="00B24767">
        <w:t xml:space="preserve"> </w:t>
      </w:r>
      <w:r w:rsidR="007F20AD" w:rsidRPr="00B24767">
        <w:t xml:space="preserve">APRA’s estimate of </w:t>
      </w:r>
      <w:r w:rsidR="00003FE6" w:rsidRPr="00B24767">
        <w:t xml:space="preserve">the amount by which minimum capital requirements would need to be raised </w:t>
      </w:r>
      <w:r w:rsidR="00AB1218">
        <w:t xml:space="preserve">for ADIs </w:t>
      </w:r>
      <w:r w:rsidR="00003FE6" w:rsidRPr="00B24767">
        <w:t xml:space="preserve">to achieve </w:t>
      </w:r>
      <w:r w:rsidR="00980D1C" w:rsidRPr="00B24767">
        <w:t xml:space="preserve">unquestionably strong </w:t>
      </w:r>
      <w:r w:rsidR="00003FE6" w:rsidRPr="00B24767">
        <w:t>capital ratios</w:t>
      </w:r>
      <w:r w:rsidR="00980D1C" w:rsidRPr="00B24767">
        <w:t>.</w:t>
      </w:r>
      <w:r w:rsidR="006C7685" w:rsidRPr="00B24767">
        <w:t xml:space="preserve"> </w:t>
      </w:r>
      <w:r w:rsidR="00022AA3" w:rsidRPr="00B24767">
        <w:t xml:space="preserve">As detailed in </w:t>
      </w:r>
      <w:r w:rsidR="008F054D">
        <w:t>that</w:t>
      </w:r>
      <w:r w:rsidR="008F054D" w:rsidRPr="00B24767">
        <w:t xml:space="preserve"> </w:t>
      </w:r>
      <w:r w:rsidR="00022AA3" w:rsidRPr="00B24767">
        <w:t xml:space="preserve">paper, </w:t>
      </w:r>
      <w:r w:rsidR="00022AA3" w:rsidRPr="00B24767">
        <w:lastRenderedPageBreak/>
        <w:t>APRA’s implementation of capital standards</w:t>
      </w:r>
      <w:r>
        <w:t xml:space="preserve"> </w:t>
      </w:r>
      <w:r w:rsidR="00532166">
        <w:t>would</w:t>
      </w:r>
      <w:r w:rsidR="00532166" w:rsidRPr="00B24767">
        <w:t xml:space="preserve"> </w:t>
      </w:r>
      <w:r w:rsidR="00022AA3" w:rsidRPr="00B24767">
        <w:t xml:space="preserve">incorporate changes resulting from the Basel </w:t>
      </w:r>
      <w:r w:rsidR="000A3F88">
        <w:t xml:space="preserve">III </w:t>
      </w:r>
      <w:r w:rsidR="00022AA3" w:rsidRPr="00B24767">
        <w:t>reforms</w:t>
      </w:r>
      <w:r w:rsidR="008123F3">
        <w:t xml:space="preserve"> as well as measures to address Australian ADIs’ structural concentration of exposures to residential mortgages</w:t>
      </w:r>
      <w:r w:rsidR="00022AA3" w:rsidRPr="00B24767">
        <w:t xml:space="preserve">. </w:t>
      </w:r>
    </w:p>
    <w:p w14:paraId="393DE03A" w14:textId="1D6BFBD6" w:rsidR="006C7B5C" w:rsidRPr="00DE6AA9" w:rsidRDefault="00D15618" w:rsidP="00483A6F">
      <w:pPr>
        <w:pStyle w:val="APRANORMAL"/>
      </w:pPr>
      <w:r w:rsidRPr="00441787">
        <w:t xml:space="preserve">This discussion paper </w:t>
      </w:r>
      <w:r w:rsidR="00FB5C06" w:rsidRPr="00441787">
        <w:t>commences</w:t>
      </w:r>
      <w:r w:rsidRPr="00441787">
        <w:t xml:space="preserve"> APRA</w:t>
      </w:r>
      <w:r w:rsidR="005D775E" w:rsidRPr="00441787">
        <w:t>’s</w:t>
      </w:r>
      <w:r w:rsidRPr="00441787">
        <w:t xml:space="preserve"> consultation on </w:t>
      </w:r>
      <w:r w:rsidR="00044253">
        <w:t>revisions to the</w:t>
      </w:r>
      <w:r w:rsidRPr="00441787">
        <w:t xml:space="preserve"> capital framework for ADIs</w:t>
      </w:r>
      <w:r w:rsidR="00044253">
        <w:t xml:space="preserve"> to reflect these developments</w:t>
      </w:r>
      <w:r w:rsidRPr="00441787">
        <w:t>.</w:t>
      </w:r>
      <w:r w:rsidR="00044253">
        <w:t xml:space="preserve"> It is part of a set of three </w:t>
      </w:r>
      <w:r w:rsidR="00667AE3">
        <w:t xml:space="preserve">complementary </w:t>
      </w:r>
      <w:r w:rsidR="00044253">
        <w:t xml:space="preserve">papers that APRA is </w:t>
      </w:r>
      <w:r w:rsidR="00044253" w:rsidRPr="00DE6AA9">
        <w:t>releasing</w:t>
      </w:r>
      <w:r w:rsidR="00386E8B" w:rsidRPr="00DE6AA9">
        <w:t xml:space="preserve"> in the first half of 2018</w:t>
      </w:r>
      <w:r w:rsidR="006C7B5C" w:rsidRPr="00DE6AA9">
        <w:t>, comprising:</w:t>
      </w:r>
    </w:p>
    <w:p w14:paraId="51E77928" w14:textId="25C098E1" w:rsidR="006C7B5C" w:rsidRPr="00DE6AA9" w:rsidRDefault="00876B47" w:rsidP="00876B47">
      <w:pPr>
        <w:pStyle w:val="APRABULLET"/>
      </w:pPr>
      <w:r w:rsidRPr="00DE6AA9">
        <w:t>a</w:t>
      </w:r>
      <w:r w:rsidR="006C7B5C" w:rsidRPr="00DE6AA9">
        <w:t xml:space="preserve"> summary of </w:t>
      </w:r>
      <w:r w:rsidR="00C56F36" w:rsidRPr="00DE6AA9">
        <w:t xml:space="preserve">APRA’s </w:t>
      </w:r>
      <w:r w:rsidR="006C7B5C" w:rsidRPr="00DE6AA9">
        <w:t>propos</w:t>
      </w:r>
      <w:r w:rsidR="00F87412" w:rsidRPr="00DE6AA9">
        <w:t>als regarding the</w:t>
      </w:r>
      <w:r w:rsidR="006C7B5C" w:rsidRPr="00DE6AA9">
        <w:t xml:space="preserve"> risk-based capital approaches</w:t>
      </w:r>
      <w:r w:rsidR="00667AE3" w:rsidRPr="00DE6AA9">
        <w:t>, including credit, market and operational risk</w:t>
      </w:r>
      <w:r w:rsidR="004451FD" w:rsidRPr="00DE6AA9">
        <w:t>—</w:t>
      </w:r>
      <w:r w:rsidR="00386E8B" w:rsidRPr="00DE6AA9">
        <w:t>this paper</w:t>
      </w:r>
      <w:r w:rsidR="006C7B5C" w:rsidRPr="00DE6AA9">
        <w:t>;</w:t>
      </w:r>
    </w:p>
    <w:p w14:paraId="52A8F45E" w14:textId="7877C0F5" w:rsidR="00386E8B" w:rsidRPr="00DE6AA9" w:rsidRDefault="00386E8B" w:rsidP="00876B47">
      <w:pPr>
        <w:pStyle w:val="APRABULLET"/>
      </w:pPr>
      <w:r w:rsidRPr="007E5E6E">
        <w:t>the design and application of a</w:t>
      </w:r>
      <w:r>
        <w:t xml:space="preserve"> minimum</w:t>
      </w:r>
      <w:r w:rsidRPr="007E5E6E">
        <w:t xml:space="preserve"> leverage ratio</w:t>
      </w:r>
      <w:r>
        <w:t xml:space="preserve"> requirement</w:t>
      </w:r>
      <w:r w:rsidRPr="007E5E6E">
        <w:t xml:space="preserve"> as a complement to the risk-based capital framework</w:t>
      </w:r>
      <w:r w:rsidR="004451FD" w:rsidRPr="00DE6AA9">
        <w:t>—</w:t>
      </w:r>
      <w:r w:rsidRPr="00DE6AA9">
        <w:t>released concurrently with this paper</w:t>
      </w:r>
      <w:r w:rsidRPr="00DE6AA9">
        <w:rPr>
          <w:rStyle w:val="FootnoteReference"/>
        </w:rPr>
        <w:t xml:space="preserve"> </w:t>
      </w:r>
      <w:r w:rsidRPr="00DE6AA9">
        <w:rPr>
          <w:rStyle w:val="FootnoteReference"/>
        </w:rPr>
        <w:footnoteReference w:id="5"/>
      </w:r>
      <w:r w:rsidRPr="00DE6AA9">
        <w:t>; and</w:t>
      </w:r>
    </w:p>
    <w:p w14:paraId="3AB0B982" w14:textId="1F5684E0" w:rsidR="00044253" w:rsidRPr="00DE6AA9" w:rsidRDefault="00044253" w:rsidP="00E266DD">
      <w:pPr>
        <w:pStyle w:val="APRABULLET"/>
      </w:pPr>
      <w:r w:rsidRPr="00DE6AA9">
        <w:t>potential adjustments to the overall design of the capital framework to improve transparency, international comparability and flexibility</w:t>
      </w:r>
      <w:r w:rsidR="004451FD" w:rsidRPr="00DE6AA9">
        <w:t>—</w:t>
      </w:r>
      <w:r w:rsidR="00386E8B" w:rsidRPr="00DE6AA9">
        <w:t xml:space="preserve">to be released </w:t>
      </w:r>
      <w:r w:rsidR="00C023C5" w:rsidRPr="00DE6AA9">
        <w:t xml:space="preserve">in the second </w:t>
      </w:r>
      <w:r w:rsidR="00D52E9E" w:rsidRPr="00DE6AA9">
        <w:t>quarter</w:t>
      </w:r>
      <w:r w:rsidR="00C023C5" w:rsidRPr="00DE6AA9">
        <w:t xml:space="preserve"> of</w:t>
      </w:r>
      <w:r w:rsidR="00386E8B" w:rsidRPr="00DE6AA9">
        <w:t xml:space="preserve"> 2018.</w:t>
      </w:r>
    </w:p>
    <w:p w14:paraId="69348D28" w14:textId="644E196B" w:rsidR="00C81E15" w:rsidRDefault="00044253" w:rsidP="00DE6AA9">
      <w:pPr>
        <w:pStyle w:val="APRANORMAL"/>
      </w:pPr>
      <w:r w:rsidRPr="00DE6AA9">
        <w:t>This paper</w:t>
      </w:r>
      <w:r w:rsidR="00D15618" w:rsidRPr="00DE6AA9">
        <w:t xml:space="preserve"> </w:t>
      </w:r>
      <w:r w:rsidR="00F9270C" w:rsidRPr="00DE6AA9">
        <w:t>outlines</w:t>
      </w:r>
      <w:r w:rsidR="00D15618" w:rsidRPr="00DE6AA9">
        <w:t xml:space="preserve"> the main components of the revision</w:t>
      </w:r>
      <w:r w:rsidR="00F10545" w:rsidRPr="00DE6AA9">
        <w:t>s</w:t>
      </w:r>
      <w:r w:rsidR="00D15618" w:rsidRPr="00DE6AA9">
        <w:t xml:space="preserve"> APRA expects to make to the risk-based capital </w:t>
      </w:r>
      <w:r w:rsidR="006214D1" w:rsidRPr="00DE6AA9">
        <w:t>requirements</w:t>
      </w:r>
      <w:r w:rsidR="00667AE3" w:rsidRPr="00DE6AA9">
        <w:t xml:space="preserve"> for ADIs</w:t>
      </w:r>
      <w:r w:rsidR="00667AE3">
        <w:t xml:space="preserve"> us</w:t>
      </w:r>
      <w:r w:rsidR="00E127AB">
        <w:t>ing</w:t>
      </w:r>
      <w:r w:rsidR="00667AE3">
        <w:t xml:space="preserve"> advanced and standardised approaches to credit, market and operational risk. </w:t>
      </w:r>
      <w:r w:rsidR="00C81E15">
        <w:t>Importantly, t</w:t>
      </w:r>
      <w:r w:rsidR="00667AE3">
        <w:t xml:space="preserve">his paper </w:t>
      </w:r>
      <w:r>
        <w:t>does not provide definitive quantitative proposals</w:t>
      </w:r>
      <w:r w:rsidR="00DE6AA9">
        <w:t xml:space="preserve">. Further quantitative analysis needs to be undertaken by APRA to inform </w:t>
      </w:r>
      <w:r w:rsidR="00461038">
        <w:t xml:space="preserve">the final </w:t>
      </w:r>
      <w:r w:rsidR="00DE6AA9">
        <w:t>calibration of the revised framework</w:t>
      </w:r>
      <w:r w:rsidR="00DE6AA9">
        <w:rPr>
          <w:lang w:val="en-AU"/>
        </w:rPr>
        <w:t>,</w:t>
      </w:r>
      <w:r w:rsidR="00DE6AA9" w:rsidRPr="00441787">
        <w:rPr>
          <w:lang w:val="en-AU"/>
        </w:rPr>
        <w:t xml:space="preserve"> including </w:t>
      </w:r>
      <w:r w:rsidR="00DE6AA9">
        <w:rPr>
          <w:lang w:val="en-AU"/>
        </w:rPr>
        <w:t xml:space="preserve">appropriate </w:t>
      </w:r>
      <w:r w:rsidR="00DE6AA9" w:rsidRPr="00441787">
        <w:rPr>
          <w:lang w:val="en-AU"/>
        </w:rPr>
        <w:t xml:space="preserve">risk weights and other parameters used to calculate minimum capital requirements across various asset classes. The risk weights detailed in this paper </w:t>
      </w:r>
      <w:r w:rsidR="00461038">
        <w:rPr>
          <w:lang w:val="en-AU"/>
        </w:rPr>
        <w:t>should</w:t>
      </w:r>
      <w:r w:rsidR="00461038" w:rsidRPr="00441787">
        <w:rPr>
          <w:lang w:val="en-AU"/>
        </w:rPr>
        <w:t xml:space="preserve"> </w:t>
      </w:r>
      <w:r w:rsidR="00DE6AA9" w:rsidRPr="00441787">
        <w:rPr>
          <w:lang w:val="en-AU"/>
        </w:rPr>
        <w:t xml:space="preserve">therefore </w:t>
      </w:r>
      <w:r w:rsidR="00461038">
        <w:rPr>
          <w:lang w:val="en-AU"/>
        </w:rPr>
        <w:t xml:space="preserve">be regarded as </w:t>
      </w:r>
      <w:r w:rsidR="00DE6AA9">
        <w:rPr>
          <w:lang w:val="en-AU"/>
        </w:rPr>
        <w:t>indicative only</w:t>
      </w:r>
      <w:r w:rsidR="00C81E15">
        <w:t>.</w:t>
      </w:r>
      <w:r w:rsidR="00642F05">
        <w:t xml:space="preserve"> </w:t>
      </w:r>
      <w:r w:rsidR="00461038">
        <w:t>Based on feedback from ADIs, as well as a quantitative impact study</w:t>
      </w:r>
      <w:r w:rsidR="00A80F66">
        <w:t xml:space="preserve"> (QIS)</w:t>
      </w:r>
      <w:r w:rsidR="00461038">
        <w:t xml:space="preserve">, </w:t>
      </w:r>
      <w:r w:rsidR="00642F05">
        <w:t>APRA will calibrate the overall impact of these risk</w:t>
      </w:r>
      <w:r w:rsidR="00C462BC">
        <w:t xml:space="preserve"> </w:t>
      </w:r>
      <w:r w:rsidR="00642F05">
        <w:t xml:space="preserve">weight changes such that they meet </w:t>
      </w:r>
      <w:r w:rsidR="002A2018">
        <w:t xml:space="preserve">the higher </w:t>
      </w:r>
      <w:r w:rsidR="00642F05">
        <w:t xml:space="preserve">benchmarks for unquestionably strong capital, as set out in the July 2017 </w:t>
      </w:r>
      <w:r w:rsidR="00C462BC">
        <w:t xml:space="preserve">information </w:t>
      </w:r>
      <w:r w:rsidR="00642F05">
        <w:t>paper.</w:t>
      </w:r>
      <w:r w:rsidR="00D97722" w:rsidRPr="00441787">
        <w:t xml:space="preserve"> </w:t>
      </w:r>
    </w:p>
    <w:p w14:paraId="777E6FCD" w14:textId="467F59BB" w:rsidR="00E85DDE" w:rsidRDefault="00C81E15" w:rsidP="007E5E6E">
      <w:pPr>
        <w:pStyle w:val="APRANORMAL"/>
      </w:pPr>
      <w:r>
        <w:t>Addressing the systemic concentration of ADI portfolios in residential mortgages is an important element of the proposals.</w:t>
      </w:r>
      <w:r w:rsidR="000F0862">
        <w:t xml:space="preserve"> </w:t>
      </w:r>
      <w:r w:rsidR="006746D1">
        <w:t>The proposals in this paper seek to target higher</w:t>
      </w:r>
      <w:r w:rsidR="0085111B">
        <w:t>-</w:t>
      </w:r>
      <w:r w:rsidR="006746D1">
        <w:t xml:space="preserve">risk </w:t>
      </w:r>
      <w:r w:rsidR="00B909EB">
        <w:t xml:space="preserve">residential mortgage </w:t>
      </w:r>
      <w:r w:rsidR="006746D1">
        <w:t xml:space="preserve">lending, balanced against </w:t>
      </w:r>
      <w:r w:rsidR="00461038">
        <w:t xml:space="preserve">the need to avoid </w:t>
      </w:r>
      <w:r w:rsidR="006746D1">
        <w:t>undue complexity.</w:t>
      </w:r>
      <w:r w:rsidR="00461038">
        <w:t xml:space="preserve"> Under the proposals, r</w:t>
      </w:r>
      <w:r w:rsidR="000E3D88">
        <w:t xml:space="preserve">esidential </w:t>
      </w:r>
      <w:r w:rsidR="004469A0">
        <w:t>mortgage</w:t>
      </w:r>
      <w:r w:rsidR="000E3D88">
        <w:t xml:space="preserve"> exposures </w:t>
      </w:r>
      <w:r w:rsidR="00022AA3">
        <w:t xml:space="preserve">would be segmented </w:t>
      </w:r>
      <w:r w:rsidR="00022AA3">
        <w:lastRenderedPageBreak/>
        <w:t xml:space="preserve">into </w:t>
      </w:r>
      <w:r w:rsidR="00D25A69">
        <w:t>the following categories</w:t>
      </w:r>
      <w:r w:rsidR="00960FD2">
        <w:t xml:space="preserve"> with different capital requirements applying to each segment</w:t>
      </w:r>
      <w:r w:rsidR="00E85DDE">
        <w:t>:</w:t>
      </w:r>
    </w:p>
    <w:p w14:paraId="65A5E060" w14:textId="076DF069" w:rsidR="00E85DDE" w:rsidRDefault="00E85DDE" w:rsidP="007E5E6E">
      <w:pPr>
        <w:pStyle w:val="APRABULLET"/>
      </w:pPr>
      <w:r>
        <w:t xml:space="preserve">loans </w:t>
      </w:r>
      <w:r w:rsidR="00D52E9E">
        <w:t>meet</w:t>
      </w:r>
      <w:r w:rsidR="00F5503E">
        <w:t>ing</w:t>
      </w:r>
      <w:r w:rsidR="00D52E9E">
        <w:t xml:space="preserve"> serviceability requirements </w:t>
      </w:r>
      <w:r w:rsidR="001F6A8D">
        <w:t xml:space="preserve">made to owner-occupiers </w:t>
      </w:r>
      <w:r>
        <w:t>where the borrower’s repayment is on a principal and interest</w:t>
      </w:r>
      <w:r w:rsidR="00295091">
        <w:t xml:space="preserve"> (P&amp;I)</w:t>
      </w:r>
      <w:r w:rsidR="007F20AD">
        <w:t xml:space="preserve"> </w:t>
      </w:r>
      <w:r>
        <w:t>basis</w:t>
      </w:r>
      <w:r w:rsidR="00F9270C">
        <w:t>;</w:t>
      </w:r>
    </w:p>
    <w:p w14:paraId="2B075504" w14:textId="3D4D9312" w:rsidR="000E3D88" w:rsidRDefault="00F5503E" w:rsidP="007E5E6E">
      <w:pPr>
        <w:pStyle w:val="APRABULLET"/>
      </w:pPr>
      <w:r>
        <w:t>loans</w:t>
      </w:r>
      <w:r w:rsidR="00D52E9E">
        <w:t xml:space="preserve"> meet</w:t>
      </w:r>
      <w:r>
        <w:t>ing</w:t>
      </w:r>
      <w:r w:rsidR="00D52E9E">
        <w:t xml:space="preserve"> serviceability requirements </w:t>
      </w:r>
      <w:r w:rsidR="001F6A8D">
        <w:t xml:space="preserve">made </w:t>
      </w:r>
      <w:r w:rsidR="00952D82">
        <w:t xml:space="preserve">for investment </w:t>
      </w:r>
      <w:r w:rsidR="008F38DF">
        <w:t>purposes</w:t>
      </w:r>
      <w:r w:rsidR="00952D82">
        <w:t xml:space="preserve"> </w:t>
      </w:r>
      <w:r w:rsidR="001F6A8D">
        <w:t>or</w:t>
      </w:r>
      <w:r w:rsidR="000E3D88" w:rsidRPr="001F6A8D">
        <w:t xml:space="preserve"> </w:t>
      </w:r>
      <w:r w:rsidR="00D52E9E" w:rsidRPr="00CA3169">
        <w:t xml:space="preserve">where the borrower’s repayment is on an </w:t>
      </w:r>
      <w:r w:rsidR="000E3D88" w:rsidRPr="001F6A8D">
        <w:t xml:space="preserve">interest-only </w:t>
      </w:r>
      <w:r w:rsidR="00D52E9E" w:rsidRPr="00CB3824">
        <w:t>basis</w:t>
      </w:r>
      <w:r w:rsidR="000E3D88">
        <w:t>; and</w:t>
      </w:r>
    </w:p>
    <w:p w14:paraId="1D631A91" w14:textId="1D7B265E" w:rsidR="00F96C6D" w:rsidRPr="00F96C6D" w:rsidRDefault="000E3D88" w:rsidP="00EA3B03">
      <w:pPr>
        <w:pStyle w:val="APRABULLET"/>
        <w:spacing w:after="240"/>
      </w:pPr>
      <w:r>
        <w:t xml:space="preserve">other residential </w:t>
      </w:r>
      <w:r w:rsidR="004469A0">
        <w:t>property</w:t>
      </w:r>
      <w:r>
        <w:t xml:space="preserve"> exposures, including those that do not meet serviceability requirements</w:t>
      </w:r>
      <w:r w:rsidR="00E85DDE">
        <w:t xml:space="preserve">. </w:t>
      </w:r>
      <w:r w:rsidR="00F96C6D">
        <w:t xml:space="preserve"> </w:t>
      </w:r>
    </w:p>
    <w:p w14:paraId="25B21DF6" w14:textId="75CD6C41" w:rsidR="00F10545" w:rsidRDefault="00F10545" w:rsidP="007E5E6E">
      <w:pPr>
        <w:pStyle w:val="APRANORMAL"/>
      </w:pPr>
      <w:r>
        <w:t xml:space="preserve">As well </w:t>
      </w:r>
      <w:r w:rsidR="0042677E">
        <w:t>as</w:t>
      </w:r>
      <w:r>
        <w:t xml:space="preserve"> the proposals relating to residential mortgage </w:t>
      </w:r>
      <w:r w:rsidR="00F5503E">
        <w:t>exposures</w:t>
      </w:r>
      <w:r>
        <w:t xml:space="preserve">, this discussion paper outlines proposals relating to: </w:t>
      </w:r>
    </w:p>
    <w:p w14:paraId="4086DDF2" w14:textId="4C45EFA6" w:rsidR="00913A5A" w:rsidRPr="00732A8E" w:rsidRDefault="00751903" w:rsidP="007E5E6E">
      <w:pPr>
        <w:pStyle w:val="APRABULLET"/>
      </w:pPr>
      <w:r>
        <w:t xml:space="preserve">additional </w:t>
      </w:r>
      <w:r w:rsidR="00206EDF">
        <w:t>c</w:t>
      </w:r>
      <w:r w:rsidR="00110B6A" w:rsidRPr="00B84271">
        <w:t>onstraints</w:t>
      </w:r>
      <w:r w:rsidR="00110B6A">
        <w:t xml:space="preserve"> on the use of ADIs’ own </w:t>
      </w:r>
      <w:r w:rsidR="00044253">
        <w:t>risk</w:t>
      </w:r>
      <w:r w:rsidR="00DF2DF2">
        <w:t>-</w:t>
      </w:r>
      <w:r w:rsidR="00044253">
        <w:t xml:space="preserve">parameter </w:t>
      </w:r>
      <w:r w:rsidR="00110B6A">
        <w:t xml:space="preserve">estimates under the </w:t>
      </w:r>
      <w:r w:rsidR="00B912C4">
        <w:t>internal ratings-based (</w:t>
      </w:r>
      <w:r w:rsidR="00110B6A">
        <w:t>IRB</w:t>
      </w:r>
      <w:r w:rsidR="00B912C4">
        <w:t>)</w:t>
      </w:r>
      <w:r w:rsidR="00110B6A">
        <w:t xml:space="preserve"> approach</w:t>
      </w:r>
      <w:r w:rsidR="00A4010F">
        <w:t xml:space="preserve"> to determining capital requirements for credit risk</w:t>
      </w:r>
      <w:r w:rsidR="00110B6A" w:rsidRPr="00060AE5">
        <w:t>;</w:t>
      </w:r>
    </w:p>
    <w:p w14:paraId="5B396D41" w14:textId="56534FC9" w:rsidR="004469A0" w:rsidRDefault="004469A0" w:rsidP="00361C9F">
      <w:pPr>
        <w:pStyle w:val="APRABULLET"/>
      </w:pPr>
      <w:r>
        <w:t>the treatment of exposures</w:t>
      </w:r>
      <w:r w:rsidR="000F508D">
        <w:t xml:space="preserve"> to small- to medium- sized enterprises</w:t>
      </w:r>
      <w:r>
        <w:t>, including those secured by residential property, under the standardised and IRB approaches</w:t>
      </w:r>
      <w:r w:rsidR="00713A7B">
        <w:t xml:space="preserve"> to credit risk</w:t>
      </w:r>
      <w:r>
        <w:t>;</w:t>
      </w:r>
    </w:p>
    <w:p w14:paraId="665F50D3" w14:textId="753E4A29" w:rsidR="00110B6A" w:rsidRDefault="00913A5A" w:rsidP="00361C9F">
      <w:pPr>
        <w:pStyle w:val="APRABULLET"/>
      </w:pPr>
      <w:r>
        <w:t xml:space="preserve">other changes to </w:t>
      </w:r>
      <w:r w:rsidR="00A33147">
        <w:t xml:space="preserve">regulatory </w:t>
      </w:r>
      <w:r w:rsidR="0055206B">
        <w:t xml:space="preserve">capital </w:t>
      </w:r>
      <w:r w:rsidR="00A33147">
        <w:t xml:space="preserve">requirements </w:t>
      </w:r>
      <w:r w:rsidR="00713A7B">
        <w:t xml:space="preserve">for </w:t>
      </w:r>
      <w:r w:rsidR="00792FDA">
        <w:t>commercial property exposures</w:t>
      </w:r>
      <w:r w:rsidR="000F508D">
        <w:t xml:space="preserve"> and</w:t>
      </w:r>
      <w:r w:rsidR="00792FDA">
        <w:t xml:space="preserve"> retail exposures (other than </w:t>
      </w:r>
      <w:r w:rsidR="00A4010F">
        <w:t xml:space="preserve">those secured by </w:t>
      </w:r>
      <w:r w:rsidR="00792FDA">
        <w:t xml:space="preserve">residential </w:t>
      </w:r>
      <w:r w:rsidR="00A4010F">
        <w:t>property</w:t>
      </w:r>
      <w:r w:rsidR="00792FDA">
        <w:t xml:space="preserve">) and </w:t>
      </w:r>
      <w:r w:rsidR="00A4010F">
        <w:t xml:space="preserve">to </w:t>
      </w:r>
      <w:r w:rsidR="00650555">
        <w:t xml:space="preserve">credit conversion factors </w:t>
      </w:r>
      <w:r w:rsidR="00A4010F">
        <w:t>applying to</w:t>
      </w:r>
      <w:r w:rsidR="00650555">
        <w:t xml:space="preserve"> off-balance sheet exposures</w:t>
      </w:r>
      <w:r>
        <w:t>;</w:t>
      </w:r>
    </w:p>
    <w:p w14:paraId="57BB4AD7" w14:textId="1116F241" w:rsidR="00F10545" w:rsidRPr="00B84271" w:rsidRDefault="00F10545" w:rsidP="00EA3B03">
      <w:pPr>
        <w:pStyle w:val="APRABULLET"/>
        <w:widowControl w:val="0"/>
      </w:pPr>
      <w:r>
        <w:t xml:space="preserve">the operational risk </w:t>
      </w:r>
      <w:r w:rsidR="0055206B">
        <w:t xml:space="preserve">capital </w:t>
      </w:r>
      <w:r>
        <w:t>framework, including the replacement methodology for the advanced measurement and standardised approaches</w:t>
      </w:r>
      <w:r w:rsidR="00206EDF">
        <w:t>;</w:t>
      </w:r>
      <w:r>
        <w:t xml:space="preserve"> </w:t>
      </w:r>
    </w:p>
    <w:p w14:paraId="52DEAEA3" w14:textId="38513843" w:rsidR="00F10545" w:rsidRDefault="00F10545" w:rsidP="007E5E6E">
      <w:pPr>
        <w:pStyle w:val="APRABULLET"/>
      </w:pPr>
      <w:r>
        <w:t xml:space="preserve">APRA’s </w:t>
      </w:r>
      <w:r w:rsidR="00780D56">
        <w:t xml:space="preserve">timeline for </w:t>
      </w:r>
      <w:r>
        <w:t xml:space="preserve">implementing the </w:t>
      </w:r>
      <w:r w:rsidR="00110B6A">
        <w:t>Basel Committee’s revised</w:t>
      </w:r>
      <w:r w:rsidR="00206EDF">
        <w:t xml:space="preserve"> market risk framework; and</w:t>
      </w:r>
    </w:p>
    <w:p w14:paraId="43DE770F" w14:textId="153C44E6" w:rsidR="00F10545" w:rsidRDefault="00F10545" w:rsidP="007E5E6E">
      <w:pPr>
        <w:pStyle w:val="APRABULLET"/>
      </w:pPr>
      <w:r>
        <w:t>the treatment of interest rate risk in the banking book</w:t>
      </w:r>
      <w:r w:rsidR="00206EDF">
        <w:t>.</w:t>
      </w:r>
      <w:r>
        <w:t xml:space="preserve"> </w:t>
      </w:r>
    </w:p>
    <w:p w14:paraId="473302DB" w14:textId="5FFBA863" w:rsidR="00F10545" w:rsidRPr="007E5E6E" w:rsidRDefault="00F10545" w:rsidP="007E5E6E">
      <w:pPr>
        <w:pStyle w:val="APRANORMAL"/>
      </w:pPr>
      <w:r w:rsidRPr="007E5E6E">
        <w:t>It also outlines a proposal for a simpler capital framework for small ADIs, which is intended to reduce regulatory burden without compromising prudential soundness.</w:t>
      </w:r>
    </w:p>
    <w:p w14:paraId="315A98F3" w14:textId="6993050D" w:rsidR="000C0C3F" w:rsidRDefault="005D775E" w:rsidP="00F7260A">
      <w:pPr>
        <w:pStyle w:val="APRANORMAL"/>
      </w:pPr>
      <w:r>
        <w:t>Submissions are welcome on all aspects of the proposals in this discussion paper</w:t>
      </w:r>
      <w:r w:rsidR="0016473A">
        <w:t>;</w:t>
      </w:r>
      <w:r>
        <w:t xml:space="preserve"> however</w:t>
      </w:r>
      <w:r w:rsidR="0016473A">
        <w:t>,</w:t>
      </w:r>
      <w:r>
        <w:t xml:space="preserve"> k</w:t>
      </w:r>
      <w:r w:rsidR="00C932B1">
        <w:t xml:space="preserve">ey </w:t>
      </w:r>
      <w:r w:rsidR="00702970">
        <w:t>matters on which</w:t>
      </w:r>
      <w:r w:rsidR="00C932B1">
        <w:t xml:space="preserve"> APRA is seeking comments are</w:t>
      </w:r>
      <w:r>
        <w:t xml:space="preserve"> detailed in chapter </w:t>
      </w:r>
      <w:r w:rsidR="00BA7404">
        <w:t>9</w:t>
      </w:r>
      <w:r>
        <w:t>.</w:t>
      </w:r>
    </w:p>
    <w:p w14:paraId="662ED742" w14:textId="0EBBD10B" w:rsidR="005535AD" w:rsidRDefault="005535AD" w:rsidP="005535AD">
      <w:pPr>
        <w:pStyle w:val="APRANORMAL"/>
      </w:pPr>
      <w:r>
        <w:t xml:space="preserve">APRA is undertaking a </w:t>
      </w:r>
      <w:r w:rsidR="00CA2418">
        <w:t xml:space="preserve">QIS </w:t>
      </w:r>
      <w:r>
        <w:t xml:space="preserve">to assist in estimating the overall impact of </w:t>
      </w:r>
      <w:r w:rsidR="005D25E4">
        <w:t xml:space="preserve">the </w:t>
      </w:r>
      <w:r>
        <w:t xml:space="preserve">proposals </w:t>
      </w:r>
      <w:r w:rsidR="005D25E4">
        <w:t>in this discussion paper</w:t>
      </w:r>
      <w:r>
        <w:t xml:space="preserve"> and the </w:t>
      </w:r>
      <w:r w:rsidR="00D86A8E">
        <w:t xml:space="preserve">overall calibration of the capital calculations, including their contribution to </w:t>
      </w:r>
      <w:r>
        <w:t xml:space="preserve">meeting the unquestionably strong </w:t>
      </w:r>
      <w:r w:rsidR="00642F05">
        <w:t xml:space="preserve">capital </w:t>
      </w:r>
      <w:r w:rsidR="00642F05">
        <w:lastRenderedPageBreak/>
        <w:t>benchmarks</w:t>
      </w:r>
      <w:r>
        <w:t xml:space="preserve">. </w:t>
      </w:r>
      <w:r w:rsidR="00692200">
        <w:t xml:space="preserve">APRA </w:t>
      </w:r>
      <w:r w:rsidR="00745D79">
        <w:t xml:space="preserve">has </w:t>
      </w:r>
      <w:r w:rsidR="009C4514">
        <w:t>asked</w:t>
      </w:r>
      <w:r w:rsidR="00135D45">
        <w:t xml:space="preserve"> </w:t>
      </w:r>
      <w:r w:rsidR="00692200">
        <w:t xml:space="preserve">a sample of </w:t>
      </w:r>
      <w:r>
        <w:t xml:space="preserve">ADIs </w:t>
      </w:r>
      <w:r w:rsidR="00692200">
        <w:t>t</w:t>
      </w:r>
      <w:r>
        <w:t>o participate in this exercise</w:t>
      </w:r>
      <w:r w:rsidR="00135D45">
        <w:t xml:space="preserve"> and </w:t>
      </w:r>
      <w:r w:rsidR="003C0724">
        <w:t>will make the QIS</w:t>
      </w:r>
      <w:r w:rsidR="00A80F66">
        <w:t xml:space="preserve"> available</w:t>
      </w:r>
      <w:r w:rsidR="003C0724">
        <w:t xml:space="preserve"> to</w:t>
      </w:r>
      <w:r w:rsidR="00135D45">
        <w:t xml:space="preserve"> </w:t>
      </w:r>
      <w:r w:rsidR="00A33147">
        <w:t xml:space="preserve">other </w:t>
      </w:r>
      <w:r w:rsidR="00135D45">
        <w:t>interested ADIs</w:t>
      </w:r>
      <w:r>
        <w:t xml:space="preserve">. </w:t>
      </w:r>
    </w:p>
    <w:p w14:paraId="3D8D888F" w14:textId="4E35DC75" w:rsidR="008A653D" w:rsidRDefault="008A653D" w:rsidP="005535AD">
      <w:pPr>
        <w:pStyle w:val="APRANORMAL"/>
        <w:rPr>
          <w:lang w:val="en-AU"/>
        </w:rPr>
      </w:pPr>
      <w:r>
        <w:rPr>
          <w:lang w:val="en-AU"/>
        </w:rPr>
        <w:t xml:space="preserve">APRA notes the recently released Productivity Commission draft report, </w:t>
      </w:r>
      <w:r>
        <w:rPr>
          <w:i/>
          <w:lang w:val="en-AU"/>
        </w:rPr>
        <w:t>Competition in the Australian Financial System</w:t>
      </w:r>
      <w:r>
        <w:rPr>
          <w:lang w:val="en-AU"/>
        </w:rPr>
        <w:t>, and will consider relevant issues</w:t>
      </w:r>
      <w:r w:rsidR="00461038">
        <w:rPr>
          <w:lang w:val="en-AU"/>
        </w:rPr>
        <w:t xml:space="preserve"> raised by the Commission</w:t>
      </w:r>
      <w:r>
        <w:rPr>
          <w:lang w:val="en-AU"/>
        </w:rPr>
        <w:t>, along with industry feedback and data from the QIS, as it develops its proposals.</w:t>
      </w:r>
      <w:r w:rsidR="00D14CD5">
        <w:rPr>
          <w:rStyle w:val="FootnoteReference"/>
          <w:lang w:val="en-AU"/>
        </w:rPr>
        <w:footnoteReference w:id="6"/>
      </w:r>
    </w:p>
    <w:p w14:paraId="2574AEF9" w14:textId="2B09A0EB" w:rsidR="005535AD" w:rsidRPr="00441787" w:rsidRDefault="005535AD" w:rsidP="005535AD">
      <w:pPr>
        <w:pStyle w:val="APRANORMAL"/>
        <w:rPr>
          <w:lang w:val="en-AU"/>
        </w:rPr>
      </w:pPr>
      <w:r w:rsidRPr="00DE6AA9">
        <w:rPr>
          <w:lang w:val="en-AU"/>
        </w:rPr>
        <w:t xml:space="preserve">APRA expects to release draft revised prudential standards on the standardised </w:t>
      </w:r>
      <w:r w:rsidR="00295091" w:rsidRPr="00DE6AA9">
        <w:rPr>
          <w:lang w:val="en-AU"/>
        </w:rPr>
        <w:t xml:space="preserve">and IRB </w:t>
      </w:r>
      <w:r w:rsidRPr="00DE6AA9">
        <w:rPr>
          <w:lang w:val="en-AU"/>
        </w:rPr>
        <w:t xml:space="preserve">approaches to credit risk and operational risk </w:t>
      </w:r>
      <w:r w:rsidR="00D16747" w:rsidRPr="00DE6AA9">
        <w:rPr>
          <w:lang w:val="en-AU"/>
        </w:rPr>
        <w:t xml:space="preserve">later </w:t>
      </w:r>
      <w:r w:rsidRPr="00DE6AA9">
        <w:rPr>
          <w:lang w:val="en-AU"/>
        </w:rPr>
        <w:t xml:space="preserve">in 2018. </w:t>
      </w:r>
      <w:r w:rsidR="00EF5144" w:rsidRPr="00DE6AA9">
        <w:rPr>
          <w:lang w:val="en-AU"/>
        </w:rPr>
        <w:t xml:space="preserve">Other draft prudential standards incorporating the remaining Basel III revisions will be released for consultation </w:t>
      </w:r>
      <w:r w:rsidR="00D16747" w:rsidRPr="00DE6AA9">
        <w:rPr>
          <w:lang w:val="en-AU"/>
        </w:rPr>
        <w:t xml:space="preserve">in </w:t>
      </w:r>
      <w:r w:rsidR="000F508D">
        <w:rPr>
          <w:lang w:val="en-AU"/>
        </w:rPr>
        <w:t>mid-</w:t>
      </w:r>
      <w:r w:rsidR="00D16747" w:rsidRPr="00DE6AA9">
        <w:rPr>
          <w:lang w:val="en-AU"/>
        </w:rPr>
        <w:t>2019</w:t>
      </w:r>
      <w:r w:rsidRPr="00DE6AA9">
        <w:rPr>
          <w:lang w:val="en-AU"/>
        </w:rPr>
        <w:t>.</w:t>
      </w:r>
      <w:r w:rsidRPr="00441787">
        <w:rPr>
          <w:lang w:val="en-AU"/>
        </w:rPr>
        <w:t xml:space="preserve"> </w:t>
      </w:r>
    </w:p>
    <w:p w14:paraId="1A0507EB" w14:textId="25737D6D" w:rsidR="005A72D5" w:rsidRPr="004930C2" w:rsidRDefault="005A72D5">
      <w:pPr>
        <w:pStyle w:val="APRANORMAL"/>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ascii="DIN OT Medium" w:hAnsi="DIN OT Medium"/>
          <w:lang w:val="en-AU"/>
        </w:rPr>
      </w:pPr>
      <w:r w:rsidRPr="004930C2">
        <w:rPr>
          <w:rFonts w:ascii="DIN OT Medium" w:hAnsi="DIN OT Medium"/>
          <w:lang w:val="en-AU"/>
        </w:rPr>
        <w:t>Relationship with benchmarks established for unquestionably strong capital ratios</w:t>
      </w:r>
    </w:p>
    <w:p w14:paraId="1B51C19E" w14:textId="12FEA1F9" w:rsidR="005A72D5" w:rsidRPr="00D716D9" w:rsidRDefault="005A72D5" w:rsidP="00EA3B03">
      <w:pPr>
        <w:pStyle w:val="APRANORMAL"/>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0"/>
          <w:szCs w:val="20"/>
          <w:lang w:val="en-AU"/>
        </w:rPr>
      </w:pPr>
      <w:r w:rsidRPr="00D716D9">
        <w:rPr>
          <w:sz w:val="20"/>
          <w:szCs w:val="20"/>
          <w:lang w:val="en-AU"/>
        </w:rPr>
        <w:t>APRA announced in July 2017 that achieving unquestionably strong capital ratios will involve a strengthening of capital requirements by 150 basis points for ADIs using the IRB approach, and 50 basis points for ADIs using the standardised approach. For the four major banks (</w:t>
      </w:r>
      <w:r w:rsidRPr="008A418A">
        <w:rPr>
          <w:sz w:val="20"/>
          <w:szCs w:val="20"/>
          <w:lang w:val="en-AU"/>
        </w:rPr>
        <w:t>wh</w:t>
      </w:r>
      <w:r w:rsidR="00B5502B" w:rsidRPr="008A418A">
        <w:rPr>
          <w:sz w:val="20"/>
          <w:szCs w:val="20"/>
          <w:lang w:val="en-AU"/>
        </w:rPr>
        <w:t>ich</w:t>
      </w:r>
      <w:r w:rsidRPr="00D716D9">
        <w:rPr>
          <w:sz w:val="20"/>
          <w:szCs w:val="20"/>
          <w:lang w:val="en-AU"/>
        </w:rPr>
        <w:t xml:space="preserve"> utilise the IRB approach), this </w:t>
      </w:r>
      <w:r w:rsidR="00903F57" w:rsidRPr="00D716D9">
        <w:rPr>
          <w:sz w:val="20"/>
          <w:szCs w:val="20"/>
          <w:lang w:val="en-AU"/>
        </w:rPr>
        <w:t xml:space="preserve">was </w:t>
      </w:r>
      <w:r w:rsidRPr="00D716D9">
        <w:rPr>
          <w:sz w:val="20"/>
          <w:szCs w:val="20"/>
          <w:lang w:val="en-AU"/>
        </w:rPr>
        <w:t xml:space="preserve">translated to a </w:t>
      </w:r>
      <w:r w:rsidR="001F6D60">
        <w:rPr>
          <w:sz w:val="20"/>
          <w:szCs w:val="20"/>
          <w:lang w:val="en-AU"/>
        </w:rPr>
        <w:t>C</w:t>
      </w:r>
      <w:r w:rsidR="00B5502B" w:rsidRPr="00CB3E04">
        <w:rPr>
          <w:sz w:val="20"/>
          <w:szCs w:val="20"/>
          <w:lang w:val="en-AU"/>
        </w:rPr>
        <w:t xml:space="preserve">ommon </w:t>
      </w:r>
      <w:r w:rsidR="001F6D60">
        <w:rPr>
          <w:sz w:val="20"/>
          <w:szCs w:val="20"/>
          <w:lang w:val="en-AU"/>
        </w:rPr>
        <w:t>E</w:t>
      </w:r>
      <w:r w:rsidR="00B5502B" w:rsidRPr="00CB3E04">
        <w:rPr>
          <w:sz w:val="20"/>
          <w:szCs w:val="20"/>
          <w:lang w:val="en-AU"/>
        </w:rPr>
        <w:t xml:space="preserve">quity </w:t>
      </w:r>
      <w:r w:rsidR="001F6D60">
        <w:rPr>
          <w:sz w:val="20"/>
          <w:szCs w:val="20"/>
          <w:lang w:val="en-AU"/>
        </w:rPr>
        <w:t>T</w:t>
      </w:r>
      <w:r w:rsidR="00B5502B" w:rsidRPr="00D716D9">
        <w:rPr>
          <w:sz w:val="20"/>
          <w:szCs w:val="20"/>
          <w:lang w:val="en-AU"/>
        </w:rPr>
        <w:t xml:space="preserve">ier </w:t>
      </w:r>
      <w:r w:rsidRPr="008A418A">
        <w:rPr>
          <w:sz w:val="20"/>
          <w:szCs w:val="20"/>
          <w:lang w:val="en-AU"/>
        </w:rPr>
        <w:t>1</w:t>
      </w:r>
      <w:r w:rsidRPr="00D716D9">
        <w:rPr>
          <w:sz w:val="20"/>
          <w:szCs w:val="20"/>
          <w:lang w:val="en-AU"/>
        </w:rPr>
        <w:t xml:space="preserve"> </w:t>
      </w:r>
      <w:r w:rsidR="00B5502B" w:rsidRPr="00D716D9">
        <w:rPr>
          <w:sz w:val="20"/>
          <w:szCs w:val="20"/>
          <w:lang w:val="en-AU"/>
        </w:rPr>
        <w:t>(CET1)</w:t>
      </w:r>
      <w:r w:rsidRPr="00D716D9">
        <w:rPr>
          <w:sz w:val="20"/>
          <w:szCs w:val="20"/>
          <w:lang w:val="en-AU"/>
        </w:rPr>
        <w:t xml:space="preserve"> capital ratio of at least 10.5 per cent, calculated under APRA’s current capital framework.</w:t>
      </w:r>
    </w:p>
    <w:p w14:paraId="38E4ECFD" w14:textId="06D20A68" w:rsidR="005A72D5" w:rsidRPr="00D716D9" w:rsidRDefault="005A72D5" w:rsidP="00EA3B03">
      <w:pPr>
        <w:pStyle w:val="APRANORMAL"/>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0"/>
          <w:szCs w:val="20"/>
          <w:lang w:val="en-AU"/>
        </w:rPr>
      </w:pPr>
      <w:r w:rsidRPr="00D716D9">
        <w:rPr>
          <w:sz w:val="20"/>
          <w:szCs w:val="20"/>
          <w:lang w:val="en-AU"/>
        </w:rPr>
        <w:t>Effectively, a change to risk weights is akin to utilising a different unit of measurement. Proposals to increase (reduce) risk weights will have the effect of reducing (increasing) reported capital ratios. The overall impact of proposals in this paper will be a net increase in RWAs. That will, all else being equal, reduce ADIs’ reported capital ratios, even though there is no change to the</w:t>
      </w:r>
      <w:r w:rsidR="00B5502B" w:rsidRPr="00D716D9">
        <w:rPr>
          <w:sz w:val="20"/>
          <w:szCs w:val="20"/>
          <w:lang w:val="en-AU"/>
        </w:rPr>
        <w:t>ir</w:t>
      </w:r>
      <w:r w:rsidRPr="00D716D9">
        <w:rPr>
          <w:sz w:val="20"/>
          <w:szCs w:val="20"/>
          <w:lang w:val="en-AU"/>
        </w:rPr>
        <w:t xml:space="preserve"> underlying risk profile or quantum of capital</w:t>
      </w:r>
      <w:r w:rsidRPr="008A418A">
        <w:rPr>
          <w:sz w:val="20"/>
          <w:szCs w:val="20"/>
          <w:lang w:val="en-AU"/>
        </w:rPr>
        <w:t>.</w:t>
      </w:r>
      <w:r w:rsidRPr="00D716D9">
        <w:rPr>
          <w:sz w:val="20"/>
          <w:szCs w:val="20"/>
          <w:lang w:val="en-AU"/>
        </w:rPr>
        <w:t xml:space="preserve"> The only change is the way in which these are measured. </w:t>
      </w:r>
    </w:p>
    <w:p w14:paraId="6DA64712" w14:textId="71E0BAE2" w:rsidR="005A72D5" w:rsidRPr="00D716D9" w:rsidRDefault="005A72D5" w:rsidP="00EA3B03">
      <w:pPr>
        <w:pStyle w:val="APRANORMAL"/>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0"/>
          <w:szCs w:val="20"/>
          <w:lang w:val="en-AU"/>
        </w:rPr>
      </w:pPr>
      <w:r w:rsidRPr="00D716D9">
        <w:rPr>
          <w:sz w:val="20"/>
          <w:szCs w:val="20"/>
          <w:lang w:val="en-AU"/>
        </w:rPr>
        <w:t xml:space="preserve">The </w:t>
      </w:r>
      <w:r w:rsidR="00B5502B" w:rsidRPr="008A418A">
        <w:rPr>
          <w:sz w:val="20"/>
          <w:szCs w:val="20"/>
          <w:lang w:val="en-AU"/>
        </w:rPr>
        <w:t>objective</w:t>
      </w:r>
      <w:r w:rsidRPr="00D716D9">
        <w:rPr>
          <w:sz w:val="20"/>
          <w:szCs w:val="20"/>
          <w:lang w:val="en-AU"/>
        </w:rPr>
        <w:t xml:space="preserve"> of the changes APRA is proposing in this paper is to deliver the strengthening of capital requirements set out above</w:t>
      </w:r>
      <w:r w:rsidRPr="008A418A">
        <w:rPr>
          <w:sz w:val="20"/>
          <w:szCs w:val="20"/>
          <w:lang w:val="en-AU"/>
        </w:rPr>
        <w:t>.</w:t>
      </w:r>
      <w:r w:rsidRPr="00D716D9">
        <w:rPr>
          <w:sz w:val="20"/>
          <w:szCs w:val="20"/>
          <w:lang w:val="en-AU"/>
        </w:rPr>
        <w:t xml:space="preserve"> However, given the change of measurement methodology, the benchmarks set out by APRA in July 2017 (for example, a CET1 capital ratio of at least 10.5 per cent for the four major banks) will no longer be relevant.</w:t>
      </w:r>
      <w:r w:rsidR="00F55AB7" w:rsidRPr="00D716D9">
        <w:rPr>
          <w:sz w:val="20"/>
          <w:szCs w:val="20"/>
          <w:lang w:val="en-AU"/>
        </w:rPr>
        <w:t xml:space="preserve"> These benchmarks will need to be recalibrated to reflect the </w:t>
      </w:r>
      <w:r w:rsidR="00B5502B" w:rsidRPr="00D716D9">
        <w:rPr>
          <w:sz w:val="20"/>
          <w:szCs w:val="20"/>
          <w:lang w:val="en-AU"/>
        </w:rPr>
        <w:t xml:space="preserve">proposals detailed in this </w:t>
      </w:r>
      <w:r w:rsidR="00B5502B" w:rsidRPr="008A418A">
        <w:rPr>
          <w:sz w:val="20"/>
          <w:szCs w:val="20"/>
          <w:lang w:val="en-AU"/>
        </w:rPr>
        <w:t>paper</w:t>
      </w:r>
      <w:r w:rsidR="00F55AB7" w:rsidRPr="008A418A">
        <w:rPr>
          <w:sz w:val="20"/>
          <w:szCs w:val="20"/>
          <w:lang w:val="en-AU"/>
        </w:rPr>
        <w:t xml:space="preserve">. </w:t>
      </w:r>
    </w:p>
    <w:p w14:paraId="1E4D46FF" w14:textId="556E53E8" w:rsidR="00367251" w:rsidRDefault="005A72D5" w:rsidP="00ED2689">
      <w:pPr>
        <w:pStyle w:val="APRANORMAL"/>
        <w:pBdr>
          <w:top w:val="single" w:sz="4" w:space="1" w:color="auto"/>
          <w:left w:val="single" w:sz="4" w:space="4" w:color="auto"/>
          <w:bottom w:val="single" w:sz="4" w:space="1" w:color="auto"/>
          <w:right w:val="single" w:sz="4" w:space="4" w:color="auto"/>
        </w:pBdr>
        <w:shd w:val="clear" w:color="auto" w:fill="D9D9D9" w:themeFill="background1" w:themeFillShade="D9"/>
        <w:rPr>
          <w:lang w:val="en-AU"/>
        </w:rPr>
      </w:pPr>
      <w:r w:rsidRPr="00D716D9">
        <w:rPr>
          <w:sz w:val="20"/>
          <w:szCs w:val="20"/>
        </w:rPr>
        <w:t xml:space="preserve">APRA has undertaken to ensure that, if ADIs meet the benchmarks set out in July 2017 for unquestionably strong capital ratios, </w:t>
      </w:r>
      <w:r w:rsidR="00903F57" w:rsidRPr="00D716D9">
        <w:rPr>
          <w:sz w:val="20"/>
          <w:szCs w:val="20"/>
        </w:rPr>
        <w:t>any changes to the capital framework that eventuate from the finalisation of the proposals in this paper will be able to be accommodated by existing capital holdings and not necessitate additional capital raisings.</w:t>
      </w:r>
      <w:r w:rsidR="00903F57">
        <w:t xml:space="preserve"> </w:t>
      </w:r>
      <w:r>
        <w:rPr>
          <w:lang w:val="en-AU"/>
        </w:rPr>
        <w:t xml:space="preserve">    </w:t>
      </w:r>
    </w:p>
    <w:p w14:paraId="1713E2AF" w14:textId="2EE7908F" w:rsidR="00C77563" w:rsidRDefault="00C77563" w:rsidP="00C77563">
      <w:pPr>
        <w:pStyle w:val="APRANORMAL"/>
      </w:pPr>
      <w:r w:rsidRPr="00295091">
        <w:rPr>
          <w:lang w:val="en-AU"/>
        </w:rPr>
        <w:t>I</w:t>
      </w:r>
      <w:r w:rsidRPr="0021578D">
        <w:rPr>
          <w:lang w:val="en-AU"/>
        </w:rPr>
        <w:t xml:space="preserve">n </w:t>
      </w:r>
      <w:r w:rsidRPr="00295091">
        <w:rPr>
          <w:lang w:val="en-AU"/>
        </w:rPr>
        <w:t xml:space="preserve">the </w:t>
      </w:r>
      <w:r w:rsidR="009B440D">
        <w:rPr>
          <w:lang w:val="en-AU"/>
        </w:rPr>
        <w:t xml:space="preserve">July 2017 </w:t>
      </w:r>
      <w:r w:rsidRPr="0021578D">
        <w:rPr>
          <w:lang w:val="en-AU"/>
        </w:rPr>
        <w:t xml:space="preserve">information paper on establishing unquestionably strong capital requirements, </w:t>
      </w:r>
      <w:r w:rsidRPr="00295091">
        <w:rPr>
          <w:lang w:val="en-AU"/>
        </w:rPr>
        <w:t>APRA indicated that the</w:t>
      </w:r>
      <w:r>
        <w:rPr>
          <w:lang w:val="en-AU"/>
        </w:rPr>
        <w:t xml:space="preserve"> revised</w:t>
      </w:r>
      <w:r w:rsidRPr="00295091">
        <w:rPr>
          <w:lang w:val="en-AU"/>
        </w:rPr>
        <w:t xml:space="preserve"> prudential standards would commence </w:t>
      </w:r>
      <w:r w:rsidRPr="00295091">
        <w:rPr>
          <w:lang w:val="en-AU"/>
        </w:rPr>
        <w:lastRenderedPageBreak/>
        <w:t>in early 2021.</w:t>
      </w:r>
      <w:r>
        <w:rPr>
          <w:lang w:val="en-AU"/>
        </w:rPr>
        <w:t xml:space="preserve"> </w:t>
      </w:r>
      <w:r w:rsidRPr="00295091">
        <w:rPr>
          <w:lang w:val="en-AU"/>
        </w:rPr>
        <w:t xml:space="preserve">In December 2017, the Basel Committee advised that the </w:t>
      </w:r>
      <w:r>
        <w:rPr>
          <w:lang w:val="en-AU"/>
        </w:rPr>
        <w:t xml:space="preserve">revised </w:t>
      </w:r>
      <w:r w:rsidRPr="00295091">
        <w:rPr>
          <w:lang w:val="en-AU"/>
        </w:rPr>
        <w:t xml:space="preserve">Basel III </w:t>
      </w:r>
      <w:r>
        <w:rPr>
          <w:lang w:val="en-AU"/>
        </w:rPr>
        <w:t>framework</w:t>
      </w:r>
      <w:r w:rsidRPr="00295091">
        <w:rPr>
          <w:lang w:val="en-AU"/>
        </w:rPr>
        <w:t xml:space="preserve"> </w:t>
      </w:r>
      <w:r>
        <w:rPr>
          <w:lang w:val="en-AU"/>
        </w:rPr>
        <w:t>would commence from 1 </w:t>
      </w:r>
      <w:r w:rsidRPr="00295091">
        <w:rPr>
          <w:lang w:val="en-AU"/>
        </w:rPr>
        <w:t>January </w:t>
      </w:r>
      <w:r w:rsidR="00A85D44" w:rsidRPr="00295091">
        <w:rPr>
          <w:lang w:val="en-AU"/>
        </w:rPr>
        <w:t>2022</w:t>
      </w:r>
      <w:r w:rsidR="00A85D44">
        <w:rPr>
          <w:lang w:val="en-AU"/>
        </w:rPr>
        <w:t xml:space="preserve">, </w:t>
      </w:r>
      <w:r w:rsidRPr="00295091">
        <w:rPr>
          <w:lang w:val="en-AU"/>
        </w:rPr>
        <w:t xml:space="preserve">with transitional provisions for the RWA floor. Given APRA’s expectation that ADIs </w:t>
      </w:r>
      <w:r w:rsidR="001D29E2">
        <w:rPr>
          <w:lang w:val="en-AU"/>
        </w:rPr>
        <w:t xml:space="preserve">will </w:t>
      </w:r>
      <w:r w:rsidRPr="00295091">
        <w:rPr>
          <w:lang w:val="en-AU"/>
        </w:rPr>
        <w:t xml:space="preserve">meet the unquestionably strong </w:t>
      </w:r>
      <w:r>
        <w:rPr>
          <w:lang w:val="en-AU"/>
        </w:rPr>
        <w:t>capital benchmarks</w:t>
      </w:r>
      <w:r w:rsidRPr="00295091">
        <w:rPr>
          <w:lang w:val="en-AU"/>
        </w:rPr>
        <w:t xml:space="preserve"> by 1</w:t>
      </w:r>
      <w:r>
        <w:rPr>
          <w:lang w:val="en-AU"/>
        </w:rPr>
        <w:t> </w:t>
      </w:r>
      <w:r w:rsidRPr="00295091">
        <w:rPr>
          <w:lang w:val="en-AU"/>
        </w:rPr>
        <w:t>January 2020, APRA continues to propose an implementation date of 1 January 2021 for all revised measures, including the full RWA floor</w:t>
      </w:r>
      <w:r>
        <w:rPr>
          <w:lang w:val="en-AU"/>
        </w:rPr>
        <w:t>,</w:t>
      </w:r>
      <w:r w:rsidRPr="004A68EE">
        <w:rPr>
          <w:lang w:val="en-AU"/>
        </w:rPr>
        <w:t xml:space="preserve"> but invites feedback on the merits of aligning with the Basel Committee timetable and deferring implementation until 1 January 2022.</w:t>
      </w:r>
    </w:p>
    <w:p w14:paraId="1BBC4F89" w14:textId="61395D83" w:rsidR="005A72D5" w:rsidRDefault="005A72D5" w:rsidP="00FA2950">
      <w:pPr>
        <w:pStyle w:val="APRANORMAL"/>
        <w:rPr>
          <w:lang w:val="en-AU"/>
        </w:rPr>
      </w:pPr>
    </w:p>
    <w:p w14:paraId="1ED50CFE" w14:textId="77777777" w:rsidR="0058726F" w:rsidRDefault="00B225F4" w:rsidP="00FA7D9E">
      <w:pPr>
        <w:pStyle w:val="APRAHEAD-NONUMBER"/>
        <w:pBdr>
          <w:bottom w:val="single" w:sz="4" w:space="1" w:color="BFBFBF" w:themeColor="background1" w:themeShade="BF"/>
        </w:pBdr>
      </w:pPr>
      <w:bookmarkStart w:id="23" w:name="_Toc500151916"/>
      <w:bookmarkStart w:id="24" w:name="_Toc505676405"/>
      <w:bookmarkStart w:id="25" w:name="_Toc505676497"/>
      <w:bookmarkStart w:id="26" w:name="_Toc505681569"/>
      <w:bookmarkStart w:id="27" w:name="_Toc505681751"/>
      <w:bookmarkStart w:id="28" w:name="_Toc505854695"/>
      <w:bookmarkStart w:id="29" w:name="_Toc506285795"/>
      <w:r w:rsidRPr="005B7E8B">
        <w:lastRenderedPageBreak/>
        <w:t>Glossary</w:t>
      </w:r>
      <w:bookmarkEnd w:id="23"/>
      <w:bookmarkEnd w:id="24"/>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6943"/>
      </w:tblGrid>
      <w:tr w:rsidR="004C3CD1" w14:paraId="0BFE59DD" w14:textId="77777777" w:rsidTr="004A3668">
        <w:tc>
          <w:tcPr>
            <w:tcW w:w="2083" w:type="dxa"/>
            <w:tcBorders>
              <w:bottom w:val="single" w:sz="4" w:space="0" w:color="FFFFFF" w:themeColor="background1"/>
            </w:tcBorders>
            <w:shd w:val="clear" w:color="auto" w:fill="002060"/>
          </w:tcPr>
          <w:p w14:paraId="21A77632" w14:textId="1F883390" w:rsidR="00E00BDC" w:rsidRDefault="00E00BDC" w:rsidP="00B94BE8">
            <w:pPr>
              <w:pStyle w:val="Tableheading"/>
            </w:pPr>
            <w:r>
              <w:t>ADI</w:t>
            </w:r>
          </w:p>
        </w:tc>
        <w:tc>
          <w:tcPr>
            <w:tcW w:w="6943" w:type="dxa"/>
            <w:tcBorders>
              <w:bottom w:val="single" w:sz="4" w:space="0" w:color="FFFFFF" w:themeColor="background1"/>
            </w:tcBorders>
            <w:shd w:val="clear" w:color="auto" w:fill="F2F2F2" w:themeFill="background1" w:themeFillShade="F2"/>
          </w:tcPr>
          <w:p w14:paraId="306E2140" w14:textId="40EB7258" w:rsidR="00E00BDC" w:rsidRDefault="00E00BDC" w:rsidP="00C02648">
            <w:pPr>
              <w:pStyle w:val="Tabletext"/>
            </w:pPr>
            <w:r>
              <w:t>Authorised deposit-taking institution</w:t>
            </w:r>
          </w:p>
        </w:tc>
      </w:tr>
      <w:tr w:rsidR="00CA2ECE" w14:paraId="16AC5429" w14:textId="77777777" w:rsidTr="004A3668">
        <w:tc>
          <w:tcPr>
            <w:tcW w:w="2083" w:type="dxa"/>
            <w:tcBorders>
              <w:bottom w:val="single" w:sz="4" w:space="0" w:color="FFFFFF" w:themeColor="background1"/>
            </w:tcBorders>
            <w:shd w:val="clear" w:color="auto" w:fill="002060"/>
          </w:tcPr>
          <w:p w14:paraId="7BF507BF" w14:textId="045A0A0D" w:rsidR="00CA2ECE" w:rsidRDefault="00CA2ECE" w:rsidP="00B94BE8">
            <w:pPr>
              <w:pStyle w:val="Tableheading"/>
            </w:pPr>
            <w:r>
              <w:t>Advanced ADI</w:t>
            </w:r>
          </w:p>
        </w:tc>
        <w:tc>
          <w:tcPr>
            <w:tcW w:w="6943" w:type="dxa"/>
            <w:tcBorders>
              <w:bottom w:val="single" w:sz="4" w:space="0" w:color="FFFFFF" w:themeColor="background1"/>
            </w:tcBorders>
            <w:shd w:val="clear" w:color="auto" w:fill="F2F2F2" w:themeFill="background1" w:themeFillShade="F2"/>
          </w:tcPr>
          <w:p w14:paraId="02371850" w14:textId="3D4BAA69" w:rsidR="00CA2ECE" w:rsidRDefault="00CA2ECE" w:rsidP="00C02648">
            <w:pPr>
              <w:pStyle w:val="Tabletext"/>
            </w:pPr>
            <w:r>
              <w:t xml:space="preserve">An ADI </w:t>
            </w:r>
            <w:r w:rsidR="00EC730D">
              <w:t xml:space="preserve">that has been granted </w:t>
            </w:r>
            <w:r>
              <w:t xml:space="preserve">approval </w:t>
            </w:r>
            <w:r w:rsidR="00EC730D">
              <w:t xml:space="preserve">from APRA </w:t>
            </w:r>
            <w:r>
              <w:t>to use internal models to determine capital requirements for credit risk, operational risk or interest rate risk in the banking book</w:t>
            </w:r>
            <w:r w:rsidR="000F508D">
              <w:t>.</w:t>
            </w:r>
          </w:p>
        </w:tc>
      </w:tr>
      <w:tr w:rsidR="004C3CD1" w14:paraId="41A5B812" w14:textId="77777777" w:rsidTr="004A3668">
        <w:tc>
          <w:tcPr>
            <w:tcW w:w="2083" w:type="dxa"/>
            <w:tcBorders>
              <w:bottom w:val="single" w:sz="4" w:space="0" w:color="FFFFFF" w:themeColor="background1"/>
            </w:tcBorders>
            <w:shd w:val="clear" w:color="auto" w:fill="002060"/>
          </w:tcPr>
          <w:p w14:paraId="2EC3B961" w14:textId="770D5020" w:rsidR="004C3CD1" w:rsidRDefault="004C3CD1" w:rsidP="00B94BE8">
            <w:pPr>
              <w:pStyle w:val="Tableheading"/>
            </w:pPr>
            <w:r>
              <w:t>AMA</w:t>
            </w:r>
          </w:p>
        </w:tc>
        <w:tc>
          <w:tcPr>
            <w:tcW w:w="6943" w:type="dxa"/>
            <w:tcBorders>
              <w:bottom w:val="single" w:sz="4" w:space="0" w:color="FFFFFF" w:themeColor="background1"/>
            </w:tcBorders>
            <w:shd w:val="clear" w:color="auto" w:fill="F2F2F2" w:themeFill="background1" w:themeFillShade="F2"/>
          </w:tcPr>
          <w:p w14:paraId="25AB8F50" w14:textId="708EFF33" w:rsidR="004C3CD1" w:rsidRDefault="004C3CD1" w:rsidP="00C02648">
            <w:pPr>
              <w:pStyle w:val="Tabletext"/>
              <w:rPr>
                <w:i/>
              </w:rPr>
            </w:pPr>
            <w:r>
              <w:t>Advanced Measurement Approach for determining operational risk</w:t>
            </w:r>
            <w:r w:rsidR="00587874">
              <w:t xml:space="preserve"> capital</w:t>
            </w:r>
            <w:r w:rsidR="000F508D">
              <w:t>.</w:t>
            </w:r>
          </w:p>
        </w:tc>
      </w:tr>
      <w:tr w:rsidR="00B67E5E" w14:paraId="136695B5" w14:textId="77777777" w:rsidTr="004A3668">
        <w:tc>
          <w:tcPr>
            <w:tcW w:w="2083" w:type="dxa"/>
            <w:tcBorders>
              <w:bottom w:val="single" w:sz="4" w:space="0" w:color="FFFFFF" w:themeColor="background1"/>
            </w:tcBorders>
            <w:shd w:val="clear" w:color="auto" w:fill="002060"/>
          </w:tcPr>
          <w:p w14:paraId="18E98AED" w14:textId="3C166A9D" w:rsidR="00B67E5E" w:rsidRDefault="00B67E5E" w:rsidP="00B94BE8">
            <w:pPr>
              <w:pStyle w:val="Tableheading"/>
            </w:pPr>
            <w:r>
              <w:t>APG 223</w:t>
            </w:r>
          </w:p>
        </w:tc>
        <w:tc>
          <w:tcPr>
            <w:tcW w:w="6943" w:type="dxa"/>
            <w:tcBorders>
              <w:bottom w:val="single" w:sz="4" w:space="0" w:color="FFFFFF" w:themeColor="background1"/>
            </w:tcBorders>
            <w:shd w:val="clear" w:color="auto" w:fill="F2F2F2" w:themeFill="background1" w:themeFillShade="F2"/>
          </w:tcPr>
          <w:p w14:paraId="52835527" w14:textId="4304EE7D" w:rsidR="00B67E5E" w:rsidRPr="0094642D" w:rsidRDefault="00B67E5E" w:rsidP="00C02648">
            <w:pPr>
              <w:pStyle w:val="Tabletext"/>
              <w:rPr>
                <w:i/>
              </w:rPr>
            </w:pPr>
            <w:r w:rsidRPr="0094642D">
              <w:rPr>
                <w:i/>
              </w:rPr>
              <w:t>Prudential Practice Guide APG 223 Residential Mortgage Lending</w:t>
            </w:r>
          </w:p>
        </w:tc>
      </w:tr>
      <w:tr w:rsidR="00B225F4" w14:paraId="19896A53" w14:textId="77777777" w:rsidTr="004A3668">
        <w:tc>
          <w:tcPr>
            <w:tcW w:w="2083" w:type="dxa"/>
            <w:tcBorders>
              <w:bottom w:val="single" w:sz="4" w:space="0" w:color="FFFFFF" w:themeColor="background1"/>
            </w:tcBorders>
            <w:shd w:val="clear" w:color="auto" w:fill="002060"/>
          </w:tcPr>
          <w:p w14:paraId="6E603A0C" w14:textId="330F0A2C" w:rsidR="00B225F4" w:rsidRPr="005D1D3A" w:rsidRDefault="00E00BDC" w:rsidP="00B94BE8">
            <w:pPr>
              <w:pStyle w:val="Tableheading"/>
              <w:rPr>
                <w:i/>
              </w:rPr>
            </w:pPr>
            <w:r>
              <w:t>APRA</w:t>
            </w:r>
          </w:p>
        </w:tc>
        <w:tc>
          <w:tcPr>
            <w:tcW w:w="6943" w:type="dxa"/>
            <w:tcBorders>
              <w:bottom w:val="single" w:sz="4" w:space="0" w:color="FFFFFF" w:themeColor="background1"/>
            </w:tcBorders>
            <w:shd w:val="clear" w:color="auto" w:fill="F2F2F2" w:themeFill="background1" w:themeFillShade="F2"/>
          </w:tcPr>
          <w:p w14:paraId="7C9FCD06" w14:textId="5F3897ED" w:rsidR="00B225F4" w:rsidRDefault="00E00BDC" w:rsidP="00C02648">
            <w:pPr>
              <w:pStyle w:val="Tabletext"/>
            </w:pPr>
            <w:r>
              <w:t>Australian Prudential Regulation Authority</w:t>
            </w:r>
          </w:p>
        </w:tc>
      </w:tr>
      <w:tr w:rsidR="00E00BDC" w14:paraId="4B2B95DB" w14:textId="77777777" w:rsidTr="004A3668">
        <w:tc>
          <w:tcPr>
            <w:tcW w:w="2083" w:type="dxa"/>
            <w:tcBorders>
              <w:bottom w:val="single" w:sz="4" w:space="0" w:color="FFFFFF" w:themeColor="background1"/>
            </w:tcBorders>
            <w:shd w:val="clear" w:color="auto" w:fill="002060"/>
          </w:tcPr>
          <w:p w14:paraId="1592D6B0" w14:textId="71650F39" w:rsidR="00E00BDC" w:rsidRDefault="00E435DE" w:rsidP="00B94BE8">
            <w:pPr>
              <w:pStyle w:val="Tableheading"/>
            </w:pPr>
            <w:r>
              <w:t>APS 112</w:t>
            </w:r>
          </w:p>
        </w:tc>
        <w:tc>
          <w:tcPr>
            <w:tcW w:w="6943" w:type="dxa"/>
            <w:tcBorders>
              <w:bottom w:val="single" w:sz="4" w:space="0" w:color="FFFFFF" w:themeColor="background1"/>
            </w:tcBorders>
            <w:shd w:val="clear" w:color="auto" w:fill="F2F2F2" w:themeFill="background1" w:themeFillShade="F2"/>
          </w:tcPr>
          <w:p w14:paraId="3D42EA84" w14:textId="1C0576F3" w:rsidR="00E00BDC" w:rsidRPr="0094642D" w:rsidRDefault="00E435DE" w:rsidP="00C02648">
            <w:pPr>
              <w:pStyle w:val="Tabletext"/>
              <w:rPr>
                <w:i/>
              </w:rPr>
            </w:pPr>
            <w:r w:rsidRPr="0094642D">
              <w:rPr>
                <w:i/>
              </w:rPr>
              <w:t>Prudential Standard APS 112 Capital Adequacy: Standardised Approach to Credit Risk</w:t>
            </w:r>
          </w:p>
        </w:tc>
      </w:tr>
      <w:tr w:rsidR="00E435DE" w14:paraId="417BB1FF" w14:textId="77777777" w:rsidTr="004A3668">
        <w:tc>
          <w:tcPr>
            <w:tcW w:w="2083" w:type="dxa"/>
            <w:tcBorders>
              <w:bottom w:val="single" w:sz="4" w:space="0" w:color="FFFFFF" w:themeColor="background1"/>
            </w:tcBorders>
            <w:shd w:val="clear" w:color="auto" w:fill="002060"/>
          </w:tcPr>
          <w:p w14:paraId="5689BA59" w14:textId="0CE15F1F" w:rsidR="00E435DE" w:rsidRDefault="00E435DE" w:rsidP="00B94BE8">
            <w:pPr>
              <w:pStyle w:val="Tableheading"/>
            </w:pPr>
            <w:r>
              <w:t>APS 113</w:t>
            </w:r>
          </w:p>
        </w:tc>
        <w:tc>
          <w:tcPr>
            <w:tcW w:w="6943" w:type="dxa"/>
            <w:tcBorders>
              <w:bottom w:val="single" w:sz="4" w:space="0" w:color="FFFFFF" w:themeColor="background1"/>
            </w:tcBorders>
            <w:shd w:val="clear" w:color="auto" w:fill="F2F2F2" w:themeFill="background1" w:themeFillShade="F2"/>
          </w:tcPr>
          <w:p w14:paraId="7CBEDEF1" w14:textId="3380D341" w:rsidR="00E435DE" w:rsidRPr="0094642D" w:rsidRDefault="00E435DE" w:rsidP="00C02648">
            <w:pPr>
              <w:pStyle w:val="Tabletext"/>
              <w:rPr>
                <w:i/>
              </w:rPr>
            </w:pPr>
            <w:r w:rsidRPr="0094642D">
              <w:rPr>
                <w:i/>
              </w:rPr>
              <w:t>Prudential Standard APS 113 Capital Adequacy: Internal Ratings-based Approach to Credit Risk</w:t>
            </w:r>
          </w:p>
        </w:tc>
      </w:tr>
      <w:tr w:rsidR="007F4A4F" w14:paraId="0B9F5A7D" w14:textId="77777777" w:rsidTr="004A3668">
        <w:tc>
          <w:tcPr>
            <w:tcW w:w="2083" w:type="dxa"/>
            <w:tcBorders>
              <w:bottom w:val="single" w:sz="4" w:space="0" w:color="FFFFFF" w:themeColor="background1"/>
            </w:tcBorders>
            <w:shd w:val="clear" w:color="auto" w:fill="002060"/>
          </w:tcPr>
          <w:p w14:paraId="26B0C8E3" w14:textId="0DEDE15C" w:rsidR="007F4A4F" w:rsidRDefault="007F4A4F" w:rsidP="00B94BE8">
            <w:pPr>
              <w:pStyle w:val="Tableheading"/>
            </w:pPr>
            <w:r>
              <w:t>APS 114</w:t>
            </w:r>
          </w:p>
        </w:tc>
        <w:tc>
          <w:tcPr>
            <w:tcW w:w="6943" w:type="dxa"/>
            <w:tcBorders>
              <w:bottom w:val="single" w:sz="4" w:space="0" w:color="FFFFFF" w:themeColor="background1"/>
            </w:tcBorders>
            <w:shd w:val="clear" w:color="auto" w:fill="F2F2F2" w:themeFill="background1" w:themeFillShade="F2"/>
          </w:tcPr>
          <w:p w14:paraId="6717803C" w14:textId="772B0AF0" w:rsidR="007F4A4F" w:rsidRPr="0094642D" w:rsidRDefault="007F4A4F" w:rsidP="00C02648">
            <w:pPr>
              <w:pStyle w:val="Tabletext"/>
              <w:rPr>
                <w:i/>
              </w:rPr>
            </w:pPr>
            <w:r w:rsidRPr="0094642D">
              <w:rPr>
                <w:i/>
              </w:rPr>
              <w:t>Prudential Standard APS 114 Capital Adequacy: Standardised Approach to Operational Risk</w:t>
            </w:r>
          </w:p>
        </w:tc>
      </w:tr>
      <w:tr w:rsidR="007F4A4F" w14:paraId="19BCA720" w14:textId="77777777" w:rsidTr="004A3668">
        <w:tc>
          <w:tcPr>
            <w:tcW w:w="2083" w:type="dxa"/>
            <w:tcBorders>
              <w:bottom w:val="single" w:sz="4" w:space="0" w:color="FFFFFF" w:themeColor="background1"/>
            </w:tcBorders>
            <w:shd w:val="clear" w:color="auto" w:fill="002060"/>
          </w:tcPr>
          <w:p w14:paraId="05AF3BF2" w14:textId="0EDACFC9" w:rsidR="007F4A4F" w:rsidRDefault="007F4A4F" w:rsidP="00B94BE8">
            <w:pPr>
              <w:pStyle w:val="Tableheading"/>
            </w:pPr>
            <w:r>
              <w:t>APS 115</w:t>
            </w:r>
          </w:p>
        </w:tc>
        <w:tc>
          <w:tcPr>
            <w:tcW w:w="6943" w:type="dxa"/>
            <w:tcBorders>
              <w:bottom w:val="single" w:sz="4" w:space="0" w:color="FFFFFF" w:themeColor="background1"/>
            </w:tcBorders>
            <w:shd w:val="clear" w:color="auto" w:fill="F2F2F2" w:themeFill="background1" w:themeFillShade="F2"/>
          </w:tcPr>
          <w:p w14:paraId="2E9B5FF3" w14:textId="7800B131" w:rsidR="007F4A4F" w:rsidRPr="0094642D" w:rsidRDefault="007F4A4F" w:rsidP="00C02648">
            <w:pPr>
              <w:pStyle w:val="Tabletext"/>
              <w:rPr>
                <w:i/>
              </w:rPr>
            </w:pPr>
            <w:r w:rsidRPr="0094642D">
              <w:rPr>
                <w:i/>
              </w:rPr>
              <w:t>Prudential Standard APS 115 Capital Adequacy: Advanced Measurement Approaches to Operational Risk</w:t>
            </w:r>
          </w:p>
        </w:tc>
      </w:tr>
      <w:tr w:rsidR="00E435DE" w14:paraId="50F233A2" w14:textId="77777777" w:rsidTr="004A3668">
        <w:tc>
          <w:tcPr>
            <w:tcW w:w="2083" w:type="dxa"/>
            <w:tcBorders>
              <w:bottom w:val="single" w:sz="4" w:space="0" w:color="FFFFFF" w:themeColor="background1"/>
            </w:tcBorders>
            <w:shd w:val="clear" w:color="auto" w:fill="002060"/>
          </w:tcPr>
          <w:p w14:paraId="7A3A6639" w14:textId="15C4BC08" w:rsidR="00E435DE" w:rsidRDefault="00E435DE" w:rsidP="00B94BE8">
            <w:pPr>
              <w:pStyle w:val="Tableheading"/>
            </w:pPr>
            <w:r>
              <w:t>APS 116</w:t>
            </w:r>
          </w:p>
        </w:tc>
        <w:tc>
          <w:tcPr>
            <w:tcW w:w="6943" w:type="dxa"/>
            <w:tcBorders>
              <w:bottom w:val="single" w:sz="4" w:space="0" w:color="FFFFFF" w:themeColor="background1"/>
            </w:tcBorders>
            <w:shd w:val="clear" w:color="auto" w:fill="F2F2F2" w:themeFill="background1" w:themeFillShade="F2"/>
          </w:tcPr>
          <w:p w14:paraId="2D7086DA" w14:textId="5588A9A2" w:rsidR="00E435DE" w:rsidRPr="0094642D" w:rsidRDefault="00E435DE" w:rsidP="00C02648">
            <w:pPr>
              <w:pStyle w:val="Tabletext"/>
              <w:rPr>
                <w:i/>
              </w:rPr>
            </w:pPr>
            <w:r w:rsidRPr="0094642D">
              <w:rPr>
                <w:i/>
              </w:rPr>
              <w:t>Prudential Standard APS 116 Capital Adequacy: Market Risk</w:t>
            </w:r>
          </w:p>
        </w:tc>
      </w:tr>
      <w:tr w:rsidR="00E435DE" w14:paraId="4AA7A50B" w14:textId="77777777" w:rsidTr="004A3668">
        <w:tc>
          <w:tcPr>
            <w:tcW w:w="2083" w:type="dxa"/>
            <w:tcBorders>
              <w:bottom w:val="single" w:sz="4" w:space="0" w:color="FFFFFF" w:themeColor="background1"/>
            </w:tcBorders>
            <w:shd w:val="clear" w:color="auto" w:fill="002060"/>
          </w:tcPr>
          <w:p w14:paraId="6CEC5370" w14:textId="75AF7F5D" w:rsidR="00E435DE" w:rsidRDefault="00E435DE" w:rsidP="00B94BE8">
            <w:pPr>
              <w:pStyle w:val="Tableheading"/>
            </w:pPr>
            <w:r>
              <w:t>APS 117</w:t>
            </w:r>
          </w:p>
        </w:tc>
        <w:tc>
          <w:tcPr>
            <w:tcW w:w="6943" w:type="dxa"/>
            <w:tcBorders>
              <w:bottom w:val="single" w:sz="4" w:space="0" w:color="FFFFFF" w:themeColor="background1"/>
            </w:tcBorders>
            <w:shd w:val="clear" w:color="auto" w:fill="F2F2F2" w:themeFill="background1" w:themeFillShade="F2"/>
          </w:tcPr>
          <w:p w14:paraId="4149E374" w14:textId="08F05182" w:rsidR="00E435DE" w:rsidRPr="0094642D" w:rsidRDefault="00E435DE" w:rsidP="00C02648">
            <w:pPr>
              <w:pStyle w:val="Tabletext"/>
              <w:rPr>
                <w:i/>
              </w:rPr>
            </w:pPr>
            <w:r w:rsidRPr="0094642D">
              <w:rPr>
                <w:i/>
              </w:rPr>
              <w:t xml:space="preserve">Prudential Standard APS 117 </w:t>
            </w:r>
            <w:r w:rsidR="007F4A4F" w:rsidRPr="0094642D">
              <w:rPr>
                <w:i/>
              </w:rPr>
              <w:t>Capital Adequacy: Interest Rate Risk in the Banking Book (Advanced ADIs)</w:t>
            </w:r>
          </w:p>
        </w:tc>
      </w:tr>
      <w:tr w:rsidR="006E3B90" w14:paraId="0B95ACC3" w14:textId="77777777" w:rsidTr="004A3668">
        <w:tc>
          <w:tcPr>
            <w:tcW w:w="2083" w:type="dxa"/>
            <w:tcBorders>
              <w:bottom w:val="single" w:sz="4" w:space="0" w:color="FFFFFF" w:themeColor="background1"/>
            </w:tcBorders>
            <w:shd w:val="clear" w:color="auto" w:fill="002060"/>
          </w:tcPr>
          <w:p w14:paraId="64ADE6E6" w14:textId="058D4CC5" w:rsidR="006E3B90" w:rsidRDefault="006E3B90" w:rsidP="00B94BE8">
            <w:pPr>
              <w:pStyle w:val="Tableheading"/>
            </w:pPr>
            <w:r>
              <w:t>APS 330</w:t>
            </w:r>
          </w:p>
        </w:tc>
        <w:tc>
          <w:tcPr>
            <w:tcW w:w="6943" w:type="dxa"/>
            <w:tcBorders>
              <w:bottom w:val="single" w:sz="4" w:space="0" w:color="FFFFFF" w:themeColor="background1"/>
            </w:tcBorders>
            <w:shd w:val="clear" w:color="auto" w:fill="F2F2F2" w:themeFill="background1" w:themeFillShade="F2"/>
          </w:tcPr>
          <w:p w14:paraId="7E7FE589" w14:textId="7C3B563A" w:rsidR="006E3B90" w:rsidRPr="0094642D" w:rsidRDefault="006E3B90" w:rsidP="00C02648">
            <w:pPr>
              <w:pStyle w:val="Tabletext"/>
              <w:rPr>
                <w:i/>
              </w:rPr>
            </w:pPr>
            <w:r>
              <w:rPr>
                <w:i/>
              </w:rPr>
              <w:t>Prudential Standard APS 330 Public Disclosure</w:t>
            </w:r>
          </w:p>
        </w:tc>
      </w:tr>
      <w:tr w:rsidR="007F4A4F" w14:paraId="574D6D36" w14:textId="77777777" w:rsidTr="004A3668">
        <w:tc>
          <w:tcPr>
            <w:tcW w:w="2083" w:type="dxa"/>
            <w:tcBorders>
              <w:bottom w:val="single" w:sz="4" w:space="0" w:color="FFFFFF" w:themeColor="background1"/>
            </w:tcBorders>
            <w:shd w:val="clear" w:color="auto" w:fill="002060"/>
          </w:tcPr>
          <w:p w14:paraId="0D8263D5" w14:textId="4899815E" w:rsidR="007F4A4F" w:rsidRDefault="007F4A4F" w:rsidP="00B94BE8">
            <w:pPr>
              <w:pStyle w:val="Tableheading"/>
            </w:pPr>
            <w:r>
              <w:t>Basel II</w:t>
            </w:r>
          </w:p>
        </w:tc>
        <w:tc>
          <w:tcPr>
            <w:tcW w:w="6943" w:type="dxa"/>
            <w:tcBorders>
              <w:bottom w:val="single" w:sz="4" w:space="0" w:color="FFFFFF" w:themeColor="background1"/>
            </w:tcBorders>
            <w:shd w:val="clear" w:color="auto" w:fill="F2F2F2" w:themeFill="background1" w:themeFillShade="F2"/>
          </w:tcPr>
          <w:p w14:paraId="5E3CA331" w14:textId="362C86C2" w:rsidR="007F4A4F" w:rsidRDefault="007F4A4F" w:rsidP="00C02648">
            <w:pPr>
              <w:pStyle w:val="Tabletext"/>
            </w:pPr>
            <w:r>
              <w:t>Basel Committee on Banking Supervision</w:t>
            </w:r>
            <w:r w:rsidR="00574A9A">
              <w:t>,</w:t>
            </w:r>
            <w:r>
              <w:t xml:space="preserve"> </w:t>
            </w:r>
            <w:r w:rsidRPr="0094642D">
              <w:rPr>
                <w:i/>
              </w:rPr>
              <w:t>International Convergence of Capital Measurement and Capital Standards A Revised Framework</w:t>
            </w:r>
            <w:r>
              <w:t>, June 2006</w:t>
            </w:r>
            <w:r w:rsidR="000F508D">
              <w:t>.</w:t>
            </w:r>
          </w:p>
        </w:tc>
      </w:tr>
      <w:tr w:rsidR="00B225F4" w14:paraId="2DF2D003" w14:textId="77777777" w:rsidTr="004A3668">
        <w:tc>
          <w:tcPr>
            <w:tcW w:w="2083" w:type="dxa"/>
            <w:tcBorders>
              <w:top w:val="single" w:sz="4" w:space="0" w:color="FFFFFF" w:themeColor="background1"/>
              <w:bottom w:val="single" w:sz="4" w:space="0" w:color="FFFFFF" w:themeColor="background1"/>
            </w:tcBorders>
            <w:shd w:val="clear" w:color="auto" w:fill="002060"/>
          </w:tcPr>
          <w:p w14:paraId="47C0B177" w14:textId="1D1F51A2" w:rsidR="00B225F4" w:rsidRPr="005D1D3A" w:rsidRDefault="00E00BDC">
            <w:pPr>
              <w:pStyle w:val="Tableheading"/>
              <w:rPr>
                <w:i/>
              </w:rPr>
            </w:pPr>
            <w:r>
              <w:lastRenderedPageBreak/>
              <w:t>Basel III</w:t>
            </w:r>
            <w:r w:rsidR="005208D6">
              <w:t xml:space="preserve"> </w:t>
            </w:r>
            <w:r w:rsidR="003A2AB1">
              <w:t>framework</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4F3146F1" w14:textId="661D5C64" w:rsidR="00B225F4" w:rsidRDefault="00A862C7" w:rsidP="00C02648">
            <w:pPr>
              <w:pStyle w:val="Tabletext"/>
            </w:pPr>
            <w:r>
              <w:t>A series of</w:t>
            </w:r>
            <w:r w:rsidDel="00674470">
              <w:t xml:space="preserve"> </w:t>
            </w:r>
            <w:r w:rsidR="00674470">
              <w:t xml:space="preserve">revisions </w:t>
            </w:r>
            <w:r w:rsidR="009C00DD">
              <w:t>to</w:t>
            </w:r>
            <w:r w:rsidR="00AE1143">
              <w:t xml:space="preserve"> the Basel capital framework</w:t>
            </w:r>
            <w:r w:rsidR="00574A9A" w:rsidDel="009C00DD">
              <w:t xml:space="preserve"> </w:t>
            </w:r>
            <w:r w:rsidR="009C00DD">
              <w:t xml:space="preserve">following the global financial crisis </w:t>
            </w:r>
            <w:r>
              <w:t>that commenced with the Basel Committee on Banking Supervision</w:t>
            </w:r>
            <w:r w:rsidR="00A12D1B">
              <w:t>’</w:t>
            </w:r>
            <w:r>
              <w:t xml:space="preserve">s </w:t>
            </w:r>
            <w:r>
              <w:rPr>
                <w:i/>
              </w:rPr>
              <w:t>Basel III: A global regulatory framework for more resilient banks and banking systems</w:t>
            </w:r>
            <w:r w:rsidRPr="007F4A4F">
              <w:t xml:space="preserve">, </w:t>
            </w:r>
            <w:r>
              <w:t>December 2010 (revised June 2011)</w:t>
            </w:r>
            <w:r w:rsidR="0016651D">
              <w:t xml:space="preserve"> and includes</w:t>
            </w:r>
            <w:r w:rsidR="009C4514">
              <w:t xml:space="preserve"> the following reforms</w:t>
            </w:r>
            <w:r w:rsidR="0016651D">
              <w:t>:</w:t>
            </w:r>
          </w:p>
          <w:p w14:paraId="00C5F641" w14:textId="711C7EDA" w:rsidR="0016651D" w:rsidRDefault="0016651D" w:rsidP="003B7654">
            <w:pPr>
              <w:pStyle w:val="APRABULLET"/>
            </w:pPr>
            <w:r w:rsidRPr="003B7654">
              <w:rPr>
                <w:rFonts w:eastAsiaTheme="minorHAnsi"/>
                <w:i/>
              </w:rPr>
              <w:t>Basel III: Finalising post-crisis reforms</w:t>
            </w:r>
            <w:r>
              <w:t>, December 2017, which includes revisions to the frameworks for credit risk, credit valuation risk and operational risk</w:t>
            </w:r>
            <w:r w:rsidR="00900AB2">
              <w:t>,</w:t>
            </w:r>
            <w:r>
              <w:t xml:space="preserve"> </w:t>
            </w:r>
            <w:r w:rsidR="001C2721">
              <w:t xml:space="preserve">and </w:t>
            </w:r>
            <w:r>
              <w:t>introduces a floor on RWA using the standardised approaches</w:t>
            </w:r>
            <w:r w:rsidR="00702970">
              <w:t xml:space="preserve"> and a non-risk-based minimum leverage requirement</w:t>
            </w:r>
            <w:r>
              <w:t xml:space="preserve">; </w:t>
            </w:r>
          </w:p>
          <w:p w14:paraId="4584C905" w14:textId="1E90FBDF" w:rsidR="0016651D" w:rsidRDefault="0016651D" w:rsidP="00900AB2">
            <w:pPr>
              <w:pStyle w:val="APRABULLET"/>
            </w:pPr>
            <w:r w:rsidRPr="003B7654">
              <w:rPr>
                <w:rFonts w:eastAsiaTheme="minorHAnsi"/>
                <w:i/>
              </w:rPr>
              <w:t>Minimum capital requirements for market risk</w:t>
            </w:r>
            <w:r>
              <w:t>, January 2016; and</w:t>
            </w:r>
          </w:p>
          <w:p w14:paraId="46650EBA" w14:textId="5D4431BF" w:rsidR="0016651D" w:rsidRPr="00EC5682" w:rsidRDefault="0016651D" w:rsidP="009C4514">
            <w:pPr>
              <w:pStyle w:val="APRABULLET"/>
            </w:pPr>
            <w:r w:rsidRPr="003B7654">
              <w:rPr>
                <w:rFonts w:eastAsiaTheme="minorHAnsi"/>
                <w:i/>
              </w:rPr>
              <w:t>Interest rate risk in the banking book</w:t>
            </w:r>
            <w:r>
              <w:t>, April 2016</w:t>
            </w:r>
            <w:r w:rsidDel="00674470">
              <w:t>.</w:t>
            </w:r>
          </w:p>
        </w:tc>
      </w:tr>
      <w:tr w:rsidR="001C2721" w14:paraId="4A3757EB" w14:textId="77777777" w:rsidTr="004A3668">
        <w:tc>
          <w:tcPr>
            <w:tcW w:w="2083" w:type="dxa"/>
            <w:tcBorders>
              <w:top w:val="single" w:sz="4" w:space="0" w:color="FFFFFF" w:themeColor="background1"/>
              <w:bottom w:val="single" w:sz="4" w:space="0" w:color="FFFFFF" w:themeColor="background1"/>
            </w:tcBorders>
            <w:shd w:val="clear" w:color="auto" w:fill="002060"/>
          </w:tcPr>
          <w:p w14:paraId="3761131C" w14:textId="665B9B16" w:rsidR="001C2721" w:rsidRDefault="001C2721">
            <w:pPr>
              <w:pStyle w:val="Tableheading"/>
            </w:pPr>
            <w:r>
              <w:t>Basel capital</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2226EBF8" w14:textId="1009AD16" w:rsidR="001C2721" w:rsidRDefault="001C2721" w:rsidP="00C02648">
            <w:pPr>
              <w:pStyle w:val="Tabletext"/>
            </w:pPr>
            <w:r>
              <w:t>The internationally agreed capital framework for banks developed by the Basel Committee on Banking Supervision.</w:t>
            </w:r>
          </w:p>
        </w:tc>
      </w:tr>
      <w:tr w:rsidR="00E00BDC" w14:paraId="34114E94" w14:textId="77777777" w:rsidTr="004A3668">
        <w:tc>
          <w:tcPr>
            <w:tcW w:w="2083" w:type="dxa"/>
            <w:tcBorders>
              <w:top w:val="single" w:sz="4" w:space="0" w:color="FFFFFF" w:themeColor="background1"/>
              <w:bottom w:val="single" w:sz="4" w:space="0" w:color="FFFFFF" w:themeColor="background1"/>
            </w:tcBorders>
            <w:shd w:val="clear" w:color="auto" w:fill="002060"/>
          </w:tcPr>
          <w:p w14:paraId="422EA28A" w14:textId="3933FEA7" w:rsidR="00E00BDC" w:rsidRDefault="00E00BDC" w:rsidP="00B94BE8">
            <w:pPr>
              <w:pStyle w:val="Tableheading"/>
            </w:pPr>
            <w:r>
              <w:t>Basel Committee</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121E6B91" w14:textId="1224E90C" w:rsidR="00E00BDC" w:rsidRDefault="00E00BDC" w:rsidP="00C02648">
            <w:pPr>
              <w:pStyle w:val="Tabletext"/>
            </w:pPr>
            <w:r>
              <w:t>Basel Committee on Banking Supervision</w:t>
            </w:r>
          </w:p>
        </w:tc>
      </w:tr>
      <w:tr w:rsidR="00C9755A" w14:paraId="70893763" w14:textId="77777777" w:rsidTr="004A3668">
        <w:tc>
          <w:tcPr>
            <w:tcW w:w="2083" w:type="dxa"/>
            <w:tcBorders>
              <w:top w:val="single" w:sz="4" w:space="0" w:color="FFFFFF" w:themeColor="background1"/>
              <w:bottom w:val="single" w:sz="4" w:space="0" w:color="FFFFFF" w:themeColor="background1"/>
            </w:tcBorders>
            <w:shd w:val="clear" w:color="auto" w:fill="002060"/>
          </w:tcPr>
          <w:p w14:paraId="67B7BD2C" w14:textId="2E6BE3BB" w:rsidR="00C9755A" w:rsidRDefault="00C9755A" w:rsidP="00B94BE8">
            <w:pPr>
              <w:pStyle w:val="Tableheading"/>
            </w:pPr>
            <w:r>
              <w:t>CCF</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EE133B4" w14:textId="5C214FD8" w:rsidR="00C9755A" w:rsidRDefault="00C9755A" w:rsidP="00C02648">
            <w:pPr>
              <w:pStyle w:val="Tabletext"/>
            </w:pPr>
            <w:r>
              <w:t xml:space="preserve">Credit </w:t>
            </w:r>
            <w:r w:rsidR="000F7781">
              <w:t>c</w:t>
            </w:r>
            <w:r>
              <w:t xml:space="preserve">onversion </w:t>
            </w:r>
            <w:r w:rsidR="000F7781">
              <w:t>f</w:t>
            </w:r>
            <w:r>
              <w:t>actor</w:t>
            </w:r>
          </w:p>
        </w:tc>
      </w:tr>
      <w:tr w:rsidR="004F2679" w14:paraId="5703A37B" w14:textId="77777777" w:rsidTr="004A3668">
        <w:tc>
          <w:tcPr>
            <w:tcW w:w="2083" w:type="dxa"/>
            <w:tcBorders>
              <w:top w:val="single" w:sz="4" w:space="0" w:color="FFFFFF" w:themeColor="background1"/>
              <w:bottom w:val="single" w:sz="4" w:space="0" w:color="FFFFFF" w:themeColor="background1"/>
            </w:tcBorders>
            <w:shd w:val="clear" w:color="auto" w:fill="002060"/>
          </w:tcPr>
          <w:p w14:paraId="66D60A65" w14:textId="3D34844E" w:rsidR="004F2679" w:rsidRDefault="004F2679" w:rsidP="00B94BE8">
            <w:pPr>
              <w:pStyle w:val="Tableheading"/>
            </w:pPr>
            <w:r>
              <w:t>Correlation factor</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C59AB0B" w14:textId="686976C1" w:rsidR="004F2679" w:rsidRDefault="00BD1292" w:rsidP="00C02648">
            <w:pPr>
              <w:pStyle w:val="Tabletext"/>
            </w:pPr>
            <w:r>
              <w:t xml:space="preserve">An input into the </w:t>
            </w:r>
            <w:r w:rsidR="00780D56">
              <w:t>IRB</w:t>
            </w:r>
            <w:r w:rsidR="00702970">
              <w:t xml:space="preserve"> </w:t>
            </w:r>
            <w:r>
              <w:t xml:space="preserve">risk-weight function that reflects the dependence of </w:t>
            </w:r>
            <w:r w:rsidR="0089116C">
              <w:t xml:space="preserve">the borrower </w:t>
            </w:r>
            <w:r>
              <w:t xml:space="preserve">on </w:t>
            </w:r>
            <w:r w:rsidR="00F13D4F">
              <w:t xml:space="preserve">the general state of the </w:t>
            </w:r>
            <w:r>
              <w:t>economy</w:t>
            </w:r>
            <w:r w:rsidR="000F508D">
              <w:t>.</w:t>
            </w:r>
          </w:p>
        </w:tc>
      </w:tr>
      <w:tr w:rsidR="00C9755A" w14:paraId="714ADCBA" w14:textId="77777777" w:rsidTr="004A3668">
        <w:tc>
          <w:tcPr>
            <w:tcW w:w="2083" w:type="dxa"/>
            <w:tcBorders>
              <w:top w:val="single" w:sz="4" w:space="0" w:color="FFFFFF" w:themeColor="background1"/>
              <w:bottom w:val="single" w:sz="4" w:space="0" w:color="FFFFFF" w:themeColor="background1"/>
            </w:tcBorders>
            <w:shd w:val="clear" w:color="auto" w:fill="002060"/>
          </w:tcPr>
          <w:p w14:paraId="7848CE4C" w14:textId="5746C016" w:rsidR="00C9755A" w:rsidRDefault="00C9755A" w:rsidP="00B94BE8">
            <w:pPr>
              <w:pStyle w:val="Tableheading"/>
            </w:pPr>
            <w:r>
              <w:t>EAD</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1C1F213D" w14:textId="69E60FD6" w:rsidR="00C9755A" w:rsidRDefault="00C9755A" w:rsidP="00C02648">
            <w:pPr>
              <w:pStyle w:val="Tabletext"/>
            </w:pPr>
            <w:r>
              <w:t>Exposure at default</w:t>
            </w:r>
          </w:p>
        </w:tc>
      </w:tr>
      <w:tr w:rsidR="004C3CD1" w14:paraId="1D89B1A2" w14:textId="77777777" w:rsidTr="004A3668">
        <w:tc>
          <w:tcPr>
            <w:tcW w:w="2083" w:type="dxa"/>
            <w:tcBorders>
              <w:top w:val="single" w:sz="4" w:space="0" w:color="FFFFFF" w:themeColor="background1"/>
              <w:bottom w:val="single" w:sz="4" w:space="0" w:color="FFFFFF" w:themeColor="background1"/>
            </w:tcBorders>
            <w:shd w:val="clear" w:color="auto" w:fill="002060"/>
          </w:tcPr>
          <w:p w14:paraId="797D2C49" w14:textId="785C0652" w:rsidR="004C3CD1" w:rsidRDefault="004C3CD1" w:rsidP="00E00BDC">
            <w:pPr>
              <w:pStyle w:val="Tableheading"/>
            </w:pPr>
            <w:r>
              <w:t>FSI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5218D3FF" w14:textId="12B5DBB5" w:rsidR="004C3CD1" w:rsidRDefault="004C3CD1" w:rsidP="00C02648">
            <w:pPr>
              <w:pStyle w:val="Tabletext"/>
            </w:pPr>
            <w:r>
              <w:t>Financial System Inquiry</w:t>
            </w:r>
          </w:p>
        </w:tc>
      </w:tr>
      <w:tr w:rsidR="00E00BDC" w14:paraId="582CD542" w14:textId="77777777" w:rsidTr="004A3668">
        <w:tc>
          <w:tcPr>
            <w:tcW w:w="2083" w:type="dxa"/>
            <w:tcBorders>
              <w:top w:val="single" w:sz="4" w:space="0" w:color="FFFFFF" w:themeColor="background1"/>
              <w:bottom w:val="single" w:sz="4" w:space="0" w:color="FFFFFF" w:themeColor="background1"/>
            </w:tcBorders>
            <w:shd w:val="clear" w:color="auto" w:fill="002060"/>
          </w:tcPr>
          <w:p w14:paraId="3804AEBD" w14:textId="59E91DB0" w:rsidR="00E00BDC" w:rsidRDefault="00E00BDC" w:rsidP="00E00BDC">
            <w:pPr>
              <w:pStyle w:val="Tableheading"/>
            </w:pPr>
            <w:r>
              <w:t>IRB</w:t>
            </w:r>
            <w:r w:rsidR="00A12D1B">
              <w:t xml:space="preserve"> ADI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26B06559" w14:textId="21C72EE6" w:rsidR="00E00BDC" w:rsidRDefault="00A12D1B" w:rsidP="00C02648">
            <w:pPr>
              <w:pStyle w:val="Tabletext"/>
            </w:pPr>
            <w:r>
              <w:t xml:space="preserve">An ADI </w:t>
            </w:r>
            <w:r w:rsidR="00EC730D">
              <w:t xml:space="preserve">that has been granted </w:t>
            </w:r>
            <w:r>
              <w:t xml:space="preserve">approval </w:t>
            </w:r>
            <w:r w:rsidR="003D2790">
              <w:t xml:space="preserve">from APRA </w:t>
            </w:r>
            <w:r>
              <w:t>to adopt the i</w:t>
            </w:r>
            <w:r w:rsidR="00E00BDC">
              <w:t xml:space="preserve">nternal ratings-based approach </w:t>
            </w:r>
            <w:r w:rsidR="00EC730D">
              <w:t>for determining its capital adequacy requirements for</w:t>
            </w:r>
            <w:r w:rsidR="00E00BDC">
              <w:t xml:space="preserve"> credit risk</w:t>
            </w:r>
            <w:r w:rsidR="000F508D">
              <w:t>.</w:t>
            </w:r>
          </w:p>
        </w:tc>
      </w:tr>
      <w:tr w:rsidR="00DC4AE0" w14:paraId="3949AEBE" w14:textId="77777777" w:rsidTr="004A3668">
        <w:tc>
          <w:tcPr>
            <w:tcW w:w="2083" w:type="dxa"/>
            <w:tcBorders>
              <w:top w:val="single" w:sz="4" w:space="0" w:color="FFFFFF" w:themeColor="background1"/>
              <w:bottom w:val="single" w:sz="4" w:space="0" w:color="FFFFFF" w:themeColor="background1"/>
            </w:tcBorders>
            <w:shd w:val="clear" w:color="auto" w:fill="002060"/>
          </w:tcPr>
          <w:p w14:paraId="43137AED" w14:textId="29563A89" w:rsidR="00DC4AE0" w:rsidRDefault="00DC4AE0" w:rsidP="00E00BDC">
            <w:pPr>
              <w:pStyle w:val="Tableheading"/>
            </w:pPr>
            <w:r>
              <w:t>IRB risk-weight function</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5D5FA4FF" w14:textId="0B851062" w:rsidR="00DC4AE0" w:rsidRDefault="00DC4AE0" w:rsidP="00C02648">
            <w:pPr>
              <w:pStyle w:val="Tabletext"/>
            </w:pPr>
            <w:r>
              <w:t xml:space="preserve">A </w:t>
            </w:r>
            <w:r w:rsidR="00395337">
              <w:t xml:space="preserve">series of </w:t>
            </w:r>
            <w:r>
              <w:t>formula</w:t>
            </w:r>
            <w:r w:rsidR="00395337">
              <w:t>e</w:t>
            </w:r>
            <w:r>
              <w:t xml:space="preserve"> </w:t>
            </w:r>
            <w:r w:rsidR="00395337">
              <w:t xml:space="preserve">within the </w:t>
            </w:r>
            <w:r w:rsidR="009A5CE6">
              <w:t>internal ratings-based</w:t>
            </w:r>
            <w:r w:rsidR="00395337">
              <w:t xml:space="preserve"> approach that uses </w:t>
            </w:r>
            <w:r w:rsidR="009A5CE6">
              <w:t xml:space="preserve">the </w:t>
            </w:r>
            <w:r w:rsidR="00395337">
              <w:t>ADI</w:t>
            </w:r>
            <w:r w:rsidR="009A5CE6">
              <w:t>’s own</w:t>
            </w:r>
            <w:r w:rsidR="00395337">
              <w:t xml:space="preserve"> estimates of </w:t>
            </w:r>
            <w:r w:rsidR="009A5CE6">
              <w:t xml:space="preserve">the probability of default, loss given default and exposure at default </w:t>
            </w:r>
            <w:r>
              <w:t>to determine capital requirements</w:t>
            </w:r>
            <w:r w:rsidR="000F508D">
              <w:t>.</w:t>
            </w:r>
          </w:p>
        </w:tc>
      </w:tr>
      <w:tr w:rsidR="00E435DE" w14:paraId="74553176" w14:textId="77777777" w:rsidTr="004A3668">
        <w:tc>
          <w:tcPr>
            <w:tcW w:w="2083" w:type="dxa"/>
            <w:tcBorders>
              <w:top w:val="single" w:sz="4" w:space="0" w:color="FFFFFF" w:themeColor="background1"/>
              <w:bottom w:val="single" w:sz="4" w:space="0" w:color="FFFFFF" w:themeColor="background1"/>
            </w:tcBorders>
            <w:shd w:val="clear" w:color="auto" w:fill="002060"/>
          </w:tcPr>
          <w:p w14:paraId="2CDF1ABF" w14:textId="0D0B6881" w:rsidR="00E435DE" w:rsidRDefault="00E435DE" w:rsidP="00E00BDC">
            <w:pPr>
              <w:pStyle w:val="Tableheading"/>
            </w:pPr>
            <w:r>
              <w:lastRenderedPageBreak/>
              <w:t>IRRBB</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611CF95" w14:textId="7CF2D97C" w:rsidR="00E435DE" w:rsidRDefault="00E435DE" w:rsidP="00C02648">
            <w:pPr>
              <w:pStyle w:val="Tabletext"/>
            </w:pPr>
            <w:r>
              <w:t>Interest rate risk in the banking book</w:t>
            </w:r>
          </w:p>
        </w:tc>
      </w:tr>
      <w:tr w:rsidR="000C5FB2" w14:paraId="3A30BDEE" w14:textId="77777777" w:rsidTr="004A3668">
        <w:tc>
          <w:tcPr>
            <w:tcW w:w="2083" w:type="dxa"/>
            <w:tcBorders>
              <w:top w:val="single" w:sz="4" w:space="0" w:color="FFFFFF" w:themeColor="background1"/>
              <w:bottom w:val="single" w:sz="4" w:space="0" w:color="FFFFFF" w:themeColor="background1"/>
            </w:tcBorders>
            <w:shd w:val="clear" w:color="auto" w:fill="002060"/>
          </w:tcPr>
          <w:p w14:paraId="75F1D65C" w14:textId="2F8274BD" w:rsidR="000C5FB2" w:rsidRDefault="000C5FB2" w:rsidP="00E00BDC">
            <w:pPr>
              <w:pStyle w:val="Tableheading"/>
            </w:pPr>
            <w:r>
              <w:t>July 2017 information paper</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59B970FF" w14:textId="535C4AEB" w:rsidR="000C5FB2" w:rsidRDefault="000C5FB2" w:rsidP="00C02648">
            <w:pPr>
              <w:pStyle w:val="Tabletext"/>
            </w:pPr>
            <w:r>
              <w:t xml:space="preserve">APRA, </w:t>
            </w:r>
            <w:r>
              <w:rPr>
                <w:i/>
              </w:rPr>
              <w:t>Strengthening banking sector resilience: establishing unquestionably strong capital ratios</w:t>
            </w:r>
            <w:r>
              <w:t>, 19 July 2017</w:t>
            </w:r>
          </w:p>
        </w:tc>
      </w:tr>
      <w:tr w:rsidR="00C9755A" w14:paraId="189DD1C5" w14:textId="77777777" w:rsidTr="004A3668">
        <w:tc>
          <w:tcPr>
            <w:tcW w:w="2083" w:type="dxa"/>
            <w:tcBorders>
              <w:top w:val="single" w:sz="4" w:space="0" w:color="FFFFFF" w:themeColor="background1"/>
              <w:bottom w:val="single" w:sz="4" w:space="0" w:color="FFFFFF" w:themeColor="background1"/>
            </w:tcBorders>
            <w:shd w:val="clear" w:color="auto" w:fill="002060"/>
          </w:tcPr>
          <w:p w14:paraId="6DCCDC8C" w14:textId="2C45BCD3" w:rsidR="00C9755A" w:rsidRDefault="00C9755A" w:rsidP="00E00BDC">
            <w:pPr>
              <w:pStyle w:val="Tableheading"/>
            </w:pPr>
            <w:r>
              <w:t>LGD</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6735DE4B" w14:textId="3BB17C79" w:rsidR="00C9755A" w:rsidRDefault="00C9755A" w:rsidP="00C02648">
            <w:pPr>
              <w:pStyle w:val="Tabletext"/>
            </w:pPr>
            <w:r>
              <w:t>Loss given default</w:t>
            </w:r>
          </w:p>
        </w:tc>
      </w:tr>
      <w:tr w:rsidR="009C4514" w14:paraId="07D70727" w14:textId="77777777" w:rsidTr="004A3668">
        <w:tc>
          <w:tcPr>
            <w:tcW w:w="2083" w:type="dxa"/>
            <w:tcBorders>
              <w:top w:val="single" w:sz="4" w:space="0" w:color="FFFFFF" w:themeColor="background1"/>
              <w:bottom w:val="single" w:sz="4" w:space="0" w:color="FFFFFF" w:themeColor="background1"/>
            </w:tcBorders>
            <w:shd w:val="clear" w:color="auto" w:fill="002060"/>
          </w:tcPr>
          <w:p w14:paraId="6FE4CD6D" w14:textId="757087E4" w:rsidR="009C4514" w:rsidRDefault="009C4514" w:rsidP="00E00BDC">
            <w:pPr>
              <w:pStyle w:val="Tableheading"/>
            </w:pPr>
            <w:r>
              <w:t>LVR</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7A9CAD4" w14:textId="7564C588" w:rsidR="009C4514" w:rsidRDefault="009C4514" w:rsidP="00C02648">
            <w:pPr>
              <w:pStyle w:val="Tabletext"/>
            </w:pPr>
            <w:r>
              <w:t>Loan-to-valuation ratio</w:t>
            </w:r>
          </w:p>
        </w:tc>
      </w:tr>
      <w:tr w:rsidR="00693EAF" w14:paraId="351824FE" w14:textId="77777777" w:rsidTr="004A3668">
        <w:tc>
          <w:tcPr>
            <w:tcW w:w="2083" w:type="dxa"/>
            <w:tcBorders>
              <w:top w:val="single" w:sz="4" w:space="0" w:color="FFFFFF" w:themeColor="background1"/>
              <w:bottom w:val="single" w:sz="4" w:space="0" w:color="FFFFFF" w:themeColor="background1"/>
            </w:tcBorders>
            <w:shd w:val="clear" w:color="auto" w:fill="002060"/>
          </w:tcPr>
          <w:p w14:paraId="0E496F1C" w14:textId="31D10661" w:rsidR="00693EAF" w:rsidRDefault="00693EAF" w:rsidP="00693EAF">
            <w:pPr>
              <w:pStyle w:val="Tableheading"/>
            </w:pPr>
            <w:r>
              <w:t>P&amp;I loan</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2384E14" w14:textId="333DD313" w:rsidR="00693EAF" w:rsidRDefault="00693EAF" w:rsidP="00C02648">
            <w:pPr>
              <w:pStyle w:val="Tabletext"/>
            </w:pPr>
            <w:r>
              <w:t>A loan where repayment is on a principal and interest basis</w:t>
            </w:r>
            <w:r w:rsidR="000F508D">
              <w:t>.</w:t>
            </w:r>
          </w:p>
        </w:tc>
      </w:tr>
      <w:tr w:rsidR="004C3CD1" w14:paraId="32C2885B" w14:textId="77777777" w:rsidTr="004A3668">
        <w:tc>
          <w:tcPr>
            <w:tcW w:w="2083" w:type="dxa"/>
            <w:tcBorders>
              <w:top w:val="single" w:sz="4" w:space="0" w:color="FFFFFF" w:themeColor="background1"/>
              <w:bottom w:val="single" w:sz="4" w:space="0" w:color="FFFFFF" w:themeColor="background1"/>
            </w:tcBorders>
            <w:shd w:val="clear" w:color="auto" w:fill="002060"/>
          </w:tcPr>
          <w:p w14:paraId="2FF96E58" w14:textId="26B84433" w:rsidR="004C3CD1" w:rsidRDefault="004C3CD1" w:rsidP="00B94BE8">
            <w:pPr>
              <w:pStyle w:val="Tableheading"/>
            </w:pPr>
            <w:r w:rsidRPr="004C3CD1">
              <w:t>PD</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F0AF76B" w14:textId="61473763" w:rsidR="004C3CD1" w:rsidRDefault="004C3CD1" w:rsidP="00C02648">
            <w:pPr>
              <w:pStyle w:val="Tabletext"/>
            </w:pPr>
            <w:r>
              <w:t>Probability of default</w:t>
            </w:r>
          </w:p>
        </w:tc>
      </w:tr>
      <w:tr w:rsidR="004C3CD1" w14:paraId="67E2D245" w14:textId="77777777" w:rsidTr="004A3668">
        <w:tc>
          <w:tcPr>
            <w:tcW w:w="2083" w:type="dxa"/>
            <w:tcBorders>
              <w:top w:val="single" w:sz="4" w:space="0" w:color="FFFFFF" w:themeColor="background1"/>
              <w:bottom w:val="single" w:sz="4" w:space="0" w:color="FFFFFF" w:themeColor="background1"/>
            </w:tcBorders>
            <w:shd w:val="clear" w:color="auto" w:fill="002060"/>
          </w:tcPr>
          <w:p w14:paraId="5722BFC8" w14:textId="5E2F3D59" w:rsidR="00B225F4" w:rsidRPr="005D1D3A" w:rsidRDefault="00A862C7" w:rsidP="00B94BE8">
            <w:pPr>
              <w:pStyle w:val="Tableheading"/>
              <w:rPr>
                <w:i/>
              </w:rPr>
            </w:pPr>
            <w:r>
              <w:t>QIS</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6B243A70" w14:textId="2333BF8E" w:rsidR="00B225F4" w:rsidRDefault="00A862C7" w:rsidP="00C02648">
            <w:pPr>
              <w:pStyle w:val="Tabletext"/>
            </w:pPr>
            <w:r>
              <w:t>Quantitative Impact Study</w:t>
            </w:r>
          </w:p>
        </w:tc>
      </w:tr>
      <w:tr w:rsidR="004C3CD1" w14:paraId="6ED56786" w14:textId="77777777" w:rsidTr="004A3668">
        <w:tc>
          <w:tcPr>
            <w:tcW w:w="2083" w:type="dxa"/>
            <w:tcBorders>
              <w:top w:val="single" w:sz="4" w:space="0" w:color="FFFFFF" w:themeColor="background1"/>
              <w:bottom w:val="single" w:sz="4" w:space="0" w:color="FFFFFF" w:themeColor="background1"/>
            </w:tcBorders>
            <w:shd w:val="clear" w:color="auto" w:fill="002060"/>
          </w:tcPr>
          <w:p w14:paraId="58EEDF71" w14:textId="77D546F1" w:rsidR="00C9755A" w:rsidRDefault="00C9755A" w:rsidP="00B94BE8">
            <w:pPr>
              <w:pStyle w:val="Tableheading"/>
            </w:pPr>
            <w:r>
              <w:t>QRR</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5EFEC4EB" w14:textId="56A7A7D9" w:rsidR="00C9755A" w:rsidRDefault="00C9755A" w:rsidP="00C02648">
            <w:pPr>
              <w:pStyle w:val="Tabletext"/>
            </w:pPr>
            <w:r>
              <w:t xml:space="preserve">Qualifying </w:t>
            </w:r>
            <w:r w:rsidR="009A5CE6">
              <w:t>r</w:t>
            </w:r>
            <w:r>
              <w:t xml:space="preserve">evolving </w:t>
            </w:r>
            <w:r w:rsidR="009A5CE6">
              <w:t>r</w:t>
            </w:r>
            <w:r>
              <w:t>etail asset class</w:t>
            </w:r>
          </w:p>
        </w:tc>
      </w:tr>
      <w:tr w:rsidR="001050FA" w14:paraId="65F0A609" w14:textId="77777777" w:rsidTr="004A3668">
        <w:tc>
          <w:tcPr>
            <w:tcW w:w="2083" w:type="dxa"/>
            <w:tcBorders>
              <w:top w:val="single" w:sz="4" w:space="0" w:color="FFFFFF" w:themeColor="background1"/>
              <w:bottom w:val="single" w:sz="4" w:space="0" w:color="FFFFFF" w:themeColor="background1"/>
            </w:tcBorders>
            <w:shd w:val="clear" w:color="auto" w:fill="002060"/>
          </w:tcPr>
          <w:p w14:paraId="0E858EB8" w14:textId="3C7E33A4" w:rsidR="001050FA" w:rsidRDefault="001050FA" w:rsidP="00B94BE8">
            <w:pPr>
              <w:pStyle w:val="Tableheading"/>
            </w:pPr>
            <w:r>
              <w:t>RWA</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4C0DD25" w14:textId="792DEC59" w:rsidR="001050FA" w:rsidRDefault="009803D4" w:rsidP="00C02648">
            <w:pPr>
              <w:pStyle w:val="Tabletext"/>
            </w:pPr>
            <w:r>
              <w:t>Risk-weighted asset</w:t>
            </w:r>
          </w:p>
        </w:tc>
      </w:tr>
      <w:tr w:rsidR="00964B69" w14:paraId="4FF05984" w14:textId="77777777" w:rsidTr="004A3668">
        <w:tc>
          <w:tcPr>
            <w:tcW w:w="2083" w:type="dxa"/>
            <w:tcBorders>
              <w:top w:val="single" w:sz="4" w:space="0" w:color="FFFFFF" w:themeColor="background1"/>
              <w:bottom w:val="single" w:sz="4" w:space="0" w:color="FFFFFF" w:themeColor="background1"/>
            </w:tcBorders>
            <w:shd w:val="clear" w:color="auto" w:fill="002060"/>
          </w:tcPr>
          <w:p w14:paraId="6D81B498" w14:textId="6418D06B" w:rsidR="00964B69" w:rsidRDefault="00964B69" w:rsidP="00B94BE8">
            <w:pPr>
              <w:pStyle w:val="Tableheading"/>
            </w:pPr>
            <w:r>
              <w:t>SMA</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23FA2F2B" w14:textId="7282D96A" w:rsidR="00964B69" w:rsidRDefault="00CC0216" w:rsidP="00C02648">
            <w:pPr>
              <w:pStyle w:val="Tabletext"/>
            </w:pPr>
            <w:r>
              <w:t xml:space="preserve">Proposed </w:t>
            </w:r>
            <w:r w:rsidR="00DC2EA5">
              <w:t>S</w:t>
            </w:r>
            <w:r>
              <w:t xml:space="preserve">tandardised </w:t>
            </w:r>
            <w:r w:rsidR="00DC2EA5">
              <w:t>M</w:t>
            </w:r>
            <w:r>
              <w:t xml:space="preserve">easurement </w:t>
            </w:r>
            <w:r w:rsidR="00DC2EA5">
              <w:t>A</w:t>
            </w:r>
            <w:r>
              <w:t>pproach to determine capital adequacy requirements for operational risk</w:t>
            </w:r>
            <w:r w:rsidR="000F508D">
              <w:t>.</w:t>
            </w:r>
          </w:p>
        </w:tc>
      </w:tr>
      <w:tr w:rsidR="004C3CD1" w14:paraId="2FA20874" w14:textId="77777777" w:rsidTr="004A3668">
        <w:tc>
          <w:tcPr>
            <w:tcW w:w="2083" w:type="dxa"/>
            <w:tcBorders>
              <w:top w:val="single" w:sz="4" w:space="0" w:color="FFFFFF" w:themeColor="background1"/>
              <w:bottom w:val="single" w:sz="4" w:space="0" w:color="FFFFFF" w:themeColor="background1"/>
            </w:tcBorders>
            <w:shd w:val="clear" w:color="auto" w:fill="002060"/>
          </w:tcPr>
          <w:p w14:paraId="4D5B5A86" w14:textId="618414FF" w:rsidR="004C3CD1" w:rsidRDefault="004C3CD1" w:rsidP="00B94BE8">
            <w:pPr>
              <w:pStyle w:val="Tableheading"/>
            </w:pPr>
            <w:r>
              <w:t>SME</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44ACAE28" w14:textId="2162E790" w:rsidR="004C3CD1" w:rsidRDefault="004C3CD1" w:rsidP="00C02648">
            <w:pPr>
              <w:pStyle w:val="Tabletext"/>
            </w:pPr>
            <w:r w:rsidRPr="004C3CD1">
              <w:t>Small</w:t>
            </w:r>
            <w:r w:rsidR="00804026">
              <w:t>-</w:t>
            </w:r>
            <w:r w:rsidR="009506E5">
              <w:t xml:space="preserve"> and </w:t>
            </w:r>
            <w:r w:rsidRPr="004C3CD1">
              <w:t>medium</w:t>
            </w:r>
            <w:r w:rsidR="009506E5">
              <w:t>-</w:t>
            </w:r>
            <w:r w:rsidRPr="004C3CD1">
              <w:t>size</w:t>
            </w:r>
            <w:r w:rsidR="00003769">
              <w:t xml:space="preserve">d </w:t>
            </w:r>
            <w:r w:rsidR="009469DA">
              <w:t>enterprises</w:t>
            </w:r>
          </w:p>
        </w:tc>
      </w:tr>
      <w:tr w:rsidR="004C3CD1" w14:paraId="2511A204" w14:textId="77777777" w:rsidTr="004A3668">
        <w:tc>
          <w:tcPr>
            <w:tcW w:w="2083" w:type="dxa"/>
            <w:tcBorders>
              <w:top w:val="single" w:sz="4" w:space="0" w:color="FFFFFF" w:themeColor="background1"/>
              <w:bottom w:val="single" w:sz="4" w:space="0" w:color="FFFFFF" w:themeColor="background1"/>
            </w:tcBorders>
            <w:shd w:val="clear" w:color="auto" w:fill="002060"/>
          </w:tcPr>
          <w:p w14:paraId="6868BF85" w14:textId="6454CDDB" w:rsidR="00A862C7" w:rsidRDefault="00A862C7" w:rsidP="00B94BE8">
            <w:pPr>
              <w:pStyle w:val="Tableheading"/>
            </w:pPr>
            <w:r>
              <w:t>Standardised ADI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158832CD" w14:textId="37D6D0C3" w:rsidR="00A862C7" w:rsidRDefault="00A862C7" w:rsidP="00C02648">
            <w:pPr>
              <w:pStyle w:val="Tabletext"/>
            </w:pPr>
            <w:r>
              <w:t>An ADI that use</w:t>
            </w:r>
            <w:r w:rsidR="00AD6AAB">
              <w:t xml:space="preserve">s </w:t>
            </w:r>
            <w:r>
              <w:t>standardised approach</w:t>
            </w:r>
            <w:r w:rsidR="00AD6AAB">
              <w:t>es</w:t>
            </w:r>
            <w:r>
              <w:t xml:space="preserve"> </w:t>
            </w:r>
            <w:r w:rsidR="00574A9A">
              <w:t xml:space="preserve">to </w:t>
            </w:r>
            <w:r>
              <w:t>determin</w:t>
            </w:r>
            <w:r w:rsidR="00574A9A">
              <w:t>e</w:t>
            </w:r>
            <w:r>
              <w:t xml:space="preserve"> its capital adequacy requirements</w:t>
            </w:r>
            <w:r w:rsidR="000F508D">
              <w:t>.</w:t>
            </w:r>
          </w:p>
        </w:tc>
      </w:tr>
      <w:tr w:rsidR="004C3CD1" w14:paraId="30414BE5" w14:textId="77777777" w:rsidTr="004A3668">
        <w:tc>
          <w:tcPr>
            <w:tcW w:w="2083" w:type="dxa"/>
            <w:tcBorders>
              <w:top w:val="single" w:sz="4" w:space="0" w:color="FFFFFF" w:themeColor="background1"/>
            </w:tcBorders>
            <w:shd w:val="clear" w:color="auto" w:fill="002060"/>
          </w:tcPr>
          <w:p w14:paraId="53729424" w14:textId="0E999697" w:rsidR="000F7781" w:rsidRDefault="000F7781" w:rsidP="00B94BE8">
            <w:pPr>
              <w:pStyle w:val="Tableheading"/>
            </w:pPr>
            <w:r>
              <w:t>Supervisory Slotting</w:t>
            </w:r>
          </w:p>
        </w:tc>
        <w:tc>
          <w:tcPr>
            <w:tcW w:w="6943" w:type="dxa"/>
            <w:tcBorders>
              <w:top w:val="single" w:sz="4" w:space="0" w:color="FFFFFF" w:themeColor="background1"/>
            </w:tcBorders>
            <w:shd w:val="clear" w:color="auto" w:fill="F2F2F2" w:themeFill="background1" w:themeFillShade="F2"/>
          </w:tcPr>
          <w:p w14:paraId="6DAA1054" w14:textId="471389BA" w:rsidR="000F7781" w:rsidRDefault="000F7781" w:rsidP="00C02648">
            <w:pPr>
              <w:pStyle w:val="Tabletext"/>
            </w:pPr>
            <w:r>
              <w:t xml:space="preserve">The supervisory slotting approach </w:t>
            </w:r>
            <w:r w:rsidR="00DC4AE0">
              <w:t xml:space="preserve">to determining capital requirements </w:t>
            </w:r>
            <w:r>
              <w:t xml:space="preserve">within the IRB </w:t>
            </w:r>
            <w:r w:rsidR="00DC4AE0">
              <w:t>approach</w:t>
            </w:r>
            <w:r w:rsidR="000F508D">
              <w:t>.</w:t>
            </w:r>
          </w:p>
        </w:tc>
      </w:tr>
    </w:tbl>
    <w:p w14:paraId="37419ABC" w14:textId="60566647" w:rsidR="00B94BE8" w:rsidRPr="00BB7F20" w:rsidRDefault="00F9221D" w:rsidP="005B20C7">
      <w:pPr>
        <w:pStyle w:val="APRAHEADING1"/>
      </w:pPr>
      <w:bookmarkStart w:id="30" w:name="_Toc492996513"/>
      <w:bookmarkStart w:id="31" w:name="_Toc493154145"/>
      <w:bookmarkStart w:id="32" w:name="_Toc493154591"/>
      <w:bookmarkStart w:id="33" w:name="_Toc493240095"/>
      <w:bookmarkStart w:id="34" w:name="_Toc493240601"/>
      <w:bookmarkStart w:id="35" w:name="_Toc494189564"/>
      <w:bookmarkStart w:id="36" w:name="_Toc496184492"/>
      <w:bookmarkStart w:id="37" w:name="_Toc497209090"/>
      <w:bookmarkStart w:id="38" w:name="_Toc500151917"/>
      <w:r>
        <w:lastRenderedPageBreak/>
        <w:t xml:space="preserve"> </w:t>
      </w:r>
      <w:bookmarkStart w:id="39" w:name="_Toc505676406"/>
      <w:bookmarkStart w:id="40" w:name="_Toc505676498"/>
      <w:bookmarkStart w:id="41" w:name="_Toc505681570"/>
      <w:bookmarkStart w:id="42" w:name="_Toc505681752"/>
      <w:bookmarkStart w:id="43" w:name="_Toc505854696"/>
      <w:bookmarkStart w:id="44" w:name="_Toc506285796"/>
      <w:r>
        <w:t xml:space="preserve">- </w:t>
      </w:r>
      <w:r w:rsidR="000F4536" w:rsidRPr="00BB7F20">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AD9FF67" w14:textId="0DA756A9" w:rsidR="00B94BE8" w:rsidRPr="00BB7F20" w:rsidRDefault="0022088E" w:rsidP="00E96FAE">
      <w:pPr>
        <w:pStyle w:val="APRAHEADING2"/>
      </w:pPr>
      <w:bookmarkStart w:id="45" w:name="_Toc492996514"/>
      <w:bookmarkStart w:id="46" w:name="_Toc493154146"/>
      <w:bookmarkStart w:id="47" w:name="_Toc493154592"/>
      <w:bookmarkStart w:id="48" w:name="_Toc493240096"/>
      <w:bookmarkStart w:id="49" w:name="_Toc493240602"/>
      <w:bookmarkStart w:id="50" w:name="_Toc494189565"/>
      <w:bookmarkStart w:id="51" w:name="_Toc496184493"/>
      <w:bookmarkStart w:id="52" w:name="_Toc497209091"/>
      <w:bookmarkStart w:id="53" w:name="_Toc500151918"/>
      <w:bookmarkStart w:id="54" w:name="_Toc505676407"/>
      <w:bookmarkStart w:id="55" w:name="_Toc505676499"/>
      <w:bookmarkStart w:id="56" w:name="_Toc505681571"/>
      <w:bookmarkStart w:id="57" w:name="_Toc505681753"/>
      <w:bookmarkStart w:id="58" w:name="_Toc505854697"/>
      <w:bookmarkStart w:id="59" w:name="_Toc506285797"/>
      <w:r w:rsidRPr="00BB7F20">
        <w:t>Background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A4586D" w:rsidRPr="00BB7F20">
        <w:t xml:space="preserve"> </w:t>
      </w:r>
    </w:p>
    <w:p w14:paraId="41744002" w14:textId="362FB75B" w:rsidR="00904C35" w:rsidRDefault="00904C35" w:rsidP="00EA78CF">
      <w:pPr>
        <w:pStyle w:val="APRAHEADING3"/>
      </w:pPr>
      <w:r>
        <w:t>The risk-based capital framework</w:t>
      </w:r>
    </w:p>
    <w:p w14:paraId="3674BD7E" w14:textId="6D3B54FF" w:rsidR="00D75802" w:rsidRDefault="00730DDD" w:rsidP="0022088E">
      <w:pPr>
        <w:pStyle w:val="APRANORMAL"/>
        <w:rPr>
          <w:lang w:val="en-AU"/>
        </w:rPr>
      </w:pPr>
      <w:r>
        <w:rPr>
          <w:lang w:val="en-AU"/>
        </w:rPr>
        <w:t xml:space="preserve">Minimum </w:t>
      </w:r>
      <w:r w:rsidR="00356F6F">
        <w:rPr>
          <w:lang w:val="en-AU"/>
        </w:rPr>
        <w:t xml:space="preserve">regulatory </w:t>
      </w:r>
      <w:r>
        <w:rPr>
          <w:lang w:val="en-AU"/>
        </w:rPr>
        <w:t xml:space="preserve">capital requirements for </w:t>
      </w:r>
      <w:r w:rsidR="00891426">
        <w:rPr>
          <w:lang w:val="en-AU"/>
        </w:rPr>
        <w:t xml:space="preserve">banks and other </w:t>
      </w:r>
      <w:r w:rsidR="003B193B">
        <w:rPr>
          <w:lang w:val="en-AU"/>
        </w:rPr>
        <w:t>authorised deposit-taking institutions (</w:t>
      </w:r>
      <w:r w:rsidR="000D5917">
        <w:rPr>
          <w:lang w:val="en-AU"/>
        </w:rPr>
        <w:t>ADIs</w:t>
      </w:r>
      <w:r w:rsidR="003B193B">
        <w:rPr>
          <w:lang w:val="en-AU"/>
        </w:rPr>
        <w:t>)</w:t>
      </w:r>
      <w:r>
        <w:rPr>
          <w:lang w:val="en-AU"/>
        </w:rPr>
        <w:t xml:space="preserve"> in Australia are</w:t>
      </w:r>
      <w:r w:rsidR="00D75802">
        <w:rPr>
          <w:lang w:val="en-AU"/>
        </w:rPr>
        <w:t xml:space="preserve"> </w:t>
      </w:r>
      <w:r w:rsidR="00D75802">
        <w:t xml:space="preserve">designed to broadly reflect risks in their business and ensure </w:t>
      </w:r>
      <w:r w:rsidR="00C6038E">
        <w:t xml:space="preserve">they hold </w:t>
      </w:r>
      <w:r w:rsidR="00D75802">
        <w:t xml:space="preserve">a minimum amount of capital to absorb potential losses. These requirements have </w:t>
      </w:r>
      <w:r w:rsidR="000F508D">
        <w:t>historically</w:t>
      </w:r>
      <w:r w:rsidR="00D75802">
        <w:t xml:space="preserve"> been</w:t>
      </w:r>
      <w:r>
        <w:rPr>
          <w:lang w:val="en-AU"/>
        </w:rPr>
        <w:t xml:space="preserve"> </w:t>
      </w:r>
      <w:r w:rsidR="00C15C74">
        <w:rPr>
          <w:lang w:val="en-AU"/>
        </w:rPr>
        <w:t xml:space="preserve">largely </w:t>
      </w:r>
      <w:r>
        <w:rPr>
          <w:lang w:val="en-AU"/>
        </w:rPr>
        <w:t xml:space="preserve">based on </w:t>
      </w:r>
      <w:r w:rsidR="00AC30D6">
        <w:rPr>
          <w:lang w:val="en-AU"/>
        </w:rPr>
        <w:t>the international</w:t>
      </w:r>
      <w:r w:rsidR="001559D2">
        <w:rPr>
          <w:lang w:val="en-AU"/>
        </w:rPr>
        <w:t xml:space="preserve"> framewo</w:t>
      </w:r>
      <w:r w:rsidR="00B55DCF">
        <w:rPr>
          <w:lang w:val="en-AU"/>
        </w:rPr>
        <w:t>r</w:t>
      </w:r>
      <w:r w:rsidR="001559D2">
        <w:rPr>
          <w:lang w:val="en-AU"/>
        </w:rPr>
        <w:t>k</w:t>
      </w:r>
      <w:r>
        <w:rPr>
          <w:lang w:val="en-AU"/>
        </w:rPr>
        <w:t xml:space="preserve"> developed by the Basel </w:t>
      </w:r>
      <w:r w:rsidR="003B193B">
        <w:rPr>
          <w:lang w:val="en-AU"/>
        </w:rPr>
        <w:t>Committee on Banking Supervision (Basel Committee)</w:t>
      </w:r>
      <w:r w:rsidR="0028798C">
        <w:rPr>
          <w:lang w:val="en-AU"/>
        </w:rPr>
        <w:t>, the Basel capital framework</w:t>
      </w:r>
      <w:r>
        <w:rPr>
          <w:lang w:val="en-AU"/>
        </w:rPr>
        <w:t>.</w:t>
      </w:r>
      <w:r w:rsidR="0028798C">
        <w:rPr>
          <w:rStyle w:val="FootnoteReference"/>
        </w:rPr>
        <w:footnoteReference w:id="7"/>
      </w:r>
      <w:r>
        <w:rPr>
          <w:lang w:val="en-AU"/>
        </w:rPr>
        <w:t xml:space="preserve"> </w:t>
      </w:r>
    </w:p>
    <w:p w14:paraId="2B595C8F" w14:textId="36294CDF" w:rsidR="00F33139" w:rsidRDefault="00F33139" w:rsidP="0022088E">
      <w:pPr>
        <w:pStyle w:val="APRANORMAL"/>
      </w:pPr>
      <w:r>
        <w:rPr>
          <w:lang w:val="en-AU"/>
        </w:rPr>
        <w:t xml:space="preserve">Under this framework, risk-based capital </w:t>
      </w:r>
      <w:r w:rsidR="005A6B3A">
        <w:rPr>
          <w:lang w:val="en-AU"/>
        </w:rPr>
        <w:t xml:space="preserve">adequacy </w:t>
      </w:r>
      <w:r>
        <w:rPr>
          <w:lang w:val="en-AU"/>
        </w:rPr>
        <w:t xml:space="preserve">ratios </w:t>
      </w:r>
      <w:r w:rsidR="0042620A">
        <w:rPr>
          <w:lang w:val="en-AU"/>
        </w:rPr>
        <w:t xml:space="preserve">are </w:t>
      </w:r>
      <w:r>
        <w:rPr>
          <w:lang w:val="en-AU"/>
        </w:rPr>
        <w:t xml:space="preserve">calculated by dividing </w:t>
      </w:r>
      <w:r w:rsidR="009D2BF9">
        <w:rPr>
          <w:lang w:val="en-AU"/>
        </w:rPr>
        <w:t>an ADI’s</w:t>
      </w:r>
      <w:r>
        <w:rPr>
          <w:lang w:val="en-AU"/>
        </w:rPr>
        <w:t xml:space="preserve"> regulatory capital by </w:t>
      </w:r>
      <w:r w:rsidR="00D75802">
        <w:rPr>
          <w:lang w:val="en-AU"/>
        </w:rPr>
        <w:t xml:space="preserve">its </w:t>
      </w:r>
      <w:r>
        <w:rPr>
          <w:lang w:val="en-AU"/>
        </w:rPr>
        <w:t xml:space="preserve">total </w:t>
      </w:r>
      <w:r w:rsidRPr="0049475B">
        <w:rPr>
          <w:lang w:val="en-AU"/>
        </w:rPr>
        <w:t>risk-weighted assets</w:t>
      </w:r>
      <w:r w:rsidR="00C42224" w:rsidRPr="0049475B">
        <w:rPr>
          <w:lang w:val="en-AU"/>
        </w:rPr>
        <w:t xml:space="preserve"> (RWA</w:t>
      </w:r>
      <w:r w:rsidR="00C22CA3" w:rsidRPr="0049475B">
        <w:rPr>
          <w:lang w:val="en-AU"/>
        </w:rPr>
        <w:t>s</w:t>
      </w:r>
      <w:r w:rsidR="00C42224" w:rsidRPr="0049475B">
        <w:rPr>
          <w:lang w:val="en-AU"/>
        </w:rPr>
        <w:t>)</w:t>
      </w:r>
      <w:r w:rsidR="00D75802" w:rsidRPr="0049475B">
        <w:rPr>
          <w:lang w:val="en-AU"/>
        </w:rPr>
        <w:t>.</w:t>
      </w:r>
      <w:r w:rsidR="00D75802">
        <w:rPr>
          <w:lang w:val="en-AU"/>
        </w:rPr>
        <w:t xml:space="preserve"> These ratios</w:t>
      </w:r>
      <w:r>
        <w:rPr>
          <w:lang w:val="en-AU"/>
        </w:rPr>
        <w:t xml:space="preserve"> </w:t>
      </w:r>
      <w:r w:rsidR="005E5E92">
        <w:rPr>
          <w:lang w:val="en-AU"/>
        </w:rPr>
        <w:t xml:space="preserve">must exceed specified </w:t>
      </w:r>
      <w:r w:rsidR="005E5E92" w:rsidRPr="009803D4">
        <w:t>minima.</w:t>
      </w:r>
      <w:r w:rsidR="00717F4C" w:rsidRPr="009803D4">
        <w:t xml:space="preserve"> </w:t>
      </w:r>
      <w:r w:rsidR="00C22CA3">
        <w:t>RWAs</w:t>
      </w:r>
      <w:r w:rsidR="00D75802" w:rsidRPr="009803D4">
        <w:t xml:space="preserve"> </w:t>
      </w:r>
      <w:r w:rsidR="00C22CA3">
        <w:t>are calculated by taking into account and aggregating the risk of individual exposures along specified risk dimensions</w:t>
      </w:r>
      <w:r w:rsidR="009803D4">
        <w:t>—</w:t>
      </w:r>
      <w:r w:rsidR="00C22CA3">
        <w:t>broadly</w:t>
      </w:r>
      <w:r w:rsidR="009803D4">
        <w:t>,</w:t>
      </w:r>
      <w:r w:rsidR="00C22CA3">
        <w:t xml:space="preserve"> credit, operational and market risks.</w:t>
      </w:r>
    </w:p>
    <w:p w14:paraId="72EEB08B" w14:textId="3E6DEA46" w:rsidR="001C7992" w:rsidRDefault="001C7992" w:rsidP="001C7992">
      <w:pPr>
        <w:pStyle w:val="APRANORMAL"/>
      </w:pPr>
      <w:r w:rsidRPr="00572CFA">
        <w:t>ADI</w:t>
      </w:r>
      <w:r>
        <w:t>s may be approved by APRA to use their</w:t>
      </w:r>
      <w:r w:rsidRPr="00572CFA">
        <w:t xml:space="preserve"> own </w:t>
      </w:r>
      <w:r>
        <w:t xml:space="preserve">risk estimates </w:t>
      </w:r>
      <w:r w:rsidR="003A3980">
        <w:t>to</w:t>
      </w:r>
      <w:r>
        <w:t xml:space="preserve"> determin</w:t>
      </w:r>
      <w:r w:rsidR="003A3980">
        <w:t>e</w:t>
      </w:r>
      <w:r>
        <w:t xml:space="preserve"> RWA</w:t>
      </w:r>
      <w:r w:rsidR="008E5407">
        <w:t>s</w:t>
      </w:r>
      <w:r>
        <w:t xml:space="preserve"> </w:t>
      </w:r>
      <w:r w:rsidR="00E34844">
        <w:t xml:space="preserve">under </w:t>
      </w:r>
      <w:r w:rsidRPr="00572CFA">
        <w:t xml:space="preserve">the </w:t>
      </w:r>
      <w:r>
        <w:t>internal ratings-based (</w:t>
      </w:r>
      <w:r w:rsidRPr="00572CFA">
        <w:t>IRB</w:t>
      </w:r>
      <w:r>
        <w:t>)</w:t>
      </w:r>
      <w:r w:rsidRPr="00572CFA">
        <w:t xml:space="preserve"> approach to credit risk</w:t>
      </w:r>
      <w:r w:rsidR="000712C1">
        <w:t>, internal model approach to market risk and advanced measurement approach (AMA) to operational risk</w:t>
      </w:r>
      <w:r w:rsidR="00100408">
        <w:t xml:space="preserve"> (advanced ADIs)</w:t>
      </w:r>
      <w:r w:rsidRPr="00572CFA">
        <w:t xml:space="preserve">. </w:t>
      </w:r>
      <w:r>
        <w:t>Otherwise</w:t>
      </w:r>
      <w:r w:rsidRPr="00572CFA">
        <w:t xml:space="preserve">, ADIs </w:t>
      </w:r>
      <w:r>
        <w:t>apply</w:t>
      </w:r>
      <w:r w:rsidRPr="00572CFA">
        <w:t xml:space="preserve"> simpler</w:t>
      </w:r>
      <w:r>
        <w:t>,</w:t>
      </w:r>
      <w:r w:rsidRPr="00572CFA">
        <w:t xml:space="preserve"> supervisor-provided risk estimates under standardised approach</w:t>
      </w:r>
      <w:r>
        <w:t>es (standardised ADIs)</w:t>
      </w:r>
      <w:r w:rsidRPr="00572CFA">
        <w:t>.</w:t>
      </w:r>
      <w:r w:rsidR="00857093">
        <w:rPr>
          <w:rStyle w:val="FootnoteReference"/>
        </w:rPr>
        <w:footnoteReference w:id="8"/>
      </w:r>
    </w:p>
    <w:p w14:paraId="510B21C6" w14:textId="7BAF957D" w:rsidR="000712C1" w:rsidRDefault="00F0239F" w:rsidP="001C7992">
      <w:pPr>
        <w:pStyle w:val="APRANORMAL"/>
        <w:rPr>
          <w:lang w:val="en-AU"/>
        </w:rPr>
      </w:pPr>
      <w:r>
        <w:rPr>
          <w:lang w:val="en-AU"/>
        </w:rPr>
        <w:fldChar w:fldCharType="begin"/>
      </w:r>
      <w:r>
        <w:rPr>
          <w:lang w:val="en-AU"/>
        </w:rPr>
        <w:instrText xml:space="preserve"> REF _Ref505850390 \r \h </w:instrText>
      </w:r>
      <w:r>
        <w:rPr>
          <w:lang w:val="en-AU"/>
        </w:rPr>
      </w:r>
      <w:r>
        <w:rPr>
          <w:lang w:val="en-AU"/>
        </w:rPr>
        <w:fldChar w:fldCharType="separate"/>
      </w:r>
      <w:r w:rsidR="00EB1F7A">
        <w:rPr>
          <w:lang w:val="en-AU"/>
        </w:rPr>
        <w:t>Figure 1</w:t>
      </w:r>
      <w:r>
        <w:rPr>
          <w:lang w:val="en-AU"/>
        </w:rPr>
        <w:fldChar w:fldCharType="end"/>
      </w:r>
      <w:r>
        <w:rPr>
          <w:lang w:val="en-AU"/>
        </w:rPr>
        <w:t xml:space="preserve"> </w:t>
      </w:r>
      <w:r w:rsidR="000712C1">
        <w:rPr>
          <w:lang w:val="en-AU"/>
        </w:rPr>
        <w:t xml:space="preserve">summarises the key components of the capital adequacy ratio and where APRA is proposing changes </w:t>
      </w:r>
      <w:r w:rsidR="009B0891">
        <w:rPr>
          <w:lang w:val="en-AU"/>
        </w:rPr>
        <w:t xml:space="preserve">as set out </w:t>
      </w:r>
      <w:r w:rsidR="000712C1">
        <w:rPr>
          <w:lang w:val="en-AU"/>
        </w:rPr>
        <w:t>in this discussion paper.</w:t>
      </w:r>
    </w:p>
    <w:p w14:paraId="5D5AECB2" w14:textId="77777777" w:rsidR="001C7992" w:rsidRDefault="001C7992" w:rsidP="001C7992">
      <w:pPr>
        <w:pStyle w:val="APRAFIGURE"/>
      </w:pPr>
      <w:bookmarkStart w:id="60" w:name="_Ref505850390"/>
      <w:r>
        <w:lastRenderedPageBreak/>
        <w:t>The ADI capital framework</w:t>
      </w:r>
      <w:bookmarkEnd w:id="60"/>
      <w:r>
        <w:t xml:space="preserve"> </w:t>
      </w:r>
    </w:p>
    <w:p w14:paraId="04373DDD" w14:textId="77777777" w:rsidR="001C7992" w:rsidRDefault="001C7992" w:rsidP="001C7992">
      <w:pPr>
        <w:pStyle w:val="APRANORMAL"/>
      </w:pPr>
      <w:r w:rsidRPr="00497CE0">
        <w:rPr>
          <w:noProof/>
          <w:lang w:val="en-AU" w:eastAsia="en-AU"/>
        </w:rPr>
        <w:drawing>
          <wp:inline distT="0" distB="0" distL="0" distR="0" wp14:anchorId="564CE88D" wp14:editId="5F825BF0">
            <wp:extent cx="5724000" cy="36708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000" cy="3670806"/>
                    </a:xfrm>
                    <a:prstGeom prst="rect">
                      <a:avLst/>
                    </a:prstGeom>
                    <a:noFill/>
                    <a:ln>
                      <a:noFill/>
                    </a:ln>
                  </pic:spPr>
                </pic:pic>
              </a:graphicData>
            </a:graphic>
          </wp:inline>
        </w:drawing>
      </w:r>
    </w:p>
    <w:p w14:paraId="5EB87F61" w14:textId="77777777" w:rsidR="00421E46" w:rsidRDefault="009C00DD" w:rsidP="000E0DCF">
      <w:pPr>
        <w:pStyle w:val="APRAHEADING3"/>
      </w:pPr>
      <w:r>
        <w:t xml:space="preserve">The Basel </w:t>
      </w:r>
      <w:r w:rsidR="00FD0AB7">
        <w:t>capital</w:t>
      </w:r>
      <w:r w:rsidR="00421E46">
        <w:t xml:space="preserve"> framework</w:t>
      </w:r>
      <w:r>
        <w:t xml:space="preserve"> and Basel </w:t>
      </w:r>
      <w:r w:rsidR="00FD0AB7">
        <w:t>III reforms</w:t>
      </w:r>
    </w:p>
    <w:p w14:paraId="297C6F0B" w14:textId="67BF1D6A" w:rsidR="00900AB2" w:rsidRDefault="00900AB2" w:rsidP="00900AB2">
      <w:pPr>
        <w:pStyle w:val="APRANORMAL"/>
      </w:pPr>
      <w:r>
        <w:t xml:space="preserve">In response to the global financial crisis, </w:t>
      </w:r>
      <w:r w:rsidRPr="00C8769B">
        <w:t xml:space="preserve">the Basel Committee </w:t>
      </w:r>
      <w:r w:rsidR="0055206B">
        <w:t>initiated</w:t>
      </w:r>
      <w:r>
        <w:t xml:space="preserve"> a series of reforms </w:t>
      </w:r>
      <w:r w:rsidR="00AE1143">
        <w:t>to the Basel capital framework</w:t>
      </w:r>
      <w:r w:rsidR="00455A9E">
        <w:t>. C</w:t>
      </w:r>
      <w:r>
        <w:t>ommonly referred to as Basel III</w:t>
      </w:r>
      <w:r w:rsidR="00455A9E">
        <w:t>, these reforms</w:t>
      </w:r>
      <w:r>
        <w:t xml:space="preserve"> commenced with measures published in December 2010 </w:t>
      </w:r>
      <w:r w:rsidRPr="00EA78CF">
        <w:t>to raise the level and quality of regulatory capital in the global banking system</w:t>
      </w:r>
      <w:r>
        <w:t>.</w:t>
      </w:r>
      <w:r w:rsidRPr="00EE6EDB">
        <w:rPr>
          <w:rStyle w:val="FootnoteReference"/>
          <w:rFonts w:ascii="DIN OT Light" w:hAnsi="DIN OT Light"/>
        </w:rPr>
        <w:footnoteReference w:id="9"/>
      </w:r>
      <w:r w:rsidRPr="00EE6EDB">
        <w:t xml:space="preserve"> </w:t>
      </w:r>
      <w:r>
        <w:t xml:space="preserve">These </w:t>
      </w:r>
      <w:r w:rsidR="007F4446">
        <w:t>measures</w:t>
      </w:r>
      <w:r>
        <w:t xml:space="preserve"> </w:t>
      </w:r>
      <w:r w:rsidR="00421E46">
        <w:t>focused on</w:t>
      </w:r>
      <w:r>
        <w:t xml:space="preserve"> strengthen</w:t>
      </w:r>
      <w:r w:rsidR="00421E46">
        <w:t>ing</w:t>
      </w:r>
      <w:r>
        <w:t xml:space="preserve"> the definition of regulatory capital (the numerator of the capital adequacy ratio) and increased minimum capital requirements. APRA implemented these reforms in 2013.</w:t>
      </w:r>
      <w:r>
        <w:rPr>
          <w:rStyle w:val="FootnoteReference"/>
          <w:rFonts w:cs="TodaySB-Light"/>
        </w:rPr>
        <w:footnoteReference w:id="10"/>
      </w:r>
      <w:r>
        <w:t xml:space="preserve">  </w:t>
      </w:r>
    </w:p>
    <w:p w14:paraId="193C7692" w14:textId="2E9CE0E0" w:rsidR="00857093" w:rsidRDefault="00421E46" w:rsidP="003A3980">
      <w:pPr>
        <w:pStyle w:val="APRANORMAL"/>
      </w:pPr>
      <w:r>
        <w:t xml:space="preserve">More recently, </w:t>
      </w:r>
      <w:r w:rsidR="00CD00D8">
        <w:t>t</w:t>
      </w:r>
      <w:r w:rsidR="002737BD">
        <w:t xml:space="preserve">he Basel Committee </w:t>
      </w:r>
      <w:r w:rsidR="007F4446">
        <w:t xml:space="preserve">has </w:t>
      </w:r>
      <w:r>
        <w:t xml:space="preserve">focused on </w:t>
      </w:r>
      <w:r w:rsidR="007F4446">
        <w:t xml:space="preserve">reviewing </w:t>
      </w:r>
      <w:r w:rsidR="002737BD">
        <w:t xml:space="preserve">the </w:t>
      </w:r>
      <w:r w:rsidR="0055206B">
        <w:t xml:space="preserve">risk-based calculations, or </w:t>
      </w:r>
      <w:r>
        <w:t>RWA component</w:t>
      </w:r>
      <w:r w:rsidR="0055206B">
        <w:t>s</w:t>
      </w:r>
      <w:r>
        <w:t xml:space="preserve"> of the </w:t>
      </w:r>
      <w:r w:rsidR="002737BD">
        <w:t>capital framework</w:t>
      </w:r>
      <w:r w:rsidR="000F508D">
        <w:t>,</w:t>
      </w:r>
      <w:r w:rsidR="002737BD">
        <w:t xml:space="preserve"> to balance simplicity and risk sensitivity and to promote </w:t>
      </w:r>
      <w:r w:rsidR="0055206B">
        <w:t>consistency</w:t>
      </w:r>
      <w:r w:rsidR="002737BD">
        <w:t xml:space="preserve"> across banks and jurisdictions</w:t>
      </w:r>
      <w:r w:rsidR="00674470">
        <w:t xml:space="preserve"> (the Basel III reforms)</w:t>
      </w:r>
      <w:r w:rsidR="002737BD">
        <w:t>.</w:t>
      </w:r>
      <w:r w:rsidR="00455A9E">
        <w:t xml:space="preserve"> </w:t>
      </w:r>
      <w:r w:rsidR="00EC5682">
        <w:t>Among other things, t</w:t>
      </w:r>
      <w:r w:rsidR="00192871">
        <w:t>his has resulted in decisions to remove some of the flexibility afforded banks under the Basel</w:t>
      </w:r>
      <w:r w:rsidR="00674470">
        <w:t> </w:t>
      </w:r>
      <w:r w:rsidR="00192871">
        <w:t xml:space="preserve">II </w:t>
      </w:r>
      <w:r w:rsidR="00FD0AB7">
        <w:t xml:space="preserve">revisions to the capital framework </w:t>
      </w:r>
      <w:r w:rsidR="00FD0AB7">
        <w:lastRenderedPageBreak/>
        <w:t>that allowed them to</w:t>
      </w:r>
      <w:r w:rsidR="00192871">
        <w:t xml:space="preserve"> model their own risk estimates, and to place limits on the extent of any resulting capital reductions relative to the simpler approaches. In particular, the Basel Committee has decided to</w:t>
      </w:r>
      <w:r w:rsidR="00857093">
        <w:t>:</w:t>
      </w:r>
    </w:p>
    <w:p w14:paraId="64583CFA" w14:textId="488D6118" w:rsidR="0004232B" w:rsidRDefault="00E36A2B" w:rsidP="00857093">
      <w:pPr>
        <w:pStyle w:val="APRABULLET"/>
      </w:pPr>
      <w:r>
        <w:t>constrain</w:t>
      </w:r>
      <w:r w:rsidR="00AC7282">
        <w:t xml:space="preserve"> </w:t>
      </w:r>
      <w:r w:rsidR="002559BF">
        <w:t xml:space="preserve">where </w:t>
      </w:r>
      <w:r w:rsidR="00DD5FC7">
        <w:t>banks</w:t>
      </w:r>
      <w:r w:rsidR="002559BF">
        <w:t xml:space="preserve"> may apply their own estimates under</w:t>
      </w:r>
      <w:r w:rsidR="00AC7282">
        <w:t xml:space="preserve"> the advanced approach to credit risk for some exposure classes (banks and f</w:t>
      </w:r>
      <w:r w:rsidR="0004232B">
        <w:t>inancial institutions</w:t>
      </w:r>
      <w:r w:rsidR="000F3835">
        <w:t>,</w:t>
      </w:r>
      <w:r w:rsidR="0004232B">
        <w:t xml:space="preserve"> large and mid-sized corporates</w:t>
      </w:r>
      <w:r w:rsidR="000F3835">
        <w:t>,</w:t>
      </w:r>
      <w:r w:rsidR="00AC7282">
        <w:t xml:space="preserve"> and equities);</w:t>
      </w:r>
    </w:p>
    <w:p w14:paraId="275BBFFF" w14:textId="4D773CC6" w:rsidR="0004232B" w:rsidRDefault="0004232B">
      <w:pPr>
        <w:pStyle w:val="APRABULLET"/>
      </w:pPr>
      <w:r>
        <w:t xml:space="preserve">remove the </w:t>
      </w:r>
      <w:r w:rsidR="00E52F37">
        <w:t>advanced</w:t>
      </w:r>
      <w:r>
        <w:t xml:space="preserve"> approaches </w:t>
      </w:r>
      <w:r w:rsidR="00E52F37">
        <w:t xml:space="preserve">to determining </w:t>
      </w:r>
      <w:r>
        <w:t xml:space="preserve">credit valuation adjustment risk and </w:t>
      </w:r>
      <w:r w:rsidR="00E52F37">
        <w:t xml:space="preserve">for </w:t>
      </w:r>
      <w:r>
        <w:t>operational risk;</w:t>
      </w:r>
      <w:r w:rsidR="00E52F37">
        <w:t xml:space="preserve"> and</w:t>
      </w:r>
    </w:p>
    <w:p w14:paraId="7E15AC62" w14:textId="03C290AF" w:rsidR="006D0184" w:rsidRDefault="00E52F37" w:rsidP="008E5407">
      <w:pPr>
        <w:pStyle w:val="APRABULLET"/>
      </w:pPr>
      <w:r>
        <w:t>introduce</w:t>
      </w:r>
      <w:r w:rsidR="0004232B">
        <w:t xml:space="preserve"> a floor </w:t>
      </w:r>
      <w:r w:rsidR="008E5407">
        <w:t xml:space="preserve">to minimum RWAs </w:t>
      </w:r>
      <w:r w:rsidR="0004232B">
        <w:t>for banks approved to use internal models</w:t>
      </w:r>
      <w:r w:rsidR="008E5407">
        <w:t>, with the floor</w:t>
      </w:r>
      <w:r w:rsidR="0004232B">
        <w:t xml:space="preserve"> based on the standardised approaches to calculating capital adequacy</w:t>
      </w:r>
      <w:r w:rsidR="008E5407">
        <w:t>.</w:t>
      </w:r>
    </w:p>
    <w:p w14:paraId="552C978A" w14:textId="6EEC4EF7" w:rsidR="001448A4" w:rsidRPr="008C13CA" w:rsidRDefault="001448A4" w:rsidP="001448A4">
      <w:pPr>
        <w:pStyle w:val="APRANORMAL"/>
      </w:pPr>
      <w:r w:rsidRPr="008C13CA">
        <w:t>The</w:t>
      </w:r>
      <w:r w:rsidR="008F3E7D">
        <w:t xml:space="preserve"> Basel III </w:t>
      </w:r>
      <w:r w:rsidR="0003492C">
        <w:t>reforms</w:t>
      </w:r>
      <w:r w:rsidRPr="008C13CA">
        <w:t xml:space="preserve"> are detailed in the following documents:</w:t>
      </w:r>
    </w:p>
    <w:p w14:paraId="32D3FE4F" w14:textId="7F9956BD" w:rsidR="00304891" w:rsidRPr="003E1593" w:rsidRDefault="00304891" w:rsidP="00FA7D9E">
      <w:pPr>
        <w:pStyle w:val="APRABULLET"/>
      </w:pPr>
      <w:r w:rsidRPr="003E1593">
        <w:rPr>
          <w:i/>
        </w:rPr>
        <w:t>Basel III: Finalising post-crisis reforms</w:t>
      </w:r>
      <w:r w:rsidR="002933A5">
        <w:t>, December 2017</w:t>
      </w:r>
      <w:r w:rsidR="000D5249">
        <w:t xml:space="preserve">, which includes revisions to the </w:t>
      </w:r>
      <w:r w:rsidR="00192871">
        <w:t xml:space="preserve">RWA methodologies </w:t>
      </w:r>
      <w:r w:rsidR="000D5249">
        <w:t>for credit risk</w:t>
      </w:r>
      <w:r w:rsidR="002933A5">
        <w:t xml:space="preserve"> and operational risk</w:t>
      </w:r>
      <w:r w:rsidR="00664473" w:rsidDel="000F3835">
        <w:t>,</w:t>
      </w:r>
      <w:r w:rsidR="002933A5">
        <w:t xml:space="preserve"> </w:t>
      </w:r>
      <w:r w:rsidR="00F766DF">
        <w:t xml:space="preserve">introduces a floor on RWA using the standardised approaches </w:t>
      </w:r>
      <w:r w:rsidR="0046203D">
        <w:t>and a non-risk-</w:t>
      </w:r>
      <w:r w:rsidR="00900AB2">
        <w:t>based leverage ratio requirement</w:t>
      </w:r>
      <w:r w:rsidRPr="003E1593">
        <w:t>;</w:t>
      </w:r>
      <w:bookmarkStart w:id="61" w:name="_Ref501460813"/>
      <w:r w:rsidR="002933A5">
        <w:rPr>
          <w:rStyle w:val="FootnoteReference"/>
        </w:rPr>
        <w:footnoteReference w:id="11"/>
      </w:r>
      <w:bookmarkEnd w:id="61"/>
    </w:p>
    <w:p w14:paraId="2ABE5BEE" w14:textId="48CB8216" w:rsidR="001448A4" w:rsidRPr="008C13CA" w:rsidRDefault="001448A4" w:rsidP="00FA7D9E">
      <w:pPr>
        <w:pStyle w:val="APRABULLET"/>
      </w:pPr>
      <w:r w:rsidRPr="008C13CA">
        <w:rPr>
          <w:i/>
        </w:rPr>
        <w:t>Minimum capital requirements for market risk</w:t>
      </w:r>
      <w:r w:rsidRPr="008C13CA">
        <w:t>, January 2016;</w:t>
      </w:r>
      <w:r w:rsidRPr="008C13CA">
        <w:rPr>
          <w:rStyle w:val="FootnoteReference"/>
        </w:rPr>
        <w:footnoteReference w:id="12"/>
      </w:r>
      <w:r w:rsidRPr="008C13CA">
        <w:t xml:space="preserve"> </w:t>
      </w:r>
      <w:r w:rsidR="00970E33">
        <w:t>and</w:t>
      </w:r>
      <w:r w:rsidRPr="008C13CA">
        <w:t xml:space="preserve"> </w:t>
      </w:r>
    </w:p>
    <w:p w14:paraId="63D98849" w14:textId="17F4DB27" w:rsidR="001448A4" w:rsidRDefault="001448A4" w:rsidP="00FA7D9E">
      <w:pPr>
        <w:pStyle w:val="APRABULLET"/>
      </w:pPr>
      <w:r w:rsidRPr="008C13CA">
        <w:rPr>
          <w:i/>
        </w:rPr>
        <w:t>Interest rate risk in the banking book</w:t>
      </w:r>
      <w:r w:rsidRPr="008C13CA">
        <w:t>, April 2016</w:t>
      </w:r>
      <w:r w:rsidR="00970E33">
        <w:t>.</w:t>
      </w:r>
      <w:r w:rsidRPr="008C13CA">
        <w:rPr>
          <w:rStyle w:val="FootnoteReference"/>
        </w:rPr>
        <w:footnoteReference w:id="13"/>
      </w:r>
    </w:p>
    <w:p w14:paraId="046CA42A" w14:textId="639CBBF8" w:rsidR="00904C35" w:rsidRDefault="004F559D" w:rsidP="00EA78CF">
      <w:pPr>
        <w:pStyle w:val="APRAHEADING3"/>
      </w:pPr>
      <w:r>
        <w:t>U</w:t>
      </w:r>
      <w:r w:rsidR="002C44CC">
        <w:t xml:space="preserve">nquestionably strong </w:t>
      </w:r>
      <w:r>
        <w:t>capital</w:t>
      </w:r>
      <w:r w:rsidR="0003492C">
        <w:t xml:space="preserve"> - </w:t>
      </w:r>
      <w:r w:rsidR="00A91B20">
        <w:t xml:space="preserve">the </w:t>
      </w:r>
      <w:r>
        <w:t>F</w:t>
      </w:r>
      <w:r w:rsidR="00A91B20">
        <w:t xml:space="preserve">inancial </w:t>
      </w:r>
      <w:r>
        <w:t>S</w:t>
      </w:r>
      <w:r w:rsidR="00A91B20">
        <w:t xml:space="preserve">ystem </w:t>
      </w:r>
      <w:r>
        <w:t>I</w:t>
      </w:r>
      <w:r w:rsidR="00A91B20">
        <w:t>nquiry</w:t>
      </w:r>
      <w:r>
        <w:t xml:space="preserve"> and APRA’s </w:t>
      </w:r>
      <w:r w:rsidR="002C44CC">
        <w:t>framework</w:t>
      </w:r>
    </w:p>
    <w:p w14:paraId="05C62AC2" w14:textId="5233C54F" w:rsidR="00185372" w:rsidRDefault="00E06E66" w:rsidP="005B30BE">
      <w:pPr>
        <w:pStyle w:val="APRANORMAL"/>
        <w:rPr>
          <w:lang w:val="en-AU"/>
        </w:rPr>
      </w:pPr>
      <w:r>
        <w:rPr>
          <w:lang w:val="en-AU"/>
        </w:rPr>
        <w:t>In</w:t>
      </w:r>
      <w:r w:rsidR="002E17D2">
        <w:rPr>
          <w:lang w:val="en-AU"/>
        </w:rPr>
        <w:t xml:space="preserve"> December 2013, the </w:t>
      </w:r>
      <w:r w:rsidR="00477D29">
        <w:rPr>
          <w:lang w:val="en-AU"/>
        </w:rPr>
        <w:t>Australian Government</w:t>
      </w:r>
      <w:r w:rsidR="002E17D2">
        <w:rPr>
          <w:lang w:val="en-AU"/>
        </w:rPr>
        <w:t xml:space="preserve"> </w:t>
      </w:r>
      <w:r w:rsidR="00F36252">
        <w:rPr>
          <w:lang w:val="en-AU"/>
        </w:rPr>
        <w:t xml:space="preserve">initiated </w:t>
      </w:r>
      <w:r w:rsidR="00956F4D">
        <w:rPr>
          <w:lang w:val="en-AU"/>
        </w:rPr>
        <w:t>the Financial System Inquiry</w:t>
      </w:r>
      <w:r w:rsidR="00766CAE">
        <w:rPr>
          <w:lang w:val="en-AU"/>
        </w:rPr>
        <w:t xml:space="preserve"> (FSI)</w:t>
      </w:r>
      <w:r w:rsidR="00956F4D">
        <w:rPr>
          <w:lang w:val="en-AU"/>
        </w:rPr>
        <w:t xml:space="preserve"> to </w:t>
      </w:r>
      <w:r w:rsidR="002E17D2">
        <w:rPr>
          <w:lang w:val="en-AU"/>
        </w:rPr>
        <w:t>examin</w:t>
      </w:r>
      <w:r w:rsidR="00956F4D">
        <w:rPr>
          <w:lang w:val="en-AU"/>
        </w:rPr>
        <w:t>e</w:t>
      </w:r>
      <w:r w:rsidR="002E17D2">
        <w:rPr>
          <w:lang w:val="en-AU"/>
        </w:rPr>
        <w:t xml:space="preserve"> how the </w:t>
      </w:r>
      <w:r>
        <w:rPr>
          <w:lang w:val="en-AU"/>
        </w:rPr>
        <w:t xml:space="preserve">Australian </w:t>
      </w:r>
      <w:r w:rsidR="002E17D2">
        <w:rPr>
          <w:lang w:val="en-AU"/>
        </w:rPr>
        <w:t xml:space="preserve">financial system could be positioned to best meet Australia’s evolving needs and support economic growth. The final report of the </w:t>
      </w:r>
      <w:r w:rsidR="000656BD">
        <w:rPr>
          <w:lang w:val="en-AU"/>
        </w:rPr>
        <w:t xml:space="preserve">FSI </w:t>
      </w:r>
      <w:r w:rsidR="002E17D2">
        <w:rPr>
          <w:lang w:val="en-AU"/>
        </w:rPr>
        <w:t>was released in November 2014</w:t>
      </w:r>
      <w:r w:rsidR="004E30CB">
        <w:rPr>
          <w:lang w:val="en-AU"/>
        </w:rPr>
        <w:t xml:space="preserve"> and</w:t>
      </w:r>
      <w:r w:rsidR="000656BD">
        <w:rPr>
          <w:lang w:val="en-AU"/>
        </w:rPr>
        <w:t>, among other things,</w:t>
      </w:r>
      <w:r w:rsidR="004E30CB">
        <w:rPr>
          <w:lang w:val="en-AU"/>
        </w:rPr>
        <w:t xml:space="preserve"> made a number of recommendations to improve the resilience of the Australian financial system. Most significantly, the </w:t>
      </w:r>
      <w:r w:rsidR="00477D29">
        <w:rPr>
          <w:lang w:val="en-AU"/>
        </w:rPr>
        <w:t>FSI</w:t>
      </w:r>
      <w:r w:rsidR="004E30CB">
        <w:rPr>
          <w:lang w:val="en-AU"/>
        </w:rPr>
        <w:t xml:space="preserve"> recommended that APRA</w:t>
      </w:r>
      <w:r w:rsidR="000C77CD">
        <w:rPr>
          <w:lang w:val="en-AU"/>
        </w:rPr>
        <w:t xml:space="preserve">, </w:t>
      </w:r>
      <w:r w:rsidR="000C77CD">
        <w:rPr>
          <w:i/>
          <w:lang w:val="en-AU"/>
        </w:rPr>
        <w:t>’…..</w:t>
      </w:r>
      <w:r w:rsidR="004E30CB" w:rsidRPr="00876C8F">
        <w:rPr>
          <w:i/>
          <w:lang w:val="en-AU"/>
        </w:rPr>
        <w:t xml:space="preserve">set capital standards such that </w:t>
      </w:r>
      <w:r w:rsidR="004E30CB" w:rsidRPr="00876C8F">
        <w:rPr>
          <w:i/>
          <w:lang w:val="en-AU"/>
        </w:rPr>
        <w:lastRenderedPageBreak/>
        <w:t>Australian ADI capital ratios are unquestionably strong’</w:t>
      </w:r>
      <w:r w:rsidR="004E30CB">
        <w:rPr>
          <w:i/>
          <w:lang w:val="en-AU"/>
        </w:rPr>
        <w:t>.</w:t>
      </w:r>
      <w:r w:rsidR="004E30CB" w:rsidRPr="004E30CB">
        <w:rPr>
          <w:rStyle w:val="FootnoteReference"/>
          <w:lang w:val="en-AU"/>
        </w:rPr>
        <w:t xml:space="preserve"> </w:t>
      </w:r>
      <w:r w:rsidR="004050BA">
        <w:rPr>
          <w:rStyle w:val="FootnoteReference"/>
        </w:rPr>
        <w:footnoteReference w:id="14"/>
      </w:r>
      <w:r w:rsidR="0090780C">
        <w:rPr>
          <w:lang w:val="en-AU"/>
        </w:rPr>
        <w:t xml:space="preserve"> </w:t>
      </w:r>
      <w:r w:rsidR="003F7D3B">
        <w:rPr>
          <w:lang w:val="en-AU"/>
        </w:rPr>
        <w:t>Noting the need for the Australian financial sector regulatory framework to be stronger than those of comparable economies, t</w:t>
      </w:r>
      <w:r w:rsidR="00892763">
        <w:rPr>
          <w:lang w:val="en-AU"/>
        </w:rPr>
        <w:t xml:space="preserve">his recommendation was </w:t>
      </w:r>
      <w:r w:rsidR="003F7D3B">
        <w:rPr>
          <w:lang w:val="en-AU"/>
        </w:rPr>
        <w:t>endorsed</w:t>
      </w:r>
      <w:r w:rsidR="00892763">
        <w:rPr>
          <w:lang w:val="en-AU"/>
        </w:rPr>
        <w:t xml:space="preserve"> by the Government in its formal response to the FSI report</w:t>
      </w:r>
      <w:r w:rsidR="003F7D3B">
        <w:rPr>
          <w:lang w:val="en-AU"/>
        </w:rPr>
        <w:t>.</w:t>
      </w:r>
      <w:r w:rsidR="003F7D3B">
        <w:rPr>
          <w:rStyle w:val="FootnoteReference"/>
          <w:lang w:val="en-AU"/>
        </w:rPr>
        <w:footnoteReference w:id="15"/>
      </w:r>
      <w:r w:rsidR="00043ADF">
        <w:rPr>
          <w:lang w:val="en-AU"/>
        </w:rPr>
        <w:t xml:space="preserve"> </w:t>
      </w:r>
    </w:p>
    <w:p w14:paraId="2AD28BD2" w14:textId="26CBC991" w:rsidR="005C1C69" w:rsidRDefault="00A812D1" w:rsidP="00991568">
      <w:pPr>
        <w:pStyle w:val="APRANORMAL"/>
        <w:rPr>
          <w:lang w:val="en-AU"/>
        </w:rPr>
      </w:pPr>
      <w:r>
        <w:rPr>
          <w:lang w:val="en-AU"/>
        </w:rPr>
        <w:t xml:space="preserve">Since the FSI report, </w:t>
      </w:r>
      <w:r w:rsidR="0042063F">
        <w:rPr>
          <w:lang w:val="en-AU"/>
        </w:rPr>
        <w:t xml:space="preserve">APRA has </w:t>
      </w:r>
      <w:r>
        <w:rPr>
          <w:lang w:val="en-AU"/>
        </w:rPr>
        <w:t xml:space="preserve">published </w:t>
      </w:r>
      <w:r w:rsidR="0042063F">
        <w:rPr>
          <w:lang w:val="en-AU"/>
        </w:rPr>
        <w:t xml:space="preserve">a </w:t>
      </w:r>
      <w:r>
        <w:rPr>
          <w:lang w:val="en-AU"/>
        </w:rPr>
        <w:t>series of analyses on bank capital levels</w:t>
      </w:r>
      <w:r w:rsidR="0042063F">
        <w:rPr>
          <w:lang w:val="en-AU"/>
        </w:rPr>
        <w:t xml:space="preserve">. </w:t>
      </w:r>
      <w:r w:rsidR="002D33B8">
        <w:rPr>
          <w:lang w:val="en-AU"/>
        </w:rPr>
        <w:t>I</w:t>
      </w:r>
      <w:r w:rsidR="00F36252">
        <w:rPr>
          <w:lang w:val="en-AU"/>
        </w:rPr>
        <w:t xml:space="preserve">n </w:t>
      </w:r>
      <w:r w:rsidR="00741D77">
        <w:rPr>
          <w:lang w:val="en-AU"/>
        </w:rPr>
        <w:t>July 2017</w:t>
      </w:r>
      <w:r w:rsidR="0003492C">
        <w:rPr>
          <w:lang w:val="en-AU"/>
        </w:rPr>
        <w:t>,</w:t>
      </w:r>
      <w:r w:rsidR="00741D77">
        <w:rPr>
          <w:lang w:val="en-AU"/>
        </w:rPr>
        <w:t xml:space="preserve"> APRA released an information </w:t>
      </w:r>
      <w:r w:rsidR="006A49D4">
        <w:rPr>
          <w:lang w:val="en-AU"/>
        </w:rPr>
        <w:t>paper</w:t>
      </w:r>
      <w:r w:rsidR="00115BB6">
        <w:rPr>
          <w:lang w:val="en-AU"/>
        </w:rPr>
        <w:t xml:space="preserve">, </w:t>
      </w:r>
      <w:r w:rsidR="00115BB6">
        <w:rPr>
          <w:i/>
        </w:rPr>
        <w:t xml:space="preserve">Strengthening banking sector resilience: establishing unquestionably strong capital ratios </w:t>
      </w:r>
      <w:r w:rsidR="00115BB6">
        <w:t xml:space="preserve">(the July 2017 information paper), </w:t>
      </w:r>
      <w:r w:rsidR="00524799">
        <w:rPr>
          <w:lang w:val="en-AU"/>
        </w:rPr>
        <w:t xml:space="preserve">setting out its </w:t>
      </w:r>
      <w:r>
        <w:rPr>
          <w:lang w:val="en-AU"/>
        </w:rPr>
        <w:t>assessment of</w:t>
      </w:r>
      <w:r w:rsidR="00741D77">
        <w:rPr>
          <w:lang w:val="en-AU"/>
        </w:rPr>
        <w:t xml:space="preserve"> the amount of additional capital </w:t>
      </w:r>
      <w:r>
        <w:rPr>
          <w:lang w:val="en-AU"/>
        </w:rPr>
        <w:t>required for Australian ADI</w:t>
      </w:r>
      <w:r w:rsidR="00741D77">
        <w:rPr>
          <w:lang w:val="en-AU"/>
        </w:rPr>
        <w:t xml:space="preserve"> capital ratios </w:t>
      </w:r>
      <w:r>
        <w:rPr>
          <w:lang w:val="en-AU"/>
        </w:rPr>
        <w:t>to be</w:t>
      </w:r>
      <w:r w:rsidR="00741D77">
        <w:rPr>
          <w:lang w:val="en-AU"/>
        </w:rPr>
        <w:t xml:space="preserve"> considered unquestionably </w:t>
      </w:r>
      <w:r w:rsidR="00741D77" w:rsidRPr="00DA2944">
        <w:rPr>
          <w:lang w:val="en-AU"/>
        </w:rPr>
        <w:t>strong</w:t>
      </w:r>
      <w:r w:rsidR="001C2721">
        <w:rPr>
          <w:lang w:val="en-AU"/>
        </w:rPr>
        <w:t>.</w:t>
      </w:r>
      <w:r w:rsidR="009F4C5D" w:rsidRPr="00DA2944">
        <w:rPr>
          <w:rStyle w:val="FootnoteReference"/>
          <w:lang w:val="en-AU"/>
        </w:rPr>
        <w:footnoteReference w:id="16"/>
      </w:r>
      <w:r w:rsidR="009F4C5D" w:rsidRPr="00DA2944">
        <w:rPr>
          <w:lang w:val="en-AU"/>
        </w:rPr>
        <w:t xml:space="preserve"> </w:t>
      </w:r>
      <w:r w:rsidR="00842B7D" w:rsidRPr="00DA2944">
        <w:rPr>
          <w:lang w:val="en-AU"/>
        </w:rPr>
        <w:t>T</w:t>
      </w:r>
      <w:r w:rsidR="00F470A5" w:rsidRPr="00DA2944">
        <w:rPr>
          <w:lang w:val="en-AU"/>
        </w:rPr>
        <w:t>h</w:t>
      </w:r>
      <w:r w:rsidR="00F7260A" w:rsidRPr="00DA2944">
        <w:rPr>
          <w:lang w:val="en-AU"/>
        </w:rPr>
        <w:t>e capital targets for Australian ADIs resulting from th</w:t>
      </w:r>
      <w:r w:rsidRPr="00DA2944">
        <w:rPr>
          <w:lang w:val="en-AU"/>
        </w:rPr>
        <w:t>is assessment will be</w:t>
      </w:r>
      <w:r>
        <w:rPr>
          <w:lang w:val="en-AU"/>
        </w:rPr>
        <w:t xml:space="preserve"> implemented </w:t>
      </w:r>
      <w:r w:rsidR="005F4202">
        <w:rPr>
          <w:lang w:val="en-AU"/>
        </w:rPr>
        <w:t>through</w:t>
      </w:r>
      <w:r>
        <w:rPr>
          <w:lang w:val="en-AU"/>
        </w:rPr>
        <w:t xml:space="preserve"> </w:t>
      </w:r>
      <w:r w:rsidR="00F470A5">
        <w:rPr>
          <w:lang w:val="en-AU"/>
        </w:rPr>
        <w:t xml:space="preserve">revisions to </w:t>
      </w:r>
      <w:r w:rsidR="00EE05E7">
        <w:rPr>
          <w:lang w:val="en-AU"/>
        </w:rPr>
        <w:t>APRA’s</w:t>
      </w:r>
      <w:r w:rsidR="00F30BCB">
        <w:rPr>
          <w:lang w:val="en-AU"/>
        </w:rPr>
        <w:t xml:space="preserve"> capital framework to incorporate</w:t>
      </w:r>
      <w:r w:rsidR="00991568">
        <w:rPr>
          <w:lang w:val="en-AU"/>
        </w:rPr>
        <w:t xml:space="preserve"> </w:t>
      </w:r>
      <w:r w:rsidR="00477D29">
        <w:rPr>
          <w:lang w:val="en-AU"/>
        </w:rPr>
        <w:t>the Basel</w:t>
      </w:r>
      <w:r w:rsidR="00AC3819">
        <w:rPr>
          <w:lang w:val="en-AU"/>
        </w:rPr>
        <w:t> </w:t>
      </w:r>
      <w:r w:rsidR="00477D29">
        <w:rPr>
          <w:lang w:val="en-AU"/>
        </w:rPr>
        <w:t>III</w:t>
      </w:r>
      <w:r w:rsidR="00F470A5">
        <w:rPr>
          <w:lang w:val="en-AU"/>
        </w:rPr>
        <w:t xml:space="preserve"> reforms</w:t>
      </w:r>
      <w:r w:rsidR="008A653D">
        <w:rPr>
          <w:lang w:val="en-AU"/>
        </w:rPr>
        <w:t>,</w:t>
      </w:r>
      <w:r w:rsidR="00A57D62">
        <w:rPr>
          <w:lang w:val="en-AU"/>
        </w:rPr>
        <w:t xml:space="preserve"> </w:t>
      </w:r>
      <w:r w:rsidR="00664B29">
        <w:rPr>
          <w:lang w:val="en-AU"/>
        </w:rPr>
        <w:t>measures to address risks posed by Australian</w:t>
      </w:r>
      <w:r w:rsidR="00F470A5">
        <w:rPr>
          <w:lang w:val="en-AU"/>
        </w:rPr>
        <w:t xml:space="preserve"> ADIs’ structural concentration of </w:t>
      </w:r>
      <w:r w:rsidR="00F30BCB">
        <w:rPr>
          <w:lang w:val="en-AU"/>
        </w:rPr>
        <w:t xml:space="preserve">residential mortgage </w:t>
      </w:r>
      <w:r w:rsidR="00214AD6">
        <w:rPr>
          <w:lang w:val="en-AU"/>
        </w:rPr>
        <w:t>exposures</w:t>
      </w:r>
      <w:r w:rsidR="00A57D62">
        <w:rPr>
          <w:lang w:val="en-AU"/>
        </w:rPr>
        <w:t xml:space="preserve"> and changes to improve transparency and in</w:t>
      </w:r>
      <w:r w:rsidR="00F7260A">
        <w:rPr>
          <w:lang w:val="en-AU"/>
        </w:rPr>
        <w:t xml:space="preserve">ternational comparability of </w:t>
      </w:r>
      <w:r w:rsidR="00A57D62">
        <w:rPr>
          <w:lang w:val="en-AU"/>
        </w:rPr>
        <w:t>capital ratios</w:t>
      </w:r>
      <w:r w:rsidR="00214AD6">
        <w:rPr>
          <w:lang w:val="en-AU"/>
        </w:rPr>
        <w:t xml:space="preserve">. </w:t>
      </w:r>
    </w:p>
    <w:p w14:paraId="6EABDD5B" w14:textId="31F41A81" w:rsidR="002C44CC" w:rsidRDefault="004F559D" w:rsidP="00AF0FA3">
      <w:pPr>
        <w:pStyle w:val="APRAHEADING3"/>
      </w:pPr>
      <w:r>
        <w:t>The current</w:t>
      </w:r>
      <w:r w:rsidR="002C44CC">
        <w:t xml:space="preserve"> proposals</w:t>
      </w:r>
    </w:p>
    <w:p w14:paraId="7DA88D4E" w14:textId="6DF9F927" w:rsidR="00A821F8" w:rsidRPr="00DA2944" w:rsidRDefault="006A2E20" w:rsidP="00991568">
      <w:pPr>
        <w:pStyle w:val="APRANORMAL"/>
        <w:rPr>
          <w:lang w:val="en-AU"/>
        </w:rPr>
      </w:pPr>
      <w:r w:rsidRPr="00DA2944">
        <w:rPr>
          <w:lang w:val="en-AU"/>
        </w:rPr>
        <w:t xml:space="preserve">APRA is </w:t>
      </w:r>
      <w:r w:rsidR="00214AD6" w:rsidRPr="00DA2944">
        <w:rPr>
          <w:lang w:val="en-AU"/>
        </w:rPr>
        <w:t>commenc</w:t>
      </w:r>
      <w:r w:rsidRPr="00DA2944">
        <w:rPr>
          <w:lang w:val="en-AU"/>
        </w:rPr>
        <w:t>ing</w:t>
      </w:r>
      <w:r w:rsidR="00214AD6" w:rsidRPr="00DA2944">
        <w:rPr>
          <w:lang w:val="en-AU"/>
        </w:rPr>
        <w:t xml:space="preserve"> consul</w:t>
      </w:r>
      <w:r w:rsidR="00F7260A" w:rsidRPr="00DA2944">
        <w:rPr>
          <w:lang w:val="en-AU"/>
        </w:rPr>
        <w:t xml:space="preserve">tation on </w:t>
      </w:r>
      <w:r w:rsidR="00C068FF" w:rsidRPr="00DA2944">
        <w:rPr>
          <w:lang w:val="en-AU"/>
        </w:rPr>
        <w:t xml:space="preserve">revisions </w:t>
      </w:r>
      <w:r w:rsidR="00F7260A" w:rsidRPr="00DA2944">
        <w:rPr>
          <w:lang w:val="en-AU"/>
        </w:rPr>
        <w:t xml:space="preserve">to </w:t>
      </w:r>
      <w:r w:rsidR="00EE3431" w:rsidRPr="00DA2944">
        <w:rPr>
          <w:lang w:val="en-AU"/>
        </w:rPr>
        <w:t>its</w:t>
      </w:r>
      <w:r w:rsidR="00F7260A" w:rsidRPr="00DA2944">
        <w:rPr>
          <w:lang w:val="en-AU"/>
        </w:rPr>
        <w:t xml:space="preserve"> </w:t>
      </w:r>
      <w:r w:rsidR="00214AD6" w:rsidRPr="00DA2944">
        <w:rPr>
          <w:lang w:val="en-AU"/>
        </w:rPr>
        <w:t xml:space="preserve">capital </w:t>
      </w:r>
      <w:r w:rsidR="00EE3431" w:rsidRPr="00DA2944">
        <w:rPr>
          <w:lang w:val="en-AU"/>
        </w:rPr>
        <w:t>requirements</w:t>
      </w:r>
      <w:r w:rsidRPr="00DA2944">
        <w:rPr>
          <w:lang w:val="en-AU"/>
        </w:rPr>
        <w:t xml:space="preserve"> based on the Basel III </w:t>
      </w:r>
      <w:r w:rsidR="00FD0AB7" w:rsidRPr="00DA2944">
        <w:rPr>
          <w:lang w:val="en-AU"/>
        </w:rPr>
        <w:t>reforms</w:t>
      </w:r>
      <w:r w:rsidRPr="00DA2944">
        <w:rPr>
          <w:lang w:val="en-AU"/>
        </w:rPr>
        <w:t xml:space="preserve"> and meeting the objectives of unquestionably strong</w:t>
      </w:r>
      <w:r w:rsidR="002A2018">
        <w:rPr>
          <w:lang w:val="en-AU"/>
        </w:rPr>
        <w:t xml:space="preserve"> capital</w:t>
      </w:r>
      <w:r w:rsidR="00214AD6" w:rsidRPr="00DA2944">
        <w:rPr>
          <w:lang w:val="en-AU"/>
        </w:rPr>
        <w:t xml:space="preserve">. </w:t>
      </w:r>
      <w:r w:rsidR="00285580" w:rsidRPr="00DA2944">
        <w:rPr>
          <w:lang w:val="en-AU"/>
        </w:rPr>
        <w:t xml:space="preserve">The paper also details other proposed amendments to the ADI capital framework </w:t>
      </w:r>
      <w:r w:rsidR="00F56619" w:rsidRPr="00DA2944">
        <w:rPr>
          <w:lang w:val="en-AU"/>
        </w:rPr>
        <w:t xml:space="preserve">where improvements are warranted to </w:t>
      </w:r>
      <w:r w:rsidR="00417E4A" w:rsidRPr="00DA2944">
        <w:rPr>
          <w:lang w:val="en-AU"/>
        </w:rPr>
        <w:t>better align regulatory capital with risk or</w:t>
      </w:r>
      <w:r w:rsidR="00DA2944" w:rsidRPr="00DA2944">
        <w:rPr>
          <w:lang w:val="en-AU"/>
        </w:rPr>
        <w:t xml:space="preserve"> to</w:t>
      </w:r>
      <w:r w:rsidR="00417E4A" w:rsidRPr="00DA2944">
        <w:rPr>
          <w:lang w:val="en-AU"/>
        </w:rPr>
        <w:t xml:space="preserve"> simplify aspects of the framework.</w:t>
      </w:r>
    </w:p>
    <w:p w14:paraId="17AA34A9" w14:textId="2BB0BC20" w:rsidR="00A821F8" w:rsidRDefault="00A821F8" w:rsidP="00A821F8">
      <w:pPr>
        <w:pStyle w:val="APRANORMAL"/>
      </w:pPr>
      <w:r w:rsidRPr="00DA2944">
        <w:rPr>
          <w:lang w:val="en-AU"/>
        </w:rPr>
        <w:t xml:space="preserve">In conjunction with this paper, APRA is also releasing </w:t>
      </w:r>
      <w:r w:rsidR="00386E8B" w:rsidRPr="00DA2944">
        <w:rPr>
          <w:lang w:val="en-AU"/>
        </w:rPr>
        <w:t xml:space="preserve">a </w:t>
      </w:r>
      <w:r w:rsidRPr="00DA2944">
        <w:rPr>
          <w:lang w:val="en-AU"/>
        </w:rPr>
        <w:t>discussion paper</w:t>
      </w:r>
      <w:r w:rsidR="00386E8B" w:rsidRPr="00DA2944">
        <w:rPr>
          <w:lang w:val="en-AU"/>
        </w:rPr>
        <w:t xml:space="preserve"> on the</w:t>
      </w:r>
      <w:r w:rsidRPr="00DA2944">
        <w:t xml:space="preserve"> application of a leverage ratio as a complement to the risk-based capital framework.</w:t>
      </w:r>
      <w:r w:rsidR="000F508D">
        <w:rPr>
          <w:rStyle w:val="FootnoteReference"/>
        </w:rPr>
        <w:footnoteReference w:id="17"/>
      </w:r>
      <w:r w:rsidR="00386E8B" w:rsidRPr="00DA2944">
        <w:t xml:space="preserve"> Subsequent to these papers, APRA will </w:t>
      </w:r>
      <w:r w:rsidR="00E42DB8">
        <w:t>release</w:t>
      </w:r>
      <w:r w:rsidR="00386E8B" w:rsidRPr="00DA2944">
        <w:t xml:space="preserve"> a </w:t>
      </w:r>
      <w:r w:rsidR="00DD5FC7">
        <w:t xml:space="preserve">further </w:t>
      </w:r>
      <w:r w:rsidR="00386E8B" w:rsidRPr="00DA2944">
        <w:t xml:space="preserve">discussion paper </w:t>
      </w:r>
      <w:r w:rsidR="00386E8B" w:rsidRPr="00DA2944">
        <w:rPr>
          <w:lang w:val="en-AU"/>
        </w:rPr>
        <w:t>on potential</w:t>
      </w:r>
      <w:r w:rsidR="00386E8B" w:rsidRPr="00DA2944">
        <w:t xml:space="preserve"> adjustments to the overall design of the capital framework to improve transparency, international comparability and flexibility</w:t>
      </w:r>
      <w:r w:rsidR="00100408">
        <w:t>.</w:t>
      </w:r>
    </w:p>
    <w:p w14:paraId="37374703" w14:textId="4767D8A9" w:rsidR="00664B29" w:rsidRDefault="00AC7BD4" w:rsidP="00991568">
      <w:pPr>
        <w:pStyle w:val="APRANORMAL"/>
        <w:rPr>
          <w:lang w:val="en-AU"/>
        </w:rPr>
      </w:pPr>
      <w:r>
        <w:rPr>
          <w:lang w:val="en-AU"/>
        </w:rPr>
        <w:lastRenderedPageBreak/>
        <w:t>This paper</w:t>
      </w:r>
      <w:r w:rsidR="00865EC1">
        <w:rPr>
          <w:lang w:val="en-AU"/>
        </w:rPr>
        <w:t xml:space="preserve"> </w:t>
      </w:r>
      <w:r>
        <w:rPr>
          <w:lang w:val="en-AU"/>
        </w:rPr>
        <w:t>outlines</w:t>
      </w:r>
      <w:r w:rsidR="00F7260A">
        <w:rPr>
          <w:lang w:val="en-AU"/>
        </w:rPr>
        <w:t xml:space="preserve"> APRA’s </w:t>
      </w:r>
      <w:r w:rsidR="008E5407">
        <w:rPr>
          <w:lang w:val="en-AU"/>
        </w:rPr>
        <w:t>proposed</w:t>
      </w:r>
      <w:r w:rsidR="00F7260A">
        <w:rPr>
          <w:lang w:val="en-AU"/>
        </w:rPr>
        <w:t xml:space="preserve"> revisions </w:t>
      </w:r>
      <w:r>
        <w:rPr>
          <w:lang w:val="en-AU"/>
        </w:rPr>
        <w:t>relating to:</w:t>
      </w:r>
    </w:p>
    <w:p w14:paraId="402EA318" w14:textId="0F3226B3" w:rsidR="003F577F" w:rsidRDefault="003F577F" w:rsidP="0087234A">
      <w:pPr>
        <w:pStyle w:val="APRABULLET"/>
      </w:pPr>
      <w:r>
        <w:t>credit risk</w:t>
      </w:r>
      <w:r w:rsidR="00E35A18">
        <w:t>,</w:t>
      </w:r>
      <w:r w:rsidR="00E35A18" w:rsidDel="0042063F">
        <w:t xml:space="preserve"> </w:t>
      </w:r>
      <w:r w:rsidR="0042063F">
        <w:t xml:space="preserve">specifically </w:t>
      </w:r>
      <w:r w:rsidR="00B737B4">
        <w:t>the treatment</w:t>
      </w:r>
      <w:r w:rsidR="00E833E5">
        <w:t xml:space="preserve"> of the residential mortgage portfolio</w:t>
      </w:r>
      <w:r w:rsidR="00AD205F">
        <w:t xml:space="preserve"> </w:t>
      </w:r>
      <w:r w:rsidR="00510BBD">
        <w:t xml:space="preserve">(chapter 2) </w:t>
      </w:r>
      <w:r w:rsidR="007006D3" w:rsidDel="00B4379A">
        <w:t>and</w:t>
      </w:r>
      <w:r w:rsidR="00AD205F" w:rsidDel="00B4379A">
        <w:t xml:space="preserve"> </w:t>
      </w:r>
      <w:r w:rsidR="00AD205F">
        <w:t xml:space="preserve">other </w:t>
      </w:r>
      <w:r w:rsidR="00C068FF">
        <w:t xml:space="preserve">revisions </w:t>
      </w:r>
      <w:r w:rsidR="00AD205F">
        <w:t xml:space="preserve">to the </w:t>
      </w:r>
      <w:r w:rsidR="00A22F80">
        <w:t xml:space="preserve">standardised and </w:t>
      </w:r>
      <w:r w:rsidR="00AD205F">
        <w:t>IRB approach</w:t>
      </w:r>
      <w:r w:rsidR="00A22F80">
        <w:t>es</w:t>
      </w:r>
      <w:r w:rsidR="00510BBD">
        <w:t xml:space="preserve"> (chapters 3 and 4, respectively)</w:t>
      </w:r>
      <w:r>
        <w:t>;</w:t>
      </w:r>
      <w:r w:rsidR="003A3A07">
        <w:t xml:space="preserve"> and</w:t>
      </w:r>
    </w:p>
    <w:p w14:paraId="118A90AE" w14:textId="33DA14E6" w:rsidR="000E7E38" w:rsidRDefault="003F577F" w:rsidP="003A3A07">
      <w:pPr>
        <w:pStyle w:val="APRABULLET"/>
      </w:pPr>
      <w:r>
        <w:t>the operational risk framework</w:t>
      </w:r>
      <w:r w:rsidR="00E26EBA">
        <w:t xml:space="preserve">, including </w:t>
      </w:r>
      <w:r w:rsidR="00A54AE6">
        <w:t xml:space="preserve">the replacement methodology for </w:t>
      </w:r>
      <w:r w:rsidR="00E26EBA">
        <w:t xml:space="preserve">the advanced measurement </w:t>
      </w:r>
      <w:r w:rsidR="00AC2535">
        <w:t xml:space="preserve">and standardised </w:t>
      </w:r>
      <w:r w:rsidR="00E26EBA">
        <w:t>approach</w:t>
      </w:r>
      <w:r w:rsidR="00716AEB">
        <w:t>es</w:t>
      </w:r>
      <w:r w:rsidR="00510BBD">
        <w:t xml:space="preserve"> (chapter 5)</w:t>
      </w:r>
      <w:r w:rsidR="003A3A07">
        <w:t>.</w:t>
      </w:r>
    </w:p>
    <w:p w14:paraId="48968922" w14:textId="74B66B5A" w:rsidR="00900AB2" w:rsidRDefault="00510BBD">
      <w:pPr>
        <w:pStyle w:val="APRANORMAL"/>
      </w:pPr>
      <w:r>
        <w:t>Chapter 6</w:t>
      </w:r>
      <w:r w:rsidR="00FC02D6">
        <w:t xml:space="preserve"> provides an update on APRA’s approach to implement</w:t>
      </w:r>
      <w:r w:rsidR="00004859">
        <w:t>ing</w:t>
      </w:r>
      <w:r w:rsidR="00FC02D6">
        <w:t xml:space="preserve"> the Basel</w:t>
      </w:r>
      <w:r w:rsidR="0033100C">
        <w:t> </w:t>
      </w:r>
      <w:r w:rsidR="00D82EED">
        <w:t>III</w:t>
      </w:r>
      <w:r w:rsidR="00FC02D6">
        <w:t xml:space="preserve"> market risk </w:t>
      </w:r>
      <w:r w:rsidR="009F6C5C">
        <w:t>framework</w:t>
      </w:r>
      <w:r w:rsidR="00F7260A">
        <w:t xml:space="preserve"> and</w:t>
      </w:r>
      <w:r w:rsidR="00FC02D6">
        <w:t xml:space="preserve"> </w:t>
      </w:r>
      <w:r w:rsidR="00B53ECE">
        <w:t xml:space="preserve">on proposed </w:t>
      </w:r>
      <w:r w:rsidR="004A0232">
        <w:t>revisions to the</w:t>
      </w:r>
      <w:r w:rsidR="00AC2535">
        <w:t xml:space="preserve"> treatment of </w:t>
      </w:r>
      <w:r w:rsidR="00900AB2">
        <w:t>interest rate risk in the banking book (</w:t>
      </w:r>
      <w:r w:rsidR="000134B7">
        <w:t>IRRBB</w:t>
      </w:r>
      <w:r w:rsidR="00900AB2">
        <w:t>)</w:t>
      </w:r>
      <w:r w:rsidR="00F7260A">
        <w:t xml:space="preserve">. </w:t>
      </w:r>
    </w:p>
    <w:p w14:paraId="0A0DE267" w14:textId="612F6ABE" w:rsidR="00633D7F" w:rsidRDefault="00F7260A">
      <w:pPr>
        <w:pStyle w:val="APRANORMAL"/>
      </w:pPr>
      <w:r>
        <w:t xml:space="preserve">Consistent with </w:t>
      </w:r>
      <w:r w:rsidR="00383395">
        <w:t xml:space="preserve">the </w:t>
      </w:r>
      <w:r w:rsidR="00B53ECE">
        <w:t>Basel </w:t>
      </w:r>
      <w:r w:rsidR="006A2E20">
        <w:t>III</w:t>
      </w:r>
      <w:r w:rsidR="00FD0AB7" w:rsidDel="008449D2">
        <w:t xml:space="preserve"> </w:t>
      </w:r>
      <w:r w:rsidR="00383395">
        <w:t>reforms</w:t>
      </w:r>
      <w:r>
        <w:t xml:space="preserve">, APRA </w:t>
      </w:r>
      <w:r w:rsidR="008E5407">
        <w:t xml:space="preserve">also </w:t>
      </w:r>
      <w:r>
        <w:t>propos</w:t>
      </w:r>
      <w:r w:rsidR="00E42DB8">
        <w:t>es</w:t>
      </w:r>
      <w:r>
        <w:t xml:space="preserve"> to </w:t>
      </w:r>
      <w:r w:rsidR="00531A4E">
        <w:t xml:space="preserve">introduce </w:t>
      </w:r>
      <w:r w:rsidR="00754E10">
        <w:t>a</w:t>
      </w:r>
      <w:r w:rsidR="00531A4E">
        <w:t xml:space="preserve"> floor to limit the </w:t>
      </w:r>
      <w:r>
        <w:t xml:space="preserve">potential reduction in </w:t>
      </w:r>
      <w:r w:rsidR="00856CE3">
        <w:t>RWA</w:t>
      </w:r>
      <w:r w:rsidR="00531A4E">
        <w:t xml:space="preserve"> associated with advanced modelling methodologies</w:t>
      </w:r>
      <w:r>
        <w:t xml:space="preserve"> relative to the standardised approaches</w:t>
      </w:r>
      <w:r w:rsidR="00510BBD">
        <w:t xml:space="preserve"> (chapter 7)</w:t>
      </w:r>
      <w:r w:rsidR="00531A4E">
        <w:t>.</w:t>
      </w:r>
      <w:r w:rsidR="000E7E38">
        <w:t xml:space="preserve"> </w:t>
      </w:r>
    </w:p>
    <w:p w14:paraId="2A6A278A" w14:textId="51B33866" w:rsidR="00FC02D6" w:rsidRDefault="00510BBD">
      <w:pPr>
        <w:pStyle w:val="APRANORMAL"/>
      </w:pPr>
      <w:r>
        <w:t>Chapter 8</w:t>
      </w:r>
      <w:r w:rsidR="000E7E38">
        <w:t xml:space="preserve"> outlines a proposal for </w:t>
      </w:r>
      <w:r w:rsidR="000E7E38">
        <w:rPr>
          <w:lang w:val="en-AU"/>
        </w:rPr>
        <w:t>a simpler capital framework for small ADIs, which is intended to reduce regulatory burden without compromising prudential soundness</w:t>
      </w:r>
      <w:r w:rsidR="005B3247">
        <w:rPr>
          <w:lang w:val="en-AU"/>
        </w:rPr>
        <w:t>.</w:t>
      </w:r>
    </w:p>
    <w:p w14:paraId="6A1A3224" w14:textId="19D3ED40" w:rsidR="00AC7BD4" w:rsidRDefault="001D4A22" w:rsidP="001D4A22">
      <w:pPr>
        <w:pStyle w:val="APRANORMAL"/>
        <w:rPr>
          <w:lang w:val="en-AU"/>
        </w:rPr>
      </w:pPr>
      <w:r w:rsidRPr="003E1593">
        <w:rPr>
          <w:lang w:val="en-AU"/>
        </w:rPr>
        <w:t>Th</w:t>
      </w:r>
      <w:r w:rsidR="003E4B9D">
        <w:rPr>
          <w:lang w:val="en-AU"/>
        </w:rPr>
        <w:t>e</w:t>
      </w:r>
      <w:r w:rsidRPr="003E1593">
        <w:rPr>
          <w:lang w:val="en-AU"/>
        </w:rPr>
        <w:t xml:space="preserve"> </w:t>
      </w:r>
      <w:r w:rsidR="00217E5F">
        <w:rPr>
          <w:lang w:val="en-AU"/>
        </w:rPr>
        <w:t>measures outlined</w:t>
      </w:r>
      <w:r w:rsidR="00217E5F" w:rsidRPr="003E1593">
        <w:rPr>
          <w:lang w:val="en-AU"/>
        </w:rPr>
        <w:t xml:space="preserve"> </w:t>
      </w:r>
      <w:r w:rsidRPr="003E1593">
        <w:rPr>
          <w:lang w:val="en-AU"/>
        </w:rPr>
        <w:t xml:space="preserve">in this discussion paper </w:t>
      </w:r>
      <w:r w:rsidR="00217E5F">
        <w:rPr>
          <w:lang w:val="en-AU"/>
        </w:rPr>
        <w:t>indicate</w:t>
      </w:r>
      <w:r w:rsidRPr="003E1593">
        <w:rPr>
          <w:lang w:val="en-AU"/>
        </w:rPr>
        <w:t xml:space="preserve"> APRA’s </w:t>
      </w:r>
      <w:r w:rsidR="008E5407">
        <w:rPr>
          <w:lang w:val="en-AU"/>
        </w:rPr>
        <w:t>proposed</w:t>
      </w:r>
      <w:r w:rsidR="008E5407" w:rsidRPr="003E1593">
        <w:rPr>
          <w:lang w:val="en-AU"/>
        </w:rPr>
        <w:t xml:space="preserve"> </w:t>
      </w:r>
      <w:r w:rsidRPr="003E1593">
        <w:rPr>
          <w:lang w:val="en-AU"/>
        </w:rPr>
        <w:t xml:space="preserve">policy direction. </w:t>
      </w:r>
      <w:r w:rsidR="00E33D0E">
        <w:rPr>
          <w:lang w:val="en-AU"/>
        </w:rPr>
        <w:t xml:space="preserve">The </w:t>
      </w:r>
      <w:r w:rsidR="00593F11">
        <w:rPr>
          <w:lang w:val="en-AU"/>
        </w:rPr>
        <w:t xml:space="preserve">specific </w:t>
      </w:r>
      <w:r w:rsidR="00E33D0E">
        <w:rPr>
          <w:lang w:val="en-AU"/>
        </w:rPr>
        <w:t>quantitative risk weight calibrations</w:t>
      </w:r>
      <w:r w:rsidRPr="003E1593">
        <w:rPr>
          <w:lang w:val="en-AU"/>
        </w:rPr>
        <w:t xml:space="preserve"> will </w:t>
      </w:r>
      <w:r w:rsidR="008E5407">
        <w:rPr>
          <w:lang w:val="en-AU"/>
        </w:rPr>
        <w:t>not be finalised, however, until</w:t>
      </w:r>
      <w:r w:rsidRPr="003E1593">
        <w:rPr>
          <w:lang w:val="en-AU"/>
        </w:rPr>
        <w:t xml:space="preserve"> after </w:t>
      </w:r>
      <w:r w:rsidR="008A653D">
        <w:rPr>
          <w:lang w:val="en-AU"/>
        </w:rPr>
        <w:t>completion of</w:t>
      </w:r>
      <w:r w:rsidR="002E4282" w:rsidRPr="003E1593">
        <w:rPr>
          <w:lang w:val="en-AU"/>
        </w:rPr>
        <w:t xml:space="preserve"> </w:t>
      </w:r>
      <w:r w:rsidRPr="003E1593">
        <w:rPr>
          <w:lang w:val="en-AU"/>
        </w:rPr>
        <w:t>a quantitative impact study (QIS).</w:t>
      </w:r>
      <w:r w:rsidRPr="001D4A22">
        <w:rPr>
          <w:lang w:val="en-AU"/>
        </w:rPr>
        <w:t xml:space="preserve"> </w:t>
      </w:r>
      <w:r w:rsidR="00593F11">
        <w:rPr>
          <w:lang w:val="en-AU"/>
        </w:rPr>
        <w:t xml:space="preserve">At the same time, the overall calibration of the framework for IRB and standardised ADIs will be targeted at meeting APRA’s benchmarks for unquestionably strong capital as set out in the July 2017 information paper. </w:t>
      </w:r>
      <w:r w:rsidR="00283900" w:rsidRPr="001D4A22">
        <w:rPr>
          <w:lang w:val="en-AU"/>
        </w:rPr>
        <w:t>APRA</w:t>
      </w:r>
      <w:r w:rsidR="00283900">
        <w:rPr>
          <w:lang w:val="en-AU"/>
        </w:rPr>
        <w:t xml:space="preserve"> will progressively release </w:t>
      </w:r>
      <w:r>
        <w:rPr>
          <w:lang w:val="en-AU"/>
        </w:rPr>
        <w:t xml:space="preserve">more detailed proposals through </w:t>
      </w:r>
      <w:r w:rsidR="00283900">
        <w:rPr>
          <w:lang w:val="en-AU"/>
        </w:rPr>
        <w:t>draft revised prudential and reporting standards</w:t>
      </w:r>
      <w:r>
        <w:rPr>
          <w:lang w:val="en-AU"/>
        </w:rPr>
        <w:t>,</w:t>
      </w:r>
      <w:r w:rsidR="000E5F6B">
        <w:rPr>
          <w:lang w:val="en-AU"/>
        </w:rPr>
        <w:t xml:space="preserve"> commencing in </w:t>
      </w:r>
      <w:r>
        <w:rPr>
          <w:lang w:val="en-AU"/>
        </w:rPr>
        <w:t xml:space="preserve">the second half of </w:t>
      </w:r>
      <w:r w:rsidR="000E5F6B">
        <w:rPr>
          <w:lang w:val="en-AU"/>
        </w:rPr>
        <w:t>2018</w:t>
      </w:r>
      <w:r w:rsidR="00283900">
        <w:rPr>
          <w:lang w:val="en-AU"/>
        </w:rPr>
        <w:t xml:space="preserve">. </w:t>
      </w:r>
      <w:r w:rsidR="00CC55C8">
        <w:rPr>
          <w:lang w:val="en-AU"/>
        </w:rPr>
        <w:t>It</w:t>
      </w:r>
      <w:r w:rsidR="00A54AE6">
        <w:rPr>
          <w:lang w:val="en-AU"/>
        </w:rPr>
        <w:t xml:space="preserve"> is likely that </w:t>
      </w:r>
      <w:r w:rsidR="00B53ECE">
        <w:rPr>
          <w:lang w:val="en-AU"/>
        </w:rPr>
        <w:t xml:space="preserve">this process </w:t>
      </w:r>
      <w:r w:rsidR="00B772D1">
        <w:rPr>
          <w:lang w:val="en-AU"/>
        </w:rPr>
        <w:t xml:space="preserve">will </w:t>
      </w:r>
      <w:r w:rsidR="003E4B9D">
        <w:rPr>
          <w:lang w:val="en-AU"/>
        </w:rPr>
        <w:t xml:space="preserve">begin </w:t>
      </w:r>
      <w:r w:rsidR="00B53ECE">
        <w:rPr>
          <w:lang w:val="en-AU"/>
        </w:rPr>
        <w:t xml:space="preserve">with </w:t>
      </w:r>
      <w:r w:rsidR="00B772D1">
        <w:rPr>
          <w:lang w:val="en-AU"/>
        </w:rPr>
        <w:t>consultation on draft revised prude</w:t>
      </w:r>
      <w:r w:rsidR="00754E10">
        <w:rPr>
          <w:lang w:val="en-AU"/>
        </w:rPr>
        <w:t xml:space="preserve">ntial standards relating </w:t>
      </w:r>
      <w:r w:rsidR="00CC55C8">
        <w:rPr>
          <w:lang w:val="en-AU"/>
        </w:rPr>
        <w:t>to credit and operational risk</w:t>
      </w:r>
      <w:r w:rsidR="00B772D1">
        <w:rPr>
          <w:lang w:val="en-AU"/>
        </w:rPr>
        <w:t xml:space="preserve">. </w:t>
      </w:r>
      <w:r w:rsidR="002C44CC">
        <w:rPr>
          <w:lang w:val="en-AU"/>
        </w:rPr>
        <w:t>Further information</w:t>
      </w:r>
      <w:r w:rsidR="00511CAB">
        <w:rPr>
          <w:lang w:val="en-AU"/>
        </w:rPr>
        <w:t xml:space="preserve"> on next steps</w:t>
      </w:r>
      <w:r w:rsidR="002C44CC">
        <w:rPr>
          <w:lang w:val="en-AU"/>
        </w:rPr>
        <w:t xml:space="preserve"> is set out in chapter </w:t>
      </w:r>
      <w:r w:rsidR="00BA7404">
        <w:rPr>
          <w:lang w:val="en-AU"/>
        </w:rPr>
        <w:t>9</w:t>
      </w:r>
      <w:r w:rsidR="00AE1E44">
        <w:rPr>
          <w:lang w:val="en-AU"/>
        </w:rPr>
        <w:t>.</w:t>
      </w:r>
    </w:p>
    <w:p w14:paraId="4260D4C6" w14:textId="7F427594" w:rsidR="00004DF4" w:rsidRPr="00BB7F20" w:rsidRDefault="00004DF4" w:rsidP="007E5E6E">
      <w:pPr>
        <w:pStyle w:val="APRAHEADING2"/>
        <w:pageBreakBefore/>
      </w:pPr>
      <w:bookmarkStart w:id="62" w:name="_Toc497209092"/>
      <w:bookmarkStart w:id="63" w:name="_Toc497209993"/>
      <w:bookmarkStart w:id="64" w:name="_Toc492996515"/>
      <w:bookmarkStart w:id="65" w:name="_Toc493154147"/>
      <w:bookmarkStart w:id="66" w:name="_Toc493154593"/>
      <w:bookmarkStart w:id="67" w:name="_Toc493240097"/>
      <w:bookmarkStart w:id="68" w:name="_Toc493240603"/>
      <w:bookmarkStart w:id="69" w:name="_Toc494189566"/>
      <w:bookmarkStart w:id="70" w:name="_Toc496184494"/>
      <w:bookmarkStart w:id="71" w:name="_Toc497209093"/>
      <w:bookmarkStart w:id="72" w:name="_Toc500151919"/>
      <w:bookmarkStart w:id="73" w:name="_Toc505676408"/>
      <w:bookmarkStart w:id="74" w:name="_Toc505676500"/>
      <w:bookmarkStart w:id="75" w:name="_Toc505681572"/>
      <w:bookmarkStart w:id="76" w:name="_Toc505681754"/>
      <w:bookmarkStart w:id="77" w:name="_Toc505854698"/>
      <w:bookmarkStart w:id="78" w:name="_Toc506285798"/>
      <w:bookmarkEnd w:id="62"/>
      <w:bookmarkEnd w:id="63"/>
      <w:r w:rsidRPr="00BB7F20">
        <w:lastRenderedPageBreak/>
        <w:t xml:space="preserve">Balancing </w:t>
      </w:r>
      <w:bookmarkEnd w:id="64"/>
      <w:bookmarkEnd w:id="65"/>
      <w:bookmarkEnd w:id="66"/>
      <w:bookmarkEnd w:id="67"/>
      <w:bookmarkEnd w:id="68"/>
      <w:bookmarkEnd w:id="69"/>
      <w:bookmarkEnd w:id="70"/>
      <w:r w:rsidR="00511CAB">
        <w:t>APRA’s objectives</w:t>
      </w:r>
      <w:bookmarkEnd w:id="71"/>
      <w:bookmarkEnd w:id="72"/>
      <w:bookmarkEnd w:id="73"/>
      <w:bookmarkEnd w:id="74"/>
      <w:bookmarkEnd w:id="75"/>
      <w:bookmarkEnd w:id="76"/>
      <w:bookmarkEnd w:id="77"/>
      <w:bookmarkEnd w:id="78"/>
    </w:p>
    <w:p w14:paraId="7F87E0F1" w14:textId="10259552" w:rsidR="00D07306" w:rsidRPr="00882822" w:rsidRDefault="00D07306" w:rsidP="00746E2A">
      <w:pPr>
        <w:pStyle w:val="APRANORMAL"/>
      </w:pPr>
      <w:r>
        <w:t>APRA</w:t>
      </w:r>
      <w:r w:rsidR="00665B32">
        <w:t xml:space="preserve">’s mandate </w:t>
      </w:r>
      <w:r w:rsidR="00E33D0E">
        <w:t>includes</w:t>
      </w:r>
      <w:r w:rsidR="00665B32">
        <w:t xml:space="preserve"> </w:t>
      </w:r>
      <w:r>
        <w:t>balanc</w:t>
      </w:r>
      <w:r w:rsidR="00E33D0E">
        <w:t>ing</w:t>
      </w:r>
      <w:r>
        <w:t xml:space="preserve"> the objectives of financial safety and efficiency, competition, contestability and competitive neutrality, </w:t>
      </w:r>
      <w:r w:rsidR="00665B32">
        <w:t xml:space="preserve">and, in balancing these objectives, promote </w:t>
      </w:r>
      <w:r>
        <w:t xml:space="preserve">financial </w:t>
      </w:r>
      <w:r w:rsidR="00665B32">
        <w:t xml:space="preserve">system </w:t>
      </w:r>
      <w:r>
        <w:t>stability</w:t>
      </w:r>
      <w:r w:rsidR="00665B32">
        <w:t xml:space="preserve"> in Australia</w:t>
      </w:r>
      <w:r>
        <w:t>. APRA consi</w:t>
      </w:r>
      <w:r w:rsidR="00511CAB">
        <w:t>ders that</w:t>
      </w:r>
      <w:r w:rsidR="002E4282">
        <w:t>, on balance,</w:t>
      </w:r>
      <w:r w:rsidR="00511CAB">
        <w:t xml:space="preserve"> the proposals</w:t>
      </w:r>
      <w:r>
        <w:t xml:space="preserve"> in this </w:t>
      </w:r>
      <w:r w:rsidRPr="00882822">
        <w:t>discussion</w:t>
      </w:r>
      <w:r>
        <w:t xml:space="preserve"> paper will</w:t>
      </w:r>
      <w:r w:rsidR="00746E2A">
        <w:t xml:space="preserve"> </w:t>
      </w:r>
      <w:r w:rsidR="00632D4D">
        <w:t>strengthen</w:t>
      </w:r>
      <w:r w:rsidR="00382F4A">
        <w:t xml:space="preserve"> the resilience of the Australian regulatory financial framework</w:t>
      </w:r>
      <w:r w:rsidR="00A876FF">
        <w:t>, improve financial safety</w:t>
      </w:r>
      <w:r w:rsidR="00632D4D">
        <w:t xml:space="preserve"> and</w:t>
      </w:r>
      <w:r w:rsidR="00382F4A">
        <w:t xml:space="preserve"> promot</w:t>
      </w:r>
      <w:r w:rsidR="00632D4D">
        <w:t>e</w:t>
      </w:r>
      <w:r w:rsidR="00382F4A">
        <w:t xml:space="preserve"> financial system stability. </w:t>
      </w:r>
    </w:p>
    <w:tbl>
      <w:tblPr>
        <w:tblStyle w:val="TableGrid"/>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42"/>
        <w:gridCol w:w="2671"/>
        <w:gridCol w:w="4508"/>
      </w:tblGrid>
      <w:tr w:rsidR="00D07306" w:rsidRPr="00EB2BA3" w14:paraId="57B1AE9E" w14:textId="77777777" w:rsidTr="003364CA">
        <w:tc>
          <w:tcPr>
            <w:tcW w:w="9021" w:type="dxa"/>
            <w:gridSpan w:val="3"/>
            <w:shd w:val="clear" w:color="auto" w:fill="002060"/>
          </w:tcPr>
          <w:p w14:paraId="1ACD7943" w14:textId="77777777" w:rsidR="00D07306" w:rsidRPr="00312980" w:rsidRDefault="00D07306" w:rsidP="003F758E">
            <w:pPr>
              <w:spacing w:before="120" w:after="120"/>
              <w:jc w:val="center"/>
              <w:rPr>
                <w:rFonts w:ascii="DIN OT Medium" w:hAnsi="DIN OT Medium"/>
                <w:noProof/>
                <w:color w:val="FFFFFF" w:themeColor="background1"/>
                <w:sz w:val="20"/>
                <w:szCs w:val="20"/>
                <w:lang w:eastAsia="en-AU"/>
              </w:rPr>
            </w:pPr>
            <w:r w:rsidRPr="00312980">
              <w:rPr>
                <w:rFonts w:ascii="DIN OT Medium" w:hAnsi="DIN OT Medium"/>
                <w:noProof/>
                <w:color w:val="FFFFFF" w:themeColor="background1"/>
                <w:sz w:val="20"/>
                <w:szCs w:val="20"/>
                <w:lang w:eastAsia="en-AU"/>
              </w:rPr>
              <w:t>PRIMARY OBJECTIVES</w:t>
            </w:r>
          </w:p>
        </w:tc>
      </w:tr>
      <w:tr w:rsidR="00D07306" w:rsidRPr="00EB2BA3" w14:paraId="55EA7654" w14:textId="77777777" w:rsidTr="003364CA">
        <w:tc>
          <w:tcPr>
            <w:tcW w:w="4513" w:type="dxa"/>
            <w:gridSpan w:val="2"/>
            <w:shd w:val="clear" w:color="auto" w:fill="00B0F0"/>
          </w:tcPr>
          <w:p w14:paraId="7AAEAD13" w14:textId="3E934EFE" w:rsidR="00BA77ED" w:rsidRPr="00312980" w:rsidRDefault="00BA77ED" w:rsidP="003F758E">
            <w:pPr>
              <w:spacing w:before="120" w:after="120"/>
              <w:jc w:val="center"/>
              <w:rPr>
                <w:rFonts w:ascii="DIN OT Medium" w:hAnsi="DIN OT Medium"/>
                <w:color w:val="FFFFFF" w:themeColor="background1"/>
                <w:sz w:val="20"/>
                <w:szCs w:val="20"/>
              </w:rPr>
            </w:pPr>
            <w:r w:rsidRPr="00312980">
              <w:rPr>
                <w:rFonts w:ascii="DIN OT Medium" w:hAnsi="DIN OT Medium"/>
                <w:color w:val="FFFFFF" w:themeColor="background1"/>
                <w:sz w:val="20"/>
                <w:szCs w:val="20"/>
              </w:rPr>
              <w:t>Financial</w:t>
            </w:r>
            <w:r w:rsidR="00A50451" w:rsidRPr="00312980">
              <w:rPr>
                <w:rFonts w:ascii="DIN OT Medium" w:hAnsi="DIN OT Medium"/>
                <w:color w:val="FFFFFF" w:themeColor="background1"/>
                <w:sz w:val="20"/>
                <w:szCs w:val="20"/>
              </w:rPr>
              <w:t xml:space="preserve"> </w:t>
            </w:r>
            <w:r w:rsidRPr="00312980">
              <w:rPr>
                <w:rFonts w:ascii="DIN OT Medium" w:hAnsi="DIN OT Medium"/>
                <w:color w:val="FFFFFF" w:themeColor="background1"/>
                <w:sz w:val="20"/>
                <w:szCs w:val="20"/>
              </w:rPr>
              <w:br/>
              <w:t>safety</w:t>
            </w:r>
          </w:p>
          <w:p w14:paraId="5684D4D7" w14:textId="41856742" w:rsidR="00D07306" w:rsidRPr="00EB2BA3" w:rsidRDefault="0024145D" w:rsidP="0024145D">
            <w:pPr>
              <w:spacing w:before="120" w:after="120"/>
              <w:jc w:val="center"/>
              <w:rPr>
                <w:rFonts w:ascii="DIN OT Light" w:hAnsi="DIN OT Light"/>
                <w:b/>
                <w:color w:val="FFFFFF" w:themeColor="background1"/>
                <w:sz w:val="20"/>
                <w:szCs w:val="20"/>
              </w:rPr>
            </w:pPr>
            <w:r w:rsidRPr="00EB2BA3">
              <w:rPr>
                <w:rFonts w:ascii="DIN OT Light" w:hAnsi="DIN OT Light"/>
                <w:i/>
                <w:noProof/>
                <w:color w:val="FFFFFF" w:themeColor="background1"/>
                <w:sz w:val="20"/>
                <w:szCs w:val="20"/>
                <w:lang w:eastAsia="en-AU"/>
              </w:rPr>
              <mc:AlternateContent>
                <mc:Choice Requires="wps">
                  <w:drawing>
                    <wp:inline distT="0" distB="0" distL="0" distR="0" wp14:anchorId="275D897A" wp14:editId="4A6FE3DD">
                      <wp:extent cx="190500" cy="247650"/>
                      <wp:effectExtent l="19050" t="19050" r="38100" b="19050"/>
                      <wp:docPr id="18" name="Up Arrow 18"/>
                      <wp:cNvGraphicFramePr/>
                      <a:graphic xmlns:a="http://schemas.openxmlformats.org/drawingml/2006/main">
                        <a:graphicData uri="http://schemas.microsoft.com/office/word/2010/wordprocessingShape">
                          <wps:wsp>
                            <wps:cNvSpPr/>
                            <wps:spPr>
                              <a:xfrm>
                                <a:off x="0" y="0"/>
                                <a:ext cx="190500" cy="247650"/>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9CF8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width:1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" adj="8308" fillcolor="white [3212]" strokecolor="white [3212]" strokeweight="2pt">
                      <w10:anchorlock/>
                    </v:shape>
                  </w:pict>
                </mc:Fallback>
              </mc:AlternateContent>
            </w:r>
          </w:p>
        </w:tc>
        <w:tc>
          <w:tcPr>
            <w:tcW w:w="4508" w:type="dxa"/>
            <w:shd w:val="clear" w:color="auto" w:fill="00B0F0"/>
          </w:tcPr>
          <w:p w14:paraId="4A003672" w14:textId="77777777" w:rsidR="00BA77ED" w:rsidRPr="00312980" w:rsidRDefault="00D07306" w:rsidP="003F758E">
            <w:pPr>
              <w:spacing w:before="120" w:after="120"/>
              <w:jc w:val="center"/>
              <w:rPr>
                <w:rFonts w:ascii="DIN OT Medium" w:hAnsi="DIN OT Medium"/>
                <w:color w:val="FFFFFF" w:themeColor="background1"/>
                <w:sz w:val="20"/>
                <w:szCs w:val="20"/>
              </w:rPr>
            </w:pPr>
            <w:r w:rsidRPr="00312980">
              <w:rPr>
                <w:rFonts w:ascii="DIN OT Medium" w:hAnsi="DIN OT Medium"/>
                <w:color w:val="FFFFFF" w:themeColor="background1"/>
                <w:sz w:val="20"/>
                <w:szCs w:val="20"/>
              </w:rPr>
              <w:t>Financial system</w:t>
            </w:r>
            <w:r w:rsidRPr="00312980">
              <w:rPr>
                <w:rFonts w:ascii="DIN OT Medium" w:hAnsi="DIN OT Medium"/>
                <w:color w:val="FFFFFF" w:themeColor="background1"/>
                <w:sz w:val="20"/>
                <w:szCs w:val="20"/>
              </w:rPr>
              <w:br/>
              <w:t>stability</w:t>
            </w:r>
          </w:p>
          <w:p w14:paraId="40E61618" w14:textId="4DBF3E1B" w:rsidR="00D07306" w:rsidRPr="00EB2BA3" w:rsidRDefault="0024145D" w:rsidP="003F758E">
            <w:pPr>
              <w:spacing w:before="120" w:after="120"/>
              <w:jc w:val="center"/>
              <w:rPr>
                <w:rFonts w:ascii="DIN OT Light" w:hAnsi="DIN OT Light"/>
                <w:b/>
                <w:color w:val="FFFFFF" w:themeColor="background1"/>
                <w:sz w:val="20"/>
                <w:szCs w:val="20"/>
              </w:rPr>
            </w:pPr>
            <w:r w:rsidRPr="00EB2BA3">
              <w:rPr>
                <w:rFonts w:ascii="DIN OT Light" w:hAnsi="DIN OT Light"/>
                <w:i/>
                <w:noProof/>
                <w:color w:val="FFFFFF" w:themeColor="background1"/>
                <w:sz w:val="20"/>
                <w:szCs w:val="20"/>
                <w:lang w:eastAsia="en-AU"/>
              </w:rPr>
              <mc:AlternateContent>
                <mc:Choice Requires="wps">
                  <w:drawing>
                    <wp:inline distT="0" distB="0" distL="0" distR="0" wp14:anchorId="3CBE66C7" wp14:editId="6F79B961">
                      <wp:extent cx="190500" cy="247650"/>
                      <wp:effectExtent l="19050" t="19050" r="38100" b="19050"/>
                      <wp:docPr id="19" name="Up Arrow 19"/>
                      <wp:cNvGraphicFramePr/>
                      <a:graphic xmlns:a="http://schemas.openxmlformats.org/drawingml/2006/main">
                        <a:graphicData uri="http://schemas.microsoft.com/office/word/2010/wordprocessingShape">
                          <wps:wsp>
                            <wps:cNvSpPr/>
                            <wps:spPr>
                              <a:xfrm>
                                <a:off x="0" y="0"/>
                                <a:ext cx="190500" cy="247650"/>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A4D5D" id="Up Arrow 19" o:spid="_x0000_s1026" type="#_x0000_t68" style="width:1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" adj="8308" fillcolor="white [3212]" strokecolor="white [3212]" strokeweight="2pt">
                      <w10:anchorlock/>
                    </v:shape>
                  </w:pict>
                </mc:Fallback>
              </mc:AlternateContent>
            </w:r>
          </w:p>
        </w:tc>
      </w:tr>
      <w:tr w:rsidR="00D07306" w:rsidRPr="00EB2BA3" w14:paraId="0C1C54DE" w14:textId="77777777" w:rsidTr="003364CA">
        <w:tc>
          <w:tcPr>
            <w:tcW w:w="4513" w:type="dxa"/>
            <w:gridSpan w:val="2"/>
            <w:shd w:val="clear" w:color="auto" w:fill="F2F2F2" w:themeFill="background1" w:themeFillShade="F2"/>
          </w:tcPr>
          <w:p w14:paraId="23824602" w14:textId="33306911" w:rsidR="00D07306" w:rsidRPr="00EB2BA3" w:rsidRDefault="00593F11" w:rsidP="00CE7888">
            <w:pPr>
              <w:pStyle w:val="APRANORMAL"/>
              <w:spacing w:before="120"/>
              <w:rPr>
                <w:sz w:val="20"/>
                <w:szCs w:val="20"/>
              </w:rPr>
            </w:pPr>
            <w:r>
              <w:rPr>
                <w:b/>
                <w:sz w:val="20"/>
                <w:szCs w:val="20"/>
              </w:rPr>
              <w:t>Improved</w:t>
            </w:r>
            <w:r w:rsidR="00CE7888" w:rsidRPr="00CE7888">
              <w:rPr>
                <w:sz w:val="20"/>
                <w:szCs w:val="20"/>
              </w:rPr>
              <w:t>: t</w:t>
            </w:r>
            <w:r w:rsidR="00E33D0E">
              <w:rPr>
                <w:sz w:val="20"/>
                <w:szCs w:val="20"/>
              </w:rPr>
              <w:t>he proposals would i</w:t>
            </w:r>
            <w:r w:rsidR="00141E7F" w:rsidRPr="00EB2BA3">
              <w:rPr>
                <w:sz w:val="20"/>
                <w:szCs w:val="20"/>
              </w:rPr>
              <w:t>mprov</w:t>
            </w:r>
            <w:r w:rsidR="00E33D0E">
              <w:rPr>
                <w:sz w:val="20"/>
                <w:szCs w:val="20"/>
              </w:rPr>
              <w:t>e</w:t>
            </w:r>
            <w:r w:rsidR="00141E7F" w:rsidRPr="00EB2BA3">
              <w:rPr>
                <w:sz w:val="20"/>
                <w:szCs w:val="20"/>
              </w:rPr>
              <w:t xml:space="preserve"> </w:t>
            </w:r>
            <w:r w:rsidR="003C0724">
              <w:rPr>
                <w:sz w:val="20"/>
                <w:szCs w:val="20"/>
              </w:rPr>
              <w:t xml:space="preserve">financial safety by </w:t>
            </w:r>
            <w:r w:rsidR="00C50926">
              <w:rPr>
                <w:sz w:val="20"/>
                <w:szCs w:val="20"/>
              </w:rPr>
              <w:t xml:space="preserve">revising the </w:t>
            </w:r>
            <w:r w:rsidR="00141E7F" w:rsidRPr="00EB2BA3">
              <w:rPr>
                <w:sz w:val="20"/>
                <w:szCs w:val="20"/>
              </w:rPr>
              <w:t xml:space="preserve">capital adequacy framework </w:t>
            </w:r>
            <w:r w:rsidR="00C50926">
              <w:rPr>
                <w:sz w:val="20"/>
                <w:szCs w:val="20"/>
              </w:rPr>
              <w:t>to meet the</w:t>
            </w:r>
            <w:r w:rsidR="00A835E9">
              <w:rPr>
                <w:sz w:val="20"/>
                <w:szCs w:val="20"/>
              </w:rPr>
              <w:t xml:space="preserve"> </w:t>
            </w:r>
            <w:r w:rsidR="003C0724">
              <w:rPr>
                <w:sz w:val="20"/>
                <w:szCs w:val="20"/>
              </w:rPr>
              <w:t xml:space="preserve">objective of </w:t>
            </w:r>
            <w:r w:rsidR="00141E7F" w:rsidRPr="00EB2BA3">
              <w:rPr>
                <w:sz w:val="20"/>
                <w:szCs w:val="20"/>
              </w:rPr>
              <w:t xml:space="preserve">unquestionably strong </w:t>
            </w:r>
            <w:r w:rsidR="00E33D0E">
              <w:rPr>
                <w:sz w:val="20"/>
                <w:szCs w:val="20"/>
              </w:rPr>
              <w:t xml:space="preserve">capital ratios. </w:t>
            </w:r>
          </w:p>
        </w:tc>
        <w:tc>
          <w:tcPr>
            <w:tcW w:w="4508" w:type="dxa"/>
            <w:shd w:val="clear" w:color="auto" w:fill="F2F2F2" w:themeFill="background1" w:themeFillShade="F2"/>
          </w:tcPr>
          <w:p w14:paraId="011E8D38" w14:textId="26140999" w:rsidR="00D07306" w:rsidRPr="00EB2BA3" w:rsidRDefault="00593F11" w:rsidP="00CE7888">
            <w:pPr>
              <w:pStyle w:val="APRANORMAL"/>
              <w:spacing w:before="120"/>
              <w:rPr>
                <w:sz w:val="20"/>
                <w:szCs w:val="20"/>
              </w:rPr>
            </w:pPr>
            <w:r>
              <w:rPr>
                <w:b/>
                <w:sz w:val="20"/>
                <w:szCs w:val="20"/>
              </w:rPr>
              <w:t>Improved</w:t>
            </w:r>
            <w:r w:rsidR="00CE7888">
              <w:rPr>
                <w:b/>
                <w:sz w:val="20"/>
                <w:szCs w:val="20"/>
              </w:rPr>
              <w:t>:</w:t>
            </w:r>
            <w:r>
              <w:t xml:space="preserve"> </w:t>
            </w:r>
            <w:r w:rsidR="00CE7888">
              <w:t>t</w:t>
            </w:r>
            <w:r w:rsidR="009201C6">
              <w:rPr>
                <w:sz w:val="20"/>
                <w:szCs w:val="20"/>
              </w:rPr>
              <w:t xml:space="preserve">he proposals address the systemic concentration and risk profile of housing lending exposures. </w:t>
            </w:r>
          </w:p>
        </w:tc>
      </w:tr>
      <w:tr w:rsidR="00D07306" w:rsidRPr="00EB2BA3" w14:paraId="69436D5A" w14:textId="77777777" w:rsidTr="003364CA">
        <w:tc>
          <w:tcPr>
            <w:tcW w:w="9021" w:type="dxa"/>
            <w:gridSpan w:val="3"/>
            <w:shd w:val="clear" w:color="auto" w:fill="002060"/>
          </w:tcPr>
          <w:p w14:paraId="35F092FB" w14:textId="77777777" w:rsidR="00D07306" w:rsidRPr="00312980" w:rsidRDefault="00D07306" w:rsidP="00EC5682">
            <w:pPr>
              <w:spacing w:before="120" w:after="120"/>
              <w:jc w:val="center"/>
              <w:rPr>
                <w:rFonts w:ascii="DIN OT Medium" w:hAnsi="DIN OT Medium"/>
                <w:color w:val="FFFFFF" w:themeColor="background1"/>
                <w:sz w:val="20"/>
                <w:szCs w:val="20"/>
              </w:rPr>
            </w:pPr>
            <w:r w:rsidRPr="00312980">
              <w:rPr>
                <w:rFonts w:ascii="DIN OT Medium" w:hAnsi="DIN OT Medium"/>
                <w:color w:val="FFFFFF" w:themeColor="background1"/>
                <w:sz w:val="20"/>
                <w:szCs w:val="20"/>
              </w:rPr>
              <w:t>OTHER CONSIDERATIONS</w:t>
            </w:r>
          </w:p>
        </w:tc>
      </w:tr>
      <w:tr w:rsidR="00D07306" w:rsidRPr="00EB2BA3" w14:paraId="56A0686F" w14:textId="77777777" w:rsidTr="003364CA">
        <w:tc>
          <w:tcPr>
            <w:tcW w:w="1842" w:type="dxa"/>
            <w:shd w:val="clear" w:color="auto" w:fill="00B0F0"/>
          </w:tcPr>
          <w:p w14:paraId="4402B75F" w14:textId="77777777" w:rsidR="00850F31" w:rsidRPr="00C41DE8" w:rsidRDefault="00D07306" w:rsidP="003F758E">
            <w:pPr>
              <w:spacing w:before="120" w:after="120"/>
              <w:jc w:val="center"/>
              <w:rPr>
                <w:rFonts w:ascii="DIN OT Medium" w:hAnsi="DIN OT Medium"/>
                <w:color w:val="FFFFFF" w:themeColor="background1"/>
                <w:sz w:val="20"/>
                <w:szCs w:val="20"/>
              </w:rPr>
            </w:pPr>
            <w:r w:rsidRPr="00C41DE8">
              <w:rPr>
                <w:rFonts w:ascii="DIN OT Medium" w:hAnsi="DIN OT Medium"/>
                <w:color w:val="FFFFFF" w:themeColor="background1"/>
                <w:sz w:val="20"/>
                <w:szCs w:val="20"/>
              </w:rPr>
              <w:t>Efficiency</w:t>
            </w:r>
          </w:p>
          <w:p w14:paraId="5AC706D6" w14:textId="3741825E" w:rsidR="00D07306" w:rsidRPr="00EB2BA3" w:rsidRDefault="00D07306" w:rsidP="003F758E">
            <w:pPr>
              <w:spacing w:before="120" w:after="120"/>
              <w:jc w:val="center"/>
              <w:rPr>
                <w:rFonts w:ascii="DIN OT Light" w:hAnsi="DIN OT Light"/>
                <w:sz w:val="20"/>
                <w:szCs w:val="20"/>
              </w:rPr>
            </w:pPr>
            <w:r w:rsidRPr="00EB2BA3">
              <w:rPr>
                <w:rFonts w:ascii="DIN OT Light" w:hAnsi="DIN OT Light"/>
                <w:color w:val="FFFFFF" w:themeColor="background1"/>
                <w:sz w:val="20"/>
                <w:szCs w:val="20"/>
              </w:rPr>
              <w:br/>
            </w:r>
            <w:r w:rsidRPr="00EB2BA3">
              <w:rPr>
                <w:rFonts w:ascii="DIN OT Light" w:hAnsi="DIN OT Light"/>
                <w:i/>
                <w:noProof/>
                <w:color w:val="FFFFFF" w:themeColor="background1"/>
                <w:sz w:val="20"/>
                <w:szCs w:val="20"/>
                <w:lang w:eastAsia="en-AU"/>
              </w:rPr>
              <mc:AlternateContent>
                <mc:Choice Requires="wps">
                  <w:drawing>
                    <wp:inline distT="0" distB="0" distL="0" distR="0" wp14:anchorId="0C7F152D" wp14:editId="7B4CCCA8">
                      <wp:extent cx="190500" cy="247650"/>
                      <wp:effectExtent l="19050" t="0" r="19050" b="38100"/>
                      <wp:docPr id="10" name="Up Arrow 10"/>
                      <wp:cNvGraphicFramePr/>
                      <a:graphic xmlns:a="http://schemas.openxmlformats.org/drawingml/2006/main">
                        <a:graphicData uri="http://schemas.microsoft.com/office/word/2010/wordprocessingShape">
                          <wps:wsp>
                            <wps:cNvSpPr/>
                            <wps:spPr>
                              <a:xfrm flipV="1">
                                <a:off x="0" y="0"/>
                                <a:ext cx="190500" cy="247650"/>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AE7FB" id="Up Arrow 10" o:spid="_x0000_s1026" type="#_x0000_t68" style="width:15pt;height:19.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" adj="8308" fillcolor="white [3212]" strokecolor="white [3212]" strokeweight="2pt">
                      <w10:anchorlock/>
                    </v:shape>
                  </w:pict>
                </mc:Fallback>
              </mc:AlternateContent>
            </w:r>
          </w:p>
        </w:tc>
        <w:tc>
          <w:tcPr>
            <w:tcW w:w="7179" w:type="dxa"/>
            <w:gridSpan w:val="2"/>
            <w:shd w:val="clear" w:color="auto" w:fill="F2F2F2" w:themeFill="background1" w:themeFillShade="F2"/>
          </w:tcPr>
          <w:p w14:paraId="205E2439" w14:textId="70F6FA00" w:rsidR="00D07306" w:rsidRPr="00EB2BA3" w:rsidRDefault="00593F11" w:rsidP="00CE7888">
            <w:pPr>
              <w:pStyle w:val="APRANORMAL"/>
              <w:spacing w:before="120"/>
              <w:rPr>
                <w:sz w:val="20"/>
                <w:szCs w:val="20"/>
              </w:rPr>
            </w:pPr>
            <w:r>
              <w:rPr>
                <w:b/>
                <w:sz w:val="20"/>
                <w:szCs w:val="20"/>
              </w:rPr>
              <w:t>Marginally reduced</w:t>
            </w:r>
            <w:r w:rsidR="00CE7888">
              <w:rPr>
                <w:b/>
                <w:sz w:val="20"/>
                <w:szCs w:val="20"/>
              </w:rPr>
              <w:t>:</w:t>
            </w:r>
            <w:r>
              <w:rPr>
                <w:b/>
                <w:sz w:val="20"/>
                <w:szCs w:val="20"/>
              </w:rPr>
              <w:t xml:space="preserve"> </w:t>
            </w:r>
            <w:r w:rsidR="00CD3644" w:rsidRPr="00E5309E">
              <w:rPr>
                <w:sz w:val="20"/>
                <w:szCs w:val="20"/>
              </w:rPr>
              <w:t xml:space="preserve">APRA’s proposals to simplify the prudential framework for smaller ADIs are expected to </w:t>
            </w:r>
            <w:r w:rsidR="000646A8" w:rsidRPr="00E5309E">
              <w:rPr>
                <w:sz w:val="20"/>
                <w:szCs w:val="20"/>
              </w:rPr>
              <w:t>reduce regulatory burden</w:t>
            </w:r>
            <w:r w:rsidR="00DC0574" w:rsidRPr="00E5309E">
              <w:rPr>
                <w:sz w:val="20"/>
                <w:szCs w:val="20"/>
              </w:rPr>
              <w:t xml:space="preserve"> for impacted ADIs</w:t>
            </w:r>
            <w:r w:rsidR="00CD3644" w:rsidRPr="00E5309E">
              <w:rPr>
                <w:sz w:val="20"/>
                <w:szCs w:val="20"/>
              </w:rPr>
              <w:t>.</w:t>
            </w:r>
            <w:r w:rsidR="00CD3644" w:rsidRPr="00DC0574">
              <w:rPr>
                <w:sz w:val="20"/>
                <w:szCs w:val="20"/>
              </w:rPr>
              <w:t xml:space="preserve"> </w:t>
            </w:r>
            <w:r w:rsidR="001B60D8" w:rsidRPr="00DC0574">
              <w:rPr>
                <w:sz w:val="20"/>
                <w:szCs w:val="20"/>
              </w:rPr>
              <w:t xml:space="preserve"> However, the </w:t>
            </w:r>
            <w:r w:rsidR="001B60D8" w:rsidRPr="00E5309E">
              <w:rPr>
                <w:sz w:val="20"/>
                <w:szCs w:val="20"/>
              </w:rPr>
              <w:t xml:space="preserve">proposed constraints on internal models and the introduction of a floor on </w:t>
            </w:r>
            <w:r w:rsidR="002E4282">
              <w:rPr>
                <w:sz w:val="20"/>
                <w:szCs w:val="20"/>
              </w:rPr>
              <w:t>advanced</w:t>
            </w:r>
            <w:r w:rsidR="002E4282" w:rsidRPr="00E5309E">
              <w:rPr>
                <w:sz w:val="20"/>
                <w:szCs w:val="20"/>
              </w:rPr>
              <w:t xml:space="preserve"> </w:t>
            </w:r>
            <w:r w:rsidR="001B60D8" w:rsidRPr="00E5309E">
              <w:rPr>
                <w:sz w:val="20"/>
                <w:szCs w:val="20"/>
              </w:rPr>
              <w:t xml:space="preserve">ADIs’ RWAs </w:t>
            </w:r>
            <w:r w:rsidR="00DC0574" w:rsidRPr="00E5309E">
              <w:rPr>
                <w:sz w:val="20"/>
                <w:szCs w:val="20"/>
              </w:rPr>
              <w:t xml:space="preserve">may </w:t>
            </w:r>
            <w:r w:rsidR="001B60D8" w:rsidRPr="00E5309E">
              <w:rPr>
                <w:sz w:val="20"/>
                <w:szCs w:val="20"/>
              </w:rPr>
              <w:t xml:space="preserve">reduce risk sensitivity and, as a result, </w:t>
            </w:r>
            <w:r w:rsidR="00B558B2">
              <w:rPr>
                <w:sz w:val="20"/>
                <w:szCs w:val="20"/>
              </w:rPr>
              <w:t xml:space="preserve">the efficiency of capital and </w:t>
            </w:r>
            <w:r w:rsidR="001B60D8" w:rsidRPr="00E5309E">
              <w:rPr>
                <w:sz w:val="20"/>
                <w:szCs w:val="20"/>
              </w:rPr>
              <w:t>credit allocation.</w:t>
            </w:r>
            <w:r w:rsidR="001B60D8">
              <w:rPr>
                <w:sz w:val="20"/>
                <w:szCs w:val="20"/>
              </w:rPr>
              <w:t xml:space="preserve"> </w:t>
            </w:r>
          </w:p>
        </w:tc>
      </w:tr>
      <w:tr w:rsidR="00D07306" w:rsidRPr="00EB2BA3" w14:paraId="0BC99ABE" w14:textId="77777777" w:rsidTr="003364CA">
        <w:tc>
          <w:tcPr>
            <w:tcW w:w="1842" w:type="dxa"/>
            <w:shd w:val="clear" w:color="auto" w:fill="00B0F0"/>
          </w:tcPr>
          <w:p w14:paraId="6733153B" w14:textId="77777777" w:rsidR="00850F31" w:rsidRPr="00C41DE8" w:rsidRDefault="00D07306" w:rsidP="003F758E">
            <w:pPr>
              <w:spacing w:before="120" w:after="120"/>
              <w:jc w:val="center"/>
              <w:rPr>
                <w:rFonts w:ascii="DIN OT Medium" w:hAnsi="DIN OT Medium"/>
                <w:color w:val="FFFFFF" w:themeColor="background1"/>
                <w:sz w:val="20"/>
                <w:szCs w:val="20"/>
              </w:rPr>
            </w:pPr>
            <w:r w:rsidRPr="00C41DE8">
              <w:rPr>
                <w:rFonts w:ascii="DIN OT Medium" w:hAnsi="DIN OT Medium"/>
                <w:color w:val="FFFFFF" w:themeColor="background1"/>
                <w:sz w:val="20"/>
                <w:szCs w:val="20"/>
              </w:rPr>
              <w:t>Competition</w:t>
            </w:r>
          </w:p>
          <w:p w14:paraId="3F048E17" w14:textId="77777777" w:rsidR="00115BB6" w:rsidRDefault="00115BB6" w:rsidP="003F758E">
            <w:pPr>
              <w:spacing w:before="120" w:after="120"/>
              <w:jc w:val="center"/>
              <w:rPr>
                <w:rFonts w:ascii="DIN OT Light" w:hAnsi="DIN OT Light"/>
                <w:color w:val="FFFFFF" w:themeColor="background1"/>
                <w:sz w:val="20"/>
                <w:szCs w:val="20"/>
              </w:rPr>
            </w:pPr>
          </w:p>
          <w:p w14:paraId="62D36056" w14:textId="4B812F6D" w:rsidR="00D07306" w:rsidRPr="00EB2BA3" w:rsidRDefault="0024145D" w:rsidP="003F758E">
            <w:pPr>
              <w:spacing w:before="120" w:after="120"/>
              <w:jc w:val="center"/>
              <w:rPr>
                <w:rFonts w:ascii="DIN OT Light" w:hAnsi="DIN OT Light"/>
                <w:sz w:val="20"/>
                <w:szCs w:val="20"/>
              </w:rPr>
            </w:pPr>
            <w:r w:rsidRPr="00EB2BA3">
              <w:rPr>
                <w:rFonts w:ascii="DIN OT Light" w:hAnsi="DIN OT Light"/>
                <w:i/>
                <w:noProof/>
                <w:color w:val="FFFFFF" w:themeColor="background1"/>
                <w:sz w:val="20"/>
                <w:szCs w:val="20"/>
                <w:lang w:eastAsia="en-AU"/>
              </w:rPr>
              <mc:AlternateContent>
                <mc:Choice Requires="wps">
                  <w:drawing>
                    <wp:inline distT="0" distB="0" distL="0" distR="0" wp14:anchorId="360543F0" wp14:editId="030C11C7">
                      <wp:extent cx="190500" cy="247650"/>
                      <wp:effectExtent l="19050" t="0" r="19050" b="38100"/>
                      <wp:docPr id="15" name="Up Arrow 15"/>
                      <wp:cNvGraphicFramePr/>
                      <a:graphic xmlns:a="http://schemas.openxmlformats.org/drawingml/2006/main">
                        <a:graphicData uri="http://schemas.microsoft.com/office/word/2010/wordprocessingShape">
                          <wps:wsp>
                            <wps:cNvSpPr/>
                            <wps:spPr>
                              <a:xfrm flipV="1">
                                <a:off x="0" y="0"/>
                                <a:ext cx="190500" cy="247650"/>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6D520" id="Up Arrow 15" o:spid="_x0000_s1026" type="#_x0000_t68" style="width:15pt;height:19.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" adj="8308" fillcolor="white [3212]" strokecolor="white [3212]" strokeweight="2pt">
                      <w10:anchorlock/>
                    </v:shape>
                  </w:pict>
                </mc:Fallback>
              </mc:AlternateContent>
            </w:r>
          </w:p>
        </w:tc>
        <w:tc>
          <w:tcPr>
            <w:tcW w:w="7179" w:type="dxa"/>
            <w:gridSpan w:val="2"/>
            <w:shd w:val="clear" w:color="auto" w:fill="F2F2F2" w:themeFill="background1" w:themeFillShade="F2"/>
          </w:tcPr>
          <w:p w14:paraId="6223A04D" w14:textId="4DBAED46" w:rsidR="00AD39A3" w:rsidRPr="00EB2BA3" w:rsidRDefault="00B558B2" w:rsidP="00CE7888">
            <w:pPr>
              <w:pStyle w:val="APRANORMAL"/>
              <w:spacing w:before="120"/>
              <w:rPr>
                <w:sz w:val="20"/>
                <w:szCs w:val="20"/>
              </w:rPr>
            </w:pPr>
            <w:r>
              <w:rPr>
                <w:b/>
                <w:sz w:val="20"/>
                <w:szCs w:val="20"/>
              </w:rPr>
              <w:t>Marginally r</w:t>
            </w:r>
            <w:r w:rsidR="001E479C">
              <w:rPr>
                <w:b/>
                <w:sz w:val="20"/>
                <w:szCs w:val="20"/>
              </w:rPr>
              <w:t>educed</w:t>
            </w:r>
            <w:r w:rsidR="00CE7888">
              <w:rPr>
                <w:b/>
                <w:sz w:val="20"/>
                <w:szCs w:val="20"/>
              </w:rPr>
              <w:t>:</w:t>
            </w:r>
            <w:r w:rsidR="001E479C">
              <w:rPr>
                <w:sz w:val="20"/>
                <w:szCs w:val="20"/>
              </w:rPr>
              <w:t xml:space="preserve"> </w:t>
            </w:r>
            <w:r w:rsidR="00CE7888">
              <w:rPr>
                <w:sz w:val="20"/>
                <w:szCs w:val="20"/>
              </w:rPr>
              <w:t>t</w:t>
            </w:r>
            <w:r w:rsidR="00366011">
              <w:rPr>
                <w:sz w:val="20"/>
                <w:szCs w:val="20"/>
              </w:rPr>
              <w:t xml:space="preserve">he increase in regulatory capital requirements for certain exposures proposed in this paper </w:t>
            </w:r>
            <w:r>
              <w:rPr>
                <w:sz w:val="20"/>
                <w:szCs w:val="20"/>
              </w:rPr>
              <w:t>may</w:t>
            </w:r>
            <w:r w:rsidR="00366011">
              <w:rPr>
                <w:sz w:val="20"/>
                <w:szCs w:val="20"/>
              </w:rPr>
              <w:t xml:space="preserve"> reduce the competitive posit</w:t>
            </w:r>
            <w:r w:rsidR="00100408">
              <w:rPr>
                <w:sz w:val="20"/>
                <w:szCs w:val="20"/>
              </w:rPr>
              <w:t>i</w:t>
            </w:r>
            <w:r w:rsidR="00366011">
              <w:rPr>
                <w:sz w:val="20"/>
                <w:szCs w:val="20"/>
              </w:rPr>
              <w:t xml:space="preserve">on of ADIs vis-à-vis lenders that are not </w:t>
            </w:r>
            <w:r w:rsidR="00366011" w:rsidRPr="006F69F3">
              <w:rPr>
                <w:sz w:val="20"/>
                <w:szCs w:val="20"/>
              </w:rPr>
              <w:t xml:space="preserve">prudentially regulated. </w:t>
            </w:r>
            <w:r>
              <w:rPr>
                <w:sz w:val="20"/>
                <w:szCs w:val="20"/>
              </w:rPr>
              <w:t>However, the revised risk weight framework is likely to reduce any competitive differential in regulatory capital requirements between large and small ADIs, improving the competitive position of the latter.</w:t>
            </w:r>
          </w:p>
        </w:tc>
      </w:tr>
      <w:tr w:rsidR="00D07306" w:rsidRPr="00EB2BA3" w14:paraId="55BF2CB5" w14:textId="77777777" w:rsidTr="003364CA">
        <w:tc>
          <w:tcPr>
            <w:tcW w:w="1842" w:type="dxa"/>
            <w:shd w:val="clear" w:color="auto" w:fill="00B0F0"/>
          </w:tcPr>
          <w:p w14:paraId="4E637C04" w14:textId="77777777" w:rsidR="00DF472E" w:rsidRPr="00C41DE8" w:rsidRDefault="00850F31" w:rsidP="008B5FB6">
            <w:pPr>
              <w:spacing w:before="120" w:after="120"/>
              <w:jc w:val="center"/>
              <w:rPr>
                <w:rFonts w:ascii="DIN OT Medium" w:hAnsi="DIN OT Medium"/>
                <w:color w:val="FFFFFF" w:themeColor="background1"/>
                <w:sz w:val="20"/>
                <w:szCs w:val="20"/>
              </w:rPr>
            </w:pPr>
            <w:r w:rsidRPr="00C41DE8">
              <w:rPr>
                <w:rFonts w:ascii="DIN OT Medium" w:hAnsi="DIN OT Medium"/>
                <w:noProof/>
                <w:color w:val="FFFFFF" w:themeColor="background1"/>
                <w:sz w:val="20"/>
                <w:szCs w:val="20"/>
                <w:lang w:eastAsia="en-AU"/>
              </w:rPr>
              <mc:AlternateContent>
                <mc:Choice Requires="wps">
                  <w:drawing>
                    <wp:anchor distT="0" distB="0" distL="114300" distR="114300" simplePos="0" relativeHeight="251658243" behindDoc="0" locked="0" layoutInCell="1" allowOverlap="1" wp14:anchorId="741F7F0E" wp14:editId="1EFDE6FC">
                      <wp:simplePos x="0" y="0"/>
                      <wp:positionH relativeFrom="column">
                        <wp:posOffset>312420</wp:posOffset>
                      </wp:positionH>
                      <wp:positionV relativeFrom="paragraph">
                        <wp:posOffset>250825</wp:posOffset>
                      </wp:positionV>
                      <wp:extent cx="381000" cy="236855"/>
                      <wp:effectExtent l="0" t="0" r="0" b="0"/>
                      <wp:wrapNone/>
                      <wp:docPr id="11" name="Left-Right Arrow 11"/>
                      <wp:cNvGraphicFramePr/>
                      <a:graphic xmlns:a="http://schemas.openxmlformats.org/drawingml/2006/main">
                        <a:graphicData uri="http://schemas.microsoft.com/office/word/2010/wordprocessingShape">
                          <wps:wsp>
                            <wps:cNvSpPr/>
                            <wps:spPr>
                              <a:xfrm>
                                <a:off x="0" y="0"/>
                                <a:ext cx="381000" cy="236855"/>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51B7E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 o:spid="_x0000_s1026" type="#_x0000_t69" style="position:absolute;margin-left:24.6pt;margin-top:19.75pt;width:30pt;height:18.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" adj="6714" fillcolor="white [3212]" stroked="f" strokeweight="2pt"/>
                  </w:pict>
                </mc:Fallback>
              </mc:AlternateContent>
            </w:r>
            <w:r w:rsidR="00D07306" w:rsidRPr="00C41DE8">
              <w:rPr>
                <w:rFonts w:ascii="DIN OT Medium" w:hAnsi="DIN OT Medium"/>
                <w:color w:val="FFFFFF" w:themeColor="background1"/>
                <w:sz w:val="20"/>
                <w:szCs w:val="20"/>
              </w:rPr>
              <w:t>Contestability</w:t>
            </w:r>
          </w:p>
          <w:p w14:paraId="50422CA9" w14:textId="59998DAD" w:rsidR="00D07306" w:rsidRPr="00EB2BA3" w:rsidRDefault="00D07306" w:rsidP="008B5FB6">
            <w:pPr>
              <w:spacing w:before="120" w:after="120"/>
              <w:jc w:val="center"/>
              <w:rPr>
                <w:rFonts w:ascii="DIN OT Light" w:hAnsi="DIN OT Light"/>
                <w:sz w:val="20"/>
                <w:szCs w:val="20"/>
              </w:rPr>
            </w:pPr>
            <w:r w:rsidRPr="00EB2BA3">
              <w:rPr>
                <w:rFonts w:ascii="DIN OT Light" w:hAnsi="DIN OT Light"/>
                <w:color w:val="FFFFFF" w:themeColor="background1"/>
                <w:sz w:val="20"/>
                <w:szCs w:val="20"/>
              </w:rPr>
              <w:br/>
            </w:r>
          </w:p>
        </w:tc>
        <w:tc>
          <w:tcPr>
            <w:tcW w:w="7179" w:type="dxa"/>
            <w:gridSpan w:val="2"/>
            <w:shd w:val="clear" w:color="auto" w:fill="F2F2F2" w:themeFill="background1" w:themeFillShade="F2"/>
          </w:tcPr>
          <w:p w14:paraId="15B82DBB" w14:textId="5430C2F1" w:rsidR="00D07306" w:rsidRPr="00EB2BA3" w:rsidRDefault="001E479C" w:rsidP="00CE7888">
            <w:pPr>
              <w:pStyle w:val="APRANORMAL"/>
              <w:spacing w:before="120"/>
              <w:rPr>
                <w:sz w:val="20"/>
                <w:szCs w:val="20"/>
              </w:rPr>
            </w:pPr>
            <w:r>
              <w:rPr>
                <w:b/>
                <w:sz w:val="20"/>
                <w:szCs w:val="20"/>
              </w:rPr>
              <w:t>No material change</w:t>
            </w:r>
            <w:r w:rsidR="00CE7888" w:rsidRPr="00CE7888">
              <w:rPr>
                <w:sz w:val="20"/>
                <w:szCs w:val="20"/>
              </w:rPr>
              <w:t>:</w:t>
            </w:r>
            <w:r w:rsidRPr="00CE7888">
              <w:rPr>
                <w:sz w:val="20"/>
                <w:szCs w:val="20"/>
              </w:rPr>
              <w:t xml:space="preserve"> </w:t>
            </w:r>
            <w:r w:rsidR="00CE7888" w:rsidRPr="00CE7888">
              <w:rPr>
                <w:sz w:val="20"/>
                <w:szCs w:val="20"/>
              </w:rPr>
              <w:t>a</w:t>
            </w:r>
            <w:r w:rsidR="008A7B89" w:rsidRPr="00EB2BA3">
              <w:rPr>
                <w:sz w:val="20"/>
                <w:szCs w:val="20"/>
              </w:rPr>
              <w:t xml:space="preserve"> simplified approach for smaller, </w:t>
            </w:r>
            <w:r w:rsidR="00A835E9">
              <w:rPr>
                <w:sz w:val="20"/>
                <w:szCs w:val="20"/>
              </w:rPr>
              <w:t>less complex</w:t>
            </w:r>
            <w:r w:rsidR="00A835E9" w:rsidRPr="00EB2BA3">
              <w:rPr>
                <w:sz w:val="20"/>
                <w:szCs w:val="20"/>
              </w:rPr>
              <w:t xml:space="preserve"> </w:t>
            </w:r>
            <w:r w:rsidR="008A7B89" w:rsidRPr="00EB2BA3">
              <w:rPr>
                <w:sz w:val="20"/>
                <w:szCs w:val="20"/>
              </w:rPr>
              <w:t xml:space="preserve">ADIs may </w:t>
            </w:r>
            <w:r w:rsidR="00100408">
              <w:rPr>
                <w:sz w:val="20"/>
                <w:szCs w:val="20"/>
              </w:rPr>
              <w:t>lower</w:t>
            </w:r>
            <w:r w:rsidR="00100408" w:rsidRPr="00EB2BA3">
              <w:rPr>
                <w:sz w:val="20"/>
                <w:szCs w:val="20"/>
              </w:rPr>
              <w:t xml:space="preserve"> </w:t>
            </w:r>
            <w:r w:rsidR="00032B27" w:rsidRPr="00EB2BA3">
              <w:rPr>
                <w:sz w:val="20"/>
                <w:szCs w:val="20"/>
              </w:rPr>
              <w:t xml:space="preserve">barriers </w:t>
            </w:r>
            <w:r w:rsidR="00100408">
              <w:rPr>
                <w:sz w:val="20"/>
                <w:szCs w:val="20"/>
              </w:rPr>
              <w:t>for</w:t>
            </w:r>
            <w:r w:rsidR="00032B27" w:rsidRPr="00EB2BA3">
              <w:rPr>
                <w:sz w:val="20"/>
                <w:szCs w:val="20"/>
              </w:rPr>
              <w:t xml:space="preserve"> new entrants</w:t>
            </w:r>
            <w:r w:rsidR="00A835E9">
              <w:rPr>
                <w:sz w:val="20"/>
                <w:szCs w:val="20"/>
              </w:rPr>
              <w:t xml:space="preserve"> but the overall </w:t>
            </w:r>
            <w:r w:rsidR="00DC0574">
              <w:rPr>
                <w:sz w:val="20"/>
                <w:szCs w:val="20"/>
              </w:rPr>
              <w:t>impact would likely be marginal.</w:t>
            </w:r>
          </w:p>
        </w:tc>
      </w:tr>
      <w:tr w:rsidR="00D07306" w:rsidRPr="00EB2BA3" w14:paraId="677796D2" w14:textId="77777777" w:rsidTr="003364CA">
        <w:tc>
          <w:tcPr>
            <w:tcW w:w="1842" w:type="dxa"/>
            <w:shd w:val="clear" w:color="auto" w:fill="00B0F0"/>
          </w:tcPr>
          <w:p w14:paraId="41155809" w14:textId="77777777" w:rsidR="00850F31" w:rsidRPr="00C41DE8" w:rsidRDefault="00D07306" w:rsidP="00BA17D8">
            <w:pPr>
              <w:spacing w:before="120" w:after="120"/>
              <w:jc w:val="center"/>
              <w:rPr>
                <w:rFonts w:ascii="DIN OT Medium" w:hAnsi="DIN OT Medium"/>
                <w:color w:val="FFFFFF" w:themeColor="background1"/>
                <w:sz w:val="20"/>
                <w:szCs w:val="20"/>
              </w:rPr>
            </w:pPr>
            <w:r w:rsidRPr="00C41DE8">
              <w:rPr>
                <w:rFonts w:ascii="DIN OT Medium" w:hAnsi="DIN OT Medium"/>
                <w:color w:val="FFFFFF" w:themeColor="background1"/>
                <w:sz w:val="20"/>
                <w:szCs w:val="20"/>
              </w:rPr>
              <w:lastRenderedPageBreak/>
              <w:t xml:space="preserve">Competitive </w:t>
            </w:r>
            <w:r w:rsidR="00BA17D8" w:rsidRPr="00C41DE8">
              <w:rPr>
                <w:rFonts w:ascii="DIN OT Medium" w:hAnsi="DIN OT Medium"/>
                <w:color w:val="FFFFFF" w:themeColor="background1"/>
                <w:sz w:val="20"/>
                <w:szCs w:val="20"/>
              </w:rPr>
              <w:t>n</w:t>
            </w:r>
            <w:r w:rsidRPr="00C41DE8">
              <w:rPr>
                <w:rFonts w:ascii="DIN OT Medium" w:hAnsi="DIN OT Medium"/>
                <w:color w:val="FFFFFF" w:themeColor="background1"/>
                <w:sz w:val="20"/>
                <w:szCs w:val="20"/>
              </w:rPr>
              <w:t>eutrality</w:t>
            </w:r>
          </w:p>
          <w:p w14:paraId="22230A6D" w14:textId="753CA49D" w:rsidR="00D07306" w:rsidRPr="00EB2BA3" w:rsidRDefault="00CB3E04" w:rsidP="0024145D">
            <w:pPr>
              <w:spacing w:before="120" w:after="120"/>
              <w:jc w:val="center"/>
              <w:rPr>
                <w:rFonts w:ascii="DIN OT Light" w:hAnsi="DIN OT Light"/>
                <w:color w:val="FFFFFF" w:themeColor="background1"/>
                <w:sz w:val="20"/>
                <w:szCs w:val="20"/>
                <w:lang w:eastAsia="en-AU"/>
              </w:rPr>
            </w:pPr>
            <w:r>
              <w:rPr>
                <w:rFonts w:ascii="DIN OT Light" w:hAnsi="DIN OT Light"/>
                <w:noProof/>
                <w:color w:val="FFFFFF" w:themeColor="background1"/>
                <w:sz w:val="20"/>
                <w:szCs w:val="20"/>
                <w:lang w:eastAsia="en-AU"/>
              </w:rPr>
              <mc:AlternateContent>
                <mc:Choice Requires="wps">
                  <w:drawing>
                    <wp:inline distT="0" distB="0" distL="0" distR="0" wp14:anchorId="6D3AB101" wp14:editId="7FA55B36">
                      <wp:extent cx="381000" cy="236855"/>
                      <wp:effectExtent l="0" t="0" r="0" b="0"/>
                      <wp:docPr id="8" name="Left-Right Arrow 8"/>
                      <wp:cNvGraphicFramePr/>
                      <a:graphic xmlns:a="http://schemas.openxmlformats.org/drawingml/2006/main">
                        <a:graphicData uri="http://schemas.microsoft.com/office/word/2010/wordprocessingShape">
                          <wps:wsp>
                            <wps:cNvSpPr/>
                            <wps:spPr>
                              <a:xfrm>
                                <a:off x="0" y="0"/>
                                <a:ext cx="381000" cy="236855"/>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2563B" id="Left-Right Arrow 8" o:spid="_x0000_s1026" type="#_x0000_t69" style="width:30pt;height:1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" adj="6714" fillcolor="white [3212]" stroked="f" strokeweight="2pt">
                      <w10:anchorlock/>
                    </v:shape>
                  </w:pict>
                </mc:Fallback>
              </mc:AlternateContent>
            </w:r>
          </w:p>
        </w:tc>
        <w:tc>
          <w:tcPr>
            <w:tcW w:w="7179" w:type="dxa"/>
            <w:gridSpan w:val="2"/>
            <w:shd w:val="clear" w:color="auto" w:fill="F2F2F2" w:themeFill="background1" w:themeFillShade="F2"/>
          </w:tcPr>
          <w:p w14:paraId="3553B5F0" w14:textId="50370043" w:rsidR="003F1171" w:rsidRPr="00EB2BA3" w:rsidRDefault="00B558B2" w:rsidP="00CE7888">
            <w:pPr>
              <w:pStyle w:val="APRANORMAL"/>
              <w:spacing w:before="120"/>
              <w:rPr>
                <w:sz w:val="20"/>
                <w:szCs w:val="20"/>
              </w:rPr>
            </w:pPr>
            <w:r>
              <w:rPr>
                <w:b/>
                <w:sz w:val="20"/>
                <w:szCs w:val="20"/>
              </w:rPr>
              <w:t>No change</w:t>
            </w:r>
            <w:r w:rsidR="00CE7888">
              <w:rPr>
                <w:b/>
                <w:sz w:val="20"/>
                <w:szCs w:val="20"/>
              </w:rPr>
              <w:t>:</w:t>
            </w:r>
            <w:r w:rsidR="001E479C">
              <w:rPr>
                <w:sz w:val="20"/>
                <w:szCs w:val="20"/>
              </w:rPr>
              <w:t xml:space="preserve"> </w:t>
            </w:r>
            <w:r w:rsidR="00CE7888">
              <w:rPr>
                <w:sz w:val="20"/>
                <w:szCs w:val="20"/>
              </w:rPr>
              <w:t>t</w:t>
            </w:r>
            <w:r>
              <w:rPr>
                <w:sz w:val="20"/>
                <w:szCs w:val="20"/>
              </w:rPr>
              <w:t>he proposals in this paper have no impact on competitive neutrality.</w:t>
            </w:r>
          </w:p>
        </w:tc>
      </w:tr>
    </w:tbl>
    <w:p w14:paraId="79330556" w14:textId="2B07D370" w:rsidR="0022088E" w:rsidRPr="0022088E" w:rsidRDefault="00F9221D" w:rsidP="0026540B">
      <w:pPr>
        <w:pStyle w:val="APRAHEADING1"/>
      </w:pPr>
      <w:bookmarkStart w:id="79" w:name="_Toc492996517"/>
      <w:bookmarkStart w:id="80" w:name="_Toc493154149"/>
      <w:bookmarkStart w:id="81" w:name="_Toc493154595"/>
      <w:bookmarkStart w:id="82" w:name="_Toc493240099"/>
      <w:bookmarkStart w:id="83" w:name="_Toc493240605"/>
      <w:bookmarkStart w:id="84" w:name="_Toc494189570"/>
      <w:bookmarkStart w:id="85" w:name="_Toc496184498"/>
      <w:bookmarkStart w:id="86" w:name="_Toc497209094"/>
      <w:bookmarkStart w:id="87" w:name="_Toc500151920"/>
      <w:r>
        <w:lastRenderedPageBreak/>
        <w:t xml:space="preserve"> </w:t>
      </w:r>
      <w:bookmarkStart w:id="88" w:name="_Toc505676409"/>
      <w:bookmarkStart w:id="89" w:name="_Toc505676501"/>
      <w:bookmarkStart w:id="90" w:name="_Toc505681573"/>
      <w:bookmarkStart w:id="91" w:name="_Toc505681755"/>
      <w:bookmarkStart w:id="92" w:name="_Toc505854699"/>
      <w:bookmarkStart w:id="93" w:name="_Toc506285799"/>
      <w:r>
        <w:t xml:space="preserve">- </w:t>
      </w:r>
      <w:r w:rsidR="0039308E">
        <w:t>Credit r</w:t>
      </w:r>
      <w:r w:rsidR="00E96FAE">
        <w:t>isk</w:t>
      </w:r>
      <w:r w:rsidR="00664B29">
        <w:t xml:space="preserve">: residential mortgage </w:t>
      </w:r>
      <w:r w:rsidR="00801AE8">
        <w:t>lending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55E23FB" w14:textId="0CEB3329" w:rsidR="00A91039" w:rsidRPr="003E1593" w:rsidRDefault="00A91039" w:rsidP="00A91039">
      <w:pPr>
        <w:pStyle w:val="APRANORMAL"/>
        <w:rPr>
          <w:lang w:val="en-AU"/>
        </w:rPr>
      </w:pPr>
      <w:r>
        <w:t xml:space="preserve">This chapter outlines APRA’s proposed revisions to </w:t>
      </w:r>
      <w:r w:rsidR="004D1C63">
        <w:t xml:space="preserve">the </w:t>
      </w:r>
      <w:r w:rsidR="000646A8">
        <w:t xml:space="preserve">capital </w:t>
      </w:r>
      <w:r w:rsidR="00B737B4">
        <w:t>treatment</w:t>
      </w:r>
      <w:r w:rsidR="004D1C63">
        <w:t xml:space="preserve"> of residential mortgage portfolios under the standardised and </w:t>
      </w:r>
      <w:r w:rsidR="0071044E">
        <w:t xml:space="preserve">IRB </w:t>
      </w:r>
      <w:r w:rsidR="004D1C63">
        <w:t xml:space="preserve">approaches to </w:t>
      </w:r>
      <w:r>
        <w:t>credit risk</w:t>
      </w:r>
      <w:r w:rsidR="003A797A">
        <w:t xml:space="preserve"> </w:t>
      </w:r>
      <w:r w:rsidR="00B32588">
        <w:t xml:space="preserve">set out </w:t>
      </w:r>
      <w:r w:rsidR="00716B4E">
        <w:t xml:space="preserve">in </w:t>
      </w:r>
      <w:r w:rsidR="00CE1F63">
        <w:rPr>
          <w:i/>
        </w:rPr>
        <w:t xml:space="preserve">Prudential Standard APS 112 Capital Adequacy: Standardised Approach to Credit Risk </w:t>
      </w:r>
      <w:r w:rsidR="00CE1F63">
        <w:t xml:space="preserve">(APS 112) and </w:t>
      </w:r>
      <w:r w:rsidR="00CE1F63">
        <w:rPr>
          <w:i/>
        </w:rPr>
        <w:t xml:space="preserve">Prudential Standard APS 113 Capital Adequacy: Internal Ratings-based Approach to Credit Risk </w:t>
      </w:r>
      <w:r w:rsidR="00CE1F63">
        <w:t>(APS 113)</w:t>
      </w:r>
      <w:r w:rsidR="004F5DCE">
        <w:t>, respectively</w:t>
      </w:r>
      <w:r w:rsidR="00CE1F63">
        <w:t>.</w:t>
      </w:r>
    </w:p>
    <w:p w14:paraId="7B53E0CF" w14:textId="22C46AA9" w:rsidR="008B35F6" w:rsidRPr="00BB7F20" w:rsidRDefault="008B35F6" w:rsidP="008B35F6">
      <w:pPr>
        <w:pStyle w:val="APRAHEADING2"/>
      </w:pPr>
      <w:bookmarkStart w:id="94" w:name="_Toc500151921"/>
      <w:bookmarkStart w:id="95" w:name="_Toc505676410"/>
      <w:bookmarkStart w:id="96" w:name="_Toc505676502"/>
      <w:bookmarkStart w:id="97" w:name="_Toc505681574"/>
      <w:bookmarkStart w:id="98" w:name="_Toc505681756"/>
      <w:bookmarkStart w:id="99" w:name="_Toc505854700"/>
      <w:bookmarkStart w:id="100" w:name="_Toc506285800"/>
      <w:bookmarkStart w:id="101" w:name="_Toc492996518"/>
      <w:bookmarkStart w:id="102" w:name="_Toc493154150"/>
      <w:bookmarkStart w:id="103" w:name="_Toc493154596"/>
      <w:bookmarkStart w:id="104" w:name="_Toc493240100"/>
      <w:bookmarkStart w:id="105" w:name="_Toc493240606"/>
      <w:bookmarkStart w:id="106" w:name="_Toc494189571"/>
      <w:bookmarkStart w:id="107" w:name="_Toc496184499"/>
      <w:bookmarkStart w:id="108" w:name="_Toc497209095"/>
      <w:r w:rsidRPr="00BB7F20">
        <w:t>Residential mortgage lending</w:t>
      </w:r>
      <w:r w:rsidR="00A1695F">
        <w:t xml:space="preserve"> risks</w:t>
      </w:r>
      <w:bookmarkEnd w:id="94"/>
      <w:bookmarkEnd w:id="95"/>
      <w:bookmarkEnd w:id="96"/>
      <w:bookmarkEnd w:id="97"/>
      <w:bookmarkEnd w:id="98"/>
      <w:bookmarkEnd w:id="99"/>
      <w:bookmarkEnd w:id="100"/>
    </w:p>
    <w:p w14:paraId="5BE46ADF" w14:textId="39DA44D9" w:rsidR="008B35F6" w:rsidRDefault="008B35F6" w:rsidP="008B35F6">
      <w:pPr>
        <w:pStyle w:val="APRANORMAL"/>
        <w:rPr>
          <w:lang w:eastAsia="en-AU"/>
        </w:rPr>
      </w:pPr>
      <w:r>
        <w:rPr>
          <w:lang w:eastAsia="en-AU"/>
        </w:rPr>
        <w:t>Over the past two decades, r</w:t>
      </w:r>
      <w:r w:rsidRPr="00FF0E42">
        <w:rPr>
          <w:lang w:eastAsia="en-AU"/>
        </w:rPr>
        <w:t>esidential mortgage</w:t>
      </w:r>
      <w:r>
        <w:rPr>
          <w:lang w:eastAsia="en-AU"/>
        </w:rPr>
        <w:t xml:space="preserve">s in Australia as a share of ADIs’ total loans have increased significantly, from just under half to more than 60 per cent. While losses incurred on residential mortgage portfolios in this period have been limited, this level of </w:t>
      </w:r>
      <w:r w:rsidRPr="00FF0E42">
        <w:rPr>
          <w:lang w:eastAsia="en-AU"/>
        </w:rPr>
        <w:t xml:space="preserve">structural concentration poses prudential </w:t>
      </w:r>
      <w:r>
        <w:rPr>
          <w:lang w:eastAsia="en-AU"/>
        </w:rPr>
        <w:t xml:space="preserve">and financial stability </w:t>
      </w:r>
      <w:r w:rsidRPr="00FF0E42">
        <w:rPr>
          <w:lang w:eastAsia="en-AU"/>
        </w:rPr>
        <w:t xml:space="preserve">risks, particularly in an environment </w:t>
      </w:r>
      <w:r>
        <w:rPr>
          <w:lang w:eastAsia="en-AU"/>
        </w:rPr>
        <w:t xml:space="preserve">of high household debt, high property prices, weak income growth and </w:t>
      </w:r>
      <w:r w:rsidRPr="00FF0E42">
        <w:rPr>
          <w:lang w:eastAsia="en-AU"/>
        </w:rPr>
        <w:t>strong competitive pressures a</w:t>
      </w:r>
      <w:r>
        <w:rPr>
          <w:lang w:eastAsia="en-AU"/>
        </w:rPr>
        <w:t xml:space="preserve">mong lenders. </w:t>
      </w:r>
      <w:r w:rsidRPr="00FF0E42">
        <w:rPr>
          <w:lang w:eastAsia="en-AU"/>
        </w:rPr>
        <w:t xml:space="preserve">In </w:t>
      </w:r>
      <w:r>
        <w:rPr>
          <w:lang w:eastAsia="en-AU"/>
        </w:rPr>
        <w:t>such</w:t>
      </w:r>
      <w:r w:rsidRPr="00FF0E42">
        <w:rPr>
          <w:lang w:eastAsia="en-AU"/>
        </w:rPr>
        <w:t xml:space="preserve"> circumstances, </w:t>
      </w:r>
      <w:r>
        <w:rPr>
          <w:lang w:eastAsia="en-AU"/>
        </w:rPr>
        <w:t>households, individual ADIs and the broader banking sector are vulnerable to economic shocks.</w:t>
      </w:r>
    </w:p>
    <w:p w14:paraId="37F267C4" w14:textId="473615A2" w:rsidR="008B35F6" w:rsidRPr="003E1593" w:rsidRDefault="008B35F6" w:rsidP="008B35F6">
      <w:pPr>
        <w:pStyle w:val="APRANORMAL"/>
      </w:pPr>
      <w:r>
        <w:rPr>
          <w:lang w:eastAsia="en-AU"/>
        </w:rPr>
        <w:t>Similar to other jurisdictions facing comparable risks, A</w:t>
      </w:r>
      <w:r w:rsidRPr="00FF0E42">
        <w:rPr>
          <w:lang w:eastAsia="en-AU"/>
        </w:rPr>
        <w:t xml:space="preserve">PRA has </w:t>
      </w:r>
      <w:r>
        <w:rPr>
          <w:lang w:eastAsia="en-AU"/>
        </w:rPr>
        <w:t>under</w:t>
      </w:r>
      <w:r w:rsidRPr="00FF0E42">
        <w:rPr>
          <w:lang w:eastAsia="en-AU"/>
        </w:rPr>
        <w:t xml:space="preserve">taken a series of </w:t>
      </w:r>
      <w:r w:rsidR="001E479C">
        <w:rPr>
          <w:lang w:eastAsia="en-AU"/>
        </w:rPr>
        <w:t>actions</w:t>
      </w:r>
      <w:r w:rsidRPr="00FF0E42">
        <w:rPr>
          <w:lang w:eastAsia="en-AU"/>
        </w:rPr>
        <w:t xml:space="preserve"> to</w:t>
      </w:r>
      <w:r>
        <w:rPr>
          <w:lang w:eastAsia="en-AU"/>
        </w:rPr>
        <w:t xml:space="preserve"> help contain the risks associated with ADIs’ residential mortgage portfolios.</w:t>
      </w:r>
      <w:r>
        <w:rPr>
          <w:rStyle w:val="FootnoteReference"/>
        </w:rPr>
        <w:footnoteReference w:id="18"/>
      </w:r>
      <w:r>
        <w:rPr>
          <w:lang w:eastAsia="en-AU"/>
        </w:rPr>
        <w:t xml:space="preserve"> These </w:t>
      </w:r>
      <w:r w:rsidR="001E479C">
        <w:rPr>
          <w:lang w:eastAsia="en-AU"/>
        </w:rPr>
        <w:t>actions</w:t>
      </w:r>
      <w:r>
        <w:rPr>
          <w:lang w:eastAsia="en-AU"/>
        </w:rPr>
        <w:t xml:space="preserve"> include promoting significantly strengthened loan underwriting practices, increasing the amount of capital held by IRB ADIs for residential mortgage exposures and establishing benchmarks to moderate lending </w:t>
      </w:r>
      <w:r w:rsidR="00952D82">
        <w:rPr>
          <w:lang w:eastAsia="en-AU"/>
        </w:rPr>
        <w:t xml:space="preserve">for </w:t>
      </w:r>
      <w:r>
        <w:rPr>
          <w:lang w:eastAsia="en-AU"/>
        </w:rPr>
        <w:t xml:space="preserve">property </w:t>
      </w:r>
      <w:r w:rsidR="00952D82">
        <w:rPr>
          <w:lang w:eastAsia="en-AU"/>
        </w:rPr>
        <w:t xml:space="preserve">investment </w:t>
      </w:r>
      <w:r>
        <w:rPr>
          <w:lang w:eastAsia="en-AU"/>
        </w:rPr>
        <w:t xml:space="preserve">and </w:t>
      </w:r>
      <w:r w:rsidR="00DD5FC7">
        <w:rPr>
          <w:lang w:eastAsia="en-AU"/>
        </w:rPr>
        <w:t xml:space="preserve">lending </w:t>
      </w:r>
      <w:r>
        <w:rPr>
          <w:lang w:eastAsia="en-AU"/>
        </w:rPr>
        <w:t>on an interest-only basis.</w:t>
      </w:r>
      <w:r w:rsidR="00827D68">
        <w:rPr>
          <w:lang w:eastAsia="en-AU"/>
        </w:rPr>
        <w:t xml:space="preserve"> </w:t>
      </w:r>
      <w:r w:rsidRPr="003E1593">
        <w:t>As</w:t>
      </w:r>
      <w:r w:rsidRPr="00C53E49">
        <w:t xml:space="preserve"> set out in APRA’s July 2017 information paper</w:t>
      </w:r>
      <w:r w:rsidRPr="004F0C02">
        <w:t xml:space="preserve"> on unquestionably strong capital, APRA </w:t>
      </w:r>
      <w:r w:rsidR="00A1695F">
        <w:t>also</w:t>
      </w:r>
      <w:r w:rsidRPr="003E1593">
        <w:t xml:space="preserve"> </w:t>
      </w:r>
      <w:r w:rsidRPr="00C53E49">
        <w:t>inten</w:t>
      </w:r>
      <w:r>
        <w:t>d</w:t>
      </w:r>
      <w:r w:rsidR="00A1695F">
        <w:t>s</w:t>
      </w:r>
      <w:r w:rsidRPr="00C53E49">
        <w:t xml:space="preserve"> to further strengthen capital requirements for residential mortgage lending</w:t>
      </w:r>
      <w:r w:rsidRPr="004F0C02">
        <w:t xml:space="preserve"> to reflect the concentrat</w:t>
      </w:r>
      <w:r w:rsidR="00100408">
        <w:t>ion</w:t>
      </w:r>
      <w:r w:rsidRPr="004F0C02">
        <w:t xml:space="preserve"> risk it poses to the banking sec</w:t>
      </w:r>
      <w:r w:rsidR="004F5081">
        <w:t>tor.</w:t>
      </w:r>
    </w:p>
    <w:p w14:paraId="69838D69" w14:textId="3D61F0CA" w:rsidR="008B35F6" w:rsidRDefault="008B35F6" w:rsidP="008B35F6">
      <w:pPr>
        <w:pStyle w:val="APRANORMAL"/>
      </w:pPr>
      <w:r w:rsidRPr="003E1593">
        <w:t>A</w:t>
      </w:r>
      <w:r>
        <w:t xml:space="preserve"> key</w:t>
      </w:r>
      <w:r w:rsidRPr="003E1593">
        <w:t xml:space="preserve"> focus </w:t>
      </w:r>
      <w:r>
        <w:t>is</w:t>
      </w:r>
      <w:r w:rsidRPr="003E1593">
        <w:t xml:space="preserve"> the appropriate capital requirement for </w:t>
      </w:r>
      <w:r w:rsidR="00952D82">
        <w:t>investment</w:t>
      </w:r>
      <w:r w:rsidR="00952D82" w:rsidRPr="00C53E49">
        <w:t xml:space="preserve"> </w:t>
      </w:r>
      <w:r w:rsidRPr="00C53E49">
        <w:t xml:space="preserve">and interest-only mortgage </w:t>
      </w:r>
      <w:r w:rsidRPr="00C5765E">
        <w:t>loans. Although</w:t>
      </w:r>
      <w:r w:rsidR="000F508D">
        <w:t>,</w:t>
      </w:r>
      <w:r w:rsidRPr="00C5765E">
        <w:t xml:space="preserve"> as </w:t>
      </w:r>
      <w:r>
        <w:t xml:space="preserve">a class, </w:t>
      </w:r>
      <w:r w:rsidR="00952D82">
        <w:t xml:space="preserve">investment </w:t>
      </w:r>
      <w:r>
        <w:t xml:space="preserve">loans have typically performed well under normal economic conditions in Australia, this segment has not been tested in a </w:t>
      </w:r>
      <w:r w:rsidR="00A14949">
        <w:t xml:space="preserve">nationwide </w:t>
      </w:r>
      <w:r>
        <w:t xml:space="preserve">downturn. </w:t>
      </w:r>
      <w:r w:rsidR="008E5407">
        <w:rPr>
          <w:lang w:val="en"/>
        </w:rPr>
        <w:t xml:space="preserve">Further, an increasing proportion of highly indebted households </w:t>
      </w:r>
      <w:r w:rsidR="008E5407">
        <w:rPr>
          <w:lang w:val="en"/>
        </w:rPr>
        <w:lastRenderedPageBreak/>
        <w:t>own investment property relative to past economic cycles.</w:t>
      </w:r>
      <w:r w:rsidR="008E5407">
        <w:rPr>
          <w:rStyle w:val="FootnoteReference"/>
          <w:lang w:val="en"/>
        </w:rPr>
        <w:footnoteReference w:id="19"/>
      </w:r>
      <w:r w:rsidR="008E5407">
        <w:rPr>
          <w:lang w:val="en"/>
        </w:rPr>
        <w:t xml:space="preserve"> </w:t>
      </w:r>
      <w:r>
        <w:t>Experience in the United Kingdom and Ireland during the global financial crisis</w:t>
      </w:r>
      <w:r w:rsidR="008E5407">
        <w:t>, for example,</w:t>
      </w:r>
      <w:r>
        <w:t xml:space="preserve"> showed that previously better-performing invest</w:t>
      </w:r>
      <w:r w:rsidR="00F3504E">
        <w:t>ment</w:t>
      </w:r>
      <w:r>
        <w:t xml:space="preserve"> loans can fall into arrears in higher volumes than loans to owner-occupiers</w:t>
      </w:r>
      <w:r w:rsidR="002E4282">
        <w:t xml:space="preserve"> in times of stress</w:t>
      </w:r>
      <w:r w:rsidR="001C2721">
        <w:t>.</w:t>
      </w:r>
      <w:r>
        <w:rPr>
          <w:rStyle w:val="FootnoteReference"/>
        </w:rPr>
        <w:footnoteReference w:id="20"/>
      </w:r>
    </w:p>
    <w:p w14:paraId="76D4F2B9" w14:textId="7C8B776E" w:rsidR="008B35F6" w:rsidRDefault="00A85C33" w:rsidP="008B35F6">
      <w:pPr>
        <w:pStyle w:val="APRANORMAL"/>
      </w:pPr>
      <w:r>
        <w:t>Importantly, regardless of historical loan performance, APRA’s view is that t</w:t>
      </w:r>
      <w:r w:rsidR="008B35F6">
        <w:t xml:space="preserve">here are potential </w:t>
      </w:r>
      <w:r>
        <w:t xml:space="preserve">systemic </w:t>
      </w:r>
      <w:r w:rsidR="008B35F6">
        <w:t xml:space="preserve">vulnerabilities </w:t>
      </w:r>
      <w:r>
        <w:t xml:space="preserve">to the financial system </w:t>
      </w:r>
      <w:r w:rsidR="008B35F6">
        <w:t xml:space="preserve">created from high levels of residential mortgage lending </w:t>
      </w:r>
      <w:r w:rsidR="00952D82">
        <w:t>for investment purposes</w:t>
      </w:r>
      <w:r w:rsidR="008B35F6">
        <w:t xml:space="preserve">. As noted by the RBA, </w:t>
      </w:r>
      <w:r w:rsidR="00952D82">
        <w:t xml:space="preserve">investment lending </w:t>
      </w:r>
      <w:r w:rsidR="008B35F6">
        <w:t>can amplify borrowing and house pricing cycles:</w:t>
      </w:r>
    </w:p>
    <w:p w14:paraId="62708D87" w14:textId="715F3A77" w:rsidR="008B35F6" w:rsidRDefault="008B35F6" w:rsidP="008B35F6">
      <w:pPr>
        <w:pStyle w:val="APRANORMAL"/>
        <w:ind w:left="720"/>
        <w:rPr>
          <w:lang w:val="en"/>
        </w:rPr>
      </w:pPr>
      <w:r w:rsidRPr="00BA142C">
        <w:rPr>
          <w:i/>
        </w:rPr>
        <w:t>Periods of rapidly rising prices can create the expectation of further price rises, drawing more households in the market, increasing the willingness to pay more for a given property, and leading to an overall increase in household indebtedness</w:t>
      </w:r>
      <w:r w:rsidR="001C2721">
        <w:rPr>
          <w:i/>
        </w:rPr>
        <w:t>.</w:t>
      </w:r>
      <w:r>
        <w:rPr>
          <w:rStyle w:val="FootnoteReference"/>
          <w:lang w:val="en"/>
        </w:rPr>
        <w:footnoteReference w:id="21"/>
      </w:r>
    </w:p>
    <w:p w14:paraId="78F2771C" w14:textId="6FEEA562" w:rsidR="008B35F6" w:rsidRPr="003E1593" w:rsidRDefault="008B35F6" w:rsidP="008B35F6">
      <w:pPr>
        <w:pStyle w:val="APRANORMAL"/>
        <w:rPr>
          <w:lang w:val="en-AU"/>
        </w:rPr>
      </w:pPr>
      <w:r>
        <w:t xml:space="preserve">Similarly, </w:t>
      </w:r>
      <w:r w:rsidR="0003742C">
        <w:t>the significant share of interest-only housing lending,</w:t>
      </w:r>
      <w:r w:rsidR="0003742C" w:rsidDel="00B558B2">
        <w:t xml:space="preserve"> </w:t>
      </w:r>
      <w:r w:rsidR="00B558B2">
        <w:t xml:space="preserve">including </w:t>
      </w:r>
      <w:r w:rsidR="0003742C">
        <w:t xml:space="preserve">to owner-occupiers, is a structural feature that </w:t>
      </w:r>
      <w:r w:rsidR="008E5407">
        <w:t>increases the risk profile of the Australian banking system</w:t>
      </w:r>
      <w:r w:rsidR="0003742C">
        <w:t>. I</w:t>
      </w:r>
      <w:r>
        <w:t>nterest-only borrowers face a longer period of higher indebtedness, increasing the risk of falling into negative equity should housing prices fall.</w:t>
      </w:r>
      <w:r w:rsidR="0064386B">
        <w:rPr>
          <w:rStyle w:val="FootnoteReference"/>
        </w:rPr>
        <w:footnoteReference w:id="22"/>
      </w:r>
      <w:r>
        <w:t xml:space="preserve"> Borrowers may also use interest-only loans to maximise leverage</w:t>
      </w:r>
      <w:r w:rsidR="006E223D">
        <w:t xml:space="preserve">, or </w:t>
      </w:r>
      <w:r w:rsidR="00155FD1" w:rsidDel="00155FD1">
        <w:rPr>
          <w:rStyle w:val="FootnoteReference"/>
        </w:rPr>
        <w:t xml:space="preserve"> </w:t>
      </w:r>
      <w:r>
        <w:t>for short-term affordability reasons</w:t>
      </w:r>
      <w:r w:rsidR="001C2721">
        <w:t>.</w:t>
      </w:r>
      <w:r w:rsidR="00155FD1">
        <w:rPr>
          <w:rStyle w:val="FootnoteReference"/>
        </w:rPr>
        <w:footnoteReference w:id="23"/>
      </w:r>
      <w:r w:rsidR="006E223D">
        <w:t xml:space="preserve"> E</w:t>
      </w:r>
      <w:r>
        <w:t xml:space="preserve">ven though </w:t>
      </w:r>
      <w:r w:rsidR="006E223D">
        <w:t xml:space="preserve">loan </w:t>
      </w:r>
      <w:r>
        <w:t>servic</w:t>
      </w:r>
      <w:r w:rsidR="006E223D">
        <w:t>ing ability (servic</w:t>
      </w:r>
      <w:r>
        <w:t>eability</w:t>
      </w:r>
      <w:r w:rsidR="006E223D">
        <w:t>)</w:t>
      </w:r>
      <w:r>
        <w:t xml:space="preserve"> is now tested at levels that include the subsequent principal repayments</w:t>
      </w:r>
      <w:r w:rsidR="006E223D">
        <w:t>, borrowers may face</w:t>
      </w:r>
      <w:r>
        <w:t xml:space="preserve"> ‘payment shock’ when the interest-only period ends and regular repayments increase, </w:t>
      </w:r>
      <w:r>
        <w:lastRenderedPageBreak/>
        <w:t>in some cases significantly.</w:t>
      </w:r>
      <w:r w:rsidR="00A85C33">
        <w:t xml:space="preserve"> </w:t>
      </w:r>
      <w:r w:rsidR="0003742C">
        <w:t xml:space="preserve">This </w:t>
      </w:r>
      <w:r w:rsidR="008E5407">
        <w:t>payment shock is particularly acute when interest rates are low</w:t>
      </w:r>
      <w:r w:rsidR="0003742C">
        <w:t>.</w:t>
      </w:r>
    </w:p>
    <w:p w14:paraId="5A1EEF38" w14:textId="5B703B26" w:rsidR="009C6817" w:rsidRDefault="009C6817" w:rsidP="009C6817">
      <w:pPr>
        <w:pStyle w:val="APRAHEADING2"/>
      </w:pPr>
      <w:bookmarkStart w:id="109" w:name="_Toc500151922"/>
      <w:bookmarkStart w:id="110" w:name="_Toc505676411"/>
      <w:bookmarkStart w:id="111" w:name="_Toc505676503"/>
      <w:bookmarkStart w:id="112" w:name="_Toc505681575"/>
      <w:bookmarkStart w:id="113" w:name="_Toc505681757"/>
      <w:bookmarkStart w:id="114" w:name="_Toc505854701"/>
      <w:bookmarkStart w:id="115" w:name="_Toc506285801"/>
      <w:r>
        <w:t xml:space="preserve">Basel </w:t>
      </w:r>
      <w:r w:rsidR="00E43C8B">
        <w:t>III</w:t>
      </w:r>
      <w:r>
        <w:t xml:space="preserve"> </w:t>
      </w:r>
      <w:bookmarkEnd w:id="109"/>
      <w:r w:rsidR="003A2AB1">
        <w:t>framework</w:t>
      </w:r>
      <w:bookmarkEnd w:id="110"/>
      <w:bookmarkEnd w:id="111"/>
      <w:bookmarkEnd w:id="112"/>
      <w:bookmarkEnd w:id="113"/>
      <w:bookmarkEnd w:id="114"/>
      <w:bookmarkEnd w:id="115"/>
    </w:p>
    <w:p w14:paraId="7727EEB7" w14:textId="418D04FE" w:rsidR="004D70F7" w:rsidRDefault="00F4257F">
      <w:pPr>
        <w:pStyle w:val="APRANORMAL"/>
      </w:pPr>
      <w:r>
        <w:t xml:space="preserve">The Basel III reforms to the standardised approach to credit risk </w:t>
      </w:r>
      <w:r w:rsidR="001269A8">
        <w:t xml:space="preserve">introduce new </w:t>
      </w:r>
      <w:r w:rsidR="00547014">
        <w:t xml:space="preserve">criteria for the allocation of risk weights </w:t>
      </w:r>
      <w:r w:rsidR="001269A8">
        <w:t xml:space="preserve">that </w:t>
      </w:r>
      <w:r w:rsidR="00547014">
        <w:t xml:space="preserve">differ </w:t>
      </w:r>
      <w:r w:rsidR="001269A8">
        <w:t>from</w:t>
      </w:r>
      <w:r>
        <w:t xml:space="preserve"> the </w:t>
      </w:r>
      <w:r w:rsidR="00547014">
        <w:t>simpler</w:t>
      </w:r>
      <w:r>
        <w:t xml:space="preserve"> treatment of residential mortgage exposures </w:t>
      </w:r>
      <w:r w:rsidR="00E4754F">
        <w:t xml:space="preserve">that </w:t>
      </w:r>
      <w:r w:rsidR="009767F9">
        <w:t xml:space="preserve">currently apply </w:t>
      </w:r>
      <w:r>
        <w:t>under Basel II.</w:t>
      </w:r>
      <w:r w:rsidR="001F083D">
        <w:rPr>
          <w:rStyle w:val="FootnoteReference"/>
        </w:rPr>
        <w:footnoteReference w:id="24"/>
      </w:r>
      <w:r>
        <w:t xml:space="preserve"> However, </w:t>
      </w:r>
      <w:r w:rsidR="00547014">
        <w:t>some</w:t>
      </w:r>
      <w:r w:rsidR="009767F9">
        <w:t xml:space="preserve"> of these </w:t>
      </w:r>
      <w:r w:rsidR="00547014">
        <w:t>criteria</w:t>
      </w:r>
      <w:r w:rsidR="00813C14">
        <w:t>—</w:t>
      </w:r>
      <w:r w:rsidR="009767F9">
        <w:t>operational requirements and loan-to-valuation ratios (LVR</w:t>
      </w:r>
      <w:r w:rsidR="00383395">
        <w:t>)—</w:t>
      </w:r>
      <w:r w:rsidR="00547014">
        <w:t xml:space="preserve">largely align with </w:t>
      </w:r>
      <w:r w:rsidR="003D3C1F">
        <w:t xml:space="preserve">the approach </w:t>
      </w:r>
      <w:r w:rsidR="008E5407">
        <w:t xml:space="preserve">already </w:t>
      </w:r>
      <w:r w:rsidR="003D3C1F">
        <w:t>taken by</w:t>
      </w:r>
      <w:r w:rsidR="00547014">
        <w:t xml:space="preserve"> </w:t>
      </w:r>
      <w:r w:rsidR="003D3C1F">
        <w:t xml:space="preserve">APRA </w:t>
      </w:r>
      <w:r w:rsidR="00383395">
        <w:t>in</w:t>
      </w:r>
      <w:r w:rsidR="00547014">
        <w:t xml:space="preserve"> APS 112.</w:t>
      </w:r>
      <w:r w:rsidR="00E24D6E">
        <w:t xml:space="preserve"> </w:t>
      </w:r>
      <w:r w:rsidR="00547014">
        <w:rPr>
          <w:lang w:val="en-AU"/>
        </w:rPr>
        <w:t xml:space="preserve">Where Basel III differs </w:t>
      </w:r>
      <w:r w:rsidR="00B558B2">
        <w:rPr>
          <w:lang w:val="en-AU"/>
        </w:rPr>
        <w:t xml:space="preserve">materially from APRA’s current approach </w:t>
      </w:r>
      <w:r w:rsidR="00547014">
        <w:rPr>
          <w:lang w:val="en-AU"/>
        </w:rPr>
        <w:t xml:space="preserve">is </w:t>
      </w:r>
      <w:r w:rsidR="006D526B">
        <w:rPr>
          <w:lang w:val="en-AU"/>
        </w:rPr>
        <w:t xml:space="preserve">in segmenting </w:t>
      </w:r>
      <w:r w:rsidR="00547014">
        <w:rPr>
          <w:lang w:val="en-AU"/>
        </w:rPr>
        <w:t xml:space="preserve">the residential </w:t>
      </w:r>
      <w:r w:rsidR="007F3EDE">
        <w:rPr>
          <w:lang w:val="en-AU"/>
        </w:rPr>
        <w:t>property</w:t>
      </w:r>
      <w:r w:rsidR="00547014">
        <w:rPr>
          <w:lang w:val="en-AU"/>
        </w:rPr>
        <w:t xml:space="preserve"> portfolio </w:t>
      </w:r>
      <w:r w:rsidR="006D526B">
        <w:rPr>
          <w:lang w:val="en-AU"/>
        </w:rPr>
        <w:t xml:space="preserve">based on whether repayment of a residential mortgage exposure is materially dependent on cash flows from the secured property. </w:t>
      </w:r>
    </w:p>
    <w:p w14:paraId="41D0ACBE" w14:textId="238F1AB3" w:rsidR="004D70F7" w:rsidRDefault="00AA2865">
      <w:pPr>
        <w:pStyle w:val="APRANORMAL"/>
      </w:pPr>
      <w:r>
        <w:t xml:space="preserve">The residential mortgage portfolio was not a </w:t>
      </w:r>
      <w:r w:rsidR="005144BF">
        <w:t xml:space="preserve">specific </w:t>
      </w:r>
      <w:r>
        <w:t>focus for revisions to the IRB approach under Basel III</w:t>
      </w:r>
      <w:r w:rsidR="00D50535">
        <w:t xml:space="preserve">, although the portfolio </w:t>
      </w:r>
      <w:r w:rsidR="0073163E">
        <w:t>may</w:t>
      </w:r>
      <w:r w:rsidR="00D50535">
        <w:t xml:space="preserve"> still be </w:t>
      </w:r>
      <w:r w:rsidR="0009226A">
        <w:t>affected</w:t>
      </w:r>
      <w:r w:rsidR="00D50535">
        <w:t xml:space="preserve"> by overall </w:t>
      </w:r>
      <w:r w:rsidR="004A5697">
        <w:t>constraints</w:t>
      </w:r>
      <w:r w:rsidR="00D50535">
        <w:t xml:space="preserve"> such as </w:t>
      </w:r>
      <w:r w:rsidR="0009226A">
        <w:t>the new</w:t>
      </w:r>
      <w:r w:rsidR="00D50535">
        <w:t xml:space="preserve"> </w:t>
      </w:r>
      <w:r w:rsidR="002E4282">
        <w:t>RWA</w:t>
      </w:r>
      <w:r w:rsidR="00D50535">
        <w:t xml:space="preserve"> floor</w:t>
      </w:r>
      <w:r w:rsidR="0009226A">
        <w:t xml:space="preserve"> based on the standardised approach</w:t>
      </w:r>
      <w:r>
        <w:t>.</w:t>
      </w:r>
    </w:p>
    <w:p w14:paraId="160C965F" w14:textId="4D525AF0" w:rsidR="007B571A" w:rsidRDefault="00952D82">
      <w:pPr>
        <w:pStyle w:val="APRAHEADING3"/>
      </w:pPr>
      <w:bookmarkStart w:id="116" w:name="_Ref505859031"/>
      <w:r>
        <w:t>Risk weight drivers</w:t>
      </w:r>
      <w:bookmarkEnd w:id="116"/>
      <w:r>
        <w:t xml:space="preserve"> </w:t>
      </w:r>
    </w:p>
    <w:p w14:paraId="57989AFD" w14:textId="0E93B074" w:rsidR="00A42E18" w:rsidRDefault="007A3158" w:rsidP="00D66A84">
      <w:pPr>
        <w:pStyle w:val="APRANORMAL"/>
        <w:rPr>
          <w:lang w:val="en-AU"/>
        </w:rPr>
      </w:pPr>
      <w:r>
        <w:rPr>
          <w:lang w:val="en-AU"/>
        </w:rPr>
        <w:t xml:space="preserve">Basel III </w:t>
      </w:r>
      <w:r w:rsidR="003425F1">
        <w:rPr>
          <w:lang w:val="en-AU"/>
        </w:rPr>
        <w:t>provides for</w:t>
      </w:r>
      <w:r w:rsidR="004B1456">
        <w:rPr>
          <w:lang w:val="en-AU"/>
        </w:rPr>
        <w:t xml:space="preserve"> different risk weights depending on whether a residential mortgage exposure meets </w:t>
      </w:r>
      <w:r w:rsidR="00D05A41">
        <w:rPr>
          <w:lang w:val="en-AU"/>
        </w:rPr>
        <w:t>the</w:t>
      </w:r>
      <w:r w:rsidR="001F1A13">
        <w:rPr>
          <w:lang w:val="en-AU"/>
        </w:rPr>
        <w:t xml:space="preserve"> operational requirements</w:t>
      </w:r>
      <w:r w:rsidR="00D05A41">
        <w:rPr>
          <w:lang w:val="en-AU"/>
        </w:rPr>
        <w:t xml:space="preserve"> set out in</w:t>
      </w:r>
      <w:r w:rsidR="00D66A84">
        <w:rPr>
          <w:lang w:val="en-AU"/>
        </w:rPr>
        <w:t xml:space="preserve"> </w:t>
      </w:r>
      <w:r w:rsidR="00D66A84">
        <w:rPr>
          <w:lang w:val="en-AU"/>
        </w:rPr>
        <w:fldChar w:fldCharType="begin"/>
      </w:r>
      <w:r w:rsidR="00D66A84">
        <w:rPr>
          <w:lang w:val="en-AU"/>
        </w:rPr>
        <w:instrText xml:space="preserve"> REF _Ref504029979 \r \h </w:instrText>
      </w:r>
      <w:r w:rsidR="00D66A84">
        <w:rPr>
          <w:lang w:val="en-AU"/>
        </w:rPr>
      </w:r>
      <w:r w:rsidR="00D66A84">
        <w:rPr>
          <w:lang w:val="en-AU"/>
        </w:rPr>
        <w:fldChar w:fldCharType="separate"/>
      </w:r>
      <w:r w:rsidR="00EB1F7A">
        <w:rPr>
          <w:lang w:val="en-AU"/>
        </w:rPr>
        <w:t>Table 1</w:t>
      </w:r>
      <w:r w:rsidR="00D66A84">
        <w:rPr>
          <w:lang w:val="en-AU"/>
        </w:rPr>
        <w:fldChar w:fldCharType="end"/>
      </w:r>
      <w:r w:rsidR="002E4282">
        <w:rPr>
          <w:lang w:val="en-AU"/>
        </w:rPr>
        <w:t>.</w:t>
      </w:r>
      <w:r w:rsidR="00864D20">
        <w:rPr>
          <w:rStyle w:val="FootnoteReference"/>
          <w:lang w:val="en-AU"/>
        </w:rPr>
        <w:footnoteReference w:id="25"/>
      </w:r>
      <w:r w:rsidR="001F1A13">
        <w:rPr>
          <w:lang w:val="en-AU"/>
        </w:rPr>
        <w:t xml:space="preserve"> </w:t>
      </w:r>
      <w:r w:rsidR="004D6460">
        <w:rPr>
          <w:lang w:val="en-AU"/>
        </w:rPr>
        <w:t>Risk weights are in most cases lower where the operational requirements are met</w:t>
      </w:r>
      <w:r w:rsidR="0008486E">
        <w:rPr>
          <w:lang w:val="en-AU"/>
        </w:rPr>
        <w:t xml:space="preserve">, as set out in </w:t>
      </w:r>
      <w:r w:rsidR="0008486E">
        <w:rPr>
          <w:lang w:val="en-AU"/>
        </w:rPr>
        <w:fldChar w:fldCharType="begin"/>
      </w:r>
      <w:r w:rsidR="0008486E">
        <w:rPr>
          <w:lang w:val="en-AU"/>
        </w:rPr>
        <w:instrText xml:space="preserve"> REF _Ref502821407 \r \h </w:instrText>
      </w:r>
      <w:r w:rsidR="0008486E">
        <w:rPr>
          <w:lang w:val="en-AU"/>
        </w:rPr>
      </w:r>
      <w:r w:rsidR="0008486E">
        <w:rPr>
          <w:lang w:val="en-AU"/>
        </w:rPr>
        <w:fldChar w:fldCharType="separate"/>
      </w:r>
      <w:r w:rsidR="00EB1F7A">
        <w:rPr>
          <w:lang w:val="en-AU"/>
        </w:rPr>
        <w:t>Table 2</w:t>
      </w:r>
      <w:r w:rsidR="0008486E">
        <w:rPr>
          <w:lang w:val="en-AU"/>
        </w:rPr>
        <w:fldChar w:fldCharType="end"/>
      </w:r>
      <w:r w:rsidR="004D6460">
        <w:rPr>
          <w:lang w:val="en-AU"/>
        </w:rPr>
        <w:t>.</w:t>
      </w:r>
    </w:p>
    <w:p w14:paraId="31DF5E8D" w14:textId="282571DD" w:rsidR="00D66A84" w:rsidRPr="00D66A84" w:rsidRDefault="00D66A84" w:rsidP="00D66A84">
      <w:pPr>
        <w:pStyle w:val="APRATABLE-NUMBER"/>
      </w:pPr>
      <w:bookmarkStart w:id="117" w:name="_Ref504029979"/>
      <w:bookmarkStart w:id="118" w:name="_Ref504030052"/>
      <w:r>
        <w:t>Basel III operational requirements</w:t>
      </w:r>
      <w:bookmarkEnd w:id="117"/>
      <w:r>
        <w:t xml:space="preserve"> for residential mortgage exposures</w:t>
      </w:r>
      <w:bookmarkEnd w:id="118"/>
    </w:p>
    <w:tbl>
      <w:tblPr>
        <w:tblStyle w:val="TableGrid"/>
        <w:tblW w:w="920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799"/>
      </w:tblGrid>
      <w:tr w:rsidR="00A42E18" w:rsidRPr="005D06BE" w14:paraId="39910E83" w14:textId="77777777" w:rsidTr="00CD7916">
        <w:trPr>
          <w:tblHeader/>
          <w:jc w:val="center"/>
        </w:trPr>
        <w:tc>
          <w:tcPr>
            <w:tcW w:w="2405" w:type="dxa"/>
            <w:shd w:val="clear" w:color="auto" w:fill="002060"/>
          </w:tcPr>
          <w:p w14:paraId="147ECD21" w14:textId="02C24D9A" w:rsidR="00A42E18" w:rsidRPr="005D06BE" w:rsidRDefault="00A42E18" w:rsidP="00C02648">
            <w:pPr>
              <w:pStyle w:val="APRANORMAL"/>
              <w:spacing w:beforeLines="60" w:before="144" w:afterLines="60" w:after="144"/>
              <w:rPr>
                <w:rFonts w:ascii="DIN OT Medium" w:hAnsi="DIN OT Medium"/>
                <w:sz w:val="20"/>
                <w:szCs w:val="20"/>
                <w:lang w:val="en-AU"/>
              </w:rPr>
            </w:pPr>
          </w:p>
        </w:tc>
        <w:tc>
          <w:tcPr>
            <w:tcW w:w="6799" w:type="dxa"/>
            <w:shd w:val="clear" w:color="auto" w:fill="002060"/>
            <w:vAlign w:val="center"/>
          </w:tcPr>
          <w:p w14:paraId="5F903012" w14:textId="79301D5E" w:rsidR="00A42E18" w:rsidRPr="005D06BE" w:rsidRDefault="00F1263C" w:rsidP="00C02648">
            <w:pPr>
              <w:pStyle w:val="APRANORMAL"/>
              <w:spacing w:beforeLines="60" w:before="144" w:afterLines="60" w:after="144"/>
              <w:jc w:val="center"/>
              <w:rPr>
                <w:rFonts w:ascii="DIN OT Medium" w:hAnsi="DIN OT Medium"/>
                <w:sz w:val="20"/>
                <w:szCs w:val="20"/>
                <w:lang w:val="en-AU"/>
              </w:rPr>
            </w:pPr>
            <w:r>
              <w:rPr>
                <w:rFonts w:ascii="DIN OT Medium" w:hAnsi="DIN OT Medium"/>
                <w:sz w:val="20"/>
                <w:szCs w:val="20"/>
                <w:lang w:val="en-AU"/>
              </w:rPr>
              <w:t>Operational requirements</w:t>
            </w:r>
          </w:p>
        </w:tc>
      </w:tr>
      <w:tr w:rsidR="00A42E18" w:rsidRPr="005D06BE" w14:paraId="6944C290" w14:textId="77777777" w:rsidTr="00CD7916">
        <w:trPr>
          <w:jc w:val="center"/>
        </w:trPr>
        <w:tc>
          <w:tcPr>
            <w:tcW w:w="2405" w:type="dxa"/>
            <w:shd w:val="clear" w:color="auto" w:fill="002060"/>
          </w:tcPr>
          <w:p w14:paraId="0CE6879E" w14:textId="4B75259F" w:rsidR="00A42E18" w:rsidRPr="005D06BE" w:rsidRDefault="00D05A41" w:rsidP="00C02648">
            <w:pPr>
              <w:pStyle w:val="APRANORMAL"/>
              <w:spacing w:beforeLines="60" w:before="144" w:afterLines="60" w:after="144"/>
              <w:ind w:right="176"/>
              <w:rPr>
                <w:rFonts w:ascii="DIN OT Medium" w:hAnsi="DIN OT Medium"/>
                <w:sz w:val="20"/>
                <w:szCs w:val="20"/>
                <w:lang w:val="en-AU"/>
              </w:rPr>
            </w:pPr>
            <w:r w:rsidRPr="005D06BE">
              <w:rPr>
                <w:rFonts w:ascii="DIN OT Medium" w:hAnsi="DIN OT Medium"/>
                <w:sz w:val="20"/>
                <w:szCs w:val="20"/>
                <w:lang w:val="en-AU"/>
              </w:rPr>
              <w:t>Completed property</w:t>
            </w:r>
          </w:p>
        </w:tc>
        <w:tc>
          <w:tcPr>
            <w:tcW w:w="6799" w:type="dxa"/>
            <w:shd w:val="clear" w:color="auto" w:fill="F2F2F2" w:themeFill="background1" w:themeFillShade="F2"/>
          </w:tcPr>
          <w:p w14:paraId="57A2A78D" w14:textId="77777777" w:rsidR="00CD7916" w:rsidRPr="005D06BE" w:rsidRDefault="00CD7916" w:rsidP="00C02648">
            <w:pPr>
              <w:pStyle w:val="APRABULLET"/>
              <w:rPr>
                <w:sz w:val="20"/>
                <w:szCs w:val="20"/>
              </w:rPr>
            </w:pPr>
            <w:r w:rsidRPr="005D06BE">
              <w:rPr>
                <w:sz w:val="20"/>
                <w:szCs w:val="20"/>
              </w:rPr>
              <w:t>The property securing the exposure must be fully completed.</w:t>
            </w:r>
          </w:p>
          <w:p w14:paraId="02ED6B94" w14:textId="1455485F" w:rsidR="00A42E18" w:rsidRPr="005D06BE" w:rsidRDefault="00CD7916" w:rsidP="00CD7916">
            <w:pPr>
              <w:pStyle w:val="APRABULLET"/>
              <w:rPr>
                <w:sz w:val="20"/>
                <w:szCs w:val="20"/>
              </w:rPr>
            </w:pPr>
            <w:r w:rsidRPr="005D06BE">
              <w:rPr>
                <w:sz w:val="20"/>
                <w:szCs w:val="20"/>
              </w:rPr>
              <w:t>Supervisory discretion to exclude specified types of exposures, such as where a property under construction is to become the borrower’s primary residence</w:t>
            </w:r>
            <w:r w:rsidR="002E4282">
              <w:rPr>
                <w:sz w:val="20"/>
                <w:szCs w:val="20"/>
              </w:rPr>
              <w:t>.</w:t>
            </w:r>
          </w:p>
        </w:tc>
      </w:tr>
      <w:tr w:rsidR="00A42E18" w:rsidRPr="005D06BE" w14:paraId="5F7F9B64" w14:textId="77777777" w:rsidTr="00CD7916">
        <w:trPr>
          <w:jc w:val="center"/>
        </w:trPr>
        <w:tc>
          <w:tcPr>
            <w:tcW w:w="2405" w:type="dxa"/>
            <w:shd w:val="clear" w:color="auto" w:fill="002060"/>
          </w:tcPr>
          <w:p w14:paraId="0DE8F831" w14:textId="683126C4" w:rsidR="00A42E18" w:rsidRPr="005D06BE" w:rsidRDefault="00D05A41" w:rsidP="00C02648">
            <w:pPr>
              <w:pStyle w:val="APRANORMAL"/>
              <w:spacing w:beforeLines="60" w:before="144" w:afterLines="60" w:after="144"/>
              <w:rPr>
                <w:rFonts w:ascii="DIN OT Medium" w:hAnsi="DIN OT Medium"/>
                <w:sz w:val="20"/>
                <w:szCs w:val="20"/>
                <w:lang w:val="en-AU"/>
              </w:rPr>
            </w:pPr>
            <w:r w:rsidRPr="005D06BE">
              <w:rPr>
                <w:rFonts w:ascii="DIN OT Medium" w:hAnsi="DIN OT Medium"/>
                <w:sz w:val="20"/>
                <w:szCs w:val="20"/>
                <w:lang w:val="en-AU"/>
              </w:rPr>
              <w:lastRenderedPageBreak/>
              <w:t>Legal enforceability</w:t>
            </w:r>
          </w:p>
        </w:tc>
        <w:tc>
          <w:tcPr>
            <w:tcW w:w="6799" w:type="dxa"/>
            <w:shd w:val="clear" w:color="auto" w:fill="F2F2F2" w:themeFill="background1" w:themeFillShade="F2"/>
          </w:tcPr>
          <w:p w14:paraId="3D862D2B" w14:textId="5B91F022" w:rsidR="00A42E18" w:rsidRPr="005D06BE" w:rsidRDefault="00CD7916" w:rsidP="00CD7916">
            <w:pPr>
              <w:pStyle w:val="APRABULLET"/>
              <w:rPr>
                <w:sz w:val="20"/>
                <w:szCs w:val="20"/>
              </w:rPr>
            </w:pPr>
            <w:r w:rsidRPr="005D06BE">
              <w:rPr>
                <w:sz w:val="20"/>
                <w:szCs w:val="20"/>
              </w:rPr>
              <w:t>Any claim on the property must be legally enforceable within a reasonable time frame</w:t>
            </w:r>
            <w:r w:rsidR="002E4282">
              <w:rPr>
                <w:sz w:val="20"/>
                <w:szCs w:val="20"/>
              </w:rPr>
              <w:t>.</w:t>
            </w:r>
          </w:p>
        </w:tc>
      </w:tr>
      <w:tr w:rsidR="00A42E18" w:rsidRPr="005D06BE" w14:paraId="7257B95E" w14:textId="77777777" w:rsidTr="00CD7916">
        <w:trPr>
          <w:jc w:val="center"/>
        </w:trPr>
        <w:tc>
          <w:tcPr>
            <w:tcW w:w="2405" w:type="dxa"/>
            <w:shd w:val="clear" w:color="auto" w:fill="002060"/>
          </w:tcPr>
          <w:p w14:paraId="3D794430" w14:textId="40A91D85" w:rsidR="00A42E18" w:rsidRPr="005D06BE" w:rsidRDefault="00D05A41" w:rsidP="00C02648">
            <w:pPr>
              <w:pStyle w:val="APRANORMAL"/>
              <w:spacing w:beforeLines="60" w:before="144" w:afterLines="60" w:after="144"/>
              <w:rPr>
                <w:rFonts w:ascii="DIN OT Medium" w:hAnsi="DIN OT Medium"/>
                <w:sz w:val="20"/>
                <w:szCs w:val="20"/>
                <w:lang w:val="en-AU"/>
              </w:rPr>
            </w:pPr>
            <w:r w:rsidRPr="005D06BE">
              <w:rPr>
                <w:rFonts w:ascii="DIN OT Medium" w:hAnsi="DIN OT Medium"/>
                <w:sz w:val="20"/>
                <w:szCs w:val="20"/>
                <w:lang w:val="en-AU"/>
              </w:rPr>
              <w:t>First lien</w:t>
            </w:r>
          </w:p>
        </w:tc>
        <w:tc>
          <w:tcPr>
            <w:tcW w:w="6799" w:type="dxa"/>
            <w:shd w:val="clear" w:color="auto" w:fill="F2F2F2" w:themeFill="background1" w:themeFillShade="F2"/>
          </w:tcPr>
          <w:p w14:paraId="7039BEC0" w14:textId="76307FD5" w:rsidR="00CD7916" w:rsidRPr="005D06BE" w:rsidRDefault="00CD7916" w:rsidP="001C2721">
            <w:pPr>
              <w:pStyle w:val="APRABULLET"/>
              <w:rPr>
                <w:sz w:val="20"/>
                <w:szCs w:val="20"/>
              </w:rPr>
            </w:pPr>
            <w:r w:rsidRPr="005D06BE">
              <w:rPr>
                <w:sz w:val="20"/>
                <w:szCs w:val="20"/>
              </w:rPr>
              <w:t>The lending bank must hold a first lien</w:t>
            </w:r>
            <w:r w:rsidR="001C2721">
              <w:rPr>
                <w:sz w:val="20"/>
                <w:szCs w:val="20"/>
              </w:rPr>
              <w:t>, although</w:t>
            </w:r>
            <w:r w:rsidRPr="005D06BE">
              <w:rPr>
                <w:sz w:val="20"/>
                <w:szCs w:val="20"/>
              </w:rPr>
              <w:t xml:space="preserve"> subsequent liens may be recognised if the holder can initiate sale and</w:t>
            </w:r>
            <w:r w:rsidR="0000009A">
              <w:rPr>
                <w:sz w:val="20"/>
                <w:szCs w:val="20"/>
              </w:rPr>
              <w:t xml:space="preserve"> </w:t>
            </w:r>
            <w:r w:rsidR="00EC5682">
              <w:rPr>
                <w:sz w:val="20"/>
                <w:szCs w:val="20"/>
              </w:rPr>
              <w:t xml:space="preserve">is required to </w:t>
            </w:r>
            <w:r w:rsidRPr="005D06BE">
              <w:rPr>
                <w:sz w:val="20"/>
                <w:szCs w:val="20"/>
              </w:rPr>
              <w:t>seek a reasonable price</w:t>
            </w:r>
            <w:r w:rsidR="002E4282">
              <w:rPr>
                <w:sz w:val="20"/>
                <w:szCs w:val="20"/>
              </w:rPr>
              <w:t>.</w:t>
            </w:r>
          </w:p>
        </w:tc>
      </w:tr>
      <w:tr w:rsidR="00D05A41" w:rsidRPr="005D06BE" w14:paraId="6E4A441E" w14:textId="77777777" w:rsidTr="00CD7916">
        <w:trPr>
          <w:jc w:val="center"/>
        </w:trPr>
        <w:tc>
          <w:tcPr>
            <w:tcW w:w="2405" w:type="dxa"/>
            <w:shd w:val="clear" w:color="auto" w:fill="002060"/>
          </w:tcPr>
          <w:p w14:paraId="2B21EBAC" w14:textId="2FD0CEB2" w:rsidR="00D05A41" w:rsidRPr="005D06BE" w:rsidRDefault="00B96151" w:rsidP="00C02648">
            <w:pPr>
              <w:pStyle w:val="APRANORMAL"/>
              <w:spacing w:beforeLines="60" w:before="144" w:afterLines="60" w:after="144"/>
              <w:rPr>
                <w:rFonts w:ascii="DIN OT Medium" w:hAnsi="DIN OT Medium"/>
                <w:sz w:val="20"/>
                <w:szCs w:val="20"/>
                <w:lang w:val="en-AU"/>
              </w:rPr>
            </w:pPr>
            <w:r w:rsidRPr="005D06BE">
              <w:rPr>
                <w:rFonts w:ascii="DIN OT Medium" w:hAnsi="DIN OT Medium"/>
                <w:sz w:val="20"/>
                <w:szCs w:val="20"/>
                <w:lang w:val="en-AU"/>
              </w:rPr>
              <w:t>Ability to repay</w:t>
            </w:r>
          </w:p>
        </w:tc>
        <w:tc>
          <w:tcPr>
            <w:tcW w:w="6799" w:type="dxa"/>
            <w:shd w:val="clear" w:color="auto" w:fill="F2F2F2" w:themeFill="background1" w:themeFillShade="F2"/>
          </w:tcPr>
          <w:p w14:paraId="4F5AED31" w14:textId="52FDEFD8" w:rsidR="00B96151" w:rsidRPr="005D06BE" w:rsidRDefault="00B96151" w:rsidP="00B96151">
            <w:pPr>
              <w:pStyle w:val="APRABULLET"/>
              <w:rPr>
                <w:sz w:val="20"/>
                <w:szCs w:val="20"/>
              </w:rPr>
            </w:pPr>
            <w:r w:rsidRPr="005D06BE">
              <w:rPr>
                <w:sz w:val="20"/>
                <w:szCs w:val="20"/>
              </w:rPr>
              <w:t>Banks must have underwriting policies that include metrics to assess repayment ability.</w:t>
            </w:r>
          </w:p>
        </w:tc>
      </w:tr>
      <w:tr w:rsidR="00D05A41" w:rsidRPr="005D06BE" w14:paraId="7B15D6A7" w14:textId="77777777" w:rsidTr="00CD7916">
        <w:trPr>
          <w:jc w:val="center"/>
        </w:trPr>
        <w:tc>
          <w:tcPr>
            <w:tcW w:w="2405" w:type="dxa"/>
            <w:shd w:val="clear" w:color="auto" w:fill="002060"/>
          </w:tcPr>
          <w:p w14:paraId="1F84DE61" w14:textId="43207360" w:rsidR="00D05A41" w:rsidRPr="005D06BE" w:rsidRDefault="00D05A41" w:rsidP="00C02648">
            <w:pPr>
              <w:pStyle w:val="APRANORMAL"/>
              <w:spacing w:beforeLines="60" w:before="144" w:afterLines="60" w:after="144"/>
              <w:rPr>
                <w:rFonts w:ascii="DIN OT Medium" w:hAnsi="DIN OT Medium"/>
                <w:sz w:val="20"/>
                <w:szCs w:val="20"/>
                <w:lang w:val="en-AU"/>
              </w:rPr>
            </w:pPr>
            <w:r w:rsidRPr="005D06BE">
              <w:rPr>
                <w:rFonts w:ascii="DIN OT Medium" w:hAnsi="DIN OT Medium"/>
                <w:sz w:val="20"/>
                <w:szCs w:val="20"/>
                <w:lang w:val="en-AU"/>
              </w:rPr>
              <w:t>Valuation</w:t>
            </w:r>
          </w:p>
        </w:tc>
        <w:tc>
          <w:tcPr>
            <w:tcW w:w="6799" w:type="dxa"/>
            <w:shd w:val="clear" w:color="auto" w:fill="F2F2F2" w:themeFill="background1" w:themeFillShade="F2"/>
          </w:tcPr>
          <w:p w14:paraId="74E74C1C" w14:textId="77777777" w:rsidR="00B96151" w:rsidRPr="005D06BE" w:rsidRDefault="00B96151" w:rsidP="00B96151">
            <w:pPr>
              <w:pStyle w:val="APRABULLET"/>
              <w:rPr>
                <w:sz w:val="20"/>
                <w:szCs w:val="20"/>
              </w:rPr>
            </w:pPr>
            <w:r w:rsidRPr="005D06BE">
              <w:rPr>
                <w:sz w:val="20"/>
                <w:szCs w:val="20"/>
              </w:rPr>
              <w:t>The property must be prudently valued independently from the loan origination process.</w:t>
            </w:r>
          </w:p>
          <w:p w14:paraId="4753F61F" w14:textId="745261DA" w:rsidR="00D05A41" w:rsidRPr="005D06BE" w:rsidRDefault="00B96151" w:rsidP="00B96151">
            <w:pPr>
              <w:pStyle w:val="APRABULLET"/>
              <w:rPr>
                <w:sz w:val="20"/>
                <w:szCs w:val="20"/>
              </w:rPr>
            </w:pPr>
            <w:r w:rsidRPr="005D06BE">
              <w:rPr>
                <w:sz w:val="20"/>
                <w:szCs w:val="20"/>
              </w:rPr>
              <w:t xml:space="preserve">The property value must maintain </w:t>
            </w:r>
            <w:r w:rsidR="000F508D">
              <w:rPr>
                <w:sz w:val="20"/>
                <w:szCs w:val="20"/>
              </w:rPr>
              <w:t xml:space="preserve">the </w:t>
            </w:r>
            <w:r w:rsidRPr="005D06BE">
              <w:rPr>
                <w:sz w:val="20"/>
                <w:szCs w:val="20"/>
              </w:rPr>
              <w:t>value at origination or be decreased.</w:t>
            </w:r>
          </w:p>
        </w:tc>
      </w:tr>
      <w:tr w:rsidR="00D05A41" w:rsidRPr="005D06BE" w14:paraId="7425160E" w14:textId="77777777" w:rsidTr="00CD7916">
        <w:trPr>
          <w:jc w:val="center"/>
        </w:trPr>
        <w:tc>
          <w:tcPr>
            <w:tcW w:w="2405" w:type="dxa"/>
            <w:shd w:val="clear" w:color="auto" w:fill="002060"/>
          </w:tcPr>
          <w:p w14:paraId="2F236775" w14:textId="4DCC0E4C" w:rsidR="00D05A41" w:rsidRPr="005D06BE" w:rsidRDefault="00D05A41" w:rsidP="00C02648">
            <w:pPr>
              <w:pStyle w:val="APRANORMAL"/>
              <w:spacing w:beforeLines="60" w:before="144" w:afterLines="60" w:after="144"/>
              <w:rPr>
                <w:rFonts w:ascii="DIN OT Medium" w:hAnsi="DIN OT Medium"/>
                <w:sz w:val="20"/>
                <w:szCs w:val="20"/>
                <w:lang w:val="en-AU"/>
              </w:rPr>
            </w:pPr>
            <w:r w:rsidRPr="005D06BE">
              <w:rPr>
                <w:rFonts w:ascii="DIN OT Medium" w:hAnsi="DIN OT Medium"/>
                <w:sz w:val="20"/>
                <w:szCs w:val="20"/>
                <w:lang w:val="en-AU"/>
              </w:rPr>
              <w:t>Documentation</w:t>
            </w:r>
          </w:p>
        </w:tc>
        <w:tc>
          <w:tcPr>
            <w:tcW w:w="6799" w:type="dxa"/>
            <w:shd w:val="clear" w:color="auto" w:fill="F2F2F2" w:themeFill="background1" w:themeFillShade="F2"/>
          </w:tcPr>
          <w:p w14:paraId="7C44BD74" w14:textId="0937A41F" w:rsidR="00D05A41" w:rsidRPr="005D06BE" w:rsidRDefault="005E1E16" w:rsidP="00B96151">
            <w:pPr>
              <w:pStyle w:val="APRABULLET"/>
              <w:rPr>
                <w:sz w:val="20"/>
                <w:szCs w:val="20"/>
              </w:rPr>
            </w:pPr>
            <w:r w:rsidRPr="005D06BE">
              <w:rPr>
                <w:sz w:val="20"/>
                <w:szCs w:val="20"/>
              </w:rPr>
              <w:t>All information required for loan origination and monitoring must be properly documented, including the borrower’s repayment ability and property valuation.</w:t>
            </w:r>
          </w:p>
        </w:tc>
      </w:tr>
    </w:tbl>
    <w:p w14:paraId="2B53137C" w14:textId="77777777" w:rsidR="00A42E18" w:rsidRDefault="00A42E18" w:rsidP="00A42E18">
      <w:pPr>
        <w:pStyle w:val="APRANORMAL"/>
      </w:pPr>
    </w:p>
    <w:p w14:paraId="44063A09" w14:textId="0A72BDAF" w:rsidR="0053242B" w:rsidRDefault="003425F1" w:rsidP="003E1593">
      <w:pPr>
        <w:pStyle w:val="APRANORMAL"/>
        <w:rPr>
          <w:lang w:val="en-AU"/>
        </w:rPr>
      </w:pPr>
      <w:r>
        <w:rPr>
          <w:lang w:val="en-AU"/>
        </w:rPr>
        <w:t>T</w:t>
      </w:r>
      <w:r w:rsidR="00857B7B">
        <w:rPr>
          <w:lang w:val="en-AU"/>
        </w:rPr>
        <w:t>he Basel</w:t>
      </w:r>
      <w:r w:rsidR="00D75D7A">
        <w:rPr>
          <w:lang w:val="en-AU"/>
        </w:rPr>
        <w:t> </w:t>
      </w:r>
      <w:r w:rsidR="003E6767">
        <w:rPr>
          <w:lang w:val="en-AU"/>
        </w:rPr>
        <w:t>III framework</w:t>
      </w:r>
      <w:r w:rsidR="00857B7B">
        <w:rPr>
          <w:lang w:val="en-AU"/>
        </w:rPr>
        <w:t xml:space="preserve"> </w:t>
      </w:r>
      <w:r>
        <w:rPr>
          <w:lang w:val="en-AU"/>
        </w:rPr>
        <w:t>also includes a differential treatment of certain investment-purpose loans. Specifically, the framework assigns</w:t>
      </w:r>
      <w:r w:rsidR="00AA7F5C">
        <w:rPr>
          <w:lang w:val="en-AU"/>
        </w:rPr>
        <w:t xml:space="preserve"> exposures to either of</w:t>
      </w:r>
      <w:r w:rsidR="00857B7B">
        <w:rPr>
          <w:lang w:val="en-AU"/>
        </w:rPr>
        <w:t xml:space="preserve"> </w:t>
      </w:r>
      <w:r w:rsidR="007A3158">
        <w:rPr>
          <w:lang w:val="en-AU"/>
        </w:rPr>
        <w:t xml:space="preserve">two </w:t>
      </w:r>
      <w:r w:rsidR="00C03375">
        <w:rPr>
          <w:lang w:val="en-AU"/>
        </w:rPr>
        <w:t>categorie</w:t>
      </w:r>
      <w:r w:rsidR="007A3158">
        <w:rPr>
          <w:lang w:val="en-AU"/>
        </w:rPr>
        <w:t>s</w:t>
      </w:r>
      <w:r w:rsidR="00AA7F5C">
        <w:rPr>
          <w:lang w:val="en-AU"/>
        </w:rPr>
        <w:t>,</w:t>
      </w:r>
      <w:r w:rsidR="00C85F18">
        <w:rPr>
          <w:lang w:val="en-AU"/>
        </w:rPr>
        <w:t xml:space="preserve"> depending on whether </w:t>
      </w:r>
      <w:r w:rsidR="00AA7F5C">
        <w:rPr>
          <w:lang w:val="en-AU"/>
        </w:rPr>
        <w:t xml:space="preserve">or not </w:t>
      </w:r>
      <w:r w:rsidR="00C85F18">
        <w:rPr>
          <w:lang w:val="en-AU"/>
        </w:rPr>
        <w:t>repayment</w:t>
      </w:r>
      <w:r w:rsidR="00AA7F5C">
        <w:rPr>
          <w:lang w:val="en-AU"/>
        </w:rPr>
        <w:t xml:space="preserve"> of the loan</w:t>
      </w:r>
      <w:r w:rsidR="00C85F18">
        <w:rPr>
          <w:lang w:val="en-AU"/>
        </w:rPr>
        <w:t xml:space="preserve"> materially depends on the cash flows generated by the property securing the loan.</w:t>
      </w:r>
      <w:r w:rsidR="003E6767">
        <w:rPr>
          <w:lang w:val="en-AU"/>
        </w:rPr>
        <w:t xml:space="preserve"> H</w:t>
      </w:r>
      <w:r w:rsidR="0053242B">
        <w:rPr>
          <w:lang w:val="en-AU"/>
        </w:rPr>
        <w:t>igher risk weights are applied to</w:t>
      </w:r>
      <w:r w:rsidR="00EC6DAD">
        <w:rPr>
          <w:lang w:val="en-AU"/>
        </w:rPr>
        <w:t xml:space="preserve"> these</w:t>
      </w:r>
      <w:r w:rsidR="0053242B">
        <w:rPr>
          <w:lang w:val="en-AU"/>
        </w:rPr>
        <w:t xml:space="preserve"> </w:t>
      </w:r>
      <w:r w:rsidR="007B571A">
        <w:rPr>
          <w:lang w:val="en-AU"/>
        </w:rPr>
        <w:t>‘</w:t>
      </w:r>
      <w:r w:rsidR="007A3158">
        <w:rPr>
          <w:lang w:val="en-AU"/>
        </w:rPr>
        <w:t>materially dependent</w:t>
      </w:r>
      <w:r w:rsidR="007B571A">
        <w:rPr>
          <w:lang w:val="en-AU"/>
        </w:rPr>
        <w:t>’</w:t>
      </w:r>
      <w:r w:rsidR="007A3158">
        <w:rPr>
          <w:lang w:val="en-AU"/>
        </w:rPr>
        <w:t xml:space="preserve"> </w:t>
      </w:r>
      <w:r w:rsidR="0053242B">
        <w:rPr>
          <w:lang w:val="en-AU"/>
        </w:rPr>
        <w:t>exposures</w:t>
      </w:r>
      <w:r w:rsidR="00AA7F5C">
        <w:rPr>
          <w:lang w:val="en-AU"/>
        </w:rPr>
        <w:t>,</w:t>
      </w:r>
      <w:r w:rsidR="0053242B">
        <w:rPr>
          <w:lang w:val="en-AU"/>
        </w:rPr>
        <w:t xml:space="preserve"> </w:t>
      </w:r>
      <w:r w:rsidR="007B571A">
        <w:rPr>
          <w:lang w:val="en-AU"/>
        </w:rPr>
        <w:t xml:space="preserve">as </w:t>
      </w:r>
      <w:r w:rsidR="003E6767">
        <w:rPr>
          <w:lang w:val="en-AU"/>
        </w:rPr>
        <w:t xml:space="preserve">both the servicing of the loan and the prospects for recovery in </w:t>
      </w:r>
      <w:r w:rsidR="00C03375">
        <w:rPr>
          <w:lang w:val="en-AU"/>
        </w:rPr>
        <w:t xml:space="preserve">the </w:t>
      </w:r>
      <w:r w:rsidR="003E6767">
        <w:rPr>
          <w:lang w:val="en-AU"/>
        </w:rPr>
        <w:t>event of default depend on the same cash flows</w:t>
      </w:r>
      <w:r w:rsidR="0008486E">
        <w:rPr>
          <w:lang w:val="en-AU"/>
        </w:rPr>
        <w:t xml:space="preserve"> (refer to </w:t>
      </w:r>
      <w:r w:rsidR="0008486E">
        <w:rPr>
          <w:lang w:val="en-AU"/>
        </w:rPr>
        <w:fldChar w:fldCharType="begin"/>
      </w:r>
      <w:r w:rsidR="0008486E">
        <w:rPr>
          <w:lang w:val="en-AU"/>
        </w:rPr>
        <w:instrText xml:space="preserve"> REF _Ref502821407 \r \h </w:instrText>
      </w:r>
      <w:r w:rsidR="0008486E">
        <w:rPr>
          <w:lang w:val="en-AU"/>
        </w:rPr>
      </w:r>
      <w:r w:rsidR="0008486E">
        <w:rPr>
          <w:lang w:val="en-AU"/>
        </w:rPr>
        <w:fldChar w:fldCharType="separate"/>
      </w:r>
      <w:r w:rsidR="00EB1F7A">
        <w:rPr>
          <w:lang w:val="en-AU"/>
        </w:rPr>
        <w:t>Table 2</w:t>
      </w:r>
      <w:r w:rsidR="0008486E">
        <w:rPr>
          <w:lang w:val="en-AU"/>
        </w:rPr>
        <w:fldChar w:fldCharType="end"/>
      </w:r>
      <w:r w:rsidR="0008486E">
        <w:rPr>
          <w:lang w:val="en-AU"/>
        </w:rPr>
        <w:t>)</w:t>
      </w:r>
      <w:r w:rsidR="002A6B90">
        <w:rPr>
          <w:lang w:val="en-AU"/>
        </w:rPr>
        <w:t>.</w:t>
      </w:r>
      <w:r w:rsidR="007B571A">
        <w:rPr>
          <w:lang w:val="en-AU"/>
        </w:rPr>
        <w:t xml:space="preserve"> The Basel framework does, however, give</w:t>
      </w:r>
      <w:r w:rsidR="00EB2DAC">
        <w:rPr>
          <w:lang w:val="en-AU"/>
        </w:rPr>
        <w:t xml:space="preserve"> national </w:t>
      </w:r>
      <w:r w:rsidR="007B571A">
        <w:rPr>
          <w:lang w:val="en-AU"/>
        </w:rPr>
        <w:t xml:space="preserve">supervisors </w:t>
      </w:r>
      <w:r w:rsidR="00EB2DAC">
        <w:rPr>
          <w:lang w:val="en-AU"/>
        </w:rPr>
        <w:t>discretion</w:t>
      </w:r>
      <w:r w:rsidR="002A6B90">
        <w:rPr>
          <w:lang w:val="en-AU"/>
        </w:rPr>
        <w:t xml:space="preserve"> </w:t>
      </w:r>
      <w:r w:rsidR="007B571A">
        <w:rPr>
          <w:lang w:val="en-AU"/>
        </w:rPr>
        <w:t>to</w:t>
      </w:r>
      <w:r w:rsidR="00EB2DAC">
        <w:rPr>
          <w:lang w:val="en-AU"/>
        </w:rPr>
        <w:t xml:space="preserve"> </w:t>
      </w:r>
      <w:r w:rsidR="003E6767">
        <w:rPr>
          <w:lang w:val="en-AU"/>
        </w:rPr>
        <w:t xml:space="preserve">exclude </w:t>
      </w:r>
      <w:r w:rsidR="0008486E">
        <w:rPr>
          <w:lang w:val="en-AU"/>
        </w:rPr>
        <w:t>from these higher risk weights loans</w:t>
      </w:r>
      <w:r w:rsidR="00AA7F5C">
        <w:rPr>
          <w:lang w:val="en-AU"/>
        </w:rPr>
        <w:t xml:space="preserve"> to </w:t>
      </w:r>
      <w:r w:rsidR="0008486E">
        <w:rPr>
          <w:lang w:val="en-AU"/>
        </w:rPr>
        <w:t xml:space="preserve">individuals for investment purposes where the number of </w:t>
      </w:r>
      <w:r w:rsidR="00D15065">
        <w:rPr>
          <w:lang w:val="en-AU"/>
        </w:rPr>
        <w:t xml:space="preserve">mortgaged </w:t>
      </w:r>
      <w:r w:rsidR="00F902FB">
        <w:rPr>
          <w:lang w:val="en-AU"/>
        </w:rPr>
        <w:t>investment properties is below a specified threshold</w:t>
      </w:r>
      <w:r w:rsidR="0053242B">
        <w:rPr>
          <w:lang w:val="en-AU"/>
        </w:rPr>
        <w:t>.</w:t>
      </w:r>
    </w:p>
    <w:p w14:paraId="77D1C4EB" w14:textId="72417A34" w:rsidR="00C05C72" w:rsidRDefault="0008486E" w:rsidP="003E1593">
      <w:pPr>
        <w:pStyle w:val="APRANORMAL"/>
      </w:pPr>
      <w:r>
        <w:t xml:space="preserve">Under Basel III, residential property exposures that do not meet the operational requirements above are also segmented based on whether the repayment is materially dependent on cash flows from the property; </w:t>
      </w:r>
      <w:r w:rsidRPr="00F902FB">
        <w:t>t</w:t>
      </w:r>
      <w:r w:rsidR="00C05C72" w:rsidRPr="00F902FB">
        <w:t>he risk weight of the counterparty is applied to loans where repayment is not materially dependent on cash flows while a flat risk weight applies to those that are</w:t>
      </w:r>
      <w:r w:rsidR="00F902FB">
        <w:t xml:space="preserve"> (</w:t>
      </w:r>
      <w:r w:rsidR="00F902FB">
        <w:fldChar w:fldCharType="begin"/>
      </w:r>
      <w:r w:rsidR="00F902FB">
        <w:instrText xml:space="preserve"> REF _Ref502821407 \r \h </w:instrText>
      </w:r>
      <w:r w:rsidR="00F902FB">
        <w:fldChar w:fldCharType="separate"/>
      </w:r>
      <w:r w:rsidR="00EB1F7A">
        <w:t>Table 2</w:t>
      </w:r>
      <w:r w:rsidR="00F902FB">
        <w:fldChar w:fldCharType="end"/>
      </w:r>
      <w:r w:rsidR="00F902FB">
        <w:t>)</w:t>
      </w:r>
      <w:r w:rsidR="00754E10">
        <w:t>.</w:t>
      </w:r>
    </w:p>
    <w:p w14:paraId="3F5A982E" w14:textId="393ED4F1" w:rsidR="00B26BCF" w:rsidRDefault="005B0DFE" w:rsidP="003E1593">
      <w:pPr>
        <w:pStyle w:val="APRANORMAL"/>
      </w:pPr>
      <w:r>
        <w:rPr>
          <w:lang w:val="en-AU"/>
        </w:rPr>
        <w:lastRenderedPageBreak/>
        <w:t>Basel</w:t>
      </w:r>
      <w:r w:rsidR="00383C37">
        <w:rPr>
          <w:lang w:val="en-AU"/>
        </w:rPr>
        <w:t> </w:t>
      </w:r>
      <w:r>
        <w:rPr>
          <w:lang w:val="en-AU"/>
        </w:rPr>
        <w:t xml:space="preserve">III has </w:t>
      </w:r>
      <w:r w:rsidR="00F902FB">
        <w:rPr>
          <w:lang w:val="en-AU"/>
        </w:rPr>
        <w:t xml:space="preserve">also </w:t>
      </w:r>
      <w:r>
        <w:rPr>
          <w:lang w:val="en-AU"/>
        </w:rPr>
        <w:t xml:space="preserve">introduced </w:t>
      </w:r>
      <w:r w:rsidR="005D2C0B">
        <w:rPr>
          <w:lang w:val="en-AU"/>
        </w:rPr>
        <w:t>LVR</w:t>
      </w:r>
      <w:r w:rsidR="003E6767">
        <w:rPr>
          <w:lang w:val="en-AU"/>
        </w:rPr>
        <w:t xml:space="preserve"> </w:t>
      </w:r>
      <w:r>
        <w:rPr>
          <w:lang w:val="en-AU"/>
        </w:rPr>
        <w:t>as a determinant of the risk weight</w:t>
      </w:r>
      <w:r w:rsidR="001E68E5">
        <w:rPr>
          <w:lang w:val="en-AU"/>
        </w:rPr>
        <w:t xml:space="preserve"> for loans that meet the operational requirements</w:t>
      </w:r>
      <w:r w:rsidR="004720CB">
        <w:rPr>
          <w:lang w:val="en-AU"/>
        </w:rPr>
        <w:t>.</w:t>
      </w:r>
      <w:r w:rsidR="005D2C0B">
        <w:rPr>
          <w:lang w:val="en-AU"/>
        </w:rPr>
        <w:t xml:space="preserve"> </w:t>
      </w:r>
      <w:r w:rsidR="007A3158">
        <w:rPr>
          <w:lang w:val="en-AU"/>
        </w:rPr>
        <w:t>The inclusion of LVR</w:t>
      </w:r>
      <w:r w:rsidR="004720CB">
        <w:rPr>
          <w:lang w:val="en-AU"/>
        </w:rPr>
        <w:t xml:space="preserve"> is</w:t>
      </w:r>
      <w:r w:rsidR="005D2C0B">
        <w:rPr>
          <w:lang w:val="en-AU"/>
        </w:rPr>
        <w:t xml:space="preserve"> broadly</w:t>
      </w:r>
      <w:r w:rsidR="00857B7B">
        <w:rPr>
          <w:lang w:val="en-AU"/>
        </w:rPr>
        <w:t xml:space="preserve"> similar to </w:t>
      </w:r>
      <w:r w:rsidR="005D2C0B">
        <w:rPr>
          <w:lang w:val="en-AU"/>
        </w:rPr>
        <w:t xml:space="preserve">the segmentation already included in </w:t>
      </w:r>
      <w:r w:rsidR="00857B7B">
        <w:rPr>
          <w:lang w:val="en-AU"/>
        </w:rPr>
        <w:t>APS</w:t>
      </w:r>
      <w:r w:rsidR="00383C37">
        <w:rPr>
          <w:lang w:val="en-AU"/>
        </w:rPr>
        <w:t> </w:t>
      </w:r>
      <w:r w:rsidR="00857B7B">
        <w:rPr>
          <w:lang w:val="en-AU"/>
        </w:rPr>
        <w:t>112</w:t>
      </w:r>
      <w:r w:rsidR="00794C59">
        <w:rPr>
          <w:lang w:val="en-AU"/>
        </w:rPr>
        <w:t>.</w:t>
      </w:r>
      <w:r w:rsidR="001F6C32">
        <w:rPr>
          <w:rStyle w:val="FootnoteReference"/>
          <w:lang w:val="en-AU"/>
        </w:rPr>
        <w:footnoteReference w:id="26"/>
      </w:r>
    </w:p>
    <w:p w14:paraId="6ED24E2B" w14:textId="67921889" w:rsidR="00A9644A" w:rsidRPr="00954FC3" w:rsidRDefault="00A9644A" w:rsidP="00C02648">
      <w:pPr>
        <w:pStyle w:val="APRATABLE-NUMBER"/>
        <w:keepLines/>
      </w:pPr>
      <w:bookmarkStart w:id="119" w:name="_Ref502821407"/>
      <w:r w:rsidRPr="00954FC3">
        <w:t>Basel</w:t>
      </w:r>
      <w:r w:rsidR="001E68E5" w:rsidRPr="00954FC3">
        <w:t> III</w:t>
      </w:r>
      <w:r w:rsidRPr="00954FC3">
        <w:t xml:space="preserve"> risk weights for residential mortgage exposures</w:t>
      </w:r>
      <w:bookmarkEnd w:id="119"/>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3"/>
        <w:gridCol w:w="2551"/>
        <w:gridCol w:w="819"/>
        <w:gridCol w:w="819"/>
        <w:gridCol w:w="819"/>
        <w:gridCol w:w="819"/>
        <w:gridCol w:w="819"/>
        <w:gridCol w:w="817"/>
      </w:tblGrid>
      <w:tr w:rsidR="00D0042A" w14:paraId="40564E18" w14:textId="77777777" w:rsidTr="00730B1A">
        <w:tc>
          <w:tcPr>
            <w:tcW w:w="4104" w:type="dxa"/>
            <w:gridSpan w:val="2"/>
            <w:vMerge w:val="restart"/>
            <w:shd w:val="clear" w:color="auto" w:fill="002060"/>
            <w:vAlign w:val="bottom"/>
          </w:tcPr>
          <w:p w14:paraId="495C41FE" w14:textId="5F6E5420" w:rsidR="00D0042A" w:rsidRPr="002A1288" w:rsidRDefault="007E10E0" w:rsidP="00730B1A">
            <w:pPr>
              <w:pStyle w:val="APRANORMAL"/>
              <w:keepNext/>
              <w:keepLines/>
              <w:spacing w:before="120" w:after="120"/>
              <w:jc w:val="right"/>
              <w:rPr>
                <w:rFonts w:ascii="DIN OT Medium" w:hAnsi="DIN OT Medium"/>
                <w:sz w:val="20"/>
                <w:szCs w:val="20"/>
              </w:rPr>
            </w:pPr>
            <w:r>
              <w:rPr>
                <w:rFonts w:ascii="DIN OT Medium" w:hAnsi="DIN OT Medium"/>
                <w:sz w:val="20"/>
                <w:szCs w:val="20"/>
              </w:rPr>
              <w:t>LVR</w:t>
            </w:r>
            <w:r w:rsidR="003D106F">
              <w:rPr>
                <w:rFonts w:ascii="DIN OT Medium" w:hAnsi="DIN OT Medium"/>
                <w:sz w:val="20"/>
                <w:szCs w:val="20"/>
              </w:rPr>
              <w:t xml:space="preserve"> </w:t>
            </w:r>
            <w:r>
              <w:rPr>
                <w:rFonts w:ascii="DIN OT Medium" w:hAnsi="DIN OT Medium"/>
                <w:sz w:val="20"/>
                <w:szCs w:val="20"/>
              </w:rPr>
              <w:t>%</w:t>
            </w:r>
          </w:p>
        </w:tc>
        <w:tc>
          <w:tcPr>
            <w:tcW w:w="4912" w:type="dxa"/>
            <w:gridSpan w:val="6"/>
            <w:shd w:val="clear" w:color="auto" w:fill="002060"/>
            <w:vAlign w:val="bottom"/>
          </w:tcPr>
          <w:p w14:paraId="735C8B3B" w14:textId="560AC871" w:rsidR="00D0042A" w:rsidRPr="00D064A9" w:rsidRDefault="007E10E0" w:rsidP="00730B1A">
            <w:pPr>
              <w:pStyle w:val="APRANORMAL"/>
              <w:keepNext/>
              <w:keepLines/>
              <w:spacing w:before="120" w:after="120"/>
              <w:jc w:val="center"/>
              <w:rPr>
                <w:rFonts w:ascii="DIN OT Medium" w:hAnsi="DIN OT Medium"/>
              </w:rPr>
            </w:pPr>
            <w:r>
              <w:rPr>
                <w:rFonts w:ascii="DIN OT Medium" w:hAnsi="DIN OT Medium"/>
                <w:sz w:val="20"/>
              </w:rPr>
              <w:t>RW</w:t>
            </w:r>
            <w:r w:rsidRPr="00C92928">
              <w:rPr>
                <w:rFonts w:ascii="DIN OT Medium" w:hAnsi="DIN OT Medium"/>
                <w:sz w:val="20"/>
              </w:rPr>
              <w:t xml:space="preserve"> </w:t>
            </w:r>
            <w:r w:rsidR="00D0042A" w:rsidRPr="00C92928">
              <w:rPr>
                <w:rFonts w:ascii="DIN OT Medium" w:hAnsi="DIN OT Medium"/>
                <w:sz w:val="20"/>
              </w:rPr>
              <w:t>%</w:t>
            </w:r>
          </w:p>
        </w:tc>
      </w:tr>
      <w:tr w:rsidR="00D0042A" w14:paraId="7A7721BC" w14:textId="77777777" w:rsidTr="00730B1A">
        <w:tc>
          <w:tcPr>
            <w:tcW w:w="4104" w:type="dxa"/>
            <w:gridSpan w:val="2"/>
            <w:vMerge/>
            <w:shd w:val="clear" w:color="auto" w:fill="002060"/>
          </w:tcPr>
          <w:p w14:paraId="4ED9A230" w14:textId="77777777" w:rsidR="00D0042A" w:rsidRPr="00FB2BD7" w:rsidRDefault="00D0042A" w:rsidP="00730B1A">
            <w:pPr>
              <w:pStyle w:val="APRANORMAL"/>
              <w:keepNext/>
              <w:keepLines/>
              <w:spacing w:before="120" w:after="120"/>
              <w:rPr>
                <w:rFonts w:ascii="DIN OT Medium" w:hAnsi="DIN OT Medium"/>
                <w:sz w:val="20"/>
                <w:szCs w:val="20"/>
              </w:rPr>
            </w:pPr>
          </w:p>
        </w:tc>
        <w:tc>
          <w:tcPr>
            <w:tcW w:w="819" w:type="dxa"/>
            <w:shd w:val="clear" w:color="auto" w:fill="002060"/>
            <w:vAlign w:val="bottom"/>
          </w:tcPr>
          <w:p w14:paraId="0E2FF790"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 50</w:t>
            </w:r>
          </w:p>
        </w:tc>
        <w:tc>
          <w:tcPr>
            <w:tcW w:w="819" w:type="dxa"/>
            <w:shd w:val="clear" w:color="auto" w:fill="002060"/>
            <w:vAlign w:val="bottom"/>
          </w:tcPr>
          <w:p w14:paraId="613906E8"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 60</w:t>
            </w:r>
          </w:p>
        </w:tc>
        <w:tc>
          <w:tcPr>
            <w:tcW w:w="819" w:type="dxa"/>
            <w:shd w:val="clear" w:color="auto" w:fill="002060"/>
            <w:vAlign w:val="bottom"/>
          </w:tcPr>
          <w:p w14:paraId="63CAE9F1"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 80</w:t>
            </w:r>
          </w:p>
        </w:tc>
        <w:tc>
          <w:tcPr>
            <w:tcW w:w="819" w:type="dxa"/>
            <w:shd w:val="clear" w:color="auto" w:fill="002060"/>
            <w:vAlign w:val="bottom"/>
          </w:tcPr>
          <w:p w14:paraId="7A7D9F75"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 90</w:t>
            </w:r>
          </w:p>
        </w:tc>
        <w:tc>
          <w:tcPr>
            <w:tcW w:w="819" w:type="dxa"/>
            <w:shd w:val="clear" w:color="auto" w:fill="002060"/>
            <w:vAlign w:val="bottom"/>
          </w:tcPr>
          <w:p w14:paraId="405B54B3"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 100</w:t>
            </w:r>
          </w:p>
        </w:tc>
        <w:tc>
          <w:tcPr>
            <w:tcW w:w="817" w:type="dxa"/>
            <w:shd w:val="clear" w:color="auto" w:fill="002060"/>
            <w:vAlign w:val="bottom"/>
          </w:tcPr>
          <w:p w14:paraId="0ACD20FC" w14:textId="77777777" w:rsidR="00D0042A" w:rsidRPr="00981561" w:rsidRDefault="00D0042A" w:rsidP="00730B1A">
            <w:pPr>
              <w:pStyle w:val="APRANORMAL"/>
              <w:keepNext/>
              <w:keepLines/>
              <w:spacing w:before="120" w:after="120"/>
              <w:jc w:val="center"/>
              <w:rPr>
                <w:rFonts w:ascii="DIN OT Medium" w:hAnsi="DIN OT Medium"/>
                <w:sz w:val="20"/>
                <w:szCs w:val="20"/>
              </w:rPr>
            </w:pPr>
            <w:r w:rsidRPr="00981561">
              <w:rPr>
                <w:rFonts w:ascii="DIN OT Medium" w:hAnsi="DIN OT Medium"/>
                <w:sz w:val="20"/>
                <w:szCs w:val="20"/>
              </w:rPr>
              <w:t>&gt; 100</w:t>
            </w:r>
          </w:p>
        </w:tc>
      </w:tr>
      <w:tr w:rsidR="00A9644A" w14:paraId="1A890784" w14:textId="77777777" w:rsidTr="00730B1A">
        <w:tc>
          <w:tcPr>
            <w:tcW w:w="1553" w:type="dxa"/>
            <w:vMerge w:val="restart"/>
            <w:shd w:val="clear" w:color="auto" w:fill="002060"/>
            <w:vAlign w:val="center"/>
          </w:tcPr>
          <w:p w14:paraId="4756205C" w14:textId="42649139" w:rsidR="00A9644A" w:rsidRPr="00981561" w:rsidRDefault="00E64AB3" w:rsidP="00C02648">
            <w:pPr>
              <w:pStyle w:val="APRANORMAL"/>
              <w:keepNext/>
              <w:keepLines/>
              <w:spacing w:before="120" w:after="120"/>
              <w:rPr>
                <w:rFonts w:ascii="DIN OT Medium" w:hAnsi="DIN OT Medium"/>
                <w:sz w:val="20"/>
              </w:rPr>
            </w:pPr>
            <w:r>
              <w:rPr>
                <w:rFonts w:ascii="DIN OT Medium" w:hAnsi="DIN OT Medium"/>
                <w:sz w:val="20"/>
              </w:rPr>
              <w:t>Meet</w:t>
            </w:r>
            <w:r w:rsidR="001E68E5">
              <w:rPr>
                <w:rFonts w:ascii="DIN OT Medium" w:hAnsi="DIN OT Medium"/>
                <w:sz w:val="20"/>
              </w:rPr>
              <w:t>s</w:t>
            </w:r>
            <w:r>
              <w:rPr>
                <w:rFonts w:ascii="DIN OT Medium" w:hAnsi="DIN OT Medium"/>
                <w:sz w:val="20"/>
              </w:rPr>
              <w:t xml:space="preserve"> operational requirements</w:t>
            </w:r>
          </w:p>
        </w:tc>
        <w:tc>
          <w:tcPr>
            <w:tcW w:w="2551" w:type="dxa"/>
            <w:shd w:val="clear" w:color="auto" w:fill="D9D9D9" w:themeFill="background1" w:themeFillShade="D9"/>
            <w:vAlign w:val="center"/>
          </w:tcPr>
          <w:p w14:paraId="4E243506" w14:textId="77777777" w:rsidR="00A9644A" w:rsidRPr="00FB2BD7" w:rsidRDefault="00A9644A" w:rsidP="00730B1A">
            <w:pPr>
              <w:pStyle w:val="APRANORMAL"/>
              <w:keepNext/>
              <w:keepLines/>
              <w:spacing w:before="120" w:after="120"/>
              <w:rPr>
                <w:rFonts w:ascii="DIN OT Medium" w:hAnsi="DIN OT Medium"/>
                <w:sz w:val="20"/>
                <w:szCs w:val="20"/>
              </w:rPr>
            </w:pPr>
            <w:r>
              <w:rPr>
                <w:rFonts w:ascii="DIN OT Medium" w:hAnsi="DIN OT Medium"/>
                <w:sz w:val="20"/>
                <w:szCs w:val="20"/>
              </w:rPr>
              <w:t>Repayment is not materially dependent on cash flows from property</w:t>
            </w:r>
          </w:p>
        </w:tc>
        <w:tc>
          <w:tcPr>
            <w:tcW w:w="819" w:type="dxa"/>
            <w:shd w:val="clear" w:color="auto" w:fill="D9D9D9" w:themeFill="background1" w:themeFillShade="D9"/>
            <w:vAlign w:val="center"/>
          </w:tcPr>
          <w:p w14:paraId="5E130B95" w14:textId="77777777" w:rsidR="00A9644A" w:rsidRPr="00FB2BD7" w:rsidRDefault="00A9644A" w:rsidP="00C02648">
            <w:pPr>
              <w:pStyle w:val="APRANORMAL"/>
              <w:keepNext/>
              <w:keepLines/>
              <w:spacing w:before="120" w:after="120"/>
              <w:jc w:val="center"/>
              <w:rPr>
                <w:sz w:val="20"/>
                <w:szCs w:val="20"/>
              </w:rPr>
            </w:pPr>
            <w:r>
              <w:rPr>
                <w:sz w:val="20"/>
                <w:szCs w:val="20"/>
              </w:rPr>
              <w:t>20</w:t>
            </w:r>
          </w:p>
        </w:tc>
        <w:tc>
          <w:tcPr>
            <w:tcW w:w="819" w:type="dxa"/>
            <w:shd w:val="clear" w:color="auto" w:fill="D9D9D9" w:themeFill="background1" w:themeFillShade="D9"/>
            <w:vAlign w:val="center"/>
          </w:tcPr>
          <w:p w14:paraId="1BB03C41" w14:textId="77777777" w:rsidR="00A9644A" w:rsidRPr="00FB2BD7" w:rsidRDefault="00A9644A" w:rsidP="00C02648">
            <w:pPr>
              <w:pStyle w:val="APRANORMAL"/>
              <w:keepNext/>
              <w:keepLines/>
              <w:spacing w:before="120" w:after="120"/>
              <w:jc w:val="center"/>
              <w:rPr>
                <w:sz w:val="20"/>
                <w:szCs w:val="20"/>
              </w:rPr>
            </w:pPr>
            <w:r>
              <w:rPr>
                <w:sz w:val="20"/>
                <w:szCs w:val="20"/>
              </w:rPr>
              <w:t>25</w:t>
            </w:r>
          </w:p>
        </w:tc>
        <w:tc>
          <w:tcPr>
            <w:tcW w:w="819" w:type="dxa"/>
            <w:shd w:val="clear" w:color="auto" w:fill="D9D9D9" w:themeFill="background1" w:themeFillShade="D9"/>
            <w:vAlign w:val="center"/>
          </w:tcPr>
          <w:p w14:paraId="53045D62" w14:textId="77777777" w:rsidR="00A9644A" w:rsidRPr="00FB2BD7" w:rsidRDefault="00A9644A" w:rsidP="00C02648">
            <w:pPr>
              <w:pStyle w:val="APRANORMAL"/>
              <w:keepNext/>
              <w:keepLines/>
              <w:spacing w:before="120" w:after="120"/>
              <w:jc w:val="center"/>
              <w:rPr>
                <w:sz w:val="20"/>
                <w:szCs w:val="20"/>
              </w:rPr>
            </w:pPr>
            <w:r>
              <w:rPr>
                <w:sz w:val="20"/>
                <w:szCs w:val="20"/>
              </w:rPr>
              <w:t>30</w:t>
            </w:r>
          </w:p>
        </w:tc>
        <w:tc>
          <w:tcPr>
            <w:tcW w:w="819" w:type="dxa"/>
            <w:shd w:val="clear" w:color="auto" w:fill="D9D9D9" w:themeFill="background1" w:themeFillShade="D9"/>
            <w:vAlign w:val="center"/>
          </w:tcPr>
          <w:p w14:paraId="697F5549" w14:textId="77777777" w:rsidR="00A9644A" w:rsidRPr="00FB2BD7" w:rsidRDefault="00A9644A" w:rsidP="00C02648">
            <w:pPr>
              <w:pStyle w:val="APRANORMAL"/>
              <w:keepNext/>
              <w:keepLines/>
              <w:spacing w:before="120" w:after="120"/>
              <w:jc w:val="center"/>
              <w:rPr>
                <w:sz w:val="20"/>
                <w:szCs w:val="20"/>
              </w:rPr>
            </w:pPr>
            <w:r>
              <w:rPr>
                <w:sz w:val="20"/>
                <w:szCs w:val="20"/>
              </w:rPr>
              <w:t>40</w:t>
            </w:r>
          </w:p>
        </w:tc>
        <w:tc>
          <w:tcPr>
            <w:tcW w:w="819" w:type="dxa"/>
            <w:shd w:val="clear" w:color="auto" w:fill="D9D9D9" w:themeFill="background1" w:themeFillShade="D9"/>
            <w:vAlign w:val="center"/>
          </w:tcPr>
          <w:p w14:paraId="54F7C5CF" w14:textId="77777777" w:rsidR="00A9644A" w:rsidRPr="00FB2BD7" w:rsidRDefault="00A9644A" w:rsidP="00C02648">
            <w:pPr>
              <w:pStyle w:val="APRANORMAL"/>
              <w:keepNext/>
              <w:keepLines/>
              <w:spacing w:before="120" w:after="120"/>
              <w:jc w:val="center"/>
              <w:rPr>
                <w:sz w:val="20"/>
                <w:szCs w:val="20"/>
              </w:rPr>
            </w:pPr>
            <w:r>
              <w:rPr>
                <w:sz w:val="20"/>
                <w:szCs w:val="20"/>
              </w:rPr>
              <w:t>50</w:t>
            </w:r>
          </w:p>
        </w:tc>
        <w:tc>
          <w:tcPr>
            <w:tcW w:w="817" w:type="dxa"/>
            <w:shd w:val="clear" w:color="auto" w:fill="D9D9D9" w:themeFill="background1" w:themeFillShade="D9"/>
            <w:vAlign w:val="center"/>
          </w:tcPr>
          <w:p w14:paraId="406C6C71" w14:textId="77777777" w:rsidR="00A9644A" w:rsidRPr="00FB2BD7" w:rsidRDefault="00A9644A" w:rsidP="00C02648">
            <w:pPr>
              <w:pStyle w:val="APRANORMAL"/>
              <w:keepNext/>
              <w:keepLines/>
              <w:spacing w:before="120" w:after="120"/>
              <w:jc w:val="center"/>
              <w:rPr>
                <w:sz w:val="20"/>
                <w:szCs w:val="20"/>
              </w:rPr>
            </w:pPr>
            <w:r>
              <w:rPr>
                <w:sz w:val="20"/>
                <w:szCs w:val="20"/>
              </w:rPr>
              <w:t>70</w:t>
            </w:r>
          </w:p>
        </w:tc>
      </w:tr>
      <w:tr w:rsidR="00A9644A" w14:paraId="7CA852EC" w14:textId="77777777" w:rsidTr="00730B1A">
        <w:tc>
          <w:tcPr>
            <w:tcW w:w="1553" w:type="dxa"/>
            <w:vMerge/>
            <w:shd w:val="clear" w:color="auto" w:fill="002060"/>
          </w:tcPr>
          <w:p w14:paraId="15F20BFA" w14:textId="77777777" w:rsidR="00A9644A" w:rsidRPr="00981561" w:rsidRDefault="00A9644A" w:rsidP="00C02648">
            <w:pPr>
              <w:pStyle w:val="APRANORMAL"/>
              <w:keepNext/>
              <w:keepLines/>
              <w:spacing w:before="120" w:after="120"/>
              <w:rPr>
                <w:sz w:val="20"/>
              </w:rPr>
            </w:pPr>
          </w:p>
        </w:tc>
        <w:tc>
          <w:tcPr>
            <w:tcW w:w="2551" w:type="dxa"/>
            <w:shd w:val="clear" w:color="auto" w:fill="F2F2F2" w:themeFill="background1" w:themeFillShade="F2"/>
            <w:vAlign w:val="center"/>
          </w:tcPr>
          <w:p w14:paraId="01C23211" w14:textId="77777777" w:rsidR="00A9644A" w:rsidRPr="00FB2BD7" w:rsidRDefault="00A9644A" w:rsidP="00730B1A">
            <w:pPr>
              <w:pStyle w:val="APRANORMAL"/>
              <w:keepNext/>
              <w:keepLines/>
              <w:spacing w:before="120" w:after="120"/>
              <w:rPr>
                <w:rFonts w:ascii="DIN OT Medium" w:hAnsi="DIN OT Medium"/>
                <w:sz w:val="20"/>
                <w:szCs w:val="20"/>
              </w:rPr>
            </w:pPr>
            <w:r>
              <w:rPr>
                <w:rFonts w:ascii="DIN OT Medium" w:hAnsi="DIN OT Medium"/>
                <w:sz w:val="20"/>
                <w:szCs w:val="20"/>
              </w:rPr>
              <w:t>Repayment is materially dependent on cash flows from property</w:t>
            </w:r>
          </w:p>
        </w:tc>
        <w:tc>
          <w:tcPr>
            <w:tcW w:w="819" w:type="dxa"/>
            <w:shd w:val="clear" w:color="auto" w:fill="F2F2F2" w:themeFill="background1" w:themeFillShade="F2"/>
            <w:vAlign w:val="center"/>
          </w:tcPr>
          <w:p w14:paraId="12076B27" w14:textId="77777777" w:rsidR="00A9644A" w:rsidRPr="00FB2BD7" w:rsidRDefault="00A9644A" w:rsidP="00C02648">
            <w:pPr>
              <w:pStyle w:val="APRANORMAL"/>
              <w:keepNext/>
              <w:keepLines/>
              <w:spacing w:before="120" w:after="120"/>
              <w:jc w:val="center"/>
              <w:rPr>
                <w:sz w:val="20"/>
                <w:szCs w:val="20"/>
              </w:rPr>
            </w:pPr>
            <w:r w:rsidRPr="00FB2BD7">
              <w:rPr>
                <w:sz w:val="20"/>
                <w:szCs w:val="20"/>
              </w:rPr>
              <w:t>30</w:t>
            </w:r>
          </w:p>
        </w:tc>
        <w:tc>
          <w:tcPr>
            <w:tcW w:w="819" w:type="dxa"/>
            <w:shd w:val="clear" w:color="auto" w:fill="F2F2F2" w:themeFill="background1" w:themeFillShade="F2"/>
            <w:vAlign w:val="center"/>
          </w:tcPr>
          <w:p w14:paraId="41A67AC1" w14:textId="77777777" w:rsidR="00A9644A" w:rsidRPr="00FB2BD7" w:rsidRDefault="00A9644A" w:rsidP="00C02648">
            <w:pPr>
              <w:pStyle w:val="APRANORMAL"/>
              <w:keepNext/>
              <w:keepLines/>
              <w:spacing w:before="120" w:after="120"/>
              <w:jc w:val="center"/>
              <w:rPr>
                <w:sz w:val="20"/>
                <w:szCs w:val="20"/>
              </w:rPr>
            </w:pPr>
            <w:r w:rsidRPr="00FB2BD7">
              <w:rPr>
                <w:sz w:val="20"/>
                <w:szCs w:val="20"/>
              </w:rPr>
              <w:t>35</w:t>
            </w:r>
          </w:p>
        </w:tc>
        <w:tc>
          <w:tcPr>
            <w:tcW w:w="819" w:type="dxa"/>
            <w:shd w:val="clear" w:color="auto" w:fill="F2F2F2" w:themeFill="background1" w:themeFillShade="F2"/>
            <w:vAlign w:val="center"/>
          </w:tcPr>
          <w:p w14:paraId="2AC028D0" w14:textId="77777777" w:rsidR="00A9644A" w:rsidRPr="00FB2BD7" w:rsidRDefault="00A9644A" w:rsidP="00C02648">
            <w:pPr>
              <w:pStyle w:val="APRANORMAL"/>
              <w:keepNext/>
              <w:keepLines/>
              <w:spacing w:before="120" w:after="120"/>
              <w:jc w:val="center"/>
              <w:rPr>
                <w:sz w:val="20"/>
                <w:szCs w:val="20"/>
              </w:rPr>
            </w:pPr>
            <w:r w:rsidRPr="00FB2BD7">
              <w:rPr>
                <w:sz w:val="20"/>
                <w:szCs w:val="20"/>
              </w:rPr>
              <w:t>45</w:t>
            </w:r>
          </w:p>
        </w:tc>
        <w:tc>
          <w:tcPr>
            <w:tcW w:w="819" w:type="dxa"/>
            <w:shd w:val="clear" w:color="auto" w:fill="F2F2F2" w:themeFill="background1" w:themeFillShade="F2"/>
            <w:vAlign w:val="center"/>
          </w:tcPr>
          <w:p w14:paraId="28EA8037" w14:textId="77777777" w:rsidR="00A9644A" w:rsidRPr="00FB2BD7" w:rsidRDefault="00A9644A" w:rsidP="00C02648">
            <w:pPr>
              <w:pStyle w:val="APRANORMAL"/>
              <w:keepNext/>
              <w:keepLines/>
              <w:spacing w:before="120" w:after="120"/>
              <w:jc w:val="center"/>
              <w:rPr>
                <w:sz w:val="20"/>
                <w:szCs w:val="20"/>
              </w:rPr>
            </w:pPr>
            <w:r w:rsidRPr="00FB2BD7">
              <w:rPr>
                <w:sz w:val="20"/>
                <w:szCs w:val="20"/>
              </w:rPr>
              <w:t>60</w:t>
            </w:r>
          </w:p>
        </w:tc>
        <w:tc>
          <w:tcPr>
            <w:tcW w:w="819" w:type="dxa"/>
            <w:shd w:val="clear" w:color="auto" w:fill="F2F2F2" w:themeFill="background1" w:themeFillShade="F2"/>
            <w:vAlign w:val="center"/>
          </w:tcPr>
          <w:p w14:paraId="474590DA" w14:textId="77777777" w:rsidR="00A9644A" w:rsidRPr="00FB2BD7" w:rsidRDefault="00A9644A" w:rsidP="00C02648">
            <w:pPr>
              <w:pStyle w:val="APRANORMAL"/>
              <w:keepNext/>
              <w:keepLines/>
              <w:spacing w:before="120" w:after="120"/>
              <w:jc w:val="center"/>
              <w:rPr>
                <w:sz w:val="20"/>
                <w:szCs w:val="20"/>
              </w:rPr>
            </w:pPr>
            <w:r w:rsidRPr="00FB2BD7">
              <w:rPr>
                <w:sz w:val="20"/>
                <w:szCs w:val="20"/>
              </w:rPr>
              <w:t>75</w:t>
            </w:r>
          </w:p>
        </w:tc>
        <w:tc>
          <w:tcPr>
            <w:tcW w:w="817" w:type="dxa"/>
            <w:shd w:val="clear" w:color="auto" w:fill="F2F2F2" w:themeFill="background1" w:themeFillShade="F2"/>
            <w:vAlign w:val="center"/>
          </w:tcPr>
          <w:p w14:paraId="52D2D0FD" w14:textId="77777777" w:rsidR="00A9644A" w:rsidRPr="00FB2BD7" w:rsidRDefault="00A9644A" w:rsidP="00C02648">
            <w:pPr>
              <w:pStyle w:val="APRANORMAL"/>
              <w:keepNext/>
              <w:keepLines/>
              <w:spacing w:before="120" w:after="120"/>
              <w:jc w:val="center"/>
              <w:rPr>
                <w:sz w:val="20"/>
                <w:szCs w:val="20"/>
              </w:rPr>
            </w:pPr>
            <w:r w:rsidRPr="00FB2BD7">
              <w:rPr>
                <w:sz w:val="20"/>
                <w:szCs w:val="20"/>
              </w:rPr>
              <w:t>10</w:t>
            </w:r>
            <w:r>
              <w:rPr>
                <w:sz w:val="20"/>
                <w:szCs w:val="20"/>
              </w:rPr>
              <w:t>5</w:t>
            </w:r>
          </w:p>
        </w:tc>
      </w:tr>
      <w:tr w:rsidR="00166636" w14:paraId="1CD0176F" w14:textId="77777777" w:rsidTr="00730B1A">
        <w:tc>
          <w:tcPr>
            <w:tcW w:w="1553" w:type="dxa"/>
            <w:vMerge w:val="restart"/>
            <w:shd w:val="clear" w:color="auto" w:fill="002060"/>
            <w:vAlign w:val="center"/>
          </w:tcPr>
          <w:p w14:paraId="60821FD8" w14:textId="7110A372" w:rsidR="00166636" w:rsidRPr="00981561" w:rsidRDefault="001E68E5" w:rsidP="00C02648">
            <w:pPr>
              <w:pStyle w:val="APRANORMAL"/>
              <w:keepNext/>
              <w:keepLines/>
              <w:spacing w:before="120" w:after="120"/>
              <w:rPr>
                <w:rFonts w:ascii="DIN OT Medium" w:hAnsi="DIN OT Medium"/>
                <w:sz w:val="20"/>
              </w:rPr>
            </w:pPr>
            <w:r>
              <w:rPr>
                <w:rFonts w:ascii="DIN OT Medium" w:hAnsi="DIN OT Medium"/>
                <w:sz w:val="20"/>
              </w:rPr>
              <w:t>Does n</w:t>
            </w:r>
            <w:r w:rsidR="00E64AB3">
              <w:rPr>
                <w:rFonts w:ascii="DIN OT Medium" w:hAnsi="DIN OT Medium"/>
                <w:sz w:val="20"/>
              </w:rPr>
              <w:t>ot meet operational requirements</w:t>
            </w:r>
          </w:p>
        </w:tc>
        <w:tc>
          <w:tcPr>
            <w:tcW w:w="2551" w:type="dxa"/>
            <w:shd w:val="clear" w:color="auto" w:fill="D9D9D9" w:themeFill="background1" w:themeFillShade="D9"/>
            <w:vAlign w:val="center"/>
          </w:tcPr>
          <w:p w14:paraId="7B0C81E6" w14:textId="46E1901A" w:rsidR="00166636" w:rsidRDefault="00166636" w:rsidP="00730B1A">
            <w:pPr>
              <w:pStyle w:val="APRANORMAL"/>
              <w:keepNext/>
              <w:keepLines/>
              <w:spacing w:before="120" w:after="120"/>
            </w:pPr>
            <w:r>
              <w:rPr>
                <w:rFonts w:ascii="DIN OT Medium" w:hAnsi="DIN OT Medium"/>
                <w:sz w:val="20"/>
                <w:szCs w:val="20"/>
              </w:rPr>
              <w:t>Repayment is not materially dependent on cash flows from property</w:t>
            </w:r>
          </w:p>
        </w:tc>
        <w:tc>
          <w:tcPr>
            <w:tcW w:w="4912" w:type="dxa"/>
            <w:gridSpan w:val="6"/>
            <w:shd w:val="clear" w:color="auto" w:fill="D9D9D9" w:themeFill="background1" w:themeFillShade="D9"/>
            <w:vAlign w:val="center"/>
          </w:tcPr>
          <w:p w14:paraId="29E04BFE" w14:textId="39985DC4" w:rsidR="00166636" w:rsidRPr="00EF3DED" w:rsidRDefault="00166636" w:rsidP="00C02648">
            <w:pPr>
              <w:pStyle w:val="APRANORMAL"/>
              <w:keepNext/>
              <w:keepLines/>
              <w:spacing w:before="120" w:after="120"/>
              <w:jc w:val="center"/>
              <w:rPr>
                <w:sz w:val="20"/>
                <w:szCs w:val="20"/>
              </w:rPr>
            </w:pPr>
            <w:r>
              <w:rPr>
                <w:sz w:val="20"/>
                <w:szCs w:val="20"/>
              </w:rPr>
              <w:t>R</w:t>
            </w:r>
            <w:r w:rsidR="001E68E5">
              <w:rPr>
                <w:sz w:val="20"/>
                <w:szCs w:val="20"/>
              </w:rPr>
              <w:t>W</w:t>
            </w:r>
            <w:r>
              <w:rPr>
                <w:sz w:val="20"/>
                <w:szCs w:val="20"/>
              </w:rPr>
              <w:t xml:space="preserve"> of unsecured exposure to counterparty</w:t>
            </w:r>
            <w:r w:rsidR="001E68E5">
              <w:rPr>
                <w:sz w:val="20"/>
                <w:szCs w:val="20"/>
              </w:rPr>
              <w:t xml:space="preserve"> (e.g. 75 for a retail borrower</w:t>
            </w:r>
            <w:r w:rsidR="00332AC1">
              <w:rPr>
                <w:sz w:val="20"/>
                <w:szCs w:val="20"/>
              </w:rPr>
              <w:t xml:space="preserve"> or 85 for SME</w:t>
            </w:r>
            <w:r w:rsidR="001E68E5">
              <w:rPr>
                <w:sz w:val="20"/>
                <w:szCs w:val="20"/>
              </w:rPr>
              <w:t>)</w:t>
            </w:r>
          </w:p>
        </w:tc>
      </w:tr>
      <w:tr w:rsidR="00166636" w14:paraId="0BE5D9BE" w14:textId="77777777" w:rsidTr="00730B1A">
        <w:tc>
          <w:tcPr>
            <w:tcW w:w="1553" w:type="dxa"/>
            <w:vMerge/>
            <w:shd w:val="clear" w:color="auto" w:fill="002060"/>
            <w:vAlign w:val="center"/>
          </w:tcPr>
          <w:p w14:paraId="280B4247" w14:textId="5BCEFF43" w:rsidR="00166636" w:rsidRPr="00981561" w:rsidRDefault="00166636" w:rsidP="00C02648">
            <w:pPr>
              <w:pStyle w:val="APRANORMAL"/>
              <w:keepNext/>
              <w:keepLines/>
              <w:spacing w:before="120" w:after="120"/>
              <w:rPr>
                <w:rFonts w:ascii="DIN OT Medium" w:hAnsi="DIN OT Medium"/>
                <w:sz w:val="20"/>
              </w:rPr>
            </w:pPr>
          </w:p>
        </w:tc>
        <w:tc>
          <w:tcPr>
            <w:tcW w:w="2551" w:type="dxa"/>
            <w:shd w:val="clear" w:color="auto" w:fill="F2F2F2" w:themeFill="background1" w:themeFillShade="F2"/>
            <w:vAlign w:val="center"/>
          </w:tcPr>
          <w:p w14:paraId="52FA730F" w14:textId="5662186D" w:rsidR="00166636" w:rsidRDefault="00166636" w:rsidP="00730B1A">
            <w:pPr>
              <w:pStyle w:val="APRANORMAL"/>
              <w:keepNext/>
              <w:keepLines/>
              <w:spacing w:before="120" w:after="120"/>
            </w:pPr>
            <w:r>
              <w:rPr>
                <w:rFonts w:ascii="DIN OT Medium" w:hAnsi="DIN OT Medium"/>
                <w:sz w:val="20"/>
                <w:szCs w:val="20"/>
              </w:rPr>
              <w:t>Repayment is materially dependent on cash flows from property</w:t>
            </w:r>
          </w:p>
        </w:tc>
        <w:tc>
          <w:tcPr>
            <w:tcW w:w="4912" w:type="dxa"/>
            <w:gridSpan w:val="6"/>
            <w:shd w:val="clear" w:color="auto" w:fill="F2F2F2" w:themeFill="background1" w:themeFillShade="F2"/>
            <w:vAlign w:val="center"/>
          </w:tcPr>
          <w:p w14:paraId="6D1CFB69" w14:textId="530D06A8" w:rsidR="00166636" w:rsidRDefault="00166636" w:rsidP="00C02648">
            <w:pPr>
              <w:pStyle w:val="APRANORMAL"/>
              <w:keepNext/>
              <w:keepLines/>
              <w:spacing w:before="120" w:after="120"/>
              <w:jc w:val="center"/>
              <w:rPr>
                <w:sz w:val="20"/>
                <w:szCs w:val="20"/>
              </w:rPr>
            </w:pPr>
            <w:r>
              <w:rPr>
                <w:sz w:val="20"/>
                <w:szCs w:val="20"/>
              </w:rPr>
              <w:t>150</w:t>
            </w:r>
          </w:p>
        </w:tc>
      </w:tr>
    </w:tbl>
    <w:p w14:paraId="37F97478" w14:textId="77777777" w:rsidR="00730B1A" w:rsidRDefault="00730B1A" w:rsidP="00730B1A">
      <w:pPr>
        <w:pStyle w:val="APRANORMAL"/>
      </w:pPr>
      <w:bookmarkStart w:id="120" w:name="_Toc505676412"/>
      <w:bookmarkStart w:id="121" w:name="_Toc505676504"/>
      <w:bookmarkStart w:id="122" w:name="_Toc505681576"/>
      <w:bookmarkStart w:id="123" w:name="_Toc505681758"/>
      <w:bookmarkStart w:id="124" w:name="_Toc492996519"/>
      <w:bookmarkStart w:id="125" w:name="_Toc493154151"/>
      <w:bookmarkStart w:id="126" w:name="_Toc493154597"/>
      <w:bookmarkStart w:id="127" w:name="_Toc493240101"/>
      <w:bookmarkStart w:id="128" w:name="_Toc493240607"/>
      <w:bookmarkStart w:id="129" w:name="_Toc494189572"/>
      <w:bookmarkStart w:id="130" w:name="_Toc496184500"/>
      <w:bookmarkStart w:id="131" w:name="_Toc497209096"/>
      <w:bookmarkEnd w:id="101"/>
      <w:bookmarkEnd w:id="102"/>
      <w:bookmarkEnd w:id="103"/>
      <w:bookmarkEnd w:id="104"/>
      <w:bookmarkEnd w:id="105"/>
      <w:bookmarkEnd w:id="106"/>
      <w:bookmarkEnd w:id="107"/>
      <w:bookmarkEnd w:id="108"/>
    </w:p>
    <w:p w14:paraId="0BFD8338" w14:textId="1007D281" w:rsidR="001852E0" w:rsidRDefault="00003279" w:rsidP="003B7654">
      <w:pPr>
        <w:pStyle w:val="APRAHEADING2"/>
      </w:pPr>
      <w:bookmarkStart w:id="132" w:name="_Toc505854702"/>
      <w:bookmarkStart w:id="133" w:name="_Toc506285802"/>
      <w:r>
        <w:t>APRA</w:t>
      </w:r>
      <w:r w:rsidR="00B63234">
        <w:t>’s propos</w:t>
      </w:r>
      <w:r w:rsidR="002C710A">
        <w:t>als</w:t>
      </w:r>
      <w:bookmarkEnd w:id="120"/>
      <w:bookmarkEnd w:id="121"/>
      <w:bookmarkEnd w:id="122"/>
      <w:bookmarkEnd w:id="123"/>
      <w:bookmarkEnd w:id="132"/>
      <w:bookmarkEnd w:id="133"/>
      <w:r>
        <w:t xml:space="preserve"> </w:t>
      </w:r>
    </w:p>
    <w:p w14:paraId="6446AEA5" w14:textId="4BA0AB75" w:rsidR="00B6371F" w:rsidRPr="00BB7F20" w:rsidRDefault="00276E73" w:rsidP="00441787">
      <w:pPr>
        <w:pStyle w:val="APRAHEADING3"/>
      </w:pPr>
      <w:bookmarkStart w:id="134" w:name="_Ref504032015"/>
      <w:r>
        <w:t>S</w:t>
      </w:r>
      <w:r w:rsidR="00432B02">
        <w:t>tandardised</w:t>
      </w:r>
      <w:r w:rsidR="00101B8E">
        <w:t xml:space="preserve"> approach</w:t>
      </w:r>
      <w:bookmarkEnd w:id="124"/>
      <w:bookmarkEnd w:id="125"/>
      <w:bookmarkEnd w:id="126"/>
      <w:bookmarkEnd w:id="127"/>
      <w:bookmarkEnd w:id="128"/>
      <w:bookmarkEnd w:id="129"/>
      <w:bookmarkEnd w:id="130"/>
      <w:bookmarkEnd w:id="131"/>
      <w:bookmarkEnd w:id="134"/>
    </w:p>
    <w:p w14:paraId="7B8E106A" w14:textId="76394475" w:rsidR="00AE7CC8" w:rsidRDefault="00AE7CC8" w:rsidP="00317BC1">
      <w:pPr>
        <w:pStyle w:val="APRAHEADING4"/>
      </w:pPr>
      <w:r>
        <w:t>Operational requirements</w:t>
      </w:r>
      <w:r w:rsidR="001A2050">
        <w:t xml:space="preserve"> for standard mortgages</w:t>
      </w:r>
    </w:p>
    <w:p w14:paraId="05F72775" w14:textId="20C7F805" w:rsidR="00DF59BA" w:rsidRDefault="00AE7CC8" w:rsidP="00105D67">
      <w:pPr>
        <w:pStyle w:val="APRANORMAL"/>
      </w:pPr>
      <w:r>
        <w:t>AP</w:t>
      </w:r>
      <w:r w:rsidR="002A259F">
        <w:t xml:space="preserve">S 112 </w:t>
      </w:r>
      <w:r w:rsidR="00CB3ED6">
        <w:t>defines ‘</w:t>
      </w:r>
      <w:r w:rsidR="002A259F">
        <w:t>standard eligible residential mortgage</w:t>
      </w:r>
      <w:r w:rsidR="00CB3ED6">
        <w:t>’</w:t>
      </w:r>
      <w:r w:rsidR="002A259F">
        <w:t xml:space="preserve"> exposures</w:t>
      </w:r>
      <w:r w:rsidR="00CB3ED6">
        <w:t xml:space="preserve"> as those that</w:t>
      </w:r>
      <w:r w:rsidR="002A259F">
        <w:t xml:space="preserve"> meet </w:t>
      </w:r>
      <w:r w:rsidR="00803B8B">
        <w:t xml:space="preserve">serviceability, marketability and valuation </w:t>
      </w:r>
      <w:r w:rsidR="008914A5">
        <w:t>criteria</w:t>
      </w:r>
      <w:r w:rsidR="00CB3ED6">
        <w:t>, which</w:t>
      </w:r>
      <w:r>
        <w:t xml:space="preserve"> </w:t>
      </w:r>
      <w:r w:rsidR="002A259F">
        <w:t>largely align</w:t>
      </w:r>
      <w:r w:rsidR="00803B8B">
        <w:t xml:space="preserve"> </w:t>
      </w:r>
      <w:r w:rsidR="002A259F">
        <w:t>with</w:t>
      </w:r>
      <w:r w:rsidR="00803B8B">
        <w:t xml:space="preserve"> the Basel III operational requirements</w:t>
      </w:r>
      <w:r w:rsidR="002A259F">
        <w:t xml:space="preserve"> outlined</w:t>
      </w:r>
      <w:r w:rsidR="00D66A84">
        <w:t xml:space="preserve"> in </w:t>
      </w:r>
      <w:r w:rsidR="00D66A84">
        <w:fldChar w:fldCharType="begin"/>
      </w:r>
      <w:r w:rsidR="00D66A84">
        <w:instrText xml:space="preserve"> REF _Ref504030052 \r \h </w:instrText>
      </w:r>
      <w:r w:rsidR="00D66A84">
        <w:fldChar w:fldCharType="separate"/>
      </w:r>
      <w:r w:rsidR="00EB1F7A">
        <w:t>Table 1</w:t>
      </w:r>
      <w:r w:rsidR="00D66A84">
        <w:fldChar w:fldCharType="end"/>
      </w:r>
      <w:r w:rsidR="00803B8B">
        <w:t xml:space="preserve">. </w:t>
      </w:r>
    </w:p>
    <w:p w14:paraId="03134197" w14:textId="5F9FE15E" w:rsidR="00510BBD" w:rsidRDefault="002A259F" w:rsidP="00DF7085">
      <w:pPr>
        <w:pStyle w:val="APRANORMAL"/>
      </w:pPr>
      <w:r>
        <w:t xml:space="preserve">APRA proposes to update </w:t>
      </w:r>
      <w:r w:rsidR="008914A5">
        <w:t>its criteria for standard residential mortgages</w:t>
      </w:r>
      <w:r>
        <w:t xml:space="preserve"> w</w:t>
      </w:r>
      <w:r w:rsidR="00E24D6E">
        <w:t>h</w:t>
      </w:r>
      <w:r>
        <w:t>ere necessary to incorporate the Basel III reforms</w:t>
      </w:r>
      <w:r w:rsidR="008914A5">
        <w:t xml:space="preserve">, subject to any adjustments </w:t>
      </w:r>
      <w:r w:rsidR="004D6460">
        <w:t>appropriate for</w:t>
      </w:r>
      <w:r w:rsidR="008914A5">
        <w:t xml:space="preserve"> Australian circumstances</w:t>
      </w:r>
      <w:r>
        <w:t>.</w:t>
      </w:r>
      <w:r w:rsidR="00803B8B">
        <w:t xml:space="preserve"> </w:t>
      </w:r>
      <w:r w:rsidR="00CA6F41" w:rsidDel="008914A5">
        <w:t xml:space="preserve">Risk weights for standard eligible mortgages </w:t>
      </w:r>
      <w:r w:rsidR="004B6F6E" w:rsidDel="008914A5">
        <w:t>would</w:t>
      </w:r>
      <w:r w:rsidR="00CA6F41" w:rsidDel="008914A5">
        <w:t xml:space="preserve"> continue to be based on the </w:t>
      </w:r>
      <w:r w:rsidR="00CA6F41" w:rsidRPr="0093352E" w:rsidDel="008914A5">
        <w:t xml:space="preserve">outstanding </w:t>
      </w:r>
      <w:r w:rsidR="00CA6F41" w:rsidRPr="00A86EB8" w:rsidDel="008914A5">
        <w:t>LVR</w:t>
      </w:r>
      <w:r w:rsidR="00CA6F41" w:rsidDel="008914A5">
        <w:t xml:space="preserve">, </w:t>
      </w:r>
      <w:r w:rsidR="001D2520" w:rsidDel="008914A5">
        <w:t>using the more granular</w:t>
      </w:r>
      <w:r w:rsidR="00CA6F41" w:rsidDel="008914A5">
        <w:t xml:space="preserve"> Basel III LVR categories.</w:t>
      </w:r>
      <w:r w:rsidR="00A90E43" w:rsidDel="008914A5">
        <w:t xml:space="preserve"> </w:t>
      </w:r>
      <w:r w:rsidR="00510BBD" w:rsidRPr="00102EC8">
        <w:t xml:space="preserve">APRA </w:t>
      </w:r>
      <w:r w:rsidR="00EF0D5B">
        <w:t>also</w:t>
      </w:r>
      <w:r w:rsidR="00510BBD" w:rsidRPr="00102EC8">
        <w:t xml:space="preserve"> </w:t>
      </w:r>
      <w:r w:rsidR="00510BBD">
        <w:t>propos</w:t>
      </w:r>
      <w:r w:rsidR="009D392B">
        <w:t>es</w:t>
      </w:r>
      <w:r w:rsidR="00510BBD" w:rsidRPr="00102EC8">
        <w:t xml:space="preserve"> </w:t>
      </w:r>
      <w:r w:rsidR="00510BBD">
        <w:t>embe</w:t>
      </w:r>
      <w:r w:rsidR="00F6216B">
        <w:t>d</w:t>
      </w:r>
      <w:r w:rsidR="00510BBD">
        <w:t>d</w:t>
      </w:r>
      <w:r w:rsidR="009D392B">
        <w:t>ing</w:t>
      </w:r>
      <w:r w:rsidR="00510BBD">
        <w:t xml:space="preserve"> its expectations for underwriting </w:t>
      </w:r>
      <w:r w:rsidR="00510BBD">
        <w:lastRenderedPageBreak/>
        <w:t>practices by incorporating</w:t>
      </w:r>
      <w:r w:rsidR="00510BBD" w:rsidRPr="00102EC8">
        <w:t xml:space="preserve"> </w:t>
      </w:r>
      <w:r w:rsidR="00510BBD">
        <w:t xml:space="preserve">into APS 112 </w:t>
      </w:r>
      <w:r w:rsidR="00510BBD" w:rsidRPr="00102EC8">
        <w:t xml:space="preserve">certain serviceability parameters </w:t>
      </w:r>
      <w:r w:rsidR="00510BBD">
        <w:t>from</w:t>
      </w:r>
      <w:r w:rsidR="00510BBD" w:rsidRPr="00102EC8">
        <w:t xml:space="preserve"> </w:t>
      </w:r>
      <w:r w:rsidR="00510BBD" w:rsidRPr="00102EC8">
        <w:rPr>
          <w:i/>
        </w:rPr>
        <w:t xml:space="preserve">Prudential Practice Guide APG Residential Mortgage Lending </w:t>
      </w:r>
      <w:r w:rsidR="00510BBD" w:rsidRPr="00102EC8">
        <w:t xml:space="preserve">(APG 223). In particular, </w:t>
      </w:r>
      <w:r w:rsidR="00510BBD">
        <w:t xml:space="preserve">APRA proposes that APS 112 would </w:t>
      </w:r>
      <w:r w:rsidR="00EF0D5B">
        <w:t xml:space="preserve">require ADIs to </w:t>
      </w:r>
      <w:r w:rsidR="00510BBD">
        <w:t xml:space="preserve">designate as non-standard eligible mortgages those </w:t>
      </w:r>
      <w:r w:rsidR="00C41AF2">
        <w:t>where the ADI</w:t>
      </w:r>
      <w:r w:rsidR="00510BBD">
        <w:t>:</w:t>
      </w:r>
    </w:p>
    <w:p w14:paraId="14C7EC9E" w14:textId="525FDADC" w:rsidR="00510BBD" w:rsidRDefault="00510BBD" w:rsidP="00510BBD">
      <w:pPr>
        <w:pStyle w:val="APRABULLET"/>
        <w:rPr>
          <w:rStyle w:val="CommentReference"/>
          <w:rFonts w:cs="DIN Offc"/>
          <w:bCs/>
          <w:sz w:val="22"/>
          <w:szCs w:val="22"/>
        </w:rPr>
      </w:pPr>
      <w:r>
        <w:t>d</w:t>
      </w:r>
      <w:r w:rsidR="00C41AF2">
        <w:t>id</w:t>
      </w:r>
      <w:r>
        <w:t xml:space="preserve"> not </w:t>
      </w:r>
      <w:r w:rsidRPr="00102EC8">
        <w:t xml:space="preserve">include an interest rate buffer of at least two percentage points and a minimum floor assessment interest rate of at least seven per cent </w:t>
      </w:r>
      <w:r>
        <w:t xml:space="preserve">in </w:t>
      </w:r>
      <w:r w:rsidR="00C41AF2">
        <w:t xml:space="preserve">the </w:t>
      </w:r>
      <w:r w:rsidRPr="00102EC8">
        <w:t xml:space="preserve">serviceability </w:t>
      </w:r>
      <w:r>
        <w:t>methodolog</w:t>
      </w:r>
      <w:r w:rsidR="00C41AF2">
        <w:t>y used to approve the loan</w:t>
      </w:r>
      <w:r>
        <w:t>;</w:t>
      </w:r>
    </w:p>
    <w:p w14:paraId="54CD1AB2" w14:textId="3A533C27" w:rsidR="00510BBD" w:rsidRDefault="00510BBD" w:rsidP="00510BBD">
      <w:pPr>
        <w:pStyle w:val="APRABULLET"/>
        <w:rPr>
          <w:rStyle w:val="CommentReference"/>
          <w:sz w:val="22"/>
          <w:szCs w:val="22"/>
        </w:rPr>
      </w:pPr>
      <w:r>
        <w:rPr>
          <w:rStyle w:val="CommentReference"/>
          <w:sz w:val="22"/>
          <w:szCs w:val="22"/>
        </w:rPr>
        <w:t>d</w:t>
      </w:r>
      <w:r w:rsidR="00C41AF2">
        <w:rPr>
          <w:rStyle w:val="CommentReference"/>
          <w:sz w:val="22"/>
          <w:szCs w:val="22"/>
        </w:rPr>
        <w:t>id</w:t>
      </w:r>
      <w:r>
        <w:rPr>
          <w:rStyle w:val="CommentReference"/>
          <w:sz w:val="22"/>
          <w:szCs w:val="22"/>
        </w:rPr>
        <w:t xml:space="preserve"> not verify that</w:t>
      </w:r>
      <w:r w:rsidRPr="00102EC8">
        <w:rPr>
          <w:rStyle w:val="CommentReference"/>
          <w:sz w:val="22"/>
          <w:szCs w:val="22"/>
        </w:rPr>
        <w:t xml:space="preserve"> </w:t>
      </w:r>
      <w:r>
        <w:rPr>
          <w:rStyle w:val="CommentReference"/>
          <w:sz w:val="22"/>
          <w:szCs w:val="22"/>
        </w:rPr>
        <w:t>a</w:t>
      </w:r>
      <w:r w:rsidRPr="00102EC8">
        <w:rPr>
          <w:rStyle w:val="CommentReference"/>
          <w:sz w:val="22"/>
          <w:szCs w:val="22"/>
        </w:rPr>
        <w:t xml:space="preserve"> borrower is able </w:t>
      </w:r>
      <w:r w:rsidR="00690B81">
        <w:rPr>
          <w:rStyle w:val="CommentReference"/>
          <w:sz w:val="22"/>
          <w:szCs w:val="22"/>
        </w:rPr>
        <w:t xml:space="preserve">to </w:t>
      </w:r>
      <w:r w:rsidRPr="00102EC8">
        <w:rPr>
          <w:rStyle w:val="CommentReference"/>
          <w:sz w:val="22"/>
          <w:szCs w:val="22"/>
        </w:rPr>
        <w:t>service the loan on an ongoing basis (</w:t>
      </w:r>
      <w:r>
        <w:rPr>
          <w:rStyle w:val="CommentReference"/>
          <w:sz w:val="22"/>
          <w:szCs w:val="22"/>
        </w:rPr>
        <w:t>i.e</w:t>
      </w:r>
      <w:r w:rsidR="00690B81">
        <w:rPr>
          <w:rStyle w:val="CommentReference"/>
          <w:sz w:val="22"/>
          <w:szCs w:val="22"/>
        </w:rPr>
        <w:t>.</w:t>
      </w:r>
      <w:r>
        <w:rPr>
          <w:rStyle w:val="CommentReference"/>
          <w:sz w:val="22"/>
          <w:szCs w:val="22"/>
        </w:rPr>
        <w:t xml:space="preserve"> </w:t>
      </w:r>
      <w:r w:rsidR="00C41AF2">
        <w:rPr>
          <w:rStyle w:val="CommentReference"/>
          <w:sz w:val="22"/>
          <w:szCs w:val="22"/>
        </w:rPr>
        <w:t>positive</w:t>
      </w:r>
      <w:r>
        <w:rPr>
          <w:rStyle w:val="CommentReference"/>
          <w:sz w:val="22"/>
          <w:szCs w:val="22"/>
        </w:rPr>
        <w:t xml:space="preserve"> </w:t>
      </w:r>
      <w:r w:rsidRPr="00102EC8">
        <w:rPr>
          <w:rStyle w:val="CommentReference"/>
          <w:sz w:val="22"/>
          <w:szCs w:val="22"/>
        </w:rPr>
        <w:t>net income surplus)</w:t>
      </w:r>
      <w:r>
        <w:rPr>
          <w:rStyle w:val="CommentReference"/>
          <w:sz w:val="22"/>
          <w:szCs w:val="22"/>
        </w:rPr>
        <w:t>; and</w:t>
      </w:r>
    </w:p>
    <w:p w14:paraId="5B8604CF" w14:textId="7F2AFC7D" w:rsidR="00510BBD" w:rsidRDefault="00510BBD" w:rsidP="00F6216B">
      <w:pPr>
        <w:pStyle w:val="APRABULLET"/>
        <w:spacing w:after="240"/>
      </w:pPr>
      <w:r w:rsidRPr="00BA736B">
        <w:rPr>
          <w:rStyle w:val="CommentReference"/>
          <w:sz w:val="22"/>
          <w:szCs w:val="22"/>
        </w:rPr>
        <w:t xml:space="preserve">approved </w:t>
      </w:r>
      <w:r w:rsidR="00C41AF2">
        <w:rPr>
          <w:rStyle w:val="CommentReference"/>
          <w:sz w:val="22"/>
          <w:szCs w:val="22"/>
        </w:rPr>
        <w:t xml:space="preserve">the loan </w:t>
      </w:r>
      <w:r w:rsidRPr="00BA736B">
        <w:rPr>
          <w:rStyle w:val="CommentReference"/>
          <w:sz w:val="22"/>
          <w:szCs w:val="22"/>
        </w:rPr>
        <w:t xml:space="preserve">outside the ADI’s loan serviceability </w:t>
      </w:r>
      <w:r w:rsidR="002A259F">
        <w:rPr>
          <w:rStyle w:val="CommentReference"/>
          <w:sz w:val="22"/>
          <w:szCs w:val="22"/>
        </w:rPr>
        <w:t>policy</w:t>
      </w:r>
      <w:r w:rsidRPr="00BA736B">
        <w:rPr>
          <w:rStyle w:val="CommentReference"/>
          <w:sz w:val="22"/>
          <w:szCs w:val="22"/>
        </w:rPr>
        <w:t>.</w:t>
      </w:r>
    </w:p>
    <w:p w14:paraId="3F736146" w14:textId="3E6732F2" w:rsidR="00510BBD" w:rsidRDefault="00510BBD" w:rsidP="00510BBD">
      <w:pPr>
        <w:pStyle w:val="APRANORMAL"/>
      </w:pPr>
      <w:r>
        <w:rPr>
          <w:rStyle w:val="CommentReference"/>
          <w:sz w:val="22"/>
          <w:szCs w:val="22"/>
        </w:rPr>
        <w:t>APRA is also considering excluding certain other categories of loans considered higher risk from the definition of standard eligible mortgages, such as those with very high mu</w:t>
      </w:r>
      <w:r w:rsidR="004F5081">
        <w:rPr>
          <w:rStyle w:val="CommentReference"/>
          <w:sz w:val="22"/>
          <w:szCs w:val="22"/>
        </w:rPr>
        <w:t>ltiples of a borrower’s income.</w:t>
      </w:r>
    </w:p>
    <w:p w14:paraId="7DDA5AFE" w14:textId="73EC7F07" w:rsidR="00813C14" w:rsidRDefault="00510BBD" w:rsidP="00510BBD">
      <w:pPr>
        <w:pStyle w:val="APRANORMAL"/>
      </w:pPr>
      <w:r>
        <w:t xml:space="preserve">APRA proposes </w:t>
      </w:r>
      <w:r w:rsidR="00813C14">
        <w:t xml:space="preserve">to formalise through amendments to APS 112 its </w:t>
      </w:r>
      <w:r w:rsidR="00CB3ED6">
        <w:t xml:space="preserve">existing requirement </w:t>
      </w:r>
      <w:r>
        <w:t>that loans to self-managed superannuation funds</w:t>
      </w:r>
      <w:r w:rsidR="00813C14">
        <w:t xml:space="preserve"> secured by residential property should be treated as non-standard loans</w:t>
      </w:r>
      <w:r>
        <w:t xml:space="preserve">, reflecting the relative complexity </w:t>
      </w:r>
      <w:r w:rsidR="00A90E43">
        <w:t xml:space="preserve">of these loans </w:t>
      </w:r>
      <w:r>
        <w:t>and the fact that ADIs do not have recourse to other assets of the fund</w:t>
      </w:r>
      <w:r w:rsidR="00A90E43">
        <w:t xml:space="preserve"> or </w:t>
      </w:r>
      <w:r w:rsidR="002A259F">
        <w:t xml:space="preserve">to </w:t>
      </w:r>
      <w:r w:rsidR="00A90E43">
        <w:t>the beneficiary</w:t>
      </w:r>
      <w:r>
        <w:t>.</w:t>
      </w:r>
      <w:r>
        <w:rPr>
          <w:rStyle w:val="FootnoteReference"/>
        </w:rPr>
        <w:footnoteReference w:id="27"/>
      </w:r>
      <w:r>
        <w:t xml:space="preserve"> </w:t>
      </w:r>
    </w:p>
    <w:p w14:paraId="48679FBC" w14:textId="3042976D" w:rsidR="00510BBD" w:rsidRDefault="00813C14" w:rsidP="00510BBD">
      <w:pPr>
        <w:pStyle w:val="APRANORMAL"/>
      </w:pPr>
      <w:r>
        <w:t>APRA also proposes that r</w:t>
      </w:r>
      <w:r w:rsidR="00510BBD">
        <w:t>everse mortgages</w:t>
      </w:r>
      <w:r>
        <w:t>, which are currently risk-weighted at 50 per cent (where LVR is less than 60 per cent) or 100 per cent (for LVRs over 60 per cent),</w:t>
      </w:r>
      <w:r w:rsidR="00510BBD">
        <w:t xml:space="preserve"> would be </w:t>
      </w:r>
      <w:r w:rsidR="00A90E43">
        <w:t>treated</w:t>
      </w:r>
      <w:r w:rsidR="00510BBD">
        <w:t xml:space="preserve"> as non-standard in light of the heightened operational, legal and reputational risks associated with these loans.</w:t>
      </w:r>
      <w:r w:rsidR="00510BBD">
        <w:rPr>
          <w:rStyle w:val="FootnoteReference"/>
        </w:rPr>
        <w:footnoteReference w:id="28"/>
      </w:r>
      <w:r w:rsidR="00510BBD">
        <w:t xml:space="preserve"> </w:t>
      </w:r>
    </w:p>
    <w:p w14:paraId="082F3153" w14:textId="1EC7AB63" w:rsidR="00510BBD" w:rsidRDefault="00510BBD" w:rsidP="00510BBD">
      <w:pPr>
        <w:pStyle w:val="APRANORMAL"/>
      </w:pPr>
      <w:r>
        <w:t xml:space="preserve">Subject to final calibration, APRA </w:t>
      </w:r>
      <w:r w:rsidR="00AD60C8">
        <w:t>proposes</w:t>
      </w:r>
      <w:r>
        <w:t xml:space="preserve"> that all non-standard eligible mortgages would be </w:t>
      </w:r>
      <w:r w:rsidR="00B81D69">
        <w:t xml:space="preserve">subject to a </w:t>
      </w:r>
      <w:r>
        <w:t>risk</w:t>
      </w:r>
      <w:r w:rsidR="00B81D69">
        <w:t xml:space="preserve"> </w:t>
      </w:r>
      <w:r>
        <w:t>weight</w:t>
      </w:r>
      <w:r w:rsidR="001A4037">
        <w:t xml:space="preserve"> </w:t>
      </w:r>
      <w:r w:rsidR="00B81D69">
        <w:t>of</w:t>
      </w:r>
      <w:r>
        <w:t xml:space="preserve"> 100 per cent.</w:t>
      </w:r>
    </w:p>
    <w:p w14:paraId="336A0DA9" w14:textId="79387BEA" w:rsidR="00E31FB4" w:rsidRDefault="00774DC1" w:rsidP="00317BC1">
      <w:pPr>
        <w:pStyle w:val="APRAHEADING4"/>
      </w:pPr>
      <w:r>
        <w:lastRenderedPageBreak/>
        <w:t xml:space="preserve">Segmentation </w:t>
      </w:r>
      <w:r w:rsidR="001A2050">
        <w:t>by risk</w:t>
      </w:r>
    </w:p>
    <w:p w14:paraId="70E3E598" w14:textId="110A2609" w:rsidR="00774DC1" w:rsidRDefault="00AD60C8" w:rsidP="002545A7">
      <w:pPr>
        <w:pStyle w:val="APRANORMAL"/>
      </w:pPr>
      <w:r>
        <w:t xml:space="preserve">APRA </w:t>
      </w:r>
      <w:r w:rsidR="00F8518D">
        <w:t>propos</w:t>
      </w:r>
      <w:r>
        <w:t>es</w:t>
      </w:r>
      <w:r w:rsidR="00F8518D">
        <w:t xml:space="preserve"> to segment the </w:t>
      </w:r>
      <w:r w:rsidR="002C7BA0">
        <w:t>standard eligible mortgage portfolio</w:t>
      </w:r>
      <w:r w:rsidR="00F8518D">
        <w:t xml:space="preserve"> into lower-risk and higher-risk exposures</w:t>
      </w:r>
      <w:r w:rsidR="00B81D69">
        <w:t xml:space="preserve"> in addition to </w:t>
      </w:r>
      <w:r w:rsidR="004D6460">
        <w:t>assigning</w:t>
      </w:r>
      <w:r w:rsidR="00B81D69">
        <w:t xml:space="preserve"> risk weights according to LVR</w:t>
      </w:r>
      <w:r w:rsidR="00F8518D">
        <w:t xml:space="preserve">. </w:t>
      </w:r>
      <w:r w:rsidR="009E1E12">
        <w:t>This approach is aligned to, but deliberately not strictly consistent with, the Basel III ‘material dependence’ concept</w:t>
      </w:r>
      <w:r w:rsidR="006B4EEE">
        <w:t xml:space="preserve"> outlined in</w:t>
      </w:r>
      <w:r w:rsidR="00FF6F4B">
        <w:t xml:space="preserve"> section</w:t>
      </w:r>
      <w:r w:rsidR="006B4EEE">
        <w:t xml:space="preserve"> </w:t>
      </w:r>
      <w:r w:rsidR="00D15065">
        <w:fldChar w:fldCharType="begin"/>
      </w:r>
      <w:r w:rsidR="00D15065">
        <w:instrText xml:space="preserve"> REF _Ref505859031 \r \h </w:instrText>
      </w:r>
      <w:r w:rsidR="00D15065">
        <w:fldChar w:fldCharType="separate"/>
      </w:r>
      <w:r w:rsidR="00EB1F7A">
        <w:t>2.2.1</w:t>
      </w:r>
      <w:r w:rsidR="00D15065">
        <w:fldChar w:fldCharType="end"/>
      </w:r>
      <w:r w:rsidR="00D66A84">
        <w:t xml:space="preserve"> </w:t>
      </w:r>
      <w:r w:rsidR="006B4EEE">
        <w:t>above</w:t>
      </w:r>
      <w:r w:rsidR="009E1E12">
        <w:t>, to appropriately reflect Australian conditions.</w:t>
      </w:r>
    </w:p>
    <w:p w14:paraId="14960AC3" w14:textId="22561635" w:rsidR="00263F7A" w:rsidRDefault="00854E50" w:rsidP="002545A7">
      <w:pPr>
        <w:pStyle w:val="APRANORMAL"/>
      </w:pPr>
      <w:r>
        <w:t>F</w:t>
      </w:r>
      <w:r w:rsidR="00143565">
        <w:t>or the lower-risk segment</w:t>
      </w:r>
      <w:r w:rsidR="00770663">
        <w:t>,</w:t>
      </w:r>
      <w:r w:rsidR="00143565" w:rsidDel="00770663">
        <w:t xml:space="preserve"> </w:t>
      </w:r>
      <w:r>
        <w:t xml:space="preserve">APRA proposes to </w:t>
      </w:r>
      <w:r w:rsidR="00CF6D37">
        <w:t>broadly</w:t>
      </w:r>
      <w:r>
        <w:t xml:space="preserve"> align the risk weights </w:t>
      </w:r>
      <w:r w:rsidR="00143565">
        <w:t xml:space="preserve">with </w:t>
      </w:r>
      <w:r w:rsidR="009E28D9">
        <w:t xml:space="preserve">those under </w:t>
      </w:r>
      <w:r w:rsidR="00770663">
        <w:t xml:space="preserve">the </w:t>
      </w:r>
      <w:r w:rsidR="00143565">
        <w:t xml:space="preserve">Basel III </w:t>
      </w:r>
      <w:r w:rsidR="002778A9">
        <w:t>framework</w:t>
      </w:r>
      <w:r w:rsidR="00770663">
        <w:t xml:space="preserve"> </w:t>
      </w:r>
      <w:r w:rsidR="00143565">
        <w:t xml:space="preserve">loans where repayments are not materially dependent on cash flows </w:t>
      </w:r>
      <w:r w:rsidR="00285F03">
        <w:t>generated by</w:t>
      </w:r>
      <w:r w:rsidR="00143565">
        <w:t xml:space="preserve"> the property</w:t>
      </w:r>
      <w:r w:rsidR="00770663">
        <w:t xml:space="preserve"> securing the loan</w:t>
      </w:r>
      <w:r w:rsidR="00E0213C">
        <w:t xml:space="preserve"> (refer to Table 2</w:t>
      </w:r>
      <w:r w:rsidR="00CE548F">
        <w:t xml:space="preserve"> for indicative risk weights by LVR</w:t>
      </w:r>
      <w:r w:rsidR="00E0213C">
        <w:t>)</w:t>
      </w:r>
      <w:r w:rsidR="00143565">
        <w:t>. This category</w:t>
      </w:r>
      <w:r w:rsidR="00A65649">
        <w:t xml:space="preserve"> would include owner-occupied P&amp;</w:t>
      </w:r>
      <w:r w:rsidR="00143565">
        <w:t>I loans</w:t>
      </w:r>
      <w:r w:rsidR="009E1E12">
        <w:t xml:space="preserve"> and would apply after consideration of any </w:t>
      </w:r>
      <w:r w:rsidR="00D15065">
        <w:t xml:space="preserve">lenders </w:t>
      </w:r>
      <w:r w:rsidR="009E1E12">
        <w:t>mortgage insurance</w:t>
      </w:r>
      <w:r w:rsidR="00D15065">
        <w:t xml:space="preserve"> (LMI)</w:t>
      </w:r>
      <w:r w:rsidR="004D699B">
        <w:t>.</w:t>
      </w:r>
    </w:p>
    <w:p w14:paraId="516D338D" w14:textId="694475E9" w:rsidR="002E52A5" w:rsidRDefault="006115D0" w:rsidP="00D064A9">
      <w:pPr>
        <w:pStyle w:val="APRANORMAL"/>
      </w:pPr>
      <w:r w:rsidRPr="003E1DAC">
        <w:t>The higher-risk segment would include interest-only loans</w:t>
      </w:r>
      <w:r w:rsidR="00CB3ED6">
        <w:t>,</w:t>
      </w:r>
      <w:r w:rsidR="00CB3ED6" w:rsidRPr="003E1DAC">
        <w:t xml:space="preserve"> </w:t>
      </w:r>
      <w:r w:rsidRPr="003E1DAC">
        <w:t xml:space="preserve">loans </w:t>
      </w:r>
      <w:r w:rsidR="004D6460">
        <w:t>for investment property</w:t>
      </w:r>
      <w:r w:rsidR="00883821">
        <w:t xml:space="preserve"> and, as discussed in section </w:t>
      </w:r>
      <w:r w:rsidR="00883821">
        <w:fldChar w:fldCharType="begin"/>
      </w:r>
      <w:r w:rsidR="00883821">
        <w:instrText xml:space="preserve"> REF _Ref505334158 \r \h </w:instrText>
      </w:r>
      <w:r w:rsidR="00883821">
        <w:fldChar w:fldCharType="separate"/>
      </w:r>
      <w:r w:rsidR="00EB1F7A">
        <w:t>3.2</w:t>
      </w:r>
      <w:r w:rsidR="00883821">
        <w:fldChar w:fldCharType="end"/>
      </w:r>
      <w:r w:rsidR="00883821">
        <w:t xml:space="preserve">, </w:t>
      </w:r>
      <w:r w:rsidRPr="003A1040">
        <w:t xml:space="preserve">loans to </w:t>
      </w:r>
      <w:r w:rsidR="00883821" w:rsidRPr="003A1040">
        <w:t>SMEs</w:t>
      </w:r>
      <w:r w:rsidR="00A324B9" w:rsidRPr="003A1040">
        <w:t xml:space="preserve"> secured by residential property</w:t>
      </w:r>
      <w:r w:rsidR="00883821" w:rsidRPr="003A1040">
        <w:t>.</w:t>
      </w:r>
      <w:r w:rsidR="00883821" w:rsidRPr="003A1040" w:rsidDel="00883821">
        <w:t xml:space="preserve"> </w:t>
      </w:r>
      <w:r>
        <w:t>The determination of higher risk weigh</w:t>
      </w:r>
      <w:r w:rsidR="00FC661D">
        <w:t xml:space="preserve">ts </w:t>
      </w:r>
      <w:r w:rsidR="008E539C">
        <w:t xml:space="preserve">for this segment </w:t>
      </w:r>
      <w:r w:rsidR="00FC661D">
        <w:t xml:space="preserve">would be </w:t>
      </w:r>
      <w:r>
        <w:t xml:space="preserve">either by way of </w:t>
      </w:r>
      <w:r w:rsidR="002E52A5">
        <w:t xml:space="preserve">a fixed </w:t>
      </w:r>
      <w:r w:rsidR="009E1E12">
        <w:t>risk-weight schedule</w:t>
      </w:r>
      <w:r w:rsidR="002E52A5">
        <w:t>,</w:t>
      </w:r>
      <w:r w:rsidR="009E1E12">
        <w:t xml:space="preserve"> or a </w:t>
      </w:r>
      <w:r w:rsidR="00883821">
        <w:t>multiplier</w:t>
      </w:r>
      <w:r w:rsidR="008E539C">
        <w:t xml:space="preserve"> on the risk weights applied to owner-occupied P&amp;I loans. </w:t>
      </w:r>
      <w:r w:rsidR="00F01E89">
        <w:t xml:space="preserve">The benefit of a </w:t>
      </w:r>
      <w:r w:rsidR="00883821">
        <w:t>multiplier</w:t>
      </w:r>
      <w:r w:rsidR="00F01E89">
        <w:t xml:space="preserve"> is that APRA </w:t>
      </w:r>
      <w:r w:rsidR="00DF3A7F">
        <w:t xml:space="preserve">could </w:t>
      </w:r>
      <w:r w:rsidR="009E1E12">
        <w:t xml:space="preserve">more easily </w:t>
      </w:r>
      <w:r w:rsidR="00DF3A7F">
        <w:t xml:space="preserve">vary the </w:t>
      </w:r>
      <w:r w:rsidR="009E1E12">
        <w:t xml:space="preserve">capital </w:t>
      </w:r>
      <w:r w:rsidR="00F01E89">
        <w:t xml:space="preserve">uplift for these higher risk loans </w:t>
      </w:r>
      <w:r w:rsidR="00DD3479">
        <w:t xml:space="preserve">over time </w:t>
      </w:r>
      <w:r w:rsidR="00F01E89">
        <w:t xml:space="preserve">depending on </w:t>
      </w:r>
      <w:r w:rsidR="00DD3479">
        <w:t xml:space="preserve">prevailing </w:t>
      </w:r>
      <w:r w:rsidR="00F01E89">
        <w:t>prudential or financial stability objectives or concerns.</w:t>
      </w:r>
      <w:r w:rsidR="00A22F80" w:rsidRPr="00A22F80">
        <w:t xml:space="preserve"> </w:t>
      </w:r>
    </w:p>
    <w:p w14:paraId="67C6FEE0" w14:textId="76300BCB" w:rsidR="001D7A40" w:rsidRDefault="00524BC4" w:rsidP="00D064A9">
      <w:pPr>
        <w:pStyle w:val="APRANORMAL"/>
      </w:pPr>
      <w:r>
        <w:fldChar w:fldCharType="begin"/>
      </w:r>
      <w:r>
        <w:instrText xml:space="preserve"> REF _Ref502740258 \n \h </w:instrText>
      </w:r>
      <w:r>
        <w:fldChar w:fldCharType="separate"/>
      </w:r>
      <w:r w:rsidR="00EB1F7A">
        <w:t>Table 3</w:t>
      </w:r>
      <w:r>
        <w:fldChar w:fldCharType="end"/>
      </w:r>
      <w:r>
        <w:t xml:space="preserve"> </w:t>
      </w:r>
      <w:r w:rsidR="002E52A5">
        <w:t xml:space="preserve">shows the indicative proposed risk-weight schedule </w:t>
      </w:r>
      <w:r w:rsidR="004E7A66">
        <w:t>based on</w:t>
      </w:r>
      <w:r w:rsidR="002778A9">
        <w:t xml:space="preserve"> the Basel III risk weights for materially dependent residential mortgage exposures. </w:t>
      </w:r>
    </w:p>
    <w:p w14:paraId="48A8FA62" w14:textId="3D22C627" w:rsidR="00F8518D" w:rsidRPr="00412F30" w:rsidRDefault="008F3844" w:rsidP="00441787">
      <w:pPr>
        <w:pStyle w:val="APRATABLE-NUMBER"/>
      </w:pPr>
      <w:bookmarkStart w:id="135" w:name="_Ref498592443"/>
      <w:bookmarkStart w:id="136" w:name="_Ref502740258"/>
      <w:bookmarkStart w:id="137" w:name="_Ref504997502"/>
      <w:r>
        <w:lastRenderedPageBreak/>
        <w:t>I</w:t>
      </w:r>
      <w:r w:rsidR="00057F9E">
        <w:t>ndicative</w:t>
      </w:r>
      <w:r w:rsidR="00F8518D" w:rsidRPr="00412F30">
        <w:t xml:space="preserve"> risk weights for residential mortgage exposures</w:t>
      </w:r>
      <w:bookmarkEnd w:id="135"/>
      <w:r w:rsidR="00F8518D" w:rsidRPr="00412F30">
        <w:t xml:space="preserve"> </w:t>
      </w:r>
      <w:r w:rsidR="002C710A">
        <w:t>under the standardised approach</w:t>
      </w:r>
      <w:bookmarkEnd w:id="136"/>
      <w:bookmarkEnd w:id="13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3"/>
        <w:gridCol w:w="2551"/>
        <w:gridCol w:w="819"/>
        <w:gridCol w:w="819"/>
        <w:gridCol w:w="819"/>
        <w:gridCol w:w="819"/>
        <w:gridCol w:w="819"/>
        <w:gridCol w:w="817"/>
      </w:tblGrid>
      <w:tr w:rsidR="002A1288" w14:paraId="199A0E6A" w14:textId="77777777" w:rsidTr="00730B1A">
        <w:tc>
          <w:tcPr>
            <w:tcW w:w="4104" w:type="dxa"/>
            <w:gridSpan w:val="2"/>
            <w:vMerge w:val="restart"/>
            <w:shd w:val="clear" w:color="auto" w:fill="002060"/>
            <w:vAlign w:val="bottom"/>
          </w:tcPr>
          <w:p w14:paraId="5CE6B8E7" w14:textId="41FF8D44" w:rsidR="002A1288" w:rsidRPr="00FB2BD7" w:rsidRDefault="003D106F" w:rsidP="00730B1A">
            <w:pPr>
              <w:pStyle w:val="APRANORMAL"/>
              <w:keepNext/>
              <w:spacing w:before="120" w:after="120"/>
              <w:jc w:val="right"/>
              <w:rPr>
                <w:rFonts w:ascii="DIN OT Medium" w:hAnsi="DIN OT Medium"/>
                <w:sz w:val="20"/>
                <w:szCs w:val="20"/>
              </w:rPr>
            </w:pPr>
            <w:r>
              <w:rPr>
                <w:rFonts w:ascii="DIN OT Medium" w:hAnsi="DIN OT Medium"/>
                <w:sz w:val="20"/>
                <w:szCs w:val="20"/>
              </w:rPr>
              <w:t>LVR %</w:t>
            </w:r>
          </w:p>
        </w:tc>
        <w:tc>
          <w:tcPr>
            <w:tcW w:w="4912" w:type="dxa"/>
            <w:gridSpan w:val="6"/>
            <w:shd w:val="clear" w:color="auto" w:fill="002060"/>
            <w:vAlign w:val="bottom"/>
          </w:tcPr>
          <w:p w14:paraId="1A50675D" w14:textId="59AFBDF3" w:rsidR="002A1288" w:rsidRPr="00D064A9" w:rsidRDefault="003D106F" w:rsidP="00B54705">
            <w:pPr>
              <w:pStyle w:val="APRANORMAL"/>
              <w:keepNext/>
              <w:spacing w:before="120" w:after="120"/>
              <w:jc w:val="center"/>
              <w:rPr>
                <w:rFonts w:ascii="DIN OT Medium" w:hAnsi="DIN OT Medium"/>
              </w:rPr>
            </w:pPr>
            <w:r>
              <w:rPr>
                <w:rFonts w:ascii="DIN OT Medium" w:hAnsi="DIN OT Medium"/>
                <w:sz w:val="20"/>
              </w:rPr>
              <w:t>RW</w:t>
            </w:r>
            <w:r w:rsidRPr="00C92928">
              <w:rPr>
                <w:rFonts w:ascii="DIN OT Medium" w:hAnsi="DIN OT Medium"/>
                <w:sz w:val="20"/>
              </w:rPr>
              <w:t xml:space="preserve"> </w:t>
            </w:r>
            <w:r w:rsidR="002A1288" w:rsidRPr="00C92928">
              <w:rPr>
                <w:rFonts w:ascii="DIN OT Medium" w:hAnsi="DIN OT Medium"/>
                <w:sz w:val="20"/>
              </w:rPr>
              <w:t>%</w:t>
            </w:r>
          </w:p>
        </w:tc>
      </w:tr>
      <w:tr w:rsidR="002A1288" w14:paraId="27BD7BFE" w14:textId="77777777" w:rsidTr="00730B1A">
        <w:tc>
          <w:tcPr>
            <w:tcW w:w="4104" w:type="dxa"/>
            <w:gridSpan w:val="2"/>
            <w:vMerge/>
            <w:shd w:val="clear" w:color="auto" w:fill="002060"/>
          </w:tcPr>
          <w:p w14:paraId="7BDB0A42" w14:textId="77777777" w:rsidR="002A1288" w:rsidRPr="00FB2BD7" w:rsidRDefault="002A1288" w:rsidP="00B54705">
            <w:pPr>
              <w:pStyle w:val="APRANORMAL"/>
              <w:keepNext/>
              <w:spacing w:before="120" w:after="120"/>
              <w:jc w:val="center"/>
              <w:rPr>
                <w:rFonts w:ascii="DIN OT Medium" w:hAnsi="DIN OT Medium"/>
                <w:sz w:val="20"/>
                <w:szCs w:val="20"/>
              </w:rPr>
            </w:pPr>
          </w:p>
        </w:tc>
        <w:tc>
          <w:tcPr>
            <w:tcW w:w="819" w:type="dxa"/>
            <w:shd w:val="clear" w:color="auto" w:fill="002060"/>
            <w:vAlign w:val="bottom"/>
          </w:tcPr>
          <w:p w14:paraId="1D257B51"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 50</w:t>
            </w:r>
          </w:p>
        </w:tc>
        <w:tc>
          <w:tcPr>
            <w:tcW w:w="819" w:type="dxa"/>
            <w:shd w:val="clear" w:color="auto" w:fill="002060"/>
            <w:vAlign w:val="bottom"/>
          </w:tcPr>
          <w:p w14:paraId="41F89749"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 60</w:t>
            </w:r>
          </w:p>
        </w:tc>
        <w:tc>
          <w:tcPr>
            <w:tcW w:w="819" w:type="dxa"/>
            <w:shd w:val="clear" w:color="auto" w:fill="002060"/>
            <w:vAlign w:val="bottom"/>
          </w:tcPr>
          <w:p w14:paraId="78D0A295"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 80</w:t>
            </w:r>
          </w:p>
        </w:tc>
        <w:tc>
          <w:tcPr>
            <w:tcW w:w="819" w:type="dxa"/>
            <w:shd w:val="clear" w:color="auto" w:fill="002060"/>
            <w:vAlign w:val="bottom"/>
          </w:tcPr>
          <w:p w14:paraId="76FA30E0"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 90</w:t>
            </w:r>
          </w:p>
        </w:tc>
        <w:tc>
          <w:tcPr>
            <w:tcW w:w="819" w:type="dxa"/>
            <w:shd w:val="clear" w:color="auto" w:fill="002060"/>
            <w:vAlign w:val="bottom"/>
          </w:tcPr>
          <w:p w14:paraId="7732003A"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 100</w:t>
            </w:r>
          </w:p>
        </w:tc>
        <w:tc>
          <w:tcPr>
            <w:tcW w:w="817" w:type="dxa"/>
            <w:shd w:val="clear" w:color="auto" w:fill="002060"/>
            <w:vAlign w:val="bottom"/>
          </w:tcPr>
          <w:p w14:paraId="543F9ED7" w14:textId="77777777" w:rsidR="002A1288" w:rsidRPr="00981561" w:rsidRDefault="002A1288" w:rsidP="00B54705">
            <w:pPr>
              <w:pStyle w:val="APRANORMAL"/>
              <w:keepNext/>
              <w:spacing w:before="120" w:after="120"/>
              <w:jc w:val="center"/>
              <w:rPr>
                <w:rFonts w:ascii="DIN OT Medium" w:hAnsi="DIN OT Medium"/>
                <w:sz w:val="20"/>
                <w:szCs w:val="20"/>
              </w:rPr>
            </w:pPr>
            <w:r w:rsidRPr="00981561">
              <w:rPr>
                <w:rFonts w:ascii="DIN OT Medium" w:hAnsi="DIN OT Medium"/>
                <w:sz w:val="20"/>
                <w:szCs w:val="20"/>
              </w:rPr>
              <w:t>&gt; 100</w:t>
            </w:r>
          </w:p>
        </w:tc>
      </w:tr>
      <w:tr w:rsidR="00EB1D9A" w14:paraId="241CB784" w14:textId="77777777" w:rsidTr="00730B1A">
        <w:trPr>
          <w:trHeight w:val="680"/>
        </w:trPr>
        <w:tc>
          <w:tcPr>
            <w:tcW w:w="1553" w:type="dxa"/>
            <w:vMerge w:val="restart"/>
            <w:shd w:val="clear" w:color="auto" w:fill="002060"/>
            <w:vAlign w:val="center"/>
          </w:tcPr>
          <w:p w14:paraId="2B4A899B" w14:textId="24D3ED26" w:rsidR="00EB1D9A" w:rsidRPr="00981561" w:rsidRDefault="002A1288" w:rsidP="00B54705">
            <w:pPr>
              <w:pStyle w:val="APRANORMAL"/>
              <w:keepNext/>
              <w:spacing w:before="120" w:after="120"/>
              <w:rPr>
                <w:rFonts w:ascii="DIN OT Medium" w:hAnsi="DIN OT Medium"/>
                <w:sz w:val="20"/>
              </w:rPr>
            </w:pPr>
            <w:r>
              <w:rPr>
                <w:rFonts w:ascii="DIN OT Medium" w:hAnsi="DIN OT Medium"/>
                <w:sz w:val="20"/>
              </w:rPr>
              <w:t>Standard</w:t>
            </w:r>
          </w:p>
        </w:tc>
        <w:tc>
          <w:tcPr>
            <w:tcW w:w="2551" w:type="dxa"/>
            <w:shd w:val="clear" w:color="auto" w:fill="D9D9D9" w:themeFill="background1" w:themeFillShade="D9"/>
            <w:vAlign w:val="center"/>
          </w:tcPr>
          <w:p w14:paraId="658DB9FA" w14:textId="45179577" w:rsidR="00EB1D9A" w:rsidRPr="00FB2BD7" w:rsidRDefault="00EB1D9A" w:rsidP="00B54705">
            <w:pPr>
              <w:pStyle w:val="APRANORMAL"/>
              <w:keepNext/>
              <w:spacing w:before="120" w:after="120"/>
              <w:rPr>
                <w:rFonts w:ascii="DIN OT Medium" w:hAnsi="DIN OT Medium"/>
                <w:sz w:val="20"/>
                <w:szCs w:val="20"/>
              </w:rPr>
            </w:pPr>
            <w:r w:rsidRPr="00FB2BD7">
              <w:rPr>
                <w:rFonts w:ascii="DIN OT Medium" w:hAnsi="DIN OT Medium"/>
                <w:sz w:val="20"/>
                <w:szCs w:val="20"/>
              </w:rPr>
              <w:t>Owner-occupied P&amp;I</w:t>
            </w:r>
          </w:p>
        </w:tc>
        <w:tc>
          <w:tcPr>
            <w:tcW w:w="819" w:type="dxa"/>
            <w:shd w:val="clear" w:color="auto" w:fill="D9D9D9" w:themeFill="background1" w:themeFillShade="D9"/>
            <w:vAlign w:val="center"/>
          </w:tcPr>
          <w:p w14:paraId="09248E48" w14:textId="40EDB5BE" w:rsidR="00EB1D9A" w:rsidRPr="00FB2BD7" w:rsidRDefault="00EB1D9A" w:rsidP="00B54705">
            <w:pPr>
              <w:pStyle w:val="APRANORMAL"/>
              <w:keepNext/>
              <w:spacing w:before="120" w:after="120"/>
              <w:jc w:val="center"/>
              <w:rPr>
                <w:sz w:val="20"/>
                <w:szCs w:val="20"/>
              </w:rPr>
            </w:pPr>
            <w:r>
              <w:rPr>
                <w:sz w:val="20"/>
                <w:szCs w:val="20"/>
              </w:rPr>
              <w:t>20</w:t>
            </w:r>
          </w:p>
        </w:tc>
        <w:tc>
          <w:tcPr>
            <w:tcW w:w="819" w:type="dxa"/>
            <w:shd w:val="clear" w:color="auto" w:fill="D9D9D9" w:themeFill="background1" w:themeFillShade="D9"/>
            <w:vAlign w:val="center"/>
          </w:tcPr>
          <w:p w14:paraId="5A730731" w14:textId="204D4F33" w:rsidR="00EB1D9A" w:rsidRPr="00FB2BD7" w:rsidRDefault="00EB1D9A" w:rsidP="00B54705">
            <w:pPr>
              <w:pStyle w:val="APRANORMAL"/>
              <w:keepNext/>
              <w:spacing w:before="120" w:after="120"/>
              <w:jc w:val="center"/>
              <w:rPr>
                <w:sz w:val="20"/>
                <w:szCs w:val="20"/>
              </w:rPr>
            </w:pPr>
            <w:r>
              <w:rPr>
                <w:sz w:val="20"/>
                <w:szCs w:val="20"/>
              </w:rPr>
              <w:t>25</w:t>
            </w:r>
          </w:p>
        </w:tc>
        <w:tc>
          <w:tcPr>
            <w:tcW w:w="819" w:type="dxa"/>
            <w:shd w:val="clear" w:color="auto" w:fill="D9D9D9" w:themeFill="background1" w:themeFillShade="D9"/>
            <w:vAlign w:val="center"/>
          </w:tcPr>
          <w:p w14:paraId="09E7D4FF" w14:textId="5AABD2D3" w:rsidR="00EB1D9A" w:rsidRPr="00FB2BD7" w:rsidRDefault="00EB1D9A" w:rsidP="00B54705">
            <w:pPr>
              <w:pStyle w:val="APRANORMAL"/>
              <w:keepNext/>
              <w:spacing w:before="120" w:after="120"/>
              <w:jc w:val="center"/>
              <w:rPr>
                <w:sz w:val="20"/>
                <w:szCs w:val="20"/>
              </w:rPr>
            </w:pPr>
            <w:r>
              <w:rPr>
                <w:sz w:val="20"/>
                <w:szCs w:val="20"/>
              </w:rPr>
              <w:t>30</w:t>
            </w:r>
          </w:p>
        </w:tc>
        <w:tc>
          <w:tcPr>
            <w:tcW w:w="819" w:type="dxa"/>
            <w:shd w:val="clear" w:color="auto" w:fill="D9D9D9" w:themeFill="background1" w:themeFillShade="D9"/>
            <w:vAlign w:val="center"/>
          </w:tcPr>
          <w:p w14:paraId="1DE2E739" w14:textId="237A40D6" w:rsidR="00EB1D9A" w:rsidRPr="00FB2BD7" w:rsidRDefault="00EB1D9A" w:rsidP="00B54705">
            <w:pPr>
              <w:pStyle w:val="APRANORMAL"/>
              <w:keepNext/>
              <w:spacing w:before="120" w:after="120"/>
              <w:jc w:val="center"/>
              <w:rPr>
                <w:sz w:val="20"/>
                <w:szCs w:val="20"/>
              </w:rPr>
            </w:pPr>
            <w:r>
              <w:rPr>
                <w:sz w:val="20"/>
                <w:szCs w:val="20"/>
              </w:rPr>
              <w:t>40</w:t>
            </w:r>
          </w:p>
        </w:tc>
        <w:tc>
          <w:tcPr>
            <w:tcW w:w="819" w:type="dxa"/>
            <w:shd w:val="clear" w:color="auto" w:fill="D9D9D9" w:themeFill="background1" w:themeFillShade="D9"/>
            <w:vAlign w:val="center"/>
          </w:tcPr>
          <w:p w14:paraId="24CD2C1B" w14:textId="7D401696" w:rsidR="00EB1D9A" w:rsidRPr="00FB2BD7" w:rsidRDefault="00EB1D9A" w:rsidP="00B54705">
            <w:pPr>
              <w:pStyle w:val="APRANORMAL"/>
              <w:keepNext/>
              <w:spacing w:before="120" w:after="120"/>
              <w:jc w:val="center"/>
              <w:rPr>
                <w:sz w:val="20"/>
                <w:szCs w:val="20"/>
              </w:rPr>
            </w:pPr>
            <w:r>
              <w:rPr>
                <w:sz w:val="20"/>
                <w:szCs w:val="20"/>
              </w:rPr>
              <w:t>50</w:t>
            </w:r>
          </w:p>
        </w:tc>
        <w:tc>
          <w:tcPr>
            <w:tcW w:w="817" w:type="dxa"/>
            <w:shd w:val="clear" w:color="auto" w:fill="D9D9D9" w:themeFill="background1" w:themeFillShade="D9"/>
            <w:vAlign w:val="center"/>
          </w:tcPr>
          <w:p w14:paraId="6E21DCB3" w14:textId="4EB2DF72" w:rsidR="00EB1D9A" w:rsidRPr="00FB2BD7" w:rsidRDefault="00EB1D9A" w:rsidP="00B54705">
            <w:pPr>
              <w:pStyle w:val="APRANORMAL"/>
              <w:keepNext/>
              <w:spacing w:before="120" w:after="120"/>
              <w:jc w:val="center"/>
              <w:rPr>
                <w:sz w:val="20"/>
                <w:szCs w:val="20"/>
              </w:rPr>
            </w:pPr>
            <w:r>
              <w:rPr>
                <w:sz w:val="20"/>
                <w:szCs w:val="20"/>
              </w:rPr>
              <w:t>70</w:t>
            </w:r>
          </w:p>
        </w:tc>
      </w:tr>
      <w:tr w:rsidR="00EB1D9A" w14:paraId="3138D7B3" w14:textId="77777777" w:rsidTr="00730B1A">
        <w:trPr>
          <w:trHeight w:val="680"/>
        </w:trPr>
        <w:tc>
          <w:tcPr>
            <w:tcW w:w="1553" w:type="dxa"/>
            <w:vMerge/>
            <w:shd w:val="clear" w:color="auto" w:fill="002060"/>
          </w:tcPr>
          <w:p w14:paraId="7CB8F96C" w14:textId="77777777" w:rsidR="00EB1D9A" w:rsidRPr="00981561" w:rsidRDefault="00EB1D9A" w:rsidP="00B54705">
            <w:pPr>
              <w:pStyle w:val="APRANORMAL"/>
              <w:keepNext/>
              <w:spacing w:before="120" w:after="120"/>
              <w:rPr>
                <w:sz w:val="20"/>
              </w:rPr>
            </w:pPr>
          </w:p>
        </w:tc>
        <w:tc>
          <w:tcPr>
            <w:tcW w:w="2551" w:type="dxa"/>
            <w:shd w:val="clear" w:color="auto" w:fill="D9D9D9" w:themeFill="background1" w:themeFillShade="D9"/>
            <w:vAlign w:val="center"/>
          </w:tcPr>
          <w:p w14:paraId="5F45A675" w14:textId="01B37FE8" w:rsidR="00EB1D9A" w:rsidRPr="00FB2BD7" w:rsidRDefault="00EB1D9A" w:rsidP="00B54705">
            <w:pPr>
              <w:pStyle w:val="APRANORMAL"/>
              <w:keepNext/>
              <w:spacing w:before="120" w:after="120"/>
              <w:rPr>
                <w:rFonts w:ascii="DIN OT Medium" w:hAnsi="DIN OT Medium"/>
                <w:sz w:val="20"/>
                <w:szCs w:val="20"/>
              </w:rPr>
            </w:pPr>
            <w:r w:rsidRPr="00FB2BD7">
              <w:rPr>
                <w:rFonts w:ascii="DIN OT Medium" w:hAnsi="DIN OT Medium"/>
                <w:sz w:val="20"/>
                <w:szCs w:val="20"/>
              </w:rPr>
              <w:t xml:space="preserve">Other </w:t>
            </w:r>
            <w:r>
              <w:rPr>
                <w:rFonts w:ascii="DIN OT Medium" w:hAnsi="DIN OT Medium"/>
                <w:sz w:val="20"/>
                <w:szCs w:val="20"/>
              </w:rPr>
              <w:t>residential mortgages</w:t>
            </w:r>
            <w:r w:rsidR="007D2D80">
              <w:rPr>
                <w:rStyle w:val="FootnoteReference"/>
                <w:szCs w:val="20"/>
              </w:rPr>
              <w:footnoteReference w:id="29"/>
            </w:r>
          </w:p>
        </w:tc>
        <w:tc>
          <w:tcPr>
            <w:tcW w:w="819" w:type="dxa"/>
            <w:shd w:val="clear" w:color="auto" w:fill="D9D9D9" w:themeFill="background1" w:themeFillShade="D9"/>
            <w:vAlign w:val="center"/>
          </w:tcPr>
          <w:p w14:paraId="0E0FCB05" w14:textId="205F1AF8" w:rsidR="00EB1D9A" w:rsidRPr="00FB2BD7" w:rsidRDefault="00EB1D9A" w:rsidP="00B54705">
            <w:pPr>
              <w:pStyle w:val="APRANORMAL"/>
              <w:keepNext/>
              <w:spacing w:before="120" w:after="120"/>
              <w:jc w:val="center"/>
              <w:rPr>
                <w:sz w:val="20"/>
                <w:szCs w:val="20"/>
              </w:rPr>
            </w:pPr>
            <w:r w:rsidRPr="00FB2BD7">
              <w:rPr>
                <w:sz w:val="20"/>
                <w:szCs w:val="20"/>
              </w:rPr>
              <w:t>30</w:t>
            </w:r>
          </w:p>
        </w:tc>
        <w:tc>
          <w:tcPr>
            <w:tcW w:w="819" w:type="dxa"/>
            <w:shd w:val="clear" w:color="auto" w:fill="D9D9D9" w:themeFill="background1" w:themeFillShade="D9"/>
            <w:vAlign w:val="center"/>
          </w:tcPr>
          <w:p w14:paraId="0EEC439B" w14:textId="6C21AC3B" w:rsidR="00EB1D9A" w:rsidRPr="00FB2BD7" w:rsidRDefault="00EB1D9A" w:rsidP="00B54705">
            <w:pPr>
              <w:pStyle w:val="APRANORMAL"/>
              <w:keepNext/>
              <w:spacing w:before="120" w:after="120"/>
              <w:jc w:val="center"/>
              <w:rPr>
                <w:sz w:val="20"/>
                <w:szCs w:val="20"/>
              </w:rPr>
            </w:pPr>
            <w:r w:rsidRPr="00FB2BD7">
              <w:rPr>
                <w:sz w:val="20"/>
                <w:szCs w:val="20"/>
              </w:rPr>
              <w:t>35</w:t>
            </w:r>
          </w:p>
        </w:tc>
        <w:tc>
          <w:tcPr>
            <w:tcW w:w="819" w:type="dxa"/>
            <w:shd w:val="clear" w:color="auto" w:fill="D9D9D9" w:themeFill="background1" w:themeFillShade="D9"/>
            <w:vAlign w:val="center"/>
          </w:tcPr>
          <w:p w14:paraId="18EA3B0C" w14:textId="456D7158" w:rsidR="00EB1D9A" w:rsidRPr="00FB2BD7" w:rsidRDefault="00EB1D9A" w:rsidP="00B54705">
            <w:pPr>
              <w:pStyle w:val="APRANORMAL"/>
              <w:keepNext/>
              <w:spacing w:before="120" w:after="120"/>
              <w:jc w:val="center"/>
              <w:rPr>
                <w:sz w:val="20"/>
                <w:szCs w:val="20"/>
              </w:rPr>
            </w:pPr>
            <w:r w:rsidRPr="00FB2BD7">
              <w:rPr>
                <w:sz w:val="20"/>
                <w:szCs w:val="20"/>
              </w:rPr>
              <w:t>45</w:t>
            </w:r>
          </w:p>
        </w:tc>
        <w:tc>
          <w:tcPr>
            <w:tcW w:w="819" w:type="dxa"/>
            <w:shd w:val="clear" w:color="auto" w:fill="D9D9D9" w:themeFill="background1" w:themeFillShade="D9"/>
            <w:vAlign w:val="center"/>
          </w:tcPr>
          <w:p w14:paraId="6CE7F580" w14:textId="6D270DD4" w:rsidR="00EB1D9A" w:rsidRPr="00FB2BD7" w:rsidRDefault="00EB1D9A" w:rsidP="00B54705">
            <w:pPr>
              <w:pStyle w:val="APRANORMAL"/>
              <w:keepNext/>
              <w:spacing w:before="120" w:after="120"/>
              <w:jc w:val="center"/>
              <w:rPr>
                <w:sz w:val="20"/>
                <w:szCs w:val="20"/>
              </w:rPr>
            </w:pPr>
            <w:r w:rsidRPr="00FB2BD7">
              <w:rPr>
                <w:sz w:val="20"/>
                <w:szCs w:val="20"/>
              </w:rPr>
              <w:t>60</w:t>
            </w:r>
          </w:p>
        </w:tc>
        <w:tc>
          <w:tcPr>
            <w:tcW w:w="819" w:type="dxa"/>
            <w:shd w:val="clear" w:color="auto" w:fill="D9D9D9" w:themeFill="background1" w:themeFillShade="D9"/>
            <w:vAlign w:val="center"/>
          </w:tcPr>
          <w:p w14:paraId="19C22DE8" w14:textId="593DEE82" w:rsidR="00EB1D9A" w:rsidRPr="00FB2BD7" w:rsidRDefault="00EB1D9A" w:rsidP="00B54705">
            <w:pPr>
              <w:pStyle w:val="APRANORMAL"/>
              <w:keepNext/>
              <w:spacing w:before="120" w:after="120"/>
              <w:jc w:val="center"/>
              <w:rPr>
                <w:sz w:val="20"/>
                <w:szCs w:val="20"/>
              </w:rPr>
            </w:pPr>
            <w:r w:rsidRPr="00FB2BD7">
              <w:rPr>
                <w:sz w:val="20"/>
                <w:szCs w:val="20"/>
              </w:rPr>
              <w:t>75</w:t>
            </w:r>
          </w:p>
        </w:tc>
        <w:tc>
          <w:tcPr>
            <w:tcW w:w="817" w:type="dxa"/>
            <w:shd w:val="clear" w:color="auto" w:fill="D9D9D9" w:themeFill="background1" w:themeFillShade="D9"/>
            <w:vAlign w:val="center"/>
          </w:tcPr>
          <w:p w14:paraId="4967E13E" w14:textId="0DB6CE1C" w:rsidR="00EB1D9A" w:rsidRPr="00FB2BD7" w:rsidRDefault="000533C6" w:rsidP="00B54705">
            <w:pPr>
              <w:pStyle w:val="APRANORMAL"/>
              <w:keepNext/>
              <w:spacing w:before="120" w:after="120"/>
              <w:jc w:val="center"/>
              <w:rPr>
                <w:sz w:val="20"/>
                <w:szCs w:val="20"/>
              </w:rPr>
            </w:pPr>
            <w:r>
              <w:rPr>
                <w:sz w:val="20"/>
                <w:szCs w:val="20"/>
              </w:rPr>
              <w:t>85</w:t>
            </w:r>
          </w:p>
        </w:tc>
      </w:tr>
      <w:tr w:rsidR="00F8518D" w14:paraId="6D843005" w14:textId="77777777" w:rsidTr="00730B1A">
        <w:trPr>
          <w:trHeight w:val="680"/>
        </w:trPr>
        <w:tc>
          <w:tcPr>
            <w:tcW w:w="1553" w:type="dxa"/>
            <w:shd w:val="clear" w:color="auto" w:fill="002060"/>
            <w:vAlign w:val="center"/>
          </w:tcPr>
          <w:p w14:paraId="6CB7AF23" w14:textId="62753B8C" w:rsidR="00F8518D" w:rsidRPr="00981561" w:rsidRDefault="002A1288" w:rsidP="00B54705">
            <w:pPr>
              <w:pStyle w:val="APRANORMAL"/>
              <w:keepNext/>
              <w:spacing w:before="120" w:after="120"/>
              <w:rPr>
                <w:rFonts w:ascii="DIN OT Medium" w:hAnsi="DIN OT Medium"/>
                <w:sz w:val="20"/>
              </w:rPr>
            </w:pPr>
            <w:r>
              <w:rPr>
                <w:rFonts w:ascii="DIN OT Medium" w:hAnsi="DIN OT Medium"/>
                <w:sz w:val="20"/>
              </w:rPr>
              <w:t>Non-standard</w:t>
            </w:r>
          </w:p>
        </w:tc>
        <w:tc>
          <w:tcPr>
            <w:tcW w:w="2551" w:type="dxa"/>
            <w:shd w:val="clear" w:color="auto" w:fill="F2F2F2" w:themeFill="background1" w:themeFillShade="F2"/>
            <w:vAlign w:val="center"/>
          </w:tcPr>
          <w:p w14:paraId="5DC6CBFF" w14:textId="77777777" w:rsidR="00F8518D" w:rsidRDefault="00F8518D" w:rsidP="00B54705">
            <w:pPr>
              <w:pStyle w:val="APRANORMAL"/>
              <w:keepNext/>
              <w:spacing w:before="120" w:after="120"/>
            </w:pPr>
          </w:p>
        </w:tc>
        <w:tc>
          <w:tcPr>
            <w:tcW w:w="4912" w:type="dxa"/>
            <w:gridSpan w:val="6"/>
            <w:shd w:val="clear" w:color="auto" w:fill="F2F2F2" w:themeFill="background1" w:themeFillShade="F2"/>
            <w:vAlign w:val="center"/>
          </w:tcPr>
          <w:p w14:paraId="2E8CE043" w14:textId="77777777" w:rsidR="00F8518D" w:rsidRPr="00EF3DED" w:rsidRDefault="00F8518D" w:rsidP="00B54705">
            <w:pPr>
              <w:pStyle w:val="APRANORMAL"/>
              <w:keepNext/>
              <w:spacing w:before="120" w:after="120"/>
              <w:jc w:val="center"/>
              <w:rPr>
                <w:sz w:val="20"/>
                <w:szCs w:val="20"/>
              </w:rPr>
            </w:pPr>
            <w:r w:rsidRPr="00EF3DED">
              <w:rPr>
                <w:sz w:val="20"/>
                <w:szCs w:val="20"/>
              </w:rPr>
              <w:t>100</w:t>
            </w:r>
          </w:p>
        </w:tc>
      </w:tr>
    </w:tbl>
    <w:p w14:paraId="464CC490" w14:textId="77777777" w:rsidR="00711B31" w:rsidRDefault="00711B31" w:rsidP="00D064A9">
      <w:pPr>
        <w:pStyle w:val="APRANORMAL"/>
      </w:pPr>
    </w:p>
    <w:p w14:paraId="60738F93" w14:textId="15312A0A" w:rsidR="001D7A40" w:rsidRPr="00BE1775" w:rsidRDefault="00E94515" w:rsidP="001D7A40">
      <w:pPr>
        <w:pStyle w:val="APRANORMAL"/>
      </w:pPr>
      <w:r w:rsidRPr="00DE4F22">
        <w:t xml:space="preserve">APRA is also considering whether </w:t>
      </w:r>
      <w:r w:rsidR="007A35C1" w:rsidRPr="00DE4F22">
        <w:t xml:space="preserve">exposures to </w:t>
      </w:r>
      <w:r w:rsidR="00F3504E" w:rsidRPr="00DE4F22">
        <w:t xml:space="preserve">individuals with a </w:t>
      </w:r>
      <w:r w:rsidR="007A35C1" w:rsidRPr="00DE4F22">
        <w:t>large invest</w:t>
      </w:r>
      <w:r w:rsidR="00F3504E" w:rsidRPr="00DE4F22">
        <w:t>ment portfolio</w:t>
      </w:r>
      <w:r w:rsidR="007A35C1" w:rsidRPr="00DE4F22">
        <w:t xml:space="preserve"> </w:t>
      </w:r>
      <w:r w:rsidR="009B431B" w:rsidRPr="00DE4F22">
        <w:t xml:space="preserve">(such as those with more than </w:t>
      </w:r>
      <w:r w:rsidR="002606FD" w:rsidRPr="00DE4F22">
        <w:t xml:space="preserve">four </w:t>
      </w:r>
      <w:r w:rsidR="009B431B" w:rsidRPr="00DE4F22">
        <w:t xml:space="preserve">residential properties) </w:t>
      </w:r>
      <w:r w:rsidR="00684D01" w:rsidRPr="00DE4F22">
        <w:t>w</w:t>
      </w:r>
      <w:r w:rsidRPr="00DE4F22">
        <w:t xml:space="preserve">ould </w:t>
      </w:r>
      <w:r w:rsidR="007A35C1" w:rsidRPr="00DE4F22">
        <w:t xml:space="preserve">be </w:t>
      </w:r>
      <w:r w:rsidRPr="00DE4F22">
        <w:t>treated</w:t>
      </w:r>
      <w:r w:rsidR="004957A8" w:rsidRPr="00DE4F22">
        <w:t xml:space="preserve"> as</w:t>
      </w:r>
      <w:r w:rsidR="007A35C1" w:rsidRPr="00DE4F22">
        <w:t xml:space="preserve"> non-standard residential mortgage loans or as </w:t>
      </w:r>
      <w:r w:rsidR="00BE1775" w:rsidRPr="00DE4F22">
        <w:t xml:space="preserve">loans secured by </w:t>
      </w:r>
      <w:r w:rsidR="007A35C1" w:rsidRPr="00DE4F22">
        <w:t xml:space="preserve">commercial </w:t>
      </w:r>
      <w:r w:rsidR="007F3EDE" w:rsidRPr="00DE4F22">
        <w:rPr>
          <w:rStyle w:val="CommentReference"/>
          <w:sz w:val="22"/>
          <w:szCs w:val="22"/>
          <w:lang w:val="en-AU"/>
        </w:rPr>
        <w:t>property</w:t>
      </w:r>
      <w:r w:rsidR="007A35C1" w:rsidRPr="00DE4F22">
        <w:t xml:space="preserve">. </w:t>
      </w:r>
      <w:r w:rsidRPr="00DE4F22">
        <w:t>APRA invites feedback on this issue.</w:t>
      </w:r>
    </w:p>
    <w:p w14:paraId="406E809D" w14:textId="1DFCC9EE" w:rsidR="007E7F2A" w:rsidRDefault="007E7F2A" w:rsidP="001D7A40">
      <w:pPr>
        <w:pStyle w:val="APRANORMAL"/>
      </w:pPr>
      <w:r>
        <w:t xml:space="preserve">APRA </w:t>
      </w:r>
      <w:r w:rsidR="00E34473">
        <w:t xml:space="preserve">expects to continue to </w:t>
      </w:r>
      <w:r w:rsidR="00F20F6F">
        <w:t xml:space="preserve">incorporate </w:t>
      </w:r>
      <w:r w:rsidR="006B597B">
        <w:t>relatively lower</w:t>
      </w:r>
      <w:r w:rsidR="00F20F6F">
        <w:t xml:space="preserve"> capital requirements</w:t>
      </w:r>
      <w:r w:rsidR="00E34473">
        <w:t xml:space="preserve"> </w:t>
      </w:r>
      <w:r w:rsidR="00F20F6F">
        <w:t xml:space="preserve">in the standardised approach </w:t>
      </w:r>
      <w:r w:rsidR="00246972">
        <w:t xml:space="preserve">for exposures </w:t>
      </w:r>
      <w:r w:rsidR="00F20F6F">
        <w:t>covered</w:t>
      </w:r>
      <w:r w:rsidR="00246972">
        <w:t xml:space="preserve"> </w:t>
      </w:r>
      <w:r w:rsidR="00E94515">
        <w:t>by</w:t>
      </w:r>
      <w:r w:rsidR="00E34473">
        <w:t xml:space="preserve"> </w:t>
      </w:r>
      <w:r>
        <w:t>LMI</w:t>
      </w:r>
      <w:r w:rsidR="00F04DF0">
        <w:t xml:space="preserve">. </w:t>
      </w:r>
      <w:r w:rsidR="00E34473">
        <w:t xml:space="preserve">LMI can reduce the risk of loss for an ADI, subject to meeting the </w:t>
      </w:r>
      <w:r w:rsidR="004D5F6B">
        <w:t xml:space="preserve">insurer’s </w:t>
      </w:r>
      <w:r w:rsidR="00F04DF0">
        <w:t xml:space="preserve">conditions for </w:t>
      </w:r>
      <w:r w:rsidR="00E34473">
        <w:t>valid claim</w:t>
      </w:r>
      <w:r w:rsidR="00F04DF0">
        <w:t>s</w:t>
      </w:r>
      <w:r w:rsidR="00E34473">
        <w:t xml:space="preserve"> and the financial </w:t>
      </w:r>
      <w:r w:rsidR="004957A8">
        <w:t xml:space="preserve">capacity </w:t>
      </w:r>
      <w:r w:rsidR="00E34473">
        <w:t>of the LMI</w:t>
      </w:r>
      <w:r w:rsidR="004957A8">
        <w:t xml:space="preserve"> to pay claims</w:t>
      </w:r>
      <w:r w:rsidR="00E34473">
        <w:t>. APRA is considering the appropriate methodology to recognise LMI</w:t>
      </w:r>
      <w:r>
        <w:t xml:space="preserve"> in the capital framework</w:t>
      </w:r>
      <w:r w:rsidR="00675986">
        <w:t xml:space="preserve"> </w:t>
      </w:r>
      <w:r w:rsidR="003F3472">
        <w:t xml:space="preserve">for </w:t>
      </w:r>
      <w:r w:rsidR="00226DBC">
        <w:t xml:space="preserve">both </w:t>
      </w:r>
      <w:r w:rsidR="00675986">
        <w:t xml:space="preserve">the standardised and IRB approaches. </w:t>
      </w:r>
      <w:r w:rsidR="00B92739">
        <w:t>F</w:t>
      </w:r>
      <w:r w:rsidR="006F0CDC">
        <w:t xml:space="preserve">or </w:t>
      </w:r>
      <w:r w:rsidR="00675986">
        <w:t xml:space="preserve">the standardised approach to credit risk, </w:t>
      </w:r>
      <w:r w:rsidR="006D5EF9">
        <w:t>APRA expects th</w:t>
      </w:r>
      <w:r w:rsidR="00997DC4">
        <w:t xml:space="preserve">at </w:t>
      </w:r>
      <w:r w:rsidR="0098665E">
        <w:t xml:space="preserve">any capital benefit would continue to apply to </w:t>
      </w:r>
      <w:r w:rsidR="00997DC4">
        <w:t>loans with</w:t>
      </w:r>
      <w:r w:rsidR="00D064A9">
        <w:t xml:space="preserve"> an</w:t>
      </w:r>
      <w:r w:rsidR="001C0E9B">
        <w:t xml:space="preserve"> LVR over 80 </w:t>
      </w:r>
      <w:r w:rsidR="00D13DF5">
        <w:t>per cent</w:t>
      </w:r>
      <w:r w:rsidR="00D52F4C">
        <w:t xml:space="preserve">. </w:t>
      </w:r>
      <w:r w:rsidR="00CF6D37">
        <w:t xml:space="preserve">APRA’s preferred </w:t>
      </w:r>
      <w:r w:rsidR="0098665E">
        <w:t xml:space="preserve">approach </w:t>
      </w:r>
      <w:r w:rsidR="00CF6D37">
        <w:t>is</w:t>
      </w:r>
      <w:r w:rsidR="0098665E">
        <w:t xml:space="preserve"> to </w:t>
      </w:r>
      <w:r w:rsidR="00CF6D37">
        <w:t xml:space="preserve">increase the </w:t>
      </w:r>
      <w:r w:rsidR="00B46FAB">
        <w:fldChar w:fldCharType="begin"/>
      </w:r>
      <w:r w:rsidR="00B46FAB">
        <w:instrText xml:space="preserve"> REF _Ref504997502 \r \h </w:instrText>
      </w:r>
      <w:r w:rsidR="00B46FAB">
        <w:fldChar w:fldCharType="separate"/>
      </w:r>
      <w:r w:rsidR="00EB1F7A">
        <w:t>Table 3</w:t>
      </w:r>
      <w:r w:rsidR="00B46FAB">
        <w:fldChar w:fldCharType="end"/>
      </w:r>
      <w:r w:rsidR="000D6570">
        <w:t xml:space="preserve"> </w:t>
      </w:r>
      <w:r w:rsidR="00997DC4">
        <w:t xml:space="preserve">risk weights </w:t>
      </w:r>
      <w:r w:rsidR="00CF6D37">
        <w:t>(as finally calibrated) for</w:t>
      </w:r>
      <w:r>
        <w:t xml:space="preserve"> standard loans with an LVR over 80 per cent</w:t>
      </w:r>
      <w:r w:rsidR="003614F0">
        <w:t xml:space="preserve"> </w:t>
      </w:r>
      <w:r w:rsidR="0098665E">
        <w:t>t</w:t>
      </w:r>
      <w:r w:rsidR="004B6F6E">
        <w:t xml:space="preserve">hat </w:t>
      </w:r>
      <w:r w:rsidR="00CF6D37">
        <w:t xml:space="preserve">do not </w:t>
      </w:r>
      <w:r w:rsidR="004B6F6E">
        <w:t>have</w:t>
      </w:r>
      <w:r w:rsidR="0098665E">
        <w:t xml:space="preserve"> LMI</w:t>
      </w:r>
      <w:r w:rsidRPr="00150785">
        <w:t>.</w:t>
      </w:r>
      <w:r w:rsidR="003753BD">
        <w:t xml:space="preserve"> For the IRB approach, </w:t>
      </w:r>
      <w:r w:rsidR="004957A8">
        <w:t xml:space="preserve">APRA is considering potential options for </w:t>
      </w:r>
      <w:r w:rsidR="003614F0">
        <w:t>the recognition of LMI</w:t>
      </w:r>
      <w:r w:rsidR="003753BD">
        <w:t xml:space="preserve"> (refer </w:t>
      </w:r>
      <w:r w:rsidR="003F3472">
        <w:t xml:space="preserve">to </w:t>
      </w:r>
      <w:r w:rsidR="002778A9">
        <w:t xml:space="preserve">the following </w:t>
      </w:r>
      <w:r w:rsidR="003753BD">
        <w:t>section).</w:t>
      </w:r>
    </w:p>
    <w:p w14:paraId="4E098887" w14:textId="3B8D1278" w:rsidR="00B24D76" w:rsidRDefault="00101B8E" w:rsidP="003E1593">
      <w:pPr>
        <w:pStyle w:val="APRAHEADING3"/>
      </w:pPr>
      <w:bookmarkStart w:id="138" w:name="_Toc493154152"/>
      <w:bookmarkStart w:id="139" w:name="_Toc493154598"/>
      <w:bookmarkStart w:id="140" w:name="_Toc493240102"/>
      <w:bookmarkStart w:id="141" w:name="_Toc493240608"/>
      <w:bookmarkStart w:id="142" w:name="_Toc494189574"/>
      <w:bookmarkStart w:id="143" w:name="_Toc496184502"/>
      <w:bookmarkStart w:id="144" w:name="_Toc497209097"/>
      <w:r>
        <w:t>IRB approach</w:t>
      </w:r>
      <w:bookmarkEnd w:id="138"/>
      <w:bookmarkEnd w:id="139"/>
      <w:bookmarkEnd w:id="140"/>
      <w:bookmarkEnd w:id="141"/>
      <w:bookmarkEnd w:id="142"/>
      <w:bookmarkEnd w:id="143"/>
      <w:bookmarkEnd w:id="144"/>
    </w:p>
    <w:p w14:paraId="7EEA7BF6" w14:textId="657A841F" w:rsidR="00BA1D56" w:rsidRDefault="00E35DA0" w:rsidP="003F1B93">
      <w:pPr>
        <w:pStyle w:val="APRANORMAL"/>
      </w:pPr>
      <w:r>
        <w:t>While</w:t>
      </w:r>
      <w:r w:rsidR="0073589A">
        <w:t xml:space="preserve"> the</w:t>
      </w:r>
      <w:r w:rsidR="000F76E7">
        <w:t xml:space="preserve"> </w:t>
      </w:r>
      <w:r w:rsidR="00A578E8">
        <w:t xml:space="preserve">IRB </w:t>
      </w:r>
      <w:r w:rsidR="000F76E7">
        <w:t>capital requirements for residential mortgages</w:t>
      </w:r>
      <w:r w:rsidR="005474A4">
        <w:t xml:space="preserve"> </w:t>
      </w:r>
      <w:r>
        <w:t>are largely unchanged under Basel III</w:t>
      </w:r>
      <w:r w:rsidR="005474A4">
        <w:t>, APRA believes that material changes are required in Australia in order to</w:t>
      </w:r>
      <w:r w:rsidR="003A7C02">
        <w:t>:</w:t>
      </w:r>
      <w:r w:rsidR="003F1B93">
        <w:t xml:space="preserve"> </w:t>
      </w:r>
    </w:p>
    <w:p w14:paraId="6CC99495" w14:textId="282B7A4C" w:rsidR="005474A4" w:rsidRDefault="003F1B93" w:rsidP="00194425">
      <w:pPr>
        <w:pStyle w:val="APRABULLET"/>
      </w:pPr>
      <w:r>
        <w:t>improv</w:t>
      </w:r>
      <w:r w:rsidR="005474A4">
        <w:t>e</w:t>
      </w:r>
      <w:r>
        <w:t xml:space="preserve"> the </w:t>
      </w:r>
      <w:r w:rsidR="002D4E25">
        <w:t>alignment</w:t>
      </w:r>
      <w:r>
        <w:t xml:space="preserve"> of </w:t>
      </w:r>
      <w:r w:rsidR="00EF49A6">
        <w:t>capital requirements</w:t>
      </w:r>
      <w:r w:rsidR="002D4E25">
        <w:t xml:space="preserve"> with risk</w:t>
      </w:r>
      <w:r w:rsidR="005474A4">
        <w:t xml:space="preserve"> for particular exposures</w:t>
      </w:r>
      <w:r w:rsidR="00BA1D56">
        <w:t>;</w:t>
      </w:r>
      <w:r>
        <w:t xml:space="preserve"> </w:t>
      </w:r>
    </w:p>
    <w:p w14:paraId="3EA5DB4F" w14:textId="30B9D3CB" w:rsidR="00BA1D56" w:rsidRDefault="00CF0388" w:rsidP="00194425">
      <w:pPr>
        <w:pStyle w:val="APRABULLET"/>
      </w:pPr>
      <w:r>
        <w:lastRenderedPageBreak/>
        <w:t>further address the FSI recommendation that the difference in average mortgage risk weights between the</w:t>
      </w:r>
      <w:r w:rsidR="005474A4">
        <w:t xml:space="preserve"> standardised and IRB</w:t>
      </w:r>
      <w:r>
        <w:t xml:space="preserve"> approaches is narrowed</w:t>
      </w:r>
      <w:r w:rsidR="005474A4">
        <w:t xml:space="preserve">; </w:t>
      </w:r>
      <w:r w:rsidR="003F1B93">
        <w:t xml:space="preserve">and </w:t>
      </w:r>
    </w:p>
    <w:p w14:paraId="3A077E3A" w14:textId="63FEDE92" w:rsidR="003F1B93" w:rsidRDefault="003F1B93" w:rsidP="00C1502E">
      <w:pPr>
        <w:pStyle w:val="APRABULLET"/>
        <w:spacing w:after="240"/>
      </w:pPr>
      <w:r>
        <w:t>ensur</w:t>
      </w:r>
      <w:r w:rsidR="00E35DA0">
        <w:t>e</w:t>
      </w:r>
      <w:r>
        <w:t xml:space="preserve"> an appropriate overall calibration </w:t>
      </w:r>
      <w:r w:rsidR="00BA1D56">
        <w:t xml:space="preserve">of capital </w:t>
      </w:r>
      <w:r>
        <w:t>for residential mortgage</w:t>
      </w:r>
      <w:r w:rsidR="001C2298">
        <w:t xml:space="preserve"> exposure</w:t>
      </w:r>
      <w:r>
        <w:t>s</w:t>
      </w:r>
      <w:r w:rsidR="005474A4">
        <w:t xml:space="preserve"> given the concentration of IRB ADI portfolios in this segment</w:t>
      </w:r>
      <w:r>
        <w:t>.</w:t>
      </w:r>
    </w:p>
    <w:p w14:paraId="2B101A68" w14:textId="18D11DBB" w:rsidR="002F7552" w:rsidRDefault="002F7552" w:rsidP="002F7552">
      <w:pPr>
        <w:pStyle w:val="APRAHEADING4"/>
      </w:pPr>
      <w:r>
        <w:t>Improved alignment of capital requirements with risk</w:t>
      </w:r>
    </w:p>
    <w:p w14:paraId="5EC78F3D" w14:textId="0A91FAB2" w:rsidR="00F53DCE" w:rsidRDefault="00AD60C8" w:rsidP="00C1502E">
      <w:pPr>
        <w:pStyle w:val="APRANORMAL"/>
      </w:pPr>
      <w:r>
        <w:t xml:space="preserve">APRA </w:t>
      </w:r>
      <w:r w:rsidR="0028407B">
        <w:t>p</w:t>
      </w:r>
      <w:r w:rsidR="00F73767">
        <w:t>ropos</w:t>
      </w:r>
      <w:r>
        <w:t>es</w:t>
      </w:r>
      <w:r w:rsidR="0028407B">
        <w:t xml:space="preserve"> </w:t>
      </w:r>
      <w:r w:rsidR="00E16150">
        <w:t>four</w:t>
      </w:r>
      <w:r w:rsidR="00090DEA">
        <w:t xml:space="preserve"> </w:t>
      </w:r>
      <w:r w:rsidR="0028407B">
        <w:t>main</w:t>
      </w:r>
      <w:r w:rsidR="003F1B93">
        <w:t xml:space="preserve"> </w:t>
      </w:r>
      <w:r w:rsidR="00DD3479">
        <w:t>revisions</w:t>
      </w:r>
      <w:r w:rsidR="005D06BE">
        <w:t xml:space="preserve">, set out in </w:t>
      </w:r>
      <w:r w:rsidR="005D06BE">
        <w:fldChar w:fldCharType="begin"/>
      </w:r>
      <w:r w:rsidR="005D06BE">
        <w:instrText xml:space="preserve"> REF _Ref504030214 \r \h </w:instrText>
      </w:r>
      <w:r w:rsidR="005D06BE">
        <w:fldChar w:fldCharType="separate"/>
      </w:r>
      <w:r w:rsidR="00EB1F7A">
        <w:t>Table 4</w:t>
      </w:r>
      <w:r w:rsidR="005D06BE">
        <w:fldChar w:fldCharType="end"/>
      </w:r>
      <w:r w:rsidR="00E30DB9">
        <w:t xml:space="preserve">, to improve the alignment of </w:t>
      </w:r>
      <w:r w:rsidR="00182390">
        <w:t>capital requirements with risk</w:t>
      </w:r>
      <w:r w:rsidR="005D06BE">
        <w:t>.</w:t>
      </w:r>
    </w:p>
    <w:p w14:paraId="01F55E3D" w14:textId="343EFC65" w:rsidR="005D06BE" w:rsidRPr="005D06BE" w:rsidRDefault="005D06BE" w:rsidP="006F3542">
      <w:pPr>
        <w:pStyle w:val="APRATABLE-NUMBER"/>
      </w:pPr>
      <w:bookmarkStart w:id="145" w:name="_Ref504030214"/>
      <w:r w:rsidRPr="005D06BE">
        <w:lastRenderedPageBreak/>
        <w:t>Proposed revisions to the IRB treatment of residential mortgage exposures</w:t>
      </w:r>
      <w:bookmarkEnd w:id="14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9"/>
        <w:gridCol w:w="6515"/>
      </w:tblGrid>
      <w:tr w:rsidR="000A2A12" w:rsidRPr="005D06BE" w14:paraId="63FFCDDA" w14:textId="77777777" w:rsidTr="003F5CD0">
        <w:trPr>
          <w:tblHeader/>
        </w:trPr>
        <w:tc>
          <w:tcPr>
            <w:tcW w:w="2269" w:type="dxa"/>
            <w:shd w:val="clear" w:color="auto" w:fill="002060"/>
          </w:tcPr>
          <w:p w14:paraId="0523DD33" w14:textId="4BBDB8D8" w:rsidR="000A2A12" w:rsidRPr="005D06BE" w:rsidRDefault="00B053D4" w:rsidP="00730B1A">
            <w:pPr>
              <w:pStyle w:val="APRANORMAL"/>
              <w:keepNext/>
              <w:spacing w:before="120" w:after="120"/>
              <w:rPr>
                <w:rFonts w:ascii="DIN OT Medium" w:hAnsi="DIN OT Medium"/>
                <w:sz w:val="20"/>
                <w:szCs w:val="20"/>
                <w:lang w:val="en-AU"/>
              </w:rPr>
            </w:pPr>
            <w:r w:rsidRPr="005D06BE">
              <w:rPr>
                <w:rFonts w:ascii="DIN OT Medium" w:hAnsi="DIN OT Medium"/>
                <w:sz w:val="20"/>
                <w:szCs w:val="20"/>
                <w:lang w:val="en-AU"/>
              </w:rPr>
              <w:t>Proposal</w:t>
            </w:r>
          </w:p>
        </w:tc>
        <w:tc>
          <w:tcPr>
            <w:tcW w:w="6515" w:type="dxa"/>
            <w:shd w:val="clear" w:color="auto" w:fill="002060"/>
            <w:vAlign w:val="bottom"/>
          </w:tcPr>
          <w:p w14:paraId="4BE9971D" w14:textId="6CB380ED" w:rsidR="000A2A12" w:rsidRPr="005D06BE" w:rsidRDefault="00AF7FB3" w:rsidP="00730B1A">
            <w:pPr>
              <w:pStyle w:val="APRANORMAL"/>
              <w:keepNext/>
              <w:spacing w:before="120" w:after="120"/>
              <w:jc w:val="center"/>
              <w:rPr>
                <w:rFonts w:ascii="DIN OT Medium" w:hAnsi="DIN OT Medium"/>
                <w:sz w:val="20"/>
                <w:szCs w:val="20"/>
                <w:lang w:val="en-AU"/>
              </w:rPr>
            </w:pPr>
            <w:r w:rsidRPr="005D06BE">
              <w:rPr>
                <w:rFonts w:ascii="DIN OT Medium" w:hAnsi="DIN OT Medium"/>
                <w:sz w:val="20"/>
                <w:szCs w:val="20"/>
                <w:lang w:val="en-AU"/>
              </w:rPr>
              <w:t>Details</w:t>
            </w:r>
          </w:p>
        </w:tc>
      </w:tr>
      <w:tr w:rsidR="000A2A12" w:rsidRPr="005D06BE" w14:paraId="5C68626F" w14:textId="77777777" w:rsidTr="003F5CD0">
        <w:tc>
          <w:tcPr>
            <w:tcW w:w="2269" w:type="dxa"/>
            <w:shd w:val="clear" w:color="auto" w:fill="002060"/>
          </w:tcPr>
          <w:p w14:paraId="67891ACE" w14:textId="5B3F9E88" w:rsidR="000A2A12" w:rsidRPr="005D06BE" w:rsidRDefault="000A2A12" w:rsidP="00730B1A">
            <w:pPr>
              <w:pStyle w:val="APRANORMAL"/>
              <w:keepNext/>
              <w:spacing w:before="120" w:after="120"/>
              <w:rPr>
                <w:rFonts w:ascii="DIN OT Medium" w:hAnsi="DIN OT Medium"/>
                <w:sz w:val="20"/>
                <w:szCs w:val="20"/>
                <w:lang w:val="en-AU"/>
              </w:rPr>
            </w:pPr>
            <w:r w:rsidRPr="005D06BE">
              <w:rPr>
                <w:rFonts w:ascii="DIN OT Medium" w:hAnsi="DIN OT Medium"/>
                <w:sz w:val="20"/>
                <w:szCs w:val="20"/>
                <w:lang w:val="en-AU"/>
              </w:rPr>
              <w:t>Increased capital requirements for invest</w:t>
            </w:r>
            <w:r w:rsidR="00CF06C3">
              <w:rPr>
                <w:rFonts w:ascii="DIN OT Medium" w:hAnsi="DIN OT Medium"/>
                <w:sz w:val="20"/>
                <w:szCs w:val="20"/>
                <w:lang w:val="en-AU"/>
              </w:rPr>
              <w:t>ment</w:t>
            </w:r>
            <w:r w:rsidRPr="005D06BE">
              <w:rPr>
                <w:rFonts w:ascii="DIN OT Medium" w:hAnsi="DIN OT Medium"/>
                <w:sz w:val="20"/>
                <w:szCs w:val="20"/>
                <w:lang w:val="en-AU"/>
              </w:rPr>
              <w:t xml:space="preserve"> and interest-only exposures</w:t>
            </w:r>
          </w:p>
        </w:tc>
        <w:tc>
          <w:tcPr>
            <w:tcW w:w="6515" w:type="dxa"/>
            <w:shd w:val="clear" w:color="auto" w:fill="F2F2F2" w:themeFill="background1" w:themeFillShade="F2"/>
          </w:tcPr>
          <w:p w14:paraId="63467CF4" w14:textId="41050E17" w:rsidR="000A2A12" w:rsidRPr="005D06BE" w:rsidRDefault="000A2A12" w:rsidP="00AD60C8">
            <w:pPr>
              <w:pStyle w:val="Tabletext"/>
              <w:keepNext/>
              <w:spacing w:beforeLines="0" w:before="120" w:afterLines="0" w:after="120"/>
              <w:rPr>
                <w:sz w:val="20"/>
                <w:szCs w:val="20"/>
              </w:rPr>
            </w:pPr>
            <w:r w:rsidRPr="005D06BE">
              <w:rPr>
                <w:sz w:val="20"/>
                <w:szCs w:val="20"/>
              </w:rPr>
              <w:t>Similar to the proposals for the standardised approach to credit risk</w:t>
            </w:r>
            <w:r w:rsidR="004E195D" w:rsidRPr="005D06BE">
              <w:rPr>
                <w:sz w:val="20"/>
                <w:szCs w:val="20"/>
              </w:rPr>
              <w:t>, APRA</w:t>
            </w:r>
            <w:r w:rsidRPr="005D06BE">
              <w:rPr>
                <w:sz w:val="20"/>
                <w:szCs w:val="20"/>
              </w:rPr>
              <w:t xml:space="preserve"> </w:t>
            </w:r>
            <w:r w:rsidR="004E195D" w:rsidRPr="005D06BE">
              <w:rPr>
                <w:sz w:val="20"/>
                <w:szCs w:val="20"/>
              </w:rPr>
              <w:t>propos</w:t>
            </w:r>
            <w:r w:rsidR="00AD60C8">
              <w:rPr>
                <w:sz w:val="20"/>
                <w:szCs w:val="20"/>
              </w:rPr>
              <w:t>es</w:t>
            </w:r>
            <w:r w:rsidR="004E195D" w:rsidRPr="005D06BE">
              <w:rPr>
                <w:sz w:val="20"/>
                <w:szCs w:val="20"/>
              </w:rPr>
              <w:t xml:space="preserve"> to</w:t>
            </w:r>
            <w:r w:rsidRPr="005D06BE">
              <w:rPr>
                <w:sz w:val="20"/>
                <w:szCs w:val="20"/>
              </w:rPr>
              <w:t xml:space="preserve"> introduc</w:t>
            </w:r>
            <w:r w:rsidR="004E195D" w:rsidRPr="005D06BE">
              <w:rPr>
                <w:sz w:val="20"/>
                <w:szCs w:val="20"/>
              </w:rPr>
              <w:t>e</w:t>
            </w:r>
            <w:r w:rsidRPr="005D06BE">
              <w:rPr>
                <w:sz w:val="20"/>
                <w:szCs w:val="20"/>
              </w:rPr>
              <w:t xml:space="preserve"> a higher correlation factor in the IRB mortgage risk-weight function for </w:t>
            </w:r>
            <w:r w:rsidR="00375E12" w:rsidRPr="005D06BE">
              <w:rPr>
                <w:sz w:val="20"/>
                <w:szCs w:val="20"/>
              </w:rPr>
              <w:t>invest</w:t>
            </w:r>
            <w:r w:rsidR="00CF06C3">
              <w:rPr>
                <w:sz w:val="20"/>
                <w:szCs w:val="20"/>
              </w:rPr>
              <w:t>ment</w:t>
            </w:r>
            <w:r w:rsidR="00375E12" w:rsidRPr="005D06BE">
              <w:rPr>
                <w:sz w:val="20"/>
                <w:szCs w:val="20"/>
              </w:rPr>
              <w:t xml:space="preserve"> and interest-only exposures</w:t>
            </w:r>
            <w:r w:rsidRPr="005D06BE">
              <w:rPr>
                <w:sz w:val="20"/>
                <w:szCs w:val="20"/>
              </w:rPr>
              <w:t>.</w:t>
            </w:r>
            <w:r w:rsidRPr="005D06BE">
              <w:rPr>
                <w:rStyle w:val="FootnoteReference"/>
                <w:sz w:val="20"/>
                <w:szCs w:val="20"/>
              </w:rPr>
              <w:footnoteReference w:id="30"/>
            </w:r>
          </w:p>
        </w:tc>
      </w:tr>
      <w:tr w:rsidR="000A2A12" w:rsidRPr="005D06BE" w14:paraId="079542B2" w14:textId="77777777" w:rsidTr="003F5CD0">
        <w:tc>
          <w:tcPr>
            <w:tcW w:w="2269" w:type="dxa"/>
            <w:shd w:val="clear" w:color="auto" w:fill="002060"/>
          </w:tcPr>
          <w:p w14:paraId="2B952D9E" w14:textId="62A8FCC8" w:rsidR="000A2A12" w:rsidRPr="005D06BE" w:rsidRDefault="000A2A12" w:rsidP="00730B1A">
            <w:pPr>
              <w:pStyle w:val="APRANORMAL"/>
              <w:keepNext/>
              <w:spacing w:before="120" w:after="120"/>
              <w:rPr>
                <w:rFonts w:ascii="DIN OT Medium" w:hAnsi="DIN OT Medium"/>
                <w:sz w:val="20"/>
                <w:szCs w:val="20"/>
                <w:lang w:val="en-AU"/>
              </w:rPr>
            </w:pPr>
            <w:r w:rsidRPr="005D06BE">
              <w:rPr>
                <w:rFonts w:ascii="DIN OT Medium" w:hAnsi="DIN OT Medium"/>
                <w:sz w:val="20"/>
                <w:szCs w:val="20"/>
                <w:lang w:val="en-AU"/>
              </w:rPr>
              <w:t>Amend the correlation factor to depend on probability of default (PD)</w:t>
            </w:r>
          </w:p>
        </w:tc>
        <w:tc>
          <w:tcPr>
            <w:tcW w:w="6515" w:type="dxa"/>
            <w:shd w:val="clear" w:color="auto" w:fill="F2F2F2" w:themeFill="background1" w:themeFillShade="F2"/>
          </w:tcPr>
          <w:p w14:paraId="4EAD6DA1" w14:textId="50A586D1" w:rsidR="000A2A12" w:rsidRPr="005D06BE" w:rsidRDefault="00B053D4" w:rsidP="00CE548F">
            <w:pPr>
              <w:pStyle w:val="Tabletext"/>
              <w:keepNext/>
              <w:spacing w:beforeLines="0" w:before="120" w:afterLines="0" w:after="120"/>
              <w:rPr>
                <w:sz w:val="20"/>
                <w:szCs w:val="20"/>
                <w:lang w:val="en-AU"/>
              </w:rPr>
            </w:pPr>
            <w:r w:rsidRPr="005D06BE">
              <w:rPr>
                <w:sz w:val="20"/>
                <w:szCs w:val="20"/>
              </w:rPr>
              <w:t>The</w:t>
            </w:r>
            <w:r w:rsidR="000A2A12" w:rsidRPr="005D06BE">
              <w:rPr>
                <w:sz w:val="20"/>
                <w:szCs w:val="20"/>
              </w:rPr>
              <w:t xml:space="preserve"> default risk </w:t>
            </w:r>
            <w:r w:rsidRPr="005D06BE">
              <w:rPr>
                <w:sz w:val="20"/>
                <w:szCs w:val="20"/>
              </w:rPr>
              <w:t xml:space="preserve">of lower PD exposures </w:t>
            </w:r>
            <w:r w:rsidR="000A2A12" w:rsidRPr="005D06BE">
              <w:rPr>
                <w:sz w:val="20"/>
                <w:szCs w:val="20"/>
              </w:rPr>
              <w:t xml:space="preserve">is more dependent on the economic cycle and can consequently increase at a relatively higher rate in a downturn. </w:t>
            </w:r>
            <w:r w:rsidR="004E195D" w:rsidRPr="005D06BE">
              <w:rPr>
                <w:sz w:val="20"/>
                <w:szCs w:val="20"/>
              </w:rPr>
              <w:t>Including this dependence in the correlation factor</w:t>
            </w:r>
            <w:r w:rsidR="000A2A12" w:rsidRPr="005D06BE">
              <w:rPr>
                <w:sz w:val="20"/>
                <w:szCs w:val="20"/>
              </w:rPr>
              <w:t xml:space="preserve"> would be in line with empirical evidence and dampen procyclicality. It would also make the mortgage risk-weight function</w:t>
            </w:r>
            <w:r w:rsidR="000A2A12" w:rsidRPr="005D06BE" w:rsidDel="001A2E55">
              <w:rPr>
                <w:sz w:val="20"/>
                <w:szCs w:val="20"/>
              </w:rPr>
              <w:t xml:space="preserve"> </w:t>
            </w:r>
            <w:r w:rsidR="000A2A12" w:rsidRPr="005D06BE">
              <w:rPr>
                <w:sz w:val="20"/>
                <w:szCs w:val="20"/>
              </w:rPr>
              <w:t>consistent with other IRB asset classes.</w:t>
            </w:r>
          </w:p>
        </w:tc>
      </w:tr>
      <w:tr w:rsidR="000A2A12" w:rsidRPr="005D06BE" w14:paraId="71EFAB91" w14:textId="77777777" w:rsidTr="000A2A12">
        <w:tc>
          <w:tcPr>
            <w:tcW w:w="2269" w:type="dxa"/>
            <w:shd w:val="clear" w:color="auto" w:fill="002060"/>
          </w:tcPr>
          <w:p w14:paraId="20B1934A" w14:textId="3C43A76A" w:rsidR="000A2A12" w:rsidRPr="005D06BE" w:rsidRDefault="000A2A12" w:rsidP="00730B1A">
            <w:pPr>
              <w:pStyle w:val="APRANORMAL"/>
              <w:keepNext/>
              <w:spacing w:before="120" w:after="120"/>
              <w:rPr>
                <w:rFonts w:ascii="DIN OT Medium" w:hAnsi="DIN OT Medium"/>
                <w:sz w:val="20"/>
                <w:szCs w:val="20"/>
                <w:lang w:val="en-AU"/>
              </w:rPr>
            </w:pPr>
            <w:r w:rsidRPr="005D06BE">
              <w:rPr>
                <w:rFonts w:ascii="DIN OT Medium" w:hAnsi="DIN OT Medium"/>
                <w:sz w:val="20"/>
                <w:szCs w:val="20"/>
                <w:lang w:val="en-AU"/>
              </w:rPr>
              <w:t>Reduce the minimum loss given default</w:t>
            </w:r>
            <w:r w:rsidR="00AF7FB3" w:rsidRPr="005D06BE">
              <w:rPr>
                <w:rFonts w:ascii="DIN OT Medium" w:hAnsi="DIN OT Medium"/>
                <w:sz w:val="20"/>
                <w:szCs w:val="20"/>
                <w:lang w:val="en-AU"/>
              </w:rPr>
              <w:t xml:space="preserve"> (</w:t>
            </w:r>
            <w:r w:rsidRPr="005D06BE">
              <w:rPr>
                <w:rFonts w:ascii="DIN OT Medium" w:hAnsi="DIN OT Medium"/>
                <w:sz w:val="20"/>
                <w:szCs w:val="20"/>
                <w:lang w:val="en-AU"/>
              </w:rPr>
              <w:t>LGD</w:t>
            </w:r>
            <w:r w:rsidR="00AF7FB3" w:rsidRPr="005D06BE">
              <w:rPr>
                <w:rFonts w:ascii="DIN OT Medium" w:hAnsi="DIN OT Medium"/>
                <w:sz w:val="20"/>
                <w:szCs w:val="20"/>
                <w:lang w:val="en-AU"/>
              </w:rPr>
              <w:t>)</w:t>
            </w:r>
            <w:r w:rsidR="00B053D4" w:rsidRPr="005D06BE">
              <w:rPr>
                <w:rFonts w:ascii="DIN OT Medium" w:hAnsi="DIN OT Medium"/>
                <w:sz w:val="20"/>
                <w:szCs w:val="20"/>
                <w:lang w:val="en-AU"/>
              </w:rPr>
              <w:t xml:space="preserve"> from 20 per cent </w:t>
            </w:r>
            <w:r w:rsidRPr="005D06BE">
              <w:rPr>
                <w:rFonts w:ascii="DIN OT Medium" w:hAnsi="DIN OT Medium"/>
                <w:sz w:val="20"/>
                <w:szCs w:val="20"/>
                <w:lang w:val="en-AU"/>
              </w:rPr>
              <w:t xml:space="preserve"> to 10 per cent</w:t>
            </w:r>
            <w:r w:rsidR="00B053D4" w:rsidRPr="005D06BE">
              <w:rPr>
                <w:rFonts w:ascii="DIN OT Medium" w:hAnsi="DIN OT Medium"/>
                <w:sz w:val="20"/>
                <w:szCs w:val="20"/>
                <w:lang w:val="en-AU"/>
              </w:rPr>
              <w:t xml:space="preserve"> for ADIs that have a satisfactory LGD model</w:t>
            </w:r>
            <w:r w:rsidR="00B053D4" w:rsidRPr="005D06BE">
              <w:rPr>
                <w:rStyle w:val="FootnoteReference"/>
                <w:sz w:val="20"/>
                <w:szCs w:val="20"/>
              </w:rPr>
              <w:footnoteReference w:id="31"/>
            </w:r>
          </w:p>
        </w:tc>
        <w:tc>
          <w:tcPr>
            <w:tcW w:w="6515" w:type="dxa"/>
            <w:shd w:val="clear" w:color="auto" w:fill="F2F2F2" w:themeFill="background1" w:themeFillShade="F2"/>
          </w:tcPr>
          <w:p w14:paraId="576C546D" w14:textId="2BBD1ED7" w:rsidR="000A2A12" w:rsidRPr="005D06BE" w:rsidRDefault="000A2A12" w:rsidP="00CE548F">
            <w:pPr>
              <w:pStyle w:val="Tabletext"/>
              <w:keepNext/>
              <w:spacing w:beforeLines="0" w:before="120" w:afterLines="0" w:after="120"/>
              <w:rPr>
                <w:sz w:val="20"/>
                <w:szCs w:val="20"/>
              </w:rPr>
            </w:pPr>
            <w:r w:rsidRPr="005D06BE">
              <w:rPr>
                <w:sz w:val="20"/>
                <w:szCs w:val="20"/>
              </w:rPr>
              <w:t xml:space="preserve">This should lead to better alignment of LGD estimates to key drivers of loss such as LVR and LMI. APRA is also considering the use of supervisory factors for certain LGD parameters, such as LMI, to ensure </w:t>
            </w:r>
            <w:r w:rsidR="00CE548F">
              <w:rPr>
                <w:sz w:val="20"/>
                <w:szCs w:val="20"/>
              </w:rPr>
              <w:t xml:space="preserve">a </w:t>
            </w:r>
            <w:r w:rsidRPr="005D06BE">
              <w:rPr>
                <w:sz w:val="20"/>
                <w:szCs w:val="20"/>
              </w:rPr>
              <w:t>consisten</w:t>
            </w:r>
            <w:r w:rsidR="00CE548F">
              <w:rPr>
                <w:sz w:val="20"/>
                <w:szCs w:val="20"/>
              </w:rPr>
              <w:t>t</w:t>
            </w:r>
            <w:r w:rsidRPr="005D06BE">
              <w:rPr>
                <w:sz w:val="20"/>
                <w:szCs w:val="20"/>
              </w:rPr>
              <w:t xml:space="preserve"> approach across IRB ADIs. APRA will be inviting ADIs to submit mortgage LGD models for assessment in late 2018 but is not expecting a significant decrease in average LGD estimates</w:t>
            </w:r>
            <w:r w:rsidR="004A3EAB" w:rsidRPr="005D06BE">
              <w:rPr>
                <w:sz w:val="20"/>
                <w:szCs w:val="20"/>
              </w:rPr>
              <w:t>.</w:t>
            </w:r>
            <w:r w:rsidR="00A462FA">
              <w:rPr>
                <w:sz w:val="20"/>
                <w:szCs w:val="20"/>
              </w:rPr>
              <w:t xml:space="preserve"> In the absence of a satisfactory LGD model, the floor would be 20 per cent.</w:t>
            </w:r>
          </w:p>
        </w:tc>
      </w:tr>
      <w:tr w:rsidR="000A2A12" w:rsidRPr="005D06BE" w14:paraId="011F4694" w14:textId="77777777" w:rsidTr="000A2A12">
        <w:tc>
          <w:tcPr>
            <w:tcW w:w="2269" w:type="dxa"/>
            <w:shd w:val="clear" w:color="auto" w:fill="002060"/>
          </w:tcPr>
          <w:p w14:paraId="3785985B" w14:textId="3F2C00DC" w:rsidR="000A2A12" w:rsidRPr="005D06BE" w:rsidRDefault="00B053D4" w:rsidP="00730B1A">
            <w:pPr>
              <w:pStyle w:val="APRANORMAL"/>
              <w:keepNext/>
              <w:spacing w:before="120" w:after="120"/>
              <w:rPr>
                <w:rFonts w:ascii="DIN OT Medium" w:hAnsi="DIN OT Medium"/>
                <w:sz w:val="20"/>
                <w:szCs w:val="20"/>
                <w:lang w:val="en-AU"/>
              </w:rPr>
            </w:pPr>
            <w:r w:rsidRPr="005D06BE">
              <w:rPr>
                <w:rFonts w:ascii="DIN OT Medium" w:hAnsi="DIN OT Medium"/>
                <w:sz w:val="20"/>
                <w:szCs w:val="20"/>
                <w:lang w:val="en-AU"/>
              </w:rPr>
              <w:t>Capital requirements for non</w:t>
            </w:r>
            <w:r w:rsidR="00AF7FB3" w:rsidRPr="005D06BE">
              <w:rPr>
                <w:rFonts w:ascii="DIN OT Medium" w:hAnsi="DIN OT Medium"/>
                <w:sz w:val="20"/>
                <w:szCs w:val="20"/>
                <w:lang w:val="en-AU"/>
              </w:rPr>
              <w:t xml:space="preserve">-standard mortgages </w:t>
            </w:r>
            <w:r w:rsidRPr="005D06BE">
              <w:rPr>
                <w:rFonts w:ascii="DIN OT Medium" w:hAnsi="DIN OT Medium"/>
                <w:sz w:val="20"/>
                <w:szCs w:val="20"/>
                <w:lang w:val="en-AU"/>
              </w:rPr>
              <w:t>use the standardised approach</w:t>
            </w:r>
          </w:p>
        </w:tc>
        <w:tc>
          <w:tcPr>
            <w:tcW w:w="6515" w:type="dxa"/>
            <w:shd w:val="clear" w:color="auto" w:fill="F2F2F2" w:themeFill="background1" w:themeFillShade="F2"/>
          </w:tcPr>
          <w:p w14:paraId="1B32A637" w14:textId="27B77B78" w:rsidR="000A2A12" w:rsidRPr="005D06BE" w:rsidRDefault="00B053D4" w:rsidP="00730B1A">
            <w:pPr>
              <w:pStyle w:val="Tabletext"/>
              <w:keepNext/>
              <w:spacing w:beforeLines="0" w:before="120" w:afterLines="0" w:after="120"/>
              <w:rPr>
                <w:sz w:val="20"/>
                <w:szCs w:val="20"/>
              </w:rPr>
            </w:pPr>
            <w:r w:rsidRPr="005D06BE">
              <w:rPr>
                <w:sz w:val="20"/>
                <w:szCs w:val="20"/>
              </w:rPr>
              <w:t xml:space="preserve">The </w:t>
            </w:r>
            <w:r w:rsidR="00E26517">
              <w:rPr>
                <w:sz w:val="20"/>
                <w:szCs w:val="20"/>
              </w:rPr>
              <w:t xml:space="preserve">definition of non-standard residential mortgage exposures would apply to IRB ADIs, including the </w:t>
            </w:r>
            <w:r w:rsidRPr="005D06BE">
              <w:rPr>
                <w:sz w:val="20"/>
                <w:szCs w:val="20"/>
              </w:rPr>
              <w:t>operational requirements for serviceability, marketability and valuation</w:t>
            </w:r>
            <w:r w:rsidR="00F23256">
              <w:rPr>
                <w:sz w:val="20"/>
                <w:szCs w:val="20"/>
              </w:rPr>
              <w:t xml:space="preserve"> and the treatment of loans to SMSFs and reverse </w:t>
            </w:r>
            <w:r w:rsidR="00FC332C">
              <w:rPr>
                <w:sz w:val="20"/>
                <w:szCs w:val="20"/>
              </w:rPr>
              <w:t>and shared equity</w:t>
            </w:r>
            <w:r w:rsidR="00F23256">
              <w:rPr>
                <w:sz w:val="20"/>
                <w:szCs w:val="20"/>
              </w:rPr>
              <w:t xml:space="preserve"> mortgages</w:t>
            </w:r>
            <w:r w:rsidR="00E26517">
              <w:rPr>
                <w:sz w:val="20"/>
                <w:szCs w:val="20"/>
              </w:rPr>
              <w:t xml:space="preserve">. </w:t>
            </w:r>
            <w:r w:rsidRPr="005D06BE">
              <w:rPr>
                <w:sz w:val="20"/>
                <w:szCs w:val="20"/>
              </w:rPr>
              <w:t>This proposal increases consistency between the IRB and standardised approaches</w:t>
            </w:r>
            <w:r w:rsidR="000A2A12" w:rsidRPr="005D06BE">
              <w:rPr>
                <w:sz w:val="20"/>
                <w:szCs w:val="20"/>
              </w:rPr>
              <w:t>.</w:t>
            </w:r>
          </w:p>
        </w:tc>
      </w:tr>
    </w:tbl>
    <w:p w14:paraId="38FD263B" w14:textId="4E6A110F" w:rsidR="000A2A12" w:rsidRDefault="000A2A12" w:rsidP="00C1502E">
      <w:pPr>
        <w:pStyle w:val="APRANORMAL"/>
      </w:pPr>
    </w:p>
    <w:p w14:paraId="6F42D8EF" w14:textId="03178DDA" w:rsidR="000D6570" w:rsidRDefault="000D6570" w:rsidP="00C1502E">
      <w:pPr>
        <w:pStyle w:val="APRANORMAL"/>
      </w:pPr>
      <w:r>
        <w:t xml:space="preserve">APRA is also revising the treatment of retail SME exposures secured by residential property, </w:t>
      </w:r>
      <w:r w:rsidR="00881B7D">
        <w:t>as</w:t>
      </w:r>
      <w:r>
        <w:t xml:space="preserve"> discussed in section 4.3.</w:t>
      </w:r>
    </w:p>
    <w:p w14:paraId="23607A5B" w14:textId="1EE0472D" w:rsidR="003F1B93" w:rsidRDefault="002F7552" w:rsidP="002C461E">
      <w:pPr>
        <w:pStyle w:val="APRAHEADING4"/>
      </w:pPr>
      <w:r>
        <w:lastRenderedPageBreak/>
        <w:t>Addressing FSI recommendation</w:t>
      </w:r>
      <w:r w:rsidR="004E7A66">
        <w:t> 2</w:t>
      </w:r>
      <w:r>
        <w:t xml:space="preserve"> and </w:t>
      </w:r>
      <w:r w:rsidR="00CF06C3">
        <w:t xml:space="preserve">APRA’s </w:t>
      </w:r>
      <w:r>
        <w:t xml:space="preserve">unquestionably strong </w:t>
      </w:r>
      <w:r w:rsidR="00CF06C3">
        <w:t xml:space="preserve">capital </w:t>
      </w:r>
      <w:r>
        <w:t>objectives</w:t>
      </w:r>
    </w:p>
    <w:p w14:paraId="65994250" w14:textId="6B177028" w:rsidR="001E5974" w:rsidRDefault="006D174F" w:rsidP="001E5974">
      <w:pPr>
        <w:pStyle w:val="APRANORMAL"/>
      </w:pPr>
      <w:r>
        <w:t xml:space="preserve">Consistent with the objectives of </w:t>
      </w:r>
      <w:r w:rsidR="009E2BB0">
        <w:t>the</w:t>
      </w:r>
      <w:r>
        <w:t xml:space="preserve"> </w:t>
      </w:r>
      <w:r w:rsidR="00CF06C3">
        <w:t xml:space="preserve">APRA’s July 2017 information paper on achieving </w:t>
      </w:r>
      <w:r>
        <w:t xml:space="preserve">unquestionably strong </w:t>
      </w:r>
      <w:r w:rsidR="00CF06C3">
        <w:t>capital</w:t>
      </w:r>
      <w:r>
        <w:t xml:space="preserve">, </w:t>
      </w:r>
      <w:r w:rsidR="001E5974">
        <w:t xml:space="preserve">APRA is planning to </w:t>
      </w:r>
      <w:r w:rsidR="004E1CBB">
        <w:t>strengthen</w:t>
      </w:r>
      <w:r w:rsidR="001E5974">
        <w:t xml:space="preserve"> </w:t>
      </w:r>
      <w:r w:rsidR="009E2BB0">
        <w:t xml:space="preserve">the </w:t>
      </w:r>
      <w:r w:rsidR="00804B75">
        <w:t>regulatory</w:t>
      </w:r>
      <w:r w:rsidR="009E2BB0">
        <w:t xml:space="preserve"> capital requirement for </w:t>
      </w:r>
      <w:r w:rsidR="001E5974">
        <w:t xml:space="preserve">residential mortgage </w:t>
      </w:r>
      <w:r w:rsidR="009E2BB0">
        <w:t>exposures</w:t>
      </w:r>
      <w:r w:rsidR="001E5974">
        <w:t xml:space="preserve"> from the</w:t>
      </w:r>
      <w:r w:rsidR="00FE6BB4">
        <w:t>ir current</w:t>
      </w:r>
      <w:r w:rsidR="001E5974">
        <w:t xml:space="preserve"> level</w:t>
      </w:r>
      <w:r w:rsidR="00FE6BB4">
        <w:t>s</w:t>
      </w:r>
      <w:r w:rsidR="001E5974">
        <w:t xml:space="preserve">. </w:t>
      </w:r>
    </w:p>
    <w:p w14:paraId="68833D2E" w14:textId="2309E7FE" w:rsidR="001E5974" w:rsidRDefault="00303B5B" w:rsidP="001E5974">
      <w:pPr>
        <w:pStyle w:val="APRANORMAL"/>
      </w:pPr>
      <w:r>
        <w:t>I</w:t>
      </w:r>
      <w:r w:rsidR="00292968">
        <w:t>n 2015</w:t>
      </w:r>
      <w:r w:rsidR="005770AF" w:rsidRPr="00FC0870">
        <w:t xml:space="preserve">, </w:t>
      </w:r>
      <w:r w:rsidR="00B062CA" w:rsidRPr="00FC0870">
        <w:t xml:space="preserve">APRA </w:t>
      </w:r>
      <w:r w:rsidR="00292968">
        <w:t>announced an interim</w:t>
      </w:r>
      <w:r w:rsidR="001E5974">
        <w:t xml:space="preserve"> </w:t>
      </w:r>
      <w:r w:rsidR="00FC0870">
        <w:t>increase</w:t>
      </w:r>
      <w:r w:rsidR="00292968">
        <w:t xml:space="preserve"> in</w:t>
      </w:r>
      <w:r w:rsidR="00B062CA" w:rsidRPr="00FC0870">
        <w:t xml:space="preserve"> the</w:t>
      </w:r>
      <w:r w:rsidR="005770AF" w:rsidRPr="00FC0870">
        <w:t xml:space="preserve"> calibration </w:t>
      </w:r>
      <w:r w:rsidR="009E2BB0">
        <w:t xml:space="preserve">of the IRB mortgage </w:t>
      </w:r>
      <w:r w:rsidR="00C45B32">
        <w:t>risk</w:t>
      </w:r>
      <w:r w:rsidR="00B27C49">
        <w:t>-</w:t>
      </w:r>
      <w:r w:rsidR="00C45B32">
        <w:t>weight function</w:t>
      </w:r>
      <w:r w:rsidR="005770AF" w:rsidRPr="00FC0870" w:rsidDel="00C45B32">
        <w:t xml:space="preserve"> </w:t>
      </w:r>
      <w:r w:rsidR="00C45B32">
        <w:t xml:space="preserve">in </w:t>
      </w:r>
      <w:r w:rsidR="001E5974">
        <w:t>response to</w:t>
      </w:r>
      <w:r w:rsidR="00B062CA" w:rsidRPr="00FC0870">
        <w:t xml:space="preserve"> recommendation 2 </w:t>
      </w:r>
      <w:r w:rsidR="00C45B32">
        <w:t>of the FSI</w:t>
      </w:r>
      <w:r w:rsidR="00B062CA" w:rsidRPr="00FC0870">
        <w:t xml:space="preserve"> </w:t>
      </w:r>
      <w:r w:rsidR="005770AF" w:rsidRPr="00FC0870">
        <w:t xml:space="preserve">on narrowing the difference between </w:t>
      </w:r>
      <w:r w:rsidR="007C375A">
        <w:t>average risk weights for residential mortgage exposures under the</w:t>
      </w:r>
      <w:r w:rsidR="005770AF" w:rsidRPr="00FC0870">
        <w:t xml:space="preserve"> IRB and </w:t>
      </w:r>
      <w:r w:rsidR="00BA3758">
        <w:t>s</w:t>
      </w:r>
      <w:r w:rsidR="005770AF" w:rsidRPr="00FC0870">
        <w:t>tandardised approaches.</w:t>
      </w:r>
      <w:r w:rsidR="001E5974">
        <w:t xml:space="preserve"> </w:t>
      </w:r>
      <w:r w:rsidR="00B062CA" w:rsidRPr="00FC0870">
        <w:t>The average residential mortgage risk weight</w:t>
      </w:r>
      <w:r w:rsidR="00733A3D">
        <w:t xml:space="preserve"> under the IRB approach</w:t>
      </w:r>
      <w:r w:rsidR="00B062CA" w:rsidRPr="00FC0870">
        <w:t xml:space="preserve"> was raised to at l</w:t>
      </w:r>
      <w:r w:rsidR="00524BC4">
        <w:t>east a 25 </w:t>
      </w:r>
      <w:r w:rsidR="001E5974">
        <w:t>per cent risk weight</w:t>
      </w:r>
      <w:r w:rsidR="00C45B32">
        <w:t xml:space="preserve"> by increasing the correlation factor</w:t>
      </w:r>
      <w:r w:rsidR="005770AF" w:rsidRPr="00FC0870">
        <w:t>.</w:t>
      </w:r>
      <w:r w:rsidR="001E5974">
        <w:t xml:space="preserve"> </w:t>
      </w:r>
    </w:p>
    <w:p w14:paraId="26FBC67E" w14:textId="3C6C4D07" w:rsidR="003F1B93" w:rsidRDefault="00B95F56" w:rsidP="001628C3">
      <w:pPr>
        <w:pStyle w:val="APRANORMAL"/>
      </w:pPr>
      <w:r>
        <w:t xml:space="preserve">Based on a similar </w:t>
      </w:r>
      <w:r w:rsidR="00DD5CF0">
        <w:t>segmentation</w:t>
      </w:r>
      <w:r>
        <w:t xml:space="preserve"> to the standardised approach, t</w:t>
      </w:r>
      <w:r w:rsidR="003F1B93">
        <w:t xml:space="preserve">wo </w:t>
      </w:r>
      <w:r w:rsidR="00EE021C">
        <w:t>potential</w:t>
      </w:r>
      <w:r w:rsidR="003F1B93">
        <w:t xml:space="preserve"> </w:t>
      </w:r>
      <w:r w:rsidR="00C53DEA">
        <w:t>IRB risk</w:t>
      </w:r>
      <w:r w:rsidR="00B27C49">
        <w:t>-</w:t>
      </w:r>
      <w:r w:rsidR="00C53DEA">
        <w:t>weight functions</w:t>
      </w:r>
      <w:r w:rsidR="00EE021C">
        <w:t xml:space="preserve"> </w:t>
      </w:r>
      <w:r w:rsidR="007C375A">
        <w:t xml:space="preserve">for residential mortgage exposures are </w:t>
      </w:r>
      <w:r w:rsidR="00FE6BB4">
        <w:t xml:space="preserve">shown </w:t>
      </w:r>
      <w:r w:rsidR="00340867">
        <w:t xml:space="preserve">in </w:t>
      </w:r>
      <w:r w:rsidR="00524BC4">
        <w:fldChar w:fldCharType="begin"/>
      </w:r>
      <w:r w:rsidR="00524BC4">
        <w:instrText xml:space="preserve"> REF _Ref502740291 \n \h </w:instrText>
      </w:r>
      <w:r w:rsidR="00524BC4">
        <w:fldChar w:fldCharType="separate"/>
      </w:r>
      <w:r w:rsidR="00EB1F7A">
        <w:t>Table 5</w:t>
      </w:r>
      <w:r w:rsidR="00524BC4">
        <w:fldChar w:fldCharType="end"/>
      </w:r>
      <w:r w:rsidR="000A5ADE">
        <w:t>.</w:t>
      </w:r>
      <w:r w:rsidR="003F1B93">
        <w:t xml:space="preserve"> These formulae will be subject to change as </w:t>
      </w:r>
      <w:r w:rsidR="001B7CA1">
        <w:t xml:space="preserve">the </w:t>
      </w:r>
      <w:r w:rsidR="003F1B93">
        <w:t>final calibration is determined.</w:t>
      </w:r>
      <w:r w:rsidR="00EA771A">
        <w:t xml:space="preserve"> An alternative approach to implementing the higher correlation for other residential mortgages could be through a multiplicative factor similar to the option being considered </w:t>
      </w:r>
      <w:r w:rsidR="00A04B3F">
        <w:t xml:space="preserve">for </w:t>
      </w:r>
      <w:r w:rsidR="00EA771A">
        <w:t>the standardised approach.</w:t>
      </w:r>
    </w:p>
    <w:p w14:paraId="14AE5E02" w14:textId="523CDC7A" w:rsidR="00340867" w:rsidRPr="000A7D8A" w:rsidRDefault="00340867" w:rsidP="00441787">
      <w:pPr>
        <w:pStyle w:val="APRATABLE-NUMBER"/>
      </w:pPr>
      <w:bookmarkStart w:id="146" w:name="_Ref502740291"/>
      <w:r w:rsidRPr="000A7D8A">
        <w:t xml:space="preserve">Indicative </w:t>
      </w:r>
      <w:r>
        <w:t>correlation formulae for residential mortgages</w:t>
      </w:r>
      <w:r w:rsidR="009D111A">
        <w:t xml:space="preserve"> under the IRB approach</w:t>
      </w:r>
      <w:bookmarkEnd w:id="146"/>
    </w:p>
    <w:tbl>
      <w:tblPr>
        <w:tblStyle w:val="TableGrid"/>
        <w:tblW w:w="98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4535"/>
        <w:gridCol w:w="3064"/>
      </w:tblGrid>
      <w:tr w:rsidR="00573B45" w:rsidRPr="00665689" w14:paraId="120866F7" w14:textId="77777777" w:rsidTr="00F35075">
        <w:trPr>
          <w:gridAfter w:val="1"/>
          <w:wAfter w:w="3064" w:type="dxa"/>
        </w:trPr>
        <w:tc>
          <w:tcPr>
            <w:tcW w:w="2268" w:type="dxa"/>
            <w:shd w:val="clear" w:color="auto" w:fill="002060"/>
          </w:tcPr>
          <w:p w14:paraId="4E1E8011" w14:textId="5EA05DE0" w:rsidR="00573B45" w:rsidRPr="00665689" w:rsidRDefault="00573B45" w:rsidP="0069032D">
            <w:pPr>
              <w:pStyle w:val="APRANORMAL"/>
              <w:spacing w:before="120" w:after="120"/>
              <w:rPr>
                <w:rFonts w:ascii="DIN OT Medium" w:hAnsi="DIN OT Medium"/>
                <w:sz w:val="20"/>
                <w:szCs w:val="20"/>
                <w:lang w:val="en-AU"/>
              </w:rPr>
            </w:pPr>
            <w:r>
              <w:rPr>
                <w:rFonts w:ascii="DIN OT Medium" w:hAnsi="DIN OT Medium"/>
                <w:sz w:val="20"/>
                <w:szCs w:val="20"/>
                <w:lang w:val="en-AU"/>
              </w:rPr>
              <w:t>Owner-occupied P&amp;I</w:t>
            </w:r>
          </w:p>
        </w:tc>
        <w:tc>
          <w:tcPr>
            <w:tcW w:w="4535" w:type="dxa"/>
            <w:shd w:val="clear" w:color="auto" w:fill="F2F2F2" w:themeFill="background1" w:themeFillShade="F2"/>
            <w:vAlign w:val="center"/>
          </w:tcPr>
          <w:p w14:paraId="0323DE00" w14:textId="77777777" w:rsidR="00573B45" w:rsidRPr="00665689" w:rsidRDefault="001D15BF" w:rsidP="0069032D">
            <w:pPr>
              <w:pStyle w:val="APRANORMAL"/>
              <w:spacing w:before="120" w:after="120"/>
              <w:jc w:val="center"/>
              <w:rPr>
                <w:sz w:val="20"/>
                <w:szCs w:val="20"/>
                <w:lang w:val="en-AU"/>
              </w:rPr>
            </w:pPr>
            <m:oMathPara>
              <m:oMath>
                <m:r>
                  <w:rPr>
                    <w:rFonts w:ascii="Cambria Math" w:hAnsi="Cambria Math"/>
                    <w:sz w:val="20"/>
                    <w:szCs w:val="20"/>
                  </w:rPr>
                  <m:t>0.15∙</m:t>
                </m:r>
                <m:f>
                  <m:fPr>
                    <m:ctrlPr>
                      <w:rPr>
                        <w:rFonts w:ascii="Cambria Math" w:hAnsi="Cambria Math"/>
                        <w:i/>
                        <w:sz w:val="20"/>
                        <w:szCs w:val="20"/>
                      </w:rPr>
                    </m:ctrlPr>
                  </m:fPr>
                  <m:num>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 PD</m:t>
                        </m:r>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m:t>
                        </m:r>
                      </m:sup>
                    </m:sSup>
                  </m:den>
                </m:f>
                <m:r>
                  <w:rPr>
                    <w:rFonts w:ascii="Cambria Math" w:hAnsi="Cambria Math"/>
                    <w:sz w:val="20"/>
                    <w:szCs w:val="20"/>
                  </w:rPr>
                  <m:t>+0.22∙</m:t>
                </m:r>
                <m:f>
                  <m:fPr>
                    <m:ctrlPr>
                      <w:rPr>
                        <w:rFonts w:ascii="Cambria Math" w:hAnsi="Cambria Math"/>
                        <w:i/>
                        <w:sz w:val="20"/>
                        <w:szCs w:val="20"/>
                      </w:rPr>
                    </m:ctrlPr>
                  </m:fPr>
                  <m:num>
                    <m:r>
                      <w:rPr>
                        <w:rFonts w:ascii="Cambria Math" w:hAnsi="Cambria Math"/>
                        <w:sz w:val="20"/>
                        <w:szCs w:val="20"/>
                      </w:rPr>
                      <m:t>1-(1-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 PD</m:t>
                        </m:r>
                      </m:sup>
                    </m:sSup>
                    <m:r>
                      <w:rPr>
                        <w:rFonts w:ascii="Cambria Math" w:hAnsi="Cambria Math"/>
                        <w:sz w:val="20"/>
                        <w:szCs w:val="20"/>
                      </w:rPr>
                      <m:t>)</m:t>
                    </m:r>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m:t>
                        </m:r>
                      </m:sup>
                    </m:sSup>
                  </m:den>
                </m:f>
              </m:oMath>
            </m:oMathPara>
          </w:p>
        </w:tc>
      </w:tr>
      <w:tr w:rsidR="00573B45" w:rsidRPr="00665689" w14:paraId="78EDDC26" w14:textId="77777777" w:rsidTr="00F35075">
        <w:tc>
          <w:tcPr>
            <w:tcW w:w="2268" w:type="dxa"/>
            <w:shd w:val="clear" w:color="auto" w:fill="002060"/>
          </w:tcPr>
          <w:p w14:paraId="6762D7B7" w14:textId="77777777" w:rsidR="00573B45" w:rsidRPr="00665689" w:rsidRDefault="00573B45" w:rsidP="0069032D">
            <w:pPr>
              <w:pStyle w:val="APRANORMAL"/>
              <w:spacing w:before="120" w:after="120"/>
              <w:rPr>
                <w:rFonts w:ascii="DIN OT Medium" w:hAnsi="DIN OT Medium"/>
                <w:sz w:val="20"/>
                <w:szCs w:val="20"/>
                <w:lang w:val="en-AU"/>
              </w:rPr>
            </w:pPr>
            <w:r>
              <w:rPr>
                <w:rFonts w:ascii="DIN OT Medium" w:hAnsi="DIN OT Medium"/>
                <w:sz w:val="20"/>
                <w:szCs w:val="20"/>
                <w:lang w:val="en-AU"/>
              </w:rPr>
              <w:t>Other residential mortgages</w:t>
            </w:r>
          </w:p>
        </w:tc>
        <w:tc>
          <w:tcPr>
            <w:tcW w:w="4535" w:type="dxa"/>
            <w:shd w:val="clear" w:color="auto" w:fill="F2F2F2" w:themeFill="background1" w:themeFillShade="F2"/>
            <w:vAlign w:val="center"/>
          </w:tcPr>
          <w:p w14:paraId="55FA6AFC" w14:textId="77777777" w:rsidR="00573B45" w:rsidRPr="00665689" w:rsidRDefault="001D15BF" w:rsidP="0069032D">
            <w:pPr>
              <w:pStyle w:val="APRANORMAL"/>
              <w:spacing w:before="120" w:after="120"/>
              <w:jc w:val="center"/>
              <w:rPr>
                <w:sz w:val="20"/>
                <w:szCs w:val="20"/>
                <w:lang w:val="en-AU"/>
              </w:rPr>
            </w:pPr>
            <m:oMathPara>
              <m:oMath>
                <m:r>
                  <w:rPr>
                    <w:rFonts w:ascii="Cambria Math" w:hAnsi="Cambria Math"/>
                    <w:sz w:val="20"/>
                    <w:szCs w:val="20"/>
                  </w:rPr>
                  <m:t>0.2∙</m:t>
                </m:r>
                <m:f>
                  <m:fPr>
                    <m:ctrlPr>
                      <w:rPr>
                        <w:rFonts w:ascii="Cambria Math" w:hAnsi="Cambria Math"/>
                        <w:i/>
                        <w:sz w:val="20"/>
                        <w:szCs w:val="20"/>
                      </w:rPr>
                    </m:ctrlPr>
                  </m:fPr>
                  <m:num>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 PD</m:t>
                        </m:r>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m:t>
                        </m:r>
                      </m:sup>
                    </m:sSup>
                  </m:den>
                </m:f>
                <m:r>
                  <w:rPr>
                    <w:rFonts w:ascii="Cambria Math" w:hAnsi="Cambria Math"/>
                    <w:sz w:val="20"/>
                    <w:szCs w:val="20"/>
                  </w:rPr>
                  <m:t>+0.27∙</m:t>
                </m:r>
                <m:f>
                  <m:fPr>
                    <m:ctrlPr>
                      <w:rPr>
                        <w:rFonts w:ascii="Cambria Math" w:hAnsi="Cambria Math"/>
                        <w:i/>
                        <w:sz w:val="20"/>
                        <w:szCs w:val="20"/>
                      </w:rPr>
                    </m:ctrlPr>
                  </m:fPr>
                  <m:num>
                    <m:r>
                      <w:rPr>
                        <w:rFonts w:ascii="Cambria Math" w:hAnsi="Cambria Math"/>
                        <w:sz w:val="20"/>
                        <w:szCs w:val="20"/>
                      </w:rPr>
                      <m:t>1-(1-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 PD</m:t>
                        </m:r>
                      </m:sup>
                    </m:sSup>
                    <m:r>
                      <w:rPr>
                        <w:rFonts w:ascii="Cambria Math" w:hAnsi="Cambria Math"/>
                        <w:sz w:val="20"/>
                        <w:szCs w:val="20"/>
                      </w:rPr>
                      <m:t>)</m:t>
                    </m:r>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-35</m:t>
                        </m:r>
                      </m:sup>
                    </m:sSup>
                  </m:den>
                </m:f>
              </m:oMath>
            </m:oMathPara>
          </w:p>
        </w:tc>
        <w:tc>
          <w:tcPr>
            <w:tcW w:w="3064" w:type="dxa"/>
            <w:vAlign w:val="center"/>
          </w:tcPr>
          <w:p w14:paraId="02E727C8" w14:textId="77777777" w:rsidR="00573B45" w:rsidRPr="00665689" w:rsidRDefault="00573B45" w:rsidP="0069032D">
            <w:pPr>
              <w:spacing w:before="120" w:after="120" w:line="288" w:lineRule="auto"/>
              <w:rPr>
                <w:sz w:val="20"/>
                <w:szCs w:val="20"/>
              </w:rPr>
            </w:pPr>
          </w:p>
        </w:tc>
      </w:tr>
    </w:tbl>
    <w:p w14:paraId="0A8365BB" w14:textId="5E06C151" w:rsidR="003F1B93" w:rsidRDefault="003F1B93" w:rsidP="001628C3">
      <w:pPr>
        <w:pStyle w:val="APRANORMAL"/>
      </w:pPr>
    </w:p>
    <w:p w14:paraId="186C70CB" w14:textId="5BDC064D" w:rsidR="00377913" w:rsidRPr="000A7D8A" w:rsidRDefault="000C4D75" w:rsidP="001628C3">
      <w:pPr>
        <w:pStyle w:val="APRANORMAL"/>
      </w:pPr>
      <w:r>
        <w:t>The proposals in this discussion paper result in a similar average correlation</w:t>
      </w:r>
      <w:r w:rsidR="00821463">
        <w:t xml:space="preserve"> to current levels</w:t>
      </w:r>
      <w:r>
        <w:t xml:space="preserve">, while moving to a more granular approach to better align with risk. </w:t>
      </w:r>
      <w:r w:rsidR="005E08F0" w:rsidRPr="000A7D8A">
        <w:t>On their own</w:t>
      </w:r>
      <w:r w:rsidR="00C53DEA">
        <w:t>, however</w:t>
      </w:r>
      <w:r w:rsidR="005E08F0" w:rsidRPr="000A7D8A">
        <w:t>, these IRB mortgage risk</w:t>
      </w:r>
      <w:r w:rsidR="00B27C49">
        <w:t>-</w:t>
      </w:r>
      <w:r w:rsidR="005E08F0" w:rsidRPr="000A7D8A">
        <w:t>weight functions are not expected to result in a</w:t>
      </w:r>
      <w:r w:rsidR="00CF06C3">
        <w:t xml:space="preserve"> sufficient </w:t>
      </w:r>
      <w:r w:rsidR="005E08F0" w:rsidRPr="000A7D8A">
        <w:t xml:space="preserve">level of capital </w:t>
      </w:r>
      <w:r w:rsidR="008826A0" w:rsidRPr="000A7D8A">
        <w:t xml:space="preserve">to </w:t>
      </w:r>
      <w:r w:rsidR="000A3FD0">
        <w:t>meet</w:t>
      </w:r>
      <w:r w:rsidR="008826A0" w:rsidRPr="000A7D8A">
        <w:t xml:space="preserve"> </w:t>
      </w:r>
      <w:r w:rsidR="00CF06C3">
        <w:t>APRA’s</w:t>
      </w:r>
      <w:r w:rsidR="002342F8" w:rsidRPr="000A7D8A">
        <w:t xml:space="preserve"> objectives </w:t>
      </w:r>
      <w:r w:rsidR="00CF06C3">
        <w:t xml:space="preserve">for </w:t>
      </w:r>
      <w:r w:rsidR="000A3FD0">
        <w:t xml:space="preserve">increased </w:t>
      </w:r>
      <w:r w:rsidR="00CF06C3">
        <w:t xml:space="preserve">capital </w:t>
      </w:r>
      <w:r w:rsidR="002342F8" w:rsidRPr="000A7D8A">
        <w:t>for residential mortgage exposures</w:t>
      </w:r>
      <w:r w:rsidR="005E08F0" w:rsidRPr="000A7D8A">
        <w:t xml:space="preserve">. </w:t>
      </w:r>
      <w:r w:rsidR="00407246" w:rsidRPr="000A7D8A">
        <w:t>However, any further increase in correlation for the IRB mortgage risk</w:t>
      </w:r>
      <w:r w:rsidR="00B27C49">
        <w:t>-</w:t>
      </w:r>
      <w:r w:rsidR="00407246" w:rsidRPr="000A7D8A">
        <w:t xml:space="preserve">weight function </w:t>
      </w:r>
      <w:r w:rsidR="009E7B28" w:rsidRPr="000A7D8A">
        <w:t>creates</w:t>
      </w:r>
      <w:r w:rsidR="00512FE3" w:rsidRPr="000A7D8A">
        <w:t xml:space="preserve"> inconsisten</w:t>
      </w:r>
      <w:r w:rsidR="009E7B28" w:rsidRPr="000A7D8A">
        <w:t>cies</w:t>
      </w:r>
      <w:r w:rsidR="00512FE3" w:rsidRPr="000A7D8A">
        <w:t xml:space="preserve"> </w:t>
      </w:r>
      <w:r w:rsidR="00AF4304">
        <w:t>with</w:t>
      </w:r>
      <w:r w:rsidR="00512FE3" w:rsidRPr="000A7D8A">
        <w:t xml:space="preserve"> </w:t>
      </w:r>
      <w:r w:rsidR="00BB2465" w:rsidRPr="000A7D8A">
        <w:t xml:space="preserve">correlation </w:t>
      </w:r>
      <w:r w:rsidR="000904B0">
        <w:t>factor</w:t>
      </w:r>
      <w:r w:rsidR="00512FE3" w:rsidRPr="000A7D8A">
        <w:t>s for other asset classes</w:t>
      </w:r>
      <w:r w:rsidR="000F07C6" w:rsidRPr="000A7D8A">
        <w:t>.</w:t>
      </w:r>
      <w:r w:rsidR="009D1FD0" w:rsidRPr="000A7D8A">
        <w:t xml:space="preserve"> </w:t>
      </w:r>
    </w:p>
    <w:p w14:paraId="31DCE929" w14:textId="345585DE" w:rsidR="00CA6CB2" w:rsidRDefault="000A3FD0" w:rsidP="001628C3">
      <w:pPr>
        <w:pStyle w:val="APRANORMAL"/>
      </w:pPr>
      <w:r>
        <w:t xml:space="preserve">As a result, as discussed further in Chapter 7, other </w:t>
      </w:r>
      <w:r w:rsidR="004D0B92" w:rsidRPr="000A7D8A">
        <w:t>adjustment</w:t>
      </w:r>
      <w:r>
        <w:t>s</w:t>
      </w:r>
      <w:r w:rsidR="004D0B92" w:rsidRPr="000A7D8A">
        <w:t xml:space="preserve"> </w:t>
      </w:r>
      <w:r>
        <w:t>are</w:t>
      </w:r>
      <w:r w:rsidR="004D0B92" w:rsidRPr="000A7D8A">
        <w:t xml:space="preserve"> </w:t>
      </w:r>
      <w:r w:rsidR="000817DD">
        <w:t>likely to be necessary</w:t>
      </w:r>
      <w:r>
        <w:t xml:space="preserve"> to meet </w:t>
      </w:r>
      <w:r w:rsidR="004D0B92" w:rsidRPr="000A7D8A">
        <w:t>unquestionably strong</w:t>
      </w:r>
      <w:r>
        <w:t xml:space="preserve"> capital</w:t>
      </w:r>
      <w:r w:rsidR="004D0B92" w:rsidRPr="000A7D8A">
        <w:t xml:space="preserve"> </w:t>
      </w:r>
      <w:r>
        <w:t>expectations</w:t>
      </w:r>
      <w:r w:rsidR="00711F70" w:rsidRPr="000A7D8A">
        <w:t>.</w:t>
      </w:r>
      <w:r w:rsidR="004D0B92" w:rsidRPr="000A7D8A">
        <w:t xml:space="preserve"> For residential mortgages, this is</w:t>
      </w:r>
      <w:r w:rsidR="003F1B93" w:rsidRPr="000A7D8A">
        <w:t xml:space="preserve"> </w:t>
      </w:r>
      <w:r w:rsidR="00F129CE" w:rsidRPr="00C40923">
        <w:t>expected to</w:t>
      </w:r>
      <w:r w:rsidR="003F1B93" w:rsidRPr="00C40923">
        <w:t xml:space="preserve"> be through additional </w:t>
      </w:r>
      <w:r w:rsidR="00EE021C" w:rsidRPr="00C40923">
        <w:t xml:space="preserve">RWA </w:t>
      </w:r>
      <w:r w:rsidR="003F1B93" w:rsidRPr="00C40923">
        <w:t xml:space="preserve">overlays on top of the outputs of the </w:t>
      </w:r>
      <w:r w:rsidR="00EC4928" w:rsidRPr="00C40923">
        <w:t>IRB risk</w:t>
      </w:r>
      <w:r w:rsidR="00B27C49">
        <w:t>-</w:t>
      </w:r>
      <w:r w:rsidR="00EC4928" w:rsidRPr="00C40923">
        <w:t>weight function</w:t>
      </w:r>
      <w:r w:rsidR="004D0B92" w:rsidRPr="000A7D8A">
        <w:t>, including</w:t>
      </w:r>
      <w:r w:rsidR="003F1B93" w:rsidRPr="00C40923">
        <w:t xml:space="preserve"> both an overlay specifically for residential mortgages and an overlay for total RWA. </w:t>
      </w:r>
    </w:p>
    <w:p w14:paraId="269B92BC" w14:textId="6014C8C1" w:rsidR="0062591A" w:rsidRDefault="003F1B93" w:rsidP="001628C3">
      <w:pPr>
        <w:pStyle w:val="APRANORMAL"/>
      </w:pPr>
      <w:r w:rsidRPr="00C40923">
        <w:lastRenderedPageBreak/>
        <w:t xml:space="preserve">The exact form and size of these overlays will be determined after </w:t>
      </w:r>
      <w:r w:rsidR="00CA6CB2">
        <w:t xml:space="preserve">APRA has </w:t>
      </w:r>
      <w:r w:rsidR="00FF6F4B">
        <w:t>completed its</w:t>
      </w:r>
      <w:r w:rsidR="00CA6CB2">
        <w:t xml:space="preserve"> </w:t>
      </w:r>
      <w:r w:rsidRPr="00C40923">
        <w:t>QIS</w:t>
      </w:r>
      <w:r w:rsidR="00FF6F4B">
        <w:t xml:space="preserve"> analysis</w:t>
      </w:r>
      <w:r w:rsidRPr="00C40923">
        <w:t>.</w:t>
      </w:r>
      <w:r w:rsidR="00F129CE" w:rsidRPr="00C40923">
        <w:t xml:space="preserve"> </w:t>
      </w:r>
      <w:r w:rsidR="00CA6CB2">
        <w:t xml:space="preserve">In determining final calibration of the regulatory capital requirement for residential mortgage exposures, </w:t>
      </w:r>
      <w:r w:rsidR="00F129CE" w:rsidRPr="00C40923">
        <w:t xml:space="preserve">APRA will </w:t>
      </w:r>
      <w:r w:rsidR="008E4F28">
        <w:t>consider the appropriate</w:t>
      </w:r>
      <w:r w:rsidR="005E08F0" w:rsidRPr="00CE6B12">
        <w:t xml:space="preserve"> difference in the average risk weights under the IRB and standardised approaches, consistent with recommendation 2 of the FSI</w:t>
      </w:r>
      <w:r w:rsidR="00F129CE" w:rsidRPr="00C40923">
        <w:t>.</w:t>
      </w:r>
      <w:r w:rsidR="0062591A">
        <w:t xml:space="preserve"> As detailed in the </w:t>
      </w:r>
      <w:r w:rsidR="00FE6BB4">
        <w:t xml:space="preserve">final report </w:t>
      </w:r>
      <w:r w:rsidR="0062591A">
        <w:t xml:space="preserve">of the FSI, given the IRB approach is more risk sensitive, some difference between the average risk weights for residential mortgage exposures under the different approaches to credit risk </w:t>
      </w:r>
      <w:r w:rsidR="008E4F28">
        <w:t>may be justified</w:t>
      </w:r>
      <w:r w:rsidR="009D111A">
        <w:t>;</w:t>
      </w:r>
      <w:r w:rsidR="0062591A">
        <w:t xml:space="preserve"> however, it should not be of </w:t>
      </w:r>
      <w:r w:rsidR="008E4F28">
        <w:t>a</w:t>
      </w:r>
      <w:r w:rsidR="0062591A">
        <w:t xml:space="preserve"> magnitude to create </w:t>
      </w:r>
      <w:r w:rsidR="008E5407">
        <w:t xml:space="preserve">unwarranted </w:t>
      </w:r>
      <w:r w:rsidR="0062591A">
        <w:t>competit</w:t>
      </w:r>
      <w:r w:rsidR="004E7A66">
        <w:t>ive distortions.</w:t>
      </w:r>
    </w:p>
    <w:p w14:paraId="4CCB9308" w14:textId="1A4709A7" w:rsidR="00A86EB8" w:rsidRDefault="00F9221D" w:rsidP="00A86EB8">
      <w:pPr>
        <w:pStyle w:val="APRAHEADING1"/>
      </w:pPr>
      <w:bookmarkStart w:id="147" w:name="_Toc500151934"/>
      <w:bookmarkStart w:id="148" w:name="_Toc492996521"/>
      <w:bookmarkStart w:id="149" w:name="_Toc493154153"/>
      <w:bookmarkStart w:id="150" w:name="_Toc493154599"/>
      <w:bookmarkStart w:id="151" w:name="_Toc493240103"/>
      <w:bookmarkStart w:id="152" w:name="_Toc493240609"/>
      <w:bookmarkStart w:id="153" w:name="_Toc494189575"/>
      <w:bookmarkStart w:id="154" w:name="_Toc496184503"/>
      <w:bookmarkStart w:id="155" w:name="_Toc497209098"/>
      <w:r>
        <w:lastRenderedPageBreak/>
        <w:t xml:space="preserve"> </w:t>
      </w:r>
      <w:bookmarkStart w:id="156" w:name="_Toc505676413"/>
      <w:bookmarkStart w:id="157" w:name="_Toc505676505"/>
      <w:bookmarkStart w:id="158" w:name="_Toc505681577"/>
      <w:bookmarkStart w:id="159" w:name="_Toc505681759"/>
      <w:bookmarkStart w:id="160" w:name="_Toc505854703"/>
      <w:bookmarkStart w:id="161" w:name="_Toc506285803"/>
      <w:r>
        <w:t xml:space="preserve">- </w:t>
      </w:r>
      <w:r w:rsidR="00A86EB8">
        <w:t>Credit risk: other standardised exposures</w:t>
      </w:r>
      <w:bookmarkEnd w:id="147"/>
      <w:bookmarkEnd w:id="156"/>
      <w:bookmarkEnd w:id="157"/>
      <w:bookmarkEnd w:id="158"/>
      <w:bookmarkEnd w:id="159"/>
      <w:bookmarkEnd w:id="160"/>
      <w:bookmarkEnd w:id="161"/>
    </w:p>
    <w:p w14:paraId="57E4ED18" w14:textId="0ADD1401" w:rsidR="00C974CB" w:rsidRDefault="00D811B3" w:rsidP="005B23C1">
      <w:pPr>
        <w:pStyle w:val="APRANORMAL"/>
        <w:rPr>
          <w:lang w:eastAsia="en-AU"/>
        </w:rPr>
      </w:pPr>
      <w:r>
        <w:rPr>
          <w:lang w:eastAsia="en-AU"/>
        </w:rPr>
        <w:t xml:space="preserve">The Basel III </w:t>
      </w:r>
      <w:r w:rsidR="003A2AB1">
        <w:rPr>
          <w:lang w:eastAsia="en-AU"/>
        </w:rPr>
        <w:t xml:space="preserve">reforms </w:t>
      </w:r>
      <w:r>
        <w:rPr>
          <w:lang w:eastAsia="en-AU"/>
        </w:rPr>
        <w:t xml:space="preserve">also revised the treatment of exposures </w:t>
      </w:r>
      <w:r w:rsidR="00BA404E">
        <w:rPr>
          <w:lang w:eastAsia="en-AU"/>
        </w:rPr>
        <w:t xml:space="preserve">other than residential </w:t>
      </w:r>
      <w:r w:rsidR="007F3EDE">
        <w:rPr>
          <w:lang w:eastAsia="en-AU"/>
        </w:rPr>
        <w:t>property</w:t>
      </w:r>
      <w:r w:rsidR="00BA404E">
        <w:rPr>
          <w:lang w:eastAsia="en-AU"/>
        </w:rPr>
        <w:t xml:space="preserve"> </w:t>
      </w:r>
      <w:r>
        <w:rPr>
          <w:lang w:eastAsia="en-AU"/>
        </w:rPr>
        <w:t xml:space="preserve">under the standardised approach. </w:t>
      </w:r>
      <w:r w:rsidR="00123BCE">
        <w:rPr>
          <w:lang w:eastAsia="en-AU"/>
        </w:rPr>
        <w:t>The</w:t>
      </w:r>
      <w:r w:rsidR="00A8301D">
        <w:rPr>
          <w:lang w:eastAsia="en-AU"/>
        </w:rPr>
        <w:t>se</w:t>
      </w:r>
      <w:r w:rsidR="00123BCE">
        <w:rPr>
          <w:lang w:eastAsia="en-AU"/>
        </w:rPr>
        <w:t xml:space="preserve"> revisions</w:t>
      </w:r>
      <w:r w:rsidR="00AC184A">
        <w:rPr>
          <w:lang w:eastAsia="en-AU"/>
        </w:rPr>
        <w:t xml:space="preserve"> improve the risk sensitivity of RWA outcomes and</w:t>
      </w:r>
      <w:r w:rsidR="00123BCE">
        <w:rPr>
          <w:lang w:eastAsia="en-AU"/>
        </w:rPr>
        <w:t xml:space="preserve"> </w:t>
      </w:r>
      <w:r w:rsidR="00A8301D">
        <w:rPr>
          <w:lang w:eastAsia="en-AU"/>
        </w:rPr>
        <w:t>include</w:t>
      </w:r>
      <w:r w:rsidR="0048386D">
        <w:rPr>
          <w:lang w:eastAsia="en-AU"/>
        </w:rPr>
        <w:t xml:space="preserve"> </w:t>
      </w:r>
      <w:r w:rsidR="002B281B">
        <w:rPr>
          <w:lang w:eastAsia="en-AU"/>
        </w:rPr>
        <w:t xml:space="preserve">both </w:t>
      </w:r>
      <w:r w:rsidR="00377A29">
        <w:rPr>
          <w:lang w:eastAsia="en-AU"/>
        </w:rPr>
        <w:t>additional granularity</w:t>
      </w:r>
      <w:r w:rsidR="00123BCE">
        <w:rPr>
          <w:lang w:eastAsia="en-AU"/>
        </w:rPr>
        <w:t xml:space="preserve"> </w:t>
      </w:r>
      <w:r w:rsidR="00A8301D">
        <w:rPr>
          <w:lang w:eastAsia="en-AU"/>
        </w:rPr>
        <w:t>and</w:t>
      </w:r>
      <w:r w:rsidR="0048386D">
        <w:rPr>
          <w:lang w:eastAsia="en-AU"/>
        </w:rPr>
        <w:t xml:space="preserve"> </w:t>
      </w:r>
      <w:r w:rsidR="00D45BF7">
        <w:rPr>
          <w:lang w:eastAsia="en-AU"/>
        </w:rPr>
        <w:t>recalibration of</w:t>
      </w:r>
      <w:r w:rsidR="00A8301D">
        <w:rPr>
          <w:lang w:eastAsia="en-AU"/>
        </w:rPr>
        <w:t xml:space="preserve"> existing risk weights and credit conversion factors</w:t>
      </w:r>
      <w:r w:rsidR="001212CF">
        <w:rPr>
          <w:lang w:eastAsia="en-AU"/>
        </w:rPr>
        <w:t xml:space="preserve"> </w:t>
      </w:r>
      <w:r w:rsidR="007F6685">
        <w:rPr>
          <w:lang w:eastAsia="en-AU"/>
        </w:rPr>
        <w:t xml:space="preserve">(CCFs) </w:t>
      </w:r>
      <w:r w:rsidR="001212CF">
        <w:rPr>
          <w:lang w:eastAsia="en-AU"/>
        </w:rPr>
        <w:t>for some portfolios</w:t>
      </w:r>
      <w:r w:rsidR="0048386D">
        <w:rPr>
          <w:lang w:eastAsia="en-AU"/>
        </w:rPr>
        <w:t xml:space="preserve">. </w:t>
      </w:r>
      <w:r w:rsidR="0026463F" w:rsidRPr="00FF6F4B">
        <w:rPr>
          <w:lang w:eastAsia="en-AU"/>
        </w:rPr>
        <w:t>APRA</w:t>
      </w:r>
      <w:r w:rsidR="005935F9" w:rsidRPr="00FF6F4B">
        <w:rPr>
          <w:lang w:eastAsia="en-AU"/>
        </w:rPr>
        <w:t xml:space="preserve"> </w:t>
      </w:r>
      <w:r w:rsidRPr="00FF6F4B">
        <w:rPr>
          <w:lang w:eastAsia="en-AU"/>
        </w:rPr>
        <w:t xml:space="preserve">generally </w:t>
      </w:r>
      <w:r w:rsidR="005935F9" w:rsidRPr="00FF6F4B">
        <w:rPr>
          <w:lang w:eastAsia="en-AU"/>
        </w:rPr>
        <w:t>proposes</w:t>
      </w:r>
      <w:r w:rsidR="0026463F" w:rsidRPr="00FF6F4B">
        <w:rPr>
          <w:lang w:eastAsia="en-AU"/>
        </w:rPr>
        <w:t xml:space="preserve"> to implement the</w:t>
      </w:r>
      <w:r w:rsidRPr="00FF6F4B">
        <w:rPr>
          <w:lang w:eastAsia="en-AU"/>
        </w:rPr>
        <w:t xml:space="preserve">se revisions, </w:t>
      </w:r>
      <w:r w:rsidR="0026463F" w:rsidRPr="00FF6F4B">
        <w:rPr>
          <w:lang w:eastAsia="en-AU"/>
        </w:rPr>
        <w:t xml:space="preserve">with </w:t>
      </w:r>
      <w:r w:rsidRPr="00FF6F4B">
        <w:rPr>
          <w:lang w:eastAsia="en-AU"/>
        </w:rPr>
        <w:t xml:space="preserve">some </w:t>
      </w:r>
      <w:r w:rsidR="0026463F" w:rsidRPr="00FF6F4B">
        <w:rPr>
          <w:lang w:eastAsia="en-AU"/>
        </w:rPr>
        <w:t xml:space="preserve">adjustments to </w:t>
      </w:r>
      <w:r w:rsidR="000748BF">
        <w:rPr>
          <w:lang w:eastAsia="en-AU"/>
        </w:rPr>
        <w:t>reflect</w:t>
      </w:r>
      <w:r w:rsidR="00FF6F4B">
        <w:rPr>
          <w:lang w:eastAsia="en-AU"/>
        </w:rPr>
        <w:t xml:space="preserve"> APRA’s preferred </w:t>
      </w:r>
      <w:r w:rsidR="000748BF">
        <w:rPr>
          <w:lang w:eastAsia="en-AU"/>
        </w:rPr>
        <w:t>approach in specific areas</w:t>
      </w:r>
      <w:r w:rsidR="0026463F" w:rsidRPr="00FF6F4B">
        <w:rPr>
          <w:lang w:eastAsia="en-AU"/>
        </w:rPr>
        <w:t>.</w:t>
      </w:r>
      <w:r w:rsidR="0026463F">
        <w:rPr>
          <w:lang w:eastAsia="en-AU"/>
        </w:rPr>
        <w:t xml:space="preserve"> </w:t>
      </w:r>
    </w:p>
    <w:p w14:paraId="7A41970B" w14:textId="18F93E36" w:rsidR="009D111A" w:rsidRDefault="00A86EB8" w:rsidP="003E1593">
      <w:pPr>
        <w:pStyle w:val="APRANORMAL"/>
        <w:rPr>
          <w:lang w:eastAsia="en-AU"/>
        </w:rPr>
      </w:pPr>
      <w:r w:rsidRPr="007B09AD">
        <w:rPr>
          <w:lang w:eastAsia="en-AU"/>
        </w:rPr>
        <w:t xml:space="preserve">This chapter </w:t>
      </w:r>
      <w:r>
        <w:rPr>
          <w:lang w:eastAsia="en-AU"/>
        </w:rPr>
        <w:t>outlines</w:t>
      </w:r>
      <w:r w:rsidRPr="007B09AD">
        <w:rPr>
          <w:lang w:eastAsia="en-AU"/>
        </w:rPr>
        <w:t xml:space="preserve"> </w:t>
      </w:r>
      <w:r w:rsidR="00BA404E">
        <w:rPr>
          <w:lang w:eastAsia="en-AU"/>
        </w:rPr>
        <w:t xml:space="preserve">the most significant of </w:t>
      </w:r>
      <w:r w:rsidR="00D811B3">
        <w:rPr>
          <w:lang w:eastAsia="en-AU"/>
        </w:rPr>
        <w:t>these</w:t>
      </w:r>
      <w:r>
        <w:rPr>
          <w:lang w:eastAsia="en-AU"/>
        </w:rPr>
        <w:t xml:space="preserve"> proposed </w:t>
      </w:r>
      <w:r w:rsidR="00C974CB">
        <w:rPr>
          <w:lang w:eastAsia="en-AU"/>
        </w:rPr>
        <w:t>adjustment</w:t>
      </w:r>
      <w:r w:rsidR="0073589A">
        <w:rPr>
          <w:lang w:eastAsia="en-AU"/>
        </w:rPr>
        <w:t>s</w:t>
      </w:r>
      <w:r w:rsidR="00BA404E">
        <w:rPr>
          <w:lang w:eastAsia="en-AU"/>
        </w:rPr>
        <w:t>, which are</w:t>
      </w:r>
      <w:r w:rsidR="00785F1E">
        <w:rPr>
          <w:lang w:eastAsia="en-AU"/>
        </w:rPr>
        <w:t xml:space="preserve"> to </w:t>
      </w:r>
      <w:r w:rsidR="008B64B3">
        <w:rPr>
          <w:lang w:eastAsia="en-AU"/>
        </w:rPr>
        <w:t xml:space="preserve">risk weights for </w:t>
      </w:r>
      <w:r w:rsidR="0096713D">
        <w:rPr>
          <w:lang w:eastAsia="en-AU"/>
        </w:rPr>
        <w:t xml:space="preserve">some </w:t>
      </w:r>
      <w:r w:rsidR="00785F1E">
        <w:rPr>
          <w:lang w:eastAsia="en-AU"/>
        </w:rPr>
        <w:t>corporate</w:t>
      </w:r>
      <w:r w:rsidR="00785F1E" w:rsidRPr="00785F1E">
        <w:rPr>
          <w:lang w:eastAsia="en-AU"/>
        </w:rPr>
        <w:t xml:space="preserve"> </w:t>
      </w:r>
      <w:r w:rsidR="00785F1E">
        <w:rPr>
          <w:lang w:eastAsia="en-AU"/>
        </w:rPr>
        <w:t xml:space="preserve">and retail </w:t>
      </w:r>
      <w:r w:rsidR="008B64B3">
        <w:rPr>
          <w:lang w:eastAsia="en-AU"/>
        </w:rPr>
        <w:t>exposures</w:t>
      </w:r>
      <w:r w:rsidR="00785F1E">
        <w:rPr>
          <w:lang w:eastAsia="en-AU"/>
        </w:rPr>
        <w:t xml:space="preserve"> and to </w:t>
      </w:r>
      <w:r w:rsidR="00345331">
        <w:rPr>
          <w:lang w:eastAsia="en-AU"/>
        </w:rPr>
        <w:t>some</w:t>
      </w:r>
      <w:r w:rsidR="00383990">
        <w:rPr>
          <w:lang w:eastAsia="en-AU"/>
        </w:rPr>
        <w:t xml:space="preserve"> </w:t>
      </w:r>
      <w:r w:rsidR="00B0486F">
        <w:rPr>
          <w:lang w:eastAsia="en-AU"/>
        </w:rPr>
        <w:t>CCFs</w:t>
      </w:r>
      <w:r w:rsidR="00D95EAF">
        <w:rPr>
          <w:lang w:eastAsia="en-AU"/>
        </w:rPr>
        <w:t xml:space="preserve"> for off-balance sheet exposures</w:t>
      </w:r>
      <w:r w:rsidR="00785F1E">
        <w:rPr>
          <w:lang w:eastAsia="en-AU"/>
        </w:rPr>
        <w:t>.</w:t>
      </w:r>
      <w:r w:rsidR="0073210C">
        <w:rPr>
          <w:lang w:eastAsia="en-AU"/>
        </w:rPr>
        <w:t xml:space="preserve"> </w:t>
      </w:r>
    </w:p>
    <w:p w14:paraId="7BB1EE20" w14:textId="750797DE" w:rsidR="00383990" w:rsidRPr="007B09AD" w:rsidRDefault="00383990" w:rsidP="003E1593">
      <w:pPr>
        <w:pStyle w:val="APRANORMAL"/>
        <w:rPr>
          <w:lang w:eastAsia="en-AU"/>
        </w:rPr>
      </w:pPr>
      <w:r>
        <w:rPr>
          <w:lang w:eastAsia="en-AU"/>
        </w:rPr>
        <w:t xml:space="preserve">Attachment A </w:t>
      </w:r>
      <w:r w:rsidR="007964FE">
        <w:rPr>
          <w:lang w:eastAsia="en-AU"/>
        </w:rPr>
        <w:t xml:space="preserve">summarises </w:t>
      </w:r>
      <w:r w:rsidR="00BA404E">
        <w:rPr>
          <w:lang w:eastAsia="en-AU"/>
        </w:rPr>
        <w:t xml:space="preserve">the current, Basel III and </w:t>
      </w:r>
      <w:r>
        <w:rPr>
          <w:lang w:eastAsia="en-AU"/>
        </w:rPr>
        <w:t xml:space="preserve">proposed </w:t>
      </w:r>
      <w:r w:rsidR="00BA404E">
        <w:rPr>
          <w:lang w:eastAsia="en-AU"/>
        </w:rPr>
        <w:t>treatment of</w:t>
      </w:r>
      <w:r>
        <w:rPr>
          <w:lang w:eastAsia="en-AU"/>
        </w:rPr>
        <w:t xml:space="preserve"> </w:t>
      </w:r>
      <w:r w:rsidR="007964FE">
        <w:rPr>
          <w:lang w:eastAsia="en-AU"/>
        </w:rPr>
        <w:t>key asset classes</w:t>
      </w:r>
      <w:r w:rsidR="00BA404E">
        <w:rPr>
          <w:lang w:eastAsia="en-AU"/>
        </w:rPr>
        <w:t xml:space="preserve"> </w:t>
      </w:r>
      <w:r>
        <w:rPr>
          <w:lang w:eastAsia="en-AU"/>
        </w:rPr>
        <w:t xml:space="preserve">under the </w:t>
      </w:r>
      <w:r w:rsidR="00872DEC">
        <w:rPr>
          <w:lang w:eastAsia="en-AU"/>
        </w:rPr>
        <w:t xml:space="preserve">revised </w:t>
      </w:r>
      <w:r>
        <w:rPr>
          <w:lang w:eastAsia="en-AU"/>
        </w:rPr>
        <w:t xml:space="preserve">standardised approach to credit </w:t>
      </w:r>
      <w:r w:rsidR="0073589A">
        <w:rPr>
          <w:lang w:eastAsia="en-AU"/>
        </w:rPr>
        <w:t>risk</w:t>
      </w:r>
      <w:r>
        <w:rPr>
          <w:lang w:eastAsia="en-AU"/>
        </w:rPr>
        <w:t>.</w:t>
      </w:r>
    </w:p>
    <w:p w14:paraId="413E8F27" w14:textId="77777777" w:rsidR="0057069E" w:rsidRDefault="0057069E" w:rsidP="0057069E">
      <w:pPr>
        <w:pStyle w:val="APRAHEADING2"/>
      </w:pPr>
      <w:bookmarkStart w:id="162" w:name="_Toc500149864"/>
      <w:bookmarkStart w:id="163" w:name="_Toc500150383"/>
      <w:bookmarkStart w:id="164" w:name="_Toc500150446"/>
      <w:bookmarkStart w:id="165" w:name="_Toc500151612"/>
      <w:bookmarkStart w:id="166" w:name="_Toc500151935"/>
      <w:bookmarkStart w:id="167" w:name="_Toc500152121"/>
      <w:bookmarkStart w:id="168" w:name="_Toc500154438"/>
      <w:bookmarkStart w:id="169" w:name="_Toc500149868"/>
      <w:bookmarkStart w:id="170" w:name="_Toc500151616"/>
      <w:bookmarkStart w:id="171" w:name="_Toc500152125"/>
      <w:bookmarkStart w:id="172" w:name="_Toc500154442"/>
      <w:bookmarkStart w:id="173" w:name="_Toc500149869"/>
      <w:bookmarkStart w:id="174" w:name="_Toc500151617"/>
      <w:bookmarkStart w:id="175" w:name="_Toc500152126"/>
      <w:bookmarkStart w:id="176" w:name="_Toc500154443"/>
      <w:bookmarkStart w:id="177" w:name="_Toc500149870"/>
      <w:bookmarkStart w:id="178" w:name="_Toc500151618"/>
      <w:bookmarkStart w:id="179" w:name="_Toc500152127"/>
      <w:bookmarkStart w:id="180" w:name="_Toc500154444"/>
      <w:bookmarkStart w:id="181" w:name="_Toc500149871"/>
      <w:bookmarkStart w:id="182" w:name="_Toc500151619"/>
      <w:bookmarkStart w:id="183" w:name="_Toc500152128"/>
      <w:bookmarkStart w:id="184" w:name="_Toc500154445"/>
      <w:bookmarkStart w:id="185" w:name="_Toc500149874"/>
      <w:bookmarkStart w:id="186" w:name="_Toc500151622"/>
      <w:bookmarkStart w:id="187" w:name="_Toc500152131"/>
      <w:bookmarkStart w:id="188" w:name="_Toc500154448"/>
      <w:bookmarkStart w:id="189" w:name="_Toc505676414"/>
      <w:bookmarkStart w:id="190" w:name="_Toc505676506"/>
      <w:bookmarkStart w:id="191" w:name="_Toc505681578"/>
      <w:bookmarkStart w:id="192" w:name="_Toc505681760"/>
      <w:bookmarkStart w:id="193" w:name="_Toc505854704"/>
      <w:bookmarkStart w:id="194" w:name="_Toc50628580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Retail exposures</w:t>
      </w:r>
      <w:bookmarkEnd w:id="189"/>
      <w:bookmarkEnd w:id="190"/>
      <w:bookmarkEnd w:id="191"/>
      <w:bookmarkEnd w:id="192"/>
      <w:bookmarkEnd w:id="193"/>
      <w:bookmarkEnd w:id="194"/>
    </w:p>
    <w:p w14:paraId="1806A024" w14:textId="77777777" w:rsidR="0057069E" w:rsidRDefault="0057069E" w:rsidP="0057069E">
      <w:pPr>
        <w:pStyle w:val="APRAHEADING3"/>
      </w:pPr>
      <w:r>
        <w:t>Basel III framework</w:t>
      </w:r>
    </w:p>
    <w:p w14:paraId="513A37CE" w14:textId="5299CE5D" w:rsidR="0057069E" w:rsidRDefault="0057069E" w:rsidP="0057069E">
      <w:pPr>
        <w:pStyle w:val="APRANORMAL"/>
      </w:pPr>
      <w:r>
        <w:t>Under the Basel</w:t>
      </w:r>
      <w:r w:rsidR="00953F6E">
        <w:t xml:space="preserve"> III</w:t>
      </w:r>
      <w:r>
        <w:t xml:space="preserve"> framework, exposures to an individual person or persons that are not secured by </w:t>
      </w:r>
      <w:r w:rsidR="00A60D50">
        <w:t xml:space="preserve">residential or commercial </w:t>
      </w:r>
      <w:r w:rsidR="007F3EDE">
        <w:t>property</w:t>
      </w:r>
      <w:r>
        <w:t xml:space="preserve"> are classified as ‘retail exposures’. Retail exposures for particular product types (such as credit cards and personal loans) that are under €1 million and do not exceed a specified proportion of the bank’s retail portfolio may be classified as ‘regulatory retail’ exposures subject to a risk weight of 75 per cent. ‘Other retail’ exposures that do not meet these criteria are subject to a risk weight of 100 per cent.</w:t>
      </w:r>
      <w:r w:rsidR="00953F6E">
        <w:t xml:space="preserve"> These two categories remain unchanged from Basel II.</w:t>
      </w:r>
    </w:p>
    <w:p w14:paraId="417BB28D" w14:textId="76FC927C" w:rsidR="0057069E" w:rsidRDefault="00953F6E" w:rsidP="0057069E">
      <w:pPr>
        <w:pStyle w:val="APRANORMAL"/>
      </w:pPr>
      <w:r>
        <w:t xml:space="preserve">The </w:t>
      </w:r>
      <w:r w:rsidR="0057069E">
        <w:t xml:space="preserve">Basel III </w:t>
      </w:r>
      <w:r>
        <w:t>reforms</w:t>
      </w:r>
      <w:r w:rsidR="0057069E">
        <w:t xml:space="preserve"> introduced a new </w:t>
      </w:r>
      <w:r>
        <w:t xml:space="preserve">category </w:t>
      </w:r>
      <w:r w:rsidR="0057069E">
        <w:t>for exposures to ‘transactors’, borrowers who have paid the balance of their credit card, charge card or overdraft exposures in full at each repayment date over the previous 12 months. Under the revised framework, transactors are assigned a 45 per cent risk weight.</w:t>
      </w:r>
    </w:p>
    <w:p w14:paraId="417DA776" w14:textId="77777777" w:rsidR="0057069E" w:rsidRDefault="0057069E" w:rsidP="0057069E">
      <w:pPr>
        <w:pStyle w:val="APRAHEADING3"/>
      </w:pPr>
      <w:r>
        <w:t>APRA’s proposals</w:t>
      </w:r>
    </w:p>
    <w:p w14:paraId="0C8E2459" w14:textId="54A28C12" w:rsidR="0057069E" w:rsidRDefault="0057069E" w:rsidP="0057069E">
      <w:pPr>
        <w:pStyle w:val="APRABULLET"/>
        <w:numPr>
          <w:ilvl w:val="0"/>
          <w:numId w:val="0"/>
        </w:numPr>
      </w:pPr>
      <w:r>
        <w:t xml:space="preserve">APRA currently applies </w:t>
      </w:r>
      <w:r w:rsidR="00881B7D">
        <w:t xml:space="preserve">a </w:t>
      </w:r>
      <w:r>
        <w:t>100 per cent risk weight to retail exposures; it did not adopt the ‘regulatory retail’ category when implementing Basel II. APRA is concerned that this risk weight is inadequate for retail exposures</w:t>
      </w:r>
      <w:r w:rsidR="00953F6E">
        <w:t>—</w:t>
      </w:r>
      <w:r>
        <w:t xml:space="preserve">APRA’s stress tests have </w:t>
      </w:r>
      <w:r>
        <w:lastRenderedPageBreak/>
        <w:t xml:space="preserve">consistently shown that the retail portfolio </w:t>
      </w:r>
      <w:r w:rsidR="000748BF">
        <w:t>experiences</w:t>
      </w:r>
      <w:r>
        <w:t xml:space="preserve"> the highest potential loss</w:t>
      </w:r>
      <w:r w:rsidR="000748BF">
        <w:t xml:space="preserve"> rat</w:t>
      </w:r>
      <w:r>
        <w:t xml:space="preserve">es </w:t>
      </w:r>
      <w:r w:rsidR="00732A90">
        <w:t xml:space="preserve">in downturn scenarios </w:t>
      </w:r>
      <w:r>
        <w:t>relative to current levels of capital. This result is consistent with the findings of a 2017 Bank of England stress test.</w:t>
      </w:r>
      <w:r>
        <w:rPr>
          <w:rStyle w:val="FootnoteReference"/>
        </w:rPr>
        <w:footnoteReference w:id="32"/>
      </w:r>
      <w:r>
        <w:t xml:space="preserve"> </w:t>
      </w:r>
    </w:p>
    <w:p w14:paraId="7C4FFB66" w14:textId="36B4AA61" w:rsidR="0057069E" w:rsidRDefault="0057069E" w:rsidP="004F5081">
      <w:pPr>
        <w:pStyle w:val="APRABULLET"/>
        <w:numPr>
          <w:ilvl w:val="0"/>
          <w:numId w:val="0"/>
        </w:numPr>
      </w:pPr>
      <w:r>
        <w:t>APRA therefore prop</w:t>
      </w:r>
      <w:r w:rsidR="00AD60C8">
        <w:t>oses</w:t>
      </w:r>
      <w:r>
        <w:t xml:space="preserve"> to increase the risk weight </w:t>
      </w:r>
      <w:r w:rsidR="00953F6E">
        <w:t>to 125</w:t>
      </w:r>
      <w:r w:rsidR="00A462FA">
        <w:t> </w:t>
      </w:r>
      <w:r w:rsidR="00953F6E">
        <w:t xml:space="preserve">per cent </w:t>
      </w:r>
      <w:r>
        <w:t xml:space="preserve">for </w:t>
      </w:r>
      <w:r w:rsidR="00140C53">
        <w:t>retail exposures</w:t>
      </w:r>
      <w:r>
        <w:t xml:space="preserve"> </w:t>
      </w:r>
      <w:r w:rsidR="00953F6E">
        <w:t>other than</w:t>
      </w:r>
      <w:r w:rsidR="00710475">
        <w:t xml:space="preserve"> credit cards</w:t>
      </w:r>
      <w:r w:rsidR="00732A90">
        <w:t>.</w:t>
      </w:r>
      <w:r>
        <w:t xml:space="preserve"> </w:t>
      </w:r>
      <w:r w:rsidR="00953F6E">
        <w:t>All credit card exposures would continue to be subject to a risk weight of 100</w:t>
      </w:r>
      <w:r w:rsidR="00A462FA">
        <w:t> </w:t>
      </w:r>
      <w:r w:rsidR="00953F6E">
        <w:t>per cent.</w:t>
      </w:r>
      <w:r w:rsidR="00D4080A">
        <w:rPr>
          <w:rStyle w:val="FootnoteReference"/>
        </w:rPr>
        <w:footnoteReference w:id="33"/>
      </w:r>
      <w:r w:rsidR="00953F6E">
        <w:t xml:space="preserve"> APRA does not </w:t>
      </w:r>
      <w:r w:rsidR="00BC7C50">
        <w:t>propos</w:t>
      </w:r>
      <w:r w:rsidR="00953F6E">
        <w:t>e</w:t>
      </w:r>
      <w:r w:rsidR="00BC7C50">
        <w:t xml:space="preserve"> to </w:t>
      </w:r>
      <w:r w:rsidR="00953F6E">
        <w:t>adopt</w:t>
      </w:r>
      <w:r w:rsidR="00822DF0">
        <w:t xml:space="preserve"> the Basel III transactors category </w:t>
      </w:r>
      <w:r w:rsidR="00953F6E">
        <w:t>because it</w:t>
      </w:r>
      <w:r>
        <w:t xml:space="preserve"> considers that lowering the risk weight to 45 per cent could lead to a material rise in RWA during a downturn as borrowers move out of this category to a category attracting a significantly higher risk weight. </w:t>
      </w:r>
      <w:r w:rsidR="00363530">
        <w:t>Also, t</w:t>
      </w:r>
      <w:r w:rsidR="00182390">
        <w:t>he 45 per cent risk weight does not sufficiently align with proposed risk weights for residential mortgages.</w:t>
      </w:r>
    </w:p>
    <w:p w14:paraId="7BEA189F" w14:textId="5A9CBC72" w:rsidR="00A86EB8" w:rsidRDefault="0057069E" w:rsidP="003E1593">
      <w:pPr>
        <w:pStyle w:val="APRAHEADING2"/>
      </w:pPr>
      <w:bookmarkStart w:id="195" w:name="_Ref505334158"/>
      <w:bookmarkStart w:id="196" w:name="_Toc505676415"/>
      <w:bookmarkStart w:id="197" w:name="_Toc505676507"/>
      <w:bookmarkStart w:id="198" w:name="_Toc505681579"/>
      <w:bookmarkStart w:id="199" w:name="_Toc505681761"/>
      <w:bookmarkStart w:id="200" w:name="_Toc505854705"/>
      <w:bookmarkStart w:id="201" w:name="_Toc506285805"/>
      <w:r>
        <w:t>S</w:t>
      </w:r>
      <w:r w:rsidR="00CE5103">
        <w:t>mall- and medium- sized enterprise</w:t>
      </w:r>
      <w:r>
        <w:t xml:space="preserve"> </w:t>
      </w:r>
      <w:r w:rsidR="00522A8A">
        <w:t>exposures</w:t>
      </w:r>
      <w:bookmarkEnd w:id="195"/>
      <w:bookmarkEnd w:id="196"/>
      <w:bookmarkEnd w:id="197"/>
      <w:bookmarkEnd w:id="198"/>
      <w:bookmarkEnd w:id="199"/>
      <w:bookmarkEnd w:id="200"/>
      <w:bookmarkEnd w:id="201"/>
    </w:p>
    <w:p w14:paraId="0A3C93EA" w14:textId="77777777" w:rsidR="00A86EB8" w:rsidRDefault="00A86EB8" w:rsidP="00A86EB8">
      <w:pPr>
        <w:pStyle w:val="APRAHEADING3"/>
      </w:pPr>
      <w:r>
        <w:t>Basel III framework</w:t>
      </w:r>
    </w:p>
    <w:p w14:paraId="2AEE0ED7" w14:textId="588B85CE" w:rsidR="00226F8D" w:rsidRDefault="00226F8D" w:rsidP="00C45A1D">
      <w:pPr>
        <w:pStyle w:val="APRANORMAL"/>
      </w:pPr>
      <w:r>
        <w:t>Under the Basel II</w:t>
      </w:r>
      <w:r w:rsidR="004A7E07">
        <w:t>I</w:t>
      </w:r>
      <w:r>
        <w:t xml:space="preserve"> framework, SME exposures secured by residential </w:t>
      </w:r>
      <w:r w:rsidR="004A7E07">
        <w:t xml:space="preserve">or commercial </w:t>
      </w:r>
      <w:r>
        <w:t xml:space="preserve">property </w:t>
      </w:r>
      <w:r w:rsidR="004A7E07">
        <w:t xml:space="preserve">are treated </w:t>
      </w:r>
      <w:r w:rsidR="008932FB">
        <w:t xml:space="preserve">in the same way as </w:t>
      </w:r>
      <w:r w:rsidR="0058375B">
        <w:t xml:space="preserve">property-secured </w:t>
      </w:r>
      <w:r w:rsidR="008932FB">
        <w:t>expo</w:t>
      </w:r>
      <w:r w:rsidR="0058375B">
        <w:t>sures to any other counterparty</w:t>
      </w:r>
      <w:r w:rsidR="008932FB">
        <w:t xml:space="preserve">. </w:t>
      </w:r>
    </w:p>
    <w:p w14:paraId="6F60A64B" w14:textId="25489414" w:rsidR="007B7D23" w:rsidRDefault="008932FB" w:rsidP="00C45A1D">
      <w:pPr>
        <w:pStyle w:val="APRANORMAL"/>
      </w:pPr>
      <w:r>
        <w:t>For SME exposures that are not secured by property, the framework sets out two categories, ‘corporate SME’ and ‘retail SME’ under which</w:t>
      </w:r>
      <w:r w:rsidR="0057069E">
        <w:t>:</w:t>
      </w:r>
    </w:p>
    <w:p w14:paraId="01A26058" w14:textId="21D66655" w:rsidR="00953F6E" w:rsidRDefault="00953F6E" w:rsidP="00953F6E">
      <w:pPr>
        <w:pStyle w:val="APRABULLET"/>
      </w:pPr>
      <w:r>
        <w:t xml:space="preserve">a 75 per cent risk weight applies to an exposure to a ‘retail SME’, where the exposure meets the regulatory retail criteria outline in </w:t>
      </w:r>
      <w:r w:rsidR="00536C96">
        <w:t xml:space="preserve">section </w:t>
      </w:r>
      <w:r>
        <w:t>3.1.1 (</w:t>
      </w:r>
      <w:r w:rsidR="004E7A66">
        <w:t>e.g. where</w:t>
      </w:r>
      <w:r>
        <w:t xml:space="preserve"> the aggregated exposure </w:t>
      </w:r>
      <w:r w:rsidR="004E7A66">
        <w:t>is less than</w:t>
      </w:r>
      <w:r>
        <w:t xml:space="preserve"> €1m); and</w:t>
      </w:r>
    </w:p>
    <w:p w14:paraId="1B4AF213" w14:textId="57C253BE" w:rsidR="00682B7C" w:rsidRDefault="00522A8A" w:rsidP="00C45A1D">
      <w:pPr>
        <w:pStyle w:val="APRABULLET"/>
      </w:pPr>
      <w:r>
        <w:t xml:space="preserve">an 85 per cent risk weight </w:t>
      </w:r>
      <w:r w:rsidR="00786EBA">
        <w:t xml:space="preserve">applies to </w:t>
      </w:r>
      <w:r w:rsidR="00B0486F">
        <w:t>an exposure to</w:t>
      </w:r>
      <w:r>
        <w:t xml:space="preserve"> </w:t>
      </w:r>
      <w:r w:rsidR="00B0486F">
        <w:t xml:space="preserve">a </w:t>
      </w:r>
      <w:r w:rsidR="00461E7C">
        <w:t>‘</w:t>
      </w:r>
      <w:r w:rsidR="002D0380">
        <w:t xml:space="preserve">corporate </w:t>
      </w:r>
      <w:r w:rsidR="007B7D23">
        <w:t>SME</w:t>
      </w:r>
      <w:r w:rsidR="00461E7C">
        <w:t>’</w:t>
      </w:r>
      <w:r>
        <w:t xml:space="preserve">, which </w:t>
      </w:r>
      <w:r w:rsidR="002F4630">
        <w:t xml:space="preserve">is </w:t>
      </w:r>
      <w:r>
        <w:t xml:space="preserve">a </w:t>
      </w:r>
      <w:r w:rsidR="007B7D23">
        <w:t>corporate</w:t>
      </w:r>
      <w:r>
        <w:t xml:space="preserve"> entit</w:t>
      </w:r>
      <w:r w:rsidR="002F4630">
        <w:t>y</w:t>
      </w:r>
      <w:r w:rsidR="007B7D23">
        <w:t xml:space="preserve"> for which the consolidated sales </w:t>
      </w:r>
      <w:r w:rsidR="0096713D">
        <w:t xml:space="preserve">of the entity’s corporate group </w:t>
      </w:r>
      <w:r w:rsidR="007B7D23">
        <w:t xml:space="preserve">are less than </w:t>
      </w:r>
      <w:r w:rsidR="00536C96">
        <w:t xml:space="preserve">or equal to </w:t>
      </w:r>
      <w:r w:rsidR="007B7D23">
        <w:t>€50m in the most recent year</w:t>
      </w:r>
      <w:r w:rsidR="008932FB">
        <w:t>. This category is new under the Basel III reforms</w:t>
      </w:r>
      <w:r w:rsidR="00953F6E">
        <w:t>.</w:t>
      </w:r>
    </w:p>
    <w:p w14:paraId="339DD101" w14:textId="73E28E08" w:rsidR="00A86EB8" w:rsidRDefault="004144A1" w:rsidP="00A86EB8">
      <w:pPr>
        <w:pStyle w:val="APRAHEADING3"/>
      </w:pPr>
      <w:bookmarkStart w:id="202" w:name="_Ref505335556"/>
      <w:r>
        <w:lastRenderedPageBreak/>
        <w:t>APRA’s p</w:t>
      </w:r>
      <w:r w:rsidR="00D66FA5">
        <w:t>ropos</w:t>
      </w:r>
      <w:r>
        <w:t>als</w:t>
      </w:r>
      <w:bookmarkEnd w:id="202"/>
    </w:p>
    <w:p w14:paraId="3103B502" w14:textId="2A3E848E" w:rsidR="00DA6915" w:rsidRDefault="00DA6915" w:rsidP="003E1593">
      <w:pPr>
        <w:pStyle w:val="APRANORMAL"/>
      </w:pPr>
      <w:r>
        <w:t xml:space="preserve">As </w:t>
      </w:r>
      <w:r w:rsidR="004F5081">
        <w:t>stated</w:t>
      </w:r>
      <w:r w:rsidR="00E853CB">
        <w:t xml:space="preserve"> </w:t>
      </w:r>
      <w:r>
        <w:t xml:space="preserve">in section 2.3, SME exposures secured by residential property that meet </w:t>
      </w:r>
      <w:r w:rsidR="00E63C11">
        <w:t xml:space="preserve">certain </w:t>
      </w:r>
      <w:r>
        <w:t xml:space="preserve">serviceability criteria </w:t>
      </w:r>
      <w:r w:rsidR="00226F8D">
        <w:t>would</w:t>
      </w:r>
      <w:r>
        <w:t xml:space="preserve"> be included in the same category of exposures as residential mortgages </w:t>
      </w:r>
      <w:r w:rsidR="00952D82">
        <w:t>for investment purposes</w:t>
      </w:r>
      <w:r>
        <w:t xml:space="preserve"> and interest</w:t>
      </w:r>
      <w:r w:rsidR="00AC77B2">
        <w:t>-</w:t>
      </w:r>
      <w:r>
        <w:t xml:space="preserve">only loans. </w:t>
      </w:r>
      <w:r w:rsidR="00E853CB">
        <w:t xml:space="preserve">In APRA’s experience, these exposures have historically had higher losses than </w:t>
      </w:r>
      <w:r w:rsidR="00D947B0">
        <w:t>non-SME owner-occupier</w:t>
      </w:r>
      <w:r w:rsidR="00E853CB">
        <w:t xml:space="preserve"> residential mortgage exposures.</w:t>
      </w:r>
      <w:r w:rsidR="00E853CB">
        <w:rPr>
          <w:rStyle w:val="FootnoteReference"/>
        </w:rPr>
        <w:footnoteReference w:id="34"/>
      </w:r>
    </w:p>
    <w:p w14:paraId="3D9D0FB9" w14:textId="22E0F7BD" w:rsidR="00430F5E" w:rsidRDefault="000508A5" w:rsidP="003E1593">
      <w:pPr>
        <w:pStyle w:val="APRANORMAL"/>
      </w:pPr>
      <w:r>
        <w:t xml:space="preserve">For </w:t>
      </w:r>
      <w:r w:rsidR="009D111A">
        <w:t xml:space="preserve">SME exposures </w:t>
      </w:r>
      <w:r w:rsidR="00100408">
        <w:t>that are not</w:t>
      </w:r>
      <w:r w:rsidR="00972B52">
        <w:t xml:space="preserve"> secured by property</w:t>
      </w:r>
      <w:r w:rsidR="00100408">
        <w:t>,</w:t>
      </w:r>
      <w:r w:rsidR="00972B52">
        <w:t xml:space="preserve"> </w:t>
      </w:r>
      <w:r>
        <w:t>APRA propos</w:t>
      </w:r>
      <w:r w:rsidR="00AD60C8">
        <w:t>es</w:t>
      </w:r>
      <w:r>
        <w:t xml:space="preserve"> to reduce the 100 per cent risk weight currently applied </w:t>
      </w:r>
      <w:r w:rsidR="00883821">
        <w:t xml:space="preserve">under APS 112 </w:t>
      </w:r>
      <w:r>
        <w:t>to 85 per cent</w:t>
      </w:r>
      <w:r w:rsidR="00A3121A">
        <w:t xml:space="preserve">. </w:t>
      </w:r>
      <w:r w:rsidR="00751D35">
        <w:t xml:space="preserve">This gives some recognition to the various </w:t>
      </w:r>
      <w:r w:rsidR="00A01B85">
        <w:t xml:space="preserve">types of </w:t>
      </w:r>
      <w:r w:rsidR="00751D35">
        <w:t>collateral</w:t>
      </w:r>
      <w:r w:rsidR="00933A15">
        <w:t>,</w:t>
      </w:r>
      <w:r w:rsidR="00751D35">
        <w:t xml:space="preserve"> other </w:t>
      </w:r>
      <w:r w:rsidR="00A01B85">
        <w:t>than property</w:t>
      </w:r>
      <w:r w:rsidR="00933A15">
        <w:t>,</w:t>
      </w:r>
      <w:r w:rsidR="00751D35">
        <w:t xml:space="preserve"> that SMEs </w:t>
      </w:r>
      <w:r w:rsidR="00124982">
        <w:t>provide</w:t>
      </w:r>
      <w:r w:rsidR="00751D35">
        <w:t xml:space="preserve"> as security</w:t>
      </w:r>
      <w:r w:rsidR="00124982">
        <w:t>.</w:t>
      </w:r>
      <w:r w:rsidR="00A01B85">
        <w:t xml:space="preserve"> </w:t>
      </w:r>
      <w:r>
        <w:t xml:space="preserve">APRA does not propose to implement the </w:t>
      </w:r>
      <w:r w:rsidR="004F5081">
        <w:t xml:space="preserve">Basel III </w:t>
      </w:r>
      <w:r>
        <w:t>75 per cent risk weight for retail SME exposures</w:t>
      </w:r>
      <w:r w:rsidR="000748BF">
        <w:t>,</w:t>
      </w:r>
      <w:r>
        <w:t xml:space="preserve"> as there is </w:t>
      </w:r>
      <w:r w:rsidR="00754E10">
        <w:t>insufficient</w:t>
      </w:r>
      <w:r>
        <w:t xml:space="preserve"> empirical evidence that retail SME exposures </w:t>
      </w:r>
      <w:r w:rsidR="00754E10">
        <w:t xml:space="preserve">in Australia </w:t>
      </w:r>
      <w:r w:rsidR="000748BF">
        <w:t>exhibit a lower default or loss experience</w:t>
      </w:r>
      <w:r>
        <w:t xml:space="preserve"> </w:t>
      </w:r>
      <w:r w:rsidR="00754E10">
        <w:t xml:space="preserve">through the cycle </w:t>
      </w:r>
      <w:r>
        <w:t xml:space="preserve">than corporate SME exposures. SME exposures in this category would </w:t>
      </w:r>
      <w:r w:rsidR="00046158">
        <w:t xml:space="preserve">be </w:t>
      </w:r>
      <w:r>
        <w:t xml:space="preserve">limited to corporate entities where consolidated group sales are </w:t>
      </w:r>
      <w:r w:rsidR="004F5081">
        <w:t>less</w:t>
      </w:r>
      <w:r>
        <w:t xml:space="preserve"> than </w:t>
      </w:r>
      <w:r w:rsidR="00D15065">
        <w:t xml:space="preserve">or equal to </w:t>
      </w:r>
      <w:r>
        <w:t xml:space="preserve">$50 million. </w:t>
      </w:r>
    </w:p>
    <w:p w14:paraId="58034E6D" w14:textId="0502422A" w:rsidR="00A86EB8" w:rsidRDefault="00A86EB8" w:rsidP="002661E2">
      <w:pPr>
        <w:pStyle w:val="APRAHEADING2"/>
      </w:pPr>
      <w:bookmarkStart w:id="203" w:name="_Toc500151948"/>
      <w:bookmarkStart w:id="204" w:name="_Toc505676416"/>
      <w:bookmarkStart w:id="205" w:name="_Toc505676508"/>
      <w:bookmarkStart w:id="206" w:name="_Toc505681580"/>
      <w:bookmarkStart w:id="207" w:name="_Toc505681762"/>
      <w:bookmarkStart w:id="208" w:name="_Toc505854706"/>
      <w:bookmarkStart w:id="209" w:name="_Toc506285806"/>
      <w:r>
        <w:t>Credit conversion factors</w:t>
      </w:r>
      <w:bookmarkEnd w:id="203"/>
      <w:bookmarkEnd w:id="204"/>
      <w:bookmarkEnd w:id="205"/>
      <w:bookmarkEnd w:id="206"/>
      <w:bookmarkEnd w:id="207"/>
      <w:bookmarkEnd w:id="208"/>
      <w:bookmarkEnd w:id="209"/>
    </w:p>
    <w:p w14:paraId="11E4897C" w14:textId="77777777" w:rsidR="00A86EB8" w:rsidRDefault="00A86EB8" w:rsidP="00A86EB8">
      <w:pPr>
        <w:pStyle w:val="APRAHEADING3"/>
      </w:pPr>
      <w:r>
        <w:t>Basel III framework</w:t>
      </w:r>
    </w:p>
    <w:p w14:paraId="0A548F65" w14:textId="69AC7712" w:rsidR="0086356D" w:rsidRPr="00862F73" w:rsidRDefault="00524BC4" w:rsidP="00F1263C">
      <w:pPr>
        <w:pStyle w:val="APRANORMAL"/>
        <w:rPr>
          <w:i/>
        </w:rPr>
      </w:pPr>
      <w:r>
        <w:rPr>
          <w:lang w:eastAsia="en-AU"/>
        </w:rPr>
        <w:t>Similar to Basel </w:t>
      </w:r>
      <w:r w:rsidR="00357332" w:rsidRPr="00DF308C">
        <w:rPr>
          <w:lang w:eastAsia="en-AU"/>
        </w:rPr>
        <w:t>II, Basel</w:t>
      </w:r>
      <w:r>
        <w:rPr>
          <w:lang w:eastAsia="en-AU"/>
        </w:rPr>
        <w:t> </w:t>
      </w:r>
      <w:r w:rsidR="00357332" w:rsidRPr="00DF308C">
        <w:rPr>
          <w:lang w:eastAsia="en-AU"/>
        </w:rPr>
        <w:t xml:space="preserve">III requires ADIs to apply </w:t>
      </w:r>
      <w:r w:rsidR="00E731B5" w:rsidRPr="00DF308C">
        <w:rPr>
          <w:lang w:eastAsia="en-AU"/>
        </w:rPr>
        <w:t>CCFs</w:t>
      </w:r>
      <w:r w:rsidR="00357332" w:rsidRPr="00DF308C">
        <w:rPr>
          <w:lang w:eastAsia="en-AU"/>
        </w:rPr>
        <w:t xml:space="preserve"> to </w:t>
      </w:r>
      <w:r w:rsidR="00077209" w:rsidRPr="003E1593">
        <w:rPr>
          <w:lang w:eastAsia="en-AU"/>
        </w:rPr>
        <w:t xml:space="preserve">off-balance sheet </w:t>
      </w:r>
      <w:r w:rsidR="005A6516">
        <w:rPr>
          <w:lang w:eastAsia="en-AU"/>
        </w:rPr>
        <w:t>exposures</w:t>
      </w:r>
      <w:r w:rsidR="000748BF">
        <w:rPr>
          <w:lang w:eastAsia="en-AU"/>
        </w:rPr>
        <w:t>,</w:t>
      </w:r>
      <w:r w:rsidR="005A6516">
        <w:rPr>
          <w:lang w:eastAsia="en-AU"/>
        </w:rPr>
        <w:t xml:space="preserve"> </w:t>
      </w:r>
      <w:r w:rsidR="00DD59D4">
        <w:rPr>
          <w:lang w:eastAsia="en-AU"/>
        </w:rPr>
        <w:t xml:space="preserve">such as undrawn loan limits and commitments </w:t>
      </w:r>
      <w:r w:rsidR="005A6516">
        <w:rPr>
          <w:lang w:eastAsia="en-AU"/>
        </w:rPr>
        <w:t xml:space="preserve">to determine an on-balance sheet </w:t>
      </w:r>
      <w:r w:rsidR="00DD7D6E">
        <w:rPr>
          <w:lang w:eastAsia="en-AU"/>
        </w:rPr>
        <w:t>credit</w:t>
      </w:r>
      <w:r w:rsidR="000748BF">
        <w:rPr>
          <w:lang w:eastAsia="en-AU"/>
        </w:rPr>
        <w:t>-</w:t>
      </w:r>
      <w:r w:rsidR="005A6516">
        <w:rPr>
          <w:lang w:eastAsia="en-AU"/>
        </w:rPr>
        <w:t>equivalent</w:t>
      </w:r>
      <w:r w:rsidR="00F819C3">
        <w:rPr>
          <w:lang w:eastAsia="en-AU"/>
        </w:rPr>
        <w:t xml:space="preserve"> amount</w:t>
      </w:r>
      <w:r w:rsidR="000748BF">
        <w:rPr>
          <w:lang w:eastAsia="en-AU"/>
        </w:rPr>
        <w:t>. The credit-equivalent amount</w:t>
      </w:r>
      <w:r w:rsidR="00051B7A">
        <w:rPr>
          <w:lang w:eastAsia="en-AU"/>
        </w:rPr>
        <w:t xml:space="preserve"> is then </w:t>
      </w:r>
      <w:r w:rsidR="00574AB0">
        <w:rPr>
          <w:lang w:eastAsia="en-AU"/>
        </w:rPr>
        <w:t>treated</w:t>
      </w:r>
      <w:r w:rsidR="00051B7A">
        <w:rPr>
          <w:lang w:eastAsia="en-AU"/>
        </w:rPr>
        <w:t xml:space="preserve"> in the same way as </w:t>
      </w:r>
      <w:r w:rsidR="00E75806">
        <w:rPr>
          <w:lang w:eastAsia="en-AU"/>
        </w:rPr>
        <w:t xml:space="preserve">an </w:t>
      </w:r>
      <w:r w:rsidR="00051B7A">
        <w:rPr>
          <w:lang w:eastAsia="en-AU"/>
        </w:rPr>
        <w:t>on-balance sheet exposure</w:t>
      </w:r>
      <w:r w:rsidR="005A6516">
        <w:rPr>
          <w:lang w:eastAsia="en-AU"/>
        </w:rPr>
        <w:t xml:space="preserve">. </w:t>
      </w:r>
      <w:r w:rsidR="004C3358" w:rsidRPr="00DF308C">
        <w:rPr>
          <w:lang w:eastAsia="en-AU"/>
        </w:rPr>
        <w:t>Basel</w:t>
      </w:r>
      <w:r>
        <w:rPr>
          <w:lang w:eastAsia="en-AU"/>
        </w:rPr>
        <w:t> </w:t>
      </w:r>
      <w:r w:rsidR="004C3358" w:rsidRPr="00DF308C">
        <w:rPr>
          <w:lang w:eastAsia="en-AU"/>
        </w:rPr>
        <w:t xml:space="preserve">III has refined the definition of a commitment </w:t>
      </w:r>
      <w:r w:rsidR="003C430D">
        <w:rPr>
          <w:lang w:eastAsia="en-AU"/>
        </w:rPr>
        <w:t>where</w:t>
      </w:r>
      <w:r w:rsidR="004C3358" w:rsidRPr="00DF308C">
        <w:rPr>
          <w:lang w:eastAsia="en-AU"/>
        </w:rPr>
        <w:t xml:space="preserve"> a </w:t>
      </w:r>
      <w:r w:rsidR="00051B7A">
        <w:rPr>
          <w:lang w:eastAsia="en-AU"/>
        </w:rPr>
        <w:t>CCF</w:t>
      </w:r>
      <w:r w:rsidR="004C3358">
        <w:rPr>
          <w:lang w:eastAsia="en-AU"/>
        </w:rPr>
        <w:t xml:space="preserve"> must be applied</w:t>
      </w:r>
      <w:r w:rsidR="00D640C9">
        <w:rPr>
          <w:lang w:eastAsia="en-AU"/>
        </w:rPr>
        <w:t xml:space="preserve"> to any credit exposure that has been offered by the bank and accepted by the borrower, including any unconditionally cancellable arrangement</w:t>
      </w:r>
      <w:r w:rsidR="002C3192">
        <w:rPr>
          <w:lang w:eastAsia="en-AU"/>
        </w:rPr>
        <w:t>.</w:t>
      </w:r>
    </w:p>
    <w:p w14:paraId="2C925B8A" w14:textId="3AE15EC7" w:rsidR="00292F0C" w:rsidRDefault="00292F0C" w:rsidP="0027221C">
      <w:pPr>
        <w:pStyle w:val="APRANORMAL"/>
        <w:rPr>
          <w:lang w:eastAsia="en-AU"/>
        </w:rPr>
      </w:pPr>
      <w:r>
        <w:rPr>
          <w:lang w:eastAsia="en-AU"/>
        </w:rPr>
        <w:t xml:space="preserve">There are two main changes to CCFs under </w:t>
      </w:r>
      <w:r w:rsidR="00E75806">
        <w:rPr>
          <w:lang w:eastAsia="en-AU"/>
        </w:rPr>
        <w:t xml:space="preserve">the </w:t>
      </w:r>
      <w:r w:rsidR="00524BC4">
        <w:rPr>
          <w:lang w:eastAsia="en-AU"/>
        </w:rPr>
        <w:t>Basel </w:t>
      </w:r>
      <w:r>
        <w:rPr>
          <w:lang w:eastAsia="en-AU"/>
        </w:rPr>
        <w:t>III</w:t>
      </w:r>
      <w:r w:rsidR="00E75806">
        <w:rPr>
          <w:lang w:eastAsia="en-AU"/>
        </w:rPr>
        <w:t xml:space="preserve"> framework</w:t>
      </w:r>
      <w:r>
        <w:rPr>
          <w:lang w:eastAsia="en-AU"/>
        </w:rPr>
        <w:t>:</w:t>
      </w:r>
    </w:p>
    <w:p w14:paraId="0C232905" w14:textId="4D369BCD" w:rsidR="00292F0C" w:rsidRDefault="00292F0C" w:rsidP="003E1593">
      <w:pPr>
        <w:pStyle w:val="APRABULLET"/>
        <w:rPr>
          <w:lang w:eastAsia="en-AU"/>
        </w:rPr>
      </w:pPr>
      <w:r>
        <w:lastRenderedPageBreak/>
        <w:t>remov</w:t>
      </w:r>
      <w:r w:rsidR="006C6E78">
        <w:t>al of</w:t>
      </w:r>
      <w:r>
        <w:t xml:space="preserve"> </w:t>
      </w:r>
      <w:r>
        <w:rPr>
          <w:lang w:eastAsia="en-AU"/>
        </w:rPr>
        <w:t xml:space="preserve">the distinction by maturity for </w:t>
      </w:r>
      <w:r w:rsidR="00582BCC">
        <w:rPr>
          <w:lang w:eastAsia="en-AU"/>
        </w:rPr>
        <w:t>‘</w:t>
      </w:r>
      <w:r>
        <w:rPr>
          <w:lang w:eastAsia="en-AU"/>
        </w:rPr>
        <w:t>other commitments</w:t>
      </w:r>
      <w:r w:rsidR="00582BCC">
        <w:rPr>
          <w:lang w:eastAsia="en-AU"/>
        </w:rPr>
        <w:t>’</w:t>
      </w:r>
      <w:r w:rsidR="00892FE4">
        <w:rPr>
          <w:lang w:eastAsia="en-AU"/>
        </w:rPr>
        <w:t xml:space="preserve">, as this </w:t>
      </w:r>
      <w:r w:rsidR="006C6E78">
        <w:rPr>
          <w:lang w:eastAsia="en-AU"/>
        </w:rPr>
        <w:t>approach</w:t>
      </w:r>
      <w:r w:rsidR="00DD59D4">
        <w:rPr>
          <w:lang w:eastAsia="en-AU"/>
        </w:rPr>
        <w:t xml:space="preserve"> </w:t>
      </w:r>
      <w:r w:rsidR="00892FE4">
        <w:rPr>
          <w:lang w:eastAsia="en-AU"/>
        </w:rPr>
        <w:t xml:space="preserve">was not </w:t>
      </w:r>
      <w:r w:rsidR="00465904">
        <w:rPr>
          <w:lang w:eastAsia="en-AU"/>
        </w:rPr>
        <w:t xml:space="preserve">sufficiently </w:t>
      </w:r>
      <w:r w:rsidR="00892FE4">
        <w:rPr>
          <w:lang w:eastAsia="en-AU"/>
        </w:rPr>
        <w:t>supported by empirical evidence</w:t>
      </w:r>
      <w:r w:rsidR="00582BCC">
        <w:rPr>
          <w:lang w:eastAsia="en-AU"/>
        </w:rPr>
        <w:t xml:space="preserve">. </w:t>
      </w:r>
      <w:r w:rsidR="004E665E">
        <w:rPr>
          <w:lang w:eastAsia="en-AU"/>
        </w:rPr>
        <w:t xml:space="preserve">These </w:t>
      </w:r>
      <w:r w:rsidR="00524BC4">
        <w:rPr>
          <w:lang w:eastAsia="en-AU"/>
        </w:rPr>
        <w:t>exposures are now assigned a 40 </w:t>
      </w:r>
      <w:r w:rsidR="004E665E">
        <w:rPr>
          <w:lang w:eastAsia="en-AU"/>
        </w:rPr>
        <w:t>per cent CCF</w:t>
      </w:r>
      <w:r w:rsidR="00892FE4">
        <w:rPr>
          <w:lang w:eastAsia="en-AU"/>
        </w:rPr>
        <w:t>; and</w:t>
      </w:r>
    </w:p>
    <w:p w14:paraId="43FC3EC1" w14:textId="4210B8A6" w:rsidR="00A84CC1" w:rsidRDefault="006C6E78" w:rsidP="003E1593">
      <w:pPr>
        <w:pStyle w:val="APRABULLET"/>
        <w:rPr>
          <w:lang w:eastAsia="en-AU"/>
        </w:rPr>
      </w:pPr>
      <w:r>
        <w:t>increase in</w:t>
      </w:r>
      <w:r w:rsidR="0027221C">
        <w:t xml:space="preserve"> the CCF for unconditionally cancellable </w:t>
      </w:r>
      <w:r w:rsidR="00292F0C">
        <w:t>commitments</w:t>
      </w:r>
      <w:r w:rsidR="0027221C">
        <w:t xml:space="preserve"> </w:t>
      </w:r>
      <w:r w:rsidR="004E665E">
        <w:t>from</w:t>
      </w:r>
      <w:r w:rsidR="0027221C">
        <w:t xml:space="preserve"> zero</w:t>
      </w:r>
      <w:r w:rsidR="00524BC4">
        <w:t xml:space="preserve"> to 10 </w:t>
      </w:r>
      <w:r w:rsidR="004E665E">
        <w:t>per cent</w:t>
      </w:r>
      <w:r w:rsidR="00100408">
        <w:t xml:space="preserve"> to reflect concerns that banks do not</w:t>
      </w:r>
      <w:r w:rsidR="00071F8C">
        <w:t>,</w:t>
      </w:r>
      <w:r w:rsidR="00100408">
        <w:t xml:space="preserve"> in practice</w:t>
      </w:r>
      <w:r w:rsidR="00071F8C">
        <w:t>,</w:t>
      </w:r>
      <w:r w:rsidR="00100408">
        <w:t xml:space="preserve"> cancel these facilities in advance of default. </w:t>
      </w:r>
      <w:r w:rsidR="00100408">
        <w:rPr>
          <w:lang w:eastAsia="en-AU"/>
        </w:rPr>
        <w:t xml:space="preserve">Consumer protection laws, risk management </w:t>
      </w:r>
      <w:r w:rsidR="00100408" w:rsidRPr="009B23D0">
        <w:rPr>
          <w:lang w:eastAsia="en-AU"/>
        </w:rPr>
        <w:t>capabilities</w:t>
      </w:r>
      <w:r w:rsidR="00100408" w:rsidRPr="00742D20">
        <w:rPr>
          <w:lang w:eastAsia="en-AU"/>
        </w:rPr>
        <w:t xml:space="preserve"> and</w:t>
      </w:r>
      <w:r w:rsidR="00100408" w:rsidRPr="004C4376">
        <w:rPr>
          <w:lang w:eastAsia="en-AU"/>
        </w:rPr>
        <w:t xml:space="preserve"> </w:t>
      </w:r>
      <w:r w:rsidR="00100408" w:rsidRPr="000A7D8A">
        <w:t xml:space="preserve">reputational risk considerations may constrain an ADI’s ability to </w:t>
      </w:r>
      <w:r w:rsidR="004E7A66">
        <w:t>do so</w:t>
      </w:r>
      <w:r w:rsidR="0027221C" w:rsidDel="00100408">
        <w:rPr>
          <w:lang w:eastAsia="en-AU"/>
        </w:rPr>
        <w:t>.</w:t>
      </w:r>
      <w:r w:rsidR="0027221C">
        <w:rPr>
          <w:lang w:eastAsia="en-AU"/>
        </w:rPr>
        <w:t xml:space="preserve"> </w:t>
      </w:r>
      <w:r w:rsidR="00A85A31">
        <w:rPr>
          <w:lang w:eastAsia="en-AU"/>
        </w:rPr>
        <w:t>These commitments may include unused portions of retail or corporate lines of credit where the ADI has the unconditional right to cancel at any time.</w:t>
      </w:r>
    </w:p>
    <w:p w14:paraId="690DC857" w14:textId="7EF1E537" w:rsidR="0086356D" w:rsidRDefault="0069032D" w:rsidP="0027221C">
      <w:pPr>
        <w:pStyle w:val="APRANORMAL"/>
      </w:pPr>
      <w:r>
        <w:rPr>
          <w:lang w:eastAsia="en-AU"/>
        </w:rPr>
        <w:fldChar w:fldCharType="begin"/>
      </w:r>
      <w:r>
        <w:rPr>
          <w:lang w:eastAsia="en-AU"/>
        </w:rPr>
        <w:instrText xml:space="preserve"> REF _Ref502821365 \r \h </w:instrText>
      </w:r>
      <w:r>
        <w:rPr>
          <w:lang w:eastAsia="en-AU"/>
        </w:rPr>
      </w:r>
      <w:r>
        <w:rPr>
          <w:lang w:eastAsia="en-AU"/>
        </w:rPr>
        <w:fldChar w:fldCharType="separate"/>
      </w:r>
      <w:r w:rsidR="00EB1F7A">
        <w:rPr>
          <w:lang w:eastAsia="en-AU"/>
        </w:rPr>
        <w:t>Table 31</w:t>
      </w:r>
      <w:r>
        <w:rPr>
          <w:lang w:eastAsia="en-AU"/>
        </w:rPr>
        <w:fldChar w:fldCharType="end"/>
      </w:r>
      <w:r>
        <w:rPr>
          <w:lang w:eastAsia="en-AU"/>
        </w:rPr>
        <w:t xml:space="preserve"> </w:t>
      </w:r>
      <w:r w:rsidR="00051B7A" w:rsidRPr="0069032D">
        <w:rPr>
          <w:lang w:eastAsia="en-AU"/>
        </w:rPr>
        <w:t xml:space="preserve">in </w:t>
      </w:r>
      <w:r w:rsidR="0065592C" w:rsidRPr="0069032D">
        <w:t>Attachment A</w:t>
      </w:r>
      <w:r w:rsidR="00E4123F">
        <w:t xml:space="preserve"> </w:t>
      </w:r>
      <w:r w:rsidR="0065592C">
        <w:t xml:space="preserve">provides </w:t>
      </w:r>
      <w:r w:rsidR="002F59B0">
        <w:t>the full</w:t>
      </w:r>
      <w:r w:rsidR="0065592C">
        <w:t xml:space="preserve"> list of CCFs.</w:t>
      </w:r>
    </w:p>
    <w:p w14:paraId="254C41BD" w14:textId="54381B50" w:rsidR="00A86EB8" w:rsidRDefault="00D2227C" w:rsidP="00A86EB8">
      <w:pPr>
        <w:pStyle w:val="APRAHEADING3"/>
      </w:pPr>
      <w:bookmarkStart w:id="210" w:name="_Ref504031692"/>
      <w:r>
        <w:t>APRA’s p</w:t>
      </w:r>
      <w:r w:rsidR="00D66FA5">
        <w:t>ropos</w:t>
      </w:r>
      <w:r>
        <w:t>als</w:t>
      </w:r>
      <w:bookmarkEnd w:id="210"/>
    </w:p>
    <w:p w14:paraId="2F67F839" w14:textId="79C8CB02" w:rsidR="00E97CDE" w:rsidRDefault="00EB6CC5" w:rsidP="00E97CDE">
      <w:pPr>
        <w:pStyle w:val="APRANORMAL"/>
      </w:pPr>
      <w:r>
        <w:rPr>
          <w:lang w:eastAsia="en-AU"/>
        </w:rPr>
        <w:t>APRA propos</w:t>
      </w:r>
      <w:r w:rsidR="00AD60C8">
        <w:rPr>
          <w:lang w:eastAsia="en-AU"/>
        </w:rPr>
        <w:t>es</w:t>
      </w:r>
      <w:r w:rsidR="00F27F97">
        <w:rPr>
          <w:lang w:eastAsia="en-AU"/>
        </w:rPr>
        <w:t xml:space="preserve"> to</w:t>
      </w:r>
      <w:r w:rsidR="00D661D0">
        <w:rPr>
          <w:lang w:eastAsia="en-AU"/>
        </w:rPr>
        <w:t xml:space="preserve"> </w:t>
      </w:r>
      <w:r w:rsidR="00D73A50">
        <w:rPr>
          <w:lang w:eastAsia="en-AU"/>
        </w:rPr>
        <w:t>adopt</w:t>
      </w:r>
      <w:r w:rsidR="00524BC4">
        <w:rPr>
          <w:lang w:eastAsia="en-AU"/>
        </w:rPr>
        <w:t xml:space="preserve"> the Basel </w:t>
      </w:r>
      <w:r w:rsidR="00D661D0">
        <w:rPr>
          <w:lang w:eastAsia="en-AU"/>
        </w:rPr>
        <w:t>III definition</w:t>
      </w:r>
      <w:r w:rsidR="00147133">
        <w:rPr>
          <w:lang w:eastAsia="en-AU"/>
        </w:rPr>
        <w:t xml:space="preserve"> of commitment</w:t>
      </w:r>
      <w:r w:rsidR="00A84CC1">
        <w:rPr>
          <w:lang w:eastAsia="en-AU"/>
        </w:rPr>
        <w:t xml:space="preserve">, </w:t>
      </w:r>
      <w:r w:rsidR="004173A2">
        <w:rPr>
          <w:lang w:eastAsia="en-AU"/>
        </w:rPr>
        <w:t xml:space="preserve">which </w:t>
      </w:r>
      <w:r w:rsidR="00111FA1">
        <w:rPr>
          <w:lang w:eastAsia="en-AU"/>
        </w:rPr>
        <w:t>is likely</w:t>
      </w:r>
      <w:r w:rsidR="004F0278">
        <w:rPr>
          <w:lang w:eastAsia="en-AU"/>
        </w:rPr>
        <w:t xml:space="preserve"> to </w:t>
      </w:r>
      <w:r w:rsidR="00111FA1">
        <w:rPr>
          <w:lang w:eastAsia="en-AU"/>
        </w:rPr>
        <w:t>capture</w:t>
      </w:r>
      <w:r w:rsidR="004F0278">
        <w:rPr>
          <w:lang w:eastAsia="en-AU"/>
        </w:rPr>
        <w:t xml:space="preserve"> </w:t>
      </w:r>
      <w:r w:rsidR="004173A2" w:rsidRPr="003543C9">
        <w:rPr>
          <w:lang w:eastAsia="en-AU"/>
        </w:rPr>
        <w:t xml:space="preserve">exposures </w:t>
      </w:r>
      <w:r w:rsidR="004F0278" w:rsidRPr="003543C9">
        <w:rPr>
          <w:lang w:eastAsia="en-AU"/>
        </w:rPr>
        <w:t xml:space="preserve">that </w:t>
      </w:r>
      <w:r w:rsidR="00111FA1" w:rsidRPr="003543C9">
        <w:rPr>
          <w:lang w:eastAsia="en-AU"/>
        </w:rPr>
        <w:t>ADIs</w:t>
      </w:r>
      <w:r w:rsidR="004173A2" w:rsidRPr="003543C9">
        <w:rPr>
          <w:lang w:eastAsia="en-AU"/>
        </w:rPr>
        <w:t xml:space="preserve"> previously </w:t>
      </w:r>
      <w:r w:rsidR="00376060" w:rsidRPr="003543C9">
        <w:rPr>
          <w:lang w:eastAsia="en-AU"/>
        </w:rPr>
        <w:t>classified</w:t>
      </w:r>
      <w:r w:rsidR="004173A2" w:rsidRPr="003543C9">
        <w:rPr>
          <w:lang w:eastAsia="en-AU"/>
        </w:rPr>
        <w:t xml:space="preserve"> </w:t>
      </w:r>
      <w:r w:rsidR="004F0278" w:rsidRPr="003543C9">
        <w:rPr>
          <w:lang w:eastAsia="en-AU"/>
        </w:rPr>
        <w:t xml:space="preserve">as </w:t>
      </w:r>
      <w:r w:rsidR="004173A2" w:rsidRPr="003543C9">
        <w:rPr>
          <w:lang w:eastAsia="en-AU"/>
        </w:rPr>
        <w:t>uncommitted</w:t>
      </w:r>
      <w:r w:rsidR="000748BF" w:rsidRPr="003543C9">
        <w:rPr>
          <w:lang w:eastAsia="en-AU"/>
        </w:rPr>
        <w:t xml:space="preserve"> and therefore </w:t>
      </w:r>
      <w:r w:rsidR="00D15065">
        <w:rPr>
          <w:lang w:eastAsia="en-AU"/>
        </w:rPr>
        <w:t xml:space="preserve">effectively </w:t>
      </w:r>
      <w:r w:rsidR="000748BF" w:rsidRPr="003543C9">
        <w:rPr>
          <w:lang w:eastAsia="en-AU"/>
        </w:rPr>
        <w:t xml:space="preserve">assigned a zero </w:t>
      </w:r>
      <w:r w:rsidR="003543C9" w:rsidRPr="003543C9">
        <w:rPr>
          <w:lang w:eastAsia="en-AU"/>
        </w:rPr>
        <w:t>CCF</w:t>
      </w:r>
      <w:r w:rsidR="004173A2" w:rsidRPr="003543C9">
        <w:rPr>
          <w:lang w:eastAsia="en-AU"/>
        </w:rPr>
        <w:t xml:space="preserve">. </w:t>
      </w:r>
      <w:r w:rsidR="00B32046" w:rsidRPr="003543C9">
        <w:t>In line with Basel III,</w:t>
      </w:r>
      <w:r w:rsidR="009F782C" w:rsidRPr="003543C9">
        <w:rPr>
          <w:lang w:eastAsia="en-AU"/>
        </w:rPr>
        <w:t xml:space="preserve"> APRA </w:t>
      </w:r>
      <w:r w:rsidR="00B32046" w:rsidRPr="003543C9">
        <w:t xml:space="preserve">also </w:t>
      </w:r>
      <w:r w:rsidR="009F782C" w:rsidRPr="003543C9">
        <w:rPr>
          <w:lang w:eastAsia="en-AU"/>
        </w:rPr>
        <w:t>propos</w:t>
      </w:r>
      <w:r w:rsidR="00AD60C8">
        <w:rPr>
          <w:lang w:eastAsia="en-AU"/>
        </w:rPr>
        <w:t>es</w:t>
      </w:r>
      <w:r w:rsidR="009F782C" w:rsidRPr="003543C9">
        <w:rPr>
          <w:lang w:eastAsia="en-AU"/>
        </w:rPr>
        <w:t xml:space="preserve"> </w:t>
      </w:r>
      <w:r w:rsidR="00092CC3" w:rsidRPr="003543C9">
        <w:t xml:space="preserve">to </w:t>
      </w:r>
      <w:r w:rsidR="003543C9" w:rsidRPr="003543C9">
        <w:t xml:space="preserve">more closely </w:t>
      </w:r>
      <w:r w:rsidR="00B32046" w:rsidRPr="003543C9">
        <w:t>align</w:t>
      </w:r>
      <w:r w:rsidR="00AA6D14" w:rsidRPr="003543C9">
        <w:t xml:space="preserve"> CCFs </w:t>
      </w:r>
      <w:r w:rsidR="009F782C" w:rsidRPr="003543C9">
        <w:rPr>
          <w:lang w:eastAsia="en-AU"/>
        </w:rPr>
        <w:t>between the IRB and standardised approaches</w:t>
      </w:r>
      <w:r w:rsidR="00E62F86" w:rsidRPr="003543C9">
        <w:rPr>
          <w:lang w:eastAsia="en-AU"/>
        </w:rPr>
        <w:t>, as</w:t>
      </w:r>
      <w:r w:rsidR="009F782C" w:rsidRPr="003543C9" w:rsidDel="00E62F86">
        <w:rPr>
          <w:lang w:eastAsia="en-AU"/>
        </w:rPr>
        <w:t xml:space="preserve"> </w:t>
      </w:r>
      <w:r w:rsidR="00E62F86" w:rsidRPr="003543C9">
        <w:rPr>
          <w:lang w:eastAsia="en-AU"/>
        </w:rPr>
        <w:t>t</w:t>
      </w:r>
      <w:r w:rsidR="00092CC3" w:rsidRPr="003543C9">
        <w:rPr>
          <w:lang w:eastAsia="en-AU"/>
        </w:rPr>
        <w:t>he underlying borrower behaviour is unlikely to differ for equivalent products.</w:t>
      </w:r>
    </w:p>
    <w:p w14:paraId="4DEDB951" w14:textId="168891FF" w:rsidR="00BE76BF" w:rsidRDefault="00DD59D4" w:rsidP="004671B1">
      <w:pPr>
        <w:pStyle w:val="APRANORMAL"/>
        <w:rPr>
          <w:lang w:eastAsia="en-AU"/>
        </w:rPr>
      </w:pPr>
      <w:r>
        <w:rPr>
          <w:lang w:eastAsia="en-AU"/>
        </w:rPr>
        <w:t xml:space="preserve">Currently, </w:t>
      </w:r>
      <w:r w:rsidR="00FD74C4">
        <w:rPr>
          <w:lang w:eastAsia="en-AU"/>
        </w:rPr>
        <w:t xml:space="preserve">CCFs for </w:t>
      </w:r>
      <w:r w:rsidR="00582BCC">
        <w:rPr>
          <w:lang w:eastAsia="en-AU"/>
        </w:rPr>
        <w:t>‘</w:t>
      </w:r>
      <w:r w:rsidR="00FD74C4">
        <w:rPr>
          <w:lang w:eastAsia="en-AU"/>
        </w:rPr>
        <w:t>other commitments</w:t>
      </w:r>
      <w:r w:rsidR="00582BCC">
        <w:rPr>
          <w:lang w:eastAsia="en-AU"/>
        </w:rPr>
        <w:t>’</w:t>
      </w:r>
      <w:r w:rsidR="00191EB2">
        <w:rPr>
          <w:lang w:eastAsia="en-AU"/>
        </w:rPr>
        <w:t xml:space="preserve"> </w:t>
      </w:r>
      <w:r w:rsidR="00FD74C4">
        <w:rPr>
          <w:lang w:eastAsia="en-AU"/>
        </w:rPr>
        <w:t>with maturity greater than one year</w:t>
      </w:r>
      <w:r w:rsidR="00524BC4">
        <w:rPr>
          <w:lang w:eastAsia="en-AU"/>
        </w:rPr>
        <w:t xml:space="preserve"> range from 50 to 100 </w:t>
      </w:r>
      <w:r w:rsidR="00FD74C4">
        <w:rPr>
          <w:lang w:eastAsia="en-AU"/>
        </w:rPr>
        <w:t xml:space="preserve">per cent across the standardised and foundation IRB approaches. </w:t>
      </w:r>
      <w:r w:rsidR="00E62F86">
        <w:t xml:space="preserve">To ensure there is not a significant loosening of existing capital requirements, </w:t>
      </w:r>
      <w:r w:rsidR="00092CC3">
        <w:t xml:space="preserve">APRA </w:t>
      </w:r>
      <w:r w:rsidR="00092CC3">
        <w:rPr>
          <w:lang w:eastAsia="en-AU"/>
        </w:rPr>
        <w:t>propos</w:t>
      </w:r>
      <w:r w:rsidR="00AD60C8">
        <w:rPr>
          <w:lang w:eastAsia="en-AU"/>
        </w:rPr>
        <w:t>es</w:t>
      </w:r>
      <w:r w:rsidR="00092CC3">
        <w:rPr>
          <w:lang w:eastAsia="en-AU"/>
        </w:rPr>
        <w:t xml:space="preserve"> to </w:t>
      </w:r>
      <w:r w:rsidR="00092CC3">
        <w:t xml:space="preserve">retain </w:t>
      </w:r>
      <w:r w:rsidR="00407DFA">
        <w:t xml:space="preserve">this </w:t>
      </w:r>
      <w:r w:rsidR="00100408">
        <w:t>CCF</w:t>
      </w:r>
      <w:r w:rsidR="00407DFA">
        <w:t xml:space="preserve"> range</w:t>
      </w:r>
      <w:r w:rsidR="00092CC3" w:rsidDel="00100408">
        <w:t xml:space="preserve"> </w:t>
      </w:r>
      <w:r w:rsidR="009F782C">
        <w:rPr>
          <w:lang w:eastAsia="en-AU"/>
        </w:rPr>
        <w:t xml:space="preserve">rather than </w:t>
      </w:r>
      <w:r w:rsidR="00BE76BF">
        <w:rPr>
          <w:lang w:eastAsia="en-AU"/>
        </w:rPr>
        <w:t>implement</w:t>
      </w:r>
      <w:r w:rsidR="00FD74C4">
        <w:rPr>
          <w:lang w:eastAsia="en-AU"/>
        </w:rPr>
        <w:t xml:space="preserve"> the </w:t>
      </w:r>
      <w:r>
        <w:rPr>
          <w:lang w:eastAsia="en-AU"/>
        </w:rPr>
        <w:t xml:space="preserve">Basel III </w:t>
      </w:r>
      <w:r w:rsidR="00FD74C4">
        <w:rPr>
          <w:lang w:eastAsia="en-AU"/>
        </w:rPr>
        <w:t>40</w:t>
      </w:r>
      <w:r w:rsidR="00524BC4">
        <w:rPr>
          <w:lang w:eastAsia="en-AU"/>
        </w:rPr>
        <w:t> </w:t>
      </w:r>
      <w:r w:rsidR="00FD74C4">
        <w:rPr>
          <w:lang w:eastAsia="en-AU"/>
        </w:rPr>
        <w:t xml:space="preserve">per cent </w:t>
      </w:r>
      <w:r>
        <w:rPr>
          <w:lang w:eastAsia="en-AU"/>
        </w:rPr>
        <w:t>CCF</w:t>
      </w:r>
      <w:r w:rsidR="00FD74C4">
        <w:rPr>
          <w:lang w:eastAsia="en-AU"/>
        </w:rPr>
        <w:t>.</w:t>
      </w:r>
    </w:p>
    <w:p w14:paraId="3DB6E50A" w14:textId="0400E112" w:rsidR="00465904" w:rsidRDefault="00465904" w:rsidP="004671B1">
      <w:pPr>
        <w:pStyle w:val="APRANORMAL"/>
        <w:rPr>
          <w:lang w:eastAsia="en-AU"/>
        </w:rPr>
      </w:pPr>
      <w:r>
        <w:rPr>
          <w:lang w:eastAsia="en-AU"/>
        </w:rPr>
        <w:t xml:space="preserve">APRA considers </w:t>
      </w:r>
      <w:r w:rsidR="00D73A50">
        <w:rPr>
          <w:lang w:eastAsia="en-AU"/>
        </w:rPr>
        <w:t xml:space="preserve">that </w:t>
      </w:r>
      <w:r>
        <w:rPr>
          <w:lang w:eastAsia="en-AU"/>
        </w:rPr>
        <w:t>there is value in differentiating by the type of counterparty</w:t>
      </w:r>
      <w:r w:rsidR="00AE3B3C">
        <w:rPr>
          <w:lang w:eastAsia="en-AU"/>
        </w:rPr>
        <w:t xml:space="preserve"> based on the likelihood of the ADI intervening before</w:t>
      </w:r>
      <w:r>
        <w:rPr>
          <w:lang w:eastAsia="en-AU"/>
        </w:rPr>
        <w:t xml:space="preserve"> default. </w:t>
      </w:r>
      <w:r w:rsidR="00FD74C4">
        <w:rPr>
          <w:lang w:eastAsia="en-AU"/>
        </w:rPr>
        <w:t>A relatively</w:t>
      </w:r>
      <w:r>
        <w:rPr>
          <w:lang w:eastAsia="en-AU"/>
        </w:rPr>
        <w:t xml:space="preserve"> lower CCF </w:t>
      </w:r>
      <w:r w:rsidR="00AE3B3C">
        <w:rPr>
          <w:lang w:eastAsia="en-AU"/>
        </w:rPr>
        <w:t xml:space="preserve">is appropriate </w:t>
      </w:r>
      <w:r>
        <w:rPr>
          <w:lang w:eastAsia="en-AU"/>
        </w:rPr>
        <w:t xml:space="preserve">for </w:t>
      </w:r>
      <w:r w:rsidR="00D73A50">
        <w:rPr>
          <w:lang w:eastAsia="en-AU"/>
        </w:rPr>
        <w:t>credit card</w:t>
      </w:r>
      <w:r w:rsidR="00DD59D4">
        <w:rPr>
          <w:lang w:eastAsia="en-AU"/>
        </w:rPr>
        <w:t xml:space="preserve"> limit</w:t>
      </w:r>
      <w:r w:rsidR="00D73A50">
        <w:rPr>
          <w:lang w:eastAsia="en-AU"/>
        </w:rPr>
        <w:t xml:space="preserve">s and for </w:t>
      </w:r>
      <w:r w:rsidR="00E63C11">
        <w:rPr>
          <w:lang w:eastAsia="en-AU"/>
        </w:rPr>
        <w:t xml:space="preserve">certain </w:t>
      </w:r>
      <w:r>
        <w:rPr>
          <w:lang w:eastAsia="en-AU"/>
        </w:rPr>
        <w:t xml:space="preserve">exposures to </w:t>
      </w:r>
      <w:r w:rsidR="00AE3B3C">
        <w:rPr>
          <w:lang w:eastAsia="en-AU"/>
        </w:rPr>
        <w:t>larger counterparties that are more closely managed</w:t>
      </w:r>
      <w:r>
        <w:rPr>
          <w:lang w:eastAsia="en-AU"/>
        </w:rPr>
        <w:t xml:space="preserve">. </w:t>
      </w:r>
      <w:r w:rsidR="00FA5F9C">
        <w:rPr>
          <w:lang w:eastAsia="en-AU"/>
        </w:rPr>
        <w:t>APRA propos</w:t>
      </w:r>
      <w:r w:rsidR="009D392B">
        <w:rPr>
          <w:lang w:eastAsia="en-AU"/>
        </w:rPr>
        <w:t>es</w:t>
      </w:r>
      <w:r w:rsidR="00FA5F9C">
        <w:rPr>
          <w:lang w:eastAsia="en-AU"/>
        </w:rPr>
        <w:t xml:space="preserve"> a simpler segmentation for the standardised approach compared to IRB.</w:t>
      </w:r>
    </w:p>
    <w:p w14:paraId="36909C25" w14:textId="2B6BD05D" w:rsidR="00F821DD" w:rsidRDefault="00F821DD" w:rsidP="00F821DD">
      <w:pPr>
        <w:pStyle w:val="APRANORMAL"/>
        <w:rPr>
          <w:lang w:eastAsia="en-AU"/>
        </w:rPr>
      </w:pPr>
      <w:r>
        <w:rPr>
          <w:lang w:eastAsia="en-AU"/>
        </w:rPr>
        <w:t xml:space="preserve">For unconditionally cancellable commitments, </w:t>
      </w:r>
      <w:r w:rsidRPr="00742D20">
        <w:rPr>
          <w:lang w:eastAsia="en-AU"/>
        </w:rPr>
        <w:t>APRA</w:t>
      </w:r>
      <w:r>
        <w:rPr>
          <w:lang w:eastAsia="en-AU"/>
        </w:rPr>
        <w:t xml:space="preserve"> consider</w:t>
      </w:r>
      <w:r w:rsidR="009F782C">
        <w:rPr>
          <w:lang w:eastAsia="en-AU"/>
        </w:rPr>
        <w:t>s</w:t>
      </w:r>
      <w:r>
        <w:rPr>
          <w:lang w:eastAsia="en-AU"/>
        </w:rPr>
        <w:t xml:space="preserve"> that the CCF estimate should not be below the lower end of CCF estimates for other exposures</w:t>
      </w:r>
      <w:r w:rsidR="00A43B5F">
        <w:rPr>
          <w:lang w:eastAsia="en-AU"/>
        </w:rPr>
        <w:t xml:space="preserve"> and proposes a CCF of </w:t>
      </w:r>
      <w:r>
        <w:rPr>
          <w:lang w:eastAsia="en-AU"/>
        </w:rPr>
        <w:t xml:space="preserve">20 per cent. </w:t>
      </w:r>
    </w:p>
    <w:p w14:paraId="38238FBC" w14:textId="229FE5EE" w:rsidR="00E97CDE" w:rsidRDefault="00F77FCA" w:rsidP="00E97CDE">
      <w:pPr>
        <w:pStyle w:val="APRANORMAL"/>
        <w:rPr>
          <w:lang w:eastAsia="en-AU"/>
        </w:rPr>
      </w:pPr>
      <w:r>
        <w:rPr>
          <w:lang w:eastAsia="en-AU"/>
        </w:rPr>
        <w:t xml:space="preserve">ADIs may currently include </w:t>
      </w:r>
      <w:r w:rsidR="00DD59D4">
        <w:rPr>
          <w:lang w:eastAsia="en-AU"/>
        </w:rPr>
        <w:t xml:space="preserve">undrawn </w:t>
      </w:r>
      <w:r>
        <w:rPr>
          <w:lang w:eastAsia="en-AU"/>
        </w:rPr>
        <w:t xml:space="preserve">credit card </w:t>
      </w:r>
      <w:r w:rsidR="00DD59D4">
        <w:rPr>
          <w:lang w:eastAsia="en-AU"/>
        </w:rPr>
        <w:t>limits</w:t>
      </w:r>
      <w:r>
        <w:rPr>
          <w:lang w:eastAsia="en-AU"/>
        </w:rPr>
        <w:t xml:space="preserve"> a</w:t>
      </w:r>
      <w:r w:rsidR="00DD59D4">
        <w:rPr>
          <w:lang w:eastAsia="en-AU"/>
        </w:rPr>
        <w:t>t</w:t>
      </w:r>
      <w:r>
        <w:rPr>
          <w:lang w:eastAsia="en-AU"/>
        </w:rPr>
        <w:t xml:space="preserve"> </w:t>
      </w:r>
      <w:r w:rsidR="00AD2A18">
        <w:rPr>
          <w:lang w:eastAsia="en-AU"/>
        </w:rPr>
        <w:t xml:space="preserve">a zero per cent </w:t>
      </w:r>
      <w:r w:rsidR="004671B1">
        <w:rPr>
          <w:lang w:eastAsia="en-AU"/>
        </w:rPr>
        <w:t>CCF</w:t>
      </w:r>
      <w:r>
        <w:rPr>
          <w:lang w:eastAsia="en-AU"/>
        </w:rPr>
        <w:t xml:space="preserve"> under the </w:t>
      </w:r>
      <w:r w:rsidR="002D5A22">
        <w:rPr>
          <w:lang w:eastAsia="en-AU"/>
        </w:rPr>
        <w:t>s</w:t>
      </w:r>
      <w:r>
        <w:rPr>
          <w:lang w:eastAsia="en-AU"/>
        </w:rPr>
        <w:t>tandardised approach. APRA propos</w:t>
      </w:r>
      <w:r w:rsidR="009D392B">
        <w:rPr>
          <w:lang w:eastAsia="en-AU"/>
        </w:rPr>
        <w:t>es</w:t>
      </w:r>
      <w:r>
        <w:rPr>
          <w:lang w:eastAsia="en-AU"/>
        </w:rPr>
        <w:t xml:space="preserve"> a 50 per cent CCF</w:t>
      </w:r>
      <w:r w:rsidR="00DD59D4">
        <w:rPr>
          <w:lang w:eastAsia="en-AU"/>
        </w:rPr>
        <w:t xml:space="preserve"> for these exposures</w:t>
      </w:r>
      <w:r w:rsidR="00A3121A">
        <w:rPr>
          <w:lang w:eastAsia="en-AU"/>
        </w:rPr>
        <w:t xml:space="preserve">, which </w:t>
      </w:r>
      <w:r w:rsidR="00071F8C">
        <w:rPr>
          <w:lang w:eastAsia="en-AU"/>
        </w:rPr>
        <w:t xml:space="preserve">is consistent with estimates from IRB ADIs and </w:t>
      </w:r>
      <w:r w:rsidR="00A3121A">
        <w:rPr>
          <w:lang w:eastAsia="en-AU"/>
        </w:rPr>
        <w:t>captures the risk that customers draw down some of the undrawn limi</w:t>
      </w:r>
      <w:r w:rsidR="001C564F">
        <w:rPr>
          <w:lang w:eastAsia="en-AU"/>
        </w:rPr>
        <w:t>t before default</w:t>
      </w:r>
      <w:r w:rsidR="00A3121A">
        <w:rPr>
          <w:lang w:eastAsia="en-AU"/>
        </w:rPr>
        <w:t>.</w:t>
      </w:r>
    </w:p>
    <w:p w14:paraId="7F6DA3EB" w14:textId="70C3B3A2" w:rsidR="004E665E" w:rsidRDefault="00524BC4" w:rsidP="00E97CDE">
      <w:pPr>
        <w:pStyle w:val="APRANORMAL"/>
        <w:rPr>
          <w:lang w:eastAsia="en-AU"/>
        </w:rPr>
      </w:pPr>
      <w:r>
        <w:rPr>
          <w:lang w:eastAsia="en-AU"/>
        </w:rPr>
        <w:lastRenderedPageBreak/>
        <w:fldChar w:fldCharType="begin"/>
      </w:r>
      <w:r>
        <w:rPr>
          <w:lang w:eastAsia="en-AU"/>
        </w:rPr>
        <w:instrText xml:space="preserve"> REF _Ref502740506 \n \h </w:instrText>
      </w:r>
      <w:r>
        <w:rPr>
          <w:lang w:eastAsia="en-AU"/>
        </w:rPr>
      </w:r>
      <w:r>
        <w:rPr>
          <w:lang w:eastAsia="en-AU"/>
        </w:rPr>
        <w:fldChar w:fldCharType="separate"/>
      </w:r>
      <w:r w:rsidR="00EB1F7A">
        <w:rPr>
          <w:lang w:eastAsia="en-AU"/>
        </w:rPr>
        <w:t>Table 6</w:t>
      </w:r>
      <w:r>
        <w:rPr>
          <w:lang w:eastAsia="en-AU"/>
        </w:rPr>
        <w:fldChar w:fldCharType="end"/>
      </w:r>
      <w:r>
        <w:rPr>
          <w:lang w:eastAsia="en-AU"/>
        </w:rPr>
        <w:t xml:space="preserve"> </w:t>
      </w:r>
      <w:r w:rsidR="004E665E">
        <w:rPr>
          <w:lang w:eastAsia="en-AU"/>
        </w:rPr>
        <w:t>summarises APRA’s proposed changes to</w:t>
      </w:r>
      <w:r>
        <w:rPr>
          <w:lang w:eastAsia="en-AU"/>
        </w:rPr>
        <w:t xml:space="preserve"> APS </w:t>
      </w:r>
      <w:r w:rsidR="004E665E">
        <w:rPr>
          <w:lang w:eastAsia="en-AU"/>
        </w:rPr>
        <w:t>112.</w:t>
      </w:r>
    </w:p>
    <w:p w14:paraId="1071AED3" w14:textId="77777777" w:rsidR="004E665E" w:rsidRPr="000F02E6" w:rsidRDefault="004E665E" w:rsidP="00441787">
      <w:pPr>
        <w:pStyle w:val="APRATABLE-NUMBER"/>
      </w:pPr>
      <w:bookmarkStart w:id="211" w:name="_Ref502740506"/>
      <w:r>
        <w:t>Changes to supervisory CCF estimates</w:t>
      </w:r>
      <w:bookmarkEnd w:id="21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75"/>
        <w:gridCol w:w="2247"/>
        <w:gridCol w:w="2247"/>
        <w:gridCol w:w="2247"/>
      </w:tblGrid>
      <w:tr w:rsidR="004E665E" w14:paraId="783CC34C" w14:textId="77777777" w:rsidTr="00730B1A">
        <w:tc>
          <w:tcPr>
            <w:tcW w:w="2275" w:type="dxa"/>
            <w:shd w:val="clear" w:color="auto" w:fill="002060"/>
            <w:vAlign w:val="center"/>
          </w:tcPr>
          <w:p w14:paraId="744C9563" w14:textId="71418926" w:rsidR="004E665E" w:rsidRPr="00665689" w:rsidRDefault="0069032D" w:rsidP="00730B1A">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Facility</w:t>
            </w:r>
          </w:p>
        </w:tc>
        <w:tc>
          <w:tcPr>
            <w:tcW w:w="2247" w:type="dxa"/>
            <w:shd w:val="clear" w:color="auto" w:fill="002060"/>
            <w:vAlign w:val="center"/>
          </w:tcPr>
          <w:p w14:paraId="1ABA0282" w14:textId="3E3F9863" w:rsidR="004E665E" w:rsidRPr="00665689" w:rsidRDefault="004E665E" w:rsidP="0069032D">
            <w:pPr>
              <w:pStyle w:val="APRANORMAL"/>
              <w:keepNext/>
              <w:keepLines/>
              <w:spacing w:before="120" w:after="120"/>
              <w:jc w:val="center"/>
              <w:rPr>
                <w:rFonts w:ascii="DIN OT Medium" w:hAnsi="DIN OT Medium"/>
                <w:sz w:val="20"/>
                <w:szCs w:val="20"/>
                <w:lang w:val="en-AU"/>
              </w:rPr>
            </w:pPr>
            <w:r>
              <w:rPr>
                <w:rFonts w:ascii="DIN OT Medium" w:hAnsi="DIN OT Medium"/>
                <w:sz w:val="20"/>
                <w:szCs w:val="20"/>
                <w:lang w:val="en-AU"/>
              </w:rPr>
              <w:t>APS 112</w:t>
            </w:r>
            <w:r w:rsidR="00524BC4">
              <w:rPr>
                <w:rFonts w:ascii="DIN OT Medium" w:hAnsi="DIN OT Medium"/>
                <w:sz w:val="20"/>
                <w:szCs w:val="20"/>
                <w:lang w:val="en-AU"/>
              </w:rPr>
              <w:br/>
            </w:r>
            <w:r>
              <w:rPr>
                <w:rFonts w:ascii="DIN OT Medium" w:hAnsi="DIN OT Medium"/>
                <w:sz w:val="20"/>
                <w:szCs w:val="20"/>
                <w:lang w:val="en-AU"/>
              </w:rPr>
              <w:t>%</w:t>
            </w:r>
          </w:p>
        </w:tc>
        <w:tc>
          <w:tcPr>
            <w:tcW w:w="2247" w:type="dxa"/>
            <w:shd w:val="clear" w:color="auto" w:fill="002060"/>
            <w:vAlign w:val="center"/>
          </w:tcPr>
          <w:p w14:paraId="0DB00AD8" w14:textId="03986DDB" w:rsidR="004E665E" w:rsidRDefault="004E665E" w:rsidP="0069032D">
            <w:pPr>
              <w:pStyle w:val="APRANORMAL"/>
              <w:keepNext/>
              <w:keepLines/>
              <w:spacing w:before="120" w:after="120"/>
              <w:jc w:val="center"/>
              <w:rPr>
                <w:rFonts w:ascii="DIN OT Medium" w:hAnsi="DIN OT Medium"/>
                <w:sz w:val="20"/>
                <w:szCs w:val="20"/>
                <w:lang w:val="en-AU"/>
              </w:rPr>
            </w:pPr>
            <w:r>
              <w:rPr>
                <w:rFonts w:ascii="DIN OT Medium" w:hAnsi="DIN OT Medium"/>
                <w:sz w:val="20"/>
                <w:szCs w:val="20"/>
                <w:lang w:val="en-AU"/>
              </w:rPr>
              <w:t>Basel III</w:t>
            </w:r>
            <w:r w:rsidR="00524BC4">
              <w:rPr>
                <w:rFonts w:ascii="DIN OT Medium" w:hAnsi="DIN OT Medium"/>
                <w:sz w:val="20"/>
                <w:szCs w:val="20"/>
                <w:lang w:val="en-AU"/>
              </w:rPr>
              <w:br/>
            </w:r>
            <w:r>
              <w:rPr>
                <w:rFonts w:ascii="DIN OT Medium" w:hAnsi="DIN OT Medium"/>
                <w:sz w:val="20"/>
                <w:szCs w:val="20"/>
                <w:lang w:val="en-AU"/>
              </w:rPr>
              <w:t>%</w:t>
            </w:r>
          </w:p>
        </w:tc>
        <w:tc>
          <w:tcPr>
            <w:tcW w:w="2247" w:type="dxa"/>
            <w:shd w:val="clear" w:color="auto" w:fill="002060"/>
            <w:vAlign w:val="center"/>
          </w:tcPr>
          <w:p w14:paraId="5B08B60C" w14:textId="72DEA38D" w:rsidR="004E665E" w:rsidRPr="00665689" w:rsidRDefault="00524BC4" w:rsidP="0069032D">
            <w:pPr>
              <w:pStyle w:val="APRANORMAL"/>
              <w:keepNext/>
              <w:keepLines/>
              <w:spacing w:before="120" w:after="120"/>
              <w:jc w:val="center"/>
              <w:rPr>
                <w:rFonts w:ascii="DIN OT Medium" w:hAnsi="DIN OT Medium"/>
                <w:sz w:val="20"/>
                <w:szCs w:val="20"/>
                <w:lang w:val="en-AU"/>
              </w:rPr>
            </w:pPr>
            <w:r>
              <w:rPr>
                <w:rFonts w:ascii="DIN OT Medium" w:hAnsi="DIN OT Medium"/>
                <w:sz w:val="20"/>
                <w:szCs w:val="20"/>
                <w:lang w:val="en-AU"/>
              </w:rPr>
              <w:t>P</w:t>
            </w:r>
            <w:r w:rsidR="004E665E">
              <w:rPr>
                <w:rFonts w:ascii="DIN OT Medium" w:hAnsi="DIN OT Medium"/>
                <w:sz w:val="20"/>
                <w:szCs w:val="20"/>
                <w:lang w:val="en-AU"/>
              </w:rPr>
              <w:t>roposed</w:t>
            </w:r>
            <w:r>
              <w:rPr>
                <w:rFonts w:ascii="DIN OT Medium" w:hAnsi="DIN OT Medium"/>
                <w:sz w:val="20"/>
                <w:szCs w:val="20"/>
                <w:lang w:val="en-AU"/>
              </w:rPr>
              <w:br/>
            </w:r>
            <w:r w:rsidR="004E665E">
              <w:rPr>
                <w:rFonts w:ascii="DIN OT Medium" w:hAnsi="DIN OT Medium"/>
                <w:sz w:val="20"/>
                <w:szCs w:val="20"/>
                <w:lang w:val="en-AU"/>
              </w:rPr>
              <w:t>%</w:t>
            </w:r>
          </w:p>
        </w:tc>
      </w:tr>
      <w:tr w:rsidR="004E665E" w14:paraId="23F34E1D" w14:textId="77777777" w:rsidTr="00730B1A">
        <w:tc>
          <w:tcPr>
            <w:tcW w:w="2275" w:type="dxa"/>
            <w:shd w:val="clear" w:color="auto" w:fill="002060"/>
            <w:vAlign w:val="center"/>
          </w:tcPr>
          <w:p w14:paraId="4E1D2BC0" w14:textId="63F3B72A" w:rsidR="004E665E" w:rsidRPr="00665689" w:rsidRDefault="0069032D" w:rsidP="0069032D">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Other commitments—m</w:t>
            </w:r>
            <w:r w:rsidR="004E665E">
              <w:rPr>
                <w:rFonts w:ascii="DIN OT Medium" w:hAnsi="DIN OT Medium"/>
                <w:sz w:val="20"/>
                <w:szCs w:val="20"/>
                <w:lang w:val="en-AU"/>
              </w:rPr>
              <w:t>aturity ≤ 1 year</w:t>
            </w:r>
          </w:p>
        </w:tc>
        <w:tc>
          <w:tcPr>
            <w:tcW w:w="2247" w:type="dxa"/>
            <w:shd w:val="clear" w:color="auto" w:fill="F2F2F2" w:themeFill="background1" w:themeFillShade="F2"/>
            <w:vAlign w:val="center"/>
          </w:tcPr>
          <w:p w14:paraId="50244961" w14:textId="77777777" w:rsidR="004E665E" w:rsidRPr="00665689" w:rsidRDefault="004E665E" w:rsidP="0069032D">
            <w:pPr>
              <w:pStyle w:val="APRANORMAL"/>
              <w:keepNext/>
              <w:keepLines/>
              <w:spacing w:before="120" w:after="120"/>
              <w:jc w:val="center"/>
              <w:rPr>
                <w:sz w:val="20"/>
                <w:szCs w:val="20"/>
                <w:lang w:val="en-AU"/>
              </w:rPr>
            </w:pPr>
            <w:r>
              <w:rPr>
                <w:sz w:val="20"/>
                <w:szCs w:val="20"/>
                <w:lang w:val="en-AU"/>
              </w:rPr>
              <w:t>20</w:t>
            </w:r>
          </w:p>
        </w:tc>
        <w:tc>
          <w:tcPr>
            <w:tcW w:w="2247" w:type="dxa"/>
            <w:shd w:val="clear" w:color="auto" w:fill="F2F2F2" w:themeFill="background1" w:themeFillShade="F2"/>
            <w:vAlign w:val="center"/>
          </w:tcPr>
          <w:p w14:paraId="1B1FE5E8" w14:textId="77777777" w:rsidR="004E665E" w:rsidRDefault="004E665E" w:rsidP="0069032D">
            <w:pPr>
              <w:pStyle w:val="APRANORMAL"/>
              <w:keepNext/>
              <w:keepLines/>
              <w:spacing w:before="120" w:after="120"/>
              <w:jc w:val="center"/>
              <w:rPr>
                <w:sz w:val="20"/>
                <w:szCs w:val="20"/>
                <w:lang w:val="en-AU"/>
              </w:rPr>
            </w:pPr>
            <w:r>
              <w:rPr>
                <w:sz w:val="20"/>
                <w:szCs w:val="20"/>
                <w:lang w:val="en-AU"/>
              </w:rPr>
              <w:t>40</w:t>
            </w:r>
          </w:p>
        </w:tc>
        <w:tc>
          <w:tcPr>
            <w:tcW w:w="2247" w:type="dxa"/>
            <w:shd w:val="clear" w:color="auto" w:fill="F2F2F2" w:themeFill="background1" w:themeFillShade="F2"/>
            <w:vAlign w:val="center"/>
          </w:tcPr>
          <w:p w14:paraId="31C3BCB0" w14:textId="77777777" w:rsidR="004E665E" w:rsidRDefault="004E665E" w:rsidP="0069032D">
            <w:pPr>
              <w:pStyle w:val="APRANORMAL"/>
              <w:keepNext/>
              <w:keepLines/>
              <w:spacing w:before="120" w:after="120"/>
              <w:jc w:val="center"/>
              <w:rPr>
                <w:sz w:val="20"/>
                <w:szCs w:val="20"/>
                <w:lang w:val="en-AU"/>
              </w:rPr>
            </w:pPr>
            <w:r>
              <w:rPr>
                <w:sz w:val="20"/>
                <w:szCs w:val="20"/>
                <w:lang w:val="en-AU"/>
              </w:rPr>
              <w:t>Bank, sovereign, credit cards: 50</w:t>
            </w:r>
          </w:p>
          <w:p w14:paraId="3D2A89C0" w14:textId="75B37CD8" w:rsidR="004E665E" w:rsidRPr="00665689" w:rsidRDefault="004E665E" w:rsidP="0069032D">
            <w:pPr>
              <w:pStyle w:val="APRANORMAL"/>
              <w:keepNext/>
              <w:keepLines/>
              <w:spacing w:before="120" w:after="120"/>
              <w:jc w:val="center"/>
              <w:rPr>
                <w:sz w:val="20"/>
                <w:szCs w:val="20"/>
                <w:lang w:val="en-AU"/>
              </w:rPr>
            </w:pPr>
            <w:r>
              <w:rPr>
                <w:sz w:val="20"/>
                <w:szCs w:val="20"/>
                <w:lang w:val="en-AU"/>
              </w:rPr>
              <w:t>Other exposures</w:t>
            </w:r>
            <w:r w:rsidR="001F297C">
              <w:rPr>
                <w:sz w:val="20"/>
                <w:szCs w:val="20"/>
                <w:lang w:val="en-AU"/>
              </w:rPr>
              <w:t xml:space="preserve"> (including residential mortgages)</w:t>
            </w:r>
            <w:r>
              <w:rPr>
                <w:sz w:val="20"/>
                <w:szCs w:val="20"/>
                <w:lang w:val="en-AU"/>
              </w:rPr>
              <w:t>: 100</w:t>
            </w:r>
          </w:p>
        </w:tc>
      </w:tr>
      <w:tr w:rsidR="004E665E" w14:paraId="4A745CA7" w14:textId="77777777" w:rsidTr="00730B1A">
        <w:tc>
          <w:tcPr>
            <w:tcW w:w="2275" w:type="dxa"/>
            <w:shd w:val="clear" w:color="auto" w:fill="002060"/>
            <w:vAlign w:val="center"/>
          </w:tcPr>
          <w:p w14:paraId="48086D53" w14:textId="3DF242F9" w:rsidR="004E665E" w:rsidRPr="00665689" w:rsidRDefault="0069032D" w:rsidP="0069032D">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Other commitments—m</w:t>
            </w:r>
            <w:r w:rsidR="004E665E">
              <w:rPr>
                <w:rFonts w:ascii="DIN OT Medium" w:hAnsi="DIN OT Medium"/>
                <w:sz w:val="20"/>
                <w:szCs w:val="20"/>
                <w:lang w:val="en-AU"/>
              </w:rPr>
              <w:t>aturity &gt; 1 year</w:t>
            </w:r>
          </w:p>
        </w:tc>
        <w:tc>
          <w:tcPr>
            <w:tcW w:w="2247" w:type="dxa"/>
            <w:shd w:val="clear" w:color="auto" w:fill="F2F2F2" w:themeFill="background1" w:themeFillShade="F2"/>
            <w:vAlign w:val="center"/>
          </w:tcPr>
          <w:p w14:paraId="0656EB3D" w14:textId="77777777" w:rsidR="004E665E" w:rsidRPr="00665689" w:rsidRDefault="004E665E" w:rsidP="0069032D">
            <w:pPr>
              <w:pStyle w:val="APRANORMAL"/>
              <w:keepNext/>
              <w:keepLines/>
              <w:spacing w:before="120" w:after="120"/>
              <w:jc w:val="center"/>
              <w:rPr>
                <w:sz w:val="20"/>
                <w:szCs w:val="20"/>
                <w:lang w:val="en-AU"/>
              </w:rPr>
            </w:pPr>
            <w:r>
              <w:rPr>
                <w:sz w:val="20"/>
                <w:szCs w:val="20"/>
                <w:lang w:val="en-AU"/>
              </w:rPr>
              <w:t>50</w:t>
            </w:r>
          </w:p>
        </w:tc>
        <w:tc>
          <w:tcPr>
            <w:tcW w:w="2247" w:type="dxa"/>
            <w:shd w:val="clear" w:color="auto" w:fill="F2F2F2" w:themeFill="background1" w:themeFillShade="F2"/>
            <w:vAlign w:val="center"/>
          </w:tcPr>
          <w:p w14:paraId="4F8B2DB8" w14:textId="77777777" w:rsidR="004E665E" w:rsidRDefault="004E665E" w:rsidP="0069032D">
            <w:pPr>
              <w:pStyle w:val="APRANORMAL"/>
              <w:keepNext/>
              <w:keepLines/>
              <w:spacing w:before="120" w:after="120"/>
              <w:jc w:val="center"/>
              <w:rPr>
                <w:sz w:val="20"/>
                <w:szCs w:val="20"/>
                <w:lang w:val="en-AU"/>
              </w:rPr>
            </w:pPr>
            <w:r>
              <w:rPr>
                <w:sz w:val="20"/>
                <w:szCs w:val="20"/>
                <w:lang w:val="en-AU"/>
              </w:rPr>
              <w:t>40</w:t>
            </w:r>
          </w:p>
        </w:tc>
        <w:tc>
          <w:tcPr>
            <w:tcW w:w="2247" w:type="dxa"/>
            <w:shd w:val="clear" w:color="auto" w:fill="F2F2F2" w:themeFill="background1" w:themeFillShade="F2"/>
            <w:vAlign w:val="center"/>
          </w:tcPr>
          <w:p w14:paraId="2965CC47" w14:textId="77777777" w:rsidR="004E665E" w:rsidRDefault="004E665E" w:rsidP="0069032D">
            <w:pPr>
              <w:pStyle w:val="APRANORMAL"/>
              <w:keepNext/>
              <w:keepLines/>
              <w:spacing w:before="120" w:after="120"/>
              <w:jc w:val="center"/>
              <w:rPr>
                <w:sz w:val="20"/>
                <w:szCs w:val="20"/>
                <w:lang w:val="en-AU"/>
              </w:rPr>
            </w:pPr>
            <w:r>
              <w:rPr>
                <w:sz w:val="20"/>
                <w:szCs w:val="20"/>
                <w:lang w:val="en-AU"/>
              </w:rPr>
              <w:t>Bank, sovereign, credit cards: 50</w:t>
            </w:r>
          </w:p>
          <w:p w14:paraId="415A90DE" w14:textId="07F83EAA" w:rsidR="004E665E" w:rsidRPr="00665689" w:rsidRDefault="004E665E" w:rsidP="0069032D">
            <w:pPr>
              <w:pStyle w:val="APRANORMAL"/>
              <w:keepNext/>
              <w:keepLines/>
              <w:spacing w:before="120" w:after="120"/>
              <w:jc w:val="center"/>
              <w:rPr>
                <w:sz w:val="20"/>
                <w:szCs w:val="20"/>
                <w:lang w:val="en-AU"/>
              </w:rPr>
            </w:pPr>
            <w:r>
              <w:rPr>
                <w:sz w:val="20"/>
                <w:szCs w:val="20"/>
                <w:lang w:val="en-AU"/>
              </w:rPr>
              <w:t>Other exposures</w:t>
            </w:r>
            <w:r w:rsidR="001F297C">
              <w:rPr>
                <w:sz w:val="20"/>
                <w:szCs w:val="20"/>
                <w:lang w:val="en-AU"/>
              </w:rPr>
              <w:t xml:space="preserve"> (including residential mortgages)</w:t>
            </w:r>
            <w:r>
              <w:rPr>
                <w:sz w:val="20"/>
                <w:szCs w:val="20"/>
                <w:lang w:val="en-AU"/>
              </w:rPr>
              <w:t>: 100</w:t>
            </w:r>
          </w:p>
        </w:tc>
      </w:tr>
      <w:tr w:rsidR="004E665E" w14:paraId="417440E3" w14:textId="77777777" w:rsidTr="00730B1A">
        <w:tc>
          <w:tcPr>
            <w:tcW w:w="2275" w:type="dxa"/>
            <w:shd w:val="clear" w:color="auto" w:fill="002060"/>
            <w:vAlign w:val="center"/>
          </w:tcPr>
          <w:p w14:paraId="6D1361DC" w14:textId="2A43CBDF" w:rsidR="004E665E" w:rsidRDefault="0069032D" w:rsidP="0069032D">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Other commitments—u</w:t>
            </w:r>
            <w:r w:rsidR="004E665E">
              <w:rPr>
                <w:rFonts w:ascii="DIN OT Medium" w:hAnsi="DIN OT Medium"/>
                <w:sz w:val="20"/>
                <w:szCs w:val="20"/>
                <w:lang w:val="en-AU"/>
              </w:rPr>
              <w:t>nconditionally cancellable</w:t>
            </w:r>
          </w:p>
        </w:tc>
        <w:tc>
          <w:tcPr>
            <w:tcW w:w="2247" w:type="dxa"/>
            <w:shd w:val="clear" w:color="auto" w:fill="F2F2F2" w:themeFill="background1" w:themeFillShade="F2"/>
            <w:vAlign w:val="center"/>
          </w:tcPr>
          <w:p w14:paraId="1B9E240B" w14:textId="77777777" w:rsidR="004E665E" w:rsidRPr="00665689" w:rsidRDefault="004E665E" w:rsidP="0069032D">
            <w:pPr>
              <w:pStyle w:val="APRANORMAL"/>
              <w:keepNext/>
              <w:keepLines/>
              <w:spacing w:before="120" w:after="120"/>
              <w:jc w:val="center"/>
              <w:rPr>
                <w:sz w:val="20"/>
                <w:szCs w:val="20"/>
                <w:lang w:val="en-AU"/>
              </w:rPr>
            </w:pPr>
            <w:r>
              <w:rPr>
                <w:sz w:val="20"/>
                <w:szCs w:val="20"/>
                <w:lang w:val="en-AU"/>
              </w:rPr>
              <w:t>0</w:t>
            </w:r>
          </w:p>
        </w:tc>
        <w:tc>
          <w:tcPr>
            <w:tcW w:w="2247" w:type="dxa"/>
            <w:shd w:val="clear" w:color="auto" w:fill="F2F2F2" w:themeFill="background1" w:themeFillShade="F2"/>
            <w:vAlign w:val="center"/>
          </w:tcPr>
          <w:p w14:paraId="1CD97BDC" w14:textId="77777777" w:rsidR="004E665E" w:rsidRDefault="004E665E" w:rsidP="0069032D">
            <w:pPr>
              <w:pStyle w:val="APRANORMAL"/>
              <w:keepNext/>
              <w:keepLines/>
              <w:spacing w:before="120" w:after="120"/>
              <w:jc w:val="center"/>
              <w:rPr>
                <w:sz w:val="20"/>
                <w:szCs w:val="20"/>
                <w:lang w:val="en-AU"/>
              </w:rPr>
            </w:pPr>
            <w:r>
              <w:rPr>
                <w:sz w:val="20"/>
                <w:szCs w:val="20"/>
                <w:lang w:val="en-AU"/>
              </w:rPr>
              <w:t>10</w:t>
            </w:r>
          </w:p>
        </w:tc>
        <w:tc>
          <w:tcPr>
            <w:tcW w:w="2247" w:type="dxa"/>
            <w:shd w:val="clear" w:color="auto" w:fill="F2F2F2" w:themeFill="background1" w:themeFillShade="F2"/>
            <w:vAlign w:val="center"/>
          </w:tcPr>
          <w:p w14:paraId="5E7173CC" w14:textId="77777777" w:rsidR="004E665E" w:rsidRPr="00665689" w:rsidRDefault="004E665E" w:rsidP="0069032D">
            <w:pPr>
              <w:pStyle w:val="APRANORMAL"/>
              <w:keepNext/>
              <w:keepLines/>
              <w:spacing w:before="120" w:after="120"/>
              <w:jc w:val="center"/>
              <w:rPr>
                <w:sz w:val="20"/>
                <w:szCs w:val="20"/>
                <w:lang w:val="en-AU"/>
              </w:rPr>
            </w:pPr>
            <w:r>
              <w:rPr>
                <w:sz w:val="20"/>
                <w:szCs w:val="20"/>
                <w:lang w:val="en-AU"/>
              </w:rPr>
              <w:t>20</w:t>
            </w:r>
          </w:p>
        </w:tc>
      </w:tr>
    </w:tbl>
    <w:p w14:paraId="7A329722" w14:textId="77777777" w:rsidR="004E665E" w:rsidRDefault="004E665E" w:rsidP="00E97CDE">
      <w:pPr>
        <w:pStyle w:val="APRANORMAL"/>
        <w:rPr>
          <w:lang w:eastAsia="en-AU"/>
        </w:rPr>
      </w:pPr>
    </w:p>
    <w:p w14:paraId="279BDAA4" w14:textId="013E7777" w:rsidR="00A86EB8" w:rsidRDefault="00A86EB8" w:rsidP="00A86EB8">
      <w:pPr>
        <w:pStyle w:val="APRAHEADING2"/>
      </w:pPr>
      <w:bookmarkStart w:id="212" w:name="_Toc500151949"/>
      <w:bookmarkStart w:id="213" w:name="_Toc505676417"/>
      <w:bookmarkStart w:id="214" w:name="_Toc505676509"/>
      <w:bookmarkStart w:id="215" w:name="_Toc505681581"/>
      <w:bookmarkStart w:id="216" w:name="_Toc505681763"/>
      <w:bookmarkStart w:id="217" w:name="_Toc505854707"/>
      <w:bookmarkStart w:id="218" w:name="_Toc506285807"/>
      <w:r>
        <w:t>Other propos</w:t>
      </w:r>
      <w:r w:rsidR="00D2227C">
        <w:t>als</w:t>
      </w:r>
      <w:bookmarkEnd w:id="212"/>
      <w:bookmarkEnd w:id="213"/>
      <w:bookmarkEnd w:id="214"/>
      <w:bookmarkEnd w:id="215"/>
      <w:bookmarkEnd w:id="216"/>
      <w:bookmarkEnd w:id="217"/>
      <w:bookmarkEnd w:id="218"/>
    </w:p>
    <w:p w14:paraId="7EA8505C" w14:textId="4809CBF6" w:rsidR="00F545A1" w:rsidRDefault="002D5A22" w:rsidP="003E1593">
      <w:pPr>
        <w:pStyle w:val="APRANORMAL"/>
      </w:pPr>
      <w:r>
        <w:t>APRA is also considering changes to other specific exposures, the details of which will be advised</w:t>
      </w:r>
      <w:r w:rsidR="00F545A1">
        <w:t xml:space="preserve"> during development of the revised prudential standards.</w:t>
      </w:r>
      <w:r>
        <w:t xml:space="preserve"> APRA’s </w:t>
      </w:r>
      <w:r w:rsidR="00335647">
        <w:t>proposals</w:t>
      </w:r>
      <w:r>
        <w:t xml:space="preserve"> are outlined in the following sections.</w:t>
      </w:r>
    </w:p>
    <w:p w14:paraId="114C1AF6" w14:textId="77777777" w:rsidR="00F545A1" w:rsidRDefault="00F545A1" w:rsidP="00F545A1">
      <w:pPr>
        <w:pStyle w:val="APRAHEADING3"/>
      </w:pPr>
      <w:r>
        <w:t>Margin lending</w:t>
      </w:r>
    </w:p>
    <w:p w14:paraId="2FB312E1" w14:textId="0F33454A" w:rsidR="00F545A1" w:rsidRDefault="00F545A1" w:rsidP="00F545A1">
      <w:pPr>
        <w:pStyle w:val="APRANORMAL"/>
        <w:rPr>
          <w:bCs/>
        </w:rPr>
      </w:pPr>
      <w:r w:rsidRPr="00567ED5">
        <w:t>APRA plan</w:t>
      </w:r>
      <w:r w:rsidR="00071F8C">
        <w:t>s</w:t>
      </w:r>
      <w:r w:rsidRPr="00567ED5">
        <w:t xml:space="preserve"> to review the </w:t>
      </w:r>
      <w:r w:rsidRPr="00567ED5" w:rsidDel="00AC4DB6">
        <w:t xml:space="preserve">risk </w:t>
      </w:r>
      <w:r w:rsidRPr="00567ED5">
        <w:t xml:space="preserve">weight for margin lending exposures. </w:t>
      </w:r>
      <w:r>
        <w:t xml:space="preserve">The current </w:t>
      </w:r>
      <w:r w:rsidR="009A760A">
        <w:t xml:space="preserve">capital </w:t>
      </w:r>
      <w:r>
        <w:t>treatment is</w:t>
      </w:r>
      <w:r w:rsidR="00DF3A7F">
        <w:t xml:space="preserve"> to apply a risk </w:t>
      </w:r>
      <w:r w:rsidRPr="00AC4DB6">
        <w:t xml:space="preserve">weight of 20 per cent </w:t>
      </w:r>
      <w:r w:rsidR="00DF3A7F">
        <w:t>to</w:t>
      </w:r>
      <w:r w:rsidRPr="00AC4DB6">
        <w:t xml:space="preserve"> </w:t>
      </w:r>
      <w:r>
        <w:t xml:space="preserve">an exposure secured by </w:t>
      </w:r>
      <w:r w:rsidRPr="00AC4DB6">
        <w:t xml:space="preserve">listed instruments on recognised exchanges. This treatment applies to both standardised and IRB ADIs. At the time of </w:t>
      </w:r>
      <w:r w:rsidR="001D7721">
        <w:t xml:space="preserve">implementing the </w:t>
      </w:r>
      <w:r w:rsidRPr="00AC4DB6">
        <w:t xml:space="preserve">Basel II </w:t>
      </w:r>
      <w:r w:rsidR="001D7721">
        <w:t>framework</w:t>
      </w:r>
      <w:r w:rsidRPr="00AC4DB6">
        <w:t xml:space="preserve">, APRA </w:t>
      </w:r>
      <w:r>
        <w:t xml:space="preserve">decided to apply a </w:t>
      </w:r>
      <w:r w:rsidR="00DF3A7F">
        <w:t xml:space="preserve">20 per cent risk </w:t>
      </w:r>
      <w:r w:rsidRPr="00AC4DB6">
        <w:t xml:space="preserve">weight as an interim measure and noted that further review was required. </w:t>
      </w:r>
      <w:r w:rsidRPr="00567ED5">
        <w:t xml:space="preserve">As part of this review, APRA </w:t>
      </w:r>
      <w:r w:rsidR="00BA4420">
        <w:t xml:space="preserve">is </w:t>
      </w:r>
      <w:r w:rsidRPr="00567ED5">
        <w:t>examin</w:t>
      </w:r>
      <w:r w:rsidR="00BA4420">
        <w:t>ing</w:t>
      </w:r>
      <w:r>
        <w:t xml:space="preserve"> whether the existing capital treatment remains appropriate. </w:t>
      </w:r>
    </w:p>
    <w:p w14:paraId="2A81D41F" w14:textId="06461E6F" w:rsidR="00F545A1" w:rsidRDefault="00F545A1" w:rsidP="00F545A1">
      <w:pPr>
        <w:pStyle w:val="APRAHEADING3"/>
      </w:pPr>
      <w:r>
        <w:lastRenderedPageBreak/>
        <w:t xml:space="preserve">Subordinated </w:t>
      </w:r>
      <w:r w:rsidR="00CC4CC8">
        <w:t>debt, equity and other capital instruments</w:t>
      </w:r>
    </w:p>
    <w:p w14:paraId="142AFA62" w14:textId="456AE95C" w:rsidR="00EA64A6" w:rsidRDefault="00B975EB" w:rsidP="003E1593">
      <w:pPr>
        <w:pStyle w:val="APRANORMAL"/>
      </w:pPr>
      <w:r>
        <w:t>Under the</w:t>
      </w:r>
      <w:r w:rsidDel="00100408">
        <w:t xml:space="preserve"> </w:t>
      </w:r>
      <w:r>
        <w:t>Basel</w:t>
      </w:r>
      <w:r w:rsidR="00100408">
        <w:t xml:space="preserve"> II</w:t>
      </w:r>
      <w:r>
        <w:t xml:space="preserve"> framework, subordinated debt, equity and other capital instruments </w:t>
      </w:r>
      <w:r w:rsidR="00EA64A6">
        <w:t xml:space="preserve">issued by banks </w:t>
      </w:r>
      <w:r w:rsidR="00D15065">
        <w:t xml:space="preserve">that are not deducted </w:t>
      </w:r>
      <w:r w:rsidR="001D7721">
        <w:t xml:space="preserve">are </w:t>
      </w:r>
      <w:r w:rsidR="000F5D73">
        <w:t>risk-weighted at either 100 or 250</w:t>
      </w:r>
      <w:r>
        <w:t> </w:t>
      </w:r>
      <w:r w:rsidR="000F5D73">
        <w:t>per cent, depending on the counterparty</w:t>
      </w:r>
      <w:r>
        <w:t>.</w:t>
      </w:r>
      <w:r w:rsidR="000F5D73" w:rsidDel="00100408">
        <w:t xml:space="preserve"> </w:t>
      </w:r>
    </w:p>
    <w:p w14:paraId="02D20C0D" w14:textId="5D5A651E" w:rsidR="000F5D73" w:rsidRDefault="00EA64A6" w:rsidP="003E1593">
      <w:pPr>
        <w:pStyle w:val="APRANORMAL"/>
        <w:rPr>
          <w:highlight w:val="yellow"/>
        </w:rPr>
      </w:pPr>
      <w:r>
        <w:t>T</w:t>
      </w:r>
      <w:r w:rsidR="00B975EB">
        <w:t>he Basel III reforms ha</w:t>
      </w:r>
      <w:r>
        <w:t xml:space="preserve">ve </w:t>
      </w:r>
      <w:r w:rsidR="00B975EB">
        <w:t xml:space="preserve">introduced a </w:t>
      </w:r>
      <w:r w:rsidR="00100408">
        <w:t xml:space="preserve">separate </w:t>
      </w:r>
      <w:r w:rsidR="00B975EB">
        <w:t xml:space="preserve">category </w:t>
      </w:r>
      <w:r>
        <w:t xml:space="preserve">and revised risk weights </w:t>
      </w:r>
      <w:r w:rsidR="00B975EB">
        <w:t xml:space="preserve">for </w:t>
      </w:r>
      <w:r>
        <w:t>these instruments, whether issued by banks or corporate counterparties</w:t>
      </w:r>
      <w:r w:rsidR="00D865FB">
        <w:t>. These</w:t>
      </w:r>
      <w:r>
        <w:t xml:space="preserve"> are set out in </w:t>
      </w:r>
      <w:r w:rsidR="00524BC4">
        <w:fldChar w:fldCharType="begin"/>
      </w:r>
      <w:r w:rsidR="00524BC4">
        <w:instrText xml:space="preserve"> REF _Ref502740714 \n \h </w:instrText>
      </w:r>
      <w:r w:rsidR="00524BC4">
        <w:fldChar w:fldCharType="separate"/>
      </w:r>
      <w:r w:rsidR="00EB1F7A">
        <w:t>Table 30</w:t>
      </w:r>
      <w:r w:rsidR="00524BC4">
        <w:fldChar w:fldCharType="end"/>
      </w:r>
      <w:r w:rsidR="0066748F">
        <w:t xml:space="preserve"> in</w:t>
      </w:r>
      <w:r w:rsidR="000B76F7">
        <w:t xml:space="preserve"> Attachment</w:t>
      </w:r>
      <w:r w:rsidR="000F5D73" w:rsidRPr="000F5D73">
        <w:t> </w:t>
      </w:r>
      <w:r w:rsidR="000B76F7">
        <w:t>A.</w:t>
      </w:r>
      <w:r w:rsidR="000B76F7" w:rsidRPr="000F5D73">
        <w:t xml:space="preserve"> </w:t>
      </w:r>
    </w:p>
    <w:p w14:paraId="3BA38C08" w14:textId="4BC3D191" w:rsidR="00B0528E" w:rsidRDefault="00EA64A6" w:rsidP="003E1593">
      <w:pPr>
        <w:pStyle w:val="APRANORMAL"/>
      </w:pPr>
      <w:r>
        <w:t xml:space="preserve">Under </w:t>
      </w:r>
      <w:r w:rsidR="00B975EB">
        <w:t>APRA</w:t>
      </w:r>
      <w:r>
        <w:t>’s current approach</w:t>
      </w:r>
      <w:r w:rsidR="009A760A">
        <w:t>,</w:t>
      </w:r>
      <w:r w:rsidR="005D51FC" w:rsidRPr="00FA7E37">
        <w:t xml:space="preserve"> most equity holdings and other capital support </w:t>
      </w:r>
      <w:r>
        <w:t>provided by banks or corporates are</w:t>
      </w:r>
      <w:r w:rsidR="005D51FC" w:rsidRPr="00FA7E37">
        <w:t xml:space="preserve"> deducted from regulatory capital</w:t>
      </w:r>
      <w:r>
        <w:t>, with the exception of hol</w:t>
      </w:r>
      <w:r w:rsidR="005D51FC" w:rsidRPr="00FA7E37">
        <w:t xml:space="preserve">dings of subordinated debt </w:t>
      </w:r>
      <w:r>
        <w:t>issued by</w:t>
      </w:r>
      <w:r w:rsidR="004F53E0" w:rsidRPr="00FA7E37">
        <w:t xml:space="preserve"> commercial entities</w:t>
      </w:r>
      <w:r w:rsidR="00100408">
        <w:t>. These</w:t>
      </w:r>
      <w:r w:rsidR="004F53E0" w:rsidRPr="00FA7E37" w:rsidDel="00100408">
        <w:t xml:space="preserve"> </w:t>
      </w:r>
      <w:r w:rsidR="004E7A66">
        <w:t xml:space="preserve">types of subordinated debt </w:t>
      </w:r>
      <w:r w:rsidR="004F53E0" w:rsidRPr="00FA7E37">
        <w:t>are subject to a risk weight of 100 per cent</w:t>
      </w:r>
      <w:r w:rsidR="00100408">
        <w:t>;</w:t>
      </w:r>
      <w:r w:rsidR="0088211A" w:rsidRPr="00FA7E37">
        <w:t xml:space="preserve"> </w:t>
      </w:r>
      <w:r w:rsidR="00100408">
        <w:t>under the Basel III reforms, the risk weight is</w:t>
      </w:r>
      <w:r w:rsidR="0088211A" w:rsidRPr="00FA7E37">
        <w:t xml:space="preserve"> 150 per cent. </w:t>
      </w:r>
      <w:r w:rsidR="00144154">
        <w:t>APRA will consider the appropriate approach for these exposures</w:t>
      </w:r>
      <w:r w:rsidR="00BA64A1">
        <w:t xml:space="preserve"> as part of its review of APS 112.</w:t>
      </w:r>
    </w:p>
    <w:p w14:paraId="3B9E68CC" w14:textId="1B90942B" w:rsidR="00B24D76" w:rsidRDefault="00F9221D" w:rsidP="00C0092A">
      <w:pPr>
        <w:pStyle w:val="APRAHEADING1"/>
      </w:pPr>
      <w:bookmarkStart w:id="219" w:name="_Toc500151950"/>
      <w:r>
        <w:lastRenderedPageBreak/>
        <w:t xml:space="preserve"> </w:t>
      </w:r>
      <w:bookmarkStart w:id="220" w:name="_Toc505676418"/>
      <w:bookmarkStart w:id="221" w:name="_Toc505676510"/>
      <w:bookmarkStart w:id="222" w:name="_Toc505681582"/>
      <w:bookmarkStart w:id="223" w:name="_Toc505681764"/>
      <w:bookmarkStart w:id="224" w:name="_Toc505854708"/>
      <w:bookmarkStart w:id="225" w:name="_Toc506285808"/>
      <w:r>
        <w:t xml:space="preserve">- </w:t>
      </w:r>
      <w:r w:rsidR="00B24D76">
        <w:t>C</w:t>
      </w:r>
      <w:r w:rsidR="0026447A">
        <w:t>r</w:t>
      </w:r>
      <w:r w:rsidR="0014338B">
        <w:t>edit risk</w:t>
      </w:r>
      <w:r w:rsidR="00080A04">
        <w:t>:</w:t>
      </w:r>
      <w:r w:rsidR="0014338B">
        <w:t xml:space="preserve"> </w:t>
      </w:r>
      <w:r w:rsidR="0026447A">
        <w:t>other</w:t>
      </w:r>
      <w:r w:rsidR="0014338B">
        <w:t xml:space="preserve"> </w:t>
      </w:r>
      <w:r w:rsidR="00973EAD">
        <w:t xml:space="preserve">IRB </w:t>
      </w:r>
      <w:r w:rsidR="0014338B">
        <w:t>exposures</w:t>
      </w:r>
      <w:bookmarkEnd w:id="148"/>
      <w:bookmarkEnd w:id="149"/>
      <w:bookmarkEnd w:id="150"/>
      <w:bookmarkEnd w:id="151"/>
      <w:bookmarkEnd w:id="152"/>
      <w:bookmarkEnd w:id="153"/>
      <w:bookmarkEnd w:id="154"/>
      <w:bookmarkEnd w:id="155"/>
      <w:bookmarkEnd w:id="219"/>
      <w:bookmarkEnd w:id="220"/>
      <w:bookmarkEnd w:id="221"/>
      <w:bookmarkEnd w:id="222"/>
      <w:bookmarkEnd w:id="223"/>
      <w:bookmarkEnd w:id="224"/>
      <w:bookmarkEnd w:id="225"/>
    </w:p>
    <w:p w14:paraId="4D73A336" w14:textId="1218B896" w:rsidR="00100408" w:rsidRDefault="00FD2A07" w:rsidP="007B09AD">
      <w:pPr>
        <w:pStyle w:val="APRANORMAL"/>
        <w:rPr>
          <w:lang w:eastAsia="en-AU"/>
        </w:rPr>
      </w:pPr>
      <w:r>
        <w:rPr>
          <w:lang w:eastAsia="en-AU"/>
        </w:rPr>
        <w:t xml:space="preserve">The changes </w:t>
      </w:r>
      <w:r w:rsidR="0030358E">
        <w:rPr>
          <w:lang w:eastAsia="en-AU"/>
        </w:rPr>
        <w:t xml:space="preserve">in Basel III </w:t>
      </w:r>
      <w:r>
        <w:rPr>
          <w:lang w:eastAsia="en-AU"/>
        </w:rPr>
        <w:t>for the IRB approach to credit risk focus on</w:t>
      </w:r>
      <w:r w:rsidR="00497ABF">
        <w:rPr>
          <w:lang w:eastAsia="en-AU"/>
        </w:rPr>
        <w:t xml:space="preserve"> </w:t>
      </w:r>
      <w:r w:rsidR="009A760A">
        <w:rPr>
          <w:lang w:eastAsia="en-AU"/>
        </w:rPr>
        <w:t xml:space="preserve">where models can be used and </w:t>
      </w:r>
      <w:r w:rsidR="001509A7">
        <w:rPr>
          <w:lang w:eastAsia="en-AU"/>
        </w:rPr>
        <w:t>constrain</w:t>
      </w:r>
      <w:r>
        <w:rPr>
          <w:lang w:eastAsia="en-AU"/>
        </w:rPr>
        <w:t>ing mod</w:t>
      </w:r>
      <w:r w:rsidR="003911BB">
        <w:rPr>
          <w:lang w:eastAsia="en-AU"/>
        </w:rPr>
        <w:t>el outcomes</w:t>
      </w:r>
      <w:r w:rsidR="001509A7">
        <w:rPr>
          <w:lang w:eastAsia="en-AU"/>
        </w:rPr>
        <w:t>, rather than chang</w:t>
      </w:r>
      <w:r w:rsidR="003911BB">
        <w:rPr>
          <w:lang w:eastAsia="en-AU"/>
        </w:rPr>
        <w:t>ing</w:t>
      </w:r>
      <w:r w:rsidR="001509A7">
        <w:rPr>
          <w:lang w:eastAsia="en-AU"/>
        </w:rPr>
        <w:t xml:space="preserve"> the underlying approach. </w:t>
      </w:r>
      <w:r w:rsidR="00FF05B0">
        <w:rPr>
          <w:lang w:eastAsia="en-AU"/>
        </w:rPr>
        <w:t>APRA</w:t>
      </w:r>
      <w:r w:rsidR="00056862">
        <w:rPr>
          <w:lang w:eastAsia="en-AU"/>
        </w:rPr>
        <w:t xml:space="preserve"> has, however</w:t>
      </w:r>
      <w:r w:rsidR="00056862" w:rsidRPr="006650AC">
        <w:rPr>
          <w:lang w:eastAsia="en-AU"/>
        </w:rPr>
        <w:t>, identified aspects of the</w:t>
      </w:r>
      <w:r w:rsidR="00AF52C6" w:rsidRPr="006650AC">
        <w:rPr>
          <w:lang w:eastAsia="en-AU"/>
        </w:rPr>
        <w:t xml:space="preserve"> current</w:t>
      </w:r>
      <w:r w:rsidR="00056862" w:rsidRPr="006650AC">
        <w:rPr>
          <w:lang w:eastAsia="en-AU"/>
        </w:rPr>
        <w:t xml:space="preserve"> IRB approach where improvements are warranted </w:t>
      </w:r>
      <w:r w:rsidR="00F20014" w:rsidRPr="006650AC">
        <w:rPr>
          <w:lang w:eastAsia="en-AU"/>
        </w:rPr>
        <w:t xml:space="preserve">either </w:t>
      </w:r>
      <w:r w:rsidR="00056862" w:rsidRPr="006650AC">
        <w:rPr>
          <w:lang w:eastAsia="en-AU"/>
        </w:rPr>
        <w:t>to better align regulatory capital to risk</w:t>
      </w:r>
      <w:r w:rsidR="00F20014" w:rsidRPr="006650AC">
        <w:rPr>
          <w:lang w:eastAsia="en-AU"/>
        </w:rPr>
        <w:t xml:space="preserve"> or </w:t>
      </w:r>
      <w:r w:rsidR="00100408">
        <w:rPr>
          <w:lang w:eastAsia="en-AU"/>
        </w:rPr>
        <w:t>to ensure</w:t>
      </w:r>
      <w:r w:rsidR="003E2768" w:rsidRPr="006650AC">
        <w:rPr>
          <w:lang w:eastAsia="en-AU"/>
        </w:rPr>
        <w:t xml:space="preserve"> </w:t>
      </w:r>
      <w:r w:rsidR="000D7517" w:rsidRPr="006650AC">
        <w:rPr>
          <w:lang w:eastAsia="en-AU"/>
        </w:rPr>
        <w:t>a</w:t>
      </w:r>
      <w:r w:rsidR="00F22849" w:rsidRPr="006650AC">
        <w:rPr>
          <w:lang w:eastAsia="en-AU"/>
        </w:rPr>
        <w:t xml:space="preserve"> simpler and consistent </w:t>
      </w:r>
      <w:r w:rsidR="000D7517" w:rsidRPr="006650AC">
        <w:rPr>
          <w:lang w:eastAsia="en-AU"/>
        </w:rPr>
        <w:t>approach</w:t>
      </w:r>
      <w:r w:rsidR="00F20014" w:rsidRPr="006650AC">
        <w:rPr>
          <w:lang w:eastAsia="en-AU"/>
        </w:rPr>
        <w:t>.</w:t>
      </w:r>
      <w:r w:rsidR="00F20014">
        <w:rPr>
          <w:lang w:eastAsia="en-AU"/>
        </w:rPr>
        <w:t xml:space="preserve"> T</w:t>
      </w:r>
      <w:r w:rsidR="007B09AD" w:rsidRPr="007B09AD">
        <w:rPr>
          <w:lang w:eastAsia="en-AU"/>
        </w:rPr>
        <w:t xml:space="preserve">his chapter </w:t>
      </w:r>
      <w:r w:rsidR="00430E4D">
        <w:rPr>
          <w:lang w:eastAsia="en-AU"/>
        </w:rPr>
        <w:t>outlines</w:t>
      </w:r>
      <w:r w:rsidR="007B09AD" w:rsidRPr="007B09AD">
        <w:rPr>
          <w:lang w:eastAsia="en-AU"/>
        </w:rPr>
        <w:t xml:space="preserve"> </w:t>
      </w:r>
      <w:r w:rsidR="00430E4D">
        <w:rPr>
          <w:lang w:eastAsia="en-AU"/>
        </w:rPr>
        <w:t xml:space="preserve">APRA’s </w:t>
      </w:r>
      <w:r w:rsidR="0013550D">
        <w:rPr>
          <w:lang w:eastAsia="en-AU"/>
        </w:rPr>
        <w:t>propos</w:t>
      </w:r>
      <w:r w:rsidR="007160FE">
        <w:rPr>
          <w:lang w:eastAsia="en-AU"/>
        </w:rPr>
        <w:t xml:space="preserve">ed </w:t>
      </w:r>
      <w:r w:rsidR="004A5697">
        <w:rPr>
          <w:lang w:eastAsia="en-AU"/>
        </w:rPr>
        <w:t xml:space="preserve">additional </w:t>
      </w:r>
      <w:r w:rsidR="00C068FF">
        <w:rPr>
          <w:lang w:eastAsia="en-AU"/>
        </w:rPr>
        <w:t>revisions</w:t>
      </w:r>
      <w:r w:rsidR="0030358E">
        <w:rPr>
          <w:lang w:eastAsia="en-AU"/>
        </w:rPr>
        <w:t xml:space="preserve"> for commercial property, SME and qualifying revolving retail exposures</w:t>
      </w:r>
      <w:r w:rsidR="007B09AD" w:rsidRPr="007B09AD">
        <w:rPr>
          <w:lang w:eastAsia="en-AU"/>
        </w:rPr>
        <w:t>.</w:t>
      </w:r>
      <w:r w:rsidR="00FD4242">
        <w:rPr>
          <w:lang w:eastAsia="en-AU"/>
        </w:rPr>
        <w:t xml:space="preserve"> </w:t>
      </w:r>
    </w:p>
    <w:p w14:paraId="42533869" w14:textId="6849211C" w:rsidR="007B09AD" w:rsidRDefault="00524BC4" w:rsidP="007B09AD">
      <w:pPr>
        <w:pStyle w:val="APRANORMAL"/>
        <w:rPr>
          <w:lang w:eastAsia="en-AU"/>
        </w:rPr>
      </w:pPr>
      <w:r>
        <w:rPr>
          <w:lang w:eastAsia="en-AU"/>
        </w:rPr>
        <w:fldChar w:fldCharType="begin"/>
      </w:r>
      <w:r>
        <w:rPr>
          <w:lang w:eastAsia="en-AU"/>
        </w:rPr>
        <w:instrText xml:space="preserve"> REF _Ref502740762 \n \h </w:instrText>
      </w:r>
      <w:r>
        <w:rPr>
          <w:lang w:eastAsia="en-AU"/>
        </w:rPr>
      </w:r>
      <w:r>
        <w:rPr>
          <w:lang w:eastAsia="en-AU"/>
        </w:rPr>
        <w:fldChar w:fldCharType="separate"/>
      </w:r>
      <w:r w:rsidR="00EB1F7A">
        <w:rPr>
          <w:lang w:eastAsia="en-AU"/>
        </w:rPr>
        <w:t>Table 32</w:t>
      </w:r>
      <w:r>
        <w:rPr>
          <w:lang w:eastAsia="en-AU"/>
        </w:rPr>
        <w:fldChar w:fldCharType="end"/>
      </w:r>
      <w:r w:rsidR="00A05888">
        <w:rPr>
          <w:lang w:eastAsia="en-AU"/>
        </w:rPr>
        <w:t xml:space="preserve"> </w:t>
      </w:r>
      <w:r w:rsidR="00056AD9">
        <w:rPr>
          <w:lang w:eastAsia="en-AU"/>
        </w:rPr>
        <w:t xml:space="preserve">in </w:t>
      </w:r>
      <w:r w:rsidR="00FD4242">
        <w:rPr>
          <w:lang w:eastAsia="en-AU"/>
        </w:rPr>
        <w:t>Attachment</w:t>
      </w:r>
      <w:r w:rsidR="00376060">
        <w:rPr>
          <w:lang w:eastAsia="en-AU"/>
        </w:rPr>
        <w:t> </w:t>
      </w:r>
      <w:r w:rsidR="007160FE">
        <w:rPr>
          <w:lang w:eastAsia="en-AU"/>
        </w:rPr>
        <w:t xml:space="preserve">B summarises the </w:t>
      </w:r>
      <w:r w:rsidR="00DD015A">
        <w:rPr>
          <w:lang w:eastAsia="en-AU"/>
        </w:rPr>
        <w:t xml:space="preserve">proposed revisions to </w:t>
      </w:r>
      <w:r w:rsidR="00A7565A">
        <w:rPr>
          <w:lang w:eastAsia="en-AU"/>
        </w:rPr>
        <w:t xml:space="preserve">the </w:t>
      </w:r>
      <w:r w:rsidR="007160FE">
        <w:rPr>
          <w:lang w:eastAsia="en-AU"/>
        </w:rPr>
        <w:t xml:space="preserve">IRB approach </w:t>
      </w:r>
      <w:r w:rsidR="00DD015A">
        <w:rPr>
          <w:lang w:eastAsia="en-AU"/>
        </w:rPr>
        <w:t xml:space="preserve">for </w:t>
      </w:r>
      <w:r w:rsidR="007160FE">
        <w:rPr>
          <w:lang w:eastAsia="en-AU"/>
        </w:rPr>
        <w:t>all asset classes</w:t>
      </w:r>
      <w:r w:rsidR="00FD4242">
        <w:rPr>
          <w:lang w:eastAsia="en-AU"/>
        </w:rPr>
        <w:t>.</w:t>
      </w:r>
    </w:p>
    <w:p w14:paraId="7A6D261A" w14:textId="68A4C407" w:rsidR="001509A7" w:rsidRDefault="00497ABF" w:rsidP="001509A7">
      <w:pPr>
        <w:pStyle w:val="APRAHEADING2"/>
      </w:pPr>
      <w:bookmarkStart w:id="226" w:name="_Toc505676419"/>
      <w:bookmarkStart w:id="227" w:name="_Toc505676511"/>
      <w:bookmarkStart w:id="228" w:name="_Toc505681583"/>
      <w:bookmarkStart w:id="229" w:name="_Toc505681765"/>
      <w:bookmarkStart w:id="230" w:name="_Toc505854709"/>
      <w:bookmarkStart w:id="231" w:name="_Toc506285809"/>
      <w:r>
        <w:t>Constraints to IRB modelling</w:t>
      </w:r>
      <w:bookmarkEnd w:id="226"/>
      <w:bookmarkEnd w:id="227"/>
      <w:bookmarkEnd w:id="228"/>
      <w:bookmarkEnd w:id="229"/>
      <w:bookmarkEnd w:id="230"/>
      <w:bookmarkEnd w:id="231"/>
    </w:p>
    <w:p w14:paraId="485BA171" w14:textId="0EFE127C" w:rsidR="001509A7" w:rsidRDefault="00497ABF" w:rsidP="001509A7">
      <w:pPr>
        <w:pStyle w:val="APRAHEADING3"/>
      </w:pPr>
      <w:r>
        <w:t>Basel III framework</w:t>
      </w:r>
    </w:p>
    <w:p w14:paraId="38A1E57F" w14:textId="150C1473" w:rsidR="00497ABF" w:rsidRDefault="001509A7" w:rsidP="00497ABF">
      <w:pPr>
        <w:pStyle w:val="APRANORMAL"/>
      </w:pPr>
      <w:r>
        <w:t xml:space="preserve">In recent years the Basel Committee has undertaken studies that have shown unwarranted variance in RWA under the IRB approach. In these circumstances, the </w:t>
      </w:r>
      <w:r w:rsidR="009D2F1A">
        <w:t xml:space="preserve">Basel </w:t>
      </w:r>
      <w:r>
        <w:t xml:space="preserve">Committee considers that constraints to IRB modelling </w:t>
      </w:r>
      <w:r w:rsidR="00CE3AA9">
        <w:t>are</w:t>
      </w:r>
      <w:r w:rsidR="001C564F">
        <w:t xml:space="preserve"> appropriate</w:t>
      </w:r>
      <w:r w:rsidR="00CE3AA9">
        <w:t xml:space="preserve"> </w:t>
      </w:r>
      <w:r>
        <w:t>as banks’</w:t>
      </w:r>
      <w:r w:rsidRPr="009709F6">
        <w:t xml:space="preserve"> </w:t>
      </w:r>
      <w:r>
        <w:t xml:space="preserve">underlying </w:t>
      </w:r>
      <w:r w:rsidRPr="009709F6">
        <w:t xml:space="preserve">data </w:t>
      </w:r>
      <w:r w:rsidR="00BA4420">
        <w:t>may</w:t>
      </w:r>
      <w:r w:rsidR="00BA4420" w:rsidRPr="009709F6">
        <w:t xml:space="preserve"> </w:t>
      </w:r>
      <w:r w:rsidRPr="009709F6">
        <w:t xml:space="preserve">not </w:t>
      </w:r>
      <w:r w:rsidR="00BA4420">
        <w:t xml:space="preserve">be </w:t>
      </w:r>
      <w:r w:rsidRPr="009709F6">
        <w:t>of sufficient quantity and quality</w:t>
      </w:r>
      <w:r>
        <w:t xml:space="preserve"> to model in a reliable manner.</w:t>
      </w:r>
      <w:r w:rsidRPr="00D71B22">
        <w:rPr>
          <w:rStyle w:val="FootnoteReference"/>
          <w:rFonts w:ascii="DIN OT Light" w:hAnsi="DIN OT Light"/>
          <w:lang w:eastAsia="en-AU"/>
        </w:rPr>
        <w:footnoteReference w:id="35"/>
      </w:r>
      <w:r>
        <w:rPr>
          <w:lang w:eastAsia="en-AU"/>
        </w:rPr>
        <w:t xml:space="preserve"> </w:t>
      </w:r>
      <w:r w:rsidR="00CE3AA9">
        <w:rPr>
          <w:lang w:eastAsia="en-AU"/>
        </w:rPr>
        <w:t>O</w:t>
      </w:r>
      <w:r w:rsidR="003A2AB1">
        <w:rPr>
          <w:lang w:eastAsia="en-AU"/>
        </w:rPr>
        <w:t xml:space="preserve">ne measure to address this, </w:t>
      </w:r>
      <w:r w:rsidR="003A2AB1">
        <w:t>u</w:t>
      </w:r>
      <w:r w:rsidR="00497ABF">
        <w:t>nder Basel III</w:t>
      </w:r>
      <w:r w:rsidR="00CE3AA9">
        <w:t>,</w:t>
      </w:r>
      <w:r w:rsidR="00497ABF">
        <w:t xml:space="preserve"> </w:t>
      </w:r>
      <w:r w:rsidR="001C564F">
        <w:t>requires</w:t>
      </w:r>
      <w:r w:rsidR="003A2AB1">
        <w:t xml:space="preserve"> IRB </w:t>
      </w:r>
      <w:r w:rsidR="00497ABF">
        <w:t xml:space="preserve">banks to use foundation </w:t>
      </w:r>
      <w:r w:rsidR="003A2AB1">
        <w:t xml:space="preserve">(not advanced) </w:t>
      </w:r>
      <w:r w:rsidR="00497ABF">
        <w:t xml:space="preserve">IRB estimates for LGD and </w:t>
      </w:r>
      <w:r w:rsidR="00382A5F">
        <w:t>exposure at default (EAD)</w:t>
      </w:r>
      <w:r w:rsidR="00497ABF">
        <w:t xml:space="preserve"> for exposures to corporate counterparties with total consolidated </w:t>
      </w:r>
      <w:r w:rsidR="009D2F1A">
        <w:t xml:space="preserve">annual </w:t>
      </w:r>
      <w:r w:rsidR="00497ABF">
        <w:t xml:space="preserve">revenues greater than €500m and exposures to banks and other securities firms and financial institutions. </w:t>
      </w:r>
    </w:p>
    <w:p w14:paraId="48AA619F" w14:textId="5F3AE791" w:rsidR="005614FE" w:rsidRDefault="005614FE" w:rsidP="00497ABF">
      <w:pPr>
        <w:pStyle w:val="APRANORMAL"/>
      </w:pPr>
      <w:r>
        <w:t xml:space="preserve">Basel III also introduces an overall floor to </w:t>
      </w:r>
      <w:r w:rsidR="003A2AB1">
        <w:t>RWAs</w:t>
      </w:r>
      <w:r>
        <w:t xml:space="preserve"> </w:t>
      </w:r>
      <w:r w:rsidR="00CE3AA9">
        <w:t xml:space="preserve">relative </w:t>
      </w:r>
      <w:r>
        <w:t>to the standardised approaches, which is discussed in Chapter 7</w:t>
      </w:r>
      <w:r w:rsidR="00646E44">
        <w:t xml:space="preserve">, and </w:t>
      </w:r>
      <w:r w:rsidR="00B17E54">
        <w:t>additional</w:t>
      </w:r>
      <w:r w:rsidR="00646E44">
        <w:t xml:space="preserve"> input floors to the parameters estimated by ADIs in the IRB risk-weight function, which are detailed in </w:t>
      </w:r>
      <w:r w:rsidR="004E7A66">
        <w:fldChar w:fldCharType="begin"/>
      </w:r>
      <w:r w:rsidR="004E7A66">
        <w:instrText xml:space="preserve"> REF _Ref505333783 \r \h </w:instrText>
      </w:r>
      <w:r w:rsidR="004E7A66">
        <w:fldChar w:fldCharType="separate"/>
      </w:r>
      <w:r w:rsidR="00EB1F7A">
        <w:t>Table 33</w:t>
      </w:r>
      <w:r w:rsidR="004E7A66">
        <w:fldChar w:fldCharType="end"/>
      </w:r>
      <w:r w:rsidR="004E7A66">
        <w:t xml:space="preserve"> in </w:t>
      </w:r>
      <w:r w:rsidR="00646E44">
        <w:t>Attachment B</w:t>
      </w:r>
      <w:r>
        <w:t>.</w:t>
      </w:r>
    </w:p>
    <w:p w14:paraId="7379A4C7" w14:textId="77777777" w:rsidR="001509A7" w:rsidRDefault="001509A7" w:rsidP="001509A7">
      <w:pPr>
        <w:pStyle w:val="APRAHEADING3"/>
      </w:pPr>
      <w:r>
        <w:t>APRA’s proposals</w:t>
      </w:r>
    </w:p>
    <w:p w14:paraId="25931460" w14:textId="6578113A" w:rsidR="001509A7" w:rsidRDefault="00382A5F" w:rsidP="001509A7">
      <w:pPr>
        <w:pStyle w:val="APRANORMAL"/>
        <w:rPr>
          <w:lang w:eastAsia="en-AU"/>
        </w:rPr>
      </w:pPr>
      <w:r>
        <w:t xml:space="preserve">APRA has identified a number of LGD and EAD estimates where there is limited value in modelling under the IRB approach, compared to common APRA-provided </w:t>
      </w:r>
      <w:r>
        <w:lastRenderedPageBreak/>
        <w:t xml:space="preserve">factors being applied by ADIs. </w:t>
      </w:r>
      <w:r w:rsidR="001509A7">
        <w:t>APRA propos</w:t>
      </w:r>
      <w:r w:rsidR="002E2F96">
        <w:t>es</w:t>
      </w:r>
      <w:r w:rsidR="001509A7">
        <w:t xml:space="preserve"> to extend the </w:t>
      </w:r>
      <w:r>
        <w:t xml:space="preserve">Basel III </w:t>
      </w:r>
      <w:r w:rsidR="001509A7">
        <w:t xml:space="preserve">constraints to a wider range of LGD and EAD estimates. </w:t>
      </w:r>
      <w:r w:rsidR="001509A7" w:rsidRPr="0026435B">
        <w:t xml:space="preserve">This </w:t>
      </w:r>
      <w:r w:rsidR="001509A7">
        <w:t xml:space="preserve">approach </w:t>
      </w:r>
      <w:r w:rsidR="001509A7" w:rsidRPr="0026435B">
        <w:t>will generate capital requirements that are simpler and more consistent</w:t>
      </w:r>
      <w:r w:rsidR="001509A7">
        <w:t xml:space="preserve"> between IRB ADIs</w:t>
      </w:r>
      <w:r w:rsidR="001509A7" w:rsidRPr="0026435B">
        <w:t>.</w:t>
      </w:r>
    </w:p>
    <w:p w14:paraId="16815F13" w14:textId="77777777" w:rsidR="001509A7" w:rsidRPr="0091012A" w:rsidRDefault="001509A7" w:rsidP="001509A7">
      <w:pPr>
        <w:pStyle w:val="APRAHEADING4"/>
        <w:rPr>
          <w:lang w:eastAsia="en-AU"/>
        </w:rPr>
      </w:pPr>
      <w:r w:rsidRPr="001A5302">
        <w:rPr>
          <w:lang w:eastAsia="en-AU"/>
        </w:rPr>
        <w:t>L</w:t>
      </w:r>
      <w:r w:rsidRPr="0091012A">
        <w:rPr>
          <w:lang w:eastAsia="en-AU"/>
        </w:rPr>
        <w:t>oss given default</w:t>
      </w:r>
    </w:p>
    <w:p w14:paraId="7C291837" w14:textId="6322C940" w:rsidR="001509A7" w:rsidRDefault="001509A7" w:rsidP="001509A7">
      <w:pPr>
        <w:pStyle w:val="APRANORMAL"/>
        <w:rPr>
          <w:lang w:eastAsia="en-AU"/>
        </w:rPr>
      </w:pPr>
      <w:r>
        <w:rPr>
          <w:lang w:eastAsia="en-AU"/>
        </w:rPr>
        <w:t>APRA propos</w:t>
      </w:r>
      <w:r w:rsidR="002E2F96">
        <w:rPr>
          <w:lang w:eastAsia="en-AU"/>
        </w:rPr>
        <w:t>es</w:t>
      </w:r>
      <w:r>
        <w:rPr>
          <w:lang w:eastAsia="en-AU"/>
        </w:rPr>
        <w:t xml:space="preserve"> to constrain LGD modelling for all unsecured non-retail exposures. For these exposures</w:t>
      </w:r>
      <w:r w:rsidR="00D15065">
        <w:rPr>
          <w:lang w:eastAsia="en-AU"/>
        </w:rPr>
        <w:t>,</w:t>
      </w:r>
      <w:r w:rsidRPr="00FB1D6C">
        <w:rPr>
          <w:lang w:eastAsia="en-AU"/>
        </w:rPr>
        <w:t xml:space="preserve"> </w:t>
      </w:r>
      <w:r>
        <w:rPr>
          <w:lang w:eastAsia="en-AU"/>
        </w:rPr>
        <w:t>ADIs have</w:t>
      </w:r>
      <w:r w:rsidRPr="00FB1D6C">
        <w:rPr>
          <w:lang w:eastAsia="en-AU"/>
        </w:rPr>
        <w:t xml:space="preserve"> limited internal </w:t>
      </w:r>
      <w:r>
        <w:rPr>
          <w:lang w:eastAsia="en-AU"/>
        </w:rPr>
        <w:t xml:space="preserve">default </w:t>
      </w:r>
      <w:r w:rsidRPr="00FB1D6C">
        <w:rPr>
          <w:lang w:eastAsia="en-AU"/>
        </w:rPr>
        <w:t xml:space="preserve">data to develop </w:t>
      </w:r>
      <w:r>
        <w:rPr>
          <w:lang w:eastAsia="en-AU"/>
        </w:rPr>
        <w:t xml:space="preserve">their own </w:t>
      </w:r>
      <w:r w:rsidRPr="00FB1D6C">
        <w:rPr>
          <w:lang w:eastAsia="en-AU"/>
        </w:rPr>
        <w:t>estimates</w:t>
      </w:r>
      <w:r>
        <w:rPr>
          <w:lang w:eastAsia="en-AU"/>
        </w:rPr>
        <w:t xml:space="preserve"> and, as a result, rely on the same external datasets. To enhance the transparency and consistency of the IRB approach, APRA propos</w:t>
      </w:r>
      <w:r w:rsidR="009D392B">
        <w:rPr>
          <w:lang w:eastAsia="en-AU"/>
        </w:rPr>
        <w:t>es</w:t>
      </w:r>
      <w:r>
        <w:rPr>
          <w:lang w:eastAsia="en-AU"/>
        </w:rPr>
        <w:t xml:space="preserve"> the use of the foundation IRB approach for unsecured non-retail LGD estimates. </w:t>
      </w:r>
    </w:p>
    <w:p w14:paraId="4F92FEA6" w14:textId="719D5BD5" w:rsidR="001509A7" w:rsidRDefault="001509A7" w:rsidP="001509A7">
      <w:pPr>
        <w:pStyle w:val="APRANORMAL"/>
        <w:rPr>
          <w:lang w:eastAsia="en-AU"/>
        </w:rPr>
      </w:pPr>
      <w:r w:rsidRPr="00FB1D6C">
        <w:rPr>
          <w:lang w:eastAsia="en-AU"/>
        </w:rPr>
        <w:t>For retail and secured non-retail</w:t>
      </w:r>
      <w:r>
        <w:rPr>
          <w:lang w:eastAsia="en-AU"/>
        </w:rPr>
        <w:t xml:space="preserve"> exposures</w:t>
      </w:r>
      <w:r w:rsidRPr="00FB1D6C">
        <w:rPr>
          <w:lang w:eastAsia="en-AU"/>
        </w:rPr>
        <w:t>, APRA considers</w:t>
      </w:r>
      <w:r>
        <w:rPr>
          <w:lang w:eastAsia="en-AU"/>
        </w:rPr>
        <w:t xml:space="preserve"> that ADIs have s</w:t>
      </w:r>
      <w:r w:rsidRPr="00FB1D6C">
        <w:rPr>
          <w:lang w:eastAsia="en-AU"/>
        </w:rPr>
        <w:t>ufficient</w:t>
      </w:r>
      <w:r>
        <w:rPr>
          <w:lang w:eastAsia="en-AU"/>
        </w:rPr>
        <w:t xml:space="preserve"> internal</w:t>
      </w:r>
      <w:r w:rsidRPr="00FB1D6C">
        <w:rPr>
          <w:lang w:eastAsia="en-AU"/>
        </w:rPr>
        <w:t xml:space="preserve"> data </w:t>
      </w:r>
      <w:r>
        <w:rPr>
          <w:lang w:eastAsia="en-AU"/>
        </w:rPr>
        <w:t xml:space="preserve">to continue to model and use their own LGD estimates. </w:t>
      </w:r>
      <w:r w:rsidR="009802FE">
        <w:rPr>
          <w:lang w:eastAsia="en-AU"/>
        </w:rPr>
        <w:fldChar w:fldCharType="begin"/>
      </w:r>
      <w:r w:rsidR="009802FE">
        <w:rPr>
          <w:lang w:eastAsia="en-AU"/>
        </w:rPr>
        <w:instrText xml:space="preserve"> REF _Ref504133119 \r \h </w:instrText>
      </w:r>
      <w:r w:rsidR="009802FE">
        <w:rPr>
          <w:lang w:eastAsia="en-AU"/>
        </w:rPr>
      </w:r>
      <w:r w:rsidR="009802FE">
        <w:rPr>
          <w:lang w:eastAsia="en-AU"/>
        </w:rPr>
        <w:fldChar w:fldCharType="separate"/>
      </w:r>
      <w:r w:rsidR="00EB1F7A">
        <w:rPr>
          <w:lang w:eastAsia="en-AU"/>
        </w:rPr>
        <w:t>Table 7</w:t>
      </w:r>
      <w:r w:rsidR="009802FE">
        <w:rPr>
          <w:lang w:eastAsia="en-AU"/>
        </w:rPr>
        <w:fldChar w:fldCharType="end"/>
      </w:r>
      <w:r w:rsidR="009802FE">
        <w:rPr>
          <w:lang w:eastAsia="en-AU"/>
        </w:rPr>
        <w:t xml:space="preserve"> </w:t>
      </w:r>
      <w:r>
        <w:rPr>
          <w:lang w:eastAsia="en-AU"/>
        </w:rPr>
        <w:t xml:space="preserve">summarises APRA’s proposed approaches to LGD. </w:t>
      </w:r>
    </w:p>
    <w:p w14:paraId="55400C22" w14:textId="2B237D06" w:rsidR="001509A7" w:rsidRPr="000F02E6" w:rsidRDefault="004E7A66" w:rsidP="001509A7">
      <w:pPr>
        <w:pStyle w:val="APRATABLE-NUMBER"/>
      </w:pPr>
      <w:bookmarkStart w:id="232" w:name="_Ref504133119"/>
      <w:r>
        <w:t>Proposed a</w:t>
      </w:r>
      <w:r w:rsidR="001509A7">
        <w:t>pplication of internal and APRA LGD estimates</w:t>
      </w:r>
      <w:bookmarkEnd w:id="23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374"/>
        <w:gridCol w:w="3374"/>
      </w:tblGrid>
      <w:tr w:rsidR="001509A7" w14:paraId="2D49EAF2" w14:textId="77777777" w:rsidTr="003911BB">
        <w:tc>
          <w:tcPr>
            <w:tcW w:w="2268" w:type="dxa"/>
            <w:shd w:val="clear" w:color="auto" w:fill="002060"/>
            <w:vAlign w:val="bottom"/>
          </w:tcPr>
          <w:p w14:paraId="151E486D" w14:textId="77777777" w:rsidR="001509A7" w:rsidRPr="00665689" w:rsidRDefault="001509A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Segment</w:t>
            </w:r>
          </w:p>
        </w:tc>
        <w:tc>
          <w:tcPr>
            <w:tcW w:w="3374" w:type="dxa"/>
            <w:shd w:val="clear" w:color="auto" w:fill="002060"/>
            <w:vAlign w:val="bottom"/>
          </w:tcPr>
          <w:p w14:paraId="45CD296E" w14:textId="7DA5D269" w:rsidR="001509A7" w:rsidRPr="00665689" w:rsidRDefault="001509A7" w:rsidP="003911BB">
            <w:pPr>
              <w:pStyle w:val="APRANORMAL"/>
              <w:keepNext/>
              <w:spacing w:before="120" w:after="120"/>
              <w:jc w:val="center"/>
              <w:rPr>
                <w:rFonts w:ascii="DIN OT Medium" w:hAnsi="DIN OT Medium"/>
                <w:sz w:val="20"/>
                <w:szCs w:val="20"/>
                <w:lang w:val="en-AU"/>
              </w:rPr>
            </w:pPr>
            <w:r>
              <w:rPr>
                <w:rFonts w:ascii="DIN OT Medium" w:hAnsi="DIN OT Medium"/>
                <w:sz w:val="20"/>
                <w:szCs w:val="20"/>
                <w:lang w:val="en-AU"/>
              </w:rPr>
              <w:t>Internal</w:t>
            </w:r>
            <w:r w:rsidR="00BA4420">
              <w:rPr>
                <w:rFonts w:ascii="DIN OT Medium" w:hAnsi="DIN OT Medium"/>
                <w:sz w:val="20"/>
                <w:szCs w:val="20"/>
                <w:lang w:val="en-AU"/>
              </w:rPr>
              <w:t>ly determined</w:t>
            </w:r>
          </w:p>
        </w:tc>
        <w:tc>
          <w:tcPr>
            <w:tcW w:w="3374" w:type="dxa"/>
            <w:shd w:val="clear" w:color="auto" w:fill="002060"/>
            <w:vAlign w:val="bottom"/>
          </w:tcPr>
          <w:p w14:paraId="6ABB44C3" w14:textId="7C5C85B2" w:rsidR="001509A7" w:rsidRPr="00665689" w:rsidRDefault="00182390" w:rsidP="003911BB">
            <w:pPr>
              <w:pStyle w:val="APRANORMAL"/>
              <w:keepNext/>
              <w:spacing w:before="120" w:after="120"/>
              <w:jc w:val="center"/>
              <w:rPr>
                <w:rFonts w:ascii="DIN OT Medium" w:hAnsi="DIN OT Medium"/>
                <w:sz w:val="20"/>
                <w:szCs w:val="20"/>
                <w:lang w:val="en-AU"/>
              </w:rPr>
            </w:pPr>
            <w:r>
              <w:rPr>
                <w:rFonts w:ascii="DIN OT Medium" w:hAnsi="DIN OT Medium"/>
                <w:sz w:val="20"/>
                <w:szCs w:val="20"/>
                <w:lang w:val="en-AU"/>
              </w:rPr>
              <w:t>APRA</w:t>
            </w:r>
            <w:r w:rsidR="00BA4420">
              <w:rPr>
                <w:rFonts w:ascii="DIN OT Medium" w:hAnsi="DIN OT Medium"/>
                <w:sz w:val="20"/>
                <w:szCs w:val="20"/>
                <w:lang w:val="en-AU"/>
              </w:rPr>
              <w:t xml:space="preserve"> determined</w:t>
            </w:r>
          </w:p>
        </w:tc>
      </w:tr>
      <w:tr w:rsidR="001509A7" w14:paraId="4D56B359" w14:textId="77777777" w:rsidTr="00730B1A">
        <w:tc>
          <w:tcPr>
            <w:tcW w:w="2268" w:type="dxa"/>
            <w:shd w:val="clear" w:color="auto" w:fill="002060"/>
          </w:tcPr>
          <w:p w14:paraId="07C7144B" w14:textId="77777777" w:rsidR="001509A7" w:rsidRPr="00665689" w:rsidRDefault="001509A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Non-retail unsecured</w:t>
            </w:r>
          </w:p>
        </w:tc>
        <w:tc>
          <w:tcPr>
            <w:tcW w:w="3374" w:type="dxa"/>
            <w:shd w:val="clear" w:color="auto" w:fill="F2F2F2" w:themeFill="background1" w:themeFillShade="F2"/>
          </w:tcPr>
          <w:p w14:paraId="7B623492" w14:textId="77777777" w:rsidR="001509A7" w:rsidRPr="00665689" w:rsidRDefault="001509A7" w:rsidP="003911BB">
            <w:pPr>
              <w:pStyle w:val="APRANORMAL"/>
              <w:keepNext/>
              <w:spacing w:before="120" w:after="120"/>
              <w:jc w:val="center"/>
              <w:rPr>
                <w:sz w:val="20"/>
                <w:szCs w:val="20"/>
                <w:lang w:val="en-AU"/>
              </w:rPr>
            </w:pPr>
            <w:r>
              <w:rPr>
                <w:sz w:val="20"/>
                <w:szCs w:val="20"/>
                <w:lang w:val="en-AU"/>
              </w:rPr>
              <w:t>No</w:t>
            </w:r>
          </w:p>
        </w:tc>
        <w:tc>
          <w:tcPr>
            <w:tcW w:w="3374" w:type="dxa"/>
            <w:shd w:val="clear" w:color="auto" w:fill="F2F2F2" w:themeFill="background1" w:themeFillShade="F2"/>
          </w:tcPr>
          <w:p w14:paraId="0187AF24" w14:textId="77777777" w:rsidR="001509A7" w:rsidRPr="00665689" w:rsidRDefault="001509A7" w:rsidP="003911BB">
            <w:pPr>
              <w:pStyle w:val="APRANORMAL"/>
              <w:keepNext/>
              <w:spacing w:before="120" w:after="120"/>
              <w:jc w:val="center"/>
              <w:rPr>
                <w:sz w:val="20"/>
                <w:szCs w:val="20"/>
                <w:lang w:val="en-AU"/>
              </w:rPr>
            </w:pPr>
            <w:r>
              <w:rPr>
                <w:sz w:val="20"/>
                <w:szCs w:val="20"/>
                <w:lang w:val="en-AU"/>
              </w:rPr>
              <w:t>Yes</w:t>
            </w:r>
          </w:p>
        </w:tc>
      </w:tr>
      <w:tr w:rsidR="001509A7" w14:paraId="45494746" w14:textId="77777777" w:rsidTr="00730B1A">
        <w:tc>
          <w:tcPr>
            <w:tcW w:w="2268" w:type="dxa"/>
            <w:shd w:val="clear" w:color="auto" w:fill="002060"/>
          </w:tcPr>
          <w:p w14:paraId="122B2AD0" w14:textId="77777777" w:rsidR="001509A7" w:rsidRPr="00665689" w:rsidRDefault="001509A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Non-retail secured</w:t>
            </w:r>
          </w:p>
        </w:tc>
        <w:tc>
          <w:tcPr>
            <w:tcW w:w="3374" w:type="dxa"/>
            <w:shd w:val="clear" w:color="auto" w:fill="F2F2F2" w:themeFill="background1" w:themeFillShade="F2"/>
          </w:tcPr>
          <w:p w14:paraId="1D162576" w14:textId="77777777" w:rsidR="001509A7" w:rsidRPr="00665689" w:rsidRDefault="001509A7" w:rsidP="003911BB">
            <w:pPr>
              <w:pStyle w:val="APRANORMAL"/>
              <w:keepNext/>
              <w:spacing w:before="120" w:after="120"/>
              <w:jc w:val="center"/>
              <w:rPr>
                <w:sz w:val="20"/>
                <w:szCs w:val="20"/>
                <w:lang w:val="en-AU"/>
              </w:rPr>
            </w:pPr>
            <w:r>
              <w:rPr>
                <w:sz w:val="20"/>
                <w:szCs w:val="20"/>
                <w:lang w:val="en-AU"/>
              </w:rPr>
              <w:t>Yes</w:t>
            </w:r>
          </w:p>
        </w:tc>
        <w:tc>
          <w:tcPr>
            <w:tcW w:w="3374" w:type="dxa"/>
            <w:shd w:val="clear" w:color="auto" w:fill="F2F2F2" w:themeFill="background1" w:themeFillShade="F2"/>
          </w:tcPr>
          <w:p w14:paraId="75A7E6AC" w14:textId="77777777" w:rsidR="001509A7" w:rsidRPr="00665689" w:rsidRDefault="001509A7" w:rsidP="003911BB">
            <w:pPr>
              <w:pStyle w:val="APRANORMAL"/>
              <w:keepNext/>
              <w:spacing w:before="120" w:after="120"/>
              <w:jc w:val="center"/>
              <w:rPr>
                <w:sz w:val="20"/>
                <w:szCs w:val="20"/>
                <w:lang w:val="en-AU"/>
              </w:rPr>
            </w:pPr>
            <w:r>
              <w:rPr>
                <w:sz w:val="20"/>
                <w:szCs w:val="20"/>
                <w:lang w:val="en-AU"/>
              </w:rPr>
              <w:t>No</w:t>
            </w:r>
          </w:p>
        </w:tc>
      </w:tr>
      <w:tr w:rsidR="001509A7" w14:paraId="7DCEAB55" w14:textId="77777777" w:rsidTr="00730B1A">
        <w:tc>
          <w:tcPr>
            <w:tcW w:w="2268" w:type="dxa"/>
            <w:shd w:val="clear" w:color="auto" w:fill="002060"/>
          </w:tcPr>
          <w:p w14:paraId="27402CC3" w14:textId="77777777" w:rsidR="001509A7" w:rsidRPr="00665689" w:rsidRDefault="001509A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Retail</w:t>
            </w:r>
          </w:p>
        </w:tc>
        <w:tc>
          <w:tcPr>
            <w:tcW w:w="3374" w:type="dxa"/>
            <w:shd w:val="clear" w:color="auto" w:fill="F2F2F2" w:themeFill="background1" w:themeFillShade="F2"/>
          </w:tcPr>
          <w:p w14:paraId="6401F0A1" w14:textId="77777777" w:rsidR="001509A7" w:rsidRPr="00665689" w:rsidRDefault="001509A7" w:rsidP="003911BB">
            <w:pPr>
              <w:pStyle w:val="APRANORMAL"/>
              <w:keepNext/>
              <w:spacing w:before="120" w:after="120"/>
              <w:jc w:val="center"/>
              <w:rPr>
                <w:sz w:val="20"/>
                <w:szCs w:val="20"/>
                <w:lang w:val="en-AU"/>
              </w:rPr>
            </w:pPr>
            <w:r>
              <w:rPr>
                <w:sz w:val="20"/>
                <w:szCs w:val="20"/>
                <w:lang w:val="en-AU"/>
              </w:rPr>
              <w:t>Yes</w:t>
            </w:r>
          </w:p>
        </w:tc>
        <w:tc>
          <w:tcPr>
            <w:tcW w:w="3374" w:type="dxa"/>
            <w:shd w:val="clear" w:color="auto" w:fill="F2F2F2" w:themeFill="background1" w:themeFillShade="F2"/>
          </w:tcPr>
          <w:p w14:paraId="39794EBE" w14:textId="77777777" w:rsidR="001509A7" w:rsidRPr="00665689" w:rsidRDefault="001509A7" w:rsidP="003911BB">
            <w:pPr>
              <w:pStyle w:val="APRANORMAL"/>
              <w:keepNext/>
              <w:spacing w:before="120" w:after="120"/>
              <w:jc w:val="center"/>
              <w:rPr>
                <w:sz w:val="20"/>
                <w:szCs w:val="20"/>
                <w:lang w:val="en-AU"/>
              </w:rPr>
            </w:pPr>
            <w:r>
              <w:rPr>
                <w:sz w:val="20"/>
                <w:szCs w:val="20"/>
                <w:lang w:val="en-AU"/>
              </w:rPr>
              <w:t>No</w:t>
            </w:r>
          </w:p>
        </w:tc>
      </w:tr>
    </w:tbl>
    <w:p w14:paraId="7C8FD3B0" w14:textId="77777777" w:rsidR="001509A7" w:rsidRDefault="001509A7" w:rsidP="001509A7">
      <w:pPr>
        <w:pStyle w:val="APRANORMAL"/>
        <w:rPr>
          <w:lang w:eastAsia="en-AU"/>
        </w:rPr>
      </w:pPr>
    </w:p>
    <w:p w14:paraId="34B8F1DC" w14:textId="588B7663" w:rsidR="001509A7" w:rsidRDefault="001509A7" w:rsidP="001509A7">
      <w:pPr>
        <w:pStyle w:val="APRANORMAL"/>
        <w:rPr>
          <w:lang w:eastAsia="en-AU"/>
        </w:rPr>
      </w:pPr>
      <w:r>
        <w:rPr>
          <w:lang w:eastAsia="en-AU"/>
        </w:rPr>
        <w:t>APRA also propos</w:t>
      </w:r>
      <w:r w:rsidR="002E2F96">
        <w:rPr>
          <w:lang w:eastAsia="en-AU"/>
        </w:rPr>
        <w:t>es</w:t>
      </w:r>
      <w:r>
        <w:rPr>
          <w:lang w:eastAsia="en-AU"/>
        </w:rPr>
        <w:t xml:space="preserve"> changes to the LGD estimates applied by ADIs under the foundation IRB approach. APRA propos</w:t>
      </w:r>
      <w:r w:rsidR="002E2F96">
        <w:rPr>
          <w:lang w:eastAsia="en-AU"/>
        </w:rPr>
        <w:t>es</w:t>
      </w:r>
      <w:r>
        <w:rPr>
          <w:lang w:eastAsia="en-AU"/>
        </w:rPr>
        <w:t xml:space="preserve"> higher estimates for some exposures </w:t>
      </w:r>
      <w:r w:rsidR="00DA7572">
        <w:rPr>
          <w:lang w:eastAsia="en-AU"/>
        </w:rPr>
        <w:t xml:space="preserve">relative </w:t>
      </w:r>
      <w:r>
        <w:rPr>
          <w:lang w:eastAsia="en-AU"/>
        </w:rPr>
        <w:t xml:space="preserve">to Basel III to better align both the secured and unsecured estimates with the LGD estimates currently applied by Australian ADIs using the advanced IRB approach. </w:t>
      </w:r>
      <w:r w:rsidR="009802FE">
        <w:rPr>
          <w:lang w:eastAsia="en-AU"/>
        </w:rPr>
        <w:fldChar w:fldCharType="begin"/>
      </w:r>
      <w:r w:rsidR="009802FE">
        <w:rPr>
          <w:lang w:eastAsia="en-AU"/>
        </w:rPr>
        <w:instrText xml:space="preserve"> REF _Ref504133132 \r \h </w:instrText>
      </w:r>
      <w:r w:rsidR="009802FE">
        <w:rPr>
          <w:lang w:eastAsia="en-AU"/>
        </w:rPr>
      </w:r>
      <w:r w:rsidR="009802FE">
        <w:rPr>
          <w:lang w:eastAsia="en-AU"/>
        </w:rPr>
        <w:fldChar w:fldCharType="separate"/>
      </w:r>
      <w:r w:rsidR="00EB1F7A">
        <w:rPr>
          <w:lang w:eastAsia="en-AU"/>
        </w:rPr>
        <w:t>Table 8</w:t>
      </w:r>
      <w:r w:rsidR="009802FE">
        <w:rPr>
          <w:lang w:eastAsia="en-AU"/>
        </w:rPr>
        <w:fldChar w:fldCharType="end"/>
      </w:r>
      <w:r w:rsidR="009802FE">
        <w:rPr>
          <w:lang w:eastAsia="en-AU"/>
        </w:rPr>
        <w:t xml:space="preserve"> </w:t>
      </w:r>
      <w:r>
        <w:rPr>
          <w:lang w:eastAsia="en-AU"/>
        </w:rPr>
        <w:t>shows the proposed changes to LGD estimates.</w:t>
      </w:r>
    </w:p>
    <w:p w14:paraId="3623668E" w14:textId="77777777" w:rsidR="001509A7" w:rsidRPr="000F02E6" w:rsidRDefault="001509A7" w:rsidP="001509A7">
      <w:pPr>
        <w:pStyle w:val="APRATABLE-NUMBER"/>
      </w:pPr>
      <w:bookmarkStart w:id="233" w:name="_Ref504133132"/>
      <w:r>
        <w:lastRenderedPageBreak/>
        <w:t>Changes to foundation IRB LGD estimates</w:t>
      </w:r>
      <w:bookmarkEnd w:id="233"/>
    </w:p>
    <w:tbl>
      <w:tblPr>
        <w:tblStyle w:val="TableGrid"/>
        <w:tblW w:w="499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2245"/>
        <w:gridCol w:w="2245"/>
        <w:gridCol w:w="2245"/>
      </w:tblGrid>
      <w:tr w:rsidR="001509A7" w14:paraId="4AC711CD" w14:textId="77777777" w:rsidTr="003911BB">
        <w:trPr>
          <w:tblHeader/>
        </w:trPr>
        <w:tc>
          <w:tcPr>
            <w:tcW w:w="2268" w:type="dxa"/>
            <w:shd w:val="clear" w:color="auto" w:fill="002060"/>
            <w:vAlign w:val="center"/>
          </w:tcPr>
          <w:p w14:paraId="07222311" w14:textId="77777777" w:rsidR="001509A7" w:rsidRPr="00665689" w:rsidRDefault="001509A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 xml:space="preserve">Exposure type </w:t>
            </w:r>
          </w:p>
        </w:tc>
        <w:tc>
          <w:tcPr>
            <w:tcW w:w="2245" w:type="dxa"/>
            <w:shd w:val="clear" w:color="auto" w:fill="002060"/>
            <w:vAlign w:val="center"/>
          </w:tcPr>
          <w:p w14:paraId="43A7EF9C" w14:textId="77777777" w:rsidR="001509A7" w:rsidRDefault="001509A7" w:rsidP="003911BB">
            <w:pPr>
              <w:pStyle w:val="APRANORMAL"/>
              <w:keepNext/>
              <w:spacing w:before="120" w:after="120"/>
              <w:jc w:val="center"/>
              <w:rPr>
                <w:rFonts w:ascii="DIN OT Medium" w:hAnsi="DIN OT Medium"/>
                <w:sz w:val="20"/>
                <w:szCs w:val="20"/>
                <w:lang w:val="en-AU"/>
              </w:rPr>
            </w:pPr>
            <w:r>
              <w:rPr>
                <w:rFonts w:ascii="DIN OT Medium" w:hAnsi="DIN OT Medium"/>
                <w:sz w:val="20"/>
                <w:szCs w:val="20"/>
                <w:lang w:val="en-AU"/>
              </w:rPr>
              <w:t xml:space="preserve">APS 113 </w:t>
            </w:r>
            <w:r>
              <w:rPr>
                <w:rFonts w:ascii="DIN OT Medium" w:hAnsi="DIN OT Medium"/>
                <w:sz w:val="20"/>
                <w:szCs w:val="20"/>
                <w:lang w:val="en-AU"/>
              </w:rPr>
              <w:br/>
              <w:t>%</w:t>
            </w:r>
          </w:p>
        </w:tc>
        <w:tc>
          <w:tcPr>
            <w:tcW w:w="2245" w:type="dxa"/>
            <w:shd w:val="clear" w:color="auto" w:fill="002060"/>
            <w:vAlign w:val="center"/>
          </w:tcPr>
          <w:p w14:paraId="1CA00280" w14:textId="77777777" w:rsidR="001509A7" w:rsidRDefault="001509A7" w:rsidP="003911BB">
            <w:pPr>
              <w:pStyle w:val="APRANORMAL"/>
              <w:keepNext/>
              <w:spacing w:before="120" w:after="120"/>
              <w:jc w:val="center"/>
              <w:rPr>
                <w:rFonts w:ascii="DIN OT Medium" w:hAnsi="DIN OT Medium"/>
                <w:sz w:val="20"/>
                <w:szCs w:val="20"/>
                <w:lang w:val="en-AU"/>
              </w:rPr>
            </w:pPr>
            <w:r>
              <w:rPr>
                <w:rFonts w:ascii="DIN OT Medium" w:hAnsi="DIN OT Medium"/>
                <w:sz w:val="20"/>
                <w:szCs w:val="20"/>
                <w:lang w:val="en-AU"/>
              </w:rPr>
              <w:t xml:space="preserve">Basel III </w:t>
            </w:r>
            <w:r>
              <w:rPr>
                <w:rFonts w:ascii="DIN OT Medium" w:hAnsi="DIN OT Medium"/>
                <w:sz w:val="20"/>
                <w:szCs w:val="20"/>
                <w:lang w:val="en-AU"/>
              </w:rPr>
              <w:br/>
              <w:t>%</w:t>
            </w:r>
          </w:p>
        </w:tc>
        <w:tc>
          <w:tcPr>
            <w:tcW w:w="2245" w:type="dxa"/>
            <w:shd w:val="clear" w:color="auto" w:fill="002060"/>
            <w:vAlign w:val="center"/>
          </w:tcPr>
          <w:p w14:paraId="418C9F46" w14:textId="77777777" w:rsidR="001509A7" w:rsidRPr="00665689" w:rsidRDefault="001509A7" w:rsidP="003911BB">
            <w:pPr>
              <w:pStyle w:val="APRANORMAL"/>
              <w:keepNext/>
              <w:spacing w:before="120" w:after="120"/>
              <w:jc w:val="center"/>
              <w:rPr>
                <w:rFonts w:ascii="DIN OT Medium" w:hAnsi="DIN OT Medium"/>
                <w:sz w:val="20"/>
                <w:szCs w:val="20"/>
                <w:lang w:val="en-AU"/>
              </w:rPr>
            </w:pPr>
            <w:r>
              <w:rPr>
                <w:rFonts w:ascii="DIN OT Medium" w:hAnsi="DIN OT Medium"/>
                <w:sz w:val="20"/>
                <w:szCs w:val="20"/>
                <w:lang w:val="en-AU"/>
              </w:rPr>
              <w:t>Proposed</w:t>
            </w:r>
            <w:r>
              <w:rPr>
                <w:rFonts w:ascii="DIN OT Medium" w:hAnsi="DIN OT Medium"/>
                <w:sz w:val="20"/>
                <w:szCs w:val="20"/>
                <w:lang w:val="en-AU"/>
              </w:rPr>
              <w:br/>
              <w:t>%</w:t>
            </w:r>
          </w:p>
        </w:tc>
      </w:tr>
      <w:tr w:rsidR="001509A7" w14:paraId="39BC6A75" w14:textId="77777777" w:rsidTr="003911BB">
        <w:tc>
          <w:tcPr>
            <w:tcW w:w="2268" w:type="dxa"/>
            <w:shd w:val="clear" w:color="auto" w:fill="002060"/>
            <w:vAlign w:val="center"/>
          </w:tcPr>
          <w:p w14:paraId="5202C95A" w14:textId="01940E69" w:rsidR="001509A7" w:rsidRPr="00665689" w:rsidRDefault="003E69B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 xml:space="preserve">Secured - </w:t>
            </w:r>
            <w:r w:rsidR="001509A7">
              <w:rPr>
                <w:rFonts w:ascii="DIN OT Medium" w:hAnsi="DIN OT Medium"/>
                <w:sz w:val="20"/>
                <w:szCs w:val="20"/>
                <w:lang w:val="en-AU"/>
              </w:rPr>
              <w:t>eligible financial collateral</w:t>
            </w:r>
          </w:p>
        </w:tc>
        <w:tc>
          <w:tcPr>
            <w:tcW w:w="2245" w:type="dxa"/>
            <w:shd w:val="clear" w:color="auto" w:fill="F2F2F2" w:themeFill="background1" w:themeFillShade="F2"/>
            <w:vAlign w:val="center"/>
          </w:tcPr>
          <w:p w14:paraId="4FF36067" w14:textId="77777777" w:rsidR="001509A7" w:rsidRDefault="001509A7" w:rsidP="003911BB">
            <w:pPr>
              <w:pStyle w:val="APRANORMAL"/>
              <w:keepNext/>
              <w:spacing w:before="120" w:after="120"/>
              <w:jc w:val="center"/>
              <w:rPr>
                <w:sz w:val="20"/>
                <w:szCs w:val="20"/>
                <w:lang w:val="en-AU"/>
              </w:rPr>
            </w:pPr>
            <w:r>
              <w:rPr>
                <w:sz w:val="20"/>
                <w:szCs w:val="20"/>
                <w:lang w:val="en-AU"/>
              </w:rPr>
              <w:t>0</w:t>
            </w:r>
          </w:p>
        </w:tc>
        <w:tc>
          <w:tcPr>
            <w:tcW w:w="2245" w:type="dxa"/>
            <w:shd w:val="clear" w:color="auto" w:fill="F2F2F2" w:themeFill="background1" w:themeFillShade="F2"/>
            <w:vAlign w:val="center"/>
          </w:tcPr>
          <w:p w14:paraId="46C64009" w14:textId="77777777" w:rsidR="001509A7" w:rsidRDefault="001509A7" w:rsidP="003911BB">
            <w:pPr>
              <w:pStyle w:val="APRANORMAL"/>
              <w:keepNext/>
              <w:spacing w:before="120" w:after="120"/>
              <w:jc w:val="center"/>
              <w:rPr>
                <w:sz w:val="20"/>
                <w:szCs w:val="20"/>
                <w:lang w:val="en-AU"/>
              </w:rPr>
            </w:pPr>
            <w:r>
              <w:rPr>
                <w:sz w:val="20"/>
                <w:szCs w:val="20"/>
                <w:lang w:val="en-AU"/>
              </w:rPr>
              <w:t>0</w:t>
            </w:r>
          </w:p>
        </w:tc>
        <w:tc>
          <w:tcPr>
            <w:tcW w:w="2245" w:type="dxa"/>
            <w:shd w:val="clear" w:color="auto" w:fill="F2F2F2" w:themeFill="background1" w:themeFillShade="F2"/>
            <w:vAlign w:val="center"/>
          </w:tcPr>
          <w:p w14:paraId="3E937355" w14:textId="77777777" w:rsidR="001509A7" w:rsidRPr="00665689" w:rsidRDefault="001509A7" w:rsidP="003911BB">
            <w:pPr>
              <w:pStyle w:val="APRANORMAL"/>
              <w:keepNext/>
              <w:spacing w:before="120" w:after="120"/>
              <w:jc w:val="center"/>
              <w:rPr>
                <w:sz w:val="20"/>
                <w:szCs w:val="20"/>
                <w:lang w:val="en-AU"/>
              </w:rPr>
            </w:pPr>
            <w:r>
              <w:rPr>
                <w:sz w:val="20"/>
                <w:szCs w:val="20"/>
                <w:lang w:val="en-AU"/>
              </w:rPr>
              <w:t>0</w:t>
            </w:r>
          </w:p>
        </w:tc>
      </w:tr>
      <w:tr w:rsidR="001509A7" w14:paraId="24900630" w14:textId="77777777" w:rsidTr="003911BB">
        <w:tc>
          <w:tcPr>
            <w:tcW w:w="2268" w:type="dxa"/>
            <w:shd w:val="clear" w:color="auto" w:fill="002060"/>
            <w:vAlign w:val="center"/>
          </w:tcPr>
          <w:p w14:paraId="0C4CD789" w14:textId="4E0CBF3A" w:rsidR="001509A7" w:rsidRPr="00665689" w:rsidRDefault="003E69B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 xml:space="preserve">Secured - </w:t>
            </w:r>
            <w:r w:rsidR="00792BA2">
              <w:rPr>
                <w:rFonts w:ascii="DIN OT Medium" w:hAnsi="DIN OT Medium"/>
                <w:sz w:val="20"/>
                <w:szCs w:val="20"/>
                <w:lang w:val="en-AU"/>
              </w:rPr>
              <w:t>commercial or residential property</w:t>
            </w:r>
          </w:p>
        </w:tc>
        <w:tc>
          <w:tcPr>
            <w:tcW w:w="2245" w:type="dxa"/>
            <w:shd w:val="clear" w:color="auto" w:fill="F2F2F2" w:themeFill="background1" w:themeFillShade="F2"/>
            <w:vAlign w:val="center"/>
          </w:tcPr>
          <w:p w14:paraId="7AF54BC1" w14:textId="77777777" w:rsidR="001509A7" w:rsidRDefault="001509A7" w:rsidP="003911BB">
            <w:pPr>
              <w:pStyle w:val="APRANORMAL"/>
              <w:keepNext/>
              <w:spacing w:before="120" w:after="120"/>
              <w:jc w:val="center"/>
              <w:rPr>
                <w:sz w:val="20"/>
                <w:szCs w:val="20"/>
                <w:lang w:val="en-AU"/>
              </w:rPr>
            </w:pPr>
            <w:r>
              <w:rPr>
                <w:sz w:val="20"/>
                <w:szCs w:val="20"/>
                <w:lang w:val="en-AU"/>
              </w:rPr>
              <w:t>35</w:t>
            </w:r>
          </w:p>
        </w:tc>
        <w:tc>
          <w:tcPr>
            <w:tcW w:w="2245" w:type="dxa"/>
            <w:shd w:val="clear" w:color="auto" w:fill="F2F2F2" w:themeFill="background1" w:themeFillShade="F2"/>
            <w:vAlign w:val="center"/>
          </w:tcPr>
          <w:p w14:paraId="2F6812AA" w14:textId="77777777" w:rsidR="001509A7" w:rsidRDefault="001509A7" w:rsidP="003911BB">
            <w:pPr>
              <w:pStyle w:val="APRANORMAL"/>
              <w:keepNext/>
              <w:spacing w:before="120" w:after="120"/>
              <w:jc w:val="center"/>
              <w:rPr>
                <w:sz w:val="20"/>
                <w:szCs w:val="20"/>
                <w:lang w:val="en-AU"/>
              </w:rPr>
            </w:pPr>
            <w:r>
              <w:rPr>
                <w:sz w:val="20"/>
                <w:szCs w:val="20"/>
                <w:lang w:val="en-AU"/>
              </w:rPr>
              <w:t>20</w:t>
            </w:r>
          </w:p>
        </w:tc>
        <w:tc>
          <w:tcPr>
            <w:tcW w:w="2245" w:type="dxa"/>
            <w:shd w:val="clear" w:color="auto" w:fill="F2F2F2" w:themeFill="background1" w:themeFillShade="F2"/>
            <w:vAlign w:val="center"/>
          </w:tcPr>
          <w:p w14:paraId="46A0DECC" w14:textId="77777777" w:rsidR="001509A7" w:rsidRPr="00665689" w:rsidRDefault="001509A7" w:rsidP="003911BB">
            <w:pPr>
              <w:pStyle w:val="APRANORMAL"/>
              <w:keepNext/>
              <w:spacing w:before="120" w:after="120"/>
              <w:jc w:val="center"/>
              <w:rPr>
                <w:sz w:val="20"/>
                <w:szCs w:val="20"/>
                <w:lang w:val="en-AU"/>
              </w:rPr>
            </w:pPr>
            <w:r>
              <w:rPr>
                <w:sz w:val="20"/>
                <w:szCs w:val="20"/>
                <w:lang w:val="en-AU"/>
              </w:rPr>
              <w:t>25</w:t>
            </w:r>
          </w:p>
        </w:tc>
      </w:tr>
      <w:tr w:rsidR="001509A7" w14:paraId="035DFEAA" w14:textId="77777777" w:rsidTr="003911BB">
        <w:tc>
          <w:tcPr>
            <w:tcW w:w="2268" w:type="dxa"/>
            <w:shd w:val="clear" w:color="auto" w:fill="002060"/>
            <w:vAlign w:val="center"/>
          </w:tcPr>
          <w:p w14:paraId="444A1D41" w14:textId="73EE9CC6" w:rsidR="001509A7" w:rsidRDefault="003E69B7" w:rsidP="003911BB">
            <w:pPr>
              <w:pStyle w:val="APRANORMAL"/>
              <w:keepNext/>
              <w:spacing w:before="120" w:after="120"/>
              <w:rPr>
                <w:rFonts w:ascii="DIN OT Medium" w:hAnsi="DIN OT Medium"/>
                <w:sz w:val="20"/>
                <w:szCs w:val="20"/>
                <w:lang w:val="en-AU"/>
              </w:rPr>
            </w:pPr>
            <w:r>
              <w:rPr>
                <w:rFonts w:ascii="DIN OT Medium" w:hAnsi="DIN OT Medium"/>
                <w:sz w:val="20"/>
                <w:szCs w:val="20"/>
                <w:lang w:val="en-AU"/>
              </w:rPr>
              <w:t xml:space="preserve">Secured - </w:t>
            </w:r>
            <w:r w:rsidR="001509A7">
              <w:rPr>
                <w:rFonts w:ascii="DIN OT Medium" w:hAnsi="DIN OT Medium"/>
                <w:sz w:val="20"/>
                <w:szCs w:val="20"/>
                <w:lang w:val="en-AU"/>
              </w:rPr>
              <w:t>receivables</w:t>
            </w:r>
          </w:p>
        </w:tc>
        <w:tc>
          <w:tcPr>
            <w:tcW w:w="2245" w:type="dxa"/>
            <w:shd w:val="clear" w:color="auto" w:fill="F2F2F2" w:themeFill="background1" w:themeFillShade="F2"/>
            <w:vAlign w:val="center"/>
          </w:tcPr>
          <w:p w14:paraId="6A511AD5" w14:textId="77777777" w:rsidR="001509A7" w:rsidRDefault="001509A7" w:rsidP="003911BB">
            <w:pPr>
              <w:pStyle w:val="APRANORMAL"/>
              <w:keepNext/>
              <w:spacing w:before="120" w:after="120"/>
              <w:jc w:val="center"/>
              <w:rPr>
                <w:sz w:val="20"/>
                <w:szCs w:val="20"/>
                <w:lang w:val="en-AU"/>
              </w:rPr>
            </w:pPr>
            <w:r>
              <w:rPr>
                <w:sz w:val="20"/>
                <w:szCs w:val="20"/>
                <w:lang w:val="en-AU"/>
              </w:rPr>
              <w:t>35</w:t>
            </w:r>
          </w:p>
        </w:tc>
        <w:tc>
          <w:tcPr>
            <w:tcW w:w="2245" w:type="dxa"/>
            <w:shd w:val="clear" w:color="auto" w:fill="F2F2F2" w:themeFill="background1" w:themeFillShade="F2"/>
            <w:vAlign w:val="center"/>
          </w:tcPr>
          <w:p w14:paraId="447F3D83" w14:textId="77777777" w:rsidR="001509A7" w:rsidRDefault="001509A7" w:rsidP="003911BB">
            <w:pPr>
              <w:pStyle w:val="APRANORMAL"/>
              <w:keepNext/>
              <w:spacing w:before="120" w:after="120"/>
              <w:jc w:val="center"/>
              <w:rPr>
                <w:sz w:val="20"/>
                <w:szCs w:val="20"/>
                <w:lang w:val="en-AU"/>
              </w:rPr>
            </w:pPr>
            <w:r>
              <w:rPr>
                <w:sz w:val="20"/>
                <w:szCs w:val="20"/>
                <w:lang w:val="en-AU"/>
              </w:rPr>
              <w:t>20</w:t>
            </w:r>
          </w:p>
        </w:tc>
        <w:tc>
          <w:tcPr>
            <w:tcW w:w="2245" w:type="dxa"/>
            <w:shd w:val="clear" w:color="auto" w:fill="F2F2F2" w:themeFill="background1" w:themeFillShade="F2"/>
            <w:vAlign w:val="center"/>
          </w:tcPr>
          <w:p w14:paraId="6067A627" w14:textId="77777777" w:rsidR="001509A7" w:rsidRPr="00665689" w:rsidRDefault="001509A7" w:rsidP="003911BB">
            <w:pPr>
              <w:pStyle w:val="APRANORMAL"/>
              <w:keepNext/>
              <w:spacing w:before="120" w:after="120"/>
              <w:jc w:val="center"/>
              <w:rPr>
                <w:sz w:val="20"/>
                <w:szCs w:val="20"/>
                <w:lang w:val="en-AU"/>
              </w:rPr>
            </w:pPr>
            <w:r>
              <w:rPr>
                <w:sz w:val="20"/>
                <w:szCs w:val="20"/>
                <w:lang w:val="en-AU"/>
              </w:rPr>
              <w:t>25</w:t>
            </w:r>
          </w:p>
        </w:tc>
      </w:tr>
      <w:tr w:rsidR="001509A7" w14:paraId="6F8EBA8A" w14:textId="77777777" w:rsidTr="003911BB">
        <w:tc>
          <w:tcPr>
            <w:tcW w:w="2268" w:type="dxa"/>
            <w:shd w:val="clear" w:color="auto" w:fill="002060"/>
            <w:vAlign w:val="center"/>
          </w:tcPr>
          <w:p w14:paraId="47FF60BA" w14:textId="2DE85770" w:rsidR="001509A7" w:rsidRPr="00665689" w:rsidRDefault="005B4714" w:rsidP="0030358E">
            <w:pPr>
              <w:pStyle w:val="APRANORMAL"/>
              <w:keepNext/>
              <w:spacing w:before="120" w:after="120"/>
              <w:rPr>
                <w:rFonts w:ascii="DIN OT Medium" w:hAnsi="DIN OT Medium"/>
                <w:sz w:val="20"/>
                <w:szCs w:val="20"/>
                <w:lang w:val="en-AU"/>
              </w:rPr>
            </w:pPr>
            <w:r>
              <w:rPr>
                <w:rFonts w:ascii="DIN OT Medium" w:hAnsi="DIN OT Medium"/>
                <w:sz w:val="20"/>
                <w:szCs w:val="20"/>
                <w:lang w:val="en-AU"/>
              </w:rPr>
              <w:t>Senior u</w:t>
            </w:r>
            <w:r w:rsidR="001509A7">
              <w:rPr>
                <w:rFonts w:ascii="DIN OT Medium" w:hAnsi="DIN OT Medium"/>
                <w:sz w:val="20"/>
                <w:szCs w:val="20"/>
                <w:lang w:val="en-AU"/>
              </w:rPr>
              <w:t xml:space="preserve">nsecured </w:t>
            </w:r>
          </w:p>
        </w:tc>
        <w:tc>
          <w:tcPr>
            <w:tcW w:w="2245" w:type="dxa"/>
            <w:shd w:val="clear" w:color="auto" w:fill="F2F2F2" w:themeFill="background1" w:themeFillShade="F2"/>
            <w:vAlign w:val="center"/>
          </w:tcPr>
          <w:p w14:paraId="2B2E966A" w14:textId="77777777" w:rsidR="001509A7" w:rsidRPr="00665689" w:rsidRDefault="001509A7" w:rsidP="003911BB">
            <w:pPr>
              <w:pStyle w:val="APRANORMAL"/>
              <w:keepNext/>
              <w:spacing w:before="120" w:after="120"/>
              <w:jc w:val="center"/>
              <w:rPr>
                <w:sz w:val="20"/>
                <w:szCs w:val="20"/>
                <w:lang w:val="en-AU"/>
              </w:rPr>
            </w:pPr>
            <w:r>
              <w:rPr>
                <w:sz w:val="20"/>
                <w:szCs w:val="20"/>
                <w:lang w:val="en-AU"/>
              </w:rPr>
              <w:t>45</w:t>
            </w:r>
          </w:p>
        </w:tc>
        <w:tc>
          <w:tcPr>
            <w:tcW w:w="2245" w:type="dxa"/>
            <w:shd w:val="clear" w:color="auto" w:fill="F2F2F2" w:themeFill="background1" w:themeFillShade="F2"/>
            <w:vAlign w:val="center"/>
          </w:tcPr>
          <w:p w14:paraId="354D27FE" w14:textId="77777777" w:rsidR="001509A7" w:rsidRDefault="001509A7" w:rsidP="003911BB">
            <w:pPr>
              <w:pStyle w:val="APRANORMAL"/>
              <w:keepNext/>
              <w:spacing w:before="120" w:after="120"/>
              <w:jc w:val="center"/>
              <w:rPr>
                <w:sz w:val="20"/>
                <w:szCs w:val="20"/>
                <w:lang w:val="en-AU"/>
              </w:rPr>
            </w:pPr>
            <w:r>
              <w:rPr>
                <w:sz w:val="20"/>
                <w:szCs w:val="20"/>
                <w:lang w:val="en-AU"/>
              </w:rPr>
              <w:t>40</w:t>
            </w:r>
          </w:p>
        </w:tc>
        <w:tc>
          <w:tcPr>
            <w:tcW w:w="2245" w:type="dxa"/>
            <w:shd w:val="clear" w:color="auto" w:fill="F2F2F2" w:themeFill="background1" w:themeFillShade="F2"/>
            <w:vAlign w:val="center"/>
          </w:tcPr>
          <w:p w14:paraId="6C03F9B0" w14:textId="06D0E540" w:rsidR="001509A7" w:rsidRPr="00665689" w:rsidRDefault="001509A7" w:rsidP="003911BB">
            <w:pPr>
              <w:pStyle w:val="APRANORMAL"/>
              <w:keepNext/>
              <w:spacing w:before="120" w:after="120"/>
              <w:jc w:val="center"/>
              <w:rPr>
                <w:sz w:val="20"/>
                <w:szCs w:val="20"/>
                <w:lang w:val="en-AU"/>
              </w:rPr>
            </w:pPr>
            <w:r>
              <w:rPr>
                <w:sz w:val="20"/>
                <w:szCs w:val="20"/>
                <w:lang w:val="en-AU"/>
              </w:rPr>
              <w:t>45</w:t>
            </w:r>
            <w:r w:rsidR="0030358E">
              <w:rPr>
                <w:sz w:val="20"/>
                <w:szCs w:val="20"/>
                <w:lang w:val="en-AU"/>
              </w:rPr>
              <w:t xml:space="preserve"> / 60</w:t>
            </w:r>
          </w:p>
        </w:tc>
      </w:tr>
    </w:tbl>
    <w:p w14:paraId="6281794C" w14:textId="77777777" w:rsidR="001509A7" w:rsidRDefault="001509A7" w:rsidP="001509A7">
      <w:pPr>
        <w:pStyle w:val="APRANORMAL"/>
      </w:pPr>
    </w:p>
    <w:p w14:paraId="1C173C91" w14:textId="2C33A085" w:rsidR="001509A7" w:rsidRDefault="001509A7" w:rsidP="001509A7">
      <w:pPr>
        <w:pStyle w:val="APRANORMAL"/>
      </w:pPr>
      <w:r>
        <w:rPr>
          <w:lang w:eastAsia="en-AU"/>
        </w:rPr>
        <w:t xml:space="preserve">In the case of </w:t>
      </w:r>
      <w:r w:rsidR="005B4714">
        <w:rPr>
          <w:lang w:eastAsia="en-AU"/>
        </w:rPr>
        <w:t xml:space="preserve">senior </w:t>
      </w:r>
      <w:r>
        <w:rPr>
          <w:lang w:eastAsia="en-AU"/>
        </w:rPr>
        <w:t xml:space="preserve">unsecured exposures, APRA is considering implementing either two or three LGD </w:t>
      </w:r>
      <w:r w:rsidRPr="005A4671">
        <w:t>categories</w:t>
      </w:r>
      <w:r>
        <w:rPr>
          <w:lang w:eastAsia="en-AU"/>
        </w:rPr>
        <w:t xml:space="preserve"> compared to the current foundation IRB approach, which has a single 45 per cent estimate. </w:t>
      </w:r>
      <w:r w:rsidRPr="005A4671">
        <w:t xml:space="preserve">There </w:t>
      </w:r>
      <w:r w:rsidR="004E7A66">
        <w:t>would</w:t>
      </w:r>
      <w:r w:rsidRPr="005A4671">
        <w:t xml:space="preserve"> be </w:t>
      </w:r>
      <w:r>
        <w:t>a range of</w:t>
      </w:r>
      <w:r w:rsidRPr="005A4671">
        <w:t xml:space="preserve"> conditions </w:t>
      </w:r>
      <w:r>
        <w:t>in order to be eligible for</w:t>
      </w:r>
      <w:r w:rsidRPr="005A4671">
        <w:t xml:space="preserve"> a</w:t>
      </w:r>
      <w:r w:rsidR="00F5063A">
        <w:t>n</w:t>
      </w:r>
      <w:r w:rsidRPr="005A4671">
        <w:t xml:space="preserve"> unsecured LGD</w:t>
      </w:r>
      <w:r w:rsidR="00F5063A">
        <w:t xml:space="preserve"> lower than 60 per cent</w:t>
      </w:r>
      <w:r>
        <w:t xml:space="preserve">, which </w:t>
      </w:r>
      <w:r w:rsidRPr="005A4671">
        <w:t>may include</w:t>
      </w:r>
      <w:r>
        <w:t>:</w:t>
      </w:r>
    </w:p>
    <w:p w14:paraId="0E38E769" w14:textId="77777777" w:rsidR="001509A7" w:rsidRDefault="001509A7" w:rsidP="005B4714">
      <w:pPr>
        <w:pStyle w:val="APRABULLET"/>
        <w:rPr>
          <w:lang w:eastAsia="en-AU"/>
        </w:rPr>
      </w:pPr>
      <w:r w:rsidRPr="005A4671">
        <w:t xml:space="preserve">the assets of the borrower </w:t>
      </w:r>
      <w:r>
        <w:t>are</w:t>
      </w:r>
      <w:r w:rsidRPr="005A4671">
        <w:t xml:space="preserve"> readily realisable</w:t>
      </w:r>
      <w:r>
        <w:t>;</w:t>
      </w:r>
    </w:p>
    <w:p w14:paraId="38125B38" w14:textId="77777777" w:rsidR="001509A7" w:rsidRDefault="001509A7" w:rsidP="001509A7">
      <w:pPr>
        <w:pStyle w:val="APRABULLET"/>
        <w:rPr>
          <w:lang w:eastAsia="en-AU"/>
        </w:rPr>
      </w:pPr>
      <w:r w:rsidRPr="005A4671">
        <w:t xml:space="preserve">the ADI </w:t>
      </w:r>
      <w:r>
        <w:t>has</w:t>
      </w:r>
      <w:r w:rsidRPr="005A4671">
        <w:t xml:space="preserve"> appropriate covenants in place</w:t>
      </w:r>
      <w:r>
        <w:t>, including a negative pledge on assets;</w:t>
      </w:r>
      <w:r w:rsidRPr="005A4671">
        <w:t xml:space="preserve"> and</w:t>
      </w:r>
    </w:p>
    <w:p w14:paraId="33425666" w14:textId="77777777" w:rsidR="001509A7" w:rsidRDefault="001509A7" w:rsidP="001509A7">
      <w:pPr>
        <w:pStyle w:val="APRABULLET"/>
        <w:rPr>
          <w:lang w:eastAsia="en-AU"/>
        </w:rPr>
      </w:pPr>
      <w:r w:rsidRPr="005A4671">
        <w:t>the borrower hold</w:t>
      </w:r>
      <w:r>
        <w:t>s</w:t>
      </w:r>
      <w:r w:rsidRPr="005A4671">
        <w:t xml:space="preserve"> low levels of debt relative to assets. </w:t>
      </w:r>
    </w:p>
    <w:p w14:paraId="12F965D8" w14:textId="25A7A52C" w:rsidR="001509A7" w:rsidRDefault="001509A7" w:rsidP="001509A7">
      <w:pPr>
        <w:pStyle w:val="APRANORMAL"/>
        <w:rPr>
          <w:lang w:eastAsia="en-AU"/>
        </w:rPr>
      </w:pPr>
      <w:r w:rsidRPr="005A4671">
        <w:t xml:space="preserve">The </w:t>
      </w:r>
      <w:r>
        <w:t>final</w:t>
      </w:r>
      <w:r w:rsidRPr="005A4671">
        <w:t xml:space="preserve"> </w:t>
      </w:r>
      <w:r>
        <w:t>approach</w:t>
      </w:r>
      <w:r w:rsidRPr="005A4671">
        <w:t xml:space="preserve"> will be determined </w:t>
      </w:r>
      <w:r>
        <w:t>as part of APRA’s consultation on revised prudential standards</w:t>
      </w:r>
      <w:r w:rsidRPr="005A4671">
        <w:t xml:space="preserve">. </w:t>
      </w:r>
      <w:r>
        <w:rPr>
          <w:lang w:eastAsia="en-AU"/>
        </w:rPr>
        <w:t xml:space="preserve">For secured </w:t>
      </w:r>
      <w:r w:rsidR="00484DD6">
        <w:rPr>
          <w:lang w:eastAsia="en-AU"/>
        </w:rPr>
        <w:t>exposures</w:t>
      </w:r>
      <w:r>
        <w:rPr>
          <w:lang w:eastAsia="en-AU"/>
        </w:rPr>
        <w:t xml:space="preserve">, the proposed reduction in LGD from the current APS 113 will be accompanied by higher supervisory haircuts in line with Basel III (e.g. 40 per cent). </w:t>
      </w:r>
    </w:p>
    <w:p w14:paraId="04C4BA55" w14:textId="77777777" w:rsidR="001509A7" w:rsidRPr="00D71B22" w:rsidRDefault="001509A7" w:rsidP="001509A7">
      <w:pPr>
        <w:pStyle w:val="APRAHEADING4"/>
      </w:pPr>
      <w:r w:rsidRPr="00D71B22">
        <w:t xml:space="preserve">Exposure at default </w:t>
      </w:r>
    </w:p>
    <w:p w14:paraId="0A2CFE76" w14:textId="1ACABAED" w:rsidR="001509A7" w:rsidRDefault="001509A7" w:rsidP="001509A7">
      <w:pPr>
        <w:pStyle w:val="APRANORMAL"/>
      </w:pPr>
      <w:r>
        <w:t>M</w:t>
      </w:r>
      <w:r w:rsidRPr="00AD39C8">
        <w:t xml:space="preserve">odelling </w:t>
      </w:r>
      <w:r>
        <w:t>of EAD estimates</w:t>
      </w:r>
      <w:r w:rsidRPr="00AD39C8">
        <w:t xml:space="preserve"> has proven challenging for </w:t>
      </w:r>
      <w:r>
        <w:t xml:space="preserve">ADIs, particularly for </w:t>
      </w:r>
      <w:r w:rsidRPr="00AD39C8">
        <w:t>non-retail portfolios</w:t>
      </w:r>
      <w:r>
        <w:t>. E</w:t>
      </w:r>
      <w:r w:rsidRPr="00AD39C8">
        <w:t>ven for segments where there is more default data</w:t>
      </w:r>
      <w:r>
        <w:t>,</w:t>
      </w:r>
      <w:r w:rsidRPr="00AD39C8">
        <w:t xml:space="preserve"> substantial changes to </w:t>
      </w:r>
      <w:r>
        <w:t xml:space="preserve">a customer’s </w:t>
      </w:r>
      <w:r w:rsidRPr="00AD39C8">
        <w:t>product mix in the lead-up to default</w:t>
      </w:r>
      <w:r>
        <w:t xml:space="preserve"> affect the ability to determine appropriate EAD estimates</w:t>
      </w:r>
      <w:r w:rsidRPr="00AD39C8" w:rsidDel="00A54701">
        <w:t>.</w:t>
      </w:r>
      <w:r w:rsidRPr="00AD39C8">
        <w:t xml:space="preserve"> </w:t>
      </w:r>
      <w:r>
        <w:t>Given</w:t>
      </w:r>
      <w:r w:rsidDel="00A54701">
        <w:t xml:space="preserve"> </w:t>
      </w:r>
      <w:r>
        <w:t>ADIs’ reliance on judgement to overcome these issues</w:t>
      </w:r>
      <w:r w:rsidRPr="00AD39C8">
        <w:t xml:space="preserve">, APRA considers </w:t>
      </w:r>
      <w:r>
        <w:t>simple and consistent</w:t>
      </w:r>
      <w:r w:rsidRPr="00AD39C8">
        <w:t xml:space="preserve"> </w:t>
      </w:r>
      <w:r>
        <w:t xml:space="preserve">foundation IRB CCF estimates </w:t>
      </w:r>
      <w:r w:rsidR="00A3220A">
        <w:t xml:space="preserve">to </w:t>
      </w:r>
      <w:r w:rsidR="004E7A66">
        <w:t>be</w:t>
      </w:r>
      <w:r w:rsidRPr="00AD39C8">
        <w:t xml:space="preserve"> more appropriate </w:t>
      </w:r>
      <w:r w:rsidRPr="00AD39C8" w:rsidDel="00070252">
        <w:t xml:space="preserve">for </w:t>
      </w:r>
      <w:r>
        <w:t xml:space="preserve">all </w:t>
      </w:r>
      <w:r w:rsidRPr="00AD39C8">
        <w:t>non-retail EAD</w:t>
      </w:r>
      <w:r>
        <w:t xml:space="preserve"> estimates</w:t>
      </w:r>
      <w:r w:rsidRPr="00AD39C8">
        <w:t xml:space="preserve">. </w:t>
      </w:r>
    </w:p>
    <w:p w14:paraId="7B2AB574" w14:textId="396A9DDD" w:rsidR="001509A7" w:rsidRDefault="001509A7" w:rsidP="001509A7">
      <w:pPr>
        <w:pStyle w:val="APRANORMAL"/>
      </w:pPr>
      <w:r>
        <w:t>For retail portfolios, t</w:t>
      </w:r>
      <w:r w:rsidRPr="00AD39C8">
        <w:t xml:space="preserve">here is generally sufficient data </w:t>
      </w:r>
      <w:r>
        <w:t xml:space="preserve">for ADIs </w:t>
      </w:r>
      <w:r w:rsidRPr="00AD39C8">
        <w:t>to model EAD. That said, given how non-revolving retail products are managed</w:t>
      </w:r>
      <w:r>
        <w:t xml:space="preserve"> by ADIs</w:t>
      </w:r>
      <w:r w:rsidRPr="00AD39C8">
        <w:t xml:space="preserve">, there is </w:t>
      </w:r>
      <w:r w:rsidRPr="00AD39C8">
        <w:lastRenderedPageBreak/>
        <w:t xml:space="preserve">insufficient evidence </w:t>
      </w:r>
      <w:r>
        <w:t>to support</w:t>
      </w:r>
      <w:r w:rsidRPr="00AD39C8">
        <w:t xml:space="preserve"> a</w:t>
      </w:r>
      <w:r>
        <w:t>n</w:t>
      </w:r>
      <w:r w:rsidRPr="00AD39C8">
        <w:t xml:space="preserve"> estimate </w:t>
      </w:r>
      <w:r>
        <w:t xml:space="preserve">below </w:t>
      </w:r>
      <w:r w:rsidRPr="00AD39C8">
        <w:t>100</w:t>
      </w:r>
      <w:r>
        <w:t> </w:t>
      </w:r>
      <w:r w:rsidRPr="00AD39C8">
        <w:t>per cent of the limit. For these products, APRA propos</w:t>
      </w:r>
      <w:r w:rsidR="00DA7572">
        <w:t>es</w:t>
      </w:r>
      <w:r w:rsidRPr="00AD39C8">
        <w:t xml:space="preserve"> a simple </w:t>
      </w:r>
      <w:r>
        <w:t xml:space="preserve">CCF </w:t>
      </w:r>
      <w:r w:rsidRPr="00AD39C8">
        <w:t>estimate.</w:t>
      </w:r>
      <w:r>
        <w:t xml:space="preserve"> </w:t>
      </w:r>
    </w:p>
    <w:p w14:paraId="30801303" w14:textId="70C68F9F" w:rsidR="001509A7" w:rsidRDefault="009802FE" w:rsidP="001509A7">
      <w:pPr>
        <w:pStyle w:val="APRANORMAL"/>
      </w:pPr>
      <w:r>
        <w:fldChar w:fldCharType="begin"/>
      </w:r>
      <w:r>
        <w:instrText xml:space="preserve"> REF _Ref504133152 \r \h </w:instrText>
      </w:r>
      <w:r>
        <w:fldChar w:fldCharType="separate"/>
      </w:r>
      <w:r w:rsidR="00EB1F7A">
        <w:t>Table 9</w:t>
      </w:r>
      <w:r>
        <w:fldChar w:fldCharType="end"/>
      </w:r>
      <w:r w:rsidR="001509A7">
        <w:t xml:space="preserve"> summarises APRA’s proposed approaches to EAD. </w:t>
      </w:r>
    </w:p>
    <w:p w14:paraId="3C6614E9" w14:textId="1173069C" w:rsidR="001509A7" w:rsidRPr="000A7D8A" w:rsidRDefault="004E7A66" w:rsidP="001509A7">
      <w:pPr>
        <w:pStyle w:val="APRATABLE-NUMBER"/>
      </w:pPr>
      <w:bookmarkStart w:id="234" w:name="_Ref504133152"/>
      <w:r>
        <w:t>Proposed a</w:t>
      </w:r>
      <w:r w:rsidR="001509A7">
        <w:t>pplication of internal and APRA EAD estimates</w:t>
      </w:r>
      <w:bookmarkEnd w:id="23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374"/>
        <w:gridCol w:w="3374"/>
      </w:tblGrid>
      <w:tr w:rsidR="001509A7" w14:paraId="1B4D2B3E" w14:textId="77777777" w:rsidTr="003911BB">
        <w:tc>
          <w:tcPr>
            <w:tcW w:w="2268" w:type="dxa"/>
            <w:shd w:val="clear" w:color="auto" w:fill="002060"/>
            <w:vAlign w:val="center"/>
          </w:tcPr>
          <w:p w14:paraId="333CF8AD" w14:textId="77777777" w:rsidR="001509A7" w:rsidRPr="00665689" w:rsidRDefault="001509A7" w:rsidP="00182390">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Segment</w:t>
            </w:r>
          </w:p>
        </w:tc>
        <w:tc>
          <w:tcPr>
            <w:tcW w:w="3374" w:type="dxa"/>
            <w:shd w:val="clear" w:color="auto" w:fill="002060"/>
            <w:vAlign w:val="center"/>
          </w:tcPr>
          <w:p w14:paraId="451CCA02" w14:textId="065E89C3" w:rsidR="001509A7" w:rsidRPr="00665689" w:rsidRDefault="003A2AB1">
            <w:pPr>
              <w:pStyle w:val="APRANORMAL"/>
              <w:keepNext/>
              <w:keepLines/>
              <w:spacing w:before="120" w:after="120"/>
              <w:jc w:val="center"/>
              <w:rPr>
                <w:rFonts w:ascii="DIN OT Medium" w:hAnsi="DIN OT Medium"/>
                <w:sz w:val="20"/>
                <w:szCs w:val="20"/>
                <w:lang w:val="en-AU"/>
              </w:rPr>
            </w:pPr>
            <w:r>
              <w:rPr>
                <w:rFonts w:ascii="DIN OT Medium" w:hAnsi="DIN OT Medium"/>
                <w:sz w:val="20"/>
                <w:szCs w:val="20"/>
                <w:lang w:val="en-AU"/>
              </w:rPr>
              <w:t>Internally determined</w:t>
            </w:r>
          </w:p>
        </w:tc>
        <w:tc>
          <w:tcPr>
            <w:tcW w:w="3374" w:type="dxa"/>
            <w:shd w:val="clear" w:color="auto" w:fill="002060"/>
            <w:vAlign w:val="center"/>
          </w:tcPr>
          <w:p w14:paraId="7C7E7B4D" w14:textId="689544B7" w:rsidR="001509A7" w:rsidRPr="00665689" w:rsidRDefault="00182390" w:rsidP="00182390">
            <w:pPr>
              <w:pStyle w:val="APRANORMAL"/>
              <w:keepNext/>
              <w:keepLines/>
              <w:spacing w:before="120" w:after="120"/>
              <w:jc w:val="center"/>
              <w:rPr>
                <w:rFonts w:ascii="DIN OT Medium" w:hAnsi="DIN OT Medium"/>
                <w:sz w:val="20"/>
                <w:szCs w:val="20"/>
                <w:lang w:val="en-AU"/>
              </w:rPr>
            </w:pPr>
            <w:r>
              <w:rPr>
                <w:rFonts w:ascii="DIN OT Medium" w:hAnsi="DIN OT Medium"/>
                <w:sz w:val="20"/>
                <w:szCs w:val="20"/>
                <w:lang w:val="en-AU"/>
              </w:rPr>
              <w:t>APRA</w:t>
            </w:r>
            <w:r w:rsidR="001509A7">
              <w:rPr>
                <w:rFonts w:ascii="DIN OT Medium" w:hAnsi="DIN OT Medium"/>
                <w:sz w:val="20"/>
                <w:szCs w:val="20"/>
                <w:lang w:val="en-AU"/>
              </w:rPr>
              <w:t xml:space="preserve"> </w:t>
            </w:r>
            <w:r w:rsidR="003A2AB1">
              <w:rPr>
                <w:rFonts w:ascii="DIN OT Medium" w:hAnsi="DIN OT Medium"/>
                <w:sz w:val="20"/>
                <w:szCs w:val="20"/>
                <w:lang w:val="en-AU"/>
              </w:rPr>
              <w:t>determined</w:t>
            </w:r>
          </w:p>
        </w:tc>
      </w:tr>
      <w:tr w:rsidR="001509A7" w14:paraId="22F0ED02" w14:textId="77777777" w:rsidTr="003911BB">
        <w:tc>
          <w:tcPr>
            <w:tcW w:w="2268" w:type="dxa"/>
            <w:shd w:val="clear" w:color="auto" w:fill="002060"/>
            <w:vAlign w:val="center"/>
          </w:tcPr>
          <w:p w14:paraId="7A809D25" w14:textId="77777777" w:rsidR="001509A7" w:rsidRPr="00665689" w:rsidRDefault="001509A7" w:rsidP="00182390">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 xml:space="preserve">Non-retail </w:t>
            </w:r>
          </w:p>
        </w:tc>
        <w:tc>
          <w:tcPr>
            <w:tcW w:w="3374" w:type="dxa"/>
            <w:shd w:val="clear" w:color="auto" w:fill="F2F2F2" w:themeFill="background1" w:themeFillShade="F2"/>
            <w:vAlign w:val="center"/>
          </w:tcPr>
          <w:p w14:paraId="33199A6A"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No</w:t>
            </w:r>
          </w:p>
        </w:tc>
        <w:tc>
          <w:tcPr>
            <w:tcW w:w="3374" w:type="dxa"/>
            <w:shd w:val="clear" w:color="auto" w:fill="F2F2F2" w:themeFill="background1" w:themeFillShade="F2"/>
            <w:vAlign w:val="center"/>
          </w:tcPr>
          <w:p w14:paraId="7845A5A7"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Yes</w:t>
            </w:r>
          </w:p>
        </w:tc>
      </w:tr>
      <w:tr w:rsidR="001509A7" w14:paraId="33A808A9" w14:textId="77777777" w:rsidTr="003911BB">
        <w:tc>
          <w:tcPr>
            <w:tcW w:w="2268" w:type="dxa"/>
            <w:shd w:val="clear" w:color="auto" w:fill="002060"/>
            <w:vAlign w:val="center"/>
          </w:tcPr>
          <w:p w14:paraId="0FC12A97" w14:textId="77777777" w:rsidR="001509A7" w:rsidRPr="00665689" w:rsidRDefault="001509A7" w:rsidP="00182390">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Retail non-revolving</w:t>
            </w:r>
          </w:p>
        </w:tc>
        <w:tc>
          <w:tcPr>
            <w:tcW w:w="3374" w:type="dxa"/>
            <w:shd w:val="clear" w:color="auto" w:fill="F2F2F2" w:themeFill="background1" w:themeFillShade="F2"/>
            <w:vAlign w:val="center"/>
          </w:tcPr>
          <w:p w14:paraId="008B9390"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No</w:t>
            </w:r>
          </w:p>
        </w:tc>
        <w:tc>
          <w:tcPr>
            <w:tcW w:w="3374" w:type="dxa"/>
            <w:shd w:val="clear" w:color="auto" w:fill="F2F2F2" w:themeFill="background1" w:themeFillShade="F2"/>
            <w:vAlign w:val="center"/>
          </w:tcPr>
          <w:p w14:paraId="05A8B157"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Yes</w:t>
            </w:r>
          </w:p>
        </w:tc>
      </w:tr>
      <w:tr w:rsidR="001509A7" w14:paraId="6D21AF27" w14:textId="77777777" w:rsidTr="003911BB">
        <w:tc>
          <w:tcPr>
            <w:tcW w:w="2268" w:type="dxa"/>
            <w:shd w:val="clear" w:color="auto" w:fill="002060"/>
            <w:vAlign w:val="center"/>
          </w:tcPr>
          <w:p w14:paraId="50610741" w14:textId="77777777" w:rsidR="001509A7" w:rsidRPr="00665689" w:rsidRDefault="001509A7" w:rsidP="00182390">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Retail revolving</w:t>
            </w:r>
          </w:p>
        </w:tc>
        <w:tc>
          <w:tcPr>
            <w:tcW w:w="3374" w:type="dxa"/>
            <w:shd w:val="clear" w:color="auto" w:fill="F2F2F2" w:themeFill="background1" w:themeFillShade="F2"/>
            <w:vAlign w:val="center"/>
          </w:tcPr>
          <w:p w14:paraId="35602A95"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Yes</w:t>
            </w:r>
          </w:p>
        </w:tc>
        <w:tc>
          <w:tcPr>
            <w:tcW w:w="3374" w:type="dxa"/>
            <w:shd w:val="clear" w:color="auto" w:fill="F2F2F2" w:themeFill="background1" w:themeFillShade="F2"/>
            <w:vAlign w:val="center"/>
          </w:tcPr>
          <w:p w14:paraId="454E6FBE" w14:textId="77777777" w:rsidR="001509A7" w:rsidRPr="00665689" w:rsidRDefault="001509A7" w:rsidP="00182390">
            <w:pPr>
              <w:pStyle w:val="APRANORMAL"/>
              <w:keepNext/>
              <w:keepLines/>
              <w:spacing w:before="120" w:after="120"/>
              <w:jc w:val="center"/>
              <w:rPr>
                <w:sz w:val="20"/>
                <w:szCs w:val="20"/>
                <w:lang w:val="en-AU"/>
              </w:rPr>
            </w:pPr>
            <w:r>
              <w:rPr>
                <w:sz w:val="20"/>
                <w:szCs w:val="20"/>
                <w:lang w:val="en-AU"/>
              </w:rPr>
              <w:t>No</w:t>
            </w:r>
          </w:p>
        </w:tc>
      </w:tr>
    </w:tbl>
    <w:p w14:paraId="404950EC" w14:textId="77777777" w:rsidR="001509A7" w:rsidRDefault="001509A7" w:rsidP="001509A7">
      <w:pPr>
        <w:pStyle w:val="APRANORMAL"/>
      </w:pPr>
    </w:p>
    <w:p w14:paraId="38ED437E" w14:textId="0AF64B2A" w:rsidR="001F297C" w:rsidRDefault="001509A7" w:rsidP="001D58C5">
      <w:pPr>
        <w:pStyle w:val="APRANORMAL"/>
      </w:pPr>
      <w:r>
        <w:t>APRA also propos</w:t>
      </w:r>
      <w:r w:rsidR="002E2F96">
        <w:t>es</w:t>
      </w:r>
      <w:r>
        <w:t xml:space="preserve"> changes to CCFs to be applied by ADIs under the foundation IRB approach.</w:t>
      </w:r>
      <w:r w:rsidR="001D58C5">
        <w:t xml:space="preserve"> Similar to Basel III, APRA propos</w:t>
      </w:r>
      <w:r w:rsidR="002E2F96">
        <w:t>es</w:t>
      </w:r>
      <w:r w:rsidR="001D58C5">
        <w:t xml:space="preserve"> to </w:t>
      </w:r>
      <w:r w:rsidR="00754E10">
        <w:t xml:space="preserve">more closely </w:t>
      </w:r>
      <w:r w:rsidR="001D58C5">
        <w:t xml:space="preserve">align CCFs </w:t>
      </w:r>
      <w:r w:rsidR="00417E4A">
        <w:rPr>
          <w:lang w:eastAsia="en-AU"/>
        </w:rPr>
        <w:t xml:space="preserve">and the definition of a commitment </w:t>
      </w:r>
      <w:r w:rsidR="001D58C5">
        <w:rPr>
          <w:lang w:eastAsia="en-AU"/>
        </w:rPr>
        <w:t>between the IRB and standardised approaches</w:t>
      </w:r>
      <w:r w:rsidR="001D58C5">
        <w:t xml:space="preserve">. </w:t>
      </w:r>
    </w:p>
    <w:p w14:paraId="3931B76D" w14:textId="29D5D44C" w:rsidR="001D58C5" w:rsidRDefault="001D58C5" w:rsidP="001D58C5">
      <w:pPr>
        <w:pStyle w:val="APRANORMAL"/>
      </w:pPr>
      <w:r>
        <w:t xml:space="preserve">APRA </w:t>
      </w:r>
      <w:r w:rsidR="00DA7572">
        <w:t xml:space="preserve">also </w:t>
      </w:r>
      <w:r>
        <w:t>propos</w:t>
      </w:r>
      <w:r w:rsidR="00DA7572">
        <w:t>es</w:t>
      </w:r>
      <w:r>
        <w:t xml:space="preserve"> higher CCFs for </w:t>
      </w:r>
      <w:r w:rsidR="00A43B5F">
        <w:t>‘</w:t>
      </w:r>
      <w:r>
        <w:t>other commitments</w:t>
      </w:r>
      <w:r w:rsidR="00A43B5F">
        <w:t>’</w:t>
      </w:r>
      <w:r>
        <w:t xml:space="preserve"> than </w:t>
      </w:r>
      <w:r w:rsidR="00DA7572">
        <w:t xml:space="preserve">those </w:t>
      </w:r>
      <w:r w:rsidR="00C441B5">
        <w:t xml:space="preserve">under </w:t>
      </w:r>
      <w:r w:rsidR="003F01AE">
        <w:t>the</w:t>
      </w:r>
      <w:r>
        <w:t xml:space="preserve"> Basel III </w:t>
      </w:r>
      <w:r w:rsidR="003F01AE">
        <w:t>reforms</w:t>
      </w:r>
      <w:r w:rsidR="001F297C" w:rsidRPr="00040BB1">
        <w:t xml:space="preserve">, </w:t>
      </w:r>
      <w:r w:rsidR="001F297C">
        <w:t>as part of ensuring</w:t>
      </w:r>
      <w:r w:rsidR="001F297C" w:rsidRPr="00040BB1">
        <w:t xml:space="preserve"> there is not a significant loosening of existing </w:t>
      </w:r>
      <w:r w:rsidR="001F297C">
        <w:t xml:space="preserve">IRB </w:t>
      </w:r>
      <w:r w:rsidR="001F297C" w:rsidRPr="00040BB1">
        <w:t>capital requirements in Australia</w:t>
      </w:r>
      <w:r w:rsidR="001F297C">
        <w:t xml:space="preserve">. </w:t>
      </w:r>
      <w:r w:rsidR="00DA7572">
        <w:t>This includes</w:t>
      </w:r>
      <w:r>
        <w:t xml:space="preserve"> segment</w:t>
      </w:r>
      <w:r w:rsidR="00DA7572">
        <w:t>ing</w:t>
      </w:r>
      <w:r>
        <w:t xml:space="preserve"> CCFs for commitments by counterparty type, according to the likelihood of the ADI intervening before default. APRA </w:t>
      </w:r>
      <w:r w:rsidR="00DA7572">
        <w:t>also</w:t>
      </w:r>
      <w:r>
        <w:t xml:space="preserve"> propos</w:t>
      </w:r>
      <w:r w:rsidR="002E2F96">
        <w:t>es</w:t>
      </w:r>
      <w:r>
        <w:t xml:space="preserve"> a range of CCFs for commitments from 50 to 100 per cent, which is the same range as for current estimates under the standardised and foundation IRB approaches. </w:t>
      </w:r>
    </w:p>
    <w:p w14:paraId="435696CE" w14:textId="6DEB010A" w:rsidR="001D58C5" w:rsidRDefault="001D58C5" w:rsidP="001D58C5">
      <w:pPr>
        <w:pStyle w:val="APRANORMAL"/>
        <w:rPr>
          <w:lang w:eastAsia="en-AU"/>
        </w:rPr>
      </w:pPr>
      <w:r>
        <w:rPr>
          <w:lang w:eastAsia="en-AU"/>
        </w:rPr>
        <w:t>For unconditionally cancellable commitments, APRA consider</w:t>
      </w:r>
      <w:r w:rsidR="001A7B3D">
        <w:rPr>
          <w:lang w:eastAsia="en-AU"/>
        </w:rPr>
        <w:t>s</w:t>
      </w:r>
      <w:r w:rsidR="00DF16DF">
        <w:rPr>
          <w:lang w:eastAsia="en-AU"/>
        </w:rPr>
        <w:t xml:space="preserve"> that the 10 </w:t>
      </w:r>
      <w:r>
        <w:rPr>
          <w:lang w:eastAsia="en-AU"/>
        </w:rPr>
        <w:t>per cent</w:t>
      </w:r>
      <w:r w:rsidR="00DB0DD4">
        <w:rPr>
          <w:lang w:eastAsia="en-AU"/>
        </w:rPr>
        <w:t xml:space="preserve"> CCF</w:t>
      </w:r>
      <w:r>
        <w:rPr>
          <w:lang w:eastAsia="en-AU"/>
        </w:rPr>
        <w:t xml:space="preserve"> under Basel III is too low given available evidence. </w:t>
      </w:r>
      <w:r w:rsidR="00DF16DF">
        <w:rPr>
          <w:lang w:eastAsia="en-AU"/>
        </w:rPr>
        <w:t xml:space="preserve">Instead, APRA </w:t>
      </w:r>
      <w:r w:rsidR="001C564F">
        <w:rPr>
          <w:lang w:eastAsia="en-AU"/>
        </w:rPr>
        <w:t>propos</w:t>
      </w:r>
      <w:r w:rsidR="00DB0DD4">
        <w:rPr>
          <w:lang w:eastAsia="en-AU"/>
        </w:rPr>
        <w:t>es</w:t>
      </w:r>
      <w:r w:rsidR="00DF16DF">
        <w:rPr>
          <w:lang w:eastAsia="en-AU"/>
        </w:rPr>
        <w:t xml:space="preserve"> a 20 </w:t>
      </w:r>
      <w:r>
        <w:rPr>
          <w:lang w:eastAsia="en-AU"/>
        </w:rPr>
        <w:t>per cent CCF, which aligns with the lower end of current CCF estimates.</w:t>
      </w:r>
    </w:p>
    <w:p w14:paraId="03AB1366" w14:textId="55B8975C" w:rsidR="001D58C5" w:rsidRDefault="001D58C5" w:rsidP="001D58C5">
      <w:pPr>
        <w:pStyle w:val="APRANORMAL"/>
        <w:rPr>
          <w:lang w:eastAsia="en-AU"/>
        </w:rPr>
      </w:pPr>
      <w:r>
        <w:t xml:space="preserve">APRA’s proposals are summarised in </w:t>
      </w:r>
      <w:r w:rsidR="009802FE">
        <w:fldChar w:fldCharType="begin"/>
      </w:r>
      <w:r w:rsidR="009802FE">
        <w:instrText xml:space="preserve"> REF _Ref504133166 \r \h </w:instrText>
      </w:r>
      <w:r w:rsidR="009802FE">
        <w:fldChar w:fldCharType="separate"/>
      </w:r>
      <w:r w:rsidR="00EB1F7A">
        <w:t>Table 10</w:t>
      </w:r>
      <w:r w:rsidR="009802FE">
        <w:fldChar w:fldCharType="end"/>
      </w:r>
      <w:r w:rsidR="009802FE">
        <w:t>.</w:t>
      </w:r>
    </w:p>
    <w:p w14:paraId="6B8DB9CC" w14:textId="77777777" w:rsidR="001509A7" w:rsidRPr="000F02E6" w:rsidRDefault="001509A7" w:rsidP="001509A7">
      <w:pPr>
        <w:pStyle w:val="APRATABLE-NUMBER"/>
      </w:pPr>
      <w:bookmarkStart w:id="235" w:name="_Ref504133166"/>
      <w:r>
        <w:lastRenderedPageBreak/>
        <w:t>Changes to foundation IRB CCF estimates</w:t>
      </w:r>
      <w:bookmarkEnd w:id="235"/>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8"/>
        <w:gridCol w:w="2202"/>
        <w:gridCol w:w="2202"/>
        <w:gridCol w:w="2204"/>
      </w:tblGrid>
      <w:tr w:rsidR="001509A7" w14:paraId="2770ABDB" w14:textId="77777777" w:rsidTr="00730B1A">
        <w:tc>
          <w:tcPr>
            <w:tcW w:w="2408" w:type="dxa"/>
            <w:shd w:val="clear" w:color="auto" w:fill="002060"/>
            <w:vAlign w:val="bottom"/>
          </w:tcPr>
          <w:p w14:paraId="371DC8A9" w14:textId="77777777" w:rsidR="001509A7" w:rsidRPr="00665689" w:rsidRDefault="001509A7" w:rsidP="00730B1A">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Facility type</w:t>
            </w:r>
          </w:p>
        </w:tc>
        <w:tc>
          <w:tcPr>
            <w:tcW w:w="2202" w:type="dxa"/>
            <w:shd w:val="clear" w:color="auto" w:fill="002060"/>
          </w:tcPr>
          <w:p w14:paraId="0CA7D77C" w14:textId="77777777" w:rsidR="001509A7" w:rsidRPr="00665689" w:rsidRDefault="001509A7" w:rsidP="00730B1A">
            <w:pPr>
              <w:pStyle w:val="APRANORMAL"/>
              <w:spacing w:before="120" w:after="120"/>
              <w:jc w:val="center"/>
              <w:rPr>
                <w:rFonts w:ascii="DIN OT Medium" w:hAnsi="DIN OT Medium"/>
                <w:sz w:val="20"/>
                <w:szCs w:val="20"/>
                <w:lang w:val="en-AU"/>
              </w:rPr>
            </w:pPr>
            <w:r>
              <w:rPr>
                <w:rFonts w:ascii="DIN OT Medium" w:hAnsi="DIN OT Medium"/>
                <w:sz w:val="20"/>
                <w:szCs w:val="20"/>
                <w:lang w:val="en-AU"/>
              </w:rPr>
              <w:t>APS 113</w:t>
            </w:r>
            <w:r>
              <w:rPr>
                <w:rFonts w:ascii="DIN OT Medium" w:hAnsi="DIN OT Medium"/>
                <w:sz w:val="20"/>
                <w:szCs w:val="20"/>
                <w:lang w:val="en-AU"/>
              </w:rPr>
              <w:br/>
              <w:t>%</w:t>
            </w:r>
          </w:p>
        </w:tc>
        <w:tc>
          <w:tcPr>
            <w:tcW w:w="2202" w:type="dxa"/>
            <w:shd w:val="clear" w:color="auto" w:fill="002060"/>
          </w:tcPr>
          <w:p w14:paraId="1E026C97" w14:textId="77777777" w:rsidR="001509A7" w:rsidRDefault="001509A7" w:rsidP="00730B1A">
            <w:pPr>
              <w:pStyle w:val="APRANORMAL"/>
              <w:spacing w:before="120" w:after="120"/>
              <w:jc w:val="center"/>
              <w:rPr>
                <w:rFonts w:ascii="DIN OT Medium" w:hAnsi="DIN OT Medium"/>
                <w:sz w:val="20"/>
                <w:szCs w:val="20"/>
                <w:lang w:val="en-AU"/>
              </w:rPr>
            </w:pPr>
            <w:r>
              <w:rPr>
                <w:rFonts w:ascii="DIN OT Medium" w:hAnsi="DIN OT Medium"/>
                <w:sz w:val="20"/>
                <w:szCs w:val="20"/>
                <w:lang w:val="en-AU"/>
              </w:rPr>
              <w:t xml:space="preserve">Basel III </w:t>
            </w:r>
            <w:r>
              <w:rPr>
                <w:rFonts w:ascii="DIN OT Medium" w:hAnsi="DIN OT Medium"/>
                <w:sz w:val="20"/>
                <w:szCs w:val="20"/>
                <w:lang w:val="en-AU"/>
              </w:rPr>
              <w:br/>
              <w:t>%</w:t>
            </w:r>
          </w:p>
        </w:tc>
        <w:tc>
          <w:tcPr>
            <w:tcW w:w="2204" w:type="dxa"/>
            <w:shd w:val="clear" w:color="auto" w:fill="002060"/>
          </w:tcPr>
          <w:p w14:paraId="5E0CADB4" w14:textId="77777777" w:rsidR="001509A7" w:rsidRPr="00665689" w:rsidRDefault="001509A7" w:rsidP="00730B1A">
            <w:pPr>
              <w:pStyle w:val="APRANORMAL"/>
              <w:spacing w:before="120" w:after="120"/>
              <w:jc w:val="center"/>
              <w:rPr>
                <w:rFonts w:ascii="DIN OT Medium" w:hAnsi="DIN OT Medium"/>
                <w:sz w:val="20"/>
                <w:szCs w:val="20"/>
                <w:lang w:val="en-AU"/>
              </w:rPr>
            </w:pPr>
            <w:r>
              <w:rPr>
                <w:rFonts w:ascii="DIN OT Medium" w:hAnsi="DIN OT Medium"/>
                <w:sz w:val="20"/>
                <w:szCs w:val="20"/>
                <w:lang w:val="en-AU"/>
              </w:rPr>
              <w:t xml:space="preserve">Proposed </w:t>
            </w:r>
            <w:r>
              <w:rPr>
                <w:rFonts w:ascii="DIN OT Medium" w:hAnsi="DIN OT Medium"/>
                <w:sz w:val="20"/>
                <w:szCs w:val="20"/>
                <w:lang w:val="en-AU"/>
              </w:rPr>
              <w:br/>
              <w:t>%</w:t>
            </w:r>
          </w:p>
        </w:tc>
      </w:tr>
      <w:tr w:rsidR="001509A7" w14:paraId="77D272D4" w14:textId="77777777" w:rsidTr="00A60832">
        <w:tc>
          <w:tcPr>
            <w:tcW w:w="2408" w:type="dxa"/>
            <w:shd w:val="clear" w:color="auto" w:fill="002060"/>
            <w:vAlign w:val="center"/>
          </w:tcPr>
          <w:p w14:paraId="287DC5C1" w14:textId="77777777" w:rsidR="001509A7" w:rsidRPr="00665689" w:rsidRDefault="001509A7" w:rsidP="00730B1A">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Commitments</w:t>
            </w:r>
          </w:p>
        </w:tc>
        <w:tc>
          <w:tcPr>
            <w:tcW w:w="2202" w:type="dxa"/>
            <w:shd w:val="clear" w:color="auto" w:fill="F2F2F2" w:themeFill="background1" w:themeFillShade="F2"/>
            <w:vAlign w:val="center"/>
          </w:tcPr>
          <w:p w14:paraId="7C1844BE" w14:textId="76297EDF" w:rsidR="001509A7" w:rsidRPr="00665689" w:rsidRDefault="001509A7" w:rsidP="00DF16DF">
            <w:pPr>
              <w:pStyle w:val="APRANORMAL"/>
              <w:keepNext/>
              <w:keepLines/>
              <w:spacing w:before="120" w:after="120"/>
              <w:jc w:val="center"/>
              <w:rPr>
                <w:sz w:val="20"/>
                <w:szCs w:val="20"/>
                <w:lang w:val="en-AU"/>
              </w:rPr>
            </w:pPr>
            <w:r>
              <w:rPr>
                <w:sz w:val="20"/>
                <w:szCs w:val="20"/>
                <w:lang w:val="en-AU"/>
              </w:rPr>
              <w:t>100</w:t>
            </w:r>
            <w:r>
              <w:rPr>
                <w:rStyle w:val="FootnoteReference"/>
                <w:szCs w:val="20"/>
                <w:lang w:val="en-AU"/>
              </w:rPr>
              <w:footnoteReference w:id="36"/>
            </w:r>
          </w:p>
        </w:tc>
        <w:tc>
          <w:tcPr>
            <w:tcW w:w="2202" w:type="dxa"/>
            <w:shd w:val="clear" w:color="auto" w:fill="F2F2F2" w:themeFill="background1" w:themeFillShade="F2"/>
            <w:vAlign w:val="center"/>
          </w:tcPr>
          <w:p w14:paraId="4A121FBD" w14:textId="77777777" w:rsidR="001509A7" w:rsidRDefault="001509A7" w:rsidP="00730B1A">
            <w:pPr>
              <w:pStyle w:val="APRANORMAL"/>
              <w:keepNext/>
              <w:keepLines/>
              <w:spacing w:before="120" w:after="120"/>
              <w:jc w:val="center"/>
              <w:rPr>
                <w:sz w:val="20"/>
                <w:szCs w:val="20"/>
                <w:lang w:val="en-AU"/>
              </w:rPr>
            </w:pPr>
            <w:r>
              <w:rPr>
                <w:sz w:val="20"/>
                <w:szCs w:val="20"/>
                <w:lang w:val="en-AU"/>
              </w:rPr>
              <w:t>40</w:t>
            </w:r>
          </w:p>
        </w:tc>
        <w:tc>
          <w:tcPr>
            <w:tcW w:w="2204" w:type="dxa"/>
            <w:shd w:val="clear" w:color="auto" w:fill="F2F2F2" w:themeFill="background1" w:themeFillShade="F2"/>
            <w:vAlign w:val="center"/>
          </w:tcPr>
          <w:p w14:paraId="34587319" w14:textId="77777777" w:rsidR="001509A7" w:rsidRDefault="001509A7" w:rsidP="00730B1A">
            <w:pPr>
              <w:pStyle w:val="APRANORMAL"/>
              <w:keepNext/>
              <w:keepLines/>
              <w:spacing w:before="120" w:after="120"/>
              <w:jc w:val="center"/>
              <w:rPr>
                <w:sz w:val="20"/>
                <w:szCs w:val="20"/>
                <w:lang w:val="en-AU"/>
              </w:rPr>
            </w:pPr>
            <w:r>
              <w:rPr>
                <w:sz w:val="20"/>
                <w:szCs w:val="20"/>
                <w:lang w:val="en-AU"/>
              </w:rPr>
              <w:t>Bank: 50</w:t>
            </w:r>
          </w:p>
          <w:p w14:paraId="40444CF7" w14:textId="77777777" w:rsidR="001509A7" w:rsidRDefault="001509A7" w:rsidP="00730B1A">
            <w:pPr>
              <w:pStyle w:val="APRANORMAL"/>
              <w:keepNext/>
              <w:keepLines/>
              <w:spacing w:before="120" w:after="120"/>
              <w:jc w:val="center"/>
              <w:rPr>
                <w:sz w:val="20"/>
                <w:szCs w:val="20"/>
                <w:lang w:val="en-AU"/>
              </w:rPr>
            </w:pPr>
            <w:r>
              <w:rPr>
                <w:sz w:val="20"/>
                <w:szCs w:val="20"/>
                <w:lang w:val="en-AU"/>
              </w:rPr>
              <w:t>Corporate: 75</w:t>
            </w:r>
          </w:p>
          <w:p w14:paraId="17497321" w14:textId="3313CEEE" w:rsidR="001509A7" w:rsidRPr="00665689" w:rsidRDefault="001509A7" w:rsidP="00730B1A">
            <w:pPr>
              <w:pStyle w:val="APRANORMAL"/>
              <w:keepNext/>
              <w:keepLines/>
              <w:spacing w:before="120" w:after="120"/>
              <w:jc w:val="center"/>
              <w:rPr>
                <w:sz w:val="20"/>
                <w:szCs w:val="20"/>
                <w:lang w:val="en-AU"/>
              </w:rPr>
            </w:pPr>
            <w:r>
              <w:rPr>
                <w:sz w:val="20"/>
                <w:szCs w:val="20"/>
                <w:lang w:val="en-AU"/>
              </w:rPr>
              <w:t>Retail (non-revolving), SME, commercial property: 100</w:t>
            </w:r>
          </w:p>
        </w:tc>
      </w:tr>
      <w:tr w:rsidR="001509A7" w14:paraId="4FF44A6C" w14:textId="77777777" w:rsidTr="003911BB">
        <w:tc>
          <w:tcPr>
            <w:tcW w:w="2408" w:type="dxa"/>
            <w:shd w:val="clear" w:color="auto" w:fill="002060"/>
          </w:tcPr>
          <w:p w14:paraId="5F8C37E8" w14:textId="77777777" w:rsidR="001509A7" w:rsidRPr="00665689" w:rsidRDefault="001509A7" w:rsidP="00730B1A">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Commitments—unconditionally cancellable</w:t>
            </w:r>
          </w:p>
        </w:tc>
        <w:tc>
          <w:tcPr>
            <w:tcW w:w="2202" w:type="dxa"/>
            <w:shd w:val="clear" w:color="auto" w:fill="F2F2F2" w:themeFill="background1" w:themeFillShade="F2"/>
            <w:vAlign w:val="center"/>
          </w:tcPr>
          <w:p w14:paraId="2149BA17" w14:textId="77777777" w:rsidR="001509A7" w:rsidRPr="00665689" w:rsidRDefault="001509A7" w:rsidP="00730B1A">
            <w:pPr>
              <w:pStyle w:val="APRANORMAL"/>
              <w:keepNext/>
              <w:keepLines/>
              <w:spacing w:before="120" w:after="120"/>
              <w:jc w:val="center"/>
              <w:rPr>
                <w:sz w:val="20"/>
                <w:szCs w:val="20"/>
                <w:lang w:val="en-AU"/>
              </w:rPr>
            </w:pPr>
            <w:r>
              <w:rPr>
                <w:sz w:val="20"/>
                <w:szCs w:val="20"/>
                <w:lang w:val="en-AU"/>
              </w:rPr>
              <w:t>0</w:t>
            </w:r>
          </w:p>
        </w:tc>
        <w:tc>
          <w:tcPr>
            <w:tcW w:w="2202" w:type="dxa"/>
            <w:shd w:val="clear" w:color="auto" w:fill="F2F2F2" w:themeFill="background1" w:themeFillShade="F2"/>
            <w:vAlign w:val="center"/>
          </w:tcPr>
          <w:p w14:paraId="2474D308" w14:textId="77777777" w:rsidR="001509A7" w:rsidRDefault="001509A7" w:rsidP="00730B1A">
            <w:pPr>
              <w:pStyle w:val="APRANORMAL"/>
              <w:keepNext/>
              <w:keepLines/>
              <w:spacing w:before="120" w:after="120"/>
              <w:jc w:val="center"/>
              <w:rPr>
                <w:sz w:val="20"/>
                <w:szCs w:val="20"/>
                <w:lang w:val="en-AU"/>
              </w:rPr>
            </w:pPr>
            <w:r>
              <w:rPr>
                <w:sz w:val="20"/>
                <w:szCs w:val="20"/>
                <w:lang w:val="en-AU"/>
              </w:rPr>
              <w:t>10</w:t>
            </w:r>
          </w:p>
        </w:tc>
        <w:tc>
          <w:tcPr>
            <w:tcW w:w="2204" w:type="dxa"/>
            <w:shd w:val="clear" w:color="auto" w:fill="F2F2F2" w:themeFill="background1" w:themeFillShade="F2"/>
            <w:vAlign w:val="center"/>
          </w:tcPr>
          <w:p w14:paraId="30D0A91B" w14:textId="77777777" w:rsidR="001509A7" w:rsidRPr="00665689" w:rsidRDefault="001509A7" w:rsidP="00730B1A">
            <w:pPr>
              <w:pStyle w:val="APRANORMAL"/>
              <w:keepNext/>
              <w:keepLines/>
              <w:spacing w:before="120" w:after="120"/>
              <w:jc w:val="center"/>
              <w:rPr>
                <w:sz w:val="20"/>
                <w:szCs w:val="20"/>
                <w:lang w:val="en-AU"/>
              </w:rPr>
            </w:pPr>
            <w:r>
              <w:rPr>
                <w:sz w:val="20"/>
                <w:szCs w:val="20"/>
                <w:lang w:val="en-AU"/>
              </w:rPr>
              <w:t>20</w:t>
            </w:r>
          </w:p>
        </w:tc>
      </w:tr>
      <w:tr w:rsidR="001509A7" w14:paraId="52F82FF7" w14:textId="77777777" w:rsidTr="003911BB">
        <w:tc>
          <w:tcPr>
            <w:tcW w:w="2408" w:type="dxa"/>
            <w:shd w:val="clear" w:color="auto" w:fill="002060"/>
          </w:tcPr>
          <w:p w14:paraId="69D7F45D" w14:textId="77777777" w:rsidR="001509A7" w:rsidRDefault="001509A7" w:rsidP="00730B1A">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Note issuance &amp; underwriting facilities</w:t>
            </w:r>
          </w:p>
        </w:tc>
        <w:tc>
          <w:tcPr>
            <w:tcW w:w="2202" w:type="dxa"/>
            <w:shd w:val="clear" w:color="auto" w:fill="F2F2F2" w:themeFill="background1" w:themeFillShade="F2"/>
            <w:vAlign w:val="center"/>
          </w:tcPr>
          <w:p w14:paraId="1CC6798A" w14:textId="77777777" w:rsidR="001509A7" w:rsidRPr="00665689" w:rsidRDefault="001509A7" w:rsidP="00730B1A">
            <w:pPr>
              <w:pStyle w:val="APRANORMAL"/>
              <w:keepNext/>
              <w:keepLines/>
              <w:spacing w:before="120" w:after="120"/>
              <w:jc w:val="center"/>
              <w:rPr>
                <w:sz w:val="20"/>
                <w:szCs w:val="20"/>
                <w:lang w:val="en-AU"/>
              </w:rPr>
            </w:pPr>
            <w:r>
              <w:rPr>
                <w:sz w:val="20"/>
                <w:szCs w:val="20"/>
                <w:lang w:val="en-AU"/>
              </w:rPr>
              <w:t>100</w:t>
            </w:r>
          </w:p>
        </w:tc>
        <w:tc>
          <w:tcPr>
            <w:tcW w:w="2202" w:type="dxa"/>
            <w:shd w:val="clear" w:color="auto" w:fill="F2F2F2" w:themeFill="background1" w:themeFillShade="F2"/>
            <w:vAlign w:val="center"/>
          </w:tcPr>
          <w:p w14:paraId="0531703D" w14:textId="77777777" w:rsidR="001509A7" w:rsidRDefault="001509A7" w:rsidP="00730B1A">
            <w:pPr>
              <w:pStyle w:val="APRANORMAL"/>
              <w:keepNext/>
              <w:keepLines/>
              <w:spacing w:before="120" w:after="120"/>
              <w:jc w:val="center"/>
              <w:rPr>
                <w:sz w:val="20"/>
                <w:szCs w:val="20"/>
                <w:lang w:val="en-AU"/>
              </w:rPr>
            </w:pPr>
            <w:r>
              <w:rPr>
                <w:sz w:val="20"/>
                <w:szCs w:val="20"/>
                <w:lang w:val="en-AU"/>
              </w:rPr>
              <w:t>50</w:t>
            </w:r>
          </w:p>
        </w:tc>
        <w:tc>
          <w:tcPr>
            <w:tcW w:w="2204" w:type="dxa"/>
            <w:shd w:val="clear" w:color="auto" w:fill="F2F2F2" w:themeFill="background1" w:themeFillShade="F2"/>
            <w:vAlign w:val="center"/>
          </w:tcPr>
          <w:p w14:paraId="54AB841D" w14:textId="77777777" w:rsidR="001509A7" w:rsidRPr="00665689" w:rsidRDefault="001509A7" w:rsidP="00730B1A">
            <w:pPr>
              <w:pStyle w:val="APRANORMAL"/>
              <w:keepNext/>
              <w:keepLines/>
              <w:spacing w:before="120" w:after="120"/>
              <w:jc w:val="center"/>
              <w:rPr>
                <w:sz w:val="20"/>
                <w:szCs w:val="20"/>
                <w:lang w:val="en-AU"/>
              </w:rPr>
            </w:pPr>
            <w:r>
              <w:rPr>
                <w:sz w:val="20"/>
                <w:szCs w:val="20"/>
                <w:lang w:val="en-AU"/>
              </w:rPr>
              <w:t>50</w:t>
            </w:r>
          </w:p>
        </w:tc>
      </w:tr>
    </w:tbl>
    <w:p w14:paraId="1654F1FF" w14:textId="77777777" w:rsidR="001509A7" w:rsidRDefault="001509A7" w:rsidP="001509A7">
      <w:pPr>
        <w:pStyle w:val="APRANORMAL"/>
      </w:pPr>
    </w:p>
    <w:p w14:paraId="4DAC5E40" w14:textId="65052981" w:rsidR="00547FD1" w:rsidRDefault="004775E8" w:rsidP="00547FD1">
      <w:pPr>
        <w:pStyle w:val="APRAHEADING2"/>
      </w:pPr>
      <w:bookmarkStart w:id="236" w:name="_Toc500151951"/>
      <w:bookmarkStart w:id="237" w:name="_Toc505676420"/>
      <w:bookmarkStart w:id="238" w:name="_Toc505676512"/>
      <w:bookmarkStart w:id="239" w:name="_Toc505681584"/>
      <w:bookmarkStart w:id="240" w:name="_Toc505681766"/>
      <w:bookmarkStart w:id="241" w:name="_Toc505854710"/>
      <w:bookmarkStart w:id="242" w:name="_Toc506285810"/>
      <w:r>
        <w:t>Commercial property</w:t>
      </w:r>
      <w:bookmarkEnd w:id="236"/>
      <w:r w:rsidR="00DD59D4">
        <w:t xml:space="preserve"> exposures</w:t>
      </w:r>
      <w:bookmarkEnd w:id="237"/>
      <w:bookmarkEnd w:id="238"/>
      <w:bookmarkEnd w:id="239"/>
      <w:bookmarkEnd w:id="240"/>
      <w:bookmarkEnd w:id="241"/>
      <w:bookmarkEnd w:id="242"/>
    </w:p>
    <w:p w14:paraId="3B96D08C" w14:textId="77777777" w:rsidR="00497ABF" w:rsidRDefault="00497ABF" w:rsidP="00497ABF">
      <w:pPr>
        <w:pStyle w:val="APRAHEADING3"/>
      </w:pPr>
      <w:r>
        <w:t>Current approach</w:t>
      </w:r>
    </w:p>
    <w:p w14:paraId="11DEEBB9" w14:textId="343304DD" w:rsidR="00DD59D4" w:rsidRDefault="0013550D" w:rsidP="00C45A1D">
      <w:pPr>
        <w:pStyle w:val="APRANORMAL"/>
        <w:rPr>
          <w:lang w:eastAsia="en-AU"/>
        </w:rPr>
      </w:pPr>
      <w:r w:rsidRPr="007B09AD">
        <w:rPr>
          <w:lang w:eastAsia="en-AU"/>
        </w:rPr>
        <w:t xml:space="preserve">APRA </w:t>
      </w:r>
      <w:r w:rsidR="005B23C1">
        <w:rPr>
          <w:lang w:eastAsia="en-AU"/>
        </w:rPr>
        <w:t xml:space="preserve">currently </w:t>
      </w:r>
      <w:r>
        <w:rPr>
          <w:lang w:eastAsia="en-AU"/>
        </w:rPr>
        <w:t>require</w:t>
      </w:r>
      <w:r w:rsidR="005B23C1">
        <w:rPr>
          <w:lang w:eastAsia="en-AU"/>
        </w:rPr>
        <w:t>s</w:t>
      </w:r>
      <w:r w:rsidRPr="007B09AD">
        <w:rPr>
          <w:lang w:eastAsia="en-AU"/>
        </w:rPr>
        <w:t xml:space="preserve"> </w:t>
      </w:r>
      <w:r w:rsidR="003F01AE">
        <w:rPr>
          <w:lang w:eastAsia="en-AU"/>
        </w:rPr>
        <w:t>advanced</w:t>
      </w:r>
      <w:r>
        <w:rPr>
          <w:lang w:eastAsia="en-AU"/>
        </w:rPr>
        <w:t xml:space="preserve"> </w:t>
      </w:r>
      <w:r w:rsidR="003F01AE">
        <w:rPr>
          <w:lang w:eastAsia="en-AU"/>
        </w:rPr>
        <w:t xml:space="preserve">IRB </w:t>
      </w:r>
      <w:r w:rsidRPr="007B09AD">
        <w:rPr>
          <w:lang w:eastAsia="en-AU"/>
        </w:rPr>
        <w:t xml:space="preserve">ADIs to </w:t>
      </w:r>
      <w:r>
        <w:rPr>
          <w:lang w:eastAsia="en-AU"/>
        </w:rPr>
        <w:t xml:space="preserve">use the </w:t>
      </w:r>
      <w:r w:rsidR="00DD59D4">
        <w:rPr>
          <w:lang w:eastAsia="en-AU"/>
        </w:rPr>
        <w:t>Basel II ‘</w:t>
      </w:r>
      <w:r>
        <w:rPr>
          <w:lang w:eastAsia="en-AU"/>
        </w:rPr>
        <w:t>supervisory slotting</w:t>
      </w:r>
      <w:r w:rsidR="00DD59D4">
        <w:rPr>
          <w:lang w:eastAsia="en-AU"/>
        </w:rPr>
        <w:t>’</w:t>
      </w:r>
      <w:r>
        <w:rPr>
          <w:lang w:eastAsia="en-AU"/>
        </w:rPr>
        <w:t xml:space="preserve"> approach to assign capital for</w:t>
      </w:r>
      <w:r w:rsidRPr="007B09AD">
        <w:rPr>
          <w:lang w:eastAsia="en-AU"/>
        </w:rPr>
        <w:t xml:space="preserve"> </w:t>
      </w:r>
      <w:r w:rsidR="001A7B3D">
        <w:rPr>
          <w:lang w:eastAsia="en-AU"/>
        </w:rPr>
        <w:t xml:space="preserve">most </w:t>
      </w:r>
      <w:r w:rsidRPr="007B09AD">
        <w:rPr>
          <w:lang w:eastAsia="en-AU"/>
        </w:rPr>
        <w:t>commercial property lending</w:t>
      </w:r>
      <w:r w:rsidR="00DD59D4">
        <w:rPr>
          <w:lang w:eastAsia="en-AU"/>
        </w:rPr>
        <w:t>.</w:t>
      </w:r>
      <w:r w:rsidR="001A7B3D">
        <w:rPr>
          <w:rStyle w:val="FootnoteReference"/>
          <w:lang w:eastAsia="en-AU"/>
        </w:rPr>
        <w:footnoteReference w:id="37"/>
      </w:r>
      <w:r w:rsidR="00DD59D4">
        <w:rPr>
          <w:lang w:eastAsia="en-AU"/>
        </w:rPr>
        <w:t xml:space="preserve"> Under </w:t>
      </w:r>
      <w:r w:rsidR="004E7A66">
        <w:rPr>
          <w:lang w:eastAsia="en-AU"/>
        </w:rPr>
        <w:t>this</w:t>
      </w:r>
      <w:r w:rsidR="00DD59D4">
        <w:rPr>
          <w:lang w:eastAsia="en-AU"/>
        </w:rPr>
        <w:t xml:space="preserve"> approach,</w:t>
      </w:r>
      <w:r w:rsidR="00DD59D4" w:rsidRPr="007B09AD">
        <w:rPr>
          <w:lang w:eastAsia="en-AU"/>
        </w:rPr>
        <w:t xml:space="preserve"> exposures </w:t>
      </w:r>
      <w:r w:rsidR="00DD59D4">
        <w:rPr>
          <w:lang w:eastAsia="en-AU"/>
        </w:rPr>
        <w:t>are assigned to one of five ‘slots’, ranging from ‘strong’ to ‘default’, rather than using the IRB risk-weight function. In APRA’s view, at the time Basel II was adopted corporate IRB risk models and the risk-weight function were not adequate for commercial property exposures, which have historically been a source of significant risk in the Australian banking sector.</w:t>
      </w:r>
      <w:r>
        <w:rPr>
          <w:lang w:eastAsia="en-AU"/>
        </w:rPr>
        <w:t xml:space="preserve"> </w:t>
      </w:r>
    </w:p>
    <w:p w14:paraId="05F89641" w14:textId="4872C956" w:rsidR="0013550D" w:rsidRDefault="005B23C1" w:rsidP="00C45A1D">
      <w:pPr>
        <w:pStyle w:val="APRANORMAL"/>
        <w:rPr>
          <w:lang w:eastAsia="en-AU"/>
        </w:rPr>
      </w:pPr>
      <w:r>
        <w:rPr>
          <w:lang w:eastAsia="en-AU"/>
        </w:rPr>
        <w:t xml:space="preserve">While APRA considers the supervisory slotting approach </w:t>
      </w:r>
      <w:r w:rsidR="003939E7">
        <w:rPr>
          <w:lang w:eastAsia="en-AU"/>
        </w:rPr>
        <w:t xml:space="preserve">results in a </w:t>
      </w:r>
      <w:r>
        <w:rPr>
          <w:lang w:eastAsia="en-AU"/>
        </w:rPr>
        <w:t xml:space="preserve">more appropriate </w:t>
      </w:r>
      <w:r w:rsidR="003939E7">
        <w:rPr>
          <w:lang w:eastAsia="en-AU"/>
        </w:rPr>
        <w:t>level of capital compared to the corporate risk-weight function</w:t>
      </w:r>
      <w:r>
        <w:rPr>
          <w:lang w:eastAsia="en-AU"/>
        </w:rPr>
        <w:t>, it is a less r</w:t>
      </w:r>
      <w:r w:rsidR="0013550D">
        <w:rPr>
          <w:lang w:eastAsia="en-AU"/>
        </w:rPr>
        <w:t>isk</w:t>
      </w:r>
      <w:r w:rsidR="00DB0DD4">
        <w:rPr>
          <w:lang w:eastAsia="en-AU"/>
        </w:rPr>
        <w:t>-</w:t>
      </w:r>
      <w:r w:rsidR="0013550D">
        <w:rPr>
          <w:lang w:eastAsia="en-AU"/>
        </w:rPr>
        <w:t xml:space="preserve">sensitive </w:t>
      </w:r>
      <w:r>
        <w:rPr>
          <w:lang w:eastAsia="en-AU"/>
        </w:rPr>
        <w:t>approach. APRA’s approach to commercial property</w:t>
      </w:r>
      <w:r w:rsidR="0013550D">
        <w:rPr>
          <w:lang w:eastAsia="en-AU"/>
        </w:rPr>
        <w:t xml:space="preserve"> </w:t>
      </w:r>
      <w:r>
        <w:rPr>
          <w:lang w:eastAsia="en-AU"/>
        </w:rPr>
        <w:t xml:space="preserve">also means </w:t>
      </w:r>
      <w:r w:rsidR="00056AD9">
        <w:rPr>
          <w:lang w:eastAsia="en-AU"/>
        </w:rPr>
        <w:t xml:space="preserve">that </w:t>
      </w:r>
      <w:r>
        <w:rPr>
          <w:lang w:eastAsia="en-AU"/>
        </w:rPr>
        <w:t xml:space="preserve">the </w:t>
      </w:r>
      <w:r>
        <w:rPr>
          <w:lang w:eastAsia="en-AU"/>
        </w:rPr>
        <w:lastRenderedPageBreak/>
        <w:t>capital outcomes of Australian ADIs are</w:t>
      </w:r>
      <w:r w:rsidR="0013550D">
        <w:rPr>
          <w:lang w:eastAsia="en-AU"/>
        </w:rPr>
        <w:t xml:space="preserve"> </w:t>
      </w:r>
      <w:r w:rsidR="00DB0DD4">
        <w:rPr>
          <w:lang w:eastAsia="en-AU"/>
        </w:rPr>
        <w:t xml:space="preserve">not directly </w:t>
      </w:r>
      <w:r w:rsidR="0013550D">
        <w:rPr>
          <w:lang w:eastAsia="en-AU"/>
        </w:rPr>
        <w:t xml:space="preserve">comparable to other internationally active banks </w:t>
      </w:r>
      <w:r>
        <w:rPr>
          <w:lang w:eastAsia="en-AU"/>
        </w:rPr>
        <w:t>where</w:t>
      </w:r>
      <w:r w:rsidR="006C1F4B">
        <w:rPr>
          <w:lang w:eastAsia="en-AU"/>
        </w:rPr>
        <w:t xml:space="preserve"> supervisory slotting</w:t>
      </w:r>
      <w:r>
        <w:rPr>
          <w:lang w:eastAsia="en-AU"/>
        </w:rPr>
        <w:t xml:space="preserve"> is generally not required</w:t>
      </w:r>
      <w:r w:rsidR="006C1F4B">
        <w:rPr>
          <w:lang w:eastAsia="en-AU"/>
        </w:rPr>
        <w:t>.</w:t>
      </w:r>
    </w:p>
    <w:p w14:paraId="3020150D" w14:textId="7AEF0900" w:rsidR="00D2329A" w:rsidRDefault="00497ABF">
      <w:pPr>
        <w:pStyle w:val="APRAHEADING3"/>
      </w:pPr>
      <w:r>
        <w:t>APRA’s proposals</w:t>
      </w:r>
    </w:p>
    <w:p w14:paraId="5A4A64A9" w14:textId="275D13C0" w:rsidR="0013550D" w:rsidRDefault="0013550D" w:rsidP="0013550D">
      <w:pPr>
        <w:pStyle w:val="APRANORMAL"/>
        <w:rPr>
          <w:lang w:eastAsia="en-AU"/>
        </w:rPr>
      </w:pPr>
      <w:r>
        <w:rPr>
          <w:lang w:eastAsia="en-AU"/>
        </w:rPr>
        <w:t xml:space="preserve">To improve the risk sensitivity of regulatory capital for commercial property lending, </w:t>
      </w:r>
      <w:r w:rsidRPr="007B09AD">
        <w:rPr>
          <w:lang w:eastAsia="en-AU"/>
        </w:rPr>
        <w:t xml:space="preserve">APRA </w:t>
      </w:r>
      <w:r>
        <w:rPr>
          <w:lang w:eastAsia="en-AU"/>
        </w:rPr>
        <w:t>propos</w:t>
      </w:r>
      <w:r w:rsidR="009D392B">
        <w:rPr>
          <w:lang w:eastAsia="en-AU"/>
        </w:rPr>
        <w:t>es</w:t>
      </w:r>
      <w:r w:rsidRPr="007B09AD">
        <w:rPr>
          <w:lang w:eastAsia="en-AU"/>
        </w:rPr>
        <w:t xml:space="preserve"> two new non-retail asset classes</w:t>
      </w:r>
      <w:r>
        <w:rPr>
          <w:lang w:eastAsia="en-AU"/>
        </w:rPr>
        <w:t>:</w:t>
      </w:r>
    </w:p>
    <w:p w14:paraId="7304831B" w14:textId="1689D3DF" w:rsidR="0013550D" w:rsidRPr="005A2636" w:rsidRDefault="0013550D" w:rsidP="0013550D">
      <w:pPr>
        <w:pStyle w:val="APRABULLET"/>
      </w:pPr>
      <w:r w:rsidRPr="005A2636">
        <w:t>land acquisition, development and construction exposures;</w:t>
      </w:r>
      <w:r w:rsidRPr="005A2636">
        <w:rPr>
          <w:rStyle w:val="FootnoteReference"/>
        </w:rPr>
        <w:footnoteReference w:id="38"/>
      </w:r>
      <w:r w:rsidRPr="005A2636">
        <w:t xml:space="preserve"> and </w:t>
      </w:r>
    </w:p>
    <w:p w14:paraId="0F26893D" w14:textId="2E1DB576" w:rsidR="0013550D" w:rsidRDefault="0013550D" w:rsidP="0013550D">
      <w:pPr>
        <w:pStyle w:val="APRABULLET"/>
        <w:rPr>
          <w:lang w:eastAsia="en-AU"/>
        </w:rPr>
      </w:pPr>
      <w:r w:rsidRPr="005A2636">
        <w:t>other commercial</w:t>
      </w:r>
      <w:r>
        <w:rPr>
          <w:lang w:eastAsia="en-AU"/>
        </w:rPr>
        <w:t xml:space="preserve"> property</w:t>
      </w:r>
      <w:r w:rsidR="009D1506">
        <w:rPr>
          <w:lang w:eastAsia="en-AU"/>
        </w:rPr>
        <w:t xml:space="preserve"> exposures</w:t>
      </w:r>
      <w:r w:rsidRPr="007B09AD">
        <w:rPr>
          <w:lang w:eastAsia="en-AU"/>
        </w:rPr>
        <w:t>.</w:t>
      </w:r>
      <w:r>
        <w:rPr>
          <w:lang w:eastAsia="en-AU"/>
        </w:rPr>
        <w:t xml:space="preserve"> </w:t>
      </w:r>
    </w:p>
    <w:p w14:paraId="0976DD46" w14:textId="16949B2E" w:rsidR="006823FA" w:rsidRDefault="003F5CB4" w:rsidP="007B09AD">
      <w:pPr>
        <w:pStyle w:val="APRANORMAL"/>
        <w:rPr>
          <w:lang w:eastAsia="en-AU"/>
        </w:rPr>
      </w:pPr>
      <w:r>
        <w:rPr>
          <w:lang w:eastAsia="en-AU"/>
        </w:rPr>
        <w:t>Under APRA’s</w:t>
      </w:r>
      <w:r w:rsidR="007B09AD" w:rsidRPr="007B09AD">
        <w:rPr>
          <w:lang w:eastAsia="en-AU"/>
        </w:rPr>
        <w:t xml:space="preserve"> propos</w:t>
      </w:r>
      <w:r>
        <w:rPr>
          <w:lang w:eastAsia="en-AU"/>
        </w:rPr>
        <w:t>ed changes</w:t>
      </w:r>
      <w:r w:rsidR="007B09AD" w:rsidRPr="007B09AD">
        <w:rPr>
          <w:lang w:eastAsia="en-AU"/>
        </w:rPr>
        <w:t xml:space="preserve">, all commercial property </w:t>
      </w:r>
      <w:r w:rsidR="00A575C7">
        <w:rPr>
          <w:lang w:eastAsia="en-AU"/>
        </w:rPr>
        <w:t>exposures</w:t>
      </w:r>
      <w:r w:rsidR="009848C3">
        <w:rPr>
          <w:lang w:eastAsia="en-AU"/>
        </w:rPr>
        <w:t xml:space="preserve">, </w:t>
      </w:r>
      <w:r w:rsidR="007B09AD" w:rsidRPr="007B09AD">
        <w:rPr>
          <w:lang w:eastAsia="en-AU"/>
        </w:rPr>
        <w:t xml:space="preserve">including those that were previously excluded from </w:t>
      </w:r>
      <w:r w:rsidR="0045296E">
        <w:rPr>
          <w:lang w:eastAsia="en-AU"/>
        </w:rPr>
        <w:t>s</w:t>
      </w:r>
      <w:r w:rsidR="0045296E" w:rsidRPr="007B09AD">
        <w:rPr>
          <w:lang w:eastAsia="en-AU"/>
        </w:rPr>
        <w:t xml:space="preserve">upervisory </w:t>
      </w:r>
      <w:r w:rsidR="0045296E">
        <w:rPr>
          <w:lang w:eastAsia="en-AU"/>
        </w:rPr>
        <w:t>s</w:t>
      </w:r>
      <w:r w:rsidR="0045296E" w:rsidRPr="007B09AD">
        <w:rPr>
          <w:lang w:eastAsia="en-AU"/>
        </w:rPr>
        <w:t>lotting</w:t>
      </w:r>
      <w:r w:rsidR="009848C3">
        <w:rPr>
          <w:lang w:eastAsia="en-AU"/>
        </w:rPr>
        <w:t>,</w:t>
      </w:r>
      <w:r w:rsidR="007B09AD" w:rsidRPr="007B09AD">
        <w:rPr>
          <w:lang w:eastAsia="en-AU"/>
        </w:rPr>
        <w:t xml:space="preserve"> would be assigned to one of </w:t>
      </w:r>
      <w:r w:rsidR="00D03F52">
        <w:rPr>
          <w:lang w:eastAsia="en-AU"/>
        </w:rPr>
        <w:t xml:space="preserve">these </w:t>
      </w:r>
      <w:r w:rsidR="007B09AD" w:rsidRPr="007B09AD">
        <w:rPr>
          <w:lang w:eastAsia="en-AU"/>
        </w:rPr>
        <w:t xml:space="preserve">two </w:t>
      </w:r>
      <w:r w:rsidR="009848C3">
        <w:rPr>
          <w:lang w:eastAsia="en-AU"/>
        </w:rPr>
        <w:t xml:space="preserve">commercial property </w:t>
      </w:r>
      <w:r w:rsidR="007B09AD" w:rsidRPr="007B09AD">
        <w:rPr>
          <w:lang w:eastAsia="en-AU"/>
        </w:rPr>
        <w:t>asset classes</w:t>
      </w:r>
      <w:r w:rsidR="009D1FD0">
        <w:rPr>
          <w:lang w:eastAsia="en-AU"/>
        </w:rPr>
        <w:t xml:space="preserve"> which would use an IRB risk</w:t>
      </w:r>
      <w:r w:rsidR="00B27C49">
        <w:rPr>
          <w:lang w:eastAsia="en-AU"/>
        </w:rPr>
        <w:t>-</w:t>
      </w:r>
      <w:r w:rsidR="009D1FD0">
        <w:rPr>
          <w:lang w:eastAsia="en-AU"/>
        </w:rPr>
        <w:t>weight function to determine the regulatory capital requirement</w:t>
      </w:r>
      <w:r w:rsidR="007B09AD" w:rsidRPr="007B09AD">
        <w:rPr>
          <w:lang w:eastAsia="en-AU"/>
        </w:rPr>
        <w:t>.</w:t>
      </w:r>
      <w:r w:rsidR="0072070B">
        <w:rPr>
          <w:lang w:eastAsia="en-AU"/>
        </w:rPr>
        <w:t xml:space="preserve"> </w:t>
      </w:r>
      <w:r w:rsidR="007B09AD" w:rsidRPr="007B09AD">
        <w:rPr>
          <w:lang w:eastAsia="en-AU"/>
        </w:rPr>
        <w:t xml:space="preserve">This approach </w:t>
      </w:r>
      <w:r w:rsidR="004F5EAE">
        <w:rPr>
          <w:lang w:eastAsia="en-AU"/>
        </w:rPr>
        <w:t>is</w:t>
      </w:r>
      <w:r w:rsidR="0002518E">
        <w:rPr>
          <w:lang w:eastAsia="en-AU"/>
        </w:rPr>
        <w:t xml:space="preserve"> </w:t>
      </w:r>
      <w:r w:rsidR="00902D68">
        <w:rPr>
          <w:lang w:eastAsia="en-AU"/>
        </w:rPr>
        <w:t>consistent with</w:t>
      </w:r>
      <w:r w:rsidR="0072070B">
        <w:rPr>
          <w:lang w:eastAsia="en-AU"/>
        </w:rPr>
        <w:t xml:space="preserve"> </w:t>
      </w:r>
      <w:r w:rsidR="0002518E">
        <w:rPr>
          <w:lang w:eastAsia="en-AU"/>
        </w:rPr>
        <w:t xml:space="preserve">other </w:t>
      </w:r>
      <w:r w:rsidR="0072070B">
        <w:rPr>
          <w:lang w:eastAsia="en-AU"/>
        </w:rPr>
        <w:t xml:space="preserve">IRB </w:t>
      </w:r>
      <w:r w:rsidR="0002518E">
        <w:rPr>
          <w:lang w:eastAsia="en-AU"/>
        </w:rPr>
        <w:t xml:space="preserve">asset classes and </w:t>
      </w:r>
      <w:r w:rsidR="00B46C33">
        <w:rPr>
          <w:lang w:eastAsia="en-AU"/>
        </w:rPr>
        <w:t>is</w:t>
      </w:r>
      <w:r w:rsidR="0072070B">
        <w:rPr>
          <w:lang w:eastAsia="en-AU"/>
        </w:rPr>
        <w:t xml:space="preserve"> more</w:t>
      </w:r>
      <w:r w:rsidR="007B09AD" w:rsidRPr="007B09AD">
        <w:rPr>
          <w:lang w:eastAsia="en-AU"/>
        </w:rPr>
        <w:t xml:space="preserve"> risk</w:t>
      </w:r>
      <w:r w:rsidR="00DA58D7">
        <w:rPr>
          <w:lang w:eastAsia="en-AU"/>
        </w:rPr>
        <w:t>-</w:t>
      </w:r>
      <w:r w:rsidR="007B09AD" w:rsidRPr="007B09AD">
        <w:rPr>
          <w:lang w:eastAsia="en-AU"/>
        </w:rPr>
        <w:t xml:space="preserve">sensitive. </w:t>
      </w:r>
    </w:p>
    <w:p w14:paraId="762ADAC6" w14:textId="15662104" w:rsidR="007B09AD" w:rsidRDefault="00D47AF2" w:rsidP="007B09AD">
      <w:pPr>
        <w:pStyle w:val="APRANORMAL"/>
        <w:rPr>
          <w:lang w:eastAsia="en-AU"/>
        </w:rPr>
      </w:pPr>
      <w:r w:rsidRPr="00C40923">
        <w:rPr>
          <w:lang w:eastAsia="en-AU"/>
        </w:rPr>
        <w:t xml:space="preserve">Given </w:t>
      </w:r>
      <w:r w:rsidR="00F24997">
        <w:rPr>
          <w:lang w:eastAsia="en-AU"/>
        </w:rPr>
        <w:t xml:space="preserve">the potential </w:t>
      </w:r>
      <w:r w:rsidR="00BB421D">
        <w:rPr>
          <w:lang w:eastAsia="en-AU"/>
        </w:rPr>
        <w:t>level of</w:t>
      </w:r>
      <w:r w:rsidR="00F24997">
        <w:rPr>
          <w:lang w:eastAsia="en-AU"/>
        </w:rPr>
        <w:t xml:space="preserve"> losses from commercial property exposures as demonstrated by </w:t>
      </w:r>
      <w:r w:rsidRPr="00C40923">
        <w:rPr>
          <w:lang w:eastAsia="en-AU"/>
        </w:rPr>
        <w:t xml:space="preserve">ADIs’ historical </w:t>
      </w:r>
      <w:r w:rsidR="00F24997">
        <w:rPr>
          <w:lang w:eastAsia="en-AU"/>
        </w:rPr>
        <w:t>downturn</w:t>
      </w:r>
      <w:r w:rsidRPr="00C40923">
        <w:rPr>
          <w:lang w:eastAsia="en-AU"/>
        </w:rPr>
        <w:t xml:space="preserve"> loss experience, APRA does not consider that the</w:t>
      </w:r>
      <w:r w:rsidR="00FA3421">
        <w:rPr>
          <w:lang w:eastAsia="en-AU"/>
        </w:rPr>
        <w:t xml:space="preserve"> current</w:t>
      </w:r>
      <w:r w:rsidRPr="00C40923">
        <w:rPr>
          <w:lang w:eastAsia="en-AU"/>
        </w:rPr>
        <w:t xml:space="preserve"> IRB corporate risk</w:t>
      </w:r>
      <w:r w:rsidR="00B27C49">
        <w:rPr>
          <w:lang w:eastAsia="en-AU"/>
        </w:rPr>
        <w:t>-</w:t>
      </w:r>
      <w:r w:rsidRPr="00C40923">
        <w:rPr>
          <w:lang w:eastAsia="en-AU"/>
        </w:rPr>
        <w:t xml:space="preserve">weight function </w:t>
      </w:r>
      <w:r w:rsidR="00BA4420">
        <w:rPr>
          <w:lang w:eastAsia="en-AU"/>
        </w:rPr>
        <w:t xml:space="preserve">in APS 113 </w:t>
      </w:r>
      <w:r w:rsidR="00450DE9" w:rsidRPr="00C40923">
        <w:rPr>
          <w:lang w:eastAsia="en-AU"/>
        </w:rPr>
        <w:t>result</w:t>
      </w:r>
      <w:r w:rsidR="000C7BA6" w:rsidRPr="000A7D8A">
        <w:rPr>
          <w:lang w:eastAsia="en-AU"/>
        </w:rPr>
        <w:t>s</w:t>
      </w:r>
      <w:r w:rsidR="00450DE9" w:rsidRPr="00C40923">
        <w:rPr>
          <w:lang w:eastAsia="en-AU"/>
        </w:rPr>
        <w:t xml:space="preserve"> in an</w:t>
      </w:r>
      <w:r w:rsidRPr="00C40923">
        <w:rPr>
          <w:lang w:eastAsia="en-AU"/>
        </w:rPr>
        <w:t xml:space="preserve"> appropriate </w:t>
      </w:r>
      <w:r w:rsidR="00450DE9" w:rsidRPr="00C40923">
        <w:rPr>
          <w:lang w:eastAsia="en-AU"/>
        </w:rPr>
        <w:t>amount of regulatory capital</w:t>
      </w:r>
      <w:r w:rsidRPr="00C40923">
        <w:rPr>
          <w:lang w:eastAsia="en-AU"/>
        </w:rPr>
        <w:t>.</w:t>
      </w:r>
      <w:r w:rsidR="00450DE9" w:rsidRPr="00887F33">
        <w:rPr>
          <w:lang w:eastAsia="en-AU"/>
        </w:rPr>
        <w:t xml:space="preserve"> </w:t>
      </w:r>
      <w:r w:rsidR="00444D69" w:rsidRPr="000A7D8A">
        <w:rPr>
          <w:lang w:eastAsia="en-AU"/>
        </w:rPr>
        <w:t>Instead</w:t>
      </w:r>
      <w:r w:rsidR="00450DE9" w:rsidRPr="00C40923">
        <w:rPr>
          <w:lang w:eastAsia="en-AU"/>
        </w:rPr>
        <w:t>, APRA propos</w:t>
      </w:r>
      <w:r w:rsidR="00F73663">
        <w:rPr>
          <w:lang w:eastAsia="en-AU"/>
        </w:rPr>
        <w:t>es</w:t>
      </w:r>
      <w:r w:rsidR="00450DE9" w:rsidRPr="00C40923">
        <w:rPr>
          <w:lang w:eastAsia="en-AU"/>
        </w:rPr>
        <w:t xml:space="preserve"> new risk</w:t>
      </w:r>
      <w:r w:rsidR="00B27C49">
        <w:rPr>
          <w:lang w:eastAsia="en-AU"/>
        </w:rPr>
        <w:t>-</w:t>
      </w:r>
      <w:r w:rsidR="00450DE9" w:rsidRPr="00C40923">
        <w:rPr>
          <w:lang w:eastAsia="en-AU"/>
        </w:rPr>
        <w:t>weight functions</w:t>
      </w:r>
      <w:r w:rsidR="00444D69" w:rsidRPr="000A7D8A">
        <w:rPr>
          <w:lang w:eastAsia="en-AU"/>
        </w:rPr>
        <w:t xml:space="preserve"> that are better aligned with the underlying risks</w:t>
      </w:r>
      <w:r w:rsidR="00BF21FC" w:rsidRPr="000A7D8A">
        <w:rPr>
          <w:lang w:eastAsia="en-AU"/>
        </w:rPr>
        <w:t xml:space="preserve">. </w:t>
      </w:r>
      <w:r w:rsidR="00B94694" w:rsidRPr="000A7D8A">
        <w:rPr>
          <w:lang w:eastAsia="en-AU"/>
        </w:rPr>
        <w:t xml:space="preserve">APRA </w:t>
      </w:r>
      <w:r w:rsidR="00F73663">
        <w:rPr>
          <w:lang w:eastAsia="en-AU"/>
        </w:rPr>
        <w:t>also</w:t>
      </w:r>
      <w:r w:rsidR="00F73663" w:rsidRPr="000A7D8A">
        <w:rPr>
          <w:lang w:eastAsia="en-AU"/>
        </w:rPr>
        <w:t xml:space="preserve"> </w:t>
      </w:r>
      <w:r w:rsidR="00444D69" w:rsidRPr="000A7D8A">
        <w:rPr>
          <w:lang w:eastAsia="en-AU"/>
        </w:rPr>
        <w:t>propos</w:t>
      </w:r>
      <w:r w:rsidR="00F73663">
        <w:rPr>
          <w:lang w:eastAsia="en-AU"/>
        </w:rPr>
        <w:t>es</w:t>
      </w:r>
      <w:r w:rsidR="00444D69" w:rsidRPr="000A7D8A">
        <w:rPr>
          <w:lang w:eastAsia="en-AU"/>
        </w:rPr>
        <w:t xml:space="preserve"> </w:t>
      </w:r>
      <w:r w:rsidR="00A952D3">
        <w:rPr>
          <w:lang w:eastAsia="en-AU"/>
        </w:rPr>
        <w:t xml:space="preserve">a </w:t>
      </w:r>
      <w:r w:rsidR="00444D69" w:rsidRPr="000A7D8A">
        <w:rPr>
          <w:lang w:eastAsia="en-AU"/>
        </w:rPr>
        <w:t>separate</w:t>
      </w:r>
      <w:r w:rsidR="00A952D3">
        <w:rPr>
          <w:lang w:eastAsia="en-AU"/>
        </w:rPr>
        <w:t xml:space="preserve"> risk</w:t>
      </w:r>
      <w:r w:rsidR="00B27C49">
        <w:rPr>
          <w:lang w:eastAsia="en-AU"/>
        </w:rPr>
        <w:t>-</w:t>
      </w:r>
      <w:r w:rsidR="00A952D3">
        <w:rPr>
          <w:lang w:eastAsia="en-AU"/>
        </w:rPr>
        <w:t>weight</w:t>
      </w:r>
      <w:r w:rsidR="00444D69" w:rsidRPr="000A7D8A">
        <w:rPr>
          <w:lang w:eastAsia="en-AU"/>
        </w:rPr>
        <w:t xml:space="preserve"> function for</w:t>
      </w:r>
      <w:r w:rsidR="00B94694" w:rsidRPr="000A7D8A">
        <w:rPr>
          <w:lang w:eastAsia="en-AU"/>
        </w:rPr>
        <w:t xml:space="preserve"> </w:t>
      </w:r>
      <w:r w:rsidR="001D1347">
        <w:rPr>
          <w:lang w:eastAsia="en-AU"/>
        </w:rPr>
        <w:t>land acquisition, development and construction</w:t>
      </w:r>
      <w:r w:rsidR="001D1347" w:rsidRPr="000A7D8A">
        <w:rPr>
          <w:lang w:eastAsia="en-AU"/>
        </w:rPr>
        <w:t xml:space="preserve"> </w:t>
      </w:r>
      <w:r w:rsidR="00B94694" w:rsidRPr="000A7D8A">
        <w:rPr>
          <w:lang w:eastAsia="en-AU"/>
        </w:rPr>
        <w:t xml:space="preserve">exposures, </w:t>
      </w:r>
      <w:r w:rsidR="00FA3421">
        <w:rPr>
          <w:lang w:eastAsia="en-AU"/>
        </w:rPr>
        <w:t xml:space="preserve">reflecting the </w:t>
      </w:r>
      <w:r w:rsidR="00BB421D">
        <w:rPr>
          <w:lang w:eastAsia="en-AU"/>
        </w:rPr>
        <w:t xml:space="preserve">higher potential for downturn losses </w:t>
      </w:r>
      <w:r w:rsidR="00B94694" w:rsidRPr="000A7D8A">
        <w:rPr>
          <w:lang w:eastAsia="en-AU"/>
        </w:rPr>
        <w:t>fr</w:t>
      </w:r>
      <w:r w:rsidR="00BB421D">
        <w:rPr>
          <w:lang w:eastAsia="en-AU"/>
        </w:rPr>
        <w:t>om</w:t>
      </w:r>
      <w:r w:rsidR="00B94694" w:rsidRPr="000A7D8A">
        <w:rPr>
          <w:lang w:eastAsia="en-AU"/>
        </w:rPr>
        <w:t xml:space="preserve"> </w:t>
      </w:r>
      <w:r w:rsidR="00A952D3">
        <w:rPr>
          <w:lang w:eastAsia="en-AU"/>
        </w:rPr>
        <w:t xml:space="preserve">these </w:t>
      </w:r>
      <w:r w:rsidR="00B94694" w:rsidRPr="000A7D8A">
        <w:rPr>
          <w:lang w:eastAsia="en-AU"/>
        </w:rPr>
        <w:t xml:space="preserve">exposures. </w:t>
      </w:r>
      <w:r w:rsidR="00BA3EDD">
        <w:rPr>
          <w:lang w:eastAsia="en-AU"/>
        </w:rPr>
        <w:t>Proposed</w:t>
      </w:r>
      <w:r w:rsidR="00BF21FC" w:rsidRPr="000A7D8A">
        <w:rPr>
          <w:lang w:eastAsia="en-AU"/>
        </w:rPr>
        <w:t xml:space="preserve"> correlation </w:t>
      </w:r>
      <w:r w:rsidR="000B3EEF" w:rsidRPr="000A7D8A">
        <w:rPr>
          <w:lang w:eastAsia="en-AU"/>
        </w:rPr>
        <w:t xml:space="preserve">formulae are </w:t>
      </w:r>
      <w:r w:rsidR="00080A04">
        <w:rPr>
          <w:lang w:eastAsia="en-AU"/>
        </w:rPr>
        <w:t>set out</w:t>
      </w:r>
      <w:r w:rsidR="00080A04" w:rsidRPr="000A7D8A">
        <w:rPr>
          <w:lang w:eastAsia="en-AU"/>
        </w:rPr>
        <w:t xml:space="preserve"> </w:t>
      </w:r>
      <w:r w:rsidR="000B3EEF" w:rsidRPr="000A7D8A">
        <w:rPr>
          <w:lang w:eastAsia="en-AU"/>
        </w:rPr>
        <w:t xml:space="preserve">in </w:t>
      </w:r>
      <w:r w:rsidR="00524BC4">
        <w:rPr>
          <w:lang w:eastAsia="en-AU"/>
        </w:rPr>
        <w:fldChar w:fldCharType="begin"/>
      </w:r>
      <w:r w:rsidR="00524BC4">
        <w:rPr>
          <w:lang w:eastAsia="en-AU"/>
        </w:rPr>
        <w:instrText xml:space="preserve"> REF _Ref502740853 \n \h </w:instrText>
      </w:r>
      <w:r w:rsidR="00524BC4">
        <w:rPr>
          <w:lang w:eastAsia="en-AU"/>
        </w:rPr>
      </w:r>
      <w:r w:rsidR="00524BC4">
        <w:rPr>
          <w:lang w:eastAsia="en-AU"/>
        </w:rPr>
        <w:fldChar w:fldCharType="separate"/>
      </w:r>
      <w:r w:rsidR="00EB1F7A">
        <w:rPr>
          <w:lang w:eastAsia="en-AU"/>
        </w:rPr>
        <w:t>Table 11</w:t>
      </w:r>
      <w:r w:rsidR="00524BC4">
        <w:rPr>
          <w:lang w:eastAsia="en-AU"/>
        </w:rPr>
        <w:fldChar w:fldCharType="end"/>
      </w:r>
      <w:r w:rsidR="000B3EEF" w:rsidRPr="000A7D8A">
        <w:rPr>
          <w:lang w:eastAsia="en-AU"/>
        </w:rPr>
        <w:t>.</w:t>
      </w:r>
    </w:p>
    <w:p w14:paraId="66B4E7C4" w14:textId="658EBC96" w:rsidR="00340867" w:rsidRPr="000A7D8A" w:rsidRDefault="00340867" w:rsidP="00441787">
      <w:pPr>
        <w:pStyle w:val="APRATABLE-NUMBER"/>
      </w:pPr>
      <w:bookmarkStart w:id="243" w:name="_Ref502740853"/>
      <w:r w:rsidRPr="000F02E6">
        <w:t xml:space="preserve">Indicative </w:t>
      </w:r>
      <w:r>
        <w:t>correlation formulae for commercial property</w:t>
      </w:r>
      <w:bookmarkEnd w:id="24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4535"/>
      </w:tblGrid>
      <w:tr w:rsidR="000044EC" w:rsidRPr="00665689" w14:paraId="7A7EA6A9" w14:textId="77777777" w:rsidTr="00CC0216">
        <w:tc>
          <w:tcPr>
            <w:tcW w:w="2268" w:type="dxa"/>
            <w:shd w:val="clear" w:color="auto" w:fill="002060"/>
          </w:tcPr>
          <w:p w14:paraId="16BF12A9" w14:textId="4CC391B2" w:rsidR="000044EC" w:rsidRPr="00665689" w:rsidRDefault="001D1347" w:rsidP="0069032D">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Land acquisition, development and construction</w:t>
            </w:r>
          </w:p>
        </w:tc>
        <w:tc>
          <w:tcPr>
            <w:tcW w:w="4535" w:type="dxa"/>
            <w:shd w:val="clear" w:color="auto" w:fill="F2F2F2" w:themeFill="background1" w:themeFillShade="F2"/>
            <w:vAlign w:val="center"/>
          </w:tcPr>
          <w:p w14:paraId="3B3BA6E6" w14:textId="77777777" w:rsidR="000044EC" w:rsidRPr="00665689" w:rsidRDefault="000009FC" w:rsidP="0069032D">
            <w:pPr>
              <w:pStyle w:val="APRANORMAL"/>
              <w:keepNext/>
              <w:keepLines/>
              <w:spacing w:before="120" w:after="120"/>
              <w:jc w:val="center"/>
              <w:rPr>
                <w:sz w:val="20"/>
                <w:szCs w:val="20"/>
                <w:lang w:val="en-AU"/>
              </w:rPr>
            </w:pPr>
            <m:oMathPara>
              <m:oMath>
                <m:r>
                  <w:rPr>
                    <w:rFonts w:ascii="Cambria Math" w:hAnsi="Cambria Math"/>
                    <w:sz w:val="20"/>
                    <w:szCs w:val="20"/>
                  </w:rPr>
                  <m:t>0.28∙</m:t>
                </m:r>
                <m:f>
                  <m:fPr>
                    <m:ctrlPr>
                      <w:rPr>
                        <w:rFonts w:ascii="Cambria Math" w:hAnsi="Cambria Math"/>
                        <w:i/>
                        <w:sz w:val="20"/>
                        <w:szCs w:val="20"/>
                      </w:rPr>
                    </m:ctrlPr>
                  </m:fPr>
                  <m:num>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 PD</m:t>
                        </m:r>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m:t>
                        </m:r>
                      </m:sup>
                    </m:sSup>
                  </m:den>
                </m:f>
                <m:r>
                  <w:rPr>
                    <w:rFonts w:ascii="Cambria Math" w:hAnsi="Cambria Math"/>
                    <w:sz w:val="20"/>
                    <w:szCs w:val="20"/>
                  </w:rPr>
                  <m:t>+0.35∙</m:t>
                </m:r>
                <m:f>
                  <m:fPr>
                    <m:ctrlPr>
                      <w:rPr>
                        <w:rFonts w:ascii="Cambria Math" w:hAnsi="Cambria Math"/>
                        <w:i/>
                        <w:sz w:val="20"/>
                        <w:szCs w:val="20"/>
                      </w:rPr>
                    </m:ctrlPr>
                  </m:fPr>
                  <m:num>
                    <m:r>
                      <w:rPr>
                        <w:rFonts w:ascii="Cambria Math" w:hAnsi="Cambria Math"/>
                        <w:sz w:val="20"/>
                        <w:szCs w:val="20"/>
                      </w:rPr>
                      <m:t>1-(1-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 PD</m:t>
                        </m:r>
                      </m:sup>
                    </m:sSup>
                    <m:r>
                      <w:rPr>
                        <w:rFonts w:ascii="Cambria Math" w:hAnsi="Cambria Math"/>
                        <w:sz w:val="20"/>
                        <w:szCs w:val="20"/>
                      </w:rPr>
                      <m:t>)</m:t>
                    </m:r>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m:t>
                        </m:r>
                      </m:sup>
                    </m:sSup>
                  </m:den>
                </m:f>
              </m:oMath>
            </m:oMathPara>
          </w:p>
        </w:tc>
      </w:tr>
      <w:tr w:rsidR="00573B45" w:rsidRPr="00665689" w14:paraId="3A6795DD" w14:textId="77777777" w:rsidTr="00CC0216">
        <w:tc>
          <w:tcPr>
            <w:tcW w:w="2268" w:type="dxa"/>
            <w:shd w:val="clear" w:color="auto" w:fill="002060"/>
          </w:tcPr>
          <w:p w14:paraId="29D010C9" w14:textId="6463D479" w:rsidR="00573B45" w:rsidRPr="00665689" w:rsidRDefault="000044EC" w:rsidP="0069032D">
            <w:pPr>
              <w:pStyle w:val="APRANORMAL"/>
              <w:keepNext/>
              <w:keepLines/>
              <w:spacing w:before="120" w:after="120"/>
              <w:rPr>
                <w:rFonts w:ascii="DIN OT Medium" w:hAnsi="DIN OT Medium"/>
                <w:sz w:val="20"/>
                <w:szCs w:val="20"/>
                <w:lang w:val="en-AU"/>
              </w:rPr>
            </w:pPr>
            <w:r>
              <w:rPr>
                <w:rFonts w:ascii="DIN OT Medium" w:hAnsi="DIN OT Medium"/>
                <w:sz w:val="20"/>
                <w:szCs w:val="20"/>
                <w:lang w:val="en-AU"/>
              </w:rPr>
              <w:t>Other</w:t>
            </w:r>
            <w:r w:rsidR="00754E10">
              <w:rPr>
                <w:rFonts w:ascii="DIN OT Medium" w:hAnsi="DIN OT Medium"/>
                <w:sz w:val="20"/>
                <w:szCs w:val="20"/>
                <w:lang w:val="en-AU"/>
              </w:rPr>
              <w:t xml:space="preserve"> commercial property</w:t>
            </w:r>
          </w:p>
        </w:tc>
        <w:tc>
          <w:tcPr>
            <w:tcW w:w="4535" w:type="dxa"/>
            <w:shd w:val="clear" w:color="auto" w:fill="F2F2F2" w:themeFill="background1" w:themeFillShade="F2"/>
          </w:tcPr>
          <w:p w14:paraId="2E20C663" w14:textId="330CC70A" w:rsidR="00573B45" w:rsidRPr="00665689" w:rsidRDefault="001D15BF" w:rsidP="0069032D">
            <w:pPr>
              <w:pStyle w:val="APRANORMAL"/>
              <w:keepNext/>
              <w:keepLines/>
              <w:spacing w:before="120" w:after="120"/>
              <w:jc w:val="center"/>
              <w:rPr>
                <w:sz w:val="20"/>
                <w:szCs w:val="20"/>
                <w:lang w:val="en-AU"/>
              </w:rPr>
            </w:pPr>
            <m:oMathPara>
              <m:oMath>
                <m:r>
                  <w:rPr>
                    <w:rFonts w:ascii="Cambria Math" w:hAnsi="Cambria Math"/>
                    <w:sz w:val="20"/>
                    <w:szCs w:val="20"/>
                  </w:rPr>
                  <m:t>0.23∙</m:t>
                </m:r>
                <m:f>
                  <m:fPr>
                    <m:ctrlPr>
                      <w:rPr>
                        <w:rFonts w:ascii="Cambria Math" w:hAnsi="Cambria Math"/>
                        <w:i/>
                        <w:sz w:val="20"/>
                        <w:szCs w:val="20"/>
                      </w:rPr>
                    </m:ctrlPr>
                  </m:fPr>
                  <m:num>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 PD</m:t>
                        </m:r>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m:t>
                        </m:r>
                      </m:sup>
                    </m:sSup>
                  </m:den>
                </m:f>
                <m:r>
                  <w:rPr>
                    <w:rFonts w:ascii="Cambria Math" w:hAnsi="Cambria Math"/>
                    <w:sz w:val="20"/>
                    <w:szCs w:val="20"/>
                  </w:rPr>
                  <m:t>+0.3∙</m:t>
                </m:r>
                <m:f>
                  <m:fPr>
                    <m:ctrlPr>
                      <w:rPr>
                        <w:rFonts w:ascii="Cambria Math" w:hAnsi="Cambria Math"/>
                        <w:i/>
                        <w:sz w:val="20"/>
                        <w:szCs w:val="20"/>
                      </w:rPr>
                    </m:ctrlPr>
                  </m:fPr>
                  <m:num>
                    <m:r>
                      <w:rPr>
                        <w:rFonts w:ascii="Cambria Math" w:hAnsi="Cambria Math"/>
                        <w:sz w:val="20"/>
                        <w:szCs w:val="20"/>
                      </w:rPr>
                      <m:t>1-(1-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 PD</m:t>
                        </m:r>
                      </m:sup>
                    </m:sSup>
                    <m:r>
                      <w:rPr>
                        <w:rFonts w:ascii="Cambria Math" w:hAnsi="Cambria Math"/>
                        <w:sz w:val="20"/>
                        <w:szCs w:val="20"/>
                      </w:rPr>
                      <m:t>)</m:t>
                    </m:r>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-50</m:t>
                        </m:r>
                      </m:sup>
                    </m:sSup>
                  </m:den>
                </m:f>
              </m:oMath>
            </m:oMathPara>
          </w:p>
        </w:tc>
      </w:tr>
    </w:tbl>
    <w:p w14:paraId="5A8B8DA3" w14:textId="77777777" w:rsidR="00440597" w:rsidRDefault="00440597" w:rsidP="00AE3C3F">
      <w:pPr>
        <w:pStyle w:val="APRANORMAL"/>
        <w:widowControl w:val="0"/>
      </w:pPr>
    </w:p>
    <w:p w14:paraId="3BB262D6" w14:textId="31263997" w:rsidR="00A61CB4" w:rsidRDefault="00A84D0C" w:rsidP="00AE3C3F">
      <w:pPr>
        <w:pStyle w:val="APRANORMAL"/>
        <w:widowControl w:val="0"/>
      </w:pPr>
      <w:r>
        <w:t>Similar to</w:t>
      </w:r>
      <w:r w:rsidR="00285A11">
        <w:t xml:space="preserve"> the approach anticipated for</w:t>
      </w:r>
      <w:r>
        <w:t xml:space="preserve"> residential mortgages, </w:t>
      </w:r>
      <w:r w:rsidR="00804B75">
        <w:t xml:space="preserve">when </w:t>
      </w:r>
      <w:r w:rsidR="00C53DEA">
        <w:t xml:space="preserve">determining </w:t>
      </w:r>
      <w:r w:rsidR="00804B75">
        <w:t xml:space="preserve">final calibration </w:t>
      </w:r>
      <w:r>
        <w:t>APRA may consider</w:t>
      </w:r>
      <w:r w:rsidR="007825A0">
        <w:t xml:space="preserve"> an overlay to the RWA outcome specifically for commercial property. This will depend on the results of the </w:t>
      </w:r>
      <w:r w:rsidR="00AA5FBB">
        <w:t>QIS</w:t>
      </w:r>
      <w:r w:rsidR="007825A0">
        <w:t>.</w:t>
      </w:r>
      <w:r w:rsidR="00602634">
        <w:t xml:space="preserve"> APRA is not anticipating a material decline in RWA for the </w:t>
      </w:r>
      <w:r w:rsidR="00415879">
        <w:t xml:space="preserve">commercial property </w:t>
      </w:r>
      <w:r w:rsidR="00602634">
        <w:t>portfolio.</w:t>
      </w:r>
    </w:p>
    <w:p w14:paraId="6B29AF6F" w14:textId="6CE8D171" w:rsidR="004775E8" w:rsidRDefault="004775E8" w:rsidP="003E1593">
      <w:pPr>
        <w:pStyle w:val="APRAHEADING2"/>
      </w:pPr>
      <w:bookmarkStart w:id="244" w:name="_Toc499128958"/>
      <w:bookmarkStart w:id="245" w:name="_Toc499306721"/>
      <w:bookmarkStart w:id="246" w:name="_Toc500151952"/>
      <w:bookmarkStart w:id="247" w:name="_Toc505676421"/>
      <w:bookmarkStart w:id="248" w:name="_Toc505676513"/>
      <w:bookmarkStart w:id="249" w:name="_Toc505681585"/>
      <w:bookmarkStart w:id="250" w:name="_Toc505681767"/>
      <w:bookmarkStart w:id="251" w:name="_Toc505854711"/>
      <w:bookmarkStart w:id="252" w:name="_Toc506285811"/>
      <w:bookmarkEnd w:id="244"/>
      <w:bookmarkEnd w:id="245"/>
      <w:r>
        <w:lastRenderedPageBreak/>
        <w:t>Small</w:t>
      </w:r>
      <w:r w:rsidR="007A0970">
        <w:t>-</w:t>
      </w:r>
      <w:r w:rsidR="00942B47">
        <w:t xml:space="preserve"> and </w:t>
      </w:r>
      <w:r>
        <w:t>medium</w:t>
      </w:r>
      <w:r w:rsidR="007A0970">
        <w:t>-</w:t>
      </w:r>
      <w:r>
        <w:t>size</w:t>
      </w:r>
      <w:r w:rsidR="00003769">
        <w:t xml:space="preserve">d </w:t>
      </w:r>
      <w:bookmarkEnd w:id="246"/>
      <w:r w:rsidR="005D580E">
        <w:t>enterprise exposures</w:t>
      </w:r>
      <w:bookmarkEnd w:id="247"/>
      <w:bookmarkEnd w:id="248"/>
      <w:bookmarkEnd w:id="249"/>
      <w:bookmarkEnd w:id="250"/>
      <w:bookmarkEnd w:id="251"/>
      <w:bookmarkEnd w:id="252"/>
    </w:p>
    <w:p w14:paraId="2E7768BD" w14:textId="77777777" w:rsidR="00497ABF" w:rsidRDefault="00497ABF" w:rsidP="00497ABF">
      <w:pPr>
        <w:pStyle w:val="APRAHEADING3"/>
      </w:pPr>
      <w:r>
        <w:t>Current approach</w:t>
      </w:r>
    </w:p>
    <w:p w14:paraId="1D8F664C" w14:textId="4DB34020" w:rsidR="005519C2" w:rsidRDefault="000D5A00" w:rsidP="004775E8">
      <w:pPr>
        <w:pStyle w:val="APRANORMAL"/>
      </w:pPr>
      <w:r>
        <w:t>U</w:t>
      </w:r>
      <w:r w:rsidR="00524BC4">
        <w:t>nder Basel </w:t>
      </w:r>
      <w:r w:rsidR="0037018F">
        <w:t xml:space="preserve">II, </w:t>
      </w:r>
      <w:r w:rsidR="002D0380">
        <w:t xml:space="preserve">SME exposures </w:t>
      </w:r>
      <w:r w:rsidR="00DA58D7">
        <w:t>under</w:t>
      </w:r>
      <w:r w:rsidR="002D0380">
        <w:t xml:space="preserve"> €1m that are originated and managed in a manner consistent with other retail exposures </w:t>
      </w:r>
      <w:r w:rsidR="00071FDA">
        <w:t>may be classified</w:t>
      </w:r>
      <w:r w:rsidR="003E3C5A">
        <w:t xml:space="preserve"> </w:t>
      </w:r>
      <w:r w:rsidR="00071FDA">
        <w:t>as</w:t>
      </w:r>
      <w:r w:rsidR="002D0380">
        <w:t xml:space="preserve"> </w:t>
      </w:r>
      <w:r w:rsidR="00DD59D4">
        <w:t>‘</w:t>
      </w:r>
      <w:r w:rsidR="002D0380">
        <w:t>SME retail</w:t>
      </w:r>
      <w:r w:rsidR="00DD59D4">
        <w:t>’</w:t>
      </w:r>
      <w:r w:rsidR="002D0380">
        <w:t xml:space="preserve">. </w:t>
      </w:r>
      <w:r w:rsidR="00B46C33">
        <w:t>RWA</w:t>
      </w:r>
      <w:r w:rsidR="002D0380">
        <w:t xml:space="preserve"> calculations for SME retail use either the</w:t>
      </w:r>
      <w:r w:rsidR="00DD59D4">
        <w:t xml:space="preserve"> </w:t>
      </w:r>
      <w:r w:rsidR="00761F3C">
        <w:t>’</w:t>
      </w:r>
      <w:r w:rsidR="002D0380">
        <w:t>other retail</w:t>
      </w:r>
      <w:r w:rsidR="00761F3C">
        <w:t>’</w:t>
      </w:r>
      <w:r w:rsidR="002D0380">
        <w:t xml:space="preserve"> or residential mortgage </w:t>
      </w:r>
      <w:r w:rsidR="00415879">
        <w:t>risk</w:t>
      </w:r>
      <w:r w:rsidR="00B27C49">
        <w:t>-</w:t>
      </w:r>
      <w:r w:rsidR="00415879">
        <w:t>weight functions</w:t>
      </w:r>
      <w:r w:rsidR="002D0380">
        <w:t xml:space="preserve"> depending on whether the exposure has residential </w:t>
      </w:r>
      <w:r w:rsidR="007F3EDE">
        <w:t>property</w:t>
      </w:r>
      <w:r w:rsidR="002D0380">
        <w:t xml:space="preserve"> </w:t>
      </w:r>
      <w:r w:rsidR="00DD59D4">
        <w:t xml:space="preserve">as </w:t>
      </w:r>
      <w:r w:rsidR="002D0380">
        <w:t>collateral.</w:t>
      </w:r>
      <w:r w:rsidRPr="000D5A00">
        <w:rPr>
          <w:lang w:eastAsia="en-AU"/>
        </w:rPr>
        <w:t xml:space="preserve"> </w:t>
      </w:r>
      <w:r w:rsidR="00D37624">
        <w:rPr>
          <w:lang w:eastAsia="en-AU"/>
        </w:rPr>
        <w:t>APRA implemented this approach</w:t>
      </w:r>
      <w:r w:rsidR="006A3699">
        <w:rPr>
          <w:lang w:eastAsia="en-AU"/>
        </w:rPr>
        <w:t xml:space="preserve">, using a $1m limit. </w:t>
      </w:r>
      <w:r w:rsidR="001D3BC7">
        <w:rPr>
          <w:lang w:eastAsia="en-AU"/>
        </w:rPr>
        <w:t>Basel III has not materially changed t</w:t>
      </w:r>
      <w:r>
        <w:rPr>
          <w:lang w:eastAsia="en-AU"/>
        </w:rPr>
        <w:t xml:space="preserve">he </w:t>
      </w:r>
      <w:r w:rsidR="001D3BC7">
        <w:rPr>
          <w:lang w:eastAsia="en-AU"/>
        </w:rPr>
        <w:t xml:space="preserve">treatment of </w:t>
      </w:r>
      <w:r w:rsidR="00F30C6C">
        <w:rPr>
          <w:lang w:eastAsia="en-AU"/>
        </w:rPr>
        <w:t xml:space="preserve">SME </w:t>
      </w:r>
      <w:r w:rsidR="004A292E">
        <w:rPr>
          <w:lang w:eastAsia="en-AU"/>
        </w:rPr>
        <w:t>exposures</w:t>
      </w:r>
      <w:r>
        <w:rPr>
          <w:lang w:eastAsia="en-AU"/>
        </w:rPr>
        <w:t>.</w:t>
      </w:r>
    </w:p>
    <w:p w14:paraId="50978974" w14:textId="45A84028" w:rsidR="001E5DA9" w:rsidRDefault="00D2227C" w:rsidP="005118F9">
      <w:pPr>
        <w:pStyle w:val="APRAHEADING3"/>
      </w:pPr>
      <w:r>
        <w:t>APRA’s p</w:t>
      </w:r>
      <w:r w:rsidR="001E5DA9">
        <w:t>ropos</w:t>
      </w:r>
      <w:r>
        <w:t>als</w:t>
      </w:r>
    </w:p>
    <w:p w14:paraId="40A1C8FE" w14:textId="3E8EE095" w:rsidR="00F27F6E" w:rsidRDefault="0031083C" w:rsidP="00F27F6E">
      <w:pPr>
        <w:pStyle w:val="APRANORMAL"/>
        <w:keepNext/>
        <w:rPr>
          <w:lang w:eastAsia="en-AU"/>
        </w:rPr>
      </w:pPr>
      <w:r>
        <w:rPr>
          <w:lang w:eastAsia="en-AU"/>
        </w:rPr>
        <w:t>U</w:t>
      </w:r>
      <w:r w:rsidR="00F27F6E">
        <w:rPr>
          <w:lang w:eastAsia="en-AU"/>
        </w:rPr>
        <w:t>nder the current treatment of SME lending under the IRB approach</w:t>
      </w:r>
      <w:r>
        <w:rPr>
          <w:lang w:eastAsia="en-AU"/>
        </w:rPr>
        <w:t>, APRA is concerned that</w:t>
      </w:r>
      <w:r w:rsidR="00F27F6E">
        <w:rPr>
          <w:lang w:eastAsia="en-AU"/>
        </w:rPr>
        <w:t>:</w:t>
      </w:r>
    </w:p>
    <w:p w14:paraId="19A89842" w14:textId="5739667C" w:rsidR="00F27F6E" w:rsidRDefault="00F27F6E" w:rsidP="00F27F6E">
      <w:pPr>
        <w:pStyle w:val="APRABULLET"/>
        <w:rPr>
          <w:lang w:eastAsia="en-AU"/>
        </w:rPr>
      </w:pPr>
      <w:r>
        <w:rPr>
          <w:lang w:eastAsia="en-AU"/>
        </w:rPr>
        <w:t xml:space="preserve">differences in risk characteristics and empirical default/loss outcomes </w:t>
      </w:r>
      <w:r w:rsidR="00A669A5">
        <w:rPr>
          <w:lang w:eastAsia="en-AU"/>
        </w:rPr>
        <w:t xml:space="preserve">through the </w:t>
      </w:r>
      <w:r w:rsidR="0031083C">
        <w:rPr>
          <w:lang w:eastAsia="en-AU"/>
        </w:rPr>
        <w:t xml:space="preserve">economic </w:t>
      </w:r>
      <w:r w:rsidR="00A669A5">
        <w:rPr>
          <w:lang w:eastAsia="en-AU"/>
        </w:rPr>
        <w:t xml:space="preserve">cycle </w:t>
      </w:r>
      <w:r>
        <w:rPr>
          <w:lang w:eastAsia="en-AU"/>
        </w:rPr>
        <w:t>across SME retail and corporate exposures are not commensurate with a significant difference in regulatory capital requirements; and</w:t>
      </w:r>
    </w:p>
    <w:p w14:paraId="73E5E999" w14:textId="188B363A" w:rsidR="00F27F6E" w:rsidRDefault="00F27F6E" w:rsidP="00F27F6E">
      <w:pPr>
        <w:pStyle w:val="APRABULLET"/>
        <w:rPr>
          <w:lang w:eastAsia="en-AU"/>
        </w:rPr>
      </w:pPr>
      <w:r>
        <w:rPr>
          <w:lang w:eastAsia="en-AU"/>
        </w:rPr>
        <w:t xml:space="preserve">there is some misalignment </w:t>
      </w:r>
      <w:r w:rsidR="00322554">
        <w:rPr>
          <w:lang w:eastAsia="en-AU"/>
        </w:rPr>
        <w:t xml:space="preserve">in the IRB risk-weight function </w:t>
      </w:r>
      <w:r>
        <w:rPr>
          <w:lang w:eastAsia="en-AU"/>
        </w:rPr>
        <w:t xml:space="preserve">between SME retail exposures with residential </w:t>
      </w:r>
      <w:r w:rsidR="007F3EDE">
        <w:rPr>
          <w:lang w:eastAsia="en-AU"/>
        </w:rPr>
        <w:t>property</w:t>
      </w:r>
      <w:r>
        <w:rPr>
          <w:lang w:eastAsia="en-AU"/>
        </w:rPr>
        <w:t xml:space="preserve"> security and those without. </w:t>
      </w:r>
    </w:p>
    <w:p w14:paraId="393C36BA" w14:textId="4492511F" w:rsidR="004775E8" w:rsidRDefault="004775E8" w:rsidP="004775E8">
      <w:pPr>
        <w:pStyle w:val="APRANORMAL"/>
        <w:rPr>
          <w:lang w:eastAsia="en-AU"/>
        </w:rPr>
      </w:pPr>
      <w:r>
        <w:rPr>
          <w:lang w:eastAsia="en-AU"/>
        </w:rPr>
        <w:t>To better align regulatory capital with the risk in this portfolio, APRA propos</w:t>
      </w:r>
      <w:r w:rsidR="008560DD">
        <w:rPr>
          <w:lang w:eastAsia="en-AU"/>
        </w:rPr>
        <w:t>es</w:t>
      </w:r>
      <w:r>
        <w:rPr>
          <w:lang w:eastAsia="en-AU"/>
        </w:rPr>
        <w:t xml:space="preserve"> to merge the SME retail and SME corporate asset classes into a single SME asset class, with the regulatory capital function to be based on the current corporate function, including the firm-size adjustment.</w:t>
      </w:r>
      <w:r w:rsidR="005D580E">
        <w:rPr>
          <w:rStyle w:val="FootnoteReference"/>
          <w:lang w:eastAsia="en-AU"/>
        </w:rPr>
        <w:footnoteReference w:id="39"/>
      </w:r>
      <w:r>
        <w:rPr>
          <w:lang w:eastAsia="en-AU"/>
        </w:rPr>
        <w:t xml:space="preserve"> Loans to SMEs with residential </w:t>
      </w:r>
      <w:r w:rsidR="007F3EDE">
        <w:rPr>
          <w:lang w:eastAsia="en-AU"/>
        </w:rPr>
        <w:t>property</w:t>
      </w:r>
      <w:r>
        <w:rPr>
          <w:lang w:eastAsia="en-AU"/>
        </w:rPr>
        <w:t xml:space="preserve"> security are </w:t>
      </w:r>
      <w:r w:rsidR="002D0380">
        <w:rPr>
          <w:lang w:eastAsia="en-AU"/>
        </w:rPr>
        <w:t xml:space="preserve">also </w:t>
      </w:r>
      <w:r>
        <w:rPr>
          <w:lang w:eastAsia="en-AU"/>
        </w:rPr>
        <w:t xml:space="preserve">intended to move </w:t>
      </w:r>
      <w:r w:rsidR="00D70D3A">
        <w:rPr>
          <w:lang w:eastAsia="en-AU"/>
        </w:rPr>
        <w:t xml:space="preserve">from the </w:t>
      </w:r>
      <w:r w:rsidR="008642DC">
        <w:rPr>
          <w:lang w:eastAsia="en-AU"/>
        </w:rPr>
        <w:t xml:space="preserve">residential mortgage </w:t>
      </w:r>
      <w:r w:rsidR="00D70D3A">
        <w:rPr>
          <w:lang w:eastAsia="en-AU"/>
        </w:rPr>
        <w:t xml:space="preserve">asset class </w:t>
      </w:r>
      <w:r>
        <w:rPr>
          <w:lang w:eastAsia="en-AU"/>
        </w:rPr>
        <w:t>to this asset class.</w:t>
      </w:r>
      <w:r w:rsidR="006E7C6B">
        <w:rPr>
          <w:lang w:eastAsia="en-AU"/>
        </w:rPr>
        <w:t xml:space="preserve"> Under the IRB approach, recoveries from </w:t>
      </w:r>
      <w:r w:rsidR="00E75347">
        <w:rPr>
          <w:lang w:eastAsia="en-AU"/>
        </w:rPr>
        <w:t>security</w:t>
      </w:r>
      <w:r w:rsidR="006E7C6B">
        <w:rPr>
          <w:lang w:eastAsia="en-AU"/>
        </w:rPr>
        <w:t xml:space="preserve"> are included in LGD estimates.</w:t>
      </w:r>
    </w:p>
    <w:p w14:paraId="1DBF1906" w14:textId="232CDBEA" w:rsidR="004775E8" w:rsidRDefault="00761F3C" w:rsidP="004775E8">
      <w:pPr>
        <w:pStyle w:val="APRANORMAL"/>
        <w:rPr>
          <w:lang w:eastAsia="en-AU"/>
        </w:rPr>
      </w:pPr>
      <w:r>
        <w:rPr>
          <w:lang w:eastAsia="en-AU"/>
        </w:rPr>
        <w:t>T</w:t>
      </w:r>
      <w:r w:rsidR="004775E8">
        <w:rPr>
          <w:lang w:eastAsia="en-AU"/>
        </w:rPr>
        <w:t>h</w:t>
      </w:r>
      <w:r w:rsidR="00680311">
        <w:rPr>
          <w:lang w:eastAsia="en-AU"/>
        </w:rPr>
        <w:t>is</w:t>
      </w:r>
      <w:r w:rsidR="004775E8">
        <w:rPr>
          <w:lang w:eastAsia="en-AU"/>
        </w:rPr>
        <w:t xml:space="preserve"> proposal also generates other benefits such as:</w:t>
      </w:r>
    </w:p>
    <w:p w14:paraId="472FACDB" w14:textId="21611C85" w:rsidR="004775E8" w:rsidRDefault="004775E8" w:rsidP="004775E8">
      <w:pPr>
        <w:pStyle w:val="APRABULLET"/>
      </w:pPr>
      <w:r>
        <w:t xml:space="preserve">ADIs may have more flexibility </w:t>
      </w:r>
      <w:r w:rsidR="001E1A4B">
        <w:t>to</w:t>
      </w:r>
      <w:r>
        <w:t xml:space="preserve"> </w:t>
      </w:r>
      <w:r w:rsidR="008642DC">
        <w:t xml:space="preserve">tailor </w:t>
      </w:r>
      <w:r w:rsidR="00760671">
        <w:t>the</w:t>
      </w:r>
      <w:r w:rsidR="00322554">
        <w:t>ir</w:t>
      </w:r>
      <w:r w:rsidR="008642DC">
        <w:t xml:space="preserve"> </w:t>
      </w:r>
      <w:r w:rsidR="00322554">
        <w:t xml:space="preserve">approach to </w:t>
      </w:r>
      <w:r w:rsidR="006822B6">
        <w:t>originati</w:t>
      </w:r>
      <w:r w:rsidR="00760671">
        <w:t>o</w:t>
      </w:r>
      <w:r w:rsidR="006822B6">
        <w:t>n and manag</w:t>
      </w:r>
      <w:r w:rsidR="00760671">
        <w:t xml:space="preserve">ement </w:t>
      </w:r>
      <w:r w:rsidR="00322554">
        <w:t>of</w:t>
      </w:r>
      <w:r w:rsidR="008642DC">
        <w:t xml:space="preserve"> </w:t>
      </w:r>
      <w:r>
        <w:t>SME customers;</w:t>
      </w:r>
    </w:p>
    <w:p w14:paraId="0B0737CF" w14:textId="6753B8EB" w:rsidR="004775E8" w:rsidRDefault="006822B6" w:rsidP="004775E8">
      <w:pPr>
        <w:pStyle w:val="APRABULLET"/>
      </w:pPr>
      <w:r>
        <w:t xml:space="preserve">a </w:t>
      </w:r>
      <w:r w:rsidR="004775E8">
        <w:t>simpl</w:t>
      </w:r>
      <w:r>
        <w:t>er</w:t>
      </w:r>
      <w:r w:rsidR="004775E8">
        <w:t xml:space="preserve"> capital framework and reduc</w:t>
      </w:r>
      <w:r>
        <w:t>ed</w:t>
      </w:r>
      <w:r w:rsidR="004775E8">
        <w:t xml:space="preserve"> variability in RWA by limiting boundary and definitional issues; and</w:t>
      </w:r>
    </w:p>
    <w:p w14:paraId="2EF4C968" w14:textId="11E9FB7F" w:rsidR="004775E8" w:rsidRDefault="004775E8" w:rsidP="004775E8">
      <w:pPr>
        <w:pStyle w:val="APRABULLET"/>
      </w:pPr>
      <w:r>
        <w:lastRenderedPageBreak/>
        <w:t xml:space="preserve">consistency with the direction of IRB banks’ modelling and validation methods, which are moving to a customer-level basis for SME exposures. </w:t>
      </w:r>
    </w:p>
    <w:p w14:paraId="0A8A03EA" w14:textId="768D1306" w:rsidR="00210FE5" w:rsidRDefault="004542D3" w:rsidP="003E1593">
      <w:pPr>
        <w:pStyle w:val="APRAHEADING2"/>
      </w:pPr>
      <w:bookmarkStart w:id="253" w:name="_Toc500151953"/>
      <w:bookmarkStart w:id="254" w:name="_Toc505676422"/>
      <w:bookmarkStart w:id="255" w:name="_Toc505676514"/>
      <w:bookmarkStart w:id="256" w:name="_Toc505681586"/>
      <w:bookmarkStart w:id="257" w:name="_Toc505681768"/>
      <w:bookmarkStart w:id="258" w:name="_Toc505854712"/>
      <w:bookmarkStart w:id="259" w:name="_Toc506285812"/>
      <w:r>
        <w:t>Qualifying revolving</w:t>
      </w:r>
      <w:r w:rsidR="004775E8">
        <w:t xml:space="preserve"> retail</w:t>
      </w:r>
      <w:bookmarkEnd w:id="253"/>
      <w:r w:rsidR="005D580E">
        <w:t xml:space="preserve"> exposures</w:t>
      </w:r>
      <w:bookmarkEnd w:id="254"/>
      <w:bookmarkEnd w:id="255"/>
      <w:bookmarkEnd w:id="256"/>
      <w:bookmarkEnd w:id="257"/>
      <w:bookmarkEnd w:id="258"/>
      <w:bookmarkEnd w:id="259"/>
    </w:p>
    <w:p w14:paraId="55C9877E" w14:textId="52DDE247" w:rsidR="001E5DA9" w:rsidRDefault="00497ABF" w:rsidP="001E5DA9">
      <w:pPr>
        <w:pStyle w:val="APRAHEADING3"/>
      </w:pPr>
      <w:r>
        <w:t>Current approach</w:t>
      </w:r>
    </w:p>
    <w:p w14:paraId="2C0BF361" w14:textId="3C3157DE" w:rsidR="00CD176D" w:rsidRDefault="005118F9" w:rsidP="00C45A1D">
      <w:pPr>
        <w:pStyle w:val="APRANORMAL"/>
        <w:rPr>
          <w:lang w:eastAsia="en-AU"/>
        </w:rPr>
      </w:pPr>
      <w:r>
        <w:rPr>
          <w:lang w:eastAsia="en-AU"/>
        </w:rPr>
        <w:t>E</w:t>
      </w:r>
      <w:r w:rsidRPr="007B09AD">
        <w:rPr>
          <w:lang w:eastAsia="en-AU"/>
        </w:rPr>
        <w:t xml:space="preserve">xposures </w:t>
      </w:r>
      <w:r>
        <w:rPr>
          <w:lang w:eastAsia="en-AU"/>
        </w:rPr>
        <w:t>currently included in</w:t>
      </w:r>
      <w:r w:rsidRPr="007B09AD">
        <w:rPr>
          <w:lang w:eastAsia="en-AU"/>
        </w:rPr>
        <w:t xml:space="preserve"> </w:t>
      </w:r>
      <w:r w:rsidR="00320C39">
        <w:rPr>
          <w:lang w:eastAsia="en-AU"/>
        </w:rPr>
        <w:t xml:space="preserve">the </w:t>
      </w:r>
      <w:r>
        <w:rPr>
          <w:lang w:eastAsia="en-AU"/>
        </w:rPr>
        <w:t>qualifying revolving retail (</w:t>
      </w:r>
      <w:r w:rsidRPr="007B09AD">
        <w:rPr>
          <w:lang w:eastAsia="en-AU"/>
        </w:rPr>
        <w:t>QRR</w:t>
      </w:r>
      <w:r>
        <w:rPr>
          <w:lang w:eastAsia="en-AU"/>
        </w:rPr>
        <w:t>)</w:t>
      </w:r>
      <w:r w:rsidRPr="007B09AD">
        <w:rPr>
          <w:lang w:eastAsia="en-AU"/>
        </w:rPr>
        <w:t xml:space="preserve"> </w:t>
      </w:r>
      <w:r w:rsidR="00320C39">
        <w:rPr>
          <w:lang w:eastAsia="en-AU"/>
        </w:rPr>
        <w:t xml:space="preserve">asset class </w:t>
      </w:r>
      <w:r w:rsidRPr="007B09AD">
        <w:rPr>
          <w:lang w:eastAsia="en-AU"/>
        </w:rPr>
        <w:t xml:space="preserve">are </w:t>
      </w:r>
      <w:r>
        <w:rPr>
          <w:lang w:eastAsia="en-AU"/>
        </w:rPr>
        <w:t xml:space="preserve">typically </w:t>
      </w:r>
      <w:r w:rsidRPr="007B09AD">
        <w:rPr>
          <w:lang w:eastAsia="en-AU"/>
        </w:rPr>
        <w:t>credit cards</w:t>
      </w:r>
      <w:r>
        <w:rPr>
          <w:lang w:eastAsia="en-AU"/>
        </w:rPr>
        <w:t xml:space="preserve">. </w:t>
      </w:r>
      <w:r w:rsidR="00CD176D">
        <w:rPr>
          <w:lang w:eastAsia="en-AU"/>
        </w:rPr>
        <w:t>The use of the QRR risk</w:t>
      </w:r>
      <w:r w:rsidR="00B27C49">
        <w:rPr>
          <w:lang w:eastAsia="en-AU"/>
        </w:rPr>
        <w:t>-</w:t>
      </w:r>
      <w:r w:rsidR="00CD176D">
        <w:rPr>
          <w:lang w:eastAsia="en-AU"/>
        </w:rPr>
        <w:t xml:space="preserve">weight function results in </w:t>
      </w:r>
      <w:r w:rsidR="00CD176D" w:rsidRPr="007B09AD">
        <w:rPr>
          <w:lang w:eastAsia="en-AU"/>
        </w:rPr>
        <w:t xml:space="preserve">relatively low </w:t>
      </w:r>
      <w:r w:rsidR="00CD176D">
        <w:rPr>
          <w:lang w:eastAsia="en-AU"/>
        </w:rPr>
        <w:t xml:space="preserve">risk weights </w:t>
      </w:r>
      <w:r w:rsidR="00CD176D" w:rsidRPr="007B09AD">
        <w:rPr>
          <w:lang w:eastAsia="en-AU"/>
        </w:rPr>
        <w:t xml:space="preserve">compared to other asset classes. For example, there is currently a narrow gap in risk weights between residential mortgages and credit cards, with the </w:t>
      </w:r>
      <w:r w:rsidR="00CD176D" w:rsidRPr="00EF3DED">
        <w:rPr>
          <w:lang w:eastAsia="en-AU"/>
        </w:rPr>
        <w:t>average</w:t>
      </w:r>
      <w:r w:rsidR="00CD176D">
        <w:rPr>
          <w:lang w:eastAsia="en-AU"/>
        </w:rPr>
        <w:t xml:space="preserve"> risk weight for </w:t>
      </w:r>
      <w:r w:rsidR="00CD176D" w:rsidRPr="007B09AD">
        <w:rPr>
          <w:lang w:eastAsia="en-AU"/>
        </w:rPr>
        <w:t>credit card</w:t>
      </w:r>
      <w:r w:rsidR="00CD176D">
        <w:rPr>
          <w:lang w:eastAsia="en-AU"/>
        </w:rPr>
        <w:t>s</w:t>
      </w:r>
      <w:r w:rsidR="00CD176D" w:rsidRPr="007B09AD" w:rsidDel="00450DE9">
        <w:rPr>
          <w:lang w:eastAsia="en-AU"/>
        </w:rPr>
        <w:t xml:space="preserve"> </w:t>
      </w:r>
      <w:r w:rsidR="00CD176D">
        <w:rPr>
          <w:lang w:eastAsia="en-AU"/>
        </w:rPr>
        <w:t xml:space="preserve">being </w:t>
      </w:r>
      <w:r w:rsidR="00524BC4">
        <w:rPr>
          <w:lang w:eastAsia="en-AU"/>
        </w:rPr>
        <w:t>just over 30 </w:t>
      </w:r>
      <w:r w:rsidR="00CD176D" w:rsidRPr="007B09AD">
        <w:rPr>
          <w:lang w:eastAsia="en-AU"/>
        </w:rPr>
        <w:t>per cent.</w:t>
      </w:r>
      <w:r w:rsidR="00CD176D">
        <w:rPr>
          <w:lang w:eastAsia="en-AU"/>
        </w:rPr>
        <w:t xml:space="preserve"> </w:t>
      </w:r>
      <w:r w:rsidR="00CD176D" w:rsidRPr="007B09AD">
        <w:rPr>
          <w:lang w:eastAsia="en-AU"/>
        </w:rPr>
        <w:t xml:space="preserve">This outcome is mainly driven by the much lower correlation factor </w:t>
      </w:r>
      <w:r w:rsidR="00CD176D">
        <w:rPr>
          <w:lang w:eastAsia="en-AU"/>
        </w:rPr>
        <w:t>for</w:t>
      </w:r>
      <w:r w:rsidR="00CD176D" w:rsidRPr="007B09AD">
        <w:rPr>
          <w:lang w:eastAsia="en-AU"/>
        </w:rPr>
        <w:t xml:space="preserve"> QRR </w:t>
      </w:r>
      <w:r w:rsidR="00CD176D">
        <w:rPr>
          <w:lang w:eastAsia="en-AU"/>
        </w:rPr>
        <w:t>of four</w:t>
      </w:r>
      <w:r w:rsidR="00CD176D" w:rsidRPr="007B09AD">
        <w:rPr>
          <w:lang w:eastAsia="en-AU"/>
        </w:rPr>
        <w:t xml:space="preserve"> per cent</w:t>
      </w:r>
      <w:r w:rsidR="00CD176D">
        <w:rPr>
          <w:lang w:eastAsia="en-AU"/>
        </w:rPr>
        <w:t xml:space="preserve"> and is not reflective of ADIs’ higher loss experience </w:t>
      </w:r>
      <w:r w:rsidR="007C2DCA">
        <w:rPr>
          <w:lang w:eastAsia="en-AU"/>
        </w:rPr>
        <w:t>through the cycle for</w:t>
      </w:r>
      <w:r w:rsidR="00CD176D">
        <w:rPr>
          <w:lang w:eastAsia="en-AU"/>
        </w:rPr>
        <w:t xml:space="preserve"> credit card portfolios compared to residential mortgage exposures. </w:t>
      </w:r>
      <w:r w:rsidR="00320C39">
        <w:t xml:space="preserve">The Basel III framework has not materially changed for </w:t>
      </w:r>
      <w:r w:rsidR="00320C39">
        <w:rPr>
          <w:lang w:eastAsia="en-AU"/>
        </w:rPr>
        <w:t xml:space="preserve">QRR </w:t>
      </w:r>
      <w:r w:rsidR="00320C39">
        <w:t>lending compared to Basel</w:t>
      </w:r>
      <w:r w:rsidR="00524BC4">
        <w:t> </w:t>
      </w:r>
      <w:r w:rsidR="00320C39">
        <w:t>II.</w:t>
      </w:r>
    </w:p>
    <w:p w14:paraId="1B48B438" w14:textId="17698CDE" w:rsidR="001E5DA9" w:rsidRDefault="00D2227C" w:rsidP="005118F9">
      <w:pPr>
        <w:pStyle w:val="APRAHEADING3"/>
      </w:pPr>
      <w:r>
        <w:t>APRA’s p</w:t>
      </w:r>
      <w:r w:rsidR="001E5DA9">
        <w:t>ropos</w:t>
      </w:r>
      <w:r>
        <w:t>als</w:t>
      </w:r>
    </w:p>
    <w:p w14:paraId="54F8CE64" w14:textId="260C47DF" w:rsidR="00210FE5" w:rsidRDefault="008B427C" w:rsidP="00C45A1D">
      <w:pPr>
        <w:pStyle w:val="APRANORMAL"/>
        <w:rPr>
          <w:lang w:eastAsia="en-AU"/>
        </w:rPr>
      </w:pPr>
      <w:r>
        <w:rPr>
          <w:lang w:eastAsia="en-AU"/>
        </w:rPr>
        <w:t xml:space="preserve">To </w:t>
      </w:r>
      <w:r w:rsidR="00D36EE2">
        <w:rPr>
          <w:lang w:eastAsia="en-AU"/>
        </w:rPr>
        <w:t>better align the</w:t>
      </w:r>
      <w:r>
        <w:rPr>
          <w:lang w:eastAsia="en-AU"/>
        </w:rPr>
        <w:t xml:space="preserve"> regulatory capital held</w:t>
      </w:r>
      <w:r w:rsidR="00D36EE2">
        <w:rPr>
          <w:lang w:eastAsia="en-AU"/>
        </w:rPr>
        <w:t xml:space="preserve"> for qualifying revolving retail exposures with other </w:t>
      </w:r>
      <w:r w:rsidR="007C2DCA">
        <w:rPr>
          <w:lang w:eastAsia="en-AU"/>
        </w:rPr>
        <w:t>asset classes</w:t>
      </w:r>
      <w:r w:rsidR="00210FE5" w:rsidRPr="007B09AD">
        <w:rPr>
          <w:lang w:eastAsia="en-AU"/>
        </w:rPr>
        <w:t xml:space="preserve">, APRA </w:t>
      </w:r>
      <w:r w:rsidR="00A54D4C">
        <w:rPr>
          <w:lang w:eastAsia="en-AU"/>
        </w:rPr>
        <w:t>propos</w:t>
      </w:r>
      <w:r w:rsidR="001C564F">
        <w:rPr>
          <w:lang w:eastAsia="en-AU"/>
        </w:rPr>
        <w:t>es removing</w:t>
      </w:r>
      <w:r w:rsidR="00B916D9">
        <w:rPr>
          <w:lang w:eastAsia="en-AU"/>
        </w:rPr>
        <w:t xml:space="preserve"> the QRR asset class. Instead</w:t>
      </w:r>
      <w:r w:rsidR="004B3995">
        <w:rPr>
          <w:lang w:eastAsia="en-AU"/>
        </w:rPr>
        <w:t>,</w:t>
      </w:r>
      <w:r w:rsidR="00B916D9">
        <w:rPr>
          <w:lang w:eastAsia="en-AU"/>
        </w:rPr>
        <w:t xml:space="preserve"> QRR exposures would be included in </w:t>
      </w:r>
      <w:r w:rsidR="00140162">
        <w:rPr>
          <w:lang w:eastAsia="en-AU"/>
        </w:rPr>
        <w:t xml:space="preserve">the </w:t>
      </w:r>
      <w:r w:rsidR="00320C39">
        <w:rPr>
          <w:lang w:eastAsia="en-AU"/>
        </w:rPr>
        <w:t>‘</w:t>
      </w:r>
      <w:r w:rsidR="00140162">
        <w:rPr>
          <w:lang w:eastAsia="en-AU"/>
        </w:rPr>
        <w:t>other retail</w:t>
      </w:r>
      <w:r w:rsidR="00320C39">
        <w:rPr>
          <w:lang w:eastAsia="en-AU"/>
        </w:rPr>
        <w:t>’</w:t>
      </w:r>
      <w:r w:rsidR="00140162">
        <w:rPr>
          <w:lang w:eastAsia="en-AU"/>
        </w:rPr>
        <w:t xml:space="preserve"> asset class</w:t>
      </w:r>
      <w:r w:rsidR="00510FC7">
        <w:rPr>
          <w:lang w:eastAsia="en-AU"/>
        </w:rPr>
        <w:t xml:space="preserve"> and would not be subject to</w:t>
      </w:r>
      <w:r w:rsidR="00EC246D">
        <w:rPr>
          <w:lang w:eastAsia="en-AU"/>
        </w:rPr>
        <w:t xml:space="preserve"> the </w:t>
      </w:r>
      <w:r w:rsidR="00937C24">
        <w:rPr>
          <w:lang w:eastAsia="en-AU"/>
        </w:rPr>
        <w:t xml:space="preserve">higher </w:t>
      </w:r>
      <w:r w:rsidR="00EC246D">
        <w:rPr>
          <w:lang w:eastAsia="en-AU"/>
        </w:rPr>
        <w:t>PD and LGD floors for QRR under</w:t>
      </w:r>
      <w:r w:rsidR="00524BC4">
        <w:rPr>
          <w:lang w:eastAsia="en-AU"/>
        </w:rPr>
        <w:t xml:space="preserve"> Basel </w:t>
      </w:r>
      <w:r w:rsidR="00EC246D">
        <w:rPr>
          <w:lang w:eastAsia="en-AU"/>
        </w:rPr>
        <w:t>III.</w:t>
      </w:r>
    </w:p>
    <w:p w14:paraId="69F74A10" w14:textId="7C60DF1A" w:rsidR="00573B45" w:rsidRDefault="00573B45">
      <w:pPr>
        <w:pStyle w:val="APRAHEADING2"/>
      </w:pPr>
      <w:bookmarkStart w:id="260" w:name="_Toc499128961"/>
      <w:bookmarkStart w:id="261" w:name="_Toc499306724"/>
      <w:bookmarkStart w:id="262" w:name="_Toc499128962"/>
      <w:bookmarkStart w:id="263" w:name="_Toc499306725"/>
      <w:bookmarkStart w:id="264" w:name="_Toc499128965"/>
      <w:bookmarkStart w:id="265" w:name="_Toc499306728"/>
      <w:bookmarkStart w:id="266" w:name="_Toc499128969"/>
      <w:bookmarkStart w:id="267" w:name="_Toc499306732"/>
      <w:bookmarkStart w:id="268" w:name="_Toc499128970"/>
      <w:bookmarkStart w:id="269" w:name="_Toc499306733"/>
      <w:bookmarkStart w:id="270" w:name="_Toc494189578"/>
      <w:bookmarkStart w:id="271" w:name="_Toc496184506"/>
      <w:bookmarkStart w:id="272" w:name="_Toc493154157"/>
      <w:bookmarkStart w:id="273" w:name="_Toc493154603"/>
      <w:bookmarkStart w:id="274" w:name="_Toc493240107"/>
      <w:bookmarkStart w:id="275" w:name="_Toc493240613"/>
      <w:bookmarkStart w:id="276" w:name="_Toc497209101"/>
      <w:bookmarkStart w:id="277" w:name="_Toc500151955"/>
      <w:bookmarkStart w:id="278" w:name="_Toc505676423"/>
      <w:bookmarkStart w:id="279" w:name="_Toc505676515"/>
      <w:bookmarkStart w:id="280" w:name="_Toc505681587"/>
      <w:bookmarkStart w:id="281" w:name="_Toc505681769"/>
      <w:bookmarkStart w:id="282" w:name="_Toc505854713"/>
      <w:bookmarkStart w:id="283" w:name="_Toc506285813"/>
      <w:bookmarkEnd w:id="260"/>
      <w:bookmarkEnd w:id="261"/>
      <w:bookmarkEnd w:id="262"/>
      <w:bookmarkEnd w:id="263"/>
      <w:bookmarkEnd w:id="264"/>
      <w:bookmarkEnd w:id="265"/>
      <w:bookmarkEnd w:id="266"/>
      <w:bookmarkEnd w:id="267"/>
      <w:bookmarkEnd w:id="268"/>
      <w:bookmarkEnd w:id="269"/>
      <w:r>
        <w:t>Othe</w:t>
      </w:r>
      <w:r w:rsidR="00040540">
        <w:t xml:space="preserve">r </w:t>
      </w:r>
      <w:r w:rsidR="0045318B">
        <w:t>propos</w:t>
      </w:r>
      <w:r w:rsidR="00A222F3">
        <w:t>als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EE132E2" w14:textId="6FE40EDB" w:rsidR="00573B45" w:rsidRDefault="00CE7D60" w:rsidP="00573B45">
      <w:pPr>
        <w:pStyle w:val="APRANORMAL"/>
      </w:pPr>
      <w:r w:rsidRPr="00CE7D60">
        <w:rPr>
          <w:lang w:val="en-AU"/>
        </w:rPr>
        <w:t xml:space="preserve">APRA is also considering changes to other specific exposures, the details of which will be advised during development of the revised prudential standards. APRA’s </w:t>
      </w:r>
      <w:r w:rsidR="00F20014">
        <w:rPr>
          <w:lang w:val="en-AU"/>
        </w:rPr>
        <w:t>proposals</w:t>
      </w:r>
      <w:r w:rsidRPr="00CE7D60">
        <w:rPr>
          <w:lang w:val="en-AU"/>
        </w:rPr>
        <w:t xml:space="preserve"> are outlined in the following sections</w:t>
      </w:r>
      <w:r w:rsidR="00573B45">
        <w:t>.</w:t>
      </w:r>
    </w:p>
    <w:p w14:paraId="4A126A7F" w14:textId="77777777" w:rsidR="00573B45" w:rsidRDefault="00573B45" w:rsidP="004E4100">
      <w:pPr>
        <w:pStyle w:val="APRAHEADING3"/>
        <w:rPr>
          <w:lang w:eastAsia="en-AU"/>
        </w:rPr>
      </w:pPr>
      <w:r>
        <w:rPr>
          <w:lang w:eastAsia="en-AU"/>
        </w:rPr>
        <w:t>Treatment of offshore exposures</w:t>
      </w:r>
    </w:p>
    <w:p w14:paraId="3F8C780F" w14:textId="36B5B671" w:rsidR="00573B45" w:rsidRDefault="00573B45" w:rsidP="00573B45">
      <w:pPr>
        <w:pStyle w:val="APRANORMAL"/>
        <w:rPr>
          <w:lang w:eastAsia="en-AU"/>
        </w:rPr>
      </w:pPr>
      <w:r>
        <w:rPr>
          <w:lang w:eastAsia="en-AU"/>
        </w:rPr>
        <w:t>APRA propos</w:t>
      </w:r>
      <w:r w:rsidR="001C564F">
        <w:rPr>
          <w:lang w:eastAsia="en-AU"/>
        </w:rPr>
        <w:t>es</w:t>
      </w:r>
      <w:r>
        <w:rPr>
          <w:lang w:eastAsia="en-AU"/>
        </w:rPr>
        <w:t xml:space="preserve"> to apply the same IRB requirements for offshore exposures</w:t>
      </w:r>
      <w:r w:rsidR="006E5E42">
        <w:rPr>
          <w:lang w:eastAsia="en-AU"/>
        </w:rPr>
        <w:t xml:space="preserve"> as for domestic exposures</w:t>
      </w:r>
      <w:r>
        <w:rPr>
          <w:lang w:eastAsia="en-AU"/>
        </w:rPr>
        <w:t>, including any scaling factors or adjustments to correlation factors. This includes residential mortgages, where the higher correlation for IRB banks currently only a</w:t>
      </w:r>
      <w:r w:rsidR="003E4B11">
        <w:rPr>
          <w:lang w:eastAsia="en-AU"/>
        </w:rPr>
        <w:t xml:space="preserve">pplies to Australian exposures. </w:t>
      </w:r>
      <w:r w:rsidR="0038008A">
        <w:rPr>
          <w:lang w:eastAsia="en-AU"/>
        </w:rPr>
        <w:t xml:space="preserve">However, APRA does not propose to apply </w:t>
      </w:r>
      <w:r w:rsidR="0038008A">
        <w:t>a</w:t>
      </w:r>
      <w:r w:rsidR="0008222F">
        <w:t>djustments to the prescribed risk</w:t>
      </w:r>
      <w:r w:rsidR="00B27C49">
        <w:t>-</w:t>
      </w:r>
      <w:r w:rsidR="0008222F">
        <w:t>weight function</w:t>
      </w:r>
      <w:r w:rsidR="00186B23">
        <w:t xml:space="preserve"> applied to New Zealand subsidiaries of ADIs</w:t>
      </w:r>
      <w:r w:rsidR="0008222F">
        <w:t xml:space="preserve"> by the Reserve Bank of New Zealand in Level 2 capital calculations. </w:t>
      </w:r>
      <w:r w:rsidR="00F708D7">
        <w:rPr>
          <w:lang w:eastAsia="en-AU"/>
        </w:rPr>
        <w:t>T</w:t>
      </w:r>
      <w:r>
        <w:rPr>
          <w:lang w:eastAsia="en-AU"/>
        </w:rPr>
        <w:t xml:space="preserve">he impact of this </w:t>
      </w:r>
      <w:r w:rsidR="00F04350">
        <w:rPr>
          <w:lang w:eastAsia="en-AU"/>
        </w:rPr>
        <w:t>proposal</w:t>
      </w:r>
      <w:r>
        <w:rPr>
          <w:lang w:eastAsia="en-AU"/>
        </w:rPr>
        <w:t xml:space="preserve"> </w:t>
      </w:r>
      <w:r w:rsidR="00A26E63">
        <w:rPr>
          <w:lang w:eastAsia="en-AU"/>
        </w:rPr>
        <w:t>is being</w:t>
      </w:r>
      <w:r>
        <w:rPr>
          <w:lang w:eastAsia="en-AU"/>
        </w:rPr>
        <w:t xml:space="preserve"> </w:t>
      </w:r>
      <w:r w:rsidR="00F708D7">
        <w:rPr>
          <w:lang w:eastAsia="en-AU"/>
        </w:rPr>
        <w:t>considered</w:t>
      </w:r>
      <w:r>
        <w:rPr>
          <w:lang w:eastAsia="en-AU"/>
        </w:rPr>
        <w:t xml:space="preserve"> further</w:t>
      </w:r>
      <w:r w:rsidR="00F708D7">
        <w:rPr>
          <w:lang w:eastAsia="en-AU"/>
        </w:rPr>
        <w:t xml:space="preserve"> as part of the </w:t>
      </w:r>
      <w:r w:rsidR="00AA5FBB">
        <w:rPr>
          <w:lang w:eastAsia="en-AU"/>
        </w:rPr>
        <w:t>QIS</w:t>
      </w:r>
      <w:r>
        <w:rPr>
          <w:lang w:eastAsia="en-AU"/>
        </w:rPr>
        <w:t>.</w:t>
      </w:r>
    </w:p>
    <w:p w14:paraId="0AE69CD6" w14:textId="74863979" w:rsidR="00573B45" w:rsidRDefault="004F4AC3" w:rsidP="004E4100">
      <w:pPr>
        <w:pStyle w:val="APRAHEADING3"/>
      </w:pPr>
      <w:r>
        <w:lastRenderedPageBreak/>
        <w:t>L</w:t>
      </w:r>
      <w:r w:rsidR="00573B45">
        <w:t>eases</w:t>
      </w:r>
      <w:r>
        <w:t xml:space="preserve"> and other exposures to physical assets</w:t>
      </w:r>
    </w:p>
    <w:p w14:paraId="36A3E049" w14:textId="77AC1753" w:rsidR="00F42563" w:rsidRDefault="00573B45" w:rsidP="00573B45">
      <w:pPr>
        <w:pStyle w:val="APRANORMAL"/>
      </w:pPr>
      <w:r>
        <w:t xml:space="preserve">APRA is </w:t>
      </w:r>
      <w:r w:rsidR="004F4AC3">
        <w:t xml:space="preserve">reviewing the </w:t>
      </w:r>
      <w:r w:rsidR="00231A71">
        <w:t xml:space="preserve">regulatory capital </w:t>
      </w:r>
      <w:r w:rsidR="004F4AC3">
        <w:t>treatment of</w:t>
      </w:r>
      <w:r>
        <w:t xml:space="preserve"> leas</w:t>
      </w:r>
      <w:r w:rsidR="003E7CBD">
        <w:t>ing activity</w:t>
      </w:r>
      <w:r w:rsidR="007A487A">
        <w:t xml:space="preserve"> where an ADI acts as lessor</w:t>
      </w:r>
      <w:r w:rsidR="004F4AC3">
        <w:t xml:space="preserve">. Leases </w:t>
      </w:r>
      <w:r w:rsidR="003E7CBD">
        <w:t xml:space="preserve">can </w:t>
      </w:r>
      <w:r w:rsidR="004F4AC3">
        <w:t>expose ADIs to</w:t>
      </w:r>
      <w:r w:rsidR="003E7CBD">
        <w:t xml:space="preserve"> the risks of owning</w:t>
      </w:r>
      <w:r w:rsidR="004F4AC3">
        <w:t xml:space="preserve"> </w:t>
      </w:r>
      <w:r w:rsidR="003E7CBD">
        <w:t xml:space="preserve">various types of </w:t>
      </w:r>
      <w:r w:rsidR="004F4AC3">
        <w:t>physical asset</w:t>
      </w:r>
      <w:r w:rsidR="003E7CBD">
        <w:t>s commonly subject to leasing, such as aircraft</w:t>
      </w:r>
      <w:r w:rsidR="00523266">
        <w:t>. The financial risks associated with physical asset ownership are</w:t>
      </w:r>
      <w:r w:rsidR="002436C6">
        <w:t xml:space="preserve"> </w:t>
      </w:r>
      <w:r w:rsidR="004F4AC3">
        <w:t xml:space="preserve">particularly evident in instances where an ADI acts as a lessor of assets under an operating lease. </w:t>
      </w:r>
    </w:p>
    <w:p w14:paraId="6A3DAB59" w14:textId="08FE0E7C" w:rsidR="00950485" w:rsidRDefault="00F42563" w:rsidP="00573B45">
      <w:pPr>
        <w:pStyle w:val="APRANORMAL"/>
      </w:pPr>
      <w:r>
        <w:t xml:space="preserve">APRA is concerned that the current capital treatment of </w:t>
      </w:r>
      <w:r w:rsidR="001D0C9A">
        <w:t xml:space="preserve">leased </w:t>
      </w:r>
      <w:r>
        <w:t xml:space="preserve">assets does not appropriately capture the </w:t>
      </w:r>
      <w:r w:rsidR="003E7CBD">
        <w:t xml:space="preserve">asset valuation and </w:t>
      </w:r>
      <w:r>
        <w:t xml:space="preserve">concentration risk </w:t>
      </w:r>
      <w:r w:rsidR="005E6706">
        <w:t xml:space="preserve">that </w:t>
      </w:r>
      <w:r>
        <w:t xml:space="preserve">may arise where </w:t>
      </w:r>
      <w:r w:rsidR="002436C6">
        <w:t xml:space="preserve">an </w:t>
      </w:r>
      <w:r>
        <w:t>ADI</w:t>
      </w:r>
      <w:r w:rsidR="002436C6">
        <w:t xml:space="preserve">, as lessor, </w:t>
      </w:r>
      <w:r>
        <w:t>maintain</w:t>
      </w:r>
      <w:r w:rsidR="002436C6">
        <w:t>s a</w:t>
      </w:r>
      <w:r>
        <w:t xml:space="preserve"> significant </w:t>
      </w:r>
      <w:r w:rsidR="001D0C9A">
        <w:t xml:space="preserve">operating lease </w:t>
      </w:r>
      <w:r w:rsidR="008A3DD0">
        <w:t>portfolio</w:t>
      </w:r>
      <w:r w:rsidR="001D0C9A">
        <w:t xml:space="preserve">. Concerns with the current capital treatment </w:t>
      </w:r>
      <w:r w:rsidR="002436C6">
        <w:t xml:space="preserve">of </w:t>
      </w:r>
      <w:r w:rsidR="001D0C9A">
        <w:t>ADI</w:t>
      </w:r>
      <w:r w:rsidR="002436C6">
        <w:t>s</w:t>
      </w:r>
      <w:r w:rsidR="008A3DD0">
        <w:t>’</w:t>
      </w:r>
      <w:r w:rsidR="001D0C9A">
        <w:t xml:space="preserve"> exposures to physical assets would also extend to instances where ADIs hold material exposures to fixed assets beyond their own premises. </w:t>
      </w:r>
    </w:p>
    <w:p w14:paraId="4C1B78DC" w14:textId="7E2724B7" w:rsidR="00573B45" w:rsidRDefault="001D0C9A" w:rsidP="00573B45">
      <w:pPr>
        <w:pStyle w:val="APRANORMAL"/>
      </w:pPr>
      <w:r>
        <w:t>Physical assets represent a very broad class of asset</w:t>
      </w:r>
      <w:r w:rsidR="00950485">
        <w:t>s and</w:t>
      </w:r>
      <w:r>
        <w:t xml:space="preserve"> the extent of associated risk will depend somewhat on asset type. Nonetheless, </w:t>
      </w:r>
      <w:r w:rsidR="00950485">
        <w:t>APRA is of the view that it is necessary to consider the</w:t>
      </w:r>
      <w:r w:rsidR="00523266">
        <w:t xml:space="preserve"> financial</w:t>
      </w:r>
      <w:r w:rsidR="00950485">
        <w:t xml:space="preserve"> risks posed to ADI</w:t>
      </w:r>
      <w:r w:rsidR="00CE7D60">
        <w:t>s’</w:t>
      </w:r>
      <w:r w:rsidR="00950485">
        <w:t xml:space="preserve"> balance sheets by significant concentrations in physical assets. One means to address th</w:t>
      </w:r>
      <w:r w:rsidR="009C53FC">
        <w:t>ese concerns</w:t>
      </w:r>
      <w:r w:rsidR="00950485">
        <w:t xml:space="preserve"> may be to apply higher risk weights to exposures to physical asset</w:t>
      </w:r>
      <w:r w:rsidR="00995FAB">
        <w:t xml:space="preserve"> ownership</w:t>
      </w:r>
      <w:r w:rsidR="00950485">
        <w:t xml:space="preserve"> beyond a certain threshold.</w:t>
      </w:r>
    </w:p>
    <w:p w14:paraId="54F875D3" w14:textId="77777777" w:rsidR="00573B45" w:rsidRDefault="00573B45" w:rsidP="004E4100">
      <w:pPr>
        <w:pStyle w:val="APRAHEADING3"/>
      </w:pPr>
      <w:r>
        <w:t>Purchase of defaulted assets</w:t>
      </w:r>
    </w:p>
    <w:p w14:paraId="76ACA597" w14:textId="76A2D6D5" w:rsidR="00995FAB" w:rsidRDefault="00573B45" w:rsidP="00573B45">
      <w:pPr>
        <w:pStyle w:val="APRANORMAL"/>
      </w:pPr>
      <w:r>
        <w:t xml:space="preserve">Currently, under the </w:t>
      </w:r>
      <w:r w:rsidR="008F404B">
        <w:t>foundation</w:t>
      </w:r>
      <w:r>
        <w:t xml:space="preserve"> IRB </w:t>
      </w:r>
      <w:r w:rsidR="00A52A66">
        <w:t xml:space="preserve">and </w:t>
      </w:r>
      <w:r w:rsidR="0045296E">
        <w:t>s</w:t>
      </w:r>
      <w:r>
        <w:t xml:space="preserve">upervisory </w:t>
      </w:r>
      <w:r w:rsidR="0045296E">
        <w:t>s</w:t>
      </w:r>
      <w:r w:rsidR="00437FA0">
        <w:t xml:space="preserve">lotting approaches, </w:t>
      </w:r>
      <w:r>
        <w:t xml:space="preserve">no </w:t>
      </w:r>
      <w:r w:rsidR="00995FAB">
        <w:t xml:space="preserve">additional </w:t>
      </w:r>
      <w:r>
        <w:t>capital</w:t>
      </w:r>
      <w:r w:rsidR="00995FAB">
        <w:t xml:space="preserve"> is required </w:t>
      </w:r>
      <w:r>
        <w:t xml:space="preserve">for </w:t>
      </w:r>
      <w:r w:rsidR="00995FAB">
        <w:t>the ‘</w:t>
      </w:r>
      <w:r>
        <w:t>unexpected loss</w:t>
      </w:r>
      <w:r w:rsidR="00995FAB">
        <w:t>’</w:t>
      </w:r>
      <w:r>
        <w:t xml:space="preserve"> </w:t>
      </w:r>
      <w:r w:rsidR="00995FAB">
        <w:t xml:space="preserve">component </w:t>
      </w:r>
      <w:r w:rsidR="004306FE">
        <w:t xml:space="preserve">for </w:t>
      </w:r>
      <w:r>
        <w:t>defaulted assets</w:t>
      </w:r>
      <w:r w:rsidR="008328F3">
        <w:t xml:space="preserve"> as there is an</w:t>
      </w:r>
      <w:r w:rsidR="00995FAB">
        <w:t xml:space="preserve"> assumption </w:t>
      </w:r>
      <w:r w:rsidR="008328F3">
        <w:t>of</w:t>
      </w:r>
      <w:r w:rsidR="00995FAB">
        <w:t xml:space="preserve"> no further unexpected loss</w:t>
      </w:r>
      <w:r w:rsidR="008328F3">
        <w:t xml:space="preserve"> because </w:t>
      </w:r>
      <w:r w:rsidR="00995FAB">
        <w:t>the risk has already crystallised.</w:t>
      </w:r>
      <w:r w:rsidR="004306FE">
        <w:t xml:space="preserve"> </w:t>
      </w:r>
      <w:r w:rsidR="00B1304D">
        <w:t>Although</w:t>
      </w:r>
      <w:r w:rsidR="004306FE">
        <w:t xml:space="preserve"> the corresponding expected loss is often very high, this </w:t>
      </w:r>
      <w:r w:rsidR="008328F3">
        <w:t xml:space="preserve">approach </w:t>
      </w:r>
      <w:r w:rsidR="004306FE">
        <w:t xml:space="preserve">creates some perverse outcomes for distressed assets that are </w:t>
      </w:r>
      <w:r>
        <w:t xml:space="preserve">purchased at a </w:t>
      </w:r>
      <w:r w:rsidR="004306FE">
        <w:t xml:space="preserve">large </w:t>
      </w:r>
      <w:r>
        <w:t>discount</w:t>
      </w:r>
      <w:r w:rsidR="004306FE">
        <w:t xml:space="preserve"> to face value</w:t>
      </w:r>
      <w:r>
        <w:t xml:space="preserve">. </w:t>
      </w:r>
    </w:p>
    <w:p w14:paraId="5ACCFAB0" w14:textId="48181099" w:rsidR="00573B45" w:rsidRDefault="00F2326E" w:rsidP="00F2326E">
      <w:pPr>
        <w:pStyle w:val="APRANORMAL"/>
      </w:pPr>
      <w:r>
        <w:t xml:space="preserve">ADIs are required to adjust capital downward where provisions held by the ADI do not cover expected losses. </w:t>
      </w:r>
      <w:r w:rsidR="00F02C4D">
        <w:t>The</w:t>
      </w:r>
      <w:r w:rsidR="0035499B">
        <w:t xml:space="preserve"> discount to face value</w:t>
      </w:r>
      <w:r>
        <w:t xml:space="preserve"> </w:t>
      </w:r>
      <w:r w:rsidR="00C868BD">
        <w:t>whe</w:t>
      </w:r>
      <w:r>
        <w:t>n purchasing distressed assets</w:t>
      </w:r>
      <w:r w:rsidR="0035499B">
        <w:t xml:space="preserve"> </w:t>
      </w:r>
      <w:r>
        <w:t xml:space="preserve">is eligible as provisions and where this exceeds expected losses, it </w:t>
      </w:r>
      <w:r w:rsidR="0035499B">
        <w:t>can</w:t>
      </w:r>
      <w:r w:rsidR="00F02C4D">
        <w:t xml:space="preserve"> </w:t>
      </w:r>
      <w:r w:rsidR="00C868BD">
        <w:t xml:space="preserve">also </w:t>
      </w:r>
      <w:r w:rsidR="00F02C4D">
        <w:t>be used to</w:t>
      </w:r>
      <w:r w:rsidR="0035499B">
        <w:t xml:space="preserve"> offset shortfalls in provisions for other defaulted exposures. </w:t>
      </w:r>
      <w:r w:rsidR="00573B45">
        <w:t>As part of th</w:t>
      </w:r>
      <w:r w:rsidR="00D32E8E">
        <w:t>e review of the capital framework</w:t>
      </w:r>
      <w:r w:rsidR="00573B45">
        <w:t xml:space="preserve">, APRA will </w:t>
      </w:r>
      <w:r w:rsidR="00D32E8E">
        <w:t>consider</w:t>
      </w:r>
      <w:r w:rsidR="00573B45">
        <w:t xml:space="preserve"> the appropriate approach for these exposures.</w:t>
      </w:r>
    </w:p>
    <w:p w14:paraId="37275B26" w14:textId="25AF362F" w:rsidR="007A30C0" w:rsidRDefault="00CE2146" w:rsidP="004E4100">
      <w:pPr>
        <w:pStyle w:val="APRAHEADING3"/>
      </w:pPr>
      <w:r>
        <w:t>S</w:t>
      </w:r>
      <w:r w:rsidR="007A30C0">
        <w:t>ubordinat</w:t>
      </w:r>
      <w:r>
        <w:t>ed exposures</w:t>
      </w:r>
    </w:p>
    <w:p w14:paraId="4827FBD8" w14:textId="03E0D921" w:rsidR="00B94BE8" w:rsidRDefault="0035499B" w:rsidP="00B2232E">
      <w:pPr>
        <w:pStyle w:val="APRANORMAL"/>
      </w:pPr>
      <w:r w:rsidRPr="005B7DC5">
        <w:t xml:space="preserve">Under the </w:t>
      </w:r>
      <w:r w:rsidR="008F404B">
        <w:t xml:space="preserve">foundation </w:t>
      </w:r>
      <w:r w:rsidRPr="005B7DC5">
        <w:t>IRB approach, exposures that are subordinated in the debt structure are assigned a higher LGD estimate</w:t>
      </w:r>
      <w:r>
        <w:t>, reflecting</w:t>
      </w:r>
      <w:r w:rsidRPr="005B7DC5">
        <w:t xml:space="preserve"> </w:t>
      </w:r>
      <w:r>
        <w:t xml:space="preserve">their </w:t>
      </w:r>
      <w:r w:rsidRPr="005B7DC5">
        <w:t xml:space="preserve">junior claim to another </w:t>
      </w:r>
      <w:r w:rsidRPr="005B7DC5">
        <w:lastRenderedPageBreak/>
        <w:t xml:space="preserve">facility. </w:t>
      </w:r>
      <w:r w:rsidR="003E5770" w:rsidRPr="005B7DC5">
        <w:t>The</w:t>
      </w:r>
      <w:r w:rsidR="003E5770">
        <w:rPr>
          <w:lang w:val="en-AU"/>
        </w:rPr>
        <w:t xml:space="preserve"> definition of subordination </w:t>
      </w:r>
      <w:r>
        <w:rPr>
          <w:lang w:val="en-AU"/>
        </w:rPr>
        <w:t>currently in APS 113</w:t>
      </w:r>
      <w:r w:rsidR="003E5770">
        <w:rPr>
          <w:lang w:val="en-AU"/>
        </w:rPr>
        <w:t xml:space="preserve"> is focussed on contractual subordination. APRA is considering widening this definition to </w:t>
      </w:r>
      <w:r w:rsidR="00B1304D">
        <w:rPr>
          <w:lang w:val="en-AU"/>
        </w:rPr>
        <w:t>ensure that</w:t>
      </w:r>
      <w:r w:rsidR="003E5770">
        <w:rPr>
          <w:lang w:val="en-AU"/>
        </w:rPr>
        <w:t xml:space="preserve"> exposures that are economically subordinated but contractually senior in nature</w:t>
      </w:r>
      <w:r w:rsidR="00B1304D">
        <w:rPr>
          <w:lang w:val="en-AU"/>
        </w:rPr>
        <w:t xml:space="preserve"> are captured</w:t>
      </w:r>
      <w:r w:rsidR="003E5770">
        <w:rPr>
          <w:lang w:val="en-AU"/>
        </w:rPr>
        <w:t>.</w:t>
      </w:r>
      <w:r w:rsidR="00B94BE8">
        <w:br w:type="page"/>
      </w:r>
    </w:p>
    <w:p w14:paraId="4865E8E7" w14:textId="13D242FE" w:rsidR="000F4536" w:rsidRDefault="00F9221D" w:rsidP="00C0092A">
      <w:pPr>
        <w:pStyle w:val="APRAHEADING1"/>
      </w:pPr>
      <w:bookmarkStart w:id="284" w:name="_Toc492996524"/>
      <w:bookmarkStart w:id="285" w:name="_Toc493154158"/>
      <w:bookmarkStart w:id="286" w:name="_Toc493154604"/>
      <w:bookmarkStart w:id="287" w:name="_Toc493240108"/>
      <w:bookmarkStart w:id="288" w:name="_Toc493240614"/>
      <w:bookmarkStart w:id="289" w:name="_Toc494189579"/>
      <w:bookmarkStart w:id="290" w:name="_Toc496184507"/>
      <w:bookmarkStart w:id="291" w:name="_Toc497209102"/>
      <w:bookmarkStart w:id="292" w:name="_Toc500151956"/>
      <w:r>
        <w:lastRenderedPageBreak/>
        <w:t xml:space="preserve"> </w:t>
      </w:r>
      <w:bookmarkStart w:id="293" w:name="_Toc505676424"/>
      <w:bookmarkStart w:id="294" w:name="_Toc505676516"/>
      <w:bookmarkStart w:id="295" w:name="_Toc505681588"/>
      <w:bookmarkStart w:id="296" w:name="_Toc505681770"/>
      <w:bookmarkStart w:id="297" w:name="_Toc505854714"/>
      <w:bookmarkStart w:id="298" w:name="_Toc506285814"/>
      <w:r>
        <w:t xml:space="preserve">- </w:t>
      </w:r>
      <w:r w:rsidR="001D0A2F">
        <w:t>Operational risk</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16BF1EDD" w14:textId="78267C1B" w:rsidR="00754B2C" w:rsidRPr="00921FD4" w:rsidRDefault="00754B2C" w:rsidP="00754B2C">
      <w:pPr>
        <w:pStyle w:val="APRANORMAL"/>
      </w:pPr>
      <w:bookmarkStart w:id="299" w:name="_Toc500154460"/>
      <w:r w:rsidRPr="00985306">
        <w:t xml:space="preserve">This chapter outlines APRA’s proposed revisions to the </w:t>
      </w:r>
      <w:r w:rsidR="0056019C">
        <w:t xml:space="preserve">capital </w:t>
      </w:r>
      <w:r w:rsidRPr="00985306">
        <w:t xml:space="preserve">treatment of </w:t>
      </w:r>
      <w:r>
        <w:t xml:space="preserve">operational risk </w:t>
      </w:r>
      <w:r w:rsidRPr="00985306">
        <w:t xml:space="preserve">set out in </w:t>
      </w:r>
      <w:r w:rsidRPr="000B4705">
        <w:rPr>
          <w:i/>
        </w:rPr>
        <w:t>Prudential Standard APS 114 Capital Adequacy: Standardised Approach to Operational Risk</w:t>
      </w:r>
      <w:r w:rsidRPr="00985306">
        <w:t xml:space="preserve"> (APS 11</w:t>
      </w:r>
      <w:r>
        <w:t>4</w:t>
      </w:r>
      <w:r w:rsidRPr="00985306">
        <w:t xml:space="preserve">) and </w:t>
      </w:r>
      <w:r w:rsidRPr="000B4705">
        <w:rPr>
          <w:i/>
        </w:rPr>
        <w:t>Prudential Standard APS 115 Capital Adequacy: Advanced Measurement Approach</w:t>
      </w:r>
      <w:r>
        <w:rPr>
          <w:i/>
        </w:rPr>
        <w:t>es</w:t>
      </w:r>
      <w:r w:rsidRPr="000B4705">
        <w:rPr>
          <w:i/>
        </w:rPr>
        <w:t xml:space="preserve"> to Operational Risk</w:t>
      </w:r>
      <w:r>
        <w:t xml:space="preserve"> (APS 115).</w:t>
      </w:r>
    </w:p>
    <w:p w14:paraId="3D0FC7A5" w14:textId="77777777" w:rsidR="00754B2C" w:rsidRPr="00921FD4" w:rsidRDefault="00754B2C" w:rsidP="00754B2C">
      <w:pPr>
        <w:pStyle w:val="APRAHEADING2"/>
      </w:pPr>
      <w:bookmarkStart w:id="300" w:name="_Toc505676425"/>
      <w:bookmarkStart w:id="301" w:name="_Toc505676517"/>
      <w:bookmarkStart w:id="302" w:name="_Toc505681589"/>
      <w:bookmarkStart w:id="303" w:name="_Toc505681771"/>
      <w:bookmarkStart w:id="304" w:name="_Toc505854715"/>
      <w:bookmarkStart w:id="305" w:name="_Toc506285815"/>
      <w:bookmarkEnd w:id="299"/>
      <w:r>
        <w:t>Basel III framework</w:t>
      </w:r>
      <w:bookmarkEnd w:id="300"/>
      <w:bookmarkEnd w:id="301"/>
      <w:bookmarkEnd w:id="302"/>
      <w:bookmarkEnd w:id="303"/>
      <w:bookmarkEnd w:id="304"/>
      <w:bookmarkEnd w:id="305"/>
      <w:r w:rsidRPr="00921FD4">
        <w:t xml:space="preserve"> </w:t>
      </w:r>
    </w:p>
    <w:p w14:paraId="216AEA19" w14:textId="77777777" w:rsidR="00754B2C" w:rsidRDefault="00754B2C" w:rsidP="00754B2C">
      <w:pPr>
        <w:pStyle w:val="APRAHEADING4"/>
      </w:pPr>
      <w:r>
        <w:t>Capital calculation</w:t>
      </w:r>
    </w:p>
    <w:p w14:paraId="1DA37CCD" w14:textId="05544551" w:rsidR="00754B2C" w:rsidRDefault="00754B2C" w:rsidP="00754B2C">
      <w:pPr>
        <w:pStyle w:val="APRANORMAL"/>
        <w:rPr>
          <w:bCs/>
        </w:rPr>
      </w:pPr>
      <w:r>
        <w:t>As part of its Basel III reforms</w:t>
      </w:r>
      <w:r w:rsidRPr="00921FD4">
        <w:t xml:space="preserve">, the Basel Committee concluded that </w:t>
      </w:r>
      <w:r w:rsidR="00016941">
        <w:t xml:space="preserve">the </w:t>
      </w:r>
      <w:r w:rsidR="00743C50" w:rsidRPr="00743C50">
        <w:t>Advanced Measurement Approach (</w:t>
      </w:r>
      <w:r w:rsidRPr="00921FD4">
        <w:t>AMA</w:t>
      </w:r>
      <w:r w:rsidR="00016941">
        <w:t>)</w:t>
      </w:r>
      <w:r w:rsidRPr="00921FD4">
        <w:t xml:space="preserve"> </w:t>
      </w:r>
      <w:r w:rsidR="00743C50" w:rsidRPr="00743C50">
        <w:t xml:space="preserve">is inherently complex and there is a lack of comparability arising from </w:t>
      </w:r>
      <w:r w:rsidR="00CA3961">
        <w:t>the</w:t>
      </w:r>
      <w:r w:rsidR="00CA3961" w:rsidRPr="00743C50">
        <w:t xml:space="preserve"> </w:t>
      </w:r>
      <w:r w:rsidR="00743C50" w:rsidRPr="00743C50">
        <w:t xml:space="preserve">wide range of </w:t>
      </w:r>
      <w:r w:rsidRPr="00921FD4" w:rsidDel="00016941">
        <w:t xml:space="preserve">modelling practices </w:t>
      </w:r>
      <w:r w:rsidRPr="00921FD4">
        <w:t>globally</w:t>
      </w:r>
      <w:r w:rsidR="00743C50" w:rsidRPr="00743C50">
        <w:t xml:space="preserve">. </w:t>
      </w:r>
      <w:r w:rsidR="00743C50">
        <w:t>Also, for some banks</w:t>
      </w:r>
      <w:r w:rsidRPr="00921FD4">
        <w:t xml:space="preserve">, operational risk </w:t>
      </w:r>
      <w:r w:rsidR="00743C50" w:rsidRPr="00743C50">
        <w:t>capital requirements proved insufficient to cover incurred losses.</w:t>
      </w:r>
      <w:r w:rsidRPr="00921FD4">
        <w:t xml:space="preserve"> </w:t>
      </w:r>
      <w:r w:rsidR="00942B47">
        <w:t>For these reasons</w:t>
      </w:r>
      <w:r w:rsidRPr="00921FD4">
        <w:t xml:space="preserve">, </w:t>
      </w:r>
      <w:r>
        <w:t xml:space="preserve">under </w:t>
      </w:r>
      <w:r w:rsidRPr="00921FD4">
        <w:t xml:space="preserve">the </w:t>
      </w:r>
      <w:r>
        <w:t>Basel III operational risk proposals</w:t>
      </w:r>
      <w:r w:rsidR="00942B47">
        <w:t>,</w:t>
      </w:r>
      <w:r w:rsidRPr="00921FD4">
        <w:t xml:space="preserve"> </w:t>
      </w:r>
      <w:r>
        <w:t>the AMA</w:t>
      </w:r>
      <w:r w:rsidRPr="00921FD4">
        <w:t xml:space="preserve"> </w:t>
      </w:r>
      <w:r w:rsidR="001726D6">
        <w:t>has been</w:t>
      </w:r>
      <w:r>
        <w:t xml:space="preserve"> replaced with a new Standardised Measurement Approach (SMA), which also replace</w:t>
      </w:r>
      <w:r w:rsidR="001726D6">
        <w:t>s</w:t>
      </w:r>
      <w:r>
        <w:t xml:space="preserve"> the Basel</w:t>
      </w:r>
      <w:r w:rsidR="00942B47">
        <w:t> </w:t>
      </w:r>
      <w:r>
        <w:t>II standardised approaches to operational risk.</w:t>
      </w:r>
    </w:p>
    <w:p w14:paraId="23F79566" w14:textId="23D11E36" w:rsidR="00754B2C" w:rsidRDefault="00754B2C" w:rsidP="00754B2C">
      <w:pPr>
        <w:pStyle w:val="APRANORMAL"/>
        <w:rPr>
          <w:bCs/>
        </w:rPr>
      </w:pPr>
      <w:r w:rsidRPr="002B24CD">
        <w:rPr>
          <w:bCs/>
        </w:rPr>
        <w:t>The SMA bases an ADI’s operational risk capital requirement on a business (activity) indicator (BI)</w:t>
      </w:r>
      <w:r w:rsidR="00942B47">
        <w:rPr>
          <w:bCs/>
        </w:rPr>
        <w:t>,</w:t>
      </w:r>
      <w:r w:rsidRPr="002B24CD">
        <w:rPr>
          <w:bCs/>
        </w:rPr>
        <w:t xml:space="preserve"> which is intended to be a simple</w:t>
      </w:r>
      <w:r>
        <w:rPr>
          <w:bCs/>
        </w:rPr>
        <w:t xml:space="preserve">, </w:t>
      </w:r>
      <w:r w:rsidRPr="002B24CD">
        <w:rPr>
          <w:bCs/>
        </w:rPr>
        <w:t>financial statement data</w:t>
      </w:r>
      <w:r>
        <w:rPr>
          <w:bCs/>
        </w:rPr>
        <w:t>-based</w:t>
      </w:r>
      <w:r w:rsidRPr="002B24CD">
        <w:rPr>
          <w:bCs/>
        </w:rPr>
        <w:t xml:space="preserve"> proxy of operational risk exposure. The BI is multiplied by prescribed factors</w:t>
      </w:r>
      <w:r>
        <w:rPr>
          <w:bCs/>
        </w:rPr>
        <w:t>,</w:t>
      </w:r>
      <w:r w:rsidRPr="002B24CD">
        <w:rPr>
          <w:bCs/>
        </w:rPr>
        <w:t xml:space="preserve"> which increase in line with BI size</w:t>
      </w:r>
      <w:r>
        <w:rPr>
          <w:bCs/>
        </w:rPr>
        <w:t>,</w:t>
      </w:r>
      <w:r w:rsidRPr="002B24CD">
        <w:rPr>
          <w:bCs/>
        </w:rPr>
        <w:t xml:space="preserve"> to determine the</w:t>
      </w:r>
      <w:r w:rsidR="00016DAA">
        <w:rPr>
          <w:bCs/>
        </w:rPr>
        <w:t xml:space="preserve"> BI Component (BIC) of the SMA. </w:t>
      </w:r>
      <w:r w:rsidR="00016DAA">
        <w:rPr>
          <w:bCs/>
        </w:rPr>
        <w:fldChar w:fldCharType="begin"/>
      </w:r>
      <w:r w:rsidR="00016DAA">
        <w:rPr>
          <w:bCs/>
        </w:rPr>
        <w:instrText xml:space="preserve"> REF _Ref502743440 \n \h </w:instrText>
      </w:r>
      <w:r w:rsidR="00016DAA">
        <w:rPr>
          <w:bCs/>
        </w:rPr>
      </w:r>
      <w:r w:rsidR="00016DAA">
        <w:rPr>
          <w:bCs/>
        </w:rPr>
        <w:fldChar w:fldCharType="separate"/>
      </w:r>
      <w:r w:rsidR="00EB1F7A">
        <w:rPr>
          <w:bCs/>
        </w:rPr>
        <w:t>Table 12</w:t>
      </w:r>
      <w:r w:rsidR="00016DAA">
        <w:rPr>
          <w:bCs/>
        </w:rPr>
        <w:fldChar w:fldCharType="end"/>
      </w:r>
      <w:r w:rsidR="00016DAA">
        <w:rPr>
          <w:bCs/>
        </w:rPr>
        <w:t xml:space="preserve"> sets out these factors.</w:t>
      </w:r>
    </w:p>
    <w:p w14:paraId="545241E7" w14:textId="6AC3E0A6" w:rsidR="00730B1A" w:rsidRPr="005D1B63" w:rsidRDefault="00754B2C" w:rsidP="00730B1A">
      <w:pPr>
        <w:pStyle w:val="APRATABLE-NUMBER"/>
      </w:pPr>
      <w:bookmarkStart w:id="306" w:name="_Ref502743440"/>
      <w:r w:rsidRPr="005D1B63">
        <w:t>Factors used to calculate the BIC for operational risk</w:t>
      </w:r>
      <w:bookmarkEnd w:id="306"/>
    </w:p>
    <w:tbl>
      <w:tblPr>
        <w:tblStyle w:val="GridTable5Dark-Accent1"/>
        <w:tblW w:w="0" w:type="auto"/>
        <w:tblLayout w:type="fixed"/>
        <w:tblLook w:val="04A0" w:firstRow="1" w:lastRow="0" w:firstColumn="1" w:lastColumn="0" w:noHBand="0" w:noVBand="1"/>
      </w:tblPr>
      <w:tblGrid>
        <w:gridCol w:w="2268"/>
        <w:gridCol w:w="3374"/>
        <w:gridCol w:w="3374"/>
      </w:tblGrid>
      <w:tr w:rsidR="00754B2C" w:rsidRPr="002B24CD" w14:paraId="213FFEFC" w14:textId="77777777" w:rsidTr="00730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002060"/>
            <w:vAlign w:val="bottom"/>
          </w:tcPr>
          <w:p w14:paraId="4E15B0B2" w14:textId="77777777" w:rsidR="00754B2C" w:rsidRPr="002B24CD" w:rsidRDefault="00754B2C" w:rsidP="00730B1A">
            <w:pPr>
              <w:pStyle w:val="APRANORMAL"/>
              <w:spacing w:before="120" w:after="120"/>
              <w:jc w:val="center"/>
              <w:rPr>
                <w:rFonts w:ascii="DIN OT Medium" w:hAnsi="DIN OT Medium"/>
                <w:b w:val="0"/>
                <w:sz w:val="20"/>
                <w:szCs w:val="20"/>
              </w:rPr>
            </w:pPr>
            <w:r w:rsidRPr="002B24CD">
              <w:rPr>
                <w:rFonts w:ascii="DIN OT Medium" w:hAnsi="DIN OT Medium"/>
                <w:b w:val="0"/>
                <w:sz w:val="20"/>
                <w:szCs w:val="20"/>
              </w:rPr>
              <w:t>Bucket</w:t>
            </w:r>
          </w:p>
        </w:tc>
        <w:tc>
          <w:tcPr>
            <w:tcW w:w="3374" w:type="dxa"/>
            <w:tcBorders>
              <w:top w:val="none" w:sz="0" w:space="0" w:color="auto"/>
              <w:left w:val="none" w:sz="0" w:space="0" w:color="auto"/>
              <w:right w:val="none" w:sz="0" w:space="0" w:color="auto"/>
            </w:tcBorders>
            <w:shd w:val="clear" w:color="auto" w:fill="002060"/>
          </w:tcPr>
          <w:p w14:paraId="31288B2F" w14:textId="3A58D71D" w:rsidR="00754B2C" w:rsidRPr="002B24CD" w:rsidRDefault="00754B2C" w:rsidP="00730B1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2B24CD">
              <w:rPr>
                <w:rFonts w:ascii="DIN OT Medium" w:hAnsi="DIN OT Medium"/>
                <w:b w:val="0"/>
                <w:sz w:val="20"/>
                <w:szCs w:val="20"/>
              </w:rPr>
              <w:t xml:space="preserve">BI range </w:t>
            </w:r>
            <w:r w:rsidR="002A1B88">
              <w:rPr>
                <w:rFonts w:ascii="DIN OT Medium" w:hAnsi="DIN OT Medium"/>
                <w:b w:val="0"/>
                <w:sz w:val="20"/>
                <w:szCs w:val="20"/>
              </w:rPr>
              <w:br/>
            </w:r>
            <w:r w:rsidRPr="002B24CD">
              <w:rPr>
                <w:rFonts w:ascii="DIN OT Medium" w:hAnsi="DIN OT Medium"/>
                <w:b w:val="0"/>
                <w:sz w:val="20"/>
                <w:szCs w:val="20"/>
              </w:rPr>
              <w:t>€b</w:t>
            </w:r>
            <w:r w:rsidRPr="007B1E99">
              <w:rPr>
                <w:rStyle w:val="FootnoteReference"/>
                <w:color w:val="FFFFFF" w:themeColor="background1"/>
                <w:szCs w:val="20"/>
              </w:rPr>
              <w:footnoteReference w:id="40"/>
            </w:r>
          </w:p>
        </w:tc>
        <w:tc>
          <w:tcPr>
            <w:tcW w:w="3374" w:type="dxa"/>
            <w:tcBorders>
              <w:top w:val="none" w:sz="0" w:space="0" w:color="auto"/>
              <w:left w:val="none" w:sz="0" w:space="0" w:color="auto"/>
              <w:right w:val="none" w:sz="0" w:space="0" w:color="auto"/>
            </w:tcBorders>
            <w:shd w:val="clear" w:color="auto" w:fill="002060"/>
          </w:tcPr>
          <w:p w14:paraId="7B7060D6" w14:textId="09D9E359" w:rsidR="00754B2C" w:rsidRPr="002B24CD" w:rsidRDefault="00754B2C" w:rsidP="00730B1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2B24CD">
              <w:rPr>
                <w:rFonts w:ascii="DIN OT Medium" w:hAnsi="DIN OT Medium"/>
                <w:b w:val="0"/>
                <w:sz w:val="20"/>
                <w:szCs w:val="20"/>
              </w:rPr>
              <w:t>BI marginal coefficients</w:t>
            </w:r>
            <w:r w:rsidR="002A1B88">
              <w:rPr>
                <w:rFonts w:ascii="DIN OT Medium" w:hAnsi="DIN OT Medium"/>
                <w:b w:val="0"/>
                <w:sz w:val="20"/>
                <w:szCs w:val="20"/>
              </w:rPr>
              <w:br/>
            </w:r>
            <w:r w:rsidR="00982682">
              <w:rPr>
                <w:rFonts w:ascii="DIN OT Medium" w:hAnsi="DIN OT Medium"/>
                <w:b w:val="0"/>
                <w:sz w:val="20"/>
                <w:szCs w:val="20"/>
              </w:rPr>
              <w:t>%</w:t>
            </w:r>
          </w:p>
        </w:tc>
      </w:tr>
      <w:tr w:rsidR="00754B2C" w:rsidRPr="002B24CD" w14:paraId="6BBFE5AC" w14:textId="77777777" w:rsidTr="007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002060"/>
            <w:vAlign w:val="center"/>
          </w:tcPr>
          <w:p w14:paraId="2F25CC29" w14:textId="77777777" w:rsidR="00754B2C" w:rsidRPr="002B24CD" w:rsidRDefault="00754B2C" w:rsidP="00730B1A">
            <w:pPr>
              <w:pStyle w:val="APRANORMAL"/>
              <w:spacing w:before="120" w:after="120"/>
              <w:jc w:val="center"/>
              <w:rPr>
                <w:rFonts w:ascii="DIN OT Medium" w:hAnsi="DIN OT Medium"/>
                <w:b w:val="0"/>
                <w:sz w:val="20"/>
                <w:szCs w:val="20"/>
              </w:rPr>
            </w:pPr>
            <w:r w:rsidRPr="002B24CD">
              <w:rPr>
                <w:rFonts w:ascii="DIN OT Medium" w:hAnsi="DIN OT Medium"/>
                <w:b w:val="0"/>
                <w:sz w:val="20"/>
                <w:szCs w:val="20"/>
              </w:rPr>
              <w:t>1</w:t>
            </w:r>
          </w:p>
        </w:tc>
        <w:tc>
          <w:tcPr>
            <w:tcW w:w="3374" w:type="dxa"/>
            <w:shd w:val="clear" w:color="auto" w:fill="D9D9D9" w:themeFill="background1" w:themeFillShade="D9"/>
            <w:vAlign w:val="center"/>
          </w:tcPr>
          <w:p w14:paraId="581606BA" w14:textId="77777777" w:rsidR="00754B2C" w:rsidRPr="002B24CD" w:rsidRDefault="00754B2C" w:rsidP="00730B1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B24CD">
              <w:rPr>
                <w:sz w:val="20"/>
                <w:szCs w:val="20"/>
              </w:rPr>
              <w:t>BI ≤1</w:t>
            </w:r>
          </w:p>
        </w:tc>
        <w:tc>
          <w:tcPr>
            <w:tcW w:w="3374" w:type="dxa"/>
            <w:shd w:val="clear" w:color="auto" w:fill="D9D9D9" w:themeFill="background1" w:themeFillShade="D9"/>
            <w:vAlign w:val="center"/>
          </w:tcPr>
          <w:p w14:paraId="600CF27F" w14:textId="06F39185" w:rsidR="00754B2C" w:rsidRPr="002B24CD" w:rsidRDefault="00754B2C" w:rsidP="00730B1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B24CD">
              <w:rPr>
                <w:sz w:val="20"/>
                <w:szCs w:val="20"/>
              </w:rPr>
              <w:t>12</w:t>
            </w:r>
          </w:p>
        </w:tc>
      </w:tr>
      <w:tr w:rsidR="00754B2C" w:rsidRPr="002B24CD" w14:paraId="7F026541" w14:textId="77777777" w:rsidTr="00730B1A">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002060"/>
            <w:vAlign w:val="center"/>
          </w:tcPr>
          <w:p w14:paraId="3BDAFB22" w14:textId="77777777" w:rsidR="00754B2C" w:rsidRPr="002B24CD" w:rsidRDefault="00754B2C" w:rsidP="00730B1A">
            <w:pPr>
              <w:pStyle w:val="APRANORMAL"/>
              <w:spacing w:before="120" w:after="120"/>
              <w:jc w:val="center"/>
              <w:rPr>
                <w:rFonts w:ascii="DIN OT Medium" w:hAnsi="DIN OT Medium"/>
                <w:b w:val="0"/>
                <w:sz w:val="20"/>
                <w:szCs w:val="20"/>
              </w:rPr>
            </w:pPr>
            <w:r w:rsidRPr="002B24CD">
              <w:rPr>
                <w:rFonts w:ascii="DIN OT Medium" w:hAnsi="DIN OT Medium"/>
                <w:b w:val="0"/>
                <w:sz w:val="20"/>
                <w:szCs w:val="20"/>
              </w:rPr>
              <w:t>2</w:t>
            </w:r>
          </w:p>
        </w:tc>
        <w:tc>
          <w:tcPr>
            <w:tcW w:w="3374" w:type="dxa"/>
            <w:shd w:val="clear" w:color="auto" w:fill="D9D9D9" w:themeFill="background1" w:themeFillShade="D9"/>
            <w:vAlign w:val="center"/>
          </w:tcPr>
          <w:p w14:paraId="5AE126BC" w14:textId="77777777" w:rsidR="00754B2C" w:rsidRPr="002B24CD" w:rsidRDefault="00754B2C" w:rsidP="00730B1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B24CD">
              <w:rPr>
                <w:sz w:val="20"/>
                <w:szCs w:val="20"/>
              </w:rPr>
              <w:t>1 &lt; BI ≤ 30</w:t>
            </w:r>
          </w:p>
        </w:tc>
        <w:tc>
          <w:tcPr>
            <w:tcW w:w="3374" w:type="dxa"/>
            <w:shd w:val="clear" w:color="auto" w:fill="D9D9D9" w:themeFill="background1" w:themeFillShade="D9"/>
            <w:vAlign w:val="center"/>
          </w:tcPr>
          <w:p w14:paraId="0A97DCE8" w14:textId="49225A08" w:rsidR="00754B2C" w:rsidRPr="002B24CD" w:rsidRDefault="00754B2C" w:rsidP="00730B1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B24CD">
              <w:rPr>
                <w:sz w:val="20"/>
                <w:szCs w:val="20"/>
              </w:rPr>
              <w:t>15</w:t>
            </w:r>
          </w:p>
        </w:tc>
      </w:tr>
      <w:tr w:rsidR="00754B2C" w:rsidRPr="002B24CD" w14:paraId="31C8753E" w14:textId="77777777" w:rsidTr="007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002060"/>
            <w:vAlign w:val="center"/>
          </w:tcPr>
          <w:p w14:paraId="19F35891" w14:textId="77777777" w:rsidR="00754B2C" w:rsidRPr="002B24CD" w:rsidRDefault="00754B2C" w:rsidP="00730B1A">
            <w:pPr>
              <w:pStyle w:val="APRANORMAL"/>
              <w:spacing w:before="120" w:after="120"/>
              <w:jc w:val="center"/>
              <w:rPr>
                <w:rFonts w:ascii="DIN OT Medium" w:hAnsi="DIN OT Medium"/>
                <w:b w:val="0"/>
                <w:sz w:val="20"/>
                <w:szCs w:val="20"/>
              </w:rPr>
            </w:pPr>
            <w:r w:rsidRPr="002B24CD">
              <w:rPr>
                <w:rFonts w:ascii="DIN OT Medium" w:hAnsi="DIN OT Medium"/>
                <w:b w:val="0"/>
                <w:sz w:val="20"/>
                <w:szCs w:val="20"/>
              </w:rPr>
              <w:t>3</w:t>
            </w:r>
          </w:p>
        </w:tc>
        <w:tc>
          <w:tcPr>
            <w:tcW w:w="3374" w:type="dxa"/>
            <w:shd w:val="clear" w:color="auto" w:fill="D9D9D9" w:themeFill="background1" w:themeFillShade="D9"/>
            <w:vAlign w:val="center"/>
          </w:tcPr>
          <w:p w14:paraId="27996029" w14:textId="1CC9572A" w:rsidR="00754B2C" w:rsidRPr="002B24CD" w:rsidRDefault="00754B2C" w:rsidP="00730B1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B24CD">
              <w:rPr>
                <w:sz w:val="20"/>
                <w:szCs w:val="20"/>
              </w:rPr>
              <w:t xml:space="preserve">BI </w:t>
            </w:r>
            <w:r w:rsidR="00B26DD5">
              <w:rPr>
                <w:sz w:val="20"/>
                <w:szCs w:val="20"/>
              </w:rPr>
              <w:t>&gt;</w:t>
            </w:r>
            <w:r w:rsidRPr="002B24CD">
              <w:rPr>
                <w:sz w:val="20"/>
                <w:szCs w:val="20"/>
              </w:rPr>
              <w:t xml:space="preserve"> 30</w:t>
            </w:r>
          </w:p>
        </w:tc>
        <w:tc>
          <w:tcPr>
            <w:tcW w:w="3374" w:type="dxa"/>
            <w:shd w:val="clear" w:color="auto" w:fill="D9D9D9" w:themeFill="background1" w:themeFillShade="D9"/>
            <w:vAlign w:val="center"/>
          </w:tcPr>
          <w:p w14:paraId="420AC230" w14:textId="45E4C005" w:rsidR="00754B2C" w:rsidRPr="002B24CD" w:rsidRDefault="00754B2C" w:rsidP="00730B1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B24CD">
              <w:rPr>
                <w:sz w:val="20"/>
                <w:szCs w:val="20"/>
              </w:rPr>
              <w:t>18</w:t>
            </w:r>
          </w:p>
        </w:tc>
      </w:tr>
    </w:tbl>
    <w:p w14:paraId="7246A223" w14:textId="77777777" w:rsidR="00754B2C" w:rsidRPr="002B24CD" w:rsidRDefault="00754B2C" w:rsidP="00754B2C">
      <w:pPr>
        <w:pStyle w:val="APRANORMAL"/>
        <w:rPr>
          <w:bCs/>
        </w:rPr>
      </w:pPr>
    </w:p>
    <w:p w14:paraId="1AC71805" w14:textId="05C3821B" w:rsidR="00754B2C" w:rsidRDefault="00754B2C" w:rsidP="00754B2C">
      <w:pPr>
        <w:pStyle w:val="APRANORMAL"/>
        <w:rPr>
          <w:bCs/>
        </w:rPr>
      </w:pPr>
      <w:r w:rsidRPr="002B24CD">
        <w:rPr>
          <w:bCs/>
        </w:rPr>
        <w:lastRenderedPageBreak/>
        <w:t xml:space="preserve">For example, for an ADI with a BI of €3b, the BIC would be calculated as BIC = 12% x €1b + 15% x </w:t>
      </w:r>
      <w:r>
        <w:rPr>
          <w:bCs/>
        </w:rPr>
        <w:t>(</w:t>
      </w:r>
      <w:r w:rsidRPr="002B24CD">
        <w:rPr>
          <w:bCs/>
        </w:rPr>
        <w:t>€</w:t>
      </w:r>
      <w:r>
        <w:rPr>
          <w:bCs/>
        </w:rPr>
        <w:t>3</w:t>
      </w:r>
      <w:r w:rsidRPr="002B24CD">
        <w:rPr>
          <w:bCs/>
        </w:rPr>
        <w:t>b</w:t>
      </w:r>
      <w:r>
        <w:rPr>
          <w:bCs/>
        </w:rPr>
        <w:t>-</w:t>
      </w:r>
      <w:r w:rsidRPr="002B24CD">
        <w:rPr>
          <w:bCs/>
        </w:rPr>
        <w:t>€</w:t>
      </w:r>
      <w:r>
        <w:rPr>
          <w:bCs/>
        </w:rPr>
        <w:t>1</w:t>
      </w:r>
      <w:r w:rsidRPr="002B24CD">
        <w:rPr>
          <w:bCs/>
        </w:rPr>
        <w:t>b</w:t>
      </w:r>
      <w:r>
        <w:rPr>
          <w:bCs/>
        </w:rPr>
        <w:t>)</w:t>
      </w:r>
      <w:r w:rsidRPr="002B24CD">
        <w:rPr>
          <w:bCs/>
        </w:rPr>
        <w:t xml:space="preserve"> = €0.42b. The operational risk capital requirement is the BIC multiplied by the Loss Component Multiplier, which is determined based on an ADI’s loss history</w:t>
      </w:r>
      <w:r>
        <w:rPr>
          <w:bCs/>
        </w:rPr>
        <w:t>. H</w:t>
      </w:r>
      <w:r w:rsidRPr="002B24CD">
        <w:rPr>
          <w:bCs/>
        </w:rPr>
        <w:t>owever</w:t>
      </w:r>
      <w:r>
        <w:rPr>
          <w:bCs/>
        </w:rPr>
        <w:t>,</w:t>
      </w:r>
      <w:r w:rsidRPr="002B24CD">
        <w:rPr>
          <w:bCs/>
        </w:rPr>
        <w:t xml:space="preserve"> the Basel III </w:t>
      </w:r>
      <w:r w:rsidR="00194845">
        <w:rPr>
          <w:bCs/>
        </w:rPr>
        <w:t>framework</w:t>
      </w:r>
      <w:r w:rsidR="00194845" w:rsidRPr="002B24CD">
        <w:rPr>
          <w:bCs/>
        </w:rPr>
        <w:t xml:space="preserve"> </w:t>
      </w:r>
      <w:r w:rsidR="00016DAA">
        <w:rPr>
          <w:bCs/>
        </w:rPr>
        <w:t>affords</w:t>
      </w:r>
      <w:r w:rsidR="00194845">
        <w:rPr>
          <w:bCs/>
        </w:rPr>
        <w:t xml:space="preserve"> national supervisors </w:t>
      </w:r>
      <w:r w:rsidR="00016DAA">
        <w:rPr>
          <w:bCs/>
        </w:rPr>
        <w:t xml:space="preserve">discretion </w:t>
      </w:r>
      <w:r w:rsidRPr="002B24CD">
        <w:rPr>
          <w:bCs/>
        </w:rPr>
        <w:t>to</w:t>
      </w:r>
      <w:r w:rsidR="00605B6E">
        <w:rPr>
          <w:bCs/>
        </w:rPr>
        <w:t xml:space="preserve"> eschew the loss component</w:t>
      </w:r>
      <w:r w:rsidR="0003178C">
        <w:rPr>
          <w:bCs/>
        </w:rPr>
        <w:t>; in such cases,</w:t>
      </w:r>
      <w:r w:rsidRPr="002B24CD">
        <w:rPr>
          <w:bCs/>
        </w:rPr>
        <w:t xml:space="preserve"> the</w:t>
      </w:r>
      <w:r w:rsidR="0003178C">
        <w:rPr>
          <w:bCs/>
        </w:rPr>
        <w:t xml:space="preserve"> BIC constitute</w:t>
      </w:r>
      <w:r w:rsidR="00016DAA">
        <w:rPr>
          <w:bCs/>
        </w:rPr>
        <w:t>s</w:t>
      </w:r>
      <w:r w:rsidR="0003178C">
        <w:rPr>
          <w:bCs/>
        </w:rPr>
        <w:t xml:space="preserve"> the</w:t>
      </w:r>
      <w:r w:rsidRPr="002B24CD">
        <w:rPr>
          <w:bCs/>
        </w:rPr>
        <w:t xml:space="preserve"> </w:t>
      </w:r>
      <w:r>
        <w:rPr>
          <w:bCs/>
        </w:rPr>
        <w:t xml:space="preserve">operational risk requirement </w:t>
      </w:r>
      <w:r w:rsidR="00016DAA">
        <w:rPr>
          <w:bCs/>
        </w:rPr>
        <w:t xml:space="preserve">for </w:t>
      </w:r>
      <w:r w:rsidRPr="002B24CD">
        <w:rPr>
          <w:bCs/>
        </w:rPr>
        <w:t>all banks within th</w:t>
      </w:r>
      <w:r w:rsidR="007B1E99">
        <w:rPr>
          <w:bCs/>
        </w:rPr>
        <w:t>at</w:t>
      </w:r>
      <w:r w:rsidRPr="002B24CD">
        <w:rPr>
          <w:bCs/>
        </w:rPr>
        <w:t xml:space="preserve"> jurisdiction.</w:t>
      </w:r>
    </w:p>
    <w:p w14:paraId="62F142AB" w14:textId="77777777" w:rsidR="00754B2C" w:rsidRDefault="00754B2C" w:rsidP="00754B2C">
      <w:pPr>
        <w:pStyle w:val="APRAHEADING4"/>
      </w:pPr>
      <w:r>
        <w:t>Qualitative requirements</w:t>
      </w:r>
    </w:p>
    <w:p w14:paraId="5C978591" w14:textId="739F391A" w:rsidR="00754B2C" w:rsidRPr="006A558D" w:rsidRDefault="00754B2C" w:rsidP="00754B2C">
      <w:pPr>
        <w:pStyle w:val="APRANORMAL"/>
        <w:rPr>
          <w:bCs/>
        </w:rPr>
      </w:pPr>
      <w:r>
        <w:rPr>
          <w:bCs/>
        </w:rPr>
        <w:t>By replacing the two existing capital calculation approaches with a single approach, Basel</w:t>
      </w:r>
      <w:r w:rsidR="00016DAA">
        <w:rPr>
          <w:bCs/>
        </w:rPr>
        <w:t> </w:t>
      </w:r>
      <w:r>
        <w:rPr>
          <w:bCs/>
        </w:rPr>
        <w:t>III</w:t>
      </w:r>
      <w:r w:rsidDel="00CE2146">
        <w:rPr>
          <w:bCs/>
        </w:rPr>
        <w:t xml:space="preserve"> </w:t>
      </w:r>
      <w:r>
        <w:rPr>
          <w:bCs/>
        </w:rPr>
        <w:t xml:space="preserve">has removed the qualitative requirements within the qualifying criteria for the Basel II standardised approach and the </w:t>
      </w:r>
      <w:r w:rsidR="00C772F0">
        <w:rPr>
          <w:bCs/>
        </w:rPr>
        <w:t>AMA</w:t>
      </w:r>
      <w:r>
        <w:rPr>
          <w:bCs/>
        </w:rPr>
        <w:t>.</w:t>
      </w:r>
      <w:r w:rsidRPr="00683F51">
        <w:rPr>
          <w:bCs/>
        </w:rPr>
        <w:t xml:space="preserve"> </w:t>
      </w:r>
      <w:r>
        <w:rPr>
          <w:bCs/>
        </w:rPr>
        <w:t>However,</w:t>
      </w:r>
      <w:r w:rsidRPr="006A558D" w:rsidDel="00CE2146">
        <w:rPr>
          <w:bCs/>
        </w:rPr>
        <w:t xml:space="preserve"> </w:t>
      </w:r>
      <w:r>
        <w:rPr>
          <w:bCs/>
        </w:rPr>
        <w:t>Basel III introduce</w:t>
      </w:r>
      <w:r w:rsidR="00194845">
        <w:rPr>
          <w:bCs/>
        </w:rPr>
        <w:t>s</w:t>
      </w:r>
      <w:r>
        <w:rPr>
          <w:bCs/>
        </w:rPr>
        <w:t xml:space="preserve"> new qualitative criteria on loss data identification, collection and treatment. These criteria, which apply only to banks in buckets 2 or 3 (i.e. those with BI &gt; €1b</w:t>
      </w:r>
      <w:r w:rsidR="00194845">
        <w:rPr>
          <w:bCs/>
        </w:rPr>
        <w:t xml:space="preserve"> as indicated in </w:t>
      </w:r>
      <w:r w:rsidR="00016DAA">
        <w:rPr>
          <w:bCs/>
        </w:rPr>
        <w:fldChar w:fldCharType="begin"/>
      </w:r>
      <w:r w:rsidR="00016DAA">
        <w:rPr>
          <w:bCs/>
        </w:rPr>
        <w:instrText xml:space="preserve"> REF _Ref502743440 \n \h </w:instrText>
      </w:r>
      <w:r w:rsidR="00016DAA">
        <w:rPr>
          <w:bCs/>
        </w:rPr>
      </w:r>
      <w:r w:rsidR="00016DAA">
        <w:rPr>
          <w:bCs/>
        </w:rPr>
        <w:fldChar w:fldCharType="separate"/>
      </w:r>
      <w:r w:rsidR="00EB1F7A">
        <w:rPr>
          <w:bCs/>
        </w:rPr>
        <w:t>Table 12</w:t>
      </w:r>
      <w:r w:rsidR="00016DAA">
        <w:rPr>
          <w:bCs/>
        </w:rPr>
        <w:fldChar w:fldCharType="end"/>
      </w:r>
      <w:r>
        <w:rPr>
          <w:bCs/>
        </w:rPr>
        <w:t>), also include additional disclosure requirements.</w:t>
      </w:r>
    </w:p>
    <w:p w14:paraId="3BEBF7A6" w14:textId="5BE380C9" w:rsidR="00754B2C" w:rsidRDefault="00754B2C" w:rsidP="00441787">
      <w:pPr>
        <w:pStyle w:val="APRAHEADING2"/>
      </w:pPr>
      <w:bookmarkStart w:id="307" w:name="_Toc505676426"/>
      <w:bookmarkStart w:id="308" w:name="_Toc505676518"/>
      <w:bookmarkStart w:id="309" w:name="_Toc505681590"/>
      <w:bookmarkStart w:id="310" w:name="_Toc505681772"/>
      <w:bookmarkStart w:id="311" w:name="_Toc505854716"/>
      <w:bookmarkStart w:id="312" w:name="_Toc506285816"/>
      <w:r>
        <w:t xml:space="preserve">APRA’s </w:t>
      </w:r>
      <w:r w:rsidR="001852E0">
        <w:t>proposals</w:t>
      </w:r>
      <w:bookmarkEnd w:id="307"/>
      <w:bookmarkEnd w:id="308"/>
      <w:bookmarkEnd w:id="309"/>
      <w:bookmarkEnd w:id="310"/>
      <w:bookmarkEnd w:id="311"/>
      <w:bookmarkEnd w:id="312"/>
    </w:p>
    <w:p w14:paraId="66886B53" w14:textId="77777777" w:rsidR="00754B2C" w:rsidRDefault="00754B2C" w:rsidP="00754B2C">
      <w:pPr>
        <w:pStyle w:val="APRAHEADING4"/>
      </w:pPr>
      <w:r>
        <w:t>Capital calculation</w:t>
      </w:r>
    </w:p>
    <w:p w14:paraId="1A8A4F0F" w14:textId="0BB50736" w:rsidR="00754B2C" w:rsidRDefault="00016DAA" w:rsidP="00754B2C">
      <w:pPr>
        <w:pStyle w:val="APRANORMAL"/>
        <w:rPr>
          <w:bCs/>
        </w:rPr>
      </w:pPr>
      <w:r>
        <w:rPr>
          <w:bCs/>
        </w:rPr>
        <w:t>In considering the Basel </w:t>
      </w:r>
      <w:r w:rsidR="00754B2C">
        <w:rPr>
          <w:bCs/>
        </w:rPr>
        <w:t xml:space="preserve">III </w:t>
      </w:r>
      <w:r w:rsidR="00B1304D">
        <w:rPr>
          <w:bCs/>
        </w:rPr>
        <w:t>reforms</w:t>
      </w:r>
      <w:r w:rsidR="00754B2C">
        <w:rPr>
          <w:bCs/>
        </w:rPr>
        <w:t xml:space="preserve">, APRA notes that </w:t>
      </w:r>
      <w:r>
        <w:rPr>
          <w:bCs/>
        </w:rPr>
        <w:t>the</w:t>
      </w:r>
      <w:r w:rsidR="00754B2C">
        <w:rPr>
          <w:bCs/>
        </w:rPr>
        <w:t xml:space="preserve"> </w:t>
      </w:r>
      <w:r w:rsidR="00754B2C" w:rsidRPr="00190EDE">
        <w:rPr>
          <w:bCs/>
        </w:rPr>
        <w:t>existing standardised approach is comparatively simple and represents established practice for standardised ADIs. However, the SMA explicitly consider</w:t>
      </w:r>
      <w:r w:rsidR="00754B2C">
        <w:rPr>
          <w:bCs/>
        </w:rPr>
        <w:t>s</w:t>
      </w:r>
      <w:r w:rsidR="00754B2C" w:rsidRPr="00190EDE">
        <w:rPr>
          <w:bCs/>
        </w:rPr>
        <w:t xml:space="preserve"> entity size, and APRA is of the view that this results in a superior alignment of relative capital with size, nature and complexity. The expected international alignment and comparability </w:t>
      </w:r>
      <w:r w:rsidR="00194845">
        <w:rPr>
          <w:bCs/>
        </w:rPr>
        <w:t>that</w:t>
      </w:r>
      <w:r w:rsidR="00194845" w:rsidRPr="00190EDE">
        <w:rPr>
          <w:bCs/>
        </w:rPr>
        <w:t xml:space="preserve"> </w:t>
      </w:r>
      <w:r w:rsidR="00754B2C" w:rsidRPr="00190EDE">
        <w:rPr>
          <w:bCs/>
        </w:rPr>
        <w:t>the SMA will deliver lend further weight to its adoption.</w:t>
      </w:r>
    </w:p>
    <w:p w14:paraId="4707A83F" w14:textId="6D925966" w:rsidR="00754B2C" w:rsidRDefault="00754B2C" w:rsidP="00754B2C">
      <w:pPr>
        <w:pStyle w:val="APRANORMAL"/>
        <w:rPr>
          <w:bCs/>
        </w:rPr>
      </w:pPr>
      <w:r>
        <w:rPr>
          <w:bCs/>
        </w:rPr>
        <w:t>To implement</w:t>
      </w:r>
      <w:r w:rsidRPr="00551183">
        <w:rPr>
          <w:bCs/>
        </w:rPr>
        <w:t xml:space="preserve"> the SMA, APRA </w:t>
      </w:r>
      <w:r w:rsidR="007820F5">
        <w:rPr>
          <w:bCs/>
        </w:rPr>
        <w:t>would</w:t>
      </w:r>
      <w:r w:rsidR="007820F5" w:rsidRPr="00551183">
        <w:rPr>
          <w:bCs/>
        </w:rPr>
        <w:t xml:space="preserve"> </w:t>
      </w:r>
      <w:r w:rsidRPr="00551183">
        <w:rPr>
          <w:bCs/>
        </w:rPr>
        <w:t xml:space="preserve">need to specify the BI </w:t>
      </w:r>
      <w:r w:rsidR="0031017E">
        <w:rPr>
          <w:bCs/>
        </w:rPr>
        <w:t>ranges</w:t>
      </w:r>
      <w:r w:rsidRPr="00551183">
        <w:rPr>
          <w:bCs/>
        </w:rPr>
        <w:t xml:space="preserve"> in terms of A</w:t>
      </w:r>
      <w:r w:rsidR="00D15065">
        <w:rPr>
          <w:bCs/>
        </w:rPr>
        <w:t>ustralian dollars</w:t>
      </w:r>
      <w:r w:rsidRPr="00551183">
        <w:rPr>
          <w:bCs/>
        </w:rPr>
        <w:t xml:space="preserve"> rather than E</w:t>
      </w:r>
      <w:r w:rsidR="00D15065">
        <w:rPr>
          <w:bCs/>
        </w:rPr>
        <w:t>uro</w:t>
      </w:r>
      <w:r w:rsidR="00BB4572">
        <w:rPr>
          <w:bCs/>
        </w:rPr>
        <w:t>s</w:t>
      </w:r>
      <w:r w:rsidRPr="00551183">
        <w:rPr>
          <w:bCs/>
        </w:rPr>
        <w:t xml:space="preserve">, noting that the FX conversion factor chosen </w:t>
      </w:r>
      <w:r>
        <w:rPr>
          <w:bCs/>
        </w:rPr>
        <w:t>will</w:t>
      </w:r>
      <w:r w:rsidRPr="00551183">
        <w:rPr>
          <w:bCs/>
        </w:rPr>
        <w:t xml:space="preserve"> </w:t>
      </w:r>
      <w:r>
        <w:rPr>
          <w:bCs/>
        </w:rPr>
        <w:t>affect</w:t>
      </w:r>
      <w:r w:rsidRPr="00551183">
        <w:rPr>
          <w:bCs/>
        </w:rPr>
        <w:t xml:space="preserve"> the capital calculation for some ADIs. </w:t>
      </w:r>
      <w:r>
        <w:rPr>
          <w:bCs/>
        </w:rPr>
        <w:t>This will be taken into consideration as part of the calibration process.</w:t>
      </w:r>
    </w:p>
    <w:p w14:paraId="0BE9AA78" w14:textId="3584CB7A" w:rsidR="00194845" w:rsidRDefault="00016DAA" w:rsidP="00754B2C">
      <w:pPr>
        <w:pStyle w:val="APRANORMAL"/>
        <w:rPr>
          <w:bCs/>
        </w:rPr>
      </w:pPr>
      <w:r>
        <w:rPr>
          <w:bCs/>
        </w:rPr>
        <w:t>In adopting the Basel </w:t>
      </w:r>
      <w:r w:rsidR="00754B2C">
        <w:rPr>
          <w:bCs/>
        </w:rPr>
        <w:t xml:space="preserve">III </w:t>
      </w:r>
      <w:r w:rsidR="00754B2C" w:rsidRPr="00544E66">
        <w:rPr>
          <w:bCs/>
        </w:rPr>
        <w:t>SMA framework</w:t>
      </w:r>
      <w:r w:rsidR="00754B2C">
        <w:rPr>
          <w:bCs/>
        </w:rPr>
        <w:t>,</w:t>
      </w:r>
      <w:r w:rsidR="00754B2C" w:rsidRPr="00544E66">
        <w:rPr>
          <w:bCs/>
        </w:rPr>
        <w:t xml:space="preserve"> APRA considers that the incorporation of loss data </w:t>
      </w:r>
      <w:r w:rsidR="00BA4420">
        <w:rPr>
          <w:bCs/>
        </w:rPr>
        <w:t xml:space="preserve">via the Loss Component Multiplier </w:t>
      </w:r>
      <w:r w:rsidR="00754B2C" w:rsidRPr="00544E66">
        <w:rPr>
          <w:bCs/>
        </w:rPr>
        <w:t xml:space="preserve">is subject to a number of </w:t>
      </w:r>
      <w:r w:rsidR="00B24FDD">
        <w:rPr>
          <w:bCs/>
        </w:rPr>
        <w:t>challenges</w:t>
      </w:r>
      <w:r w:rsidR="00754B2C" w:rsidRPr="00544E66">
        <w:rPr>
          <w:bCs/>
        </w:rPr>
        <w:t>, including</w:t>
      </w:r>
      <w:r w:rsidR="00194845">
        <w:rPr>
          <w:bCs/>
        </w:rPr>
        <w:t>:</w:t>
      </w:r>
    </w:p>
    <w:p w14:paraId="6EAFE55B" w14:textId="118F7260" w:rsidR="00194845" w:rsidRDefault="00754B2C" w:rsidP="00441787">
      <w:pPr>
        <w:pStyle w:val="APRABULLET"/>
      </w:pPr>
      <w:r w:rsidRPr="00544E66">
        <w:t xml:space="preserve">the effect that capital rises after a loss event rather than being in place to provide for a loss event; </w:t>
      </w:r>
    </w:p>
    <w:p w14:paraId="7B572BC8" w14:textId="77777777" w:rsidR="00194845" w:rsidRDefault="00754B2C" w:rsidP="00441787">
      <w:pPr>
        <w:pStyle w:val="APRABULLET"/>
      </w:pPr>
      <w:r w:rsidRPr="00544E66">
        <w:t xml:space="preserve">the potential for extraneous volatility in capital and a significant misalignment between current exposure and capital; and </w:t>
      </w:r>
    </w:p>
    <w:p w14:paraId="22453F2F" w14:textId="77777777" w:rsidR="00194845" w:rsidRDefault="00754B2C" w:rsidP="00C772F0">
      <w:pPr>
        <w:pStyle w:val="APRABULLET"/>
        <w:spacing w:after="240"/>
      </w:pPr>
      <w:r w:rsidRPr="00544E66">
        <w:lastRenderedPageBreak/>
        <w:t xml:space="preserve">the linkage of capital to events related to historical businesses and controls which </w:t>
      </w:r>
      <w:r>
        <w:t xml:space="preserve">may </w:t>
      </w:r>
      <w:r w:rsidRPr="00544E66">
        <w:t xml:space="preserve">have since changed. </w:t>
      </w:r>
    </w:p>
    <w:p w14:paraId="0BCE62C4" w14:textId="2FAE4F8A" w:rsidR="00754B2C" w:rsidRPr="00544E66" w:rsidRDefault="00754B2C">
      <w:pPr>
        <w:pStyle w:val="APRANORMAL"/>
      </w:pPr>
      <w:r w:rsidRPr="00544E66">
        <w:t xml:space="preserve">Accordingly, </w:t>
      </w:r>
      <w:r w:rsidRPr="00811CA6">
        <w:t>APRA propos</w:t>
      </w:r>
      <w:r w:rsidR="009D392B">
        <w:t>es</w:t>
      </w:r>
      <w:r w:rsidRPr="00811CA6">
        <w:t xml:space="preserve"> to exercise </w:t>
      </w:r>
      <w:r>
        <w:t>its national</w:t>
      </w:r>
      <w:r w:rsidRPr="00811CA6">
        <w:t xml:space="preserve"> discretion to </w:t>
      </w:r>
      <w:r w:rsidRPr="005D2945">
        <w:t xml:space="preserve">not implement the </w:t>
      </w:r>
      <w:r w:rsidR="00982682">
        <w:t>l</w:t>
      </w:r>
      <w:r w:rsidRPr="005D2945">
        <w:t xml:space="preserve">oss </w:t>
      </w:r>
      <w:r w:rsidR="00982682">
        <w:t>c</w:t>
      </w:r>
      <w:r w:rsidRPr="005D2945">
        <w:t xml:space="preserve">omponent, and instead set the operational risk requirement equal to the BIC for all </w:t>
      </w:r>
      <w:r>
        <w:t>ADIs</w:t>
      </w:r>
      <w:r w:rsidRPr="005D2945">
        <w:t>.</w:t>
      </w:r>
      <w:r>
        <w:t xml:space="preserve"> S</w:t>
      </w:r>
      <w:r w:rsidRPr="00544E66">
        <w:t>hould APRA assess that an ADI’s operational risk capital requirement lacks sufficient credibility</w:t>
      </w:r>
      <w:r w:rsidR="003D7219">
        <w:t>—</w:t>
      </w:r>
      <w:r w:rsidRPr="00544E66">
        <w:t>taking into account the ADI’s size, nature and complexity, informed by qualitative and quantitative information (including loss history)</w:t>
      </w:r>
      <w:r w:rsidR="00194845">
        <w:t>—</w:t>
      </w:r>
      <w:r w:rsidRPr="00544E66">
        <w:t xml:space="preserve">then supervisory </w:t>
      </w:r>
      <w:r>
        <w:t xml:space="preserve">adjustments to the </w:t>
      </w:r>
      <w:r w:rsidR="00183144">
        <w:t xml:space="preserve">ADI’s </w:t>
      </w:r>
      <w:r>
        <w:t xml:space="preserve">prudential capital requirement </w:t>
      </w:r>
      <w:r w:rsidRPr="00544E66">
        <w:t xml:space="preserve">may be considered.  </w:t>
      </w:r>
    </w:p>
    <w:p w14:paraId="07AF9F92" w14:textId="77777777" w:rsidR="00754B2C" w:rsidRDefault="00754B2C" w:rsidP="00754B2C">
      <w:pPr>
        <w:pStyle w:val="APRAHEADING4"/>
      </w:pPr>
      <w:r>
        <w:t>Qualitative requirements</w:t>
      </w:r>
    </w:p>
    <w:p w14:paraId="77895783" w14:textId="40CB8DD5" w:rsidR="00754B2C" w:rsidRDefault="00754B2C" w:rsidP="00754B2C">
      <w:pPr>
        <w:pStyle w:val="APRANORMAL"/>
      </w:pPr>
      <w:r>
        <w:rPr>
          <w:bCs/>
        </w:rPr>
        <w:t>As outlined in a letter to all ADIs in December 2015, APRA expects a</w:t>
      </w:r>
      <w:r w:rsidR="00916411">
        <w:rPr>
          <w:bCs/>
        </w:rPr>
        <w:t>n</w:t>
      </w:r>
      <w:r>
        <w:rPr>
          <w:bCs/>
        </w:rPr>
        <w:t xml:space="preserve"> </w:t>
      </w:r>
      <w:r w:rsidR="003F01AE">
        <w:rPr>
          <w:bCs/>
        </w:rPr>
        <w:t>advanced</w:t>
      </w:r>
      <w:r>
        <w:rPr>
          <w:bCs/>
        </w:rPr>
        <w:t xml:space="preserve"> ADI, or an </w:t>
      </w:r>
      <w:r w:rsidRPr="00B937A5">
        <w:rPr>
          <w:bCs/>
        </w:rPr>
        <w:t xml:space="preserve">ADI </w:t>
      </w:r>
      <w:r>
        <w:rPr>
          <w:bCs/>
        </w:rPr>
        <w:t xml:space="preserve">that </w:t>
      </w:r>
      <w:r w:rsidRPr="00B937A5">
        <w:rPr>
          <w:bCs/>
        </w:rPr>
        <w:t>appl</w:t>
      </w:r>
      <w:r>
        <w:rPr>
          <w:bCs/>
        </w:rPr>
        <w:t>ies</w:t>
      </w:r>
      <w:r w:rsidRPr="00B937A5">
        <w:rPr>
          <w:bCs/>
        </w:rPr>
        <w:t xml:space="preserve"> for </w:t>
      </w:r>
      <w:r w:rsidR="003F01AE">
        <w:rPr>
          <w:bCs/>
        </w:rPr>
        <w:t>advanced</w:t>
      </w:r>
      <w:r w:rsidRPr="00B937A5">
        <w:rPr>
          <w:bCs/>
        </w:rPr>
        <w:t xml:space="preserve"> accreditation</w:t>
      </w:r>
      <w:r>
        <w:rPr>
          <w:bCs/>
        </w:rPr>
        <w:t xml:space="preserve">, </w:t>
      </w:r>
      <w:r w:rsidRPr="00B937A5">
        <w:rPr>
          <w:bCs/>
        </w:rPr>
        <w:t>to demonstrate advanced risk management practices across all</w:t>
      </w:r>
      <w:r>
        <w:rPr>
          <w:bCs/>
        </w:rPr>
        <w:t xml:space="preserve"> </w:t>
      </w:r>
      <w:r w:rsidRPr="00B937A5">
        <w:rPr>
          <w:bCs/>
        </w:rPr>
        <w:t>its material risks</w:t>
      </w:r>
      <w:r>
        <w:rPr>
          <w:bCs/>
        </w:rPr>
        <w:t>,</w:t>
      </w:r>
      <w:r w:rsidRPr="00B937A5">
        <w:rPr>
          <w:bCs/>
        </w:rPr>
        <w:t xml:space="preserve"> including operational risk</w:t>
      </w:r>
      <w:r>
        <w:rPr>
          <w:bCs/>
        </w:rPr>
        <w:t>.</w:t>
      </w:r>
      <w:r>
        <w:rPr>
          <w:rStyle w:val="FootnoteReference"/>
          <w:bCs/>
        </w:rPr>
        <w:footnoteReference w:id="41"/>
      </w:r>
      <w:r>
        <w:rPr>
          <w:bCs/>
        </w:rPr>
        <w:t xml:space="preserve"> In adopting the Basel</w:t>
      </w:r>
      <w:r w:rsidR="003D7219">
        <w:rPr>
          <w:bCs/>
        </w:rPr>
        <w:t> </w:t>
      </w:r>
      <w:r>
        <w:rPr>
          <w:bCs/>
        </w:rPr>
        <w:t xml:space="preserve">III SMA framework, APRA </w:t>
      </w:r>
      <w:r w:rsidR="00105D46">
        <w:rPr>
          <w:bCs/>
        </w:rPr>
        <w:t>propos</w:t>
      </w:r>
      <w:r w:rsidR="009D392B">
        <w:rPr>
          <w:bCs/>
        </w:rPr>
        <w:t>es</w:t>
      </w:r>
      <w:r w:rsidR="00105D46">
        <w:rPr>
          <w:bCs/>
        </w:rPr>
        <w:t xml:space="preserve"> </w:t>
      </w:r>
      <w:r>
        <w:rPr>
          <w:bCs/>
        </w:rPr>
        <w:t xml:space="preserve">to </w:t>
      </w:r>
      <w:r w:rsidR="007820F5">
        <w:rPr>
          <w:bCs/>
        </w:rPr>
        <w:t xml:space="preserve">clarify that </w:t>
      </w:r>
      <w:r>
        <w:rPr>
          <w:bCs/>
        </w:rPr>
        <w:t xml:space="preserve">advanced risk management practices include the </w:t>
      </w:r>
      <w:r w:rsidRPr="004657ED">
        <w:rPr>
          <w:bCs/>
        </w:rPr>
        <w:t>qualitative criteria on loss data identification, collection and treatment</w:t>
      </w:r>
      <w:r>
        <w:rPr>
          <w:bCs/>
        </w:rPr>
        <w:t xml:space="preserve"> set out in the Basel</w:t>
      </w:r>
      <w:r w:rsidR="003D7219">
        <w:rPr>
          <w:bCs/>
        </w:rPr>
        <w:t> </w:t>
      </w:r>
      <w:r>
        <w:rPr>
          <w:bCs/>
        </w:rPr>
        <w:t xml:space="preserve">III </w:t>
      </w:r>
      <w:r w:rsidR="00536EC2">
        <w:rPr>
          <w:bCs/>
        </w:rPr>
        <w:t>framework</w:t>
      </w:r>
      <w:r>
        <w:rPr>
          <w:bCs/>
        </w:rPr>
        <w:t>. APRA also propos</w:t>
      </w:r>
      <w:r w:rsidR="009D392B">
        <w:rPr>
          <w:bCs/>
        </w:rPr>
        <w:t>es</w:t>
      </w:r>
      <w:r>
        <w:rPr>
          <w:bCs/>
        </w:rPr>
        <w:t xml:space="preserve"> that the additional disclosure require</w:t>
      </w:r>
      <w:r w:rsidR="003D7219">
        <w:rPr>
          <w:bCs/>
        </w:rPr>
        <w:t>ments under Basel </w:t>
      </w:r>
      <w:r>
        <w:rPr>
          <w:bCs/>
        </w:rPr>
        <w:t xml:space="preserve">III would apply to </w:t>
      </w:r>
      <w:r w:rsidR="003F01AE">
        <w:rPr>
          <w:bCs/>
        </w:rPr>
        <w:t>advanced ADIs</w:t>
      </w:r>
      <w:r>
        <w:rPr>
          <w:bCs/>
        </w:rPr>
        <w:t>.</w:t>
      </w:r>
    </w:p>
    <w:p w14:paraId="6EEBBEDD" w14:textId="54D5F473" w:rsidR="001D0A2F" w:rsidRDefault="00F9221D" w:rsidP="00C0092A">
      <w:pPr>
        <w:pStyle w:val="APRAHEADING1"/>
      </w:pPr>
      <w:bookmarkStart w:id="313" w:name="_Toc492996525"/>
      <w:bookmarkStart w:id="314" w:name="_Toc493154159"/>
      <w:bookmarkStart w:id="315" w:name="_Toc493154605"/>
      <w:bookmarkStart w:id="316" w:name="_Toc493240109"/>
      <w:bookmarkStart w:id="317" w:name="_Toc493240615"/>
      <w:bookmarkStart w:id="318" w:name="_Toc494189585"/>
      <w:bookmarkStart w:id="319" w:name="_Toc496184513"/>
      <w:bookmarkStart w:id="320" w:name="_Toc497209105"/>
      <w:bookmarkStart w:id="321" w:name="_Toc500151959"/>
      <w:r>
        <w:lastRenderedPageBreak/>
        <w:t xml:space="preserve"> </w:t>
      </w:r>
      <w:bookmarkStart w:id="322" w:name="_Toc505676427"/>
      <w:bookmarkStart w:id="323" w:name="_Toc505676519"/>
      <w:bookmarkStart w:id="324" w:name="_Toc505681591"/>
      <w:bookmarkStart w:id="325" w:name="_Toc505681773"/>
      <w:bookmarkStart w:id="326" w:name="_Toc505854717"/>
      <w:bookmarkStart w:id="327" w:name="_Toc506285817"/>
      <w:r>
        <w:t xml:space="preserve">- </w:t>
      </w:r>
      <w:r w:rsidR="008915C3">
        <w:t>In</w:t>
      </w:r>
      <w:r w:rsidR="001D0A2F">
        <w:t>terest rate risk</w:t>
      </w:r>
      <w:bookmarkEnd w:id="313"/>
      <w:bookmarkEnd w:id="314"/>
      <w:bookmarkEnd w:id="315"/>
      <w:bookmarkEnd w:id="316"/>
      <w:bookmarkEnd w:id="317"/>
      <w:bookmarkEnd w:id="318"/>
      <w:bookmarkEnd w:id="319"/>
      <w:r w:rsidR="00164C91">
        <w:t xml:space="preserve">, </w:t>
      </w:r>
      <w:r w:rsidR="008915C3">
        <w:t>market risk</w:t>
      </w:r>
      <w:bookmarkEnd w:id="320"/>
      <w:bookmarkEnd w:id="321"/>
      <w:r w:rsidR="00164C91">
        <w:t xml:space="preserve"> and credit valuation adjustment</w:t>
      </w:r>
      <w:bookmarkEnd w:id="322"/>
      <w:bookmarkEnd w:id="323"/>
      <w:bookmarkEnd w:id="324"/>
      <w:bookmarkEnd w:id="325"/>
      <w:bookmarkEnd w:id="326"/>
      <w:bookmarkEnd w:id="327"/>
    </w:p>
    <w:p w14:paraId="399A2CFF" w14:textId="1BADEEF3" w:rsidR="00BD7CB8" w:rsidRDefault="0091196A" w:rsidP="0058026C">
      <w:pPr>
        <w:pStyle w:val="APRANORMAL"/>
      </w:pPr>
      <w:r>
        <w:t xml:space="preserve">This chapter outlines APRA’s proposed </w:t>
      </w:r>
      <w:r w:rsidR="00C406D8">
        <w:t xml:space="preserve">revisions </w:t>
      </w:r>
      <w:r w:rsidR="00DF630E">
        <w:t xml:space="preserve">to the determination of regulatory </w:t>
      </w:r>
      <w:r>
        <w:t>capital</w:t>
      </w:r>
      <w:r w:rsidR="00C406D8">
        <w:t>, reporting and disclosure</w:t>
      </w:r>
      <w:r>
        <w:t xml:space="preserve"> requirements for </w:t>
      </w:r>
      <w:r w:rsidR="00C772F0">
        <w:t>interest rate risk in the banking book (</w:t>
      </w:r>
      <w:r>
        <w:t>IRRBB</w:t>
      </w:r>
      <w:r w:rsidR="00C772F0">
        <w:t>)</w:t>
      </w:r>
      <w:r w:rsidR="00ED7A44">
        <w:t>. It also provides an overview of APRA’s approach</w:t>
      </w:r>
      <w:r w:rsidR="00170C7F">
        <w:t xml:space="preserve"> </w:t>
      </w:r>
      <w:r w:rsidR="00ED7A44">
        <w:t xml:space="preserve">to </w:t>
      </w:r>
      <w:r w:rsidR="00536EC2">
        <w:t>implementing</w:t>
      </w:r>
      <w:r w:rsidR="00ED7A44">
        <w:t xml:space="preserve"> the Basel Committee’s market risk</w:t>
      </w:r>
      <w:r w:rsidR="009C0096">
        <w:t xml:space="preserve"> </w:t>
      </w:r>
      <w:r w:rsidR="00164C91">
        <w:t xml:space="preserve">and credit valuation adjustment (CVA) </w:t>
      </w:r>
      <w:r w:rsidR="009C0096">
        <w:t>framework</w:t>
      </w:r>
      <w:r w:rsidR="00536EC2">
        <w:t>s</w:t>
      </w:r>
      <w:r w:rsidR="00170C7F">
        <w:t>.</w:t>
      </w:r>
    </w:p>
    <w:p w14:paraId="01FB96A5" w14:textId="77777777" w:rsidR="00170C7F" w:rsidRDefault="00170C7F" w:rsidP="00170C7F">
      <w:pPr>
        <w:pStyle w:val="APRAHEADING2"/>
      </w:pPr>
      <w:bookmarkStart w:id="328" w:name="_Toc497209106"/>
      <w:bookmarkStart w:id="329" w:name="_Toc500151960"/>
      <w:bookmarkStart w:id="330" w:name="_Toc505676428"/>
      <w:bookmarkStart w:id="331" w:name="_Toc505676520"/>
      <w:bookmarkStart w:id="332" w:name="_Toc505681592"/>
      <w:bookmarkStart w:id="333" w:name="_Toc505681774"/>
      <w:bookmarkStart w:id="334" w:name="_Toc505854718"/>
      <w:bookmarkStart w:id="335" w:name="_Toc506285818"/>
      <w:r>
        <w:t>Interest rate risk in the banking book</w:t>
      </w:r>
      <w:bookmarkEnd w:id="328"/>
      <w:bookmarkEnd w:id="329"/>
      <w:bookmarkEnd w:id="330"/>
      <w:bookmarkEnd w:id="331"/>
      <w:bookmarkEnd w:id="332"/>
      <w:bookmarkEnd w:id="333"/>
      <w:bookmarkEnd w:id="334"/>
      <w:bookmarkEnd w:id="335"/>
    </w:p>
    <w:p w14:paraId="22106DD7" w14:textId="5E832A28" w:rsidR="00C406D8" w:rsidRDefault="00C406D8" w:rsidP="00C406D8">
      <w:pPr>
        <w:pStyle w:val="APRAHEADING3"/>
      </w:pPr>
      <w:r>
        <w:t xml:space="preserve">Basel III framework </w:t>
      </w:r>
    </w:p>
    <w:p w14:paraId="6B528900" w14:textId="2029BC10" w:rsidR="00C406D8" w:rsidRDefault="00C406D8" w:rsidP="00C406D8">
      <w:pPr>
        <w:pStyle w:val="APRANORMAL"/>
      </w:pPr>
      <w:r>
        <w:t>The</w:t>
      </w:r>
      <w:r w:rsidDel="005B0AB8">
        <w:t xml:space="preserve"> </w:t>
      </w:r>
      <w:r w:rsidR="003D7219">
        <w:t>Basel </w:t>
      </w:r>
      <w:r>
        <w:t>III framework does not significantly change the capital</w:t>
      </w:r>
      <w:r w:rsidR="003D7219">
        <w:t xml:space="preserve"> treatment for IRRBB from Basel </w:t>
      </w:r>
      <w:r>
        <w:t xml:space="preserve">II. </w:t>
      </w:r>
      <w:r w:rsidR="007F5023">
        <w:t xml:space="preserve">Both frameworks </w:t>
      </w:r>
      <w:r w:rsidR="00EC3AD1">
        <w:t>impose</w:t>
      </w:r>
      <w:r w:rsidDel="00372ED9">
        <w:t xml:space="preserve"> </w:t>
      </w:r>
      <w:r w:rsidR="00736DFB">
        <w:t xml:space="preserve">a </w:t>
      </w:r>
      <w:r>
        <w:t>regulatory capital requirement for IRRBB through the supervisory review process</w:t>
      </w:r>
      <w:r w:rsidR="00EC3AD1">
        <w:t xml:space="preserve"> rather than as </w:t>
      </w:r>
      <w:r w:rsidR="00670768">
        <w:t xml:space="preserve">a </w:t>
      </w:r>
      <w:r w:rsidR="00EC3AD1">
        <w:t>minimum capital requirement</w:t>
      </w:r>
      <w:r>
        <w:t xml:space="preserve">. </w:t>
      </w:r>
    </w:p>
    <w:p w14:paraId="585EB22B" w14:textId="75DC59DD" w:rsidR="00C406D8" w:rsidRDefault="00C406D8" w:rsidP="00C406D8">
      <w:pPr>
        <w:pStyle w:val="APRANORMAL"/>
      </w:pPr>
      <w:r>
        <w:t>The main revisions to the Basel</w:t>
      </w:r>
      <w:r w:rsidR="003D7219">
        <w:t> </w:t>
      </w:r>
      <w:r>
        <w:t xml:space="preserve">III framework are: </w:t>
      </w:r>
    </w:p>
    <w:p w14:paraId="43E60E7C" w14:textId="5869ABC8" w:rsidR="00C406D8" w:rsidRDefault="00C406D8" w:rsidP="008B66F4">
      <w:pPr>
        <w:pStyle w:val="APRABULLET"/>
      </w:pPr>
      <w:r>
        <w:t xml:space="preserve">expanded IRRBB calculations using both net interest income at risk and economic value of equity measures under six prescribed interest rate shock scenarios </w:t>
      </w:r>
      <w:r w:rsidR="005B0AB8">
        <w:t>that must</w:t>
      </w:r>
      <w:r w:rsidDel="005B0AB8">
        <w:t xml:space="preserve"> </w:t>
      </w:r>
      <w:r>
        <w:t xml:space="preserve">be disclosed; </w:t>
      </w:r>
    </w:p>
    <w:p w14:paraId="6BC69658" w14:textId="180455DE" w:rsidR="00C406D8" w:rsidRPr="005B0AB8" w:rsidRDefault="00C406D8" w:rsidP="008B66F4">
      <w:pPr>
        <w:pStyle w:val="APRABULLET"/>
      </w:pPr>
      <w:r>
        <w:t>other enhanced disclosure requirements</w:t>
      </w:r>
      <w:r w:rsidR="00D95D47">
        <w:t>—</w:t>
      </w:r>
      <w:r>
        <w:t xml:space="preserve">for example, various model assumptions and </w:t>
      </w:r>
      <w:r w:rsidR="005B0AB8">
        <w:t>the</w:t>
      </w:r>
      <w:r>
        <w:t xml:space="preserve"> </w:t>
      </w:r>
      <w:r w:rsidRPr="005B0AB8">
        <w:t>ADI’s overall IRRBB objectives and management approach;</w:t>
      </w:r>
    </w:p>
    <w:p w14:paraId="3C828C01" w14:textId="0B644E44" w:rsidR="00C406D8" w:rsidRDefault="00372ED9" w:rsidP="008B66F4">
      <w:pPr>
        <w:pStyle w:val="APRABULLET"/>
      </w:pPr>
      <w:r w:rsidRPr="00BF113E">
        <w:t xml:space="preserve">an </w:t>
      </w:r>
      <w:r w:rsidR="00C406D8" w:rsidRPr="001655CC">
        <w:t>updated standardised framework</w:t>
      </w:r>
      <w:r w:rsidR="00C406D8">
        <w:t xml:space="preserve">; and </w:t>
      </w:r>
    </w:p>
    <w:p w14:paraId="7741DAB3" w14:textId="2D97E23A" w:rsidR="00C406D8" w:rsidRDefault="00C406D8" w:rsidP="008B66F4">
      <w:pPr>
        <w:pStyle w:val="APRABULLET"/>
      </w:pPr>
      <w:r>
        <w:t xml:space="preserve">more granular qualitative requirements. </w:t>
      </w:r>
    </w:p>
    <w:p w14:paraId="3873BD14" w14:textId="77777777" w:rsidR="00C406D8" w:rsidRDefault="00C406D8" w:rsidP="008B66F4">
      <w:pPr>
        <w:pStyle w:val="APRAHEADING3"/>
      </w:pPr>
      <w:r>
        <w:t>APRA’s proposals</w:t>
      </w:r>
    </w:p>
    <w:p w14:paraId="505FA70A" w14:textId="12FAD234" w:rsidR="00C406D8" w:rsidRDefault="00AA0F62" w:rsidP="00170C7F">
      <w:pPr>
        <w:pStyle w:val="APRANORMAL"/>
      </w:pPr>
      <w:r>
        <w:t xml:space="preserve">Under </w:t>
      </w:r>
      <w:r w:rsidR="00050931">
        <w:t>APRA’s</w:t>
      </w:r>
      <w:r>
        <w:t xml:space="preserve"> </w:t>
      </w:r>
      <w:r w:rsidR="005A2DB1">
        <w:t>current</w:t>
      </w:r>
      <w:r>
        <w:t xml:space="preserve"> framework, </w:t>
      </w:r>
      <w:r w:rsidR="0053298A">
        <w:t xml:space="preserve">capital for IRRBB is a minimum requirement for </w:t>
      </w:r>
      <w:r w:rsidR="00BC68F5">
        <w:t xml:space="preserve">advanced ADIs </w:t>
      </w:r>
      <w:r w:rsidR="00B52773">
        <w:t>us</w:t>
      </w:r>
      <w:r w:rsidR="0053298A">
        <w:t>ing</w:t>
      </w:r>
      <w:r w:rsidR="00B52773">
        <w:t xml:space="preserve"> internal models </w:t>
      </w:r>
      <w:r w:rsidR="00D1494D">
        <w:t xml:space="preserve">in </w:t>
      </w:r>
      <w:r w:rsidR="0053298A">
        <w:t>accordance</w:t>
      </w:r>
      <w:r w:rsidR="00D1494D">
        <w:t xml:space="preserve"> with </w:t>
      </w:r>
      <w:r w:rsidR="00ED7A44">
        <w:rPr>
          <w:i/>
        </w:rPr>
        <w:t>Prudential Standard APS 117 Capital Adequacy: Interest Rate Risk in the Banking Book (Advanced ADIs)</w:t>
      </w:r>
      <w:r w:rsidR="003D7219">
        <w:t xml:space="preserve"> (APS </w:t>
      </w:r>
      <w:r w:rsidR="00ED7A44" w:rsidRPr="009A2CE3">
        <w:t>117)</w:t>
      </w:r>
      <w:r w:rsidR="00C406D8" w:rsidRPr="004533B4">
        <w:t>.</w:t>
      </w:r>
      <w:r w:rsidR="004A0232" w:rsidRPr="004533B4">
        <w:t xml:space="preserve"> </w:t>
      </w:r>
      <w:r w:rsidR="0053298A">
        <w:t xml:space="preserve">The incorporation of a minimum </w:t>
      </w:r>
      <w:r w:rsidR="00812B1B">
        <w:t xml:space="preserve">IRRBB </w:t>
      </w:r>
      <w:r w:rsidR="0053298A">
        <w:t xml:space="preserve">capital requirement is different </w:t>
      </w:r>
      <w:r w:rsidR="0053298A" w:rsidDel="00CD5EEC">
        <w:t xml:space="preserve">from </w:t>
      </w:r>
      <w:r w:rsidR="0053298A">
        <w:t>the approach under both Basel</w:t>
      </w:r>
      <w:r w:rsidR="003D7219">
        <w:t> II and Basel </w:t>
      </w:r>
      <w:r w:rsidR="0053298A">
        <w:t>III.</w:t>
      </w:r>
      <w:r w:rsidR="0053298A" w:rsidDel="0093563D">
        <w:t xml:space="preserve"> </w:t>
      </w:r>
      <w:r w:rsidR="00411496">
        <w:t>APRA propos</w:t>
      </w:r>
      <w:r w:rsidR="002E2F96">
        <w:t>es</w:t>
      </w:r>
      <w:r w:rsidR="00411496">
        <w:t xml:space="preserve"> to retain </w:t>
      </w:r>
      <w:r w:rsidR="0053298A">
        <w:t xml:space="preserve">a minimum capital requirement but </w:t>
      </w:r>
      <w:r w:rsidR="00C068FF">
        <w:t xml:space="preserve">how this is imposed may </w:t>
      </w:r>
      <w:r w:rsidR="0053298A">
        <w:t>change as a result of the proposals outlined in the</w:t>
      </w:r>
      <w:r w:rsidR="0053298A" w:rsidRPr="004533B4">
        <w:t xml:space="preserve"> </w:t>
      </w:r>
      <w:r w:rsidR="00386E8B" w:rsidRPr="00916411">
        <w:t xml:space="preserve">forthcoming </w:t>
      </w:r>
      <w:r w:rsidR="0053298A" w:rsidRPr="00916411">
        <w:t>discussion paper on potential adjustments to the overall design of the capital framework to improve transparency, international comparability and flexibility.</w:t>
      </w:r>
    </w:p>
    <w:p w14:paraId="017D4E51" w14:textId="346975FE" w:rsidR="00170C7F" w:rsidRPr="005A2636" w:rsidRDefault="00C068FF" w:rsidP="00170C7F">
      <w:pPr>
        <w:pStyle w:val="APRANORMAL"/>
      </w:pPr>
      <w:r>
        <w:lastRenderedPageBreak/>
        <w:t>APRA also propos</w:t>
      </w:r>
      <w:r w:rsidR="002E2F96">
        <w:t>es</w:t>
      </w:r>
      <w:r>
        <w:t xml:space="preserve"> amend</w:t>
      </w:r>
      <w:r w:rsidR="002E2F96">
        <w:t>ing</w:t>
      </w:r>
      <w:r>
        <w:t xml:space="preserve"> APS 117 </w:t>
      </w:r>
      <w:r w:rsidR="00812B1B">
        <w:t xml:space="preserve">and reporting requirements, as set out in the following sections. </w:t>
      </w:r>
      <w:r w:rsidR="00170C7F" w:rsidRPr="005A2636">
        <w:t>APRA does not expect</w:t>
      </w:r>
      <w:r w:rsidR="00ED7A44">
        <w:t xml:space="preserve"> the</w:t>
      </w:r>
      <w:r w:rsidR="00670768">
        <w:t>se</w:t>
      </w:r>
      <w:r w:rsidR="00ED7A44">
        <w:t xml:space="preserve"> proposals </w:t>
      </w:r>
      <w:r w:rsidR="007A03DB">
        <w:t>to</w:t>
      </w:r>
      <w:r w:rsidR="00170C7F" w:rsidRPr="005A2636">
        <w:t xml:space="preserve"> materially increase </w:t>
      </w:r>
      <w:r w:rsidR="00ED7A44">
        <w:t>the total amount of</w:t>
      </w:r>
      <w:r w:rsidR="00916411">
        <w:t xml:space="preserve"> capital that </w:t>
      </w:r>
      <w:r w:rsidR="00ED7A44">
        <w:t xml:space="preserve">advanced ADIs hold for </w:t>
      </w:r>
      <w:r w:rsidR="00CB3567">
        <w:t>IRRBB</w:t>
      </w:r>
      <w:r w:rsidR="00170C7F" w:rsidRPr="005A2636">
        <w:t>; however, capital requirements for individual ADIs may var</w:t>
      </w:r>
      <w:r w:rsidR="003205D3">
        <w:t>y from current levels</w:t>
      </w:r>
      <w:r w:rsidR="00170C7F" w:rsidRPr="005A2636">
        <w:t xml:space="preserve">. </w:t>
      </w:r>
    </w:p>
    <w:p w14:paraId="056CAF04" w14:textId="16BBB85F" w:rsidR="00170C7F" w:rsidRPr="00F657A3" w:rsidRDefault="00170C7F" w:rsidP="00B31599">
      <w:pPr>
        <w:pStyle w:val="APRAHEADING4"/>
        <w:rPr>
          <w:lang w:val="en-AU"/>
        </w:rPr>
      </w:pPr>
      <w:r>
        <w:t xml:space="preserve">Reducing undue variability in RWA </w:t>
      </w:r>
    </w:p>
    <w:p w14:paraId="3582CE8C" w14:textId="4625DDBF" w:rsidR="00170C7F" w:rsidRPr="005A2636" w:rsidRDefault="00170C7F" w:rsidP="00170C7F">
      <w:pPr>
        <w:pStyle w:val="APRANORMAL"/>
      </w:pPr>
      <w:r w:rsidRPr="005A2636">
        <w:t>Currently under APS</w:t>
      </w:r>
      <w:r w:rsidR="003D7219">
        <w:t> </w:t>
      </w:r>
      <w:r w:rsidRPr="005A2636">
        <w:t>117, ADIs can determine their own methods to measure basis and optionality risks</w:t>
      </w:r>
      <w:r w:rsidR="006B581A">
        <w:t xml:space="preserve"> and </w:t>
      </w:r>
      <w:r w:rsidRPr="005A2636">
        <w:t>make their own assumptions about the duration of certain portfolios such as non-interest</w:t>
      </w:r>
      <w:r w:rsidR="00916411">
        <w:t xml:space="preserve"> b</w:t>
      </w:r>
      <w:r w:rsidRPr="005A2636">
        <w:t xml:space="preserve">earing deposits. APRA has observed that such approaches have resulted in undue variability of RWA </w:t>
      </w:r>
      <w:r w:rsidR="006B581A">
        <w:t>between</w:t>
      </w:r>
      <w:r w:rsidRPr="005A2636">
        <w:t xml:space="preserve"> </w:t>
      </w:r>
      <w:r w:rsidR="007A03DB">
        <w:t>advanced</w:t>
      </w:r>
      <w:r w:rsidR="007A03DB" w:rsidRPr="005A2636">
        <w:t xml:space="preserve"> </w:t>
      </w:r>
      <w:r w:rsidRPr="005A2636">
        <w:t xml:space="preserve">ADIs, despite similar </w:t>
      </w:r>
      <w:r w:rsidR="00195EC6">
        <w:t>IRRBB</w:t>
      </w:r>
      <w:r w:rsidR="007109F6">
        <w:t xml:space="preserve"> </w:t>
      </w:r>
      <w:r w:rsidRPr="005A2636">
        <w:t>exposures and characteristics.</w:t>
      </w:r>
    </w:p>
    <w:p w14:paraId="763A9D22" w14:textId="3B1FC6CB" w:rsidR="00170C7F" w:rsidRPr="005A2636" w:rsidRDefault="00170C7F" w:rsidP="00170C7F">
      <w:pPr>
        <w:pStyle w:val="APRANORMAL"/>
      </w:pPr>
      <w:r w:rsidRPr="005A2636">
        <w:t>Accordingly, APRA propos</w:t>
      </w:r>
      <w:r w:rsidR="002E2F96">
        <w:t>es</w:t>
      </w:r>
      <w:r w:rsidRPr="005A2636">
        <w:t xml:space="preserve"> to </w:t>
      </w:r>
      <w:r w:rsidR="00515DFB">
        <w:t xml:space="preserve">require the use of </w:t>
      </w:r>
      <w:r w:rsidR="00515DFB" w:rsidRPr="005A2636">
        <w:t>standardise</w:t>
      </w:r>
      <w:r w:rsidR="00515DFB">
        <w:t>d</w:t>
      </w:r>
      <w:r w:rsidR="00515DFB" w:rsidRPr="005A2636">
        <w:t xml:space="preserve"> basis and optionality risk calculations</w:t>
      </w:r>
      <w:r w:rsidRPr="005A2636">
        <w:t xml:space="preserve"> </w:t>
      </w:r>
      <w:r w:rsidR="00515DFB">
        <w:t xml:space="preserve">and </w:t>
      </w:r>
      <w:r w:rsidRPr="005A2636">
        <w:t xml:space="preserve">to standardise the </w:t>
      </w:r>
      <w:r w:rsidR="005C7A31">
        <w:t xml:space="preserve">duration </w:t>
      </w:r>
      <w:r w:rsidRPr="005A2636">
        <w:t>assumptions for the non-interest</w:t>
      </w:r>
      <w:r w:rsidR="00916411">
        <w:t xml:space="preserve"> b</w:t>
      </w:r>
      <w:r w:rsidRPr="005A2636">
        <w:t xml:space="preserve">earing deposits portfolio. While these amendments will </w:t>
      </w:r>
      <w:r w:rsidR="00970C34">
        <w:t xml:space="preserve">restrict aspects of internal </w:t>
      </w:r>
      <w:r w:rsidRPr="005A2636">
        <w:t>modelling</w:t>
      </w:r>
      <w:r w:rsidR="00970C34">
        <w:t xml:space="preserve"> under the IRRBB framework</w:t>
      </w:r>
      <w:r w:rsidRPr="005A2636">
        <w:t xml:space="preserve">, APRA </w:t>
      </w:r>
      <w:r w:rsidR="00510B0C">
        <w:t>considers there to be</w:t>
      </w:r>
      <w:r w:rsidR="00510B0C" w:rsidRPr="005A2636">
        <w:t xml:space="preserve"> </w:t>
      </w:r>
      <w:r w:rsidRPr="005A2636">
        <w:t xml:space="preserve">benefits to risk sensitivity and risk management from </w:t>
      </w:r>
      <w:r w:rsidR="00970C34">
        <w:t>retaining a</w:t>
      </w:r>
      <w:r w:rsidRPr="005A2636">
        <w:t xml:space="preserve"> modelling approach.</w:t>
      </w:r>
    </w:p>
    <w:p w14:paraId="41AB1E1B" w14:textId="7B672403" w:rsidR="00170C7F" w:rsidRDefault="00170C7F" w:rsidP="00B31599">
      <w:pPr>
        <w:pStyle w:val="APRAHEADING4"/>
      </w:pPr>
      <w:r>
        <w:t xml:space="preserve">Reducing volatility in RWA </w:t>
      </w:r>
    </w:p>
    <w:p w14:paraId="3B459444" w14:textId="0F5140C7" w:rsidR="00170C7F" w:rsidRDefault="00170C7F" w:rsidP="00170C7F">
      <w:pPr>
        <w:pStyle w:val="APRANORMAL"/>
      </w:pPr>
      <w:r>
        <w:t xml:space="preserve">Currently, </w:t>
      </w:r>
      <w:r w:rsidR="007109F6">
        <w:t>advanced</w:t>
      </w:r>
      <w:r>
        <w:t xml:space="preserve"> ADIs calculate and report their </w:t>
      </w:r>
      <w:r w:rsidR="00195EC6">
        <w:t>IRRBB</w:t>
      </w:r>
      <w:r>
        <w:t xml:space="preserve"> capital requirements </w:t>
      </w:r>
      <w:r w:rsidR="0046129E">
        <w:t xml:space="preserve">as at </w:t>
      </w:r>
      <w:r>
        <w:t>the last day of each quarter</w:t>
      </w:r>
      <w:r w:rsidR="007109F6">
        <w:t xml:space="preserve">. This has resulted in </w:t>
      </w:r>
      <w:r>
        <w:t>significant volatility in RWA at certain quarter</w:t>
      </w:r>
      <w:r w:rsidR="00510B0C">
        <w:t>-</w:t>
      </w:r>
      <w:r>
        <w:t xml:space="preserve"> ends. To reduce th</w:t>
      </w:r>
      <w:r w:rsidR="006B581A">
        <w:t>is</w:t>
      </w:r>
      <w:r>
        <w:t xml:space="preserve"> volatility, APRA propos</w:t>
      </w:r>
      <w:r w:rsidR="002E2F96">
        <w:t>es</w:t>
      </w:r>
      <w:r>
        <w:t xml:space="preserve"> to </w:t>
      </w:r>
      <w:r w:rsidR="006B581A">
        <w:t>require ADIs to calculate</w:t>
      </w:r>
      <w:r>
        <w:t xml:space="preserve"> the</w:t>
      </w:r>
      <w:r w:rsidR="006B581A">
        <w:t>ir</w:t>
      </w:r>
      <w:r>
        <w:t xml:space="preserve"> </w:t>
      </w:r>
      <w:r w:rsidR="00195EC6">
        <w:t>IRRBB</w:t>
      </w:r>
      <w:r>
        <w:t xml:space="preserve"> capital requirement based on the average of more frequent (e.g. monthly or weekly) calculations over the quarter. APRA is aware that </w:t>
      </w:r>
      <w:r w:rsidR="007109F6">
        <w:t>advanced</w:t>
      </w:r>
      <w:r>
        <w:t xml:space="preserve"> ADIs are already calculating and reporting their </w:t>
      </w:r>
      <w:r w:rsidR="00195EC6">
        <w:t xml:space="preserve">IRRBB </w:t>
      </w:r>
      <w:r>
        <w:t>capital requirement on a more frequent basis for internal reporting purposes</w:t>
      </w:r>
      <w:r w:rsidR="007109F6">
        <w:t xml:space="preserve"> and, as such, </w:t>
      </w:r>
      <w:r w:rsidR="006B581A">
        <w:t xml:space="preserve">does not </w:t>
      </w:r>
      <w:r>
        <w:t xml:space="preserve">expect that this proposal </w:t>
      </w:r>
      <w:r w:rsidR="006B581A">
        <w:t>w</w:t>
      </w:r>
      <w:r>
        <w:t>ould significant</w:t>
      </w:r>
      <w:r w:rsidR="00536EC2">
        <w:t>ly</w:t>
      </w:r>
      <w:r>
        <w:t xml:space="preserve"> increase regulatory burden.</w:t>
      </w:r>
    </w:p>
    <w:p w14:paraId="7755D3EF" w14:textId="21ECB928" w:rsidR="00170C7F" w:rsidRDefault="006D44CC" w:rsidP="00B31599">
      <w:pPr>
        <w:pStyle w:val="APRAHEADING4"/>
      </w:pPr>
      <w:r>
        <w:t>R</w:t>
      </w:r>
      <w:r w:rsidR="00170C7F">
        <w:t xml:space="preserve">eporting requirements </w:t>
      </w:r>
    </w:p>
    <w:p w14:paraId="36331F4A" w14:textId="1668DCDE" w:rsidR="00170C7F" w:rsidRDefault="007A03DB" w:rsidP="00170C7F">
      <w:pPr>
        <w:pStyle w:val="APRANORMAL"/>
      </w:pPr>
      <w:r>
        <w:t xml:space="preserve">Although </w:t>
      </w:r>
      <w:r w:rsidR="00170C7F">
        <w:t>standardised ADIs are not subject to a</w:t>
      </w:r>
      <w:r w:rsidR="00BA0A68">
        <w:t xml:space="preserve"> specific</w:t>
      </w:r>
      <w:r w:rsidR="00170C7F">
        <w:t xml:space="preserve"> </w:t>
      </w:r>
      <w:r w:rsidR="00195EC6">
        <w:t>IRRBB</w:t>
      </w:r>
      <w:r w:rsidR="00170C7F">
        <w:t xml:space="preserve"> </w:t>
      </w:r>
      <w:r w:rsidR="00F13A7D">
        <w:t xml:space="preserve">regulatory </w:t>
      </w:r>
      <w:r w:rsidR="00170C7F">
        <w:t xml:space="preserve">capital requirement, all ADIs are currently required to </w:t>
      </w:r>
      <w:r w:rsidR="00170C7F" w:rsidRPr="002C31CB">
        <w:t xml:space="preserve">provide APRA with balance sheet repricing profile information </w:t>
      </w:r>
      <w:r w:rsidR="006B581A">
        <w:t>under</w:t>
      </w:r>
      <w:r w:rsidR="006B581A" w:rsidRPr="002C31CB">
        <w:t xml:space="preserve"> </w:t>
      </w:r>
      <w:r w:rsidR="00170C7F" w:rsidRPr="002C31CB">
        <w:rPr>
          <w:i/>
        </w:rPr>
        <w:t xml:space="preserve">Reporting </w:t>
      </w:r>
      <w:r w:rsidR="00170C7F">
        <w:rPr>
          <w:i/>
        </w:rPr>
        <w:t>Standard</w:t>
      </w:r>
      <w:r w:rsidR="00170C7F" w:rsidRPr="002C31CB">
        <w:rPr>
          <w:i/>
        </w:rPr>
        <w:t xml:space="preserve"> AR</w:t>
      </w:r>
      <w:r w:rsidR="00170C7F">
        <w:rPr>
          <w:i/>
        </w:rPr>
        <w:t>S</w:t>
      </w:r>
      <w:r w:rsidR="00170C7F" w:rsidRPr="002C31CB">
        <w:rPr>
          <w:i/>
        </w:rPr>
        <w:t xml:space="preserve"> 117.0 Repricing analysis</w:t>
      </w:r>
      <w:r w:rsidR="00170C7F" w:rsidRPr="002C31CB">
        <w:t xml:space="preserve"> (AR</w:t>
      </w:r>
      <w:r w:rsidR="00170C7F">
        <w:t>S</w:t>
      </w:r>
      <w:r w:rsidR="003D7219">
        <w:t> </w:t>
      </w:r>
      <w:r w:rsidR="00170C7F" w:rsidRPr="002C31CB">
        <w:t>117.0)</w:t>
      </w:r>
      <w:r w:rsidR="00170C7F">
        <w:t>.</w:t>
      </w:r>
      <w:r w:rsidR="00040A8E">
        <w:t xml:space="preserve"> </w:t>
      </w:r>
      <w:r w:rsidR="00170C7F">
        <w:t xml:space="preserve">APRA uses </w:t>
      </w:r>
      <w:r w:rsidR="003D7219">
        <w:t>the information reported in ARS </w:t>
      </w:r>
      <w:r w:rsidR="00170C7F">
        <w:t xml:space="preserve">117.0 to assess </w:t>
      </w:r>
      <w:r w:rsidR="00195EC6">
        <w:t>IRRBB</w:t>
      </w:r>
      <w:r w:rsidR="00170C7F">
        <w:t xml:space="preserve"> sensitivity each quarter</w:t>
      </w:r>
      <w:r w:rsidR="00195EC6">
        <w:t>;</w:t>
      </w:r>
      <w:r w:rsidR="005C41AB">
        <w:t xml:space="preserve"> however, t</w:t>
      </w:r>
      <w:r w:rsidR="00170C7F" w:rsidRPr="00144E75">
        <w:t xml:space="preserve">he </w:t>
      </w:r>
      <w:r w:rsidR="005C41AB">
        <w:t xml:space="preserve">current reporting requirement provides APRA with </w:t>
      </w:r>
      <w:r w:rsidR="0046129E">
        <w:t xml:space="preserve">only </w:t>
      </w:r>
      <w:r w:rsidR="005C41AB">
        <w:t xml:space="preserve">a limited insight into the </w:t>
      </w:r>
      <w:r w:rsidR="00195EC6">
        <w:t>IRRBB</w:t>
      </w:r>
      <w:r w:rsidR="005C41AB">
        <w:t xml:space="preserve"> profile of </w:t>
      </w:r>
      <w:r w:rsidR="00170C7F" w:rsidRPr="00144E75">
        <w:t>ADIs.</w:t>
      </w:r>
    </w:p>
    <w:p w14:paraId="585B0E70" w14:textId="5F247555" w:rsidR="00F13A7D" w:rsidRDefault="00F13A7D" w:rsidP="00170C7F">
      <w:pPr>
        <w:pStyle w:val="APRANORMAL"/>
      </w:pPr>
      <w:r>
        <w:t xml:space="preserve">Additionally, </w:t>
      </w:r>
      <w:r w:rsidR="00170C7F">
        <w:t>APRA notes that</w:t>
      </w:r>
      <w:r w:rsidR="00170C7F" w:rsidRPr="00144E75">
        <w:t xml:space="preserve">, in recent years, a number of </w:t>
      </w:r>
      <w:r w:rsidR="00170C7F">
        <w:t>the larger standardised</w:t>
      </w:r>
      <w:r w:rsidR="00170C7F" w:rsidRPr="00144E75">
        <w:t xml:space="preserve"> ADIs have implemented lending strategies that </w:t>
      </w:r>
      <w:r w:rsidR="00170C7F">
        <w:t xml:space="preserve">may </w:t>
      </w:r>
      <w:r w:rsidR="00170C7F" w:rsidRPr="00144E75">
        <w:t>introduc</w:t>
      </w:r>
      <w:r w:rsidR="00170C7F">
        <w:t>e</w:t>
      </w:r>
      <w:r w:rsidR="00170C7F" w:rsidRPr="00144E75">
        <w:t xml:space="preserve"> </w:t>
      </w:r>
      <w:r w:rsidR="00170C7F">
        <w:t>significant</w:t>
      </w:r>
      <w:r w:rsidR="00170C7F" w:rsidRPr="00144E75">
        <w:t xml:space="preserve"> interest rate risk into their operations. </w:t>
      </w:r>
      <w:r w:rsidR="00170C7F">
        <w:t>Accordingly, APRA propos</w:t>
      </w:r>
      <w:r w:rsidR="002E2F96">
        <w:t>es</w:t>
      </w:r>
      <w:r w:rsidR="00170C7F">
        <w:t xml:space="preserve"> to</w:t>
      </w:r>
      <w:r>
        <w:t>:</w:t>
      </w:r>
    </w:p>
    <w:p w14:paraId="329FB6CD" w14:textId="2CC81819" w:rsidR="00F13A7D" w:rsidRDefault="00F13A7D" w:rsidP="00B31599">
      <w:pPr>
        <w:pStyle w:val="APRABULLET"/>
      </w:pPr>
      <w:r>
        <w:lastRenderedPageBreak/>
        <w:t>standardise certa</w:t>
      </w:r>
      <w:r w:rsidR="003D7219">
        <w:t>in repricing assumptions in ARS </w:t>
      </w:r>
      <w:r>
        <w:t>117.0 to enhance consistency across all ADIs; and</w:t>
      </w:r>
    </w:p>
    <w:p w14:paraId="6C254186" w14:textId="2DCC81AD" w:rsidR="00170C7F" w:rsidRPr="00F657A3" w:rsidRDefault="00170C7F" w:rsidP="00B31599">
      <w:pPr>
        <w:pStyle w:val="APRABULLET"/>
      </w:pPr>
      <w:r>
        <w:t xml:space="preserve">require </w:t>
      </w:r>
      <w:r w:rsidR="00F13A7D">
        <w:t xml:space="preserve">advanced and </w:t>
      </w:r>
      <w:r>
        <w:t>larger standardised ADIs to</w:t>
      </w:r>
      <w:r w:rsidRPr="00111347">
        <w:t xml:space="preserve"> </w:t>
      </w:r>
      <w:r>
        <w:t xml:space="preserve">report </w:t>
      </w:r>
      <w:r w:rsidR="00D339F5">
        <w:t xml:space="preserve">to APRA </w:t>
      </w:r>
      <w:r>
        <w:t xml:space="preserve">the outcomes of </w:t>
      </w:r>
      <w:r w:rsidR="00F13A7D">
        <w:t xml:space="preserve">their </w:t>
      </w:r>
      <w:r w:rsidR="00195EC6">
        <w:t>IRRBB</w:t>
      </w:r>
      <w:r>
        <w:t xml:space="preserve"> calculations based on </w:t>
      </w:r>
      <w:r w:rsidR="00736DFB">
        <w:t xml:space="preserve">the </w:t>
      </w:r>
      <w:r w:rsidR="00972789">
        <w:t>Basel</w:t>
      </w:r>
      <w:r w:rsidR="00736DFB">
        <w:t xml:space="preserve"> Committee</w:t>
      </w:r>
      <w:r w:rsidR="00972789">
        <w:t>’s</w:t>
      </w:r>
      <w:r>
        <w:t xml:space="preserve"> standardised framework. </w:t>
      </w:r>
    </w:p>
    <w:p w14:paraId="6C4FB15B" w14:textId="1187EC08" w:rsidR="00170C7F" w:rsidRPr="00012BA1" w:rsidRDefault="006D44CC" w:rsidP="00B31599">
      <w:pPr>
        <w:pStyle w:val="APRAHEADING4"/>
      </w:pPr>
      <w:r>
        <w:t>D</w:t>
      </w:r>
      <w:r w:rsidR="00170C7F" w:rsidRPr="00012BA1">
        <w:t>isclosure requirements</w:t>
      </w:r>
    </w:p>
    <w:p w14:paraId="4853DDAE" w14:textId="068052E2" w:rsidR="00170C7F" w:rsidRDefault="00170C7F" w:rsidP="00170C7F">
      <w:pPr>
        <w:pStyle w:val="APRANORMAL"/>
        <w:rPr>
          <w:lang w:val="en-AU"/>
        </w:rPr>
      </w:pPr>
      <w:r>
        <w:rPr>
          <w:lang w:val="en-AU"/>
        </w:rPr>
        <w:t>APRA propos</w:t>
      </w:r>
      <w:r w:rsidR="002E2F96">
        <w:rPr>
          <w:lang w:val="en-AU"/>
        </w:rPr>
        <w:t>es</w:t>
      </w:r>
      <w:r>
        <w:rPr>
          <w:lang w:val="en-AU"/>
        </w:rPr>
        <w:t xml:space="preserve"> to </w:t>
      </w:r>
      <w:r w:rsidR="00FC6978">
        <w:rPr>
          <w:lang w:val="en-AU"/>
        </w:rPr>
        <w:t xml:space="preserve">implement </w:t>
      </w:r>
      <w:r w:rsidR="00F13A7D">
        <w:rPr>
          <w:lang w:val="en-AU"/>
        </w:rPr>
        <w:t xml:space="preserve">enhanced </w:t>
      </w:r>
      <w:r w:rsidR="00FC6978">
        <w:rPr>
          <w:lang w:val="en-AU"/>
        </w:rPr>
        <w:t xml:space="preserve">disclosure requirements </w:t>
      </w:r>
      <w:r w:rsidR="00FC6978" w:rsidRPr="008B355E">
        <w:rPr>
          <w:lang w:val="en-AU"/>
        </w:rPr>
        <w:t>through</w:t>
      </w:r>
      <w:r w:rsidR="00FC6978">
        <w:rPr>
          <w:sz w:val="20"/>
          <w:lang w:val="en-AU"/>
        </w:rPr>
        <w:t xml:space="preserve"> </w:t>
      </w:r>
      <w:r w:rsidR="006B581A" w:rsidRPr="008B355E">
        <w:rPr>
          <w:lang w:val="en-AU"/>
        </w:rPr>
        <w:t>amend</w:t>
      </w:r>
      <w:r w:rsidR="00FC6978" w:rsidRPr="008B355E">
        <w:rPr>
          <w:lang w:val="en-AU"/>
        </w:rPr>
        <w:t>ments to</w:t>
      </w:r>
      <w:r w:rsidR="006B581A">
        <w:rPr>
          <w:lang w:val="en-AU"/>
        </w:rPr>
        <w:t xml:space="preserve"> </w:t>
      </w:r>
      <w:r w:rsidR="006B581A">
        <w:rPr>
          <w:i/>
          <w:lang w:val="en-AU"/>
        </w:rPr>
        <w:t xml:space="preserve">Prudential Standard APS 330 </w:t>
      </w:r>
      <w:r w:rsidR="00F13A7D">
        <w:rPr>
          <w:i/>
          <w:lang w:val="en-AU"/>
        </w:rPr>
        <w:t xml:space="preserve">Public </w:t>
      </w:r>
      <w:r w:rsidR="006B581A">
        <w:rPr>
          <w:i/>
          <w:lang w:val="en-AU"/>
        </w:rPr>
        <w:t xml:space="preserve">Disclosure </w:t>
      </w:r>
      <w:r w:rsidR="006B581A">
        <w:rPr>
          <w:lang w:val="en-AU"/>
        </w:rPr>
        <w:t xml:space="preserve">(APS 330) </w:t>
      </w:r>
      <w:r w:rsidR="00FC6978">
        <w:rPr>
          <w:lang w:val="en-AU"/>
        </w:rPr>
        <w:t>that would</w:t>
      </w:r>
      <w:r w:rsidR="006B581A">
        <w:rPr>
          <w:lang w:val="en-AU"/>
        </w:rPr>
        <w:t xml:space="preserve"> require </w:t>
      </w:r>
      <w:r w:rsidR="00316690">
        <w:rPr>
          <w:lang w:val="en-AU"/>
        </w:rPr>
        <w:t xml:space="preserve">advanced </w:t>
      </w:r>
      <w:r w:rsidR="006B581A">
        <w:rPr>
          <w:lang w:val="en-AU"/>
        </w:rPr>
        <w:t>ADIs to disclose</w:t>
      </w:r>
      <w:r>
        <w:rPr>
          <w:lang w:val="en-AU"/>
        </w:rPr>
        <w:t>:</w:t>
      </w:r>
    </w:p>
    <w:p w14:paraId="546C2C29" w14:textId="6DA363D2" w:rsidR="00170C7F" w:rsidRPr="00A36096" w:rsidRDefault="00FC6978" w:rsidP="00170C7F">
      <w:pPr>
        <w:pStyle w:val="APRABULLET"/>
      </w:pPr>
      <w:r>
        <w:t>t</w:t>
      </w:r>
      <w:r w:rsidR="00170C7F" w:rsidRPr="00A36096">
        <w:t>he</w:t>
      </w:r>
      <w:r>
        <w:t>ir IRRBB</w:t>
      </w:r>
      <w:r w:rsidR="00170C7F" w:rsidRPr="00A36096" w:rsidDel="00FC6978">
        <w:t xml:space="preserve"> </w:t>
      </w:r>
      <w:r w:rsidR="00170C7F" w:rsidRPr="00A36096">
        <w:t xml:space="preserve">calculations based on both </w:t>
      </w:r>
      <w:r w:rsidR="003C07C2">
        <w:t>net interest income</w:t>
      </w:r>
      <w:r w:rsidR="00F13A7D">
        <w:t xml:space="preserve"> and </w:t>
      </w:r>
      <w:r w:rsidR="00BA7127">
        <w:t>economic value of equity</w:t>
      </w:r>
      <w:r w:rsidR="00F13A7D">
        <w:t xml:space="preserve"> </w:t>
      </w:r>
      <w:r w:rsidR="00170C7F" w:rsidRPr="00A36096">
        <w:t xml:space="preserve">measures under </w:t>
      </w:r>
      <w:r w:rsidR="00F13A7D">
        <w:t xml:space="preserve">the </w:t>
      </w:r>
      <w:r w:rsidR="00170C7F" w:rsidRPr="00A36096">
        <w:t>six prescribed interest rate shock scenarios;</w:t>
      </w:r>
    </w:p>
    <w:p w14:paraId="54E6F377" w14:textId="566D833E" w:rsidR="00170C7F" w:rsidRPr="00A36096" w:rsidRDefault="00FC6978" w:rsidP="00170C7F">
      <w:pPr>
        <w:pStyle w:val="APRABULLET"/>
      </w:pPr>
      <w:r>
        <w:t>t</w:t>
      </w:r>
      <w:r w:rsidR="00170C7F" w:rsidRPr="00A36096">
        <w:t>he</w:t>
      </w:r>
      <w:r>
        <w:t>ir IRRBB</w:t>
      </w:r>
      <w:r w:rsidR="00170C7F" w:rsidRPr="00A36096">
        <w:t xml:space="preserve"> calculations based on </w:t>
      </w:r>
      <w:r w:rsidR="00736DFB">
        <w:t xml:space="preserve">the </w:t>
      </w:r>
      <w:r w:rsidR="00972789">
        <w:t>Basel</w:t>
      </w:r>
      <w:r w:rsidR="00736DFB">
        <w:t xml:space="preserve"> Committee</w:t>
      </w:r>
      <w:r w:rsidR="00972789">
        <w:t>’s</w:t>
      </w:r>
      <w:r w:rsidR="009C0857" w:rsidDel="00F13A7D">
        <w:t xml:space="preserve"> </w:t>
      </w:r>
      <w:r w:rsidR="00170C7F" w:rsidRPr="00A36096">
        <w:t xml:space="preserve">standardised </w:t>
      </w:r>
      <w:r w:rsidR="00F13A7D">
        <w:t>framework</w:t>
      </w:r>
      <w:r w:rsidR="00170C7F" w:rsidRPr="00A36096">
        <w:t>;</w:t>
      </w:r>
    </w:p>
    <w:p w14:paraId="3B16FC84" w14:textId="77777777" w:rsidR="00170C7F" w:rsidRPr="00A36096" w:rsidRDefault="00170C7F" w:rsidP="00170C7F">
      <w:pPr>
        <w:pStyle w:val="APRABULLET"/>
      </w:pPr>
      <w:r w:rsidRPr="00A36096">
        <w:t>various model assumptions, and</w:t>
      </w:r>
    </w:p>
    <w:p w14:paraId="7BE21716" w14:textId="7E2A9436" w:rsidR="00170C7F" w:rsidRPr="00A36096" w:rsidRDefault="00FC6978" w:rsidP="00170C7F">
      <w:pPr>
        <w:pStyle w:val="APRABULLET"/>
      </w:pPr>
      <w:r>
        <w:t xml:space="preserve">specified qualitative information about </w:t>
      </w:r>
      <w:r w:rsidR="00170C7F" w:rsidRPr="00A36096">
        <w:t>the</w:t>
      </w:r>
      <w:r w:rsidR="009C0857">
        <w:t>ir</w:t>
      </w:r>
      <w:r w:rsidR="00170C7F" w:rsidRPr="00A36096">
        <w:t xml:space="preserve"> </w:t>
      </w:r>
      <w:r>
        <w:t>IRRBB</w:t>
      </w:r>
      <w:r w:rsidR="00170C7F" w:rsidRPr="00A36096">
        <w:t xml:space="preserve"> objectives and management approach.</w:t>
      </w:r>
    </w:p>
    <w:p w14:paraId="155936CA" w14:textId="7C32B5BC" w:rsidR="00242A05" w:rsidRDefault="00242A05" w:rsidP="00242A05">
      <w:pPr>
        <w:pStyle w:val="APRAHEADING2"/>
      </w:pPr>
      <w:bookmarkStart w:id="336" w:name="_Toc492996526"/>
      <w:bookmarkStart w:id="337" w:name="_Toc493154160"/>
      <w:bookmarkStart w:id="338" w:name="_Toc493154606"/>
      <w:bookmarkStart w:id="339" w:name="_Toc493240110"/>
      <w:bookmarkStart w:id="340" w:name="_Toc493240616"/>
      <w:bookmarkStart w:id="341" w:name="_Toc494189586"/>
      <w:bookmarkStart w:id="342" w:name="_Toc496184514"/>
      <w:bookmarkStart w:id="343" w:name="_Toc497209107"/>
      <w:bookmarkStart w:id="344" w:name="_Toc500151961"/>
      <w:bookmarkStart w:id="345" w:name="_Toc505676429"/>
      <w:bookmarkStart w:id="346" w:name="_Toc505676521"/>
      <w:bookmarkStart w:id="347" w:name="_Toc505681593"/>
      <w:bookmarkStart w:id="348" w:name="_Toc505681775"/>
      <w:bookmarkStart w:id="349" w:name="_Toc505854719"/>
      <w:bookmarkStart w:id="350" w:name="_Toc506285819"/>
      <w:r>
        <w:t>Traded market risk</w:t>
      </w:r>
      <w:bookmarkEnd w:id="336"/>
      <w:bookmarkEnd w:id="337"/>
      <w:bookmarkEnd w:id="338"/>
      <w:bookmarkEnd w:id="339"/>
      <w:bookmarkEnd w:id="340"/>
      <w:bookmarkEnd w:id="341"/>
      <w:bookmarkEnd w:id="342"/>
      <w:bookmarkEnd w:id="343"/>
      <w:bookmarkEnd w:id="344"/>
      <w:r w:rsidR="00164C91">
        <w:t xml:space="preserve"> and </w:t>
      </w:r>
      <w:r w:rsidR="00D15065">
        <w:t>credit valuation adjustment</w:t>
      </w:r>
      <w:r w:rsidR="001B5E4B">
        <w:t xml:space="preserve"> risk</w:t>
      </w:r>
      <w:bookmarkEnd w:id="345"/>
      <w:bookmarkEnd w:id="346"/>
      <w:bookmarkEnd w:id="347"/>
      <w:bookmarkEnd w:id="348"/>
      <w:bookmarkEnd w:id="349"/>
      <w:bookmarkEnd w:id="350"/>
    </w:p>
    <w:p w14:paraId="7CCE22AA" w14:textId="58F47610" w:rsidR="00242A05" w:rsidRDefault="009A2CE3" w:rsidP="0058026C">
      <w:pPr>
        <w:pStyle w:val="APRANORMAL"/>
      </w:pPr>
      <w:r>
        <w:t>Traded market risk capital requirements apply to all ADIs that operate a trading book and any ADI with foreign exchange</w:t>
      </w:r>
      <w:r w:rsidR="00B2129D">
        <w:t xml:space="preserve"> or commodities</w:t>
      </w:r>
      <w:r>
        <w:t xml:space="preserve"> exposures</w:t>
      </w:r>
      <w:r w:rsidR="00B2129D">
        <w:t xml:space="preserve"> in the banking book</w:t>
      </w:r>
      <w:r>
        <w:t xml:space="preserve">. The framework </w:t>
      </w:r>
      <w:r w:rsidR="006B581A">
        <w:t xml:space="preserve">set out in </w:t>
      </w:r>
      <w:r w:rsidR="006B581A">
        <w:rPr>
          <w:i/>
        </w:rPr>
        <w:t xml:space="preserve">Prudential Standard APS 116 Capital Adequacy: Market Risk </w:t>
      </w:r>
      <w:r w:rsidR="006B581A">
        <w:t xml:space="preserve">(APS 116) </w:t>
      </w:r>
      <w:r>
        <w:t>includes an internal modelling methodology and a standardised approach.</w:t>
      </w:r>
      <w:r w:rsidR="00FC6978">
        <w:t xml:space="preserve"> </w:t>
      </w:r>
      <w:r w:rsidR="00242A05">
        <w:t xml:space="preserve">The </w:t>
      </w:r>
      <w:r w:rsidR="007C2C00">
        <w:t>Basel III</w:t>
      </w:r>
      <w:r w:rsidR="00242A05">
        <w:t xml:space="preserve"> </w:t>
      </w:r>
      <w:r w:rsidR="00D503D5">
        <w:t xml:space="preserve">market risk </w:t>
      </w:r>
      <w:r w:rsidR="00242A05">
        <w:t xml:space="preserve">framework </w:t>
      </w:r>
      <w:r w:rsidR="00812B1B">
        <w:t xml:space="preserve">includes </w:t>
      </w:r>
      <w:r w:rsidR="00FC6978">
        <w:t xml:space="preserve">amendments to both </w:t>
      </w:r>
      <w:r w:rsidR="0000267F">
        <w:t>approach</w:t>
      </w:r>
      <w:r w:rsidR="00FC6978">
        <w:t>es</w:t>
      </w:r>
      <w:r w:rsidR="007D7375">
        <w:t>.</w:t>
      </w:r>
    </w:p>
    <w:p w14:paraId="4138411B" w14:textId="59A35E5F" w:rsidR="00164C91" w:rsidRDefault="00287BCA" w:rsidP="0058026C">
      <w:pPr>
        <w:pStyle w:val="APRANORMAL"/>
      </w:pPr>
      <w:r>
        <w:t xml:space="preserve">CVA capital requirements </w:t>
      </w:r>
      <w:r w:rsidR="00604B10">
        <w:t xml:space="preserve">apply to all off-balance sheet contracts that are not undertaken through a qualifying central counterparty. </w:t>
      </w:r>
      <w:r w:rsidR="00E74490">
        <w:t>Th</w:t>
      </w:r>
      <w:r w:rsidR="00D95D47">
        <w:t xml:space="preserve">ese requirements </w:t>
      </w:r>
      <w:r w:rsidR="00604B10">
        <w:t>protect against mark-to-market losses that may arise from the deterioration of a counterparty’s credit quality.</w:t>
      </w:r>
      <w:r w:rsidR="00D15065">
        <w:t xml:space="preserve"> Basel </w:t>
      </w:r>
      <w:r w:rsidR="00E74490">
        <w:t xml:space="preserve">III provides </w:t>
      </w:r>
      <w:r w:rsidR="00CE2043">
        <w:t>t</w:t>
      </w:r>
      <w:r w:rsidR="001B5E4B">
        <w:t>wo</w:t>
      </w:r>
      <w:r w:rsidR="00E74490">
        <w:t xml:space="preserve"> approaches to the calculation of CVA, </w:t>
      </w:r>
      <w:r w:rsidR="00E74490" w:rsidDel="001B5E4B">
        <w:t xml:space="preserve">a </w:t>
      </w:r>
      <w:r w:rsidR="00E74490">
        <w:t>basic approach</w:t>
      </w:r>
      <w:r w:rsidR="001B5E4B">
        <w:t xml:space="preserve"> and a standardised approach</w:t>
      </w:r>
      <w:r w:rsidR="00E74490">
        <w:t xml:space="preserve">. </w:t>
      </w:r>
      <w:r w:rsidR="001B5E4B">
        <w:t xml:space="preserve">It also sets a threshold for non-centrally cleared derivatives below which a simplified calculation based on the default risk charge may be used </w:t>
      </w:r>
      <w:r w:rsidR="00B915E1">
        <w:t>for</w:t>
      </w:r>
      <w:r w:rsidR="001B5E4B">
        <w:t xml:space="preserve"> the CVA capital requirement. </w:t>
      </w:r>
      <w:r w:rsidR="00E74490">
        <w:t xml:space="preserve">The basic approach </w:t>
      </w:r>
      <w:r w:rsidR="00CE2043">
        <w:t xml:space="preserve">and simplified calculation for ADIs with less material exposures </w:t>
      </w:r>
      <w:r w:rsidR="00E74490">
        <w:t xml:space="preserve">is </w:t>
      </w:r>
      <w:r w:rsidR="001B5E4B">
        <w:t>similar</w:t>
      </w:r>
      <w:r w:rsidR="00E74490">
        <w:t xml:space="preserve"> to APRA’s curr</w:t>
      </w:r>
      <w:r w:rsidR="003D7219">
        <w:t>ent approach as outlined in APS </w:t>
      </w:r>
      <w:r w:rsidR="00E74490">
        <w:t>112</w:t>
      </w:r>
      <w:r w:rsidR="00CE2043">
        <w:t>. T</w:t>
      </w:r>
      <w:r w:rsidR="00B915E1">
        <w:t xml:space="preserve">he standardised approach is based on CVA sensitivities calculated by </w:t>
      </w:r>
      <w:r w:rsidR="002742B1">
        <w:t xml:space="preserve">a </w:t>
      </w:r>
      <w:r w:rsidR="00B915E1">
        <w:t>bank</w:t>
      </w:r>
      <w:r w:rsidR="002742B1">
        <w:t>’</w:t>
      </w:r>
      <w:r w:rsidR="00B915E1">
        <w:t>s internal models</w:t>
      </w:r>
      <w:r w:rsidR="00CE2043">
        <w:t xml:space="preserve"> and will require regulatory approval</w:t>
      </w:r>
      <w:r w:rsidR="00E74490">
        <w:t>.</w:t>
      </w:r>
    </w:p>
    <w:p w14:paraId="11AD31BA" w14:textId="16354282" w:rsidR="006F1F1D" w:rsidRDefault="009C00B9" w:rsidP="0058026C">
      <w:pPr>
        <w:pStyle w:val="APRANORMAL"/>
      </w:pPr>
      <w:r>
        <w:lastRenderedPageBreak/>
        <w:t xml:space="preserve">In March 2017, APRA </w:t>
      </w:r>
      <w:r w:rsidR="00754FB6">
        <w:t>wrote to</w:t>
      </w:r>
      <w:r>
        <w:t xml:space="preserve"> ADIs </w:t>
      </w:r>
      <w:r w:rsidR="007C2C00">
        <w:t xml:space="preserve">advising of its intention to defer </w:t>
      </w:r>
      <w:r w:rsidR="00754FB6">
        <w:t>finalising implementation of</w:t>
      </w:r>
      <w:r>
        <w:t xml:space="preserve"> </w:t>
      </w:r>
      <w:r w:rsidR="00B327F8">
        <w:t xml:space="preserve">the </w:t>
      </w:r>
      <w:r w:rsidR="007C2C00">
        <w:t xml:space="preserve">Basel III </w:t>
      </w:r>
      <w:r w:rsidR="00B327F8">
        <w:t xml:space="preserve">market risk </w:t>
      </w:r>
      <w:r w:rsidR="007C2C00">
        <w:t>framework</w:t>
      </w:r>
      <w:r w:rsidR="00754FB6">
        <w:t xml:space="preserve"> until</w:t>
      </w:r>
      <w:r>
        <w:t xml:space="preserve"> January 2020</w:t>
      </w:r>
      <w:r w:rsidR="00754FB6">
        <w:t xml:space="preserve"> at the earliest</w:t>
      </w:r>
      <w:r>
        <w:t>.</w:t>
      </w:r>
      <w:r w:rsidR="00754FB6">
        <w:rPr>
          <w:rStyle w:val="FootnoteReference"/>
        </w:rPr>
        <w:footnoteReference w:id="42"/>
      </w:r>
      <w:r>
        <w:t xml:space="preserve"> </w:t>
      </w:r>
      <w:r w:rsidR="00EC0CFC">
        <w:t xml:space="preserve">In </w:t>
      </w:r>
      <w:r w:rsidR="006F0C52">
        <w:t>their</w:t>
      </w:r>
      <w:r w:rsidR="00EC0CFC">
        <w:t xml:space="preserve"> December 2017 announcement </w:t>
      </w:r>
      <w:r w:rsidR="00FD3EDB">
        <w:t>of the final</w:t>
      </w:r>
      <w:r w:rsidR="003D7219">
        <w:t xml:space="preserve"> Basel </w:t>
      </w:r>
      <w:r w:rsidR="00C56AC8">
        <w:t xml:space="preserve">III </w:t>
      </w:r>
      <w:r w:rsidR="00FD3EDB">
        <w:t>framework</w:t>
      </w:r>
      <w:r w:rsidR="00C56AC8">
        <w:t xml:space="preserve">, the </w:t>
      </w:r>
      <w:r w:rsidR="00EC0CFC">
        <w:t xml:space="preserve">Governors and Heads of Supervision endorsed extending </w:t>
      </w:r>
      <w:r w:rsidR="00C56AC8">
        <w:t xml:space="preserve">the implementation date for the </w:t>
      </w:r>
      <w:r w:rsidR="00CC32C8">
        <w:t xml:space="preserve">revised </w:t>
      </w:r>
      <w:r w:rsidR="003D7219">
        <w:t xml:space="preserve">market risk framework </w:t>
      </w:r>
      <w:r w:rsidR="002742B1">
        <w:t xml:space="preserve">to </w:t>
      </w:r>
      <w:r w:rsidR="003D7219">
        <w:t>1 </w:t>
      </w:r>
      <w:r w:rsidR="00C56AC8">
        <w:t xml:space="preserve">January 2022. </w:t>
      </w:r>
      <w:r w:rsidR="00CC32C8">
        <w:t>The d</w:t>
      </w:r>
      <w:r w:rsidR="00C56AC8">
        <w:t>eferral aligns the implementation d</w:t>
      </w:r>
      <w:r w:rsidR="003D7219">
        <w:t>ate to those of the other Basel </w:t>
      </w:r>
      <w:r w:rsidR="00C56AC8">
        <w:t>III reforms</w:t>
      </w:r>
      <w:r w:rsidR="00EC0CFC">
        <w:t xml:space="preserve"> and provides time for the Basel Committee to address specified issues related to the framework</w:t>
      </w:r>
      <w:r w:rsidR="006F1F1D">
        <w:t>.</w:t>
      </w:r>
    </w:p>
    <w:p w14:paraId="258FC502" w14:textId="7FD8075D" w:rsidR="00E74490" w:rsidRDefault="004F7582" w:rsidP="00745ECA">
      <w:pPr>
        <w:pStyle w:val="APRANORMAL"/>
      </w:pPr>
      <w:r>
        <w:t xml:space="preserve">In line with the Basel Committee’s deferral, </w:t>
      </w:r>
      <w:r w:rsidR="007D7375">
        <w:t xml:space="preserve">APRA </w:t>
      </w:r>
      <w:r>
        <w:t>will also</w:t>
      </w:r>
      <w:r w:rsidR="0038378F">
        <w:t xml:space="preserve"> </w:t>
      </w:r>
      <w:r w:rsidR="007D7375">
        <w:t xml:space="preserve">defer </w:t>
      </w:r>
      <w:r w:rsidR="002C2469">
        <w:t>its decision on</w:t>
      </w:r>
      <w:r w:rsidR="001321BC">
        <w:t xml:space="preserve"> the scope and timing of </w:t>
      </w:r>
      <w:r w:rsidR="00C0779F">
        <w:t xml:space="preserve">any </w:t>
      </w:r>
      <w:r w:rsidR="001321BC">
        <w:t>domestic</w:t>
      </w:r>
      <w:r w:rsidR="002C2469">
        <w:t xml:space="preserve"> </w:t>
      </w:r>
      <w:r w:rsidR="007D7375">
        <w:t>implementation</w:t>
      </w:r>
      <w:r w:rsidR="001321BC">
        <w:t xml:space="preserve"> </w:t>
      </w:r>
      <w:r w:rsidR="00754FB6">
        <w:t>of the Basel III market risk framework</w:t>
      </w:r>
      <w:r w:rsidR="005E5500">
        <w:t xml:space="preserve"> until it has been finalised</w:t>
      </w:r>
      <w:r w:rsidR="002C2469">
        <w:t>.</w:t>
      </w:r>
      <w:r w:rsidR="0002708C">
        <w:t xml:space="preserve"> </w:t>
      </w:r>
      <w:r w:rsidR="008740C1">
        <w:t xml:space="preserve">As a result, </w:t>
      </w:r>
      <w:r w:rsidR="0038378F">
        <w:t xml:space="preserve">APRA </w:t>
      </w:r>
      <w:r w:rsidR="00FD3EDB">
        <w:t>understands that some</w:t>
      </w:r>
      <w:r w:rsidR="0038378F">
        <w:t xml:space="preserve"> ADIs</w:t>
      </w:r>
      <w:r w:rsidR="0002708C">
        <w:t xml:space="preserve"> </w:t>
      </w:r>
      <w:r w:rsidR="00FD3EDB">
        <w:t>may choose to delay decisions about</w:t>
      </w:r>
      <w:r w:rsidR="008740C1">
        <w:t xml:space="preserve"> changes to existing systems and processes </w:t>
      </w:r>
      <w:r w:rsidR="00747BE8">
        <w:t>in anticipation of these reforms</w:t>
      </w:r>
      <w:r w:rsidR="0002708C">
        <w:t>.</w:t>
      </w:r>
      <w:r w:rsidR="000D0E62">
        <w:t xml:space="preserve"> </w:t>
      </w:r>
      <w:r w:rsidR="0002708C">
        <w:t>APRA will work with ADIs to ensure</w:t>
      </w:r>
      <w:r w:rsidR="00BC3668">
        <w:t xml:space="preserve"> that there is a sufficient</w:t>
      </w:r>
      <w:r w:rsidR="0002708C">
        <w:t xml:space="preserve"> implementation timeline should it proceed with implementation </w:t>
      </w:r>
      <w:r w:rsidR="00C0779F">
        <w:t xml:space="preserve">of the </w:t>
      </w:r>
      <w:r w:rsidR="003D7219">
        <w:t>Basel </w:t>
      </w:r>
      <w:r w:rsidR="00897AB7">
        <w:t>III market risk framework</w:t>
      </w:r>
      <w:r w:rsidR="00C0779F">
        <w:t>.</w:t>
      </w:r>
    </w:p>
    <w:p w14:paraId="39796BCA" w14:textId="4522EB86" w:rsidR="00745ECA" w:rsidRDefault="00E74490" w:rsidP="00B31599">
      <w:pPr>
        <w:pStyle w:val="APRANORMAL"/>
      </w:pPr>
      <w:bookmarkStart w:id="351" w:name="_Toc497209108"/>
      <w:bookmarkStart w:id="352" w:name="_Toc500151962"/>
      <w:r>
        <w:t xml:space="preserve">While </w:t>
      </w:r>
      <w:r w:rsidR="00FD3EDB">
        <w:t xml:space="preserve">the </w:t>
      </w:r>
      <w:r>
        <w:t>Basel</w:t>
      </w:r>
      <w:r w:rsidR="003D7219">
        <w:t> </w:t>
      </w:r>
      <w:r>
        <w:t xml:space="preserve">III CVA </w:t>
      </w:r>
      <w:r w:rsidR="00FD3EDB">
        <w:t xml:space="preserve">framework </w:t>
      </w:r>
      <w:r>
        <w:t xml:space="preserve">has been finalised, </w:t>
      </w:r>
      <w:r w:rsidR="00FD3EDB">
        <w:t xml:space="preserve">it </w:t>
      </w:r>
      <w:r w:rsidR="009018DD">
        <w:t>may</w:t>
      </w:r>
      <w:r>
        <w:t xml:space="preserve"> be subject to further </w:t>
      </w:r>
      <w:r w:rsidR="000254D3">
        <w:t>re</w:t>
      </w:r>
      <w:r>
        <w:t xml:space="preserve">calibration </w:t>
      </w:r>
      <w:r w:rsidR="00E60AB6">
        <w:t xml:space="preserve">in line with the </w:t>
      </w:r>
      <w:r w:rsidR="009018DD">
        <w:t xml:space="preserve">potential changes to the </w:t>
      </w:r>
      <w:r w:rsidR="00E60AB6">
        <w:t>calibration of the market risk framework</w:t>
      </w:r>
      <w:r w:rsidR="00DF55E1">
        <w:t xml:space="preserve">. It also </w:t>
      </w:r>
      <w:r w:rsidR="003D7219">
        <w:t xml:space="preserve">has an </w:t>
      </w:r>
      <w:r w:rsidR="00D45163">
        <w:t xml:space="preserve">internationally </w:t>
      </w:r>
      <w:r w:rsidR="00BA4420">
        <w:t xml:space="preserve">agreed </w:t>
      </w:r>
      <w:r w:rsidR="003D7219">
        <w:t>implementation date of 1 </w:t>
      </w:r>
      <w:r w:rsidR="00DF55E1">
        <w:t xml:space="preserve">January 2022. APRA will commence consultation on the implementation of </w:t>
      </w:r>
      <w:r w:rsidR="00FD3EDB">
        <w:t xml:space="preserve">the </w:t>
      </w:r>
      <w:r w:rsidR="00DF55E1">
        <w:t>Basel</w:t>
      </w:r>
      <w:r w:rsidR="003D7219">
        <w:t> </w:t>
      </w:r>
      <w:r w:rsidR="00DF55E1">
        <w:t xml:space="preserve">III CVA </w:t>
      </w:r>
      <w:r w:rsidR="00FD3EDB">
        <w:t xml:space="preserve">framework </w:t>
      </w:r>
      <w:r w:rsidR="00DF55E1">
        <w:t xml:space="preserve">after </w:t>
      </w:r>
      <w:r w:rsidR="00FD3EDB">
        <w:t xml:space="preserve">this </w:t>
      </w:r>
      <w:r w:rsidR="00DF55E1">
        <w:t xml:space="preserve">calibration has been </w:t>
      </w:r>
      <w:r w:rsidR="009018DD">
        <w:t>finalised</w:t>
      </w:r>
      <w:r w:rsidR="00DF55E1">
        <w:t xml:space="preserve">, </w:t>
      </w:r>
      <w:r w:rsidR="00FD3EDB">
        <w:t>most</w:t>
      </w:r>
      <w:r w:rsidR="00DF55E1">
        <w:t xml:space="preserve"> likely at the same time that it gives further consideration to the market risk framework.</w:t>
      </w:r>
      <w:bookmarkEnd w:id="351"/>
      <w:bookmarkEnd w:id="352"/>
    </w:p>
    <w:p w14:paraId="0228F4DC" w14:textId="2365CE6D" w:rsidR="00745ECA" w:rsidRPr="00BC4150" w:rsidRDefault="00F9221D">
      <w:pPr>
        <w:pStyle w:val="APRAHEADING1"/>
      </w:pPr>
      <w:bookmarkStart w:id="353" w:name="_Toc497209109"/>
      <w:bookmarkStart w:id="354" w:name="_Toc500151963"/>
      <w:r>
        <w:lastRenderedPageBreak/>
        <w:t xml:space="preserve"> </w:t>
      </w:r>
      <w:bookmarkStart w:id="355" w:name="_Toc505676430"/>
      <w:bookmarkStart w:id="356" w:name="_Toc505676522"/>
      <w:bookmarkStart w:id="357" w:name="_Toc505681594"/>
      <w:bookmarkStart w:id="358" w:name="_Toc505681776"/>
      <w:bookmarkStart w:id="359" w:name="_Toc505854720"/>
      <w:bookmarkStart w:id="360" w:name="_Toc506285820"/>
      <w:r>
        <w:t xml:space="preserve">- </w:t>
      </w:r>
      <w:r w:rsidR="00745ECA" w:rsidRPr="00BC4150">
        <w:t xml:space="preserve">Approach to </w:t>
      </w:r>
      <w:r w:rsidR="00367C27">
        <w:t xml:space="preserve">overall </w:t>
      </w:r>
      <w:r w:rsidR="00745ECA" w:rsidRPr="00BC4150">
        <w:t>calibration</w:t>
      </w:r>
      <w:bookmarkEnd w:id="353"/>
      <w:bookmarkEnd w:id="354"/>
      <w:bookmarkEnd w:id="355"/>
      <w:bookmarkEnd w:id="356"/>
      <w:bookmarkEnd w:id="357"/>
      <w:bookmarkEnd w:id="358"/>
      <w:bookmarkEnd w:id="359"/>
      <w:bookmarkEnd w:id="360"/>
    </w:p>
    <w:p w14:paraId="7AD27356" w14:textId="6A83372F" w:rsidR="006256F0" w:rsidRDefault="00745ECA" w:rsidP="00745ECA">
      <w:pPr>
        <w:pStyle w:val="APRANORMAL"/>
      </w:pPr>
      <w:r>
        <w:t xml:space="preserve">As detailed in APRA’s July 2017 </w:t>
      </w:r>
      <w:r w:rsidR="00FD3EDB">
        <w:t>i</w:t>
      </w:r>
      <w:r>
        <w:t xml:space="preserve">nformation </w:t>
      </w:r>
      <w:r w:rsidR="00FD3EDB">
        <w:t>p</w:t>
      </w:r>
      <w:r>
        <w:t xml:space="preserve">aper, for the Australian banking sector to have capital ratios that are considered unquestionably strong, APRA concluded that it would be necessary for minimum capital requirements </w:t>
      </w:r>
      <w:r w:rsidR="004D518A">
        <w:t>to increase</w:t>
      </w:r>
      <w:r>
        <w:t xml:space="preserve"> </w:t>
      </w:r>
      <w:r w:rsidR="003D7219">
        <w:t>by around 150 </w:t>
      </w:r>
      <w:r w:rsidR="00C33916">
        <w:t xml:space="preserve">basis points </w:t>
      </w:r>
      <w:r>
        <w:t>for IRB ADIs and 50</w:t>
      </w:r>
      <w:r w:rsidR="00812B1B">
        <w:t> </w:t>
      </w:r>
      <w:r>
        <w:t xml:space="preserve">basis points for standardised ADIs. </w:t>
      </w:r>
      <w:r w:rsidR="006256F0">
        <w:t>APRA indicated that this would correspond to a capital benchmark,</w:t>
      </w:r>
      <w:r w:rsidR="00843C7F">
        <w:t xml:space="preserve"> assuming</w:t>
      </w:r>
      <w:r w:rsidR="006256F0">
        <w:t xml:space="preserve"> current RWA me</w:t>
      </w:r>
      <w:r w:rsidR="00843C7F">
        <w:t>thodologies</w:t>
      </w:r>
      <w:r w:rsidR="006256F0">
        <w:t>, of at least 10.5 per cent for the major Australian banks.</w:t>
      </w:r>
    </w:p>
    <w:p w14:paraId="6E16AA7A" w14:textId="156D57EF" w:rsidR="00702629" w:rsidRDefault="00702629" w:rsidP="00745ECA">
      <w:pPr>
        <w:pStyle w:val="APRANORMAL"/>
      </w:pPr>
      <w:r>
        <w:t>There are a number of other objectives that APRA will weigh in determining the overall and relative calibration of the components of the RWA requirement.</w:t>
      </w:r>
    </w:p>
    <w:p w14:paraId="7846528B" w14:textId="5846323D" w:rsidR="00745ECA" w:rsidRDefault="00702629" w:rsidP="00745ECA">
      <w:pPr>
        <w:pStyle w:val="APRANORMAL"/>
      </w:pPr>
      <w:r>
        <w:t>APRA has already stated that</w:t>
      </w:r>
      <w:r w:rsidR="00D0793F">
        <w:t>,</w:t>
      </w:r>
      <w:r>
        <w:t xml:space="preserve"> g</w:t>
      </w:r>
      <w:r w:rsidR="00745ECA" w:rsidRPr="00BC4150">
        <w:t xml:space="preserve">iven </w:t>
      </w:r>
      <w:r w:rsidR="00745ECA" w:rsidRPr="00571DD5">
        <w:t>the</w:t>
      </w:r>
      <w:r w:rsidR="00745ECA" w:rsidRPr="00BC4150">
        <w:t xml:space="preserve"> structural concentration in housing exposures</w:t>
      </w:r>
      <w:r w:rsidR="00745ECA" w:rsidRPr="00571DD5">
        <w:t xml:space="preserve"> </w:t>
      </w:r>
      <w:r w:rsidR="00745ECA">
        <w:t>evident</w:t>
      </w:r>
      <w:r w:rsidR="00745ECA" w:rsidRPr="00571DD5">
        <w:t xml:space="preserve"> in the lending portfolios of most ADIs</w:t>
      </w:r>
      <w:r w:rsidR="00745ECA" w:rsidRPr="00BC4150">
        <w:t xml:space="preserve">, the increase in capital requirements </w:t>
      </w:r>
      <w:r w:rsidR="00745ECA" w:rsidRPr="00571DD5">
        <w:t>necessary to achieve the</w:t>
      </w:r>
      <w:r w:rsidR="00745ECA">
        <w:t>se</w:t>
      </w:r>
      <w:r w:rsidR="00745ECA" w:rsidRPr="00571DD5">
        <w:t xml:space="preserve"> benchmarks </w:t>
      </w:r>
      <w:r w:rsidR="00C33916">
        <w:t>would</w:t>
      </w:r>
      <w:r w:rsidR="00C33916" w:rsidRPr="00571DD5">
        <w:t xml:space="preserve"> </w:t>
      </w:r>
      <w:r w:rsidR="00745ECA" w:rsidRPr="00BC4150">
        <w:t xml:space="preserve">primarily </w:t>
      </w:r>
      <w:r w:rsidR="00745ECA" w:rsidRPr="00571DD5">
        <w:t xml:space="preserve">be </w:t>
      </w:r>
      <w:r w:rsidR="00745ECA" w:rsidRPr="00BC4150">
        <w:t xml:space="preserve">achieved through </w:t>
      </w:r>
      <w:r w:rsidR="00745ECA" w:rsidRPr="00571DD5">
        <w:t xml:space="preserve">increased </w:t>
      </w:r>
      <w:r w:rsidR="00745ECA" w:rsidRPr="00BC4150">
        <w:t xml:space="preserve">capital requirements for </w:t>
      </w:r>
      <w:r w:rsidR="00745ECA" w:rsidRPr="00571DD5">
        <w:t>residential mortgage</w:t>
      </w:r>
      <w:r w:rsidR="00745ECA" w:rsidRPr="00BC4150">
        <w:t xml:space="preserve"> exposures</w:t>
      </w:r>
      <w:r w:rsidR="00745ECA">
        <w:t xml:space="preserve">. </w:t>
      </w:r>
    </w:p>
    <w:p w14:paraId="3CD9884C" w14:textId="6D790F20" w:rsidR="00745ECA" w:rsidRPr="00BC4150" w:rsidRDefault="00745ECA" w:rsidP="00745ECA">
      <w:pPr>
        <w:pStyle w:val="APRANORMAL"/>
      </w:pPr>
      <w:r w:rsidRPr="00BC4150">
        <w:t xml:space="preserve">In </w:t>
      </w:r>
      <w:r w:rsidR="00702629">
        <w:t xml:space="preserve">addition, </w:t>
      </w:r>
      <w:r w:rsidR="00D0793F">
        <w:t xml:space="preserve">in </w:t>
      </w:r>
      <w:r w:rsidRPr="00BC4150">
        <w:t xml:space="preserve">assessing the </w:t>
      </w:r>
      <w:r w:rsidRPr="00571DD5">
        <w:t>appropriateness</w:t>
      </w:r>
      <w:r w:rsidRPr="00BC4150">
        <w:t xml:space="preserve"> of </w:t>
      </w:r>
      <w:r w:rsidRPr="00571DD5">
        <w:t xml:space="preserve">total ADI capital requirements </w:t>
      </w:r>
      <w:r w:rsidR="00A222F3">
        <w:t>under</w:t>
      </w:r>
      <w:r w:rsidRPr="00571DD5">
        <w:t xml:space="preserve"> </w:t>
      </w:r>
      <w:r>
        <w:t>a</w:t>
      </w:r>
      <w:r w:rsidRPr="00571DD5">
        <w:t xml:space="preserve"> revised </w:t>
      </w:r>
      <w:r>
        <w:t xml:space="preserve">capital </w:t>
      </w:r>
      <w:r w:rsidRPr="00571DD5">
        <w:t>framework</w:t>
      </w:r>
      <w:r w:rsidRPr="00BC4150">
        <w:t xml:space="preserve">, </w:t>
      </w:r>
      <w:r>
        <w:t xml:space="preserve">including the proposals </w:t>
      </w:r>
      <w:r w:rsidR="00812B1B">
        <w:t xml:space="preserve">outlined </w:t>
      </w:r>
      <w:r>
        <w:t xml:space="preserve">in this discussion paper, </w:t>
      </w:r>
      <w:r w:rsidRPr="00BC4150">
        <w:t xml:space="preserve">APRA is </w:t>
      </w:r>
      <w:r>
        <w:t xml:space="preserve">aiming to ensure </w:t>
      </w:r>
      <w:r w:rsidR="004F36EB">
        <w:t xml:space="preserve">that </w:t>
      </w:r>
      <w:r w:rsidRPr="00571DD5">
        <w:t>individual</w:t>
      </w:r>
      <w:r w:rsidRPr="00BC4150">
        <w:t xml:space="preserve"> components of the proposed framework </w:t>
      </w:r>
      <w:r w:rsidRPr="00571DD5">
        <w:t>produce</w:t>
      </w:r>
      <w:r w:rsidRPr="00BC4150">
        <w:t xml:space="preserve"> capital outcomes </w:t>
      </w:r>
      <w:r w:rsidR="00C33916">
        <w:t>that</w:t>
      </w:r>
      <w:r w:rsidR="00C33916" w:rsidRPr="00BC4150">
        <w:t xml:space="preserve"> </w:t>
      </w:r>
      <w:r w:rsidRPr="00BC4150">
        <w:t>are appropriate</w:t>
      </w:r>
      <w:r w:rsidRPr="00571DD5">
        <w:t xml:space="preserve"> </w:t>
      </w:r>
      <w:r w:rsidR="00C33916">
        <w:t>both</w:t>
      </w:r>
      <w:r w:rsidRPr="00571DD5">
        <w:t xml:space="preserve"> on a stand-alone basis and </w:t>
      </w:r>
      <w:r w:rsidRPr="00BC4150">
        <w:t xml:space="preserve">relative to other components of the framework. </w:t>
      </w:r>
      <w:r>
        <w:t xml:space="preserve">The proposed capital requirements for residential mortgage exposures, for example, aim to ensure the difference between the average risk weight under the IRB and standardised approaches is not of a magnitude </w:t>
      </w:r>
      <w:r w:rsidR="00C33916">
        <w:t xml:space="preserve">that </w:t>
      </w:r>
      <w:r>
        <w:t xml:space="preserve">would create </w:t>
      </w:r>
      <w:r w:rsidR="003F714E">
        <w:t xml:space="preserve">unwarranted </w:t>
      </w:r>
      <w:r>
        <w:t>competitive distortions.</w:t>
      </w:r>
    </w:p>
    <w:p w14:paraId="004EA873" w14:textId="25939017" w:rsidR="00745ECA" w:rsidRDefault="00702629" w:rsidP="00745ECA">
      <w:pPr>
        <w:pStyle w:val="APRANORMAL"/>
      </w:pPr>
      <w:r>
        <w:t xml:space="preserve">Taking into account these various objectives, </w:t>
      </w:r>
      <w:r w:rsidR="00745ECA" w:rsidRPr="001C4617">
        <w:t>APRA is likely to:</w:t>
      </w:r>
    </w:p>
    <w:p w14:paraId="64A0F946" w14:textId="37089BCC" w:rsidR="00745ECA" w:rsidRPr="00EA5109" w:rsidRDefault="00745ECA" w:rsidP="00745ECA">
      <w:pPr>
        <w:pStyle w:val="APRABULLET"/>
      </w:pPr>
      <w:r>
        <w:t xml:space="preserve">apply a </w:t>
      </w:r>
      <w:r w:rsidR="001849E7">
        <w:t>fixed multiplier (</w:t>
      </w:r>
      <w:r w:rsidRPr="00EA5109">
        <w:t>scalar</w:t>
      </w:r>
      <w:r w:rsidR="001849E7">
        <w:t>)</w:t>
      </w:r>
      <w:r>
        <w:t xml:space="preserve"> to total credit RWA</w:t>
      </w:r>
      <w:r w:rsidR="001849E7">
        <w:t>s</w:t>
      </w:r>
      <w:r w:rsidR="003F5AB4">
        <w:t xml:space="preserve">. </w:t>
      </w:r>
      <w:r w:rsidR="00812B1B">
        <w:t xml:space="preserve">Although </w:t>
      </w:r>
      <w:r w:rsidR="003F5AB4">
        <w:t xml:space="preserve">Basel III removes the 1.06 credit RWA scalar </w:t>
      </w:r>
      <w:r w:rsidR="00812B1B">
        <w:t xml:space="preserve">from </w:t>
      </w:r>
      <w:r w:rsidR="003F5AB4">
        <w:t>the IRB framework, APRA is likely to retain the</w:t>
      </w:r>
      <w:r w:rsidR="00367C27">
        <w:t xml:space="preserve"> concept </w:t>
      </w:r>
      <w:r w:rsidR="003F5AB4">
        <w:t>of a scalar</w:t>
      </w:r>
      <w:r w:rsidR="00824265">
        <w:t xml:space="preserve">, albeit the </w:t>
      </w:r>
      <w:r w:rsidR="001849E7">
        <w:t xml:space="preserve">actual </w:t>
      </w:r>
      <w:r w:rsidR="00B24FDD">
        <w:t xml:space="preserve">value </w:t>
      </w:r>
      <w:r w:rsidR="00824265">
        <w:t>is yet</w:t>
      </w:r>
      <w:r w:rsidR="007B434B">
        <w:t xml:space="preserve"> to be determined</w:t>
      </w:r>
      <w:r>
        <w:t>; and</w:t>
      </w:r>
    </w:p>
    <w:p w14:paraId="0E87E6CC" w14:textId="77777777" w:rsidR="00745ECA" w:rsidRPr="00EA5109" w:rsidRDefault="00745ECA" w:rsidP="00745ECA">
      <w:pPr>
        <w:pStyle w:val="APRABULLET"/>
      </w:pPr>
      <w:r>
        <w:t>if necessary, a</w:t>
      </w:r>
      <w:r w:rsidRPr="00EA5109">
        <w:t xml:space="preserve">pply specific </w:t>
      </w:r>
      <w:r>
        <w:t>RWA</w:t>
      </w:r>
      <w:r w:rsidRPr="00EA5109">
        <w:t xml:space="preserve"> scalars for residential mortgages and commercial property</w:t>
      </w:r>
      <w:r>
        <w:t>.</w:t>
      </w:r>
    </w:p>
    <w:p w14:paraId="7B4147D2" w14:textId="77777777" w:rsidR="00702629" w:rsidRDefault="00745ECA" w:rsidP="00745ECA">
      <w:pPr>
        <w:pStyle w:val="APRANORMAL"/>
      </w:pPr>
      <w:r w:rsidRPr="00BC4150">
        <w:t xml:space="preserve">The appropriateness of capital requirements produced by each component of the proposed framework will be assessed, both individually and </w:t>
      </w:r>
      <w:r>
        <w:t>in aggregate</w:t>
      </w:r>
      <w:r w:rsidRPr="00BC4150">
        <w:t xml:space="preserve">, </w:t>
      </w:r>
      <w:r>
        <w:t xml:space="preserve">through </w:t>
      </w:r>
      <w:r w:rsidR="00E4405E">
        <w:t>the QIS process</w:t>
      </w:r>
      <w:r>
        <w:t xml:space="preserve">. </w:t>
      </w:r>
      <w:r w:rsidRPr="00BC4150">
        <w:t xml:space="preserve">APRA will use </w:t>
      </w:r>
      <w:r w:rsidR="00B85882">
        <w:t>these</w:t>
      </w:r>
      <w:r w:rsidR="00B85882" w:rsidRPr="00BC4150">
        <w:t xml:space="preserve"> </w:t>
      </w:r>
      <w:r w:rsidRPr="00BC4150">
        <w:t xml:space="preserve">data to adjust aspects of its proposals, </w:t>
      </w:r>
      <w:r>
        <w:t>including the nature and size of scalars</w:t>
      </w:r>
      <w:r w:rsidRPr="00BC4150">
        <w:t xml:space="preserve">, where necessary, </w:t>
      </w:r>
      <w:r>
        <w:t xml:space="preserve">and will consult on proposed scalars as part of </w:t>
      </w:r>
      <w:r w:rsidR="006C653C">
        <w:t>it</w:t>
      </w:r>
      <w:r w:rsidR="00E81056">
        <w:t>s</w:t>
      </w:r>
      <w:r>
        <w:t xml:space="preserve"> consultation on draft revised prudential standards.</w:t>
      </w:r>
    </w:p>
    <w:p w14:paraId="0EADE559" w14:textId="155A25EA" w:rsidR="00745ECA" w:rsidRPr="00BC4150" w:rsidRDefault="00702629" w:rsidP="00745ECA">
      <w:pPr>
        <w:pStyle w:val="APRANORMAL"/>
      </w:pPr>
      <w:r>
        <w:lastRenderedPageBreak/>
        <w:t xml:space="preserve">To the extent that the result is an overall increase in RWAs relative to current methodologies, </w:t>
      </w:r>
      <w:r w:rsidR="002D0413">
        <w:t xml:space="preserve">it </w:t>
      </w:r>
      <w:r w:rsidR="00B24FDD">
        <w:t xml:space="preserve">will </w:t>
      </w:r>
      <w:r w:rsidR="002D0413">
        <w:t xml:space="preserve">be necessary to reduce the </w:t>
      </w:r>
      <w:r w:rsidR="00843C7F">
        <w:t xml:space="preserve">capital </w:t>
      </w:r>
      <w:r w:rsidR="00843C7F" w:rsidRPr="008744E3">
        <w:rPr>
          <w:u w:val="single"/>
        </w:rPr>
        <w:t>ratio</w:t>
      </w:r>
      <w:r w:rsidR="00843C7F">
        <w:t xml:space="preserve"> </w:t>
      </w:r>
      <w:r w:rsidR="00B24FDD">
        <w:t xml:space="preserve">benchmarks </w:t>
      </w:r>
      <w:r w:rsidR="00843C7F">
        <w:t xml:space="preserve">from those flagged </w:t>
      </w:r>
      <w:r>
        <w:t>in APRA’s 2017 information paper on unquestionabl</w:t>
      </w:r>
      <w:r w:rsidR="00074D61">
        <w:t>y</w:t>
      </w:r>
      <w:r>
        <w:t xml:space="preserve"> strong capital expec</w:t>
      </w:r>
      <w:r w:rsidR="00843C7F">
        <w:t>tations</w:t>
      </w:r>
      <w:r w:rsidR="002D0413">
        <w:t xml:space="preserve">, in order to ensure that the overall (dollar) </w:t>
      </w:r>
      <w:r w:rsidR="002D0413" w:rsidRPr="008744E3">
        <w:rPr>
          <w:u w:val="single"/>
        </w:rPr>
        <w:t>quantum</w:t>
      </w:r>
      <w:r w:rsidR="002D0413">
        <w:t xml:space="preserve"> of capital increase is unaffected</w:t>
      </w:r>
      <w:r>
        <w:t>.</w:t>
      </w:r>
      <w:r w:rsidR="00843C7F">
        <w:t xml:space="preserve"> For example, the final target CET1 capital ratio based on the revised RWA </w:t>
      </w:r>
      <w:r w:rsidR="00952D82">
        <w:t>methodologies</w:t>
      </w:r>
      <w:r w:rsidR="00843C7F">
        <w:t xml:space="preserve"> for the major banks may ultimately be </w:t>
      </w:r>
      <w:r w:rsidR="00B24FDD">
        <w:t xml:space="preserve">different from the </w:t>
      </w:r>
      <w:r w:rsidR="00843C7F">
        <w:t>10.5 per cent</w:t>
      </w:r>
      <w:r w:rsidR="00B24FDD">
        <w:t xml:space="preserve"> under the current methodology</w:t>
      </w:r>
      <w:r w:rsidR="00843C7F">
        <w:t>.</w:t>
      </w:r>
      <w:r w:rsidR="00745ECA">
        <w:t xml:space="preserve"> </w:t>
      </w:r>
      <w:r>
        <w:t xml:space="preserve">However, </w:t>
      </w:r>
      <w:r w:rsidR="00E47834">
        <w:t xml:space="preserve">APRA’s intention is that </w:t>
      </w:r>
      <w:r>
        <w:t xml:space="preserve">the overall quantum of capital </w:t>
      </w:r>
      <w:r w:rsidR="00843C7F">
        <w:t xml:space="preserve">increase </w:t>
      </w:r>
      <w:r>
        <w:t xml:space="preserve">will </w:t>
      </w:r>
      <w:r w:rsidR="00843C7F">
        <w:t xml:space="preserve">be </w:t>
      </w:r>
      <w:r w:rsidR="00E47834">
        <w:t>equivalent to</w:t>
      </w:r>
      <w:r w:rsidR="002D0413">
        <w:t xml:space="preserve"> that flagged in APRA’s 2017 information paper</w:t>
      </w:r>
      <w:r>
        <w:t>.</w:t>
      </w:r>
    </w:p>
    <w:p w14:paraId="40443484" w14:textId="63FC4895" w:rsidR="00745ECA" w:rsidRPr="00D60984" w:rsidRDefault="00367C27" w:rsidP="00745ECA">
      <w:pPr>
        <w:pStyle w:val="APRAHEADING2"/>
      </w:pPr>
      <w:bookmarkStart w:id="361" w:name="_Toc497209110"/>
      <w:bookmarkStart w:id="362" w:name="_Toc500151964"/>
      <w:bookmarkStart w:id="363" w:name="_Toc505676431"/>
      <w:bookmarkStart w:id="364" w:name="_Toc505676523"/>
      <w:bookmarkStart w:id="365" w:name="_Toc505681595"/>
      <w:bookmarkStart w:id="366" w:name="_Toc505681777"/>
      <w:bookmarkStart w:id="367" w:name="_Toc505854721"/>
      <w:bookmarkStart w:id="368" w:name="_Toc506285821"/>
      <w:r>
        <w:t>R</w:t>
      </w:r>
      <w:r w:rsidR="00745ECA" w:rsidRPr="00AC5548">
        <w:t>isk-weighted asset floor</w:t>
      </w:r>
      <w:bookmarkEnd w:id="361"/>
      <w:r>
        <w:t xml:space="preserve"> for IRB banks</w:t>
      </w:r>
      <w:bookmarkEnd w:id="362"/>
      <w:bookmarkEnd w:id="363"/>
      <w:bookmarkEnd w:id="364"/>
      <w:bookmarkEnd w:id="365"/>
      <w:bookmarkEnd w:id="366"/>
      <w:bookmarkEnd w:id="367"/>
      <w:bookmarkEnd w:id="368"/>
    </w:p>
    <w:p w14:paraId="7E562BF2" w14:textId="5BE205DE" w:rsidR="00367C27" w:rsidRDefault="00367C27" w:rsidP="00745ECA">
      <w:pPr>
        <w:pStyle w:val="APRANORMAL"/>
      </w:pPr>
      <w:r>
        <w:t>The Basel II framework impl</w:t>
      </w:r>
      <w:r w:rsidR="00AA5FBB">
        <w:t>em</w:t>
      </w:r>
      <w:r w:rsidR="006F0C52">
        <w:t>ented in 2008</w:t>
      </w:r>
      <w:r>
        <w:t xml:space="preserve"> included a transitional minimum, or floor, on RWA for banks using the advanced approach</w:t>
      </w:r>
      <w:r w:rsidR="00AA5FBB">
        <w:t>e</w:t>
      </w:r>
      <w:r>
        <w:t xml:space="preserve">s to capital. The objective of the floor was to ensure capital requirements did not fall below </w:t>
      </w:r>
      <w:r w:rsidR="00587700">
        <w:t xml:space="preserve">a certain percentage of </w:t>
      </w:r>
      <w:r>
        <w:t>the previous requirements under the Basel I framework. APRA has since removed the transitional floor.</w:t>
      </w:r>
    </w:p>
    <w:p w14:paraId="139F73BD" w14:textId="1E3AE30C" w:rsidR="00745ECA" w:rsidRPr="00AC5548" w:rsidDel="00BC4150" w:rsidRDefault="00A222F3" w:rsidP="00745ECA">
      <w:pPr>
        <w:pStyle w:val="APRANORMAL"/>
      </w:pPr>
      <w:r>
        <w:t>T</w:t>
      </w:r>
      <w:r w:rsidR="003D7219">
        <w:t>he Basel III </w:t>
      </w:r>
      <w:r w:rsidR="003B55D6">
        <w:t>framework includes</w:t>
      </w:r>
      <w:r w:rsidR="00745ECA" w:rsidRPr="00AC5548">
        <w:t xml:space="preserve"> a</w:t>
      </w:r>
      <w:r w:rsidR="00587700">
        <w:t xml:space="preserve"> </w:t>
      </w:r>
      <w:r w:rsidR="003D7219">
        <w:t>72.5 </w:t>
      </w:r>
      <w:r w:rsidR="00E81056">
        <w:t xml:space="preserve">per cent </w:t>
      </w:r>
      <w:r w:rsidR="00745ECA" w:rsidRPr="00AC5548">
        <w:t>floor</w:t>
      </w:r>
      <w:r w:rsidR="00745ECA" w:rsidRPr="00AC5548" w:rsidDel="001F4AED">
        <w:t xml:space="preserve"> </w:t>
      </w:r>
      <w:r w:rsidR="00745ECA" w:rsidRPr="00AC5548">
        <w:t xml:space="preserve">on the amount of </w:t>
      </w:r>
      <w:r w:rsidR="004278A8">
        <w:t xml:space="preserve">total </w:t>
      </w:r>
      <w:r w:rsidR="00875AA1">
        <w:t xml:space="preserve">RWA for </w:t>
      </w:r>
      <w:r w:rsidR="00367C27">
        <w:t xml:space="preserve">IRB </w:t>
      </w:r>
      <w:r w:rsidR="00875AA1">
        <w:t>banks</w:t>
      </w:r>
      <w:r w:rsidR="007F650A">
        <w:t xml:space="preserve">, </w:t>
      </w:r>
      <w:r w:rsidR="00367C27">
        <w:t>relative to</w:t>
      </w:r>
      <w:r w:rsidR="007F650A">
        <w:t xml:space="preserve"> </w:t>
      </w:r>
      <w:r w:rsidR="00745ECA" w:rsidRPr="00AC5548">
        <w:t>the amount of</w:t>
      </w:r>
      <w:r w:rsidR="00E81056">
        <w:t xml:space="preserve"> </w:t>
      </w:r>
      <w:r w:rsidR="00856CE3">
        <w:t>RWA</w:t>
      </w:r>
      <w:r w:rsidR="00745ECA" w:rsidRPr="00AC5548">
        <w:t xml:space="preserve"> </w:t>
      </w:r>
      <w:r w:rsidR="00875AA1">
        <w:t>that</w:t>
      </w:r>
      <w:r w:rsidR="00875AA1" w:rsidRPr="00AC5548">
        <w:t xml:space="preserve"> </w:t>
      </w:r>
      <w:r w:rsidR="00745ECA" w:rsidRPr="00AC5548">
        <w:t xml:space="preserve">would be </w:t>
      </w:r>
      <w:r w:rsidR="00745ECA">
        <w:t>calculated</w:t>
      </w:r>
      <w:r w:rsidR="00745ECA" w:rsidRPr="00AC5548">
        <w:t xml:space="preserve"> </w:t>
      </w:r>
      <w:r w:rsidR="00E81056">
        <w:t xml:space="preserve">using only </w:t>
      </w:r>
      <w:r w:rsidR="00745ECA" w:rsidRPr="00AC5548">
        <w:t>the standardised approach</w:t>
      </w:r>
      <w:r w:rsidR="00875AA1">
        <w:t>es</w:t>
      </w:r>
      <w:r w:rsidR="00745ECA" w:rsidRPr="00AC5548">
        <w:t>.</w:t>
      </w:r>
      <w:r w:rsidR="00367C27">
        <w:t xml:space="preserve"> </w:t>
      </w:r>
      <w:r w:rsidR="00B85882">
        <w:t>This may be phased in, commencing at 50</w:t>
      </w:r>
      <w:r w:rsidR="003D7219">
        <w:t> </w:t>
      </w:r>
      <w:r w:rsidR="00B85882">
        <w:t>per cent of standardised RWA on 1 January 2022, incrementally increasing each year to 72.5</w:t>
      </w:r>
      <w:r w:rsidR="003D7219">
        <w:t> per cent on 1 </w:t>
      </w:r>
      <w:r w:rsidR="00B85882">
        <w:t>January</w:t>
      </w:r>
      <w:r w:rsidR="003D7219">
        <w:t> </w:t>
      </w:r>
      <w:r w:rsidR="00B85882">
        <w:t>20</w:t>
      </w:r>
      <w:r w:rsidR="00FB6168">
        <w:t>2</w:t>
      </w:r>
      <w:r w:rsidR="00B85882">
        <w:t xml:space="preserve">7. It also provides a further discretionary </w:t>
      </w:r>
      <w:r w:rsidR="00782B21">
        <w:t>cap on a bank’s total RWA during the phase-in period.</w:t>
      </w:r>
      <w:r w:rsidR="00B85882">
        <w:t xml:space="preserve"> </w:t>
      </w:r>
    </w:p>
    <w:p w14:paraId="6727CD95" w14:textId="15C23966" w:rsidR="00745ECA" w:rsidRDefault="00745ECA" w:rsidP="00745ECA">
      <w:pPr>
        <w:pStyle w:val="APRANORMAL"/>
      </w:pPr>
      <w:r>
        <w:t xml:space="preserve">APRA </w:t>
      </w:r>
      <w:r w:rsidR="003648A8">
        <w:t>will</w:t>
      </w:r>
      <w:r w:rsidR="00587700">
        <w:t xml:space="preserve"> include </w:t>
      </w:r>
      <w:r w:rsidR="003648A8">
        <w:t>the</w:t>
      </w:r>
      <w:r w:rsidR="00587700">
        <w:t xml:space="preserve"> </w:t>
      </w:r>
      <w:r w:rsidR="00587700" w:rsidRPr="00916411">
        <w:t>floor</w:t>
      </w:r>
      <w:r w:rsidR="00587700">
        <w:t xml:space="preserve"> in</w:t>
      </w:r>
      <w:r w:rsidRPr="00BC4150">
        <w:t xml:space="preserve"> </w:t>
      </w:r>
      <w:r>
        <w:t xml:space="preserve">its revised capital </w:t>
      </w:r>
      <w:r w:rsidRPr="00BC4150">
        <w:t>framework</w:t>
      </w:r>
      <w:r>
        <w:t>.</w:t>
      </w:r>
      <w:r w:rsidRPr="00BC4150">
        <w:t xml:space="preserve"> </w:t>
      </w:r>
      <w:r w:rsidR="007F650A">
        <w:t>D</w:t>
      </w:r>
      <w:r w:rsidRPr="00BC4150">
        <w:t>oing</w:t>
      </w:r>
      <w:r w:rsidR="007F650A">
        <w:t xml:space="preserve"> so</w:t>
      </w:r>
      <w:r>
        <w:t xml:space="preserve"> will </w:t>
      </w:r>
      <w:r w:rsidRPr="00BC4150">
        <w:t xml:space="preserve">remove the ability of IRB model outputs to vary from </w:t>
      </w:r>
      <w:r>
        <w:t>prescribed standardised risk weights</w:t>
      </w:r>
      <w:r w:rsidRPr="00BC4150">
        <w:t xml:space="preserve"> beyond a </w:t>
      </w:r>
      <w:r w:rsidR="00BA4420">
        <w:t>maximum</w:t>
      </w:r>
      <w:r w:rsidR="00BA4420" w:rsidRPr="00BC4150">
        <w:t xml:space="preserve"> </w:t>
      </w:r>
      <w:r w:rsidRPr="00BC4150">
        <w:t>threshold. I</w:t>
      </w:r>
      <w:r w:rsidR="007F650A">
        <w:t>t therefore</w:t>
      </w:r>
      <w:r w:rsidRPr="00BC4150">
        <w:t xml:space="preserve"> </w:t>
      </w:r>
      <w:r>
        <w:t>directly addresses</w:t>
      </w:r>
      <w:r w:rsidRPr="00BC4150">
        <w:t xml:space="preserve"> excessive variability in </w:t>
      </w:r>
      <w:r w:rsidR="00856CE3">
        <w:t>RWA</w:t>
      </w:r>
      <w:r w:rsidRPr="00BC4150">
        <w:t xml:space="preserve"> and enhances comparability of risk-weighted capital ratios between </w:t>
      </w:r>
      <w:r w:rsidR="007F650A">
        <w:t xml:space="preserve">IRB and standardised </w:t>
      </w:r>
      <w:r>
        <w:t>ADIs</w:t>
      </w:r>
      <w:r w:rsidRPr="00BC4150">
        <w:t>.</w:t>
      </w:r>
      <w:r>
        <w:t xml:space="preserve"> </w:t>
      </w:r>
    </w:p>
    <w:p w14:paraId="7C359D23" w14:textId="7545F01F" w:rsidR="00C043B4" w:rsidRDefault="00E76737" w:rsidP="0038008A">
      <w:pPr>
        <w:pStyle w:val="APRANORMAL"/>
      </w:pPr>
      <w:r>
        <w:t xml:space="preserve">In implementing the floor, APRA does not intend to adopt the Basel III </w:t>
      </w:r>
      <w:r w:rsidR="00782B21">
        <w:t xml:space="preserve">phase-in </w:t>
      </w:r>
      <w:r>
        <w:t>arra</w:t>
      </w:r>
      <w:r w:rsidR="009B1455">
        <w:t>n</w:t>
      </w:r>
      <w:r>
        <w:t>gements</w:t>
      </w:r>
      <w:r w:rsidR="00A85C33">
        <w:t>, and instead expects to implement the floor in line with the other proposed changes to risk weights.</w:t>
      </w:r>
    </w:p>
    <w:p w14:paraId="1D4B5569" w14:textId="77777777" w:rsidR="00C043B4" w:rsidRDefault="00C043B4" w:rsidP="0038008A">
      <w:pPr>
        <w:pStyle w:val="APRANORMAL"/>
      </w:pPr>
    </w:p>
    <w:p w14:paraId="041A409F" w14:textId="13C7CC52" w:rsidR="001D0A2F" w:rsidRDefault="00F9221D" w:rsidP="0098480A">
      <w:pPr>
        <w:pStyle w:val="APRAHEADING1"/>
      </w:pPr>
      <w:bookmarkStart w:id="369" w:name="_Toc492996529"/>
      <w:bookmarkStart w:id="370" w:name="_Toc493154163"/>
      <w:bookmarkStart w:id="371" w:name="_Toc493154609"/>
      <w:bookmarkStart w:id="372" w:name="_Toc493240113"/>
      <w:bookmarkStart w:id="373" w:name="_Toc493240619"/>
      <w:bookmarkStart w:id="374" w:name="_Toc494189589"/>
      <w:bookmarkStart w:id="375" w:name="_Toc496184522"/>
      <w:bookmarkStart w:id="376" w:name="_Toc497209111"/>
      <w:bookmarkStart w:id="377" w:name="_Toc500151966"/>
      <w:r>
        <w:lastRenderedPageBreak/>
        <w:t xml:space="preserve"> </w:t>
      </w:r>
      <w:bookmarkStart w:id="378" w:name="_Toc505676432"/>
      <w:bookmarkStart w:id="379" w:name="_Toc505676524"/>
      <w:bookmarkStart w:id="380" w:name="_Toc505681596"/>
      <w:bookmarkStart w:id="381" w:name="_Toc505681778"/>
      <w:bookmarkStart w:id="382" w:name="_Toc505854722"/>
      <w:bookmarkStart w:id="383" w:name="_Toc506285822"/>
      <w:r>
        <w:t xml:space="preserve">- </w:t>
      </w:r>
      <w:r w:rsidR="007C50FA">
        <w:t>A simpler approach for small</w:t>
      </w:r>
      <w:r w:rsidR="002317AD">
        <w:t xml:space="preserve"> ADIs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06B260C" w14:textId="7166191F" w:rsidR="007C50FA" w:rsidRDefault="007C50FA" w:rsidP="00FC640D">
      <w:pPr>
        <w:pStyle w:val="APRANORMAL"/>
      </w:pPr>
      <w:r>
        <w:t>This chapter outlines APRA’s proposals for</w:t>
      </w:r>
      <w:r w:rsidR="00CD45E7">
        <w:t xml:space="preserve"> a</w:t>
      </w:r>
      <w:r>
        <w:t xml:space="preserve"> </w:t>
      </w:r>
      <w:r w:rsidR="00CD45E7">
        <w:rPr>
          <w:lang w:val="en-AU"/>
        </w:rPr>
        <w:t xml:space="preserve">simplified framework </w:t>
      </w:r>
      <w:r w:rsidR="00B84CF8">
        <w:rPr>
          <w:lang w:val="en-AU"/>
        </w:rPr>
        <w:t>that could</w:t>
      </w:r>
      <w:r w:rsidR="00CD45E7">
        <w:rPr>
          <w:lang w:val="en-AU"/>
        </w:rPr>
        <w:t xml:space="preserve"> be applied to</w:t>
      </w:r>
      <w:r w:rsidR="00CD45E7">
        <w:t xml:space="preserve"> </w:t>
      </w:r>
      <w:r>
        <w:t>small, less c</w:t>
      </w:r>
      <w:r w:rsidR="00CD45E7">
        <w:t xml:space="preserve">omplex ADIs. </w:t>
      </w:r>
      <w:r w:rsidR="00CF4A88">
        <w:t xml:space="preserve">APRA is seeking </w:t>
      </w:r>
      <w:r w:rsidR="00782B21">
        <w:t>submissions</w:t>
      </w:r>
      <w:r w:rsidR="00CD45E7">
        <w:t xml:space="preserve"> on </w:t>
      </w:r>
      <w:r w:rsidR="00C81D46">
        <w:t xml:space="preserve">the </w:t>
      </w:r>
      <w:r w:rsidR="0078736F">
        <w:t>feasibility</w:t>
      </w:r>
      <w:r w:rsidR="00C81D46">
        <w:t xml:space="preserve"> of a simpler framework, </w:t>
      </w:r>
      <w:r w:rsidR="00650B39">
        <w:t>its design</w:t>
      </w:r>
      <w:r w:rsidR="00646878">
        <w:t xml:space="preserve"> </w:t>
      </w:r>
      <w:r w:rsidR="00F623BD">
        <w:t>and key eligibility criteria</w:t>
      </w:r>
      <w:r w:rsidR="00646878">
        <w:t>.</w:t>
      </w:r>
      <w:r>
        <w:t xml:space="preserve"> </w:t>
      </w:r>
    </w:p>
    <w:p w14:paraId="56AA734D" w14:textId="048BCFC8" w:rsidR="00646878" w:rsidRDefault="00646878" w:rsidP="00FC640D">
      <w:pPr>
        <w:pStyle w:val="APRAHEADING2"/>
      </w:pPr>
      <w:bookmarkStart w:id="384" w:name="_Toc492996530"/>
      <w:bookmarkStart w:id="385" w:name="_Toc493154164"/>
      <w:bookmarkStart w:id="386" w:name="_Toc493154610"/>
      <w:bookmarkStart w:id="387" w:name="_Toc493240114"/>
      <w:bookmarkStart w:id="388" w:name="_Toc493240620"/>
      <w:bookmarkStart w:id="389" w:name="_Toc494189590"/>
      <w:bookmarkStart w:id="390" w:name="_Toc496184523"/>
      <w:bookmarkStart w:id="391" w:name="_Toc497209112"/>
      <w:bookmarkStart w:id="392" w:name="_Toc500151967"/>
      <w:bookmarkStart w:id="393" w:name="_Toc505676433"/>
      <w:bookmarkStart w:id="394" w:name="_Toc505676525"/>
      <w:bookmarkStart w:id="395" w:name="_Toc505681597"/>
      <w:bookmarkStart w:id="396" w:name="_Toc505681779"/>
      <w:bookmarkStart w:id="397" w:name="_Toc505854723"/>
      <w:bookmarkStart w:id="398" w:name="_Toc506285823"/>
      <w:r>
        <w:t>Background</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3572DFA0" w14:textId="48890E1C" w:rsidR="002745E7" w:rsidRDefault="00FA10DA">
      <w:pPr>
        <w:pStyle w:val="APRANORMAL"/>
      </w:pPr>
      <w:r>
        <w:t xml:space="preserve">APRA’s longstanding </w:t>
      </w:r>
      <w:r w:rsidR="00860C3B">
        <w:t>approach</w:t>
      </w:r>
      <w:r>
        <w:t xml:space="preserve"> </w:t>
      </w:r>
      <w:r w:rsidR="00B84CF8">
        <w:t>has been</w:t>
      </w:r>
      <w:r>
        <w:t xml:space="preserve"> to </w:t>
      </w:r>
      <w:r w:rsidR="0091364A">
        <w:t>base</w:t>
      </w:r>
      <w:r>
        <w:t xml:space="preserve"> </w:t>
      </w:r>
      <w:r w:rsidR="00B84CF8">
        <w:t>the</w:t>
      </w:r>
      <w:r>
        <w:t xml:space="preserve"> </w:t>
      </w:r>
      <w:r w:rsidR="00B84CF8">
        <w:t>capital</w:t>
      </w:r>
      <w:r>
        <w:t xml:space="preserve"> framework </w:t>
      </w:r>
      <w:r w:rsidR="00B84CF8">
        <w:t xml:space="preserve">for all ADIs </w:t>
      </w:r>
      <w:r>
        <w:t xml:space="preserve">on the </w:t>
      </w:r>
      <w:r w:rsidR="00782B21">
        <w:t xml:space="preserve">Basel Committee’s </w:t>
      </w:r>
      <w:r w:rsidR="00B84CF8">
        <w:t>international</w:t>
      </w:r>
      <w:r w:rsidR="00782B21">
        <w:t>ly agreed</w:t>
      </w:r>
      <w:r w:rsidR="00B84CF8">
        <w:t xml:space="preserve"> framework</w:t>
      </w:r>
      <w:r>
        <w:t>. Th</w:t>
      </w:r>
      <w:r w:rsidR="00CE6B12">
        <w:t>is</w:t>
      </w:r>
      <w:r>
        <w:t xml:space="preserve"> framework has become </w:t>
      </w:r>
      <w:r w:rsidR="004711B0">
        <w:t xml:space="preserve">increasingly </w:t>
      </w:r>
      <w:r>
        <w:t xml:space="preserve">complex following the </w:t>
      </w:r>
      <w:r w:rsidR="00BB221A">
        <w:t xml:space="preserve">global </w:t>
      </w:r>
      <w:r>
        <w:t xml:space="preserve">financial crisis. For small ADIs, </w:t>
      </w:r>
      <w:r w:rsidR="0091364A">
        <w:t>the</w:t>
      </w:r>
      <w:r w:rsidR="00EB6D4A">
        <w:t xml:space="preserve"> cost of </w:t>
      </w:r>
      <w:r w:rsidR="0091364A">
        <w:t>these measures</w:t>
      </w:r>
      <w:r w:rsidR="00650B39">
        <w:t xml:space="preserve"> may</w:t>
      </w:r>
      <w:r w:rsidR="00DE5AEB">
        <w:t xml:space="preserve"> </w:t>
      </w:r>
      <w:r w:rsidR="00EB6D4A">
        <w:t>outweigh the benefit</w:t>
      </w:r>
      <w:r w:rsidR="008108A6">
        <w:t xml:space="preserve"> to prudential safety</w:t>
      </w:r>
      <w:r w:rsidR="00CA07BF">
        <w:t xml:space="preserve">. </w:t>
      </w:r>
      <w:r w:rsidR="00640843">
        <w:t>P</w:t>
      </w:r>
      <w:r>
        <w:t xml:space="preserve">roportionate and tailored requirements </w:t>
      </w:r>
      <w:r w:rsidR="00EC682B">
        <w:t xml:space="preserve">for small ADIs </w:t>
      </w:r>
      <w:r>
        <w:t xml:space="preserve">could reduce </w:t>
      </w:r>
      <w:r w:rsidR="00BD12A8">
        <w:t xml:space="preserve">regulatory </w:t>
      </w:r>
      <w:r>
        <w:t>burden without compromising prudential safety and soundness</w:t>
      </w:r>
      <w:r w:rsidR="00650B39">
        <w:t>. C</w:t>
      </w:r>
      <w:r w:rsidR="009D04F0">
        <w:t xml:space="preserve">alibration </w:t>
      </w:r>
      <w:r w:rsidR="00650B39">
        <w:t xml:space="preserve">of a simpler regime </w:t>
      </w:r>
      <w:r w:rsidR="009D04F0">
        <w:t xml:space="preserve">would be broadly aligned to the </w:t>
      </w:r>
      <w:r w:rsidR="00DC4D40">
        <w:rPr>
          <w:lang w:val="en-AU"/>
        </w:rPr>
        <w:t>more</w:t>
      </w:r>
      <w:r w:rsidR="0067443E">
        <w:rPr>
          <w:lang w:val="en-AU"/>
        </w:rPr>
        <w:t xml:space="preserve"> complex regulatory capital framework</w:t>
      </w:r>
      <w:r w:rsidR="00650B39">
        <w:rPr>
          <w:lang w:val="en-AU"/>
        </w:rPr>
        <w:t>, yet would be</w:t>
      </w:r>
      <w:r w:rsidR="00650B39">
        <w:t xml:space="preserve"> designed to </w:t>
      </w:r>
      <w:r w:rsidR="002745E7" w:rsidRPr="001F450B">
        <w:t xml:space="preserve">suit the size, nature, complexity and risk of </w:t>
      </w:r>
      <w:r w:rsidR="00262AC5">
        <w:t>small ADIs</w:t>
      </w:r>
      <w:r w:rsidR="002745E7">
        <w:t>.</w:t>
      </w:r>
    </w:p>
    <w:p w14:paraId="1BDB6FFF" w14:textId="3E0601D4" w:rsidR="00186C57" w:rsidRDefault="00186C57" w:rsidP="00186C57">
      <w:pPr>
        <w:pStyle w:val="APRAHEADING2"/>
      </w:pPr>
      <w:bookmarkStart w:id="399" w:name="_Toc492996531"/>
      <w:bookmarkStart w:id="400" w:name="_Toc493154165"/>
      <w:bookmarkStart w:id="401" w:name="_Toc493154611"/>
      <w:bookmarkStart w:id="402" w:name="_Toc493240115"/>
      <w:bookmarkStart w:id="403" w:name="_Toc493240621"/>
      <w:bookmarkStart w:id="404" w:name="_Toc494189591"/>
      <w:bookmarkStart w:id="405" w:name="_Toc496184524"/>
      <w:bookmarkStart w:id="406" w:name="_Toc497209113"/>
      <w:bookmarkStart w:id="407" w:name="_Toc500151968"/>
      <w:bookmarkStart w:id="408" w:name="_Toc505676434"/>
      <w:bookmarkStart w:id="409" w:name="_Toc505676526"/>
      <w:bookmarkStart w:id="410" w:name="_Toc505681598"/>
      <w:bookmarkStart w:id="411" w:name="_Toc505681780"/>
      <w:bookmarkStart w:id="412" w:name="_Toc505854724"/>
      <w:bookmarkStart w:id="413" w:name="_Toc506285824"/>
      <w:r>
        <w:t>Scope of a simplified framework</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1BEE9116" w14:textId="525A6AA3" w:rsidR="001342B0" w:rsidRDefault="001342B0" w:rsidP="00101923">
      <w:pPr>
        <w:pStyle w:val="APRANORMAL"/>
        <w:rPr>
          <w:lang w:val="en-AU"/>
        </w:rPr>
      </w:pPr>
      <w:r w:rsidRPr="00DA2303">
        <w:rPr>
          <w:lang w:val="en-AU"/>
        </w:rPr>
        <w:t>T</w:t>
      </w:r>
      <w:r w:rsidR="009A016C" w:rsidRPr="00DA2303">
        <w:rPr>
          <w:lang w:val="en-AU"/>
        </w:rPr>
        <w:t xml:space="preserve">he requirements being considered for </w:t>
      </w:r>
      <w:r w:rsidR="006B1A7C">
        <w:rPr>
          <w:lang w:val="en-AU"/>
        </w:rPr>
        <w:t>simplification</w:t>
      </w:r>
      <w:r w:rsidR="00C16089" w:rsidRPr="00DA2303">
        <w:rPr>
          <w:lang w:val="en-AU"/>
        </w:rPr>
        <w:t xml:space="preserve"> are operational risk, counterparty credit risk, leverage ratio and </w:t>
      </w:r>
      <w:r w:rsidR="00782B21">
        <w:rPr>
          <w:lang w:val="en-AU"/>
        </w:rPr>
        <w:t>public</w:t>
      </w:r>
      <w:r w:rsidR="00C16089" w:rsidRPr="00DA2303">
        <w:rPr>
          <w:lang w:val="en-AU"/>
        </w:rPr>
        <w:t xml:space="preserve"> disclosures. </w:t>
      </w:r>
      <w:r w:rsidR="00DA2303" w:rsidRPr="00BA1D36">
        <w:rPr>
          <w:rFonts w:cs="Arial"/>
        </w:rPr>
        <w:t xml:space="preserve">APRA </w:t>
      </w:r>
      <w:r w:rsidR="009D392B">
        <w:rPr>
          <w:rFonts w:cs="Arial"/>
        </w:rPr>
        <w:t>does</w:t>
      </w:r>
      <w:r w:rsidR="00DA2303" w:rsidRPr="00BA1D36">
        <w:rPr>
          <w:rFonts w:cs="Arial"/>
        </w:rPr>
        <w:t xml:space="preserve"> not propos</w:t>
      </w:r>
      <w:r w:rsidR="009D392B">
        <w:rPr>
          <w:rFonts w:cs="Arial"/>
        </w:rPr>
        <w:t>e</w:t>
      </w:r>
      <w:r w:rsidR="00DA2303" w:rsidRPr="00BA1D36">
        <w:rPr>
          <w:rFonts w:cs="Arial"/>
        </w:rPr>
        <w:t xml:space="preserve"> simplify</w:t>
      </w:r>
      <w:r w:rsidR="009D392B">
        <w:rPr>
          <w:rFonts w:cs="Arial"/>
        </w:rPr>
        <w:t>ing</w:t>
      </w:r>
      <w:r w:rsidR="00DA2303" w:rsidRPr="00BA1D36">
        <w:rPr>
          <w:rFonts w:cs="Arial"/>
        </w:rPr>
        <w:t xml:space="preserve"> the regulatory capital requirement for credit risk, but </w:t>
      </w:r>
      <w:r w:rsidR="00CE79AF">
        <w:rPr>
          <w:rFonts w:cs="Arial"/>
        </w:rPr>
        <w:t>to</w:t>
      </w:r>
      <w:r w:rsidR="00DA2303" w:rsidRPr="00BA1D36">
        <w:rPr>
          <w:rFonts w:cs="Arial"/>
        </w:rPr>
        <w:t xml:space="preserve"> apply </w:t>
      </w:r>
      <w:r w:rsidR="00782B21">
        <w:rPr>
          <w:rFonts w:cs="Arial"/>
        </w:rPr>
        <w:t xml:space="preserve">to all standardised ADIs </w:t>
      </w:r>
      <w:r w:rsidR="00DA2303" w:rsidRPr="00BA1D36">
        <w:rPr>
          <w:rFonts w:cs="Arial"/>
        </w:rPr>
        <w:t xml:space="preserve">the </w:t>
      </w:r>
      <w:r w:rsidR="001472C0" w:rsidRPr="00BA1D36">
        <w:rPr>
          <w:rFonts w:cs="Arial"/>
        </w:rPr>
        <w:t xml:space="preserve">same prudential requirements, including those </w:t>
      </w:r>
      <w:r w:rsidR="00782B21">
        <w:rPr>
          <w:rFonts w:cs="Arial"/>
        </w:rPr>
        <w:t>proposed</w:t>
      </w:r>
      <w:r w:rsidR="00782B21" w:rsidRPr="00BA1D36">
        <w:rPr>
          <w:rFonts w:cs="Arial"/>
        </w:rPr>
        <w:t xml:space="preserve"> </w:t>
      </w:r>
      <w:r w:rsidR="00DA2303" w:rsidRPr="00BA1D36">
        <w:rPr>
          <w:rFonts w:cs="Arial"/>
        </w:rPr>
        <w:t>in Chapter</w:t>
      </w:r>
      <w:r w:rsidR="006F0C52">
        <w:rPr>
          <w:rFonts w:cs="Arial"/>
        </w:rPr>
        <w:t>s</w:t>
      </w:r>
      <w:r w:rsidR="00DA2303" w:rsidRPr="00BA1D36">
        <w:rPr>
          <w:rFonts w:cs="Arial"/>
        </w:rPr>
        <w:t xml:space="preserve"> 2 </w:t>
      </w:r>
      <w:r w:rsidR="006F0C52">
        <w:rPr>
          <w:rFonts w:cs="Arial"/>
        </w:rPr>
        <w:t xml:space="preserve">and 3 </w:t>
      </w:r>
      <w:r w:rsidR="00DA2303" w:rsidRPr="00BA1D36">
        <w:rPr>
          <w:rFonts w:cs="Arial"/>
        </w:rPr>
        <w:t xml:space="preserve">of this </w:t>
      </w:r>
      <w:r w:rsidR="004F0710" w:rsidRPr="00BA1D36">
        <w:rPr>
          <w:rFonts w:cs="Arial"/>
        </w:rPr>
        <w:t xml:space="preserve">discussion </w:t>
      </w:r>
      <w:r w:rsidR="00DA2303" w:rsidRPr="00BA1D36">
        <w:rPr>
          <w:rFonts w:cs="Arial"/>
        </w:rPr>
        <w:t xml:space="preserve">paper. </w:t>
      </w:r>
      <w:r w:rsidR="00CE79AF">
        <w:rPr>
          <w:rFonts w:cs="Arial"/>
        </w:rPr>
        <w:t>As credit risk</w:t>
      </w:r>
      <w:r w:rsidR="00DA2303" w:rsidRPr="00BA1D36">
        <w:rPr>
          <w:rFonts w:cs="Arial"/>
        </w:rPr>
        <w:t xml:space="preserve"> is the mos</w:t>
      </w:r>
      <w:r w:rsidR="00CE79AF">
        <w:rPr>
          <w:rFonts w:cs="Arial"/>
        </w:rPr>
        <w:t>t material risk exposure for these</w:t>
      </w:r>
      <w:r w:rsidR="00DA2303" w:rsidRPr="00BA1D36">
        <w:rPr>
          <w:rFonts w:cs="Arial"/>
        </w:rPr>
        <w:t xml:space="preserve"> ADIs</w:t>
      </w:r>
      <w:r w:rsidR="00CE79AF">
        <w:rPr>
          <w:rFonts w:cs="Arial"/>
        </w:rPr>
        <w:t>,</w:t>
      </w:r>
      <w:r w:rsidR="00DA2303" w:rsidRPr="00BA1D36">
        <w:rPr>
          <w:rFonts w:cs="Arial"/>
        </w:rPr>
        <w:t xml:space="preserve"> a risk</w:t>
      </w:r>
      <w:r w:rsidR="00985024">
        <w:rPr>
          <w:rFonts w:cs="Arial"/>
        </w:rPr>
        <w:t>-</w:t>
      </w:r>
      <w:r w:rsidR="00DA2303" w:rsidRPr="00BA1D36">
        <w:rPr>
          <w:rFonts w:cs="Arial"/>
        </w:rPr>
        <w:t xml:space="preserve">sensitive approach is considered appropriate from both safety and competitive </w:t>
      </w:r>
      <w:r w:rsidR="00985024">
        <w:rPr>
          <w:rFonts w:cs="Arial"/>
        </w:rPr>
        <w:t>neutrality</w:t>
      </w:r>
      <w:r w:rsidR="00985024" w:rsidRPr="00BA1D36">
        <w:rPr>
          <w:rFonts w:cs="Arial"/>
        </w:rPr>
        <w:t xml:space="preserve"> </w:t>
      </w:r>
      <w:r w:rsidR="00DA2303" w:rsidRPr="00BA1D36">
        <w:rPr>
          <w:rFonts w:cs="Arial"/>
        </w:rPr>
        <w:t>perspectives.</w:t>
      </w:r>
    </w:p>
    <w:p w14:paraId="5A6657A5" w14:textId="710BCC2D" w:rsidR="00F32C89" w:rsidRDefault="00F32C89" w:rsidP="00F32C89">
      <w:pPr>
        <w:pStyle w:val="APRANORMAL"/>
      </w:pPr>
      <w:r>
        <w:t xml:space="preserve">APRA is not </w:t>
      </w:r>
      <w:r w:rsidR="00782B21">
        <w:t xml:space="preserve">currently </w:t>
      </w:r>
      <w:r>
        <w:t xml:space="preserve">considering </w:t>
      </w:r>
      <w:r w:rsidR="006B1A7C">
        <w:t>simplif</w:t>
      </w:r>
      <w:r w:rsidR="001C1D0E">
        <w:t>ying</w:t>
      </w:r>
      <w:r>
        <w:t xml:space="preserve"> other </w:t>
      </w:r>
      <w:r w:rsidR="002B65FA">
        <w:t xml:space="preserve">aspects of the ADI </w:t>
      </w:r>
      <w:r>
        <w:t xml:space="preserve">prudential </w:t>
      </w:r>
      <w:r w:rsidR="002B65FA">
        <w:t xml:space="preserve">framework, such as </w:t>
      </w:r>
      <w:r>
        <w:t>requirements</w:t>
      </w:r>
      <w:r w:rsidR="00650B39">
        <w:t xml:space="preserve"> for liquidity, risk management and governance</w:t>
      </w:r>
      <w:r>
        <w:t xml:space="preserve">. </w:t>
      </w:r>
      <w:r w:rsidR="002B65FA">
        <w:t>T</w:t>
      </w:r>
      <w:r>
        <w:t>hese requirements already allow for proportionate approaches to be applied through APRA’s supervision practices.</w:t>
      </w:r>
      <w:r w:rsidR="00B418F7">
        <w:t xml:space="preserve"> </w:t>
      </w:r>
      <w:r w:rsidR="004865FD">
        <w:t xml:space="preserve">APRA is </w:t>
      </w:r>
      <w:r w:rsidR="00584A9F">
        <w:t xml:space="preserve">nevertheless </w:t>
      </w:r>
      <w:r w:rsidR="004865FD">
        <w:t>open</w:t>
      </w:r>
      <w:r w:rsidR="00D134CD">
        <w:t xml:space="preserve"> to</w:t>
      </w:r>
      <w:r w:rsidR="00B418F7">
        <w:t xml:space="preserve"> industry’s view</w:t>
      </w:r>
      <w:r w:rsidR="001E0CE0">
        <w:t>s</w:t>
      </w:r>
      <w:r w:rsidR="00B418F7">
        <w:t xml:space="preserve"> </w:t>
      </w:r>
      <w:r w:rsidR="00D134CD">
        <w:t xml:space="preserve">on other areas </w:t>
      </w:r>
      <w:r w:rsidR="00486FEA">
        <w:t>that might be simplified</w:t>
      </w:r>
      <w:r w:rsidR="00D134CD">
        <w:t xml:space="preserve">. </w:t>
      </w:r>
    </w:p>
    <w:p w14:paraId="4F2AB4B5" w14:textId="288FBEC8" w:rsidR="00F32C89" w:rsidRDefault="00F32C89" w:rsidP="00101923">
      <w:pPr>
        <w:pStyle w:val="APRANORMAL"/>
      </w:pPr>
      <w:r>
        <w:rPr>
          <w:lang w:val="en-AU"/>
        </w:rPr>
        <w:t>A simplified framework for small ADIs</w:t>
      </w:r>
      <w:r>
        <w:t xml:space="preserve"> would likely result in a corresponding simplification </w:t>
      </w:r>
      <w:r w:rsidR="00486FEA">
        <w:t xml:space="preserve">of </w:t>
      </w:r>
      <w:r>
        <w:t>reporting requirements for smaller ADIs. APRA will consult on this</w:t>
      </w:r>
      <w:r w:rsidR="002B65FA">
        <w:t xml:space="preserve"> aspect</w:t>
      </w:r>
      <w:r>
        <w:t xml:space="preserve"> in due course.</w:t>
      </w:r>
    </w:p>
    <w:p w14:paraId="7E3F7BB7" w14:textId="779B3288" w:rsidR="00FC640D" w:rsidRPr="004812A7" w:rsidRDefault="00A2412C" w:rsidP="00BD2EF3">
      <w:pPr>
        <w:pStyle w:val="APRAHEADING3"/>
      </w:pPr>
      <w:bookmarkStart w:id="414" w:name="_Toc493154170"/>
      <w:bookmarkStart w:id="415" w:name="_Toc493154616"/>
      <w:bookmarkStart w:id="416" w:name="_Toc493240120"/>
      <w:bookmarkStart w:id="417" w:name="_Toc493240626"/>
      <w:bookmarkStart w:id="418" w:name="_Toc494189596"/>
      <w:bookmarkStart w:id="419" w:name="_Toc496184525"/>
      <w:r>
        <w:lastRenderedPageBreak/>
        <w:t>Elements</w:t>
      </w:r>
      <w:bookmarkStart w:id="420" w:name="_Toc492996536"/>
      <w:r w:rsidR="00FC640D">
        <w:t xml:space="preserve"> of </w:t>
      </w:r>
      <w:r w:rsidR="009E4303">
        <w:t xml:space="preserve">a simplified </w:t>
      </w:r>
      <w:r w:rsidR="00FC640D">
        <w:t>framework</w:t>
      </w:r>
      <w:bookmarkEnd w:id="414"/>
      <w:bookmarkEnd w:id="415"/>
      <w:bookmarkEnd w:id="416"/>
      <w:bookmarkEnd w:id="417"/>
      <w:bookmarkEnd w:id="418"/>
      <w:bookmarkEnd w:id="419"/>
      <w:bookmarkEnd w:id="420"/>
    </w:p>
    <w:p w14:paraId="59B8F78F" w14:textId="165D3DF5" w:rsidR="00CA07BF" w:rsidRDefault="003D7219" w:rsidP="00CA07BF">
      <w:pPr>
        <w:pStyle w:val="APRANORMAL"/>
      </w:pPr>
      <w:r>
        <w:rPr>
          <w:lang w:val="en-AU"/>
        </w:rPr>
        <w:fldChar w:fldCharType="begin"/>
      </w:r>
      <w:r>
        <w:rPr>
          <w:lang w:val="en-AU"/>
        </w:rPr>
        <w:instrText xml:space="preserve"> REF _Ref502744250 \n \h </w:instrText>
      </w:r>
      <w:r>
        <w:rPr>
          <w:lang w:val="en-AU"/>
        </w:rPr>
      </w:r>
      <w:r>
        <w:rPr>
          <w:lang w:val="en-AU"/>
        </w:rPr>
        <w:fldChar w:fldCharType="separate"/>
      </w:r>
      <w:r w:rsidR="00EB1F7A">
        <w:rPr>
          <w:lang w:val="en-AU"/>
        </w:rPr>
        <w:t>Table 13</w:t>
      </w:r>
      <w:r>
        <w:rPr>
          <w:lang w:val="en-AU"/>
        </w:rPr>
        <w:fldChar w:fldCharType="end"/>
      </w:r>
      <w:r>
        <w:rPr>
          <w:lang w:val="en-AU"/>
        </w:rPr>
        <w:t xml:space="preserve"> </w:t>
      </w:r>
      <w:r w:rsidR="00FC640D">
        <w:rPr>
          <w:lang w:val="en-AU"/>
        </w:rPr>
        <w:t xml:space="preserve">sets out the </w:t>
      </w:r>
      <w:r w:rsidR="00297BA9">
        <w:rPr>
          <w:lang w:val="en-AU"/>
        </w:rPr>
        <w:t>proposed simplified framework</w:t>
      </w:r>
      <w:r w:rsidR="003E6620">
        <w:rPr>
          <w:lang w:val="en-AU"/>
        </w:rPr>
        <w:t>.</w:t>
      </w:r>
      <w:r w:rsidR="00BF0E52">
        <w:rPr>
          <w:lang w:val="en-AU"/>
        </w:rPr>
        <w:t xml:space="preserve"> For comparison purposes, the table </w:t>
      </w:r>
      <w:r w:rsidR="00C87557">
        <w:rPr>
          <w:lang w:val="en-AU"/>
        </w:rPr>
        <w:t>includes</w:t>
      </w:r>
      <w:r w:rsidR="00BF0E52">
        <w:rPr>
          <w:lang w:val="en-AU"/>
        </w:rPr>
        <w:t xml:space="preserve"> the current </w:t>
      </w:r>
      <w:r w:rsidR="00782B21">
        <w:rPr>
          <w:lang w:val="en-AU"/>
        </w:rPr>
        <w:t xml:space="preserve">APRA </w:t>
      </w:r>
      <w:r w:rsidR="00BF0E52">
        <w:rPr>
          <w:lang w:val="en-AU"/>
        </w:rPr>
        <w:t xml:space="preserve">and </w:t>
      </w:r>
      <w:r w:rsidR="00FC640D">
        <w:rPr>
          <w:lang w:val="en-AU"/>
        </w:rPr>
        <w:t xml:space="preserve">Basel III </w:t>
      </w:r>
      <w:r w:rsidR="00782B21">
        <w:rPr>
          <w:lang w:val="en-AU"/>
        </w:rPr>
        <w:t>frameworks</w:t>
      </w:r>
      <w:r w:rsidR="00FC640D">
        <w:rPr>
          <w:lang w:val="en-AU"/>
        </w:rPr>
        <w:t xml:space="preserve">. </w:t>
      </w:r>
      <w:r w:rsidR="00327AE8">
        <w:rPr>
          <w:lang w:val="en-AU"/>
        </w:rPr>
        <w:t xml:space="preserve">APRA seeks industry views on whether the proposals represent </w:t>
      </w:r>
      <w:r w:rsidR="003E6620">
        <w:rPr>
          <w:lang w:val="en-AU"/>
        </w:rPr>
        <w:t>an operationally</w:t>
      </w:r>
      <w:r w:rsidR="00327AE8">
        <w:rPr>
          <w:lang w:val="en-AU"/>
        </w:rPr>
        <w:t xml:space="preserve"> simpler approach</w:t>
      </w:r>
      <w:r w:rsidR="00745BC6">
        <w:rPr>
          <w:lang w:val="en-AU"/>
        </w:rPr>
        <w:t xml:space="preserve">. </w:t>
      </w:r>
      <w:r w:rsidR="00AB6E1F">
        <w:rPr>
          <w:lang w:val="en-AU"/>
        </w:rPr>
        <w:t xml:space="preserve">APRA </w:t>
      </w:r>
      <w:r w:rsidR="00327AE8">
        <w:rPr>
          <w:lang w:val="en-AU"/>
        </w:rPr>
        <w:t xml:space="preserve">will </w:t>
      </w:r>
      <w:r w:rsidR="00AB6E1F">
        <w:rPr>
          <w:lang w:val="en-AU"/>
        </w:rPr>
        <w:t xml:space="preserve">consult on specific </w:t>
      </w:r>
      <w:r w:rsidR="00CA4110">
        <w:rPr>
          <w:lang w:val="en-AU"/>
        </w:rPr>
        <w:t>prudential</w:t>
      </w:r>
      <w:r w:rsidR="00AB6E1F">
        <w:rPr>
          <w:lang w:val="en-AU"/>
        </w:rPr>
        <w:t xml:space="preserve"> requirements across each relevant </w:t>
      </w:r>
      <w:r w:rsidR="002B65FA">
        <w:rPr>
          <w:lang w:val="en-AU"/>
        </w:rPr>
        <w:t>area</w:t>
      </w:r>
      <w:r w:rsidR="00AB6E1F">
        <w:rPr>
          <w:lang w:val="en-AU"/>
        </w:rPr>
        <w:t xml:space="preserve"> in due course. </w:t>
      </w:r>
    </w:p>
    <w:p w14:paraId="22DA70B8" w14:textId="245ABE17" w:rsidR="00FC640D" w:rsidRPr="00077762" w:rsidRDefault="001F3831" w:rsidP="00441787">
      <w:pPr>
        <w:pStyle w:val="APRATABLE-NUMBER"/>
      </w:pPr>
      <w:bookmarkStart w:id="421" w:name="_Ref502744250"/>
      <w:r>
        <w:t>Proposals for</w:t>
      </w:r>
      <w:r w:rsidR="00C13442">
        <w:t xml:space="preserve"> a</w:t>
      </w:r>
      <w:r>
        <w:t xml:space="preserve"> simplified framework</w:t>
      </w:r>
      <w:bookmarkEnd w:id="42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9"/>
        <w:gridCol w:w="2249"/>
        <w:gridCol w:w="2249"/>
        <w:gridCol w:w="2249"/>
      </w:tblGrid>
      <w:tr w:rsidR="00FC640D" w14:paraId="41C47E12" w14:textId="77777777" w:rsidTr="00075B4A">
        <w:trPr>
          <w:tblHeader/>
        </w:trPr>
        <w:tc>
          <w:tcPr>
            <w:tcW w:w="2269" w:type="dxa"/>
            <w:shd w:val="clear" w:color="auto" w:fill="002060"/>
          </w:tcPr>
          <w:p w14:paraId="3122F738" w14:textId="77777777" w:rsidR="00FC640D" w:rsidRPr="00665689" w:rsidRDefault="00FC640D" w:rsidP="00A60832">
            <w:pPr>
              <w:pStyle w:val="APRANORMAL"/>
              <w:spacing w:before="120" w:after="120"/>
              <w:jc w:val="center"/>
              <w:rPr>
                <w:rFonts w:ascii="DIN OT Medium" w:hAnsi="DIN OT Medium"/>
                <w:sz w:val="20"/>
                <w:szCs w:val="20"/>
                <w:lang w:val="en-AU"/>
              </w:rPr>
            </w:pPr>
          </w:p>
        </w:tc>
        <w:tc>
          <w:tcPr>
            <w:tcW w:w="2249" w:type="dxa"/>
            <w:shd w:val="clear" w:color="auto" w:fill="002060"/>
            <w:vAlign w:val="bottom"/>
          </w:tcPr>
          <w:p w14:paraId="2572F7E9" w14:textId="43930A72" w:rsidR="00FC640D" w:rsidRPr="00665689" w:rsidRDefault="00AE0D39" w:rsidP="00A60832">
            <w:pPr>
              <w:pStyle w:val="APRANORMAL"/>
              <w:spacing w:before="120" w:after="120"/>
              <w:rPr>
                <w:rFonts w:ascii="DIN OT Medium" w:hAnsi="DIN OT Medium"/>
                <w:sz w:val="20"/>
                <w:szCs w:val="20"/>
                <w:lang w:val="en-AU"/>
              </w:rPr>
            </w:pPr>
            <w:r>
              <w:rPr>
                <w:rFonts w:ascii="DIN OT Medium" w:hAnsi="DIN OT Medium"/>
                <w:sz w:val="20"/>
                <w:szCs w:val="20"/>
                <w:lang w:val="en-AU"/>
              </w:rPr>
              <w:t>C</w:t>
            </w:r>
            <w:r w:rsidR="00CF4CAE">
              <w:rPr>
                <w:rFonts w:ascii="DIN OT Medium" w:hAnsi="DIN OT Medium"/>
                <w:sz w:val="20"/>
                <w:szCs w:val="20"/>
                <w:lang w:val="en-AU"/>
              </w:rPr>
              <w:t>urrent requirement</w:t>
            </w:r>
          </w:p>
        </w:tc>
        <w:tc>
          <w:tcPr>
            <w:tcW w:w="2249" w:type="dxa"/>
            <w:shd w:val="clear" w:color="auto" w:fill="002060"/>
            <w:vAlign w:val="bottom"/>
          </w:tcPr>
          <w:p w14:paraId="469D73F2" w14:textId="70BFD8D5" w:rsidR="00FC640D" w:rsidRPr="00665689" w:rsidRDefault="00CF4CAE" w:rsidP="00A60832">
            <w:pPr>
              <w:pStyle w:val="APRANORMAL"/>
              <w:spacing w:before="120" w:after="120"/>
              <w:rPr>
                <w:rFonts w:ascii="DIN OT Medium" w:hAnsi="DIN OT Medium"/>
                <w:sz w:val="20"/>
                <w:szCs w:val="20"/>
                <w:lang w:val="en-AU"/>
              </w:rPr>
            </w:pPr>
            <w:r w:rsidRPr="00665689">
              <w:rPr>
                <w:rFonts w:ascii="DIN OT Medium" w:hAnsi="DIN OT Medium"/>
                <w:sz w:val="20"/>
                <w:szCs w:val="20"/>
                <w:lang w:val="en-AU"/>
              </w:rPr>
              <w:t>Basel III</w:t>
            </w:r>
            <w:r>
              <w:rPr>
                <w:rFonts w:ascii="DIN OT Medium" w:hAnsi="DIN OT Medium"/>
                <w:sz w:val="20"/>
                <w:szCs w:val="20"/>
                <w:lang w:val="en-AU"/>
              </w:rPr>
              <w:t xml:space="preserve"> </w:t>
            </w:r>
          </w:p>
        </w:tc>
        <w:tc>
          <w:tcPr>
            <w:tcW w:w="2249" w:type="dxa"/>
            <w:shd w:val="clear" w:color="auto" w:fill="002060"/>
            <w:vAlign w:val="bottom"/>
          </w:tcPr>
          <w:p w14:paraId="2175DDA3" w14:textId="00148EBF" w:rsidR="00FC640D" w:rsidRPr="00665689" w:rsidRDefault="00DD0219" w:rsidP="00A60832">
            <w:pPr>
              <w:pStyle w:val="APRANORMAL"/>
              <w:spacing w:before="120" w:after="120"/>
              <w:rPr>
                <w:rFonts w:ascii="DIN OT Medium" w:hAnsi="DIN OT Medium"/>
                <w:sz w:val="20"/>
                <w:szCs w:val="20"/>
                <w:lang w:val="en-AU"/>
              </w:rPr>
            </w:pPr>
            <w:r>
              <w:rPr>
                <w:rFonts w:ascii="DIN OT Medium" w:hAnsi="DIN OT Medium"/>
                <w:sz w:val="20"/>
                <w:szCs w:val="20"/>
                <w:lang w:val="en-AU"/>
              </w:rPr>
              <w:t>Proposed</w:t>
            </w:r>
          </w:p>
        </w:tc>
      </w:tr>
      <w:tr w:rsidR="00FC640D" w14:paraId="7D927C02" w14:textId="77777777" w:rsidTr="00AE0D39">
        <w:tc>
          <w:tcPr>
            <w:tcW w:w="2269" w:type="dxa"/>
            <w:shd w:val="clear" w:color="auto" w:fill="002060"/>
          </w:tcPr>
          <w:p w14:paraId="68E53469" w14:textId="41B3E9A0" w:rsidR="00FC640D" w:rsidRPr="00665689" w:rsidRDefault="00FC640D" w:rsidP="00DD0219">
            <w:pPr>
              <w:pStyle w:val="APRANORMAL"/>
              <w:spacing w:before="120" w:after="120"/>
              <w:rPr>
                <w:rFonts w:ascii="DIN OT Medium" w:hAnsi="DIN OT Medium"/>
                <w:sz w:val="20"/>
                <w:szCs w:val="20"/>
                <w:lang w:val="en-AU"/>
              </w:rPr>
            </w:pPr>
            <w:r w:rsidRPr="00665689">
              <w:rPr>
                <w:rFonts w:ascii="DIN OT Medium" w:hAnsi="DIN OT Medium"/>
                <w:sz w:val="20"/>
                <w:szCs w:val="20"/>
                <w:lang w:val="en-AU"/>
              </w:rPr>
              <w:t xml:space="preserve">Operational </w:t>
            </w:r>
            <w:r w:rsidR="000752CC">
              <w:rPr>
                <w:rFonts w:ascii="DIN OT Medium" w:hAnsi="DIN OT Medium"/>
                <w:sz w:val="20"/>
                <w:szCs w:val="20"/>
                <w:lang w:val="en-AU"/>
              </w:rPr>
              <w:t>r</w:t>
            </w:r>
            <w:r w:rsidRPr="00665689">
              <w:rPr>
                <w:rFonts w:ascii="DIN OT Medium" w:hAnsi="DIN OT Medium"/>
                <w:sz w:val="20"/>
                <w:szCs w:val="20"/>
                <w:lang w:val="en-AU"/>
              </w:rPr>
              <w:t>isk</w:t>
            </w:r>
          </w:p>
        </w:tc>
        <w:tc>
          <w:tcPr>
            <w:tcW w:w="2249" w:type="dxa"/>
            <w:shd w:val="clear" w:color="auto" w:fill="F2F2F2" w:themeFill="background1" w:themeFillShade="F2"/>
          </w:tcPr>
          <w:p w14:paraId="62AADA47" w14:textId="25086A00" w:rsidR="00525B46" w:rsidRDefault="00525B46" w:rsidP="00DD0219">
            <w:pPr>
              <w:pStyle w:val="APRANORMAL"/>
              <w:spacing w:before="120" w:after="120"/>
              <w:rPr>
                <w:sz w:val="20"/>
                <w:szCs w:val="20"/>
              </w:rPr>
            </w:pPr>
            <w:r>
              <w:rPr>
                <w:sz w:val="20"/>
                <w:szCs w:val="20"/>
              </w:rPr>
              <w:t>APS 114</w:t>
            </w:r>
            <w:r w:rsidRPr="00665689">
              <w:rPr>
                <w:sz w:val="20"/>
                <w:szCs w:val="20"/>
              </w:rPr>
              <w:t xml:space="preserve"> </w:t>
            </w:r>
          </w:p>
          <w:p w14:paraId="3C189CE7" w14:textId="7CE2BB55" w:rsidR="00FC640D" w:rsidRPr="00665689" w:rsidRDefault="00BF0E52" w:rsidP="00DD0219">
            <w:pPr>
              <w:pStyle w:val="APRANORMAL"/>
              <w:spacing w:before="120" w:after="120"/>
              <w:rPr>
                <w:sz w:val="20"/>
                <w:szCs w:val="20"/>
                <w:lang w:val="en-AU"/>
              </w:rPr>
            </w:pPr>
            <w:r>
              <w:rPr>
                <w:sz w:val="20"/>
                <w:szCs w:val="20"/>
              </w:rPr>
              <w:t>C</w:t>
            </w:r>
            <w:r w:rsidR="00525B46" w:rsidRPr="00665689">
              <w:rPr>
                <w:sz w:val="20"/>
                <w:szCs w:val="20"/>
              </w:rPr>
              <w:t>alculation</w:t>
            </w:r>
            <w:r w:rsidR="00CF4CAE" w:rsidRPr="00665689">
              <w:rPr>
                <w:sz w:val="20"/>
                <w:szCs w:val="20"/>
              </w:rPr>
              <w:t xml:space="preserve"> based on three readily available accounting items.</w:t>
            </w:r>
          </w:p>
        </w:tc>
        <w:tc>
          <w:tcPr>
            <w:tcW w:w="2249" w:type="dxa"/>
            <w:shd w:val="clear" w:color="auto" w:fill="F2F2F2" w:themeFill="background1" w:themeFillShade="F2"/>
          </w:tcPr>
          <w:p w14:paraId="17480DF5" w14:textId="22ABE1AB" w:rsidR="00FC640D" w:rsidRPr="00F8515B" w:rsidRDefault="00F8515B" w:rsidP="00DD0219">
            <w:pPr>
              <w:pStyle w:val="APRANORMAL"/>
              <w:spacing w:before="120" w:after="120"/>
              <w:rPr>
                <w:sz w:val="20"/>
                <w:szCs w:val="20"/>
                <w:lang w:val="en-AU"/>
              </w:rPr>
            </w:pPr>
            <w:r w:rsidRPr="00F8515B">
              <w:rPr>
                <w:rFonts w:cs="Arial"/>
                <w:sz w:val="20"/>
                <w:szCs w:val="20"/>
              </w:rPr>
              <w:t>New methodology based on different business (risk) indicators.</w:t>
            </w:r>
          </w:p>
        </w:tc>
        <w:tc>
          <w:tcPr>
            <w:tcW w:w="2249" w:type="dxa"/>
            <w:shd w:val="clear" w:color="auto" w:fill="F2F2F2" w:themeFill="background1" w:themeFillShade="F2"/>
          </w:tcPr>
          <w:p w14:paraId="424C20C8" w14:textId="1F24A45E" w:rsidR="00FC640D" w:rsidRPr="00665689" w:rsidRDefault="00CF4CAE" w:rsidP="00DD0219">
            <w:pPr>
              <w:pStyle w:val="APRANORMAL"/>
              <w:spacing w:before="120" w:after="120"/>
              <w:rPr>
                <w:sz w:val="20"/>
                <w:szCs w:val="20"/>
                <w:lang w:val="en-AU"/>
              </w:rPr>
            </w:pPr>
            <w:r>
              <w:rPr>
                <w:sz w:val="20"/>
                <w:szCs w:val="20"/>
                <w:lang w:val="en-AU"/>
              </w:rPr>
              <w:t>Flat rate capital add-on</w:t>
            </w:r>
            <w:r w:rsidR="004C72CE">
              <w:rPr>
                <w:sz w:val="20"/>
                <w:szCs w:val="20"/>
                <w:lang w:val="en-AU"/>
              </w:rPr>
              <w:t>.</w:t>
            </w:r>
          </w:p>
        </w:tc>
      </w:tr>
      <w:tr w:rsidR="00FC640D" w14:paraId="7AB0886D" w14:textId="77777777" w:rsidTr="00AE0D39">
        <w:tc>
          <w:tcPr>
            <w:tcW w:w="2269" w:type="dxa"/>
            <w:shd w:val="clear" w:color="auto" w:fill="002060"/>
          </w:tcPr>
          <w:p w14:paraId="355AE1D6" w14:textId="77777777" w:rsidR="00FC640D" w:rsidRPr="00665689" w:rsidRDefault="00FC640D" w:rsidP="00DD0219">
            <w:pPr>
              <w:pStyle w:val="APRANORMAL"/>
              <w:spacing w:before="120" w:after="120"/>
              <w:rPr>
                <w:rFonts w:ascii="DIN OT Medium" w:hAnsi="DIN OT Medium"/>
                <w:sz w:val="20"/>
                <w:szCs w:val="20"/>
                <w:lang w:val="en-AU"/>
              </w:rPr>
            </w:pPr>
            <w:r w:rsidRPr="00665689">
              <w:rPr>
                <w:rFonts w:ascii="DIN OT Medium" w:hAnsi="DIN OT Medium"/>
                <w:sz w:val="20"/>
                <w:szCs w:val="20"/>
                <w:lang w:val="en-AU"/>
              </w:rPr>
              <w:t>Counterparty Credit Risk (CCR)</w:t>
            </w:r>
          </w:p>
        </w:tc>
        <w:tc>
          <w:tcPr>
            <w:tcW w:w="2249" w:type="dxa"/>
            <w:shd w:val="clear" w:color="auto" w:fill="F2F2F2" w:themeFill="background1" w:themeFillShade="F2"/>
          </w:tcPr>
          <w:p w14:paraId="6F587196" w14:textId="1FF022A8" w:rsidR="00525B46" w:rsidRDefault="00525B46" w:rsidP="00DD0219">
            <w:pPr>
              <w:pStyle w:val="APRANORMAL"/>
              <w:spacing w:before="120" w:after="120"/>
              <w:rPr>
                <w:sz w:val="20"/>
                <w:szCs w:val="20"/>
              </w:rPr>
            </w:pPr>
            <w:r>
              <w:rPr>
                <w:sz w:val="20"/>
                <w:szCs w:val="20"/>
              </w:rPr>
              <w:t xml:space="preserve">APS </w:t>
            </w:r>
            <w:r w:rsidR="00062D27">
              <w:rPr>
                <w:sz w:val="20"/>
                <w:szCs w:val="20"/>
              </w:rPr>
              <w:t>112</w:t>
            </w:r>
          </w:p>
          <w:p w14:paraId="7A96A655" w14:textId="32639A6D" w:rsidR="00FC640D" w:rsidRPr="00665689" w:rsidRDefault="00CF4CAE" w:rsidP="00DD0219">
            <w:pPr>
              <w:pStyle w:val="APRANORMAL"/>
              <w:spacing w:before="120" w:after="120"/>
              <w:rPr>
                <w:sz w:val="20"/>
                <w:szCs w:val="20"/>
                <w:lang w:val="en-AU"/>
              </w:rPr>
            </w:pPr>
            <w:r w:rsidRPr="00665689">
              <w:rPr>
                <w:sz w:val="20"/>
                <w:szCs w:val="20"/>
              </w:rPr>
              <w:t xml:space="preserve">Current Exposure Method </w:t>
            </w:r>
            <w:r w:rsidR="00525B46" w:rsidRPr="00665689">
              <w:rPr>
                <w:sz w:val="20"/>
                <w:szCs w:val="20"/>
              </w:rPr>
              <w:t>(CEM)</w:t>
            </w:r>
            <w:r w:rsidRPr="00665689">
              <w:rPr>
                <w:sz w:val="20"/>
                <w:szCs w:val="20"/>
              </w:rPr>
              <w:t xml:space="preserve"> to measure CCR exposures. </w:t>
            </w:r>
          </w:p>
        </w:tc>
        <w:tc>
          <w:tcPr>
            <w:tcW w:w="2249" w:type="dxa"/>
            <w:shd w:val="clear" w:color="auto" w:fill="F2F2F2" w:themeFill="background1" w:themeFillShade="F2"/>
          </w:tcPr>
          <w:p w14:paraId="0077F1AF" w14:textId="28EA60A6" w:rsidR="00FC640D" w:rsidRPr="00665689" w:rsidRDefault="00CF4CAE" w:rsidP="00D0793F">
            <w:pPr>
              <w:pStyle w:val="APRANORMAL"/>
              <w:spacing w:before="120" w:after="120"/>
              <w:rPr>
                <w:sz w:val="20"/>
                <w:szCs w:val="20"/>
                <w:lang w:val="en-AU"/>
              </w:rPr>
            </w:pPr>
            <w:r w:rsidRPr="00665689">
              <w:rPr>
                <w:sz w:val="20"/>
                <w:szCs w:val="20"/>
              </w:rPr>
              <w:t xml:space="preserve">The standardised approach for measuring counterparty credit risk exposures </w:t>
            </w:r>
            <w:r w:rsidR="00A15334">
              <w:rPr>
                <w:sz w:val="20"/>
                <w:szCs w:val="20"/>
              </w:rPr>
              <w:t>will</w:t>
            </w:r>
            <w:r w:rsidRPr="00665689">
              <w:rPr>
                <w:sz w:val="20"/>
                <w:szCs w:val="20"/>
              </w:rPr>
              <w:t xml:space="preserve"> replac</w:t>
            </w:r>
            <w:r w:rsidR="00A15334">
              <w:rPr>
                <w:sz w:val="20"/>
                <w:szCs w:val="20"/>
              </w:rPr>
              <w:t>e</w:t>
            </w:r>
            <w:r w:rsidRPr="00665689">
              <w:rPr>
                <w:sz w:val="20"/>
                <w:szCs w:val="20"/>
              </w:rPr>
              <w:t xml:space="preserve"> the CEM. </w:t>
            </w:r>
            <w:r w:rsidR="002A2523">
              <w:rPr>
                <w:sz w:val="20"/>
                <w:szCs w:val="20"/>
              </w:rPr>
              <w:t xml:space="preserve">There will be </w:t>
            </w:r>
            <w:r w:rsidRPr="00665689">
              <w:rPr>
                <w:sz w:val="20"/>
                <w:szCs w:val="20"/>
              </w:rPr>
              <w:t xml:space="preserve">new calculation and data systems, </w:t>
            </w:r>
            <w:r w:rsidR="002A2523">
              <w:rPr>
                <w:sz w:val="20"/>
                <w:szCs w:val="20"/>
              </w:rPr>
              <w:t xml:space="preserve">with more complex ongoing </w:t>
            </w:r>
            <w:r w:rsidRPr="00665689">
              <w:rPr>
                <w:sz w:val="20"/>
                <w:szCs w:val="20"/>
              </w:rPr>
              <w:t xml:space="preserve">calculations </w:t>
            </w:r>
            <w:r w:rsidR="002A2523">
              <w:rPr>
                <w:sz w:val="20"/>
                <w:szCs w:val="20"/>
              </w:rPr>
              <w:t>to be</w:t>
            </w:r>
            <w:r w:rsidRPr="00665689">
              <w:rPr>
                <w:sz w:val="20"/>
                <w:szCs w:val="20"/>
              </w:rPr>
              <w:t xml:space="preserve"> performed.</w:t>
            </w:r>
            <w:r w:rsidR="00525B46" w:rsidRPr="00665689">
              <w:rPr>
                <w:sz w:val="20"/>
                <w:szCs w:val="20"/>
              </w:rPr>
              <w:t xml:space="preserve"> </w:t>
            </w:r>
            <w:r w:rsidR="00525B46">
              <w:rPr>
                <w:sz w:val="20"/>
                <w:szCs w:val="20"/>
              </w:rPr>
              <w:t>C</w:t>
            </w:r>
            <w:r w:rsidR="00525B46" w:rsidRPr="00665689">
              <w:rPr>
                <w:sz w:val="20"/>
                <w:szCs w:val="20"/>
              </w:rPr>
              <w:t>apital requirements are expected to be materially higher than under the CEM</w:t>
            </w:r>
            <w:r w:rsidR="002A2523">
              <w:rPr>
                <w:sz w:val="20"/>
                <w:szCs w:val="20"/>
              </w:rPr>
              <w:t>.</w:t>
            </w:r>
          </w:p>
        </w:tc>
        <w:tc>
          <w:tcPr>
            <w:tcW w:w="2249" w:type="dxa"/>
            <w:shd w:val="clear" w:color="auto" w:fill="F2F2F2" w:themeFill="background1" w:themeFillShade="F2"/>
          </w:tcPr>
          <w:p w14:paraId="147F8225" w14:textId="28304CAC" w:rsidR="00FC640D" w:rsidRPr="00665689" w:rsidRDefault="00BA12FC" w:rsidP="00DD0219">
            <w:pPr>
              <w:pStyle w:val="APRANORMAL"/>
              <w:spacing w:before="120" w:after="120"/>
              <w:rPr>
                <w:sz w:val="20"/>
                <w:szCs w:val="20"/>
                <w:lang w:val="en-AU"/>
              </w:rPr>
            </w:pPr>
            <w:r>
              <w:rPr>
                <w:sz w:val="20"/>
                <w:szCs w:val="20"/>
              </w:rPr>
              <w:t xml:space="preserve">No CCR </w:t>
            </w:r>
            <w:r w:rsidR="004728BC">
              <w:rPr>
                <w:sz w:val="20"/>
                <w:szCs w:val="20"/>
              </w:rPr>
              <w:t xml:space="preserve">capital </w:t>
            </w:r>
            <w:r>
              <w:rPr>
                <w:sz w:val="20"/>
                <w:szCs w:val="20"/>
              </w:rPr>
              <w:t>requirement.</w:t>
            </w:r>
          </w:p>
        </w:tc>
      </w:tr>
      <w:tr w:rsidR="00525B46" w14:paraId="15FB9CE9" w14:textId="77777777" w:rsidTr="00AE0D39">
        <w:tc>
          <w:tcPr>
            <w:tcW w:w="2269" w:type="dxa"/>
            <w:shd w:val="clear" w:color="auto" w:fill="002060"/>
          </w:tcPr>
          <w:p w14:paraId="71506EE3" w14:textId="2E167226" w:rsidR="00582E34" w:rsidRPr="00665689" w:rsidRDefault="00582E34" w:rsidP="00DD0219">
            <w:pPr>
              <w:pStyle w:val="APRANORMAL"/>
              <w:spacing w:before="120" w:after="120"/>
              <w:rPr>
                <w:rFonts w:ascii="DIN OT Medium" w:hAnsi="DIN OT Medium"/>
                <w:sz w:val="20"/>
                <w:szCs w:val="20"/>
                <w:lang w:val="en-AU"/>
              </w:rPr>
            </w:pPr>
            <w:r w:rsidRPr="00665689">
              <w:rPr>
                <w:rFonts w:ascii="DIN OT Medium" w:hAnsi="DIN OT Medium"/>
                <w:sz w:val="20"/>
                <w:szCs w:val="20"/>
                <w:lang w:val="en-AU"/>
              </w:rPr>
              <w:t xml:space="preserve">Leverage </w:t>
            </w:r>
            <w:r w:rsidR="000752CC">
              <w:rPr>
                <w:rFonts w:ascii="DIN OT Medium" w:hAnsi="DIN OT Medium"/>
                <w:sz w:val="20"/>
                <w:szCs w:val="20"/>
                <w:lang w:val="en-AU"/>
              </w:rPr>
              <w:t>r</w:t>
            </w:r>
            <w:r w:rsidRPr="00665689">
              <w:rPr>
                <w:rFonts w:ascii="DIN OT Medium" w:hAnsi="DIN OT Medium"/>
                <w:sz w:val="20"/>
                <w:szCs w:val="20"/>
                <w:lang w:val="en-AU"/>
              </w:rPr>
              <w:t>atio</w:t>
            </w:r>
          </w:p>
        </w:tc>
        <w:tc>
          <w:tcPr>
            <w:tcW w:w="2249" w:type="dxa"/>
            <w:shd w:val="clear" w:color="auto" w:fill="F2F2F2" w:themeFill="background1" w:themeFillShade="F2"/>
          </w:tcPr>
          <w:p w14:paraId="35BAFE0A" w14:textId="0A2C70AA" w:rsidR="00582E34" w:rsidRPr="00665689" w:rsidRDefault="00582E34" w:rsidP="00DD0219">
            <w:pPr>
              <w:pStyle w:val="APRANORMAL"/>
              <w:spacing w:before="120" w:after="120"/>
              <w:rPr>
                <w:sz w:val="20"/>
                <w:szCs w:val="20"/>
                <w:lang w:val="en-AU"/>
              </w:rPr>
            </w:pPr>
            <w:r w:rsidRPr="00665689">
              <w:rPr>
                <w:sz w:val="20"/>
                <w:szCs w:val="20"/>
              </w:rPr>
              <w:t>APRA does not currently apply a leverage ratio requirement.</w:t>
            </w:r>
            <w:r>
              <w:rPr>
                <w:sz w:val="20"/>
                <w:szCs w:val="20"/>
              </w:rPr>
              <w:t xml:space="preserve"> </w:t>
            </w:r>
          </w:p>
        </w:tc>
        <w:tc>
          <w:tcPr>
            <w:tcW w:w="2249" w:type="dxa"/>
            <w:shd w:val="clear" w:color="auto" w:fill="F2F2F2" w:themeFill="background1" w:themeFillShade="F2"/>
          </w:tcPr>
          <w:p w14:paraId="61B09DF9" w14:textId="6A8269ED" w:rsidR="00582E34" w:rsidRPr="00F8515B" w:rsidRDefault="00F8515B" w:rsidP="00DD0219">
            <w:pPr>
              <w:pStyle w:val="APRANORMAL"/>
              <w:spacing w:before="120" w:after="120"/>
              <w:rPr>
                <w:sz w:val="20"/>
                <w:szCs w:val="20"/>
                <w:lang w:val="en-AU"/>
              </w:rPr>
            </w:pPr>
            <w:r w:rsidRPr="00F8515B">
              <w:rPr>
                <w:rFonts w:cs="Arial"/>
                <w:sz w:val="20"/>
                <w:szCs w:val="20"/>
              </w:rPr>
              <w:t>Introduction of a minimum leverage ratio requirement</w:t>
            </w:r>
            <w:r w:rsidR="00B1304D">
              <w:rPr>
                <w:rFonts w:cs="Arial"/>
                <w:sz w:val="20"/>
                <w:szCs w:val="20"/>
              </w:rPr>
              <w:t>.</w:t>
            </w:r>
          </w:p>
        </w:tc>
        <w:tc>
          <w:tcPr>
            <w:tcW w:w="2249" w:type="dxa"/>
            <w:shd w:val="clear" w:color="auto" w:fill="F2F2F2" w:themeFill="background1" w:themeFillShade="F2"/>
          </w:tcPr>
          <w:p w14:paraId="2A04D211" w14:textId="49CEB64E" w:rsidR="00582E34" w:rsidRPr="00665689" w:rsidRDefault="00344D17" w:rsidP="00DD0219">
            <w:pPr>
              <w:pStyle w:val="APRANORMAL"/>
              <w:spacing w:before="120" w:after="120"/>
              <w:rPr>
                <w:sz w:val="20"/>
                <w:szCs w:val="20"/>
                <w:lang w:val="en-AU"/>
              </w:rPr>
            </w:pPr>
            <w:r>
              <w:rPr>
                <w:sz w:val="20"/>
                <w:szCs w:val="20"/>
              </w:rPr>
              <w:t xml:space="preserve">No </w:t>
            </w:r>
            <w:r w:rsidR="00582E34" w:rsidRPr="00665689">
              <w:rPr>
                <w:sz w:val="20"/>
                <w:szCs w:val="20"/>
              </w:rPr>
              <w:t>leverage ratio</w:t>
            </w:r>
            <w:r>
              <w:rPr>
                <w:sz w:val="20"/>
                <w:szCs w:val="20"/>
              </w:rPr>
              <w:t xml:space="preserve"> requirement.</w:t>
            </w:r>
          </w:p>
        </w:tc>
      </w:tr>
      <w:tr w:rsidR="00FC640D" w14:paraId="2F562FA5" w14:textId="77777777" w:rsidTr="00AE0D39">
        <w:tc>
          <w:tcPr>
            <w:tcW w:w="2269" w:type="dxa"/>
            <w:shd w:val="clear" w:color="auto" w:fill="002060"/>
          </w:tcPr>
          <w:p w14:paraId="616EB1C6" w14:textId="19810108" w:rsidR="00FC640D" w:rsidRPr="00665689" w:rsidRDefault="00CB6413" w:rsidP="00DD0219">
            <w:pPr>
              <w:pStyle w:val="APRANORMAL"/>
              <w:spacing w:before="120" w:after="120"/>
              <w:rPr>
                <w:rFonts w:ascii="DIN OT Medium" w:hAnsi="DIN OT Medium"/>
                <w:sz w:val="20"/>
                <w:szCs w:val="20"/>
                <w:lang w:val="en-AU"/>
              </w:rPr>
            </w:pPr>
            <w:r>
              <w:rPr>
                <w:rFonts w:ascii="DIN OT Medium" w:hAnsi="DIN OT Medium"/>
                <w:sz w:val="20"/>
                <w:szCs w:val="20"/>
                <w:lang w:val="en-AU"/>
              </w:rPr>
              <w:t>Disclosure</w:t>
            </w:r>
          </w:p>
        </w:tc>
        <w:tc>
          <w:tcPr>
            <w:tcW w:w="2249" w:type="dxa"/>
            <w:shd w:val="clear" w:color="auto" w:fill="F2F2F2" w:themeFill="background1" w:themeFillShade="F2"/>
          </w:tcPr>
          <w:p w14:paraId="1DBDC9DC" w14:textId="77777777" w:rsidR="00F8515B" w:rsidRDefault="00F8515B" w:rsidP="00DD0219">
            <w:pPr>
              <w:pStyle w:val="APRANORMAL"/>
              <w:spacing w:before="120" w:after="120"/>
              <w:rPr>
                <w:sz w:val="20"/>
                <w:szCs w:val="20"/>
              </w:rPr>
            </w:pPr>
            <w:r>
              <w:rPr>
                <w:sz w:val="20"/>
                <w:szCs w:val="20"/>
              </w:rPr>
              <w:t xml:space="preserve">APS 330 </w:t>
            </w:r>
          </w:p>
          <w:p w14:paraId="6EA6D803" w14:textId="677D3DF6" w:rsidR="00FC640D" w:rsidRPr="00665689" w:rsidRDefault="00B221C4" w:rsidP="00DD0219">
            <w:pPr>
              <w:pStyle w:val="APRANORMAL"/>
              <w:spacing w:before="120" w:after="120"/>
              <w:rPr>
                <w:sz w:val="20"/>
                <w:szCs w:val="20"/>
                <w:lang w:val="en-AU"/>
              </w:rPr>
            </w:pPr>
            <w:r>
              <w:rPr>
                <w:sz w:val="20"/>
                <w:szCs w:val="20"/>
              </w:rPr>
              <w:t>S</w:t>
            </w:r>
            <w:r w:rsidR="00CF4CAE" w:rsidRPr="00665689">
              <w:rPr>
                <w:sz w:val="20"/>
                <w:szCs w:val="20"/>
              </w:rPr>
              <w:t xml:space="preserve">maller ADIs disclose a limited set of core </w:t>
            </w:r>
            <w:r w:rsidR="00EA1827">
              <w:rPr>
                <w:sz w:val="20"/>
                <w:szCs w:val="20"/>
              </w:rPr>
              <w:t xml:space="preserve">prudential </w:t>
            </w:r>
            <w:r w:rsidR="00CF4CAE" w:rsidRPr="00665689">
              <w:rPr>
                <w:sz w:val="20"/>
                <w:szCs w:val="20"/>
              </w:rPr>
              <w:t xml:space="preserve">risk </w:t>
            </w:r>
            <w:r w:rsidR="00CF4CAE" w:rsidRPr="00665689">
              <w:rPr>
                <w:sz w:val="20"/>
                <w:szCs w:val="20"/>
              </w:rPr>
              <w:lastRenderedPageBreak/>
              <w:t>metrics</w:t>
            </w:r>
            <w:r w:rsidR="00EA1827">
              <w:rPr>
                <w:sz w:val="20"/>
                <w:szCs w:val="20"/>
              </w:rPr>
              <w:t xml:space="preserve">, information </w:t>
            </w:r>
            <w:r w:rsidR="008208F0">
              <w:rPr>
                <w:sz w:val="20"/>
                <w:szCs w:val="20"/>
              </w:rPr>
              <w:t xml:space="preserve">on </w:t>
            </w:r>
            <w:r w:rsidR="00EA1827">
              <w:rPr>
                <w:sz w:val="20"/>
                <w:szCs w:val="20"/>
              </w:rPr>
              <w:t xml:space="preserve">remuneration and details of regulatory capital instruments. </w:t>
            </w:r>
          </w:p>
        </w:tc>
        <w:tc>
          <w:tcPr>
            <w:tcW w:w="2249" w:type="dxa"/>
            <w:shd w:val="clear" w:color="auto" w:fill="F2F2F2" w:themeFill="background1" w:themeFillShade="F2"/>
          </w:tcPr>
          <w:p w14:paraId="11B9D830" w14:textId="051160FC" w:rsidR="00FC640D" w:rsidRPr="00665689" w:rsidRDefault="00CF4CAE" w:rsidP="00DD0219">
            <w:pPr>
              <w:pStyle w:val="APRANORMAL"/>
              <w:spacing w:before="120" w:after="120"/>
              <w:rPr>
                <w:sz w:val="20"/>
                <w:szCs w:val="20"/>
                <w:lang w:val="en-AU"/>
              </w:rPr>
            </w:pPr>
            <w:r w:rsidRPr="00665689">
              <w:rPr>
                <w:sz w:val="20"/>
                <w:szCs w:val="20"/>
              </w:rPr>
              <w:lastRenderedPageBreak/>
              <w:t xml:space="preserve">Revisions to the Basel Committee’s disclosure framework </w:t>
            </w:r>
            <w:r w:rsidR="00547864">
              <w:rPr>
                <w:sz w:val="20"/>
                <w:szCs w:val="20"/>
              </w:rPr>
              <w:t>are likely to</w:t>
            </w:r>
            <w:r w:rsidRPr="00665689">
              <w:rPr>
                <w:sz w:val="20"/>
                <w:szCs w:val="20"/>
              </w:rPr>
              <w:t xml:space="preserve"> result in </w:t>
            </w:r>
            <w:r w:rsidR="001327AD">
              <w:rPr>
                <w:sz w:val="20"/>
                <w:szCs w:val="20"/>
              </w:rPr>
              <w:lastRenderedPageBreak/>
              <w:t>an</w:t>
            </w:r>
            <w:r w:rsidRPr="00665689">
              <w:rPr>
                <w:sz w:val="20"/>
                <w:szCs w:val="20"/>
              </w:rPr>
              <w:t xml:space="preserve"> increase in the volume of disclosure requirements.</w:t>
            </w:r>
          </w:p>
        </w:tc>
        <w:tc>
          <w:tcPr>
            <w:tcW w:w="2249" w:type="dxa"/>
            <w:shd w:val="clear" w:color="auto" w:fill="F2F2F2" w:themeFill="background1" w:themeFillShade="F2"/>
          </w:tcPr>
          <w:p w14:paraId="21A76EE6" w14:textId="32564645" w:rsidR="00FC640D" w:rsidRPr="00665689" w:rsidRDefault="001327AD" w:rsidP="00DD0219">
            <w:pPr>
              <w:pStyle w:val="APRANORMAL"/>
              <w:spacing w:before="120" w:after="120"/>
              <w:rPr>
                <w:sz w:val="20"/>
                <w:szCs w:val="20"/>
                <w:lang w:val="en-AU"/>
              </w:rPr>
            </w:pPr>
            <w:r w:rsidRPr="006316CA">
              <w:rPr>
                <w:rFonts w:cs="Arial"/>
                <w:sz w:val="20"/>
                <w:szCs w:val="20"/>
              </w:rPr>
              <w:lastRenderedPageBreak/>
              <w:t>Centralised publication, by APRA, of</w:t>
            </w:r>
            <w:r w:rsidR="00FC640D" w:rsidRPr="006316CA">
              <w:rPr>
                <w:rFonts w:cs="Arial"/>
                <w:sz w:val="20"/>
                <w:szCs w:val="20"/>
              </w:rPr>
              <w:t xml:space="preserve"> key </w:t>
            </w:r>
            <w:r w:rsidR="006316CA" w:rsidRPr="006316CA">
              <w:rPr>
                <w:rFonts w:cs="Arial"/>
                <w:sz w:val="20"/>
                <w:szCs w:val="20"/>
              </w:rPr>
              <w:t>prudential measures</w:t>
            </w:r>
            <w:r w:rsidR="00FC640D" w:rsidRPr="006316CA">
              <w:rPr>
                <w:rFonts w:cs="Arial"/>
                <w:sz w:val="20"/>
                <w:szCs w:val="20"/>
              </w:rPr>
              <w:t xml:space="preserve"> </w:t>
            </w:r>
            <w:r w:rsidR="00FC640D" w:rsidRPr="006316CA">
              <w:rPr>
                <w:rFonts w:cs="Arial"/>
                <w:sz w:val="20"/>
                <w:szCs w:val="20"/>
              </w:rPr>
              <w:lastRenderedPageBreak/>
              <w:t>on behalf of small ADIs</w:t>
            </w:r>
            <w:r w:rsidR="00EF178D">
              <w:rPr>
                <w:rFonts w:cs="Arial"/>
                <w:sz w:val="20"/>
                <w:szCs w:val="20"/>
              </w:rPr>
              <w:t xml:space="preserve"> and greater reliance on ADIs’ own financial reporting for disclosures relating to remuneration and </w:t>
            </w:r>
            <w:r w:rsidR="008208F0">
              <w:rPr>
                <w:rFonts w:cs="Arial"/>
                <w:sz w:val="20"/>
                <w:szCs w:val="20"/>
              </w:rPr>
              <w:t xml:space="preserve">regulatory </w:t>
            </w:r>
            <w:r w:rsidR="00EF178D">
              <w:rPr>
                <w:rFonts w:cs="Arial"/>
                <w:sz w:val="20"/>
                <w:szCs w:val="20"/>
              </w:rPr>
              <w:t xml:space="preserve">capital instruments. </w:t>
            </w:r>
          </w:p>
        </w:tc>
      </w:tr>
      <w:tr w:rsidR="00D53782" w14:paraId="43FFB2EB" w14:textId="77777777" w:rsidTr="00AE0D39">
        <w:tc>
          <w:tcPr>
            <w:tcW w:w="2269" w:type="dxa"/>
            <w:shd w:val="clear" w:color="auto" w:fill="002060"/>
          </w:tcPr>
          <w:p w14:paraId="51352E27" w14:textId="010E3D42" w:rsidR="00D53782" w:rsidRPr="00665689" w:rsidRDefault="00D53782" w:rsidP="00DD0219">
            <w:pPr>
              <w:pStyle w:val="APRANORMAL"/>
              <w:spacing w:before="120" w:after="120"/>
              <w:rPr>
                <w:rFonts w:ascii="DIN OT Medium" w:hAnsi="DIN OT Medium"/>
                <w:sz w:val="20"/>
                <w:szCs w:val="20"/>
                <w:lang w:val="en-AU"/>
              </w:rPr>
            </w:pPr>
            <w:r>
              <w:rPr>
                <w:rFonts w:ascii="DIN OT Medium" w:hAnsi="DIN OT Medium"/>
                <w:sz w:val="20"/>
                <w:szCs w:val="20"/>
                <w:lang w:val="en-AU"/>
              </w:rPr>
              <w:lastRenderedPageBreak/>
              <w:t>Credit</w:t>
            </w:r>
            <w:r w:rsidRPr="00665689">
              <w:rPr>
                <w:rFonts w:ascii="DIN OT Medium" w:hAnsi="DIN OT Medium"/>
                <w:sz w:val="20"/>
                <w:szCs w:val="20"/>
                <w:lang w:val="en-AU"/>
              </w:rPr>
              <w:t xml:space="preserve"> Risk</w:t>
            </w:r>
          </w:p>
        </w:tc>
        <w:tc>
          <w:tcPr>
            <w:tcW w:w="2249" w:type="dxa"/>
            <w:shd w:val="clear" w:color="auto" w:fill="F2F2F2" w:themeFill="background1" w:themeFillShade="F2"/>
          </w:tcPr>
          <w:p w14:paraId="5F69585C" w14:textId="77777777" w:rsidR="00D53782" w:rsidRDefault="004E4FF8" w:rsidP="00DD0219">
            <w:pPr>
              <w:pStyle w:val="APRANORMAL"/>
              <w:spacing w:before="120" w:after="120"/>
              <w:rPr>
                <w:sz w:val="20"/>
                <w:szCs w:val="20"/>
                <w:lang w:val="en-AU"/>
              </w:rPr>
            </w:pPr>
            <w:r>
              <w:rPr>
                <w:sz w:val="20"/>
                <w:szCs w:val="20"/>
                <w:lang w:val="en-AU"/>
              </w:rPr>
              <w:t>APS 112</w:t>
            </w:r>
          </w:p>
          <w:p w14:paraId="1264BF16" w14:textId="0859B815" w:rsidR="001D0B75" w:rsidRPr="00665689" w:rsidRDefault="001D0B75" w:rsidP="00DD0219">
            <w:pPr>
              <w:pStyle w:val="APRANORMAL"/>
              <w:spacing w:before="120" w:after="120"/>
              <w:rPr>
                <w:sz w:val="20"/>
                <w:szCs w:val="20"/>
                <w:lang w:val="en-AU"/>
              </w:rPr>
            </w:pPr>
            <w:r>
              <w:rPr>
                <w:sz w:val="20"/>
                <w:szCs w:val="20"/>
                <w:lang w:val="en-AU"/>
              </w:rPr>
              <w:t xml:space="preserve">Calculation based on </w:t>
            </w:r>
            <w:r w:rsidR="00C10375">
              <w:rPr>
                <w:sz w:val="20"/>
                <w:szCs w:val="20"/>
                <w:lang w:val="en-AU"/>
              </w:rPr>
              <w:t xml:space="preserve">specified </w:t>
            </w:r>
            <w:r w:rsidR="00DF3A7F">
              <w:rPr>
                <w:sz w:val="20"/>
                <w:szCs w:val="20"/>
                <w:lang w:val="en-AU"/>
              </w:rPr>
              <w:t xml:space="preserve">risk </w:t>
            </w:r>
            <w:r>
              <w:rPr>
                <w:sz w:val="20"/>
                <w:szCs w:val="20"/>
                <w:lang w:val="en-AU"/>
              </w:rPr>
              <w:t xml:space="preserve">weights </w:t>
            </w:r>
            <w:r w:rsidR="00C10375">
              <w:rPr>
                <w:sz w:val="20"/>
                <w:szCs w:val="20"/>
                <w:lang w:val="en-AU"/>
              </w:rPr>
              <w:t xml:space="preserve">for </w:t>
            </w:r>
            <w:r>
              <w:rPr>
                <w:sz w:val="20"/>
                <w:szCs w:val="20"/>
                <w:lang w:val="en-AU"/>
              </w:rPr>
              <w:t>on</w:t>
            </w:r>
            <w:r w:rsidR="00C10375">
              <w:rPr>
                <w:sz w:val="20"/>
                <w:szCs w:val="20"/>
                <w:lang w:val="en-AU"/>
              </w:rPr>
              <w:t>-</w:t>
            </w:r>
            <w:r>
              <w:rPr>
                <w:sz w:val="20"/>
                <w:szCs w:val="20"/>
                <w:lang w:val="en-AU"/>
              </w:rPr>
              <w:t xml:space="preserve"> and off</w:t>
            </w:r>
            <w:r w:rsidR="00C10375">
              <w:rPr>
                <w:sz w:val="20"/>
                <w:szCs w:val="20"/>
                <w:lang w:val="en-AU"/>
              </w:rPr>
              <w:t>-</w:t>
            </w:r>
            <w:r>
              <w:rPr>
                <w:sz w:val="20"/>
                <w:szCs w:val="20"/>
                <w:lang w:val="en-AU"/>
              </w:rPr>
              <w:t xml:space="preserve"> balance sheet exposures</w:t>
            </w:r>
            <w:r w:rsidR="009A3F0C">
              <w:rPr>
                <w:sz w:val="20"/>
                <w:szCs w:val="20"/>
                <w:lang w:val="en-AU"/>
              </w:rPr>
              <w:t>.</w:t>
            </w:r>
          </w:p>
        </w:tc>
        <w:tc>
          <w:tcPr>
            <w:tcW w:w="2249" w:type="dxa"/>
            <w:shd w:val="clear" w:color="auto" w:fill="F2F2F2" w:themeFill="background1" w:themeFillShade="F2"/>
          </w:tcPr>
          <w:p w14:paraId="3E036F35" w14:textId="24ADDC9C" w:rsidR="00D53782" w:rsidRPr="00F8515B" w:rsidRDefault="004E4FF8" w:rsidP="00DD0219">
            <w:pPr>
              <w:pStyle w:val="APRANORMAL"/>
              <w:spacing w:before="120" w:after="120"/>
              <w:rPr>
                <w:sz w:val="20"/>
                <w:szCs w:val="20"/>
                <w:lang w:val="en-AU"/>
              </w:rPr>
            </w:pPr>
            <w:r>
              <w:rPr>
                <w:rFonts w:cs="Arial"/>
                <w:sz w:val="20"/>
                <w:szCs w:val="20"/>
              </w:rPr>
              <w:t>C</w:t>
            </w:r>
            <w:r w:rsidR="00D53782" w:rsidRPr="00A36B19">
              <w:rPr>
                <w:rFonts w:cs="Arial"/>
                <w:sz w:val="20"/>
                <w:szCs w:val="20"/>
              </w:rPr>
              <w:t>hang</w:t>
            </w:r>
            <w:r>
              <w:rPr>
                <w:rFonts w:cs="Arial"/>
                <w:sz w:val="20"/>
                <w:szCs w:val="20"/>
              </w:rPr>
              <w:t>es to</w:t>
            </w:r>
            <w:r w:rsidR="00D53782" w:rsidRPr="00A36B19">
              <w:rPr>
                <w:rFonts w:cs="Arial"/>
                <w:sz w:val="20"/>
                <w:szCs w:val="20"/>
              </w:rPr>
              <w:t xml:space="preserve"> risk weights and categorisation for some exposures.</w:t>
            </w:r>
          </w:p>
        </w:tc>
        <w:tc>
          <w:tcPr>
            <w:tcW w:w="2249" w:type="dxa"/>
            <w:shd w:val="clear" w:color="auto" w:fill="F2F2F2" w:themeFill="background1" w:themeFillShade="F2"/>
          </w:tcPr>
          <w:p w14:paraId="12A0F5BB" w14:textId="39F44FF3" w:rsidR="00D53782" w:rsidRPr="00665689" w:rsidRDefault="00C10375" w:rsidP="00DD0219">
            <w:pPr>
              <w:pStyle w:val="APRANORMAL"/>
              <w:spacing w:before="120" w:after="120"/>
              <w:rPr>
                <w:sz w:val="20"/>
                <w:szCs w:val="20"/>
                <w:lang w:val="en-AU"/>
              </w:rPr>
            </w:pPr>
            <w:r>
              <w:rPr>
                <w:sz w:val="20"/>
                <w:szCs w:val="20"/>
                <w:lang w:val="en-AU"/>
              </w:rPr>
              <w:t>Same framework applying to all standardised ADIs.</w:t>
            </w:r>
          </w:p>
        </w:tc>
      </w:tr>
    </w:tbl>
    <w:p w14:paraId="15851164" w14:textId="3430B9D4" w:rsidR="00BD7D61" w:rsidRDefault="00BD7D61" w:rsidP="00BD7D61">
      <w:pPr>
        <w:pStyle w:val="APRAHEADING2"/>
      </w:pPr>
      <w:bookmarkStart w:id="422" w:name="_Toc500151969"/>
      <w:bookmarkStart w:id="423" w:name="_Toc505676435"/>
      <w:bookmarkStart w:id="424" w:name="_Toc505676527"/>
      <w:bookmarkStart w:id="425" w:name="_Toc505681599"/>
      <w:bookmarkStart w:id="426" w:name="_Toc505681781"/>
      <w:bookmarkStart w:id="427" w:name="_Toc505854725"/>
      <w:bookmarkStart w:id="428" w:name="_Toc506285825"/>
      <w:bookmarkStart w:id="429" w:name="_Toc492996532"/>
      <w:bookmarkStart w:id="430" w:name="_Toc493154166"/>
      <w:bookmarkStart w:id="431" w:name="_Toc493154612"/>
      <w:bookmarkStart w:id="432" w:name="_Toc493240116"/>
      <w:bookmarkStart w:id="433" w:name="_Toc493240622"/>
      <w:bookmarkStart w:id="434" w:name="_Toc494189592"/>
      <w:bookmarkStart w:id="435" w:name="_Toc496184526"/>
      <w:bookmarkStart w:id="436" w:name="_Toc497209114"/>
      <w:r>
        <w:t>Eligibility criteria</w:t>
      </w:r>
      <w:bookmarkEnd w:id="422"/>
      <w:bookmarkEnd w:id="423"/>
      <w:bookmarkEnd w:id="424"/>
      <w:bookmarkEnd w:id="425"/>
      <w:bookmarkEnd w:id="426"/>
      <w:bookmarkEnd w:id="427"/>
      <w:bookmarkEnd w:id="428"/>
      <w:r>
        <w:t xml:space="preserve"> </w:t>
      </w:r>
      <w:bookmarkEnd w:id="429"/>
      <w:bookmarkEnd w:id="430"/>
      <w:bookmarkEnd w:id="431"/>
      <w:bookmarkEnd w:id="432"/>
      <w:bookmarkEnd w:id="433"/>
      <w:bookmarkEnd w:id="434"/>
      <w:bookmarkEnd w:id="435"/>
      <w:bookmarkEnd w:id="436"/>
    </w:p>
    <w:p w14:paraId="1FEC051F" w14:textId="50C55FB5" w:rsidR="002B65FA" w:rsidRDefault="00BD7D61" w:rsidP="00BD7D61">
      <w:pPr>
        <w:pStyle w:val="APRANORMAL"/>
        <w:rPr>
          <w:lang w:val="en-AU"/>
        </w:rPr>
      </w:pPr>
      <w:bookmarkStart w:id="437" w:name="_Toc492996534"/>
      <w:r>
        <w:rPr>
          <w:lang w:val="en-AU"/>
        </w:rPr>
        <w:t>APRA proposes t</w:t>
      </w:r>
      <w:r w:rsidR="002B65FA">
        <w:rPr>
          <w:lang w:val="en-AU"/>
        </w:rPr>
        <w:t>o use</w:t>
      </w:r>
      <w:r>
        <w:rPr>
          <w:lang w:val="en-AU"/>
        </w:rPr>
        <w:t xml:space="preserve"> an objective quantitative measure to define a small ADI. </w:t>
      </w:r>
      <w:r w:rsidR="002B65FA">
        <w:rPr>
          <w:lang w:val="en-AU"/>
        </w:rPr>
        <w:t>M</w:t>
      </w:r>
      <w:r>
        <w:rPr>
          <w:lang w:val="en-AU"/>
        </w:rPr>
        <w:t xml:space="preserve">easures </w:t>
      </w:r>
      <w:r w:rsidR="00DA521A">
        <w:rPr>
          <w:lang w:val="en-AU"/>
        </w:rPr>
        <w:t xml:space="preserve">could </w:t>
      </w:r>
      <w:r>
        <w:rPr>
          <w:lang w:val="en-AU"/>
        </w:rPr>
        <w:t xml:space="preserve">include Tier 1 capital, total assets, total deposits </w:t>
      </w:r>
      <w:r w:rsidR="002B65FA">
        <w:rPr>
          <w:lang w:val="en-AU"/>
        </w:rPr>
        <w:t>or</w:t>
      </w:r>
      <w:r>
        <w:rPr>
          <w:lang w:val="en-AU"/>
        </w:rPr>
        <w:t xml:space="preserve"> total liabilities. Given that these measures are highly correlated, the </w:t>
      </w:r>
      <w:r w:rsidR="002B65FA">
        <w:rPr>
          <w:lang w:val="en-AU"/>
        </w:rPr>
        <w:t xml:space="preserve">defined </w:t>
      </w:r>
      <w:r>
        <w:rPr>
          <w:lang w:val="en-AU"/>
        </w:rPr>
        <w:t xml:space="preserve">small ADI population </w:t>
      </w:r>
      <w:r w:rsidR="002B65FA">
        <w:rPr>
          <w:lang w:val="en-AU"/>
        </w:rPr>
        <w:t xml:space="preserve">would be relatively similar under </w:t>
      </w:r>
      <w:r>
        <w:rPr>
          <w:lang w:val="en-AU"/>
        </w:rPr>
        <w:t>each</w:t>
      </w:r>
      <w:r w:rsidR="002B65FA">
        <w:rPr>
          <w:lang w:val="en-AU"/>
        </w:rPr>
        <w:t xml:space="preserve"> measure</w:t>
      </w:r>
      <w:r>
        <w:rPr>
          <w:lang w:val="en-AU"/>
        </w:rPr>
        <w:t xml:space="preserve">. </w:t>
      </w:r>
    </w:p>
    <w:p w14:paraId="63806DE4" w14:textId="46EEE474" w:rsidR="00BD7D61" w:rsidRDefault="00BD7D61" w:rsidP="00BD7D61">
      <w:pPr>
        <w:pStyle w:val="APRANORMAL"/>
        <w:rPr>
          <w:lang w:val="en-AU"/>
        </w:rPr>
      </w:pPr>
      <w:r>
        <w:rPr>
          <w:lang w:val="en-AU"/>
        </w:rPr>
        <w:t xml:space="preserve">APRA’s preference is </w:t>
      </w:r>
      <w:r w:rsidR="002B65FA">
        <w:rPr>
          <w:lang w:val="en-AU"/>
        </w:rPr>
        <w:t xml:space="preserve">to use </w:t>
      </w:r>
      <w:r>
        <w:rPr>
          <w:lang w:val="en-AU"/>
        </w:rPr>
        <w:t>total assets</w:t>
      </w:r>
      <w:r w:rsidR="002B65FA">
        <w:rPr>
          <w:lang w:val="en-AU"/>
        </w:rPr>
        <w:t xml:space="preserve"> as a defining criteria, as it is simple and well understood</w:t>
      </w:r>
      <w:r>
        <w:rPr>
          <w:lang w:val="en-AU"/>
        </w:rPr>
        <w:t xml:space="preserve">. APRA invites feedback on an appropriate size threshold, in terms of dollar amount and measure. </w:t>
      </w:r>
    </w:p>
    <w:bookmarkEnd w:id="437"/>
    <w:p w14:paraId="3E03E289" w14:textId="07EA932B" w:rsidR="00BD7D61" w:rsidRDefault="00BD7D61" w:rsidP="00BD7D61">
      <w:pPr>
        <w:pStyle w:val="APRANORMAL"/>
        <w:rPr>
          <w:lang w:val="en-AU"/>
        </w:rPr>
      </w:pPr>
      <w:r>
        <w:rPr>
          <w:lang w:val="en-AU"/>
        </w:rPr>
        <w:t xml:space="preserve">Alongside </w:t>
      </w:r>
      <w:r w:rsidR="002F2F28">
        <w:rPr>
          <w:lang w:val="en-AU"/>
        </w:rPr>
        <w:t>this</w:t>
      </w:r>
      <w:r>
        <w:rPr>
          <w:lang w:val="en-AU"/>
        </w:rPr>
        <w:t xml:space="preserve"> quantitative measure, APRA proposes </w:t>
      </w:r>
      <w:r w:rsidR="00506959">
        <w:rPr>
          <w:lang w:val="en-AU"/>
        </w:rPr>
        <w:t xml:space="preserve">to apply </w:t>
      </w:r>
      <w:r>
        <w:rPr>
          <w:lang w:val="en-AU"/>
        </w:rPr>
        <w:t>qualitative measures to further define a small ADI. Specifically these</w:t>
      </w:r>
      <w:r w:rsidR="002B65FA">
        <w:rPr>
          <w:lang w:val="en-AU"/>
        </w:rPr>
        <w:t xml:space="preserve"> could include</w:t>
      </w:r>
      <w:r>
        <w:rPr>
          <w:lang w:val="en-AU"/>
        </w:rPr>
        <w:t>:</w:t>
      </w:r>
    </w:p>
    <w:p w14:paraId="36168593" w14:textId="15F36171" w:rsidR="00BD7D61" w:rsidRPr="00DC4D40" w:rsidRDefault="002B65FA" w:rsidP="0087234A">
      <w:pPr>
        <w:pStyle w:val="APRABULLET"/>
      </w:pPr>
      <w:r>
        <w:t xml:space="preserve">ADIs with </w:t>
      </w:r>
      <w:r w:rsidR="00BD7D61" w:rsidRPr="00DC4D40">
        <w:t>simple activities</w:t>
      </w:r>
      <w:r>
        <w:t xml:space="preserve"> only</w:t>
      </w:r>
      <w:r w:rsidR="00BD7D61" w:rsidRPr="00DC4D40">
        <w:t xml:space="preserve">, </w:t>
      </w:r>
      <w:r>
        <w:t>e</w:t>
      </w:r>
      <w:r w:rsidR="00BD7D61" w:rsidRPr="00DC4D40">
        <w:t xml:space="preserve">xcluding ADIs with a trading book, material </w:t>
      </w:r>
      <w:r w:rsidR="00CF31F2">
        <w:t>non-centrally cleared derivative exposures</w:t>
      </w:r>
      <w:r w:rsidR="00BD7D61" w:rsidRPr="00DC4D40">
        <w:t xml:space="preserve"> </w:t>
      </w:r>
      <w:r>
        <w:t>or</w:t>
      </w:r>
      <w:r w:rsidR="00BD7D61" w:rsidRPr="00DC4D40">
        <w:t xml:space="preserve"> provision of purchased payment facilities; and</w:t>
      </w:r>
    </w:p>
    <w:p w14:paraId="190F3025" w14:textId="5ED75A86" w:rsidR="00BD7D61" w:rsidRPr="00DC4D40" w:rsidRDefault="002B65FA" w:rsidP="0087234A">
      <w:pPr>
        <w:pStyle w:val="APRABULLET"/>
      </w:pPr>
      <w:bookmarkStart w:id="438" w:name="_Toc492996535"/>
      <w:bookmarkStart w:id="439" w:name="_Toc493154169"/>
      <w:bookmarkStart w:id="440" w:name="_Toc493154615"/>
      <w:bookmarkStart w:id="441" w:name="_Toc493240119"/>
      <w:bookmarkStart w:id="442" w:name="_Toc493240625"/>
      <w:r>
        <w:t xml:space="preserve">ADIs with </w:t>
      </w:r>
      <w:r w:rsidR="00BD7D61" w:rsidRPr="00DC4D40">
        <w:t xml:space="preserve">domestic activities only, excluding foreign </w:t>
      </w:r>
      <w:r>
        <w:t xml:space="preserve">bank </w:t>
      </w:r>
      <w:r w:rsidR="00BD7D61" w:rsidRPr="00DC4D40">
        <w:t>subsidiaries and ADIs with offshore funding.</w:t>
      </w:r>
    </w:p>
    <w:bookmarkEnd w:id="438"/>
    <w:bookmarkEnd w:id="439"/>
    <w:bookmarkEnd w:id="440"/>
    <w:bookmarkEnd w:id="441"/>
    <w:bookmarkEnd w:id="442"/>
    <w:p w14:paraId="4B6FEF69" w14:textId="2F65385C" w:rsidR="00BE26A5" w:rsidRDefault="00812411" w:rsidP="00745ECA">
      <w:pPr>
        <w:pStyle w:val="APRANORMAL"/>
      </w:pPr>
      <w:r>
        <w:t>Finally</w:t>
      </w:r>
      <w:r w:rsidR="0012414E">
        <w:t>,</w:t>
      </w:r>
      <w:r w:rsidR="002F2F28">
        <w:t xml:space="preserve"> </w:t>
      </w:r>
      <w:r w:rsidR="0012414E">
        <w:t xml:space="preserve">it is intended </w:t>
      </w:r>
      <w:r w:rsidR="00506959">
        <w:t xml:space="preserve">that ADIs meeting the proposed criteria would automatically be subject to the simplified framework. </w:t>
      </w:r>
      <w:r w:rsidR="00BD7D61">
        <w:t xml:space="preserve">However, APRA </w:t>
      </w:r>
      <w:r w:rsidR="00506959">
        <w:t xml:space="preserve">supervisors would have </w:t>
      </w:r>
      <w:r w:rsidR="00506959">
        <w:lastRenderedPageBreak/>
        <w:t>discretion to require</w:t>
      </w:r>
      <w:r w:rsidR="00BD7D61">
        <w:t xml:space="preserve"> a small ADI to use the more complex framework</w:t>
      </w:r>
      <w:r w:rsidR="00506959">
        <w:t xml:space="preserve"> where appropriate based on the nature of its business</w:t>
      </w:r>
      <w:r w:rsidR="00BD7D61">
        <w:t>.</w:t>
      </w:r>
      <w:bookmarkStart w:id="443" w:name="_Toc492996538"/>
      <w:bookmarkStart w:id="444" w:name="_Toc493154172"/>
      <w:bookmarkStart w:id="445" w:name="_Toc493154618"/>
    </w:p>
    <w:p w14:paraId="625DC6C5" w14:textId="62D2D169" w:rsidR="009E3636" w:rsidRDefault="00F9221D" w:rsidP="00C0092A">
      <w:pPr>
        <w:pStyle w:val="APRAHEADING1"/>
      </w:pPr>
      <w:bookmarkStart w:id="446" w:name="_Toc497209115"/>
      <w:bookmarkStart w:id="447" w:name="_Toc500151970"/>
      <w:bookmarkStart w:id="448" w:name="_Toc493240123"/>
      <w:bookmarkStart w:id="449" w:name="_Toc493240629"/>
      <w:bookmarkStart w:id="450" w:name="_Toc494189600"/>
      <w:bookmarkStart w:id="451" w:name="_Toc496184533"/>
      <w:r>
        <w:lastRenderedPageBreak/>
        <w:t xml:space="preserve"> </w:t>
      </w:r>
      <w:bookmarkStart w:id="452" w:name="_Toc505676436"/>
      <w:bookmarkStart w:id="453" w:name="_Toc505676528"/>
      <w:bookmarkStart w:id="454" w:name="_Toc505681600"/>
      <w:bookmarkStart w:id="455" w:name="_Toc505681782"/>
      <w:bookmarkStart w:id="456" w:name="_Toc505854726"/>
      <w:bookmarkStart w:id="457" w:name="_Toc506285826"/>
      <w:r>
        <w:t xml:space="preserve">- </w:t>
      </w:r>
      <w:r w:rsidR="009E3636">
        <w:t>Consultation and next steps</w:t>
      </w:r>
      <w:bookmarkEnd w:id="446"/>
      <w:bookmarkEnd w:id="447"/>
      <w:bookmarkEnd w:id="452"/>
      <w:bookmarkEnd w:id="453"/>
      <w:bookmarkEnd w:id="454"/>
      <w:bookmarkEnd w:id="455"/>
      <w:bookmarkEnd w:id="456"/>
      <w:bookmarkEnd w:id="457"/>
    </w:p>
    <w:p w14:paraId="0D081BC0" w14:textId="37CBA72F" w:rsidR="009E3636" w:rsidRDefault="009E3636" w:rsidP="003E09E6">
      <w:pPr>
        <w:pStyle w:val="APRAHEADING2"/>
        <w:ind w:left="567" w:hanging="567"/>
      </w:pPr>
      <w:bookmarkStart w:id="458" w:name="_Toc494189567"/>
      <w:bookmarkStart w:id="459" w:name="_Toc496184495"/>
      <w:bookmarkStart w:id="460" w:name="_Toc497209116"/>
      <w:bookmarkStart w:id="461" w:name="_Toc500151971"/>
      <w:bookmarkStart w:id="462" w:name="_Toc505676437"/>
      <w:bookmarkStart w:id="463" w:name="_Toc505676529"/>
      <w:bookmarkStart w:id="464" w:name="_Toc505681601"/>
      <w:bookmarkStart w:id="465" w:name="_Toc505681783"/>
      <w:bookmarkStart w:id="466" w:name="_Toc505854727"/>
      <w:bookmarkStart w:id="467" w:name="_Toc506285827"/>
      <w:bookmarkStart w:id="468" w:name="_Toc492996516"/>
      <w:bookmarkStart w:id="469" w:name="_Toc493154148"/>
      <w:bookmarkStart w:id="470" w:name="_Toc493154594"/>
      <w:bookmarkStart w:id="471" w:name="_Toc493240098"/>
      <w:bookmarkStart w:id="472" w:name="_Toc493240604"/>
      <w:r>
        <w:t>Request for submissions and cost-benefit analysis information</w:t>
      </w:r>
      <w:bookmarkEnd w:id="458"/>
      <w:bookmarkEnd w:id="459"/>
      <w:bookmarkEnd w:id="460"/>
      <w:bookmarkEnd w:id="461"/>
      <w:bookmarkEnd w:id="462"/>
      <w:bookmarkEnd w:id="463"/>
      <w:bookmarkEnd w:id="464"/>
      <w:bookmarkEnd w:id="465"/>
      <w:bookmarkEnd w:id="466"/>
      <w:bookmarkEnd w:id="467"/>
      <w:r>
        <w:t xml:space="preserve"> </w:t>
      </w:r>
    </w:p>
    <w:p w14:paraId="0B1D5EB5" w14:textId="489BA4C2" w:rsidR="009E3636" w:rsidRPr="00EB23EA" w:rsidRDefault="009E3636" w:rsidP="001F577E">
      <w:pPr>
        <w:pStyle w:val="APRANORMAL"/>
        <w:tabs>
          <w:tab w:val="left" w:pos="8505"/>
        </w:tabs>
      </w:pPr>
      <w:r w:rsidRPr="00BD34E9">
        <w:t xml:space="preserve">APRA invites written submissions on </w:t>
      </w:r>
      <w:r>
        <w:t>the</w:t>
      </w:r>
      <w:r w:rsidRPr="00BD34E9">
        <w:t xml:space="preserve"> proposals</w:t>
      </w:r>
      <w:r>
        <w:t xml:space="preserve"> set out in this discussion paper</w:t>
      </w:r>
      <w:r w:rsidRPr="00BD34E9">
        <w:t xml:space="preserve">. Written submissions should be sent to </w:t>
      </w:r>
      <w:hyperlink r:id="rId17" w:history="1">
        <w:r w:rsidRPr="00BD34E9">
          <w:rPr>
            <w:rStyle w:val="Hyperlink"/>
            <w:rFonts w:ascii="DIN OT Light" w:hAnsi="DIN OT Light"/>
          </w:rPr>
          <w:t>ADIpolicy@apra.gov.au</w:t>
        </w:r>
      </w:hyperlink>
      <w:r w:rsidRPr="00BD34E9">
        <w:t xml:space="preserve"> by </w:t>
      </w:r>
      <w:r w:rsidR="00892997">
        <w:t>1</w:t>
      </w:r>
      <w:r w:rsidR="00445318">
        <w:t>8</w:t>
      </w:r>
      <w:r w:rsidR="00892997" w:rsidRPr="00EB23EA">
        <w:t xml:space="preserve"> </w:t>
      </w:r>
      <w:r w:rsidR="00F84711">
        <w:t>May</w:t>
      </w:r>
      <w:r>
        <w:t xml:space="preserve"> </w:t>
      </w:r>
      <w:r w:rsidRPr="00EB23EA">
        <w:t>201</w:t>
      </w:r>
      <w:r>
        <w:t>8</w:t>
      </w:r>
      <w:r w:rsidRPr="00EB23EA">
        <w:t xml:space="preserve"> and addressed to:</w:t>
      </w:r>
    </w:p>
    <w:p w14:paraId="6DEF2B9C" w14:textId="77777777" w:rsidR="009E3636" w:rsidRPr="00EB23EA" w:rsidRDefault="009E3636" w:rsidP="009E3636">
      <w:pPr>
        <w:spacing w:after="0"/>
        <w:ind w:left="720"/>
        <w:rPr>
          <w:rFonts w:ascii="DIN OT Light" w:hAnsi="DIN OT Light"/>
        </w:rPr>
      </w:pPr>
      <w:r w:rsidRPr="00EB23EA">
        <w:rPr>
          <w:rFonts w:ascii="DIN OT Light" w:hAnsi="DIN OT Light"/>
        </w:rPr>
        <w:t>General Manager, Policy Development</w:t>
      </w:r>
    </w:p>
    <w:p w14:paraId="0B68F191" w14:textId="77777777" w:rsidR="009E3636" w:rsidRPr="004003C2" w:rsidRDefault="009E3636" w:rsidP="009E3636">
      <w:pPr>
        <w:spacing w:after="0"/>
        <w:ind w:left="720"/>
        <w:rPr>
          <w:rFonts w:ascii="DIN OT Light" w:hAnsi="DIN OT Light"/>
        </w:rPr>
      </w:pPr>
      <w:r w:rsidRPr="004003C2">
        <w:rPr>
          <w:rFonts w:ascii="DIN OT Light" w:hAnsi="DIN OT Light"/>
        </w:rPr>
        <w:t>Policy and Advice Division</w:t>
      </w:r>
    </w:p>
    <w:p w14:paraId="54080A49" w14:textId="77777777" w:rsidR="009E3636" w:rsidRPr="00737E43" w:rsidRDefault="009E3636" w:rsidP="009E3636">
      <w:pPr>
        <w:spacing w:after="120" w:line="288" w:lineRule="auto"/>
        <w:ind w:left="720"/>
        <w:rPr>
          <w:rFonts w:ascii="DIN OT Light" w:hAnsi="DIN OT Light"/>
        </w:rPr>
      </w:pPr>
      <w:r w:rsidRPr="00737E43">
        <w:rPr>
          <w:rFonts w:ascii="DIN OT Light" w:hAnsi="DIN OT Light"/>
        </w:rPr>
        <w:t>Australian Prudential Regulation Authority</w:t>
      </w:r>
    </w:p>
    <w:p w14:paraId="537F7EB7" w14:textId="2E25D92C" w:rsidR="009E3636" w:rsidRPr="00BD34E9" w:rsidRDefault="009E3636" w:rsidP="00901AC5">
      <w:pPr>
        <w:pStyle w:val="APRAHEADING3-NONUMBER"/>
      </w:pPr>
      <w:bookmarkStart w:id="473" w:name="_Toc494189568"/>
      <w:bookmarkStart w:id="474" w:name="_Toc496184496"/>
      <w:r w:rsidRPr="00BD34E9">
        <w:t>Important disclosure notice</w:t>
      </w:r>
      <w:r w:rsidR="00FA69BE">
        <w:t>—</w:t>
      </w:r>
      <w:r w:rsidRPr="00BD34E9">
        <w:t>publication of submissions</w:t>
      </w:r>
      <w:bookmarkEnd w:id="473"/>
      <w:bookmarkEnd w:id="474"/>
    </w:p>
    <w:p w14:paraId="5D2D1768" w14:textId="77777777" w:rsidR="009E3636" w:rsidRPr="00BD34E9" w:rsidRDefault="009E3636" w:rsidP="009E3636">
      <w:pPr>
        <w:pStyle w:val="APRANORMAL"/>
      </w:pPr>
      <w:r w:rsidRPr="00BD34E9">
        <w:t xml:space="preserve">All information in submissions will be made available to the public on the APRA website unless a respondent expressly requests that all or part of the submission is to remain in confidence. </w:t>
      </w:r>
    </w:p>
    <w:p w14:paraId="25E7E453" w14:textId="77777777" w:rsidR="009E3636" w:rsidRPr="00BD34E9" w:rsidRDefault="009E3636" w:rsidP="009E3636">
      <w:pPr>
        <w:pStyle w:val="APRANORMAL"/>
      </w:pPr>
      <w:r w:rsidRPr="00BD34E9">
        <w:t xml:space="preserve">Automatically generated confidentiality statements in emails do not suffice for this purpose. </w:t>
      </w:r>
    </w:p>
    <w:p w14:paraId="4C2EFB13" w14:textId="77777777" w:rsidR="009E3636" w:rsidRPr="00BD34E9" w:rsidRDefault="009E3636" w:rsidP="009E3636">
      <w:pPr>
        <w:pStyle w:val="APRANORMAL"/>
      </w:pPr>
      <w:r w:rsidRPr="00BD34E9">
        <w:t>Respondents who would like part of their submission to remain in confidence should provide this information marked as confidential in a separate attachment.</w:t>
      </w:r>
    </w:p>
    <w:p w14:paraId="4162E736" w14:textId="77777777" w:rsidR="009E3636" w:rsidRPr="00BD34E9" w:rsidRDefault="009E3636" w:rsidP="009E3636">
      <w:pPr>
        <w:pStyle w:val="APRANORMAL"/>
      </w:pPr>
      <w:r w:rsidRPr="00BD34E9">
        <w:t xml:space="preserve">Submissions may be the subject of a request for access made under the </w:t>
      </w:r>
      <w:r w:rsidRPr="00BD34E9">
        <w:rPr>
          <w:i/>
        </w:rPr>
        <w:t>Freedom of Information Act 1982</w:t>
      </w:r>
      <w:r w:rsidRPr="00BD34E9">
        <w:t xml:space="preserve"> (FOIA). </w:t>
      </w:r>
    </w:p>
    <w:p w14:paraId="0A4CDE42" w14:textId="77777777" w:rsidR="009E3636" w:rsidRPr="000F4536" w:rsidRDefault="009E3636" w:rsidP="009E3636">
      <w:pPr>
        <w:pStyle w:val="APRANORMAL"/>
      </w:pPr>
      <w:r w:rsidRPr="00BD34E9">
        <w:t xml:space="preserve">APRA will determine such requests, if any, in accordance with the provisions of the FOIA. Information in the submission about any APRA-regulated entity that is not in the public domain and that is identified as confidential will be protected by section 56 of the </w:t>
      </w:r>
      <w:r w:rsidRPr="00BD34E9">
        <w:rPr>
          <w:i/>
        </w:rPr>
        <w:t>Australian Prudential Regulation Authority Act 1998</w:t>
      </w:r>
      <w:r w:rsidRPr="00BD34E9">
        <w:t xml:space="preserve"> and will therefore be exempt from production under the FOIA.</w:t>
      </w:r>
    </w:p>
    <w:p w14:paraId="41F74312" w14:textId="77777777" w:rsidR="009E3636" w:rsidRDefault="009E3636" w:rsidP="009E3636">
      <w:pPr>
        <w:pStyle w:val="APRANORMAL"/>
      </w:pPr>
      <w:r w:rsidRPr="00E31FB4">
        <w:t>APRA asks that all stakeholders use this consultation opportunity to provide information on the c</w:t>
      </w:r>
      <w:r>
        <w:t>ompliance impact of the proposals</w:t>
      </w:r>
      <w:r w:rsidRPr="00E31FB4">
        <w:t xml:space="preserve">, and any other substantive costs associated with the changes. Compliance costs are defined as direct costs to businesses of performing activities associated with complying with government regulation. Specifically, information is sought on any changes to compliance costs incurred by businesses as a result of APRA’s proposals. </w:t>
      </w:r>
    </w:p>
    <w:p w14:paraId="45D4F31D" w14:textId="7BB3FC6E" w:rsidR="009E3636" w:rsidRPr="00E31FB4" w:rsidRDefault="009E3636" w:rsidP="009E3636">
      <w:pPr>
        <w:pStyle w:val="APRANORMAL"/>
      </w:pPr>
      <w:r w:rsidRPr="00E31FB4">
        <w:lastRenderedPageBreak/>
        <w:t xml:space="preserve">Consistent with the Government’s approach, APRA will use the methodology behind the </w:t>
      </w:r>
      <w:r w:rsidR="00F84711">
        <w:t xml:space="preserve">Commonwealth </w:t>
      </w:r>
      <w:r w:rsidRPr="00E31FB4">
        <w:t xml:space="preserve">Regulatory Burden Measure to assess compliance costs. This tool is designed to capture the relevant costs in a structured way, including a separate assessment of upfront costs and ongoing costs. It is available at </w:t>
      </w:r>
      <w:hyperlink r:id="rId18" w:history="1">
        <w:r w:rsidRPr="004C3B29">
          <w:rPr>
            <w:rStyle w:val="Hyperlink"/>
            <w:rFonts w:ascii="DIN OT Light" w:hAnsi="DIN OT Light"/>
          </w:rPr>
          <w:t>https://rbm.obpr.gov.au/</w:t>
        </w:r>
      </w:hyperlink>
      <w:r w:rsidR="00D0793F">
        <w:t>.</w:t>
      </w:r>
    </w:p>
    <w:p w14:paraId="157F76C1" w14:textId="77777777" w:rsidR="009E3636" w:rsidRPr="00E31FB4" w:rsidRDefault="009E3636" w:rsidP="009E3636">
      <w:pPr>
        <w:pStyle w:val="APRANORMAL"/>
        <w:rPr>
          <w:lang w:val="en-AU"/>
        </w:rPr>
      </w:pPr>
      <w:r w:rsidRPr="00E31FB4">
        <w:rPr>
          <w:lang w:val="en-AU"/>
        </w:rPr>
        <w:t>APRA requests that respondents use this methodology to estimate costs to ensure the data supplied to APRA can be aggregated and used in an industry-wide assessment. When submitting their costs assessment to APRA, respondents should include any assumptions made and, where relevant, any limitations inherent in their assessment. Feedback should address the additional costs incurred as a result of complying with APRA’s requirements, not activities that institutions would undertake due to foreign regulatory requirements or in their ordinary course of business.</w:t>
      </w:r>
    </w:p>
    <w:p w14:paraId="087231FD" w14:textId="07D1E3E8" w:rsidR="00837273" w:rsidRDefault="00837273" w:rsidP="003E09E6">
      <w:pPr>
        <w:pStyle w:val="APRAHEADING2"/>
        <w:ind w:left="567" w:hanging="567"/>
      </w:pPr>
      <w:bookmarkStart w:id="475" w:name="_Toc497209117"/>
      <w:bookmarkStart w:id="476" w:name="_Toc500151972"/>
      <w:bookmarkStart w:id="477" w:name="_Toc505676438"/>
      <w:bookmarkStart w:id="478" w:name="_Toc505676530"/>
      <w:bookmarkStart w:id="479" w:name="_Toc505681602"/>
      <w:bookmarkStart w:id="480" w:name="_Toc505681784"/>
      <w:bookmarkStart w:id="481" w:name="_Toc505854728"/>
      <w:bookmarkStart w:id="482" w:name="_Toc506285828"/>
      <w:bookmarkStart w:id="483" w:name="_Toc494189569"/>
      <w:bookmarkStart w:id="484" w:name="_Toc496184497"/>
      <w:r>
        <w:t>Consultation questions</w:t>
      </w:r>
      <w:bookmarkEnd w:id="475"/>
      <w:bookmarkEnd w:id="476"/>
      <w:bookmarkEnd w:id="477"/>
      <w:bookmarkEnd w:id="478"/>
      <w:bookmarkEnd w:id="479"/>
      <w:bookmarkEnd w:id="480"/>
      <w:bookmarkEnd w:id="481"/>
      <w:bookmarkEnd w:id="482"/>
    </w:p>
    <w:p w14:paraId="1FF46F42" w14:textId="51C89E70" w:rsidR="00837273" w:rsidRDefault="00837273" w:rsidP="00837273">
      <w:pPr>
        <w:pStyle w:val="APRANORMAL"/>
        <w:rPr>
          <w:lang w:val="en-AU"/>
        </w:rPr>
      </w:pPr>
      <w:r>
        <w:rPr>
          <w:lang w:val="en-AU"/>
        </w:rPr>
        <w:t>Submissions are welcome on all aspects of the proposals</w:t>
      </w:r>
      <w:r w:rsidR="00040555">
        <w:rPr>
          <w:lang w:val="en-AU"/>
        </w:rPr>
        <w:t xml:space="preserve"> in this discussion paper</w:t>
      </w:r>
      <w:r>
        <w:rPr>
          <w:lang w:val="en-AU"/>
        </w:rPr>
        <w:t>.</w:t>
      </w:r>
      <w:r w:rsidR="00A24DCE">
        <w:rPr>
          <w:lang w:val="en-AU"/>
        </w:rPr>
        <w:t xml:space="preserve"> </w:t>
      </w:r>
    </w:p>
    <w:p w14:paraId="78269E08" w14:textId="223B5CFC" w:rsidR="00837273" w:rsidRDefault="00837273" w:rsidP="00837273">
      <w:pPr>
        <w:pStyle w:val="APRANORMAL"/>
        <w:rPr>
          <w:lang w:val="en-AU"/>
        </w:rPr>
      </w:pPr>
      <w:r>
        <w:rPr>
          <w:lang w:val="en-AU"/>
        </w:rPr>
        <w:t xml:space="preserve">In addition, specific areas where feedback on the proposed direction would be of assistance to APRA in finalising its proposals are outlined </w:t>
      </w:r>
      <w:r w:rsidR="006F0C52">
        <w:rPr>
          <w:lang w:val="en-AU"/>
        </w:rPr>
        <w:t xml:space="preserve">in </w:t>
      </w:r>
      <w:r w:rsidR="006F0C52">
        <w:rPr>
          <w:lang w:val="en-AU"/>
        </w:rPr>
        <w:fldChar w:fldCharType="begin"/>
      </w:r>
      <w:r w:rsidR="006F0C52">
        <w:rPr>
          <w:lang w:val="en-AU"/>
        </w:rPr>
        <w:instrText xml:space="preserve"> REF _Ref505860322 \r \h </w:instrText>
      </w:r>
      <w:r w:rsidR="006F0C52">
        <w:rPr>
          <w:lang w:val="en-AU"/>
        </w:rPr>
      </w:r>
      <w:r w:rsidR="006F0C52">
        <w:rPr>
          <w:lang w:val="en-AU"/>
        </w:rPr>
        <w:fldChar w:fldCharType="separate"/>
      </w:r>
      <w:r w:rsidR="00EB1F7A">
        <w:rPr>
          <w:lang w:val="en-AU"/>
        </w:rPr>
        <w:t>Table 14</w:t>
      </w:r>
      <w:r w:rsidR="006F0C52">
        <w:rPr>
          <w:lang w:val="en-AU"/>
        </w:rPr>
        <w:fldChar w:fldCharType="end"/>
      </w:r>
      <w:r>
        <w:rPr>
          <w:lang w:val="en-AU"/>
        </w:rPr>
        <w:t>.</w:t>
      </w:r>
    </w:p>
    <w:p w14:paraId="6E348DD0" w14:textId="60341606" w:rsidR="00837273" w:rsidRDefault="00837273" w:rsidP="00441787">
      <w:pPr>
        <w:pStyle w:val="APRATABLE-NUMBER"/>
      </w:pPr>
      <w:bookmarkStart w:id="485" w:name="_Ref505860322"/>
      <w:r>
        <w:t>Consultation questions</w:t>
      </w:r>
      <w:bookmarkEnd w:id="48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6748"/>
      </w:tblGrid>
      <w:tr w:rsidR="00837273" w:rsidRPr="003F01AE" w14:paraId="7297093B" w14:textId="77777777" w:rsidTr="00A60832">
        <w:tc>
          <w:tcPr>
            <w:tcW w:w="2268" w:type="dxa"/>
            <w:shd w:val="clear" w:color="auto" w:fill="002060"/>
          </w:tcPr>
          <w:p w14:paraId="71315554" w14:textId="1AEB3F5C" w:rsidR="00837273" w:rsidRPr="003F01AE" w:rsidRDefault="00891C7C" w:rsidP="00B86997">
            <w:pPr>
              <w:spacing w:before="120" w:after="120"/>
              <w:rPr>
                <w:rFonts w:ascii="DIN OT Medium" w:hAnsi="DIN OT Medium"/>
                <w:sz w:val="20"/>
                <w:szCs w:val="20"/>
              </w:rPr>
            </w:pPr>
            <w:r w:rsidRPr="003F01AE">
              <w:rPr>
                <w:rFonts w:ascii="DIN OT Medium" w:hAnsi="DIN OT Medium"/>
                <w:sz w:val="20"/>
                <w:szCs w:val="20"/>
              </w:rPr>
              <w:t xml:space="preserve">Chapter </w:t>
            </w:r>
            <w:r w:rsidR="00C40305" w:rsidRPr="003F01AE">
              <w:rPr>
                <w:rFonts w:ascii="DIN OT Medium" w:hAnsi="DIN OT Medium"/>
                <w:sz w:val="20"/>
                <w:szCs w:val="20"/>
              </w:rPr>
              <w:t>1</w:t>
            </w:r>
            <w:r w:rsidR="00646FBB">
              <w:rPr>
                <w:rFonts w:ascii="DIN OT Medium" w:hAnsi="DIN OT Medium"/>
                <w:sz w:val="20"/>
                <w:szCs w:val="20"/>
              </w:rPr>
              <w:t xml:space="preserve"> - </w:t>
            </w:r>
            <w:r w:rsidR="00B1585D" w:rsidRPr="003F01AE">
              <w:rPr>
                <w:rFonts w:ascii="DIN OT Medium" w:hAnsi="DIN OT Medium"/>
                <w:sz w:val="20"/>
                <w:szCs w:val="20"/>
              </w:rPr>
              <w:t>Introduction</w:t>
            </w:r>
          </w:p>
        </w:tc>
        <w:tc>
          <w:tcPr>
            <w:tcW w:w="6748" w:type="dxa"/>
            <w:shd w:val="clear" w:color="auto" w:fill="F2F2F2" w:themeFill="background1" w:themeFillShade="F2"/>
          </w:tcPr>
          <w:p w14:paraId="6BAC808C" w14:textId="3C0AFF38" w:rsidR="0084439E" w:rsidRDefault="00B1585D" w:rsidP="00FA7E37">
            <w:pPr>
              <w:pStyle w:val="APRANORMAL"/>
              <w:numPr>
                <w:ilvl w:val="1"/>
                <w:numId w:val="55"/>
              </w:numPr>
              <w:tabs>
                <w:tab w:val="left" w:pos="567"/>
              </w:tabs>
              <w:spacing w:before="120" w:after="120"/>
              <w:rPr>
                <w:sz w:val="20"/>
                <w:szCs w:val="20"/>
              </w:rPr>
            </w:pPr>
            <w:r w:rsidRPr="003F01AE">
              <w:rPr>
                <w:sz w:val="20"/>
                <w:szCs w:val="20"/>
              </w:rPr>
              <w:t xml:space="preserve">Are there any other </w:t>
            </w:r>
            <w:r w:rsidR="00EC4231">
              <w:rPr>
                <w:sz w:val="20"/>
                <w:szCs w:val="20"/>
              </w:rPr>
              <w:t>potential</w:t>
            </w:r>
            <w:r w:rsidRPr="003F01AE">
              <w:rPr>
                <w:sz w:val="20"/>
                <w:szCs w:val="20"/>
              </w:rPr>
              <w:t xml:space="preserve"> impacts </w:t>
            </w:r>
            <w:r w:rsidR="00EC4231">
              <w:rPr>
                <w:sz w:val="20"/>
                <w:szCs w:val="20"/>
              </w:rPr>
              <w:t xml:space="preserve">on the industry or community </w:t>
            </w:r>
            <w:r w:rsidRPr="003F01AE">
              <w:rPr>
                <w:sz w:val="20"/>
                <w:szCs w:val="20"/>
              </w:rPr>
              <w:t>that should be considered in balancing APRA’s objectives</w:t>
            </w:r>
            <w:r w:rsidR="00916411">
              <w:rPr>
                <w:sz w:val="20"/>
                <w:szCs w:val="20"/>
              </w:rPr>
              <w:t>?</w:t>
            </w:r>
          </w:p>
          <w:p w14:paraId="0CA35F98" w14:textId="668F5B7D" w:rsidR="00837273" w:rsidRPr="003F01AE" w:rsidRDefault="00595074" w:rsidP="006F0C52">
            <w:pPr>
              <w:pStyle w:val="APRANORMAL"/>
              <w:numPr>
                <w:ilvl w:val="1"/>
                <w:numId w:val="55"/>
              </w:numPr>
              <w:tabs>
                <w:tab w:val="left" w:pos="567"/>
              </w:tabs>
              <w:spacing w:before="120" w:after="120"/>
              <w:rPr>
                <w:sz w:val="20"/>
                <w:szCs w:val="20"/>
              </w:rPr>
            </w:pPr>
            <w:r w:rsidRPr="003F01AE">
              <w:rPr>
                <w:sz w:val="20"/>
                <w:szCs w:val="20"/>
              </w:rPr>
              <w:tab/>
            </w:r>
            <w:r w:rsidR="006F0C52">
              <w:rPr>
                <w:sz w:val="20"/>
                <w:szCs w:val="20"/>
              </w:rPr>
              <w:t>What are the advantages of</w:t>
            </w:r>
            <w:r w:rsidR="00646FBB">
              <w:rPr>
                <w:sz w:val="20"/>
                <w:szCs w:val="20"/>
              </w:rPr>
              <w:t xml:space="preserve"> aligning </w:t>
            </w:r>
            <w:r w:rsidR="00636E31">
              <w:rPr>
                <w:sz w:val="20"/>
                <w:szCs w:val="20"/>
              </w:rPr>
              <w:t xml:space="preserve">the proposed changes </w:t>
            </w:r>
            <w:r w:rsidR="00646FBB">
              <w:rPr>
                <w:sz w:val="20"/>
                <w:szCs w:val="20"/>
              </w:rPr>
              <w:t>with the Basel Committee’s implementation date of January 2022?</w:t>
            </w:r>
          </w:p>
        </w:tc>
      </w:tr>
      <w:tr w:rsidR="00C40305" w:rsidRPr="003F01AE" w14:paraId="6EF5DBFA" w14:textId="77777777" w:rsidTr="00A60832">
        <w:tc>
          <w:tcPr>
            <w:tcW w:w="2268" w:type="dxa"/>
            <w:shd w:val="clear" w:color="auto" w:fill="002060"/>
          </w:tcPr>
          <w:p w14:paraId="64BE8AD8" w14:textId="08500222" w:rsidR="00C40305" w:rsidRPr="003F01AE" w:rsidRDefault="00646FBB" w:rsidP="00B86997">
            <w:pPr>
              <w:spacing w:before="120" w:after="120"/>
              <w:rPr>
                <w:rFonts w:ascii="DIN OT Medium" w:hAnsi="DIN OT Medium"/>
                <w:sz w:val="20"/>
                <w:szCs w:val="20"/>
              </w:rPr>
            </w:pPr>
            <w:r>
              <w:rPr>
                <w:rFonts w:ascii="DIN OT Medium" w:hAnsi="DIN OT Medium"/>
                <w:sz w:val="20"/>
                <w:szCs w:val="20"/>
              </w:rPr>
              <w:t xml:space="preserve">Chapter 2 - </w:t>
            </w:r>
            <w:r w:rsidR="00C40305" w:rsidRPr="003F01AE">
              <w:rPr>
                <w:rFonts w:ascii="DIN OT Medium" w:hAnsi="DIN OT Medium"/>
                <w:sz w:val="20"/>
                <w:szCs w:val="20"/>
              </w:rPr>
              <w:t>Credit risk: residential mortgage lending</w:t>
            </w:r>
          </w:p>
        </w:tc>
        <w:tc>
          <w:tcPr>
            <w:tcW w:w="6748" w:type="dxa"/>
            <w:shd w:val="clear" w:color="auto" w:fill="F2F2F2" w:themeFill="background1" w:themeFillShade="F2"/>
          </w:tcPr>
          <w:p w14:paraId="50617CD6" w14:textId="3F447AFB" w:rsidR="00C40305" w:rsidRPr="003F01AE" w:rsidRDefault="00C40305" w:rsidP="00C40305">
            <w:pPr>
              <w:pStyle w:val="APRANORMAL"/>
              <w:tabs>
                <w:tab w:val="left" w:pos="567"/>
              </w:tabs>
              <w:spacing w:before="120" w:after="120"/>
              <w:ind w:left="567" w:hanging="567"/>
              <w:rPr>
                <w:sz w:val="20"/>
                <w:szCs w:val="20"/>
              </w:rPr>
            </w:pPr>
            <w:r w:rsidRPr="003F01AE">
              <w:rPr>
                <w:sz w:val="20"/>
                <w:szCs w:val="20"/>
              </w:rPr>
              <w:t>2.1</w:t>
            </w:r>
            <w:r w:rsidRPr="003F01AE">
              <w:rPr>
                <w:sz w:val="20"/>
                <w:szCs w:val="20"/>
              </w:rPr>
              <w:tab/>
            </w:r>
            <w:r w:rsidR="0018600C" w:rsidRPr="00916411">
              <w:rPr>
                <w:sz w:val="20"/>
                <w:szCs w:val="20"/>
              </w:rPr>
              <w:t>How s</w:t>
            </w:r>
            <w:r w:rsidRPr="00916411">
              <w:rPr>
                <w:sz w:val="20"/>
                <w:szCs w:val="20"/>
              </w:rPr>
              <w:t xml:space="preserve">hould </w:t>
            </w:r>
            <w:r w:rsidR="00EC4231">
              <w:rPr>
                <w:sz w:val="20"/>
                <w:szCs w:val="20"/>
              </w:rPr>
              <w:t xml:space="preserve">sound </w:t>
            </w:r>
            <w:r w:rsidRPr="00916411">
              <w:rPr>
                <w:sz w:val="20"/>
                <w:szCs w:val="20"/>
              </w:rPr>
              <w:t xml:space="preserve">underwriting </w:t>
            </w:r>
            <w:r w:rsidR="00EC4231">
              <w:rPr>
                <w:sz w:val="20"/>
                <w:szCs w:val="20"/>
              </w:rPr>
              <w:t xml:space="preserve">be embedded </w:t>
            </w:r>
            <w:r w:rsidRPr="00916411">
              <w:rPr>
                <w:sz w:val="20"/>
                <w:szCs w:val="20"/>
              </w:rPr>
              <w:t xml:space="preserve">in the </w:t>
            </w:r>
            <w:r w:rsidR="00EC4231">
              <w:rPr>
                <w:sz w:val="20"/>
                <w:szCs w:val="20"/>
              </w:rPr>
              <w:t>capital framework</w:t>
            </w:r>
            <w:r w:rsidRPr="00916411">
              <w:rPr>
                <w:sz w:val="20"/>
                <w:szCs w:val="20"/>
              </w:rPr>
              <w:t>?</w:t>
            </w:r>
          </w:p>
          <w:p w14:paraId="46FEF482" w14:textId="6E7AF73C" w:rsidR="00C40305" w:rsidRPr="003F01AE" w:rsidRDefault="00C40305" w:rsidP="003F01AE">
            <w:pPr>
              <w:pStyle w:val="APRANORMAL"/>
              <w:tabs>
                <w:tab w:val="left" w:pos="567"/>
              </w:tabs>
              <w:spacing w:before="60" w:after="60"/>
              <w:ind w:left="567" w:hanging="567"/>
              <w:rPr>
                <w:sz w:val="20"/>
                <w:szCs w:val="20"/>
              </w:rPr>
            </w:pPr>
            <w:r w:rsidRPr="003F01AE">
              <w:rPr>
                <w:sz w:val="20"/>
                <w:szCs w:val="20"/>
              </w:rPr>
              <w:t>2.2</w:t>
            </w:r>
            <w:r w:rsidRPr="003F01AE">
              <w:rPr>
                <w:sz w:val="20"/>
                <w:szCs w:val="20"/>
              </w:rPr>
              <w:tab/>
              <w:t xml:space="preserve">Is there a preferred approach between the options </w:t>
            </w:r>
            <w:r w:rsidR="00C868BD">
              <w:rPr>
                <w:sz w:val="20"/>
                <w:szCs w:val="20"/>
              </w:rPr>
              <w:t>to determin</w:t>
            </w:r>
            <w:r w:rsidR="00040555">
              <w:rPr>
                <w:sz w:val="20"/>
                <w:szCs w:val="20"/>
              </w:rPr>
              <w:t>e</w:t>
            </w:r>
            <w:r w:rsidR="00C868BD">
              <w:rPr>
                <w:sz w:val="20"/>
                <w:szCs w:val="20"/>
              </w:rPr>
              <w:t xml:space="preserve"> higher risk weights </w:t>
            </w:r>
            <w:r w:rsidRPr="003F01AE">
              <w:rPr>
                <w:sz w:val="20"/>
                <w:szCs w:val="20"/>
              </w:rPr>
              <w:t xml:space="preserve">detailed in section </w:t>
            </w:r>
            <w:r w:rsidR="003F01AE" w:rsidRPr="003F01AE">
              <w:rPr>
                <w:sz w:val="20"/>
                <w:szCs w:val="20"/>
              </w:rPr>
              <w:fldChar w:fldCharType="begin"/>
            </w:r>
            <w:r w:rsidR="003F01AE" w:rsidRPr="003F01AE">
              <w:rPr>
                <w:sz w:val="20"/>
                <w:szCs w:val="20"/>
              </w:rPr>
              <w:instrText xml:space="preserve"> REF _Ref504032015 \r \h </w:instrText>
            </w:r>
            <w:r w:rsidR="003F01AE">
              <w:rPr>
                <w:sz w:val="20"/>
                <w:szCs w:val="20"/>
              </w:rPr>
              <w:instrText xml:space="preserve"> \* MERGEFORMAT </w:instrText>
            </w:r>
            <w:r w:rsidR="003F01AE" w:rsidRPr="003F01AE">
              <w:rPr>
                <w:sz w:val="20"/>
                <w:szCs w:val="20"/>
              </w:rPr>
            </w:r>
            <w:r w:rsidR="003F01AE" w:rsidRPr="003F01AE">
              <w:rPr>
                <w:sz w:val="20"/>
                <w:szCs w:val="20"/>
              </w:rPr>
              <w:fldChar w:fldCharType="separate"/>
            </w:r>
            <w:r w:rsidR="00EB1F7A">
              <w:rPr>
                <w:sz w:val="20"/>
                <w:szCs w:val="20"/>
              </w:rPr>
              <w:t>2.3.1</w:t>
            </w:r>
            <w:r w:rsidR="003F01AE" w:rsidRPr="003F01AE">
              <w:rPr>
                <w:sz w:val="20"/>
                <w:szCs w:val="20"/>
              </w:rPr>
              <w:fldChar w:fldCharType="end"/>
            </w:r>
            <w:r w:rsidRPr="003F01AE">
              <w:rPr>
                <w:sz w:val="20"/>
                <w:szCs w:val="20"/>
              </w:rPr>
              <w:t xml:space="preserve">? </w:t>
            </w:r>
          </w:p>
          <w:p w14:paraId="10FC6C41" w14:textId="1BE4175C" w:rsidR="00E64809" w:rsidRDefault="00C40305" w:rsidP="00E64809">
            <w:pPr>
              <w:pStyle w:val="APRANORMAL"/>
              <w:tabs>
                <w:tab w:val="left" w:pos="567"/>
              </w:tabs>
              <w:spacing w:before="120" w:after="120"/>
              <w:ind w:left="567" w:hanging="567"/>
              <w:rPr>
                <w:sz w:val="20"/>
                <w:szCs w:val="20"/>
              </w:rPr>
            </w:pPr>
            <w:r w:rsidRPr="003F01AE">
              <w:rPr>
                <w:sz w:val="20"/>
                <w:szCs w:val="20"/>
              </w:rPr>
              <w:t>2.3</w:t>
            </w:r>
            <w:r w:rsidRPr="003F01AE">
              <w:rPr>
                <w:sz w:val="20"/>
                <w:szCs w:val="20"/>
              </w:rPr>
              <w:tab/>
            </w:r>
            <w:r w:rsidR="00E227C2">
              <w:rPr>
                <w:sz w:val="20"/>
                <w:szCs w:val="20"/>
              </w:rPr>
              <w:t xml:space="preserve">What level of capital </w:t>
            </w:r>
            <w:r w:rsidR="00EC4231">
              <w:rPr>
                <w:sz w:val="20"/>
                <w:szCs w:val="20"/>
              </w:rPr>
              <w:t>requirement reduction</w:t>
            </w:r>
            <w:r w:rsidR="00C35A15">
              <w:rPr>
                <w:sz w:val="20"/>
                <w:szCs w:val="20"/>
              </w:rPr>
              <w:t xml:space="preserve"> </w:t>
            </w:r>
            <w:r w:rsidR="00EC4231">
              <w:rPr>
                <w:sz w:val="20"/>
                <w:szCs w:val="20"/>
              </w:rPr>
              <w:t xml:space="preserve">for LMI </w:t>
            </w:r>
            <w:r w:rsidR="00E227C2">
              <w:rPr>
                <w:sz w:val="20"/>
                <w:szCs w:val="20"/>
              </w:rPr>
              <w:t xml:space="preserve">should </w:t>
            </w:r>
            <w:r w:rsidR="00EC4231">
              <w:rPr>
                <w:sz w:val="20"/>
                <w:szCs w:val="20"/>
              </w:rPr>
              <w:t>be</w:t>
            </w:r>
            <w:r w:rsidR="00E227C2">
              <w:rPr>
                <w:sz w:val="20"/>
                <w:szCs w:val="20"/>
              </w:rPr>
              <w:t xml:space="preserve"> recognise</w:t>
            </w:r>
            <w:r w:rsidR="00EC4231">
              <w:rPr>
                <w:sz w:val="20"/>
                <w:szCs w:val="20"/>
              </w:rPr>
              <w:t>d</w:t>
            </w:r>
            <w:r w:rsidR="00E227C2">
              <w:rPr>
                <w:sz w:val="20"/>
                <w:szCs w:val="20"/>
              </w:rPr>
              <w:t xml:space="preserve"> for residential mortgage exposures</w:t>
            </w:r>
            <w:r w:rsidRPr="003F01AE">
              <w:rPr>
                <w:sz w:val="20"/>
                <w:szCs w:val="20"/>
              </w:rPr>
              <w:t>?</w:t>
            </w:r>
          </w:p>
          <w:p w14:paraId="6176EFBD" w14:textId="21D54803" w:rsidR="00E64809" w:rsidRDefault="00E64809" w:rsidP="005C7432">
            <w:pPr>
              <w:pStyle w:val="APRANORMAL"/>
              <w:tabs>
                <w:tab w:val="left" w:pos="567"/>
              </w:tabs>
              <w:spacing w:before="120" w:after="120"/>
              <w:ind w:left="567" w:hanging="567"/>
              <w:rPr>
                <w:sz w:val="20"/>
                <w:szCs w:val="20"/>
              </w:rPr>
            </w:pPr>
            <w:r w:rsidRPr="003F01AE">
              <w:rPr>
                <w:sz w:val="20"/>
                <w:szCs w:val="20"/>
              </w:rPr>
              <w:t>2.4</w:t>
            </w:r>
            <w:r w:rsidRPr="003F01AE">
              <w:rPr>
                <w:sz w:val="20"/>
                <w:szCs w:val="20"/>
              </w:rPr>
              <w:tab/>
            </w:r>
            <w:r w:rsidR="006F0C52">
              <w:rPr>
                <w:sz w:val="20"/>
                <w:szCs w:val="20"/>
              </w:rPr>
              <w:t xml:space="preserve">How should </w:t>
            </w:r>
            <w:r w:rsidR="006F0C52" w:rsidRPr="006F0C52">
              <w:rPr>
                <w:sz w:val="20"/>
                <w:szCs w:val="20"/>
                <w:lang w:val="en-AU"/>
              </w:rPr>
              <w:t>exposures to individuals with a large investment portfolio</w:t>
            </w:r>
            <w:r w:rsidR="006F0C52">
              <w:rPr>
                <w:sz w:val="20"/>
                <w:szCs w:val="20"/>
              </w:rPr>
              <w:t xml:space="preserve"> be treated under the standardised approach to credit risk?</w:t>
            </w:r>
          </w:p>
          <w:p w14:paraId="7CE16BEA" w14:textId="67B21965" w:rsidR="00C40305" w:rsidRPr="003F01AE" w:rsidRDefault="0053403F" w:rsidP="00AA6725">
            <w:pPr>
              <w:pStyle w:val="APRANORMAL"/>
              <w:tabs>
                <w:tab w:val="left" w:pos="567"/>
              </w:tabs>
              <w:spacing w:before="120" w:after="120"/>
              <w:ind w:left="567" w:hanging="567"/>
              <w:rPr>
                <w:sz w:val="20"/>
                <w:szCs w:val="20"/>
              </w:rPr>
            </w:pPr>
            <w:r>
              <w:rPr>
                <w:sz w:val="20"/>
                <w:szCs w:val="20"/>
              </w:rPr>
              <w:lastRenderedPageBreak/>
              <w:t>2.5</w:t>
            </w:r>
            <w:r w:rsidRPr="003F01AE">
              <w:rPr>
                <w:sz w:val="20"/>
                <w:szCs w:val="20"/>
              </w:rPr>
              <w:tab/>
            </w:r>
            <w:r w:rsidR="005C7432">
              <w:rPr>
                <w:sz w:val="20"/>
                <w:szCs w:val="20"/>
              </w:rPr>
              <w:t xml:space="preserve">Are there alternatives to </w:t>
            </w:r>
            <w:r w:rsidR="004B72C7" w:rsidRPr="00DE4A6E">
              <w:rPr>
                <w:sz w:val="20"/>
                <w:szCs w:val="20"/>
              </w:rPr>
              <w:t xml:space="preserve">the </w:t>
            </w:r>
            <w:r w:rsidR="005C7432">
              <w:rPr>
                <w:sz w:val="20"/>
                <w:szCs w:val="20"/>
              </w:rPr>
              <w:t xml:space="preserve">proposed changes to </w:t>
            </w:r>
            <w:r w:rsidR="00AA6725">
              <w:rPr>
                <w:sz w:val="20"/>
                <w:szCs w:val="20"/>
              </w:rPr>
              <w:t xml:space="preserve">the </w:t>
            </w:r>
            <w:r w:rsidR="004B72C7" w:rsidRPr="00DE4A6E">
              <w:rPr>
                <w:sz w:val="20"/>
                <w:szCs w:val="20"/>
              </w:rPr>
              <w:t>IRB risk-weight function</w:t>
            </w:r>
            <w:r w:rsidR="00D63D01" w:rsidRPr="00DE4A6E">
              <w:rPr>
                <w:sz w:val="20"/>
                <w:szCs w:val="20"/>
              </w:rPr>
              <w:t>s</w:t>
            </w:r>
            <w:r w:rsidR="004B72C7" w:rsidRPr="00DE4A6E">
              <w:rPr>
                <w:sz w:val="20"/>
                <w:szCs w:val="20"/>
              </w:rPr>
              <w:t xml:space="preserve"> for residential mortgage exposures</w:t>
            </w:r>
            <w:r w:rsidR="0026391A" w:rsidRPr="00DE4A6E">
              <w:rPr>
                <w:sz w:val="20"/>
                <w:szCs w:val="20"/>
              </w:rPr>
              <w:t xml:space="preserve"> </w:t>
            </w:r>
            <w:r w:rsidR="005C7432">
              <w:rPr>
                <w:sz w:val="20"/>
                <w:szCs w:val="20"/>
              </w:rPr>
              <w:t xml:space="preserve">that </w:t>
            </w:r>
            <w:r w:rsidR="00AA6725">
              <w:rPr>
                <w:sz w:val="20"/>
                <w:szCs w:val="20"/>
              </w:rPr>
              <w:t>would similarly address APRA’s concerns about higher risk lending</w:t>
            </w:r>
            <w:r w:rsidRPr="00DE4A6E">
              <w:rPr>
                <w:sz w:val="20"/>
                <w:szCs w:val="20"/>
              </w:rPr>
              <w:t>?</w:t>
            </w:r>
          </w:p>
        </w:tc>
      </w:tr>
      <w:tr w:rsidR="00837273" w:rsidRPr="003F01AE" w14:paraId="76F17F4D" w14:textId="77777777" w:rsidTr="00A60832">
        <w:tc>
          <w:tcPr>
            <w:tcW w:w="2268" w:type="dxa"/>
            <w:shd w:val="clear" w:color="auto" w:fill="002060"/>
          </w:tcPr>
          <w:p w14:paraId="274A136C" w14:textId="2068F4AD" w:rsidR="00837273" w:rsidRPr="003F01AE" w:rsidRDefault="00646FBB" w:rsidP="00842F0D">
            <w:pPr>
              <w:spacing w:before="120" w:after="120"/>
              <w:rPr>
                <w:rFonts w:ascii="DIN OT Medium" w:hAnsi="DIN OT Medium"/>
                <w:sz w:val="20"/>
                <w:szCs w:val="20"/>
              </w:rPr>
            </w:pPr>
            <w:r>
              <w:rPr>
                <w:rFonts w:ascii="DIN OT Medium" w:hAnsi="DIN OT Medium"/>
                <w:sz w:val="20"/>
                <w:szCs w:val="20"/>
              </w:rPr>
              <w:lastRenderedPageBreak/>
              <w:t xml:space="preserve">Chapter 3 - </w:t>
            </w:r>
            <w:r w:rsidR="00891C7C" w:rsidRPr="003F01AE">
              <w:rPr>
                <w:rFonts w:ascii="DIN OT Medium" w:hAnsi="DIN OT Medium"/>
                <w:sz w:val="20"/>
                <w:szCs w:val="20"/>
              </w:rPr>
              <w:t>Credit risk: other standardised exposures</w:t>
            </w:r>
          </w:p>
        </w:tc>
        <w:tc>
          <w:tcPr>
            <w:tcW w:w="6748" w:type="dxa"/>
            <w:shd w:val="clear" w:color="auto" w:fill="F2F2F2" w:themeFill="background1" w:themeFillShade="F2"/>
          </w:tcPr>
          <w:p w14:paraId="5FD7DACB" w14:textId="3CEC5D07" w:rsidR="00837273" w:rsidRPr="003F01AE" w:rsidRDefault="00891C7C" w:rsidP="003E3D7C">
            <w:pPr>
              <w:pStyle w:val="APRANORMAL"/>
              <w:tabs>
                <w:tab w:val="left" w:pos="567"/>
              </w:tabs>
              <w:spacing w:before="120" w:after="120"/>
              <w:ind w:left="567" w:hanging="567"/>
              <w:rPr>
                <w:sz w:val="20"/>
                <w:szCs w:val="20"/>
              </w:rPr>
            </w:pPr>
            <w:r w:rsidRPr="003F01AE">
              <w:rPr>
                <w:sz w:val="20"/>
                <w:szCs w:val="20"/>
              </w:rPr>
              <w:t>3.</w:t>
            </w:r>
            <w:r w:rsidR="00AC137E">
              <w:rPr>
                <w:sz w:val="20"/>
                <w:szCs w:val="20"/>
              </w:rPr>
              <w:t>1</w:t>
            </w:r>
            <w:r w:rsidRPr="003F01AE">
              <w:rPr>
                <w:sz w:val="20"/>
                <w:szCs w:val="20"/>
              </w:rPr>
              <w:tab/>
            </w:r>
            <w:r w:rsidR="003E3D7C">
              <w:rPr>
                <w:sz w:val="20"/>
                <w:szCs w:val="20"/>
              </w:rPr>
              <w:t xml:space="preserve">Should CCFs be aligned </w:t>
            </w:r>
            <w:r w:rsidR="008421D9" w:rsidRPr="003F01AE">
              <w:rPr>
                <w:sz w:val="20"/>
                <w:szCs w:val="20"/>
              </w:rPr>
              <w:t>between standardised and IRB ADIs</w:t>
            </w:r>
            <w:r w:rsidRPr="003F01AE">
              <w:rPr>
                <w:sz w:val="20"/>
                <w:szCs w:val="20"/>
              </w:rPr>
              <w:t>?</w:t>
            </w:r>
          </w:p>
        </w:tc>
      </w:tr>
      <w:tr w:rsidR="00891C7C" w:rsidRPr="003F01AE" w14:paraId="17FF14A8" w14:textId="77777777" w:rsidTr="00A60832">
        <w:tc>
          <w:tcPr>
            <w:tcW w:w="2268" w:type="dxa"/>
            <w:shd w:val="clear" w:color="auto" w:fill="002060"/>
          </w:tcPr>
          <w:p w14:paraId="7797E10F" w14:textId="69D6CD51" w:rsidR="00891C7C" w:rsidRPr="003F01AE" w:rsidRDefault="00646FBB" w:rsidP="00B86997">
            <w:pPr>
              <w:spacing w:before="120" w:after="120"/>
              <w:rPr>
                <w:rFonts w:ascii="DIN OT Medium" w:hAnsi="DIN OT Medium"/>
                <w:sz w:val="20"/>
                <w:szCs w:val="20"/>
              </w:rPr>
            </w:pPr>
            <w:r>
              <w:rPr>
                <w:rFonts w:ascii="DIN OT Medium" w:hAnsi="DIN OT Medium"/>
                <w:sz w:val="20"/>
                <w:szCs w:val="20"/>
              </w:rPr>
              <w:t xml:space="preserve">Chapter 4 - </w:t>
            </w:r>
            <w:r w:rsidR="00891C7C" w:rsidRPr="003F01AE">
              <w:rPr>
                <w:rFonts w:ascii="DIN OT Medium" w:hAnsi="DIN OT Medium"/>
                <w:sz w:val="20"/>
                <w:szCs w:val="20"/>
              </w:rPr>
              <w:t>Credit risk: other IRB exposures</w:t>
            </w:r>
          </w:p>
        </w:tc>
        <w:tc>
          <w:tcPr>
            <w:tcW w:w="6748" w:type="dxa"/>
            <w:shd w:val="clear" w:color="auto" w:fill="F2F2F2" w:themeFill="background1" w:themeFillShade="F2"/>
          </w:tcPr>
          <w:p w14:paraId="15B5B6D6" w14:textId="57F6147E" w:rsidR="007279C5" w:rsidRPr="003F01AE" w:rsidRDefault="00891C7C" w:rsidP="007279C5">
            <w:pPr>
              <w:pStyle w:val="APRANORMAL"/>
              <w:tabs>
                <w:tab w:val="left" w:pos="567"/>
              </w:tabs>
              <w:spacing w:before="120" w:after="120"/>
              <w:ind w:left="567" w:hanging="567"/>
              <w:rPr>
                <w:sz w:val="20"/>
                <w:szCs w:val="20"/>
              </w:rPr>
            </w:pPr>
            <w:r w:rsidRPr="003F01AE">
              <w:rPr>
                <w:sz w:val="20"/>
                <w:szCs w:val="20"/>
              </w:rPr>
              <w:t>4.1</w:t>
            </w:r>
            <w:r w:rsidRPr="003F01AE">
              <w:rPr>
                <w:sz w:val="20"/>
                <w:szCs w:val="20"/>
              </w:rPr>
              <w:tab/>
            </w:r>
            <w:r w:rsidR="007279C5" w:rsidRPr="003F01AE">
              <w:rPr>
                <w:sz w:val="20"/>
                <w:szCs w:val="20"/>
              </w:rPr>
              <w:t>Are there additional conditions that APRA should consider for unsecured non-retail exposures to be eligible for a lower LGD estimate under the foundation IRB approach?</w:t>
            </w:r>
          </w:p>
          <w:p w14:paraId="306D46F8" w14:textId="77E9D736" w:rsidR="00891C7C" w:rsidRPr="003F01AE" w:rsidRDefault="00C93A82" w:rsidP="00B86997">
            <w:pPr>
              <w:pStyle w:val="APRANORMAL"/>
              <w:tabs>
                <w:tab w:val="left" w:pos="567"/>
              </w:tabs>
              <w:spacing w:before="120" w:after="120"/>
              <w:ind w:left="567" w:hanging="567"/>
              <w:rPr>
                <w:sz w:val="20"/>
                <w:szCs w:val="20"/>
              </w:rPr>
            </w:pPr>
            <w:r>
              <w:rPr>
                <w:sz w:val="20"/>
                <w:szCs w:val="20"/>
              </w:rPr>
              <w:t>4.2</w:t>
            </w:r>
            <w:r w:rsidR="00891C7C" w:rsidRPr="003F01AE">
              <w:rPr>
                <w:sz w:val="20"/>
                <w:szCs w:val="20"/>
              </w:rPr>
              <w:tab/>
              <w:t xml:space="preserve">Should APRA allow IRB banks to use </w:t>
            </w:r>
            <w:r w:rsidR="00FA7E37">
              <w:rPr>
                <w:sz w:val="20"/>
                <w:szCs w:val="20"/>
              </w:rPr>
              <w:t>an</w:t>
            </w:r>
            <w:r w:rsidR="00891C7C" w:rsidRPr="003F01AE">
              <w:rPr>
                <w:sz w:val="20"/>
                <w:szCs w:val="20"/>
              </w:rPr>
              <w:t xml:space="preserve"> IRB risk</w:t>
            </w:r>
            <w:r w:rsidR="00B27C49" w:rsidRPr="003F01AE">
              <w:rPr>
                <w:sz w:val="20"/>
                <w:szCs w:val="20"/>
              </w:rPr>
              <w:t>-</w:t>
            </w:r>
            <w:r w:rsidR="00891C7C" w:rsidRPr="003F01AE">
              <w:rPr>
                <w:sz w:val="20"/>
                <w:szCs w:val="20"/>
              </w:rPr>
              <w:t>weight function for commercial property exposures or continue with the supervisory slotting approach (assuming overall capital requirements would be comparable)?</w:t>
            </w:r>
          </w:p>
          <w:p w14:paraId="18A1F34A" w14:textId="039A518F" w:rsidR="00891C7C" w:rsidRPr="003F01AE" w:rsidRDefault="00C93A82" w:rsidP="003E3D7C">
            <w:pPr>
              <w:pStyle w:val="APRANORMAL"/>
              <w:tabs>
                <w:tab w:val="left" w:pos="567"/>
              </w:tabs>
              <w:spacing w:before="120" w:after="120"/>
              <w:ind w:left="567" w:hanging="567"/>
              <w:rPr>
                <w:sz w:val="20"/>
                <w:szCs w:val="20"/>
              </w:rPr>
            </w:pPr>
            <w:r>
              <w:rPr>
                <w:sz w:val="20"/>
                <w:szCs w:val="20"/>
              </w:rPr>
              <w:t>4.3</w:t>
            </w:r>
            <w:r w:rsidR="007279C5" w:rsidRPr="003F01AE">
              <w:rPr>
                <w:sz w:val="20"/>
                <w:szCs w:val="20"/>
              </w:rPr>
              <w:tab/>
            </w:r>
            <w:r w:rsidR="00842F0D">
              <w:rPr>
                <w:sz w:val="20"/>
                <w:szCs w:val="20"/>
              </w:rPr>
              <w:t xml:space="preserve">What </w:t>
            </w:r>
            <w:r w:rsidR="003E3D7C">
              <w:rPr>
                <w:sz w:val="20"/>
                <w:szCs w:val="20"/>
              </w:rPr>
              <w:t xml:space="preserve">would be the impact of </w:t>
            </w:r>
            <w:r w:rsidR="007279C5" w:rsidRPr="003F01AE">
              <w:rPr>
                <w:sz w:val="20"/>
                <w:szCs w:val="20"/>
              </w:rPr>
              <w:t>remov</w:t>
            </w:r>
            <w:r w:rsidR="003E3D7C">
              <w:rPr>
                <w:sz w:val="20"/>
                <w:szCs w:val="20"/>
              </w:rPr>
              <w:t>ing</w:t>
            </w:r>
            <w:r w:rsidR="007279C5" w:rsidRPr="003F01AE">
              <w:rPr>
                <w:sz w:val="20"/>
                <w:szCs w:val="20"/>
              </w:rPr>
              <w:t xml:space="preserve"> the SME retail and qualifying revolving retail asset classes</w:t>
            </w:r>
            <w:r w:rsidR="002939AB" w:rsidRPr="003F01AE">
              <w:rPr>
                <w:sz w:val="20"/>
                <w:szCs w:val="20"/>
              </w:rPr>
              <w:t xml:space="preserve"> from the IRB approach?</w:t>
            </w:r>
          </w:p>
        </w:tc>
      </w:tr>
      <w:tr w:rsidR="004278A8" w:rsidRPr="003F01AE" w14:paraId="1A146251" w14:textId="77777777" w:rsidTr="00A60832">
        <w:tc>
          <w:tcPr>
            <w:tcW w:w="2268" w:type="dxa"/>
            <w:shd w:val="clear" w:color="auto" w:fill="002060"/>
          </w:tcPr>
          <w:p w14:paraId="5ACE326C" w14:textId="09918672" w:rsidR="004278A8" w:rsidRPr="003F01AE" w:rsidRDefault="004278A8" w:rsidP="00646FBB">
            <w:pPr>
              <w:spacing w:before="120" w:after="120"/>
              <w:rPr>
                <w:rFonts w:ascii="DIN OT Medium" w:hAnsi="DIN OT Medium"/>
                <w:sz w:val="20"/>
                <w:szCs w:val="20"/>
              </w:rPr>
            </w:pPr>
            <w:r w:rsidRPr="003F01AE">
              <w:rPr>
                <w:rFonts w:ascii="DIN OT Medium" w:hAnsi="DIN OT Medium"/>
                <w:sz w:val="20"/>
                <w:szCs w:val="20"/>
              </w:rPr>
              <w:t>Chapter 5</w:t>
            </w:r>
            <w:r w:rsidR="00646FBB">
              <w:rPr>
                <w:rFonts w:ascii="DIN OT Medium" w:hAnsi="DIN OT Medium"/>
                <w:sz w:val="20"/>
                <w:szCs w:val="20"/>
              </w:rPr>
              <w:t xml:space="preserve"> - </w:t>
            </w:r>
            <w:r w:rsidRPr="003F01AE">
              <w:rPr>
                <w:rFonts w:ascii="DIN OT Medium" w:hAnsi="DIN OT Medium"/>
                <w:sz w:val="20"/>
                <w:szCs w:val="20"/>
              </w:rPr>
              <w:t>Operational risk</w:t>
            </w:r>
          </w:p>
        </w:tc>
        <w:tc>
          <w:tcPr>
            <w:tcW w:w="6748" w:type="dxa"/>
            <w:shd w:val="clear" w:color="auto" w:fill="F2F2F2" w:themeFill="background1" w:themeFillShade="F2"/>
          </w:tcPr>
          <w:p w14:paraId="33713BEB" w14:textId="04158716" w:rsidR="004278A8" w:rsidRPr="003F01AE" w:rsidRDefault="004278A8" w:rsidP="00BE2CDE">
            <w:pPr>
              <w:pStyle w:val="APRANORMAL"/>
              <w:tabs>
                <w:tab w:val="left" w:pos="567"/>
              </w:tabs>
              <w:spacing w:before="120" w:after="120"/>
              <w:ind w:left="567" w:hanging="567"/>
              <w:rPr>
                <w:sz w:val="20"/>
                <w:szCs w:val="20"/>
              </w:rPr>
            </w:pPr>
            <w:r w:rsidRPr="003F01AE">
              <w:rPr>
                <w:sz w:val="20"/>
                <w:szCs w:val="20"/>
              </w:rPr>
              <w:t>5.1</w:t>
            </w:r>
            <w:r w:rsidRPr="003F01AE">
              <w:rPr>
                <w:sz w:val="20"/>
                <w:szCs w:val="20"/>
              </w:rPr>
              <w:tab/>
            </w:r>
            <w:r w:rsidR="00BE2CDE">
              <w:rPr>
                <w:sz w:val="20"/>
                <w:szCs w:val="20"/>
              </w:rPr>
              <w:t xml:space="preserve">Should </w:t>
            </w:r>
            <w:r w:rsidRPr="003F01AE">
              <w:rPr>
                <w:sz w:val="20"/>
                <w:szCs w:val="20"/>
              </w:rPr>
              <w:t>the loss component</w:t>
            </w:r>
            <w:r w:rsidR="009A6D5A" w:rsidRPr="003F01AE">
              <w:rPr>
                <w:sz w:val="20"/>
                <w:szCs w:val="20"/>
              </w:rPr>
              <w:t xml:space="preserve"> </w:t>
            </w:r>
            <w:r w:rsidR="00BE2CDE">
              <w:rPr>
                <w:sz w:val="20"/>
                <w:szCs w:val="20"/>
              </w:rPr>
              <w:t xml:space="preserve">be omitted </w:t>
            </w:r>
            <w:r w:rsidR="009A6D5A" w:rsidRPr="003F01AE">
              <w:rPr>
                <w:sz w:val="20"/>
                <w:szCs w:val="20"/>
              </w:rPr>
              <w:t>from the operational risk capital calculation</w:t>
            </w:r>
            <w:r w:rsidRPr="003F01AE">
              <w:rPr>
                <w:sz w:val="20"/>
                <w:szCs w:val="20"/>
              </w:rPr>
              <w:t>?</w:t>
            </w:r>
          </w:p>
        </w:tc>
      </w:tr>
      <w:tr w:rsidR="00837273" w:rsidRPr="003F01AE" w14:paraId="5F482455" w14:textId="77777777" w:rsidTr="00A60832">
        <w:tc>
          <w:tcPr>
            <w:tcW w:w="2268" w:type="dxa"/>
            <w:shd w:val="clear" w:color="auto" w:fill="002060"/>
          </w:tcPr>
          <w:p w14:paraId="596A4B97" w14:textId="6949F784" w:rsidR="00837273" w:rsidRPr="003F01AE" w:rsidRDefault="00646FBB" w:rsidP="00B86997">
            <w:pPr>
              <w:spacing w:before="120" w:after="120"/>
              <w:rPr>
                <w:rFonts w:ascii="DIN OT Medium" w:hAnsi="DIN OT Medium"/>
                <w:sz w:val="20"/>
                <w:szCs w:val="20"/>
              </w:rPr>
            </w:pPr>
            <w:r>
              <w:rPr>
                <w:rFonts w:ascii="DIN OT Medium" w:hAnsi="DIN OT Medium"/>
                <w:sz w:val="20"/>
                <w:szCs w:val="20"/>
              </w:rPr>
              <w:t xml:space="preserve">Chapter 6 - </w:t>
            </w:r>
            <w:r w:rsidR="00891C7C" w:rsidRPr="003F01AE">
              <w:rPr>
                <w:rFonts w:ascii="DIN OT Medium" w:hAnsi="DIN OT Medium"/>
                <w:sz w:val="20"/>
                <w:szCs w:val="20"/>
              </w:rPr>
              <w:t>Interest rate risk and market risk</w:t>
            </w:r>
          </w:p>
        </w:tc>
        <w:tc>
          <w:tcPr>
            <w:tcW w:w="6748" w:type="dxa"/>
            <w:shd w:val="clear" w:color="auto" w:fill="F2F2F2" w:themeFill="background1" w:themeFillShade="F2"/>
          </w:tcPr>
          <w:p w14:paraId="5DE2C262" w14:textId="3D2AE456" w:rsidR="00837273" w:rsidRPr="003F01AE" w:rsidRDefault="00891C7C" w:rsidP="00D0793F">
            <w:pPr>
              <w:pStyle w:val="APRANORMAL"/>
              <w:tabs>
                <w:tab w:val="left" w:pos="567"/>
              </w:tabs>
              <w:spacing w:before="120" w:after="120"/>
              <w:ind w:left="567" w:hanging="567"/>
              <w:rPr>
                <w:sz w:val="20"/>
                <w:szCs w:val="20"/>
              </w:rPr>
            </w:pPr>
            <w:r w:rsidRPr="003F01AE">
              <w:rPr>
                <w:sz w:val="20"/>
                <w:szCs w:val="20"/>
              </w:rPr>
              <w:t>6</w:t>
            </w:r>
            <w:r w:rsidR="00595074" w:rsidRPr="003F01AE">
              <w:rPr>
                <w:sz w:val="20"/>
                <w:szCs w:val="20"/>
              </w:rPr>
              <w:t>.1</w:t>
            </w:r>
            <w:r w:rsidR="00595074" w:rsidRPr="003F01AE">
              <w:rPr>
                <w:sz w:val="20"/>
                <w:szCs w:val="20"/>
              </w:rPr>
              <w:tab/>
            </w:r>
            <w:r w:rsidR="002C1117" w:rsidRPr="003F01AE">
              <w:rPr>
                <w:sz w:val="20"/>
                <w:szCs w:val="20"/>
              </w:rPr>
              <w:t>Would standardis</w:t>
            </w:r>
            <w:r w:rsidR="00D0793F">
              <w:rPr>
                <w:sz w:val="20"/>
                <w:szCs w:val="20"/>
              </w:rPr>
              <w:t>ing</w:t>
            </w:r>
            <w:r w:rsidR="002C1117" w:rsidRPr="003F01AE">
              <w:rPr>
                <w:sz w:val="20"/>
                <w:szCs w:val="20"/>
              </w:rPr>
              <w:t xml:space="preserve"> assumptions for the non-interest bearing deposits portfolio and the basis and optionality risk calculations significantly reduce the benefit of having an internal model approach for IRRBB?</w:t>
            </w:r>
          </w:p>
        </w:tc>
      </w:tr>
      <w:tr w:rsidR="004278A8" w:rsidRPr="003F01AE" w14:paraId="14C0D785" w14:textId="77777777" w:rsidTr="00A60832">
        <w:tc>
          <w:tcPr>
            <w:tcW w:w="2268" w:type="dxa"/>
            <w:shd w:val="clear" w:color="auto" w:fill="002060"/>
          </w:tcPr>
          <w:p w14:paraId="13D00754" w14:textId="712C5073" w:rsidR="004278A8" w:rsidRPr="003F01AE" w:rsidRDefault="00646FBB">
            <w:pPr>
              <w:spacing w:before="120" w:after="120"/>
              <w:rPr>
                <w:rFonts w:ascii="DIN OT Medium" w:hAnsi="DIN OT Medium"/>
                <w:sz w:val="20"/>
                <w:szCs w:val="20"/>
              </w:rPr>
            </w:pPr>
            <w:r>
              <w:rPr>
                <w:rFonts w:ascii="DIN OT Medium" w:hAnsi="DIN OT Medium"/>
                <w:sz w:val="20"/>
                <w:szCs w:val="20"/>
              </w:rPr>
              <w:t xml:space="preserve">Chapter 7 - </w:t>
            </w:r>
            <w:r w:rsidR="004278A8" w:rsidRPr="003F01AE">
              <w:rPr>
                <w:rFonts w:ascii="DIN OT Medium" w:hAnsi="DIN OT Medium"/>
                <w:sz w:val="20"/>
                <w:szCs w:val="20"/>
              </w:rPr>
              <w:t>Approach to overall calibration</w:t>
            </w:r>
          </w:p>
        </w:tc>
        <w:tc>
          <w:tcPr>
            <w:tcW w:w="6748" w:type="dxa"/>
            <w:shd w:val="clear" w:color="auto" w:fill="F2F2F2" w:themeFill="background1" w:themeFillShade="F2"/>
          </w:tcPr>
          <w:p w14:paraId="6EEFD196" w14:textId="4796AE9D" w:rsidR="009A6D5A" w:rsidRPr="003F01AE" w:rsidRDefault="004278A8">
            <w:pPr>
              <w:pStyle w:val="APRANORMAL"/>
              <w:tabs>
                <w:tab w:val="left" w:pos="567"/>
              </w:tabs>
              <w:spacing w:before="120" w:after="120"/>
              <w:ind w:left="567" w:hanging="567"/>
              <w:rPr>
                <w:sz w:val="20"/>
                <w:szCs w:val="20"/>
              </w:rPr>
            </w:pPr>
            <w:r w:rsidRPr="003F01AE">
              <w:rPr>
                <w:sz w:val="20"/>
                <w:szCs w:val="20"/>
              </w:rPr>
              <w:t>7.1</w:t>
            </w:r>
            <w:r w:rsidRPr="003F01AE">
              <w:rPr>
                <w:sz w:val="20"/>
                <w:szCs w:val="20"/>
              </w:rPr>
              <w:tab/>
            </w:r>
            <w:r w:rsidR="00ED0FB9" w:rsidRPr="003F01AE">
              <w:rPr>
                <w:sz w:val="20"/>
                <w:szCs w:val="20"/>
              </w:rPr>
              <w:t xml:space="preserve">Are there alternative approaches </w:t>
            </w:r>
            <w:r w:rsidR="00AC137E">
              <w:rPr>
                <w:sz w:val="20"/>
                <w:szCs w:val="20"/>
              </w:rPr>
              <w:t xml:space="preserve">to </w:t>
            </w:r>
            <w:r w:rsidR="00ED0FB9" w:rsidRPr="003F01AE">
              <w:rPr>
                <w:sz w:val="20"/>
                <w:szCs w:val="20"/>
              </w:rPr>
              <w:t>ensure an appropriate overall calibration of capital requirements?</w:t>
            </w:r>
          </w:p>
          <w:p w14:paraId="2EB5EFE4" w14:textId="44E3B873" w:rsidR="009A6D5A" w:rsidRPr="003F01AE" w:rsidRDefault="009A6D5A">
            <w:pPr>
              <w:pStyle w:val="APRANORMAL"/>
              <w:tabs>
                <w:tab w:val="left" w:pos="567"/>
              </w:tabs>
              <w:spacing w:before="120" w:after="120"/>
              <w:ind w:left="567" w:hanging="567"/>
              <w:rPr>
                <w:sz w:val="20"/>
                <w:szCs w:val="20"/>
              </w:rPr>
            </w:pPr>
            <w:r w:rsidRPr="003F01AE">
              <w:rPr>
                <w:sz w:val="20"/>
                <w:szCs w:val="20"/>
              </w:rPr>
              <w:t>7.2</w:t>
            </w:r>
            <w:r w:rsidRPr="003F01AE">
              <w:rPr>
                <w:sz w:val="20"/>
                <w:szCs w:val="20"/>
              </w:rPr>
              <w:tab/>
              <w:t>Are there any definitional issues that APRA should consider in the implementation of the RWA floor for IRB banks?</w:t>
            </w:r>
          </w:p>
        </w:tc>
      </w:tr>
      <w:tr w:rsidR="00837273" w:rsidRPr="003F01AE" w14:paraId="4DB2A6DE" w14:textId="77777777" w:rsidTr="00A60832">
        <w:tc>
          <w:tcPr>
            <w:tcW w:w="2268" w:type="dxa"/>
            <w:shd w:val="clear" w:color="auto" w:fill="002060"/>
          </w:tcPr>
          <w:p w14:paraId="25E5C347" w14:textId="29931FF4" w:rsidR="00837273" w:rsidRPr="003F01AE" w:rsidRDefault="00646FBB" w:rsidP="00B86997">
            <w:pPr>
              <w:spacing w:before="120" w:after="120"/>
              <w:rPr>
                <w:rFonts w:ascii="DIN OT Medium" w:hAnsi="DIN OT Medium"/>
                <w:sz w:val="20"/>
                <w:szCs w:val="20"/>
              </w:rPr>
            </w:pPr>
            <w:r>
              <w:rPr>
                <w:rFonts w:ascii="DIN OT Medium" w:hAnsi="DIN OT Medium"/>
                <w:sz w:val="20"/>
                <w:szCs w:val="20"/>
              </w:rPr>
              <w:t xml:space="preserve">Chapter 8 - </w:t>
            </w:r>
            <w:r w:rsidR="00891C7C" w:rsidRPr="003F01AE">
              <w:rPr>
                <w:rFonts w:ascii="DIN OT Medium" w:hAnsi="DIN OT Medium"/>
                <w:sz w:val="20"/>
                <w:szCs w:val="20"/>
              </w:rPr>
              <w:t>A simpler approach for small ADIs</w:t>
            </w:r>
          </w:p>
        </w:tc>
        <w:tc>
          <w:tcPr>
            <w:tcW w:w="6748" w:type="dxa"/>
            <w:shd w:val="clear" w:color="auto" w:fill="F2F2F2" w:themeFill="background1" w:themeFillShade="F2"/>
          </w:tcPr>
          <w:p w14:paraId="66D5EBB2" w14:textId="7035B5AE" w:rsidR="00DF5C26" w:rsidRPr="003F01AE" w:rsidRDefault="00891C7C" w:rsidP="00B86997">
            <w:pPr>
              <w:pStyle w:val="APRANORMAL"/>
              <w:tabs>
                <w:tab w:val="left" w:pos="567"/>
              </w:tabs>
              <w:spacing w:before="120" w:after="120"/>
              <w:ind w:left="567" w:hanging="567"/>
              <w:rPr>
                <w:sz w:val="20"/>
                <w:szCs w:val="20"/>
              </w:rPr>
            </w:pPr>
            <w:r w:rsidRPr="003F01AE">
              <w:rPr>
                <w:sz w:val="20"/>
                <w:szCs w:val="20"/>
              </w:rPr>
              <w:t>8</w:t>
            </w:r>
            <w:r w:rsidR="00595074" w:rsidRPr="003F01AE">
              <w:rPr>
                <w:sz w:val="20"/>
                <w:szCs w:val="20"/>
              </w:rPr>
              <w:t>.1</w:t>
            </w:r>
            <w:r w:rsidR="00595074" w:rsidRPr="003F01AE">
              <w:rPr>
                <w:sz w:val="20"/>
                <w:szCs w:val="20"/>
              </w:rPr>
              <w:tab/>
            </w:r>
            <w:r w:rsidR="00DF5C26" w:rsidRPr="003F01AE">
              <w:rPr>
                <w:sz w:val="20"/>
                <w:szCs w:val="20"/>
              </w:rPr>
              <w:t xml:space="preserve">What is an appropriate size measure and threshold to </w:t>
            </w:r>
            <w:r w:rsidR="002F0243" w:rsidRPr="003F01AE">
              <w:rPr>
                <w:sz w:val="20"/>
                <w:szCs w:val="20"/>
              </w:rPr>
              <w:t>determine which ADIs</w:t>
            </w:r>
            <w:r w:rsidR="00921E96" w:rsidRPr="003F01AE">
              <w:rPr>
                <w:sz w:val="20"/>
                <w:szCs w:val="20"/>
              </w:rPr>
              <w:t xml:space="preserve"> may</w:t>
            </w:r>
            <w:r w:rsidR="002F0243" w:rsidRPr="003F01AE">
              <w:rPr>
                <w:sz w:val="20"/>
                <w:szCs w:val="20"/>
              </w:rPr>
              <w:t xml:space="preserve"> </w:t>
            </w:r>
            <w:r w:rsidR="00DF5C26" w:rsidRPr="003F01AE">
              <w:rPr>
                <w:sz w:val="20"/>
                <w:szCs w:val="20"/>
              </w:rPr>
              <w:t xml:space="preserve">apply the simplified framework? </w:t>
            </w:r>
          </w:p>
          <w:p w14:paraId="5D0FDB45" w14:textId="5787D2D7" w:rsidR="00DF5C26" w:rsidRPr="003F01AE" w:rsidRDefault="00891C7C" w:rsidP="00B86997">
            <w:pPr>
              <w:pStyle w:val="APRANORMAL"/>
              <w:tabs>
                <w:tab w:val="left" w:pos="567"/>
              </w:tabs>
              <w:spacing w:before="120" w:after="120"/>
              <w:ind w:left="567" w:hanging="567"/>
              <w:rPr>
                <w:sz w:val="20"/>
                <w:szCs w:val="20"/>
              </w:rPr>
            </w:pPr>
            <w:r w:rsidRPr="003F01AE">
              <w:rPr>
                <w:sz w:val="20"/>
                <w:szCs w:val="20"/>
              </w:rPr>
              <w:t>8</w:t>
            </w:r>
            <w:r w:rsidR="00595074" w:rsidRPr="003F01AE">
              <w:rPr>
                <w:sz w:val="20"/>
                <w:szCs w:val="20"/>
              </w:rPr>
              <w:t>.</w:t>
            </w:r>
            <w:r w:rsidR="009909A6" w:rsidRPr="003F01AE">
              <w:rPr>
                <w:sz w:val="20"/>
                <w:szCs w:val="20"/>
              </w:rPr>
              <w:t>2</w:t>
            </w:r>
            <w:r w:rsidR="00595074" w:rsidRPr="003F01AE">
              <w:rPr>
                <w:sz w:val="20"/>
                <w:szCs w:val="20"/>
              </w:rPr>
              <w:tab/>
            </w:r>
            <w:r w:rsidR="000C0C3F" w:rsidRPr="003F01AE">
              <w:rPr>
                <w:sz w:val="20"/>
                <w:szCs w:val="20"/>
              </w:rPr>
              <w:t xml:space="preserve">Are there other </w:t>
            </w:r>
            <w:r w:rsidR="00DF5C26" w:rsidRPr="003F01AE">
              <w:rPr>
                <w:sz w:val="20"/>
                <w:szCs w:val="20"/>
              </w:rPr>
              <w:t xml:space="preserve">prudential requirements </w:t>
            </w:r>
            <w:r w:rsidR="000C0C3F" w:rsidRPr="003F01AE">
              <w:rPr>
                <w:sz w:val="20"/>
                <w:szCs w:val="20"/>
              </w:rPr>
              <w:t xml:space="preserve">that could be simplified for smaller ADIs </w:t>
            </w:r>
            <w:r w:rsidR="005B5BCD" w:rsidRPr="003F01AE">
              <w:rPr>
                <w:sz w:val="20"/>
                <w:szCs w:val="20"/>
              </w:rPr>
              <w:t>without compromising prudential safety and sound</w:t>
            </w:r>
            <w:r w:rsidR="00882379" w:rsidRPr="003F01AE">
              <w:rPr>
                <w:sz w:val="20"/>
                <w:szCs w:val="20"/>
              </w:rPr>
              <w:t>n</w:t>
            </w:r>
            <w:r w:rsidR="005B5BCD" w:rsidRPr="003F01AE">
              <w:rPr>
                <w:sz w:val="20"/>
                <w:szCs w:val="20"/>
              </w:rPr>
              <w:t>ess</w:t>
            </w:r>
            <w:r w:rsidR="00DF5C26" w:rsidRPr="003F01AE">
              <w:rPr>
                <w:sz w:val="20"/>
                <w:szCs w:val="20"/>
              </w:rPr>
              <w:t>?</w:t>
            </w:r>
          </w:p>
          <w:p w14:paraId="7A814EA2" w14:textId="0F82FA82" w:rsidR="00837273" w:rsidRPr="003F01AE" w:rsidRDefault="00891C7C" w:rsidP="00BE2CDE">
            <w:pPr>
              <w:pStyle w:val="APRANORMAL"/>
              <w:tabs>
                <w:tab w:val="left" w:pos="567"/>
              </w:tabs>
              <w:spacing w:before="120" w:after="120"/>
              <w:ind w:left="567" w:hanging="567"/>
              <w:rPr>
                <w:sz w:val="20"/>
                <w:szCs w:val="20"/>
              </w:rPr>
            </w:pPr>
            <w:r w:rsidRPr="003F01AE">
              <w:rPr>
                <w:sz w:val="20"/>
                <w:szCs w:val="20"/>
              </w:rPr>
              <w:t>8</w:t>
            </w:r>
            <w:r w:rsidR="00595074" w:rsidRPr="003F01AE">
              <w:rPr>
                <w:sz w:val="20"/>
                <w:szCs w:val="20"/>
              </w:rPr>
              <w:t>.</w:t>
            </w:r>
            <w:r w:rsidR="009909A6" w:rsidRPr="003F01AE">
              <w:rPr>
                <w:sz w:val="20"/>
                <w:szCs w:val="20"/>
              </w:rPr>
              <w:t>3</w:t>
            </w:r>
            <w:r w:rsidR="00595074" w:rsidRPr="003F01AE">
              <w:rPr>
                <w:sz w:val="20"/>
                <w:szCs w:val="20"/>
              </w:rPr>
              <w:tab/>
            </w:r>
            <w:r w:rsidR="00DF5C26" w:rsidRPr="003F01AE">
              <w:rPr>
                <w:sz w:val="20"/>
                <w:szCs w:val="20"/>
              </w:rPr>
              <w:t>Do</w:t>
            </w:r>
            <w:r w:rsidR="00C35A15">
              <w:rPr>
                <w:sz w:val="20"/>
                <w:szCs w:val="20"/>
              </w:rPr>
              <w:t>es</w:t>
            </w:r>
            <w:r w:rsidR="00DF5C26" w:rsidRPr="003F01AE">
              <w:rPr>
                <w:sz w:val="20"/>
                <w:szCs w:val="20"/>
              </w:rPr>
              <w:t xml:space="preserve"> the proposal for a simplified framework </w:t>
            </w:r>
            <w:r w:rsidR="00734C56" w:rsidRPr="003F01AE">
              <w:rPr>
                <w:sz w:val="20"/>
                <w:szCs w:val="20"/>
              </w:rPr>
              <w:t>rais</w:t>
            </w:r>
            <w:r w:rsidR="00BE2CDE">
              <w:rPr>
                <w:sz w:val="20"/>
                <w:szCs w:val="20"/>
              </w:rPr>
              <w:t>e</w:t>
            </w:r>
            <w:r w:rsidR="00734C56" w:rsidRPr="003F01AE">
              <w:rPr>
                <w:sz w:val="20"/>
                <w:szCs w:val="20"/>
              </w:rPr>
              <w:t xml:space="preserve"> </w:t>
            </w:r>
            <w:r w:rsidR="00DF5C26" w:rsidRPr="003F01AE">
              <w:rPr>
                <w:sz w:val="20"/>
                <w:szCs w:val="20"/>
              </w:rPr>
              <w:t xml:space="preserve">any competition </w:t>
            </w:r>
            <w:r w:rsidR="00734C56" w:rsidRPr="003F01AE">
              <w:rPr>
                <w:sz w:val="20"/>
                <w:szCs w:val="20"/>
              </w:rPr>
              <w:t>concerns</w:t>
            </w:r>
            <w:r w:rsidR="00DF5C26" w:rsidRPr="003F01AE">
              <w:rPr>
                <w:sz w:val="20"/>
                <w:szCs w:val="20"/>
              </w:rPr>
              <w:t>?</w:t>
            </w:r>
          </w:p>
        </w:tc>
      </w:tr>
    </w:tbl>
    <w:p w14:paraId="49515B0E" w14:textId="21D85F5E" w:rsidR="00837273" w:rsidRDefault="00837273" w:rsidP="00837273">
      <w:pPr>
        <w:pStyle w:val="APRANORMAL"/>
        <w:rPr>
          <w:lang w:val="en-AU"/>
        </w:rPr>
      </w:pPr>
    </w:p>
    <w:p w14:paraId="733FBE20" w14:textId="4D3B528A" w:rsidR="00B13126" w:rsidRDefault="00B13126" w:rsidP="00B13126">
      <w:pPr>
        <w:pStyle w:val="APRAHEADING2"/>
        <w:ind w:left="567" w:hanging="567"/>
      </w:pPr>
      <w:bookmarkStart w:id="486" w:name="_Toc500151973"/>
      <w:bookmarkStart w:id="487" w:name="_Toc505676439"/>
      <w:bookmarkStart w:id="488" w:name="_Toc505676531"/>
      <w:bookmarkStart w:id="489" w:name="_Toc505681603"/>
      <w:bookmarkStart w:id="490" w:name="_Toc505681785"/>
      <w:bookmarkStart w:id="491" w:name="_Toc505854729"/>
      <w:bookmarkStart w:id="492" w:name="_Toc506285829"/>
      <w:bookmarkStart w:id="493" w:name="_Toc497209118"/>
      <w:r>
        <w:lastRenderedPageBreak/>
        <w:t>Quantitative impact study</w:t>
      </w:r>
      <w:bookmarkEnd w:id="486"/>
      <w:bookmarkEnd w:id="487"/>
      <w:bookmarkEnd w:id="488"/>
      <w:bookmarkEnd w:id="489"/>
      <w:bookmarkEnd w:id="490"/>
      <w:bookmarkEnd w:id="491"/>
      <w:bookmarkEnd w:id="492"/>
    </w:p>
    <w:p w14:paraId="2B356C96" w14:textId="33EC90B4" w:rsidR="00B13126" w:rsidRPr="00B13126" w:rsidRDefault="00DE485C" w:rsidP="00734EB0">
      <w:pPr>
        <w:pStyle w:val="APRANORMAL"/>
        <w:rPr>
          <w:lang w:eastAsia="en-AU"/>
        </w:rPr>
      </w:pPr>
      <w:r>
        <w:rPr>
          <w:lang w:eastAsia="en-AU"/>
        </w:rPr>
        <w:t xml:space="preserve">To assess the impact of the proposals in this discussion paper, particularly for assessing the implications for meeting APRA’s unquestionably strong objectives, </w:t>
      </w:r>
      <w:r w:rsidR="00B13126" w:rsidRPr="00B13126">
        <w:rPr>
          <w:lang w:eastAsia="en-AU"/>
        </w:rPr>
        <w:t xml:space="preserve">APRA </w:t>
      </w:r>
      <w:r>
        <w:rPr>
          <w:lang w:eastAsia="en-AU"/>
        </w:rPr>
        <w:t>is</w:t>
      </w:r>
      <w:r w:rsidR="00B13126" w:rsidRPr="00B13126">
        <w:rPr>
          <w:lang w:eastAsia="en-AU"/>
        </w:rPr>
        <w:t xml:space="preserve"> undertaking a QIS</w:t>
      </w:r>
      <w:r w:rsidR="00A577B8">
        <w:rPr>
          <w:lang w:eastAsia="en-AU"/>
        </w:rPr>
        <w:t>.</w:t>
      </w:r>
      <w:r w:rsidR="00B13126" w:rsidRPr="00B13126">
        <w:rPr>
          <w:lang w:eastAsia="en-AU"/>
        </w:rPr>
        <w:t xml:space="preserve">  </w:t>
      </w:r>
    </w:p>
    <w:p w14:paraId="1D31A370" w14:textId="4B739E85" w:rsidR="00B13126" w:rsidRPr="00B13126" w:rsidRDefault="00B13126" w:rsidP="00BB0F24">
      <w:pPr>
        <w:pStyle w:val="APRANORMAL"/>
        <w:rPr>
          <w:rFonts w:ascii="Calibri" w:hAnsi="Calibri"/>
        </w:rPr>
      </w:pPr>
      <w:r w:rsidRPr="00B13126">
        <w:t xml:space="preserve">APRA </w:t>
      </w:r>
      <w:r w:rsidR="00745D79">
        <w:t>has</w:t>
      </w:r>
      <w:r w:rsidRPr="00B13126">
        <w:t xml:space="preserve"> notif</w:t>
      </w:r>
      <w:r w:rsidR="00745D79">
        <w:t>ied</w:t>
      </w:r>
      <w:r w:rsidRPr="00B13126">
        <w:t xml:space="preserve"> a sample of ADIs, including a range of different</w:t>
      </w:r>
      <w:r w:rsidR="005D2B50">
        <w:t>-</w:t>
      </w:r>
      <w:r w:rsidRPr="00B13126">
        <w:t>sized entities, to request participation in this exercise on a</w:t>
      </w:r>
      <w:r w:rsidR="00734EB0">
        <w:t xml:space="preserve"> ‘</w:t>
      </w:r>
      <w:r w:rsidRPr="00B13126">
        <w:t>best endeavours</w:t>
      </w:r>
      <w:r w:rsidR="00425292">
        <w:t>’</w:t>
      </w:r>
      <w:r w:rsidRPr="00B13126">
        <w:t xml:space="preserve"> basis. Other ADIs may </w:t>
      </w:r>
      <w:r w:rsidR="005D2B50">
        <w:t>also</w:t>
      </w:r>
      <w:r w:rsidRPr="00B13126">
        <w:t xml:space="preserve"> elect to contribute data to the exercise</w:t>
      </w:r>
      <w:r w:rsidR="00425292">
        <w:t xml:space="preserve"> by </w:t>
      </w:r>
      <w:r w:rsidRPr="00B13126">
        <w:t>contact</w:t>
      </w:r>
      <w:r w:rsidR="00425292">
        <w:t>ing</w:t>
      </w:r>
      <w:r w:rsidRPr="00B13126">
        <w:t xml:space="preserve"> their responsible supervisor</w:t>
      </w:r>
      <w:r w:rsidR="008B1A5A">
        <w:t>.</w:t>
      </w:r>
    </w:p>
    <w:p w14:paraId="0624A58B" w14:textId="68325A10" w:rsidR="00B13126" w:rsidRPr="00B13126" w:rsidRDefault="00B13126" w:rsidP="00BB0F24">
      <w:pPr>
        <w:pStyle w:val="APRANORMAL"/>
        <w:rPr>
          <w:rFonts w:ascii="Calibri" w:hAnsi="Calibri"/>
        </w:rPr>
      </w:pPr>
      <w:r w:rsidRPr="00B13126">
        <w:t xml:space="preserve">APRA will use the data to calibrate and adjust the proposals detailed in this discussion paper. Individual data submitted by ADIs will </w:t>
      </w:r>
      <w:r w:rsidR="005D2B50">
        <w:t>remain</w:t>
      </w:r>
      <w:r w:rsidRPr="00B13126">
        <w:t xml:space="preserve"> confidential. Future discussion papers </w:t>
      </w:r>
      <w:r w:rsidR="008B1A5A">
        <w:t>on Basel </w:t>
      </w:r>
      <w:r w:rsidR="00122789">
        <w:t>III</w:t>
      </w:r>
      <w:r w:rsidRPr="00B13126">
        <w:t xml:space="preserve"> may refer</w:t>
      </w:r>
      <w:r w:rsidR="00425292">
        <w:t xml:space="preserve"> to aggregate</w:t>
      </w:r>
      <w:r w:rsidRPr="00B13126">
        <w:t xml:space="preserve"> QIS results.</w:t>
      </w:r>
    </w:p>
    <w:p w14:paraId="2F941DA3" w14:textId="18F672B2" w:rsidR="00A24DCE" w:rsidRDefault="009E3636" w:rsidP="003E09E6">
      <w:pPr>
        <w:pStyle w:val="APRAHEADING2"/>
        <w:ind w:left="567" w:hanging="567"/>
      </w:pPr>
      <w:bookmarkStart w:id="494" w:name="_Toc500151974"/>
      <w:bookmarkStart w:id="495" w:name="_Toc505676440"/>
      <w:bookmarkStart w:id="496" w:name="_Toc505676532"/>
      <w:bookmarkStart w:id="497" w:name="_Toc505681604"/>
      <w:bookmarkStart w:id="498" w:name="_Toc505681786"/>
      <w:bookmarkStart w:id="499" w:name="_Toc505854730"/>
      <w:bookmarkStart w:id="500" w:name="_Toc506285830"/>
      <w:r>
        <w:t>Next steps and implementati</w:t>
      </w:r>
      <w:bookmarkEnd w:id="468"/>
      <w:bookmarkEnd w:id="469"/>
      <w:bookmarkEnd w:id="470"/>
      <w:bookmarkEnd w:id="471"/>
      <w:bookmarkEnd w:id="472"/>
      <w:bookmarkEnd w:id="483"/>
      <w:bookmarkEnd w:id="484"/>
      <w:r w:rsidR="00A24DCE">
        <w:t>on</w:t>
      </w:r>
      <w:bookmarkEnd w:id="493"/>
      <w:bookmarkEnd w:id="494"/>
      <w:bookmarkEnd w:id="495"/>
      <w:bookmarkEnd w:id="496"/>
      <w:bookmarkEnd w:id="497"/>
      <w:bookmarkEnd w:id="498"/>
      <w:bookmarkEnd w:id="499"/>
      <w:bookmarkEnd w:id="500"/>
    </w:p>
    <w:p w14:paraId="713A4400" w14:textId="1E005F4B" w:rsidR="00E011F4" w:rsidRPr="00441787" w:rsidRDefault="00F0239F" w:rsidP="00441787">
      <w:pPr>
        <w:pStyle w:val="APRANORMAL"/>
      </w:pPr>
      <w:r>
        <w:fldChar w:fldCharType="begin"/>
      </w:r>
      <w:r>
        <w:instrText xml:space="preserve"> REF _Ref505850441 \r \h </w:instrText>
      </w:r>
      <w:r>
        <w:fldChar w:fldCharType="separate"/>
      </w:r>
      <w:r w:rsidR="00EB1F7A">
        <w:t>Figure 2</w:t>
      </w:r>
      <w:r>
        <w:fldChar w:fldCharType="end"/>
      </w:r>
      <w:r>
        <w:t xml:space="preserve"> </w:t>
      </w:r>
      <w:r w:rsidR="00E34234" w:rsidRPr="00441787">
        <w:t>outlines the implementation time</w:t>
      </w:r>
      <w:r w:rsidR="009F1537" w:rsidRPr="00441787">
        <w:t>line</w:t>
      </w:r>
      <w:r w:rsidR="00E34234" w:rsidRPr="00441787">
        <w:t xml:space="preserve"> for the revised ADI capital framework. Subsequent to the </w:t>
      </w:r>
      <w:r w:rsidR="005535AD" w:rsidRPr="00441787">
        <w:t>receipt</w:t>
      </w:r>
      <w:r w:rsidR="00E34234" w:rsidRPr="00441787">
        <w:t xml:space="preserve"> of data from the QIS, APRA expects to release draft revised prudential standards on the standardised and IRB approaches to credit risk</w:t>
      </w:r>
      <w:r w:rsidR="003D4AB9" w:rsidRPr="00441787">
        <w:t xml:space="preserve"> and operational risk</w:t>
      </w:r>
      <w:r w:rsidR="00A370BE">
        <w:t xml:space="preserve"> later in 2018</w:t>
      </w:r>
      <w:r w:rsidR="00842F0D">
        <w:t>.</w:t>
      </w:r>
    </w:p>
    <w:p w14:paraId="76720D6B" w14:textId="49998D6E" w:rsidR="00E34234" w:rsidRDefault="00201E75" w:rsidP="00441787">
      <w:pPr>
        <w:pStyle w:val="APRANORMAL"/>
      </w:pPr>
      <w:r>
        <w:t>By mid-</w:t>
      </w:r>
      <w:r w:rsidR="00CA2380" w:rsidRPr="00441787">
        <w:t>2019</w:t>
      </w:r>
      <w:r w:rsidR="004040A4">
        <w:t>,</w:t>
      </w:r>
      <w:r w:rsidR="00CA2380" w:rsidRPr="00441787">
        <w:t xml:space="preserve"> APRA expects to release </w:t>
      </w:r>
      <w:r>
        <w:t xml:space="preserve">other draft prudential standards and </w:t>
      </w:r>
      <w:r w:rsidR="00CA2380" w:rsidRPr="00441787">
        <w:t xml:space="preserve">a response to submissions on the </w:t>
      </w:r>
      <w:r>
        <w:t>draft credit and operational risk prudential standards</w:t>
      </w:r>
      <w:r w:rsidR="00CA2380" w:rsidRPr="00441787">
        <w:t>.</w:t>
      </w:r>
      <w:r w:rsidR="00AF639D" w:rsidRPr="00441787">
        <w:t xml:space="preserve"> APRA will also consult on proposed changes to reporting standards to align with the prudential framework.</w:t>
      </w:r>
    </w:p>
    <w:p w14:paraId="4683EBB7" w14:textId="4D6AB9CD" w:rsidR="008F6E80" w:rsidRDefault="008F6E80" w:rsidP="00441787">
      <w:pPr>
        <w:pStyle w:val="APRANORMAL"/>
      </w:pPr>
    </w:p>
    <w:p w14:paraId="2A1A48E1" w14:textId="77777777" w:rsidR="008F6E80" w:rsidRDefault="008F6E80" w:rsidP="00441787">
      <w:pPr>
        <w:pStyle w:val="APRANORMAL"/>
      </w:pPr>
    </w:p>
    <w:p w14:paraId="336EF4D8" w14:textId="77777777" w:rsidR="005B7894" w:rsidRPr="008F6E80" w:rsidRDefault="00966BC1" w:rsidP="00F0239F">
      <w:pPr>
        <w:pStyle w:val="APRAFIGURE"/>
      </w:pPr>
      <w:bookmarkStart w:id="501" w:name="_Ref505850441"/>
      <w:r w:rsidRPr="008F6E80">
        <w:lastRenderedPageBreak/>
        <w:t>I</w:t>
      </w:r>
      <w:r w:rsidR="009F1537" w:rsidRPr="008F6E80">
        <w:t>mplementation timeline</w:t>
      </w:r>
    </w:p>
    <w:bookmarkEnd w:id="501"/>
    <w:p w14:paraId="5E300966" w14:textId="5E363126" w:rsidR="003123E6" w:rsidRDefault="003123E6" w:rsidP="009E3636">
      <w:pPr>
        <w:pStyle w:val="APRANORMAL"/>
        <w:rPr>
          <w:lang w:val="en-AU"/>
        </w:rPr>
      </w:pPr>
      <w:r w:rsidRPr="003123E6">
        <w:rPr>
          <w:noProof/>
          <w:lang w:val="en-AU" w:eastAsia="en-AU"/>
        </w:rPr>
        <w:drawing>
          <wp:inline distT="0" distB="0" distL="0" distR="0" wp14:anchorId="36ECF02C" wp14:editId="3F3137CB">
            <wp:extent cx="5724525" cy="2524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6F2EA360" w14:textId="673E0A35" w:rsidR="009E3636" w:rsidRDefault="009E3636" w:rsidP="009E3636">
      <w:pPr>
        <w:pStyle w:val="APRANORMAL"/>
        <w:rPr>
          <w:lang w:val="en-AU"/>
        </w:rPr>
      </w:pPr>
      <w:r>
        <w:rPr>
          <w:lang w:val="en-AU"/>
        </w:rPr>
        <w:t xml:space="preserve">In finalising the revised ADI capital framework, APRA will have regard to the Basel III implementation timetable. However, as indicated in </w:t>
      </w:r>
      <w:r w:rsidR="000C0C3F">
        <w:rPr>
          <w:lang w:val="en-AU"/>
        </w:rPr>
        <w:t xml:space="preserve">APRA’s information paper on establishing </w:t>
      </w:r>
      <w:r>
        <w:rPr>
          <w:lang w:val="en-AU"/>
        </w:rPr>
        <w:t xml:space="preserve">unquestionably strong </w:t>
      </w:r>
      <w:r w:rsidR="000C0C3F">
        <w:rPr>
          <w:lang w:val="en-AU"/>
        </w:rPr>
        <w:t>capital requirements</w:t>
      </w:r>
      <w:r>
        <w:rPr>
          <w:lang w:val="en-AU"/>
        </w:rPr>
        <w:t>, it is likely that the revised prudential requirements would commence from 1 January 2021.</w:t>
      </w:r>
    </w:p>
    <w:p w14:paraId="5173A2F3" w14:textId="4DE9305A" w:rsidR="00532B5B" w:rsidRDefault="00532B5B" w:rsidP="00532B5B">
      <w:pPr>
        <w:pStyle w:val="APRAHEAD-NONUMBER"/>
      </w:pPr>
      <w:bookmarkStart w:id="502" w:name="_Toc500151975"/>
      <w:bookmarkStart w:id="503" w:name="_Toc505676441"/>
      <w:bookmarkStart w:id="504" w:name="_Toc505676533"/>
      <w:bookmarkStart w:id="505" w:name="_Toc505681605"/>
      <w:bookmarkStart w:id="506" w:name="_Toc505681787"/>
      <w:bookmarkStart w:id="507" w:name="_Toc505854731"/>
      <w:bookmarkStart w:id="508" w:name="_Toc506285831"/>
      <w:bookmarkStart w:id="509" w:name="_Toc497209119"/>
      <w:r>
        <w:lastRenderedPageBreak/>
        <w:t xml:space="preserve">Attachment </w:t>
      </w:r>
      <w:r w:rsidR="008748B8">
        <w:t>A</w:t>
      </w:r>
      <w:r w:rsidR="00F9221D">
        <w:t xml:space="preserve"> - </w:t>
      </w:r>
      <w:r w:rsidR="008748B8">
        <w:t>Standardised credit proposals</w:t>
      </w:r>
      <w:bookmarkEnd w:id="502"/>
      <w:bookmarkEnd w:id="503"/>
      <w:bookmarkEnd w:id="504"/>
      <w:bookmarkEnd w:id="505"/>
      <w:bookmarkEnd w:id="506"/>
      <w:bookmarkEnd w:id="507"/>
      <w:bookmarkEnd w:id="508"/>
    </w:p>
    <w:p w14:paraId="54BF534A" w14:textId="24DD6B17" w:rsidR="00B1304D" w:rsidRDefault="00532B5B" w:rsidP="00532B5B">
      <w:pPr>
        <w:pStyle w:val="APRANORMAL"/>
      </w:pPr>
      <w:r>
        <w:t>The table</w:t>
      </w:r>
      <w:r w:rsidR="004A0D85">
        <w:t>s</w:t>
      </w:r>
      <w:r>
        <w:t xml:space="preserve"> </w:t>
      </w:r>
      <w:r w:rsidR="00B21A5E">
        <w:t xml:space="preserve">in this </w:t>
      </w:r>
      <w:r w:rsidR="00A53C1A">
        <w:t>A</w:t>
      </w:r>
      <w:r w:rsidR="00B21A5E">
        <w:t>ttachment</w:t>
      </w:r>
      <w:r>
        <w:t xml:space="preserve"> </w:t>
      </w:r>
      <w:r w:rsidR="008452EB">
        <w:t xml:space="preserve">provide a </w:t>
      </w:r>
      <w:r w:rsidR="00AA6595">
        <w:t xml:space="preserve">summary </w:t>
      </w:r>
      <w:r w:rsidR="008452EB">
        <w:t xml:space="preserve">of </w:t>
      </w:r>
      <w:r w:rsidR="00107C08">
        <w:t xml:space="preserve">key </w:t>
      </w:r>
      <w:r w:rsidR="008452EB">
        <w:t xml:space="preserve">risk weights </w:t>
      </w:r>
      <w:r w:rsidR="00C942B3">
        <w:t xml:space="preserve">and </w:t>
      </w:r>
      <w:r w:rsidR="00B97AB7">
        <w:t>CCFs</w:t>
      </w:r>
      <w:r w:rsidR="00C942B3">
        <w:t xml:space="preserve"> </w:t>
      </w:r>
      <w:r w:rsidR="00AA6595">
        <w:t>under</w:t>
      </w:r>
      <w:r w:rsidR="00B21A5E">
        <w:t xml:space="preserve"> the current APS 112</w:t>
      </w:r>
      <w:r w:rsidR="008B1A5A">
        <w:t>,</w:t>
      </w:r>
      <w:r w:rsidR="00B21A5E">
        <w:t xml:space="preserve"> </w:t>
      </w:r>
      <w:r w:rsidR="008452EB">
        <w:t xml:space="preserve">the </w:t>
      </w:r>
      <w:r w:rsidR="00B21A5E">
        <w:t xml:space="preserve">Basel III </w:t>
      </w:r>
      <w:r w:rsidR="00AA6595">
        <w:t>s</w:t>
      </w:r>
      <w:r w:rsidR="008452EB">
        <w:t>tandardised approach</w:t>
      </w:r>
      <w:r w:rsidR="00AA6595">
        <w:t xml:space="preserve"> to credit </w:t>
      </w:r>
      <w:r w:rsidR="007B6B53">
        <w:t>risk</w:t>
      </w:r>
      <w:r w:rsidR="008B1A5A">
        <w:t xml:space="preserve"> and </w:t>
      </w:r>
      <w:r w:rsidR="005D2B50">
        <w:t xml:space="preserve">those </w:t>
      </w:r>
      <w:r w:rsidR="008B1A5A">
        <w:t>proposed by APRA</w:t>
      </w:r>
      <w:r w:rsidR="007B6B53">
        <w:t>.</w:t>
      </w:r>
    </w:p>
    <w:p w14:paraId="3B134230" w14:textId="77777777" w:rsidR="00B1304D" w:rsidRDefault="00B21A5E" w:rsidP="00532B5B">
      <w:pPr>
        <w:pStyle w:val="APRANORMAL"/>
      </w:pPr>
      <w:r>
        <w:t>APRA</w:t>
      </w:r>
      <w:r w:rsidR="00A53C1A">
        <w:t>’s</w:t>
      </w:r>
      <w:r>
        <w:t xml:space="preserve"> proposed risk weights </w:t>
      </w:r>
      <w:r w:rsidR="00B97AB7">
        <w:t xml:space="preserve">and CCFs </w:t>
      </w:r>
      <w:r>
        <w:t>are indic</w:t>
      </w:r>
      <w:r w:rsidR="007B6B53">
        <w:t>a</w:t>
      </w:r>
      <w:r>
        <w:t xml:space="preserve">tive only and </w:t>
      </w:r>
      <w:r w:rsidR="007B6B53">
        <w:t xml:space="preserve">may be </w:t>
      </w:r>
      <w:r>
        <w:t xml:space="preserve">subject to change depending upon </w:t>
      </w:r>
      <w:r w:rsidR="007B6B53">
        <w:t>the results of the</w:t>
      </w:r>
      <w:r>
        <w:t xml:space="preserve"> QIS. </w:t>
      </w:r>
      <w:r w:rsidR="00054244">
        <w:t xml:space="preserve">In addition, the tables do not include all of the discretions that may be exercised by APRA under the standardised approach. </w:t>
      </w:r>
      <w:r w:rsidR="007B6B53">
        <w:t xml:space="preserve">APRA will undertake a full consultation on the revised </w:t>
      </w:r>
      <w:r w:rsidR="00D974CB">
        <w:t xml:space="preserve">APS 112 </w:t>
      </w:r>
      <w:r>
        <w:t xml:space="preserve">later </w:t>
      </w:r>
      <w:r w:rsidR="00692200">
        <w:t xml:space="preserve">this </w:t>
      </w:r>
      <w:r>
        <w:t>year</w:t>
      </w:r>
      <w:r w:rsidR="007B6B53">
        <w:t xml:space="preserve">. </w:t>
      </w:r>
    </w:p>
    <w:p w14:paraId="5C3F12BA" w14:textId="44C73A1F" w:rsidR="00532B5B" w:rsidRDefault="00AA6595" w:rsidP="00532B5B">
      <w:pPr>
        <w:pStyle w:val="APRANORMAL"/>
      </w:pPr>
      <w:r>
        <w:t xml:space="preserve">The Basel Committee </w:t>
      </w:r>
      <w:r w:rsidR="00135D45">
        <w:t xml:space="preserve">measures in </w:t>
      </w:r>
      <w:r w:rsidR="00135D45" w:rsidRPr="003E1593">
        <w:rPr>
          <w:i/>
        </w:rPr>
        <w:t>Basel III: Finalising post-crisis reforms</w:t>
      </w:r>
      <w:r w:rsidR="00135D45">
        <w:t xml:space="preserve"> </w:t>
      </w:r>
      <w:r>
        <w:t xml:space="preserve">should be </w:t>
      </w:r>
      <w:r w:rsidR="00B1304D">
        <w:t>consulted</w:t>
      </w:r>
      <w:r>
        <w:t xml:space="preserve"> for more detail on </w:t>
      </w:r>
      <w:r w:rsidR="007B6B53">
        <w:t>exposure de</w:t>
      </w:r>
      <w:r>
        <w:t>finitions.</w:t>
      </w:r>
      <w:r w:rsidR="00107C08">
        <w:t xml:space="preserve"> </w:t>
      </w:r>
      <w:r w:rsidR="00177A34">
        <w:t>Exposures types</w:t>
      </w:r>
      <w:r w:rsidR="00107C08">
        <w:t xml:space="preserve"> not included in the table</w:t>
      </w:r>
      <w:r w:rsidR="00F73AD7">
        <w:t>s</w:t>
      </w:r>
      <w:r w:rsidR="00107C08">
        <w:t xml:space="preserve"> below (e.g. cash, past due items) are unchanged from current levels.</w:t>
      </w:r>
    </w:p>
    <w:p w14:paraId="65C72191" w14:textId="319C56E7" w:rsidR="009240EA" w:rsidRDefault="009240EA" w:rsidP="0069461E">
      <w:pPr>
        <w:pStyle w:val="APRAHEADING3"/>
        <w:numPr>
          <w:ilvl w:val="0"/>
          <w:numId w:val="0"/>
        </w:numPr>
      </w:pPr>
      <w:bookmarkStart w:id="510" w:name="_ftnref10"/>
      <w:r>
        <w:t xml:space="preserve">Residential </w:t>
      </w:r>
      <w:r w:rsidR="007F3EDE">
        <w:t>property</w:t>
      </w:r>
      <w:r>
        <w:t xml:space="preserve"> exposures</w:t>
      </w:r>
    </w:p>
    <w:p w14:paraId="11042100" w14:textId="78E63CCF" w:rsidR="000C6D52" w:rsidRDefault="00B71853" w:rsidP="000C6D52">
      <w:pPr>
        <w:pStyle w:val="APRATABLE-NUMBER"/>
      </w:pPr>
      <w:r>
        <w:t xml:space="preserve">Owner-occupied principal and </w:t>
      </w:r>
      <w:r w:rsidRPr="008F6E80">
        <w:t>interest</w:t>
      </w:r>
    </w:p>
    <w:tbl>
      <w:tblPr>
        <w:tblStyle w:val="GridTable5Dark-Accent1"/>
        <w:tblW w:w="5050" w:type="pct"/>
        <w:jc w:val="center"/>
        <w:tblLayout w:type="fixed"/>
        <w:tblLook w:val="04A0" w:firstRow="1" w:lastRow="0" w:firstColumn="1" w:lastColumn="0" w:noHBand="0" w:noVBand="1"/>
      </w:tblPr>
      <w:tblGrid>
        <w:gridCol w:w="2405"/>
        <w:gridCol w:w="1116"/>
        <w:gridCol w:w="1117"/>
        <w:gridCol w:w="1117"/>
        <w:gridCol w:w="1117"/>
        <w:gridCol w:w="1117"/>
        <w:gridCol w:w="1117"/>
      </w:tblGrid>
      <w:tr w:rsidR="00821D51" w:rsidRPr="00637571" w14:paraId="4C289BC6" w14:textId="77777777" w:rsidTr="00A608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single" w:sz="4" w:space="0" w:color="FFFFFF" w:themeColor="background1"/>
            </w:tcBorders>
            <w:shd w:val="clear" w:color="auto" w:fill="002060"/>
            <w:vAlign w:val="bottom"/>
          </w:tcPr>
          <w:p w14:paraId="656A5C78" w14:textId="0E2CB093"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LVR</w:t>
            </w:r>
            <w:r w:rsidR="00D412BB">
              <w:rPr>
                <w:rFonts w:ascii="DIN OT Medium" w:hAnsi="DIN OT Medium"/>
                <w:b w:val="0"/>
                <w:sz w:val="20"/>
                <w:szCs w:val="20"/>
              </w:rPr>
              <w:br/>
            </w:r>
            <w:r>
              <w:rPr>
                <w:rFonts w:ascii="DIN OT Medium" w:hAnsi="DIN OT Medium"/>
                <w:b w:val="0"/>
                <w:sz w:val="20"/>
                <w:szCs w:val="20"/>
              </w:rPr>
              <w:t>%</w:t>
            </w:r>
          </w:p>
        </w:tc>
        <w:tc>
          <w:tcPr>
            <w:tcW w:w="2233" w:type="dxa"/>
            <w:gridSpan w:val="2"/>
            <w:tcBorders>
              <w:left w:val="single" w:sz="4" w:space="0" w:color="FFFFFF" w:themeColor="background1"/>
              <w:right w:val="single" w:sz="4" w:space="0" w:color="FFFFFF" w:themeColor="background1"/>
            </w:tcBorders>
            <w:shd w:val="clear" w:color="auto" w:fill="002060"/>
          </w:tcPr>
          <w:p w14:paraId="19205BB6" w14:textId="427B7DA5" w:rsidR="00821D51" w:rsidRPr="00637571" w:rsidRDefault="00821D51" w:rsidP="003E1DA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r>
              <w:rPr>
                <w:rStyle w:val="FootnoteReference"/>
                <w:b w:val="0"/>
                <w:szCs w:val="20"/>
              </w:rPr>
              <w:footnoteReference w:id="43"/>
            </w:r>
          </w:p>
        </w:tc>
        <w:tc>
          <w:tcPr>
            <w:tcW w:w="2234" w:type="dxa"/>
            <w:gridSpan w:val="2"/>
            <w:tcBorders>
              <w:left w:val="single" w:sz="4" w:space="0" w:color="FFFFFF" w:themeColor="background1"/>
              <w:right w:val="single" w:sz="4" w:space="0" w:color="FFFFFF" w:themeColor="background1"/>
            </w:tcBorders>
            <w:shd w:val="clear" w:color="auto" w:fill="002060"/>
          </w:tcPr>
          <w:p w14:paraId="38E6B387" w14:textId="54224FCA" w:rsidR="00821D51" w:rsidRDefault="00821D51" w:rsidP="003E1DA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 xml:space="preserve">III </w:t>
            </w:r>
            <w:r>
              <w:rPr>
                <w:rFonts w:ascii="DIN OT Medium" w:hAnsi="DIN OT Medium"/>
                <w:b w:val="0"/>
                <w:sz w:val="20"/>
                <w:szCs w:val="20"/>
              </w:rPr>
              <w:br/>
              <w:t>RW</w:t>
            </w:r>
            <w:r w:rsidRPr="00637571">
              <w:rPr>
                <w:rFonts w:ascii="DIN OT Medium" w:hAnsi="DIN OT Medium"/>
                <w:b w:val="0"/>
                <w:sz w:val="20"/>
                <w:szCs w:val="20"/>
              </w:rPr>
              <w:t xml:space="preserve"> </w:t>
            </w:r>
            <w:r>
              <w:rPr>
                <w:rFonts w:ascii="DIN OT Medium" w:hAnsi="DIN OT Medium"/>
                <w:b w:val="0"/>
                <w:sz w:val="20"/>
                <w:szCs w:val="20"/>
              </w:rPr>
              <w:br/>
              <w:t>%</w:t>
            </w:r>
            <w:r w:rsidR="00A462FA">
              <w:rPr>
                <w:rStyle w:val="FootnoteReference"/>
                <w:b w:val="0"/>
                <w:szCs w:val="20"/>
              </w:rPr>
              <w:footnoteReference w:id="44"/>
            </w:r>
          </w:p>
        </w:tc>
        <w:tc>
          <w:tcPr>
            <w:tcW w:w="2234" w:type="dxa"/>
            <w:gridSpan w:val="2"/>
            <w:tcBorders>
              <w:left w:val="single" w:sz="4" w:space="0" w:color="FFFFFF" w:themeColor="background1"/>
            </w:tcBorders>
            <w:shd w:val="clear" w:color="auto" w:fill="002060"/>
          </w:tcPr>
          <w:p w14:paraId="60418217" w14:textId="7E8E0C3C" w:rsidR="00821D51" w:rsidRPr="00637571" w:rsidRDefault="00821D51" w:rsidP="00A462F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Pr="00637571">
              <w:rPr>
                <w:rFonts w:ascii="DIN OT Medium" w:hAnsi="DIN OT Medium"/>
                <w:b w:val="0"/>
                <w:sz w:val="20"/>
                <w:szCs w:val="20"/>
              </w:rPr>
              <w:t>roposed</w:t>
            </w:r>
            <w:r>
              <w:rPr>
                <w:rFonts w:ascii="DIN OT Medium" w:hAnsi="DIN OT Medium"/>
                <w:b w:val="0"/>
                <w:sz w:val="20"/>
                <w:szCs w:val="20"/>
              </w:rPr>
              <w:t xml:space="preserve"> </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r>
      <w:tr w:rsidR="00821D51" w:rsidRPr="004211B2" w14:paraId="45CF78E1" w14:textId="77777777" w:rsidTr="00A60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il"/>
            </w:tcBorders>
            <w:shd w:val="clear" w:color="auto" w:fill="002060"/>
          </w:tcPr>
          <w:p w14:paraId="48726F03" w14:textId="77777777" w:rsidR="00821D51" w:rsidRDefault="00821D51" w:rsidP="003E1DAC">
            <w:pPr>
              <w:pStyle w:val="APRANORMAL"/>
              <w:spacing w:before="120" w:after="120"/>
              <w:rPr>
                <w:rFonts w:ascii="DIN OT Medium" w:hAnsi="DIN OT Medium"/>
                <w:b w:val="0"/>
                <w:sz w:val="20"/>
                <w:szCs w:val="20"/>
              </w:rPr>
            </w:pPr>
          </w:p>
        </w:tc>
        <w:tc>
          <w:tcPr>
            <w:tcW w:w="1116" w:type="dxa"/>
            <w:shd w:val="clear" w:color="auto" w:fill="D9D9D9" w:themeFill="background1" w:themeFillShade="D9"/>
          </w:tcPr>
          <w:p w14:paraId="69199690" w14:textId="4FBD4E8A"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15B1EF4D" w14:textId="57C673BE"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c>
          <w:tcPr>
            <w:tcW w:w="1117" w:type="dxa"/>
            <w:shd w:val="clear" w:color="auto" w:fill="D9D9D9" w:themeFill="background1" w:themeFillShade="D9"/>
          </w:tcPr>
          <w:p w14:paraId="66362068" w14:textId="28617ED9"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6A550BB4" w14:textId="0E8212E8"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c>
          <w:tcPr>
            <w:tcW w:w="1117" w:type="dxa"/>
            <w:shd w:val="clear" w:color="auto" w:fill="D9D9D9" w:themeFill="background1" w:themeFillShade="D9"/>
          </w:tcPr>
          <w:p w14:paraId="08BD1048" w14:textId="7056F876"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458621E7" w14:textId="267CB99F" w:rsidR="00821D51" w:rsidRPr="00A6083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r>
      <w:tr w:rsidR="00821D51" w:rsidRPr="004211B2" w14:paraId="7C742E58" w14:textId="77777777" w:rsidTr="00821D51">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4CECD897" w14:textId="4E7E1D84"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0-50</w:t>
            </w:r>
          </w:p>
        </w:tc>
        <w:tc>
          <w:tcPr>
            <w:tcW w:w="1116" w:type="dxa"/>
            <w:shd w:val="clear" w:color="auto" w:fill="F2F2F2" w:themeFill="background1" w:themeFillShade="F2"/>
          </w:tcPr>
          <w:p w14:paraId="353DF4A5" w14:textId="59ABDB92" w:rsidR="00821D51" w:rsidRPr="004211B2" w:rsidRDefault="00821D51"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6D857ABD" w14:textId="7DF3933C" w:rsidR="00821D51" w:rsidRPr="004211B2" w:rsidRDefault="00DF58E9"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24DF24FA" w14:textId="11500BF2"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117" w:type="dxa"/>
            <w:shd w:val="clear" w:color="auto" w:fill="F2F2F2" w:themeFill="background1" w:themeFillShade="F2"/>
          </w:tcPr>
          <w:p w14:paraId="60F702BC" w14:textId="46FFF3F1"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w:t>
            </w:r>
            <w:r w:rsidRPr="003E1DAC">
              <w:rPr>
                <w:sz w:val="20"/>
                <w:szCs w:val="20"/>
              </w:rPr>
              <w:t>cp</w:t>
            </w:r>
            <w:r w:rsidR="00DD6A71">
              <w:rPr>
                <w:rStyle w:val="FootnoteReference"/>
                <w:szCs w:val="20"/>
              </w:rPr>
              <w:footnoteReference w:id="45"/>
            </w:r>
          </w:p>
        </w:tc>
        <w:tc>
          <w:tcPr>
            <w:tcW w:w="1117" w:type="dxa"/>
            <w:shd w:val="clear" w:color="auto" w:fill="F2F2F2" w:themeFill="background1" w:themeFillShade="F2"/>
          </w:tcPr>
          <w:p w14:paraId="4DF36EC0" w14:textId="6A801DFD"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117" w:type="dxa"/>
            <w:shd w:val="clear" w:color="auto" w:fill="F2F2F2" w:themeFill="background1" w:themeFillShade="F2"/>
          </w:tcPr>
          <w:p w14:paraId="1F9A45CB" w14:textId="3F775212"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821D51" w:rsidRPr="004211B2" w14:paraId="19643D52" w14:textId="77777777" w:rsidTr="00821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1022EF9E" w14:textId="4233A487"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50.01-60</w:t>
            </w:r>
          </w:p>
        </w:tc>
        <w:tc>
          <w:tcPr>
            <w:tcW w:w="1116" w:type="dxa"/>
            <w:shd w:val="clear" w:color="auto" w:fill="F2F2F2" w:themeFill="background1" w:themeFillShade="F2"/>
          </w:tcPr>
          <w:p w14:paraId="274F2770" w14:textId="4F92658B" w:rsidR="00821D51" w:rsidRPr="004211B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26339263" w14:textId="4EF88A90" w:rsidR="00821D51" w:rsidRPr="004211B2" w:rsidRDefault="00DF58E9"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22A8BF84" w14:textId="510090E1"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117" w:type="dxa"/>
            <w:shd w:val="clear" w:color="auto" w:fill="F2F2F2" w:themeFill="background1" w:themeFillShade="F2"/>
          </w:tcPr>
          <w:p w14:paraId="10F39A97" w14:textId="53CDE436"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RWcp</w:t>
            </w:r>
          </w:p>
        </w:tc>
        <w:tc>
          <w:tcPr>
            <w:tcW w:w="1117" w:type="dxa"/>
            <w:shd w:val="clear" w:color="auto" w:fill="F2F2F2" w:themeFill="background1" w:themeFillShade="F2"/>
          </w:tcPr>
          <w:p w14:paraId="26BA81F1" w14:textId="79C46A64"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117" w:type="dxa"/>
            <w:shd w:val="clear" w:color="auto" w:fill="F2F2F2" w:themeFill="background1" w:themeFillShade="F2"/>
          </w:tcPr>
          <w:p w14:paraId="3EC7FDE6" w14:textId="04433461"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821D51" w:rsidRPr="004211B2" w14:paraId="574261DC" w14:textId="77777777" w:rsidTr="00821D51">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35912152" w14:textId="21D87941"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60.01-80</w:t>
            </w:r>
          </w:p>
        </w:tc>
        <w:tc>
          <w:tcPr>
            <w:tcW w:w="1116" w:type="dxa"/>
            <w:shd w:val="clear" w:color="auto" w:fill="F2F2F2" w:themeFill="background1" w:themeFillShade="F2"/>
          </w:tcPr>
          <w:p w14:paraId="1BB818EA" w14:textId="5FEB7511" w:rsidR="00821D51" w:rsidRPr="004211B2" w:rsidRDefault="00821D51"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0CE9A320" w14:textId="71071A34" w:rsidR="00821D51" w:rsidRPr="004211B2" w:rsidRDefault="00DF58E9"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00A07F7C" w14:textId="4405E663"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117" w:type="dxa"/>
            <w:shd w:val="clear" w:color="auto" w:fill="F2F2F2" w:themeFill="background1" w:themeFillShade="F2"/>
          </w:tcPr>
          <w:p w14:paraId="451D6860" w14:textId="1B019ACA"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RWcp</w:t>
            </w:r>
          </w:p>
        </w:tc>
        <w:tc>
          <w:tcPr>
            <w:tcW w:w="1117" w:type="dxa"/>
            <w:shd w:val="clear" w:color="auto" w:fill="F2F2F2" w:themeFill="background1" w:themeFillShade="F2"/>
          </w:tcPr>
          <w:p w14:paraId="15A9BB21" w14:textId="7C0AB913"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117" w:type="dxa"/>
            <w:shd w:val="clear" w:color="auto" w:fill="F2F2F2" w:themeFill="background1" w:themeFillShade="F2"/>
          </w:tcPr>
          <w:p w14:paraId="28476D8C" w14:textId="3D807920"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821D51" w:rsidRPr="004211B2" w14:paraId="79C2A78A" w14:textId="77777777" w:rsidTr="00821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28B11DA3" w14:textId="05F29E8F"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80.01-90</w:t>
            </w:r>
          </w:p>
        </w:tc>
        <w:tc>
          <w:tcPr>
            <w:tcW w:w="1116" w:type="dxa"/>
            <w:shd w:val="clear" w:color="auto" w:fill="F2F2F2" w:themeFill="background1" w:themeFillShade="F2"/>
          </w:tcPr>
          <w:p w14:paraId="2DCAB6CE" w14:textId="7B88F233" w:rsidR="00821D51" w:rsidRPr="004211B2" w:rsidRDefault="00821D51"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4A6F0E31" w14:textId="0A9BC719" w:rsidR="00821D51" w:rsidRPr="004211B2" w:rsidRDefault="00DF58E9"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54D3C657" w14:textId="04E7E640"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1117" w:type="dxa"/>
            <w:shd w:val="clear" w:color="auto" w:fill="F2F2F2" w:themeFill="background1" w:themeFillShade="F2"/>
          </w:tcPr>
          <w:p w14:paraId="122CA2A3" w14:textId="4C4C76CF"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RWcp</w:t>
            </w:r>
          </w:p>
        </w:tc>
        <w:tc>
          <w:tcPr>
            <w:tcW w:w="1117" w:type="dxa"/>
            <w:shd w:val="clear" w:color="auto" w:fill="F2F2F2" w:themeFill="background1" w:themeFillShade="F2"/>
          </w:tcPr>
          <w:p w14:paraId="6632E112" w14:textId="6B1049A8"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1117" w:type="dxa"/>
            <w:shd w:val="clear" w:color="auto" w:fill="F2F2F2" w:themeFill="background1" w:themeFillShade="F2"/>
          </w:tcPr>
          <w:p w14:paraId="5B6CD8B6" w14:textId="68A81954"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821D51" w:rsidRPr="004211B2" w14:paraId="554F8BC4" w14:textId="77777777" w:rsidTr="00821D51">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3BA248C7" w14:textId="3A4C4D34" w:rsidR="00821D51"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t>90.01-100</w:t>
            </w:r>
          </w:p>
        </w:tc>
        <w:tc>
          <w:tcPr>
            <w:tcW w:w="1116" w:type="dxa"/>
            <w:shd w:val="clear" w:color="auto" w:fill="F2F2F2" w:themeFill="background1" w:themeFillShade="F2"/>
          </w:tcPr>
          <w:p w14:paraId="5BCEC6A5" w14:textId="26BDC9E0" w:rsidR="00821D51" w:rsidRDefault="00821D51"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4F4F4703" w14:textId="67805654" w:rsidR="00821D51" w:rsidRPr="004211B2" w:rsidRDefault="00DF58E9"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26A7854E" w14:textId="736FA45F"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1198E382" w14:textId="5E8C5A9B"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RWcp</w:t>
            </w:r>
          </w:p>
        </w:tc>
        <w:tc>
          <w:tcPr>
            <w:tcW w:w="1117" w:type="dxa"/>
            <w:shd w:val="clear" w:color="auto" w:fill="F2F2F2" w:themeFill="background1" w:themeFillShade="F2"/>
          </w:tcPr>
          <w:p w14:paraId="7055E955" w14:textId="70414E6C"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03B1C141" w14:textId="0B698A6E" w:rsidR="00821D51" w:rsidRPr="004211B2" w:rsidRDefault="003E1DAC" w:rsidP="003E1DA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821D51" w:rsidRPr="004211B2" w14:paraId="6A9B4A32" w14:textId="77777777" w:rsidTr="00821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67B1BE09" w14:textId="60908076" w:rsidR="00821D51" w:rsidRPr="004211B2" w:rsidRDefault="00821D51" w:rsidP="003E1DAC">
            <w:pPr>
              <w:pStyle w:val="APRANORMAL"/>
              <w:spacing w:before="120" w:after="120"/>
              <w:rPr>
                <w:rFonts w:ascii="DIN OT Medium" w:hAnsi="DIN OT Medium"/>
                <w:b w:val="0"/>
                <w:sz w:val="20"/>
                <w:szCs w:val="20"/>
              </w:rPr>
            </w:pPr>
            <w:r>
              <w:rPr>
                <w:rFonts w:ascii="DIN OT Medium" w:hAnsi="DIN OT Medium"/>
                <w:b w:val="0"/>
                <w:sz w:val="20"/>
                <w:szCs w:val="20"/>
              </w:rPr>
              <w:lastRenderedPageBreak/>
              <w:t>&gt;100.01</w:t>
            </w:r>
          </w:p>
        </w:tc>
        <w:tc>
          <w:tcPr>
            <w:tcW w:w="1116" w:type="dxa"/>
            <w:shd w:val="clear" w:color="auto" w:fill="F2F2F2" w:themeFill="background1" w:themeFillShade="F2"/>
            <w:vAlign w:val="center"/>
          </w:tcPr>
          <w:p w14:paraId="28D44553" w14:textId="0BF01BDB" w:rsidR="00821D51" w:rsidRPr="004211B2" w:rsidRDefault="00DF58E9"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2D5B9E1E" w14:textId="5F462970" w:rsidR="00821D51" w:rsidRPr="004211B2" w:rsidRDefault="00DF58E9"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117" w:type="dxa"/>
            <w:shd w:val="clear" w:color="auto" w:fill="F2F2F2" w:themeFill="background1" w:themeFillShade="F2"/>
            <w:vAlign w:val="center"/>
          </w:tcPr>
          <w:p w14:paraId="727443C3" w14:textId="68965C98"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117" w:type="dxa"/>
            <w:shd w:val="clear" w:color="auto" w:fill="F2F2F2" w:themeFill="background1" w:themeFillShade="F2"/>
          </w:tcPr>
          <w:p w14:paraId="4DDA1332" w14:textId="3C9C6422"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RWcp</w:t>
            </w:r>
          </w:p>
        </w:tc>
        <w:tc>
          <w:tcPr>
            <w:tcW w:w="1117" w:type="dxa"/>
            <w:shd w:val="clear" w:color="auto" w:fill="F2F2F2" w:themeFill="background1" w:themeFillShade="F2"/>
          </w:tcPr>
          <w:p w14:paraId="3AF6A823" w14:textId="1669E920"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117" w:type="dxa"/>
            <w:shd w:val="clear" w:color="auto" w:fill="F2F2F2" w:themeFill="background1" w:themeFillShade="F2"/>
            <w:vAlign w:val="center"/>
          </w:tcPr>
          <w:p w14:paraId="71587C09" w14:textId="30FC051B" w:rsidR="00821D51" w:rsidRPr="004211B2" w:rsidRDefault="003E1DAC" w:rsidP="003E1DA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p w14:paraId="043A24E2" w14:textId="77777777" w:rsidR="009240EA" w:rsidRDefault="009240EA" w:rsidP="009240EA">
      <w:pPr>
        <w:pStyle w:val="APRANORMAL"/>
      </w:pPr>
    </w:p>
    <w:p w14:paraId="79257D0C" w14:textId="22A72B40" w:rsidR="00DD6A71" w:rsidRDefault="00B71853" w:rsidP="00DD6A71">
      <w:pPr>
        <w:pStyle w:val="APRATABLE-NUMBER"/>
      </w:pPr>
      <w:r>
        <w:t>Other exposures: investment, interest-only</w:t>
      </w:r>
      <w:r w:rsidR="00A462FA">
        <w:t>, SME secured by residential property</w:t>
      </w:r>
    </w:p>
    <w:tbl>
      <w:tblPr>
        <w:tblStyle w:val="GridTable5Dark-Accent1"/>
        <w:tblW w:w="5050" w:type="pct"/>
        <w:jc w:val="center"/>
        <w:tblLayout w:type="fixed"/>
        <w:tblLook w:val="04A0" w:firstRow="1" w:lastRow="0" w:firstColumn="1" w:lastColumn="0" w:noHBand="0" w:noVBand="1"/>
      </w:tblPr>
      <w:tblGrid>
        <w:gridCol w:w="2405"/>
        <w:gridCol w:w="1116"/>
        <w:gridCol w:w="1117"/>
        <w:gridCol w:w="1117"/>
        <w:gridCol w:w="1117"/>
        <w:gridCol w:w="1117"/>
        <w:gridCol w:w="1117"/>
      </w:tblGrid>
      <w:tr w:rsidR="00DD6A71" w:rsidRPr="00637571" w14:paraId="02967501" w14:textId="77777777" w:rsidTr="00A608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single" w:sz="4" w:space="0" w:color="FFFFFF" w:themeColor="background1"/>
            </w:tcBorders>
            <w:shd w:val="clear" w:color="auto" w:fill="002060"/>
            <w:vAlign w:val="bottom"/>
          </w:tcPr>
          <w:p w14:paraId="2CDF50F6" w14:textId="6253C320" w:rsidR="00DD6A71" w:rsidRPr="004211B2" w:rsidRDefault="00DD6A71" w:rsidP="00C6048F">
            <w:pPr>
              <w:pStyle w:val="APRANORMAL"/>
              <w:spacing w:before="120" w:after="120"/>
              <w:rPr>
                <w:rFonts w:ascii="DIN OT Medium" w:hAnsi="DIN OT Medium"/>
                <w:b w:val="0"/>
                <w:sz w:val="20"/>
                <w:szCs w:val="20"/>
              </w:rPr>
            </w:pPr>
            <w:r>
              <w:rPr>
                <w:rFonts w:ascii="DIN OT Medium" w:hAnsi="DIN OT Medium"/>
                <w:b w:val="0"/>
                <w:sz w:val="20"/>
                <w:szCs w:val="20"/>
              </w:rPr>
              <w:t>LVR</w:t>
            </w:r>
            <w:r w:rsidR="00A60832">
              <w:rPr>
                <w:rFonts w:ascii="DIN OT Medium" w:hAnsi="DIN OT Medium"/>
                <w:b w:val="0"/>
                <w:sz w:val="20"/>
                <w:szCs w:val="20"/>
              </w:rPr>
              <w:br/>
            </w:r>
            <w:r>
              <w:rPr>
                <w:rFonts w:ascii="DIN OT Medium" w:hAnsi="DIN OT Medium"/>
                <w:b w:val="0"/>
                <w:sz w:val="20"/>
                <w:szCs w:val="20"/>
              </w:rPr>
              <w:t>%</w:t>
            </w:r>
          </w:p>
        </w:tc>
        <w:tc>
          <w:tcPr>
            <w:tcW w:w="2233" w:type="dxa"/>
            <w:gridSpan w:val="2"/>
            <w:tcBorders>
              <w:left w:val="single" w:sz="4" w:space="0" w:color="FFFFFF" w:themeColor="background1"/>
              <w:right w:val="single" w:sz="4" w:space="0" w:color="FFFFFF" w:themeColor="background1"/>
            </w:tcBorders>
            <w:shd w:val="clear" w:color="auto" w:fill="002060"/>
          </w:tcPr>
          <w:p w14:paraId="0E31C63C" w14:textId="77777777" w:rsidR="00DD6A71" w:rsidRPr="00637571" w:rsidRDefault="00DD6A71" w:rsidP="00C6048F">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r>
              <w:rPr>
                <w:rStyle w:val="FootnoteReference"/>
                <w:b w:val="0"/>
                <w:szCs w:val="20"/>
              </w:rPr>
              <w:footnoteReference w:id="46"/>
            </w:r>
          </w:p>
        </w:tc>
        <w:tc>
          <w:tcPr>
            <w:tcW w:w="2234" w:type="dxa"/>
            <w:gridSpan w:val="2"/>
            <w:tcBorders>
              <w:left w:val="single" w:sz="4" w:space="0" w:color="FFFFFF" w:themeColor="background1"/>
              <w:right w:val="single" w:sz="4" w:space="0" w:color="FFFFFF" w:themeColor="background1"/>
            </w:tcBorders>
            <w:shd w:val="clear" w:color="auto" w:fill="002060"/>
          </w:tcPr>
          <w:p w14:paraId="268EAF9C" w14:textId="0752EA63" w:rsidR="00DD6A71" w:rsidRDefault="00DD6A71" w:rsidP="004C423D">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 xml:space="preserve">III </w:t>
            </w:r>
            <w:r>
              <w:rPr>
                <w:rFonts w:ascii="DIN OT Medium" w:hAnsi="DIN OT Medium"/>
                <w:b w:val="0"/>
                <w:sz w:val="20"/>
                <w:szCs w:val="20"/>
              </w:rPr>
              <w:br/>
              <w:t>RW</w:t>
            </w:r>
            <w:r w:rsidRPr="00637571">
              <w:rPr>
                <w:rFonts w:ascii="DIN OT Medium" w:hAnsi="DIN OT Medium"/>
                <w:b w:val="0"/>
                <w:sz w:val="20"/>
                <w:szCs w:val="20"/>
              </w:rPr>
              <w:t xml:space="preserve"> </w:t>
            </w:r>
            <w:r>
              <w:rPr>
                <w:rFonts w:ascii="DIN OT Medium" w:hAnsi="DIN OT Medium"/>
                <w:b w:val="0"/>
                <w:sz w:val="20"/>
                <w:szCs w:val="20"/>
              </w:rPr>
              <w:br/>
              <w:t>%</w:t>
            </w:r>
            <w:r w:rsidR="00A462FA">
              <w:rPr>
                <w:rStyle w:val="FootnoteReference"/>
                <w:b w:val="0"/>
                <w:szCs w:val="20"/>
              </w:rPr>
              <w:footnoteReference w:id="47"/>
            </w:r>
          </w:p>
        </w:tc>
        <w:tc>
          <w:tcPr>
            <w:tcW w:w="2234" w:type="dxa"/>
            <w:gridSpan w:val="2"/>
            <w:tcBorders>
              <w:left w:val="single" w:sz="4" w:space="0" w:color="FFFFFF" w:themeColor="background1"/>
            </w:tcBorders>
            <w:shd w:val="clear" w:color="auto" w:fill="002060"/>
          </w:tcPr>
          <w:p w14:paraId="4AF3B5E8" w14:textId="6963FFFA" w:rsidR="00DD6A71" w:rsidRPr="00637571" w:rsidRDefault="00DD6A71" w:rsidP="00A462F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Pr="00637571">
              <w:rPr>
                <w:rFonts w:ascii="DIN OT Medium" w:hAnsi="DIN OT Medium"/>
                <w:b w:val="0"/>
                <w:sz w:val="20"/>
                <w:szCs w:val="20"/>
              </w:rPr>
              <w:t>roposed</w:t>
            </w:r>
            <w:r>
              <w:rPr>
                <w:rFonts w:ascii="DIN OT Medium" w:hAnsi="DIN OT Medium"/>
                <w:b w:val="0"/>
                <w:sz w:val="20"/>
                <w:szCs w:val="20"/>
              </w:rPr>
              <w:t xml:space="preserve"> </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r>
      <w:tr w:rsidR="00DD6A71" w:rsidRPr="004211B2" w14:paraId="64D6B891" w14:textId="77777777" w:rsidTr="00A60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il"/>
            </w:tcBorders>
            <w:shd w:val="clear" w:color="auto" w:fill="002060"/>
          </w:tcPr>
          <w:p w14:paraId="6113542B" w14:textId="77777777" w:rsidR="00DD6A71" w:rsidRDefault="00DD6A71" w:rsidP="004C423D">
            <w:pPr>
              <w:pStyle w:val="APRANORMAL"/>
              <w:spacing w:before="120" w:after="120"/>
              <w:rPr>
                <w:rFonts w:ascii="DIN OT Medium" w:hAnsi="DIN OT Medium"/>
                <w:b w:val="0"/>
                <w:sz w:val="20"/>
                <w:szCs w:val="20"/>
              </w:rPr>
            </w:pPr>
          </w:p>
        </w:tc>
        <w:tc>
          <w:tcPr>
            <w:tcW w:w="1116" w:type="dxa"/>
            <w:shd w:val="clear" w:color="auto" w:fill="D9D9D9" w:themeFill="background1" w:themeFillShade="D9"/>
          </w:tcPr>
          <w:p w14:paraId="3D90E74A"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7B05E16A"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c>
          <w:tcPr>
            <w:tcW w:w="1117" w:type="dxa"/>
            <w:shd w:val="clear" w:color="auto" w:fill="D9D9D9" w:themeFill="background1" w:themeFillShade="D9"/>
          </w:tcPr>
          <w:p w14:paraId="2BA5900D"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099415F9"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c>
          <w:tcPr>
            <w:tcW w:w="1117" w:type="dxa"/>
            <w:shd w:val="clear" w:color="auto" w:fill="D9D9D9" w:themeFill="background1" w:themeFillShade="D9"/>
          </w:tcPr>
          <w:p w14:paraId="111B9D5E"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Std</w:t>
            </w:r>
          </w:p>
        </w:tc>
        <w:tc>
          <w:tcPr>
            <w:tcW w:w="1117" w:type="dxa"/>
            <w:shd w:val="clear" w:color="auto" w:fill="D9D9D9" w:themeFill="background1" w:themeFillShade="D9"/>
          </w:tcPr>
          <w:p w14:paraId="6B70E38E" w14:textId="77777777" w:rsidR="00DD6A71" w:rsidRPr="00A6083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A60832">
              <w:rPr>
                <w:rFonts w:ascii="DIN OT Medium" w:hAnsi="DIN OT Medium"/>
                <w:sz w:val="20"/>
                <w:szCs w:val="20"/>
              </w:rPr>
              <w:t>Non-std</w:t>
            </w:r>
          </w:p>
        </w:tc>
      </w:tr>
      <w:tr w:rsidR="00DD6A71" w:rsidRPr="004211B2" w14:paraId="6E2EB03E" w14:textId="77777777" w:rsidTr="004C423D">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1C7387CB" w14:textId="77777777" w:rsidR="00DD6A71" w:rsidRPr="004211B2"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0-50</w:t>
            </w:r>
          </w:p>
        </w:tc>
        <w:tc>
          <w:tcPr>
            <w:tcW w:w="1116" w:type="dxa"/>
            <w:shd w:val="clear" w:color="auto" w:fill="F2F2F2" w:themeFill="background1" w:themeFillShade="F2"/>
          </w:tcPr>
          <w:p w14:paraId="172D268E" w14:textId="4DC9B5F4"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3A2CC4B7" w14:textId="77777777"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628383FC" w14:textId="5973838D"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117" w:type="dxa"/>
            <w:shd w:val="clear" w:color="auto" w:fill="F2F2F2" w:themeFill="background1" w:themeFillShade="F2"/>
          </w:tcPr>
          <w:p w14:paraId="6A6B3CC7" w14:textId="2FCA1B67" w:rsidR="00DD6A71" w:rsidRPr="004211B2" w:rsidRDefault="003C4B7E"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2F077D27" w14:textId="3EA5081C" w:rsidR="00DD6A71" w:rsidRPr="004211B2" w:rsidRDefault="004A4E58"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117" w:type="dxa"/>
            <w:shd w:val="clear" w:color="auto" w:fill="F2F2F2" w:themeFill="background1" w:themeFillShade="F2"/>
          </w:tcPr>
          <w:p w14:paraId="4D59195C" w14:textId="25185F15" w:rsidR="00DD6A71" w:rsidRPr="004211B2" w:rsidRDefault="003C4B7E"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295214">
              <w:rPr>
                <w:sz w:val="20"/>
                <w:szCs w:val="20"/>
              </w:rPr>
              <w:t>00</w:t>
            </w:r>
          </w:p>
        </w:tc>
      </w:tr>
      <w:tr w:rsidR="00DD6A71" w:rsidRPr="004211B2" w14:paraId="1D70E25A" w14:textId="77777777" w:rsidTr="004C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102C21DA" w14:textId="77777777" w:rsidR="00DD6A71" w:rsidRPr="004211B2"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50.01-60</w:t>
            </w:r>
          </w:p>
        </w:tc>
        <w:tc>
          <w:tcPr>
            <w:tcW w:w="1116" w:type="dxa"/>
            <w:shd w:val="clear" w:color="auto" w:fill="F2F2F2" w:themeFill="background1" w:themeFillShade="F2"/>
          </w:tcPr>
          <w:p w14:paraId="081B6E42"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1F618716"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7B8817CD" w14:textId="42687D9B"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2F06183F" w14:textId="57C40736" w:rsidR="00DD6A71" w:rsidRPr="004211B2" w:rsidRDefault="003C4B7E"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17DCFDA2" w14:textId="784AF432" w:rsidR="00DD6A71" w:rsidRPr="004211B2" w:rsidRDefault="004A4E58"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13FAF40A" w14:textId="5D2D9407" w:rsidR="00DD6A71" w:rsidRPr="004211B2" w:rsidRDefault="00295214"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DD6A71" w:rsidRPr="004211B2" w14:paraId="1AAC52B6" w14:textId="77777777" w:rsidTr="004C423D">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0EA84B73" w14:textId="77777777" w:rsidR="00DD6A71" w:rsidRPr="004211B2"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60.01-80</w:t>
            </w:r>
          </w:p>
        </w:tc>
        <w:tc>
          <w:tcPr>
            <w:tcW w:w="1116" w:type="dxa"/>
            <w:shd w:val="clear" w:color="auto" w:fill="F2F2F2" w:themeFill="background1" w:themeFillShade="F2"/>
          </w:tcPr>
          <w:p w14:paraId="69632975" w14:textId="77777777"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1C3A4D91" w14:textId="77777777"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03BE61E9" w14:textId="5C1FFBFF"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117" w:type="dxa"/>
            <w:shd w:val="clear" w:color="auto" w:fill="F2F2F2" w:themeFill="background1" w:themeFillShade="F2"/>
          </w:tcPr>
          <w:p w14:paraId="39BEDDE5" w14:textId="1E58DEC8" w:rsidR="00DD6A71" w:rsidRPr="004211B2" w:rsidRDefault="003C4B7E"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6A536125" w14:textId="50B727E6" w:rsidR="00DD6A71" w:rsidRPr="004211B2" w:rsidRDefault="004A4E58"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117" w:type="dxa"/>
            <w:shd w:val="clear" w:color="auto" w:fill="F2F2F2" w:themeFill="background1" w:themeFillShade="F2"/>
          </w:tcPr>
          <w:p w14:paraId="1BC2C92C" w14:textId="51BB738D" w:rsidR="00DD6A71" w:rsidRPr="004211B2" w:rsidRDefault="00295214"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DD6A71" w:rsidRPr="004211B2" w14:paraId="3635DC92" w14:textId="77777777" w:rsidTr="004C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5FEDCCA8" w14:textId="77777777" w:rsidR="00DD6A71" w:rsidRPr="004211B2"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80.01-90</w:t>
            </w:r>
          </w:p>
        </w:tc>
        <w:tc>
          <w:tcPr>
            <w:tcW w:w="1116" w:type="dxa"/>
            <w:shd w:val="clear" w:color="auto" w:fill="F2F2F2" w:themeFill="background1" w:themeFillShade="F2"/>
          </w:tcPr>
          <w:p w14:paraId="40D1403E"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117" w:type="dxa"/>
            <w:shd w:val="clear" w:color="auto" w:fill="F2F2F2" w:themeFill="background1" w:themeFillShade="F2"/>
          </w:tcPr>
          <w:p w14:paraId="369A63FD"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5BFAB61A" w14:textId="46C4C503"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1117" w:type="dxa"/>
            <w:shd w:val="clear" w:color="auto" w:fill="F2F2F2" w:themeFill="background1" w:themeFillShade="F2"/>
          </w:tcPr>
          <w:p w14:paraId="3C28F171" w14:textId="0E13B3C6" w:rsidR="00DD6A71" w:rsidRPr="004211B2" w:rsidRDefault="003C4B7E"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09C34868" w14:textId="32247DC7" w:rsidR="00DD6A71" w:rsidRPr="004211B2" w:rsidRDefault="004A4E58"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1117" w:type="dxa"/>
            <w:shd w:val="clear" w:color="auto" w:fill="F2F2F2" w:themeFill="background1" w:themeFillShade="F2"/>
          </w:tcPr>
          <w:p w14:paraId="23BD74C8" w14:textId="188922FD" w:rsidR="00DD6A71" w:rsidRPr="004211B2" w:rsidRDefault="00295214"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DD6A71" w:rsidRPr="004211B2" w14:paraId="338E5C3F" w14:textId="77777777" w:rsidTr="004C423D">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4B5BA48E" w14:textId="77777777" w:rsidR="00DD6A71"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90.01-100</w:t>
            </w:r>
          </w:p>
        </w:tc>
        <w:tc>
          <w:tcPr>
            <w:tcW w:w="1116" w:type="dxa"/>
            <w:shd w:val="clear" w:color="auto" w:fill="F2F2F2" w:themeFill="background1" w:themeFillShade="F2"/>
          </w:tcPr>
          <w:p w14:paraId="15C4BB6C" w14:textId="77777777" w:rsidR="00DD6A71"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117" w:type="dxa"/>
            <w:shd w:val="clear" w:color="auto" w:fill="F2F2F2" w:themeFill="background1" w:themeFillShade="F2"/>
          </w:tcPr>
          <w:p w14:paraId="3756DDED" w14:textId="77777777"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1A8C8FB6" w14:textId="11F31CC1" w:rsidR="00DD6A71" w:rsidRPr="004211B2" w:rsidRDefault="00DD6A71"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1D71FEF4" w14:textId="6DD7186C" w:rsidR="00DD6A71" w:rsidRPr="004211B2" w:rsidRDefault="003C4B7E"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394E9535" w14:textId="601DD5A0" w:rsidR="00DD6A71" w:rsidRPr="004211B2" w:rsidRDefault="004A4E58"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16BEDF6F" w14:textId="5C60C94C" w:rsidR="00DD6A71" w:rsidRPr="004211B2" w:rsidRDefault="00295214" w:rsidP="004C423D">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DD6A71" w:rsidRPr="004211B2" w14:paraId="5ACD0A45" w14:textId="77777777" w:rsidTr="004C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002060"/>
          </w:tcPr>
          <w:p w14:paraId="7775BC31" w14:textId="77777777" w:rsidR="00DD6A71" w:rsidRPr="004211B2" w:rsidRDefault="00DD6A71" w:rsidP="004C423D">
            <w:pPr>
              <w:pStyle w:val="APRANORMAL"/>
              <w:spacing w:before="120" w:after="120"/>
              <w:rPr>
                <w:rFonts w:ascii="DIN OT Medium" w:hAnsi="DIN OT Medium"/>
                <w:b w:val="0"/>
                <w:sz w:val="20"/>
                <w:szCs w:val="20"/>
              </w:rPr>
            </w:pPr>
            <w:r>
              <w:rPr>
                <w:rFonts w:ascii="DIN OT Medium" w:hAnsi="DIN OT Medium"/>
                <w:b w:val="0"/>
                <w:sz w:val="20"/>
                <w:szCs w:val="20"/>
              </w:rPr>
              <w:t>&gt;100.01</w:t>
            </w:r>
          </w:p>
        </w:tc>
        <w:tc>
          <w:tcPr>
            <w:tcW w:w="1116" w:type="dxa"/>
            <w:shd w:val="clear" w:color="auto" w:fill="F2F2F2" w:themeFill="background1" w:themeFillShade="F2"/>
            <w:vAlign w:val="center"/>
          </w:tcPr>
          <w:p w14:paraId="7AC1A5CC"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117" w:type="dxa"/>
            <w:shd w:val="clear" w:color="auto" w:fill="F2F2F2" w:themeFill="background1" w:themeFillShade="F2"/>
          </w:tcPr>
          <w:p w14:paraId="72028901" w14:textId="77777777"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117" w:type="dxa"/>
            <w:shd w:val="clear" w:color="auto" w:fill="F2F2F2" w:themeFill="background1" w:themeFillShade="F2"/>
            <w:vAlign w:val="center"/>
          </w:tcPr>
          <w:p w14:paraId="664EDBFA" w14:textId="3A9EF8B0" w:rsidR="00DD6A71" w:rsidRPr="004211B2" w:rsidRDefault="00DD6A71"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1117" w:type="dxa"/>
            <w:shd w:val="clear" w:color="auto" w:fill="F2F2F2" w:themeFill="background1" w:themeFillShade="F2"/>
          </w:tcPr>
          <w:p w14:paraId="7A5A0652" w14:textId="3E3DBA2A" w:rsidR="00DD6A71" w:rsidRPr="004211B2" w:rsidRDefault="003C4B7E"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1117" w:type="dxa"/>
            <w:shd w:val="clear" w:color="auto" w:fill="F2F2F2" w:themeFill="background1" w:themeFillShade="F2"/>
          </w:tcPr>
          <w:p w14:paraId="6AB16555" w14:textId="7615CC0C" w:rsidR="00DD6A71" w:rsidRPr="004211B2" w:rsidRDefault="00295214"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1117" w:type="dxa"/>
            <w:shd w:val="clear" w:color="auto" w:fill="F2F2F2" w:themeFill="background1" w:themeFillShade="F2"/>
            <w:vAlign w:val="center"/>
          </w:tcPr>
          <w:p w14:paraId="32895D4C" w14:textId="6607468F" w:rsidR="00DD6A71" w:rsidRPr="004211B2" w:rsidRDefault="00295214" w:rsidP="004C423D">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p w14:paraId="070FD4DB" w14:textId="77777777" w:rsidR="00DD6A71" w:rsidRDefault="00DD6A71" w:rsidP="00DD6A71">
      <w:pPr>
        <w:pStyle w:val="APRANORMAL"/>
      </w:pPr>
    </w:p>
    <w:p w14:paraId="3AE468E0" w14:textId="139923C3" w:rsidR="009240EA" w:rsidRDefault="009240EA" w:rsidP="009240EA">
      <w:pPr>
        <w:pStyle w:val="APRAHEADING3"/>
        <w:numPr>
          <w:ilvl w:val="0"/>
          <w:numId w:val="0"/>
        </w:numPr>
        <w:ind w:left="851" w:hanging="851"/>
      </w:pPr>
      <w:r>
        <w:t xml:space="preserve">Commercial </w:t>
      </w:r>
      <w:r w:rsidR="007F3EDE">
        <w:t>property</w:t>
      </w:r>
      <w:r>
        <w:t xml:space="preserve"> exposures</w:t>
      </w:r>
    </w:p>
    <w:p w14:paraId="679831A3" w14:textId="77777777" w:rsidR="009240EA" w:rsidRDefault="009240EA" w:rsidP="00E359CC">
      <w:pPr>
        <w:pStyle w:val="APRATABLE-NUMBER"/>
      </w:pPr>
      <w:r>
        <w:t>Repayment is not materially dependent on cash flows generated by the property</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9240EA" w:rsidRPr="00637571" w14:paraId="60DE45E3" w14:textId="77777777" w:rsidTr="00A608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54B5395E" w14:textId="77777777" w:rsidR="009240EA" w:rsidRPr="004211B2" w:rsidRDefault="009240EA" w:rsidP="00E359CC">
            <w:pPr>
              <w:pStyle w:val="APRANORMAL"/>
              <w:keepNext/>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4766AE5A" w14:textId="77777777" w:rsidR="009240EA" w:rsidRPr="00637571" w:rsidRDefault="009240EA"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 xml:space="preserve">APS 112 </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493B9F6B" w14:textId="77777777" w:rsidR="009240EA" w:rsidRPr="00637571" w:rsidRDefault="009240EA"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III</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0F5F94DB" w14:textId="77777777" w:rsidR="009240EA" w:rsidRPr="00637571" w:rsidRDefault="009240EA"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Pr="00637571">
              <w:rPr>
                <w:rFonts w:ascii="DIN OT Medium" w:hAnsi="DIN OT Medium"/>
                <w:b w:val="0"/>
                <w:sz w:val="20"/>
                <w:szCs w:val="20"/>
              </w:rPr>
              <w:t xml:space="preserve">roposed </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r>
      <w:tr w:rsidR="009240EA" w:rsidRPr="004211B2" w14:paraId="551F3457" w14:textId="77777777" w:rsidTr="003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A2BF55F" w14:textId="77777777" w:rsidR="009240EA" w:rsidRPr="004211B2" w:rsidRDefault="009240EA" w:rsidP="00E359CC">
            <w:pPr>
              <w:pStyle w:val="APRANORMAL"/>
              <w:keepNext/>
              <w:spacing w:before="120" w:after="120"/>
              <w:rPr>
                <w:rFonts w:ascii="DIN OT Medium" w:hAnsi="DIN OT Medium"/>
                <w:b w:val="0"/>
                <w:sz w:val="20"/>
                <w:szCs w:val="20"/>
              </w:rPr>
            </w:pPr>
            <w:r>
              <w:rPr>
                <w:rFonts w:ascii="DIN OT Medium" w:hAnsi="DIN OT Medium"/>
                <w:b w:val="0"/>
                <w:sz w:val="20"/>
                <w:szCs w:val="20"/>
              </w:rPr>
              <w:t>LVR ≤ 60%</w:t>
            </w:r>
          </w:p>
        </w:tc>
        <w:tc>
          <w:tcPr>
            <w:tcW w:w="2249" w:type="dxa"/>
            <w:shd w:val="clear" w:color="auto" w:fill="F2F2F2" w:themeFill="background1" w:themeFillShade="F2"/>
          </w:tcPr>
          <w:p w14:paraId="13712A89" w14:textId="763F2FBF" w:rsidR="009240EA" w:rsidRPr="004211B2" w:rsidRDefault="00571515"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77798842" w14:textId="545AAAED" w:rsidR="009240EA" w:rsidRPr="004211B2" w:rsidRDefault="00DD6A71" w:rsidP="00731D31">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 (60, RW</w:t>
            </w:r>
            <w:r w:rsidR="00731D31">
              <w:rPr>
                <w:sz w:val="20"/>
                <w:szCs w:val="20"/>
              </w:rPr>
              <w:t>cp</w:t>
            </w:r>
            <w:r w:rsidR="004630CB">
              <w:rPr>
                <w:sz w:val="20"/>
                <w:szCs w:val="20"/>
              </w:rPr>
              <w:t>)</w:t>
            </w:r>
          </w:p>
        </w:tc>
        <w:tc>
          <w:tcPr>
            <w:tcW w:w="2249" w:type="dxa"/>
            <w:shd w:val="clear" w:color="auto" w:fill="F2F2F2" w:themeFill="background1" w:themeFillShade="F2"/>
          </w:tcPr>
          <w:p w14:paraId="0C6D388D" w14:textId="46F26B2A" w:rsidR="009240EA" w:rsidRPr="004211B2" w:rsidRDefault="009240EA" w:rsidP="004630CB">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 (60, RW</w:t>
            </w:r>
            <w:r w:rsidR="004630CB">
              <w:rPr>
                <w:sz w:val="20"/>
                <w:szCs w:val="20"/>
              </w:rPr>
              <w:t>cp</w:t>
            </w:r>
            <w:r>
              <w:rPr>
                <w:sz w:val="20"/>
                <w:szCs w:val="20"/>
              </w:rPr>
              <w:t>)</w:t>
            </w:r>
          </w:p>
        </w:tc>
      </w:tr>
      <w:tr w:rsidR="009240EA" w:rsidRPr="004211B2" w14:paraId="3D7A32EB" w14:textId="77777777" w:rsidTr="003E1DA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927D382" w14:textId="77777777" w:rsidR="009240EA" w:rsidRPr="004211B2" w:rsidRDefault="009240EA" w:rsidP="00E359CC">
            <w:pPr>
              <w:pStyle w:val="APRANORMAL"/>
              <w:keepNext/>
              <w:spacing w:before="120" w:after="120"/>
              <w:rPr>
                <w:rFonts w:ascii="DIN OT Medium" w:hAnsi="DIN OT Medium"/>
                <w:b w:val="0"/>
                <w:sz w:val="20"/>
                <w:szCs w:val="20"/>
              </w:rPr>
            </w:pPr>
            <w:r>
              <w:rPr>
                <w:rFonts w:ascii="DIN OT Medium" w:hAnsi="DIN OT Medium"/>
                <w:b w:val="0"/>
                <w:sz w:val="20"/>
                <w:szCs w:val="20"/>
              </w:rPr>
              <w:t>LVR &gt; 60%</w:t>
            </w:r>
          </w:p>
        </w:tc>
        <w:tc>
          <w:tcPr>
            <w:tcW w:w="2249" w:type="dxa"/>
            <w:shd w:val="clear" w:color="auto" w:fill="F2F2F2" w:themeFill="background1" w:themeFillShade="F2"/>
          </w:tcPr>
          <w:p w14:paraId="77E9FD43" w14:textId="7117BAE8" w:rsidR="009240EA" w:rsidRPr="004211B2" w:rsidRDefault="00571515"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66A5E7C7" w14:textId="69F3639E" w:rsidR="009240EA" w:rsidRPr="004211B2" w:rsidRDefault="009240EA" w:rsidP="00731D31">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w:t>
            </w:r>
            <w:r w:rsidR="00731D31">
              <w:rPr>
                <w:sz w:val="20"/>
                <w:szCs w:val="20"/>
              </w:rPr>
              <w:t>cp</w:t>
            </w:r>
          </w:p>
        </w:tc>
        <w:tc>
          <w:tcPr>
            <w:tcW w:w="2249" w:type="dxa"/>
            <w:shd w:val="clear" w:color="auto" w:fill="F2F2F2" w:themeFill="background1" w:themeFillShade="F2"/>
          </w:tcPr>
          <w:p w14:paraId="05B9A1A0" w14:textId="7AA1D5A4" w:rsidR="009240EA" w:rsidRPr="004211B2" w:rsidRDefault="009240EA"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004630CB">
              <w:rPr>
                <w:sz w:val="20"/>
                <w:szCs w:val="20"/>
              </w:rPr>
              <w:t>Wcp</w:t>
            </w:r>
          </w:p>
        </w:tc>
      </w:tr>
      <w:tr w:rsidR="00AD0D8D" w:rsidRPr="004211B2" w14:paraId="18FDE21D" w14:textId="77777777" w:rsidTr="003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5332641" w14:textId="3FB4CDE6" w:rsidR="00AD0D8D" w:rsidRDefault="00AD0D8D" w:rsidP="00E359CC">
            <w:pPr>
              <w:pStyle w:val="APRANORMAL"/>
              <w:keepNext/>
              <w:spacing w:before="120" w:after="120"/>
              <w:rPr>
                <w:rFonts w:ascii="DIN OT Medium" w:hAnsi="DIN OT Medium"/>
                <w:b w:val="0"/>
                <w:sz w:val="20"/>
                <w:szCs w:val="20"/>
              </w:rPr>
            </w:pPr>
            <w:r>
              <w:rPr>
                <w:rFonts w:ascii="DIN OT Medium" w:hAnsi="DIN OT Medium"/>
                <w:b w:val="0"/>
                <w:sz w:val="20"/>
                <w:szCs w:val="20"/>
              </w:rPr>
              <w:t>Non-standard</w:t>
            </w:r>
          </w:p>
        </w:tc>
        <w:tc>
          <w:tcPr>
            <w:tcW w:w="2249" w:type="dxa"/>
            <w:shd w:val="clear" w:color="auto" w:fill="F2F2F2" w:themeFill="background1" w:themeFillShade="F2"/>
          </w:tcPr>
          <w:p w14:paraId="364F4622" w14:textId="1A73B92B" w:rsidR="00AD0D8D" w:rsidRDefault="00AD0D8D"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1A425AE0" w14:textId="0BFA3861" w:rsidR="00AD0D8D" w:rsidRDefault="00AD0D8D" w:rsidP="00731D31">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RWcp</w:t>
            </w:r>
          </w:p>
        </w:tc>
        <w:tc>
          <w:tcPr>
            <w:tcW w:w="2249" w:type="dxa"/>
            <w:shd w:val="clear" w:color="auto" w:fill="F2F2F2" w:themeFill="background1" w:themeFillShade="F2"/>
          </w:tcPr>
          <w:p w14:paraId="7EA4F2A7" w14:textId="5783CD63" w:rsidR="00AD0D8D" w:rsidRDefault="00AD0D8D"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RWcp</w:t>
            </w:r>
          </w:p>
        </w:tc>
      </w:tr>
    </w:tbl>
    <w:p w14:paraId="14003944" w14:textId="77777777" w:rsidR="009240EA" w:rsidRDefault="009240EA" w:rsidP="009240EA">
      <w:pPr>
        <w:pStyle w:val="APRANORMAL"/>
      </w:pPr>
    </w:p>
    <w:p w14:paraId="67A19BA6" w14:textId="77777777" w:rsidR="009240EA" w:rsidRDefault="009240EA" w:rsidP="00AD7ED0">
      <w:pPr>
        <w:pStyle w:val="APRATABLE-NUMBER"/>
      </w:pPr>
      <w:r>
        <w:lastRenderedPageBreak/>
        <w:t>Repayment is materially dependent on cash flows generated by the property</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9240EA" w:rsidRPr="00637571" w14:paraId="1AE72C81" w14:textId="77777777" w:rsidTr="00F25D0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3DDD271E" w14:textId="77777777" w:rsidR="009240EA" w:rsidRPr="004211B2" w:rsidRDefault="009240EA" w:rsidP="00AD7ED0">
            <w:pPr>
              <w:pStyle w:val="APRANORMAL"/>
              <w:keepNext/>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68326E61" w14:textId="77777777" w:rsidR="009240EA" w:rsidRPr="00637571" w:rsidRDefault="009240EA" w:rsidP="00AD7ED0">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71C18030" w14:textId="0FD3F88A" w:rsidR="009240EA" w:rsidRPr="00637571" w:rsidRDefault="009240EA" w:rsidP="005E5959">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III</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275FA26E" w14:textId="77777777" w:rsidR="009240EA" w:rsidRPr="00637571" w:rsidRDefault="009240EA" w:rsidP="00AD7ED0">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r>
      <w:tr w:rsidR="009240EA" w:rsidRPr="004211B2" w14:paraId="254041FC" w14:textId="77777777" w:rsidTr="003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1A322D6" w14:textId="77777777" w:rsidR="009240EA" w:rsidRPr="004211B2" w:rsidRDefault="009240EA" w:rsidP="00AD7ED0">
            <w:pPr>
              <w:pStyle w:val="APRANORMAL"/>
              <w:keepNext/>
              <w:spacing w:before="120" w:after="120"/>
              <w:rPr>
                <w:rFonts w:ascii="DIN OT Medium" w:hAnsi="DIN OT Medium"/>
                <w:b w:val="0"/>
                <w:sz w:val="20"/>
                <w:szCs w:val="20"/>
              </w:rPr>
            </w:pPr>
            <w:r>
              <w:rPr>
                <w:rFonts w:ascii="DIN OT Medium" w:hAnsi="DIN OT Medium"/>
                <w:b w:val="0"/>
                <w:sz w:val="20"/>
                <w:szCs w:val="20"/>
              </w:rPr>
              <w:t>LVR ≤ 60%</w:t>
            </w:r>
          </w:p>
        </w:tc>
        <w:tc>
          <w:tcPr>
            <w:tcW w:w="2249" w:type="dxa"/>
            <w:shd w:val="clear" w:color="auto" w:fill="F2F2F2" w:themeFill="background1" w:themeFillShade="F2"/>
          </w:tcPr>
          <w:p w14:paraId="5A7C3AA4" w14:textId="4B002F14" w:rsidR="009240EA" w:rsidRPr="004211B2" w:rsidRDefault="00571515"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6AE289AE" w14:textId="77777777" w:rsidR="009240EA" w:rsidRPr="004211B2" w:rsidRDefault="009240EA"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2249" w:type="dxa"/>
            <w:shd w:val="clear" w:color="auto" w:fill="F2F2F2" w:themeFill="background1" w:themeFillShade="F2"/>
          </w:tcPr>
          <w:p w14:paraId="0FC8CBD4" w14:textId="77777777" w:rsidR="009240EA" w:rsidRPr="004211B2" w:rsidRDefault="009240EA"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r>
      <w:tr w:rsidR="009240EA" w:rsidRPr="004211B2" w14:paraId="5020738E" w14:textId="77777777" w:rsidTr="003E1DA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D301C57" w14:textId="77777777" w:rsidR="009240EA" w:rsidRDefault="009240EA" w:rsidP="00AD7ED0">
            <w:pPr>
              <w:pStyle w:val="APRANORMAL"/>
              <w:keepNext/>
              <w:spacing w:before="120" w:after="120"/>
              <w:rPr>
                <w:rFonts w:ascii="DIN OT Medium" w:hAnsi="DIN OT Medium"/>
                <w:b w:val="0"/>
                <w:sz w:val="20"/>
                <w:szCs w:val="20"/>
              </w:rPr>
            </w:pPr>
            <w:r>
              <w:rPr>
                <w:rFonts w:ascii="DIN OT Medium" w:hAnsi="DIN OT Medium"/>
                <w:b w:val="0"/>
                <w:sz w:val="20"/>
                <w:szCs w:val="20"/>
              </w:rPr>
              <w:t>60% &lt; LVR ≤ 80%</w:t>
            </w:r>
          </w:p>
        </w:tc>
        <w:tc>
          <w:tcPr>
            <w:tcW w:w="2249" w:type="dxa"/>
            <w:shd w:val="clear" w:color="auto" w:fill="F2F2F2" w:themeFill="background1" w:themeFillShade="F2"/>
          </w:tcPr>
          <w:p w14:paraId="29BC0D7F" w14:textId="611AEF7A" w:rsidR="009240EA" w:rsidRDefault="00571515"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2E5E9D73" w14:textId="77777777" w:rsidR="009240EA" w:rsidRPr="004211B2" w:rsidRDefault="009240EA"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2249" w:type="dxa"/>
            <w:shd w:val="clear" w:color="auto" w:fill="F2F2F2" w:themeFill="background1" w:themeFillShade="F2"/>
          </w:tcPr>
          <w:p w14:paraId="7ECB1639" w14:textId="77777777" w:rsidR="009240EA" w:rsidRPr="004211B2" w:rsidRDefault="009240EA"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r>
      <w:tr w:rsidR="009240EA" w:rsidRPr="004211B2" w14:paraId="1ACD031E" w14:textId="77777777" w:rsidTr="003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07FDE954" w14:textId="77777777" w:rsidR="009240EA" w:rsidRDefault="009240EA" w:rsidP="00AD7ED0">
            <w:pPr>
              <w:pStyle w:val="APRANORMAL"/>
              <w:keepNext/>
              <w:spacing w:before="120" w:after="120"/>
              <w:rPr>
                <w:rFonts w:ascii="DIN OT Medium" w:hAnsi="DIN OT Medium"/>
                <w:b w:val="0"/>
                <w:sz w:val="20"/>
                <w:szCs w:val="20"/>
              </w:rPr>
            </w:pPr>
            <w:r>
              <w:rPr>
                <w:rFonts w:ascii="DIN OT Medium" w:hAnsi="DIN OT Medium"/>
                <w:b w:val="0"/>
                <w:sz w:val="20"/>
                <w:szCs w:val="20"/>
              </w:rPr>
              <w:t>LVR &gt; 80%</w:t>
            </w:r>
          </w:p>
        </w:tc>
        <w:tc>
          <w:tcPr>
            <w:tcW w:w="2249" w:type="dxa"/>
            <w:shd w:val="clear" w:color="auto" w:fill="F2F2F2" w:themeFill="background1" w:themeFillShade="F2"/>
          </w:tcPr>
          <w:p w14:paraId="32ECEDB8" w14:textId="47A3A3C0" w:rsidR="009240EA" w:rsidRDefault="004630CB"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46687A25" w14:textId="77777777" w:rsidR="009240EA" w:rsidRPr="004211B2" w:rsidRDefault="009240EA"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c>
          <w:tcPr>
            <w:tcW w:w="2249" w:type="dxa"/>
            <w:shd w:val="clear" w:color="auto" w:fill="F2F2F2" w:themeFill="background1" w:themeFillShade="F2"/>
          </w:tcPr>
          <w:p w14:paraId="3122B02A" w14:textId="77777777" w:rsidR="009240EA" w:rsidRPr="004211B2" w:rsidRDefault="009240EA" w:rsidP="00AD7ED0">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r>
      <w:tr w:rsidR="009240EA" w:rsidRPr="004211B2" w14:paraId="18D61F9B" w14:textId="77777777" w:rsidTr="003E1DA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5FD50CB" w14:textId="77777777" w:rsidR="009240EA" w:rsidRPr="004211B2" w:rsidRDefault="009240EA" w:rsidP="00AD7ED0">
            <w:pPr>
              <w:pStyle w:val="APRANORMAL"/>
              <w:keepNext/>
              <w:spacing w:before="120" w:after="120"/>
              <w:rPr>
                <w:rFonts w:ascii="DIN OT Medium" w:hAnsi="DIN OT Medium"/>
                <w:b w:val="0"/>
                <w:sz w:val="20"/>
                <w:szCs w:val="20"/>
              </w:rPr>
            </w:pPr>
            <w:r>
              <w:rPr>
                <w:rFonts w:ascii="DIN OT Medium" w:hAnsi="DIN OT Medium"/>
                <w:b w:val="0"/>
                <w:sz w:val="20"/>
                <w:szCs w:val="20"/>
              </w:rPr>
              <w:t>Non-standard</w:t>
            </w:r>
          </w:p>
        </w:tc>
        <w:tc>
          <w:tcPr>
            <w:tcW w:w="2249" w:type="dxa"/>
            <w:shd w:val="clear" w:color="auto" w:fill="F2F2F2" w:themeFill="background1" w:themeFillShade="F2"/>
          </w:tcPr>
          <w:p w14:paraId="22114CBF" w14:textId="77777777" w:rsidR="009240EA" w:rsidRPr="004211B2" w:rsidRDefault="009240EA"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0CB9FC6E" w14:textId="77777777" w:rsidR="009240EA" w:rsidRPr="004211B2" w:rsidRDefault="009240EA"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5615AE8C" w14:textId="77777777" w:rsidR="009240EA" w:rsidRPr="004211B2" w:rsidRDefault="009240EA" w:rsidP="00AD7ED0">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r>
    </w:tbl>
    <w:p w14:paraId="051381EA" w14:textId="18C95EDE" w:rsidR="009240EA" w:rsidRDefault="009240EA" w:rsidP="009240EA">
      <w:pPr>
        <w:pStyle w:val="APRATABLE-NUMBER"/>
      </w:pPr>
      <w:r>
        <w:t>Land acquisition, development and construction exposures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9240EA" w:rsidRPr="00637571" w14:paraId="4361C0A3"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586BB1AB" w14:textId="77777777" w:rsidR="009240EA" w:rsidRPr="004211B2" w:rsidRDefault="009240EA" w:rsidP="003E1DAC">
            <w:pPr>
              <w:pStyle w:val="APRANORMAL"/>
              <w:keepNext/>
              <w:keepLines/>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368BC7C9" w14:textId="77777777" w:rsidR="009240EA" w:rsidRPr="00637571" w:rsidRDefault="009240EA" w:rsidP="003E1DAC">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APS 112 </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2B7C3B9E" w14:textId="77777777" w:rsidR="009240EA" w:rsidRPr="00637571" w:rsidRDefault="009240EA" w:rsidP="003E1DAC">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III</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5807EED2" w14:textId="77777777" w:rsidR="009240EA" w:rsidRPr="00637571" w:rsidRDefault="009240EA" w:rsidP="003E1DAC">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Pr="00637571">
              <w:rPr>
                <w:rFonts w:ascii="DIN OT Medium" w:hAnsi="DIN OT Medium"/>
                <w:b w:val="0"/>
                <w:sz w:val="20"/>
                <w:szCs w:val="20"/>
              </w:rPr>
              <w:t>%</w:t>
            </w:r>
          </w:p>
        </w:tc>
      </w:tr>
      <w:tr w:rsidR="009240EA" w:rsidRPr="004211B2" w14:paraId="2D5654EA" w14:textId="77777777" w:rsidTr="003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827F898" w14:textId="4D2F313A" w:rsidR="009240EA" w:rsidRPr="004211B2" w:rsidRDefault="009240EA" w:rsidP="003E1DAC">
            <w:pPr>
              <w:pStyle w:val="APRANORMAL"/>
              <w:keepNext/>
              <w:keepLines/>
              <w:spacing w:before="120" w:after="120"/>
              <w:rPr>
                <w:rFonts w:ascii="DIN OT Medium" w:hAnsi="DIN OT Medium"/>
                <w:b w:val="0"/>
                <w:sz w:val="20"/>
                <w:szCs w:val="20"/>
              </w:rPr>
            </w:pPr>
            <w:r>
              <w:rPr>
                <w:rFonts w:ascii="DIN OT Medium" w:hAnsi="DIN OT Medium"/>
                <w:b w:val="0"/>
                <w:sz w:val="20"/>
                <w:szCs w:val="20"/>
              </w:rPr>
              <w:t xml:space="preserve">Residential </w:t>
            </w:r>
            <w:r w:rsidR="007F3EDE">
              <w:rPr>
                <w:rFonts w:ascii="DIN OT Medium" w:hAnsi="DIN OT Medium"/>
                <w:b w:val="0"/>
                <w:sz w:val="20"/>
                <w:szCs w:val="20"/>
              </w:rPr>
              <w:t>property</w:t>
            </w:r>
            <w:r>
              <w:rPr>
                <w:rFonts w:ascii="DIN OT Medium" w:hAnsi="DIN OT Medium"/>
                <w:b w:val="0"/>
                <w:sz w:val="20"/>
                <w:szCs w:val="20"/>
              </w:rPr>
              <w:t xml:space="preserve"> </w:t>
            </w:r>
            <w:r w:rsidR="00E359CC">
              <w:rPr>
                <w:rFonts w:ascii="DIN OT Medium" w:hAnsi="DIN OT Medium"/>
                <w:b w:val="0"/>
                <w:sz w:val="20"/>
                <w:szCs w:val="20"/>
              </w:rPr>
              <w:t xml:space="preserve"> - </w:t>
            </w:r>
            <w:r>
              <w:rPr>
                <w:rFonts w:ascii="DIN OT Medium" w:hAnsi="DIN OT Medium"/>
                <w:b w:val="0"/>
                <w:sz w:val="20"/>
                <w:szCs w:val="20"/>
              </w:rPr>
              <w:t>significant presales or substantial equity at risk</w:t>
            </w:r>
          </w:p>
        </w:tc>
        <w:tc>
          <w:tcPr>
            <w:tcW w:w="2249" w:type="dxa"/>
            <w:shd w:val="clear" w:color="auto" w:fill="F2F2F2" w:themeFill="background1" w:themeFillShade="F2"/>
            <w:vAlign w:val="center"/>
          </w:tcPr>
          <w:p w14:paraId="5078AEB8" w14:textId="6161F3A9" w:rsidR="009240EA" w:rsidRPr="004211B2" w:rsidRDefault="00EA64A6" w:rsidP="003E1DAC">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0D397F8" w14:textId="77777777" w:rsidR="009240EA" w:rsidRPr="004211B2" w:rsidRDefault="009240EA" w:rsidP="003E1DAC">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1079D7BE" w14:textId="77777777" w:rsidR="009240EA" w:rsidRPr="004211B2" w:rsidRDefault="009240EA" w:rsidP="003E1DAC">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9240EA" w:rsidRPr="004211B2" w14:paraId="6B3EEEC1" w14:textId="77777777" w:rsidTr="003E1DA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4045405" w14:textId="77777777" w:rsidR="009240EA" w:rsidRPr="004211B2" w:rsidRDefault="009240EA" w:rsidP="003E1DAC">
            <w:pPr>
              <w:pStyle w:val="APRANORMAL"/>
              <w:keepNext/>
              <w:keepLines/>
              <w:spacing w:before="120" w:after="120"/>
              <w:rPr>
                <w:rFonts w:ascii="DIN OT Medium" w:hAnsi="DIN OT Medium"/>
                <w:b w:val="0"/>
                <w:sz w:val="20"/>
                <w:szCs w:val="20"/>
              </w:rPr>
            </w:pPr>
            <w:r>
              <w:rPr>
                <w:rFonts w:ascii="DIN OT Medium" w:hAnsi="DIN OT Medium"/>
                <w:b w:val="0"/>
                <w:sz w:val="20"/>
                <w:szCs w:val="20"/>
              </w:rPr>
              <w:t>Other</w:t>
            </w:r>
          </w:p>
        </w:tc>
        <w:tc>
          <w:tcPr>
            <w:tcW w:w="2249" w:type="dxa"/>
            <w:shd w:val="clear" w:color="auto" w:fill="F2F2F2" w:themeFill="background1" w:themeFillShade="F2"/>
            <w:vAlign w:val="center"/>
          </w:tcPr>
          <w:p w14:paraId="15183ACE" w14:textId="05CD7A28" w:rsidR="009240EA" w:rsidRPr="004211B2" w:rsidRDefault="00EA64A6" w:rsidP="003E1DAC">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D94B565" w14:textId="77777777" w:rsidR="009240EA" w:rsidRPr="004211B2" w:rsidRDefault="009240EA" w:rsidP="003E1DAC">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vAlign w:val="center"/>
          </w:tcPr>
          <w:p w14:paraId="2CFFC540" w14:textId="77777777" w:rsidR="009240EA" w:rsidRPr="004211B2" w:rsidRDefault="009240EA" w:rsidP="003E1DAC">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r>
    </w:tbl>
    <w:p w14:paraId="1613F7FD" w14:textId="59EFB5A7" w:rsidR="0069461E" w:rsidRDefault="0069461E" w:rsidP="00E359CC">
      <w:pPr>
        <w:pStyle w:val="APRAHEADING3"/>
        <w:numPr>
          <w:ilvl w:val="0"/>
          <w:numId w:val="0"/>
        </w:numPr>
      </w:pPr>
      <w:r>
        <w:t>Corporate exposures</w:t>
      </w:r>
    </w:p>
    <w:p w14:paraId="171D5CF6" w14:textId="77777777" w:rsidR="0069461E" w:rsidRDefault="0069461E" w:rsidP="00E359CC">
      <w:pPr>
        <w:pStyle w:val="APRATABLE-NUMBER"/>
      </w:pPr>
      <w:bookmarkStart w:id="511" w:name="_Ref502740158"/>
      <w:r>
        <w:t>Corporate exposures, excluding specialised lending</w:t>
      </w:r>
      <w:bookmarkEnd w:id="511"/>
    </w:p>
    <w:tbl>
      <w:tblPr>
        <w:tblStyle w:val="GridTable5Dark-Accent1"/>
        <w:tblW w:w="5000" w:type="pct"/>
        <w:jc w:val="center"/>
        <w:tblLook w:val="04A0" w:firstRow="1" w:lastRow="0" w:firstColumn="1" w:lastColumn="0" w:noHBand="0" w:noVBand="1"/>
      </w:tblPr>
      <w:tblGrid>
        <w:gridCol w:w="2269"/>
        <w:gridCol w:w="2249"/>
        <w:gridCol w:w="2249"/>
        <w:gridCol w:w="2249"/>
      </w:tblGrid>
      <w:tr w:rsidR="0069461E" w:rsidRPr="00637571" w14:paraId="47176DF3"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5C83F7BF" w14:textId="7E7E24E6" w:rsidR="0069461E" w:rsidRPr="004211B2" w:rsidRDefault="00B23107" w:rsidP="00E359CC">
            <w:pPr>
              <w:pStyle w:val="APRANORMAL"/>
              <w:keepNext/>
              <w:spacing w:before="120" w:after="120"/>
              <w:rPr>
                <w:rFonts w:ascii="DIN OT Medium" w:hAnsi="DIN OT Medium"/>
                <w:b w:val="0"/>
                <w:sz w:val="20"/>
                <w:szCs w:val="20"/>
              </w:rPr>
            </w:pPr>
            <w:r>
              <w:rPr>
                <w:rFonts w:ascii="DIN OT Medium" w:hAnsi="DIN OT Medium"/>
                <w:b w:val="0"/>
                <w:sz w:val="20"/>
                <w:szCs w:val="20"/>
              </w:rPr>
              <w:lastRenderedPageBreak/>
              <w:t xml:space="preserve">Credit </w:t>
            </w:r>
            <w:r w:rsidR="00877E53">
              <w:rPr>
                <w:rFonts w:ascii="DIN OT Medium" w:hAnsi="DIN OT Medium"/>
                <w:b w:val="0"/>
                <w:sz w:val="20"/>
                <w:szCs w:val="20"/>
              </w:rPr>
              <w:t>r</w:t>
            </w:r>
            <w:r>
              <w:rPr>
                <w:rFonts w:ascii="DIN OT Medium" w:hAnsi="DIN OT Medium"/>
                <w:b w:val="0"/>
                <w:sz w:val="20"/>
                <w:szCs w:val="20"/>
              </w:rPr>
              <w:t>ating</w:t>
            </w:r>
            <w:r w:rsidR="00877E53">
              <w:rPr>
                <w:rFonts w:ascii="DIN OT Medium" w:hAnsi="DIN OT Medium"/>
                <w:b w:val="0"/>
                <w:sz w:val="20"/>
                <w:szCs w:val="20"/>
              </w:rPr>
              <w:t xml:space="preserve"> grade</w:t>
            </w:r>
          </w:p>
        </w:tc>
        <w:tc>
          <w:tcPr>
            <w:tcW w:w="2249" w:type="dxa"/>
            <w:tcBorders>
              <w:left w:val="single" w:sz="4" w:space="0" w:color="FFFFFF" w:themeColor="background1"/>
              <w:right w:val="single" w:sz="4" w:space="0" w:color="FFFFFF" w:themeColor="background1"/>
            </w:tcBorders>
            <w:shd w:val="clear" w:color="auto" w:fill="002060"/>
          </w:tcPr>
          <w:p w14:paraId="4DC444EF" w14:textId="273E78BD" w:rsidR="0069461E" w:rsidRPr="00637571" w:rsidRDefault="0069461E"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APS 112</w:t>
            </w:r>
            <w:r w:rsidR="00B23107">
              <w:rPr>
                <w:rFonts w:ascii="DIN OT Medium" w:hAnsi="DIN OT Medium"/>
                <w:b w:val="0"/>
                <w:sz w:val="20"/>
                <w:szCs w:val="20"/>
              </w:rPr>
              <w:br/>
              <w:t>RW</w:t>
            </w:r>
            <w:r w:rsidR="00B23107">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7D9569E6" w14:textId="1952823E" w:rsidR="0069461E" w:rsidRPr="00637571" w:rsidRDefault="0069461E"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 xml:space="preserve">III </w:t>
            </w:r>
            <w:r w:rsidR="00877E53">
              <w:rPr>
                <w:rFonts w:ascii="DIN OT Medium" w:hAnsi="DIN OT Medium"/>
                <w:b w:val="0"/>
                <w:sz w:val="20"/>
                <w:szCs w:val="20"/>
              </w:rPr>
              <w:br/>
            </w:r>
            <w:r w:rsidR="00B23107">
              <w:rPr>
                <w:rFonts w:ascii="DIN OT Medium" w:hAnsi="DIN OT Medium"/>
                <w:b w:val="0"/>
                <w:sz w:val="20"/>
                <w:szCs w:val="20"/>
              </w:rPr>
              <w:t>RW</w:t>
            </w:r>
            <w:r w:rsidRPr="00637571">
              <w:rPr>
                <w:rFonts w:ascii="DIN OT Medium" w:hAnsi="DIN OT Medium"/>
                <w:b w:val="0"/>
                <w:sz w:val="20"/>
                <w:szCs w:val="20"/>
              </w:rPr>
              <w:t xml:space="preserve"> </w:t>
            </w:r>
            <w:r w:rsidR="00B23107">
              <w:rPr>
                <w:rFonts w:ascii="DIN OT Medium" w:hAnsi="DIN OT Medium"/>
                <w:b w:val="0"/>
                <w:sz w:val="20"/>
                <w:szCs w:val="20"/>
              </w:rPr>
              <w:br/>
              <w:t>%</w:t>
            </w:r>
          </w:p>
        </w:tc>
        <w:tc>
          <w:tcPr>
            <w:tcW w:w="2249" w:type="dxa"/>
            <w:tcBorders>
              <w:left w:val="single" w:sz="4" w:space="0" w:color="FFFFFF" w:themeColor="background1"/>
            </w:tcBorders>
            <w:shd w:val="clear" w:color="auto" w:fill="002060"/>
          </w:tcPr>
          <w:p w14:paraId="680C9E07" w14:textId="0D5B3EE5" w:rsidR="0069461E" w:rsidRPr="00637571" w:rsidRDefault="00B23107" w:rsidP="00E359C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69461E" w:rsidRPr="00637571">
              <w:rPr>
                <w:rFonts w:ascii="DIN OT Medium" w:hAnsi="DIN OT Medium"/>
                <w:b w:val="0"/>
                <w:sz w:val="20"/>
                <w:szCs w:val="20"/>
              </w:rPr>
              <w:t>roposed</w:t>
            </w:r>
            <w:r>
              <w:rPr>
                <w:rFonts w:ascii="DIN OT Medium" w:hAnsi="DIN OT Medium"/>
                <w:b w:val="0"/>
                <w:sz w:val="20"/>
                <w:szCs w:val="20"/>
              </w:rPr>
              <w:t xml:space="preserve"> </w:t>
            </w:r>
            <w:r w:rsidR="00877E53">
              <w:rPr>
                <w:rFonts w:ascii="DIN OT Medium" w:hAnsi="DIN OT Medium"/>
                <w:b w:val="0"/>
                <w:sz w:val="20"/>
                <w:szCs w:val="20"/>
              </w:rPr>
              <w:br/>
            </w:r>
            <w:r>
              <w:rPr>
                <w:rFonts w:ascii="DIN OT Medium" w:hAnsi="DIN OT Medium"/>
                <w:b w:val="0"/>
                <w:sz w:val="20"/>
                <w:szCs w:val="20"/>
              </w:rPr>
              <w:t>RW</w:t>
            </w:r>
            <w:r>
              <w:rPr>
                <w:rFonts w:ascii="DIN OT Medium" w:hAnsi="DIN OT Medium"/>
                <w:b w:val="0"/>
                <w:sz w:val="20"/>
                <w:szCs w:val="20"/>
              </w:rPr>
              <w:br/>
            </w:r>
            <w:r w:rsidR="0069461E" w:rsidRPr="00637571">
              <w:rPr>
                <w:rFonts w:ascii="DIN OT Medium" w:hAnsi="DIN OT Medium"/>
                <w:b w:val="0"/>
                <w:sz w:val="20"/>
                <w:szCs w:val="20"/>
              </w:rPr>
              <w:t>%</w:t>
            </w:r>
          </w:p>
        </w:tc>
      </w:tr>
      <w:tr w:rsidR="0069461E" w:rsidRPr="004211B2" w14:paraId="4996B9D1" w14:textId="77777777" w:rsidTr="00877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8E1E355" w14:textId="77777777" w:rsidR="0069461E" w:rsidRPr="004211B2"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AAA to AA-</w:t>
            </w:r>
          </w:p>
        </w:tc>
        <w:tc>
          <w:tcPr>
            <w:tcW w:w="2249" w:type="dxa"/>
            <w:shd w:val="clear" w:color="auto" w:fill="F2F2F2" w:themeFill="background1" w:themeFillShade="F2"/>
          </w:tcPr>
          <w:p w14:paraId="3CDB2ED6"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3FA0A45B"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10CDFE05"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69461E" w:rsidRPr="004211B2" w14:paraId="24BE67C9" w14:textId="77777777" w:rsidTr="00877E53">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6636303" w14:textId="77777777" w:rsidR="0069461E" w:rsidRPr="004211B2"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A+ to A-</w:t>
            </w:r>
          </w:p>
        </w:tc>
        <w:tc>
          <w:tcPr>
            <w:tcW w:w="2249" w:type="dxa"/>
            <w:shd w:val="clear" w:color="auto" w:fill="F2F2F2" w:themeFill="background1" w:themeFillShade="F2"/>
          </w:tcPr>
          <w:p w14:paraId="1DDA4CFF"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5AC8A37C"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5E34A582"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69461E" w:rsidRPr="004211B2" w14:paraId="5146EAA4" w14:textId="77777777" w:rsidTr="00877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7A051A7" w14:textId="77777777" w:rsidR="0069461E" w:rsidRPr="004211B2"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BBB+ to BBB-</w:t>
            </w:r>
          </w:p>
        </w:tc>
        <w:tc>
          <w:tcPr>
            <w:tcW w:w="2249" w:type="dxa"/>
            <w:shd w:val="clear" w:color="auto" w:fill="F2F2F2" w:themeFill="background1" w:themeFillShade="F2"/>
          </w:tcPr>
          <w:p w14:paraId="1C694006"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0CC9DD2E"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2249" w:type="dxa"/>
            <w:shd w:val="clear" w:color="auto" w:fill="F2F2F2" w:themeFill="background1" w:themeFillShade="F2"/>
          </w:tcPr>
          <w:p w14:paraId="3736EDA0"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r>
      <w:tr w:rsidR="0069461E" w:rsidRPr="004211B2" w14:paraId="348A9F93" w14:textId="77777777" w:rsidTr="00877E53">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8A4756A" w14:textId="77777777" w:rsidR="0069461E" w:rsidRPr="004211B2"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BB+ to BB-</w:t>
            </w:r>
          </w:p>
        </w:tc>
        <w:tc>
          <w:tcPr>
            <w:tcW w:w="2249" w:type="dxa"/>
            <w:shd w:val="clear" w:color="auto" w:fill="F2F2F2" w:themeFill="background1" w:themeFillShade="F2"/>
          </w:tcPr>
          <w:p w14:paraId="48392332"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53081E23"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797910E8"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69461E" w:rsidRPr="004211B2" w14:paraId="10BA0154" w14:textId="77777777" w:rsidTr="00877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51897A7" w14:textId="77777777" w:rsidR="0069461E"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Below BB-</w:t>
            </w:r>
          </w:p>
        </w:tc>
        <w:tc>
          <w:tcPr>
            <w:tcW w:w="2249" w:type="dxa"/>
            <w:shd w:val="clear" w:color="auto" w:fill="F2F2F2" w:themeFill="background1" w:themeFillShade="F2"/>
          </w:tcPr>
          <w:p w14:paraId="5B7EC5EC" w14:textId="77777777" w:rsidR="0069461E"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297BC9EC"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0CFE3EC0"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r>
      <w:tr w:rsidR="0069461E" w:rsidRPr="004211B2" w14:paraId="0F972715" w14:textId="77777777" w:rsidTr="00A53C1A">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AD1A21F" w14:textId="2D2D8E4D" w:rsidR="0069461E" w:rsidRPr="004211B2"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Unrated</w:t>
            </w:r>
            <w:r w:rsidR="00E359CC">
              <w:rPr>
                <w:rFonts w:ascii="DIN OT Medium" w:hAnsi="DIN OT Medium"/>
                <w:b w:val="0"/>
                <w:sz w:val="20"/>
                <w:szCs w:val="20"/>
              </w:rPr>
              <w:t xml:space="preserve"> - </w:t>
            </w:r>
            <w:r>
              <w:rPr>
                <w:rFonts w:ascii="DIN OT Medium" w:hAnsi="DIN OT Medium"/>
                <w:b w:val="0"/>
                <w:sz w:val="20"/>
                <w:szCs w:val="20"/>
              </w:rPr>
              <w:t>corporate SME</w:t>
            </w:r>
          </w:p>
        </w:tc>
        <w:tc>
          <w:tcPr>
            <w:tcW w:w="2249" w:type="dxa"/>
            <w:shd w:val="clear" w:color="auto" w:fill="F2F2F2" w:themeFill="background1" w:themeFillShade="F2"/>
            <w:vAlign w:val="center"/>
          </w:tcPr>
          <w:p w14:paraId="67455859"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6A5B4D68"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2249" w:type="dxa"/>
            <w:shd w:val="clear" w:color="auto" w:fill="F2F2F2" w:themeFill="background1" w:themeFillShade="F2"/>
            <w:vAlign w:val="center"/>
          </w:tcPr>
          <w:p w14:paraId="4BB59162"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E1593">
              <w:rPr>
                <w:sz w:val="20"/>
                <w:szCs w:val="20"/>
              </w:rPr>
              <w:t>85</w:t>
            </w:r>
          </w:p>
        </w:tc>
      </w:tr>
      <w:tr w:rsidR="0069461E" w:rsidRPr="004211B2" w14:paraId="103EC3CD" w14:textId="77777777" w:rsidTr="00877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4C3193C" w14:textId="0D42BD98" w:rsidR="0069461E"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Unrated</w:t>
            </w:r>
            <w:r w:rsidR="00E359CC">
              <w:rPr>
                <w:rFonts w:ascii="DIN OT Medium" w:hAnsi="DIN OT Medium"/>
                <w:b w:val="0"/>
                <w:sz w:val="20"/>
                <w:szCs w:val="20"/>
              </w:rPr>
              <w:t xml:space="preserve"> - </w:t>
            </w:r>
            <w:r>
              <w:rPr>
                <w:rFonts w:ascii="DIN OT Medium" w:hAnsi="DIN OT Medium"/>
                <w:b w:val="0"/>
                <w:sz w:val="20"/>
                <w:szCs w:val="20"/>
              </w:rPr>
              <w:t>retail SME</w:t>
            </w:r>
          </w:p>
        </w:tc>
        <w:tc>
          <w:tcPr>
            <w:tcW w:w="2249" w:type="dxa"/>
            <w:shd w:val="clear" w:color="auto" w:fill="F2F2F2" w:themeFill="background1" w:themeFillShade="F2"/>
          </w:tcPr>
          <w:p w14:paraId="3BABED03"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4DB05A3D"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2249" w:type="dxa"/>
            <w:shd w:val="clear" w:color="auto" w:fill="F2F2F2" w:themeFill="background1" w:themeFillShade="F2"/>
          </w:tcPr>
          <w:p w14:paraId="0182C150" w14:textId="77777777" w:rsidR="0069461E" w:rsidRPr="004211B2" w:rsidRDefault="0069461E" w:rsidP="00E359C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r>
      <w:tr w:rsidR="0069461E" w:rsidRPr="004211B2" w14:paraId="71B4F39B" w14:textId="77777777" w:rsidTr="00877E53">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2EA499E" w14:textId="018CF5C6" w:rsidR="0069461E" w:rsidRDefault="0069461E" w:rsidP="00E359CC">
            <w:pPr>
              <w:pStyle w:val="APRANORMAL"/>
              <w:keepNext/>
              <w:spacing w:before="120" w:after="120"/>
              <w:rPr>
                <w:rFonts w:ascii="DIN OT Medium" w:hAnsi="DIN OT Medium"/>
                <w:b w:val="0"/>
                <w:sz w:val="20"/>
                <w:szCs w:val="20"/>
              </w:rPr>
            </w:pPr>
            <w:r>
              <w:rPr>
                <w:rFonts w:ascii="DIN OT Medium" w:hAnsi="DIN OT Medium"/>
                <w:b w:val="0"/>
                <w:sz w:val="20"/>
                <w:szCs w:val="20"/>
              </w:rPr>
              <w:t>Unrated</w:t>
            </w:r>
            <w:r w:rsidR="00E359CC">
              <w:rPr>
                <w:rFonts w:ascii="DIN OT Medium" w:hAnsi="DIN OT Medium"/>
                <w:b w:val="0"/>
                <w:sz w:val="20"/>
                <w:szCs w:val="20"/>
              </w:rPr>
              <w:t xml:space="preserve"> - </w:t>
            </w:r>
            <w:r>
              <w:rPr>
                <w:rFonts w:ascii="DIN OT Medium" w:hAnsi="DIN OT Medium"/>
                <w:b w:val="0"/>
                <w:sz w:val="20"/>
                <w:szCs w:val="20"/>
              </w:rPr>
              <w:t>other</w:t>
            </w:r>
          </w:p>
        </w:tc>
        <w:tc>
          <w:tcPr>
            <w:tcW w:w="2249" w:type="dxa"/>
            <w:shd w:val="clear" w:color="auto" w:fill="F2F2F2" w:themeFill="background1" w:themeFillShade="F2"/>
          </w:tcPr>
          <w:p w14:paraId="011715F2"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6DB1911F"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5019328C" w14:textId="77777777" w:rsidR="0069461E" w:rsidRPr="004211B2" w:rsidRDefault="0069461E" w:rsidP="00E359C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14:paraId="45F27DD7" w14:textId="77777777" w:rsidR="0069461E" w:rsidRDefault="0069461E" w:rsidP="0069461E">
      <w:pPr>
        <w:pStyle w:val="APRANORMAL"/>
      </w:pPr>
    </w:p>
    <w:p w14:paraId="02D276C1" w14:textId="77777777" w:rsidR="0069461E" w:rsidRDefault="0069461E" w:rsidP="00441787">
      <w:pPr>
        <w:pStyle w:val="APRATABLE-NUMBER"/>
      </w:pPr>
      <w:bookmarkStart w:id="512" w:name="_Ref502740186"/>
      <w:r>
        <w:t>Specialised lending</w:t>
      </w:r>
      <w:bookmarkEnd w:id="512"/>
    </w:p>
    <w:tbl>
      <w:tblPr>
        <w:tblStyle w:val="GridTable5Dark-Accent1"/>
        <w:tblW w:w="5000" w:type="pct"/>
        <w:jc w:val="center"/>
        <w:tblLook w:val="04A0" w:firstRow="1" w:lastRow="0" w:firstColumn="1" w:lastColumn="0" w:noHBand="0" w:noVBand="1"/>
      </w:tblPr>
      <w:tblGrid>
        <w:gridCol w:w="2269"/>
        <w:gridCol w:w="2249"/>
        <w:gridCol w:w="2249"/>
        <w:gridCol w:w="2249"/>
      </w:tblGrid>
      <w:tr w:rsidR="0069461E" w:rsidRPr="00637571" w14:paraId="770FD8B7"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5F226ED4" w14:textId="77777777" w:rsidR="0069461E" w:rsidRPr="004211B2"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47029502" w14:textId="36417451" w:rsidR="0069461E" w:rsidRPr="00637571" w:rsidRDefault="0069461E" w:rsidP="00877E53">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APS 112 </w:t>
            </w:r>
            <w:r w:rsidR="00877E53">
              <w:rPr>
                <w:rFonts w:ascii="DIN OT Medium" w:hAnsi="DIN OT Medium"/>
                <w:b w:val="0"/>
                <w:sz w:val="20"/>
                <w:szCs w:val="20"/>
              </w:rPr>
              <w:br/>
              <w:t>RW</w:t>
            </w:r>
            <w:r w:rsidR="00877E53">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491B3DF9" w14:textId="52384E5A" w:rsidR="0069461E" w:rsidRPr="00637571" w:rsidRDefault="0069461E" w:rsidP="00877E53">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III</w:t>
            </w:r>
            <w:r w:rsidR="00877E53">
              <w:rPr>
                <w:rFonts w:ascii="DIN OT Medium" w:hAnsi="DIN OT Medium"/>
                <w:b w:val="0"/>
                <w:sz w:val="20"/>
                <w:szCs w:val="20"/>
              </w:rPr>
              <w:br/>
              <w:t>RW</w:t>
            </w:r>
            <w:r w:rsidR="00877E53">
              <w:rPr>
                <w:rFonts w:ascii="DIN OT Medium" w:hAnsi="DIN OT Medium"/>
                <w:b w:val="0"/>
                <w:sz w:val="20"/>
                <w:szCs w:val="20"/>
              </w:rPr>
              <w:br/>
              <w:t>%</w:t>
            </w:r>
          </w:p>
        </w:tc>
        <w:tc>
          <w:tcPr>
            <w:tcW w:w="2249" w:type="dxa"/>
            <w:tcBorders>
              <w:left w:val="single" w:sz="4" w:space="0" w:color="FFFFFF" w:themeColor="background1"/>
            </w:tcBorders>
            <w:shd w:val="clear" w:color="auto" w:fill="002060"/>
          </w:tcPr>
          <w:p w14:paraId="352567E7" w14:textId="600F3024" w:rsidR="0069461E" w:rsidRPr="00637571" w:rsidRDefault="00877E53" w:rsidP="00877E53">
            <w:pPr>
              <w:pStyle w:val="APRANORMAL"/>
              <w:keepNext/>
              <w:keepLines/>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69461E" w:rsidRPr="00637571">
              <w:rPr>
                <w:rFonts w:ascii="DIN OT Medium" w:hAnsi="DIN OT Medium"/>
                <w:b w:val="0"/>
                <w:sz w:val="20"/>
                <w:szCs w:val="20"/>
              </w:rPr>
              <w:t xml:space="preserve">roposed </w:t>
            </w:r>
            <w:r>
              <w:rPr>
                <w:rFonts w:ascii="DIN OT Medium" w:hAnsi="DIN OT Medium"/>
                <w:b w:val="0"/>
                <w:sz w:val="20"/>
                <w:szCs w:val="20"/>
              </w:rPr>
              <w:br/>
              <w:t>RW</w:t>
            </w:r>
            <w:r>
              <w:rPr>
                <w:rFonts w:ascii="DIN OT Medium" w:hAnsi="DIN OT Medium"/>
                <w:b w:val="0"/>
                <w:sz w:val="20"/>
                <w:szCs w:val="20"/>
              </w:rPr>
              <w:br/>
            </w:r>
            <w:r w:rsidR="0069461E" w:rsidRPr="00637571">
              <w:rPr>
                <w:rFonts w:ascii="DIN OT Medium" w:hAnsi="DIN OT Medium"/>
                <w:b w:val="0"/>
                <w:sz w:val="20"/>
                <w:szCs w:val="20"/>
              </w:rPr>
              <w:t>%</w:t>
            </w:r>
          </w:p>
        </w:tc>
      </w:tr>
      <w:tr w:rsidR="0069461E" w:rsidRPr="004211B2" w14:paraId="3DEC5525"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35F9CF7B" w14:textId="77777777" w:rsidR="0069461E" w:rsidRPr="004211B2"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Object finance</w:t>
            </w:r>
          </w:p>
        </w:tc>
        <w:tc>
          <w:tcPr>
            <w:tcW w:w="2249" w:type="dxa"/>
            <w:shd w:val="clear" w:color="auto" w:fill="F2F2F2" w:themeFill="background1" w:themeFillShade="F2"/>
            <w:vAlign w:val="center"/>
          </w:tcPr>
          <w:p w14:paraId="4B9963D8" w14:textId="0825F645" w:rsidR="0069461E" w:rsidRPr="004211B2" w:rsidRDefault="00E31801"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6983E38"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2997C1A3"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69461E" w:rsidRPr="004211B2" w14:paraId="12B4DB96" w14:textId="77777777" w:rsidTr="00F25D08">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2E8B387F" w14:textId="77777777" w:rsidR="0069461E" w:rsidRPr="004211B2"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Commodities finance</w:t>
            </w:r>
          </w:p>
        </w:tc>
        <w:tc>
          <w:tcPr>
            <w:tcW w:w="2249" w:type="dxa"/>
            <w:shd w:val="clear" w:color="auto" w:fill="F2F2F2" w:themeFill="background1" w:themeFillShade="F2"/>
            <w:vAlign w:val="center"/>
          </w:tcPr>
          <w:p w14:paraId="2E0321A0" w14:textId="336561A6" w:rsidR="0069461E" w:rsidRPr="004211B2" w:rsidRDefault="00E31801"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92DC786" w14:textId="77777777" w:rsidR="0069461E" w:rsidRPr="004211B2" w:rsidRDefault="0069461E"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7C4C35B2" w14:textId="77777777" w:rsidR="0069461E" w:rsidRPr="004211B2" w:rsidRDefault="0069461E"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69461E" w:rsidRPr="004211B2" w14:paraId="1D9845BA"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3F58CEF3" w14:textId="77777777" w:rsidR="0069461E"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Project finance (pre-operational)</w:t>
            </w:r>
          </w:p>
        </w:tc>
        <w:tc>
          <w:tcPr>
            <w:tcW w:w="2249" w:type="dxa"/>
            <w:shd w:val="clear" w:color="auto" w:fill="F2F2F2" w:themeFill="background1" w:themeFillShade="F2"/>
            <w:vAlign w:val="center"/>
          </w:tcPr>
          <w:p w14:paraId="4D0828BA" w14:textId="535FFA11" w:rsidR="0069461E" w:rsidRPr="004211B2" w:rsidRDefault="00E31801"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D0F495A"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w:t>
            </w:r>
          </w:p>
        </w:tc>
        <w:tc>
          <w:tcPr>
            <w:tcW w:w="2249" w:type="dxa"/>
            <w:shd w:val="clear" w:color="auto" w:fill="F2F2F2" w:themeFill="background1" w:themeFillShade="F2"/>
            <w:vAlign w:val="center"/>
          </w:tcPr>
          <w:p w14:paraId="5E7DDD1B"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w:t>
            </w:r>
          </w:p>
        </w:tc>
      </w:tr>
      <w:tr w:rsidR="0069461E" w:rsidRPr="004211B2" w14:paraId="69A3F5C2" w14:textId="77777777" w:rsidTr="00F25D08">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75B7C024" w14:textId="520778B9" w:rsidR="0069461E"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Project finance (operational phase</w:t>
            </w:r>
            <w:r w:rsidR="00E359CC">
              <w:rPr>
                <w:rFonts w:ascii="DIN OT Medium" w:hAnsi="DIN OT Medium"/>
                <w:b w:val="0"/>
                <w:sz w:val="20"/>
                <w:szCs w:val="20"/>
              </w:rPr>
              <w:t xml:space="preserve"> - </w:t>
            </w:r>
            <w:r>
              <w:rPr>
                <w:rFonts w:ascii="DIN OT Medium" w:hAnsi="DIN OT Medium"/>
                <w:b w:val="0"/>
                <w:sz w:val="20"/>
                <w:szCs w:val="20"/>
              </w:rPr>
              <w:t>high quality)</w:t>
            </w:r>
          </w:p>
        </w:tc>
        <w:tc>
          <w:tcPr>
            <w:tcW w:w="2249" w:type="dxa"/>
            <w:shd w:val="clear" w:color="auto" w:fill="F2F2F2" w:themeFill="background1" w:themeFillShade="F2"/>
            <w:vAlign w:val="center"/>
          </w:tcPr>
          <w:p w14:paraId="25532189" w14:textId="24093312" w:rsidR="0069461E" w:rsidRPr="004211B2" w:rsidRDefault="00E31801"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013A5360" w14:textId="77777777" w:rsidR="0069461E" w:rsidRPr="004211B2" w:rsidRDefault="0069461E"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2249" w:type="dxa"/>
            <w:shd w:val="clear" w:color="auto" w:fill="F2F2F2" w:themeFill="background1" w:themeFillShade="F2"/>
            <w:vAlign w:val="center"/>
          </w:tcPr>
          <w:p w14:paraId="359D2BBE" w14:textId="77777777" w:rsidR="0069461E" w:rsidRPr="004211B2" w:rsidRDefault="0069461E" w:rsidP="00877E53">
            <w:pPr>
              <w:pStyle w:val="APRANORMAL"/>
              <w:keepNext/>
              <w:keepLines/>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r>
      <w:tr w:rsidR="0069461E" w:rsidRPr="004211B2" w14:paraId="3BE05911"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521801B2" w14:textId="3E7E9FE8" w:rsidR="0069461E" w:rsidRPr="004211B2" w:rsidRDefault="0069461E" w:rsidP="00877E53">
            <w:pPr>
              <w:pStyle w:val="APRANORMAL"/>
              <w:keepNext/>
              <w:keepLines/>
              <w:spacing w:before="120" w:after="120"/>
              <w:rPr>
                <w:rFonts w:ascii="DIN OT Medium" w:hAnsi="DIN OT Medium"/>
                <w:b w:val="0"/>
                <w:sz w:val="20"/>
                <w:szCs w:val="20"/>
              </w:rPr>
            </w:pPr>
            <w:r>
              <w:rPr>
                <w:rFonts w:ascii="DIN OT Medium" w:hAnsi="DIN OT Medium"/>
                <w:b w:val="0"/>
                <w:sz w:val="20"/>
                <w:szCs w:val="20"/>
              </w:rPr>
              <w:t>Project finance (operational phase</w:t>
            </w:r>
            <w:r w:rsidR="00E359CC">
              <w:rPr>
                <w:rFonts w:ascii="DIN OT Medium" w:hAnsi="DIN OT Medium"/>
                <w:b w:val="0"/>
                <w:sz w:val="20"/>
                <w:szCs w:val="20"/>
              </w:rPr>
              <w:t xml:space="preserve"> - </w:t>
            </w:r>
            <w:r>
              <w:rPr>
                <w:rFonts w:ascii="DIN OT Medium" w:hAnsi="DIN OT Medium"/>
                <w:b w:val="0"/>
                <w:sz w:val="20"/>
                <w:szCs w:val="20"/>
              </w:rPr>
              <w:t>other)</w:t>
            </w:r>
          </w:p>
        </w:tc>
        <w:tc>
          <w:tcPr>
            <w:tcW w:w="2249" w:type="dxa"/>
            <w:shd w:val="clear" w:color="auto" w:fill="F2F2F2" w:themeFill="background1" w:themeFillShade="F2"/>
            <w:vAlign w:val="center"/>
          </w:tcPr>
          <w:p w14:paraId="7E05EAEB" w14:textId="0FF90BAA" w:rsidR="0069461E" w:rsidRPr="004211B2" w:rsidRDefault="00E31801"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41230BB"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08E45D6A" w14:textId="77777777" w:rsidR="0069461E" w:rsidRPr="004211B2" w:rsidRDefault="0069461E" w:rsidP="00877E53">
            <w:pPr>
              <w:pStyle w:val="APRANORMAL"/>
              <w:keepNext/>
              <w:keepLines/>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bookmarkEnd w:id="510"/>
    <w:p w14:paraId="14C2A46E" w14:textId="77777777" w:rsidR="0069461E" w:rsidRPr="00020E60" w:rsidRDefault="0069461E" w:rsidP="0069461E">
      <w:pPr>
        <w:pStyle w:val="APRAHEADING3"/>
        <w:numPr>
          <w:ilvl w:val="0"/>
          <w:numId w:val="0"/>
        </w:numPr>
        <w:ind w:left="851" w:hanging="851"/>
      </w:pPr>
      <w:r>
        <w:t>Retail exposures</w:t>
      </w:r>
    </w:p>
    <w:p w14:paraId="0A2AC709" w14:textId="77777777" w:rsidR="0069461E" w:rsidRDefault="0069461E" w:rsidP="00441787">
      <w:pPr>
        <w:pStyle w:val="APRATABLE-NUMBER"/>
      </w:pPr>
      <w:r>
        <w:t>Retail exposures (other than residential mortgages)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69461E" w:rsidRPr="00637571" w14:paraId="07C5AF34"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26226B27" w14:textId="77777777" w:rsidR="0069461E" w:rsidRPr="004211B2" w:rsidRDefault="0069461E" w:rsidP="00D15FB9">
            <w:pPr>
              <w:pStyle w:val="APRANORMAL"/>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11758A91" w14:textId="73663599" w:rsidR="0069461E" w:rsidRPr="00637571" w:rsidRDefault="00D15FB9" w:rsidP="00D15FB9">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69461E"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65519685" w14:textId="2B0F554C" w:rsidR="0069461E" w:rsidRPr="00637571" w:rsidRDefault="0069461E" w:rsidP="00D15FB9">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D15FB9">
              <w:rPr>
                <w:rFonts w:ascii="DIN OT Medium" w:hAnsi="DIN OT Medium"/>
                <w:b w:val="0"/>
                <w:sz w:val="20"/>
                <w:szCs w:val="20"/>
              </w:rPr>
              <w:t>III</w:t>
            </w:r>
            <w:r w:rsidR="00D15FB9">
              <w:rPr>
                <w:rFonts w:ascii="DIN OT Medium" w:hAnsi="DIN OT Medium"/>
                <w:b w:val="0"/>
                <w:sz w:val="20"/>
                <w:szCs w:val="20"/>
              </w:rPr>
              <w:br/>
              <w:t>RW</w:t>
            </w:r>
            <w:r w:rsidR="00D15FB9">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06084EDA" w14:textId="443BC178" w:rsidR="0069461E" w:rsidRPr="00637571" w:rsidRDefault="00D15FB9" w:rsidP="00D15FB9">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69461E" w:rsidRPr="00637571">
              <w:rPr>
                <w:rFonts w:ascii="DIN OT Medium" w:hAnsi="DIN OT Medium"/>
                <w:b w:val="0"/>
                <w:sz w:val="20"/>
                <w:szCs w:val="20"/>
              </w:rPr>
              <w:t xml:space="preserve">roposed </w:t>
            </w:r>
            <w:r>
              <w:rPr>
                <w:rFonts w:ascii="DIN OT Medium" w:hAnsi="DIN OT Medium"/>
                <w:b w:val="0"/>
                <w:sz w:val="20"/>
                <w:szCs w:val="20"/>
              </w:rPr>
              <w:br/>
              <w:t>RW</w:t>
            </w:r>
            <w:r>
              <w:rPr>
                <w:rFonts w:ascii="DIN OT Medium" w:hAnsi="DIN OT Medium"/>
                <w:b w:val="0"/>
                <w:sz w:val="20"/>
                <w:szCs w:val="20"/>
              </w:rPr>
              <w:br/>
            </w:r>
            <w:r w:rsidR="0069461E" w:rsidRPr="00637571">
              <w:rPr>
                <w:rFonts w:ascii="DIN OT Medium" w:hAnsi="DIN OT Medium"/>
                <w:b w:val="0"/>
                <w:sz w:val="20"/>
                <w:szCs w:val="20"/>
              </w:rPr>
              <w:t>%</w:t>
            </w:r>
          </w:p>
        </w:tc>
      </w:tr>
      <w:tr w:rsidR="0069461E" w:rsidRPr="004211B2" w14:paraId="401C0C0F"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45170D72" w14:textId="75234E91" w:rsidR="0069461E" w:rsidRPr="004211B2" w:rsidRDefault="0069461E" w:rsidP="00E359CC">
            <w:pPr>
              <w:pStyle w:val="APRANORMAL"/>
              <w:spacing w:before="120" w:after="120"/>
              <w:rPr>
                <w:rFonts w:ascii="DIN OT Medium" w:hAnsi="DIN OT Medium"/>
                <w:b w:val="0"/>
                <w:sz w:val="20"/>
                <w:szCs w:val="20"/>
              </w:rPr>
            </w:pPr>
            <w:r>
              <w:rPr>
                <w:rFonts w:ascii="DIN OT Medium" w:hAnsi="DIN OT Medium"/>
                <w:b w:val="0"/>
                <w:sz w:val="20"/>
                <w:szCs w:val="20"/>
              </w:rPr>
              <w:lastRenderedPageBreak/>
              <w:t>Regulatory retail</w:t>
            </w:r>
            <w:r w:rsidR="00E359CC">
              <w:rPr>
                <w:rFonts w:ascii="DIN OT Medium" w:hAnsi="DIN OT Medium"/>
                <w:b w:val="0"/>
                <w:sz w:val="20"/>
                <w:szCs w:val="20"/>
              </w:rPr>
              <w:t xml:space="preserve">- </w:t>
            </w:r>
            <w:r>
              <w:rPr>
                <w:rFonts w:ascii="DIN OT Medium" w:hAnsi="DIN OT Medium"/>
                <w:b w:val="0"/>
                <w:sz w:val="20"/>
                <w:szCs w:val="20"/>
              </w:rPr>
              <w:t>transactors</w:t>
            </w:r>
          </w:p>
        </w:tc>
        <w:tc>
          <w:tcPr>
            <w:tcW w:w="2249" w:type="dxa"/>
            <w:shd w:val="clear" w:color="auto" w:fill="F2F2F2" w:themeFill="background1" w:themeFillShade="F2"/>
            <w:vAlign w:val="center"/>
          </w:tcPr>
          <w:p w14:paraId="206BA7F5" w14:textId="77777777" w:rsidR="0069461E" w:rsidRPr="004211B2" w:rsidRDefault="0069461E"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D1717CD" w14:textId="77777777" w:rsidR="0069461E" w:rsidRPr="004211B2" w:rsidRDefault="0069461E"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w:t>
            </w:r>
          </w:p>
        </w:tc>
        <w:tc>
          <w:tcPr>
            <w:tcW w:w="2249" w:type="dxa"/>
            <w:shd w:val="clear" w:color="auto" w:fill="F2F2F2" w:themeFill="background1" w:themeFillShade="F2"/>
            <w:vAlign w:val="center"/>
          </w:tcPr>
          <w:p w14:paraId="21F0F69D" w14:textId="3464F74C" w:rsidR="000B5B11" w:rsidRDefault="000B5B11"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Credit cards: 100</w:t>
            </w:r>
          </w:p>
          <w:p w14:paraId="59F8FD58" w14:textId="17719AEE" w:rsidR="0069461E" w:rsidRPr="004211B2" w:rsidRDefault="000B5B11"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retail: 1</w:t>
            </w:r>
            <w:r w:rsidR="00046522">
              <w:rPr>
                <w:sz w:val="20"/>
                <w:szCs w:val="20"/>
              </w:rPr>
              <w:t>25</w:t>
            </w:r>
          </w:p>
        </w:tc>
      </w:tr>
      <w:tr w:rsidR="00D15FB9" w:rsidRPr="004211B2" w14:paraId="2BB17A0B" w14:textId="77777777" w:rsidTr="00F25D08">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444378D0" w14:textId="4909614C" w:rsidR="00D15FB9" w:rsidRDefault="00E359CC" w:rsidP="00D15FB9">
            <w:pPr>
              <w:pStyle w:val="APRANORMAL"/>
              <w:spacing w:before="120" w:after="120"/>
              <w:rPr>
                <w:rFonts w:ascii="DIN OT Medium" w:hAnsi="DIN OT Medium"/>
                <w:b w:val="0"/>
                <w:sz w:val="20"/>
                <w:szCs w:val="20"/>
              </w:rPr>
            </w:pPr>
            <w:r>
              <w:rPr>
                <w:rFonts w:ascii="DIN OT Medium" w:hAnsi="DIN OT Medium"/>
                <w:b w:val="0"/>
                <w:sz w:val="20"/>
                <w:szCs w:val="20"/>
              </w:rPr>
              <w:t xml:space="preserve">Regulatory retail - </w:t>
            </w:r>
            <w:r w:rsidR="00D15FB9">
              <w:rPr>
                <w:rFonts w:ascii="DIN OT Medium" w:hAnsi="DIN OT Medium"/>
                <w:b w:val="0"/>
                <w:sz w:val="20"/>
                <w:szCs w:val="20"/>
              </w:rPr>
              <w:t>other</w:t>
            </w:r>
          </w:p>
        </w:tc>
        <w:tc>
          <w:tcPr>
            <w:tcW w:w="2249" w:type="dxa"/>
            <w:shd w:val="clear" w:color="auto" w:fill="F2F2F2" w:themeFill="background1" w:themeFillShade="F2"/>
            <w:vAlign w:val="center"/>
          </w:tcPr>
          <w:p w14:paraId="6B7EAA83" w14:textId="7E4B2D1E" w:rsidR="00D15FB9" w:rsidRDefault="00D15FB9" w:rsidP="00D15FB9">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75605374" w14:textId="4479DB4B" w:rsidR="00D15FB9" w:rsidRDefault="00D15FB9" w:rsidP="00D15FB9">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2249" w:type="dxa"/>
            <w:shd w:val="clear" w:color="auto" w:fill="F2F2F2" w:themeFill="background1" w:themeFillShade="F2"/>
            <w:vAlign w:val="center"/>
          </w:tcPr>
          <w:p w14:paraId="09362935" w14:textId="77777777" w:rsidR="000B5B11" w:rsidRDefault="000B5B11" w:rsidP="000B5B1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Credit cards: 100</w:t>
            </w:r>
          </w:p>
          <w:p w14:paraId="0B6E90B0" w14:textId="206FF740" w:rsidR="00D15FB9" w:rsidRDefault="000B5B11" w:rsidP="00D15FB9">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retail: 1</w:t>
            </w:r>
            <w:r w:rsidR="00046522">
              <w:rPr>
                <w:sz w:val="20"/>
                <w:szCs w:val="20"/>
              </w:rPr>
              <w:t>25</w:t>
            </w:r>
          </w:p>
        </w:tc>
      </w:tr>
      <w:tr w:rsidR="0069461E" w:rsidRPr="004211B2" w14:paraId="23DBD61D"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vAlign w:val="center"/>
          </w:tcPr>
          <w:p w14:paraId="0F07754B" w14:textId="77777777" w:rsidR="0069461E" w:rsidRDefault="0069461E" w:rsidP="00D15FB9">
            <w:pPr>
              <w:pStyle w:val="APRANORMAL"/>
              <w:spacing w:before="120" w:after="120"/>
              <w:rPr>
                <w:rFonts w:ascii="DIN OT Medium" w:hAnsi="DIN OT Medium"/>
                <w:b w:val="0"/>
                <w:sz w:val="20"/>
                <w:szCs w:val="20"/>
              </w:rPr>
            </w:pPr>
            <w:r>
              <w:rPr>
                <w:rFonts w:ascii="DIN OT Medium" w:hAnsi="DIN OT Medium"/>
                <w:b w:val="0"/>
                <w:sz w:val="20"/>
                <w:szCs w:val="20"/>
              </w:rPr>
              <w:t>Other retail</w:t>
            </w:r>
          </w:p>
        </w:tc>
        <w:tc>
          <w:tcPr>
            <w:tcW w:w="2249" w:type="dxa"/>
            <w:shd w:val="clear" w:color="auto" w:fill="F2F2F2" w:themeFill="background1" w:themeFillShade="F2"/>
            <w:vAlign w:val="center"/>
          </w:tcPr>
          <w:p w14:paraId="2C2B698E" w14:textId="77777777" w:rsidR="0069461E" w:rsidRPr="004211B2" w:rsidRDefault="0069461E"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187D45FA" w14:textId="77777777" w:rsidR="0069461E" w:rsidRPr="004211B2" w:rsidRDefault="0069461E"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2F1898F5" w14:textId="77777777" w:rsidR="000B5B11" w:rsidRDefault="000B5B11" w:rsidP="000B5B1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Credit cards: 100</w:t>
            </w:r>
          </w:p>
          <w:p w14:paraId="18F2560C" w14:textId="026D2786" w:rsidR="0069461E" w:rsidRPr="004211B2" w:rsidRDefault="000B5B11" w:rsidP="00D15FB9">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retail: 1</w:t>
            </w:r>
            <w:r w:rsidR="00046522">
              <w:rPr>
                <w:sz w:val="20"/>
                <w:szCs w:val="20"/>
              </w:rPr>
              <w:t>25</w:t>
            </w:r>
          </w:p>
        </w:tc>
      </w:tr>
    </w:tbl>
    <w:p w14:paraId="1647D109" w14:textId="1D1942D6" w:rsidR="00434DA2" w:rsidRDefault="00107C08" w:rsidP="00D15FB9">
      <w:pPr>
        <w:pStyle w:val="APRAHEADING3"/>
        <w:numPr>
          <w:ilvl w:val="0"/>
          <w:numId w:val="0"/>
        </w:numPr>
      </w:pPr>
      <w:r>
        <w:t>Bank</w:t>
      </w:r>
      <w:r w:rsidR="0032129D">
        <w:t xml:space="preserve"> exposures</w:t>
      </w:r>
    </w:p>
    <w:p w14:paraId="5C2B164B" w14:textId="219B13A3" w:rsidR="00434DA2" w:rsidRDefault="00AF0DF6" w:rsidP="00D15FB9">
      <w:pPr>
        <w:pStyle w:val="APRATABLE-NUMBER"/>
      </w:pPr>
      <w:r>
        <w:t>Exposures to</w:t>
      </w:r>
      <w:r w:rsidR="00434DA2">
        <w:t xml:space="preserve"> international banking agencies and multilateral regional development banks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434DA2" w:rsidRPr="00055842" w14:paraId="1C1DD61E"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7C0314C8" w14:textId="48AA750D" w:rsidR="00434DA2" w:rsidRPr="004211B2" w:rsidRDefault="00D15FB9" w:rsidP="00D15FB9">
            <w:pPr>
              <w:pStyle w:val="APRANORMAL"/>
              <w:keepNext/>
              <w:spacing w:before="120" w:after="120"/>
              <w:rPr>
                <w:rFonts w:ascii="DIN OT Medium" w:hAnsi="DIN OT Medium"/>
                <w:b w:val="0"/>
                <w:sz w:val="20"/>
                <w:szCs w:val="20"/>
              </w:rPr>
            </w:pPr>
            <w:r>
              <w:rPr>
                <w:rFonts w:ascii="DIN OT Medium" w:hAnsi="DIN OT Medium"/>
                <w:b w:val="0"/>
                <w:sz w:val="20"/>
                <w:szCs w:val="20"/>
              </w:rPr>
              <w:t>Credit rating grade</w:t>
            </w:r>
          </w:p>
        </w:tc>
        <w:tc>
          <w:tcPr>
            <w:tcW w:w="2249" w:type="dxa"/>
            <w:tcBorders>
              <w:left w:val="single" w:sz="4" w:space="0" w:color="FFFFFF" w:themeColor="background1"/>
              <w:right w:val="single" w:sz="4" w:space="0" w:color="FFFFFF" w:themeColor="background1"/>
            </w:tcBorders>
            <w:shd w:val="clear" w:color="auto" w:fill="002060"/>
          </w:tcPr>
          <w:p w14:paraId="1D413F2F" w14:textId="5A0F2749" w:rsidR="00434DA2" w:rsidRPr="00637571" w:rsidRDefault="00434DA2" w:rsidP="00D15FB9">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APS 112</w:t>
            </w:r>
            <w:r w:rsidR="00D15FB9">
              <w:rPr>
                <w:rFonts w:ascii="DIN OT Medium" w:hAnsi="DIN OT Medium"/>
                <w:b w:val="0"/>
                <w:sz w:val="20"/>
                <w:szCs w:val="20"/>
              </w:rPr>
              <w:br/>
              <w:t>RW</w:t>
            </w:r>
            <w:r w:rsidR="00D15FB9">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6B21B1BB" w14:textId="5FBE5C0B" w:rsidR="00434DA2" w:rsidRPr="00637571" w:rsidRDefault="00C942B3" w:rsidP="00D15FB9">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Pr>
                <w:rFonts w:ascii="DIN OT Medium" w:hAnsi="DIN OT Medium"/>
                <w:b w:val="0"/>
                <w:sz w:val="20"/>
                <w:szCs w:val="20"/>
              </w:rPr>
              <w:t>III</w:t>
            </w:r>
            <w:r w:rsidR="00D15FB9">
              <w:rPr>
                <w:rFonts w:ascii="DIN OT Medium" w:hAnsi="DIN OT Medium"/>
                <w:b w:val="0"/>
                <w:sz w:val="20"/>
                <w:szCs w:val="20"/>
              </w:rPr>
              <w:br/>
              <w:t>RW</w:t>
            </w:r>
            <w:r w:rsidR="00D15FB9">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06AC53F7" w14:textId="6061CA1F" w:rsidR="00434DA2" w:rsidRPr="00637571" w:rsidRDefault="00D15FB9" w:rsidP="00D15FB9">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Proposed</w:t>
            </w:r>
            <w:r>
              <w:rPr>
                <w:rFonts w:ascii="DIN OT Medium" w:hAnsi="DIN OT Medium"/>
                <w:b w:val="0"/>
                <w:sz w:val="20"/>
                <w:szCs w:val="20"/>
              </w:rPr>
              <w:br/>
              <w:t>RW</w:t>
            </w:r>
            <w:r>
              <w:rPr>
                <w:rFonts w:ascii="DIN OT Medium" w:hAnsi="DIN OT Medium"/>
                <w:b w:val="0"/>
                <w:sz w:val="20"/>
                <w:szCs w:val="20"/>
              </w:rPr>
              <w:br/>
            </w:r>
            <w:r w:rsidR="00434DA2" w:rsidRPr="00637571">
              <w:rPr>
                <w:rFonts w:ascii="DIN OT Medium" w:hAnsi="DIN OT Medium"/>
                <w:b w:val="0"/>
                <w:sz w:val="20"/>
                <w:szCs w:val="20"/>
              </w:rPr>
              <w:t>%</w:t>
            </w:r>
          </w:p>
        </w:tc>
      </w:tr>
      <w:tr w:rsidR="00C34EB0" w:rsidRPr="004211B2" w14:paraId="4B35B87A" w14:textId="77777777" w:rsidTr="00D1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8C9551B"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AAA to AA-</w:t>
            </w:r>
          </w:p>
        </w:tc>
        <w:tc>
          <w:tcPr>
            <w:tcW w:w="2249" w:type="dxa"/>
            <w:shd w:val="clear" w:color="auto" w:fill="F2F2F2" w:themeFill="background1" w:themeFillShade="F2"/>
          </w:tcPr>
          <w:p w14:paraId="6ED2CFD3" w14:textId="2517F921"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287BC019" w14:textId="60FD1054"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2E854F08" w14:textId="28152B60"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C34EB0" w:rsidRPr="004211B2" w14:paraId="5B0162E7" w14:textId="77777777" w:rsidTr="00D15FB9">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6F3009A"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A+ to A-</w:t>
            </w:r>
          </w:p>
        </w:tc>
        <w:tc>
          <w:tcPr>
            <w:tcW w:w="2249" w:type="dxa"/>
            <w:shd w:val="clear" w:color="auto" w:fill="F2F2F2" w:themeFill="background1" w:themeFillShade="F2"/>
          </w:tcPr>
          <w:p w14:paraId="136AFD73" w14:textId="2C2AEEB7"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0A89CEAA" w14:textId="2B407B43"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49" w:type="dxa"/>
            <w:shd w:val="clear" w:color="auto" w:fill="F2F2F2" w:themeFill="background1" w:themeFillShade="F2"/>
          </w:tcPr>
          <w:p w14:paraId="63CA17D6" w14:textId="4F2DC9F5"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r>
      <w:tr w:rsidR="00C34EB0" w:rsidRPr="004211B2" w14:paraId="42A48395" w14:textId="77777777" w:rsidTr="00D1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F3C22EA"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BBB+ to BBB-</w:t>
            </w:r>
          </w:p>
        </w:tc>
        <w:tc>
          <w:tcPr>
            <w:tcW w:w="2249" w:type="dxa"/>
            <w:shd w:val="clear" w:color="auto" w:fill="F2F2F2" w:themeFill="background1" w:themeFillShade="F2"/>
          </w:tcPr>
          <w:p w14:paraId="21145389" w14:textId="0AFF8B7F"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23D57128" w14:textId="0497EC27"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4E62E2D2" w14:textId="2AA98BCE"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r>
      <w:tr w:rsidR="00C34EB0" w:rsidRPr="004211B2" w14:paraId="33721946" w14:textId="77777777" w:rsidTr="00D15FB9">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C58B72F"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BB+ to B-</w:t>
            </w:r>
          </w:p>
        </w:tc>
        <w:tc>
          <w:tcPr>
            <w:tcW w:w="2249" w:type="dxa"/>
            <w:shd w:val="clear" w:color="auto" w:fill="F2F2F2" w:themeFill="background1" w:themeFillShade="F2"/>
          </w:tcPr>
          <w:p w14:paraId="32784790" w14:textId="4300BC65"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4B5E2FB6" w14:textId="3D24C77C"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77592F22" w14:textId="45652278"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34EB0" w:rsidRPr="004211B2" w14:paraId="03B7A1AB" w14:textId="77777777" w:rsidTr="00D1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B4057E4"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Below B-</w:t>
            </w:r>
          </w:p>
        </w:tc>
        <w:tc>
          <w:tcPr>
            <w:tcW w:w="2249" w:type="dxa"/>
            <w:shd w:val="clear" w:color="auto" w:fill="F2F2F2" w:themeFill="background1" w:themeFillShade="F2"/>
          </w:tcPr>
          <w:p w14:paraId="2E7887EB" w14:textId="236728FA"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6102FDCA" w14:textId="67912762"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4ACF09CC" w14:textId="53E83E1E" w:rsidR="00C34EB0" w:rsidRPr="004211B2" w:rsidRDefault="00C34EB0" w:rsidP="00D15FB9">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r>
      <w:tr w:rsidR="00C34EB0" w:rsidRPr="004211B2" w14:paraId="7B09E90D" w14:textId="77777777" w:rsidTr="00D15FB9">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6C1C655" w14:textId="77777777" w:rsidR="00C34EB0" w:rsidRPr="004211B2" w:rsidRDefault="00C34EB0" w:rsidP="00D15FB9">
            <w:pPr>
              <w:pStyle w:val="APRANORMAL"/>
              <w:keepNext/>
              <w:spacing w:before="120" w:after="120"/>
              <w:rPr>
                <w:rFonts w:ascii="DIN OT Medium" w:hAnsi="DIN OT Medium"/>
                <w:b w:val="0"/>
                <w:sz w:val="20"/>
                <w:szCs w:val="20"/>
              </w:rPr>
            </w:pPr>
            <w:r>
              <w:rPr>
                <w:rFonts w:ascii="DIN OT Medium" w:hAnsi="DIN OT Medium"/>
                <w:b w:val="0"/>
                <w:sz w:val="20"/>
                <w:szCs w:val="20"/>
              </w:rPr>
              <w:t>Unrated</w:t>
            </w:r>
          </w:p>
        </w:tc>
        <w:tc>
          <w:tcPr>
            <w:tcW w:w="2249" w:type="dxa"/>
            <w:shd w:val="clear" w:color="auto" w:fill="F2F2F2" w:themeFill="background1" w:themeFillShade="F2"/>
          </w:tcPr>
          <w:p w14:paraId="42E280F9" w14:textId="47B8D16A"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067A9EFC" w14:textId="55098998"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2931EAD0" w14:textId="0FA3EDA7" w:rsidR="00C34EB0" w:rsidRPr="004211B2" w:rsidRDefault="00C34EB0" w:rsidP="00D15FB9">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bl>
    <w:p w14:paraId="5822493F" w14:textId="77777777" w:rsidR="005F1B68" w:rsidRDefault="005F1B68" w:rsidP="003C0D17">
      <w:pPr>
        <w:pStyle w:val="APRANORMAL"/>
        <w:rPr>
          <w:rFonts w:ascii="Helvetica Neue" w:hAnsi="Helvetica Neue"/>
          <w:sz w:val="19"/>
          <w:szCs w:val="19"/>
        </w:rPr>
      </w:pPr>
    </w:p>
    <w:p w14:paraId="3F4B3296" w14:textId="360A9FB0" w:rsidR="00C34EB0" w:rsidRDefault="00AF0DF6" w:rsidP="00441787">
      <w:pPr>
        <w:pStyle w:val="APRATABLE-NUMBER"/>
      </w:pPr>
      <w:r>
        <w:lastRenderedPageBreak/>
        <w:t xml:space="preserve">Exposures </w:t>
      </w:r>
      <w:r w:rsidR="00C34EB0">
        <w:t xml:space="preserve">(other than equity) </w:t>
      </w:r>
      <w:r>
        <w:t xml:space="preserve">to </w:t>
      </w:r>
      <w:r w:rsidR="00C34EB0">
        <w:t xml:space="preserve">ADIs and overseas banks, being </w:t>
      </w:r>
      <w:r>
        <w:t xml:space="preserve">exposures </w:t>
      </w:r>
      <w:r w:rsidR="00C34EB0">
        <w:t>with an original maturity of three months or less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C34EB0" w:rsidRPr="00055842" w14:paraId="48A8F21E"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42E07AE2" w14:textId="77777777" w:rsidR="00C34EB0" w:rsidRPr="004211B2" w:rsidRDefault="00C34EB0" w:rsidP="007A525C">
            <w:pPr>
              <w:pStyle w:val="APRANORMAL"/>
              <w:keepNext/>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38D71A80" w14:textId="030AD3D3" w:rsidR="00C34EB0" w:rsidRPr="00637571" w:rsidRDefault="007A525C"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C34EB0"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2F2077A5" w14:textId="0F37A3AF" w:rsidR="00C34EB0" w:rsidRPr="00637571" w:rsidRDefault="00C942B3"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7A525C">
              <w:rPr>
                <w:rFonts w:ascii="DIN OT Medium" w:hAnsi="DIN OT Medium"/>
                <w:b w:val="0"/>
                <w:sz w:val="20"/>
                <w:szCs w:val="20"/>
              </w:rPr>
              <w:t>III</w:t>
            </w:r>
            <w:r w:rsidR="007A525C">
              <w:rPr>
                <w:rFonts w:ascii="DIN OT Medium" w:hAnsi="DIN OT Medium"/>
                <w:b w:val="0"/>
                <w:sz w:val="20"/>
                <w:szCs w:val="20"/>
              </w:rPr>
              <w:br/>
              <w:t>RW</w:t>
            </w:r>
            <w:r w:rsidR="007A525C">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0B9AB1F0" w14:textId="6AF44258" w:rsidR="00C34EB0" w:rsidRPr="00637571" w:rsidRDefault="007A525C"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Proposed</w:t>
            </w:r>
            <w:r>
              <w:rPr>
                <w:rFonts w:ascii="DIN OT Medium" w:hAnsi="DIN OT Medium"/>
                <w:b w:val="0"/>
                <w:sz w:val="20"/>
                <w:szCs w:val="20"/>
              </w:rPr>
              <w:br/>
              <w:t>RW</w:t>
            </w:r>
            <w:r>
              <w:rPr>
                <w:rFonts w:ascii="DIN OT Medium" w:hAnsi="DIN OT Medium"/>
                <w:b w:val="0"/>
                <w:sz w:val="20"/>
                <w:szCs w:val="20"/>
              </w:rPr>
              <w:br/>
            </w:r>
            <w:r w:rsidR="00C34EB0" w:rsidRPr="00637571">
              <w:rPr>
                <w:rFonts w:ascii="DIN OT Medium" w:hAnsi="DIN OT Medium"/>
                <w:b w:val="0"/>
                <w:sz w:val="20"/>
                <w:szCs w:val="20"/>
              </w:rPr>
              <w:t>%</w:t>
            </w:r>
          </w:p>
        </w:tc>
      </w:tr>
      <w:tr w:rsidR="00FF4076" w:rsidRPr="004211B2" w14:paraId="49A6BE50"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45D5001" w14:textId="3BA26F67" w:rsidR="00FF4076" w:rsidRPr="004211B2" w:rsidRDefault="00FF4076" w:rsidP="007A525C">
            <w:pPr>
              <w:pStyle w:val="APRANORMAL"/>
              <w:keepNext/>
              <w:spacing w:before="120" w:after="120"/>
              <w:rPr>
                <w:rFonts w:ascii="DIN OT Medium" w:hAnsi="DIN OT Medium"/>
                <w:b w:val="0"/>
                <w:sz w:val="20"/>
                <w:szCs w:val="20"/>
              </w:rPr>
            </w:pPr>
            <w:r>
              <w:rPr>
                <w:rFonts w:ascii="DIN OT Medium" w:hAnsi="DIN OT Medium"/>
                <w:b w:val="0"/>
                <w:sz w:val="20"/>
                <w:szCs w:val="20"/>
              </w:rPr>
              <w:t>AAA to AA-</w:t>
            </w:r>
          </w:p>
        </w:tc>
        <w:tc>
          <w:tcPr>
            <w:tcW w:w="2249" w:type="dxa"/>
            <w:shd w:val="clear" w:color="auto" w:fill="F2F2F2" w:themeFill="background1" w:themeFillShade="F2"/>
          </w:tcPr>
          <w:p w14:paraId="5AD2E771" w14:textId="10ED9FEB"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6805B2EA" w14:textId="37E43E2F"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3DADA52F" w14:textId="6AE3AE4B"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FF4076" w:rsidRPr="004211B2" w14:paraId="4B1F831C" w14:textId="77777777" w:rsidTr="007A525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CDFCC6B" w14:textId="15DA1852" w:rsidR="00FF4076" w:rsidRPr="004211B2" w:rsidRDefault="00FF4076" w:rsidP="007A525C">
            <w:pPr>
              <w:pStyle w:val="APRANORMAL"/>
              <w:keepNext/>
              <w:spacing w:before="120" w:after="120"/>
              <w:rPr>
                <w:rFonts w:ascii="DIN OT Medium" w:hAnsi="DIN OT Medium"/>
                <w:b w:val="0"/>
                <w:sz w:val="20"/>
                <w:szCs w:val="20"/>
              </w:rPr>
            </w:pPr>
            <w:r>
              <w:rPr>
                <w:rFonts w:ascii="DIN OT Medium" w:hAnsi="DIN OT Medium"/>
                <w:b w:val="0"/>
                <w:sz w:val="20"/>
                <w:szCs w:val="20"/>
              </w:rPr>
              <w:t>A+ to A-</w:t>
            </w:r>
          </w:p>
        </w:tc>
        <w:tc>
          <w:tcPr>
            <w:tcW w:w="2249" w:type="dxa"/>
            <w:shd w:val="clear" w:color="auto" w:fill="F2F2F2" w:themeFill="background1" w:themeFillShade="F2"/>
          </w:tcPr>
          <w:p w14:paraId="50B1F80A" w14:textId="7CEABB3A"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5685894C" w14:textId="0834479A"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5BF11780" w14:textId="5F352BB1"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r w:rsidR="00FF4076" w:rsidRPr="004211B2" w14:paraId="7BDFA0E0"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2F59B72" w14:textId="47C1570B" w:rsidR="00FF4076" w:rsidRPr="004211B2" w:rsidRDefault="00FF4076" w:rsidP="007A525C">
            <w:pPr>
              <w:pStyle w:val="APRANORMAL"/>
              <w:keepNext/>
              <w:spacing w:before="120" w:after="120"/>
              <w:rPr>
                <w:rFonts w:ascii="DIN OT Medium" w:hAnsi="DIN OT Medium"/>
                <w:b w:val="0"/>
                <w:sz w:val="20"/>
                <w:szCs w:val="20"/>
              </w:rPr>
            </w:pPr>
            <w:r>
              <w:rPr>
                <w:rFonts w:ascii="DIN OT Medium" w:hAnsi="DIN OT Medium"/>
                <w:b w:val="0"/>
                <w:sz w:val="20"/>
                <w:szCs w:val="20"/>
              </w:rPr>
              <w:t>BBB+ to BBB-</w:t>
            </w:r>
          </w:p>
        </w:tc>
        <w:tc>
          <w:tcPr>
            <w:tcW w:w="2249" w:type="dxa"/>
            <w:shd w:val="clear" w:color="auto" w:fill="F2F2F2" w:themeFill="background1" w:themeFillShade="F2"/>
          </w:tcPr>
          <w:p w14:paraId="735928D2" w14:textId="609FA819"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3E7FFA46" w14:textId="49118B6C"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4EB11E2E" w14:textId="603E0E8E" w:rsidR="00FF4076" w:rsidRPr="004211B2" w:rsidRDefault="00FF4076"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FF4076" w:rsidRPr="004211B2" w14:paraId="14CE5954" w14:textId="77777777" w:rsidTr="007A525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D2BAD3B" w14:textId="4C6F2DD4" w:rsidR="00FF4076" w:rsidRPr="004211B2" w:rsidRDefault="00FF4076" w:rsidP="007A525C">
            <w:pPr>
              <w:pStyle w:val="APRANORMAL"/>
              <w:keepNext/>
              <w:spacing w:before="120" w:after="120"/>
              <w:rPr>
                <w:rFonts w:ascii="DIN OT Medium" w:hAnsi="DIN OT Medium"/>
                <w:b w:val="0"/>
                <w:sz w:val="20"/>
                <w:szCs w:val="20"/>
              </w:rPr>
            </w:pPr>
            <w:r>
              <w:rPr>
                <w:rFonts w:ascii="DIN OT Medium" w:hAnsi="DIN OT Medium"/>
                <w:b w:val="0"/>
                <w:sz w:val="20"/>
                <w:szCs w:val="20"/>
              </w:rPr>
              <w:t>BB+ to B-</w:t>
            </w:r>
          </w:p>
        </w:tc>
        <w:tc>
          <w:tcPr>
            <w:tcW w:w="2249" w:type="dxa"/>
            <w:shd w:val="clear" w:color="auto" w:fill="F2F2F2" w:themeFill="background1" w:themeFillShade="F2"/>
          </w:tcPr>
          <w:p w14:paraId="1FA19404" w14:textId="0AD34495"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14B8204B" w14:textId="4DBE36E6"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76BB919E" w14:textId="15788ABD" w:rsidR="00FF4076" w:rsidRPr="004211B2" w:rsidRDefault="00FF4076"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FF4076" w:rsidRPr="004211B2" w14:paraId="18122AE8"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B45B9F7" w14:textId="7C0636FD" w:rsidR="00FF4076" w:rsidRPr="004211B2" w:rsidRDefault="00FF4076" w:rsidP="007A525C">
            <w:pPr>
              <w:pStyle w:val="APRANORMAL"/>
              <w:spacing w:before="120" w:after="120"/>
              <w:rPr>
                <w:rFonts w:ascii="DIN OT Medium" w:hAnsi="DIN OT Medium"/>
                <w:b w:val="0"/>
                <w:sz w:val="20"/>
                <w:szCs w:val="20"/>
              </w:rPr>
            </w:pPr>
            <w:r>
              <w:rPr>
                <w:rFonts w:ascii="DIN OT Medium" w:hAnsi="DIN OT Medium"/>
                <w:b w:val="0"/>
                <w:sz w:val="20"/>
                <w:szCs w:val="20"/>
              </w:rPr>
              <w:t>Below B-</w:t>
            </w:r>
          </w:p>
        </w:tc>
        <w:tc>
          <w:tcPr>
            <w:tcW w:w="2249" w:type="dxa"/>
            <w:shd w:val="clear" w:color="auto" w:fill="F2F2F2" w:themeFill="background1" w:themeFillShade="F2"/>
          </w:tcPr>
          <w:p w14:paraId="4CFC1963" w14:textId="1F14181A" w:rsidR="00FF4076" w:rsidRPr="004211B2" w:rsidRDefault="00FF4076"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7E66D0F0" w14:textId="4388C75D" w:rsidR="00FF4076" w:rsidRPr="004211B2" w:rsidRDefault="00FF4076"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496A8F8F" w14:textId="5FEF57BF" w:rsidR="00FF4076" w:rsidRPr="004211B2" w:rsidRDefault="00FF4076"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r>
    </w:tbl>
    <w:p w14:paraId="151C2068" w14:textId="04D93CF4" w:rsidR="00C77FB7" w:rsidRDefault="00C77FB7" w:rsidP="00C77FB7">
      <w:pPr>
        <w:pStyle w:val="APRANORMAL"/>
      </w:pPr>
    </w:p>
    <w:p w14:paraId="5CE36980" w14:textId="46094637" w:rsidR="009F4EFF" w:rsidRDefault="00AF0DF6" w:rsidP="00441787">
      <w:pPr>
        <w:pStyle w:val="APRATABLE-NUMBER"/>
      </w:pPr>
      <w:r>
        <w:t>Exposures to</w:t>
      </w:r>
      <w:r w:rsidR="009F4EFF">
        <w:t xml:space="preserve"> unrated ADIs and overseas banks, being </w:t>
      </w:r>
      <w:r>
        <w:t xml:space="preserve">exposures </w:t>
      </w:r>
      <w:r w:rsidR="009F4EFF">
        <w:t>with an original maturity of three months or less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9F4EFF" w:rsidRPr="00055842" w14:paraId="25EE7F0E"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1B533C05" w14:textId="77777777" w:rsidR="009F4EFF" w:rsidRPr="004211B2" w:rsidRDefault="009F4EFF" w:rsidP="007A525C">
            <w:pPr>
              <w:pStyle w:val="APRANORMAL"/>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63323EEA" w14:textId="768D3223" w:rsidR="009F4EFF" w:rsidRPr="00637571" w:rsidRDefault="007A525C"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RE</w:t>
            </w:r>
            <w:r>
              <w:rPr>
                <w:rFonts w:ascii="DIN OT Medium" w:hAnsi="DIN OT Medium"/>
                <w:b w:val="0"/>
                <w:sz w:val="20"/>
                <w:szCs w:val="20"/>
              </w:rPr>
              <w:br/>
            </w:r>
            <w:r w:rsidR="009F4EFF"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19A49291" w14:textId="0ED7CB47" w:rsidR="009F4EFF" w:rsidRPr="00637571" w:rsidRDefault="00C942B3"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7A525C">
              <w:rPr>
                <w:rFonts w:ascii="DIN OT Medium" w:hAnsi="DIN OT Medium"/>
                <w:b w:val="0"/>
                <w:sz w:val="20"/>
                <w:szCs w:val="20"/>
              </w:rPr>
              <w:t>III</w:t>
            </w:r>
            <w:r w:rsidR="007A525C">
              <w:rPr>
                <w:rFonts w:ascii="DIN OT Medium" w:hAnsi="DIN OT Medium"/>
                <w:b w:val="0"/>
                <w:sz w:val="20"/>
                <w:szCs w:val="20"/>
              </w:rPr>
              <w:br/>
              <w:t>RW</w:t>
            </w:r>
            <w:r w:rsidR="007A525C">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59978C4E" w14:textId="5C4B597E" w:rsidR="009F4EFF" w:rsidRPr="00637571" w:rsidRDefault="007A525C"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Pr</w:t>
            </w:r>
            <w:r w:rsidR="009F4EFF" w:rsidRPr="00637571">
              <w:rPr>
                <w:rFonts w:ascii="DIN OT Medium" w:hAnsi="DIN OT Medium"/>
                <w:b w:val="0"/>
                <w:sz w:val="20"/>
                <w:szCs w:val="20"/>
              </w:rPr>
              <w:t>oposed</w:t>
            </w:r>
            <w:r>
              <w:rPr>
                <w:rFonts w:ascii="DIN OT Medium" w:hAnsi="DIN OT Medium"/>
                <w:b w:val="0"/>
                <w:sz w:val="20"/>
                <w:szCs w:val="20"/>
              </w:rPr>
              <w:br/>
              <w:t>RW</w:t>
            </w:r>
            <w:r>
              <w:rPr>
                <w:rFonts w:ascii="DIN OT Medium" w:hAnsi="DIN OT Medium"/>
                <w:b w:val="0"/>
                <w:sz w:val="20"/>
                <w:szCs w:val="20"/>
              </w:rPr>
              <w:br/>
            </w:r>
            <w:r w:rsidR="009F4EFF" w:rsidRPr="00637571">
              <w:rPr>
                <w:rFonts w:ascii="DIN OT Medium" w:hAnsi="DIN OT Medium"/>
                <w:b w:val="0"/>
                <w:sz w:val="20"/>
                <w:szCs w:val="20"/>
              </w:rPr>
              <w:t>%</w:t>
            </w:r>
          </w:p>
        </w:tc>
      </w:tr>
      <w:tr w:rsidR="009F4EFF" w:rsidRPr="004211B2" w14:paraId="524E5DAD"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98CF315" w14:textId="77777777" w:rsidR="009F4EFF" w:rsidRPr="004211B2" w:rsidRDefault="009F4EFF" w:rsidP="007A525C">
            <w:pPr>
              <w:pStyle w:val="APRANORMAL"/>
              <w:spacing w:before="120" w:after="120"/>
              <w:rPr>
                <w:rFonts w:ascii="DIN OT Medium" w:hAnsi="DIN OT Medium"/>
                <w:b w:val="0"/>
                <w:sz w:val="20"/>
                <w:szCs w:val="20"/>
              </w:rPr>
            </w:pPr>
            <w:r>
              <w:rPr>
                <w:rFonts w:ascii="DIN OT Medium" w:hAnsi="DIN OT Medium"/>
                <w:b w:val="0"/>
                <w:sz w:val="20"/>
                <w:szCs w:val="20"/>
              </w:rPr>
              <w:t>Grade A</w:t>
            </w:r>
          </w:p>
        </w:tc>
        <w:tc>
          <w:tcPr>
            <w:tcW w:w="2249" w:type="dxa"/>
            <w:shd w:val="clear" w:color="auto" w:fill="F2F2F2" w:themeFill="background1" w:themeFillShade="F2"/>
          </w:tcPr>
          <w:p w14:paraId="3F5652E8" w14:textId="7ACD4168"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6DB765CC" w14:textId="2A5FAFA3"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2FC922F2" w14:textId="780DFD4A"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9F4EFF" w:rsidRPr="004211B2" w14:paraId="2B1D9B3E" w14:textId="77777777" w:rsidTr="007A525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36CA5CB" w14:textId="77777777" w:rsidR="009F4EFF" w:rsidRPr="004211B2" w:rsidRDefault="009F4EFF" w:rsidP="007A525C">
            <w:pPr>
              <w:pStyle w:val="APRANORMAL"/>
              <w:spacing w:before="120" w:after="120"/>
              <w:rPr>
                <w:rFonts w:ascii="DIN OT Medium" w:hAnsi="DIN OT Medium"/>
                <w:b w:val="0"/>
                <w:sz w:val="20"/>
                <w:szCs w:val="20"/>
              </w:rPr>
            </w:pPr>
            <w:r>
              <w:rPr>
                <w:rFonts w:ascii="DIN OT Medium" w:hAnsi="DIN OT Medium"/>
                <w:b w:val="0"/>
                <w:sz w:val="20"/>
                <w:szCs w:val="20"/>
              </w:rPr>
              <w:t>Grade B</w:t>
            </w:r>
          </w:p>
        </w:tc>
        <w:tc>
          <w:tcPr>
            <w:tcW w:w="2249" w:type="dxa"/>
            <w:shd w:val="clear" w:color="auto" w:fill="F2F2F2" w:themeFill="background1" w:themeFillShade="F2"/>
          </w:tcPr>
          <w:p w14:paraId="1A211E76" w14:textId="2F532725" w:rsidR="009F4EFF" w:rsidRPr="004211B2" w:rsidRDefault="009F4EFF"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039A53D0" w14:textId="33E1BA83" w:rsidR="009F4EFF" w:rsidRPr="004211B2" w:rsidRDefault="009F4EFF"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528DF5DA" w14:textId="4BBAF85E" w:rsidR="009F4EFF" w:rsidRPr="004211B2" w:rsidRDefault="009F4EFF"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9F4EFF" w:rsidRPr="004211B2" w14:paraId="62499DDC"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9D95458" w14:textId="77777777" w:rsidR="009F4EFF" w:rsidRPr="004211B2" w:rsidRDefault="009F4EFF" w:rsidP="007A525C">
            <w:pPr>
              <w:pStyle w:val="APRANORMAL"/>
              <w:spacing w:before="120" w:after="120"/>
              <w:rPr>
                <w:rFonts w:ascii="DIN OT Medium" w:hAnsi="DIN OT Medium"/>
                <w:b w:val="0"/>
                <w:sz w:val="20"/>
                <w:szCs w:val="20"/>
              </w:rPr>
            </w:pPr>
            <w:r>
              <w:rPr>
                <w:rFonts w:ascii="DIN OT Medium" w:hAnsi="DIN OT Medium"/>
                <w:b w:val="0"/>
                <w:sz w:val="20"/>
                <w:szCs w:val="20"/>
              </w:rPr>
              <w:t>Grade C</w:t>
            </w:r>
          </w:p>
        </w:tc>
        <w:tc>
          <w:tcPr>
            <w:tcW w:w="2249" w:type="dxa"/>
            <w:shd w:val="clear" w:color="auto" w:fill="F2F2F2" w:themeFill="background1" w:themeFillShade="F2"/>
          </w:tcPr>
          <w:p w14:paraId="11857E00" w14:textId="241193BB"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493F8B29" w14:textId="75BCF333"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25CA7079" w14:textId="5ED70AFC" w:rsidR="009F4EFF" w:rsidRPr="004211B2" w:rsidRDefault="009F4EFF"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r>
    </w:tbl>
    <w:p w14:paraId="4602AE16" w14:textId="09942469" w:rsidR="00C77FB7" w:rsidRPr="00DD4BD1" w:rsidRDefault="00AF0DF6" w:rsidP="00441787">
      <w:pPr>
        <w:pStyle w:val="APRATABLE-NUMBER"/>
      </w:pPr>
      <w:r>
        <w:t>Exposures</w:t>
      </w:r>
      <w:r w:rsidRPr="00020E60">
        <w:t xml:space="preserve"> </w:t>
      </w:r>
      <w:r w:rsidR="00C77FB7" w:rsidRPr="00020E60">
        <w:t>(o</w:t>
      </w:r>
      <w:r w:rsidR="00C77FB7" w:rsidRPr="00424F2A">
        <w:t xml:space="preserve">ther than equity) </w:t>
      </w:r>
      <w:r>
        <w:t>to</w:t>
      </w:r>
      <w:r w:rsidRPr="00424F2A">
        <w:t xml:space="preserve"> </w:t>
      </w:r>
      <w:r w:rsidR="00C77FB7" w:rsidRPr="00424F2A">
        <w:t>ADIs and overseas banks with an original maturity</w:t>
      </w:r>
      <w:r w:rsidR="00C77FB7" w:rsidRPr="00DD4BD1">
        <w:t xml:space="preserve"> of more than three months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C77FB7" w:rsidRPr="00055842" w14:paraId="7C78E5DB"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6FDD4F51" w14:textId="4764ACCF" w:rsidR="00C77FB7" w:rsidRPr="004211B2" w:rsidRDefault="007A525C" w:rsidP="007A525C">
            <w:pPr>
              <w:pStyle w:val="APRANORMAL"/>
              <w:spacing w:before="120" w:after="120"/>
              <w:rPr>
                <w:rFonts w:ascii="DIN OT Medium" w:hAnsi="DIN OT Medium"/>
                <w:b w:val="0"/>
                <w:sz w:val="20"/>
                <w:szCs w:val="20"/>
              </w:rPr>
            </w:pPr>
            <w:r>
              <w:rPr>
                <w:rFonts w:ascii="DIN OT Medium" w:hAnsi="DIN OT Medium"/>
                <w:b w:val="0"/>
                <w:sz w:val="20"/>
                <w:szCs w:val="20"/>
              </w:rPr>
              <w:t>Credit rating grade</w:t>
            </w:r>
          </w:p>
        </w:tc>
        <w:tc>
          <w:tcPr>
            <w:tcW w:w="2249" w:type="dxa"/>
            <w:tcBorders>
              <w:left w:val="single" w:sz="4" w:space="0" w:color="FFFFFF" w:themeColor="background1"/>
              <w:right w:val="single" w:sz="4" w:space="0" w:color="FFFFFF" w:themeColor="background1"/>
            </w:tcBorders>
            <w:shd w:val="clear" w:color="auto" w:fill="002060"/>
          </w:tcPr>
          <w:p w14:paraId="1838C1A7" w14:textId="2FDBE5D3" w:rsidR="00C77FB7" w:rsidRPr="00637571" w:rsidRDefault="007A525C"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sidR="00C77FB7" w:rsidRPr="00637571">
              <w:rPr>
                <w:rFonts w:ascii="DIN OT Medium" w:hAnsi="DIN OT Medium"/>
                <w:b w:val="0"/>
                <w:sz w:val="20"/>
                <w:szCs w:val="20"/>
              </w:rPr>
              <w:t>%</w:t>
            </w:r>
            <w:r>
              <w:rPr>
                <w:rFonts w:ascii="DIN OT Medium" w:hAnsi="DIN OT Medium"/>
                <w:b w:val="0"/>
                <w:sz w:val="20"/>
                <w:szCs w:val="20"/>
              </w:rPr>
              <w:br/>
              <w:t>RW</w:t>
            </w:r>
          </w:p>
        </w:tc>
        <w:tc>
          <w:tcPr>
            <w:tcW w:w="2249" w:type="dxa"/>
            <w:tcBorders>
              <w:left w:val="single" w:sz="4" w:space="0" w:color="FFFFFF" w:themeColor="background1"/>
              <w:right w:val="single" w:sz="4" w:space="0" w:color="FFFFFF" w:themeColor="background1"/>
            </w:tcBorders>
            <w:shd w:val="clear" w:color="auto" w:fill="002060"/>
          </w:tcPr>
          <w:p w14:paraId="5469D472" w14:textId="3D1074DB" w:rsidR="00C77FB7" w:rsidRPr="00637571" w:rsidRDefault="00C942B3"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7A525C">
              <w:rPr>
                <w:rFonts w:ascii="DIN OT Medium" w:hAnsi="DIN OT Medium"/>
                <w:b w:val="0"/>
                <w:sz w:val="20"/>
                <w:szCs w:val="20"/>
              </w:rPr>
              <w:t>III</w:t>
            </w:r>
            <w:r w:rsidR="007A525C">
              <w:rPr>
                <w:rFonts w:ascii="DIN OT Medium" w:hAnsi="DIN OT Medium"/>
                <w:b w:val="0"/>
                <w:sz w:val="20"/>
                <w:szCs w:val="20"/>
              </w:rPr>
              <w:br/>
              <w:t>RW</w:t>
            </w:r>
            <w:r w:rsidR="007A525C">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7B07FCC4" w14:textId="77D42239" w:rsidR="00C77FB7" w:rsidRPr="00637571" w:rsidRDefault="007A525C" w:rsidP="007A525C">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C77FB7"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00C77FB7" w:rsidRPr="00637571">
              <w:rPr>
                <w:rFonts w:ascii="DIN OT Medium" w:hAnsi="DIN OT Medium"/>
                <w:b w:val="0"/>
                <w:sz w:val="20"/>
                <w:szCs w:val="20"/>
              </w:rPr>
              <w:t>%</w:t>
            </w:r>
          </w:p>
        </w:tc>
      </w:tr>
      <w:tr w:rsidR="00C77FB7" w:rsidRPr="004211B2" w14:paraId="6B3C14C7"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5171019" w14:textId="77777777" w:rsidR="00C77FB7" w:rsidRPr="004211B2" w:rsidRDefault="00C77FB7" w:rsidP="007A525C">
            <w:pPr>
              <w:pStyle w:val="APRANORMAL"/>
              <w:spacing w:before="120" w:after="120"/>
              <w:rPr>
                <w:rFonts w:ascii="DIN OT Medium" w:hAnsi="DIN OT Medium"/>
                <w:b w:val="0"/>
                <w:sz w:val="20"/>
                <w:szCs w:val="20"/>
              </w:rPr>
            </w:pPr>
            <w:r>
              <w:rPr>
                <w:rFonts w:ascii="DIN OT Medium" w:hAnsi="DIN OT Medium"/>
                <w:b w:val="0"/>
                <w:sz w:val="20"/>
                <w:szCs w:val="20"/>
              </w:rPr>
              <w:t>AAA to AA-</w:t>
            </w:r>
          </w:p>
        </w:tc>
        <w:tc>
          <w:tcPr>
            <w:tcW w:w="2249" w:type="dxa"/>
            <w:shd w:val="clear" w:color="auto" w:fill="F2F2F2" w:themeFill="background1" w:themeFillShade="F2"/>
          </w:tcPr>
          <w:p w14:paraId="20D16D92" w14:textId="676E4969"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1D652F64" w14:textId="368E33CD"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4DD7CF64" w14:textId="2BC7CD20"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C77FB7" w:rsidRPr="004211B2" w14:paraId="28634268" w14:textId="77777777" w:rsidTr="007A525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7AF6143F" w14:textId="77777777" w:rsidR="00C77FB7" w:rsidRPr="004211B2" w:rsidRDefault="00C77FB7" w:rsidP="007A525C">
            <w:pPr>
              <w:pStyle w:val="APRANORMAL"/>
              <w:spacing w:before="120" w:after="120"/>
              <w:rPr>
                <w:rFonts w:ascii="DIN OT Medium" w:hAnsi="DIN OT Medium"/>
                <w:b w:val="0"/>
                <w:sz w:val="20"/>
                <w:szCs w:val="20"/>
              </w:rPr>
            </w:pPr>
            <w:r>
              <w:rPr>
                <w:rFonts w:ascii="DIN OT Medium" w:hAnsi="DIN OT Medium"/>
                <w:b w:val="0"/>
                <w:sz w:val="20"/>
                <w:szCs w:val="20"/>
              </w:rPr>
              <w:t>A+ to A-</w:t>
            </w:r>
          </w:p>
        </w:tc>
        <w:tc>
          <w:tcPr>
            <w:tcW w:w="2249" w:type="dxa"/>
            <w:shd w:val="clear" w:color="auto" w:fill="F2F2F2" w:themeFill="background1" w:themeFillShade="F2"/>
          </w:tcPr>
          <w:p w14:paraId="4D739BC3" w14:textId="0D03336A"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672B70D0" w14:textId="08661D36"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49" w:type="dxa"/>
            <w:shd w:val="clear" w:color="auto" w:fill="F2F2F2" w:themeFill="background1" w:themeFillShade="F2"/>
          </w:tcPr>
          <w:p w14:paraId="0893C7C3" w14:textId="2B15171F"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r>
      <w:tr w:rsidR="00C77FB7" w:rsidRPr="004211B2" w14:paraId="2674CD98"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02F75CF6" w14:textId="77777777" w:rsidR="00C77FB7" w:rsidRPr="004211B2" w:rsidRDefault="00C77FB7" w:rsidP="007A525C">
            <w:pPr>
              <w:pStyle w:val="APRANORMAL"/>
              <w:spacing w:before="120" w:after="120"/>
              <w:rPr>
                <w:rFonts w:ascii="DIN OT Medium" w:hAnsi="DIN OT Medium"/>
                <w:b w:val="0"/>
                <w:sz w:val="20"/>
                <w:szCs w:val="20"/>
              </w:rPr>
            </w:pPr>
            <w:r>
              <w:rPr>
                <w:rFonts w:ascii="DIN OT Medium" w:hAnsi="DIN OT Medium"/>
                <w:b w:val="0"/>
                <w:sz w:val="20"/>
                <w:szCs w:val="20"/>
              </w:rPr>
              <w:t>BBB+ to BBB-</w:t>
            </w:r>
          </w:p>
        </w:tc>
        <w:tc>
          <w:tcPr>
            <w:tcW w:w="2249" w:type="dxa"/>
            <w:shd w:val="clear" w:color="auto" w:fill="F2F2F2" w:themeFill="background1" w:themeFillShade="F2"/>
          </w:tcPr>
          <w:p w14:paraId="66B6004A" w14:textId="4ED81D0F"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6F35F631" w14:textId="507B5D02"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0432A872" w14:textId="6324D993"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r>
      <w:tr w:rsidR="00C77FB7" w:rsidRPr="004211B2" w14:paraId="2E4D4833" w14:textId="77777777" w:rsidTr="007A525C">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A001230" w14:textId="77777777" w:rsidR="00C77FB7" w:rsidRPr="004211B2" w:rsidRDefault="00C77FB7" w:rsidP="007A525C">
            <w:pPr>
              <w:pStyle w:val="APRANORMAL"/>
              <w:spacing w:before="120" w:after="120"/>
              <w:rPr>
                <w:rFonts w:ascii="DIN OT Medium" w:hAnsi="DIN OT Medium"/>
                <w:b w:val="0"/>
                <w:sz w:val="20"/>
                <w:szCs w:val="20"/>
              </w:rPr>
            </w:pPr>
            <w:r>
              <w:rPr>
                <w:rFonts w:ascii="DIN OT Medium" w:hAnsi="DIN OT Medium"/>
                <w:b w:val="0"/>
                <w:sz w:val="20"/>
                <w:szCs w:val="20"/>
              </w:rPr>
              <w:t>BB+ to B-</w:t>
            </w:r>
          </w:p>
        </w:tc>
        <w:tc>
          <w:tcPr>
            <w:tcW w:w="2249" w:type="dxa"/>
            <w:shd w:val="clear" w:color="auto" w:fill="F2F2F2" w:themeFill="background1" w:themeFillShade="F2"/>
          </w:tcPr>
          <w:p w14:paraId="1FC6B0B4" w14:textId="53DFA117"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2475A722" w14:textId="27ABFF01"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5099909A" w14:textId="17BBCA06" w:rsidR="00C77FB7" w:rsidRPr="004211B2" w:rsidRDefault="00C77FB7" w:rsidP="007A525C">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77FB7" w:rsidRPr="004211B2" w14:paraId="4B621815" w14:textId="77777777" w:rsidTr="007A5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5D7A7B7" w14:textId="77777777" w:rsidR="00C77FB7" w:rsidRPr="004211B2" w:rsidRDefault="00C77FB7" w:rsidP="007A525C">
            <w:pPr>
              <w:pStyle w:val="APRANORMAL"/>
              <w:spacing w:before="120" w:after="120"/>
              <w:rPr>
                <w:rFonts w:ascii="DIN OT Medium" w:hAnsi="DIN OT Medium"/>
                <w:b w:val="0"/>
                <w:sz w:val="20"/>
                <w:szCs w:val="20"/>
              </w:rPr>
            </w:pPr>
            <w:r>
              <w:rPr>
                <w:rFonts w:ascii="DIN OT Medium" w:hAnsi="DIN OT Medium"/>
                <w:b w:val="0"/>
                <w:sz w:val="20"/>
                <w:szCs w:val="20"/>
              </w:rPr>
              <w:t>Below B-</w:t>
            </w:r>
          </w:p>
        </w:tc>
        <w:tc>
          <w:tcPr>
            <w:tcW w:w="2249" w:type="dxa"/>
            <w:shd w:val="clear" w:color="auto" w:fill="F2F2F2" w:themeFill="background1" w:themeFillShade="F2"/>
          </w:tcPr>
          <w:p w14:paraId="1D49F37F" w14:textId="4533C4A0"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390F04B6" w14:textId="0C6284B6"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10348F17" w14:textId="1A42180E" w:rsidR="00C77FB7" w:rsidRPr="004211B2" w:rsidRDefault="00C77FB7" w:rsidP="007A525C">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r>
    </w:tbl>
    <w:p w14:paraId="403BD47E" w14:textId="77777777" w:rsidR="00C34EB0" w:rsidRPr="00F25D08" w:rsidRDefault="00C34EB0" w:rsidP="003C0D17">
      <w:pPr>
        <w:pStyle w:val="APRANORMAL"/>
      </w:pPr>
    </w:p>
    <w:p w14:paraId="41CA75CE" w14:textId="64283A42" w:rsidR="009F4EFF" w:rsidRDefault="00AF0DF6" w:rsidP="00441787">
      <w:pPr>
        <w:pStyle w:val="APRATABLE-NUMBER"/>
      </w:pPr>
      <w:r>
        <w:lastRenderedPageBreak/>
        <w:t>Exposures to</w:t>
      </w:r>
      <w:r w:rsidR="009F4EFF">
        <w:t xml:space="preserve"> unrated ADIs and overseas banks</w:t>
      </w:r>
      <w:r w:rsidR="009F4EFF" w:rsidRPr="009F4EFF">
        <w:t xml:space="preserve"> </w:t>
      </w:r>
      <w:r w:rsidR="009F4EFF">
        <w:t>with an original maturity of more than three months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9F4EFF" w:rsidRPr="00055842" w14:paraId="4DB17559"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0F163170" w14:textId="77777777" w:rsidR="009F4EFF" w:rsidRPr="004211B2" w:rsidRDefault="009F4EFF" w:rsidP="007A525C">
            <w:pPr>
              <w:pStyle w:val="APRANORMAL"/>
              <w:keepNext/>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617341BE" w14:textId="05A04469" w:rsidR="009F4EFF" w:rsidRPr="00637571" w:rsidRDefault="007A525C"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9F4EFF"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1DAE0EBC" w14:textId="03E961DA" w:rsidR="009F4EFF" w:rsidRPr="00637571" w:rsidRDefault="00C942B3"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7A525C">
              <w:rPr>
                <w:rFonts w:ascii="DIN OT Medium" w:hAnsi="DIN OT Medium"/>
                <w:b w:val="0"/>
                <w:sz w:val="20"/>
                <w:szCs w:val="20"/>
              </w:rPr>
              <w:t>III</w:t>
            </w:r>
            <w:r w:rsidR="007A525C">
              <w:rPr>
                <w:rFonts w:ascii="DIN OT Medium" w:hAnsi="DIN OT Medium"/>
                <w:b w:val="0"/>
                <w:sz w:val="20"/>
                <w:szCs w:val="20"/>
              </w:rPr>
              <w:br/>
              <w:t>RW</w:t>
            </w:r>
            <w:r w:rsidR="007A525C">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39780DAD" w14:textId="58F6D24D" w:rsidR="009F4EFF" w:rsidRPr="00637571" w:rsidRDefault="007A525C" w:rsidP="007A525C">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9F4EFF"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009F4EFF" w:rsidRPr="00637571">
              <w:rPr>
                <w:rFonts w:ascii="DIN OT Medium" w:hAnsi="DIN OT Medium"/>
                <w:b w:val="0"/>
                <w:sz w:val="20"/>
                <w:szCs w:val="20"/>
              </w:rPr>
              <w:t>%</w:t>
            </w:r>
          </w:p>
        </w:tc>
      </w:tr>
      <w:tr w:rsidR="009F4EFF" w:rsidRPr="004211B2" w14:paraId="3D1C3A03"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47E75B7" w14:textId="7EEA4839" w:rsidR="009F4EFF" w:rsidRDefault="009F4EFF" w:rsidP="007A525C">
            <w:pPr>
              <w:pStyle w:val="APRANORMAL"/>
              <w:keepNext/>
              <w:spacing w:before="120" w:after="120"/>
              <w:rPr>
                <w:rFonts w:ascii="DIN OT Medium" w:hAnsi="DIN OT Medium"/>
                <w:b w:val="0"/>
                <w:sz w:val="20"/>
                <w:szCs w:val="20"/>
              </w:rPr>
            </w:pPr>
            <w:r>
              <w:rPr>
                <w:rFonts w:ascii="DIN OT Medium" w:hAnsi="DIN OT Medium"/>
                <w:b w:val="0"/>
                <w:sz w:val="20"/>
                <w:szCs w:val="20"/>
              </w:rPr>
              <w:t>Grade A</w:t>
            </w:r>
          </w:p>
        </w:tc>
        <w:tc>
          <w:tcPr>
            <w:tcW w:w="2249" w:type="dxa"/>
            <w:shd w:val="clear" w:color="auto" w:fill="F2F2F2" w:themeFill="background1" w:themeFillShade="F2"/>
          </w:tcPr>
          <w:p w14:paraId="1276CAEB" w14:textId="191374E8" w:rsidR="009F4EFF"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72536040" w14:textId="1A78A4C0" w:rsidR="009F4EFF"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2249" w:type="dxa"/>
            <w:shd w:val="clear" w:color="auto" w:fill="F2F2F2" w:themeFill="background1" w:themeFillShade="F2"/>
          </w:tcPr>
          <w:p w14:paraId="03A07103" w14:textId="215523A2" w:rsidR="009F4EFF"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r>
      <w:tr w:rsidR="00F9538B" w:rsidRPr="004211B2" w14:paraId="44EA8DA0" w14:textId="77777777" w:rsidTr="00F25D08">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DAC5CC2" w14:textId="0A5F6E7B" w:rsidR="00F9538B" w:rsidRDefault="00F9538B" w:rsidP="007A525C">
            <w:pPr>
              <w:pStyle w:val="APRANORMAL"/>
              <w:keepNext/>
              <w:spacing w:before="120" w:after="120"/>
              <w:rPr>
                <w:rFonts w:ascii="DIN OT Medium" w:hAnsi="DIN OT Medium"/>
                <w:b w:val="0"/>
                <w:sz w:val="20"/>
                <w:szCs w:val="20"/>
              </w:rPr>
            </w:pPr>
            <w:r>
              <w:rPr>
                <w:rFonts w:ascii="DIN OT Medium" w:hAnsi="DIN OT Medium"/>
                <w:b w:val="0"/>
                <w:sz w:val="20"/>
                <w:szCs w:val="20"/>
              </w:rPr>
              <w:t>Grade ‘A+’</w:t>
            </w:r>
          </w:p>
        </w:tc>
        <w:tc>
          <w:tcPr>
            <w:tcW w:w="2249" w:type="dxa"/>
            <w:shd w:val="clear" w:color="auto" w:fill="F2F2F2" w:themeFill="background1" w:themeFillShade="F2"/>
          </w:tcPr>
          <w:p w14:paraId="786F4CB3" w14:textId="416079BF" w:rsidR="00F9538B" w:rsidRDefault="00F9538B"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60DE6124" w14:textId="746D2D0B" w:rsidR="00F9538B" w:rsidRDefault="00F9538B"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49" w:type="dxa"/>
            <w:shd w:val="clear" w:color="auto" w:fill="F2F2F2" w:themeFill="background1" w:themeFillShade="F2"/>
          </w:tcPr>
          <w:p w14:paraId="4E41947E" w14:textId="322482E6" w:rsidR="00F9538B" w:rsidRDefault="00F9538B"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9F4EFF" w:rsidRPr="004211B2" w14:paraId="3576BF2D" w14:textId="77777777" w:rsidTr="00F25D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727EB1E" w14:textId="77777777" w:rsidR="009F4EFF" w:rsidRPr="004211B2" w:rsidRDefault="009F4EFF" w:rsidP="007A525C">
            <w:pPr>
              <w:pStyle w:val="APRANORMAL"/>
              <w:keepNext/>
              <w:spacing w:before="120" w:after="120"/>
              <w:rPr>
                <w:rFonts w:ascii="DIN OT Medium" w:hAnsi="DIN OT Medium"/>
                <w:b w:val="0"/>
                <w:sz w:val="20"/>
                <w:szCs w:val="20"/>
              </w:rPr>
            </w:pPr>
            <w:r>
              <w:rPr>
                <w:rFonts w:ascii="DIN OT Medium" w:hAnsi="DIN OT Medium"/>
                <w:b w:val="0"/>
                <w:sz w:val="20"/>
                <w:szCs w:val="20"/>
              </w:rPr>
              <w:t>Grade B</w:t>
            </w:r>
          </w:p>
        </w:tc>
        <w:tc>
          <w:tcPr>
            <w:tcW w:w="2249" w:type="dxa"/>
            <w:shd w:val="clear" w:color="auto" w:fill="F2F2F2" w:themeFill="background1" w:themeFillShade="F2"/>
          </w:tcPr>
          <w:p w14:paraId="1173BF75" w14:textId="026D98B8" w:rsidR="009F4EFF" w:rsidRPr="004211B2"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2084B204" w14:textId="0F923381" w:rsidR="009F4EFF" w:rsidRPr="004211B2"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2249" w:type="dxa"/>
            <w:shd w:val="clear" w:color="auto" w:fill="F2F2F2" w:themeFill="background1" w:themeFillShade="F2"/>
          </w:tcPr>
          <w:p w14:paraId="1DADF402" w14:textId="15AA959E" w:rsidR="009F4EFF" w:rsidRPr="004211B2" w:rsidRDefault="009F4EFF" w:rsidP="007A525C">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r>
      <w:tr w:rsidR="009F4EFF" w:rsidRPr="004211B2" w14:paraId="1BEE4B15" w14:textId="77777777" w:rsidTr="00F25D08">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7910202" w14:textId="77777777" w:rsidR="009F4EFF" w:rsidRPr="004211B2" w:rsidRDefault="009F4EFF" w:rsidP="007A525C">
            <w:pPr>
              <w:pStyle w:val="APRANORMAL"/>
              <w:keepNext/>
              <w:spacing w:before="120" w:after="120"/>
              <w:rPr>
                <w:rFonts w:ascii="DIN OT Medium" w:hAnsi="DIN OT Medium"/>
                <w:b w:val="0"/>
                <w:sz w:val="20"/>
                <w:szCs w:val="20"/>
              </w:rPr>
            </w:pPr>
            <w:r>
              <w:rPr>
                <w:rFonts w:ascii="DIN OT Medium" w:hAnsi="DIN OT Medium"/>
                <w:b w:val="0"/>
                <w:sz w:val="20"/>
                <w:szCs w:val="20"/>
              </w:rPr>
              <w:t>Grade C</w:t>
            </w:r>
          </w:p>
        </w:tc>
        <w:tc>
          <w:tcPr>
            <w:tcW w:w="2249" w:type="dxa"/>
            <w:shd w:val="clear" w:color="auto" w:fill="F2F2F2" w:themeFill="background1" w:themeFillShade="F2"/>
          </w:tcPr>
          <w:p w14:paraId="0106C658" w14:textId="4188886F" w:rsidR="009F4EFF" w:rsidRPr="004211B2" w:rsidRDefault="009F4EFF"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7BF3D99C" w14:textId="76CE86DE" w:rsidR="009F4EFF" w:rsidRPr="004211B2" w:rsidRDefault="009F4EFF"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tcPr>
          <w:p w14:paraId="54F025FD" w14:textId="7A4D8EC9" w:rsidR="009F4EFF" w:rsidRPr="004211B2" w:rsidRDefault="009F4EFF" w:rsidP="007A525C">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r>
    </w:tbl>
    <w:p w14:paraId="18443439" w14:textId="77777777" w:rsidR="00B058B7" w:rsidRDefault="00B058B7" w:rsidP="003E1593">
      <w:pPr>
        <w:pStyle w:val="APRANORMAL"/>
      </w:pPr>
    </w:p>
    <w:p w14:paraId="20ABD108" w14:textId="2B7A9B16" w:rsidR="00B058B7" w:rsidRDefault="008C4757" w:rsidP="00441787">
      <w:pPr>
        <w:pStyle w:val="APRATABLE-NUMBER"/>
      </w:pPr>
      <w:r>
        <w:t>Rated covered bond exposures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8C4757" w:rsidRPr="00637571" w14:paraId="74B418AD"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2C665E7D" w14:textId="276C4AB6" w:rsidR="008C4757" w:rsidRPr="004211B2" w:rsidRDefault="00277606" w:rsidP="00277606">
            <w:pPr>
              <w:pStyle w:val="APRANORMAL"/>
              <w:spacing w:before="120" w:after="120"/>
              <w:rPr>
                <w:rFonts w:ascii="DIN OT Medium" w:hAnsi="DIN OT Medium"/>
                <w:b w:val="0"/>
                <w:sz w:val="20"/>
                <w:szCs w:val="20"/>
              </w:rPr>
            </w:pPr>
            <w:r>
              <w:rPr>
                <w:rFonts w:ascii="DIN OT Medium" w:hAnsi="DIN OT Medium"/>
                <w:b w:val="0"/>
                <w:sz w:val="20"/>
                <w:szCs w:val="20"/>
              </w:rPr>
              <w:t>Credit rating grade</w:t>
            </w:r>
          </w:p>
        </w:tc>
        <w:tc>
          <w:tcPr>
            <w:tcW w:w="2249" w:type="dxa"/>
            <w:tcBorders>
              <w:left w:val="single" w:sz="4" w:space="0" w:color="FFFFFF" w:themeColor="background1"/>
              <w:right w:val="single" w:sz="4" w:space="0" w:color="FFFFFF" w:themeColor="background1"/>
            </w:tcBorders>
            <w:shd w:val="clear" w:color="auto" w:fill="002060"/>
          </w:tcPr>
          <w:p w14:paraId="6E43999B" w14:textId="12AD26B7" w:rsidR="008C4757" w:rsidRPr="00637571" w:rsidRDefault="00277606"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8C4757"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3268B1FE" w14:textId="2198CDFF" w:rsidR="008C4757" w:rsidRPr="00637571" w:rsidRDefault="00C942B3"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277606">
              <w:rPr>
                <w:rFonts w:ascii="DIN OT Medium" w:hAnsi="DIN OT Medium"/>
                <w:b w:val="0"/>
                <w:sz w:val="20"/>
                <w:szCs w:val="20"/>
              </w:rPr>
              <w:t>III</w:t>
            </w:r>
            <w:r w:rsidR="00277606">
              <w:rPr>
                <w:rFonts w:ascii="DIN OT Medium" w:hAnsi="DIN OT Medium"/>
                <w:b w:val="0"/>
                <w:sz w:val="20"/>
                <w:szCs w:val="20"/>
              </w:rPr>
              <w:br/>
              <w:t>RW</w:t>
            </w:r>
            <w:r w:rsidR="00277606">
              <w:rPr>
                <w:rFonts w:ascii="DIN OT Medium" w:hAnsi="DIN OT Medium"/>
                <w:b w:val="0"/>
                <w:sz w:val="20"/>
                <w:szCs w:val="20"/>
              </w:rPr>
              <w:br/>
              <w:t>%</w:t>
            </w:r>
          </w:p>
        </w:tc>
        <w:tc>
          <w:tcPr>
            <w:tcW w:w="2249" w:type="dxa"/>
            <w:tcBorders>
              <w:left w:val="single" w:sz="4" w:space="0" w:color="FFFFFF" w:themeColor="background1"/>
            </w:tcBorders>
            <w:shd w:val="clear" w:color="auto" w:fill="002060"/>
          </w:tcPr>
          <w:p w14:paraId="7581194A" w14:textId="6399BCC3" w:rsidR="008C4757" w:rsidRPr="00637571" w:rsidRDefault="00277606"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8C4757"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008C4757" w:rsidRPr="00637571">
              <w:rPr>
                <w:rFonts w:ascii="DIN OT Medium" w:hAnsi="DIN OT Medium"/>
                <w:b w:val="0"/>
                <w:sz w:val="20"/>
                <w:szCs w:val="20"/>
              </w:rPr>
              <w:t>%</w:t>
            </w:r>
          </w:p>
        </w:tc>
      </w:tr>
      <w:tr w:rsidR="008C4757" w:rsidRPr="004211B2" w14:paraId="09538CCF"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C239B29" w14:textId="77777777" w:rsidR="008C4757" w:rsidRPr="004211B2" w:rsidRDefault="008C4757" w:rsidP="00277606">
            <w:pPr>
              <w:pStyle w:val="APRANORMAL"/>
              <w:spacing w:before="120" w:after="120"/>
              <w:rPr>
                <w:rFonts w:ascii="DIN OT Medium" w:hAnsi="DIN OT Medium"/>
                <w:b w:val="0"/>
                <w:sz w:val="20"/>
                <w:szCs w:val="20"/>
              </w:rPr>
            </w:pPr>
            <w:r>
              <w:rPr>
                <w:rFonts w:ascii="DIN OT Medium" w:hAnsi="DIN OT Medium"/>
                <w:b w:val="0"/>
                <w:sz w:val="20"/>
                <w:szCs w:val="20"/>
              </w:rPr>
              <w:t>AAA to AA-</w:t>
            </w:r>
          </w:p>
        </w:tc>
        <w:tc>
          <w:tcPr>
            <w:tcW w:w="2249" w:type="dxa"/>
            <w:shd w:val="clear" w:color="auto" w:fill="F2F2F2" w:themeFill="background1" w:themeFillShade="F2"/>
          </w:tcPr>
          <w:p w14:paraId="3D04468A" w14:textId="04909C22"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68130362" w14:textId="2312DA1A"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2249" w:type="dxa"/>
            <w:shd w:val="clear" w:color="auto" w:fill="F2F2F2" w:themeFill="background1" w:themeFillShade="F2"/>
          </w:tcPr>
          <w:p w14:paraId="3C75ABFB" w14:textId="353B47D8"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8C4757" w:rsidRPr="004211B2" w14:paraId="16DEFAF1"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54DA5C2" w14:textId="77777777" w:rsidR="008C4757" w:rsidRPr="004211B2" w:rsidRDefault="008C4757" w:rsidP="00277606">
            <w:pPr>
              <w:pStyle w:val="APRANORMAL"/>
              <w:spacing w:before="120" w:after="120"/>
              <w:rPr>
                <w:rFonts w:ascii="DIN OT Medium" w:hAnsi="DIN OT Medium"/>
                <w:b w:val="0"/>
                <w:sz w:val="20"/>
                <w:szCs w:val="20"/>
              </w:rPr>
            </w:pPr>
            <w:r>
              <w:rPr>
                <w:rFonts w:ascii="DIN OT Medium" w:hAnsi="DIN OT Medium"/>
                <w:b w:val="0"/>
                <w:sz w:val="20"/>
                <w:szCs w:val="20"/>
              </w:rPr>
              <w:t>A+ to A-</w:t>
            </w:r>
          </w:p>
        </w:tc>
        <w:tc>
          <w:tcPr>
            <w:tcW w:w="2249" w:type="dxa"/>
            <w:shd w:val="clear" w:color="auto" w:fill="F2F2F2" w:themeFill="background1" w:themeFillShade="F2"/>
          </w:tcPr>
          <w:p w14:paraId="6EDCE508" w14:textId="51C0CE95"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2B4B50C7" w14:textId="2545DF87"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0366B94A" w14:textId="3E4000E9"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r w:rsidR="008C4757" w:rsidRPr="004211B2" w14:paraId="0DBEF9FF"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034DA5BA" w14:textId="77777777" w:rsidR="008C4757" w:rsidRPr="004211B2" w:rsidRDefault="008C4757" w:rsidP="00277606">
            <w:pPr>
              <w:pStyle w:val="APRANORMAL"/>
              <w:spacing w:before="120" w:after="120"/>
              <w:rPr>
                <w:rFonts w:ascii="DIN OT Medium" w:hAnsi="DIN OT Medium"/>
                <w:b w:val="0"/>
                <w:sz w:val="20"/>
                <w:szCs w:val="20"/>
              </w:rPr>
            </w:pPr>
            <w:r>
              <w:rPr>
                <w:rFonts w:ascii="DIN OT Medium" w:hAnsi="DIN OT Medium"/>
                <w:b w:val="0"/>
                <w:sz w:val="20"/>
                <w:szCs w:val="20"/>
              </w:rPr>
              <w:t>BBB+ to BBB-</w:t>
            </w:r>
          </w:p>
        </w:tc>
        <w:tc>
          <w:tcPr>
            <w:tcW w:w="2249" w:type="dxa"/>
            <w:shd w:val="clear" w:color="auto" w:fill="F2F2F2" w:themeFill="background1" w:themeFillShade="F2"/>
          </w:tcPr>
          <w:p w14:paraId="54DB908F" w14:textId="6CC213B3"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06459C71" w14:textId="049D0DD8"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378F410A" w14:textId="386FC383"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8C4757" w:rsidRPr="004211B2" w14:paraId="5E2B47A0"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72896B8C" w14:textId="77777777" w:rsidR="008C4757" w:rsidRPr="004211B2" w:rsidRDefault="008C4757" w:rsidP="00277606">
            <w:pPr>
              <w:pStyle w:val="APRANORMAL"/>
              <w:spacing w:before="120" w:after="120"/>
              <w:rPr>
                <w:rFonts w:ascii="DIN OT Medium" w:hAnsi="DIN OT Medium"/>
                <w:b w:val="0"/>
                <w:sz w:val="20"/>
                <w:szCs w:val="20"/>
              </w:rPr>
            </w:pPr>
            <w:r>
              <w:rPr>
                <w:rFonts w:ascii="DIN OT Medium" w:hAnsi="DIN OT Medium"/>
                <w:b w:val="0"/>
                <w:sz w:val="20"/>
                <w:szCs w:val="20"/>
              </w:rPr>
              <w:t>BB+ to B-</w:t>
            </w:r>
          </w:p>
        </w:tc>
        <w:tc>
          <w:tcPr>
            <w:tcW w:w="2249" w:type="dxa"/>
            <w:shd w:val="clear" w:color="auto" w:fill="F2F2F2" w:themeFill="background1" w:themeFillShade="F2"/>
          </w:tcPr>
          <w:p w14:paraId="1CEFD7BE" w14:textId="6C7AB79B"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38344D7F" w14:textId="1828DC1B"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498DC0D3" w14:textId="32AC3C67"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8C4757" w:rsidRPr="004211B2" w14:paraId="4D3094C2"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D67B152" w14:textId="77777777" w:rsidR="008C4757" w:rsidRPr="004211B2" w:rsidRDefault="008C4757" w:rsidP="00277606">
            <w:pPr>
              <w:pStyle w:val="APRANORMAL"/>
              <w:spacing w:before="120" w:after="120"/>
              <w:rPr>
                <w:rFonts w:ascii="DIN OT Medium" w:hAnsi="DIN OT Medium"/>
                <w:b w:val="0"/>
                <w:sz w:val="20"/>
                <w:szCs w:val="20"/>
              </w:rPr>
            </w:pPr>
            <w:r>
              <w:rPr>
                <w:rFonts w:ascii="DIN OT Medium" w:hAnsi="DIN OT Medium"/>
                <w:b w:val="0"/>
                <w:sz w:val="20"/>
                <w:szCs w:val="20"/>
              </w:rPr>
              <w:t>Below B-</w:t>
            </w:r>
          </w:p>
        </w:tc>
        <w:tc>
          <w:tcPr>
            <w:tcW w:w="2249" w:type="dxa"/>
            <w:shd w:val="clear" w:color="auto" w:fill="F2F2F2" w:themeFill="background1" w:themeFillShade="F2"/>
          </w:tcPr>
          <w:p w14:paraId="4E0A7BB8" w14:textId="3AE29FA2"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03390F06" w14:textId="7290B9F8"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3F02101A" w14:textId="1495FDA8"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p w14:paraId="424A707A" w14:textId="77777777" w:rsidR="008C4757" w:rsidRDefault="008C4757" w:rsidP="003E1593">
      <w:pPr>
        <w:pStyle w:val="APRANORMAL"/>
      </w:pPr>
    </w:p>
    <w:p w14:paraId="19EB90E3" w14:textId="5BC62596" w:rsidR="00B058B7" w:rsidRDefault="008C4757" w:rsidP="00441787">
      <w:pPr>
        <w:pStyle w:val="APRATABLE-NUMBER"/>
      </w:pPr>
      <w:r>
        <w:t>Unrated covered bond exposures</w:t>
      </w:r>
    </w:p>
    <w:tbl>
      <w:tblPr>
        <w:tblStyle w:val="GridTable5Dark-Accent1"/>
        <w:tblW w:w="5000" w:type="pct"/>
        <w:jc w:val="center"/>
        <w:tblLook w:val="04A0" w:firstRow="1" w:lastRow="0" w:firstColumn="1" w:lastColumn="0" w:noHBand="0" w:noVBand="1"/>
      </w:tblPr>
      <w:tblGrid>
        <w:gridCol w:w="2269"/>
        <w:gridCol w:w="2249"/>
        <w:gridCol w:w="2249"/>
        <w:gridCol w:w="2249"/>
      </w:tblGrid>
      <w:tr w:rsidR="008C4757" w:rsidRPr="00637571" w14:paraId="15963705" w14:textId="77777777" w:rsidTr="002776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tcPr>
          <w:p w14:paraId="46500678" w14:textId="4ECDDFA3" w:rsidR="00135D45" w:rsidRPr="004211B2" w:rsidRDefault="00277606"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I</w:t>
            </w:r>
            <w:r w:rsidR="008C4757">
              <w:rPr>
                <w:rFonts w:ascii="DIN OT Medium" w:hAnsi="DIN OT Medium"/>
                <w:b w:val="0"/>
                <w:sz w:val="20"/>
                <w:szCs w:val="20"/>
              </w:rPr>
              <w:t>ssuing bank</w:t>
            </w:r>
            <w:r>
              <w:rPr>
                <w:rFonts w:ascii="DIN OT Medium" w:hAnsi="DIN OT Medium"/>
                <w:b w:val="0"/>
                <w:sz w:val="20"/>
                <w:szCs w:val="20"/>
              </w:rPr>
              <w:br/>
              <w:t>RW</w:t>
            </w:r>
            <w:r>
              <w:rPr>
                <w:rFonts w:ascii="DIN OT Medium" w:hAnsi="DIN OT Medium"/>
                <w:b w:val="0"/>
                <w:sz w:val="20"/>
                <w:szCs w:val="20"/>
              </w:rPr>
              <w:br/>
              <w:t>%</w:t>
            </w:r>
          </w:p>
        </w:tc>
        <w:tc>
          <w:tcPr>
            <w:tcW w:w="2249" w:type="dxa"/>
            <w:tcBorders>
              <w:left w:val="single" w:sz="4" w:space="0" w:color="FFFFFF" w:themeColor="background1"/>
              <w:right w:val="single" w:sz="4" w:space="0" w:color="FFFFFF" w:themeColor="background1"/>
            </w:tcBorders>
            <w:shd w:val="clear" w:color="auto" w:fill="002060"/>
          </w:tcPr>
          <w:p w14:paraId="07150A2E" w14:textId="72405EC7" w:rsidR="008C4757" w:rsidRPr="00637571" w:rsidRDefault="00277606"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8C4757"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4D343F5B" w14:textId="2EAE1DC9" w:rsidR="008C4757" w:rsidRPr="00637571" w:rsidRDefault="00C942B3"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277606">
              <w:rPr>
                <w:rFonts w:ascii="DIN OT Medium" w:hAnsi="DIN OT Medium"/>
                <w:b w:val="0"/>
                <w:sz w:val="20"/>
                <w:szCs w:val="20"/>
              </w:rPr>
              <w:t>III</w:t>
            </w:r>
            <w:r w:rsidR="00277606">
              <w:rPr>
                <w:rFonts w:ascii="DIN OT Medium" w:hAnsi="DIN OT Medium"/>
                <w:b w:val="0"/>
                <w:sz w:val="20"/>
                <w:szCs w:val="20"/>
              </w:rPr>
              <w:br/>
              <w:t>RW</w:t>
            </w:r>
            <w:r w:rsidR="00277606">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686F6C2F" w14:textId="3F1D8B96" w:rsidR="008C4757" w:rsidRPr="00637571" w:rsidRDefault="00277606" w:rsidP="00277606">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8C4757" w:rsidRPr="00637571">
              <w:rPr>
                <w:rFonts w:ascii="DIN OT Medium" w:hAnsi="DIN OT Medium"/>
                <w:b w:val="0"/>
                <w:sz w:val="20"/>
                <w:szCs w:val="20"/>
              </w:rPr>
              <w:t>roposed</w:t>
            </w:r>
            <w:r>
              <w:rPr>
                <w:rFonts w:ascii="DIN OT Medium" w:hAnsi="DIN OT Medium"/>
                <w:b w:val="0"/>
                <w:sz w:val="20"/>
                <w:szCs w:val="20"/>
              </w:rPr>
              <w:br/>
              <w:t>RW</w:t>
            </w:r>
            <w:r>
              <w:rPr>
                <w:rFonts w:ascii="DIN OT Medium" w:hAnsi="DIN OT Medium"/>
                <w:b w:val="0"/>
                <w:sz w:val="20"/>
                <w:szCs w:val="20"/>
              </w:rPr>
              <w:br/>
            </w:r>
            <w:r w:rsidR="008C4757" w:rsidRPr="00637571">
              <w:rPr>
                <w:rFonts w:ascii="DIN OT Medium" w:hAnsi="DIN OT Medium"/>
                <w:b w:val="0"/>
                <w:sz w:val="20"/>
                <w:szCs w:val="20"/>
              </w:rPr>
              <w:t>%</w:t>
            </w:r>
          </w:p>
        </w:tc>
      </w:tr>
      <w:tr w:rsidR="008C4757" w:rsidRPr="004211B2" w14:paraId="50675F30"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EC97C87" w14:textId="049E6AF9" w:rsidR="008C4757" w:rsidRPr="004211B2"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2</w:t>
            </w:r>
            <w:r w:rsidR="00135D45">
              <w:rPr>
                <w:rFonts w:ascii="DIN OT Medium" w:hAnsi="DIN OT Medium"/>
                <w:b w:val="0"/>
                <w:sz w:val="20"/>
                <w:szCs w:val="20"/>
              </w:rPr>
              <w:t>0</w:t>
            </w:r>
          </w:p>
        </w:tc>
        <w:tc>
          <w:tcPr>
            <w:tcW w:w="2249" w:type="dxa"/>
            <w:shd w:val="clear" w:color="auto" w:fill="F2F2F2" w:themeFill="background1" w:themeFillShade="F2"/>
          </w:tcPr>
          <w:p w14:paraId="52BB2C58" w14:textId="77777777"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71A11BFC" w14:textId="26BCE98D"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2249" w:type="dxa"/>
            <w:shd w:val="clear" w:color="auto" w:fill="F2F2F2" w:themeFill="background1" w:themeFillShade="F2"/>
          </w:tcPr>
          <w:p w14:paraId="4CBB8197" w14:textId="4BB48A03"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8C4757" w:rsidRPr="004211B2" w14:paraId="465CFF70"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8BB8C68" w14:textId="4C7A91D9" w:rsidR="008C4757" w:rsidRPr="004211B2"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30</w:t>
            </w:r>
          </w:p>
        </w:tc>
        <w:tc>
          <w:tcPr>
            <w:tcW w:w="2249" w:type="dxa"/>
            <w:shd w:val="clear" w:color="auto" w:fill="F2F2F2" w:themeFill="background1" w:themeFillShade="F2"/>
          </w:tcPr>
          <w:p w14:paraId="3E062EB3" w14:textId="77777777"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0E3A565B" w14:textId="38587F3E"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2249" w:type="dxa"/>
            <w:shd w:val="clear" w:color="auto" w:fill="F2F2F2" w:themeFill="background1" w:themeFillShade="F2"/>
          </w:tcPr>
          <w:p w14:paraId="6F0FA5EA" w14:textId="681F7D50"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8C4757" w:rsidRPr="004211B2" w14:paraId="78D17FFA"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78C04839" w14:textId="1539FEF0" w:rsidR="008C4757" w:rsidRPr="004211B2"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40</w:t>
            </w:r>
          </w:p>
        </w:tc>
        <w:tc>
          <w:tcPr>
            <w:tcW w:w="2249" w:type="dxa"/>
            <w:shd w:val="clear" w:color="auto" w:fill="F2F2F2" w:themeFill="background1" w:themeFillShade="F2"/>
          </w:tcPr>
          <w:p w14:paraId="039F9910" w14:textId="77777777"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1CBFB316" w14:textId="36165021"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tcPr>
          <w:p w14:paraId="01461648" w14:textId="1B17594E"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8C4757" w:rsidRPr="004211B2" w14:paraId="1B45C9C9"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8278007" w14:textId="6CF5ED24" w:rsidR="008C4757" w:rsidRPr="004211B2"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50</w:t>
            </w:r>
          </w:p>
        </w:tc>
        <w:tc>
          <w:tcPr>
            <w:tcW w:w="2249" w:type="dxa"/>
            <w:shd w:val="clear" w:color="auto" w:fill="F2F2F2" w:themeFill="background1" w:themeFillShade="F2"/>
          </w:tcPr>
          <w:p w14:paraId="3E674244" w14:textId="77777777"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1A660D9C" w14:textId="110CDD54"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2249" w:type="dxa"/>
            <w:shd w:val="clear" w:color="auto" w:fill="F2F2F2" w:themeFill="background1" w:themeFillShade="F2"/>
          </w:tcPr>
          <w:p w14:paraId="5824EA85" w14:textId="69C9C6BF" w:rsidR="008C4757" w:rsidRPr="004211B2"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8C4757" w:rsidRPr="004211B2" w14:paraId="30E3796A"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D72322C" w14:textId="31976182" w:rsidR="008C4757"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75</w:t>
            </w:r>
          </w:p>
        </w:tc>
        <w:tc>
          <w:tcPr>
            <w:tcW w:w="2249" w:type="dxa"/>
            <w:shd w:val="clear" w:color="auto" w:fill="F2F2F2" w:themeFill="background1" w:themeFillShade="F2"/>
          </w:tcPr>
          <w:p w14:paraId="10FB8E0A" w14:textId="61C7E80F" w:rsidR="008C4757"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1D84D71F" w14:textId="3593A31A" w:rsidR="008C4757"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2249" w:type="dxa"/>
            <w:shd w:val="clear" w:color="auto" w:fill="F2F2F2" w:themeFill="background1" w:themeFillShade="F2"/>
          </w:tcPr>
          <w:p w14:paraId="0C3D90AA" w14:textId="7CDA7D2D" w:rsidR="008C4757"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r>
      <w:tr w:rsidR="008C4757" w:rsidRPr="004211B2" w14:paraId="25F9ED41" w14:textId="77777777" w:rsidTr="00277606">
        <w:trPr>
          <w:trHeight w:val="7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D81CA58" w14:textId="17849391" w:rsidR="008C4757"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lastRenderedPageBreak/>
              <w:t>100</w:t>
            </w:r>
          </w:p>
        </w:tc>
        <w:tc>
          <w:tcPr>
            <w:tcW w:w="2249" w:type="dxa"/>
            <w:shd w:val="clear" w:color="auto" w:fill="F2F2F2" w:themeFill="background1" w:themeFillShade="F2"/>
          </w:tcPr>
          <w:p w14:paraId="273C7F4A" w14:textId="4D1E840E" w:rsidR="008C4757"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56EC1452" w14:textId="7BE4F023" w:rsidR="008C4757"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tcPr>
          <w:p w14:paraId="39D470D8" w14:textId="650127D9" w:rsidR="008C4757" w:rsidRDefault="008C4757" w:rsidP="00277606">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8C4757" w:rsidRPr="004211B2" w14:paraId="029E2D82"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F5AD2D9" w14:textId="541DE543" w:rsidR="008C4757" w:rsidRPr="004211B2" w:rsidRDefault="008C4757" w:rsidP="00277606">
            <w:pPr>
              <w:pStyle w:val="APRANORMAL"/>
              <w:spacing w:before="120" w:after="120"/>
              <w:jc w:val="center"/>
              <w:rPr>
                <w:rFonts w:ascii="DIN OT Medium" w:hAnsi="DIN OT Medium"/>
                <w:b w:val="0"/>
                <w:sz w:val="20"/>
                <w:szCs w:val="20"/>
              </w:rPr>
            </w:pPr>
            <w:r>
              <w:rPr>
                <w:rFonts w:ascii="DIN OT Medium" w:hAnsi="DIN OT Medium"/>
                <w:b w:val="0"/>
                <w:sz w:val="20"/>
                <w:szCs w:val="20"/>
              </w:rPr>
              <w:t>150</w:t>
            </w:r>
          </w:p>
        </w:tc>
        <w:tc>
          <w:tcPr>
            <w:tcW w:w="2249" w:type="dxa"/>
            <w:shd w:val="clear" w:color="auto" w:fill="F2F2F2" w:themeFill="background1" w:themeFillShade="F2"/>
          </w:tcPr>
          <w:p w14:paraId="3A57BCD4" w14:textId="77777777"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tcPr>
          <w:p w14:paraId="52F3DD5E" w14:textId="18DD6ACC"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tcPr>
          <w:p w14:paraId="70803C82" w14:textId="78629D73" w:rsidR="008C4757" w:rsidRPr="004211B2" w:rsidRDefault="008C4757" w:rsidP="00277606">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p w14:paraId="4B8C4725" w14:textId="1BCA58EA" w:rsidR="00013B6F" w:rsidRDefault="00107C08" w:rsidP="00277606">
      <w:pPr>
        <w:pStyle w:val="APRAHEADING3"/>
        <w:numPr>
          <w:ilvl w:val="0"/>
          <w:numId w:val="0"/>
        </w:numPr>
        <w:ind w:left="851" w:hanging="851"/>
      </w:pPr>
      <w:r>
        <w:t xml:space="preserve">Other </w:t>
      </w:r>
      <w:r w:rsidR="00A53C1A">
        <w:t>exposures</w:t>
      </w:r>
    </w:p>
    <w:p w14:paraId="3ADCF49A" w14:textId="74EBB9CA" w:rsidR="00013B6F" w:rsidRDefault="00013B6F" w:rsidP="00277606">
      <w:pPr>
        <w:pStyle w:val="APRATABLE-NUMBER"/>
      </w:pPr>
      <w:bookmarkStart w:id="513" w:name="_Ref502740714"/>
      <w:r>
        <w:t>Other exposures</w:t>
      </w:r>
      <w:bookmarkEnd w:id="513"/>
    </w:p>
    <w:tbl>
      <w:tblPr>
        <w:tblStyle w:val="GridTable5Dark-Accent1"/>
        <w:tblW w:w="5000" w:type="pct"/>
        <w:jc w:val="center"/>
        <w:tblLook w:val="04A0" w:firstRow="1" w:lastRow="0" w:firstColumn="1" w:lastColumn="0" w:noHBand="0" w:noVBand="1"/>
      </w:tblPr>
      <w:tblGrid>
        <w:gridCol w:w="2269"/>
        <w:gridCol w:w="2249"/>
        <w:gridCol w:w="2249"/>
        <w:gridCol w:w="2249"/>
      </w:tblGrid>
      <w:tr w:rsidR="00072F8C" w:rsidRPr="00637571" w14:paraId="2D435740" w14:textId="77777777" w:rsidTr="00F25D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17E17F98" w14:textId="77777777" w:rsidR="00072F8C" w:rsidRPr="004211B2" w:rsidRDefault="00072F8C" w:rsidP="00277606">
            <w:pPr>
              <w:pStyle w:val="APRANORMAL"/>
              <w:keepNext/>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40E8B7FF" w14:textId="3CD9E356" w:rsidR="00072F8C" w:rsidRPr="00637571" w:rsidRDefault="00277606" w:rsidP="00277606">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APS 112</w:t>
            </w:r>
            <w:r>
              <w:rPr>
                <w:rFonts w:ascii="DIN OT Medium" w:hAnsi="DIN OT Medium"/>
                <w:b w:val="0"/>
                <w:sz w:val="20"/>
                <w:szCs w:val="20"/>
              </w:rPr>
              <w:br/>
              <w:t>RW</w:t>
            </w:r>
            <w:r>
              <w:rPr>
                <w:rFonts w:ascii="DIN OT Medium" w:hAnsi="DIN OT Medium"/>
                <w:b w:val="0"/>
                <w:sz w:val="20"/>
                <w:szCs w:val="20"/>
              </w:rPr>
              <w:br/>
            </w:r>
            <w:r w:rsidR="00072F8C"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3AE779F1" w14:textId="36DF1E9A" w:rsidR="00072F8C" w:rsidRPr="00637571" w:rsidRDefault="00C942B3" w:rsidP="00277606">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277606">
              <w:rPr>
                <w:rFonts w:ascii="DIN OT Medium" w:hAnsi="DIN OT Medium"/>
                <w:b w:val="0"/>
                <w:sz w:val="20"/>
                <w:szCs w:val="20"/>
              </w:rPr>
              <w:t>III</w:t>
            </w:r>
            <w:r w:rsidR="00277606">
              <w:rPr>
                <w:rFonts w:ascii="DIN OT Medium" w:hAnsi="DIN OT Medium"/>
                <w:b w:val="0"/>
                <w:sz w:val="20"/>
                <w:szCs w:val="20"/>
              </w:rPr>
              <w:br/>
              <w:t>RW</w:t>
            </w:r>
            <w:r w:rsidR="00277606">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5D3DF741" w14:textId="4310F4B5" w:rsidR="00072F8C" w:rsidRPr="00637571" w:rsidRDefault="00277606" w:rsidP="00277606">
            <w:pPr>
              <w:pStyle w:val="APRANORMAL"/>
              <w:keepNext/>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Proposed</w:t>
            </w:r>
            <w:r>
              <w:rPr>
                <w:rFonts w:ascii="DIN OT Medium" w:hAnsi="DIN OT Medium"/>
                <w:b w:val="0"/>
                <w:sz w:val="20"/>
                <w:szCs w:val="20"/>
              </w:rPr>
              <w:br/>
              <w:t>RW</w:t>
            </w:r>
            <w:r>
              <w:rPr>
                <w:rFonts w:ascii="DIN OT Medium" w:hAnsi="DIN OT Medium"/>
                <w:b w:val="0"/>
                <w:sz w:val="20"/>
                <w:szCs w:val="20"/>
              </w:rPr>
              <w:br/>
            </w:r>
            <w:r w:rsidR="00072F8C" w:rsidRPr="00637571">
              <w:rPr>
                <w:rFonts w:ascii="DIN OT Medium" w:hAnsi="DIN OT Medium"/>
                <w:b w:val="0"/>
                <w:sz w:val="20"/>
                <w:szCs w:val="20"/>
              </w:rPr>
              <w:t>%</w:t>
            </w:r>
          </w:p>
        </w:tc>
      </w:tr>
      <w:tr w:rsidR="006F410F" w:rsidRPr="004211B2" w14:paraId="04EAAD54"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3B12FDC" w14:textId="73445B0B" w:rsidR="006F410F" w:rsidRDefault="006F410F" w:rsidP="00277606">
            <w:pPr>
              <w:pStyle w:val="APRANORMAL"/>
              <w:keepNext/>
              <w:spacing w:before="120" w:after="120"/>
              <w:rPr>
                <w:rFonts w:ascii="DIN OT Medium" w:hAnsi="DIN OT Medium"/>
                <w:b w:val="0"/>
                <w:sz w:val="20"/>
                <w:szCs w:val="20"/>
              </w:rPr>
            </w:pPr>
            <w:r>
              <w:rPr>
                <w:rFonts w:ascii="DIN OT Medium" w:hAnsi="DIN OT Medium"/>
                <w:b w:val="0"/>
                <w:sz w:val="20"/>
                <w:szCs w:val="20"/>
              </w:rPr>
              <w:t>Subordinated debt (to commercial non-financial entities)</w:t>
            </w:r>
          </w:p>
        </w:tc>
        <w:tc>
          <w:tcPr>
            <w:tcW w:w="2249" w:type="dxa"/>
            <w:shd w:val="clear" w:color="auto" w:fill="F2F2F2" w:themeFill="background1" w:themeFillShade="F2"/>
            <w:vAlign w:val="center"/>
          </w:tcPr>
          <w:p w14:paraId="5F85C1FE" w14:textId="32A575E1" w:rsidR="006F410F"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29701A85" w14:textId="10A7FECD" w:rsidR="006F410F"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vAlign w:val="center"/>
          </w:tcPr>
          <w:p w14:paraId="4CB633B6" w14:textId="6F166F51" w:rsidR="006F410F" w:rsidRPr="004211B2" w:rsidRDefault="00F86AB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 be determined</w:t>
            </w:r>
          </w:p>
        </w:tc>
      </w:tr>
      <w:tr w:rsidR="006F410F" w:rsidRPr="004211B2" w14:paraId="187076E9"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CD9FE47" w14:textId="2C55EE6B" w:rsidR="006F410F" w:rsidRDefault="006F410F" w:rsidP="00277606">
            <w:pPr>
              <w:pStyle w:val="APRANORMAL"/>
              <w:keepNext/>
              <w:spacing w:before="120" w:after="120"/>
              <w:rPr>
                <w:rFonts w:ascii="DIN OT Medium" w:hAnsi="DIN OT Medium"/>
                <w:b w:val="0"/>
                <w:sz w:val="20"/>
                <w:szCs w:val="20"/>
              </w:rPr>
            </w:pPr>
            <w:r>
              <w:rPr>
                <w:rFonts w:ascii="DIN OT Medium" w:hAnsi="DIN OT Medium"/>
                <w:b w:val="0"/>
                <w:sz w:val="20"/>
                <w:szCs w:val="20"/>
              </w:rPr>
              <w:t>Capital instruments other than equities</w:t>
            </w:r>
          </w:p>
        </w:tc>
        <w:tc>
          <w:tcPr>
            <w:tcW w:w="2249" w:type="dxa"/>
            <w:shd w:val="clear" w:color="auto" w:fill="F2F2F2" w:themeFill="background1" w:themeFillShade="F2"/>
            <w:vAlign w:val="center"/>
          </w:tcPr>
          <w:p w14:paraId="11FCCCED" w14:textId="063A43A5" w:rsidR="006F410F"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Deducted</w:t>
            </w:r>
          </w:p>
        </w:tc>
        <w:tc>
          <w:tcPr>
            <w:tcW w:w="2249" w:type="dxa"/>
            <w:shd w:val="clear" w:color="auto" w:fill="F2F2F2" w:themeFill="background1" w:themeFillShade="F2"/>
            <w:vAlign w:val="center"/>
          </w:tcPr>
          <w:p w14:paraId="2A4E5F7D" w14:textId="0441D222" w:rsidR="006F410F"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2249" w:type="dxa"/>
            <w:shd w:val="clear" w:color="auto" w:fill="F2F2F2" w:themeFill="background1" w:themeFillShade="F2"/>
            <w:vAlign w:val="center"/>
          </w:tcPr>
          <w:p w14:paraId="1BB20B84" w14:textId="6C2716E0" w:rsidR="006F410F"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Deducted</w:t>
            </w:r>
          </w:p>
        </w:tc>
      </w:tr>
      <w:tr w:rsidR="007A57E0" w:rsidRPr="004211B2" w14:paraId="5DEDB6F7"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BB58CE4" w14:textId="0EEAEA30" w:rsidR="00020E60" w:rsidRDefault="007A57E0" w:rsidP="00277606">
            <w:pPr>
              <w:pStyle w:val="APRANORMAL"/>
              <w:keepNext/>
              <w:spacing w:before="120" w:after="120"/>
              <w:rPr>
                <w:rFonts w:ascii="DIN OT Medium" w:hAnsi="DIN OT Medium"/>
                <w:b w:val="0"/>
                <w:sz w:val="20"/>
                <w:szCs w:val="20"/>
              </w:rPr>
            </w:pPr>
            <w:r>
              <w:rPr>
                <w:rFonts w:ascii="DIN OT Medium" w:hAnsi="DIN OT Medium"/>
                <w:b w:val="0"/>
                <w:sz w:val="20"/>
                <w:szCs w:val="20"/>
              </w:rPr>
              <w:t>Equity exposures that are not deducted</w:t>
            </w:r>
            <w:r w:rsidR="000627EA">
              <w:rPr>
                <w:rFonts w:ascii="DIN OT Medium" w:hAnsi="DIN OT Medium"/>
                <w:b w:val="0"/>
                <w:sz w:val="20"/>
                <w:szCs w:val="20"/>
              </w:rPr>
              <w:t xml:space="preserve"> and are</w:t>
            </w:r>
            <w:r w:rsidR="00020E60">
              <w:rPr>
                <w:rFonts w:ascii="DIN OT Medium" w:hAnsi="DIN OT Medium"/>
                <w:b w:val="0"/>
                <w:sz w:val="20"/>
                <w:szCs w:val="20"/>
              </w:rPr>
              <w:t>:</w:t>
            </w:r>
          </w:p>
          <w:p w14:paraId="354523C5" w14:textId="690F9D97" w:rsidR="007A57E0" w:rsidRDefault="00AF0DF6" w:rsidP="00277606">
            <w:pPr>
              <w:pStyle w:val="APRANORMAL"/>
              <w:keepNext/>
              <w:spacing w:before="120" w:after="120"/>
              <w:rPr>
                <w:rFonts w:ascii="DIN OT Medium" w:hAnsi="DIN OT Medium"/>
                <w:b w:val="0"/>
                <w:sz w:val="20"/>
                <w:szCs w:val="20"/>
              </w:rPr>
            </w:pPr>
            <w:r>
              <w:rPr>
                <w:rFonts w:ascii="DIN OT Medium" w:hAnsi="DIN OT Medium"/>
                <w:b w:val="0"/>
                <w:sz w:val="20"/>
                <w:szCs w:val="20"/>
              </w:rPr>
              <w:t>—</w:t>
            </w:r>
            <w:r w:rsidR="000627EA">
              <w:rPr>
                <w:rFonts w:ascii="DIN OT Medium" w:hAnsi="DIN OT Medium"/>
                <w:b w:val="0"/>
                <w:sz w:val="20"/>
                <w:szCs w:val="20"/>
              </w:rPr>
              <w:t>listed on a recognised exchange</w:t>
            </w:r>
          </w:p>
        </w:tc>
        <w:tc>
          <w:tcPr>
            <w:tcW w:w="2249" w:type="dxa"/>
            <w:shd w:val="clear" w:color="auto" w:fill="F2F2F2" w:themeFill="background1" w:themeFillShade="F2"/>
            <w:vAlign w:val="center"/>
          </w:tcPr>
          <w:p w14:paraId="387A14AF" w14:textId="1C9F15CE"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w:t>
            </w:r>
          </w:p>
        </w:tc>
        <w:tc>
          <w:tcPr>
            <w:tcW w:w="2249" w:type="dxa"/>
            <w:shd w:val="clear" w:color="auto" w:fill="F2F2F2" w:themeFill="background1" w:themeFillShade="F2"/>
            <w:vAlign w:val="center"/>
          </w:tcPr>
          <w:p w14:paraId="3E78486E" w14:textId="44254DE9"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2249" w:type="dxa"/>
            <w:shd w:val="clear" w:color="auto" w:fill="F2F2F2" w:themeFill="background1" w:themeFillShade="F2"/>
            <w:vAlign w:val="center"/>
          </w:tcPr>
          <w:p w14:paraId="277F690C" w14:textId="32280E40"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r>
      <w:tr w:rsidR="007A57E0" w:rsidRPr="004211B2" w14:paraId="40677A3A"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0CB9335C" w14:textId="171D9F6C" w:rsidR="007A57E0" w:rsidRDefault="00AF0DF6" w:rsidP="00277606">
            <w:pPr>
              <w:pStyle w:val="APRANORMAL"/>
              <w:keepNext/>
              <w:spacing w:before="120" w:after="120"/>
              <w:rPr>
                <w:rFonts w:ascii="DIN OT Medium" w:hAnsi="DIN OT Medium"/>
                <w:b w:val="0"/>
                <w:sz w:val="20"/>
                <w:szCs w:val="20"/>
              </w:rPr>
            </w:pPr>
            <w:r>
              <w:rPr>
                <w:rFonts w:ascii="DIN OT Medium" w:hAnsi="DIN OT Medium"/>
                <w:b w:val="0"/>
                <w:sz w:val="20"/>
                <w:szCs w:val="20"/>
              </w:rPr>
              <w:t>—</w:t>
            </w:r>
            <w:r w:rsidR="00020E60">
              <w:rPr>
                <w:rFonts w:ascii="DIN OT Medium" w:hAnsi="DIN OT Medium"/>
                <w:b w:val="0"/>
                <w:sz w:val="20"/>
                <w:szCs w:val="20"/>
              </w:rPr>
              <w:t xml:space="preserve">not </w:t>
            </w:r>
            <w:r w:rsidR="000627EA">
              <w:rPr>
                <w:rFonts w:ascii="DIN OT Medium" w:hAnsi="DIN OT Medium"/>
                <w:b w:val="0"/>
                <w:sz w:val="20"/>
                <w:szCs w:val="20"/>
              </w:rPr>
              <w:t>listed on a recognised exchange - non-speculative</w:t>
            </w:r>
          </w:p>
        </w:tc>
        <w:tc>
          <w:tcPr>
            <w:tcW w:w="2249" w:type="dxa"/>
            <w:shd w:val="clear" w:color="auto" w:fill="F2F2F2" w:themeFill="background1" w:themeFillShade="F2"/>
            <w:vAlign w:val="center"/>
          </w:tcPr>
          <w:p w14:paraId="37F4021A" w14:textId="51CBBC3C" w:rsidR="007A57E0"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w:t>
            </w:r>
          </w:p>
        </w:tc>
        <w:tc>
          <w:tcPr>
            <w:tcW w:w="2249" w:type="dxa"/>
            <w:shd w:val="clear" w:color="auto" w:fill="F2F2F2" w:themeFill="background1" w:themeFillShade="F2"/>
            <w:vAlign w:val="center"/>
          </w:tcPr>
          <w:p w14:paraId="27016355" w14:textId="2D5902BD" w:rsidR="007A57E0"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2249" w:type="dxa"/>
            <w:shd w:val="clear" w:color="auto" w:fill="F2F2F2" w:themeFill="background1" w:themeFillShade="F2"/>
            <w:vAlign w:val="center"/>
          </w:tcPr>
          <w:p w14:paraId="7B4C7D15" w14:textId="49621522" w:rsidR="007A57E0" w:rsidRPr="004211B2" w:rsidRDefault="006F410F"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r>
      <w:tr w:rsidR="007A57E0" w:rsidRPr="004211B2" w14:paraId="765CE95C" w14:textId="77777777" w:rsidTr="002776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3E948B7A" w14:textId="63CE692D" w:rsidR="007A57E0" w:rsidRDefault="00AF0DF6" w:rsidP="00277606">
            <w:pPr>
              <w:pStyle w:val="APRANORMAL"/>
              <w:keepNext/>
              <w:spacing w:before="120" w:after="120"/>
              <w:rPr>
                <w:rFonts w:ascii="DIN OT Medium" w:hAnsi="DIN OT Medium"/>
                <w:b w:val="0"/>
                <w:sz w:val="20"/>
                <w:szCs w:val="20"/>
              </w:rPr>
            </w:pPr>
            <w:r>
              <w:rPr>
                <w:rFonts w:ascii="DIN OT Medium" w:hAnsi="DIN OT Medium"/>
                <w:b w:val="0"/>
                <w:sz w:val="20"/>
                <w:szCs w:val="20"/>
              </w:rPr>
              <w:t>—</w:t>
            </w:r>
            <w:r w:rsidR="000627EA">
              <w:rPr>
                <w:rFonts w:ascii="DIN OT Medium" w:hAnsi="DIN OT Medium"/>
                <w:b w:val="0"/>
                <w:sz w:val="20"/>
                <w:szCs w:val="20"/>
              </w:rPr>
              <w:t>not listed on a recognised exchange - speculative</w:t>
            </w:r>
          </w:p>
        </w:tc>
        <w:tc>
          <w:tcPr>
            <w:tcW w:w="2249" w:type="dxa"/>
            <w:shd w:val="clear" w:color="auto" w:fill="F2F2F2" w:themeFill="background1" w:themeFillShade="F2"/>
            <w:vAlign w:val="center"/>
          </w:tcPr>
          <w:p w14:paraId="63B79552" w14:textId="2CC786AC"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400</w:t>
            </w:r>
          </w:p>
        </w:tc>
        <w:tc>
          <w:tcPr>
            <w:tcW w:w="2249" w:type="dxa"/>
            <w:shd w:val="clear" w:color="auto" w:fill="F2F2F2" w:themeFill="background1" w:themeFillShade="F2"/>
            <w:vAlign w:val="center"/>
          </w:tcPr>
          <w:p w14:paraId="14E84801" w14:textId="3A482AD2"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400</w:t>
            </w:r>
          </w:p>
        </w:tc>
        <w:tc>
          <w:tcPr>
            <w:tcW w:w="2249" w:type="dxa"/>
            <w:shd w:val="clear" w:color="auto" w:fill="F2F2F2" w:themeFill="background1" w:themeFillShade="F2"/>
            <w:vAlign w:val="center"/>
          </w:tcPr>
          <w:p w14:paraId="2E1F0058" w14:textId="7D94F6E1" w:rsidR="007A57E0" w:rsidRPr="004211B2" w:rsidRDefault="006F410F" w:rsidP="00277606">
            <w:pPr>
              <w:pStyle w:val="APRANORMAL"/>
              <w:keepNext/>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400</w:t>
            </w:r>
          </w:p>
        </w:tc>
      </w:tr>
      <w:tr w:rsidR="000B2B05" w:rsidRPr="008608F3" w14:paraId="62960B19" w14:textId="77777777" w:rsidTr="00277606">
        <w:trPr>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4427FCAC" w14:textId="1821E5F4" w:rsidR="000B2B05" w:rsidRDefault="000B2B05" w:rsidP="00277606">
            <w:pPr>
              <w:pStyle w:val="APRANORMAL"/>
              <w:keepNext/>
              <w:spacing w:before="120" w:after="120"/>
              <w:rPr>
                <w:rFonts w:ascii="DIN OT Medium" w:hAnsi="DIN OT Medium"/>
                <w:b w:val="0"/>
                <w:sz w:val="20"/>
                <w:szCs w:val="20"/>
              </w:rPr>
            </w:pPr>
            <w:r>
              <w:rPr>
                <w:rFonts w:ascii="DIN OT Medium" w:hAnsi="DIN OT Medium"/>
                <w:b w:val="0"/>
                <w:sz w:val="20"/>
                <w:szCs w:val="20"/>
              </w:rPr>
              <w:t>Margin lending against listed instruments on recognised exchanges that is not deducted from capital</w:t>
            </w:r>
          </w:p>
        </w:tc>
        <w:tc>
          <w:tcPr>
            <w:tcW w:w="2249" w:type="dxa"/>
            <w:shd w:val="clear" w:color="auto" w:fill="F2F2F2" w:themeFill="background1" w:themeFillShade="F2"/>
            <w:vAlign w:val="center"/>
          </w:tcPr>
          <w:p w14:paraId="4D151E3D" w14:textId="0820B525" w:rsidR="000B2B05" w:rsidRDefault="000B2B05"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vAlign w:val="center"/>
          </w:tcPr>
          <w:p w14:paraId="3E35D623" w14:textId="69D213D9" w:rsidR="000B2B05" w:rsidRDefault="000B2B05"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249" w:type="dxa"/>
            <w:shd w:val="clear" w:color="auto" w:fill="F2F2F2" w:themeFill="background1" w:themeFillShade="F2"/>
            <w:vAlign w:val="center"/>
          </w:tcPr>
          <w:p w14:paraId="3264DD99" w14:textId="6399A37D" w:rsidR="000B2B05" w:rsidRDefault="000B2B05" w:rsidP="00277606">
            <w:pPr>
              <w:pStyle w:val="APRANORMAL"/>
              <w:keepNext/>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 be determined</w:t>
            </w:r>
          </w:p>
        </w:tc>
      </w:tr>
    </w:tbl>
    <w:p w14:paraId="1AAA9AF2" w14:textId="77777777" w:rsidR="00514561" w:rsidRDefault="00514561" w:rsidP="00514561">
      <w:pPr>
        <w:pStyle w:val="APRANORMAL"/>
      </w:pPr>
    </w:p>
    <w:p w14:paraId="0010EFD0" w14:textId="78DC22E6" w:rsidR="00013B6F" w:rsidRDefault="00013B6F" w:rsidP="00514561">
      <w:pPr>
        <w:pStyle w:val="APRAHEADING3"/>
        <w:keepNext w:val="0"/>
        <w:numPr>
          <w:ilvl w:val="0"/>
          <w:numId w:val="0"/>
        </w:numPr>
        <w:ind w:left="851" w:hanging="851"/>
      </w:pPr>
      <w:r>
        <w:t>Credit conversion factors</w:t>
      </w:r>
    </w:p>
    <w:p w14:paraId="392F7991" w14:textId="2AB43369" w:rsidR="00013B6F" w:rsidRDefault="00013B6F" w:rsidP="00514561">
      <w:pPr>
        <w:pStyle w:val="APRATABLE-NUMBER"/>
        <w:keepNext w:val="0"/>
      </w:pPr>
      <w:bookmarkStart w:id="514" w:name="_Ref502821365"/>
      <w:r>
        <w:t>Non-market</w:t>
      </w:r>
      <w:r w:rsidR="00D473B2">
        <w:t xml:space="preserve"> </w:t>
      </w:r>
      <w:r>
        <w:t>related</w:t>
      </w:r>
      <w:r w:rsidR="00020E60">
        <w:t xml:space="preserve"> off-balance sheet transactions</w:t>
      </w:r>
      <w:bookmarkEnd w:id="514"/>
    </w:p>
    <w:tbl>
      <w:tblPr>
        <w:tblStyle w:val="GridTable5Dark-Accent1"/>
        <w:tblW w:w="5000" w:type="pct"/>
        <w:tblLook w:val="04A0" w:firstRow="1" w:lastRow="0" w:firstColumn="1" w:lastColumn="0" w:noHBand="0" w:noVBand="1"/>
      </w:tblPr>
      <w:tblGrid>
        <w:gridCol w:w="2269"/>
        <w:gridCol w:w="2249"/>
        <w:gridCol w:w="2249"/>
        <w:gridCol w:w="2249"/>
      </w:tblGrid>
      <w:tr w:rsidR="00013B6F" w:rsidRPr="00637571" w14:paraId="58CA0501" w14:textId="77777777" w:rsidTr="00F25D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9" w:type="dxa"/>
            <w:tcBorders>
              <w:right w:val="single" w:sz="4" w:space="0" w:color="FFFFFF" w:themeColor="background1"/>
            </w:tcBorders>
            <w:shd w:val="clear" w:color="auto" w:fill="002060"/>
            <w:vAlign w:val="bottom"/>
          </w:tcPr>
          <w:p w14:paraId="6615920F" w14:textId="77777777" w:rsidR="00013B6F" w:rsidRPr="004211B2" w:rsidRDefault="00013B6F" w:rsidP="00514561">
            <w:pPr>
              <w:pStyle w:val="APRANORMAL"/>
              <w:spacing w:before="120" w:after="120"/>
              <w:rPr>
                <w:rFonts w:ascii="DIN OT Medium" w:hAnsi="DIN OT Medium"/>
                <w:b w:val="0"/>
                <w:sz w:val="20"/>
                <w:szCs w:val="20"/>
              </w:rPr>
            </w:pPr>
            <w:r>
              <w:rPr>
                <w:rFonts w:ascii="DIN OT Medium" w:hAnsi="DIN OT Medium"/>
                <w:b w:val="0"/>
                <w:sz w:val="20"/>
                <w:szCs w:val="20"/>
              </w:rPr>
              <w:t>Category</w:t>
            </w:r>
          </w:p>
        </w:tc>
        <w:tc>
          <w:tcPr>
            <w:tcW w:w="2249" w:type="dxa"/>
            <w:tcBorders>
              <w:left w:val="single" w:sz="4" w:space="0" w:color="FFFFFF" w:themeColor="background1"/>
              <w:right w:val="single" w:sz="4" w:space="0" w:color="FFFFFF" w:themeColor="background1"/>
            </w:tcBorders>
            <w:shd w:val="clear" w:color="auto" w:fill="002060"/>
          </w:tcPr>
          <w:p w14:paraId="6491326C" w14:textId="55E2AB6F" w:rsidR="00013B6F" w:rsidRPr="00637571" w:rsidRDefault="00013B6F"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APS 112 </w:t>
            </w:r>
            <w:r w:rsidR="00514561">
              <w:rPr>
                <w:rFonts w:ascii="DIN OT Medium" w:hAnsi="DIN OT Medium"/>
                <w:b w:val="0"/>
                <w:sz w:val="20"/>
                <w:szCs w:val="20"/>
              </w:rPr>
              <w:br/>
            </w:r>
            <w:r>
              <w:rPr>
                <w:rFonts w:ascii="DIN OT Medium" w:hAnsi="DIN OT Medium"/>
                <w:b w:val="0"/>
                <w:sz w:val="20"/>
                <w:szCs w:val="20"/>
              </w:rPr>
              <w:t>CCF</w:t>
            </w:r>
            <w:r w:rsidR="00514561">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right w:val="single" w:sz="4" w:space="0" w:color="FFFFFF" w:themeColor="background1"/>
            </w:tcBorders>
            <w:shd w:val="clear" w:color="auto" w:fill="002060"/>
          </w:tcPr>
          <w:p w14:paraId="3148456F" w14:textId="270C3F07" w:rsidR="00013B6F" w:rsidRPr="00637571" w:rsidRDefault="00013B6F"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sidRPr="00637571">
              <w:rPr>
                <w:rFonts w:ascii="DIN OT Medium" w:hAnsi="DIN OT Medium"/>
                <w:b w:val="0"/>
                <w:sz w:val="20"/>
                <w:szCs w:val="20"/>
              </w:rPr>
              <w:t xml:space="preserve">Basel </w:t>
            </w:r>
            <w:r w:rsidR="00C942B3">
              <w:rPr>
                <w:rFonts w:ascii="DIN OT Medium" w:hAnsi="DIN OT Medium"/>
                <w:b w:val="0"/>
                <w:sz w:val="20"/>
                <w:szCs w:val="20"/>
              </w:rPr>
              <w:t>III</w:t>
            </w:r>
            <w:r w:rsidRPr="00637571">
              <w:rPr>
                <w:rFonts w:ascii="DIN OT Medium" w:hAnsi="DIN OT Medium"/>
                <w:b w:val="0"/>
                <w:sz w:val="20"/>
                <w:szCs w:val="20"/>
              </w:rPr>
              <w:t xml:space="preserve"> </w:t>
            </w:r>
            <w:r w:rsidR="00514561">
              <w:rPr>
                <w:rFonts w:ascii="DIN OT Medium" w:hAnsi="DIN OT Medium"/>
                <w:b w:val="0"/>
                <w:sz w:val="20"/>
                <w:szCs w:val="20"/>
              </w:rPr>
              <w:br/>
            </w:r>
            <w:r>
              <w:rPr>
                <w:rFonts w:ascii="DIN OT Medium" w:hAnsi="DIN OT Medium"/>
                <w:b w:val="0"/>
                <w:sz w:val="20"/>
                <w:szCs w:val="20"/>
              </w:rPr>
              <w:t>CCF</w:t>
            </w:r>
            <w:r w:rsidR="00514561">
              <w:rPr>
                <w:rFonts w:ascii="DIN OT Medium" w:hAnsi="DIN OT Medium"/>
                <w:b w:val="0"/>
                <w:sz w:val="20"/>
                <w:szCs w:val="20"/>
              </w:rPr>
              <w:br/>
            </w:r>
            <w:r w:rsidRPr="00637571">
              <w:rPr>
                <w:rFonts w:ascii="DIN OT Medium" w:hAnsi="DIN OT Medium"/>
                <w:b w:val="0"/>
                <w:sz w:val="20"/>
                <w:szCs w:val="20"/>
              </w:rPr>
              <w:t>%</w:t>
            </w:r>
          </w:p>
        </w:tc>
        <w:tc>
          <w:tcPr>
            <w:tcW w:w="2249" w:type="dxa"/>
            <w:tcBorders>
              <w:left w:val="single" w:sz="4" w:space="0" w:color="FFFFFF" w:themeColor="background1"/>
            </w:tcBorders>
            <w:shd w:val="clear" w:color="auto" w:fill="002060"/>
          </w:tcPr>
          <w:p w14:paraId="3C9C71E4" w14:textId="1B30365E" w:rsidR="00013B6F" w:rsidRPr="00637571" w:rsidRDefault="00514561"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P</w:t>
            </w:r>
            <w:r w:rsidR="00013B6F" w:rsidRPr="00637571">
              <w:rPr>
                <w:rFonts w:ascii="DIN OT Medium" w:hAnsi="DIN OT Medium"/>
                <w:b w:val="0"/>
                <w:sz w:val="20"/>
                <w:szCs w:val="20"/>
              </w:rPr>
              <w:t>roposed</w:t>
            </w:r>
            <w:r>
              <w:rPr>
                <w:rFonts w:ascii="DIN OT Medium" w:hAnsi="DIN OT Medium"/>
                <w:b w:val="0"/>
                <w:sz w:val="20"/>
                <w:szCs w:val="20"/>
              </w:rPr>
              <w:br/>
            </w:r>
            <w:r w:rsidR="00013B6F">
              <w:rPr>
                <w:rFonts w:ascii="DIN OT Medium" w:hAnsi="DIN OT Medium"/>
                <w:b w:val="0"/>
                <w:sz w:val="20"/>
                <w:szCs w:val="20"/>
              </w:rPr>
              <w:t>CCF</w:t>
            </w:r>
            <w:r>
              <w:rPr>
                <w:rFonts w:ascii="DIN OT Medium" w:hAnsi="DIN OT Medium"/>
                <w:b w:val="0"/>
                <w:sz w:val="20"/>
                <w:szCs w:val="20"/>
              </w:rPr>
              <w:br/>
            </w:r>
            <w:r w:rsidR="00013B6F" w:rsidRPr="00637571">
              <w:rPr>
                <w:rFonts w:ascii="DIN OT Medium" w:hAnsi="DIN OT Medium"/>
                <w:b w:val="0"/>
                <w:sz w:val="20"/>
                <w:szCs w:val="20"/>
              </w:rPr>
              <w:t>%</w:t>
            </w:r>
          </w:p>
        </w:tc>
      </w:tr>
      <w:tr w:rsidR="00C1712A" w:rsidRPr="004211B2" w14:paraId="17229900"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92ED4A6" w14:textId="0D96A8E7"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Direct credit substitutes</w:t>
            </w:r>
          </w:p>
        </w:tc>
        <w:tc>
          <w:tcPr>
            <w:tcW w:w="2249" w:type="dxa"/>
            <w:shd w:val="clear" w:color="auto" w:fill="F2F2F2" w:themeFill="background1" w:themeFillShade="F2"/>
            <w:vAlign w:val="center"/>
          </w:tcPr>
          <w:p w14:paraId="74A0C39C" w14:textId="3F3262B9"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67D39AC" w14:textId="2C410BED"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1D1A5B05" w14:textId="50E573C2"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C1712A" w:rsidRPr="004211B2" w14:paraId="6B00D916"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55441BC" w14:textId="5ECBF0E5"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lastRenderedPageBreak/>
              <w:t>Performance-related contingencies</w:t>
            </w:r>
          </w:p>
        </w:tc>
        <w:tc>
          <w:tcPr>
            <w:tcW w:w="2249" w:type="dxa"/>
            <w:shd w:val="clear" w:color="auto" w:fill="F2F2F2" w:themeFill="background1" w:themeFillShade="F2"/>
            <w:vAlign w:val="center"/>
          </w:tcPr>
          <w:p w14:paraId="2C6A8DA2" w14:textId="3AC156C3"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vAlign w:val="center"/>
          </w:tcPr>
          <w:p w14:paraId="0EC84C82" w14:textId="56734782"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vAlign w:val="center"/>
          </w:tcPr>
          <w:p w14:paraId="352BC3BC" w14:textId="67025035"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C1712A" w:rsidRPr="004211B2" w14:paraId="7AC64575"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A95205F" w14:textId="0D3FE35E"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Trade-related contingencies</w:t>
            </w:r>
          </w:p>
        </w:tc>
        <w:tc>
          <w:tcPr>
            <w:tcW w:w="2249" w:type="dxa"/>
            <w:shd w:val="clear" w:color="auto" w:fill="F2F2F2" w:themeFill="background1" w:themeFillShade="F2"/>
            <w:vAlign w:val="center"/>
          </w:tcPr>
          <w:p w14:paraId="6607AE42" w14:textId="06C13677"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vAlign w:val="center"/>
          </w:tcPr>
          <w:p w14:paraId="4FB4FA55" w14:textId="1F8B19D9"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2249" w:type="dxa"/>
            <w:shd w:val="clear" w:color="auto" w:fill="F2F2F2" w:themeFill="background1" w:themeFillShade="F2"/>
            <w:vAlign w:val="center"/>
          </w:tcPr>
          <w:p w14:paraId="6CF47F58" w14:textId="35C6232A"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C1712A" w:rsidRPr="004211B2" w14:paraId="2225C124"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3638853" w14:textId="2BF5E09C"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 xml:space="preserve">Lending </w:t>
            </w:r>
            <w:r w:rsidR="00514561">
              <w:rPr>
                <w:rFonts w:ascii="DIN OT Medium" w:hAnsi="DIN OT Medium"/>
                <w:b w:val="0"/>
                <w:sz w:val="20"/>
                <w:szCs w:val="20"/>
              </w:rPr>
              <w:t>o</w:t>
            </w:r>
            <w:r>
              <w:rPr>
                <w:rFonts w:ascii="DIN OT Medium" w:hAnsi="DIN OT Medium"/>
                <w:b w:val="0"/>
                <w:sz w:val="20"/>
                <w:szCs w:val="20"/>
              </w:rPr>
              <w:t>r posting of securities as collateral</w:t>
            </w:r>
          </w:p>
        </w:tc>
        <w:tc>
          <w:tcPr>
            <w:tcW w:w="2249" w:type="dxa"/>
            <w:shd w:val="clear" w:color="auto" w:fill="F2F2F2" w:themeFill="background1" w:themeFillShade="F2"/>
            <w:vAlign w:val="center"/>
          </w:tcPr>
          <w:p w14:paraId="3C71A481" w14:textId="7F6F3A8F"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6EC0C639" w14:textId="366B6895"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74815EFB" w14:textId="5B3F815D"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1712A" w:rsidRPr="004211B2" w14:paraId="30BD8BD6"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D6F4298" w14:textId="5C664A5C"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Assets sold with recourse</w:t>
            </w:r>
          </w:p>
        </w:tc>
        <w:tc>
          <w:tcPr>
            <w:tcW w:w="2249" w:type="dxa"/>
            <w:shd w:val="clear" w:color="auto" w:fill="F2F2F2" w:themeFill="background1" w:themeFillShade="F2"/>
            <w:vAlign w:val="center"/>
          </w:tcPr>
          <w:p w14:paraId="505A83C1" w14:textId="5D196F84"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3B7D6858" w14:textId="5197F24C"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518BAA7" w14:textId="18F7257F"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C1712A" w:rsidRPr="004211B2" w14:paraId="13365768"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EE0B81F" w14:textId="6836CA2E"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Forward asset purchases</w:t>
            </w:r>
          </w:p>
        </w:tc>
        <w:tc>
          <w:tcPr>
            <w:tcW w:w="2249" w:type="dxa"/>
            <w:shd w:val="clear" w:color="auto" w:fill="F2F2F2" w:themeFill="background1" w:themeFillShade="F2"/>
            <w:vAlign w:val="center"/>
          </w:tcPr>
          <w:p w14:paraId="2E043C94" w14:textId="02A69ACB"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7394BFE5" w14:textId="4D37231A"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2C92B4FF" w14:textId="08C0D1A1" w:rsidR="00C1712A"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1712A" w:rsidRPr="004211B2" w14:paraId="2AFA8C50"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7DD294E" w14:textId="2AD000F0"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Partly paid shares and securities</w:t>
            </w:r>
          </w:p>
        </w:tc>
        <w:tc>
          <w:tcPr>
            <w:tcW w:w="2249" w:type="dxa"/>
            <w:shd w:val="clear" w:color="auto" w:fill="F2F2F2" w:themeFill="background1" w:themeFillShade="F2"/>
            <w:vAlign w:val="center"/>
          </w:tcPr>
          <w:p w14:paraId="5A866DFA" w14:textId="45265BA3"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7235E516" w14:textId="574A7FF3"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18A271F5" w14:textId="757F2C36" w:rsidR="00C1712A"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C1712A" w:rsidRPr="004211B2" w14:paraId="5B0425EA"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7AC0F486" w14:textId="22782063"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Placement of forward deposits</w:t>
            </w:r>
          </w:p>
        </w:tc>
        <w:tc>
          <w:tcPr>
            <w:tcW w:w="2249" w:type="dxa"/>
            <w:shd w:val="clear" w:color="auto" w:fill="F2F2F2" w:themeFill="background1" w:themeFillShade="F2"/>
            <w:vAlign w:val="center"/>
          </w:tcPr>
          <w:p w14:paraId="5771B6B5" w14:textId="2B5AD2A3"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07B2BAD" w14:textId="601B6F82"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5047513B" w14:textId="54A6EA52" w:rsidR="00C1712A"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1712A" w:rsidRPr="004211B2" w14:paraId="1AAA065E"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73F70614" w14:textId="5519AA4B"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Note issuance and underwriting facilities</w:t>
            </w:r>
          </w:p>
        </w:tc>
        <w:tc>
          <w:tcPr>
            <w:tcW w:w="2249" w:type="dxa"/>
            <w:shd w:val="clear" w:color="auto" w:fill="F2F2F2" w:themeFill="background1" w:themeFillShade="F2"/>
            <w:vAlign w:val="center"/>
          </w:tcPr>
          <w:p w14:paraId="66B120BA" w14:textId="599CB204"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vAlign w:val="center"/>
          </w:tcPr>
          <w:p w14:paraId="34417C54" w14:textId="1791AD17"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249" w:type="dxa"/>
            <w:shd w:val="clear" w:color="auto" w:fill="F2F2F2" w:themeFill="background1" w:themeFillShade="F2"/>
            <w:vAlign w:val="center"/>
          </w:tcPr>
          <w:p w14:paraId="4F4B668D" w14:textId="00B5AF7B" w:rsidR="00C1712A"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r>
      <w:tr w:rsidR="00C1712A" w:rsidRPr="004211B2" w14:paraId="390DB8E3"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97426FD" w14:textId="365F4A64" w:rsidR="00C1712A" w:rsidRDefault="00C1712A" w:rsidP="00514561">
            <w:pPr>
              <w:pStyle w:val="APRANORMAL"/>
              <w:spacing w:before="120" w:after="120"/>
              <w:rPr>
                <w:rFonts w:ascii="DIN OT Medium" w:hAnsi="DIN OT Medium"/>
                <w:b w:val="0"/>
                <w:sz w:val="20"/>
                <w:szCs w:val="20"/>
              </w:rPr>
            </w:pPr>
            <w:r>
              <w:rPr>
                <w:rFonts w:ascii="DIN OT Medium" w:hAnsi="DIN OT Medium"/>
                <w:b w:val="0"/>
                <w:sz w:val="20"/>
                <w:szCs w:val="20"/>
              </w:rPr>
              <w:t>Other commitments</w:t>
            </w:r>
          </w:p>
          <w:p w14:paraId="3E39642D" w14:textId="5C24F678" w:rsidR="00C1712A" w:rsidRDefault="00BA5426" w:rsidP="00514561">
            <w:pPr>
              <w:pStyle w:val="APRANORMAL"/>
              <w:spacing w:before="120" w:after="120"/>
              <w:rPr>
                <w:rFonts w:ascii="DIN OT Medium" w:hAnsi="DIN OT Medium"/>
                <w:b w:val="0"/>
                <w:sz w:val="20"/>
                <w:szCs w:val="20"/>
              </w:rPr>
            </w:pPr>
            <w:r>
              <w:rPr>
                <w:rFonts w:ascii="DIN OT Medium" w:hAnsi="DIN OT Medium"/>
                <w:b w:val="0"/>
                <w:sz w:val="20"/>
                <w:szCs w:val="20"/>
              </w:rPr>
              <w:t>—</w:t>
            </w:r>
            <w:r w:rsidR="00723D3C">
              <w:rPr>
                <w:rFonts w:ascii="DIN OT Medium" w:hAnsi="DIN OT Medium"/>
                <w:b w:val="0"/>
                <w:sz w:val="20"/>
                <w:szCs w:val="20"/>
              </w:rPr>
              <w:t>w</w:t>
            </w:r>
            <w:r w:rsidR="00C1712A">
              <w:rPr>
                <w:rFonts w:ascii="DIN OT Medium" w:hAnsi="DIN OT Medium"/>
                <w:b w:val="0"/>
                <w:sz w:val="20"/>
                <w:szCs w:val="20"/>
              </w:rPr>
              <w:t>ith certain drawdown</w:t>
            </w:r>
          </w:p>
        </w:tc>
        <w:tc>
          <w:tcPr>
            <w:tcW w:w="2249" w:type="dxa"/>
            <w:shd w:val="clear" w:color="auto" w:fill="F2F2F2" w:themeFill="background1" w:themeFillShade="F2"/>
            <w:vAlign w:val="center"/>
          </w:tcPr>
          <w:p w14:paraId="3AC4DA94" w14:textId="1EC91AA2"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2D023D81" w14:textId="4AA9FD2F"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249" w:type="dxa"/>
            <w:shd w:val="clear" w:color="auto" w:fill="F2F2F2" w:themeFill="background1" w:themeFillShade="F2"/>
            <w:vAlign w:val="center"/>
          </w:tcPr>
          <w:p w14:paraId="49FE3A41" w14:textId="7DD6D967" w:rsidR="00C1712A"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C1712A" w:rsidRPr="004211B2" w14:paraId="2117EEFF"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1D2E0114" w14:textId="6425ABE2" w:rsidR="00C1712A" w:rsidRDefault="00BA5426" w:rsidP="00514561">
            <w:pPr>
              <w:pStyle w:val="APRANORMAL"/>
              <w:spacing w:before="120" w:after="120"/>
              <w:rPr>
                <w:rFonts w:ascii="DIN OT Medium" w:hAnsi="DIN OT Medium"/>
                <w:b w:val="0"/>
                <w:sz w:val="20"/>
                <w:szCs w:val="20"/>
              </w:rPr>
            </w:pPr>
            <w:r>
              <w:rPr>
                <w:rFonts w:ascii="DIN OT Medium" w:hAnsi="DIN OT Medium"/>
                <w:b w:val="0"/>
                <w:sz w:val="20"/>
                <w:szCs w:val="20"/>
              </w:rPr>
              <w:t>—</w:t>
            </w:r>
            <w:r w:rsidR="00723D3C">
              <w:rPr>
                <w:rFonts w:ascii="DIN OT Medium" w:hAnsi="DIN OT Medium"/>
                <w:b w:val="0"/>
                <w:sz w:val="20"/>
                <w:szCs w:val="20"/>
              </w:rPr>
              <w:t>u</w:t>
            </w:r>
            <w:r w:rsidR="00C1712A">
              <w:rPr>
                <w:rFonts w:ascii="DIN OT Medium" w:hAnsi="DIN OT Medium"/>
                <w:b w:val="0"/>
                <w:sz w:val="20"/>
                <w:szCs w:val="20"/>
              </w:rPr>
              <w:t>nconditionally cancellable at any time without notice</w:t>
            </w:r>
          </w:p>
        </w:tc>
        <w:tc>
          <w:tcPr>
            <w:tcW w:w="2249" w:type="dxa"/>
            <w:shd w:val="clear" w:color="auto" w:fill="F2F2F2" w:themeFill="background1" w:themeFillShade="F2"/>
            <w:vAlign w:val="center"/>
          </w:tcPr>
          <w:p w14:paraId="08EC1763" w14:textId="2176CDAF"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49" w:type="dxa"/>
            <w:shd w:val="clear" w:color="auto" w:fill="F2F2F2" w:themeFill="background1" w:themeFillShade="F2"/>
            <w:vAlign w:val="center"/>
          </w:tcPr>
          <w:p w14:paraId="6449F081" w14:textId="0051743F"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2249" w:type="dxa"/>
            <w:shd w:val="clear" w:color="auto" w:fill="F2F2F2" w:themeFill="background1" w:themeFillShade="F2"/>
            <w:vAlign w:val="center"/>
          </w:tcPr>
          <w:p w14:paraId="039C5FE8" w14:textId="4FE5461D" w:rsidR="00C1712A"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C1712A" w:rsidRPr="004211B2" w14:paraId="51217AC9"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508EA88D" w14:textId="79D26CA9" w:rsidR="00C1712A" w:rsidRDefault="00BA5426" w:rsidP="007D2D80">
            <w:pPr>
              <w:pStyle w:val="APRANORMAL"/>
              <w:spacing w:before="120" w:after="120"/>
              <w:rPr>
                <w:rFonts w:ascii="DIN OT Medium" w:hAnsi="DIN OT Medium"/>
                <w:b w:val="0"/>
                <w:sz w:val="20"/>
                <w:szCs w:val="20"/>
              </w:rPr>
            </w:pPr>
            <w:r>
              <w:rPr>
                <w:rFonts w:ascii="DIN OT Medium" w:hAnsi="DIN OT Medium"/>
                <w:b w:val="0"/>
                <w:sz w:val="20"/>
                <w:szCs w:val="20"/>
              </w:rPr>
              <w:t>—</w:t>
            </w:r>
            <w:r w:rsidR="00E45B84">
              <w:rPr>
                <w:rFonts w:ascii="DIN OT Medium" w:hAnsi="DIN OT Medium"/>
                <w:b w:val="0"/>
                <w:sz w:val="20"/>
                <w:szCs w:val="20"/>
              </w:rPr>
              <w:t xml:space="preserve">otherwise </w:t>
            </w:r>
            <w:r w:rsidR="00723D3C">
              <w:rPr>
                <w:rFonts w:ascii="DIN OT Medium" w:hAnsi="DIN OT Medium"/>
                <w:b w:val="0"/>
                <w:sz w:val="20"/>
                <w:szCs w:val="20"/>
              </w:rPr>
              <w:t>t</w:t>
            </w:r>
            <w:r w:rsidR="00C1712A">
              <w:rPr>
                <w:rFonts w:ascii="DIN OT Medium" w:hAnsi="DIN OT Medium"/>
                <w:b w:val="0"/>
                <w:sz w:val="20"/>
                <w:szCs w:val="20"/>
              </w:rPr>
              <w:t xml:space="preserve">o a </w:t>
            </w:r>
            <w:r w:rsidR="007D2D80">
              <w:rPr>
                <w:rFonts w:ascii="DIN OT Medium" w:hAnsi="DIN OT Medium"/>
                <w:b w:val="0"/>
                <w:sz w:val="20"/>
                <w:szCs w:val="20"/>
              </w:rPr>
              <w:t xml:space="preserve">credit card, </w:t>
            </w:r>
            <w:r w:rsidR="00C1712A">
              <w:rPr>
                <w:rFonts w:ascii="DIN OT Medium" w:hAnsi="DIN OT Medium"/>
                <w:b w:val="0"/>
                <w:sz w:val="20"/>
                <w:szCs w:val="20"/>
              </w:rPr>
              <w:t>bank</w:t>
            </w:r>
            <w:r w:rsidR="007D2D80">
              <w:rPr>
                <w:rFonts w:ascii="DIN OT Medium" w:hAnsi="DIN OT Medium"/>
                <w:b w:val="0"/>
                <w:sz w:val="20"/>
                <w:szCs w:val="20"/>
              </w:rPr>
              <w:t xml:space="preserve"> or</w:t>
            </w:r>
            <w:r w:rsidR="00C1712A">
              <w:rPr>
                <w:rFonts w:ascii="DIN OT Medium" w:hAnsi="DIN OT Medium"/>
                <w:b w:val="0"/>
                <w:sz w:val="20"/>
                <w:szCs w:val="20"/>
              </w:rPr>
              <w:t xml:space="preserve"> sovereign</w:t>
            </w:r>
            <w:r w:rsidR="00C1712A" w:rsidDel="007D2D80">
              <w:rPr>
                <w:rFonts w:ascii="DIN OT Medium" w:hAnsi="DIN OT Medium"/>
                <w:b w:val="0"/>
                <w:sz w:val="20"/>
                <w:szCs w:val="20"/>
              </w:rPr>
              <w:t xml:space="preserve"> </w:t>
            </w:r>
            <w:r w:rsidR="00C1712A">
              <w:rPr>
                <w:rFonts w:ascii="DIN OT Medium" w:hAnsi="DIN OT Medium"/>
                <w:b w:val="0"/>
                <w:sz w:val="20"/>
                <w:szCs w:val="20"/>
              </w:rPr>
              <w:t xml:space="preserve">counterparty </w:t>
            </w:r>
          </w:p>
        </w:tc>
        <w:tc>
          <w:tcPr>
            <w:tcW w:w="2249" w:type="dxa"/>
            <w:shd w:val="clear" w:color="auto" w:fill="F2F2F2" w:themeFill="background1" w:themeFillShade="F2"/>
            <w:vAlign w:val="center"/>
          </w:tcPr>
          <w:p w14:paraId="0BCED838" w14:textId="42A3BA9F" w:rsidR="00C1712A"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(&lt;1 year)</w:t>
            </w:r>
          </w:p>
          <w:p w14:paraId="0BE51AAB" w14:textId="1D4D8994"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(&gt;1 year)</w:t>
            </w:r>
          </w:p>
        </w:tc>
        <w:tc>
          <w:tcPr>
            <w:tcW w:w="2249" w:type="dxa"/>
            <w:shd w:val="clear" w:color="auto" w:fill="F2F2F2" w:themeFill="background1" w:themeFillShade="F2"/>
            <w:vAlign w:val="center"/>
          </w:tcPr>
          <w:p w14:paraId="6F3CC5BE" w14:textId="29BFAD57" w:rsidR="00C1712A" w:rsidRPr="004211B2"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2249" w:type="dxa"/>
            <w:shd w:val="clear" w:color="auto" w:fill="F2F2F2" w:themeFill="background1" w:themeFillShade="F2"/>
            <w:vAlign w:val="center"/>
          </w:tcPr>
          <w:p w14:paraId="097B1000" w14:textId="3969AC8F" w:rsidR="00C1712A" w:rsidRDefault="00C1712A"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r>
      <w:tr w:rsidR="00C1712A" w:rsidRPr="004211B2" w14:paraId="50CA2813" w14:textId="77777777" w:rsidTr="0051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6E696AA3" w14:textId="0FBDA30D" w:rsidR="00C1712A" w:rsidRDefault="00BA5426" w:rsidP="00514561">
            <w:pPr>
              <w:pStyle w:val="APRANORMAL"/>
              <w:spacing w:before="120" w:after="120"/>
              <w:rPr>
                <w:rFonts w:ascii="DIN OT Medium" w:hAnsi="DIN OT Medium"/>
                <w:b w:val="0"/>
                <w:sz w:val="20"/>
                <w:szCs w:val="20"/>
              </w:rPr>
            </w:pPr>
            <w:r>
              <w:rPr>
                <w:rFonts w:ascii="DIN OT Medium" w:hAnsi="DIN OT Medium"/>
                <w:b w:val="0"/>
                <w:sz w:val="20"/>
                <w:szCs w:val="20"/>
              </w:rPr>
              <w:t>—</w:t>
            </w:r>
            <w:r w:rsidR="00E45B84">
              <w:rPr>
                <w:rFonts w:ascii="DIN OT Medium" w:hAnsi="DIN OT Medium"/>
                <w:b w:val="0"/>
                <w:sz w:val="20"/>
                <w:szCs w:val="20"/>
              </w:rPr>
              <w:t xml:space="preserve">otherwise </w:t>
            </w:r>
            <w:r w:rsidR="00723D3C">
              <w:rPr>
                <w:rFonts w:ascii="DIN OT Medium" w:hAnsi="DIN OT Medium"/>
                <w:b w:val="0"/>
                <w:sz w:val="20"/>
                <w:szCs w:val="20"/>
              </w:rPr>
              <w:t>t</w:t>
            </w:r>
            <w:r w:rsidR="00C1712A">
              <w:rPr>
                <w:rFonts w:ascii="DIN OT Medium" w:hAnsi="DIN OT Medium"/>
                <w:b w:val="0"/>
                <w:sz w:val="20"/>
                <w:szCs w:val="20"/>
              </w:rPr>
              <w:t>o other counterparties</w:t>
            </w:r>
          </w:p>
        </w:tc>
        <w:tc>
          <w:tcPr>
            <w:tcW w:w="2249" w:type="dxa"/>
            <w:shd w:val="clear" w:color="auto" w:fill="F2F2F2" w:themeFill="background1" w:themeFillShade="F2"/>
            <w:vAlign w:val="center"/>
          </w:tcPr>
          <w:p w14:paraId="73E326BB" w14:textId="40AD2B35" w:rsidR="00C1712A"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 (&lt;1 year)</w:t>
            </w:r>
          </w:p>
          <w:p w14:paraId="5D2CD6D7" w14:textId="095C9AD9"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 (&gt;1 year)</w:t>
            </w:r>
          </w:p>
        </w:tc>
        <w:tc>
          <w:tcPr>
            <w:tcW w:w="2249" w:type="dxa"/>
            <w:shd w:val="clear" w:color="auto" w:fill="F2F2F2" w:themeFill="background1" w:themeFillShade="F2"/>
            <w:vAlign w:val="center"/>
          </w:tcPr>
          <w:p w14:paraId="1C3AD80A" w14:textId="260DCE81" w:rsidR="00C1712A" w:rsidRPr="004211B2"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2249" w:type="dxa"/>
            <w:shd w:val="clear" w:color="auto" w:fill="F2F2F2" w:themeFill="background1" w:themeFillShade="F2"/>
            <w:vAlign w:val="center"/>
          </w:tcPr>
          <w:p w14:paraId="187EBA9F" w14:textId="7AB7FB8F" w:rsidR="00C1712A" w:rsidRDefault="00C1712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C1712A" w:rsidRPr="004211B2" w14:paraId="25F2E31D" w14:textId="77777777" w:rsidTr="00514561">
        <w:tc>
          <w:tcPr>
            <w:cnfStyle w:val="001000000000" w:firstRow="0" w:lastRow="0" w:firstColumn="1" w:lastColumn="0" w:oddVBand="0" w:evenVBand="0" w:oddHBand="0" w:evenHBand="0" w:firstRowFirstColumn="0" w:firstRowLastColumn="0" w:lastRowFirstColumn="0" w:lastRowLastColumn="0"/>
            <w:tcW w:w="2269" w:type="dxa"/>
            <w:shd w:val="clear" w:color="auto" w:fill="002060"/>
          </w:tcPr>
          <w:p w14:paraId="28EAFFD9" w14:textId="55B07409" w:rsidR="00C1712A" w:rsidRDefault="00C1712A" w:rsidP="00514561">
            <w:pPr>
              <w:pStyle w:val="APRANORMAL"/>
              <w:rPr>
                <w:rFonts w:ascii="DIN OT Medium" w:hAnsi="DIN OT Medium"/>
                <w:b w:val="0"/>
                <w:sz w:val="20"/>
                <w:szCs w:val="20"/>
              </w:rPr>
            </w:pPr>
            <w:r>
              <w:rPr>
                <w:rFonts w:ascii="DIN OT Medium" w:hAnsi="DIN OT Medium"/>
                <w:b w:val="0"/>
                <w:sz w:val="20"/>
                <w:szCs w:val="20"/>
              </w:rPr>
              <w:t xml:space="preserve">Irrevocable standby commitments </w:t>
            </w:r>
            <w:r w:rsidR="00514561">
              <w:rPr>
                <w:rFonts w:ascii="DIN OT Medium" w:hAnsi="DIN OT Medium"/>
                <w:b w:val="0"/>
                <w:sz w:val="20"/>
                <w:szCs w:val="20"/>
              </w:rPr>
              <w:t xml:space="preserve">under </w:t>
            </w:r>
            <w:r>
              <w:rPr>
                <w:rFonts w:ascii="DIN OT Medium" w:hAnsi="DIN OT Medium"/>
                <w:b w:val="0"/>
                <w:sz w:val="20"/>
                <w:szCs w:val="20"/>
              </w:rPr>
              <w:t>industry support arrangements</w:t>
            </w:r>
          </w:p>
        </w:tc>
        <w:tc>
          <w:tcPr>
            <w:tcW w:w="2249" w:type="dxa"/>
            <w:shd w:val="clear" w:color="auto" w:fill="F2F2F2" w:themeFill="background1" w:themeFillShade="F2"/>
            <w:vAlign w:val="center"/>
          </w:tcPr>
          <w:p w14:paraId="5A65F588" w14:textId="77787C96" w:rsidR="00C1712A" w:rsidRPr="004211B2" w:rsidRDefault="00C1712A" w:rsidP="00514561">
            <w:pPr>
              <w:pStyle w:val="APRANORMAL"/>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49" w:type="dxa"/>
            <w:shd w:val="clear" w:color="auto" w:fill="F2F2F2" w:themeFill="background1" w:themeFillShade="F2"/>
            <w:vAlign w:val="center"/>
          </w:tcPr>
          <w:p w14:paraId="14894A1C" w14:textId="4D825905" w:rsidR="00C1712A" w:rsidRPr="004211B2" w:rsidRDefault="00C1712A" w:rsidP="00514561">
            <w:pPr>
              <w:pStyle w:val="APRANORMAL"/>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49" w:type="dxa"/>
            <w:shd w:val="clear" w:color="auto" w:fill="F2F2F2" w:themeFill="background1" w:themeFillShade="F2"/>
            <w:vAlign w:val="center"/>
          </w:tcPr>
          <w:p w14:paraId="71ECD6A1" w14:textId="74411863" w:rsidR="00C1712A" w:rsidRDefault="00C1712A" w:rsidP="00514561">
            <w:pPr>
              <w:pStyle w:val="APRANORMAL"/>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420C9C7C" w14:textId="1C1888B4" w:rsidR="00013B6F" w:rsidRDefault="00013B6F" w:rsidP="00514561">
      <w:pPr>
        <w:pStyle w:val="APRAHEADING4"/>
        <w:keepNext w:val="0"/>
      </w:pPr>
    </w:p>
    <w:p w14:paraId="7BA9C58F" w14:textId="77777777" w:rsidR="003C0D17" w:rsidRDefault="003C0D17" w:rsidP="003C0D17">
      <w:pPr>
        <w:pStyle w:val="APRANORMAL"/>
      </w:pPr>
    </w:p>
    <w:p w14:paraId="2DBE6B26" w14:textId="77777777" w:rsidR="003C0D17" w:rsidRDefault="003C0D17" w:rsidP="003C0D17">
      <w:pPr>
        <w:pStyle w:val="APRANORMAL"/>
      </w:pPr>
    </w:p>
    <w:p w14:paraId="039DBBA8" w14:textId="3071DA11" w:rsidR="00532B5B" w:rsidRDefault="009240EA" w:rsidP="00532B5B">
      <w:pPr>
        <w:pStyle w:val="APRAHEAD-NONUMBER"/>
      </w:pPr>
      <w:bookmarkStart w:id="515" w:name="_Toc500151976"/>
      <w:bookmarkStart w:id="516" w:name="_Toc505676442"/>
      <w:bookmarkStart w:id="517" w:name="_Toc505676534"/>
      <w:bookmarkStart w:id="518" w:name="_Toc505681606"/>
      <w:bookmarkStart w:id="519" w:name="_Toc505681788"/>
      <w:bookmarkStart w:id="520" w:name="_Toc505854732"/>
      <w:bookmarkStart w:id="521" w:name="_Toc506285832"/>
      <w:r>
        <w:lastRenderedPageBreak/>
        <w:t xml:space="preserve">Attachment B - </w:t>
      </w:r>
      <w:r w:rsidR="00532B5B">
        <w:t xml:space="preserve">IRB </w:t>
      </w:r>
      <w:r w:rsidR="008748B8">
        <w:t xml:space="preserve">credit </w:t>
      </w:r>
      <w:r w:rsidR="00532B5B">
        <w:t>proposals</w:t>
      </w:r>
      <w:bookmarkEnd w:id="515"/>
      <w:bookmarkEnd w:id="516"/>
      <w:bookmarkEnd w:id="517"/>
      <w:bookmarkEnd w:id="518"/>
      <w:bookmarkEnd w:id="519"/>
      <w:bookmarkEnd w:id="520"/>
      <w:bookmarkEnd w:id="521"/>
    </w:p>
    <w:p w14:paraId="0663AAC8" w14:textId="78C10DF9" w:rsidR="004F0A77" w:rsidRDefault="004F0A77" w:rsidP="004F0A77">
      <w:pPr>
        <w:pStyle w:val="APRANORMAL"/>
      </w:pPr>
      <w:r>
        <w:t>The table</w:t>
      </w:r>
      <w:r w:rsidR="00DD015A">
        <w:t xml:space="preserve"> below</w:t>
      </w:r>
      <w:r>
        <w:t xml:space="preserve"> provide</w:t>
      </w:r>
      <w:r w:rsidR="0046481D">
        <w:t>s</w:t>
      </w:r>
      <w:r>
        <w:t xml:space="preserve"> a summary of the correlation factors used within each IRB risk</w:t>
      </w:r>
      <w:r w:rsidR="00322554">
        <w:t>-weight</w:t>
      </w:r>
      <w:r>
        <w:t xml:space="preserve"> function</w:t>
      </w:r>
      <w:r w:rsidR="00C51406">
        <w:t xml:space="preserve"> under the current APS 113 and the Basel III IRB approach to credit risk</w:t>
      </w:r>
      <w:r>
        <w:t>. APRA</w:t>
      </w:r>
      <w:r w:rsidR="00320D71">
        <w:t>’s</w:t>
      </w:r>
      <w:r>
        <w:t xml:space="preserve"> proposals are indicative only and may be subject to change depending upon the results of the QIS. APRA will undertake a full consultation on the revised </w:t>
      </w:r>
      <w:r w:rsidR="00DF16DF">
        <w:t>APS </w:t>
      </w:r>
      <w:r w:rsidR="00C51406">
        <w:t>113</w:t>
      </w:r>
      <w:r>
        <w:t xml:space="preserve"> later next year. </w:t>
      </w:r>
    </w:p>
    <w:p w14:paraId="1A4545F3" w14:textId="061ED50D" w:rsidR="00EF73B9" w:rsidRDefault="00EF73B9" w:rsidP="00441787">
      <w:pPr>
        <w:pStyle w:val="APRATABLE-NUMBER"/>
      </w:pPr>
      <w:bookmarkStart w:id="522" w:name="_Ref502740762"/>
      <w:r>
        <w:rPr>
          <w:rFonts w:eastAsiaTheme="minorEastAsia"/>
          <w:iCs/>
        </w:rPr>
        <w:t>C</w:t>
      </w:r>
      <w:r>
        <w:t>orrelation factor range for each asset class</w:t>
      </w:r>
      <w:bookmarkEnd w:id="522"/>
    </w:p>
    <w:tbl>
      <w:tblPr>
        <w:tblStyle w:val="GridTable5Dark-Accent1"/>
        <w:tblW w:w="5004" w:type="pct"/>
        <w:tblLook w:val="04A0" w:firstRow="1" w:lastRow="0" w:firstColumn="1" w:lastColumn="0" w:noHBand="0" w:noVBand="1"/>
      </w:tblPr>
      <w:tblGrid>
        <w:gridCol w:w="2263"/>
        <w:gridCol w:w="2146"/>
        <w:gridCol w:w="2303"/>
        <w:gridCol w:w="2304"/>
        <w:gridCol w:w="7"/>
      </w:tblGrid>
      <w:tr w:rsidR="005B4A69" w:rsidRPr="004211B2" w14:paraId="503187BF" w14:textId="77777777" w:rsidTr="00F25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hemeColor="background1"/>
            </w:tcBorders>
            <w:shd w:val="clear" w:color="auto" w:fill="002060"/>
            <w:vAlign w:val="bottom"/>
          </w:tcPr>
          <w:p w14:paraId="7F680980" w14:textId="77777777" w:rsidR="005B4A69" w:rsidRPr="004211B2" w:rsidRDefault="005B4A69" w:rsidP="00F25D08">
            <w:pPr>
              <w:pStyle w:val="APRANORMAL"/>
              <w:spacing w:before="120" w:after="120"/>
              <w:rPr>
                <w:rFonts w:ascii="DIN OT Medium" w:hAnsi="DIN OT Medium"/>
                <w:b w:val="0"/>
                <w:sz w:val="20"/>
                <w:szCs w:val="20"/>
              </w:rPr>
            </w:pPr>
            <w:r>
              <w:rPr>
                <w:rFonts w:ascii="DIN OT Medium" w:hAnsi="DIN OT Medium"/>
                <w:b w:val="0"/>
                <w:sz w:val="20"/>
                <w:szCs w:val="20"/>
              </w:rPr>
              <w:t>Asset class</w:t>
            </w:r>
          </w:p>
        </w:tc>
        <w:tc>
          <w:tcPr>
            <w:tcW w:w="2146" w:type="dxa"/>
            <w:tcBorders>
              <w:left w:val="single" w:sz="4" w:space="0" w:color="FFFFFF" w:themeColor="background1"/>
              <w:right w:val="single" w:sz="4" w:space="0" w:color="FFFFFF" w:themeColor="background1"/>
            </w:tcBorders>
            <w:shd w:val="clear" w:color="auto" w:fill="002060"/>
            <w:vAlign w:val="center"/>
          </w:tcPr>
          <w:p w14:paraId="55417E1E" w14:textId="67E00DDD" w:rsidR="005B4A69" w:rsidRPr="004211B2" w:rsidRDefault="005B4A69"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w:t>
            </w:r>
            <w:r w:rsidR="00C51406">
              <w:rPr>
                <w:rFonts w:ascii="DIN OT Medium" w:hAnsi="DIN OT Medium"/>
                <w:b w:val="0"/>
                <w:sz w:val="20"/>
                <w:szCs w:val="20"/>
              </w:rPr>
              <w:t>PS</w:t>
            </w:r>
            <w:r>
              <w:rPr>
                <w:rFonts w:ascii="DIN OT Medium" w:hAnsi="DIN OT Medium"/>
                <w:b w:val="0"/>
                <w:sz w:val="20"/>
                <w:szCs w:val="20"/>
              </w:rPr>
              <w:t xml:space="preserve"> 113</w:t>
            </w:r>
            <w:r w:rsidR="006A2136">
              <w:rPr>
                <w:rFonts w:ascii="DIN OT Medium" w:hAnsi="DIN OT Medium"/>
                <w:b w:val="0"/>
                <w:sz w:val="20"/>
                <w:szCs w:val="20"/>
              </w:rPr>
              <w:t xml:space="preserve"> (%)</w:t>
            </w:r>
          </w:p>
        </w:tc>
        <w:tc>
          <w:tcPr>
            <w:tcW w:w="2303" w:type="dxa"/>
            <w:tcBorders>
              <w:left w:val="single" w:sz="4" w:space="0" w:color="FFFFFF" w:themeColor="background1"/>
              <w:right w:val="single" w:sz="4" w:space="0" w:color="FFFFFF" w:themeColor="background1"/>
            </w:tcBorders>
            <w:shd w:val="clear" w:color="auto" w:fill="002060"/>
            <w:vAlign w:val="center"/>
          </w:tcPr>
          <w:p w14:paraId="24D3788A" w14:textId="2C0E5F96" w:rsidR="005B4A69" w:rsidRDefault="005B4A69"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Basel III</w:t>
            </w:r>
            <w:r w:rsidR="006A2136">
              <w:rPr>
                <w:rFonts w:ascii="DIN OT Medium" w:hAnsi="DIN OT Medium"/>
                <w:b w:val="0"/>
                <w:sz w:val="20"/>
                <w:szCs w:val="20"/>
              </w:rPr>
              <w:t xml:space="preserve"> (%)</w:t>
            </w:r>
          </w:p>
        </w:tc>
        <w:tc>
          <w:tcPr>
            <w:tcW w:w="2311" w:type="dxa"/>
            <w:gridSpan w:val="2"/>
            <w:tcBorders>
              <w:left w:val="single" w:sz="4" w:space="0" w:color="FFFFFF" w:themeColor="background1"/>
            </w:tcBorders>
            <w:shd w:val="clear" w:color="auto" w:fill="002060"/>
            <w:vAlign w:val="center"/>
          </w:tcPr>
          <w:p w14:paraId="4C90203C" w14:textId="6B83FD88" w:rsidR="005B4A69" w:rsidRPr="004211B2" w:rsidRDefault="005B4A69" w:rsidP="00514561">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APRA proposal</w:t>
            </w:r>
            <w:r w:rsidR="006A2136">
              <w:rPr>
                <w:rFonts w:ascii="DIN OT Medium" w:hAnsi="DIN OT Medium"/>
                <w:b w:val="0"/>
                <w:sz w:val="20"/>
                <w:szCs w:val="20"/>
              </w:rPr>
              <w:t xml:space="preserve"> (%)</w:t>
            </w:r>
          </w:p>
        </w:tc>
      </w:tr>
      <w:tr w:rsidR="005B4A69" w:rsidRPr="006A0E13" w14:paraId="1ECE701C" w14:textId="77777777" w:rsidTr="00514561">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17317E16" w14:textId="0FA04205" w:rsidR="005B4A69" w:rsidRPr="004211B2" w:rsidRDefault="005B4A69" w:rsidP="00514561">
            <w:pPr>
              <w:pStyle w:val="APRANORMAL"/>
              <w:spacing w:before="120" w:after="120"/>
              <w:rPr>
                <w:rFonts w:ascii="DIN OT Medium" w:hAnsi="DIN OT Medium"/>
                <w:b w:val="0"/>
                <w:sz w:val="20"/>
                <w:szCs w:val="20"/>
              </w:rPr>
            </w:pPr>
            <w:r>
              <w:rPr>
                <w:rFonts w:ascii="DIN OT Medium" w:hAnsi="DIN OT Medium"/>
                <w:b w:val="0"/>
                <w:sz w:val="20"/>
                <w:szCs w:val="20"/>
              </w:rPr>
              <w:t>Corporate</w:t>
            </w:r>
          </w:p>
        </w:tc>
        <w:tc>
          <w:tcPr>
            <w:tcW w:w="2146" w:type="dxa"/>
            <w:shd w:val="clear" w:color="auto" w:fill="F2F2F2" w:themeFill="background1" w:themeFillShade="F2"/>
            <w:vAlign w:val="center"/>
          </w:tcPr>
          <w:p w14:paraId="7D8AB8FC" w14:textId="7E92AB2F" w:rsidR="005B4A69" w:rsidRDefault="005B4A6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p>
        </w:tc>
        <w:tc>
          <w:tcPr>
            <w:tcW w:w="2303" w:type="dxa"/>
            <w:shd w:val="clear" w:color="auto" w:fill="F2F2F2" w:themeFill="background1" w:themeFillShade="F2"/>
            <w:vAlign w:val="center"/>
          </w:tcPr>
          <w:p w14:paraId="60BEC158" w14:textId="26EA9440" w:rsidR="005B4A69" w:rsidRPr="004211B2" w:rsidRDefault="005B4A6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p>
        </w:tc>
        <w:tc>
          <w:tcPr>
            <w:tcW w:w="2304" w:type="dxa"/>
            <w:shd w:val="clear" w:color="auto" w:fill="F2F2F2" w:themeFill="background1" w:themeFillShade="F2"/>
            <w:vAlign w:val="center"/>
          </w:tcPr>
          <w:p w14:paraId="110C4562" w14:textId="708963DC" w:rsidR="005B4A69" w:rsidRPr="006A0E13" w:rsidRDefault="005B4A6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p>
        </w:tc>
      </w:tr>
      <w:tr w:rsidR="005B4A69" w:rsidRPr="006A0E13" w14:paraId="4800F25C" w14:textId="77777777" w:rsidTr="00514561">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61338D3E" w14:textId="043D60F4" w:rsidR="005B4A69" w:rsidRPr="004211B2" w:rsidRDefault="005B4A69" w:rsidP="00A462FA">
            <w:pPr>
              <w:pStyle w:val="APRANORMAL"/>
              <w:spacing w:before="120" w:after="120"/>
              <w:rPr>
                <w:rFonts w:ascii="DIN OT Medium" w:hAnsi="DIN OT Medium"/>
                <w:b w:val="0"/>
                <w:sz w:val="20"/>
                <w:szCs w:val="20"/>
              </w:rPr>
            </w:pPr>
            <w:r>
              <w:rPr>
                <w:rFonts w:ascii="DIN OT Medium" w:hAnsi="DIN OT Medium"/>
                <w:b w:val="0"/>
                <w:sz w:val="20"/>
                <w:szCs w:val="20"/>
              </w:rPr>
              <w:t>Financial institution</w:t>
            </w:r>
            <w:r>
              <w:rPr>
                <w:rStyle w:val="FootnoteReference"/>
                <w:b w:val="0"/>
                <w:szCs w:val="20"/>
              </w:rPr>
              <w:footnoteReference w:id="48"/>
            </w:r>
          </w:p>
        </w:tc>
        <w:tc>
          <w:tcPr>
            <w:tcW w:w="2146" w:type="dxa"/>
            <w:shd w:val="clear" w:color="auto" w:fill="F2F2F2" w:themeFill="background1" w:themeFillShade="F2"/>
            <w:vAlign w:val="center"/>
          </w:tcPr>
          <w:p w14:paraId="04D6C5AC" w14:textId="4697B0EA" w:rsidR="005B4A69"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to 30</w:t>
            </w:r>
            <w:r w:rsidR="005C3F4A">
              <w:rPr>
                <w:sz w:val="20"/>
                <w:szCs w:val="20"/>
              </w:rPr>
              <w:t xml:space="preserve"> </w:t>
            </w:r>
            <w:r w:rsidR="00BE6C68">
              <w:rPr>
                <w:rStyle w:val="FootnoteReference"/>
                <w:szCs w:val="20"/>
              </w:rPr>
              <w:footnoteReference w:id="49"/>
            </w:r>
          </w:p>
        </w:tc>
        <w:tc>
          <w:tcPr>
            <w:tcW w:w="2303" w:type="dxa"/>
            <w:shd w:val="clear" w:color="auto" w:fill="F2F2F2" w:themeFill="background1" w:themeFillShade="F2"/>
            <w:vAlign w:val="center"/>
          </w:tcPr>
          <w:p w14:paraId="11BE75B8" w14:textId="521F2D63" w:rsidR="005B4A69" w:rsidRPr="004211B2"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to 30</w:t>
            </w:r>
          </w:p>
        </w:tc>
        <w:tc>
          <w:tcPr>
            <w:tcW w:w="2304" w:type="dxa"/>
            <w:shd w:val="clear" w:color="auto" w:fill="F2F2F2" w:themeFill="background1" w:themeFillShade="F2"/>
            <w:vAlign w:val="center"/>
          </w:tcPr>
          <w:p w14:paraId="52B6C06D" w14:textId="21F0381F" w:rsidR="005B4A69" w:rsidRPr="006A0E13"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to 30</w:t>
            </w:r>
          </w:p>
        </w:tc>
      </w:tr>
      <w:tr w:rsidR="005B4A69" w:rsidRPr="006A0E13" w14:paraId="3704FD0C" w14:textId="77777777" w:rsidTr="00514561">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1A9C9F00" w14:textId="77777777" w:rsidR="005B4A69" w:rsidRPr="004211B2" w:rsidRDefault="005B4A69" w:rsidP="00514561">
            <w:pPr>
              <w:pStyle w:val="APRANORMAL"/>
              <w:spacing w:before="120" w:after="120"/>
              <w:rPr>
                <w:rFonts w:ascii="DIN OT Medium" w:hAnsi="DIN OT Medium"/>
                <w:b w:val="0"/>
                <w:sz w:val="20"/>
                <w:szCs w:val="20"/>
              </w:rPr>
            </w:pPr>
            <w:r>
              <w:rPr>
                <w:rFonts w:ascii="DIN OT Medium" w:hAnsi="DIN OT Medium"/>
                <w:b w:val="0"/>
                <w:sz w:val="20"/>
                <w:szCs w:val="20"/>
              </w:rPr>
              <w:t>SME Corporate</w:t>
            </w:r>
          </w:p>
        </w:tc>
        <w:tc>
          <w:tcPr>
            <w:tcW w:w="2146" w:type="dxa"/>
            <w:shd w:val="clear" w:color="auto" w:fill="F2F2F2" w:themeFill="background1" w:themeFillShade="F2"/>
            <w:vAlign w:val="center"/>
          </w:tcPr>
          <w:p w14:paraId="3CD75192" w14:textId="0613CAEA" w:rsidR="005B4A69" w:rsidRDefault="005B4A69" w:rsidP="00A462F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r w:rsidR="0042100A">
              <w:rPr>
                <w:sz w:val="20"/>
                <w:szCs w:val="20"/>
              </w:rPr>
              <w:br/>
            </w:r>
            <w:r w:rsidR="00C14AE5">
              <w:rPr>
                <w:sz w:val="20"/>
                <w:szCs w:val="20"/>
              </w:rPr>
              <w:t>minus</w:t>
            </w:r>
            <w:r w:rsidR="00A462FA">
              <w:rPr>
                <w:sz w:val="20"/>
                <w:szCs w:val="20"/>
              </w:rPr>
              <w:t xml:space="preserve"> an amount between 0 and </w:t>
            </w:r>
            <w:r>
              <w:rPr>
                <w:sz w:val="20"/>
                <w:szCs w:val="20"/>
              </w:rPr>
              <w:t>4</w:t>
            </w:r>
          </w:p>
        </w:tc>
        <w:tc>
          <w:tcPr>
            <w:tcW w:w="2303" w:type="dxa"/>
            <w:shd w:val="clear" w:color="auto" w:fill="F2F2F2" w:themeFill="background1" w:themeFillShade="F2"/>
            <w:vAlign w:val="center"/>
          </w:tcPr>
          <w:p w14:paraId="058C86AA" w14:textId="689D9345" w:rsidR="005B4A69" w:rsidRPr="004211B2" w:rsidRDefault="005B4A69" w:rsidP="00A462F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r w:rsidR="0042100A">
              <w:rPr>
                <w:sz w:val="20"/>
                <w:szCs w:val="20"/>
              </w:rPr>
              <w:br/>
            </w:r>
            <w:r w:rsidR="00C14AE5">
              <w:rPr>
                <w:sz w:val="20"/>
                <w:szCs w:val="20"/>
              </w:rPr>
              <w:t>minus</w:t>
            </w:r>
            <w:r w:rsidR="00A462FA">
              <w:rPr>
                <w:sz w:val="20"/>
                <w:szCs w:val="20"/>
              </w:rPr>
              <w:t xml:space="preserve"> an amount between </w:t>
            </w:r>
            <w:r>
              <w:rPr>
                <w:sz w:val="20"/>
                <w:szCs w:val="20"/>
              </w:rPr>
              <w:t xml:space="preserve">0 </w:t>
            </w:r>
            <w:r w:rsidR="00A462FA">
              <w:rPr>
                <w:sz w:val="20"/>
                <w:szCs w:val="20"/>
              </w:rPr>
              <w:t>and</w:t>
            </w:r>
            <w:r>
              <w:rPr>
                <w:sz w:val="20"/>
                <w:szCs w:val="20"/>
              </w:rPr>
              <w:t xml:space="preserve"> 4</w:t>
            </w:r>
          </w:p>
        </w:tc>
        <w:tc>
          <w:tcPr>
            <w:tcW w:w="2304" w:type="dxa"/>
            <w:shd w:val="clear" w:color="auto" w:fill="F2F2F2" w:themeFill="background1" w:themeFillShade="F2"/>
            <w:vAlign w:val="center"/>
          </w:tcPr>
          <w:p w14:paraId="7B16DC0E" w14:textId="26AE7BBF" w:rsidR="005B4A69" w:rsidRPr="006A0E13" w:rsidRDefault="00A462FA"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to 24</w:t>
            </w:r>
            <w:r w:rsidR="0042100A">
              <w:rPr>
                <w:sz w:val="20"/>
                <w:szCs w:val="20"/>
              </w:rPr>
              <w:br/>
            </w:r>
            <w:r>
              <w:rPr>
                <w:sz w:val="20"/>
                <w:szCs w:val="20"/>
              </w:rPr>
              <w:t>minus an amount between 0 and 4</w:t>
            </w:r>
          </w:p>
        </w:tc>
      </w:tr>
      <w:tr w:rsidR="005B4A69" w:rsidRPr="004211B2" w14:paraId="6F923DC8" w14:textId="77777777" w:rsidTr="00514561">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659B3383" w14:textId="77777777" w:rsidR="005B4A69" w:rsidRPr="004211B2" w:rsidRDefault="005B4A69" w:rsidP="00514561">
            <w:pPr>
              <w:pStyle w:val="APRANORMAL"/>
              <w:spacing w:before="120" w:after="120"/>
              <w:rPr>
                <w:rFonts w:ascii="DIN OT Medium" w:hAnsi="DIN OT Medium"/>
                <w:b w:val="0"/>
                <w:sz w:val="20"/>
                <w:szCs w:val="20"/>
              </w:rPr>
            </w:pPr>
            <w:r>
              <w:rPr>
                <w:rFonts w:ascii="DIN OT Medium" w:hAnsi="DIN OT Medium"/>
                <w:b w:val="0"/>
                <w:sz w:val="20"/>
                <w:szCs w:val="20"/>
              </w:rPr>
              <w:t>Commercial property</w:t>
            </w:r>
          </w:p>
        </w:tc>
        <w:tc>
          <w:tcPr>
            <w:tcW w:w="2146" w:type="dxa"/>
            <w:shd w:val="clear" w:color="auto" w:fill="F2F2F2" w:themeFill="background1" w:themeFillShade="F2"/>
            <w:vAlign w:val="center"/>
          </w:tcPr>
          <w:p w14:paraId="1780F380" w14:textId="558BABC7" w:rsidR="005B4A69"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Supervisory slotting approach</w:t>
            </w:r>
          </w:p>
        </w:tc>
        <w:tc>
          <w:tcPr>
            <w:tcW w:w="2303" w:type="dxa"/>
            <w:shd w:val="clear" w:color="auto" w:fill="F2F2F2" w:themeFill="background1" w:themeFillShade="F2"/>
            <w:vAlign w:val="center"/>
          </w:tcPr>
          <w:p w14:paraId="0E14195C" w14:textId="0A87A524" w:rsidR="005B4A69" w:rsidRPr="004211B2"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2304" w:type="dxa"/>
            <w:shd w:val="clear" w:color="auto" w:fill="F2F2F2" w:themeFill="background1" w:themeFillShade="F2"/>
            <w:vAlign w:val="center"/>
          </w:tcPr>
          <w:p w14:paraId="08E9D4C1" w14:textId="0DD8C8C0" w:rsidR="005B4A69"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Development: 28 to 35</w:t>
            </w:r>
          </w:p>
          <w:p w14:paraId="341DA00F" w14:textId="44ABB7B9" w:rsidR="005B4A69" w:rsidRPr="004211B2" w:rsidRDefault="005B4A6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23 to 30</w:t>
            </w:r>
          </w:p>
        </w:tc>
      </w:tr>
      <w:tr w:rsidR="00EF73B9" w:rsidRPr="006A0E13" w14:paraId="362983DC" w14:textId="77777777" w:rsidTr="00514561">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15A1B818" w14:textId="705179A7" w:rsidR="00EF73B9" w:rsidRPr="004211B2" w:rsidRDefault="00EF73B9" w:rsidP="00514561">
            <w:pPr>
              <w:pStyle w:val="APRANORMAL"/>
              <w:spacing w:before="120" w:after="120"/>
              <w:rPr>
                <w:rFonts w:ascii="DIN OT Medium" w:hAnsi="DIN OT Medium"/>
                <w:b w:val="0"/>
                <w:sz w:val="20"/>
                <w:szCs w:val="20"/>
              </w:rPr>
            </w:pPr>
            <w:r>
              <w:rPr>
                <w:rFonts w:ascii="DIN OT Medium" w:hAnsi="DIN OT Medium"/>
                <w:b w:val="0"/>
                <w:sz w:val="20"/>
                <w:szCs w:val="20"/>
              </w:rPr>
              <w:t>Residential mortgages</w:t>
            </w:r>
          </w:p>
        </w:tc>
        <w:tc>
          <w:tcPr>
            <w:tcW w:w="2146" w:type="dxa"/>
            <w:shd w:val="clear" w:color="auto" w:fill="F2F2F2" w:themeFill="background1" w:themeFillShade="F2"/>
            <w:vAlign w:val="center"/>
          </w:tcPr>
          <w:p w14:paraId="7820313B" w14:textId="0AB41AA3" w:rsidR="00EF73B9"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15 </w:t>
            </w:r>
            <w:r>
              <w:rPr>
                <w:rStyle w:val="FootnoteReference"/>
                <w:szCs w:val="20"/>
              </w:rPr>
              <w:footnoteReference w:id="50"/>
            </w:r>
          </w:p>
        </w:tc>
        <w:tc>
          <w:tcPr>
            <w:tcW w:w="2303" w:type="dxa"/>
            <w:shd w:val="clear" w:color="auto" w:fill="F2F2F2" w:themeFill="background1" w:themeFillShade="F2"/>
            <w:vAlign w:val="center"/>
          </w:tcPr>
          <w:p w14:paraId="060D8D56" w14:textId="3A6E9E4E" w:rsidR="00EF73B9" w:rsidRPr="004211B2"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2304" w:type="dxa"/>
            <w:shd w:val="clear" w:color="auto" w:fill="F2F2F2" w:themeFill="background1" w:themeFillShade="F2"/>
            <w:vAlign w:val="center"/>
          </w:tcPr>
          <w:p w14:paraId="2A080D2E" w14:textId="04A383E7" w:rsidR="00EF73B9"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Owner-occupied P&amp;I: 15 to 22</w:t>
            </w:r>
          </w:p>
          <w:p w14:paraId="50F3DB1B" w14:textId="756CBBC9" w:rsidR="00EF73B9" w:rsidRPr="006A0E13"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20 to 27</w:t>
            </w:r>
            <w:r w:rsidR="00071AA1">
              <w:rPr>
                <w:sz w:val="20"/>
                <w:szCs w:val="20"/>
              </w:rPr>
              <w:t xml:space="preserve"> </w:t>
            </w:r>
            <w:r w:rsidR="00071AA1">
              <w:rPr>
                <w:rStyle w:val="FootnoteReference"/>
                <w:szCs w:val="20"/>
              </w:rPr>
              <w:footnoteReference w:id="51"/>
            </w:r>
          </w:p>
        </w:tc>
      </w:tr>
      <w:tr w:rsidR="00EF73B9" w:rsidRPr="006A0E13" w14:paraId="4B51E8B1" w14:textId="77777777" w:rsidTr="00514561">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71B45BB8" w14:textId="11EE54B6" w:rsidR="00EF73B9" w:rsidRPr="004211B2" w:rsidRDefault="00EF73B9" w:rsidP="00514561">
            <w:pPr>
              <w:pStyle w:val="APRANORMAL"/>
              <w:spacing w:before="120" w:after="120"/>
              <w:rPr>
                <w:rFonts w:ascii="DIN OT Medium" w:hAnsi="DIN OT Medium"/>
                <w:b w:val="0"/>
                <w:sz w:val="20"/>
                <w:szCs w:val="20"/>
              </w:rPr>
            </w:pPr>
            <w:r>
              <w:rPr>
                <w:rFonts w:ascii="DIN OT Medium" w:hAnsi="DIN OT Medium"/>
                <w:b w:val="0"/>
                <w:sz w:val="20"/>
                <w:szCs w:val="20"/>
              </w:rPr>
              <w:t>Qualifying revolving retail</w:t>
            </w:r>
          </w:p>
        </w:tc>
        <w:tc>
          <w:tcPr>
            <w:tcW w:w="2146" w:type="dxa"/>
            <w:shd w:val="clear" w:color="auto" w:fill="F2F2F2" w:themeFill="background1" w:themeFillShade="F2"/>
            <w:vAlign w:val="center"/>
          </w:tcPr>
          <w:p w14:paraId="2F2FA904" w14:textId="24AC415E" w:rsidR="00EF73B9"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303" w:type="dxa"/>
            <w:shd w:val="clear" w:color="auto" w:fill="F2F2F2" w:themeFill="background1" w:themeFillShade="F2"/>
            <w:vAlign w:val="center"/>
          </w:tcPr>
          <w:p w14:paraId="5273CC01" w14:textId="7F548378" w:rsidR="00EF73B9" w:rsidRPr="004211B2"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304" w:type="dxa"/>
            <w:shd w:val="clear" w:color="auto" w:fill="F2F2F2" w:themeFill="background1" w:themeFillShade="F2"/>
            <w:vAlign w:val="center"/>
          </w:tcPr>
          <w:p w14:paraId="3F661C21" w14:textId="4C2A841C" w:rsidR="00EF73B9" w:rsidRPr="006A0E13"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 asset class – move to other retail</w:t>
            </w:r>
          </w:p>
        </w:tc>
      </w:tr>
      <w:tr w:rsidR="00EF73B9" w:rsidRPr="006A0E13" w14:paraId="6FA5493E" w14:textId="77777777" w:rsidTr="00514561">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2058ABD0" w14:textId="39CDB028" w:rsidR="00EF73B9" w:rsidRPr="004211B2" w:rsidRDefault="00EF73B9" w:rsidP="00514561">
            <w:pPr>
              <w:pStyle w:val="APRANORMAL"/>
              <w:spacing w:before="120" w:after="120"/>
              <w:rPr>
                <w:rFonts w:ascii="DIN OT Medium" w:hAnsi="DIN OT Medium"/>
                <w:b w:val="0"/>
                <w:sz w:val="20"/>
                <w:szCs w:val="20"/>
              </w:rPr>
            </w:pPr>
            <w:r>
              <w:rPr>
                <w:rFonts w:ascii="DIN OT Medium" w:hAnsi="DIN OT Medium"/>
                <w:b w:val="0"/>
                <w:sz w:val="20"/>
                <w:szCs w:val="20"/>
              </w:rPr>
              <w:lastRenderedPageBreak/>
              <w:t>Other retail</w:t>
            </w:r>
          </w:p>
        </w:tc>
        <w:tc>
          <w:tcPr>
            <w:tcW w:w="2146" w:type="dxa"/>
            <w:shd w:val="clear" w:color="auto" w:fill="F2F2F2" w:themeFill="background1" w:themeFillShade="F2"/>
            <w:vAlign w:val="center"/>
          </w:tcPr>
          <w:p w14:paraId="04C4186B" w14:textId="2822807B" w:rsidR="00EF73B9"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to 16</w:t>
            </w:r>
          </w:p>
        </w:tc>
        <w:tc>
          <w:tcPr>
            <w:tcW w:w="2303" w:type="dxa"/>
            <w:shd w:val="clear" w:color="auto" w:fill="F2F2F2" w:themeFill="background1" w:themeFillShade="F2"/>
            <w:vAlign w:val="center"/>
          </w:tcPr>
          <w:p w14:paraId="71E969C7" w14:textId="13B0C648" w:rsidR="00EF73B9" w:rsidRPr="004211B2" w:rsidRDefault="00EF73B9"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to 16</w:t>
            </w:r>
          </w:p>
        </w:tc>
        <w:tc>
          <w:tcPr>
            <w:tcW w:w="2304" w:type="dxa"/>
            <w:shd w:val="clear" w:color="auto" w:fill="F2F2F2" w:themeFill="background1" w:themeFillShade="F2"/>
            <w:vAlign w:val="center"/>
          </w:tcPr>
          <w:p w14:paraId="228BFE3E" w14:textId="2068E0B5" w:rsidR="00EF73B9" w:rsidRPr="006A0E13" w:rsidRDefault="008F3DA2" w:rsidP="00514561">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to 16</w:t>
            </w:r>
          </w:p>
        </w:tc>
      </w:tr>
      <w:tr w:rsidR="00EF73B9" w:rsidRPr="004211B2" w14:paraId="55E3370E" w14:textId="77777777" w:rsidTr="00514561">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shd w:val="clear" w:color="auto" w:fill="002060"/>
            <w:vAlign w:val="center"/>
          </w:tcPr>
          <w:p w14:paraId="32F7BC9F" w14:textId="22EBC18E" w:rsidR="00EF73B9" w:rsidRPr="004211B2" w:rsidRDefault="00EF73B9" w:rsidP="00514561">
            <w:pPr>
              <w:pStyle w:val="APRANORMAL"/>
              <w:spacing w:before="120" w:after="120"/>
              <w:rPr>
                <w:rFonts w:ascii="DIN OT Medium" w:hAnsi="DIN OT Medium"/>
                <w:b w:val="0"/>
                <w:sz w:val="20"/>
                <w:szCs w:val="20"/>
              </w:rPr>
            </w:pPr>
            <w:r>
              <w:rPr>
                <w:rFonts w:ascii="DIN OT Medium" w:hAnsi="DIN OT Medium"/>
                <w:b w:val="0"/>
                <w:sz w:val="20"/>
                <w:szCs w:val="20"/>
              </w:rPr>
              <w:t>SME Retail</w:t>
            </w:r>
          </w:p>
        </w:tc>
        <w:tc>
          <w:tcPr>
            <w:tcW w:w="2146" w:type="dxa"/>
            <w:shd w:val="clear" w:color="auto" w:fill="F2F2F2" w:themeFill="background1" w:themeFillShade="F2"/>
            <w:vAlign w:val="center"/>
          </w:tcPr>
          <w:p w14:paraId="0E9886F7" w14:textId="0038FF60" w:rsidR="00EF73B9"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Residential </w:t>
            </w:r>
            <w:r w:rsidR="007F3EDE">
              <w:rPr>
                <w:sz w:val="20"/>
                <w:szCs w:val="20"/>
              </w:rPr>
              <w:t>property</w:t>
            </w:r>
            <w:r>
              <w:rPr>
                <w:sz w:val="20"/>
                <w:szCs w:val="20"/>
              </w:rPr>
              <w:t xml:space="preserve"> secured: 15</w:t>
            </w:r>
          </w:p>
          <w:p w14:paraId="650BE538" w14:textId="6523873D" w:rsidR="00EF73B9"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3 to 16</w:t>
            </w:r>
          </w:p>
        </w:tc>
        <w:tc>
          <w:tcPr>
            <w:tcW w:w="2303" w:type="dxa"/>
            <w:shd w:val="clear" w:color="auto" w:fill="F2F2F2" w:themeFill="background1" w:themeFillShade="F2"/>
            <w:vAlign w:val="center"/>
          </w:tcPr>
          <w:p w14:paraId="3F66D330" w14:textId="25A9BEE6" w:rsidR="00EF73B9"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Residential </w:t>
            </w:r>
            <w:r w:rsidR="007F3EDE">
              <w:rPr>
                <w:sz w:val="20"/>
                <w:szCs w:val="20"/>
              </w:rPr>
              <w:t>property</w:t>
            </w:r>
            <w:r>
              <w:rPr>
                <w:sz w:val="20"/>
                <w:szCs w:val="20"/>
              </w:rPr>
              <w:t xml:space="preserve"> secured: 15</w:t>
            </w:r>
          </w:p>
          <w:p w14:paraId="14657DCC" w14:textId="12931392" w:rsidR="00EF73B9" w:rsidRPr="004211B2"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3 to 16</w:t>
            </w:r>
          </w:p>
        </w:tc>
        <w:tc>
          <w:tcPr>
            <w:tcW w:w="2304" w:type="dxa"/>
            <w:shd w:val="clear" w:color="auto" w:fill="F2F2F2" w:themeFill="background1" w:themeFillShade="F2"/>
            <w:vAlign w:val="center"/>
          </w:tcPr>
          <w:p w14:paraId="1B423475" w14:textId="59AEF5EE" w:rsidR="00EF73B9" w:rsidRPr="004211B2" w:rsidRDefault="00EF73B9" w:rsidP="00514561">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 asset class – move to relevant non-retail correlation</w:t>
            </w:r>
          </w:p>
        </w:tc>
      </w:tr>
    </w:tbl>
    <w:p w14:paraId="12ECBA78" w14:textId="0C7E7013" w:rsidR="00FB50C6" w:rsidRDefault="00FB50C6" w:rsidP="00C45A1D">
      <w:pPr>
        <w:pStyle w:val="APRANORMAL"/>
      </w:pPr>
    </w:p>
    <w:p w14:paraId="7454D0B7" w14:textId="12454C91" w:rsidR="006A0E13" w:rsidRDefault="00DB06AA" w:rsidP="006A0E13">
      <w:pPr>
        <w:pStyle w:val="APRANORMAL"/>
      </w:pPr>
      <w:bookmarkStart w:id="523" w:name="_Toc500151977"/>
      <w:r>
        <w:t xml:space="preserve">Basel III has introduced a wider range of minimum values for the parameters estimated by ADIs in the IRB risk-weight function. </w:t>
      </w:r>
      <w:r w:rsidR="00397A38">
        <w:fldChar w:fldCharType="begin"/>
      </w:r>
      <w:r w:rsidR="00397A38">
        <w:instrText xml:space="preserve"> REF _Ref505682599 \r \h </w:instrText>
      </w:r>
      <w:r w:rsidR="00397A38">
        <w:fldChar w:fldCharType="separate"/>
      </w:r>
      <w:r w:rsidR="00EB1F7A">
        <w:t>Table 33</w:t>
      </w:r>
      <w:r w:rsidR="00397A38">
        <w:fldChar w:fldCharType="end"/>
      </w:r>
      <w:r w:rsidR="00E31801">
        <w:t xml:space="preserve"> sets out t</w:t>
      </w:r>
      <w:r>
        <w:t>hese floors, along with indicative APRA proposals.</w:t>
      </w:r>
    </w:p>
    <w:p w14:paraId="1270C3D2" w14:textId="18683664" w:rsidR="00E31801" w:rsidRDefault="00E31801">
      <w:pPr>
        <w:pStyle w:val="APRATABLE-NUMBER"/>
      </w:pPr>
      <w:bookmarkStart w:id="524" w:name="_Ref505333783"/>
      <w:bookmarkStart w:id="525" w:name="_Ref505682599"/>
      <w:r>
        <w:t>Input floors</w:t>
      </w:r>
      <w:bookmarkEnd w:id="524"/>
      <w:bookmarkEnd w:id="525"/>
    </w:p>
    <w:tbl>
      <w:tblPr>
        <w:tblStyle w:val="GridTable5Dark-Accent1"/>
        <w:tblW w:w="5004" w:type="pct"/>
        <w:tblLook w:val="04A0" w:firstRow="1" w:lastRow="0" w:firstColumn="1" w:lastColumn="0" w:noHBand="0" w:noVBand="1"/>
      </w:tblPr>
      <w:tblGrid>
        <w:gridCol w:w="2263"/>
        <w:gridCol w:w="2146"/>
        <w:gridCol w:w="2303"/>
        <w:gridCol w:w="2304"/>
        <w:gridCol w:w="7"/>
      </w:tblGrid>
      <w:tr w:rsidR="00DB06AA" w:rsidRPr="004211B2" w14:paraId="733C2A0A" w14:textId="77777777" w:rsidTr="00F25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002060"/>
            <w:vAlign w:val="center"/>
          </w:tcPr>
          <w:p w14:paraId="435F4E49" w14:textId="77777777" w:rsidR="00DB06AA" w:rsidRPr="004211B2" w:rsidRDefault="00DB06AA" w:rsidP="00DB06AA">
            <w:pPr>
              <w:pStyle w:val="APRANORMAL"/>
              <w:spacing w:before="120" w:after="120"/>
              <w:jc w:val="center"/>
              <w:rPr>
                <w:rFonts w:ascii="DIN OT Medium" w:hAnsi="DIN OT Medium"/>
                <w:b w:val="0"/>
                <w:sz w:val="20"/>
                <w:szCs w:val="20"/>
              </w:rPr>
            </w:pPr>
            <w:r>
              <w:rPr>
                <w:rFonts w:ascii="DIN OT Medium" w:hAnsi="DIN OT Medium"/>
                <w:b w:val="0"/>
                <w:sz w:val="20"/>
                <w:szCs w:val="20"/>
              </w:rPr>
              <w:t>Estimate</w:t>
            </w:r>
          </w:p>
        </w:tc>
        <w:tc>
          <w:tcPr>
            <w:tcW w:w="2146" w:type="dxa"/>
            <w:tcBorders>
              <w:top w:val="none" w:sz="0" w:space="0" w:color="auto"/>
              <w:left w:val="none" w:sz="0" w:space="0" w:color="auto"/>
              <w:right w:val="none" w:sz="0" w:space="0" w:color="auto"/>
            </w:tcBorders>
            <w:shd w:val="clear" w:color="auto" w:fill="002060"/>
            <w:vAlign w:val="center"/>
          </w:tcPr>
          <w:p w14:paraId="3A4B2501" w14:textId="77777777" w:rsidR="00DB06AA" w:rsidRPr="004211B2" w:rsidRDefault="00DB06AA" w:rsidP="00DB06A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Asset class</w:t>
            </w:r>
          </w:p>
        </w:tc>
        <w:tc>
          <w:tcPr>
            <w:tcW w:w="2303" w:type="dxa"/>
            <w:tcBorders>
              <w:top w:val="none" w:sz="0" w:space="0" w:color="auto"/>
              <w:left w:val="none" w:sz="0" w:space="0" w:color="auto"/>
              <w:right w:val="none" w:sz="0" w:space="0" w:color="auto"/>
            </w:tcBorders>
            <w:shd w:val="clear" w:color="auto" w:fill="002060"/>
            <w:vAlign w:val="center"/>
          </w:tcPr>
          <w:p w14:paraId="6FD77313" w14:textId="0E819CF9" w:rsidR="00DB06AA" w:rsidRDefault="00DB06AA" w:rsidP="00DB06A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Basel III</w:t>
            </w:r>
            <w:r w:rsidR="00320D71">
              <w:rPr>
                <w:rFonts w:ascii="DIN OT Medium" w:hAnsi="DIN OT Medium"/>
                <w:b w:val="0"/>
                <w:sz w:val="20"/>
                <w:szCs w:val="20"/>
              </w:rPr>
              <w:t xml:space="preserve"> (%)</w:t>
            </w:r>
          </w:p>
        </w:tc>
        <w:tc>
          <w:tcPr>
            <w:tcW w:w="2311" w:type="dxa"/>
            <w:gridSpan w:val="2"/>
            <w:tcBorders>
              <w:top w:val="none" w:sz="0" w:space="0" w:color="auto"/>
              <w:left w:val="none" w:sz="0" w:space="0" w:color="auto"/>
              <w:right w:val="none" w:sz="0" w:space="0" w:color="auto"/>
            </w:tcBorders>
            <w:shd w:val="clear" w:color="auto" w:fill="002060"/>
            <w:vAlign w:val="center"/>
          </w:tcPr>
          <w:p w14:paraId="37668655" w14:textId="16E3E525" w:rsidR="00DB06AA" w:rsidRPr="004211B2" w:rsidRDefault="00DB06AA" w:rsidP="00DB06AA">
            <w:pPr>
              <w:pStyle w:val="APRANORMAL"/>
              <w:spacing w:before="120" w:after="120"/>
              <w:jc w:val="center"/>
              <w:cnfStyle w:val="100000000000" w:firstRow="1" w:lastRow="0" w:firstColumn="0" w:lastColumn="0" w:oddVBand="0" w:evenVBand="0" w:oddHBand="0" w:evenHBand="0" w:firstRowFirstColumn="0" w:firstRowLastColumn="0" w:lastRowFirstColumn="0" w:lastRowLastColumn="0"/>
              <w:rPr>
                <w:rFonts w:ascii="DIN OT Medium" w:hAnsi="DIN OT Medium"/>
                <w:b w:val="0"/>
                <w:sz w:val="20"/>
                <w:szCs w:val="20"/>
              </w:rPr>
            </w:pPr>
            <w:r>
              <w:rPr>
                <w:rFonts w:ascii="DIN OT Medium" w:hAnsi="DIN OT Medium"/>
                <w:b w:val="0"/>
                <w:sz w:val="20"/>
                <w:szCs w:val="20"/>
              </w:rPr>
              <w:t>APRA proposal</w:t>
            </w:r>
            <w:r w:rsidR="00320D71">
              <w:rPr>
                <w:rFonts w:ascii="DIN OT Medium" w:hAnsi="DIN OT Medium"/>
                <w:b w:val="0"/>
                <w:sz w:val="20"/>
                <w:szCs w:val="20"/>
              </w:rPr>
              <w:t xml:space="preserve"> (%)</w:t>
            </w:r>
          </w:p>
        </w:tc>
      </w:tr>
      <w:tr w:rsidR="00DB06AA" w:rsidRPr="006A0E13" w14:paraId="14124910" w14:textId="77777777" w:rsidTr="00F25D0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002060"/>
            <w:vAlign w:val="center"/>
          </w:tcPr>
          <w:p w14:paraId="6625C68E" w14:textId="77777777" w:rsidR="00DB06AA" w:rsidRPr="004211B2" w:rsidRDefault="00DB06AA" w:rsidP="00DB06AA">
            <w:pPr>
              <w:pStyle w:val="APRANORMAL"/>
              <w:spacing w:before="120" w:after="120"/>
              <w:rPr>
                <w:rFonts w:ascii="DIN OT Medium" w:hAnsi="DIN OT Medium"/>
                <w:b w:val="0"/>
                <w:sz w:val="20"/>
                <w:szCs w:val="20"/>
              </w:rPr>
            </w:pPr>
            <w:r>
              <w:rPr>
                <w:rFonts w:ascii="DIN OT Medium" w:hAnsi="DIN OT Medium"/>
                <w:b w:val="0"/>
                <w:sz w:val="20"/>
                <w:szCs w:val="20"/>
              </w:rPr>
              <w:t>Probability of default</w:t>
            </w:r>
          </w:p>
        </w:tc>
        <w:tc>
          <w:tcPr>
            <w:tcW w:w="2146" w:type="dxa"/>
            <w:shd w:val="clear" w:color="auto" w:fill="D9D9D9" w:themeFill="background1" w:themeFillShade="D9"/>
            <w:vAlign w:val="center"/>
          </w:tcPr>
          <w:p w14:paraId="523F186A" w14:textId="77777777" w:rsidR="00DB06AA" w:rsidRPr="006518C1"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Qualifying revolving retail - revolvers</w:t>
            </w:r>
          </w:p>
        </w:tc>
        <w:tc>
          <w:tcPr>
            <w:tcW w:w="2303" w:type="dxa"/>
            <w:shd w:val="clear" w:color="auto" w:fill="D9D9D9" w:themeFill="background1" w:themeFillShade="D9"/>
            <w:vAlign w:val="center"/>
          </w:tcPr>
          <w:p w14:paraId="59988AC0" w14:textId="77777777" w:rsidR="00DB06AA" w:rsidRPr="004211B2"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2304" w:type="dxa"/>
            <w:shd w:val="clear" w:color="auto" w:fill="D9D9D9" w:themeFill="background1" w:themeFillShade="D9"/>
            <w:vAlign w:val="center"/>
          </w:tcPr>
          <w:p w14:paraId="4C0FC556" w14:textId="77777777" w:rsidR="00DB06AA" w:rsidRPr="006A0E13"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r>
      <w:tr w:rsidR="00DB06AA" w:rsidRPr="006A0E13" w14:paraId="582827B7" w14:textId="77777777" w:rsidTr="00F25D08">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002060"/>
            <w:vAlign w:val="center"/>
          </w:tcPr>
          <w:p w14:paraId="1C89B5F8" w14:textId="77777777" w:rsidR="00DB06AA" w:rsidRPr="004211B2" w:rsidRDefault="00DB06AA" w:rsidP="00DB06AA">
            <w:pPr>
              <w:pStyle w:val="APRANORMAL"/>
              <w:spacing w:before="120" w:after="120"/>
              <w:rPr>
                <w:rFonts w:ascii="DIN OT Medium" w:hAnsi="DIN OT Medium"/>
                <w:b w:val="0"/>
                <w:sz w:val="20"/>
                <w:szCs w:val="20"/>
              </w:rPr>
            </w:pPr>
          </w:p>
        </w:tc>
        <w:tc>
          <w:tcPr>
            <w:tcW w:w="2146" w:type="dxa"/>
            <w:shd w:val="clear" w:color="auto" w:fill="F2F2F2" w:themeFill="background1" w:themeFillShade="F2"/>
            <w:vAlign w:val="center"/>
          </w:tcPr>
          <w:p w14:paraId="6A16A5AF" w14:textId="77777777" w:rsidR="00DB06AA" w:rsidRPr="006518C1"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Other</w:t>
            </w:r>
          </w:p>
        </w:tc>
        <w:tc>
          <w:tcPr>
            <w:tcW w:w="2303" w:type="dxa"/>
            <w:shd w:val="clear" w:color="auto" w:fill="F2F2F2" w:themeFill="background1" w:themeFillShade="F2"/>
            <w:vAlign w:val="center"/>
          </w:tcPr>
          <w:p w14:paraId="01DF2C6E" w14:textId="77777777" w:rsidR="00DB06AA" w:rsidRPr="004211B2"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w:t>
            </w:r>
          </w:p>
        </w:tc>
        <w:tc>
          <w:tcPr>
            <w:tcW w:w="2304" w:type="dxa"/>
            <w:shd w:val="clear" w:color="auto" w:fill="F2F2F2" w:themeFill="background1" w:themeFillShade="F2"/>
            <w:vAlign w:val="center"/>
          </w:tcPr>
          <w:p w14:paraId="69B8231E" w14:textId="77777777" w:rsidR="00DB06AA" w:rsidRPr="006A0E13"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w:t>
            </w:r>
          </w:p>
        </w:tc>
      </w:tr>
      <w:tr w:rsidR="00DB06AA" w:rsidRPr="006A0E13" w14:paraId="174F02A7" w14:textId="77777777" w:rsidTr="00F25D0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002060"/>
            <w:vAlign w:val="center"/>
          </w:tcPr>
          <w:p w14:paraId="178884F4" w14:textId="77777777" w:rsidR="00DB06AA" w:rsidRPr="004211B2" w:rsidRDefault="00DB06AA" w:rsidP="00DB06AA">
            <w:pPr>
              <w:pStyle w:val="APRANORMAL"/>
              <w:spacing w:before="120" w:after="120"/>
              <w:rPr>
                <w:rFonts w:ascii="DIN OT Medium" w:hAnsi="DIN OT Medium"/>
                <w:b w:val="0"/>
                <w:sz w:val="20"/>
                <w:szCs w:val="20"/>
              </w:rPr>
            </w:pPr>
            <w:r>
              <w:rPr>
                <w:rFonts w:ascii="DIN OT Medium" w:hAnsi="DIN OT Medium"/>
                <w:b w:val="0"/>
                <w:sz w:val="20"/>
                <w:szCs w:val="20"/>
              </w:rPr>
              <w:t>Loss given default</w:t>
            </w:r>
          </w:p>
        </w:tc>
        <w:tc>
          <w:tcPr>
            <w:tcW w:w="2146" w:type="dxa"/>
            <w:shd w:val="clear" w:color="auto" w:fill="D9D9D9" w:themeFill="background1" w:themeFillShade="D9"/>
            <w:vAlign w:val="center"/>
          </w:tcPr>
          <w:p w14:paraId="6B614693" w14:textId="77777777" w:rsidR="00DB06AA" w:rsidRPr="006518C1"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Corporate</w:t>
            </w:r>
          </w:p>
        </w:tc>
        <w:tc>
          <w:tcPr>
            <w:tcW w:w="2303" w:type="dxa"/>
            <w:shd w:val="clear" w:color="auto" w:fill="D9D9D9" w:themeFill="background1" w:themeFillShade="D9"/>
            <w:vAlign w:val="center"/>
          </w:tcPr>
          <w:p w14:paraId="0DDD6F9D"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Financial – 0</w:t>
            </w:r>
          </w:p>
          <w:p w14:paraId="030F9768"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Receivables – 10</w:t>
            </w:r>
          </w:p>
          <w:p w14:paraId="08301B32" w14:textId="0A01A203"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Commercial or residential </w:t>
            </w:r>
            <w:r w:rsidR="007F3EDE">
              <w:rPr>
                <w:sz w:val="20"/>
                <w:szCs w:val="20"/>
              </w:rPr>
              <w:t>property</w:t>
            </w:r>
            <w:r>
              <w:rPr>
                <w:sz w:val="20"/>
                <w:szCs w:val="20"/>
              </w:rPr>
              <w:t xml:space="preserve"> – 10</w:t>
            </w:r>
          </w:p>
          <w:p w14:paraId="388FF94D"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physical – 15</w:t>
            </w:r>
          </w:p>
          <w:p w14:paraId="065BC8EC" w14:textId="77777777" w:rsidR="00DB06AA" w:rsidRPr="004211B2"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Unsecured – 25</w:t>
            </w:r>
          </w:p>
        </w:tc>
        <w:tc>
          <w:tcPr>
            <w:tcW w:w="2304" w:type="dxa"/>
            <w:shd w:val="clear" w:color="auto" w:fill="D9D9D9" w:themeFill="background1" w:themeFillShade="D9"/>
            <w:vAlign w:val="center"/>
          </w:tcPr>
          <w:p w14:paraId="0A37B4A5"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Financial – 0</w:t>
            </w:r>
          </w:p>
          <w:p w14:paraId="1619C62E"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Receivables – 10</w:t>
            </w:r>
          </w:p>
          <w:p w14:paraId="75D49AF0" w14:textId="7BB1086E"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Commercial or residential </w:t>
            </w:r>
            <w:r w:rsidR="007F3EDE">
              <w:rPr>
                <w:sz w:val="20"/>
                <w:szCs w:val="20"/>
              </w:rPr>
              <w:t>property</w:t>
            </w:r>
            <w:r>
              <w:rPr>
                <w:sz w:val="20"/>
                <w:szCs w:val="20"/>
              </w:rPr>
              <w:t xml:space="preserve"> – 10</w:t>
            </w:r>
          </w:p>
          <w:p w14:paraId="7848ED48" w14:textId="77777777" w:rsidR="00DB06AA"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physical – 15</w:t>
            </w:r>
          </w:p>
          <w:p w14:paraId="20C3EC5A" w14:textId="77777777" w:rsidR="00DB06AA" w:rsidRPr="006A0E13"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Unsecured – 25</w:t>
            </w:r>
          </w:p>
        </w:tc>
      </w:tr>
      <w:tr w:rsidR="00DB06AA" w:rsidRPr="004211B2" w14:paraId="709B51AB" w14:textId="77777777" w:rsidTr="00F25D08">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002060"/>
            <w:vAlign w:val="center"/>
          </w:tcPr>
          <w:p w14:paraId="4D257EDC" w14:textId="77777777" w:rsidR="00DB06AA" w:rsidRPr="004211B2" w:rsidRDefault="00DB06AA" w:rsidP="00DB06AA">
            <w:pPr>
              <w:pStyle w:val="APRANORMAL"/>
              <w:spacing w:before="120" w:after="120"/>
              <w:rPr>
                <w:rFonts w:ascii="DIN OT Medium" w:hAnsi="DIN OT Medium"/>
                <w:b w:val="0"/>
                <w:sz w:val="20"/>
                <w:szCs w:val="20"/>
              </w:rPr>
            </w:pPr>
          </w:p>
        </w:tc>
        <w:tc>
          <w:tcPr>
            <w:tcW w:w="2146" w:type="dxa"/>
            <w:shd w:val="clear" w:color="auto" w:fill="F2F2F2" w:themeFill="background1" w:themeFillShade="F2"/>
            <w:vAlign w:val="center"/>
          </w:tcPr>
          <w:p w14:paraId="32808E9F" w14:textId="77777777" w:rsidR="00DB06AA" w:rsidRPr="006518C1"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Mortgages</w:t>
            </w:r>
          </w:p>
        </w:tc>
        <w:tc>
          <w:tcPr>
            <w:tcW w:w="2303" w:type="dxa"/>
            <w:shd w:val="clear" w:color="auto" w:fill="F2F2F2" w:themeFill="background1" w:themeFillShade="F2"/>
            <w:vAlign w:val="center"/>
          </w:tcPr>
          <w:p w14:paraId="08EC354B" w14:textId="77777777" w:rsidR="00DB06AA" w:rsidRPr="004211B2"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304" w:type="dxa"/>
            <w:shd w:val="clear" w:color="auto" w:fill="F2F2F2" w:themeFill="background1" w:themeFillShade="F2"/>
            <w:vAlign w:val="center"/>
          </w:tcPr>
          <w:p w14:paraId="68C53551" w14:textId="77777777" w:rsidR="00DB06AA" w:rsidRPr="004211B2"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r w:rsidR="00DB06AA" w:rsidRPr="006A0E13" w14:paraId="77C88AED" w14:textId="77777777" w:rsidTr="00F25D0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002060"/>
            <w:vAlign w:val="center"/>
          </w:tcPr>
          <w:p w14:paraId="119906E2" w14:textId="77777777" w:rsidR="00DB06AA" w:rsidRPr="004211B2" w:rsidRDefault="00DB06AA" w:rsidP="00DB06AA">
            <w:pPr>
              <w:pStyle w:val="APRANORMAL"/>
              <w:spacing w:before="120" w:after="120"/>
              <w:rPr>
                <w:rFonts w:ascii="DIN OT Medium" w:hAnsi="DIN OT Medium"/>
                <w:b w:val="0"/>
                <w:sz w:val="20"/>
                <w:szCs w:val="20"/>
              </w:rPr>
            </w:pPr>
          </w:p>
        </w:tc>
        <w:tc>
          <w:tcPr>
            <w:tcW w:w="2146" w:type="dxa"/>
            <w:shd w:val="clear" w:color="auto" w:fill="D9D9D9" w:themeFill="background1" w:themeFillShade="D9"/>
            <w:vAlign w:val="center"/>
          </w:tcPr>
          <w:p w14:paraId="36A9C606" w14:textId="77777777" w:rsidR="00DB06AA" w:rsidRPr="006518C1"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Qualifying revolving retail</w:t>
            </w:r>
          </w:p>
        </w:tc>
        <w:tc>
          <w:tcPr>
            <w:tcW w:w="2303" w:type="dxa"/>
            <w:shd w:val="clear" w:color="auto" w:fill="D9D9D9" w:themeFill="background1" w:themeFillShade="D9"/>
            <w:vAlign w:val="center"/>
          </w:tcPr>
          <w:p w14:paraId="2A1E9751" w14:textId="77777777" w:rsidR="00DB06AA" w:rsidRPr="004211B2"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2304" w:type="dxa"/>
            <w:shd w:val="clear" w:color="auto" w:fill="D9D9D9" w:themeFill="background1" w:themeFillShade="D9"/>
            <w:vAlign w:val="center"/>
          </w:tcPr>
          <w:p w14:paraId="729FCEAC" w14:textId="77777777" w:rsidR="00DB06AA" w:rsidRPr="006A0E13"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r>
      <w:tr w:rsidR="00DB06AA" w:rsidRPr="006A0E13" w14:paraId="755A9E86" w14:textId="77777777" w:rsidTr="00F25D08">
        <w:trPr>
          <w:gridAfter w:val="1"/>
          <w:wAfter w:w="7" w:type="dxa"/>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002060"/>
            <w:vAlign w:val="center"/>
          </w:tcPr>
          <w:p w14:paraId="63869C68" w14:textId="77777777" w:rsidR="00DB06AA" w:rsidRPr="004211B2" w:rsidRDefault="00DB06AA" w:rsidP="00DB06AA">
            <w:pPr>
              <w:pStyle w:val="APRANORMAL"/>
              <w:spacing w:before="120" w:after="120"/>
              <w:rPr>
                <w:rFonts w:ascii="DIN OT Medium" w:hAnsi="DIN OT Medium"/>
                <w:b w:val="0"/>
                <w:sz w:val="20"/>
                <w:szCs w:val="20"/>
              </w:rPr>
            </w:pPr>
          </w:p>
        </w:tc>
        <w:tc>
          <w:tcPr>
            <w:tcW w:w="2146" w:type="dxa"/>
            <w:shd w:val="clear" w:color="auto" w:fill="F2F2F2" w:themeFill="background1" w:themeFillShade="F2"/>
            <w:vAlign w:val="center"/>
          </w:tcPr>
          <w:p w14:paraId="3E2B3ACA" w14:textId="77777777" w:rsidR="00DB06AA" w:rsidRPr="006518C1"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Other retail</w:t>
            </w:r>
          </w:p>
        </w:tc>
        <w:tc>
          <w:tcPr>
            <w:tcW w:w="2303" w:type="dxa"/>
            <w:shd w:val="clear" w:color="auto" w:fill="F2F2F2" w:themeFill="background1" w:themeFillShade="F2"/>
            <w:vAlign w:val="center"/>
          </w:tcPr>
          <w:p w14:paraId="1B7B3EA3"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Financial – 0</w:t>
            </w:r>
          </w:p>
          <w:p w14:paraId="621EB23A"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Receivables – 10</w:t>
            </w:r>
          </w:p>
          <w:p w14:paraId="4EA8520E" w14:textId="519D5EC5"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Commercial or residential </w:t>
            </w:r>
            <w:r w:rsidR="007F3EDE">
              <w:rPr>
                <w:sz w:val="20"/>
                <w:szCs w:val="20"/>
              </w:rPr>
              <w:t>property</w:t>
            </w:r>
            <w:r>
              <w:rPr>
                <w:sz w:val="20"/>
                <w:szCs w:val="20"/>
              </w:rPr>
              <w:t xml:space="preserve"> – 10</w:t>
            </w:r>
          </w:p>
          <w:p w14:paraId="2A60CE03"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physical – 15</w:t>
            </w:r>
          </w:p>
          <w:p w14:paraId="5ECC0448" w14:textId="77777777" w:rsidR="00DB06AA" w:rsidRPr="004211B2"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Unsecured – 30</w:t>
            </w:r>
          </w:p>
        </w:tc>
        <w:tc>
          <w:tcPr>
            <w:tcW w:w="2304" w:type="dxa"/>
            <w:shd w:val="clear" w:color="auto" w:fill="F2F2F2" w:themeFill="background1" w:themeFillShade="F2"/>
            <w:vAlign w:val="center"/>
          </w:tcPr>
          <w:p w14:paraId="53CD2B07"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Financial – 0</w:t>
            </w:r>
          </w:p>
          <w:p w14:paraId="00F88277"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Receivables – 10</w:t>
            </w:r>
          </w:p>
          <w:p w14:paraId="58B1B751" w14:textId="1D497A52"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Commercial or residential </w:t>
            </w:r>
            <w:r w:rsidR="007F3EDE">
              <w:rPr>
                <w:sz w:val="20"/>
                <w:szCs w:val="20"/>
              </w:rPr>
              <w:t>property</w:t>
            </w:r>
            <w:r>
              <w:rPr>
                <w:sz w:val="20"/>
                <w:szCs w:val="20"/>
              </w:rPr>
              <w:t xml:space="preserve"> – 10</w:t>
            </w:r>
          </w:p>
          <w:p w14:paraId="34D27F16" w14:textId="77777777" w:rsidR="00DB06AA"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Other physical – 15</w:t>
            </w:r>
          </w:p>
          <w:p w14:paraId="0A623A13" w14:textId="77777777" w:rsidR="00DB06AA" w:rsidRPr="006A0E13" w:rsidRDefault="00DB06AA" w:rsidP="00DB06AA">
            <w:pPr>
              <w:pStyle w:val="APRANORMAL"/>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Unsecured – 30</w:t>
            </w:r>
          </w:p>
        </w:tc>
      </w:tr>
      <w:tr w:rsidR="00DB06AA" w:rsidRPr="006A0E13" w14:paraId="664A569E" w14:textId="77777777" w:rsidTr="00F25D0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002060"/>
            <w:vAlign w:val="center"/>
          </w:tcPr>
          <w:p w14:paraId="308080A7" w14:textId="77777777" w:rsidR="00DB06AA" w:rsidRPr="004211B2" w:rsidRDefault="00DB06AA" w:rsidP="00DB06AA">
            <w:pPr>
              <w:pStyle w:val="APRANORMAL"/>
              <w:spacing w:before="120" w:after="120"/>
              <w:rPr>
                <w:rFonts w:ascii="DIN OT Medium" w:hAnsi="DIN OT Medium"/>
                <w:b w:val="0"/>
                <w:sz w:val="20"/>
                <w:szCs w:val="20"/>
              </w:rPr>
            </w:pPr>
            <w:r>
              <w:rPr>
                <w:rFonts w:ascii="DIN OT Medium" w:hAnsi="DIN OT Medium"/>
                <w:b w:val="0"/>
                <w:sz w:val="20"/>
                <w:szCs w:val="20"/>
              </w:rPr>
              <w:lastRenderedPageBreak/>
              <w:t>Exposure at default</w:t>
            </w:r>
          </w:p>
        </w:tc>
        <w:tc>
          <w:tcPr>
            <w:tcW w:w="2146" w:type="dxa"/>
            <w:shd w:val="clear" w:color="auto" w:fill="D9D9D9" w:themeFill="background1" w:themeFillShade="D9"/>
            <w:vAlign w:val="center"/>
          </w:tcPr>
          <w:p w14:paraId="4CD457D1" w14:textId="77777777" w:rsidR="00DB06AA" w:rsidRPr="006518C1"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rFonts w:ascii="DIN OT Medium" w:hAnsi="DIN OT Medium"/>
                <w:sz w:val="20"/>
                <w:szCs w:val="20"/>
              </w:rPr>
            </w:pPr>
            <w:r w:rsidRPr="006518C1">
              <w:rPr>
                <w:rFonts w:ascii="DIN OT Medium" w:hAnsi="DIN OT Medium"/>
                <w:sz w:val="20"/>
                <w:szCs w:val="20"/>
              </w:rPr>
              <w:t>All</w:t>
            </w:r>
          </w:p>
        </w:tc>
        <w:tc>
          <w:tcPr>
            <w:tcW w:w="2303" w:type="dxa"/>
            <w:shd w:val="clear" w:color="auto" w:fill="D9D9D9" w:themeFill="background1" w:themeFillShade="D9"/>
            <w:vAlign w:val="center"/>
          </w:tcPr>
          <w:p w14:paraId="0939BBE7" w14:textId="26E64B98" w:rsidR="00DB06AA" w:rsidRPr="004211B2"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Sum of on-balance sheet and 50 per cent of off-balance sheet exposure using applicable CCF in </w:t>
            </w:r>
            <w:r w:rsidR="00320D71">
              <w:rPr>
                <w:sz w:val="20"/>
                <w:szCs w:val="20"/>
              </w:rPr>
              <w:t>s</w:t>
            </w:r>
            <w:r>
              <w:rPr>
                <w:sz w:val="20"/>
                <w:szCs w:val="20"/>
              </w:rPr>
              <w:t>tandardised approach</w:t>
            </w:r>
          </w:p>
        </w:tc>
        <w:tc>
          <w:tcPr>
            <w:tcW w:w="2304" w:type="dxa"/>
            <w:shd w:val="clear" w:color="auto" w:fill="D9D9D9" w:themeFill="background1" w:themeFillShade="D9"/>
            <w:vAlign w:val="center"/>
          </w:tcPr>
          <w:p w14:paraId="06EA51A2" w14:textId="6BEEDBB6" w:rsidR="00DB06AA" w:rsidRPr="006A0E13" w:rsidRDefault="00DB06AA" w:rsidP="00DB06AA">
            <w:pPr>
              <w:pStyle w:val="APRANORMAL"/>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Sum of on-balance sheet and 50 per cent of off-balance sheet exposure using applicable CCF in </w:t>
            </w:r>
            <w:r w:rsidR="00320D71">
              <w:rPr>
                <w:sz w:val="20"/>
                <w:szCs w:val="20"/>
              </w:rPr>
              <w:t>s</w:t>
            </w:r>
            <w:r>
              <w:rPr>
                <w:sz w:val="20"/>
                <w:szCs w:val="20"/>
              </w:rPr>
              <w:t>tandardised approach</w:t>
            </w:r>
          </w:p>
        </w:tc>
      </w:tr>
    </w:tbl>
    <w:p w14:paraId="2825AC34" w14:textId="77777777" w:rsidR="00DB06AA" w:rsidRDefault="00DB06AA" w:rsidP="006A0E13">
      <w:pPr>
        <w:pStyle w:val="APRANORMAL"/>
      </w:pPr>
    </w:p>
    <w:p w14:paraId="46F0274B" w14:textId="7284E86B" w:rsidR="000F4536" w:rsidRDefault="00FF7808" w:rsidP="003D5631">
      <w:pPr>
        <w:pStyle w:val="APRAHEAD-NONUMBER"/>
      </w:pPr>
      <w:bookmarkStart w:id="526" w:name="_Toc505676443"/>
      <w:bookmarkStart w:id="527" w:name="_Toc505676535"/>
      <w:bookmarkStart w:id="528" w:name="_Toc505681607"/>
      <w:bookmarkStart w:id="529" w:name="_Toc505681789"/>
      <w:bookmarkStart w:id="530" w:name="_Toc505854733"/>
      <w:bookmarkStart w:id="531" w:name="_Toc506285833"/>
      <w:r>
        <w:lastRenderedPageBreak/>
        <w:t xml:space="preserve">Attachment </w:t>
      </w:r>
      <w:r w:rsidR="00532B5B">
        <w:t>C</w:t>
      </w:r>
      <w:r w:rsidR="009240EA">
        <w:t xml:space="preserve"> - </w:t>
      </w:r>
      <w:r w:rsidR="000400BC">
        <w:t xml:space="preserve">Policy options </w:t>
      </w:r>
      <w:r w:rsidR="000F4536">
        <w:t xml:space="preserve">and </w:t>
      </w:r>
      <w:r w:rsidR="000400BC">
        <w:t>estimated comparative net benefits</w:t>
      </w:r>
      <w:bookmarkEnd w:id="443"/>
      <w:bookmarkEnd w:id="444"/>
      <w:bookmarkEnd w:id="445"/>
      <w:bookmarkEnd w:id="448"/>
      <w:bookmarkEnd w:id="449"/>
      <w:bookmarkEnd w:id="450"/>
      <w:bookmarkEnd w:id="451"/>
      <w:bookmarkEnd w:id="509"/>
      <w:bookmarkEnd w:id="523"/>
      <w:bookmarkEnd w:id="526"/>
      <w:bookmarkEnd w:id="527"/>
      <w:bookmarkEnd w:id="528"/>
      <w:bookmarkEnd w:id="529"/>
      <w:bookmarkEnd w:id="530"/>
      <w:bookmarkEnd w:id="531"/>
    </w:p>
    <w:p w14:paraId="3904B626" w14:textId="144BDB31" w:rsidR="00114650" w:rsidRDefault="00BA185C" w:rsidP="001701F3">
      <w:pPr>
        <w:pStyle w:val="APRANORMAL"/>
        <w:rPr>
          <w:lang w:val="en-AU"/>
        </w:rPr>
      </w:pPr>
      <w:r>
        <w:rPr>
          <w:lang w:val="en-AU"/>
        </w:rPr>
        <w:t>The o</w:t>
      </w:r>
      <w:r w:rsidR="00114650">
        <w:rPr>
          <w:lang w:val="en-AU"/>
        </w:rPr>
        <w:t xml:space="preserve">verriding objective </w:t>
      </w:r>
      <w:r>
        <w:rPr>
          <w:lang w:val="en-AU"/>
        </w:rPr>
        <w:t xml:space="preserve">of the proposed changes </w:t>
      </w:r>
      <w:r w:rsidR="00114650">
        <w:rPr>
          <w:lang w:val="en-AU"/>
        </w:rPr>
        <w:t xml:space="preserve">is </w:t>
      </w:r>
      <w:r w:rsidR="00EA7324">
        <w:rPr>
          <w:lang w:val="en-AU"/>
        </w:rPr>
        <w:t xml:space="preserve">to </w:t>
      </w:r>
      <w:r w:rsidR="000C0C3F">
        <w:rPr>
          <w:lang w:val="en-AU"/>
        </w:rPr>
        <w:t>achiev</w:t>
      </w:r>
      <w:r w:rsidR="00EA7324">
        <w:rPr>
          <w:lang w:val="en-AU"/>
        </w:rPr>
        <w:t>e</w:t>
      </w:r>
      <w:r>
        <w:rPr>
          <w:lang w:val="en-AU"/>
        </w:rPr>
        <w:t xml:space="preserve"> a </w:t>
      </w:r>
      <w:r w:rsidR="00114650">
        <w:rPr>
          <w:lang w:val="en-AU"/>
        </w:rPr>
        <w:t xml:space="preserve">strong financial </w:t>
      </w:r>
      <w:r>
        <w:rPr>
          <w:lang w:val="en-AU"/>
        </w:rPr>
        <w:t>sector</w:t>
      </w:r>
      <w:r w:rsidR="00114650">
        <w:rPr>
          <w:lang w:val="en-AU"/>
        </w:rPr>
        <w:t xml:space="preserve"> regulatory framework. </w:t>
      </w:r>
      <w:r>
        <w:rPr>
          <w:lang w:val="en-AU"/>
        </w:rPr>
        <w:t xml:space="preserve">A key </w:t>
      </w:r>
      <w:r w:rsidR="00114650">
        <w:rPr>
          <w:lang w:val="en-AU"/>
        </w:rPr>
        <w:t>element is</w:t>
      </w:r>
      <w:r w:rsidR="000C0C3F">
        <w:rPr>
          <w:lang w:val="en-AU"/>
        </w:rPr>
        <w:t xml:space="preserve"> APRA’s goal of</w:t>
      </w:r>
      <w:r w:rsidR="00114650">
        <w:rPr>
          <w:lang w:val="en-AU"/>
        </w:rPr>
        <w:t xml:space="preserve"> </w:t>
      </w:r>
      <w:r w:rsidR="009E17DF">
        <w:rPr>
          <w:lang w:val="en-AU"/>
        </w:rPr>
        <w:t xml:space="preserve">ensuring that ADIs have </w:t>
      </w:r>
      <w:r>
        <w:rPr>
          <w:lang w:val="en-AU"/>
        </w:rPr>
        <w:t>unquestionably strong capital ratios</w:t>
      </w:r>
      <w:r w:rsidR="00114650">
        <w:rPr>
          <w:lang w:val="en-AU"/>
        </w:rPr>
        <w:t xml:space="preserve">. </w:t>
      </w:r>
      <w:r w:rsidR="009E17DF">
        <w:rPr>
          <w:lang w:val="en-AU"/>
        </w:rPr>
        <w:t xml:space="preserve">Achieving this objective </w:t>
      </w:r>
      <w:r w:rsidR="008A6CDA">
        <w:rPr>
          <w:lang w:val="en-AU"/>
        </w:rPr>
        <w:t>entails</w:t>
      </w:r>
      <w:r w:rsidR="00114650">
        <w:rPr>
          <w:lang w:val="en-AU"/>
        </w:rPr>
        <w:t xml:space="preserve"> keep</w:t>
      </w:r>
      <w:r w:rsidR="00D35EA9">
        <w:rPr>
          <w:lang w:val="en-AU"/>
        </w:rPr>
        <w:t>ing</w:t>
      </w:r>
      <w:r w:rsidR="00114650">
        <w:rPr>
          <w:lang w:val="en-AU"/>
        </w:rPr>
        <w:t xml:space="preserve"> pace with </w:t>
      </w:r>
      <w:r w:rsidR="00D35EA9">
        <w:rPr>
          <w:lang w:val="en-AU"/>
        </w:rPr>
        <w:t xml:space="preserve">developments in the international regulatory framework </w:t>
      </w:r>
      <w:r w:rsidR="00114650">
        <w:rPr>
          <w:lang w:val="en-AU"/>
        </w:rPr>
        <w:t xml:space="preserve">and ensuring </w:t>
      </w:r>
      <w:r w:rsidR="00B35A00">
        <w:rPr>
          <w:lang w:val="en-AU"/>
        </w:rPr>
        <w:t xml:space="preserve">that </w:t>
      </w:r>
      <w:r w:rsidR="00D35EA9">
        <w:rPr>
          <w:lang w:val="en-AU"/>
        </w:rPr>
        <w:t xml:space="preserve">the </w:t>
      </w:r>
      <w:r w:rsidR="00114650">
        <w:rPr>
          <w:lang w:val="en-AU"/>
        </w:rPr>
        <w:t xml:space="preserve">framework is appropriate </w:t>
      </w:r>
      <w:r w:rsidR="00EA7324">
        <w:rPr>
          <w:lang w:val="en-AU"/>
        </w:rPr>
        <w:t>for</w:t>
      </w:r>
      <w:r w:rsidR="00B35A00">
        <w:rPr>
          <w:lang w:val="en-AU"/>
        </w:rPr>
        <w:t xml:space="preserve"> </w:t>
      </w:r>
      <w:r w:rsidR="00114650">
        <w:rPr>
          <w:lang w:val="en-AU"/>
        </w:rPr>
        <w:t xml:space="preserve">Australian </w:t>
      </w:r>
      <w:r w:rsidR="00EA7324">
        <w:rPr>
          <w:lang w:val="en-AU"/>
        </w:rPr>
        <w:t>conditions</w:t>
      </w:r>
      <w:r w:rsidR="00114650">
        <w:rPr>
          <w:lang w:val="en-AU"/>
        </w:rPr>
        <w:t>.</w:t>
      </w:r>
    </w:p>
    <w:p w14:paraId="54D918B4" w14:textId="5A716A86" w:rsidR="00D242AF" w:rsidRDefault="00114650" w:rsidP="001701F3">
      <w:pPr>
        <w:pStyle w:val="APRANORMAL"/>
        <w:rPr>
          <w:lang w:val="en-AU"/>
        </w:rPr>
      </w:pPr>
      <w:r>
        <w:rPr>
          <w:lang w:val="en-AU"/>
        </w:rPr>
        <w:t xml:space="preserve">Within this context, </w:t>
      </w:r>
      <w:r w:rsidR="00D35EA9">
        <w:rPr>
          <w:lang w:val="en-AU"/>
        </w:rPr>
        <w:t>APRA consider</w:t>
      </w:r>
      <w:r w:rsidR="00B35A00">
        <w:rPr>
          <w:lang w:val="en-AU"/>
        </w:rPr>
        <w:t>s</w:t>
      </w:r>
      <w:r w:rsidR="00D35EA9">
        <w:rPr>
          <w:lang w:val="en-AU"/>
        </w:rPr>
        <w:t xml:space="preserve"> that retaining current capital adequacy requirements is not a realistic option. </w:t>
      </w:r>
      <w:r w:rsidR="00B35A00">
        <w:rPr>
          <w:lang w:val="en-AU"/>
        </w:rPr>
        <w:t xml:space="preserve">The three options </w:t>
      </w:r>
      <w:r w:rsidR="00D35EA9">
        <w:rPr>
          <w:lang w:val="en-AU"/>
        </w:rPr>
        <w:t xml:space="preserve">APRA has considered </w:t>
      </w:r>
      <w:r w:rsidR="00B35A00">
        <w:rPr>
          <w:lang w:val="en-AU"/>
        </w:rPr>
        <w:t>are</w:t>
      </w:r>
      <w:r w:rsidR="00D35EA9">
        <w:rPr>
          <w:lang w:val="en-AU"/>
        </w:rPr>
        <w:t xml:space="preserve"> set out in </w:t>
      </w:r>
      <w:r w:rsidR="00B21009">
        <w:rPr>
          <w:lang w:val="en-AU"/>
        </w:rPr>
        <w:fldChar w:fldCharType="begin"/>
      </w:r>
      <w:r w:rsidR="00B21009">
        <w:rPr>
          <w:lang w:val="en-AU"/>
        </w:rPr>
        <w:instrText xml:space="preserve"> REF _Ref505676227 \r \h </w:instrText>
      </w:r>
      <w:r w:rsidR="00B21009">
        <w:rPr>
          <w:lang w:val="en-AU"/>
        </w:rPr>
      </w:r>
      <w:r w:rsidR="00B21009">
        <w:rPr>
          <w:lang w:val="en-AU"/>
        </w:rPr>
        <w:fldChar w:fldCharType="separate"/>
      </w:r>
      <w:r w:rsidR="00EB1F7A">
        <w:rPr>
          <w:lang w:val="en-AU"/>
        </w:rPr>
        <w:t>Table 34</w:t>
      </w:r>
      <w:r w:rsidR="00B21009">
        <w:rPr>
          <w:lang w:val="en-AU"/>
        </w:rPr>
        <w:fldChar w:fldCharType="end"/>
      </w:r>
      <w:r w:rsidR="00B21009">
        <w:rPr>
          <w:lang w:val="en-AU"/>
        </w:rPr>
        <w:t xml:space="preserve"> </w:t>
      </w:r>
      <w:r w:rsidR="00D35EA9">
        <w:rPr>
          <w:lang w:val="en-AU"/>
        </w:rPr>
        <w:t xml:space="preserve">below. </w:t>
      </w:r>
      <w:r w:rsidR="00B35A00">
        <w:rPr>
          <w:lang w:val="en-AU"/>
        </w:rPr>
        <w:t xml:space="preserve">Also set out is APRA’s </w:t>
      </w:r>
      <w:r w:rsidR="00B35A00" w:rsidRPr="00B21009">
        <w:rPr>
          <w:lang w:val="en-AU"/>
        </w:rPr>
        <w:t>p</w:t>
      </w:r>
      <w:r w:rsidR="001565F5" w:rsidRPr="00B21009">
        <w:rPr>
          <w:lang w:val="en-AU"/>
        </w:rPr>
        <w:t>reliminary</w:t>
      </w:r>
      <w:r w:rsidR="001565F5">
        <w:rPr>
          <w:lang w:val="en-AU"/>
        </w:rPr>
        <w:t xml:space="preserve"> analysis of the costs and benefits of each option</w:t>
      </w:r>
      <w:r w:rsidR="00B35A00">
        <w:rPr>
          <w:lang w:val="en-AU"/>
        </w:rPr>
        <w:t>.</w:t>
      </w:r>
      <w:r w:rsidR="0045124D">
        <w:rPr>
          <w:lang w:val="en-AU"/>
        </w:rPr>
        <w:t xml:space="preserve"> </w:t>
      </w:r>
    </w:p>
    <w:p w14:paraId="0AD53B0A" w14:textId="0C718515" w:rsidR="00C2372D" w:rsidRDefault="0045124D" w:rsidP="0045124D">
      <w:pPr>
        <w:pStyle w:val="APRANORMAL"/>
      </w:pPr>
      <w:r>
        <w:t xml:space="preserve">Any information provided in response to the request for cost-benefit information in Chapter </w:t>
      </w:r>
      <w:r w:rsidR="005F0D0D">
        <w:t>9</w:t>
      </w:r>
      <w:r>
        <w:t xml:space="preserve"> will be used to quantify the change in regulatory burden using the </w:t>
      </w:r>
      <w:r w:rsidR="00B35A00">
        <w:t xml:space="preserve">Commonwealth </w:t>
      </w:r>
      <w:r>
        <w:t xml:space="preserve">Regulatory Burden Measure and inform </w:t>
      </w:r>
      <w:r w:rsidR="00F37332">
        <w:t xml:space="preserve">APRA’s </w:t>
      </w:r>
      <w:r>
        <w:t>determination of the net benefits of the proposals.</w:t>
      </w:r>
    </w:p>
    <w:p w14:paraId="46D6F640" w14:textId="14F87B7A" w:rsidR="00F66896" w:rsidRDefault="00F66896" w:rsidP="00441787">
      <w:pPr>
        <w:pStyle w:val="APRATABLE-NUMBER"/>
      </w:pPr>
      <w:bookmarkStart w:id="532" w:name="_Ref505676227"/>
      <w:r>
        <w:t>Regulatory options for meeting APRA’s unquestionably strong objective</w:t>
      </w:r>
      <w:bookmarkEnd w:id="53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6748"/>
      </w:tblGrid>
      <w:tr w:rsidR="00C2372D" w:rsidRPr="00B82CAF" w14:paraId="19438FFA" w14:textId="77777777" w:rsidTr="00F25D08">
        <w:tc>
          <w:tcPr>
            <w:tcW w:w="2268" w:type="dxa"/>
            <w:shd w:val="clear" w:color="auto" w:fill="002060"/>
            <w:vAlign w:val="center"/>
          </w:tcPr>
          <w:p w14:paraId="7934196E" w14:textId="237056D4" w:rsidR="00C2372D" w:rsidRPr="00B82CAF" w:rsidRDefault="00C2372D" w:rsidP="00026508">
            <w:pPr>
              <w:keepNext/>
              <w:keepLines/>
              <w:spacing w:before="120" w:after="120"/>
              <w:rPr>
                <w:rFonts w:ascii="DIN OT Medium" w:hAnsi="DIN OT Medium"/>
                <w:sz w:val="20"/>
                <w:szCs w:val="20"/>
              </w:rPr>
            </w:pPr>
            <w:r>
              <w:rPr>
                <w:rFonts w:ascii="DIN OT Medium" w:hAnsi="DIN OT Medium"/>
                <w:sz w:val="20"/>
                <w:szCs w:val="20"/>
              </w:rPr>
              <w:t xml:space="preserve">Option 1: </w:t>
            </w:r>
            <w:r w:rsidR="001565F5">
              <w:rPr>
                <w:rFonts w:ascii="DIN OT Medium" w:hAnsi="DIN OT Medium"/>
                <w:sz w:val="20"/>
                <w:szCs w:val="20"/>
              </w:rPr>
              <w:t>I</w:t>
            </w:r>
            <w:r w:rsidR="0045124D">
              <w:rPr>
                <w:rFonts w:ascii="DIN OT Medium" w:hAnsi="DIN OT Medium"/>
                <w:sz w:val="20"/>
                <w:szCs w:val="20"/>
              </w:rPr>
              <w:t>ncrease</w:t>
            </w:r>
            <w:r w:rsidR="001565F5">
              <w:rPr>
                <w:rFonts w:ascii="DIN OT Medium" w:hAnsi="DIN OT Medium"/>
                <w:sz w:val="20"/>
                <w:szCs w:val="20"/>
              </w:rPr>
              <w:t xml:space="preserve"> minimum CET1 capital ratios </w:t>
            </w:r>
            <w:r w:rsidRPr="00B82CAF">
              <w:rPr>
                <w:rFonts w:ascii="DIN OT Medium" w:hAnsi="DIN OT Medium"/>
                <w:sz w:val="20"/>
                <w:szCs w:val="20"/>
              </w:rPr>
              <w:t xml:space="preserve"> </w:t>
            </w:r>
          </w:p>
        </w:tc>
        <w:tc>
          <w:tcPr>
            <w:tcW w:w="6748" w:type="dxa"/>
            <w:shd w:val="clear" w:color="auto" w:fill="F2F2F2" w:themeFill="background1" w:themeFillShade="F2"/>
          </w:tcPr>
          <w:p w14:paraId="5EC07B35" w14:textId="1AB68D19" w:rsidR="00C2372D" w:rsidRPr="00B82CAF" w:rsidRDefault="001565F5" w:rsidP="00026508">
            <w:pPr>
              <w:keepNext/>
              <w:keepLines/>
              <w:spacing w:before="120" w:after="120"/>
              <w:rPr>
                <w:rFonts w:ascii="DIN OT Light" w:hAnsi="DIN OT Light"/>
                <w:sz w:val="20"/>
                <w:szCs w:val="20"/>
              </w:rPr>
            </w:pPr>
            <w:r>
              <w:rPr>
                <w:rFonts w:ascii="DIN OT Light" w:hAnsi="DIN OT Light"/>
                <w:sz w:val="20"/>
                <w:szCs w:val="20"/>
              </w:rPr>
              <w:t>Increase</w:t>
            </w:r>
            <w:r w:rsidR="006865DF">
              <w:rPr>
                <w:rFonts w:ascii="DIN OT Light" w:hAnsi="DIN OT Light"/>
                <w:sz w:val="20"/>
                <w:szCs w:val="20"/>
              </w:rPr>
              <w:t xml:space="preserve"> the minimum CET1 capital ratio for each ADI</w:t>
            </w:r>
            <w:r>
              <w:rPr>
                <w:rFonts w:ascii="DIN OT Light" w:hAnsi="DIN OT Light"/>
                <w:sz w:val="20"/>
                <w:szCs w:val="20"/>
              </w:rPr>
              <w:t xml:space="preserve"> under</w:t>
            </w:r>
            <w:r w:rsidR="00C2372D">
              <w:rPr>
                <w:rFonts w:ascii="DIN OT Light" w:hAnsi="DIN OT Light"/>
                <w:sz w:val="20"/>
                <w:szCs w:val="20"/>
              </w:rPr>
              <w:t xml:space="preserve"> APRA’s </w:t>
            </w:r>
            <w:r w:rsidR="00A75936">
              <w:rPr>
                <w:rFonts w:ascii="DIN OT Light" w:hAnsi="DIN OT Light"/>
                <w:sz w:val="20"/>
                <w:szCs w:val="20"/>
              </w:rPr>
              <w:t xml:space="preserve">current </w:t>
            </w:r>
            <w:r w:rsidR="00C2372D">
              <w:rPr>
                <w:rFonts w:ascii="DIN OT Light" w:hAnsi="DIN OT Light"/>
                <w:sz w:val="20"/>
                <w:szCs w:val="20"/>
              </w:rPr>
              <w:t>capital adequacy framework.</w:t>
            </w:r>
          </w:p>
        </w:tc>
      </w:tr>
      <w:tr w:rsidR="00C2372D" w:rsidRPr="00B82CAF" w14:paraId="10B4D948" w14:textId="77777777" w:rsidTr="00F25D08">
        <w:tc>
          <w:tcPr>
            <w:tcW w:w="2268" w:type="dxa"/>
            <w:shd w:val="clear" w:color="auto" w:fill="002060"/>
            <w:vAlign w:val="center"/>
          </w:tcPr>
          <w:p w14:paraId="4FF716A0" w14:textId="684FC5EE" w:rsidR="00C2372D" w:rsidRPr="00B82CAF" w:rsidRDefault="00C2372D" w:rsidP="00026508">
            <w:pPr>
              <w:keepNext/>
              <w:keepLines/>
              <w:spacing w:before="120" w:after="120"/>
              <w:rPr>
                <w:rFonts w:ascii="DIN OT Medium" w:hAnsi="DIN OT Medium"/>
                <w:sz w:val="20"/>
                <w:szCs w:val="20"/>
              </w:rPr>
            </w:pPr>
            <w:r>
              <w:rPr>
                <w:rFonts w:ascii="DIN OT Medium" w:hAnsi="DIN OT Medium"/>
                <w:sz w:val="20"/>
                <w:szCs w:val="20"/>
              </w:rPr>
              <w:t xml:space="preserve">Option 2: Implement Basel III </w:t>
            </w:r>
            <w:r w:rsidR="00A75936">
              <w:rPr>
                <w:rFonts w:ascii="DIN OT Medium" w:hAnsi="DIN OT Medium"/>
                <w:sz w:val="20"/>
                <w:szCs w:val="20"/>
              </w:rPr>
              <w:t>reforms</w:t>
            </w:r>
          </w:p>
        </w:tc>
        <w:tc>
          <w:tcPr>
            <w:tcW w:w="6748" w:type="dxa"/>
            <w:shd w:val="clear" w:color="auto" w:fill="F2F2F2" w:themeFill="background1" w:themeFillShade="F2"/>
          </w:tcPr>
          <w:p w14:paraId="552BE9CA" w14:textId="191BE254" w:rsidR="00C2372D" w:rsidRPr="00B82CAF" w:rsidRDefault="00C2372D" w:rsidP="00026508">
            <w:pPr>
              <w:keepNext/>
              <w:keepLines/>
              <w:spacing w:before="120" w:after="120"/>
              <w:rPr>
                <w:rFonts w:ascii="DIN OT Light" w:hAnsi="DIN OT Light"/>
                <w:sz w:val="20"/>
                <w:szCs w:val="20"/>
              </w:rPr>
            </w:pPr>
            <w:r>
              <w:rPr>
                <w:rFonts w:ascii="DIN OT Light" w:hAnsi="DIN OT Light"/>
                <w:sz w:val="20"/>
                <w:szCs w:val="20"/>
              </w:rPr>
              <w:t xml:space="preserve">Modify the </w:t>
            </w:r>
            <w:r w:rsidR="00A75936">
              <w:rPr>
                <w:rFonts w:ascii="DIN OT Light" w:hAnsi="DIN OT Light"/>
                <w:sz w:val="20"/>
                <w:szCs w:val="20"/>
              </w:rPr>
              <w:t xml:space="preserve">current </w:t>
            </w:r>
            <w:r>
              <w:rPr>
                <w:rFonts w:ascii="DIN OT Light" w:hAnsi="DIN OT Light"/>
                <w:sz w:val="20"/>
                <w:szCs w:val="20"/>
              </w:rPr>
              <w:t xml:space="preserve">capital adequacy framework </w:t>
            </w:r>
            <w:r w:rsidR="001565F5">
              <w:rPr>
                <w:rFonts w:ascii="DIN OT Light" w:hAnsi="DIN OT Light"/>
                <w:sz w:val="20"/>
                <w:szCs w:val="20"/>
              </w:rPr>
              <w:t>th</w:t>
            </w:r>
            <w:r w:rsidR="00AE12F2">
              <w:rPr>
                <w:rFonts w:ascii="DIN OT Light" w:hAnsi="DIN OT Light"/>
                <w:sz w:val="20"/>
                <w:szCs w:val="20"/>
              </w:rPr>
              <w:t>r</w:t>
            </w:r>
            <w:r w:rsidR="001565F5">
              <w:rPr>
                <w:rFonts w:ascii="DIN OT Light" w:hAnsi="DIN OT Light"/>
                <w:sz w:val="20"/>
                <w:szCs w:val="20"/>
              </w:rPr>
              <w:t xml:space="preserve">ough implementing the </w:t>
            </w:r>
            <w:r w:rsidR="00A75936">
              <w:rPr>
                <w:rFonts w:ascii="DIN OT Light" w:hAnsi="DIN OT Light"/>
                <w:sz w:val="20"/>
                <w:szCs w:val="20"/>
              </w:rPr>
              <w:t xml:space="preserve">Basel III reforms </w:t>
            </w:r>
            <w:r w:rsidR="0045124D">
              <w:rPr>
                <w:rFonts w:ascii="DIN OT Light" w:hAnsi="DIN OT Light"/>
                <w:sz w:val="20"/>
                <w:szCs w:val="20"/>
              </w:rPr>
              <w:t>relating to credit risk</w:t>
            </w:r>
            <w:r w:rsidR="00F37332">
              <w:rPr>
                <w:rFonts w:ascii="DIN OT Light" w:hAnsi="DIN OT Light"/>
                <w:sz w:val="20"/>
                <w:szCs w:val="20"/>
              </w:rPr>
              <w:t>,</w:t>
            </w:r>
            <w:r w:rsidR="0045124D">
              <w:rPr>
                <w:rFonts w:ascii="DIN OT Light" w:hAnsi="DIN OT Light"/>
                <w:sz w:val="20"/>
                <w:szCs w:val="20"/>
              </w:rPr>
              <w:t xml:space="preserve"> operational risk</w:t>
            </w:r>
            <w:r w:rsidR="00F37332">
              <w:rPr>
                <w:rFonts w:ascii="DIN OT Light" w:hAnsi="DIN OT Light"/>
                <w:sz w:val="20"/>
                <w:szCs w:val="20"/>
              </w:rPr>
              <w:t>, market risk, credit valuation risk and interest rate risk in the banking book</w:t>
            </w:r>
            <w:r w:rsidR="00517FC5">
              <w:rPr>
                <w:rFonts w:ascii="DIN OT Light" w:hAnsi="DIN OT Light"/>
                <w:sz w:val="20"/>
                <w:szCs w:val="20"/>
              </w:rPr>
              <w:t>.</w:t>
            </w:r>
          </w:p>
        </w:tc>
      </w:tr>
      <w:tr w:rsidR="00C2372D" w:rsidRPr="00B82CAF" w14:paraId="4841B15A" w14:textId="77777777" w:rsidTr="00F25D08">
        <w:tc>
          <w:tcPr>
            <w:tcW w:w="2268" w:type="dxa"/>
            <w:shd w:val="clear" w:color="auto" w:fill="002060"/>
            <w:vAlign w:val="center"/>
          </w:tcPr>
          <w:p w14:paraId="646F324B" w14:textId="15EE0955" w:rsidR="00C2372D" w:rsidRDefault="00C2372D" w:rsidP="00026508">
            <w:pPr>
              <w:keepNext/>
              <w:keepLines/>
              <w:spacing w:before="120" w:after="120"/>
              <w:rPr>
                <w:rFonts w:ascii="DIN OT Medium" w:hAnsi="DIN OT Medium"/>
                <w:sz w:val="20"/>
                <w:szCs w:val="20"/>
              </w:rPr>
            </w:pPr>
            <w:r>
              <w:rPr>
                <w:rFonts w:ascii="DIN OT Medium" w:hAnsi="DIN OT Medium"/>
                <w:sz w:val="20"/>
                <w:szCs w:val="20"/>
              </w:rPr>
              <w:t xml:space="preserve">Option 3: Implement Basel III </w:t>
            </w:r>
            <w:r w:rsidR="00A75936">
              <w:rPr>
                <w:rFonts w:ascii="DIN OT Medium" w:hAnsi="DIN OT Medium"/>
                <w:sz w:val="20"/>
                <w:szCs w:val="20"/>
              </w:rPr>
              <w:t>reforms</w:t>
            </w:r>
            <w:r>
              <w:rPr>
                <w:rFonts w:ascii="DIN OT Medium" w:hAnsi="DIN OT Medium"/>
                <w:sz w:val="20"/>
                <w:szCs w:val="20"/>
              </w:rPr>
              <w:t>, adjusted for Australian conditions</w:t>
            </w:r>
          </w:p>
        </w:tc>
        <w:tc>
          <w:tcPr>
            <w:tcW w:w="6748" w:type="dxa"/>
            <w:shd w:val="clear" w:color="auto" w:fill="F2F2F2" w:themeFill="background1" w:themeFillShade="F2"/>
          </w:tcPr>
          <w:p w14:paraId="18E9467C" w14:textId="5DC6717A" w:rsidR="00C2372D" w:rsidRDefault="001565F5" w:rsidP="00026508">
            <w:pPr>
              <w:keepNext/>
              <w:keepLines/>
              <w:spacing w:before="120" w:after="120"/>
              <w:rPr>
                <w:rFonts w:ascii="DIN OT Light" w:hAnsi="DIN OT Light"/>
                <w:sz w:val="20"/>
                <w:szCs w:val="20"/>
              </w:rPr>
            </w:pPr>
            <w:r>
              <w:rPr>
                <w:rFonts w:ascii="DIN OT Light" w:hAnsi="DIN OT Light"/>
                <w:sz w:val="20"/>
                <w:szCs w:val="20"/>
              </w:rPr>
              <w:t xml:space="preserve">Modify the </w:t>
            </w:r>
            <w:r w:rsidR="00A75936">
              <w:rPr>
                <w:rFonts w:ascii="DIN OT Light" w:hAnsi="DIN OT Light"/>
                <w:sz w:val="20"/>
                <w:szCs w:val="20"/>
              </w:rPr>
              <w:t xml:space="preserve">current </w:t>
            </w:r>
            <w:r>
              <w:rPr>
                <w:rFonts w:ascii="DIN OT Light" w:hAnsi="DIN OT Light"/>
                <w:sz w:val="20"/>
                <w:szCs w:val="20"/>
              </w:rPr>
              <w:t xml:space="preserve">capital adequacy framework through implementing the Basel III </w:t>
            </w:r>
            <w:r w:rsidR="00A75936">
              <w:rPr>
                <w:rFonts w:ascii="DIN OT Light" w:hAnsi="DIN OT Light"/>
                <w:sz w:val="20"/>
                <w:szCs w:val="20"/>
              </w:rPr>
              <w:t>reforms</w:t>
            </w:r>
            <w:r>
              <w:rPr>
                <w:rFonts w:ascii="DIN OT Light" w:hAnsi="DIN OT Light"/>
                <w:sz w:val="20"/>
                <w:szCs w:val="20"/>
              </w:rPr>
              <w:t>, adjusted to accommodate Australia-specific factors.</w:t>
            </w:r>
          </w:p>
        </w:tc>
      </w:tr>
    </w:tbl>
    <w:p w14:paraId="746F10EA" w14:textId="77777777" w:rsidR="002A3C94" w:rsidRDefault="002A3C94" w:rsidP="001701F3">
      <w:pPr>
        <w:pStyle w:val="APRANORMAL"/>
        <w:rPr>
          <w:lang w:val="en-AU"/>
        </w:rPr>
      </w:pPr>
    </w:p>
    <w:p w14:paraId="6784197D" w14:textId="6C5E5836" w:rsidR="0045124D" w:rsidRDefault="0045124D" w:rsidP="001701F3">
      <w:pPr>
        <w:pStyle w:val="APRANORMAL"/>
        <w:rPr>
          <w:lang w:val="en-AU"/>
        </w:rPr>
      </w:pPr>
      <w:r>
        <w:rPr>
          <w:lang w:val="en-AU"/>
        </w:rPr>
        <w:t xml:space="preserve">Under option 1, APRA would raise </w:t>
      </w:r>
      <w:r w:rsidR="002A229E">
        <w:rPr>
          <w:lang w:val="en-AU"/>
        </w:rPr>
        <w:t>the minimum CET1 capital ratio</w:t>
      </w:r>
      <w:r w:rsidR="00AA5D22">
        <w:rPr>
          <w:lang w:val="en-AU"/>
        </w:rPr>
        <w:t xml:space="preserve"> </w:t>
      </w:r>
      <w:r w:rsidR="002A3C94">
        <w:rPr>
          <w:lang w:val="en-AU"/>
        </w:rPr>
        <w:t xml:space="preserve">requirement </w:t>
      </w:r>
      <w:r w:rsidR="00AA5D22">
        <w:rPr>
          <w:lang w:val="en-AU"/>
        </w:rPr>
        <w:t xml:space="preserve">applying to </w:t>
      </w:r>
      <w:r w:rsidR="00EA7324">
        <w:rPr>
          <w:lang w:val="en-AU"/>
        </w:rPr>
        <w:t xml:space="preserve">an </w:t>
      </w:r>
      <w:r w:rsidR="00AA5D22">
        <w:rPr>
          <w:lang w:val="en-AU"/>
        </w:rPr>
        <w:t xml:space="preserve">ADI under the </w:t>
      </w:r>
      <w:r w:rsidR="00A75936">
        <w:rPr>
          <w:lang w:val="en-AU"/>
        </w:rPr>
        <w:t xml:space="preserve">current </w:t>
      </w:r>
      <w:r w:rsidR="00AA5D22">
        <w:rPr>
          <w:lang w:val="en-AU"/>
        </w:rPr>
        <w:t>capital adequacy framework</w:t>
      </w:r>
      <w:r w:rsidR="006865DF">
        <w:rPr>
          <w:lang w:val="en-AU"/>
        </w:rPr>
        <w:t xml:space="preserve"> to meet the unquestionably strong objective</w:t>
      </w:r>
      <w:r w:rsidR="00AA5D22">
        <w:rPr>
          <w:lang w:val="en-AU"/>
        </w:rPr>
        <w:t xml:space="preserve">. </w:t>
      </w:r>
      <w:r w:rsidR="005E5990">
        <w:rPr>
          <w:lang w:val="en-AU"/>
        </w:rPr>
        <w:t xml:space="preserve">This could be done through amendments to the minimum ratios set out in </w:t>
      </w:r>
      <w:r w:rsidR="005E5990">
        <w:rPr>
          <w:i/>
          <w:lang w:val="en-AU"/>
        </w:rPr>
        <w:t xml:space="preserve">Prudential Standard APS 110 Capital Adequacy </w:t>
      </w:r>
      <w:r w:rsidR="005E5990">
        <w:rPr>
          <w:lang w:val="en-AU"/>
        </w:rPr>
        <w:t xml:space="preserve">(APS 110) or by increasing </w:t>
      </w:r>
      <w:r w:rsidR="00EA7324">
        <w:rPr>
          <w:lang w:val="en-AU"/>
        </w:rPr>
        <w:t xml:space="preserve">an </w:t>
      </w:r>
      <w:r w:rsidR="005E5990">
        <w:rPr>
          <w:lang w:val="en-AU"/>
        </w:rPr>
        <w:t>ADI</w:t>
      </w:r>
      <w:r w:rsidR="00EA7324">
        <w:rPr>
          <w:lang w:val="en-AU"/>
        </w:rPr>
        <w:t>’</w:t>
      </w:r>
      <w:r w:rsidR="005E5990">
        <w:rPr>
          <w:lang w:val="en-AU"/>
        </w:rPr>
        <w:t>s</w:t>
      </w:r>
      <w:r w:rsidR="00580BA1">
        <w:rPr>
          <w:lang w:val="en-AU"/>
        </w:rPr>
        <w:t xml:space="preserve"> </w:t>
      </w:r>
      <w:r w:rsidR="00F37332">
        <w:rPr>
          <w:lang w:val="en-AU"/>
        </w:rPr>
        <w:t xml:space="preserve">prudential </w:t>
      </w:r>
      <w:r w:rsidR="008A6CDA">
        <w:rPr>
          <w:lang w:val="en-AU"/>
        </w:rPr>
        <w:t>capital requirements (PCRs)</w:t>
      </w:r>
      <w:r w:rsidR="00580BA1">
        <w:rPr>
          <w:lang w:val="en-AU"/>
        </w:rPr>
        <w:t xml:space="preserve"> using the existing power under APS 110. </w:t>
      </w:r>
      <w:r w:rsidR="00113BAE">
        <w:rPr>
          <w:lang w:val="en-AU"/>
        </w:rPr>
        <w:t xml:space="preserve">No </w:t>
      </w:r>
      <w:r w:rsidR="005E5990">
        <w:rPr>
          <w:lang w:val="en-AU"/>
        </w:rPr>
        <w:t xml:space="preserve">other </w:t>
      </w:r>
      <w:r w:rsidR="00113BAE">
        <w:rPr>
          <w:lang w:val="en-AU"/>
        </w:rPr>
        <w:t>changes would be made</w:t>
      </w:r>
      <w:r w:rsidR="005E5990">
        <w:rPr>
          <w:lang w:val="en-AU"/>
        </w:rPr>
        <w:t xml:space="preserve"> to the framework</w:t>
      </w:r>
      <w:r w:rsidR="00113BAE">
        <w:rPr>
          <w:lang w:val="en-AU"/>
        </w:rPr>
        <w:t xml:space="preserve">. </w:t>
      </w:r>
      <w:r w:rsidR="00F37332">
        <w:rPr>
          <w:lang w:val="en-AU"/>
        </w:rPr>
        <w:t xml:space="preserve">Adopting </w:t>
      </w:r>
      <w:r w:rsidR="00F37332">
        <w:rPr>
          <w:lang w:val="en-AU"/>
        </w:rPr>
        <w:lastRenderedPageBreak/>
        <w:t>this option</w:t>
      </w:r>
      <w:r w:rsidR="00AA5D22">
        <w:rPr>
          <w:lang w:val="en-AU"/>
        </w:rPr>
        <w:t xml:space="preserve"> would involve some implementation costs as ADIs would need to amend internal processes</w:t>
      </w:r>
      <w:r w:rsidR="00580BA1">
        <w:rPr>
          <w:lang w:val="en-AU"/>
        </w:rPr>
        <w:t xml:space="preserve"> and revis</w:t>
      </w:r>
      <w:r w:rsidR="00D82609">
        <w:rPr>
          <w:lang w:val="en-AU"/>
        </w:rPr>
        <w:t>e</w:t>
      </w:r>
      <w:r w:rsidR="00580BA1">
        <w:rPr>
          <w:lang w:val="en-AU"/>
        </w:rPr>
        <w:t xml:space="preserve"> their individual management buffers</w:t>
      </w:r>
      <w:r w:rsidR="00AA5D22">
        <w:rPr>
          <w:lang w:val="en-AU"/>
        </w:rPr>
        <w:t xml:space="preserve"> </w:t>
      </w:r>
      <w:r w:rsidR="002A229E">
        <w:rPr>
          <w:lang w:val="en-AU"/>
        </w:rPr>
        <w:t>t</w:t>
      </w:r>
      <w:r w:rsidR="006865DF">
        <w:rPr>
          <w:lang w:val="en-AU"/>
        </w:rPr>
        <w:t xml:space="preserve">o reflect the new </w:t>
      </w:r>
      <w:r w:rsidR="00580BA1">
        <w:rPr>
          <w:lang w:val="en-AU"/>
        </w:rPr>
        <w:t>minima</w:t>
      </w:r>
      <w:r w:rsidR="006865DF">
        <w:rPr>
          <w:lang w:val="en-AU"/>
        </w:rPr>
        <w:t xml:space="preserve">. </w:t>
      </w:r>
    </w:p>
    <w:p w14:paraId="5B998C32" w14:textId="5013F2BB" w:rsidR="006865DF" w:rsidRDefault="006865DF" w:rsidP="006865DF">
      <w:pPr>
        <w:pStyle w:val="APRANORMAL"/>
      </w:pPr>
      <w:r>
        <w:t xml:space="preserve">Adopting this option would not, however, satisfy other objectives. </w:t>
      </w:r>
      <w:r w:rsidR="00113BAE">
        <w:t xml:space="preserve">It would not </w:t>
      </w:r>
      <w:r w:rsidR="00114650">
        <w:t>incorporate the Basel III reforms or</w:t>
      </w:r>
      <w:r w:rsidR="00113BAE">
        <w:t xml:space="preserve"> </w:t>
      </w:r>
      <w:r w:rsidR="00114650">
        <w:t xml:space="preserve">more </w:t>
      </w:r>
      <w:r w:rsidR="00E03446">
        <w:t>appropri</w:t>
      </w:r>
      <w:r w:rsidR="00220DA3">
        <w:t>ately align capital with risk. For example, higher</w:t>
      </w:r>
      <w:r w:rsidR="00EA7324">
        <w:t>-</w:t>
      </w:r>
      <w:r w:rsidR="00220DA3">
        <w:t>risk residential mortgage lending would continue to be subject to the same capital requirements as lower risk lending and no action would be taken to address</w:t>
      </w:r>
      <w:r w:rsidR="00113BAE">
        <w:t xml:space="preserve"> concentration and other risks in the Australian housing</w:t>
      </w:r>
      <w:r w:rsidR="00E03446">
        <w:t xml:space="preserve"> market. </w:t>
      </w:r>
      <w:r w:rsidR="00220DA3">
        <w:t>This option</w:t>
      </w:r>
      <w:r w:rsidR="00580BA1">
        <w:t xml:space="preserve"> </w:t>
      </w:r>
      <w:r w:rsidR="00201093">
        <w:t>would</w:t>
      </w:r>
      <w:r w:rsidR="00580BA1">
        <w:t xml:space="preserve"> not improve transparency or international comparability, </w:t>
      </w:r>
      <w:r w:rsidR="00220DA3">
        <w:t>as</w:t>
      </w:r>
      <w:r w:rsidR="00580BA1">
        <w:t xml:space="preserve"> capital increases made by adjusting </w:t>
      </w:r>
      <w:r w:rsidR="00201093">
        <w:t>ADIs’</w:t>
      </w:r>
      <w:r w:rsidR="00580BA1">
        <w:t xml:space="preserve"> PCRs</w:t>
      </w:r>
      <w:r w:rsidR="00201093">
        <w:t xml:space="preserve"> would</w:t>
      </w:r>
      <w:r w:rsidR="00580BA1">
        <w:t xml:space="preserve"> </w:t>
      </w:r>
      <w:r w:rsidR="00201093">
        <w:t>remain</w:t>
      </w:r>
      <w:r w:rsidR="00580BA1">
        <w:t xml:space="preserve"> confidential </w:t>
      </w:r>
      <w:r w:rsidR="00201093">
        <w:t>and hence not publicly disclosed</w:t>
      </w:r>
      <w:r w:rsidR="00580BA1">
        <w:t xml:space="preserve">. </w:t>
      </w:r>
    </w:p>
    <w:p w14:paraId="7862B42D" w14:textId="628D18A4" w:rsidR="00020ADA" w:rsidRDefault="006865DF" w:rsidP="006865DF">
      <w:pPr>
        <w:pStyle w:val="APRANORMAL"/>
      </w:pPr>
      <w:r>
        <w:t xml:space="preserve">Under option 2, APRA would </w:t>
      </w:r>
      <w:r w:rsidR="00E03446">
        <w:t xml:space="preserve">amend the </w:t>
      </w:r>
      <w:r w:rsidR="00E17582">
        <w:t>current</w:t>
      </w:r>
      <w:r w:rsidR="00E03446">
        <w:t xml:space="preserve"> capital framework to implement</w:t>
      </w:r>
      <w:r>
        <w:t xml:space="preserve"> the Basel Committee’s Basel III </w:t>
      </w:r>
      <w:r w:rsidR="00DA1B96">
        <w:t xml:space="preserve">reforms </w:t>
      </w:r>
      <w:r>
        <w:t>relating to credit risk</w:t>
      </w:r>
      <w:r w:rsidR="009E17DF">
        <w:t>,</w:t>
      </w:r>
      <w:r>
        <w:t xml:space="preserve"> operational risk</w:t>
      </w:r>
      <w:r w:rsidR="00E03446">
        <w:t xml:space="preserve">, </w:t>
      </w:r>
      <w:r w:rsidR="00F9538B">
        <w:t>market risk, C</w:t>
      </w:r>
      <w:r w:rsidR="008B1A5A">
        <w:t xml:space="preserve">VA </w:t>
      </w:r>
      <w:r w:rsidR="009E17DF">
        <w:t xml:space="preserve">risk and </w:t>
      </w:r>
      <w:r w:rsidR="008B1A5A">
        <w:t>IRRBB</w:t>
      </w:r>
      <w:r w:rsidR="009E17DF">
        <w:t xml:space="preserve">, </w:t>
      </w:r>
      <w:r w:rsidR="00E03446">
        <w:t>applying these revisions to all ADIs as relevant (i.e. whether they are standardised or IRB ADIs)</w:t>
      </w:r>
      <w:r w:rsidR="00B923B5">
        <w:t xml:space="preserve">. </w:t>
      </w:r>
      <w:r w:rsidR="00201093">
        <w:t>This option</w:t>
      </w:r>
      <w:r w:rsidR="009E1467">
        <w:t xml:space="preserve"> would achieve the objective of </w:t>
      </w:r>
      <w:r w:rsidR="002D6CEC">
        <w:t>implementing</w:t>
      </w:r>
      <w:r w:rsidR="009E1467">
        <w:t xml:space="preserve"> the revised </w:t>
      </w:r>
      <w:r w:rsidR="00E03446">
        <w:t xml:space="preserve">international </w:t>
      </w:r>
      <w:r w:rsidR="009E1467">
        <w:t>framework</w:t>
      </w:r>
      <w:r w:rsidR="00931BA4">
        <w:t xml:space="preserve"> relating to RWA</w:t>
      </w:r>
      <w:r w:rsidR="00E56FE2">
        <w:t xml:space="preserve">, </w:t>
      </w:r>
      <w:r w:rsidR="00CC4D82">
        <w:t>which would meet Australia’s G20 commitments</w:t>
      </w:r>
      <w:r w:rsidR="00001668">
        <w:t>,</w:t>
      </w:r>
      <w:r w:rsidR="00CC4D82">
        <w:t xml:space="preserve"> facilitate </w:t>
      </w:r>
      <w:r w:rsidR="00DE0BE5">
        <w:t>ADIs</w:t>
      </w:r>
      <w:r w:rsidR="00CC4D82">
        <w:t>’ continued ability to participate in international markets</w:t>
      </w:r>
      <w:r w:rsidR="00001668">
        <w:t xml:space="preserve"> and</w:t>
      </w:r>
      <w:r w:rsidR="00DE0BE5">
        <w:t xml:space="preserve"> </w:t>
      </w:r>
      <w:r w:rsidR="00791F10">
        <w:t>improve international comparability</w:t>
      </w:r>
      <w:r w:rsidR="00001668">
        <w:t xml:space="preserve">. However, </w:t>
      </w:r>
      <w:r w:rsidR="00931BA4">
        <w:t xml:space="preserve">it would not </w:t>
      </w:r>
      <w:r w:rsidR="00DE6F45">
        <w:t>be</w:t>
      </w:r>
      <w:r w:rsidR="00931BA4">
        <w:t xml:space="preserve"> </w:t>
      </w:r>
      <w:r w:rsidR="00DE6F45">
        <w:t>completely</w:t>
      </w:r>
      <w:r w:rsidR="00931BA4">
        <w:t xml:space="preserve"> comparab</w:t>
      </w:r>
      <w:r w:rsidR="00DE6F45">
        <w:t>le</w:t>
      </w:r>
      <w:r w:rsidR="00931BA4">
        <w:t xml:space="preserve"> as </w:t>
      </w:r>
      <w:r w:rsidR="00001668">
        <w:t>APRA</w:t>
      </w:r>
      <w:r w:rsidR="00931BA4">
        <w:t xml:space="preserve"> </w:t>
      </w:r>
      <w:r w:rsidR="00201093">
        <w:t xml:space="preserve">has </w:t>
      </w:r>
      <w:r w:rsidR="00931BA4">
        <w:t>adopted a</w:t>
      </w:r>
      <w:r w:rsidR="00001668">
        <w:t xml:space="preserve"> more conservative </w:t>
      </w:r>
      <w:r w:rsidR="00931BA4">
        <w:t xml:space="preserve">approach to the Basel III </w:t>
      </w:r>
      <w:r w:rsidR="00791F10">
        <w:t>definition of capital</w:t>
      </w:r>
      <w:r w:rsidR="00E03446">
        <w:t xml:space="preserve">. </w:t>
      </w:r>
    </w:p>
    <w:p w14:paraId="352056CC" w14:textId="6EF5E578" w:rsidR="00E56FE2" w:rsidRDefault="00152B4A" w:rsidP="006865DF">
      <w:pPr>
        <w:pStyle w:val="APRANORMAL"/>
      </w:pPr>
      <w:r>
        <w:t xml:space="preserve">The </w:t>
      </w:r>
      <w:r w:rsidR="00BA4E46">
        <w:t>Basel III</w:t>
      </w:r>
      <w:r>
        <w:t xml:space="preserve"> framework introduces new approaches to classifying exposures (e.g. according to whether repayment of </w:t>
      </w:r>
      <w:r w:rsidR="007F3EDE">
        <w:t>property</w:t>
      </w:r>
      <w:r>
        <w:t xml:space="preserve"> exposures materially depends on cash flows from the secured property) and sets different risk weights or capital requirements (e.g. replacing internal modelling with supervisory estimates under the IRB approach to credit risk and the advanced approach to operational risk). Implementing such changes necessitates significant changes to systems and processes and would entail material regulatory costs.</w:t>
      </w:r>
    </w:p>
    <w:p w14:paraId="317C6102" w14:textId="313B832D" w:rsidR="006865DF" w:rsidRDefault="00E03446" w:rsidP="006865DF">
      <w:pPr>
        <w:pStyle w:val="APRANORMAL"/>
      </w:pPr>
      <w:r>
        <w:t xml:space="preserve">However, it is not clear </w:t>
      </w:r>
      <w:r w:rsidR="00020ADA">
        <w:t xml:space="preserve">that this option would </w:t>
      </w:r>
      <w:r>
        <w:t xml:space="preserve">increase capital requirements to meet </w:t>
      </w:r>
      <w:r w:rsidR="008A6CDA">
        <w:t xml:space="preserve">APRA’s goal of </w:t>
      </w:r>
      <w:r>
        <w:t xml:space="preserve">unquestionably strong </w:t>
      </w:r>
      <w:r w:rsidR="008A6CDA">
        <w:t>capital ratios</w:t>
      </w:r>
      <w:r>
        <w:t xml:space="preserve">. </w:t>
      </w:r>
      <w:r w:rsidR="009E1467">
        <w:t xml:space="preserve">APRA’s initial assessment, for example, is that most residential mortgage exposures </w:t>
      </w:r>
      <w:r w:rsidR="00C13442">
        <w:t>(the largest asset class</w:t>
      </w:r>
      <w:r w:rsidR="00737E07">
        <w:t xml:space="preserve"> for Australian ADIs</w:t>
      </w:r>
      <w:r w:rsidR="00C13442">
        <w:t xml:space="preserve">) </w:t>
      </w:r>
      <w:r w:rsidR="009E1467">
        <w:t>under the standardised approach would be subject to risk weights that are</w:t>
      </w:r>
      <w:r w:rsidR="00C13442">
        <w:t xml:space="preserve"> lower than those applying under the current prudential framework.</w:t>
      </w:r>
      <w:r w:rsidR="009E1467">
        <w:t xml:space="preserve"> </w:t>
      </w:r>
      <w:r>
        <w:t>Further</w:t>
      </w:r>
      <w:r w:rsidR="006865DF">
        <w:t xml:space="preserve">, under the Basel Committee’s proposed treatment of residential mortgage exposures under the standardised approach to credit risk, lending </w:t>
      </w:r>
      <w:r w:rsidR="00F3504E">
        <w:t xml:space="preserve">to individuals with a small portfolio of investment properties </w:t>
      </w:r>
      <w:r w:rsidR="006865DF">
        <w:t>would attract the same</w:t>
      </w:r>
      <w:r w:rsidR="004224F2">
        <w:t xml:space="preserve"> risk weights as loans to </w:t>
      </w:r>
      <w:r w:rsidR="004224F2">
        <w:lastRenderedPageBreak/>
        <w:t>owner-</w:t>
      </w:r>
      <w:r w:rsidR="006865DF">
        <w:t xml:space="preserve">occupiers and thus fail to further APRA’s objective of targeting concentration </w:t>
      </w:r>
      <w:r w:rsidR="00971AF0">
        <w:t xml:space="preserve">and other </w:t>
      </w:r>
      <w:r w:rsidR="006865DF">
        <w:t>risk</w:t>
      </w:r>
      <w:r w:rsidR="00971AF0">
        <w:t>s</w:t>
      </w:r>
      <w:r w:rsidR="006865DF">
        <w:t xml:space="preserve"> in the residential housing market.</w:t>
      </w:r>
      <w:r w:rsidR="00152B4A">
        <w:t xml:space="preserve"> </w:t>
      </w:r>
    </w:p>
    <w:p w14:paraId="09FCB7D6" w14:textId="22961C73" w:rsidR="00971AF0" w:rsidRDefault="002A3C94" w:rsidP="001701F3">
      <w:pPr>
        <w:pStyle w:val="APRANORMAL"/>
        <w:rPr>
          <w:lang w:val="en-AU"/>
        </w:rPr>
      </w:pPr>
      <w:r>
        <w:rPr>
          <w:lang w:val="en-AU"/>
        </w:rPr>
        <w:t xml:space="preserve">Under option 3, APRA would implement the Basel III </w:t>
      </w:r>
      <w:r w:rsidR="00DA1B96">
        <w:rPr>
          <w:lang w:val="en-AU"/>
        </w:rPr>
        <w:t>reforms</w:t>
      </w:r>
      <w:r>
        <w:rPr>
          <w:lang w:val="en-AU"/>
        </w:rPr>
        <w:t xml:space="preserve"> to the </w:t>
      </w:r>
      <w:r w:rsidR="004F2CDD">
        <w:rPr>
          <w:lang w:val="en-AU"/>
        </w:rPr>
        <w:t xml:space="preserve">various risk </w:t>
      </w:r>
      <w:r>
        <w:rPr>
          <w:lang w:val="en-AU"/>
        </w:rPr>
        <w:t>f</w:t>
      </w:r>
      <w:r w:rsidR="00971AF0">
        <w:rPr>
          <w:lang w:val="en-AU"/>
        </w:rPr>
        <w:t>rameworks, adjusted as appropriate</w:t>
      </w:r>
      <w:r w:rsidR="00A74A71">
        <w:rPr>
          <w:lang w:val="en-AU"/>
        </w:rPr>
        <w:t xml:space="preserve"> for Australian conditions</w:t>
      </w:r>
      <w:r>
        <w:rPr>
          <w:lang w:val="en-AU"/>
        </w:rPr>
        <w:t xml:space="preserve">. </w:t>
      </w:r>
      <w:r w:rsidR="00563BB7">
        <w:rPr>
          <w:lang w:val="en-AU"/>
        </w:rPr>
        <w:t xml:space="preserve">Under this approach, APRA’s </w:t>
      </w:r>
      <w:r w:rsidR="008A6CDA">
        <w:rPr>
          <w:lang w:val="en-AU"/>
        </w:rPr>
        <w:t>capital</w:t>
      </w:r>
      <w:r w:rsidR="00563BB7">
        <w:rPr>
          <w:lang w:val="en-AU"/>
        </w:rPr>
        <w:t xml:space="preserve"> objective would be met through amendments to the capital adequacy framework that would also seek to </w:t>
      </w:r>
      <w:r w:rsidR="00971AF0">
        <w:rPr>
          <w:lang w:val="en-AU"/>
        </w:rPr>
        <w:t>allocate</w:t>
      </w:r>
      <w:r w:rsidR="00563BB7">
        <w:rPr>
          <w:lang w:val="en-AU"/>
        </w:rPr>
        <w:t xml:space="preserve"> capital </w:t>
      </w:r>
      <w:r w:rsidR="00971AF0">
        <w:rPr>
          <w:lang w:val="en-AU"/>
        </w:rPr>
        <w:t xml:space="preserve">according to </w:t>
      </w:r>
      <w:r w:rsidR="00563BB7">
        <w:rPr>
          <w:lang w:val="en-AU"/>
        </w:rPr>
        <w:t>risk</w:t>
      </w:r>
      <w:r w:rsidR="00971AF0">
        <w:rPr>
          <w:lang w:val="en-AU"/>
        </w:rPr>
        <w:t xml:space="preserve">, comply with </w:t>
      </w:r>
      <w:r w:rsidR="00563BB7">
        <w:rPr>
          <w:lang w:val="en-AU"/>
        </w:rPr>
        <w:t>internati</w:t>
      </w:r>
      <w:r w:rsidR="00971AF0">
        <w:rPr>
          <w:lang w:val="en-AU"/>
        </w:rPr>
        <w:t>onal developments and address concentration and other risks in residential housing</w:t>
      </w:r>
      <w:r w:rsidR="00A74A71">
        <w:rPr>
          <w:lang w:val="en-AU"/>
        </w:rPr>
        <w:t xml:space="preserve"> lending</w:t>
      </w:r>
      <w:r w:rsidR="00563BB7">
        <w:rPr>
          <w:lang w:val="en-AU"/>
        </w:rPr>
        <w:t xml:space="preserve">. </w:t>
      </w:r>
    </w:p>
    <w:p w14:paraId="301343A9" w14:textId="6E905367" w:rsidR="0045124D" w:rsidRDefault="00152B4A" w:rsidP="001701F3">
      <w:pPr>
        <w:pStyle w:val="APRANORMAL"/>
        <w:rPr>
          <w:lang w:val="en-AU"/>
        </w:rPr>
      </w:pPr>
      <w:r>
        <w:rPr>
          <w:lang w:val="en-AU"/>
        </w:rPr>
        <w:t>As with option 2, t</w:t>
      </w:r>
      <w:r w:rsidR="00563BB7">
        <w:rPr>
          <w:lang w:val="en-AU"/>
        </w:rPr>
        <w:t xml:space="preserve">here will be </w:t>
      </w:r>
      <w:r w:rsidR="00055B37">
        <w:rPr>
          <w:lang w:val="en-AU"/>
        </w:rPr>
        <w:t xml:space="preserve">still be material </w:t>
      </w:r>
      <w:r w:rsidR="00563BB7">
        <w:rPr>
          <w:lang w:val="en-AU"/>
        </w:rPr>
        <w:t>implementation costs</w:t>
      </w:r>
      <w:r>
        <w:rPr>
          <w:lang w:val="en-AU"/>
        </w:rPr>
        <w:t xml:space="preserve">. However, option 3 is most likely to provide the greatest benefit. </w:t>
      </w:r>
      <w:r w:rsidR="00C13442">
        <w:rPr>
          <w:lang w:val="en-AU"/>
        </w:rPr>
        <w:t>The proposed measures are intended to strengthen the resilience of ADIs and the financial system to adverse events, which can have devastating and long-lasting effects on the economy and society.</w:t>
      </w:r>
      <w:r w:rsidR="008608F3">
        <w:rPr>
          <w:lang w:val="en-AU"/>
        </w:rPr>
        <w:br w:type="page"/>
      </w:r>
    </w:p>
    <w:p w14:paraId="1ECF317F" w14:textId="2625450D" w:rsidR="00F21BFB" w:rsidRDefault="00F21BFB">
      <w:pPr>
        <w:spacing w:after="120" w:line="288" w:lineRule="auto"/>
        <w:rPr>
          <w:rFonts w:ascii="DIN OT Light" w:hAnsi="DIN OT Light"/>
          <w:lang w:val="en-GB"/>
        </w:rPr>
      </w:pPr>
    </w:p>
    <w:p w14:paraId="5BBD84B5" w14:textId="77777777" w:rsidR="002813DB" w:rsidRDefault="002813DB" w:rsidP="00F21BFB">
      <w:pPr>
        <w:pStyle w:val="APRANORMAL"/>
      </w:pPr>
    </w:p>
    <w:p w14:paraId="5E35FCF4" w14:textId="77777777" w:rsidR="005F6AE8" w:rsidRPr="008932FB" w:rsidRDefault="000F25EC" w:rsidP="000C34C0">
      <w:pPr>
        <w:pStyle w:val="APRANORMAL"/>
        <w:rPr>
          <w:lang w:val="en-AU"/>
        </w:rPr>
      </w:pPr>
      <w:r>
        <w:rPr>
          <w:noProof/>
          <w:lang w:val="en-AU" w:eastAsia="en-AU"/>
        </w:rPr>
        <mc:AlternateContent>
          <mc:Choice Requires="wps">
            <w:drawing>
              <wp:anchor distT="0" distB="0" distL="114300" distR="114300" simplePos="0" relativeHeight="251658242" behindDoc="0" locked="0" layoutInCell="1" allowOverlap="1" wp14:anchorId="473B1DB9" wp14:editId="41F02CFB">
                <wp:simplePos x="0" y="0"/>
                <wp:positionH relativeFrom="column">
                  <wp:posOffset>5448300</wp:posOffset>
                </wp:positionH>
                <wp:positionV relativeFrom="paragraph">
                  <wp:posOffset>9353550</wp:posOffset>
                </wp:positionV>
                <wp:extent cx="10096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9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E536B" w14:textId="77777777" w:rsidR="00BF5B92" w:rsidRPr="000F25EC" w:rsidRDefault="00BF5B92" w:rsidP="000F25EC">
                            <w:pPr>
                              <w:jc w:val="right"/>
                              <w:rPr>
                                <w:rFonts w:ascii="DIN OT Light" w:hAnsi="DIN OT Light"/>
                                <w:color w:val="FFFFFF" w:themeColor="background1"/>
                                <w:sz w:val="16"/>
                                <w:szCs w:val="16"/>
                              </w:rPr>
                            </w:pPr>
                            <w:r w:rsidRPr="000F25EC">
                              <w:rPr>
                                <w:rFonts w:ascii="DIN OT Light" w:hAnsi="DIN OT Light"/>
                                <w:color w:val="FFFFFF" w:themeColor="background1"/>
                                <w:sz w:val="16"/>
                                <w:szCs w:val="16"/>
                              </w:rPr>
                              <w:t>XXX-2016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3B1DB9" id="_x0000_t202" coordsize="21600,21600" o:spt="202" path="m,l,21600r21600,l21600,xe">
                <v:stroke joinstyle="miter"/>
                <v:path gradientshapeok="t" o:connecttype="rect"/>
              </v:shapetype>
              <v:shape id="Text Box 3" o:spid="_x0000_s1027" type="#_x0000_t202" style="position:absolute;margin-left:429pt;margin-top:736.5pt;width:79.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" filled="f" stroked="f" strokeweight=".5pt">
                <v:textbox>
                  <w:txbxContent>
                    <w:p w14:paraId="280E536B" w14:textId="77777777" w:rsidR="00BF5B92" w:rsidRPr="000F25EC" w:rsidRDefault="00BF5B92" w:rsidP="000F25EC">
                      <w:pPr>
                        <w:jc w:val="right"/>
                        <w:rPr>
                          <w:rFonts w:ascii="DIN OT Light" w:hAnsi="DIN OT Light"/>
                          <w:color w:val="FFFFFF" w:themeColor="background1"/>
                          <w:sz w:val="16"/>
                          <w:szCs w:val="16"/>
                        </w:rPr>
                      </w:pPr>
                      <w:r w:rsidRPr="000F25EC">
                        <w:rPr>
                          <w:rFonts w:ascii="DIN OT Light" w:hAnsi="DIN OT Light"/>
                          <w:color w:val="FFFFFF" w:themeColor="background1"/>
                          <w:sz w:val="16"/>
                          <w:szCs w:val="16"/>
                        </w:rPr>
                        <w:t>XXX-2016</w:t>
                      </w:r>
                    </w:p>
                  </w:txbxContent>
                </v:textbox>
              </v:shape>
            </w:pict>
          </mc:Fallback>
        </mc:AlternateContent>
      </w:r>
      <w:r>
        <w:rPr>
          <w:noProof/>
          <w:lang w:val="en-AU" w:eastAsia="en-AU"/>
        </w:rPr>
        <mc:AlternateContent>
          <mc:Choice Requires="wps">
            <w:drawing>
              <wp:anchor distT="0" distB="0" distL="114300" distR="114300" simplePos="0" relativeHeight="251658240" behindDoc="0" locked="1" layoutInCell="1" allowOverlap="1" wp14:anchorId="35FA6CCE" wp14:editId="07C527C1">
                <wp:simplePos x="0" y="0"/>
                <wp:positionH relativeFrom="page">
                  <wp:align>center</wp:align>
                </wp:positionH>
                <wp:positionV relativeFrom="page">
                  <wp:align>center</wp:align>
                </wp:positionV>
                <wp:extent cx="7887600" cy="11106000"/>
                <wp:effectExtent l="0" t="0" r="0" b="635"/>
                <wp:wrapNone/>
                <wp:docPr id="9" name="Rectangle 9"/>
                <wp:cNvGraphicFramePr/>
                <a:graphic xmlns:a="http://schemas.openxmlformats.org/drawingml/2006/main">
                  <a:graphicData uri="http://schemas.microsoft.com/office/word/2010/wordprocessingShape">
                    <wps:wsp>
                      <wps:cNvSpPr/>
                      <wps:spPr>
                        <a:xfrm>
                          <a:off x="0" y="0"/>
                          <a:ext cx="7887600" cy="11106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8FA0B" id="Rectangle 9" o:spid="_x0000_s1026" style="position:absolute;margin-left:0;margin-top:0;width:621.05pt;height:87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" fillcolor="#002060" stroked="f" strokeweight="2pt">
                <w10:wrap anchorx="page" anchory="page"/>
                <w10:anchorlock/>
              </v:rect>
            </w:pict>
          </mc:Fallback>
        </mc:AlternateContent>
      </w:r>
      <w:r w:rsidR="00B8477A">
        <w:rPr>
          <w:noProof/>
          <w:lang w:val="en-AU" w:eastAsia="en-AU"/>
        </w:rPr>
        <w:drawing>
          <wp:anchor distT="0" distB="0" distL="114300" distR="114300" simplePos="0" relativeHeight="251658244" behindDoc="0" locked="1" layoutInCell="1" allowOverlap="1" wp14:anchorId="4D09F5A9" wp14:editId="18AF84BB">
            <wp:simplePos x="0" y="0"/>
            <wp:positionH relativeFrom="page">
              <wp:align>center</wp:align>
            </wp:positionH>
            <wp:positionV relativeFrom="page">
              <wp:align>center</wp:align>
            </wp:positionV>
            <wp:extent cx="3625200" cy="110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A_logo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5200" cy="1105200"/>
                    </a:xfrm>
                    <a:prstGeom prst="rect">
                      <a:avLst/>
                    </a:prstGeom>
                  </pic:spPr>
                </pic:pic>
              </a:graphicData>
            </a:graphic>
            <wp14:sizeRelH relativeFrom="page">
              <wp14:pctWidth>0</wp14:pctWidth>
            </wp14:sizeRelH>
            <wp14:sizeRelV relativeFrom="page">
              <wp14:pctHeight>0</wp14:pctHeight>
            </wp14:sizeRelV>
          </wp:anchor>
        </w:drawing>
      </w:r>
      <w:r w:rsidR="00F751CD">
        <w:rPr>
          <w:noProof/>
          <w:lang w:val="en-AU" w:eastAsia="en-AU"/>
        </w:rPr>
        <w:drawing>
          <wp:inline distT="0" distB="0" distL="0" distR="0" wp14:anchorId="43ADCCF8" wp14:editId="7D9D2852">
            <wp:extent cx="43624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A_logo_White.gif"/>
                    <pic:cNvPicPr/>
                  </pic:nvPicPr>
                  <pic:blipFill>
                    <a:blip r:embed="rId21">
                      <a:extLst>
                        <a:ext uri="{28A0092B-C50C-407E-A947-70E740481C1C}">
                          <a14:useLocalDpi xmlns:a14="http://schemas.microsoft.com/office/drawing/2010/main" val="0"/>
                        </a:ext>
                      </a:extLst>
                    </a:blip>
                    <a:stretch>
                      <a:fillRect/>
                    </a:stretch>
                  </pic:blipFill>
                  <pic:spPr>
                    <a:xfrm>
                      <a:off x="0" y="0"/>
                      <a:ext cx="4362450" cy="1333500"/>
                    </a:xfrm>
                    <a:prstGeom prst="rect">
                      <a:avLst/>
                    </a:prstGeom>
                  </pic:spPr>
                </pic:pic>
              </a:graphicData>
            </a:graphic>
          </wp:inline>
        </w:drawing>
      </w:r>
    </w:p>
    <w:sectPr w:rsidR="005F6AE8" w:rsidRPr="008932FB" w:rsidSect="008511E7">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0A57A" w14:textId="77777777" w:rsidR="00AA7CB6" w:rsidRDefault="00AA7CB6" w:rsidP="007A463E">
      <w:pPr>
        <w:spacing w:after="0"/>
      </w:pPr>
      <w:r>
        <w:separator/>
      </w:r>
    </w:p>
    <w:p w14:paraId="3C091662" w14:textId="77777777" w:rsidR="00AA7CB6" w:rsidRDefault="00AA7CB6"/>
    <w:p w14:paraId="43AC7801" w14:textId="77777777" w:rsidR="00AA7CB6" w:rsidRDefault="00AA7CB6"/>
    <w:p w14:paraId="4A84A65D" w14:textId="77777777" w:rsidR="00AA7CB6" w:rsidRDefault="00AA7CB6"/>
    <w:p w14:paraId="5DEF1C1E" w14:textId="77777777" w:rsidR="00AA7CB6" w:rsidRDefault="00AA7CB6"/>
    <w:p w14:paraId="39169F0A" w14:textId="77777777" w:rsidR="00AA7CB6" w:rsidRDefault="00AA7CB6"/>
  </w:endnote>
  <w:endnote w:type="continuationSeparator" w:id="0">
    <w:p w14:paraId="35107DE4" w14:textId="77777777" w:rsidR="00AA7CB6" w:rsidRDefault="00AA7CB6" w:rsidP="007A463E">
      <w:pPr>
        <w:spacing w:after="0"/>
      </w:pPr>
      <w:r>
        <w:continuationSeparator/>
      </w:r>
    </w:p>
    <w:p w14:paraId="54BA7276" w14:textId="77777777" w:rsidR="00AA7CB6" w:rsidRDefault="00AA7CB6"/>
    <w:p w14:paraId="0FC60285" w14:textId="77777777" w:rsidR="00AA7CB6" w:rsidRDefault="00AA7CB6"/>
    <w:p w14:paraId="3A5B6023" w14:textId="77777777" w:rsidR="00AA7CB6" w:rsidRDefault="00AA7CB6"/>
    <w:p w14:paraId="5E8404EA" w14:textId="77777777" w:rsidR="00AA7CB6" w:rsidRDefault="00AA7CB6"/>
    <w:p w14:paraId="09BD7BEC" w14:textId="77777777" w:rsidR="00AA7CB6" w:rsidRDefault="00AA7CB6"/>
  </w:endnote>
  <w:endnote w:type="continuationNotice" w:id="1">
    <w:p w14:paraId="6E29B7D4" w14:textId="77777777" w:rsidR="00AA7CB6" w:rsidRDefault="00AA7C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Light">
    <w:altName w:val="Segoe Script"/>
    <w:charset w:val="00"/>
    <w:family w:val="swiss"/>
    <w:pitch w:val="variable"/>
    <w:sig w:usb0="00000003" w:usb1="4000A47B" w:usb2="00000000" w:usb3="00000000" w:csb0="00000001" w:csb1="00000000"/>
  </w:font>
  <w:font w:name="DIN OT Medium">
    <w:altName w:val="Arial"/>
    <w:charset w:val="00"/>
    <w:family w:val="swiss"/>
    <w:pitch w:val="variable"/>
    <w:sig w:usb0="00000003" w:usb1="4000A47B" w:usb2="00000000" w:usb3="00000000" w:csb0="00000001" w:csb1="00000000"/>
  </w:font>
  <w:font w:name="DIN OT Light">
    <w:altName w:val="MV Boli"/>
    <w:charset w:val="00"/>
    <w:family w:val="swiss"/>
    <w:pitch w:val="variable"/>
    <w:sig w:usb0="00000003" w:usb1="4000A47B" w:usb2="00000000" w:usb3="00000000" w:csb0="00000001" w:csb1="00000000"/>
  </w:font>
  <w:font w:name="DIN OT">
    <w:altName w:val="MV Boli"/>
    <w:charset w:val="00"/>
    <w:family w:val="swiss"/>
    <w:pitch w:val="variable"/>
    <w:sig w:usb0="800000EF" w:usb1="4000A47B"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00000001" w:usb1="00000001" w:usb2="00000000" w:usb3="00000000" w:csb0="0000019F" w:csb1="00000000"/>
  </w:font>
  <w:font w:name="DIN Offc">
    <w:altName w:val="Segoe Script"/>
    <w:charset w:val="00"/>
    <w:family w:val="swiss"/>
    <w:pitch w:val="variable"/>
    <w:sig w:usb0="00000003" w:usb1="4000A47B" w:usb2="00000000" w:usb3="00000000" w:csb0="00000001" w:csb1="00000000"/>
  </w:font>
  <w:font w:name="DIN Offc Medium">
    <w:altName w:val="Calibri"/>
    <w:charset w:val="00"/>
    <w:family w:val="swiss"/>
    <w:pitch w:val="variable"/>
    <w:sig w:usb0="00000003" w:usb1="4000A47B" w:usb2="00000000" w:usb3="00000000" w:csb0="0000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TodaySB-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D244C" w14:textId="77777777" w:rsidR="00CC17C8" w:rsidRDefault="00CC1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8096B" w14:textId="5F73BF6C" w:rsidR="00BF5B92" w:rsidRPr="00A43B0B" w:rsidRDefault="00BF5B92" w:rsidP="005D1D3A">
    <w:pPr>
      <w:pStyle w:val="Footer"/>
      <w:rPr>
        <w:rFonts w:ascii="DIN OT Light" w:hAnsi="DIN OT Light"/>
      </w:rPr>
    </w:pPr>
    <w:r w:rsidRPr="00A43B0B">
      <w:rPr>
        <w:rFonts w:ascii="DIN OT Light" w:hAnsi="DIN OT Light"/>
        <w:noProof/>
        <w:color w:val="00B0F0"/>
        <w:sz w:val="24"/>
        <w:szCs w:val="24"/>
        <w:lang w:eastAsia="en-AU"/>
      </w:rPr>
      <mc:AlternateContent>
        <mc:Choice Requires="wps">
          <w:drawing>
            <wp:anchor distT="0" distB="0" distL="114300" distR="114300" simplePos="0" relativeHeight="251658241" behindDoc="0" locked="0" layoutInCell="1" allowOverlap="1" wp14:anchorId="57339DF0" wp14:editId="723EF48C">
              <wp:simplePos x="0" y="0"/>
              <wp:positionH relativeFrom="column">
                <wp:posOffset>-9525</wp:posOffset>
              </wp:positionH>
              <wp:positionV relativeFrom="paragraph">
                <wp:posOffset>288290</wp:posOffset>
              </wp:positionV>
              <wp:extent cx="2733675" cy="213447"/>
              <wp:effectExtent l="0" t="0" r="9525" b="0"/>
              <wp:wrapNone/>
              <wp:docPr id="6" name="Rectangle 6"/>
              <wp:cNvGraphicFramePr/>
              <a:graphic xmlns:a="http://schemas.openxmlformats.org/drawingml/2006/main">
                <a:graphicData uri="http://schemas.microsoft.com/office/word/2010/wordprocessingShape">
                  <wps:wsp>
                    <wps:cNvSpPr/>
                    <wps:spPr>
                      <a:xfrm>
                        <a:off x="0" y="0"/>
                        <a:ext cx="2733675" cy="21344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24AEC2" id="Rectangle 6" o:spid="_x0000_s1026" style="position:absolute;margin-left:-.75pt;margin-top:22.7pt;width:215.25pt;height:1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" fillcolor="#002060" stroked="f" strokeweight="2pt"/>
          </w:pict>
        </mc:Fallback>
      </mc:AlternateContent>
    </w:r>
    <w:r w:rsidRPr="00A43B0B">
      <w:rPr>
        <w:rFonts w:ascii="DIN OT Light" w:hAnsi="DIN OT Light"/>
        <w:noProof/>
        <w:spacing w:val="10"/>
        <w:sz w:val="16"/>
        <w:szCs w:val="16"/>
        <w:lang w:eastAsia="en-AU"/>
      </w:rPr>
      <mc:AlternateContent>
        <mc:Choice Requires="wps">
          <w:drawing>
            <wp:anchor distT="0" distB="0" distL="114300" distR="114300" simplePos="0" relativeHeight="251658240" behindDoc="0" locked="0" layoutInCell="1" allowOverlap="1" wp14:anchorId="7438A26E" wp14:editId="18104F41">
              <wp:simplePos x="0" y="0"/>
              <wp:positionH relativeFrom="column">
                <wp:posOffset>-971550</wp:posOffset>
              </wp:positionH>
              <wp:positionV relativeFrom="paragraph">
                <wp:posOffset>283210</wp:posOffset>
              </wp:positionV>
              <wp:extent cx="7677150" cy="276225"/>
              <wp:effectExtent l="0" t="0" r="0" b="9525"/>
              <wp:wrapNone/>
              <wp:docPr id="5" name="Rectangle 5"/>
              <wp:cNvGraphicFramePr/>
              <a:graphic xmlns:a="http://schemas.openxmlformats.org/drawingml/2006/main">
                <a:graphicData uri="http://schemas.microsoft.com/office/word/2010/wordprocessingShape">
                  <wps:wsp>
                    <wps:cNvSpPr/>
                    <wps:spPr>
                      <a:xfrm>
                        <a:off x="0" y="0"/>
                        <a:ext cx="7677150" cy="2762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35AFF" id="Rectangle 5" o:spid="_x0000_s1026" style="position:absolute;margin-left:-76.5pt;margin-top:22.3pt;width:604.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" fillcolor="#00b0f0" stroked="f" strokeweight="2pt"/>
          </w:pict>
        </mc:Fallback>
      </mc:AlternateContent>
    </w:r>
    <w:sdt>
      <w:sdtPr>
        <w:rPr>
          <w:rFonts w:ascii="DIN OT Light" w:hAnsi="DIN OT Light"/>
        </w:rPr>
        <w:id w:val="1960831827"/>
        <w:docPartObj>
          <w:docPartGallery w:val="Page Numbers (Bottom of Page)"/>
          <w:docPartUnique/>
        </w:docPartObj>
      </w:sdtPr>
      <w:sdtEndPr/>
      <w:sdtContent>
        <w:sdt>
          <w:sdtPr>
            <w:rPr>
              <w:rFonts w:ascii="DIN OT Light" w:hAnsi="DIN OT Light"/>
            </w:rPr>
            <w:id w:val="922769774"/>
            <w:docPartObj>
              <w:docPartGallery w:val="Page Numbers (Top of Page)"/>
              <w:docPartUnique/>
            </w:docPartObj>
          </w:sdtPr>
          <w:sdtEndPr/>
          <w:sdtContent>
            <w:r w:rsidRPr="00A43B0B">
              <w:rPr>
                <w:rFonts w:ascii="DIN OT Light" w:hAnsi="DIN OT Light"/>
                <w:spacing w:val="10"/>
                <w:sz w:val="16"/>
                <w:szCs w:val="16"/>
              </w:rPr>
              <w:t>AUSTRALIAN PRUDENTIAL REGULATION AUTHORITY</w:t>
            </w:r>
            <w:r w:rsidRPr="00A43B0B">
              <w:rPr>
                <w:rFonts w:ascii="DIN OT Light" w:hAnsi="DIN OT Light"/>
              </w:rPr>
              <w:t xml:space="preserve"> </w:t>
            </w:r>
            <w:r w:rsidRPr="00A43B0B">
              <w:rPr>
                <w:rFonts w:ascii="DIN OT Light" w:hAnsi="DIN OT Light"/>
              </w:rPr>
              <w:tab/>
            </w:r>
            <w:r w:rsidRPr="00A43B0B">
              <w:rPr>
                <w:rFonts w:ascii="DIN OT Light" w:hAnsi="DIN OT Light"/>
              </w:rPr>
              <w:tab/>
            </w:r>
            <w:r w:rsidRPr="00A43B0B">
              <w:rPr>
                <w:rFonts w:ascii="DIN OT Light" w:hAnsi="DIN OT Light"/>
                <w:bCs/>
                <w:szCs w:val="18"/>
              </w:rPr>
              <w:fldChar w:fldCharType="begin"/>
            </w:r>
            <w:r w:rsidRPr="00A43B0B">
              <w:rPr>
                <w:rFonts w:ascii="DIN OT Light" w:hAnsi="DIN OT Light"/>
                <w:bCs/>
                <w:szCs w:val="18"/>
              </w:rPr>
              <w:instrText xml:space="preserve"> PAGE </w:instrText>
            </w:r>
            <w:r w:rsidRPr="00A43B0B">
              <w:rPr>
                <w:rFonts w:ascii="DIN OT Light" w:hAnsi="DIN OT Light"/>
                <w:bCs/>
                <w:szCs w:val="18"/>
              </w:rPr>
              <w:fldChar w:fldCharType="separate"/>
            </w:r>
            <w:r w:rsidR="00CC17C8">
              <w:rPr>
                <w:rFonts w:ascii="DIN OT Light" w:hAnsi="DIN OT Light"/>
                <w:bCs/>
                <w:noProof/>
                <w:szCs w:val="18"/>
              </w:rPr>
              <w:t>2</w:t>
            </w:r>
            <w:r w:rsidRPr="00A43B0B">
              <w:rPr>
                <w:rFonts w:ascii="DIN OT Light" w:hAnsi="DIN OT Light"/>
                <w:bCs/>
                <w:szCs w:val="18"/>
              </w:rPr>
              <w:fldChar w:fldCharType="end"/>
            </w:r>
          </w:sdtContent>
        </w:sdt>
      </w:sdtContent>
    </w:sdt>
  </w:p>
  <w:p w14:paraId="493BCAF5" w14:textId="5BA10DC6" w:rsidR="00BF5B92" w:rsidRDefault="00BF5B9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BAA6" w14:textId="77777777" w:rsidR="00CC17C8" w:rsidRDefault="00CC1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E36A6" w14:textId="77777777" w:rsidR="00AA7CB6" w:rsidRPr="0024145D" w:rsidRDefault="00AA7CB6" w:rsidP="0024145D">
      <w:pPr>
        <w:rPr>
          <w:rFonts w:ascii="DIN OT" w:eastAsia="Arial" w:hAnsi="DIN OT" w:cs="Cordia New"/>
          <w:color w:val="000000"/>
        </w:rPr>
      </w:pPr>
      <w:r w:rsidRPr="0024145D">
        <w:rPr>
          <w:rFonts w:ascii="DIN OT" w:eastAsia="Arial" w:hAnsi="DIN OT" w:cs="Cordia New"/>
          <w:color w:val="000000"/>
        </w:rPr>
        <w:separator/>
      </w:r>
    </w:p>
  </w:footnote>
  <w:footnote w:type="continuationSeparator" w:id="0">
    <w:p w14:paraId="37BAB572" w14:textId="77777777" w:rsidR="00AA7CB6" w:rsidRDefault="00AA7CB6" w:rsidP="007A463E">
      <w:pPr>
        <w:spacing w:after="0"/>
      </w:pPr>
      <w:r>
        <w:continuationSeparator/>
      </w:r>
    </w:p>
    <w:p w14:paraId="10CFAA43" w14:textId="77777777" w:rsidR="00AA7CB6" w:rsidRDefault="00AA7CB6"/>
    <w:p w14:paraId="09C389A3" w14:textId="77777777" w:rsidR="00AA7CB6" w:rsidRDefault="00AA7CB6"/>
    <w:p w14:paraId="2D83D5A8" w14:textId="77777777" w:rsidR="00AA7CB6" w:rsidRDefault="00AA7CB6"/>
    <w:p w14:paraId="35A864A6" w14:textId="77777777" w:rsidR="00AA7CB6" w:rsidRDefault="00AA7CB6"/>
    <w:p w14:paraId="182A0D3F" w14:textId="77777777" w:rsidR="00AA7CB6" w:rsidRDefault="00AA7CB6"/>
  </w:footnote>
  <w:footnote w:type="continuationNotice" w:id="1">
    <w:p w14:paraId="7699023C" w14:textId="77777777" w:rsidR="00AA7CB6" w:rsidRDefault="00AA7CB6">
      <w:pPr>
        <w:spacing w:after="0"/>
      </w:pPr>
    </w:p>
  </w:footnote>
  <w:footnote w:id="2">
    <w:p w14:paraId="6290903A" w14:textId="4829E058" w:rsidR="00BF5B92" w:rsidRDefault="00BF5B92">
      <w:pPr>
        <w:pStyle w:val="FootnoteText"/>
      </w:pPr>
      <w:r>
        <w:rPr>
          <w:rStyle w:val="FootnoteReference"/>
        </w:rPr>
        <w:footnoteRef/>
      </w:r>
      <w:r>
        <w:t xml:space="preserve"> FSI, </w:t>
      </w:r>
      <w:r>
        <w:rPr>
          <w:i/>
        </w:rPr>
        <w:t>Final Report</w:t>
      </w:r>
      <w:r>
        <w:t xml:space="preserve">, 7 November 2014, recommendation 1, available at: </w:t>
      </w:r>
      <w:hyperlink r:id="rId1" w:history="1">
        <w:r w:rsidRPr="009B4677">
          <w:rPr>
            <w:rStyle w:val="Hyperlink"/>
            <w:rFonts w:ascii="DIN OT Light" w:hAnsi="DIN OT Light"/>
            <w:sz w:val="18"/>
          </w:rPr>
          <w:t>http://fsi.gov.au/publications/final-report/</w:t>
        </w:r>
      </w:hyperlink>
      <w:r>
        <w:rPr>
          <w:rStyle w:val="Hyperlink"/>
          <w:rFonts w:ascii="DIN OT Light" w:hAnsi="DIN OT Light"/>
          <w:sz w:val="18"/>
        </w:rPr>
        <w:t>.</w:t>
      </w:r>
    </w:p>
  </w:footnote>
  <w:footnote w:id="3">
    <w:p w14:paraId="138014AD" w14:textId="5EC60DA0" w:rsidR="00BF5B92" w:rsidRPr="00AE1143" w:rsidRDefault="00BF5B92">
      <w:pPr>
        <w:pStyle w:val="FootnoteText"/>
      </w:pPr>
      <w:r>
        <w:rPr>
          <w:rStyle w:val="FootnoteReference"/>
        </w:rPr>
        <w:footnoteRef/>
      </w:r>
      <w:r>
        <w:t xml:space="preserve"> Basel Committee, </w:t>
      </w:r>
      <w:r>
        <w:rPr>
          <w:i/>
        </w:rPr>
        <w:t>Basel III: Finalising post-crisis reforms</w:t>
      </w:r>
      <w:r>
        <w:t xml:space="preserve">, December 2017, available at: </w:t>
      </w:r>
      <w:hyperlink r:id="rId2" w:history="1">
        <w:r w:rsidRPr="00AE36B7">
          <w:rPr>
            <w:rStyle w:val="Hyperlink"/>
            <w:rFonts w:ascii="DIN OT Light" w:hAnsi="DIN OT Light"/>
            <w:sz w:val="18"/>
          </w:rPr>
          <w:t>https://www.bis.org/bcbs/publ/d424.htm</w:t>
        </w:r>
      </w:hyperlink>
      <w:r>
        <w:t>.</w:t>
      </w:r>
    </w:p>
  </w:footnote>
  <w:footnote w:id="4">
    <w:p w14:paraId="5E2FBA84" w14:textId="46DA84EA" w:rsidR="00BF5B92" w:rsidRDefault="00BF5B92">
      <w:pPr>
        <w:pStyle w:val="FootnoteText"/>
      </w:pPr>
      <w:r>
        <w:rPr>
          <w:rStyle w:val="FootnoteReference"/>
        </w:rPr>
        <w:footnoteRef/>
      </w:r>
      <w:r>
        <w:t xml:space="preserve"> This paper is available at: </w:t>
      </w:r>
      <w:hyperlink r:id="rId3" w:history="1">
        <w:r w:rsidRPr="00AE36B7">
          <w:rPr>
            <w:rStyle w:val="Hyperlink"/>
            <w:rFonts w:ascii="DIN OT Light" w:hAnsi="DIN OT Light"/>
            <w:sz w:val="18"/>
          </w:rPr>
          <w:t>http://www.apra.gov.au/adi/Documents/Unquestionably%20Strong%20Information%20Paper.pdf</w:t>
        </w:r>
      </w:hyperlink>
      <w:r>
        <w:t>.</w:t>
      </w:r>
    </w:p>
  </w:footnote>
  <w:footnote w:id="5">
    <w:p w14:paraId="6687F7D8" w14:textId="78D6040C" w:rsidR="00BF5B92" w:rsidRDefault="00BF5B92" w:rsidP="00386E8B">
      <w:pPr>
        <w:pStyle w:val="FootnoteText"/>
      </w:pPr>
      <w:r>
        <w:rPr>
          <w:rStyle w:val="FootnoteReference"/>
        </w:rPr>
        <w:footnoteRef/>
      </w:r>
      <w:r>
        <w:t xml:space="preserve"> </w:t>
      </w:r>
      <w:r>
        <w:rPr>
          <w:i/>
        </w:rPr>
        <w:t>Leverage ratio requirement for authorised deposit-taking institutions</w:t>
      </w:r>
      <w:r>
        <w:t xml:space="preserve">, available at: </w:t>
      </w:r>
      <w:hyperlink r:id="rId4" w:history="1">
        <w:r w:rsidRPr="00EA3B03">
          <w:rPr>
            <w:rStyle w:val="Hyperlink"/>
            <w:rFonts w:ascii="DIN OT Light" w:hAnsi="DIN OT Light"/>
            <w:sz w:val="18"/>
          </w:rPr>
          <w:t>http://www.apra.gov.au/adi/PrudentialFramework/Pages/revisions-capital-framework-and-leverage-ratio-Feb-2018.aspx</w:t>
        </w:r>
      </w:hyperlink>
      <w:r>
        <w:t xml:space="preserve">. </w:t>
      </w:r>
    </w:p>
  </w:footnote>
  <w:footnote w:id="6">
    <w:p w14:paraId="28962B97" w14:textId="4C321C15" w:rsidR="00BF5B92" w:rsidRDefault="00BF5B92">
      <w:pPr>
        <w:pStyle w:val="FootnoteText"/>
      </w:pPr>
      <w:r>
        <w:rPr>
          <w:rStyle w:val="FootnoteReference"/>
        </w:rPr>
        <w:footnoteRef/>
      </w:r>
      <w:r>
        <w:t xml:space="preserve"> This paper is available at: </w:t>
      </w:r>
      <w:hyperlink r:id="rId5" w:history="1">
        <w:r w:rsidRPr="005724C9">
          <w:rPr>
            <w:rStyle w:val="Hyperlink"/>
            <w:rFonts w:ascii="DIN OT Light" w:hAnsi="DIN OT Light"/>
            <w:sz w:val="18"/>
          </w:rPr>
          <w:t>https://www.pc.gov.au/inquiries/current/financial-system/draft</w:t>
        </w:r>
      </w:hyperlink>
      <w:r>
        <w:t>.</w:t>
      </w:r>
    </w:p>
  </w:footnote>
  <w:footnote w:id="7">
    <w:p w14:paraId="3495EE0B" w14:textId="59F6DB58" w:rsidR="00BF5B92" w:rsidRPr="001726D6" w:rsidRDefault="00BF5B92" w:rsidP="0028798C">
      <w:pPr>
        <w:pStyle w:val="FootnoteText"/>
      </w:pPr>
      <w:r>
        <w:rPr>
          <w:rStyle w:val="FootnoteReference"/>
        </w:rPr>
        <w:footnoteRef/>
      </w:r>
      <w:r>
        <w:t xml:space="preserve"> The Basel capital framework commenced with the July 1988 </w:t>
      </w:r>
      <w:r>
        <w:rPr>
          <w:i/>
        </w:rPr>
        <w:t xml:space="preserve">International convergence of capital measurement and capital standards </w:t>
      </w:r>
      <w:r>
        <w:t xml:space="preserve">(known as the Basle Capital Accord or Basel I, available at: </w:t>
      </w:r>
      <w:hyperlink r:id="rId6" w:history="1">
        <w:r w:rsidRPr="00AE36B7">
          <w:rPr>
            <w:rStyle w:val="Hyperlink"/>
            <w:rFonts w:ascii="DIN OT Light" w:hAnsi="DIN OT Light"/>
            <w:sz w:val="18"/>
          </w:rPr>
          <w:t>https://www.bis.org/publ/bcbs04a.htm</w:t>
        </w:r>
      </w:hyperlink>
      <w:r>
        <w:t>).</w:t>
      </w:r>
    </w:p>
  </w:footnote>
  <w:footnote w:id="8">
    <w:p w14:paraId="0FAF253F" w14:textId="05F59D92" w:rsidR="00BF5B92" w:rsidRDefault="00BF5B92">
      <w:pPr>
        <w:pStyle w:val="FootnoteText"/>
      </w:pPr>
      <w:r>
        <w:rPr>
          <w:rStyle w:val="FootnoteReference"/>
        </w:rPr>
        <w:footnoteRef/>
      </w:r>
      <w:r>
        <w:t xml:space="preserve"> The advanced and standardised approaches were introduced under the reforms to the Basel capital framework known as Basel II, </w:t>
      </w:r>
      <w:r>
        <w:rPr>
          <w:i/>
        </w:rPr>
        <w:t>Basel II: International Convergence of Capital Measurement and Capital Standards: A Revised Framework - Comprehensive Version</w:t>
      </w:r>
      <w:r>
        <w:t xml:space="preserve">, June 2006 (Basel II), available at: </w:t>
      </w:r>
      <w:hyperlink r:id="rId7" w:history="1">
        <w:r w:rsidRPr="00AE36B7">
          <w:rPr>
            <w:rStyle w:val="Hyperlink"/>
            <w:rFonts w:ascii="DIN OT Light" w:hAnsi="DIN OT Light"/>
            <w:sz w:val="18"/>
          </w:rPr>
          <w:t>https://www.bis.org/publ/bcbs128.htm</w:t>
        </w:r>
      </w:hyperlink>
      <w:r>
        <w:t>. Under the IRB approach to credit risk, banks may be approved to use the foundation IRB approach or the advanced IRB approach.</w:t>
      </w:r>
    </w:p>
  </w:footnote>
  <w:footnote w:id="9">
    <w:p w14:paraId="25BCB6AA" w14:textId="77777777" w:rsidR="00BF5B92" w:rsidRPr="004E4C1C" w:rsidRDefault="00BF5B92" w:rsidP="00900AB2">
      <w:pPr>
        <w:pStyle w:val="FootnoteText"/>
      </w:pPr>
      <w:r>
        <w:rPr>
          <w:rStyle w:val="FootnoteReference"/>
        </w:rPr>
        <w:footnoteRef/>
      </w:r>
      <w:r>
        <w:t xml:space="preserve"> Basel Committee, </w:t>
      </w:r>
      <w:r>
        <w:rPr>
          <w:i/>
        </w:rPr>
        <w:t>Basel III: A global regulatory framework for more resilient banks and banking systems</w:t>
      </w:r>
      <w:r w:rsidRPr="007F4A4F">
        <w:t xml:space="preserve">, </w:t>
      </w:r>
      <w:r>
        <w:t xml:space="preserve">December 2010 (revised June 2011), available at: </w:t>
      </w:r>
      <w:hyperlink r:id="rId8" w:history="1">
        <w:r w:rsidRPr="00CE0D8E">
          <w:rPr>
            <w:rStyle w:val="Hyperlink"/>
            <w:rFonts w:ascii="DIN OT Light" w:hAnsi="DIN OT Light"/>
            <w:sz w:val="18"/>
          </w:rPr>
          <w:t>https://www.bis.org/publ/bcbs189.htm</w:t>
        </w:r>
      </w:hyperlink>
      <w:r>
        <w:t xml:space="preserve">. </w:t>
      </w:r>
    </w:p>
  </w:footnote>
  <w:footnote w:id="10">
    <w:p w14:paraId="53B85E0A" w14:textId="23AA580A" w:rsidR="00BF5B92" w:rsidRDefault="00BF5B92" w:rsidP="00900AB2">
      <w:pPr>
        <w:pStyle w:val="FootnoteText"/>
      </w:pPr>
      <w:r>
        <w:rPr>
          <w:rStyle w:val="FootnoteReference"/>
        </w:rPr>
        <w:footnoteRef/>
      </w:r>
      <w:r>
        <w:t xml:space="preserve"> APRA’s implementation of these measures commenced with the discussion paper, </w:t>
      </w:r>
      <w:r>
        <w:rPr>
          <w:i/>
        </w:rPr>
        <w:t>Implementing Basel III Capital Reforms in Australia</w:t>
      </w:r>
      <w:r>
        <w:t xml:space="preserve">, September 2011, available at: </w:t>
      </w:r>
      <w:hyperlink r:id="rId9" w:history="1">
        <w:r w:rsidRPr="00DD6D6D">
          <w:rPr>
            <w:rStyle w:val="Hyperlink"/>
            <w:rFonts w:ascii="DIN OT Light" w:hAnsi="DIN OT Light"/>
            <w:sz w:val="18"/>
          </w:rPr>
          <w:t>http://www.apra.gov.au/adi/PrudentialFramework/Pages/Basel-III-Capital-Reforms-September-2011.aspx</w:t>
        </w:r>
      </w:hyperlink>
      <w:r>
        <w:t>.</w:t>
      </w:r>
    </w:p>
  </w:footnote>
  <w:footnote w:id="11">
    <w:p w14:paraId="5BF6FC0B" w14:textId="4907F922" w:rsidR="00BF5B92" w:rsidRDefault="00BF5B92">
      <w:pPr>
        <w:pStyle w:val="FootnoteText"/>
      </w:pPr>
      <w:r>
        <w:rPr>
          <w:rStyle w:val="FootnoteReference"/>
        </w:rPr>
        <w:footnoteRef/>
      </w:r>
      <w:r>
        <w:t xml:space="preserve"> This is available at: </w:t>
      </w:r>
      <w:hyperlink r:id="rId10" w:history="1">
        <w:r w:rsidRPr="00C32537">
          <w:rPr>
            <w:rStyle w:val="Hyperlink"/>
            <w:rFonts w:ascii="DIN OT Light" w:hAnsi="DIN OT Light"/>
            <w:sz w:val="18"/>
          </w:rPr>
          <w:t>https://www.bis.org/bcbs/publ/d424.htm</w:t>
        </w:r>
      </w:hyperlink>
      <w:r>
        <w:t xml:space="preserve">. The credit risk reforms do not include capital requirements for sovereign exposures, which are the subject of a separate discussion paper, </w:t>
      </w:r>
      <w:r>
        <w:rPr>
          <w:i/>
        </w:rPr>
        <w:t>The regulatory treatment of sovereign exposures</w:t>
      </w:r>
      <w:r>
        <w:t xml:space="preserve">, December 2017, available at: </w:t>
      </w:r>
      <w:hyperlink r:id="rId11" w:history="1">
        <w:r w:rsidRPr="00BC139E">
          <w:rPr>
            <w:rStyle w:val="Hyperlink"/>
            <w:rFonts w:ascii="DIN OT Light" w:hAnsi="DIN OT Light"/>
            <w:sz w:val="18"/>
          </w:rPr>
          <w:t>https://www.bis.org/bcbs/publ/d425.htm</w:t>
        </w:r>
      </w:hyperlink>
      <w:r>
        <w:rPr>
          <w:rStyle w:val="Hyperlink"/>
          <w:rFonts w:ascii="DIN OT Light" w:hAnsi="DIN OT Light"/>
          <w:sz w:val="18"/>
        </w:rPr>
        <w:t xml:space="preserve">. </w:t>
      </w:r>
    </w:p>
  </w:footnote>
  <w:footnote w:id="12">
    <w:p w14:paraId="2B4E35A8" w14:textId="33678D46" w:rsidR="00BF5B92" w:rsidRDefault="00BF5B92" w:rsidP="001448A4">
      <w:pPr>
        <w:pStyle w:val="FootnoteText"/>
      </w:pPr>
      <w:r>
        <w:rPr>
          <w:rStyle w:val="FootnoteReference"/>
        </w:rPr>
        <w:footnoteRef/>
      </w:r>
      <w:r>
        <w:t xml:space="preserve"> This is available at: </w:t>
      </w:r>
      <w:hyperlink r:id="rId12" w:history="1">
        <w:r w:rsidRPr="00CE7E44">
          <w:rPr>
            <w:rStyle w:val="Hyperlink"/>
            <w:rFonts w:ascii="DIN OT Light" w:hAnsi="DIN OT Light"/>
            <w:sz w:val="18"/>
          </w:rPr>
          <w:t>https://www.bis.org/bcbs/publ/d352.htm</w:t>
        </w:r>
      </w:hyperlink>
      <w:r>
        <w:rPr>
          <w:rStyle w:val="Hyperlink"/>
          <w:rFonts w:ascii="DIN OT Light" w:hAnsi="DIN OT Light"/>
          <w:sz w:val="18"/>
        </w:rPr>
        <w:t>.</w:t>
      </w:r>
    </w:p>
  </w:footnote>
  <w:footnote w:id="13">
    <w:p w14:paraId="726D3F67" w14:textId="34F2E49E" w:rsidR="00BF5B92" w:rsidRDefault="00BF5B92" w:rsidP="001448A4">
      <w:pPr>
        <w:pStyle w:val="FootnoteText"/>
      </w:pPr>
      <w:r>
        <w:rPr>
          <w:rStyle w:val="FootnoteReference"/>
        </w:rPr>
        <w:footnoteRef/>
      </w:r>
      <w:r>
        <w:t xml:space="preserve"> This is available at: </w:t>
      </w:r>
      <w:hyperlink r:id="rId13" w:history="1">
        <w:r w:rsidRPr="00984CBB">
          <w:rPr>
            <w:rStyle w:val="Hyperlink"/>
            <w:rFonts w:ascii="DIN OT Light" w:hAnsi="DIN OT Light"/>
            <w:sz w:val="18"/>
          </w:rPr>
          <w:t>https://www.bis.org/bcbs/publ/d368.htm</w:t>
        </w:r>
      </w:hyperlink>
      <w:r>
        <w:rPr>
          <w:rStyle w:val="Hyperlink"/>
          <w:rFonts w:ascii="DIN OT Light" w:hAnsi="DIN OT Light"/>
          <w:sz w:val="18"/>
        </w:rPr>
        <w:t>.</w:t>
      </w:r>
    </w:p>
  </w:footnote>
  <w:footnote w:id="14">
    <w:p w14:paraId="1011274A" w14:textId="218F061A" w:rsidR="00BF5B92" w:rsidRPr="00343B33" w:rsidRDefault="00BF5B92" w:rsidP="004050BA">
      <w:pPr>
        <w:pStyle w:val="FootnoteText"/>
      </w:pPr>
      <w:r>
        <w:rPr>
          <w:rStyle w:val="FootnoteReference"/>
        </w:rPr>
        <w:footnoteRef/>
      </w:r>
      <w:r>
        <w:t xml:space="preserve"> FSI </w:t>
      </w:r>
      <w:r>
        <w:rPr>
          <w:i/>
        </w:rPr>
        <w:t>Final Report</w:t>
      </w:r>
      <w:r>
        <w:t xml:space="preserve">, 7 November 2014, available at: </w:t>
      </w:r>
      <w:hyperlink r:id="rId14" w:history="1">
        <w:r w:rsidRPr="009B4677">
          <w:rPr>
            <w:rStyle w:val="Hyperlink"/>
            <w:rFonts w:ascii="DIN OT Light" w:hAnsi="DIN OT Light"/>
            <w:sz w:val="18"/>
          </w:rPr>
          <w:t>http://fsi.gov.au/publications/final-report/</w:t>
        </w:r>
      </w:hyperlink>
      <w:r>
        <w:rPr>
          <w:rStyle w:val="Hyperlink"/>
          <w:rFonts w:ascii="DIN OT Light" w:hAnsi="DIN OT Light"/>
          <w:sz w:val="18"/>
        </w:rPr>
        <w:t>.</w:t>
      </w:r>
      <w:r>
        <w:t xml:space="preserve"> </w:t>
      </w:r>
    </w:p>
  </w:footnote>
  <w:footnote w:id="15">
    <w:p w14:paraId="3D66499B" w14:textId="52E9B5C3" w:rsidR="00BF5B92" w:rsidRPr="003F7D3B" w:rsidRDefault="00BF5B92">
      <w:pPr>
        <w:pStyle w:val="FootnoteText"/>
      </w:pPr>
      <w:r>
        <w:rPr>
          <w:rStyle w:val="FootnoteReference"/>
        </w:rPr>
        <w:footnoteRef/>
      </w:r>
      <w:r>
        <w:t xml:space="preserve"> Australian Government, </w:t>
      </w:r>
      <w:r>
        <w:rPr>
          <w:i/>
        </w:rPr>
        <w:t xml:space="preserve">Government response to the Financial System Inquiry, </w:t>
      </w:r>
      <w:r>
        <w:t xml:space="preserve">20 October 2015, available at: </w:t>
      </w:r>
      <w:hyperlink r:id="rId15" w:history="1">
        <w:r w:rsidRPr="00AD00F9">
          <w:rPr>
            <w:rStyle w:val="Hyperlink"/>
            <w:rFonts w:ascii="DIN OT Light" w:hAnsi="DIN OT Light"/>
            <w:sz w:val="18"/>
          </w:rPr>
          <w:t>https://treasury.gov.au/publication/government-response-to-the-financial-system-inquiry/</w:t>
        </w:r>
      </w:hyperlink>
      <w:r>
        <w:rPr>
          <w:rStyle w:val="Hyperlink"/>
          <w:rFonts w:ascii="DIN OT Light" w:hAnsi="DIN OT Light"/>
          <w:sz w:val="18"/>
        </w:rPr>
        <w:t>.</w:t>
      </w:r>
      <w:r>
        <w:t xml:space="preserve"> </w:t>
      </w:r>
    </w:p>
  </w:footnote>
  <w:footnote w:id="16">
    <w:p w14:paraId="686E2F5F" w14:textId="46AC4599" w:rsidR="00BF5B92" w:rsidRPr="00807FD1" w:rsidRDefault="00BF5B92" w:rsidP="009F4C5D">
      <w:pPr>
        <w:pStyle w:val="FootnoteText"/>
      </w:pPr>
      <w:r>
        <w:rPr>
          <w:rStyle w:val="FootnoteReference"/>
        </w:rPr>
        <w:footnoteRef/>
      </w:r>
      <w:r>
        <w:t xml:space="preserve"> </w:t>
      </w:r>
      <w:r w:rsidRPr="00115BB6">
        <w:t>This is available</w:t>
      </w:r>
      <w:r>
        <w:t xml:space="preserve"> at: </w:t>
      </w:r>
      <w:hyperlink r:id="rId16" w:history="1">
        <w:r w:rsidRPr="0049228D">
          <w:rPr>
            <w:rStyle w:val="Hyperlink"/>
            <w:rFonts w:ascii="DIN OT Light" w:hAnsi="DIN OT Light"/>
            <w:sz w:val="18"/>
          </w:rPr>
          <w:t>http://www.apra.gov.au/adi/Documents/Unquestionably%20Strong%20Information%20Paper.pdf</w:t>
        </w:r>
      </w:hyperlink>
      <w:r>
        <w:rPr>
          <w:rStyle w:val="Hyperlink"/>
          <w:rFonts w:ascii="DIN OT Light" w:hAnsi="DIN OT Light"/>
          <w:sz w:val="18"/>
        </w:rPr>
        <w:t>.</w:t>
      </w:r>
    </w:p>
  </w:footnote>
  <w:footnote w:id="17">
    <w:p w14:paraId="786A3B6B" w14:textId="58E1D3CD" w:rsidR="00BF5B92" w:rsidRDefault="00BF5B92">
      <w:pPr>
        <w:pStyle w:val="FootnoteText"/>
      </w:pPr>
      <w:r>
        <w:rPr>
          <w:rStyle w:val="FootnoteReference"/>
        </w:rPr>
        <w:footnoteRef/>
      </w:r>
      <w:r>
        <w:t xml:space="preserve"> </w:t>
      </w:r>
      <w:r>
        <w:rPr>
          <w:i/>
        </w:rPr>
        <w:t>Leverage ratio requirement for authorised deposit-taking institutions</w:t>
      </w:r>
      <w:r>
        <w:t xml:space="preserve">, available at: </w:t>
      </w:r>
      <w:hyperlink r:id="rId17" w:history="1">
        <w:r w:rsidRPr="001C2721">
          <w:rPr>
            <w:rStyle w:val="Hyperlink"/>
            <w:rFonts w:ascii="DIN OT Light" w:hAnsi="DIN OT Light"/>
            <w:sz w:val="18"/>
          </w:rPr>
          <w:t>http://www.apra.gov.au/adi/PrudentialFramework/Pages/revisions-capital-framework-and-leverage-ratio-Feb-2018.aspx</w:t>
        </w:r>
      </w:hyperlink>
      <w:r w:rsidRPr="001C2721">
        <w:t>.</w:t>
      </w:r>
    </w:p>
  </w:footnote>
  <w:footnote w:id="18">
    <w:p w14:paraId="3D7F9EF4" w14:textId="4F59E4D3" w:rsidR="00BF5B92" w:rsidRDefault="00BF5B92" w:rsidP="008B35F6">
      <w:pPr>
        <w:pStyle w:val="FootnoteText"/>
      </w:pPr>
      <w:r>
        <w:rPr>
          <w:rStyle w:val="FootnoteReference"/>
        </w:rPr>
        <w:footnoteRef/>
      </w:r>
      <w:r>
        <w:t xml:space="preserve"> Reserve Bank of Australia (RBA), ‘Box A Risks in international housing markets’ in </w:t>
      </w:r>
      <w:r w:rsidRPr="00D36237">
        <w:rPr>
          <w:i/>
        </w:rPr>
        <w:t>Financial Stability Review</w:t>
      </w:r>
      <w:r>
        <w:t xml:space="preserve">, October 2017, available at: </w:t>
      </w:r>
      <w:hyperlink r:id="rId18" w:history="1">
        <w:r w:rsidRPr="00DF5533">
          <w:rPr>
            <w:rStyle w:val="Hyperlink"/>
            <w:rFonts w:ascii="DIN OT Light" w:hAnsi="DIN OT Light"/>
            <w:sz w:val="18"/>
          </w:rPr>
          <w:t>http://www.rba.gov.au/publications/fsr/2017/oct/pdf/box-a.pdf</w:t>
        </w:r>
      </w:hyperlink>
      <w:r>
        <w:rPr>
          <w:rStyle w:val="Hyperlink"/>
          <w:rFonts w:ascii="DIN OT Light" w:hAnsi="DIN OT Light"/>
          <w:sz w:val="18"/>
        </w:rPr>
        <w:t>.</w:t>
      </w:r>
    </w:p>
  </w:footnote>
  <w:footnote w:id="19">
    <w:p w14:paraId="6D04DA0C" w14:textId="776311B8" w:rsidR="00BF5B92" w:rsidRPr="00A14C0D" w:rsidRDefault="00BF5B92" w:rsidP="008E5407">
      <w:pPr>
        <w:pStyle w:val="FootnoteText"/>
      </w:pPr>
      <w:r>
        <w:rPr>
          <w:rStyle w:val="FootnoteReference"/>
        </w:rPr>
        <w:footnoteRef/>
      </w:r>
      <w:r>
        <w:t xml:space="preserve"> RBA, ‘Characteristics of Highly Indebted Households’ in </w:t>
      </w:r>
      <w:r>
        <w:rPr>
          <w:i/>
        </w:rPr>
        <w:t>Financial Stability Review</w:t>
      </w:r>
      <w:r>
        <w:t xml:space="preserve">, April 2017, available at: </w:t>
      </w:r>
      <w:hyperlink r:id="rId19" w:history="1">
        <w:r w:rsidRPr="00CE0D8E">
          <w:rPr>
            <w:rStyle w:val="Hyperlink"/>
            <w:rFonts w:ascii="DIN OT Light" w:hAnsi="DIN OT Light"/>
            <w:sz w:val="18"/>
          </w:rPr>
          <w:t>http://www.rba.gov.au/publications/fsr/2017/apr/box-c.html</w:t>
        </w:r>
      </w:hyperlink>
      <w:r>
        <w:rPr>
          <w:rStyle w:val="Hyperlink"/>
          <w:rFonts w:ascii="DIN OT Light" w:hAnsi="DIN OT Light"/>
          <w:sz w:val="18"/>
        </w:rPr>
        <w:t>.</w:t>
      </w:r>
      <w:r>
        <w:t xml:space="preserve"> </w:t>
      </w:r>
    </w:p>
  </w:footnote>
  <w:footnote w:id="20">
    <w:p w14:paraId="6401BFC5" w14:textId="1FA2EBF1" w:rsidR="00BF5B92" w:rsidRPr="00D80863" w:rsidRDefault="00BF5B92" w:rsidP="008B35F6">
      <w:pPr>
        <w:pStyle w:val="FootnoteText"/>
      </w:pPr>
      <w:r>
        <w:rPr>
          <w:rStyle w:val="FootnoteReference"/>
        </w:rPr>
        <w:footnoteRef/>
      </w:r>
      <w:r>
        <w:t xml:space="preserve"> HM Treasury, ‘The buy-to-let market’ in </w:t>
      </w:r>
      <w:r>
        <w:rPr>
          <w:i/>
        </w:rPr>
        <w:t>Consultation outcome: Financial Policy Committee powers of direction in the buy-to-let market</w:t>
      </w:r>
      <w:r>
        <w:t xml:space="preserve">, updated 16 November 2016, (UK buy-to-let consultation), chapter 3, available at: </w:t>
      </w:r>
      <w:hyperlink r:id="rId20" w:anchor="the-buy-to-let-market" w:history="1">
        <w:r w:rsidRPr="005D0855">
          <w:rPr>
            <w:rStyle w:val="Hyperlink"/>
            <w:rFonts w:ascii="DIN OT Light" w:hAnsi="DIN OT Light"/>
            <w:sz w:val="18"/>
          </w:rPr>
          <w:t>https://www.gov.uk/government/consultations/consultation-on-financial-policy-committee-powers-of-direction-in-the-buy-to-let-market/financial-policy-committee-powers-of-direction-in-the-buy-to-let-market#the-buy-to-let-market</w:t>
        </w:r>
      </w:hyperlink>
      <w:r>
        <w:t>.</w:t>
      </w:r>
    </w:p>
  </w:footnote>
  <w:footnote w:id="21">
    <w:p w14:paraId="3226CD32" w14:textId="1D7D41FE" w:rsidR="00BF5B92" w:rsidRPr="00727A90" w:rsidRDefault="00BF5B92" w:rsidP="008B35F6">
      <w:pPr>
        <w:pStyle w:val="FootnoteText"/>
      </w:pPr>
      <w:r>
        <w:rPr>
          <w:rStyle w:val="FootnoteReference"/>
        </w:rPr>
        <w:footnoteRef/>
      </w:r>
      <w:r>
        <w:t xml:space="preserve"> RBA, ‘Household and Business Finances’ in </w:t>
      </w:r>
      <w:r>
        <w:rPr>
          <w:i/>
        </w:rPr>
        <w:t>Financial Stability Review</w:t>
      </w:r>
      <w:r>
        <w:t xml:space="preserve">, April 2017, available at: </w:t>
      </w:r>
      <w:hyperlink r:id="rId21" w:history="1">
        <w:r w:rsidRPr="005D0855">
          <w:rPr>
            <w:rStyle w:val="Hyperlink"/>
            <w:rFonts w:ascii="DIN OT Light" w:hAnsi="DIN OT Light"/>
            <w:sz w:val="18"/>
          </w:rPr>
          <w:t>http://www.rba.gov.au/publications/fsr/2017/apr/household-business-finances.html</w:t>
        </w:r>
      </w:hyperlink>
      <w:r>
        <w:t>. See also ‘Buy-to-let lending and financial stability’, UK buy-to-let consultation, chapter 4.</w:t>
      </w:r>
    </w:p>
  </w:footnote>
  <w:footnote w:id="22">
    <w:p w14:paraId="37861C0E" w14:textId="0AA5E0FE" w:rsidR="00BF5B92" w:rsidRPr="005F208D" w:rsidRDefault="00BF5B92">
      <w:pPr>
        <w:pStyle w:val="FootnoteText"/>
      </w:pPr>
      <w:r>
        <w:rPr>
          <w:rStyle w:val="FootnoteReference"/>
        </w:rPr>
        <w:footnoteRef/>
      </w:r>
      <w:r>
        <w:t xml:space="preserve"> See also APRA, </w:t>
      </w:r>
      <w:r w:rsidRPr="005F208D">
        <w:t>‘</w:t>
      </w:r>
      <w:r w:rsidRPr="00441787">
        <w:t>Residential mortgages: Update on interest-only lending’</w:t>
      </w:r>
      <w:r>
        <w:t xml:space="preserve"> in </w:t>
      </w:r>
      <w:r>
        <w:rPr>
          <w:i/>
        </w:rPr>
        <w:t>APRA Insight</w:t>
      </w:r>
      <w:r>
        <w:t xml:space="preserve">, Issue Four 2017, available at: </w:t>
      </w:r>
      <w:hyperlink r:id="rId22" w:history="1">
        <w:r w:rsidRPr="003F4268">
          <w:rPr>
            <w:rStyle w:val="Hyperlink"/>
            <w:rFonts w:ascii="DIN OT Light" w:hAnsi="DIN OT Light"/>
            <w:sz w:val="18"/>
          </w:rPr>
          <w:t>http://www.apra.gov.au/Insight/Pages/Insight-Issue4-2017.HTML</w:t>
        </w:r>
      </w:hyperlink>
      <w:r>
        <w:t>.</w:t>
      </w:r>
    </w:p>
  </w:footnote>
  <w:footnote w:id="23">
    <w:p w14:paraId="28048433" w14:textId="791DA36D" w:rsidR="00BF5B92" w:rsidRPr="00C83C6E" w:rsidRDefault="00BF5B92" w:rsidP="00155FD1">
      <w:pPr>
        <w:pStyle w:val="FootnoteText"/>
      </w:pPr>
      <w:r>
        <w:rPr>
          <w:rStyle w:val="FootnoteReference"/>
        </w:rPr>
        <w:footnoteRef/>
      </w:r>
      <w:r>
        <w:t xml:space="preserve"> RBA, ‘Box B Interest-only Mortgage Lending’ in </w:t>
      </w:r>
      <w:r>
        <w:rPr>
          <w:i/>
        </w:rPr>
        <w:t>Financial Stability Review</w:t>
      </w:r>
      <w:r>
        <w:t xml:space="preserve">, April 2017, available at: </w:t>
      </w:r>
      <w:hyperlink r:id="rId23" w:history="1">
        <w:r w:rsidRPr="004C0F21">
          <w:rPr>
            <w:rStyle w:val="Hyperlink"/>
            <w:rFonts w:ascii="DIN OT Light" w:hAnsi="DIN OT Light"/>
            <w:sz w:val="18"/>
          </w:rPr>
          <w:t>http://www.rba.gov.au/publications/fsr/2017/apr/box-b.html</w:t>
        </w:r>
      </w:hyperlink>
      <w:r>
        <w:t>.</w:t>
      </w:r>
    </w:p>
  </w:footnote>
  <w:footnote w:id="24">
    <w:p w14:paraId="3CB8E3FC" w14:textId="0A940845" w:rsidR="00BF5B92" w:rsidRDefault="00BF5B92">
      <w:pPr>
        <w:pStyle w:val="FootnoteText"/>
      </w:pPr>
      <w:r>
        <w:rPr>
          <w:rStyle w:val="FootnoteReference"/>
        </w:rPr>
        <w:footnoteRef/>
      </w:r>
      <w:r>
        <w:t xml:space="preserve"> Under Basel II, residential property exposures receive a risk weight of 35 per cent where the loans are granted in accordance with strict prudential criteria, such as the existence of a substantial margin of additional security over the amount of the loan based on strict valuation rules. The application of this provision varies across jurisdictions.</w:t>
      </w:r>
    </w:p>
  </w:footnote>
  <w:footnote w:id="25">
    <w:p w14:paraId="6AFD0519" w14:textId="02113096" w:rsidR="00BF5B92" w:rsidRDefault="00BF5B92">
      <w:pPr>
        <w:pStyle w:val="FootnoteText"/>
      </w:pPr>
      <w:r>
        <w:rPr>
          <w:rStyle w:val="FootnoteReference"/>
        </w:rPr>
        <w:footnoteRef/>
      </w:r>
      <w:r>
        <w:t xml:space="preserve"> Lower risk weights for exposures to commercial property also depend on meeting these operational criteria.</w:t>
      </w:r>
    </w:p>
  </w:footnote>
  <w:footnote w:id="26">
    <w:p w14:paraId="1AEDE525" w14:textId="689B1966" w:rsidR="00BF5B92" w:rsidRDefault="00BF5B92" w:rsidP="001F6C32">
      <w:pPr>
        <w:pStyle w:val="FootnoteText"/>
      </w:pPr>
      <w:r>
        <w:rPr>
          <w:rStyle w:val="FootnoteReference"/>
        </w:rPr>
        <w:footnoteRef/>
      </w:r>
      <w:r>
        <w:t xml:space="preserve"> Basel III alternatively provides for a specified risk weight to be applied to a proportion of the exposure, with the remaining part to be given the risk weight that would apply if it were unsecured. This alternative is not, however, consistent with APRA’s historical ‘whole of loan’ approach to residential mortgage exposures.</w:t>
      </w:r>
    </w:p>
  </w:footnote>
  <w:footnote w:id="27">
    <w:p w14:paraId="4D0F124B" w14:textId="77777777" w:rsidR="00BF5B92" w:rsidRPr="00E4755B" w:rsidRDefault="00BF5B92" w:rsidP="00510BBD">
      <w:pPr>
        <w:pStyle w:val="FootnoteText"/>
      </w:pPr>
      <w:r>
        <w:rPr>
          <w:rStyle w:val="FootnoteReference"/>
        </w:rPr>
        <w:footnoteRef/>
      </w:r>
      <w:r>
        <w:t xml:space="preserve"> Refer to APRA’s letter </w:t>
      </w:r>
      <w:r>
        <w:rPr>
          <w:i/>
        </w:rPr>
        <w:t>Treatment of loans to self-managed superannuation funds</w:t>
      </w:r>
      <w:r>
        <w:t xml:space="preserve">, 17 January 2013, available at: </w:t>
      </w:r>
      <w:hyperlink r:id="rId24" w:history="1">
        <w:r w:rsidRPr="003133AE">
          <w:rPr>
            <w:rStyle w:val="Hyperlink"/>
            <w:rFonts w:ascii="DIN OT Light" w:hAnsi="DIN OT Light"/>
            <w:sz w:val="18"/>
          </w:rPr>
          <w:t>http://www.apra.gov.au/adi/Publications/Pages/Letter-to-all-locally-incorporated-ADIs-Treatment-of-loans-to-self-managed-superannuation-funds.aspx</w:t>
        </w:r>
      </w:hyperlink>
      <w:r>
        <w:t xml:space="preserve"> </w:t>
      </w:r>
    </w:p>
  </w:footnote>
  <w:footnote w:id="28">
    <w:p w14:paraId="563DAF52" w14:textId="6C90750F" w:rsidR="00BF5B92" w:rsidRPr="00C45DF4" w:rsidRDefault="00BF5B92" w:rsidP="00510BBD">
      <w:pPr>
        <w:pStyle w:val="FootnoteText"/>
      </w:pPr>
      <w:r>
        <w:rPr>
          <w:rStyle w:val="FootnoteReference"/>
        </w:rPr>
        <w:footnoteRef/>
      </w:r>
      <w:r>
        <w:t xml:space="preserve"> Refer to APRA’s letter </w:t>
      </w:r>
      <w:r>
        <w:rPr>
          <w:i/>
        </w:rPr>
        <w:t>Basel II—Treatment of reverse mortgages and shared equity mortgages</w:t>
      </w:r>
      <w:r>
        <w:t xml:space="preserve">, 5 July 2010, available at: </w:t>
      </w:r>
      <w:hyperlink r:id="rId25" w:history="1">
        <w:r w:rsidRPr="003133AE">
          <w:rPr>
            <w:rStyle w:val="Hyperlink"/>
            <w:rFonts w:ascii="DIN OT Light" w:hAnsi="DIN OT Light"/>
            <w:sz w:val="18"/>
          </w:rPr>
          <w:t>http://www.apra.gov.au/adi/Publications/Pages/Letter-to-ADIs-Basel-II-treatment-reverse-shared-equity-mortgages.aspx</w:t>
        </w:r>
      </w:hyperlink>
      <w:r>
        <w:t xml:space="preserve"> and paragraph 68 of APG 223.</w:t>
      </w:r>
    </w:p>
  </w:footnote>
  <w:footnote w:id="29">
    <w:p w14:paraId="1682E2E0" w14:textId="6A928AEF" w:rsidR="00BF5B92" w:rsidRDefault="00BF5B92">
      <w:pPr>
        <w:pStyle w:val="FootnoteText"/>
      </w:pPr>
      <w:r>
        <w:rPr>
          <w:rStyle w:val="FootnoteReference"/>
        </w:rPr>
        <w:footnoteRef/>
      </w:r>
      <w:r>
        <w:t xml:space="preserve"> As outlined in section </w:t>
      </w:r>
      <w:r>
        <w:fldChar w:fldCharType="begin"/>
      </w:r>
      <w:r>
        <w:instrText xml:space="preserve"> REF _Ref505335556 \r \h </w:instrText>
      </w:r>
      <w:r>
        <w:fldChar w:fldCharType="separate"/>
      </w:r>
      <w:r>
        <w:t>3.2.2</w:t>
      </w:r>
      <w:r>
        <w:fldChar w:fldCharType="end"/>
      </w:r>
      <w:r>
        <w:t>, this category would also include exposures to SMEs secured by residential property.</w:t>
      </w:r>
    </w:p>
  </w:footnote>
  <w:footnote w:id="30">
    <w:p w14:paraId="75F7F77C" w14:textId="77777777" w:rsidR="00BF5B92" w:rsidRDefault="00BF5B92" w:rsidP="000A2A12">
      <w:pPr>
        <w:pStyle w:val="FootnoteText"/>
      </w:pPr>
      <w:r>
        <w:rPr>
          <w:rStyle w:val="FootnoteReference"/>
        </w:rPr>
        <w:footnoteRef/>
      </w:r>
      <w:r>
        <w:t xml:space="preserve"> The treatment of SME exposures secured by residential property under the IRB approach is discussed in section 4.2.</w:t>
      </w:r>
    </w:p>
  </w:footnote>
  <w:footnote w:id="31">
    <w:p w14:paraId="0A7A561E" w14:textId="21635CEA" w:rsidR="00BF5B92" w:rsidRDefault="00BF5B92" w:rsidP="00B053D4">
      <w:pPr>
        <w:pStyle w:val="FootnoteText"/>
      </w:pPr>
      <w:r>
        <w:rPr>
          <w:rStyle w:val="FootnoteReference"/>
        </w:rPr>
        <w:footnoteRef/>
      </w:r>
      <w:r>
        <w:t xml:space="preserve"> Although the Basel Committee has reduced the residential mortgage LGD floor to 5 per cent, APRA considers a 10 per cent floor to be more appropriate. </w:t>
      </w:r>
    </w:p>
  </w:footnote>
  <w:footnote w:id="32">
    <w:p w14:paraId="236C6C92" w14:textId="77777777" w:rsidR="00BF5B92" w:rsidRDefault="00BF5B92" w:rsidP="0057069E">
      <w:pPr>
        <w:pStyle w:val="FootnoteText"/>
      </w:pPr>
      <w:r>
        <w:rPr>
          <w:rStyle w:val="FootnoteReference"/>
        </w:rPr>
        <w:footnoteRef/>
      </w:r>
      <w:r>
        <w:t xml:space="preserve"> Bank of England, ‘Overview of risks to UK financial stability and UK countercyclical capital buffer’ in </w:t>
      </w:r>
      <w:r>
        <w:rPr>
          <w:i/>
        </w:rPr>
        <w:t>Financial Stability Review</w:t>
      </w:r>
      <w:r>
        <w:t xml:space="preserve">, November 2017, available at: </w:t>
      </w:r>
      <w:hyperlink r:id="rId26" w:history="1">
        <w:r w:rsidRPr="004D0781">
          <w:rPr>
            <w:rStyle w:val="Hyperlink"/>
            <w:rFonts w:ascii="DIN OT Light" w:hAnsi="DIN OT Light"/>
            <w:sz w:val="18"/>
          </w:rPr>
          <w:t>https://www.bankofengland.co.uk/financial-stability-report/2017/november-2017</w:t>
        </w:r>
      </w:hyperlink>
      <w:r>
        <w:t>.</w:t>
      </w:r>
    </w:p>
  </w:footnote>
  <w:footnote w:id="33">
    <w:p w14:paraId="402D7030" w14:textId="411BB4E1" w:rsidR="00BF5B92" w:rsidRDefault="00BF5B92">
      <w:pPr>
        <w:pStyle w:val="FootnoteText"/>
      </w:pPr>
      <w:r>
        <w:rPr>
          <w:rStyle w:val="FootnoteReference"/>
        </w:rPr>
        <w:footnoteRef/>
      </w:r>
      <w:r>
        <w:t xml:space="preserve"> While the risk weight for credit card exposures is unchanged, capital requirements for these exposures will rise from applying a higher CCF, as detailed in section 3.3.2.</w:t>
      </w:r>
    </w:p>
  </w:footnote>
  <w:footnote w:id="34">
    <w:p w14:paraId="6D92EA95" w14:textId="2B493F6E" w:rsidR="00BF5B92" w:rsidRDefault="00BF5B92">
      <w:pPr>
        <w:pStyle w:val="FootnoteText"/>
      </w:pPr>
      <w:r>
        <w:rPr>
          <w:rStyle w:val="FootnoteReference"/>
        </w:rPr>
        <w:footnoteRef/>
      </w:r>
      <w:r>
        <w:t xml:space="preserve"> Response by APRA to a question taken on notice, </w:t>
      </w:r>
      <w:r w:rsidRPr="008C3743">
        <w:rPr>
          <w:i/>
        </w:rPr>
        <w:t>House of Representatives Standing Committee on Economics Inquiry into Australian Prudential Regulation Authority annual report 2015</w:t>
      </w:r>
      <w:r>
        <w:t xml:space="preserve">, 14 October 2016, question four, available at: </w:t>
      </w:r>
      <w:hyperlink r:id="rId27" w:history="1">
        <w:r w:rsidRPr="00FF5915">
          <w:rPr>
            <w:rStyle w:val="Hyperlink"/>
            <w:rFonts w:ascii="DIN OT Light" w:hAnsi="DIN OT Light" w:cs="Arial"/>
            <w:sz w:val="18"/>
            <w:szCs w:val="18"/>
          </w:rPr>
          <w:t>http://www.aph.gov.au/Parliamentary_Business/Committees/House/Economics/APRAAnnualReport/Additional_Documents</w:t>
        </w:r>
      </w:hyperlink>
    </w:p>
  </w:footnote>
  <w:footnote w:id="35">
    <w:p w14:paraId="55405901" w14:textId="77777777" w:rsidR="00BF5B92" w:rsidRDefault="00BF5B92" w:rsidP="001509A7">
      <w:pPr>
        <w:pStyle w:val="FootnoteText"/>
      </w:pPr>
      <w:r>
        <w:rPr>
          <w:rStyle w:val="FootnoteReference"/>
        </w:rPr>
        <w:footnoteRef/>
      </w:r>
      <w:r>
        <w:t xml:space="preserve"> Basel Committee, </w:t>
      </w:r>
      <w:r>
        <w:rPr>
          <w:i/>
        </w:rPr>
        <w:t>Reducing variation in credit risk-weighted assets—constraints on the use of internal model approaches—consultative document</w:t>
      </w:r>
      <w:r>
        <w:t xml:space="preserve">, March 2016, available at: </w:t>
      </w:r>
      <w:hyperlink r:id="rId28" w:history="1">
        <w:r w:rsidRPr="005941DA">
          <w:rPr>
            <w:rStyle w:val="Hyperlink"/>
            <w:rFonts w:ascii="DIN OT Light" w:hAnsi="DIN OT Light" w:cs="Arial"/>
            <w:sz w:val="18"/>
          </w:rPr>
          <w:t>www.bis.org/bcbs/publ/d362.html</w:t>
        </w:r>
      </w:hyperlink>
      <w:r>
        <w:rPr>
          <w:rStyle w:val="HTMLCite"/>
          <w:rFonts w:ascii="Arial" w:hAnsi="Arial" w:cs="Arial"/>
          <w:color w:val="666666"/>
        </w:rPr>
        <w:t xml:space="preserve"> </w:t>
      </w:r>
    </w:p>
  </w:footnote>
  <w:footnote w:id="36">
    <w:p w14:paraId="20A3646A" w14:textId="0B412D9F" w:rsidR="00BF5B92" w:rsidRDefault="00BF5B92" w:rsidP="001509A7">
      <w:pPr>
        <w:pStyle w:val="FootnoteText"/>
      </w:pPr>
      <w:r>
        <w:rPr>
          <w:rStyle w:val="FootnoteReference"/>
        </w:rPr>
        <w:footnoteRef/>
      </w:r>
      <w:r>
        <w:t xml:space="preserve"> ADIs may apply a 75 per cent risk weight for commitments to borrowers that have access to debt securities markets in their own name.</w:t>
      </w:r>
    </w:p>
  </w:footnote>
  <w:footnote w:id="37">
    <w:p w14:paraId="736D3F47" w14:textId="77777777" w:rsidR="00BF5B92" w:rsidRDefault="00BF5B92" w:rsidP="001A7B3D">
      <w:pPr>
        <w:pStyle w:val="FootnoteText"/>
      </w:pPr>
      <w:r>
        <w:rPr>
          <w:rStyle w:val="FootnoteReference"/>
        </w:rPr>
        <w:footnoteRef/>
      </w:r>
      <w:r>
        <w:t xml:space="preserve"> Refer to APRA’s letter </w:t>
      </w:r>
      <w:r>
        <w:rPr>
          <w:i/>
        </w:rPr>
        <w:t>Identification of income producing real estate (IPRE) specialised lending exposures</w:t>
      </w:r>
      <w:r>
        <w:t xml:space="preserve">, October 2009, available at: </w:t>
      </w:r>
      <w:hyperlink r:id="rId29" w:history="1">
        <w:r w:rsidRPr="006571D2">
          <w:rPr>
            <w:rStyle w:val="Hyperlink"/>
            <w:rFonts w:ascii="DIN OT Light" w:hAnsi="DIN OT Light"/>
            <w:sz w:val="18"/>
          </w:rPr>
          <w:t>http://apra.gov.au/adi/Publications/Documents/22-October-2009-IPRE-letter-website.pdf</w:t>
        </w:r>
      </w:hyperlink>
      <w:r>
        <w:t xml:space="preserve"> </w:t>
      </w:r>
    </w:p>
  </w:footnote>
  <w:footnote w:id="38">
    <w:p w14:paraId="546BA853" w14:textId="695B7811" w:rsidR="00BF5B92" w:rsidRDefault="00BF5B92" w:rsidP="0013550D">
      <w:pPr>
        <w:pStyle w:val="FootnoteText"/>
      </w:pPr>
      <w:r>
        <w:rPr>
          <w:rStyle w:val="FootnoteReference"/>
        </w:rPr>
        <w:footnoteRef/>
      </w:r>
      <w:r>
        <w:t xml:space="preserve"> Mixed purpose borrowers are likely to be classified based on the predominant source of income.</w:t>
      </w:r>
    </w:p>
  </w:footnote>
  <w:footnote w:id="39">
    <w:p w14:paraId="67C39E2C" w14:textId="42149A6B" w:rsidR="00BF5B92" w:rsidRDefault="00BF5B92">
      <w:pPr>
        <w:pStyle w:val="FootnoteText"/>
      </w:pPr>
      <w:r>
        <w:rPr>
          <w:rStyle w:val="FootnoteReference"/>
        </w:rPr>
        <w:footnoteRef/>
      </w:r>
      <w:r>
        <w:t xml:space="preserve"> For commercial property exposures, ADIs would apply a commercial property risk-weight function.</w:t>
      </w:r>
    </w:p>
  </w:footnote>
  <w:footnote w:id="40">
    <w:p w14:paraId="6AEF349F" w14:textId="6481677A" w:rsidR="00BF5B92" w:rsidRDefault="00BF5B92" w:rsidP="00754B2C">
      <w:pPr>
        <w:pStyle w:val="FootnoteText"/>
      </w:pPr>
      <w:r>
        <w:rPr>
          <w:rStyle w:val="FootnoteReference"/>
        </w:rPr>
        <w:footnoteRef/>
      </w:r>
      <w:r>
        <w:t xml:space="preserve"> Although the Basel III framework specifies the bucket boundaries in Euros, these would be converted to Australian dollars in APRA’s implementation of the framework. </w:t>
      </w:r>
    </w:p>
  </w:footnote>
  <w:footnote w:id="41">
    <w:p w14:paraId="75C2B7A9" w14:textId="77777777" w:rsidR="00BF5B92" w:rsidRPr="006F2CB0" w:rsidRDefault="00BF5B92" w:rsidP="00754B2C">
      <w:pPr>
        <w:pStyle w:val="FootnoteText"/>
      </w:pPr>
      <w:r w:rsidRPr="006F2CB0">
        <w:rPr>
          <w:rStyle w:val="FootnoteReference"/>
        </w:rPr>
        <w:footnoteRef/>
      </w:r>
      <w:r w:rsidRPr="006F2CB0">
        <w:rPr>
          <w:sz w:val="16"/>
          <w:szCs w:val="16"/>
        </w:rPr>
        <w:t xml:space="preserve"> Letter to all ADIs: </w:t>
      </w:r>
      <w:r w:rsidRPr="006F2CB0">
        <w:rPr>
          <w:i/>
          <w:sz w:val="16"/>
          <w:szCs w:val="16"/>
        </w:rPr>
        <w:t>Internal ratings-based (IRB) approach to credit risk: accreditation process</w:t>
      </w:r>
      <w:r w:rsidRPr="006F2CB0">
        <w:rPr>
          <w:sz w:val="16"/>
          <w:szCs w:val="16"/>
        </w:rPr>
        <w:t xml:space="preserve">, 15 December 2015, available at: </w:t>
      </w:r>
      <w:hyperlink r:id="rId30" w:history="1">
        <w:r w:rsidRPr="006F2CB0">
          <w:rPr>
            <w:rStyle w:val="Hyperlink"/>
            <w:sz w:val="16"/>
            <w:szCs w:val="16"/>
          </w:rPr>
          <w:t>http://www.apra.gov.au/adi/Publications/Pages/IRB-Approach-to-Credit-Risk-Accreditation-Process.aspx</w:t>
        </w:r>
      </w:hyperlink>
      <w:r w:rsidRPr="006F2CB0">
        <w:rPr>
          <w:sz w:val="16"/>
          <w:szCs w:val="16"/>
        </w:rPr>
        <w:t>.</w:t>
      </w:r>
    </w:p>
  </w:footnote>
  <w:footnote w:id="42">
    <w:p w14:paraId="0E38D1EB" w14:textId="4F9093BE" w:rsidR="00BF5B92" w:rsidRPr="00754FB6" w:rsidRDefault="00BF5B92">
      <w:pPr>
        <w:pStyle w:val="FootnoteText"/>
      </w:pPr>
      <w:r>
        <w:rPr>
          <w:rStyle w:val="FootnoteReference"/>
        </w:rPr>
        <w:footnoteRef/>
      </w:r>
      <w:r>
        <w:t xml:space="preserve"> APRA’s letter to ADIs, </w:t>
      </w:r>
      <w:r>
        <w:rPr>
          <w:i/>
        </w:rPr>
        <w:t>APRA’s review of prudential requirements for traded market risk</w:t>
      </w:r>
      <w:r>
        <w:t xml:space="preserve">, 21 March 2017, available at: </w:t>
      </w:r>
      <w:hyperlink r:id="rId31" w:history="1">
        <w:r w:rsidRPr="007A7998">
          <w:rPr>
            <w:rStyle w:val="Hyperlink"/>
            <w:rFonts w:ascii="DIN OT Light" w:hAnsi="DIN OT Light"/>
            <w:sz w:val="18"/>
          </w:rPr>
          <w:t>http://www.apra.gov.au/adi/Publications/Documents/170321-letter-to-ADIs-FRTB.pdf</w:t>
        </w:r>
      </w:hyperlink>
      <w:r>
        <w:t>.</w:t>
      </w:r>
    </w:p>
  </w:footnote>
  <w:footnote w:id="43">
    <w:p w14:paraId="5B251041" w14:textId="4E6B267A" w:rsidR="00BF5B92" w:rsidRDefault="00BF5B92">
      <w:pPr>
        <w:pStyle w:val="FootnoteText"/>
      </w:pPr>
      <w:r>
        <w:rPr>
          <w:rStyle w:val="FootnoteReference"/>
        </w:rPr>
        <w:footnoteRef/>
      </w:r>
      <w:r>
        <w:t xml:space="preserve"> These risk weights assume at least 40 per cent of the mortgage is insured by an acceptable LMI.</w:t>
      </w:r>
    </w:p>
  </w:footnote>
  <w:footnote w:id="44">
    <w:p w14:paraId="435BCD20" w14:textId="77FF59CF" w:rsidR="00BF5B92" w:rsidRDefault="00BF5B92">
      <w:pPr>
        <w:pStyle w:val="FootnoteText"/>
      </w:pPr>
      <w:r>
        <w:rPr>
          <w:rStyle w:val="FootnoteReference"/>
        </w:rPr>
        <w:footnoteRef/>
      </w:r>
      <w:r>
        <w:t xml:space="preserve"> Under Basel III, these risk weights are for exposures where repayment is not materially dependent on cash flows from the secured property.</w:t>
      </w:r>
    </w:p>
  </w:footnote>
  <w:footnote w:id="45">
    <w:p w14:paraId="643E4FC5" w14:textId="0931F64B" w:rsidR="00BF5B92" w:rsidRDefault="00BF5B92">
      <w:pPr>
        <w:pStyle w:val="FootnoteText"/>
      </w:pPr>
      <w:r>
        <w:rPr>
          <w:rStyle w:val="FootnoteReference"/>
        </w:rPr>
        <w:footnoteRef/>
      </w:r>
      <w:r>
        <w:t xml:space="preserve"> Risk weight of the counterparty. For exposures to individuals, the risk weight under the Basel III reforms is 75 per cent.</w:t>
      </w:r>
    </w:p>
  </w:footnote>
  <w:footnote w:id="46">
    <w:p w14:paraId="05659C98" w14:textId="52A7B613" w:rsidR="00BF5B92" w:rsidRDefault="00BF5B92" w:rsidP="00DD6A71">
      <w:pPr>
        <w:pStyle w:val="FootnoteText"/>
      </w:pPr>
      <w:r>
        <w:rPr>
          <w:rStyle w:val="FootnoteReference"/>
        </w:rPr>
        <w:footnoteRef/>
      </w:r>
      <w:r>
        <w:t xml:space="preserve"> These risk weights assume that at least 40 per cent of the mortgage is insured by an acceptable LMI.</w:t>
      </w:r>
    </w:p>
  </w:footnote>
  <w:footnote w:id="47">
    <w:p w14:paraId="12F6939C" w14:textId="49EDF1B1" w:rsidR="00BF5B92" w:rsidRDefault="00BF5B92">
      <w:pPr>
        <w:pStyle w:val="FootnoteText"/>
      </w:pPr>
      <w:r>
        <w:rPr>
          <w:rStyle w:val="FootnoteReference"/>
        </w:rPr>
        <w:footnoteRef/>
      </w:r>
      <w:r>
        <w:t xml:space="preserve"> Under Basel III, these risk weights are for exposures where repayment is materially dependent on cash flows from the secured property.</w:t>
      </w:r>
    </w:p>
  </w:footnote>
  <w:footnote w:id="48">
    <w:p w14:paraId="2C24E538" w14:textId="72A484DE" w:rsidR="00BF5B92" w:rsidRDefault="00BF5B92" w:rsidP="005B4A69">
      <w:pPr>
        <w:pStyle w:val="FootnoteText"/>
      </w:pPr>
      <w:r>
        <w:rPr>
          <w:rStyle w:val="FootnoteReference"/>
        </w:rPr>
        <w:footnoteRef/>
      </w:r>
      <w:r>
        <w:t xml:space="preserve"> Excluding </w:t>
      </w:r>
      <w:r w:rsidDel="0046481D">
        <w:t xml:space="preserve">regulated </w:t>
      </w:r>
      <w:r>
        <w:t>financial institutions with assets less than $100b.</w:t>
      </w:r>
    </w:p>
  </w:footnote>
  <w:footnote w:id="49">
    <w:p w14:paraId="709C6F3F" w14:textId="1A793AF8" w:rsidR="00BF5B92" w:rsidRDefault="00BF5B92">
      <w:pPr>
        <w:pStyle w:val="FootnoteText"/>
      </w:pPr>
      <w:r>
        <w:rPr>
          <w:rStyle w:val="FootnoteReference"/>
        </w:rPr>
        <w:footnoteRef/>
      </w:r>
      <w:r>
        <w:t xml:space="preserve"> A 1.25 multiplier is applied to the correlation factor for financial institutions compared to other corporate exposures.</w:t>
      </w:r>
    </w:p>
  </w:footnote>
  <w:footnote w:id="50">
    <w:p w14:paraId="5311FDB5" w14:textId="2D8E1A42" w:rsidR="00BF5B92" w:rsidRDefault="00BF5B92" w:rsidP="00EF73B9">
      <w:pPr>
        <w:pStyle w:val="FootnoteText"/>
      </w:pPr>
      <w:r>
        <w:rPr>
          <w:rStyle w:val="FootnoteReference"/>
        </w:rPr>
        <w:footnoteRef/>
      </w:r>
      <w:r>
        <w:t xml:space="preserve"> APRA raised the correlation factor above 15 per cent from 1 July 2016 consistent with the FSI recommendation. Refer to APRA’s release </w:t>
      </w:r>
      <w:r>
        <w:rPr>
          <w:i/>
        </w:rPr>
        <w:t>APRA increases capital adequacy requirements for residential mortgage exposures under the internal ratings-based approach</w:t>
      </w:r>
      <w:r>
        <w:t xml:space="preserve">, 20 July 2015, available at: </w:t>
      </w:r>
      <w:hyperlink r:id="rId32" w:history="1">
        <w:r w:rsidRPr="001C55DE">
          <w:rPr>
            <w:rStyle w:val="Hyperlink"/>
            <w:rFonts w:ascii="DIN OT Light" w:hAnsi="DIN OT Light"/>
            <w:sz w:val="18"/>
          </w:rPr>
          <w:t>http://www.apra.gov.au/mediareleases/pages/15_19.aspx</w:t>
        </w:r>
      </w:hyperlink>
      <w:r>
        <w:rPr>
          <w:rStyle w:val="Hyperlink"/>
          <w:rFonts w:ascii="DIN OT Light" w:hAnsi="DIN OT Light"/>
          <w:sz w:val="18"/>
        </w:rPr>
        <w:t>.</w:t>
      </w:r>
      <w:r>
        <w:t xml:space="preserve">  </w:t>
      </w:r>
    </w:p>
  </w:footnote>
  <w:footnote w:id="51">
    <w:p w14:paraId="676CF3D8" w14:textId="1474DD5D" w:rsidR="00BF5B92" w:rsidRDefault="00BF5B92">
      <w:pPr>
        <w:pStyle w:val="FootnoteText"/>
      </w:pPr>
      <w:r>
        <w:rPr>
          <w:rStyle w:val="FootnoteReference"/>
        </w:rPr>
        <w:footnoteRef/>
      </w:r>
      <w:r>
        <w:t xml:space="preserve"> As discussed in Chapter 7, an additional RWA scalar is likely to be applied to the residential mortgage portfolio.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8F9B" w14:textId="77777777" w:rsidR="00BF5B92" w:rsidRDefault="00AA7CB6">
    <w:pPr>
      <w:pStyle w:val="Header"/>
    </w:pPr>
    <w:r>
      <w:rPr>
        <w:noProof/>
        <w:lang w:eastAsia="en-AU"/>
      </w:rPr>
      <w:pict w14:anchorId="730D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5" o:spid="_x0000_s2070" type="#_x0000_t75" style="position:absolute;margin-left:0;margin-top:0;width:595.45pt;height:841.9pt;z-index:-251658237;mso-position-horizontal:center;mso-position-horizontal-relative:margin;mso-position-vertical:center;mso-position-vertical-relative:margin" o:allowincell="f">
          <v:imagedata r:id="rId1" o:title="Discussion-paper-cover-2016"/>
          <w10:wrap anchorx="margin" anchory="margin"/>
        </v:shape>
      </w:pict>
    </w:r>
  </w:p>
  <w:p w14:paraId="7C5109B1" w14:textId="77777777" w:rsidR="00BF5B92" w:rsidRDefault="00BF5B92"/>
  <w:p w14:paraId="4BEDCA14" w14:textId="77777777" w:rsidR="00BF5B92" w:rsidRDefault="00BF5B92"/>
  <w:p w14:paraId="7C6E47FD" w14:textId="77777777" w:rsidR="00BF5B92" w:rsidRDefault="00BF5B92"/>
  <w:p w14:paraId="01D00D98" w14:textId="77777777" w:rsidR="00BF5B92" w:rsidRDefault="00BF5B9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30A2" w14:textId="77777777" w:rsidR="00CC17C8" w:rsidRDefault="00CC17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7F3FD" w14:textId="005DA96A" w:rsidR="00BF5B92" w:rsidRDefault="00AA7CB6" w:rsidP="001D3B1C">
    <w:pPr>
      <w:pStyle w:val="Header"/>
      <w:jc w:val="right"/>
    </w:pPr>
    <w:r>
      <w:rPr>
        <w:noProof/>
        <w:lang w:eastAsia="en-AU"/>
      </w:rPr>
      <w:pict w14:anchorId="4308D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4" o:spid="_x0000_s2069" type="#_x0000_t75" style="position:absolute;left:0;text-align:left;margin-left:0;margin-top:0;width:595.45pt;height:841.9pt;z-index:-251658238;mso-position-horizontal:center;mso-position-horizontal-relative:margin;mso-position-vertical:center;mso-position-vertical-relative:margin" o:allowincell="f">
          <v:imagedata r:id="rId1" o:title="Discussion-paper-cover-20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A07496"/>
    <w:lvl w:ilvl="0">
      <w:start w:val="1"/>
      <w:numFmt w:val="lowerLetter"/>
      <w:pStyle w:val="ListNumber5"/>
      <w:lvlText w:val="%1."/>
      <w:lvlJc w:val="left"/>
      <w:pPr>
        <w:ind w:left="1492" w:hanging="360"/>
      </w:pPr>
    </w:lvl>
  </w:abstractNum>
  <w:abstractNum w:abstractNumId="1" w15:restartNumberingAfterBreak="0">
    <w:nsid w:val="FFFFFF7D"/>
    <w:multiLevelType w:val="singleLevel"/>
    <w:tmpl w:val="E4901F6C"/>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335CDAA6"/>
    <w:lvl w:ilvl="0">
      <w:start w:val="1"/>
      <w:numFmt w:val="decimal"/>
      <w:pStyle w:val="ListNumber3"/>
      <w:lvlText w:val="%1.1.1"/>
      <w:lvlJc w:val="left"/>
      <w:pPr>
        <w:ind w:left="926" w:hanging="360"/>
      </w:pPr>
      <w:rPr>
        <w:rFonts w:ascii="Trebuchet MS" w:hAnsi="Trebuchet MS" w:hint="default"/>
      </w:rPr>
    </w:lvl>
  </w:abstractNum>
  <w:abstractNum w:abstractNumId="3" w15:restartNumberingAfterBreak="0">
    <w:nsid w:val="FFFFFF7F"/>
    <w:multiLevelType w:val="singleLevel"/>
    <w:tmpl w:val="297E4934"/>
    <w:lvl w:ilvl="0">
      <w:start w:val="1"/>
      <w:numFmt w:val="decimal"/>
      <w:pStyle w:val="ListNumber2"/>
      <w:lvlText w:val="%1.1"/>
      <w:lvlJc w:val="left"/>
      <w:pPr>
        <w:ind w:left="643" w:hanging="360"/>
      </w:pPr>
      <w:rPr>
        <w:rFonts w:ascii="Trebuchet MS" w:hAnsi="Trebuchet MS" w:hint="default"/>
      </w:rPr>
    </w:lvl>
  </w:abstractNum>
  <w:abstractNum w:abstractNumId="4" w15:restartNumberingAfterBreak="0">
    <w:nsid w:val="009B6D17"/>
    <w:multiLevelType w:val="hybridMultilevel"/>
    <w:tmpl w:val="CB564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0E46229"/>
    <w:multiLevelType w:val="hybridMultilevel"/>
    <w:tmpl w:val="10C6CA5E"/>
    <w:lvl w:ilvl="0" w:tplc="13261752">
      <w:start w:val="1"/>
      <w:numFmt w:val="bullet"/>
      <w:pStyle w:val="APRABULLET2"/>
      <w:lvlText w:val="—"/>
      <w:lvlJc w:val="left"/>
      <w:pPr>
        <w:ind w:left="1077" w:hanging="360"/>
      </w:pPr>
      <w:rPr>
        <w:rFonts w:ascii="Trebuchet MS" w:hAnsi="Trebuchet M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2EF4423"/>
    <w:multiLevelType w:val="hybridMultilevel"/>
    <w:tmpl w:val="56B60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103396"/>
    <w:multiLevelType w:val="hybridMultilevel"/>
    <w:tmpl w:val="732A83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014F39"/>
    <w:multiLevelType w:val="hybridMultilevel"/>
    <w:tmpl w:val="03121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D4468"/>
    <w:multiLevelType w:val="hybridMultilevel"/>
    <w:tmpl w:val="11D4741C"/>
    <w:lvl w:ilvl="0" w:tplc="D04A22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57C1B"/>
    <w:multiLevelType w:val="multilevel"/>
    <w:tmpl w:val="CFBC1A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6E2E20"/>
    <w:multiLevelType w:val="hybridMultilevel"/>
    <w:tmpl w:val="53A2E68C"/>
    <w:lvl w:ilvl="0" w:tplc="1C60E128">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B0A9C"/>
    <w:multiLevelType w:val="hybridMultilevel"/>
    <w:tmpl w:val="5D58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00E1983"/>
    <w:multiLevelType w:val="multilevel"/>
    <w:tmpl w:val="0C09001F"/>
    <w:styleLink w:val="111111"/>
    <w:lvl w:ilvl="0">
      <w:start w:val="1"/>
      <w:numFmt w:val="decimal"/>
      <w:pStyle w:va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FF5F57"/>
    <w:multiLevelType w:val="hybridMultilevel"/>
    <w:tmpl w:val="61A2DF3E"/>
    <w:lvl w:ilvl="0" w:tplc="EFAE9976">
      <w:start w:val="1"/>
      <w:numFmt w:val="decimal"/>
      <w:pStyle w:val="APRATABLE-NUMBER"/>
      <w:lvlText w:val="Table %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EB2FE3"/>
    <w:multiLevelType w:val="multilevel"/>
    <w:tmpl w:val="9BDCBBD0"/>
    <w:lvl w:ilvl="0">
      <w:start w:val="1"/>
      <w:numFmt w:val="decimal"/>
      <w:pStyle w:val="APRAHEADING1"/>
      <w:suff w:val="nothing"/>
      <w:lvlText w:val="Chapter %1"/>
      <w:lvlJc w:val="left"/>
      <w:pPr>
        <w:ind w:left="0" w:firstLine="0"/>
      </w:pPr>
      <w:rPr>
        <w:rFonts w:hint="default"/>
      </w:rPr>
    </w:lvl>
    <w:lvl w:ilvl="1">
      <w:start w:val="1"/>
      <w:numFmt w:val="decimal"/>
      <w:pStyle w:val="APRAHEADING2"/>
      <w:lvlText w:val="%1.%2"/>
      <w:lvlJc w:val="left"/>
      <w:pPr>
        <w:tabs>
          <w:tab w:val="num" w:pos="2128"/>
        </w:tabs>
        <w:ind w:left="1277" w:firstLine="0"/>
      </w:pPr>
      <w:rPr>
        <w:rFonts w:hint="default"/>
      </w:rPr>
    </w:lvl>
    <w:lvl w:ilvl="2">
      <w:start w:val="1"/>
      <w:numFmt w:val="decimal"/>
      <w:pStyle w:val="APRAHEADING3"/>
      <w:lvlText w:val="%1.%2.%3"/>
      <w:lvlJc w:val="left"/>
      <w:pPr>
        <w:tabs>
          <w:tab w:val="num" w:pos="851"/>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893F03"/>
    <w:multiLevelType w:val="hybridMultilevel"/>
    <w:tmpl w:val="28C2E712"/>
    <w:lvl w:ilvl="0" w:tplc="8FC88054">
      <w:start w:val="1"/>
      <w:numFmt w:val="decimal"/>
      <w:pStyle w:val="APRA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D03E25"/>
    <w:multiLevelType w:val="multilevel"/>
    <w:tmpl w:val="AEBA9E8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5C1B8B"/>
    <w:multiLevelType w:val="hybridMultilevel"/>
    <w:tmpl w:val="A4E6A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5B44E9"/>
    <w:multiLevelType w:val="multilevel"/>
    <w:tmpl w:val="D7EADFB4"/>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5AA400FA"/>
    <w:multiLevelType w:val="hybridMultilevel"/>
    <w:tmpl w:val="521E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2C3DED"/>
    <w:multiLevelType w:val="hybridMultilevel"/>
    <w:tmpl w:val="72E402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F7145B4"/>
    <w:multiLevelType w:val="multilevel"/>
    <w:tmpl w:val="8EC00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4E025CC"/>
    <w:multiLevelType w:val="hybridMultilevel"/>
    <w:tmpl w:val="74427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B30727"/>
    <w:multiLevelType w:val="hybridMultilevel"/>
    <w:tmpl w:val="4B022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4335E4"/>
    <w:multiLevelType w:val="hybridMultilevel"/>
    <w:tmpl w:val="E71254D8"/>
    <w:lvl w:ilvl="0" w:tplc="B8D09E3A">
      <w:start w:val="1"/>
      <w:numFmt w:val="decimal"/>
      <w:lvlText w:val="Table %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706D3B"/>
    <w:multiLevelType w:val="multilevel"/>
    <w:tmpl w:val="8130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81754D"/>
    <w:multiLevelType w:val="hybridMultilevel"/>
    <w:tmpl w:val="96C6D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CA659D"/>
    <w:multiLevelType w:val="hybridMultilevel"/>
    <w:tmpl w:val="2F16B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AD0EF4"/>
    <w:multiLevelType w:val="hybridMultilevel"/>
    <w:tmpl w:val="DB8626BA"/>
    <w:lvl w:ilvl="0" w:tplc="05EA22DE">
      <w:start w:val="1"/>
      <w:numFmt w:val="bullet"/>
      <w:pStyle w:val="APRA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1"/>
  </w:num>
  <w:num w:numId="6">
    <w:abstractNumId w:val="19"/>
  </w:num>
  <w:num w:numId="7">
    <w:abstractNumId w:val="9"/>
  </w:num>
  <w:num w:numId="8">
    <w:abstractNumId w:val="15"/>
  </w:num>
  <w:num w:numId="9">
    <w:abstractNumId w:val="25"/>
  </w:num>
  <w:num w:numId="10">
    <w:abstractNumId w:val="16"/>
  </w:num>
  <w:num w:numId="11">
    <w:abstractNumId w:val="13"/>
  </w:num>
  <w:num w:numId="12">
    <w:abstractNumId w:val="29"/>
  </w:num>
  <w:num w:numId="13">
    <w:abstractNumId w:val="4"/>
  </w:num>
  <w:num w:numId="14">
    <w:abstractNumId w:val="26"/>
  </w:num>
  <w:num w:numId="15">
    <w:abstractNumId w:val="6"/>
  </w:num>
  <w:num w:numId="16">
    <w:abstractNumId w:val="8"/>
  </w:num>
  <w:num w:numId="17">
    <w:abstractNumId w:val="21"/>
  </w:num>
  <w:num w:numId="18">
    <w:abstractNumId w:val="27"/>
  </w:num>
  <w:num w:numId="19">
    <w:abstractNumId w:val="24"/>
  </w:num>
  <w:num w:numId="20">
    <w:abstractNumId w:val="25"/>
  </w:num>
  <w:num w:numId="21">
    <w:abstractNumId w:val="20"/>
  </w:num>
  <w:num w:numId="22">
    <w:abstractNumId w:val="18"/>
  </w:num>
  <w:num w:numId="23">
    <w:abstractNumId w:val="25"/>
    <w:lvlOverride w:ilvl="0">
      <w:startOverride w:val="1"/>
    </w:lvlOverride>
  </w:num>
  <w:num w:numId="24">
    <w:abstractNumId w:val="25"/>
    <w:lvlOverride w:ilvl="0">
      <w:startOverride w:val="1"/>
    </w:lvlOverride>
  </w:num>
  <w:num w:numId="25">
    <w:abstractNumId w:val="25"/>
  </w:num>
  <w:num w:numId="26">
    <w:abstractNumId w:val="25"/>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lvlOverride w:ilvl="0">
      <w:startOverride w:val="1"/>
    </w:lvlOverride>
  </w:num>
  <w:num w:numId="40">
    <w:abstractNumId w:val="25"/>
  </w:num>
  <w:num w:numId="41">
    <w:abstractNumId w:val="25"/>
  </w:num>
  <w:num w:numId="42">
    <w:abstractNumId w:val="25"/>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25"/>
    <w:lvlOverride w:ilvl="0">
      <w:startOverride w:val="1"/>
    </w:lvlOverride>
  </w:num>
  <w:num w:numId="46">
    <w:abstractNumId w:val="28"/>
  </w:num>
  <w:num w:numId="47">
    <w:abstractNumId w:val="22"/>
  </w:num>
  <w:num w:numId="48">
    <w:abstractNumId w:val="10"/>
  </w:num>
  <w:num w:numId="49">
    <w:abstractNumId w:val="14"/>
  </w:num>
  <w:num w:numId="50">
    <w:abstractNumId w:val="23"/>
  </w:num>
  <w:num w:numId="51">
    <w:abstractNumId w:val="5"/>
  </w:num>
  <w:num w:numId="52">
    <w:abstractNumId w:val="7"/>
  </w:num>
  <w:num w:numId="53">
    <w:abstractNumId w:val="12"/>
  </w:num>
  <w:num w:numId="54">
    <w:abstractNumId w:val="12"/>
  </w:num>
  <w:num w:numId="5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readOnly" w:enforcement="0"/>
  <w:defaultTabStop w:val="720"/>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B67"/>
    <w:rsid w:val="0000009A"/>
    <w:rsid w:val="00000748"/>
    <w:rsid w:val="000007FF"/>
    <w:rsid w:val="000009FC"/>
    <w:rsid w:val="00000D6F"/>
    <w:rsid w:val="00000E5D"/>
    <w:rsid w:val="00001454"/>
    <w:rsid w:val="00001668"/>
    <w:rsid w:val="00001F54"/>
    <w:rsid w:val="000022B5"/>
    <w:rsid w:val="0000247A"/>
    <w:rsid w:val="0000267F"/>
    <w:rsid w:val="000027CF"/>
    <w:rsid w:val="00002A1E"/>
    <w:rsid w:val="00002A20"/>
    <w:rsid w:val="00002ABB"/>
    <w:rsid w:val="00002BC2"/>
    <w:rsid w:val="00003065"/>
    <w:rsid w:val="0000320B"/>
    <w:rsid w:val="00003279"/>
    <w:rsid w:val="0000354A"/>
    <w:rsid w:val="00003769"/>
    <w:rsid w:val="00003FE6"/>
    <w:rsid w:val="000044EC"/>
    <w:rsid w:val="00004859"/>
    <w:rsid w:val="00004DF4"/>
    <w:rsid w:val="00005430"/>
    <w:rsid w:val="0000626D"/>
    <w:rsid w:val="0000676E"/>
    <w:rsid w:val="0000687B"/>
    <w:rsid w:val="0000757A"/>
    <w:rsid w:val="00007C0F"/>
    <w:rsid w:val="000100E4"/>
    <w:rsid w:val="0001020F"/>
    <w:rsid w:val="0001023A"/>
    <w:rsid w:val="000103A6"/>
    <w:rsid w:val="00010A41"/>
    <w:rsid w:val="00010D1D"/>
    <w:rsid w:val="00010DCC"/>
    <w:rsid w:val="000115E5"/>
    <w:rsid w:val="00011849"/>
    <w:rsid w:val="000118C7"/>
    <w:rsid w:val="00011B0A"/>
    <w:rsid w:val="00011BF6"/>
    <w:rsid w:val="0001244E"/>
    <w:rsid w:val="00012BA1"/>
    <w:rsid w:val="000130CB"/>
    <w:rsid w:val="000134B7"/>
    <w:rsid w:val="000136C2"/>
    <w:rsid w:val="00013B6F"/>
    <w:rsid w:val="00013E32"/>
    <w:rsid w:val="0001419E"/>
    <w:rsid w:val="00014434"/>
    <w:rsid w:val="00015EA7"/>
    <w:rsid w:val="00015EAA"/>
    <w:rsid w:val="000160F5"/>
    <w:rsid w:val="00016930"/>
    <w:rsid w:val="00016941"/>
    <w:rsid w:val="00016C93"/>
    <w:rsid w:val="00016DAA"/>
    <w:rsid w:val="00016FC4"/>
    <w:rsid w:val="00017109"/>
    <w:rsid w:val="00017404"/>
    <w:rsid w:val="00017530"/>
    <w:rsid w:val="0001765C"/>
    <w:rsid w:val="0001798B"/>
    <w:rsid w:val="0002016D"/>
    <w:rsid w:val="000205C8"/>
    <w:rsid w:val="00020608"/>
    <w:rsid w:val="00020ADA"/>
    <w:rsid w:val="00020C8A"/>
    <w:rsid w:val="00020E60"/>
    <w:rsid w:val="00021687"/>
    <w:rsid w:val="0002181F"/>
    <w:rsid w:val="000218CA"/>
    <w:rsid w:val="000223B8"/>
    <w:rsid w:val="00022AA3"/>
    <w:rsid w:val="000234AD"/>
    <w:rsid w:val="00023F7C"/>
    <w:rsid w:val="000242AB"/>
    <w:rsid w:val="0002518E"/>
    <w:rsid w:val="000251AB"/>
    <w:rsid w:val="000254D3"/>
    <w:rsid w:val="00025995"/>
    <w:rsid w:val="00025D2B"/>
    <w:rsid w:val="0002608B"/>
    <w:rsid w:val="00026508"/>
    <w:rsid w:val="0002677A"/>
    <w:rsid w:val="00026A05"/>
    <w:rsid w:val="00026BC2"/>
    <w:rsid w:val="00026F9F"/>
    <w:rsid w:val="0002708C"/>
    <w:rsid w:val="0002723C"/>
    <w:rsid w:val="0002789E"/>
    <w:rsid w:val="000301A9"/>
    <w:rsid w:val="00030616"/>
    <w:rsid w:val="0003136A"/>
    <w:rsid w:val="000314B2"/>
    <w:rsid w:val="0003178C"/>
    <w:rsid w:val="000319A9"/>
    <w:rsid w:val="00031ACA"/>
    <w:rsid w:val="00031C23"/>
    <w:rsid w:val="00032A13"/>
    <w:rsid w:val="00032B27"/>
    <w:rsid w:val="0003391E"/>
    <w:rsid w:val="00034214"/>
    <w:rsid w:val="000343C3"/>
    <w:rsid w:val="0003459C"/>
    <w:rsid w:val="000347EF"/>
    <w:rsid w:val="0003492C"/>
    <w:rsid w:val="00035432"/>
    <w:rsid w:val="00035466"/>
    <w:rsid w:val="000354B9"/>
    <w:rsid w:val="000355A7"/>
    <w:rsid w:val="000355DC"/>
    <w:rsid w:val="00035736"/>
    <w:rsid w:val="0003576F"/>
    <w:rsid w:val="00035B5F"/>
    <w:rsid w:val="000366F9"/>
    <w:rsid w:val="00036DCF"/>
    <w:rsid w:val="0003742C"/>
    <w:rsid w:val="0003751F"/>
    <w:rsid w:val="000375B2"/>
    <w:rsid w:val="00037C57"/>
    <w:rsid w:val="000400BC"/>
    <w:rsid w:val="0004015E"/>
    <w:rsid w:val="0004030B"/>
    <w:rsid w:val="00040540"/>
    <w:rsid w:val="00040555"/>
    <w:rsid w:val="000408CA"/>
    <w:rsid w:val="00040913"/>
    <w:rsid w:val="00040A8E"/>
    <w:rsid w:val="00040EB6"/>
    <w:rsid w:val="00041673"/>
    <w:rsid w:val="000417BD"/>
    <w:rsid w:val="0004232B"/>
    <w:rsid w:val="00042EC1"/>
    <w:rsid w:val="00043820"/>
    <w:rsid w:val="00043ADF"/>
    <w:rsid w:val="00044253"/>
    <w:rsid w:val="00044ACB"/>
    <w:rsid w:val="00044D1A"/>
    <w:rsid w:val="0004512C"/>
    <w:rsid w:val="00045B09"/>
    <w:rsid w:val="00045B72"/>
    <w:rsid w:val="00046158"/>
    <w:rsid w:val="00046393"/>
    <w:rsid w:val="00046522"/>
    <w:rsid w:val="00046E4D"/>
    <w:rsid w:val="000508A5"/>
    <w:rsid w:val="00050931"/>
    <w:rsid w:val="00050EEB"/>
    <w:rsid w:val="00050FEE"/>
    <w:rsid w:val="000515A0"/>
    <w:rsid w:val="0005188F"/>
    <w:rsid w:val="00051B7A"/>
    <w:rsid w:val="000529BC"/>
    <w:rsid w:val="00052E3C"/>
    <w:rsid w:val="000533C6"/>
    <w:rsid w:val="00053682"/>
    <w:rsid w:val="000538DF"/>
    <w:rsid w:val="00053C1D"/>
    <w:rsid w:val="00053EBA"/>
    <w:rsid w:val="00053F0B"/>
    <w:rsid w:val="0005410B"/>
    <w:rsid w:val="00054244"/>
    <w:rsid w:val="00054306"/>
    <w:rsid w:val="00054EAF"/>
    <w:rsid w:val="00055842"/>
    <w:rsid w:val="00055A34"/>
    <w:rsid w:val="00055B37"/>
    <w:rsid w:val="00056507"/>
    <w:rsid w:val="00056792"/>
    <w:rsid w:val="000567A4"/>
    <w:rsid w:val="00056862"/>
    <w:rsid w:val="00056AD9"/>
    <w:rsid w:val="000573FB"/>
    <w:rsid w:val="00057AA5"/>
    <w:rsid w:val="00057F9E"/>
    <w:rsid w:val="0006023F"/>
    <w:rsid w:val="000609B8"/>
    <w:rsid w:val="00060A21"/>
    <w:rsid w:val="00060AE5"/>
    <w:rsid w:val="00060ED0"/>
    <w:rsid w:val="0006110C"/>
    <w:rsid w:val="0006124D"/>
    <w:rsid w:val="000613F1"/>
    <w:rsid w:val="00061493"/>
    <w:rsid w:val="000617D0"/>
    <w:rsid w:val="000623CF"/>
    <w:rsid w:val="000627EA"/>
    <w:rsid w:val="0006292D"/>
    <w:rsid w:val="00062AB4"/>
    <w:rsid w:val="00062D27"/>
    <w:rsid w:val="00062E3F"/>
    <w:rsid w:val="000635B8"/>
    <w:rsid w:val="00063975"/>
    <w:rsid w:val="00063BDC"/>
    <w:rsid w:val="000646A8"/>
    <w:rsid w:val="00064A3A"/>
    <w:rsid w:val="00064E01"/>
    <w:rsid w:val="00064E80"/>
    <w:rsid w:val="00065179"/>
    <w:rsid w:val="0006520D"/>
    <w:rsid w:val="000655B7"/>
    <w:rsid w:val="000656BD"/>
    <w:rsid w:val="00065C70"/>
    <w:rsid w:val="00065CC6"/>
    <w:rsid w:val="00066948"/>
    <w:rsid w:val="00066C55"/>
    <w:rsid w:val="00067817"/>
    <w:rsid w:val="000701AF"/>
    <w:rsid w:val="00070252"/>
    <w:rsid w:val="00070A28"/>
    <w:rsid w:val="00070D25"/>
    <w:rsid w:val="000712C1"/>
    <w:rsid w:val="000716EF"/>
    <w:rsid w:val="00071702"/>
    <w:rsid w:val="00071A4D"/>
    <w:rsid w:val="00071AA1"/>
    <w:rsid w:val="00071B91"/>
    <w:rsid w:val="00071ED2"/>
    <w:rsid w:val="00071F59"/>
    <w:rsid w:val="00071F8C"/>
    <w:rsid w:val="00071FBF"/>
    <w:rsid w:val="00071FDA"/>
    <w:rsid w:val="00072371"/>
    <w:rsid w:val="00072A40"/>
    <w:rsid w:val="00072F8C"/>
    <w:rsid w:val="00073098"/>
    <w:rsid w:val="00073B6B"/>
    <w:rsid w:val="00074214"/>
    <w:rsid w:val="000743E0"/>
    <w:rsid w:val="000745A8"/>
    <w:rsid w:val="000748BF"/>
    <w:rsid w:val="00074D61"/>
    <w:rsid w:val="00074F73"/>
    <w:rsid w:val="000752CC"/>
    <w:rsid w:val="00075B4A"/>
    <w:rsid w:val="00075B8F"/>
    <w:rsid w:val="00075E3A"/>
    <w:rsid w:val="000765D5"/>
    <w:rsid w:val="000767FD"/>
    <w:rsid w:val="00077209"/>
    <w:rsid w:val="00077762"/>
    <w:rsid w:val="0008000E"/>
    <w:rsid w:val="00080074"/>
    <w:rsid w:val="0008063E"/>
    <w:rsid w:val="0008066D"/>
    <w:rsid w:val="0008076F"/>
    <w:rsid w:val="000809B7"/>
    <w:rsid w:val="00080A04"/>
    <w:rsid w:val="00080D28"/>
    <w:rsid w:val="00080D33"/>
    <w:rsid w:val="00080F86"/>
    <w:rsid w:val="00081661"/>
    <w:rsid w:val="000817DD"/>
    <w:rsid w:val="00081CE4"/>
    <w:rsid w:val="0008222F"/>
    <w:rsid w:val="00082792"/>
    <w:rsid w:val="00082796"/>
    <w:rsid w:val="00083139"/>
    <w:rsid w:val="00083380"/>
    <w:rsid w:val="000834C8"/>
    <w:rsid w:val="00083A42"/>
    <w:rsid w:val="00083F55"/>
    <w:rsid w:val="00084473"/>
    <w:rsid w:val="0008486E"/>
    <w:rsid w:val="00084B73"/>
    <w:rsid w:val="00084CCB"/>
    <w:rsid w:val="000862A5"/>
    <w:rsid w:val="00086493"/>
    <w:rsid w:val="000864B5"/>
    <w:rsid w:val="00086E25"/>
    <w:rsid w:val="00086EBD"/>
    <w:rsid w:val="00087927"/>
    <w:rsid w:val="000879B1"/>
    <w:rsid w:val="000900C3"/>
    <w:rsid w:val="000901C4"/>
    <w:rsid w:val="000904B0"/>
    <w:rsid w:val="00090DEA"/>
    <w:rsid w:val="00091039"/>
    <w:rsid w:val="000912D2"/>
    <w:rsid w:val="00091F44"/>
    <w:rsid w:val="0009226A"/>
    <w:rsid w:val="000922B3"/>
    <w:rsid w:val="000922BA"/>
    <w:rsid w:val="00092766"/>
    <w:rsid w:val="00092844"/>
    <w:rsid w:val="000929FF"/>
    <w:rsid w:val="00092CC3"/>
    <w:rsid w:val="0009310D"/>
    <w:rsid w:val="000938DC"/>
    <w:rsid w:val="00093DA6"/>
    <w:rsid w:val="00094158"/>
    <w:rsid w:val="00094733"/>
    <w:rsid w:val="0009571B"/>
    <w:rsid w:val="00095BBE"/>
    <w:rsid w:val="00096527"/>
    <w:rsid w:val="00096555"/>
    <w:rsid w:val="00096611"/>
    <w:rsid w:val="00096652"/>
    <w:rsid w:val="00096CD8"/>
    <w:rsid w:val="00097128"/>
    <w:rsid w:val="000972C6"/>
    <w:rsid w:val="000977AE"/>
    <w:rsid w:val="0009781F"/>
    <w:rsid w:val="00097D49"/>
    <w:rsid w:val="000A00BC"/>
    <w:rsid w:val="000A01D6"/>
    <w:rsid w:val="000A0DB5"/>
    <w:rsid w:val="000A1A18"/>
    <w:rsid w:val="000A1A2E"/>
    <w:rsid w:val="000A2053"/>
    <w:rsid w:val="000A2A12"/>
    <w:rsid w:val="000A2DC5"/>
    <w:rsid w:val="000A385F"/>
    <w:rsid w:val="000A38D3"/>
    <w:rsid w:val="000A3DD8"/>
    <w:rsid w:val="000A3F88"/>
    <w:rsid w:val="000A3FD0"/>
    <w:rsid w:val="000A5558"/>
    <w:rsid w:val="000A55A8"/>
    <w:rsid w:val="000A5ADE"/>
    <w:rsid w:val="000A5E7F"/>
    <w:rsid w:val="000A7811"/>
    <w:rsid w:val="000A7A52"/>
    <w:rsid w:val="000A7B8A"/>
    <w:rsid w:val="000A7D8A"/>
    <w:rsid w:val="000A7E78"/>
    <w:rsid w:val="000A7EF7"/>
    <w:rsid w:val="000B005F"/>
    <w:rsid w:val="000B0826"/>
    <w:rsid w:val="000B0E36"/>
    <w:rsid w:val="000B1239"/>
    <w:rsid w:val="000B174C"/>
    <w:rsid w:val="000B1F6F"/>
    <w:rsid w:val="000B20E5"/>
    <w:rsid w:val="000B23C5"/>
    <w:rsid w:val="000B23F8"/>
    <w:rsid w:val="000B2744"/>
    <w:rsid w:val="000B2925"/>
    <w:rsid w:val="000B2B05"/>
    <w:rsid w:val="000B31E5"/>
    <w:rsid w:val="000B399F"/>
    <w:rsid w:val="000B3B6E"/>
    <w:rsid w:val="000B3EEF"/>
    <w:rsid w:val="000B3F8A"/>
    <w:rsid w:val="000B4C8D"/>
    <w:rsid w:val="000B52A7"/>
    <w:rsid w:val="000B5B11"/>
    <w:rsid w:val="000B5C5B"/>
    <w:rsid w:val="000B60EC"/>
    <w:rsid w:val="000B649C"/>
    <w:rsid w:val="000B76F7"/>
    <w:rsid w:val="000B7848"/>
    <w:rsid w:val="000B7D2C"/>
    <w:rsid w:val="000B7ED3"/>
    <w:rsid w:val="000C0A75"/>
    <w:rsid w:val="000C0C3F"/>
    <w:rsid w:val="000C170D"/>
    <w:rsid w:val="000C197E"/>
    <w:rsid w:val="000C1A31"/>
    <w:rsid w:val="000C1B06"/>
    <w:rsid w:val="000C1CCE"/>
    <w:rsid w:val="000C20BB"/>
    <w:rsid w:val="000C2590"/>
    <w:rsid w:val="000C2928"/>
    <w:rsid w:val="000C2A2A"/>
    <w:rsid w:val="000C2BD5"/>
    <w:rsid w:val="000C2D8D"/>
    <w:rsid w:val="000C318A"/>
    <w:rsid w:val="000C3246"/>
    <w:rsid w:val="000C33F4"/>
    <w:rsid w:val="000C34C0"/>
    <w:rsid w:val="000C3FC0"/>
    <w:rsid w:val="000C3FEA"/>
    <w:rsid w:val="000C4096"/>
    <w:rsid w:val="000C4D75"/>
    <w:rsid w:val="000C56C2"/>
    <w:rsid w:val="000C5958"/>
    <w:rsid w:val="000C5997"/>
    <w:rsid w:val="000C5FB2"/>
    <w:rsid w:val="000C6041"/>
    <w:rsid w:val="000C61A9"/>
    <w:rsid w:val="000C689F"/>
    <w:rsid w:val="000C6D52"/>
    <w:rsid w:val="000C6FE8"/>
    <w:rsid w:val="000C77CD"/>
    <w:rsid w:val="000C77DE"/>
    <w:rsid w:val="000C793B"/>
    <w:rsid w:val="000C7BA6"/>
    <w:rsid w:val="000C7C4D"/>
    <w:rsid w:val="000D0094"/>
    <w:rsid w:val="000D07B6"/>
    <w:rsid w:val="000D096B"/>
    <w:rsid w:val="000D09FA"/>
    <w:rsid w:val="000D0A94"/>
    <w:rsid w:val="000D0B8B"/>
    <w:rsid w:val="000D0D13"/>
    <w:rsid w:val="000D0E62"/>
    <w:rsid w:val="000D0F45"/>
    <w:rsid w:val="000D1DD8"/>
    <w:rsid w:val="000D228E"/>
    <w:rsid w:val="000D2C7B"/>
    <w:rsid w:val="000D2D92"/>
    <w:rsid w:val="000D3383"/>
    <w:rsid w:val="000D36DA"/>
    <w:rsid w:val="000D420E"/>
    <w:rsid w:val="000D43DC"/>
    <w:rsid w:val="000D46EF"/>
    <w:rsid w:val="000D4C8F"/>
    <w:rsid w:val="000D5249"/>
    <w:rsid w:val="000D5917"/>
    <w:rsid w:val="000D5A00"/>
    <w:rsid w:val="000D5F5E"/>
    <w:rsid w:val="000D60A5"/>
    <w:rsid w:val="000D64B5"/>
    <w:rsid w:val="000D6570"/>
    <w:rsid w:val="000D690C"/>
    <w:rsid w:val="000D7517"/>
    <w:rsid w:val="000D789D"/>
    <w:rsid w:val="000D7AF5"/>
    <w:rsid w:val="000D7C9F"/>
    <w:rsid w:val="000E04D2"/>
    <w:rsid w:val="000E0DCF"/>
    <w:rsid w:val="000E11AE"/>
    <w:rsid w:val="000E1512"/>
    <w:rsid w:val="000E1D39"/>
    <w:rsid w:val="000E1DCB"/>
    <w:rsid w:val="000E2EE5"/>
    <w:rsid w:val="000E2F23"/>
    <w:rsid w:val="000E2F8C"/>
    <w:rsid w:val="000E2FD8"/>
    <w:rsid w:val="000E3414"/>
    <w:rsid w:val="000E355B"/>
    <w:rsid w:val="000E3D88"/>
    <w:rsid w:val="000E448A"/>
    <w:rsid w:val="000E4497"/>
    <w:rsid w:val="000E4BBC"/>
    <w:rsid w:val="000E4DB3"/>
    <w:rsid w:val="000E4E0D"/>
    <w:rsid w:val="000E4F0B"/>
    <w:rsid w:val="000E4F42"/>
    <w:rsid w:val="000E5233"/>
    <w:rsid w:val="000E54F4"/>
    <w:rsid w:val="000E5791"/>
    <w:rsid w:val="000E57D4"/>
    <w:rsid w:val="000E5F6B"/>
    <w:rsid w:val="000E6246"/>
    <w:rsid w:val="000E6E8E"/>
    <w:rsid w:val="000E6F35"/>
    <w:rsid w:val="000E6FDD"/>
    <w:rsid w:val="000E7037"/>
    <w:rsid w:val="000E716C"/>
    <w:rsid w:val="000E75D0"/>
    <w:rsid w:val="000E7E38"/>
    <w:rsid w:val="000F04C9"/>
    <w:rsid w:val="000F07C6"/>
    <w:rsid w:val="000F0862"/>
    <w:rsid w:val="000F09C6"/>
    <w:rsid w:val="000F0F54"/>
    <w:rsid w:val="000F1402"/>
    <w:rsid w:val="000F162F"/>
    <w:rsid w:val="000F176F"/>
    <w:rsid w:val="000F19ED"/>
    <w:rsid w:val="000F1D5B"/>
    <w:rsid w:val="000F20CF"/>
    <w:rsid w:val="000F25EC"/>
    <w:rsid w:val="000F2721"/>
    <w:rsid w:val="000F3754"/>
    <w:rsid w:val="000F3835"/>
    <w:rsid w:val="000F3CB4"/>
    <w:rsid w:val="000F40A6"/>
    <w:rsid w:val="000F4466"/>
    <w:rsid w:val="000F4536"/>
    <w:rsid w:val="000F4955"/>
    <w:rsid w:val="000F4A6F"/>
    <w:rsid w:val="000F4ABA"/>
    <w:rsid w:val="000F4C7D"/>
    <w:rsid w:val="000F505D"/>
    <w:rsid w:val="000F508D"/>
    <w:rsid w:val="000F50AC"/>
    <w:rsid w:val="000F541E"/>
    <w:rsid w:val="000F55AE"/>
    <w:rsid w:val="000F55C9"/>
    <w:rsid w:val="000F568B"/>
    <w:rsid w:val="000F5BBA"/>
    <w:rsid w:val="000F5D73"/>
    <w:rsid w:val="000F6328"/>
    <w:rsid w:val="000F6E22"/>
    <w:rsid w:val="000F76E7"/>
    <w:rsid w:val="000F776E"/>
    <w:rsid w:val="000F7781"/>
    <w:rsid w:val="00100408"/>
    <w:rsid w:val="0010099D"/>
    <w:rsid w:val="001012D8"/>
    <w:rsid w:val="0010146A"/>
    <w:rsid w:val="001015B7"/>
    <w:rsid w:val="0010172A"/>
    <w:rsid w:val="00101923"/>
    <w:rsid w:val="00101B8E"/>
    <w:rsid w:val="00101E8E"/>
    <w:rsid w:val="001024C4"/>
    <w:rsid w:val="00102581"/>
    <w:rsid w:val="00102D56"/>
    <w:rsid w:val="00102EC8"/>
    <w:rsid w:val="00103335"/>
    <w:rsid w:val="00103661"/>
    <w:rsid w:val="001036ED"/>
    <w:rsid w:val="001045DB"/>
    <w:rsid w:val="00105064"/>
    <w:rsid w:val="001050FA"/>
    <w:rsid w:val="001051E0"/>
    <w:rsid w:val="001055F9"/>
    <w:rsid w:val="00105ACE"/>
    <w:rsid w:val="00105D46"/>
    <w:rsid w:val="00105D67"/>
    <w:rsid w:val="00105DD7"/>
    <w:rsid w:val="00105E6B"/>
    <w:rsid w:val="00106054"/>
    <w:rsid w:val="0010622A"/>
    <w:rsid w:val="0010679E"/>
    <w:rsid w:val="001067CA"/>
    <w:rsid w:val="00106B0C"/>
    <w:rsid w:val="00106E79"/>
    <w:rsid w:val="00107C08"/>
    <w:rsid w:val="0011051B"/>
    <w:rsid w:val="00110590"/>
    <w:rsid w:val="0011063E"/>
    <w:rsid w:val="001108BA"/>
    <w:rsid w:val="00110B6A"/>
    <w:rsid w:val="00110D76"/>
    <w:rsid w:val="00111030"/>
    <w:rsid w:val="0011112F"/>
    <w:rsid w:val="001112BB"/>
    <w:rsid w:val="0011136A"/>
    <w:rsid w:val="00111469"/>
    <w:rsid w:val="0011172D"/>
    <w:rsid w:val="00111B78"/>
    <w:rsid w:val="00111C60"/>
    <w:rsid w:val="00111FA1"/>
    <w:rsid w:val="00112017"/>
    <w:rsid w:val="001123A6"/>
    <w:rsid w:val="001127DE"/>
    <w:rsid w:val="00112932"/>
    <w:rsid w:val="00112C9A"/>
    <w:rsid w:val="0011364C"/>
    <w:rsid w:val="001138EF"/>
    <w:rsid w:val="00113BAE"/>
    <w:rsid w:val="001140F0"/>
    <w:rsid w:val="0011422E"/>
    <w:rsid w:val="00114462"/>
    <w:rsid w:val="00114650"/>
    <w:rsid w:val="00114872"/>
    <w:rsid w:val="00114AD7"/>
    <w:rsid w:val="00114B9B"/>
    <w:rsid w:val="00115BB6"/>
    <w:rsid w:val="00116489"/>
    <w:rsid w:val="00116798"/>
    <w:rsid w:val="00116E25"/>
    <w:rsid w:val="00116F63"/>
    <w:rsid w:val="0011797B"/>
    <w:rsid w:val="00117B95"/>
    <w:rsid w:val="00117BC6"/>
    <w:rsid w:val="00117C27"/>
    <w:rsid w:val="00117D96"/>
    <w:rsid w:val="00117EFF"/>
    <w:rsid w:val="00117F04"/>
    <w:rsid w:val="00120727"/>
    <w:rsid w:val="00120A53"/>
    <w:rsid w:val="00120AE2"/>
    <w:rsid w:val="00120DCE"/>
    <w:rsid w:val="00120ED1"/>
    <w:rsid w:val="0012101C"/>
    <w:rsid w:val="001211E5"/>
    <w:rsid w:val="00121204"/>
    <w:rsid w:val="001212CF"/>
    <w:rsid w:val="00121456"/>
    <w:rsid w:val="00121CD6"/>
    <w:rsid w:val="00122308"/>
    <w:rsid w:val="00122789"/>
    <w:rsid w:val="00122918"/>
    <w:rsid w:val="00123BCE"/>
    <w:rsid w:val="00123E54"/>
    <w:rsid w:val="001240A6"/>
    <w:rsid w:val="0012414E"/>
    <w:rsid w:val="00124245"/>
    <w:rsid w:val="00124982"/>
    <w:rsid w:val="00124A0D"/>
    <w:rsid w:val="001269A8"/>
    <w:rsid w:val="00126B46"/>
    <w:rsid w:val="00127166"/>
    <w:rsid w:val="00127177"/>
    <w:rsid w:val="00127917"/>
    <w:rsid w:val="001279F5"/>
    <w:rsid w:val="00127AB3"/>
    <w:rsid w:val="00127C68"/>
    <w:rsid w:val="00127F41"/>
    <w:rsid w:val="00130190"/>
    <w:rsid w:val="001306A5"/>
    <w:rsid w:val="00130966"/>
    <w:rsid w:val="00131795"/>
    <w:rsid w:val="001319F9"/>
    <w:rsid w:val="001321BC"/>
    <w:rsid w:val="001327AD"/>
    <w:rsid w:val="00132835"/>
    <w:rsid w:val="00132D83"/>
    <w:rsid w:val="00132F6C"/>
    <w:rsid w:val="00132F92"/>
    <w:rsid w:val="001342B0"/>
    <w:rsid w:val="00134948"/>
    <w:rsid w:val="00134D10"/>
    <w:rsid w:val="00134D56"/>
    <w:rsid w:val="0013550D"/>
    <w:rsid w:val="00135929"/>
    <w:rsid w:val="00135D45"/>
    <w:rsid w:val="0013609A"/>
    <w:rsid w:val="00136181"/>
    <w:rsid w:val="00140162"/>
    <w:rsid w:val="001405E3"/>
    <w:rsid w:val="001408C4"/>
    <w:rsid w:val="00140A6A"/>
    <w:rsid w:val="00140C53"/>
    <w:rsid w:val="00140E31"/>
    <w:rsid w:val="001418BE"/>
    <w:rsid w:val="00141E7F"/>
    <w:rsid w:val="001422C4"/>
    <w:rsid w:val="0014283B"/>
    <w:rsid w:val="0014338B"/>
    <w:rsid w:val="00143565"/>
    <w:rsid w:val="00144154"/>
    <w:rsid w:val="00144216"/>
    <w:rsid w:val="001448A4"/>
    <w:rsid w:val="00144E87"/>
    <w:rsid w:val="001455F2"/>
    <w:rsid w:val="00145820"/>
    <w:rsid w:val="001460EF"/>
    <w:rsid w:val="0014677F"/>
    <w:rsid w:val="00146867"/>
    <w:rsid w:val="00146B8E"/>
    <w:rsid w:val="00146F72"/>
    <w:rsid w:val="00146FC7"/>
    <w:rsid w:val="00147133"/>
    <w:rsid w:val="001472C0"/>
    <w:rsid w:val="0014794E"/>
    <w:rsid w:val="00147E67"/>
    <w:rsid w:val="00147F87"/>
    <w:rsid w:val="001502F1"/>
    <w:rsid w:val="001504B0"/>
    <w:rsid w:val="00150785"/>
    <w:rsid w:val="0015083F"/>
    <w:rsid w:val="001509A7"/>
    <w:rsid w:val="00150B27"/>
    <w:rsid w:val="00150D6B"/>
    <w:rsid w:val="00150DB4"/>
    <w:rsid w:val="00151319"/>
    <w:rsid w:val="0015178E"/>
    <w:rsid w:val="001519CF"/>
    <w:rsid w:val="001521D8"/>
    <w:rsid w:val="00152588"/>
    <w:rsid w:val="00152B4A"/>
    <w:rsid w:val="00152D73"/>
    <w:rsid w:val="00152E64"/>
    <w:rsid w:val="00153321"/>
    <w:rsid w:val="0015361C"/>
    <w:rsid w:val="00153657"/>
    <w:rsid w:val="00153DA8"/>
    <w:rsid w:val="00153E20"/>
    <w:rsid w:val="001542EC"/>
    <w:rsid w:val="00154DB0"/>
    <w:rsid w:val="00154DE9"/>
    <w:rsid w:val="001559D2"/>
    <w:rsid w:val="00155EA6"/>
    <w:rsid w:val="00155FD1"/>
    <w:rsid w:val="00156452"/>
    <w:rsid w:val="001565F5"/>
    <w:rsid w:val="001568BC"/>
    <w:rsid w:val="00156964"/>
    <w:rsid w:val="00156ECC"/>
    <w:rsid w:val="0016022F"/>
    <w:rsid w:val="001615E9"/>
    <w:rsid w:val="0016289A"/>
    <w:rsid w:val="001628C3"/>
    <w:rsid w:val="00162A11"/>
    <w:rsid w:val="00162A51"/>
    <w:rsid w:val="00162AE7"/>
    <w:rsid w:val="00162B1F"/>
    <w:rsid w:val="00162B27"/>
    <w:rsid w:val="001634F5"/>
    <w:rsid w:val="00163EE7"/>
    <w:rsid w:val="001640BF"/>
    <w:rsid w:val="0016473A"/>
    <w:rsid w:val="00164B33"/>
    <w:rsid w:val="00164B53"/>
    <w:rsid w:val="00164C91"/>
    <w:rsid w:val="00164E3A"/>
    <w:rsid w:val="001655CC"/>
    <w:rsid w:val="00165974"/>
    <w:rsid w:val="0016608F"/>
    <w:rsid w:val="0016613F"/>
    <w:rsid w:val="0016634B"/>
    <w:rsid w:val="001663BB"/>
    <w:rsid w:val="0016651D"/>
    <w:rsid w:val="00166636"/>
    <w:rsid w:val="00166C71"/>
    <w:rsid w:val="00166D2C"/>
    <w:rsid w:val="001678C2"/>
    <w:rsid w:val="001679D1"/>
    <w:rsid w:val="001679DC"/>
    <w:rsid w:val="00167BD5"/>
    <w:rsid w:val="00167C2F"/>
    <w:rsid w:val="001701F3"/>
    <w:rsid w:val="0017023B"/>
    <w:rsid w:val="001703F0"/>
    <w:rsid w:val="0017068C"/>
    <w:rsid w:val="00170860"/>
    <w:rsid w:val="001708B3"/>
    <w:rsid w:val="00170ADE"/>
    <w:rsid w:val="00170BF1"/>
    <w:rsid w:val="00170C7F"/>
    <w:rsid w:val="00171CDA"/>
    <w:rsid w:val="00171F14"/>
    <w:rsid w:val="001721FB"/>
    <w:rsid w:val="001726D6"/>
    <w:rsid w:val="001727D9"/>
    <w:rsid w:val="0017304A"/>
    <w:rsid w:val="0017374B"/>
    <w:rsid w:val="001744FC"/>
    <w:rsid w:val="0017611E"/>
    <w:rsid w:val="00176620"/>
    <w:rsid w:val="0017685D"/>
    <w:rsid w:val="00176A59"/>
    <w:rsid w:val="00176FBF"/>
    <w:rsid w:val="00177009"/>
    <w:rsid w:val="001776AD"/>
    <w:rsid w:val="00177A34"/>
    <w:rsid w:val="0018012F"/>
    <w:rsid w:val="00180423"/>
    <w:rsid w:val="001809AC"/>
    <w:rsid w:val="001814A8"/>
    <w:rsid w:val="00181890"/>
    <w:rsid w:val="00181D48"/>
    <w:rsid w:val="00182390"/>
    <w:rsid w:val="001823C2"/>
    <w:rsid w:val="00182B67"/>
    <w:rsid w:val="00183144"/>
    <w:rsid w:val="0018320E"/>
    <w:rsid w:val="001848AD"/>
    <w:rsid w:val="0018490D"/>
    <w:rsid w:val="001849E7"/>
    <w:rsid w:val="00184FF4"/>
    <w:rsid w:val="00185000"/>
    <w:rsid w:val="001852E0"/>
    <w:rsid w:val="00185372"/>
    <w:rsid w:val="001859A3"/>
    <w:rsid w:val="001859A9"/>
    <w:rsid w:val="0018600C"/>
    <w:rsid w:val="0018636B"/>
    <w:rsid w:val="00186B23"/>
    <w:rsid w:val="00186C57"/>
    <w:rsid w:val="00186C59"/>
    <w:rsid w:val="00187562"/>
    <w:rsid w:val="00187620"/>
    <w:rsid w:val="0018780F"/>
    <w:rsid w:val="00187889"/>
    <w:rsid w:val="001908FF"/>
    <w:rsid w:val="00190F2F"/>
    <w:rsid w:val="001910B0"/>
    <w:rsid w:val="00191423"/>
    <w:rsid w:val="00191820"/>
    <w:rsid w:val="00191A38"/>
    <w:rsid w:val="00191EB2"/>
    <w:rsid w:val="00191ED7"/>
    <w:rsid w:val="00192825"/>
    <w:rsid w:val="00192871"/>
    <w:rsid w:val="00192D14"/>
    <w:rsid w:val="001936A3"/>
    <w:rsid w:val="001937DF"/>
    <w:rsid w:val="00194425"/>
    <w:rsid w:val="00194735"/>
    <w:rsid w:val="00194845"/>
    <w:rsid w:val="0019514A"/>
    <w:rsid w:val="0019519E"/>
    <w:rsid w:val="001957C3"/>
    <w:rsid w:val="00195B6F"/>
    <w:rsid w:val="00195EC6"/>
    <w:rsid w:val="00196068"/>
    <w:rsid w:val="0019662F"/>
    <w:rsid w:val="00196780"/>
    <w:rsid w:val="00197452"/>
    <w:rsid w:val="0019766D"/>
    <w:rsid w:val="00197C30"/>
    <w:rsid w:val="001A0340"/>
    <w:rsid w:val="001A0514"/>
    <w:rsid w:val="001A0754"/>
    <w:rsid w:val="001A12DD"/>
    <w:rsid w:val="001A14ED"/>
    <w:rsid w:val="001A1846"/>
    <w:rsid w:val="001A2050"/>
    <w:rsid w:val="001A2180"/>
    <w:rsid w:val="001A2D91"/>
    <w:rsid w:val="001A2E55"/>
    <w:rsid w:val="001A2FD3"/>
    <w:rsid w:val="001A36CB"/>
    <w:rsid w:val="001A36EF"/>
    <w:rsid w:val="001A372E"/>
    <w:rsid w:val="001A38D7"/>
    <w:rsid w:val="001A3BCD"/>
    <w:rsid w:val="001A4037"/>
    <w:rsid w:val="001A436F"/>
    <w:rsid w:val="001A489D"/>
    <w:rsid w:val="001A4AFF"/>
    <w:rsid w:val="001A4CD3"/>
    <w:rsid w:val="001A5302"/>
    <w:rsid w:val="001A569F"/>
    <w:rsid w:val="001A61EA"/>
    <w:rsid w:val="001A6226"/>
    <w:rsid w:val="001A6F54"/>
    <w:rsid w:val="001A7B3D"/>
    <w:rsid w:val="001B011E"/>
    <w:rsid w:val="001B04AC"/>
    <w:rsid w:val="001B04F9"/>
    <w:rsid w:val="001B095E"/>
    <w:rsid w:val="001B0B87"/>
    <w:rsid w:val="001B12C6"/>
    <w:rsid w:val="001B1BC7"/>
    <w:rsid w:val="001B25E9"/>
    <w:rsid w:val="001B25F6"/>
    <w:rsid w:val="001B26E5"/>
    <w:rsid w:val="001B2D90"/>
    <w:rsid w:val="001B324F"/>
    <w:rsid w:val="001B38E6"/>
    <w:rsid w:val="001B3B99"/>
    <w:rsid w:val="001B4278"/>
    <w:rsid w:val="001B49A8"/>
    <w:rsid w:val="001B4C85"/>
    <w:rsid w:val="001B4D48"/>
    <w:rsid w:val="001B5671"/>
    <w:rsid w:val="001B5E4B"/>
    <w:rsid w:val="001B60D8"/>
    <w:rsid w:val="001B643E"/>
    <w:rsid w:val="001B652B"/>
    <w:rsid w:val="001B7389"/>
    <w:rsid w:val="001B79B5"/>
    <w:rsid w:val="001B7CA1"/>
    <w:rsid w:val="001C01C3"/>
    <w:rsid w:val="001C030E"/>
    <w:rsid w:val="001C0A54"/>
    <w:rsid w:val="001C0E9B"/>
    <w:rsid w:val="001C1D0E"/>
    <w:rsid w:val="001C1FEA"/>
    <w:rsid w:val="001C2298"/>
    <w:rsid w:val="001C2721"/>
    <w:rsid w:val="001C27B5"/>
    <w:rsid w:val="001C2BA9"/>
    <w:rsid w:val="001C2D96"/>
    <w:rsid w:val="001C3499"/>
    <w:rsid w:val="001C38A7"/>
    <w:rsid w:val="001C3C3E"/>
    <w:rsid w:val="001C402D"/>
    <w:rsid w:val="001C410E"/>
    <w:rsid w:val="001C45DA"/>
    <w:rsid w:val="001C4617"/>
    <w:rsid w:val="001C4A04"/>
    <w:rsid w:val="001C4CA3"/>
    <w:rsid w:val="001C5013"/>
    <w:rsid w:val="001C507A"/>
    <w:rsid w:val="001C5514"/>
    <w:rsid w:val="001C564F"/>
    <w:rsid w:val="001C5BDC"/>
    <w:rsid w:val="001C6019"/>
    <w:rsid w:val="001C66DD"/>
    <w:rsid w:val="001C687A"/>
    <w:rsid w:val="001C6CD7"/>
    <w:rsid w:val="001C6D75"/>
    <w:rsid w:val="001C76C0"/>
    <w:rsid w:val="001C7992"/>
    <w:rsid w:val="001D0099"/>
    <w:rsid w:val="001D014A"/>
    <w:rsid w:val="001D0234"/>
    <w:rsid w:val="001D0A2F"/>
    <w:rsid w:val="001D0B75"/>
    <w:rsid w:val="001D0B96"/>
    <w:rsid w:val="001D0C9A"/>
    <w:rsid w:val="001D1347"/>
    <w:rsid w:val="001D15BF"/>
    <w:rsid w:val="001D179F"/>
    <w:rsid w:val="001D1A61"/>
    <w:rsid w:val="001D1C39"/>
    <w:rsid w:val="001D1DD6"/>
    <w:rsid w:val="001D1F8B"/>
    <w:rsid w:val="001D211B"/>
    <w:rsid w:val="001D23AE"/>
    <w:rsid w:val="001D2520"/>
    <w:rsid w:val="001D29E2"/>
    <w:rsid w:val="001D2B64"/>
    <w:rsid w:val="001D3001"/>
    <w:rsid w:val="001D3046"/>
    <w:rsid w:val="001D3287"/>
    <w:rsid w:val="001D34D3"/>
    <w:rsid w:val="001D3606"/>
    <w:rsid w:val="001D39EF"/>
    <w:rsid w:val="001D3B1C"/>
    <w:rsid w:val="001D3B5A"/>
    <w:rsid w:val="001D3BC7"/>
    <w:rsid w:val="001D426A"/>
    <w:rsid w:val="001D4605"/>
    <w:rsid w:val="001D4772"/>
    <w:rsid w:val="001D4A22"/>
    <w:rsid w:val="001D4FE1"/>
    <w:rsid w:val="001D505A"/>
    <w:rsid w:val="001D57A0"/>
    <w:rsid w:val="001D58C5"/>
    <w:rsid w:val="001D5D35"/>
    <w:rsid w:val="001D63D2"/>
    <w:rsid w:val="001D67B7"/>
    <w:rsid w:val="001D6B1F"/>
    <w:rsid w:val="001D7721"/>
    <w:rsid w:val="001D7A2E"/>
    <w:rsid w:val="001D7A40"/>
    <w:rsid w:val="001D7A77"/>
    <w:rsid w:val="001D7D3C"/>
    <w:rsid w:val="001E00D2"/>
    <w:rsid w:val="001E074E"/>
    <w:rsid w:val="001E0839"/>
    <w:rsid w:val="001E0C48"/>
    <w:rsid w:val="001E0CE0"/>
    <w:rsid w:val="001E133F"/>
    <w:rsid w:val="001E13C8"/>
    <w:rsid w:val="001E1512"/>
    <w:rsid w:val="001E1A4B"/>
    <w:rsid w:val="001E1AB4"/>
    <w:rsid w:val="001E22B0"/>
    <w:rsid w:val="001E243D"/>
    <w:rsid w:val="001E27B3"/>
    <w:rsid w:val="001E3360"/>
    <w:rsid w:val="001E38A7"/>
    <w:rsid w:val="001E40EC"/>
    <w:rsid w:val="001E479C"/>
    <w:rsid w:val="001E53EB"/>
    <w:rsid w:val="001E5974"/>
    <w:rsid w:val="001E5DA9"/>
    <w:rsid w:val="001E6579"/>
    <w:rsid w:val="001E68E5"/>
    <w:rsid w:val="001E6C34"/>
    <w:rsid w:val="001E7CE4"/>
    <w:rsid w:val="001F00C0"/>
    <w:rsid w:val="001F083D"/>
    <w:rsid w:val="001F10C8"/>
    <w:rsid w:val="001F13F7"/>
    <w:rsid w:val="001F1A13"/>
    <w:rsid w:val="001F1FF4"/>
    <w:rsid w:val="001F2138"/>
    <w:rsid w:val="001F28F2"/>
    <w:rsid w:val="001F297C"/>
    <w:rsid w:val="001F2B7B"/>
    <w:rsid w:val="001F338F"/>
    <w:rsid w:val="001F3664"/>
    <w:rsid w:val="001F3831"/>
    <w:rsid w:val="001F4632"/>
    <w:rsid w:val="001F49C6"/>
    <w:rsid w:val="001F4AED"/>
    <w:rsid w:val="001F4B03"/>
    <w:rsid w:val="001F4BC7"/>
    <w:rsid w:val="001F4E29"/>
    <w:rsid w:val="001F514F"/>
    <w:rsid w:val="001F543C"/>
    <w:rsid w:val="001F5544"/>
    <w:rsid w:val="001F577E"/>
    <w:rsid w:val="001F5780"/>
    <w:rsid w:val="001F5C7C"/>
    <w:rsid w:val="001F5E99"/>
    <w:rsid w:val="001F635A"/>
    <w:rsid w:val="001F6540"/>
    <w:rsid w:val="001F6A8D"/>
    <w:rsid w:val="001F6C32"/>
    <w:rsid w:val="001F6D60"/>
    <w:rsid w:val="001F75AF"/>
    <w:rsid w:val="002001EC"/>
    <w:rsid w:val="002002F0"/>
    <w:rsid w:val="00200732"/>
    <w:rsid w:val="0020094D"/>
    <w:rsid w:val="00200C6B"/>
    <w:rsid w:val="00200F78"/>
    <w:rsid w:val="00201093"/>
    <w:rsid w:val="002019CA"/>
    <w:rsid w:val="00201B69"/>
    <w:rsid w:val="00201B8C"/>
    <w:rsid w:val="00201C6A"/>
    <w:rsid w:val="00201E75"/>
    <w:rsid w:val="00202071"/>
    <w:rsid w:val="0020218D"/>
    <w:rsid w:val="00202526"/>
    <w:rsid w:val="00202630"/>
    <w:rsid w:val="00202E5F"/>
    <w:rsid w:val="00203040"/>
    <w:rsid w:val="00203245"/>
    <w:rsid w:val="0020347C"/>
    <w:rsid w:val="00203BF2"/>
    <w:rsid w:val="00203DDE"/>
    <w:rsid w:val="00203F86"/>
    <w:rsid w:val="00204B9A"/>
    <w:rsid w:val="00205147"/>
    <w:rsid w:val="002052DF"/>
    <w:rsid w:val="00205E1A"/>
    <w:rsid w:val="0020639B"/>
    <w:rsid w:val="00206438"/>
    <w:rsid w:val="002066DB"/>
    <w:rsid w:val="00206EDF"/>
    <w:rsid w:val="002075B9"/>
    <w:rsid w:val="002078B0"/>
    <w:rsid w:val="0020796B"/>
    <w:rsid w:val="00210FE5"/>
    <w:rsid w:val="002110C6"/>
    <w:rsid w:val="0021143E"/>
    <w:rsid w:val="00211A18"/>
    <w:rsid w:val="002128E4"/>
    <w:rsid w:val="002129FC"/>
    <w:rsid w:val="00212E53"/>
    <w:rsid w:val="002140E4"/>
    <w:rsid w:val="002145D9"/>
    <w:rsid w:val="00214AD6"/>
    <w:rsid w:val="002156BB"/>
    <w:rsid w:val="0021578D"/>
    <w:rsid w:val="00216755"/>
    <w:rsid w:val="00216F46"/>
    <w:rsid w:val="00217328"/>
    <w:rsid w:val="00217D16"/>
    <w:rsid w:val="00217E5F"/>
    <w:rsid w:val="002200B8"/>
    <w:rsid w:val="00220205"/>
    <w:rsid w:val="0022088E"/>
    <w:rsid w:val="00220DA3"/>
    <w:rsid w:val="0022145D"/>
    <w:rsid w:val="00221562"/>
    <w:rsid w:val="002215FB"/>
    <w:rsid w:val="00221F9F"/>
    <w:rsid w:val="002222D8"/>
    <w:rsid w:val="00222DAC"/>
    <w:rsid w:val="0022313C"/>
    <w:rsid w:val="002237DE"/>
    <w:rsid w:val="00223DCB"/>
    <w:rsid w:val="002247E4"/>
    <w:rsid w:val="00224B8F"/>
    <w:rsid w:val="00224D07"/>
    <w:rsid w:val="00224ECB"/>
    <w:rsid w:val="00225252"/>
    <w:rsid w:val="002252A5"/>
    <w:rsid w:val="0022598D"/>
    <w:rsid w:val="0022614F"/>
    <w:rsid w:val="00226448"/>
    <w:rsid w:val="0022692A"/>
    <w:rsid w:val="00226DBC"/>
    <w:rsid w:val="00226F8D"/>
    <w:rsid w:val="0022771A"/>
    <w:rsid w:val="0022794D"/>
    <w:rsid w:val="00230042"/>
    <w:rsid w:val="002302BA"/>
    <w:rsid w:val="0023081B"/>
    <w:rsid w:val="00230BFA"/>
    <w:rsid w:val="00230D4F"/>
    <w:rsid w:val="00231227"/>
    <w:rsid w:val="00231540"/>
    <w:rsid w:val="002317AD"/>
    <w:rsid w:val="0023184A"/>
    <w:rsid w:val="00231A71"/>
    <w:rsid w:val="00231E00"/>
    <w:rsid w:val="002324D7"/>
    <w:rsid w:val="002325C8"/>
    <w:rsid w:val="00232A73"/>
    <w:rsid w:val="00233C4D"/>
    <w:rsid w:val="00233C65"/>
    <w:rsid w:val="002341F9"/>
    <w:rsid w:val="002342F8"/>
    <w:rsid w:val="002344A6"/>
    <w:rsid w:val="00234DBB"/>
    <w:rsid w:val="00235703"/>
    <w:rsid w:val="00235CFF"/>
    <w:rsid w:val="00236291"/>
    <w:rsid w:val="00236588"/>
    <w:rsid w:val="00236D2B"/>
    <w:rsid w:val="00236EB5"/>
    <w:rsid w:val="00237134"/>
    <w:rsid w:val="002371D3"/>
    <w:rsid w:val="0023733D"/>
    <w:rsid w:val="00237718"/>
    <w:rsid w:val="002377C1"/>
    <w:rsid w:val="00237A0E"/>
    <w:rsid w:val="00237CA9"/>
    <w:rsid w:val="00237E4B"/>
    <w:rsid w:val="00240089"/>
    <w:rsid w:val="002403C3"/>
    <w:rsid w:val="002403C8"/>
    <w:rsid w:val="002404F4"/>
    <w:rsid w:val="00240759"/>
    <w:rsid w:val="002407AB"/>
    <w:rsid w:val="00240B52"/>
    <w:rsid w:val="00240FE9"/>
    <w:rsid w:val="00241131"/>
    <w:rsid w:val="002413DC"/>
    <w:rsid w:val="0024145D"/>
    <w:rsid w:val="00241A44"/>
    <w:rsid w:val="002424C0"/>
    <w:rsid w:val="00242566"/>
    <w:rsid w:val="00242A05"/>
    <w:rsid w:val="00242C1B"/>
    <w:rsid w:val="00242FBF"/>
    <w:rsid w:val="0024332F"/>
    <w:rsid w:val="00243579"/>
    <w:rsid w:val="002436C6"/>
    <w:rsid w:val="00243A0F"/>
    <w:rsid w:val="00243CC8"/>
    <w:rsid w:val="00243DCE"/>
    <w:rsid w:val="00243E43"/>
    <w:rsid w:val="00243EBE"/>
    <w:rsid w:val="00243F6C"/>
    <w:rsid w:val="00243FDE"/>
    <w:rsid w:val="002441F1"/>
    <w:rsid w:val="002442FD"/>
    <w:rsid w:val="0024431C"/>
    <w:rsid w:val="002444D1"/>
    <w:rsid w:val="00244940"/>
    <w:rsid w:val="002449C5"/>
    <w:rsid w:val="002449D7"/>
    <w:rsid w:val="00244DB9"/>
    <w:rsid w:val="002450C5"/>
    <w:rsid w:val="00245166"/>
    <w:rsid w:val="00245830"/>
    <w:rsid w:val="00245E42"/>
    <w:rsid w:val="0024619C"/>
    <w:rsid w:val="00246972"/>
    <w:rsid w:val="00246C6F"/>
    <w:rsid w:val="002474E7"/>
    <w:rsid w:val="002476EB"/>
    <w:rsid w:val="00247EFC"/>
    <w:rsid w:val="0025004D"/>
    <w:rsid w:val="00250266"/>
    <w:rsid w:val="00250E5B"/>
    <w:rsid w:val="002513C9"/>
    <w:rsid w:val="002519D6"/>
    <w:rsid w:val="00252865"/>
    <w:rsid w:val="00254062"/>
    <w:rsid w:val="002545A7"/>
    <w:rsid w:val="00254B34"/>
    <w:rsid w:val="00254C83"/>
    <w:rsid w:val="002557F5"/>
    <w:rsid w:val="002559BF"/>
    <w:rsid w:val="00256051"/>
    <w:rsid w:val="002562F0"/>
    <w:rsid w:val="0025695C"/>
    <w:rsid w:val="00257E33"/>
    <w:rsid w:val="00257F01"/>
    <w:rsid w:val="002606FD"/>
    <w:rsid w:val="00260751"/>
    <w:rsid w:val="00260EB7"/>
    <w:rsid w:val="00260F0A"/>
    <w:rsid w:val="002617ED"/>
    <w:rsid w:val="00262305"/>
    <w:rsid w:val="00262389"/>
    <w:rsid w:val="00262AC5"/>
    <w:rsid w:val="0026322E"/>
    <w:rsid w:val="0026345C"/>
    <w:rsid w:val="0026391A"/>
    <w:rsid w:val="00263CF0"/>
    <w:rsid w:val="00263F7A"/>
    <w:rsid w:val="0026409C"/>
    <w:rsid w:val="0026435B"/>
    <w:rsid w:val="0026447A"/>
    <w:rsid w:val="0026463F"/>
    <w:rsid w:val="0026527C"/>
    <w:rsid w:val="0026530A"/>
    <w:rsid w:val="0026540B"/>
    <w:rsid w:val="0026542C"/>
    <w:rsid w:val="002654CE"/>
    <w:rsid w:val="0026570D"/>
    <w:rsid w:val="00265F10"/>
    <w:rsid w:val="00265F6B"/>
    <w:rsid w:val="002661E2"/>
    <w:rsid w:val="002665F4"/>
    <w:rsid w:val="00266BBA"/>
    <w:rsid w:val="00266E5A"/>
    <w:rsid w:val="002679DA"/>
    <w:rsid w:val="00267EBC"/>
    <w:rsid w:val="00270867"/>
    <w:rsid w:val="00270A61"/>
    <w:rsid w:val="00271C79"/>
    <w:rsid w:val="0027221C"/>
    <w:rsid w:val="0027249F"/>
    <w:rsid w:val="00272766"/>
    <w:rsid w:val="002728D9"/>
    <w:rsid w:val="002736B3"/>
    <w:rsid w:val="002737BD"/>
    <w:rsid w:val="0027391C"/>
    <w:rsid w:val="00273BC5"/>
    <w:rsid w:val="0027408B"/>
    <w:rsid w:val="002741EE"/>
    <w:rsid w:val="002742B1"/>
    <w:rsid w:val="002745E7"/>
    <w:rsid w:val="0027466E"/>
    <w:rsid w:val="00275466"/>
    <w:rsid w:val="002754FA"/>
    <w:rsid w:val="00276206"/>
    <w:rsid w:val="00276631"/>
    <w:rsid w:val="002767C9"/>
    <w:rsid w:val="00276E73"/>
    <w:rsid w:val="002770D1"/>
    <w:rsid w:val="0027723E"/>
    <w:rsid w:val="00277606"/>
    <w:rsid w:val="002778A9"/>
    <w:rsid w:val="00277A07"/>
    <w:rsid w:val="00277B17"/>
    <w:rsid w:val="00277C2F"/>
    <w:rsid w:val="00280129"/>
    <w:rsid w:val="0028068C"/>
    <w:rsid w:val="00280B9C"/>
    <w:rsid w:val="00280ED2"/>
    <w:rsid w:val="002813DB"/>
    <w:rsid w:val="0028258E"/>
    <w:rsid w:val="00282B9E"/>
    <w:rsid w:val="00283900"/>
    <w:rsid w:val="00283A99"/>
    <w:rsid w:val="00283F65"/>
    <w:rsid w:val="0028407B"/>
    <w:rsid w:val="002842ED"/>
    <w:rsid w:val="00284421"/>
    <w:rsid w:val="00284A29"/>
    <w:rsid w:val="00285139"/>
    <w:rsid w:val="00285229"/>
    <w:rsid w:val="00285580"/>
    <w:rsid w:val="0028558C"/>
    <w:rsid w:val="002859E4"/>
    <w:rsid w:val="00285A11"/>
    <w:rsid w:val="00285F03"/>
    <w:rsid w:val="0028600F"/>
    <w:rsid w:val="002861AE"/>
    <w:rsid w:val="002865C5"/>
    <w:rsid w:val="002869F8"/>
    <w:rsid w:val="00287197"/>
    <w:rsid w:val="002873AD"/>
    <w:rsid w:val="0028774A"/>
    <w:rsid w:val="0028787E"/>
    <w:rsid w:val="0028798C"/>
    <w:rsid w:val="00287BCA"/>
    <w:rsid w:val="00290092"/>
    <w:rsid w:val="002908C9"/>
    <w:rsid w:val="00290D5B"/>
    <w:rsid w:val="0029141B"/>
    <w:rsid w:val="0029146C"/>
    <w:rsid w:val="00291CE8"/>
    <w:rsid w:val="00292115"/>
    <w:rsid w:val="00292756"/>
    <w:rsid w:val="00292968"/>
    <w:rsid w:val="0029297B"/>
    <w:rsid w:val="00292B35"/>
    <w:rsid w:val="00292F0C"/>
    <w:rsid w:val="002933A5"/>
    <w:rsid w:val="00293433"/>
    <w:rsid w:val="002934D5"/>
    <w:rsid w:val="002939AB"/>
    <w:rsid w:val="0029478B"/>
    <w:rsid w:val="00294801"/>
    <w:rsid w:val="00294B10"/>
    <w:rsid w:val="00295091"/>
    <w:rsid w:val="00295214"/>
    <w:rsid w:val="002954BB"/>
    <w:rsid w:val="002955AE"/>
    <w:rsid w:val="002958F7"/>
    <w:rsid w:val="00295CDD"/>
    <w:rsid w:val="00295E89"/>
    <w:rsid w:val="002961AA"/>
    <w:rsid w:val="002965E1"/>
    <w:rsid w:val="00296B00"/>
    <w:rsid w:val="00296C36"/>
    <w:rsid w:val="00296C50"/>
    <w:rsid w:val="00297823"/>
    <w:rsid w:val="00297BA9"/>
    <w:rsid w:val="00297C6C"/>
    <w:rsid w:val="00297DAD"/>
    <w:rsid w:val="002A0061"/>
    <w:rsid w:val="002A05F5"/>
    <w:rsid w:val="002A0619"/>
    <w:rsid w:val="002A0C6F"/>
    <w:rsid w:val="002A0DF2"/>
    <w:rsid w:val="002A115C"/>
    <w:rsid w:val="002A11B4"/>
    <w:rsid w:val="002A1288"/>
    <w:rsid w:val="002A184D"/>
    <w:rsid w:val="002A1B88"/>
    <w:rsid w:val="002A1C8E"/>
    <w:rsid w:val="002A2018"/>
    <w:rsid w:val="002A229E"/>
    <w:rsid w:val="002A251D"/>
    <w:rsid w:val="002A2523"/>
    <w:rsid w:val="002A259F"/>
    <w:rsid w:val="002A2DA8"/>
    <w:rsid w:val="002A2F10"/>
    <w:rsid w:val="002A3622"/>
    <w:rsid w:val="002A39A8"/>
    <w:rsid w:val="002A3C94"/>
    <w:rsid w:val="002A4035"/>
    <w:rsid w:val="002A431B"/>
    <w:rsid w:val="002A4FF4"/>
    <w:rsid w:val="002A58E0"/>
    <w:rsid w:val="002A58FD"/>
    <w:rsid w:val="002A5A44"/>
    <w:rsid w:val="002A5B31"/>
    <w:rsid w:val="002A5E6E"/>
    <w:rsid w:val="002A5EDF"/>
    <w:rsid w:val="002A5F8A"/>
    <w:rsid w:val="002A6141"/>
    <w:rsid w:val="002A6523"/>
    <w:rsid w:val="002A6B6C"/>
    <w:rsid w:val="002A6B90"/>
    <w:rsid w:val="002A6D00"/>
    <w:rsid w:val="002A701A"/>
    <w:rsid w:val="002A7350"/>
    <w:rsid w:val="002A73C5"/>
    <w:rsid w:val="002A7F15"/>
    <w:rsid w:val="002B0064"/>
    <w:rsid w:val="002B0661"/>
    <w:rsid w:val="002B0B89"/>
    <w:rsid w:val="002B10A3"/>
    <w:rsid w:val="002B16AE"/>
    <w:rsid w:val="002B1BC2"/>
    <w:rsid w:val="002B1D6F"/>
    <w:rsid w:val="002B2389"/>
    <w:rsid w:val="002B256F"/>
    <w:rsid w:val="002B281B"/>
    <w:rsid w:val="002B2BAE"/>
    <w:rsid w:val="002B2E4E"/>
    <w:rsid w:val="002B3577"/>
    <w:rsid w:val="002B35CC"/>
    <w:rsid w:val="002B3A62"/>
    <w:rsid w:val="002B4727"/>
    <w:rsid w:val="002B506F"/>
    <w:rsid w:val="002B5403"/>
    <w:rsid w:val="002B5803"/>
    <w:rsid w:val="002B5F8D"/>
    <w:rsid w:val="002B6507"/>
    <w:rsid w:val="002B65FA"/>
    <w:rsid w:val="002B691F"/>
    <w:rsid w:val="002B69C5"/>
    <w:rsid w:val="002B6F5E"/>
    <w:rsid w:val="002B7093"/>
    <w:rsid w:val="002B7349"/>
    <w:rsid w:val="002B7C19"/>
    <w:rsid w:val="002B7CA3"/>
    <w:rsid w:val="002B7E32"/>
    <w:rsid w:val="002C001F"/>
    <w:rsid w:val="002C0134"/>
    <w:rsid w:val="002C03C1"/>
    <w:rsid w:val="002C0802"/>
    <w:rsid w:val="002C1117"/>
    <w:rsid w:val="002C1A98"/>
    <w:rsid w:val="002C1F46"/>
    <w:rsid w:val="002C2469"/>
    <w:rsid w:val="002C2B41"/>
    <w:rsid w:val="002C2B81"/>
    <w:rsid w:val="002C2E7C"/>
    <w:rsid w:val="002C3192"/>
    <w:rsid w:val="002C34AE"/>
    <w:rsid w:val="002C3847"/>
    <w:rsid w:val="002C3AE7"/>
    <w:rsid w:val="002C3FFE"/>
    <w:rsid w:val="002C40EF"/>
    <w:rsid w:val="002C41E8"/>
    <w:rsid w:val="002C43D4"/>
    <w:rsid w:val="002C44CC"/>
    <w:rsid w:val="002C461E"/>
    <w:rsid w:val="002C4732"/>
    <w:rsid w:val="002C4A56"/>
    <w:rsid w:val="002C521D"/>
    <w:rsid w:val="002C544F"/>
    <w:rsid w:val="002C58DC"/>
    <w:rsid w:val="002C66BD"/>
    <w:rsid w:val="002C67EF"/>
    <w:rsid w:val="002C6B64"/>
    <w:rsid w:val="002C710A"/>
    <w:rsid w:val="002C7317"/>
    <w:rsid w:val="002C795E"/>
    <w:rsid w:val="002C7BA0"/>
    <w:rsid w:val="002C7D80"/>
    <w:rsid w:val="002D0380"/>
    <w:rsid w:val="002D0413"/>
    <w:rsid w:val="002D07CF"/>
    <w:rsid w:val="002D0B0C"/>
    <w:rsid w:val="002D0F9A"/>
    <w:rsid w:val="002D12C0"/>
    <w:rsid w:val="002D2BB3"/>
    <w:rsid w:val="002D2F29"/>
    <w:rsid w:val="002D303F"/>
    <w:rsid w:val="002D33B8"/>
    <w:rsid w:val="002D3644"/>
    <w:rsid w:val="002D3915"/>
    <w:rsid w:val="002D3923"/>
    <w:rsid w:val="002D3BF8"/>
    <w:rsid w:val="002D3CEF"/>
    <w:rsid w:val="002D3D17"/>
    <w:rsid w:val="002D4A58"/>
    <w:rsid w:val="002D4E25"/>
    <w:rsid w:val="002D4F9A"/>
    <w:rsid w:val="002D5140"/>
    <w:rsid w:val="002D5A22"/>
    <w:rsid w:val="002D5EEE"/>
    <w:rsid w:val="002D5F29"/>
    <w:rsid w:val="002D6298"/>
    <w:rsid w:val="002D6304"/>
    <w:rsid w:val="002D6B47"/>
    <w:rsid w:val="002D6CEC"/>
    <w:rsid w:val="002D6E9E"/>
    <w:rsid w:val="002D7115"/>
    <w:rsid w:val="002E018E"/>
    <w:rsid w:val="002E0419"/>
    <w:rsid w:val="002E04D7"/>
    <w:rsid w:val="002E06F8"/>
    <w:rsid w:val="002E07B5"/>
    <w:rsid w:val="002E0E28"/>
    <w:rsid w:val="002E1166"/>
    <w:rsid w:val="002E11F7"/>
    <w:rsid w:val="002E17D2"/>
    <w:rsid w:val="002E1C6B"/>
    <w:rsid w:val="002E2537"/>
    <w:rsid w:val="002E2768"/>
    <w:rsid w:val="002E2F96"/>
    <w:rsid w:val="002E397C"/>
    <w:rsid w:val="002E4052"/>
    <w:rsid w:val="002E4282"/>
    <w:rsid w:val="002E43EA"/>
    <w:rsid w:val="002E475C"/>
    <w:rsid w:val="002E49DD"/>
    <w:rsid w:val="002E4C65"/>
    <w:rsid w:val="002E52A5"/>
    <w:rsid w:val="002E556A"/>
    <w:rsid w:val="002E582F"/>
    <w:rsid w:val="002E5A2C"/>
    <w:rsid w:val="002E5B2D"/>
    <w:rsid w:val="002E5F30"/>
    <w:rsid w:val="002E6484"/>
    <w:rsid w:val="002E6494"/>
    <w:rsid w:val="002E6551"/>
    <w:rsid w:val="002E675E"/>
    <w:rsid w:val="002E67D3"/>
    <w:rsid w:val="002E69B5"/>
    <w:rsid w:val="002E6A0C"/>
    <w:rsid w:val="002E6C84"/>
    <w:rsid w:val="002E7679"/>
    <w:rsid w:val="002E76CF"/>
    <w:rsid w:val="002F0056"/>
    <w:rsid w:val="002F0157"/>
    <w:rsid w:val="002F0243"/>
    <w:rsid w:val="002F1EAE"/>
    <w:rsid w:val="002F2057"/>
    <w:rsid w:val="002F22D3"/>
    <w:rsid w:val="002F2422"/>
    <w:rsid w:val="002F246F"/>
    <w:rsid w:val="002F2B39"/>
    <w:rsid w:val="002F2F28"/>
    <w:rsid w:val="002F32BA"/>
    <w:rsid w:val="002F3767"/>
    <w:rsid w:val="002F40CB"/>
    <w:rsid w:val="002F4630"/>
    <w:rsid w:val="002F4645"/>
    <w:rsid w:val="002F47B9"/>
    <w:rsid w:val="002F5035"/>
    <w:rsid w:val="002F548E"/>
    <w:rsid w:val="002F5533"/>
    <w:rsid w:val="002F56EB"/>
    <w:rsid w:val="002F59B0"/>
    <w:rsid w:val="002F66BF"/>
    <w:rsid w:val="002F6910"/>
    <w:rsid w:val="002F6929"/>
    <w:rsid w:val="002F7552"/>
    <w:rsid w:val="002F7A9F"/>
    <w:rsid w:val="002F7E9E"/>
    <w:rsid w:val="003002A0"/>
    <w:rsid w:val="003002CA"/>
    <w:rsid w:val="00301272"/>
    <w:rsid w:val="003025B1"/>
    <w:rsid w:val="00302A36"/>
    <w:rsid w:val="00302B01"/>
    <w:rsid w:val="00302DFB"/>
    <w:rsid w:val="0030358E"/>
    <w:rsid w:val="00303B5B"/>
    <w:rsid w:val="0030415F"/>
    <w:rsid w:val="00304891"/>
    <w:rsid w:val="00304A9D"/>
    <w:rsid w:val="00304F24"/>
    <w:rsid w:val="003053C0"/>
    <w:rsid w:val="00305693"/>
    <w:rsid w:val="00305DB3"/>
    <w:rsid w:val="003065C6"/>
    <w:rsid w:val="00306ADC"/>
    <w:rsid w:val="00306D75"/>
    <w:rsid w:val="00306EE3"/>
    <w:rsid w:val="003072E1"/>
    <w:rsid w:val="0030737F"/>
    <w:rsid w:val="00307844"/>
    <w:rsid w:val="0030795D"/>
    <w:rsid w:val="00307AF7"/>
    <w:rsid w:val="0031017E"/>
    <w:rsid w:val="003101EE"/>
    <w:rsid w:val="0031083C"/>
    <w:rsid w:val="00310CEA"/>
    <w:rsid w:val="00310E02"/>
    <w:rsid w:val="003110A3"/>
    <w:rsid w:val="003114CF"/>
    <w:rsid w:val="00311635"/>
    <w:rsid w:val="0031205C"/>
    <w:rsid w:val="00312114"/>
    <w:rsid w:val="00312204"/>
    <w:rsid w:val="003123E6"/>
    <w:rsid w:val="003126F6"/>
    <w:rsid w:val="003127EE"/>
    <w:rsid w:val="00312980"/>
    <w:rsid w:val="00312E10"/>
    <w:rsid w:val="00312E23"/>
    <w:rsid w:val="00313076"/>
    <w:rsid w:val="00313257"/>
    <w:rsid w:val="00313891"/>
    <w:rsid w:val="00314163"/>
    <w:rsid w:val="003141D4"/>
    <w:rsid w:val="00314225"/>
    <w:rsid w:val="003142DE"/>
    <w:rsid w:val="0031440B"/>
    <w:rsid w:val="00314969"/>
    <w:rsid w:val="00314CC7"/>
    <w:rsid w:val="00314D58"/>
    <w:rsid w:val="003151A7"/>
    <w:rsid w:val="00315666"/>
    <w:rsid w:val="00315A32"/>
    <w:rsid w:val="003160BC"/>
    <w:rsid w:val="00316681"/>
    <w:rsid w:val="00316690"/>
    <w:rsid w:val="0031669B"/>
    <w:rsid w:val="00316734"/>
    <w:rsid w:val="0031674E"/>
    <w:rsid w:val="00316D2B"/>
    <w:rsid w:val="00316F13"/>
    <w:rsid w:val="0031721E"/>
    <w:rsid w:val="003173AD"/>
    <w:rsid w:val="0031775F"/>
    <w:rsid w:val="00317BC1"/>
    <w:rsid w:val="00317F66"/>
    <w:rsid w:val="003205D3"/>
    <w:rsid w:val="00320C39"/>
    <w:rsid w:val="00320D71"/>
    <w:rsid w:val="00321018"/>
    <w:rsid w:val="00321235"/>
    <w:rsid w:val="0032129D"/>
    <w:rsid w:val="00321A54"/>
    <w:rsid w:val="00321C87"/>
    <w:rsid w:val="0032207E"/>
    <w:rsid w:val="00322498"/>
    <w:rsid w:val="00322554"/>
    <w:rsid w:val="00322C07"/>
    <w:rsid w:val="00322C0A"/>
    <w:rsid w:val="00322E80"/>
    <w:rsid w:val="003232C7"/>
    <w:rsid w:val="00323686"/>
    <w:rsid w:val="00323A67"/>
    <w:rsid w:val="00323E61"/>
    <w:rsid w:val="00324008"/>
    <w:rsid w:val="00324C8F"/>
    <w:rsid w:val="003257FD"/>
    <w:rsid w:val="003259D3"/>
    <w:rsid w:val="00325A38"/>
    <w:rsid w:val="00325D0A"/>
    <w:rsid w:val="00326220"/>
    <w:rsid w:val="00326452"/>
    <w:rsid w:val="00326866"/>
    <w:rsid w:val="00326936"/>
    <w:rsid w:val="0032702F"/>
    <w:rsid w:val="00327AE8"/>
    <w:rsid w:val="00330124"/>
    <w:rsid w:val="003301B6"/>
    <w:rsid w:val="003304CD"/>
    <w:rsid w:val="00330F67"/>
    <w:rsid w:val="0033100C"/>
    <w:rsid w:val="00331F03"/>
    <w:rsid w:val="00331F76"/>
    <w:rsid w:val="003328F1"/>
    <w:rsid w:val="00332AC1"/>
    <w:rsid w:val="00332E44"/>
    <w:rsid w:val="00333218"/>
    <w:rsid w:val="003338A7"/>
    <w:rsid w:val="00333EEF"/>
    <w:rsid w:val="003343A9"/>
    <w:rsid w:val="003346C2"/>
    <w:rsid w:val="00334708"/>
    <w:rsid w:val="00334BCE"/>
    <w:rsid w:val="00335647"/>
    <w:rsid w:val="003359C1"/>
    <w:rsid w:val="00335ED9"/>
    <w:rsid w:val="003362A1"/>
    <w:rsid w:val="003364CA"/>
    <w:rsid w:val="00336584"/>
    <w:rsid w:val="00336B73"/>
    <w:rsid w:val="003370AC"/>
    <w:rsid w:val="00337123"/>
    <w:rsid w:val="00337253"/>
    <w:rsid w:val="003374F0"/>
    <w:rsid w:val="00337E89"/>
    <w:rsid w:val="00340359"/>
    <w:rsid w:val="00340867"/>
    <w:rsid w:val="00341353"/>
    <w:rsid w:val="00341511"/>
    <w:rsid w:val="00341530"/>
    <w:rsid w:val="003415FC"/>
    <w:rsid w:val="003419E5"/>
    <w:rsid w:val="00341BBE"/>
    <w:rsid w:val="00342429"/>
    <w:rsid w:val="003425F1"/>
    <w:rsid w:val="003427D6"/>
    <w:rsid w:val="00342B2C"/>
    <w:rsid w:val="00342CA3"/>
    <w:rsid w:val="00342D38"/>
    <w:rsid w:val="00342EE4"/>
    <w:rsid w:val="0034323B"/>
    <w:rsid w:val="003433EA"/>
    <w:rsid w:val="0034355A"/>
    <w:rsid w:val="0034371D"/>
    <w:rsid w:val="00343B33"/>
    <w:rsid w:val="00343CA4"/>
    <w:rsid w:val="00343EB2"/>
    <w:rsid w:val="00343EF1"/>
    <w:rsid w:val="0034410C"/>
    <w:rsid w:val="00344964"/>
    <w:rsid w:val="00344D17"/>
    <w:rsid w:val="00344EE1"/>
    <w:rsid w:val="00344F5A"/>
    <w:rsid w:val="003451D7"/>
    <w:rsid w:val="00345331"/>
    <w:rsid w:val="00345409"/>
    <w:rsid w:val="00345A77"/>
    <w:rsid w:val="00345D83"/>
    <w:rsid w:val="00345E93"/>
    <w:rsid w:val="00347314"/>
    <w:rsid w:val="00347839"/>
    <w:rsid w:val="0034796E"/>
    <w:rsid w:val="00351038"/>
    <w:rsid w:val="00351A7B"/>
    <w:rsid w:val="003527A7"/>
    <w:rsid w:val="00352A90"/>
    <w:rsid w:val="00352AD4"/>
    <w:rsid w:val="003532CD"/>
    <w:rsid w:val="0035365E"/>
    <w:rsid w:val="0035391F"/>
    <w:rsid w:val="00353DE2"/>
    <w:rsid w:val="0035414E"/>
    <w:rsid w:val="003543C9"/>
    <w:rsid w:val="003543E8"/>
    <w:rsid w:val="003545F1"/>
    <w:rsid w:val="00354656"/>
    <w:rsid w:val="003548B1"/>
    <w:rsid w:val="0035499B"/>
    <w:rsid w:val="00354AE1"/>
    <w:rsid w:val="003550A9"/>
    <w:rsid w:val="00355A52"/>
    <w:rsid w:val="00355EAC"/>
    <w:rsid w:val="00355F5D"/>
    <w:rsid w:val="00356057"/>
    <w:rsid w:val="00356F6F"/>
    <w:rsid w:val="00357279"/>
    <w:rsid w:val="00357332"/>
    <w:rsid w:val="00357684"/>
    <w:rsid w:val="003579CE"/>
    <w:rsid w:val="003603AC"/>
    <w:rsid w:val="003612FD"/>
    <w:rsid w:val="003614F0"/>
    <w:rsid w:val="003618E3"/>
    <w:rsid w:val="00361C9F"/>
    <w:rsid w:val="00362157"/>
    <w:rsid w:val="00362397"/>
    <w:rsid w:val="0036258B"/>
    <w:rsid w:val="00362631"/>
    <w:rsid w:val="00362717"/>
    <w:rsid w:val="00362760"/>
    <w:rsid w:val="00363530"/>
    <w:rsid w:val="003639DA"/>
    <w:rsid w:val="00364812"/>
    <w:rsid w:val="003648A8"/>
    <w:rsid w:val="003648B1"/>
    <w:rsid w:val="00364AA3"/>
    <w:rsid w:val="00365F21"/>
    <w:rsid w:val="00366011"/>
    <w:rsid w:val="00366C61"/>
    <w:rsid w:val="00366D91"/>
    <w:rsid w:val="00366DF7"/>
    <w:rsid w:val="00367251"/>
    <w:rsid w:val="00367499"/>
    <w:rsid w:val="00367855"/>
    <w:rsid w:val="00367A5D"/>
    <w:rsid w:val="00367B0C"/>
    <w:rsid w:val="00367C27"/>
    <w:rsid w:val="0037018F"/>
    <w:rsid w:val="0037038D"/>
    <w:rsid w:val="0037057F"/>
    <w:rsid w:val="003707EE"/>
    <w:rsid w:val="0037123E"/>
    <w:rsid w:val="00371636"/>
    <w:rsid w:val="003718D1"/>
    <w:rsid w:val="0037242F"/>
    <w:rsid w:val="00372A4D"/>
    <w:rsid w:val="00372ED9"/>
    <w:rsid w:val="00373353"/>
    <w:rsid w:val="00373871"/>
    <w:rsid w:val="003739D6"/>
    <w:rsid w:val="00373B0D"/>
    <w:rsid w:val="00373F4D"/>
    <w:rsid w:val="003747F5"/>
    <w:rsid w:val="00374B35"/>
    <w:rsid w:val="00375242"/>
    <w:rsid w:val="003753BD"/>
    <w:rsid w:val="00375B53"/>
    <w:rsid w:val="00375E12"/>
    <w:rsid w:val="00376060"/>
    <w:rsid w:val="003762C4"/>
    <w:rsid w:val="003768F9"/>
    <w:rsid w:val="00376B7D"/>
    <w:rsid w:val="00376DD1"/>
    <w:rsid w:val="003770A9"/>
    <w:rsid w:val="00377913"/>
    <w:rsid w:val="00377A29"/>
    <w:rsid w:val="0038008A"/>
    <w:rsid w:val="003800C0"/>
    <w:rsid w:val="003803D8"/>
    <w:rsid w:val="003804F3"/>
    <w:rsid w:val="0038098D"/>
    <w:rsid w:val="00381CEE"/>
    <w:rsid w:val="0038213A"/>
    <w:rsid w:val="003824EA"/>
    <w:rsid w:val="00382A5F"/>
    <w:rsid w:val="00382A9B"/>
    <w:rsid w:val="00382B17"/>
    <w:rsid w:val="00382F4A"/>
    <w:rsid w:val="00383395"/>
    <w:rsid w:val="003834F2"/>
    <w:rsid w:val="0038352E"/>
    <w:rsid w:val="00383692"/>
    <w:rsid w:val="00383717"/>
    <w:rsid w:val="00383723"/>
    <w:rsid w:val="0038378F"/>
    <w:rsid w:val="00383990"/>
    <w:rsid w:val="00383C37"/>
    <w:rsid w:val="0038462B"/>
    <w:rsid w:val="00384CE3"/>
    <w:rsid w:val="00384DDD"/>
    <w:rsid w:val="00384E73"/>
    <w:rsid w:val="003852A3"/>
    <w:rsid w:val="00385A66"/>
    <w:rsid w:val="00385CBA"/>
    <w:rsid w:val="00385FED"/>
    <w:rsid w:val="003862DE"/>
    <w:rsid w:val="0038630D"/>
    <w:rsid w:val="00386E06"/>
    <w:rsid w:val="00386E8B"/>
    <w:rsid w:val="003907D0"/>
    <w:rsid w:val="00390F85"/>
    <w:rsid w:val="0039100A"/>
    <w:rsid w:val="003911BB"/>
    <w:rsid w:val="00391873"/>
    <w:rsid w:val="00392AAA"/>
    <w:rsid w:val="00392C60"/>
    <w:rsid w:val="0039308E"/>
    <w:rsid w:val="003931B0"/>
    <w:rsid w:val="003939E7"/>
    <w:rsid w:val="00393CD9"/>
    <w:rsid w:val="0039435F"/>
    <w:rsid w:val="00394976"/>
    <w:rsid w:val="00394C5C"/>
    <w:rsid w:val="00395283"/>
    <w:rsid w:val="00395337"/>
    <w:rsid w:val="003955FD"/>
    <w:rsid w:val="00395914"/>
    <w:rsid w:val="0039708B"/>
    <w:rsid w:val="00397177"/>
    <w:rsid w:val="00397377"/>
    <w:rsid w:val="003974CA"/>
    <w:rsid w:val="003979C6"/>
    <w:rsid w:val="00397A38"/>
    <w:rsid w:val="00397BD8"/>
    <w:rsid w:val="00397DBB"/>
    <w:rsid w:val="00397E1C"/>
    <w:rsid w:val="003A01A1"/>
    <w:rsid w:val="003A01FC"/>
    <w:rsid w:val="003A02A5"/>
    <w:rsid w:val="003A1040"/>
    <w:rsid w:val="003A134B"/>
    <w:rsid w:val="003A144E"/>
    <w:rsid w:val="003A1529"/>
    <w:rsid w:val="003A1737"/>
    <w:rsid w:val="003A1BCB"/>
    <w:rsid w:val="003A1DB9"/>
    <w:rsid w:val="003A1E06"/>
    <w:rsid w:val="003A23A2"/>
    <w:rsid w:val="003A2697"/>
    <w:rsid w:val="003A2AB1"/>
    <w:rsid w:val="003A2C98"/>
    <w:rsid w:val="003A32B0"/>
    <w:rsid w:val="003A3396"/>
    <w:rsid w:val="003A34CA"/>
    <w:rsid w:val="003A35A5"/>
    <w:rsid w:val="003A3980"/>
    <w:rsid w:val="003A3A07"/>
    <w:rsid w:val="003A46FE"/>
    <w:rsid w:val="003A491C"/>
    <w:rsid w:val="003A4E3E"/>
    <w:rsid w:val="003A5C11"/>
    <w:rsid w:val="003A5D2B"/>
    <w:rsid w:val="003A6683"/>
    <w:rsid w:val="003A679F"/>
    <w:rsid w:val="003A6BA1"/>
    <w:rsid w:val="003A7038"/>
    <w:rsid w:val="003A7100"/>
    <w:rsid w:val="003A7368"/>
    <w:rsid w:val="003A769B"/>
    <w:rsid w:val="003A797A"/>
    <w:rsid w:val="003A79D2"/>
    <w:rsid w:val="003A7C02"/>
    <w:rsid w:val="003B0852"/>
    <w:rsid w:val="003B1200"/>
    <w:rsid w:val="003B14BB"/>
    <w:rsid w:val="003B193B"/>
    <w:rsid w:val="003B1A6E"/>
    <w:rsid w:val="003B1AC6"/>
    <w:rsid w:val="003B1DBB"/>
    <w:rsid w:val="003B22AB"/>
    <w:rsid w:val="003B2304"/>
    <w:rsid w:val="003B274F"/>
    <w:rsid w:val="003B2C29"/>
    <w:rsid w:val="003B445A"/>
    <w:rsid w:val="003B4D29"/>
    <w:rsid w:val="003B4EF2"/>
    <w:rsid w:val="003B55D6"/>
    <w:rsid w:val="003B57DC"/>
    <w:rsid w:val="003B59E4"/>
    <w:rsid w:val="003B610E"/>
    <w:rsid w:val="003B64EF"/>
    <w:rsid w:val="003B659A"/>
    <w:rsid w:val="003B67B6"/>
    <w:rsid w:val="003B68C6"/>
    <w:rsid w:val="003B6A90"/>
    <w:rsid w:val="003B6F26"/>
    <w:rsid w:val="003B7161"/>
    <w:rsid w:val="003B7654"/>
    <w:rsid w:val="003B7668"/>
    <w:rsid w:val="003B788E"/>
    <w:rsid w:val="003B79F1"/>
    <w:rsid w:val="003B7A74"/>
    <w:rsid w:val="003C0112"/>
    <w:rsid w:val="003C0724"/>
    <w:rsid w:val="003C077E"/>
    <w:rsid w:val="003C07C2"/>
    <w:rsid w:val="003C0BCA"/>
    <w:rsid w:val="003C0D17"/>
    <w:rsid w:val="003C11C2"/>
    <w:rsid w:val="003C1B31"/>
    <w:rsid w:val="003C1C8A"/>
    <w:rsid w:val="003C1DF8"/>
    <w:rsid w:val="003C235D"/>
    <w:rsid w:val="003C2604"/>
    <w:rsid w:val="003C2D9D"/>
    <w:rsid w:val="003C325C"/>
    <w:rsid w:val="003C3941"/>
    <w:rsid w:val="003C3D15"/>
    <w:rsid w:val="003C3D54"/>
    <w:rsid w:val="003C3F75"/>
    <w:rsid w:val="003C430D"/>
    <w:rsid w:val="003C4625"/>
    <w:rsid w:val="003C488B"/>
    <w:rsid w:val="003C4B7E"/>
    <w:rsid w:val="003C572D"/>
    <w:rsid w:val="003C57DF"/>
    <w:rsid w:val="003C5B4F"/>
    <w:rsid w:val="003C68EB"/>
    <w:rsid w:val="003C6A9E"/>
    <w:rsid w:val="003C6C9F"/>
    <w:rsid w:val="003C6CBE"/>
    <w:rsid w:val="003C789C"/>
    <w:rsid w:val="003C7FD9"/>
    <w:rsid w:val="003D03BD"/>
    <w:rsid w:val="003D0996"/>
    <w:rsid w:val="003D106F"/>
    <w:rsid w:val="003D1313"/>
    <w:rsid w:val="003D13A2"/>
    <w:rsid w:val="003D1AC1"/>
    <w:rsid w:val="003D1EB8"/>
    <w:rsid w:val="003D24A3"/>
    <w:rsid w:val="003D2790"/>
    <w:rsid w:val="003D2918"/>
    <w:rsid w:val="003D3196"/>
    <w:rsid w:val="003D3219"/>
    <w:rsid w:val="003D3910"/>
    <w:rsid w:val="003D3C1F"/>
    <w:rsid w:val="003D3D78"/>
    <w:rsid w:val="003D3DB4"/>
    <w:rsid w:val="003D4610"/>
    <w:rsid w:val="003D47CB"/>
    <w:rsid w:val="003D4AB9"/>
    <w:rsid w:val="003D4E6F"/>
    <w:rsid w:val="003D5631"/>
    <w:rsid w:val="003D5B38"/>
    <w:rsid w:val="003D5CC0"/>
    <w:rsid w:val="003D5DD0"/>
    <w:rsid w:val="003D5EBA"/>
    <w:rsid w:val="003D63AD"/>
    <w:rsid w:val="003D6738"/>
    <w:rsid w:val="003D67AF"/>
    <w:rsid w:val="003D6A88"/>
    <w:rsid w:val="003D6BEA"/>
    <w:rsid w:val="003D7182"/>
    <w:rsid w:val="003D7219"/>
    <w:rsid w:val="003D7732"/>
    <w:rsid w:val="003D7846"/>
    <w:rsid w:val="003E005B"/>
    <w:rsid w:val="003E010E"/>
    <w:rsid w:val="003E05FB"/>
    <w:rsid w:val="003E09E6"/>
    <w:rsid w:val="003E11B7"/>
    <w:rsid w:val="003E1593"/>
    <w:rsid w:val="003E1856"/>
    <w:rsid w:val="003E19F9"/>
    <w:rsid w:val="003E1DAC"/>
    <w:rsid w:val="003E1FA4"/>
    <w:rsid w:val="003E2768"/>
    <w:rsid w:val="003E27E8"/>
    <w:rsid w:val="003E2A33"/>
    <w:rsid w:val="003E2B22"/>
    <w:rsid w:val="003E3121"/>
    <w:rsid w:val="003E3273"/>
    <w:rsid w:val="003E328C"/>
    <w:rsid w:val="003E32C8"/>
    <w:rsid w:val="003E3C5A"/>
    <w:rsid w:val="003E3C62"/>
    <w:rsid w:val="003E3D7C"/>
    <w:rsid w:val="003E4551"/>
    <w:rsid w:val="003E4B11"/>
    <w:rsid w:val="003E4B9D"/>
    <w:rsid w:val="003E4BC9"/>
    <w:rsid w:val="003E4C8E"/>
    <w:rsid w:val="003E50E6"/>
    <w:rsid w:val="003E514A"/>
    <w:rsid w:val="003E5429"/>
    <w:rsid w:val="003E5770"/>
    <w:rsid w:val="003E5B1B"/>
    <w:rsid w:val="003E621D"/>
    <w:rsid w:val="003E6453"/>
    <w:rsid w:val="003E6620"/>
    <w:rsid w:val="003E6767"/>
    <w:rsid w:val="003E69B7"/>
    <w:rsid w:val="003E69F7"/>
    <w:rsid w:val="003E6EC9"/>
    <w:rsid w:val="003E7192"/>
    <w:rsid w:val="003E737D"/>
    <w:rsid w:val="003E7394"/>
    <w:rsid w:val="003E75B6"/>
    <w:rsid w:val="003E7CBD"/>
    <w:rsid w:val="003E7E52"/>
    <w:rsid w:val="003F01AE"/>
    <w:rsid w:val="003F0803"/>
    <w:rsid w:val="003F10C2"/>
    <w:rsid w:val="003F1171"/>
    <w:rsid w:val="003F1938"/>
    <w:rsid w:val="003F1B93"/>
    <w:rsid w:val="003F1F70"/>
    <w:rsid w:val="003F20CA"/>
    <w:rsid w:val="003F212A"/>
    <w:rsid w:val="003F2328"/>
    <w:rsid w:val="003F24AC"/>
    <w:rsid w:val="003F257A"/>
    <w:rsid w:val="003F28F2"/>
    <w:rsid w:val="003F295D"/>
    <w:rsid w:val="003F3472"/>
    <w:rsid w:val="003F42E5"/>
    <w:rsid w:val="003F4326"/>
    <w:rsid w:val="003F45BF"/>
    <w:rsid w:val="003F4734"/>
    <w:rsid w:val="003F4759"/>
    <w:rsid w:val="003F4832"/>
    <w:rsid w:val="003F4DA5"/>
    <w:rsid w:val="003F4F42"/>
    <w:rsid w:val="003F5578"/>
    <w:rsid w:val="003F577F"/>
    <w:rsid w:val="003F5AB4"/>
    <w:rsid w:val="003F5CB4"/>
    <w:rsid w:val="003F5CD0"/>
    <w:rsid w:val="003F6826"/>
    <w:rsid w:val="003F714E"/>
    <w:rsid w:val="003F758E"/>
    <w:rsid w:val="003F7D3B"/>
    <w:rsid w:val="003F7FBD"/>
    <w:rsid w:val="003F7FF7"/>
    <w:rsid w:val="00400359"/>
    <w:rsid w:val="00401153"/>
    <w:rsid w:val="004011A9"/>
    <w:rsid w:val="0040128F"/>
    <w:rsid w:val="004016B3"/>
    <w:rsid w:val="00401D27"/>
    <w:rsid w:val="00402070"/>
    <w:rsid w:val="00402192"/>
    <w:rsid w:val="004023A7"/>
    <w:rsid w:val="00402548"/>
    <w:rsid w:val="0040257D"/>
    <w:rsid w:val="0040307F"/>
    <w:rsid w:val="004038B9"/>
    <w:rsid w:val="00403E7C"/>
    <w:rsid w:val="004040A4"/>
    <w:rsid w:val="0040467E"/>
    <w:rsid w:val="0040496E"/>
    <w:rsid w:val="004050BA"/>
    <w:rsid w:val="00405532"/>
    <w:rsid w:val="0040564C"/>
    <w:rsid w:val="00405682"/>
    <w:rsid w:val="00405CE3"/>
    <w:rsid w:val="00405DA1"/>
    <w:rsid w:val="00405DB8"/>
    <w:rsid w:val="00406415"/>
    <w:rsid w:val="004065B9"/>
    <w:rsid w:val="00406AAE"/>
    <w:rsid w:val="00407246"/>
    <w:rsid w:val="00407B32"/>
    <w:rsid w:val="00407B43"/>
    <w:rsid w:val="00407B8D"/>
    <w:rsid w:val="00407CAA"/>
    <w:rsid w:val="00407DFA"/>
    <w:rsid w:val="004107D7"/>
    <w:rsid w:val="00410C1A"/>
    <w:rsid w:val="00410DFC"/>
    <w:rsid w:val="00410E4F"/>
    <w:rsid w:val="0041131C"/>
    <w:rsid w:val="00411496"/>
    <w:rsid w:val="004115DF"/>
    <w:rsid w:val="00411B73"/>
    <w:rsid w:val="00411C30"/>
    <w:rsid w:val="004126A5"/>
    <w:rsid w:val="00412BE7"/>
    <w:rsid w:val="00412CEB"/>
    <w:rsid w:val="00412D3C"/>
    <w:rsid w:val="00412F30"/>
    <w:rsid w:val="0041341C"/>
    <w:rsid w:val="00413ABF"/>
    <w:rsid w:val="00413B42"/>
    <w:rsid w:val="004144A1"/>
    <w:rsid w:val="004148CE"/>
    <w:rsid w:val="00414963"/>
    <w:rsid w:val="00415227"/>
    <w:rsid w:val="00415879"/>
    <w:rsid w:val="00415F54"/>
    <w:rsid w:val="004163AC"/>
    <w:rsid w:val="004171BD"/>
    <w:rsid w:val="00417206"/>
    <w:rsid w:val="00417224"/>
    <w:rsid w:val="004172D3"/>
    <w:rsid w:val="004173A2"/>
    <w:rsid w:val="00417B56"/>
    <w:rsid w:val="00417E4A"/>
    <w:rsid w:val="00420509"/>
    <w:rsid w:val="0042063F"/>
    <w:rsid w:val="00420A83"/>
    <w:rsid w:val="00420ED8"/>
    <w:rsid w:val="0042100A"/>
    <w:rsid w:val="00421782"/>
    <w:rsid w:val="00421886"/>
    <w:rsid w:val="00421AB9"/>
    <w:rsid w:val="00421E46"/>
    <w:rsid w:val="00422274"/>
    <w:rsid w:val="004224F2"/>
    <w:rsid w:val="00423231"/>
    <w:rsid w:val="004236F0"/>
    <w:rsid w:val="00423825"/>
    <w:rsid w:val="00424313"/>
    <w:rsid w:val="004244F6"/>
    <w:rsid w:val="00424D39"/>
    <w:rsid w:val="00424F2A"/>
    <w:rsid w:val="00425022"/>
    <w:rsid w:val="00425292"/>
    <w:rsid w:val="00425782"/>
    <w:rsid w:val="004259FB"/>
    <w:rsid w:val="00425D5B"/>
    <w:rsid w:val="0042620A"/>
    <w:rsid w:val="004264E1"/>
    <w:rsid w:val="0042677E"/>
    <w:rsid w:val="00426CCA"/>
    <w:rsid w:val="00426ED2"/>
    <w:rsid w:val="004277BE"/>
    <w:rsid w:val="004278A8"/>
    <w:rsid w:val="00430077"/>
    <w:rsid w:val="00430397"/>
    <w:rsid w:val="004306FE"/>
    <w:rsid w:val="004309DA"/>
    <w:rsid w:val="00430A4A"/>
    <w:rsid w:val="00430E4D"/>
    <w:rsid w:val="00430F5E"/>
    <w:rsid w:val="004318D9"/>
    <w:rsid w:val="00431D04"/>
    <w:rsid w:val="00431F52"/>
    <w:rsid w:val="004321C0"/>
    <w:rsid w:val="00432246"/>
    <w:rsid w:val="00432705"/>
    <w:rsid w:val="00432706"/>
    <w:rsid w:val="00432B02"/>
    <w:rsid w:val="00432B91"/>
    <w:rsid w:val="00433420"/>
    <w:rsid w:val="004335A0"/>
    <w:rsid w:val="00433650"/>
    <w:rsid w:val="004342F3"/>
    <w:rsid w:val="004342FE"/>
    <w:rsid w:val="0043440F"/>
    <w:rsid w:val="0043450D"/>
    <w:rsid w:val="004349DC"/>
    <w:rsid w:val="00434DA2"/>
    <w:rsid w:val="00435F80"/>
    <w:rsid w:val="00436319"/>
    <w:rsid w:val="00436BD3"/>
    <w:rsid w:val="00437424"/>
    <w:rsid w:val="0043767F"/>
    <w:rsid w:val="00437EB8"/>
    <w:rsid w:val="00437FA0"/>
    <w:rsid w:val="004401E2"/>
    <w:rsid w:val="00440597"/>
    <w:rsid w:val="004406A7"/>
    <w:rsid w:val="004409D8"/>
    <w:rsid w:val="00440EE9"/>
    <w:rsid w:val="00440F93"/>
    <w:rsid w:val="004414F5"/>
    <w:rsid w:val="00441787"/>
    <w:rsid w:val="00441A3A"/>
    <w:rsid w:val="00441BC7"/>
    <w:rsid w:val="00442177"/>
    <w:rsid w:val="004421DF"/>
    <w:rsid w:val="004422E5"/>
    <w:rsid w:val="00442832"/>
    <w:rsid w:val="00442E8E"/>
    <w:rsid w:val="004431D6"/>
    <w:rsid w:val="00443499"/>
    <w:rsid w:val="00443520"/>
    <w:rsid w:val="004438E8"/>
    <w:rsid w:val="004439BF"/>
    <w:rsid w:val="00443D8F"/>
    <w:rsid w:val="0044408E"/>
    <w:rsid w:val="0044421D"/>
    <w:rsid w:val="00444A8B"/>
    <w:rsid w:val="00444BF0"/>
    <w:rsid w:val="00444D69"/>
    <w:rsid w:val="00444F22"/>
    <w:rsid w:val="004451FD"/>
    <w:rsid w:val="00445318"/>
    <w:rsid w:val="004453A6"/>
    <w:rsid w:val="004454E0"/>
    <w:rsid w:val="00445852"/>
    <w:rsid w:val="0044605F"/>
    <w:rsid w:val="0044620F"/>
    <w:rsid w:val="004463EB"/>
    <w:rsid w:val="004469A0"/>
    <w:rsid w:val="00446B73"/>
    <w:rsid w:val="00446F0C"/>
    <w:rsid w:val="00446F48"/>
    <w:rsid w:val="00447771"/>
    <w:rsid w:val="00447A86"/>
    <w:rsid w:val="00447C00"/>
    <w:rsid w:val="00450079"/>
    <w:rsid w:val="004502D6"/>
    <w:rsid w:val="00450529"/>
    <w:rsid w:val="00450676"/>
    <w:rsid w:val="004509E8"/>
    <w:rsid w:val="00450CA4"/>
    <w:rsid w:val="00450DE9"/>
    <w:rsid w:val="0045124D"/>
    <w:rsid w:val="0045191A"/>
    <w:rsid w:val="00452676"/>
    <w:rsid w:val="0045296E"/>
    <w:rsid w:val="0045318B"/>
    <w:rsid w:val="004533B4"/>
    <w:rsid w:val="0045357F"/>
    <w:rsid w:val="0045388C"/>
    <w:rsid w:val="00453DC8"/>
    <w:rsid w:val="004542D3"/>
    <w:rsid w:val="00454CCC"/>
    <w:rsid w:val="00455A31"/>
    <w:rsid w:val="00455A9E"/>
    <w:rsid w:val="00455CC1"/>
    <w:rsid w:val="00455E7F"/>
    <w:rsid w:val="00455F48"/>
    <w:rsid w:val="00456077"/>
    <w:rsid w:val="00456464"/>
    <w:rsid w:val="0045650B"/>
    <w:rsid w:val="004566D2"/>
    <w:rsid w:val="00456CE7"/>
    <w:rsid w:val="00457E72"/>
    <w:rsid w:val="00457E88"/>
    <w:rsid w:val="00460564"/>
    <w:rsid w:val="004607CD"/>
    <w:rsid w:val="00460A31"/>
    <w:rsid w:val="00460EE8"/>
    <w:rsid w:val="00461038"/>
    <w:rsid w:val="0046129E"/>
    <w:rsid w:val="00461B16"/>
    <w:rsid w:val="00461E7C"/>
    <w:rsid w:val="0046203D"/>
    <w:rsid w:val="0046238B"/>
    <w:rsid w:val="00462FEB"/>
    <w:rsid w:val="004630CB"/>
    <w:rsid w:val="00463EFD"/>
    <w:rsid w:val="00464093"/>
    <w:rsid w:val="0046410A"/>
    <w:rsid w:val="00464300"/>
    <w:rsid w:val="0046481D"/>
    <w:rsid w:val="00464FE2"/>
    <w:rsid w:val="0046542D"/>
    <w:rsid w:val="004657EC"/>
    <w:rsid w:val="00465893"/>
    <w:rsid w:val="00465904"/>
    <w:rsid w:val="0046625C"/>
    <w:rsid w:val="00466318"/>
    <w:rsid w:val="0046631C"/>
    <w:rsid w:val="00466389"/>
    <w:rsid w:val="00466608"/>
    <w:rsid w:val="004667C5"/>
    <w:rsid w:val="004669EC"/>
    <w:rsid w:val="00466DE6"/>
    <w:rsid w:val="004671B1"/>
    <w:rsid w:val="004677DB"/>
    <w:rsid w:val="00467834"/>
    <w:rsid w:val="004678F4"/>
    <w:rsid w:val="0047020E"/>
    <w:rsid w:val="004711B0"/>
    <w:rsid w:val="004720CB"/>
    <w:rsid w:val="004720DF"/>
    <w:rsid w:val="004727B5"/>
    <w:rsid w:val="004728BC"/>
    <w:rsid w:val="00472D9C"/>
    <w:rsid w:val="0047309B"/>
    <w:rsid w:val="004733D1"/>
    <w:rsid w:val="00473437"/>
    <w:rsid w:val="00473A40"/>
    <w:rsid w:val="00474B10"/>
    <w:rsid w:val="00474B2E"/>
    <w:rsid w:val="004753D1"/>
    <w:rsid w:val="004755AD"/>
    <w:rsid w:val="00475C44"/>
    <w:rsid w:val="00475C9B"/>
    <w:rsid w:val="00475D88"/>
    <w:rsid w:val="004760CE"/>
    <w:rsid w:val="00476131"/>
    <w:rsid w:val="00476DBB"/>
    <w:rsid w:val="00476DD6"/>
    <w:rsid w:val="004775E8"/>
    <w:rsid w:val="00477A4D"/>
    <w:rsid w:val="00477D29"/>
    <w:rsid w:val="0048030B"/>
    <w:rsid w:val="00480C12"/>
    <w:rsid w:val="00480F07"/>
    <w:rsid w:val="00481782"/>
    <w:rsid w:val="00482B67"/>
    <w:rsid w:val="004834B1"/>
    <w:rsid w:val="004836B5"/>
    <w:rsid w:val="0048386D"/>
    <w:rsid w:val="00483A6F"/>
    <w:rsid w:val="00483C05"/>
    <w:rsid w:val="00483D05"/>
    <w:rsid w:val="00484CE3"/>
    <w:rsid w:val="00484DD6"/>
    <w:rsid w:val="0048535B"/>
    <w:rsid w:val="004853BA"/>
    <w:rsid w:val="0048557E"/>
    <w:rsid w:val="004859F4"/>
    <w:rsid w:val="004859F7"/>
    <w:rsid w:val="00485AB8"/>
    <w:rsid w:val="00485B43"/>
    <w:rsid w:val="00485D4C"/>
    <w:rsid w:val="0048653B"/>
    <w:rsid w:val="004865FD"/>
    <w:rsid w:val="00486A9C"/>
    <w:rsid w:val="00486B69"/>
    <w:rsid w:val="00486FEA"/>
    <w:rsid w:val="00487387"/>
    <w:rsid w:val="004873F0"/>
    <w:rsid w:val="004879B0"/>
    <w:rsid w:val="00487D05"/>
    <w:rsid w:val="00490A96"/>
    <w:rsid w:val="00490AC7"/>
    <w:rsid w:val="0049109C"/>
    <w:rsid w:val="004910F1"/>
    <w:rsid w:val="00491BC0"/>
    <w:rsid w:val="00491BE5"/>
    <w:rsid w:val="00491DD5"/>
    <w:rsid w:val="0049256F"/>
    <w:rsid w:val="00492B00"/>
    <w:rsid w:val="004930C2"/>
    <w:rsid w:val="0049314F"/>
    <w:rsid w:val="004937F0"/>
    <w:rsid w:val="004943B4"/>
    <w:rsid w:val="0049475B"/>
    <w:rsid w:val="00494C64"/>
    <w:rsid w:val="00494D00"/>
    <w:rsid w:val="00494F87"/>
    <w:rsid w:val="004950C6"/>
    <w:rsid w:val="0049514C"/>
    <w:rsid w:val="004957A8"/>
    <w:rsid w:val="0049595F"/>
    <w:rsid w:val="00495961"/>
    <w:rsid w:val="00495CAD"/>
    <w:rsid w:val="00495DF3"/>
    <w:rsid w:val="00495E7B"/>
    <w:rsid w:val="00496087"/>
    <w:rsid w:val="004960DA"/>
    <w:rsid w:val="00496EC1"/>
    <w:rsid w:val="00497ABF"/>
    <w:rsid w:val="00497C3B"/>
    <w:rsid w:val="00497CE0"/>
    <w:rsid w:val="004A0232"/>
    <w:rsid w:val="004A09B2"/>
    <w:rsid w:val="004A0D85"/>
    <w:rsid w:val="004A18C5"/>
    <w:rsid w:val="004A18D3"/>
    <w:rsid w:val="004A1A09"/>
    <w:rsid w:val="004A1F0E"/>
    <w:rsid w:val="004A2138"/>
    <w:rsid w:val="004A225D"/>
    <w:rsid w:val="004A235F"/>
    <w:rsid w:val="004A2483"/>
    <w:rsid w:val="004A292E"/>
    <w:rsid w:val="004A3345"/>
    <w:rsid w:val="004A3668"/>
    <w:rsid w:val="004A3B6F"/>
    <w:rsid w:val="004A3B71"/>
    <w:rsid w:val="004A3C5D"/>
    <w:rsid w:val="004A3EAB"/>
    <w:rsid w:val="004A4455"/>
    <w:rsid w:val="004A44CB"/>
    <w:rsid w:val="004A484C"/>
    <w:rsid w:val="004A4C79"/>
    <w:rsid w:val="004A4E58"/>
    <w:rsid w:val="004A5697"/>
    <w:rsid w:val="004A5F3B"/>
    <w:rsid w:val="004A5F96"/>
    <w:rsid w:val="004A6106"/>
    <w:rsid w:val="004A68EE"/>
    <w:rsid w:val="004A695B"/>
    <w:rsid w:val="004A6969"/>
    <w:rsid w:val="004A6A6E"/>
    <w:rsid w:val="004A6B44"/>
    <w:rsid w:val="004A6CF1"/>
    <w:rsid w:val="004A7000"/>
    <w:rsid w:val="004A74D3"/>
    <w:rsid w:val="004A773D"/>
    <w:rsid w:val="004A7A09"/>
    <w:rsid w:val="004A7ADB"/>
    <w:rsid w:val="004A7E07"/>
    <w:rsid w:val="004B00B8"/>
    <w:rsid w:val="004B00C1"/>
    <w:rsid w:val="004B0A27"/>
    <w:rsid w:val="004B1132"/>
    <w:rsid w:val="004B1456"/>
    <w:rsid w:val="004B182B"/>
    <w:rsid w:val="004B198F"/>
    <w:rsid w:val="004B2A77"/>
    <w:rsid w:val="004B3231"/>
    <w:rsid w:val="004B32BE"/>
    <w:rsid w:val="004B3586"/>
    <w:rsid w:val="004B38D5"/>
    <w:rsid w:val="004B3995"/>
    <w:rsid w:val="004B431F"/>
    <w:rsid w:val="004B4492"/>
    <w:rsid w:val="004B4CE5"/>
    <w:rsid w:val="004B51E2"/>
    <w:rsid w:val="004B5274"/>
    <w:rsid w:val="004B5396"/>
    <w:rsid w:val="004B5AA4"/>
    <w:rsid w:val="004B5BBD"/>
    <w:rsid w:val="004B5DBB"/>
    <w:rsid w:val="004B5DF6"/>
    <w:rsid w:val="004B5E45"/>
    <w:rsid w:val="004B67D6"/>
    <w:rsid w:val="004B6AAD"/>
    <w:rsid w:val="004B6C86"/>
    <w:rsid w:val="004B6F6E"/>
    <w:rsid w:val="004B72C7"/>
    <w:rsid w:val="004B73D6"/>
    <w:rsid w:val="004B75AF"/>
    <w:rsid w:val="004B7D07"/>
    <w:rsid w:val="004C155E"/>
    <w:rsid w:val="004C15E8"/>
    <w:rsid w:val="004C1F0B"/>
    <w:rsid w:val="004C2269"/>
    <w:rsid w:val="004C2EC4"/>
    <w:rsid w:val="004C3358"/>
    <w:rsid w:val="004C353C"/>
    <w:rsid w:val="004C3A7C"/>
    <w:rsid w:val="004C3CD1"/>
    <w:rsid w:val="004C4044"/>
    <w:rsid w:val="004C423D"/>
    <w:rsid w:val="004C4376"/>
    <w:rsid w:val="004C4892"/>
    <w:rsid w:val="004C49F8"/>
    <w:rsid w:val="004C4B52"/>
    <w:rsid w:val="004C4E64"/>
    <w:rsid w:val="004C56CB"/>
    <w:rsid w:val="004C5A7E"/>
    <w:rsid w:val="004C5B39"/>
    <w:rsid w:val="004C6069"/>
    <w:rsid w:val="004C68AC"/>
    <w:rsid w:val="004C6CE4"/>
    <w:rsid w:val="004C7062"/>
    <w:rsid w:val="004C72CE"/>
    <w:rsid w:val="004C7473"/>
    <w:rsid w:val="004C759F"/>
    <w:rsid w:val="004C7988"/>
    <w:rsid w:val="004C7B45"/>
    <w:rsid w:val="004C7F32"/>
    <w:rsid w:val="004D01EC"/>
    <w:rsid w:val="004D03BC"/>
    <w:rsid w:val="004D0A0C"/>
    <w:rsid w:val="004D0B92"/>
    <w:rsid w:val="004D0BB9"/>
    <w:rsid w:val="004D0D5A"/>
    <w:rsid w:val="004D0FBF"/>
    <w:rsid w:val="004D1330"/>
    <w:rsid w:val="004D134C"/>
    <w:rsid w:val="004D1973"/>
    <w:rsid w:val="004D1C63"/>
    <w:rsid w:val="004D2AEC"/>
    <w:rsid w:val="004D344E"/>
    <w:rsid w:val="004D37AC"/>
    <w:rsid w:val="004D39F8"/>
    <w:rsid w:val="004D44FF"/>
    <w:rsid w:val="004D4886"/>
    <w:rsid w:val="004D4A58"/>
    <w:rsid w:val="004D4CE8"/>
    <w:rsid w:val="004D518A"/>
    <w:rsid w:val="004D5453"/>
    <w:rsid w:val="004D5626"/>
    <w:rsid w:val="004D5F6B"/>
    <w:rsid w:val="004D644F"/>
    <w:rsid w:val="004D6460"/>
    <w:rsid w:val="004D6639"/>
    <w:rsid w:val="004D699B"/>
    <w:rsid w:val="004D6C68"/>
    <w:rsid w:val="004D6DC7"/>
    <w:rsid w:val="004D70F7"/>
    <w:rsid w:val="004D7117"/>
    <w:rsid w:val="004D71ED"/>
    <w:rsid w:val="004D7A38"/>
    <w:rsid w:val="004D7D54"/>
    <w:rsid w:val="004E0BC5"/>
    <w:rsid w:val="004E0F04"/>
    <w:rsid w:val="004E107E"/>
    <w:rsid w:val="004E13AF"/>
    <w:rsid w:val="004E195D"/>
    <w:rsid w:val="004E19C7"/>
    <w:rsid w:val="004E1CBB"/>
    <w:rsid w:val="004E1E55"/>
    <w:rsid w:val="004E24B5"/>
    <w:rsid w:val="004E26AA"/>
    <w:rsid w:val="004E293B"/>
    <w:rsid w:val="004E2BE2"/>
    <w:rsid w:val="004E2D1D"/>
    <w:rsid w:val="004E3024"/>
    <w:rsid w:val="004E30CB"/>
    <w:rsid w:val="004E390D"/>
    <w:rsid w:val="004E3EEB"/>
    <w:rsid w:val="004E4100"/>
    <w:rsid w:val="004E4C1C"/>
    <w:rsid w:val="004E4CBA"/>
    <w:rsid w:val="004E4FF8"/>
    <w:rsid w:val="004E5140"/>
    <w:rsid w:val="004E5250"/>
    <w:rsid w:val="004E5958"/>
    <w:rsid w:val="004E5B60"/>
    <w:rsid w:val="004E5BAD"/>
    <w:rsid w:val="004E6208"/>
    <w:rsid w:val="004E6360"/>
    <w:rsid w:val="004E6395"/>
    <w:rsid w:val="004E65B7"/>
    <w:rsid w:val="004E665E"/>
    <w:rsid w:val="004E6AA7"/>
    <w:rsid w:val="004E6B41"/>
    <w:rsid w:val="004E6F8F"/>
    <w:rsid w:val="004E72F0"/>
    <w:rsid w:val="004E7A66"/>
    <w:rsid w:val="004F0278"/>
    <w:rsid w:val="004F0710"/>
    <w:rsid w:val="004F09BD"/>
    <w:rsid w:val="004F0A77"/>
    <w:rsid w:val="004F0C02"/>
    <w:rsid w:val="004F0FF5"/>
    <w:rsid w:val="004F13A2"/>
    <w:rsid w:val="004F1C6C"/>
    <w:rsid w:val="004F2679"/>
    <w:rsid w:val="004F27CF"/>
    <w:rsid w:val="004F2917"/>
    <w:rsid w:val="004F2A1D"/>
    <w:rsid w:val="004F2C09"/>
    <w:rsid w:val="004F2CDD"/>
    <w:rsid w:val="004F30BA"/>
    <w:rsid w:val="004F36EB"/>
    <w:rsid w:val="004F3CCE"/>
    <w:rsid w:val="004F3F06"/>
    <w:rsid w:val="004F45BA"/>
    <w:rsid w:val="004F45DE"/>
    <w:rsid w:val="004F4798"/>
    <w:rsid w:val="004F486B"/>
    <w:rsid w:val="004F4AC3"/>
    <w:rsid w:val="004F5081"/>
    <w:rsid w:val="004F53E0"/>
    <w:rsid w:val="004F559D"/>
    <w:rsid w:val="004F55CC"/>
    <w:rsid w:val="004F58B3"/>
    <w:rsid w:val="004F5C58"/>
    <w:rsid w:val="004F5DCE"/>
    <w:rsid w:val="004F5EAE"/>
    <w:rsid w:val="004F6274"/>
    <w:rsid w:val="004F6317"/>
    <w:rsid w:val="004F6DC6"/>
    <w:rsid w:val="004F712E"/>
    <w:rsid w:val="004F7582"/>
    <w:rsid w:val="004F7A9E"/>
    <w:rsid w:val="004F7F97"/>
    <w:rsid w:val="00500B98"/>
    <w:rsid w:val="00501B2B"/>
    <w:rsid w:val="00501CDE"/>
    <w:rsid w:val="00501E34"/>
    <w:rsid w:val="005022F7"/>
    <w:rsid w:val="00502FBD"/>
    <w:rsid w:val="005035B1"/>
    <w:rsid w:val="00503D92"/>
    <w:rsid w:val="00503F84"/>
    <w:rsid w:val="0050464B"/>
    <w:rsid w:val="005048CF"/>
    <w:rsid w:val="00504A2A"/>
    <w:rsid w:val="00504B7C"/>
    <w:rsid w:val="00504F50"/>
    <w:rsid w:val="00504F8D"/>
    <w:rsid w:val="0050501E"/>
    <w:rsid w:val="005053D8"/>
    <w:rsid w:val="005054C2"/>
    <w:rsid w:val="005063AC"/>
    <w:rsid w:val="00506591"/>
    <w:rsid w:val="00506959"/>
    <w:rsid w:val="0050757A"/>
    <w:rsid w:val="00507BC0"/>
    <w:rsid w:val="00510349"/>
    <w:rsid w:val="005104B1"/>
    <w:rsid w:val="005104FF"/>
    <w:rsid w:val="00510607"/>
    <w:rsid w:val="00510691"/>
    <w:rsid w:val="00510725"/>
    <w:rsid w:val="005108D4"/>
    <w:rsid w:val="00510A0F"/>
    <w:rsid w:val="00510B0C"/>
    <w:rsid w:val="00510BBD"/>
    <w:rsid w:val="00510E4E"/>
    <w:rsid w:val="00510EFF"/>
    <w:rsid w:val="00510FC7"/>
    <w:rsid w:val="0051151A"/>
    <w:rsid w:val="005116D8"/>
    <w:rsid w:val="005118F9"/>
    <w:rsid w:val="00511CAB"/>
    <w:rsid w:val="00511D11"/>
    <w:rsid w:val="00512435"/>
    <w:rsid w:val="00512865"/>
    <w:rsid w:val="005129E9"/>
    <w:rsid w:val="00512C71"/>
    <w:rsid w:val="00512E9B"/>
    <w:rsid w:val="00512FE3"/>
    <w:rsid w:val="005130AF"/>
    <w:rsid w:val="005134D0"/>
    <w:rsid w:val="005135EF"/>
    <w:rsid w:val="00513727"/>
    <w:rsid w:val="00513A4E"/>
    <w:rsid w:val="00513D40"/>
    <w:rsid w:val="00513DEA"/>
    <w:rsid w:val="00513EDD"/>
    <w:rsid w:val="005144BF"/>
    <w:rsid w:val="00514561"/>
    <w:rsid w:val="00514605"/>
    <w:rsid w:val="00514D26"/>
    <w:rsid w:val="00515DFB"/>
    <w:rsid w:val="005160EC"/>
    <w:rsid w:val="00516221"/>
    <w:rsid w:val="00516FC2"/>
    <w:rsid w:val="00517FC5"/>
    <w:rsid w:val="005208D6"/>
    <w:rsid w:val="005209D5"/>
    <w:rsid w:val="0052169F"/>
    <w:rsid w:val="00521725"/>
    <w:rsid w:val="00521D38"/>
    <w:rsid w:val="00521D85"/>
    <w:rsid w:val="00522156"/>
    <w:rsid w:val="00522499"/>
    <w:rsid w:val="00522A8A"/>
    <w:rsid w:val="00523266"/>
    <w:rsid w:val="005234A7"/>
    <w:rsid w:val="00523ACD"/>
    <w:rsid w:val="0052437F"/>
    <w:rsid w:val="0052438E"/>
    <w:rsid w:val="0052448F"/>
    <w:rsid w:val="00524799"/>
    <w:rsid w:val="0052482B"/>
    <w:rsid w:val="00524BC4"/>
    <w:rsid w:val="00524F6B"/>
    <w:rsid w:val="005254F0"/>
    <w:rsid w:val="00525657"/>
    <w:rsid w:val="0052598D"/>
    <w:rsid w:val="00525B46"/>
    <w:rsid w:val="00525EB5"/>
    <w:rsid w:val="0052669A"/>
    <w:rsid w:val="00526908"/>
    <w:rsid w:val="00526B9D"/>
    <w:rsid w:val="00526D46"/>
    <w:rsid w:val="005277A6"/>
    <w:rsid w:val="0053013C"/>
    <w:rsid w:val="00530401"/>
    <w:rsid w:val="0053053F"/>
    <w:rsid w:val="00530AB5"/>
    <w:rsid w:val="00530B82"/>
    <w:rsid w:val="0053163B"/>
    <w:rsid w:val="0053173E"/>
    <w:rsid w:val="00531A4E"/>
    <w:rsid w:val="00532166"/>
    <w:rsid w:val="00532218"/>
    <w:rsid w:val="0053242B"/>
    <w:rsid w:val="0053298A"/>
    <w:rsid w:val="00532B5B"/>
    <w:rsid w:val="00533526"/>
    <w:rsid w:val="00533ABA"/>
    <w:rsid w:val="00533C65"/>
    <w:rsid w:val="00533CC1"/>
    <w:rsid w:val="0053403F"/>
    <w:rsid w:val="005340B3"/>
    <w:rsid w:val="005342B2"/>
    <w:rsid w:val="00534A83"/>
    <w:rsid w:val="00535291"/>
    <w:rsid w:val="005355C5"/>
    <w:rsid w:val="00535DFD"/>
    <w:rsid w:val="00536102"/>
    <w:rsid w:val="0053644A"/>
    <w:rsid w:val="00536C96"/>
    <w:rsid w:val="00536EC2"/>
    <w:rsid w:val="0053706D"/>
    <w:rsid w:val="00537097"/>
    <w:rsid w:val="005370F0"/>
    <w:rsid w:val="00537253"/>
    <w:rsid w:val="0053729B"/>
    <w:rsid w:val="005372C2"/>
    <w:rsid w:val="005374FA"/>
    <w:rsid w:val="0053759B"/>
    <w:rsid w:val="0053785D"/>
    <w:rsid w:val="005407B5"/>
    <w:rsid w:val="00540E77"/>
    <w:rsid w:val="00541277"/>
    <w:rsid w:val="005414F2"/>
    <w:rsid w:val="0054169D"/>
    <w:rsid w:val="0054190B"/>
    <w:rsid w:val="00541DFA"/>
    <w:rsid w:val="0054214F"/>
    <w:rsid w:val="0054227A"/>
    <w:rsid w:val="00542AB5"/>
    <w:rsid w:val="00543233"/>
    <w:rsid w:val="005432E1"/>
    <w:rsid w:val="00543667"/>
    <w:rsid w:val="00543685"/>
    <w:rsid w:val="00543F3F"/>
    <w:rsid w:val="00544289"/>
    <w:rsid w:val="00544971"/>
    <w:rsid w:val="00544C8D"/>
    <w:rsid w:val="00544E21"/>
    <w:rsid w:val="0054572C"/>
    <w:rsid w:val="00545EE5"/>
    <w:rsid w:val="005463F8"/>
    <w:rsid w:val="00546BF4"/>
    <w:rsid w:val="00546DD9"/>
    <w:rsid w:val="00547014"/>
    <w:rsid w:val="00547263"/>
    <w:rsid w:val="005474A4"/>
    <w:rsid w:val="0054757A"/>
    <w:rsid w:val="005476E8"/>
    <w:rsid w:val="00547864"/>
    <w:rsid w:val="00547FD1"/>
    <w:rsid w:val="00550B86"/>
    <w:rsid w:val="00551305"/>
    <w:rsid w:val="00551654"/>
    <w:rsid w:val="005519C2"/>
    <w:rsid w:val="00551A8F"/>
    <w:rsid w:val="00551EE4"/>
    <w:rsid w:val="0055206B"/>
    <w:rsid w:val="00552CA7"/>
    <w:rsid w:val="005535AD"/>
    <w:rsid w:val="0055363B"/>
    <w:rsid w:val="005536FA"/>
    <w:rsid w:val="00553A54"/>
    <w:rsid w:val="00553C67"/>
    <w:rsid w:val="00553CE5"/>
    <w:rsid w:val="00553F30"/>
    <w:rsid w:val="00554236"/>
    <w:rsid w:val="00554AB3"/>
    <w:rsid w:val="00555075"/>
    <w:rsid w:val="005550F2"/>
    <w:rsid w:val="005552AE"/>
    <w:rsid w:val="005555CF"/>
    <w:rsid w:val="00555813"/>
    <w:rsid w:val="00555E2C"/>
    <w:rsid w:val="00556517"/>
    <w:rsid w:val="005569A8"/>
    <w:rsid w:val="00556C80"/>
    <w:rsid w:val="00556DF5"/>
    <w:rsid w:val="0055756C"/>
    <w:rsid w:val="0055786C"/>
    <w:rsid w:val="00557ADB"/>
    <w:rsid w:val="00557C44"/>
    <w:rsid w:val="0056019C"/>
    <w:rsid w:val="005604B2"/>
    <w:rsid w:val="00560939"/>
    <w:rsid w:val="005614FE"/>
    <w:rsid w:val="00561B5B"/>
    <w:rsid w:val="00561F21"/>
    <w:rsid w:val="00562225"/>
    <w:rsid w:val="005627AD"/>
    <w:rsid w:val="005629E5"/>
    <w:rsid w:val="0056327E"/>
    <w:rsid w:val="00563883"/>
    <w:rsid w:val="005638AC"/>
    <w:rsid w:val="00563BB7"/>
    <w:rsid w:val="00563F06"/>
    <w:rsid w:val="00563F4C"/>
    <w:rsid w:val="0056460B"/>
    <w:rsid w:val="00564DAC"/>
    <w:rsid w:val="005650D6"/>
    <w:rsid w:val="0056519B"/>
    <w:rsid w:val="00565621"/>
    <w:rsid w:val="0056583B"/>
    <w:rsid w:val="005659C6"/>
    <w:rsid w:val="00565C87"/>
    <w:rsid w:val="00565D7B"/>
    <w:rsid w:val="005660A9"/>
    <w:rsid w:val="005660DB"/>
    <w:rsid w:val="00566581"/>
    <w:rsid w:val="005666E3"/>
    <w:rsid w:val="00566AAD"/>
    <w:rsid w:val="00566BCA"/>
    <w:rsid w:val="005672F0"/>
    <w:rsid w:val="00567397"/>
    <w:rsid w:val="00567ED5"/>
    <w:rsid w:val="005701AA"/>
    <w:rsid w:val="005702FC"/>
    <w:rsid w:val="005704C8"/>
    <w:rsid w:val="0057069E"/>
    <w:rsid w:val="00571515"/>
    <w:rsid w:val="0057175F"/>
    <w:rsid w:val="00571DD5"/>
    <w:rsid w:val="005726DA"/>
    <w:rsid w:val="00572CFA"/>
    <w:rsid w:val="00573583"/>
    <w:rsid w:val="00573587"/>
    <w:rsid w:val="00573B45"/>
    <w:rsid w:val="00573E75"/>
    <w:rsid w:val="00573E7C"/>
    <w:rsid w:val="00574406"/>
    <w:rsid w:val="00574788"/>
    <w:rsid w:val="00574A61"/>
    <w:rsid w:val="00574A9A"/>
    <w:rsid w:val="00574AB0"/>
    <w:rsid w:val="00574B03"/>
    <w:rsid w:val="00574FCD"/>
    <w:rsid w:val="00575DDA"/>
    <w:rsid w:val="00575E08"/>
    <w:rsid w:val="00575EBD"/>
    <w:rsid w:val="00575FA4"/>
    <w:rsid w:val="00576234"/>
    <w:rsid w:val="005765E2"/>
    <w:rsid w:val="005766B7"/>
    <w:rsid w:val="0057674F"/>
    <w:rsid w:val="005767A0"/>
    <w:rsid w:val="005770AF"/>
    <w:rsid w:val="00577D9C"/>
    <w:rsid w:val="00577E06"/>
    <w:rsid w:val="00577E65"/>
    <w:rsid w:val="005801AE"/>
    <w:rsid w:val="0058026C"/>
    <w:rsid w:val="00580623"/>
    <w:rsid w:val="00580A76"/>
    <w:rsid w:val="00580BA1"/>
    <w:rsid w:val="00580D0A"/>
    <w:rsid w:val="005815DC"/>
    <w:rsid w:val="005819C5"/>
    <w:rsid w:val="00581A82"/>
    <w:rsid w:val="00581D8B"/>
    <w:rsid w:val="00582B43"/>
    <w:rsid w:val="00582BCC"/>
    <w:rsid w:val="00582CA6"/>
    <w:rsid w:val="00582D82"/>
    <w:rsid w:val="00582D87"/>
    <w:rsid w:val="00582E34"/>
    <w:rsid w:val="005830B0"/>
    <w:rsid w:val="0058375B"/>
    <w:rsid w:val="00584284"/>
    <w:rsid w:val="00584357"/>
    <w:rsid w:val="00584510"/>
    <w:rsid w:val="00584A8F"/>
    <w:rsid w:val="00584A9F"/>
    <w:rsid w:val="00584D14"/>
    <w:rsid w:val="00585E2B"/>
    <w:rsid w:val="00586689"/>
    <w:rsid w:val="00586805"/>
    <w:rsid w:val="00586A39"/>
    <w:rsid w:val="00587239"/>
    <w:rsid w:val="0058726F"/>
    <w:rsid w:val="00587700"/>
    <w:rsid w:val="00587874"/>
    <w:rsid w:val="00587E67"/>
    <w:rsid w:val="005901C8"/>
    <w:rsid w:val="00590615"/>
    <w:rsid w:val="00590ABA"/>
    <w:rsid w:val="00590AED"/>
    <w:rsid w:val="00590E9A"/>
    <w:rsid w:val="00590EBB"/>
    <w:rsid w:val="0059126C"/>
    <w:rsid w:val="0059246E"/>
    <w:rsid w:val="00592DD5"/>
    <w:rsid w:val="005935F9"/>
    <w:rsid w:val="00593886"/>
    <w:rsid w:val="00593895"/>
    <w:rsid w:val="00593BAB"/>
    <w:rsid w:val="00593F11"/>
    <w:rsid w:val="00594144"/>
    <w:rsid w:val="005941DA"/>
    <w:rsid w:val="00594375"/>
    <w:rsid w:val="005943B7"/>
    <w:rsid w:val="0059497B"/>
    <w:rsid w:val="00594C52"/>
    <w:rsid w:val="00594D7E"/>
    <w:rsid w:val="00595074"/>
    <w:rsid w:val="00595163"/>
    <w:rsid w:val="005954F5"/>
    <w:rsid w:val="00595701"/>
    <w:rsid w:val="0059590E"/>
    <w:rsid w:val="00596E8F"/>
    <w:rsid w:val="005973D6"/>
    <w:rsid w:val="0059744C"/>
    <w:rsid w:val="00597793"/>
    <w:rsid w:val="005978B7"/>
    <w:rsid w:val="005A06D3"/>
    <w:rsid w:val="005A0C1A"/>
    <w:rsid w:val="005A14E9"/>
    <w:rsid w:val="005A1592"/>
    <w:rsid w:val="005A1D5C"/>
    <w:rsid w:val="005A21A5"/>
    <w:rsid w:val="005A2413"/>
    <w:rsid w:val="005A2530"/>
    <w:rsid w:val="005A2632"/>
    <w:rsid w:val="005A2636"/>
    <w:rsid w:val="005A264A"/>
    <w:rsid w:val="005A2B94"/>
    <w:rsid w:val="005A2B9C"/>
    <w:rsid w:val="005A2D6C"/>
    <w:rsid w:val="005A2DB1"/>
    <w:rsid w:val="005A30FD"/>
    <w:rsid w:val="005A3348"/>
    <w:rsid w:val="005A336C"/>
    <w:rsid w:val="005A39FB"/>
    <w:rsid w:val="005A3DC4"/>
    <w:rsid w:val="005A3F14"/>
    <w:rsid w:val="005A43CA"/>
    <w:rsid w:val="005A4671"/>
    <w:rsid w:val="005A55F9"/>
    <w:rsid w:val="005A56D2"/>
    <w:rsid w:val="005A5945"/>
    <w:rsid w:val="005A6034"/>
    <w:rsid w:val="005A6516"/>
    <w:rsid w:val="005A686B"/>
    <w:rsid w:val="005A6B3A"/>
    <w:rsid w:val="005A6FFF"/>
    <w:rsid w:val="005A7273"/>
    <w:rsid w:val="005A72D5"/>
    <w:rsid w:val="005A73CA"/>
    <w:rsid w:val="005A77BA"/>
    <w:rsid w:val="005A78CA"/>
    <w:rsid w:val="005B0427"/>
    <w:rsid w:val="005B04E8"/>
    <w:rsid w:val="005B0866"/>
    <w:rsid w:val="005B0AB8"/>
    <w:rsid w:val="005B0CF8"/>
    <w:rsid w:val="005B0DFE"/>
    <w:rsid w:val="005B1052"/>
    <w:rsid w:val="005B15C1"/>
    <w:rsid w:val="005B1665"/>
    <w:rsid w:val="005B1E1A"/>
    <w:rsid w:val="005B20C5"/>
    <w:rsid w:val="005B20C7"/>
    <w:rsid w:val="005B23C1"/>
    <w:rsid w:val="005B30BE"/>
    <w:rsid w:val="005B3113"/>
    <w:rsid w:val="005B3247"/>
    <w:rsid w:val="005B3356"/>
    <w:rsid w:val="005B36F0"/>
    <w:rsid w:val="005B4001"/>
    <w:rsid w:val="005B40B7"/>
    <w:rsid w:val="005B41C5"/>
    <w:rsid w:val="005B43EF"/>
    <w:rsid w:val="005B4638"/>
    <w:rsid w:val="005B4714"/>
    <w:rsid w:val="005B4A69"/>
    <w:rsid w:val="005B4BDB"/>
    <w:rsid w:val="005B4C29"/>
    <w:rsid w:val="005B508F"/>
    <w:rsid w:val="005B514D"/>
    <w:rsid w:val="005B51A4"/>
    <w:rsid w:val="005B5239"/>
    <w:rsid w:val="005B5B40"/>
    <w:rsid w:val="005B5BCD"/>
    <w:rsid w:val="005B6795"/>
    <w:rsid w:val="005B6DAA"/>
    <w:rsid w:val="005B6E71"/>
    <w:rsid w:val="005B7880"/>
    <w:rsid w:val="005B7894"/>
    <w:rsid w:val="005B7DC5"/>
    <w:rsid w:val="005B7E8B"/>
    <w:rsid w:val="005C0107"/>
    <w:rsid w:val="005C05FE"/>
    <w:rsid w:val="005C1227"/>
    <w:rsid w:val="005C17CA"/>
    <w:rsid w:val="005C1C69"/>
    <w:rsid w:val="005C1FB7"/>
    <w:rsid w:val="005C20D2"/>
    <w:rsid w:val="005C21C2"/>
    <w:rsid w:val="005C2D97"/>
    <w:rsid w:val="005C31DA"/>
    <w:rsid w:val="005C3C02"/>
    <w:rsid w:val="005C3DB3"/>
    <w:rsid w:val="005C3E14"/>
    <w:rsid w:val="005C3F4A"/>
    <w:rsid w:val="005C41AB"/>
    <w:rsid w:val="005C45C4"/>
    <w:rsid w:val="005C5099"/>
    <w:rsid w:val="005C52B9"/>
    <w:rsid w:val="005C530C"/>
    <w:rsid w:val="005C5FA0"/>
    <w:rsid w:val="005C64F8"/>
    <w:rsid w:val="005C7432"/>
    <w:rsid w:val="005C74B2"/>
    <w:rsid w:val="005C768D"/>
    <w:rsid w:val="005C774B"/>
    <w:rsid w:val="005C7A31"/>
    <w:rsid w:val="005C7C17"/>
    <w:rsid w:val="005D03BA"/>
    <w:rsid w:val="005D06BE"/>
    <w:rsid w:val="005D0A46"/>
    <w:rsid w:val="005D105E"/>
    <w:rsid w:val="005D1548"/>
    <w:rsid w:val="005D167E"/>
    <w:rsid w:val="005D1D3A"/>
    <w:rsid w:val="005D244C"/>
    <w:rsid w:val="005D25E4"/>
    <w:rsid w:val="005D2B50"/>
    <w:rsid w:val="005D2C0B"/>
    <w:rsid w:val="005D3297"/>
    <w:rsid w:val="005D33C8"/>
    <w:rsid w:val="005D356B"/>
    <w:rsid w:val="005D3593"/>
    <w:rsid w:val="005D47D8"/>
    <w:rsid w:val="005D51FC"/>
    <w:rsid w:val="005D5729"/>
    <w:rsid w:val="005D576C"/>
    <w:rsid w:val="005D580E"/>
    <w:rsid w:val="005D5C25"/>
    <w:rsid w:val="005D613B"/>
    <w:rsid w:val="005D6832"/>
    <w:rsid w:val="005D7539"/>
    <w:rsid w:val="005D775E"/>
    <w:rsid w:val="005D7EF4"/>
    <w:rsid w:val="005E039F"/>
    <w:rsid w:val="005E04C1"/>
    <w:rsid w:val="005E05F1"/>
    <w:rsid w:val="005E08F0"/>
    <w:rsid w:val="005E0E0C"/>
    <w:rsid w:val="005E0EE5"/>
    <w:rsid w:val="005E1183"/>
    <w:rsid w:val="005E1426"/>
    <w:rsid w:val="005E1CF3"/>
    <w:rsid w:val="005E1E16"/>
    <w:rsid w:val="005E2D5F"/>
    <w:rsid w:val="005E2F62"/>
    <w:rsid w:val="005E39B7"/>
    <w:rsid w:val="005E39E6"/>
    <w:rsid w:val="005E3ACB"/>
    <w:rsid w:val="005E3F1C"/>
    <w:rsid w:val="005E4114"/>
    <w:rsid w:val="005E41B0"/>
    <w:rsid w:val="005E4323"/>
    <w:rsid w:val="005E4475"/>
    <w:rsid w:val="005E45A6"/>
    <w:rsid w:val="005E4EED"/>
    <w:rsid w:val="005E5022"/>
    <w:rsid w:val="005E52A9"/>
    <w:rsid w:val="005E5500"/>
    <w:rsid w:val="005E5959"/>
    <w:rsid w:val="005E5978"/>
    <w:rsid w:val="005E5990"/>
    <w:rsid w:val="005E599A"/>
    <w:rsid w:val="005E5A5D"/>
    <w:rsid w:val="005E5BA7"/>
    <w:rsid w:val="005E5D60"/>
    <w:rsid w:val="005E5E92"/>
    <w:rsid w:val="005E6099"/>
    <w:rsid w:val="005E66D5"/>
    <w:rsid w:val="005E6706"/>
    <w:rsid w:val="005E6AF8"/>
    <w:rsid w:val="005E75CA"/>
    <w:rsid w:val="005E7E21"/>
    <w:rsid w:val="005F03AA"/>
    <w:rsid w:val="005F09C2"/>
    <w:rsid w:val="005F0B88"/>
    <w:rsid w:val="005F0D0D"/>
    <w:rsid w:val="005F1B68"/>
    <w:rsid w:val="005F208D"/>
    <w:rsid w:val="005F274E"/>
    <w:rsid w:val="005F2A7F"/>
    <w:rsid w:val="005F3094"/>
    <w:rsid w:val="005F3898"/>
    <w:rsid w:val="005F4202"/>
    <w:rsid w:val="005F43F3"/>
    <w:rsid w:val="005F458D"/>
    <w:rsid w:val="005F4D10"/>
    <w:rsid w:val="005F4E9B"/>
    <w:rsid w:val="005F5401"/>
    <w:rsid w:val="005F54FF"/>
    <w:rsid w:val="005F551C"/>
    <w:rsid w:val="005F55EC"/>
    <w:rsid w:val="005F6059"/>
    <w:rsid w:val="005F66DC"/>
    <w:rsid w:val="005F6AE8"/>
    <w:rsid w:val="005F7231"/>
    <w:rsid w:val="005F72C6"/>
    <w:rsid w:val="005F760C"/>
    <w:rsid w:val="005F7956"/>
    <w:rsid w:val="0060066F"/>
    <w:rsid w:val="006019ED"/>
    <w:rsid w:val="00601C7E"/>
    <w:rsid w:val="006021BE"/>
    <w:rsid w:val="00602634"/>
    <w:rsid w:val="00602899"/>
    <w:rsid w:val="00602B5C"/>
    <w:rsid w:val="00602DB3"/>
    <w:rsid w:val="00602E18"/>
    <w:rsid w:val="006036AE"/>
    <w:rsid w:val="00603CE3"/>
    <w:rsid w:val="0060434C"/>
    <w:rsid w:val="00604B10"/>
    <w:rsid w:val="0060500A"/>
    <w:rsid w:val="006052FA"/>
    <w:rsid w:val="0060566D"/>
    <w:rsid w:val="00605B3E"/>
    <w:rsid w:val="00605B6E"/>
    <w:rsid w:val="00605C75"/>
    <w:rsid w:val="0060610C"/>
    <w:rsid w:val="0060648B"/>
    <w:rsid w:val="00606A5C"/>
    <w:rsid w:val="00606F5A"/>
    <w:rsid w:val="0060742D"/>
    <w:rsid w:val="00607609"/>
    <w:rsid w:val="00607839"/>
    <w:rsid w:val="00607D92"/>
    <w:rsid w:val="00607FAA"/>
    <w:rsid w:val="0061030D"/>
    <w:rsid w:val="00610590"/>
    <w:rsid w:val="006105EE"/>
    <w:rsid w:val="00610A02"/>
    <w:rsid w:val="00610BCC"/>
    <w:rsid w:val="00611128"/>
    <w:rsid w:val="00611161"/>
    <w:rsid w:val="00611492"/>
    <w:rsid w:val="00611593"/>
    <w:rsid w:val="006115D0"/>
    <w:rsid w:val="006118AD"/>
    <w:rsid w:val="00611A81"/>
    <w:rsid w:val="0061206A"/>
    <w:rsid w:val="00612198"/>
    <w:rsid w:val="00612689"/>
    <w:rsid w:val="006128BA"/>
    <w:rsid w:val="00612D3E"/>
    <w:rsid w:val="0061345E"/>
    <w:rsid w:val="006134D8"/>
    <w:rsid w:val="00613EB3"/>
    <w:rsid w:val="0061443B"/>
    <w:rsid w:val="00614AF7"/>
    <w:rsid w:val="00614BD0"/>
    <w:rsid w:val="00615142"/>
    <w:rsid w:val="006153AA"/>
    <w:rsid w:val="00615AEF"/>
    <w:rsid w:val="00615F0C"/>
    <w:rsid w:val="00616892"/>
    <w:rsid w:val="00616D06"/>
    <w:rsid w:val="00616DD8"/>
    <w:rsid w:val="00616DE2"/>
    <w:rsid w:val="00616F08"/>
    <w:rsid w:val="006174C8"/>
    <w:rsid w:val="00617523"/>
    <w:rsid w:val="00617E10"/>
    <w:rsid w:val="0062080F"/>
    <w:rsid w:val="00620BF7"/>
    <w:rsid w:val="006214D1"/>
    <w:rsid w:val="00621724"/>
    <w:rsid w:val="00621F91"/>
    <w:rsid w:val="00622D3E"/>
    <w:rsid w:val="00622EA1"/>
    <w:rsid w:val="0062326F"/>
    <w:rsid w:val="006237A6"/>
    <w:rsid w:val="00624743"/>
    <w:rsid w:val="00624C3F"/>
    <w:rsid w:val="006256F0"/>
    <w:rsid w:val="0062591A"/>
    <w:rsid w:val="00625D58"/>
    <w:rsid w:val="0062604F"/>
    <w:rsid w:val="006260E0"/>
    <w:rsid w:val="006261F6"/>
    <w:rsid w:val="00626819"/>
    <w:rsid w:val="00626B09"/>
    <w:rsid w:val="00627505"/>
    <w:rsid w:val="0062765D"/>
    <w:rsid w:val="0062787B"/>
    <w:rsid w:val="00627B9B"/>
    <w:rsid w:val="006303DD"/>
    <w:rsid w:val="00630BCE"/>
    <w:rsid w:val="00630CB8"/>
    <w:rsid w:val="0063124E"/>
    <w:rsid w:val="006314C7"/>
    <w:rsid w:val="006316CA"/>
    <w:rsid w:val="0063181D"/>
    <w:rsid w:val="00631BE5"/>
    <w:rsid w:val="00632089"/>
    <w:rsid w:val="006324FD"/>
    <w:rsid w:val="00632B73"/>
    <w:rsid w:val="00632C33"/>
    <w:rsid w:val="00632CCE"/>
    <w:rsid w:val="00632D4D"/>
    <w:rsid w:val="00633101"/>
    <w:rsid w:val="00633652"/>
    <w:rsid w:val="00633D7F"/>
    <w:rsid w:val="00634940"/>
    <w:rsid w:val="00634B00"/>
    <w:rsid w:val="00634E8D"/>
    <w:rsid w:val="006350FD"/>
    <w:rsid w:val="006352A2"/>
    <w:rsid w:val="00635316"/>
    <w:rsid w:val="006364FB"/>
    <w:rsid w:val="00636711"/>
    <w:rsid w:val="00636E31"/>
    <w:rsid w:val="00637571"/>
    <w:rsid w:val="00637CA0"/>
    <w:rsid w:val="00640339"/>
    <w:rsid w:val="006405CD"/>
    <w:rsid w:val="00640843"/>
    <w:rsid w:val="00640927"/>
    <w:rsid w:val="00640A13"/>
    <w:rsid w:val="00640D31"/>
    <w:rsid w:val="00640FF5"/>
    <w:rsid w:val="006410B1"/>
    <w:rsid w:val="006411A9"/>
    <w:rsid w:val="00641290"/>
    <w:rsid w:val="00641369"/>
    <w:rsid w:val="006417CB"/>
    <w:rsid w:val="00641E32"/>
    <w:rsid w:val="006424AB"/>
    <w:rsid w:val="006426D8"/>
    <w:rsid w:val="00642F05"/>
    <w:rsid w:val="006430E3"/>
    <w:rsid w:val="006434BA"/>
    <w:rsid w:val="0064363E"/>
    <w:rsid w:val="006436C4"/>
    <w:rsid w:val="0064386B"/>
    <w:rsid w:val="006445D2"/>
    <w:rsid w:val="00644726"/>
    <w:rsid w:val="00644B35"/>
    <w:rsid w:val="00644EB9"/>
    <w:rsid w:val="00644F9A"/>
    <w:rsid w:val="006453E3"/>
    <w:rsid w:val="00645A90"/>
    <w:rsid w:val="00645B86"/>
    <w:rsid w:val="00645DD8"/>
    <w:rsid w:val="00646034"/>
    <w:rsid w:val="00646278"/>
    <w:rsid w:val="006463E7"/>
    <w:rsid w:val="00646878"/>
    <w:rsid w:val="00646C7A"/>
    <w:rsid w:val="00646E44"/>
    <w:rsid w:val="00646FBB"/>
    <w:rsid w:val="006471F1"/>
    <w:rsid w:val="006475B3"/>
    <w:rsid w:val="0065002D"/>
    <w:rsid w:val="00650378"/>
    <w:rsid w:val="00650555"/>
    <w:rsid w:val="0065067F"/>
    <w:rsid w:val="006509CE"/>
    <w:rsid w:val="00650B39"/>
    <w:rsid w:val="00650C4D"/>
    <w:rsid w:val="006518C1"/>
    <w:rsid w:val="00651C2B"/>
    <w:rsid w:val="0065205C"/>
    <w:rsid w:val="00652319"/>
    <w:rsid w:val="006523BA"/>
    <w:rsid w:val="00653279"/>
    <w:rsid w:val="006532BE"/>
    <w:rsid w:val="006534B8"/>
    <w:rsid w:val="006538EA"/>
    <w:rsid w:val="006540CB"/>
    <w:rsid w:val="00654167"/>
    <w:rsid w:val="00654E81"/>
    <w:rsid w:val="006550B7"/>
    <w:rsid w:val="00655275"/>
    <w:rsid w:val="006554CA"/>
    <w:rsid w:val="006555C7"/>
    <w:rsid w:val="0065592C"/>
    <w:rsid w:val="00655964"/>
    <w:rsid w:val="00655993"/>
    <w:rsid w:val="00656120"/>
    <w:rsid w:val="00656465"/>
    <w:rsid w:val="00657CEF"/>
    <w:rsid w:val="006605D0"/>
    <w:rsid w:val="00660A49"/>
    <w:rsid w:val="00661F27"/>
    <w:rsid w:val="0066219B"/>
    <w:rsid w:val="00662491"/>
    <w:rsid w:val="006624A0"/>
    <w:rsid w:val="006627FF"/>
    <w:rsid w:val="00662862"/>
    <w:rsid w:val="00662AD2"/>
    <w:rsid w:val="00662CBD"/>
    <w:rsid w:val="00662DB6"/>
    <w:rsid w:val="006631F4"/>
    <w:rsid w:val="00663480"/>
    <w:rsid w:val="0066361D"/>
    <w:rsid w:val="00663F08"/>
    <w:rsid w:val="006642A6"/>
    <w:rsid w:val="00664356"/>
    <w:rsid w:val="00664473"/>
    <w:rsid w:val="006644FC"/>
    <w:rsid w:val="0066457E"/>
    <w:rsid w:val="00664A11"/>
    <w:rsid w:val="00664B29"/>
    <w:rsid w:val="00664E09"/>
    <w:rsid w:val="006650AC"/>
    <w:rsid w:val="00665277"/>
    <w:rsid w:val="0066561E"/>
    <w:rsid w:val="00665634"/>
    <w:rsid w:val="00665665"/>
    <w:rsid w:val="00665727"/>
    <w:rsid w:val="006657F7"/>
    <w:rsid w:val="00665A10"/>
    <w:rsid w:val="00665B32"/>
    <w:rsid w:val="00666A8D"/>
    <w:rsid w:val="00666CDA"/>
    <w:rsid w:val="00666EC7"/>
    <w:rsid w:val="006670E3"/>
    <w:rsid w:val="0066742A"/>
    <w:rsid w:val="0066748F"/>
    <w:rsid w:val="0066760B"/>
    <w:rsid w:val="006678A9"/>
    <w:rsid w:val="00667AE3"/>
    <w:rsid w:val="00670085"/>
    <w:rsid w:val="006702AC"/>
    <w:rsid w:val="00670768"/>
    <w:rsid w:val="00670A4F"/>
    <w:rsid w:val="00671488"/>
    <w:rsid w:val="00671867"/>
    <w:rsid w:val="00671B74"/>
    <w:rsid w:val="00672B45"/>
    <w:rsid w:val="006731B9"/>
    <w:rsid w:val="00673AF2"/>
    <w:rsid w:val="00673D96"/>
    <w:rsid w:val="00674351"/>
    <w:rsid w:val="0067443E"/>
    <w:rsid w:val="00674470"/>
    <w:rsid w:val="006746D1"/>
    <w:rsid w:val="00674752"/>
    <w:rsid w:val="00674E5D"/>
    <w:rsid w:val="00675986"/>
    <w:rsid w:val="00675A00"/>
    <w:rsid w:val="006761B4"/>
    <w:rsid w:val="0067698D"/>
    <w:rsid w:val="006774AC"/>
    <w:rsid w:val="006776DA"/>
    <w:rsid w:val="00677A36"/>
    <w:rsid w:val="00677DCB"/>
    <w:rsid w:val="00680311"/>
    <w:rsid w:val="0068085B"/>
    <w:rsid w:val="00681352"/>
    <w:rsid w:val="006816A1"/>
    <w:rsid w:val="006816A7"/>
    <w:rsid w:val="00681B89"/>
    <w:rsid w:val="00681DE9"/>
    <w:rsid w:val="00681F4A"/>
    <w:rsid w:val="006822B6"/>
    <w:rsid w:val="006823FA"/>
    <w:rsid w:val="00682419"/>
    <w:rsid w:val="00682708"/>
    <w:rsid w:val="006829D2"/>
    <w:rsid w:val="00682B7C"/>
    <w:rsid w:val="00682C9E"/>
    <w:rsid w:val="0068315E"/>
    <w:rsid w:val="00683160"/>
    <w:rsid w:val="00683D5B"/>
    <w:rsid w:val="0068462D"/>
    <w:rsid w:val="006847BA"/>
    <w:rsid w:val="00684810"/>
    <w:rsid w:val="00684D01"/>
    <w:rsid w:val="00684E4B"/>
    <w:rsid w:val="00684F85"/>
    <w:rsid w:val="006852CD"/>
    <w:rsid w:val="00685FD2"/>
    <w:rsid w:val="00686522"/>
    <w:rsid w:val="006865DF"/>
    <w:rsid w:val="00686723"/>
    <w:rsid w:val="00686B17"/>
    <w:rsid w:val="00686CE6"/>
    <w:rsid w:val="00686D1F"/>
    <w:rsid w:val="006870FC"/>
    <w:rsid w:val="0068743E"/>
    <w:rsid w:val="00687C06"/>
    <w:rsid w:val="00690018"/>
    <w:rsid w:val="00690069"/>
    <w:rsid w:val="0069032A"/>
    <w:rsid w:val="0069032D"/>
    <w:rsid w:val="00690B81"/>
    <w:rsid w:val="00690F07"/>
    <w:rsid w:val="00691DBA"/>
    <w:rsid w:val="00691F6C"/>
    <w:rsid w:val="00692200"/>
    <w:rsid w:val="00692EAF"/>
    <w:rsid w:val="006934EB"/>
    <w:rsid w:val="00693517"/>
    <w:rsid w:val="00693B34"/>
    <w:rsid w:val="00693EAF"/>
    <w:rsid w:val="00693EF6"/>
    <w:rsid w:val="00693F3A"/>
    <w:rsid w:val="00694136"/>
    <w:rsid w:val="0069451C"/>
    <w:rsid w:val="0069461E"/>
    <w:rsid w:val="00694BC3"/>
    <w:rsid w:val="00694BD6"/>
    <w:rsid w:val="00695396"/>
    <w:rsid w:val="00695821"/>
    <w:rsid w:val="006959AE"/>
    <w:rsid w:val="00695A55"/>
    <w:rsid w:val="00695AEC"/>
    <w:rsid w:val="00695CAD"/>
    <w:rsid w:val="00695F5B"/>
    <w:rsid w:val="0069662E"/>
    <w:rsid w:val="006967E0"/>
    <w:rsid w:val="00696AB7"/>
    <w:rsid w:val="00696CFA"/>
    <w:rsid w:val="00697168"/>
    <w:rsid w:val="006977E8"/>
    <w:rsid w:val="006A01D7"/>
    <w:rsid w:val="006A04C9"/>
    <w:rsid w:val="006A079D"/>
    <w:rsid w:val="006A08C8"/>
    <w:rsid w:val="006A09AC"/>
    <w:rsid w:val="006A0A69"/>
    <w:rsid w:val="006A0E13"/>
    <w:rsid w:val="006A1225"/>
    <w:rsid w:val="006A1598"/>
    <w:rsid w:val="006A15BA"/>
    <w:rsid w:val="006A15E8"/>
    <w:rsid w:val="006A1C19"/>
    <w:rsid w:val="006A2136"/>
    <w:rsid w:val="006A2E20"/>
    <w:rsid w:val="006A2E4D"/>
    <w:rsid w:val="006A3699"/>
    <w:rsid w:val="006A37C1"/>
    <w:rsid w:val="006A3B63"/>
    <w:rsid w:val="006A3C92"/>
    <w:rsid w:val="006A3D41"/>
    <w:rsid w:val="006A406F"/>
    <w:rsid w:val="006A41F0"/>
    <w:rsid w:val="006A4435"/>
    <w:rsid w:val="006A45DB"/>
    <w:rsid w:val="006A4633"/>
    <w:rsid w:val="006A4717"/>
    <w:rsid w:val="006A4827"/>
    <w:rsid w:val="006A49C7"/>
    <w:rsid w:val="006A49D4"/>
    <w:rsid w:val="006A4A24"/>
    <w:rsid w:val="006A4B40"/>
    <w:rsid w:val="006A4F95"/>
    <w:rsid w:val="006A5026"/>
    <w:rsid w:val="006A5169"/>
    <w:rsid w:val="006A56A7"/>
    <w:rsid w:val="006A5798"/>
    <w:rsid w:val="006A599D"/>
    <w:rsid w:val="006A5C1F"/>
    <w:rsid w:val="006A60A1"/>
    <w:rsid w:val="006A67B2"/>
    <w:rsid w:val="006A7E9C"/>
    <w:rsid w:val="006A7F23"/>
    <w:rsid w:val="006B0571"/>
    <w:rsid w:val="006B0DC7"/>
    <w:rsid w:val="006B1060"/>
    <w:rsid w:val="006B107B"/>
    <w:rsid w:val="006B1695"/>
    <w:rsid w:val="006B1A7C"/>
    <w:rsid w:val="006B20B7"/>
    <w:rsid w:val="006B229F"/>
    <w:rsid w:val="006B2D80"/>
    <w:rsid w:val="006B2F8F"/>
    <w:rsid w:val="006B30AB"/>
    <w:rsid w:val="006B32D2"/>
    <w:rsid w:val="006B3D89"/>
    <w:rsid w:val="006B3EE8"/>
    <w:rsid w:val="006B4451"/>
    <w:rsid w:val="006B4BAD"/>
    <w:rsid w:val="006B4EEE"/>
    <w:rsid w:val="006B57A5"/>
    <w:rsid w:val="006B581A"/>
    <w:rsid w:val="006B597B"/>
    <w:rsid w:val="006B5AB7"/>
    <w:rsid w:val="006B5D01"/>
    <w:rsid w:val="006B69AD"/>
    <w:rsid w:val="006B6BF3"/>
    <w:rsid w:val="006B6C2F"/>
    <w:rsid w:val="006B6CFA"/>
    <w:rsid w:val="006B6F43"/>
    <w:rsid w:val="006B6F51"/>
    <w:rsid w:val="006B7CFA"/>
    <w:rsid w:val="006C058E"/>
    <w:rsid w:val="006C0A07"/>
    <w:rsid w:val="006C0EDC"/>
    <w:rsid w:val="006C119E"/>
    <w:rsid w:val="006C11C1"/>
    <w:rsid w:val="006C1429"/>
    <w:rsid w:val="006C1467"/>
    <w:rsid w:val="006C1A1A"/>
    <w:rsid w:val="006C1F4B"/>
    <w:rsid w:val="006C2463"/>
    <w:rsid w:val="006C2797"/>
    <w:rsid w:val="006C28FB"/>
    <w:rsid w:val="006C2B10"/>
    <w:rsid w:val="006C355D"/>
    <w:rsid w:val="006C383B"/>
    <w:rsid w:val="006C388B"/>
    <w:rsid w:val="006C3CC4"/>
    <w:rsid w:val="006C4781"/>
    <w:rsid w:val="006C4A83"/>
    <w:rsid w:val="006C4B8C"/>
    <w:rsid w:val="006C5159"/>
    <w:rsid w:val="006C54B7"/>
    <w:rsid w:val="006C5C92"/>
    <w:rsid w:val="006C5FE1"/>
    <w:rsid w:val="006C62BC"/>
    <w:rsid w:val="006C64AD"/>
    <w:rsid w:val="006C653C"/>
    <w:rsid w:val="006C6A01"/>
    <w:rsid w:val="006C6E78"/>
    <w:rsid w:val="006C711D"/>
    <w:rsid w:val="006C7685"/>
    <w:rsid w:val="006C7AD5"/>
    <w:rsid w:val="006C7B5C"/>
    <w:rsid w:val="006C7FE9"/>
    <w:rsid w:val="006D0184"/>
    <w:rsid w:val="006D0243"/>
    <w:rsid w:val="006D039D"/>
    <w:rsid w:val="006D0445"/>
    <w:rsid w:val="006D065A"/>
    <w:rsid w:val="006D0662"/>
    <w:rsid w:val="006D0F94"/>
    <w:rsid w:val="006D174F"/>
    <w:rsid w:val="006D18A3"/>
    <w:rsid w:val="006D18FF"/>
    <w:rsid w:val="006D1A0C"/>
    <w:rsid w:val="006D1E67"/>
    <w:rsid w:val="006D1EBC"/>
    <w:rsid w:val="006D25D2"/>
    <w:rsid w:val="006D2714"/>
    <w:rsid w:val="006D2BCA"/>
    <w:rsid w:val="006D2BDE"/>
    <w:rsid w:val="006D319E"/>
    <w:rsid w:val="006D3452"/>
    <w:rsid w:val="006D36F9"/>
    <w:rsid w:val="006D3CD8"/>
    <w:rsid w:val="006D44CC"/>
    <w:rsid w:val="006D453A"/>
    <w:rsid w:val="006D4C50"/>
    <w:rsid w:val="006D5100"/>
    <w:rsid w:val="006D51FA"/>
    <w:rsid w:val="006D526B"/>
    <w:rsid w:val="006D53D1"/>
    <w:rsid w:val="006D5516"/>
    <w:rsid w:val="006D5A77"/>
    <w:rsid w:val="006D5EF9"/>
    <w:rsid w:val="006D6457"/>
    <w:rsid w:val="006D698F"/>
    <w:rsid w:val="006D6A43"/>
    <w:rsid w:val="006D6B59"/>
    <w:rsid w:val="006D6C59"/>
    <w:rsid w:val="006D6CC5"/>
    <w:rsid w:val="006D6EFC"/>
    <w:rsid w:val="006D75BC"/>
    <w:rsid w:val="006D79C8"/>
    <w:rsid w:val="006E09A0"/>
    <w:rsid w:val="006E1059"/>
    <w:rsid w:val="006E13E5"/>
    <w:rsid w:val="006E16A4"/>
    <w:rsid w:val="006E2098"/>
    <w:rsid w:val="006E223D"/>
    <w:rsid w:val="006E23F6"/>
    <w:rsid w:val="006E25DC"/>
    <w:rsid w:val="006E2A38"/>
    <w:rsid w:val="006E2EFC"/>
    <w:rsid w:val="006E34A7"/>
    <w:rsid w:val="006E38D2"/>
    <w:rsid w:val="006E3B90"/>
    <w:rsid w:val="006E3C70"/>
    <w:rsid w:val="006E4003"/>
    <w:rsid w:val="006E4941"/>
    <w:rsid w:val="006E4E69"/>
    <w:rsid w:val="006E50ED"/>
    <w:rsid w:val="006E55EF"/>
    <w:rsid w:val="006E5933"/>
    <w:rsid w:val="006E5E42"/>
    <w:rsid w:val="006E63E8"/>
    <w:rsid w:val="006E6B98"/>
    <w:rsid w:val="006E6CAB"/>
    <w:rsid w:val="006E6F02"/>
    <w:rsid w:val="006E7297"/>
    <w:rsid w:val="006E737E"/>
    <w:rsid w:val="006E7C6B"/>
    <w:rsid w:val="006F00BB"/>
    <w:rsid w:val="006F020C"/>
    <w:rsid w:val="006F0A18"/>
    <w:rsid w:val="006F0C52"/>
    <w:rsid w:val="006F0CDC"/>
    <w:rsid w:val="006F1917"/>
    <w:rsid w:val="006F1C82"/>
    <w:rsid w:val="006F1F1D"/>
    <w:rsid w:val="006F2071"/>
    <w:rsid w:val="006F234D"/>
    <w:rsid w:val="006F272C"/>
    <w:rsid w:val="006F2CC1"/>
    <w:rsid w:val="006F2D19"/>
    <w:rsid w:val="006F3542"/>
    <w:rsid w:val="006F38A8"/>
    <w:rsid w:val="006F3D86"/>
    <w:rsid w:val="006F410F"/>
    <w:rsid w:val="006F4212"/>
    <w:rsid w:val="006F46C6"/>
    <w:rsid w:val="006F5BFA"/>
    <w:rsid w:val="006F5E81"/>
    <w:rsid w:val="006F5F34"/>
    <w:rsid w:val="006F63EB"/>
    <w:rsid w:val="006F69F3"/>
    <w:rsid w:val="006F6E68"/>
    <w:rsid w:val="006F7A22"/>
    <w:rsid w:val="006F7F3B"/>
    <w:rsid w:val="006F7F6A"/>
    <w:rsid w:val="00700339"/>
    <w:rsid w:val="007006D3"/>
    <w:rsid w:val="007008B7"/>
    <w:rsid w:val="00700B66"/>
    <w:rsid w:val="00700CE9"/>
    <w:rsid w:val="00701651"/>
    <w:rsid w:val="00701DCB"/>
    <w:rsid w:val="0070210B"/>
    <w:rsid w:val="00702202"/>
    <w:rsid w:val="00702629"/>
    <w:rsid w:val="007027EB"/>
    <w:rsid w:val="00702970"/>
    <w:rsid w:val="00702AF7"/>
    <w:rsid w:val="00702F68"/>
    <w:rsid w:val="00702FEB"/>
    <w:rsid w:val="00703E6F"/>
    <w:rsid w:val="0070495C"/>
    <w:rsid w:val="00705510"/>
    <w:rsid w:val="007058D8"/>
    <w:rsid w:val="00705CAE"/>
    <w:rsid w:val="00705CB7"/>
    <w:rsid w:val="00706A2F"/>
    <w:rsid w:val="00706CED"/>
    <w:rsid w:val="00706F9D"/>
    <w:rsid w:val="00707740"/>
    <w:rsid w:val="00707ADF"/>
    <w:rsid w:val="0071029B"/>
    <w:rsid w:val="0071044E"/>
    <w:rsid w:val="00710475"/>
    <w:rsid w:val="007108F2"/>
    <w:rsid w:val="007109F6"/>
    <w:rsid w:val="00711B31"/>
    <w:rsid w:val="00711F70"/>
    <w:rsid w:val="00711F8A"/>
    <w:rsid w:val="0071206B"/>
    <w:rsid w:val="00712417"/>
    <w:rsid w:val="0071257A"/>
    <w:rsid w:val="0071260D"/>
    <w:rsid w:val="0071291D"/>
    <w:rsid w:val="0071298C"/>
    <w:rsid w:val="00712D6B"/>
    <w:rsid w:val="007138AD"/>
    <w:rsid w:val="00713A6A"/>
    <w:rsid w:val="00713A7B"/>
    <w:rsid w:val="007150DB"/>
    <w:rsid w:val="00715AEA"/>
    <w:rsid w:val="00715BE5"/>
    <w:rsid w:val="007160FE"/>
    <w:rsid w:val="00716A0C"/>
    <w:rsid w:val="00716AEB"/>
    <w:rsid w:val="00716B4E"/>
    <w:rsid w:val="00716BED"/>
    <w:rsid w:val="00716C90"/>
    <w:rsid w:val="007172F5"/>
    <w:rsid w:val="0071794B"/>
    <w:rsid w:val="00717A53"/>
    <w:rsid w:val="00717F4C"/>
    <w:rsid w:val="00720544"/>
    <w:rsid w:val="0072070B"/>
    <w:rsid w:val="00721109"/>
    <w:rsid w:val="007213A4"/>
    <w:rsid w:val="00721B6C"/>
    <w:rsid w:val="00721C5A"/>
    <w:rsid w:val="00722274"/>
    <w:rsid w:val="007224CD"/>
    <w:rsid w:val="00722504"/>
    <w:rsid w:val="0072256F"/>
    <w:rsid w:val="007225FD"/>
    <w:rsid w:val="00722979"/>
    <w:rsid w:val="0072332F"/>
    <w:rsid w:val="00723354"/>
    <w:rsid w:val="0072356F"/>
    <w:rsid w:val="007236E2"/>
    <w:rsid w:val="007236EE"/>
    <w:rsid w:val="00723797"/>
    <w:rsid w:val="00723D3C"/>
    <w:rsid w:val="00723F47"/>
    <w:rsid w:val="007246AF"/>
    <w:rsid w:val="007246FE"/>
    <w:rsid w:val="00724C78"/>
    <w:rsid w:val="00725045"/>
    <w:rsid w:val="0072567C"/>
    <w:rsid w:val="00725777"/>
    <w:rsid w:val="00725A7D"/>
    <w:rsid w:val="00725A8E"/>
    <w:rsid w:val="007261AF"/>
    <w:rsid w:val="00726935"/>
    <w:rsid w:val="00726B42"/>
    <w:rsid w:val="007279C5"/>
    <w:rsid w:val="00727A90"/>
    <w:rsid w:val="00730442"/>
    <w:rsid w:val="007304DA"/>
    <w:rsid w:val="00730B1A"/>
    <w:rsid w:val="00730DDD"/>
    <w:rsid w:val="0073163E"/>
    <w:rsid w:val="0073173C"/>
    <w:rsid w:val="0073193D"/>
    <w:rsid w:val="00731D31"/>
    <w:rsid w:val="0073210C"/>
    <w:rsid w:val="00732556"/>
    <w:rsid w:val="00732A8E"/>
    <w:rsid w:val="00732A90"/>
    <w:rsid w:val="007334CA"/>
    <w:rsid w:val="007334D5"/>
    <w:rsid w:val="00733A3D"/>
    <w:rsid w:val="00733C3C"/>
    <w:rsid w:val="0073430C"/>
    <w:rsid w:val="00734791"/>
    <w:rsid w:val="007349ED"/>
    <w:rsid w:val="00734C56"/>
    <w:rsid w:val="00734D9F"/>
    <w:rsid w:val="00734EB0"/>
    <w:rsid w:val="00735052"/>
    <w:rsid w:val="0073589A"/>
    <w:rsid w:val="00736CBC"/>
    <w:rsid w:val="00736D41"/>
    <w:rsid w:val="00736DBA"/>
    <w:rsid w:val="00736DFB"/>
    <w:rsid w:val="00736FC3"/>
    <w:rsid w:val="00737375"/>
    <w:rsid w:val="00737B67"/>
    <w:rsid w:val="00737E07"/>
    <w:rsid w:val="007403DD"/>
    <w:rsid w:val="00740505"/>
    <w:rsid w:val="00740AAB"/>
    <w:rsid w:val="007410B0"/>
    <w:rsid w:val="0074119A"/>
    <w:rsid w:val="00741B0D"/>
    <w:rsid w:val="00741D77"/>
    <w:rsid w:val="007427EB"/>
    <w:rsid w:val="00742AAF"/>
    <w:rsid w:val="00742B70"/>
    <w:rsid w:val="00742D20"/>
    <w:rsid w:val="00742EF5"/>
    <w:rsid w:val="0074338E"/>
    <w:rsid w:val="007436E8"/>
    <w:rsid w:val="00743A92"/>
    <w:rsid w:val="00743C0B"/>
    <w:rsid w:val="00743C50"/>
    <w:rsid w:val="00744063"/>
    <w:rsid w:val="007446F7"/>
    <w:rsid w:val="00745BC6"/>
    <w:rsid w:val="00745BD1"/>
    <w:rsid w:val="00745D79"/>
    <w:rsid w:val="00745ECA"/>
    <w:rsid w:val="007462E5"/>
    <w:rsid w:val="00746634"/>
    <w:rsid w:val="00746E2A"/>
    <w:rsid w:val="00746FEF"/>
    <w:rsid w:val="00747401"/>
    <w:rsid w:val="0074761E"/>
    <w:rsid w:val="00747BE8"/>
    <w:rsid w:val="00747FCD"/>
    <w:rsid w:val="00750B4B"/>
    <w:rsid w:val="00750B4F"/>
    <w:rsid w:val="00750EDB"/>
    <w:rsid w:val="007511AC"/>
    <w:rsid w:val="00751807"/>
    <w:rsid w:val="00751903"/>
    <w:rsid w:val="00751BBB"/>
    <w:rsid w:val="00751D35"/>
    <w:rsid w:val="007522C9"/>
    <w:rsid w:val="00752771"/>
    <w:rsid w:val="00752A93"/>
    <w:rsid w:val="00752AF5"/>
    <w:rsid w:val="00753238"/>
    <w:rsid w:val="00753534"/>
    <w:rsid w:val="007537EC"/>
    <w:rsid w:val="00753A06"/>
    <w:rsid w:val="00753DF4"/>
    <w:rsid w:val="0075465B"/>
    <w:rsid w:val="00754755"/>
    <w:rsid w:val="00754A1A"/>
    <w:rsid w:val="00754B2C"/>
    <w:rsid w:val="00754E10"/>
    <w:rsid w:val="00754FB6"/>
    <w:rsid w:val="00755612"/>
    <w:rsid w:val="00756033"/>
    <w:rsid w:val="007560F6"/>
    <w:rsid w:val="00756294"/>
    <w:rsid w:val="0075651A"/>
    <w:rsid w:val="00756758"/>
    <w:rsid w:val="007568F2"/>
    <w:rsid w:val="00757449"/>
    <w:rsid w:val="0075746A"/>
    <w:rsid w:val="00760671"/>
    <w:rsid w:val="0076093D"/>
    <w:rsid w:val="00760C59"/>
    <w:rsid w:val="007611E9"/>
    <w:rsid w:val="0076173F"/>
    <w:rsid w:val="00761858"/>
    <w:rsid w:val="00761F3C"/>
    <w:rsid w:val="00761F80"/>
    <w:rsid w:val="00762077"/>
    <w:rsid w:val="00763BA4"/>
    <w:rsid w:val="00763EBB"/>
    <w:rsid w:val="00763FA2"/>
    <w:rsid w:val="00764269"/>
    <w:rsid w:val="007643B3"/>
    <w:rsid w:val="00764BC2"/>
    <w:rsid w:val="00764E26"/>
    <w:rsid w:val="00764F3D"/>
    <w:rsid w:val="00764F8F"/>
    <w:rsid w:val="00765531"/>
    <w:rsid w:val="007655C1"/>
    <w:rsid w:val="007656C3"/>
    <w:rsid w:val="007658C4"/>
    <w:rsid w:val="007660C9"/>
    <w:rsid w:val="00766110"/>
    <w:rsid w:val="0076638A"/>
    <w:rsid w:val="007667E9"/>
    <w:rsid w:val="0076683C"/>
    <w:rsid w:val="00766CAE"/>
    <w:rsid w:val="00766FED"/>
    <w:rsid w:val="007671A7"/>
    <w:rsid w:val="00767A23"/>
    <w:rsid w:val="00767C3D"/>
    <w:rsid w:val="00767CC4"/>
    <w:rsid w:val="00770319"/>
    <w:rsid w:val="00770663"/>
    <w:rsid w:val="00770B98"/>
    <w:rsid w:val="00770D24"/>
    <w:rsid w:val="0077135A"/>
    <w:rsid w:val="0077137E"/>
    <w:rsid w:val="007713EF"/>
    <w:rsid w:val="0077212E"/>
    <w:rsid w:val="007725D6"/>
    <w:rsid w:val="0077268E"/>
    <w:rsid w:val="007727D9"/>
    <w:rsid w:val="007727EF"/>
    <w:rsid w:val="00772F39"/>
    <w:rsid w:val="00773177"/>
    <w:rsid w:val="00773682"/>
    <w:rsid w:val="007739FF"/>
    <w:rsid w:val="0077451C"/>
    <w:rsid w:val="00774678"/>
    <w:rsid w:val="00774685"/>
    <w:rsid w:val="00774BD8"/>
    <w:rsid w:val="00774DC1"/>
    <w:rsid w:val="00774E5E"/>
    <w:rsid w:val="00774F4C"/>
    <w:rsid w:val="00775113"/>
    <w:rsid w:val="00775527"/>
    <w:rsid w:val="0077555D"/>
    <w:rsid w:val="007757B6"/>
    <w:rsid w:val="00776045"/>
    <w:rsid w:val="00776A8F"/>
    <w:rsid w:val="00776F22"/>
    <w:rsid w:val="00776F77"/>
    <w:rsid w:val="0077787A"/>
    <w:rsid w:val="007779E4"/>
    <w:rsid w:val="007806E5"/>
    <w:rsid w:val="00780D56"/>
    <w:rsid w:val="00780D63"/>
    <w:rsid w:val="00781FF4"/>
    <w:rsid w:val="007820F5"/>
    <w:rsid w:val="0078214C"/>
    <w:rsid w:val="007825A0"/>
    <w:rsid w:val="007825E7"/>
    <w:rsid w:val="007826C5"/>
    <w:rsid w:val="00782B21"/>
    <w:rsid w:val="00782FD5"/>
    <w:rsid w:val="00783899"/>
    <w:rsid w:val="0078504F"/>
    <w:rsid w:val="00785F1E"/>
    <w:rsid w:val="0078686F"/>
    <w:rsid w:val="00786B63"/>
    <w:rsid w:val="00786B93"/>
    <w:rsid w:val="00786CB9"/>
    <w:rsid w:val="00786CEF"/>
    <w:rsid w:val="00786EBA"/>
    <w:rsid w:val="0078736F"/>
    <w:rsid w:val="00787556"/>
    <w:rsid w:val="007875FD"/>
    <w:rsid w:val="00787631"/>
    <w:rsid w:val="00787F24"/>
    <w:rsid w:val="00790582"/>
    <w:rsid w:val="00790868"/>
    <w:rsid w:val="00790D5F"/>
    <w:rsid w:val="00790D71"/>
    <w:rsid w:val="00790EB2"/>
    <w:rsid w:val="00791E92"/>
    <w:rsid w:val="00791F10"/>
    <w:rsid w:val="007920B5"/>
    <w:rsid w:val="0079275B"/>
    <w:rsid w:val="00792B92"/>
    <w:rsid w:val="00792BA2"/>
    <w:rsid w:val="00792FDA"/>
    <w:rsid w:val="0079301B"/>
    <w:rsid w:val="0079305D"/>
    <w:rsid w:val="007944E5"/>
    <w:rsid w:val="00794524"/>
    <w:rsid w:val="00794821"/>
    <w:rsid w:val="00794C59"/>
    <w:rsid w:val="007950FB"/>
    <w:rsid w:val="00795432"/>
    <w:rsid w:val="00795572"/>
    <w:rsid w:val="007956E7"/>
    <w:rsid w:val="00795BD2"/>
    <w:rsid w:val="00796254"/>
    <w:rsid w:val="007964FE"/>
    <w:rsid w:val="00796F5D"/>
    <w:rsid w:val="00797116"/>
    <w:rsid w:val="007974D5"/>
    <w:rsid w:val="0079769B"/>
    <w:rsid w:val="007976AB"/>
    <w:rsid w:val="0079776E"/>
    <w:rsid w:val="00797ACC"/>
    <w:rsid w:val="007A0071"/>
    <w:rsid w:val="007A02A5"/>
    <w:rsid w:val="007A03DB"/>
    <w:rsid w:val="007A0970"/>
    <w:rsid w:val="007A0B0D"/>
    <w:rsid w:val="007A0CDB"/>
    <w:rsid w:val="007A1016"/>
    <w:rsid w:val="007A11E9"/>
    <w:rsid w:val="007A14E9"/>
    <w:rsid w:val="007A19A1"/>
    <w:rsid w:val="007A1F3C"/>
    <w:rsid w:val="007A2033"/>
    <w:rsid w:val="007A2B97"/>
    <w:rsid w:val="007A30C0"/>
    <w:rsid w:val="007A3158"/>
    <w:rsid w:val="007A35C1"/>
    <w:rsid w:val="007A3B97"/>
    <w:rsid w:val="007A3D07"/>
    <w:rsid w:val="007A3E80"/>
    <w:rsid w:val="007A463E"/>
    <w:rsid w:val="007A487A"/>
    <w:rsid w:val="007A525C"/>
    <w:rsid w:val="007A54DF"/>
    <w:rsid w:val="007A57E0"/>
    <w:rsid w:val="007A5D56"/>
    <w:rsid w:val="007A5DAA"/>
    <w:rsid w:val="007A6071"/>
    <w:rsid w:val="007A61CB"/>
    <w:rsid w:val="007A681F"/>
    <w:rsid w:val="007A6D3B"/>
    <w:rsid w:val="007A6F39"/>
    <w:rsid w:val="007A7143"/>
    <w:rsid w:val="007A715D"/>
    <w:rsid w:val="007A74BE"/>
    <w:rsid w:val="007A76B3"/>
    <w:rsid w:val="007A7E27"/>
    <w:rsid w:val="007B0023"/>
    <w:rsid w:val="007B09AD"/>
    <w:rsid w:val="007B1696"/>
    <w:rsid w:val="007B1BDE"/>
    <w:rsid w:val="007B1E99"/>
    <w:rsid w:val="007B2314"/>
    <w:rsid w:val="007B23BB"/>
    <w:rsid w:val="007B2FFD"/>
    <w:rsid w:val="007B357A"/>
    <w:rsid w:val="007B434B"/>
    <w:rsid w:val="007B4585"/>
    <w:rsid w:val="007B4AD8"/>
    <w:rsid w:val="007B50F2"/>
    <w:rsid w:val="007B5335"/>
    <w:rsid w:val="007B571A"/>
    <w:rsid w:val="007B5765"/>
    <w:rsid w:val="007B58FB"/>
    <w:rsid w:val="007B597F"/>
    <w:rsid w:val="007B5E3A"/>
    <w:rsid w:val="007B5F09"/>
    <w:rsid w:val="007B6A71"/>
    <w:rsid w:val="007B6AEE"/>
    <w:rsid w:val="007B6B53"/>
    <w:rsid w:val="007B6ECD"/>
    <w:rsid w:val="007B717E"/>
    <w:rsid w:val="007B7439"/>
    <w:rsid w:val="007B74EF"/>
    <w:rsid w:val="007B77C4"/>
    <w:rsid w:val="007B7893"/>
    <w:rsid w:val="007B7A18"/>
    <w:rsid w:val="007B7C9A"/>
    <w:rsid w:val="007B7D23"/>
    <w:rsid w:val="007C0137"/>
    <w:rsid w:val="007C013F"/>
    <w:rsid w:val="007C0605"/>
    <w:rsid w:val="007C0695"/>
    <w:rsid w:val="007C0FEF"/>
    <w:rsid w:val="007C2398"/>
    <w:rsid w:val="007C2C00"/>
    <w:rsid w:val="007C2DCA"/>
    <w:rsid w:val="007C302A"/>
    <w:rsid w:val="007C31B3"/>
    <w:rsid w:val="007C33D0"/>
    <w:rsid w:val="007C3703"/>
    <w:rsid w:val="007C375A"/>
    <w:rsid w:val="007C380E"/>
    <w:rsid w:val="007C4501"/>
    <w:rsid w:val="007C50FA"/>
    <w:rsid w:val="007C6549"/>
    <w:rsid w:val="007C6963"/>
    <w:rsid w:val="007C6C1A"/>
    <w:rsid w:val="007C71D1"/>
    <w:rsid w:val="007C72F9"/>
    <w:rsid w:val="007C7A06"/>
    <w:rsid w:val="007C7B90"/>
    <w:rsid w:val="007C7C85"/>
    <w:rsid w:val="007C7E12"/>
    <w:rsid w:val="007D0CDE"/>
    <w:rsid w:val="007D0DCE"/>
    <w:rsid w:val="007D1313"/>
    <w:rsid w:val="007D1D73"/>
    <w:rsid w:val="007D25C1"/>
    <w:rsid w:val="007D2B2D"/>
    <w:rsid w:val="007D2D80"/>
    <w:rsid w:val="007D2DB7"/>
    <w:rsid w:val="007D2ECB"/>
    <w:rsid w:val="007D2F96"/>
    <w:rsid w:val="007D371B"/>
    <w:rsid w:val="007D419C"/>
    <w:rsid w:val="007D484B"/>
    <w:rsid w:val="007D4CD8"/>
    <w:rsid w:val="007D4EDB"/>
    <w:rsid w:val="007D557A"/>
    <w:rsid w:val="007D5987"/>
    <w:rsid w:val="007D5BBE"/>
    <w:rsid w:val="007D5C6D"/>
    <w:rsid w:val="007D6808"/>
    <w:rsid w:val="007D6B50"/>
    <w:rsid w:val="007D7375"/>
    <w:rsid w:val="007D7924"/>
    <w:rsid w:val="007D7DD4"/>
    <w:rsid w:val="007E01B1"/>
    <w:rsid w:val="007E0383"/>
    <w:rsid w:val="007E06AA"/>
    <w:rsid w:val="007E0ACC"/>
    <w:rsid w:val="007E10E0"/>
    <w:rsid w:val="007E12C8"/>
    <w:rsid w:val="007E15E7"/>
    <w:rsid w:val="007E194B"/>
    <w:rsid w:val="007E1F6B"/>
    <w:rsid w:val="007E2241"/>
    <w:rsid w:val="007E267F"/>
    <w:rsid w:val="007E2D37"/>
    <w:rsid w:val="007E3217"/>
    <w:rsid w:val="007E3A3E"/>
    <w:rsid w:val="007E3B13"/>
    <w:rsid w:val="007E47B1"/>
    <w:rsid w:val="007E4A3B"/>
    <w:rsid w:val="007E4E52"/>
    <w:rsid w:val="007E56C9"/>
    <w:rsid w:val="007E5E6E"/>
    <w:rsid w:val="007E5E74"/>
    <w:rsid w:val="007E5F64"/>
    <w:rsid w:val="007E6359"/>
    <w:rsid w:val="007E63D8"/>
    <w:rsid w:val="007E66BB"/>
    <w:rsid w:val="007E6810"/>
    <w:rsid w:val="007E7026"/>
    <w:rsid w:val="007E7093"/>
    <w:rsid w:val="007E72C3"/>
    <w:rsid w:val="007E7725"/>
    <w:rsid w:val="007E7B65"/>
    <w:rsid w:val="007E7D64"/>
    <w:rsid w:val="007E7F2A"/>
    <w:rsid w:val="007F0489"/>
    <w:rsid w:val="007F0E0E"/>
    <w:rsid w:val="007F10C6"/>
    <w:rsid w:val="007F11AE"/>
    <w:rsid w:val="007F11F5"/>
    <w:rsid w:val="007F1424"/>
    <w:rsid w:val="007F160B"/>
    <w:rsid w:val="007F19B8"/>
    <w:rsid w:val="007F1A19"/>
    <w:rsid w:val="007F202B"/>
    <w:rsid w:val="007F20AD"/>
    <w:rsid w:val="007F23C0"/>
    <w:rsid w:val="007F2866"/>
    <w:rsid w:val="007F2C06"/>
    <w:rsid w:val="007F2F93"/>
    <w:rsid w:val="007F3148"/>
    <w:rsid w:val="007F3EDE"/>
    <w:rsid w:val="007F4446"/>
    <w:rsid w:val="007F4677"/>
    <w:rsid w:val="007F4A4F"/>
    <w:rsid w:val="007F5023"/>
    <w:rsid w:val="007F522D"/>
    <w:rsid w:val="007F5373"/>
    <w:rsid w:val="007F5BCF"/>
    <w:rsid w:val="007F5D7D"/>
    <w:rsid w:val="007F650A"/>
    <w:rsid w:val="007F6685"/>
    <w:rsid w:val="007F6794"/>
    <w:rsid w:val="007F6E34"/>
    <w:rsid w:val="007F7446"/>
    <w:rsid w:val="007F78F9"/>
    <w:rsid w:val="0080031D"/>
    <w:rsid w:val="0080074A"/>
    <w:rsid w:val="00800878"/>
    <w:rsid w:val="00800ED1"/>
    <w:rsid w:val="00801088"/>
    <w:rsid w:val="00801608"/>
    <w:rsid w:val="00801686"/>
    <w:rsid w:val="00801979"/>
    <w:rsid w:val="00801AE8"/>
    <w:rsid w:val="00801FE1"/>
    <w:rsid w:val="008020CA"/>
    <w:rsid w:val="008024E7"/>
    <w:rsid w:val="0080268F"/>
    <w:rsid w:val="008032EF"/>
    <w:rsid w:val="0080333F"/>
    <w:rsid w:val="008035C9"/>
    <w:rsid w:val="0080387E"/>
    <w:rsid w:val="008039DD"/>
    <w:rsid w:val="00803B8B"/>
    <w:rsid w:val="00803D40"/>
    <w:rsid w:val="00804026"/>
    <w:rsid w:val="00804230"/>
    <w:rsid w:val="00804B75"/>
    <w:rsid w:val="00804EA5"/>
    <w:rsid w:val="008056C8"/>
    <w:rsid w:val="00805856"/>
    <w:rsid w:val="00806091"/>
    <w:rsid w:val="0080712E"/>
    <w:rsid w:val="008073ED"/>
    <w:rsid w:val="00807FD1"/>
    <w:rsid w:val="008108A6"/>
    <w:rsid w:val="0081091B"/>
    <w:rsid w:val="008109E0"/>
    <w:rsid w:val="00811171"/>
    <w:rsid w:val="00811E41"/>
    <w:rsid w:val="008122A3"/>
    <w:rsid w:val="00812342"/>
    <w:rsid w:val="008123F3"/>
    <w:rsid w:val="00812411"/>
    <w:rsid w:val="00812B1B"/>
    <w:rsid w:val="00812BB2"/>
    <w:rsid w:val="00813276"/>
    <w:rsid w:val="00813BC1"/>
    <w:rsid w:val="00813C14"/>
    <w:rsid w:val="00814CAE"/>
    <w:rsid w:val="00814EE3"/>
    <w:rsid w:val="00814F6B"/>
    <w:rsid w:val="008152F4"/>
    <w:rsid w:val="00815872"/>
    <w:rsid w:val="00815A4D"/>
    <w:rsid w:val="00815C96"/>
    <w:rsid w:val="00815D12"/>
    <w:rsid w:val="00815D9E"/>
    <w:rsid w:val="00815E6A"/>
    <w:rsid w:val="00816255"/>
    <w:rsid w:val="00816291"/>
    <w:rsid w:val="0081684B"/>
    <w:rsid w:val="008170C6"/>
    <w:rsid w:val="00817332"/>
    <w:rsid w:val="008204C0"/>
    <w:rsid w:val="008208F0"/>
    <w:rsid w:val="00820E3B"/>
    <w:rsid w:val="00821295"/>
    <w:rsid w:val="00821463"/>
    <w:rsid w:val="00821C17"/>
    <w:rsid w:val="00821D51"/>
    <w:rsid w:val="00821E16"/>
    <w:rsid w:val="0082206C"/>
    <w:rsid w:val="00822897"/>
    <w:rsid w:val="00822DF0"/>
    <w:rsid w:val="00823024"/>
    <w:rsid w:val="008237D6"/>
    <w:rsid w:val="008237FF"/>
    <w:rsid w:val="00824265"/>
    <w:rsid w:val="00824514"/>
    <w:rsid w:val="008259EE"/>
    <w:rsid w:val="008262B9"/>
    <w:rsid w:val="008268B5"/>
    <w:rsid w:val="00826A01"/>
    <w:rsid w:val="0082715D"/>
    <w:rsid w:val="0082717A"/>
    <w:rsid w:val="0082765C"/>
    <w:rsid w:val="00827D68"/>
    <w:rsid w:val="00827DE2"/>
    <w:rsid w:val="00830170"/>
    <w:rsid w:val="008304CF"/>
    <w:rsid w:val="008321DD"/>
    <w:rsid w:val="008328F3"/>
    <w:rsid w:val="008332CA"/>
    <w:rsid w:val="00833DA9"/>
    <w:rsid w:val="00833F64"/>
    <w:rsid w:val="008342FA"/>
    <w:rsid w:val="00834970"/>
    <w:rsid w:val="00834BA0"/>
    <w:rsid w:val="008352FD"/>
    <w:rsid w:val="00835571"/>
    <w:rsid w:val="008358B3"/>
    <w:rsid w:val="00835963"/>
    <w:rsid w:val="00835C70"/>
    <w:rsid w:val="00836787"/>
    <w:rsid w:val="00836BD7"/>
    <w:rsid w:val="00836CD7"/>
    <w:rsid w:val="00837273"/>
    <w:rsid w:val="008376EB"/>
    <w:rsid w:val="0083785D"/>
    <w:rsid w:val="0084139C"/>
    <w:rsid w:val="008415A9"/>
    <w:rsid w:val="00841D67"/>
    <w:rsid w:val="00841F2A"/>
    <w:rsid w:val="008421CD"/>
    <w:rsid w:val="008421D9"/>
    <w:rsid w:val="00842A02"/>
    <w:rsid w:val="00842B7D"/>
    <w:rsid w:val="00842F0D"/>
    <w:rsid w:val="00842F34"/>
    <w:rsid w:val="00843052"/>
    <w:rsid w:val="008430D3"/>
    <w:rsid w:val="008431B2"/>
    <w:rsid w:val="00843673"/>
    <w:rsid w:val="00843C12"/>
    <w:rsid w:val="00843C7F"/>
    <w:rsid w:val="008440DA"/>
    <w:rsid w:val="0084439E"/>
    <w:rsid w:val="008443DB"/>
    <w:rsid w:val="008448C0"/>
    <w:rsid w:val="008449D2"/>
    <w:rsid w:val="008452EB"/>
    <w:rsid w:val="00845D88"/>
    <w:rsid w:val="008464A9"/>
    <w:rsid w:val="00846802"/>
    <w:rsid w:val="00846AAD"/>
    <w:rsid w:val="00846BA0"/>
    <w:rsid w:val="00846E67"/>
    <w:rsid w:val="00847B5A"/>
    <w:rsid w:val="008508ED"/>
    <w:rsid w:val="00850F31"/>
    <w:rsid w:val="008510CD"/>
    <w:rsid w:val="0085111B"/>
    <w:rsid w:val="008511E7"/>
    <w:rsid w:val="00851C75"/>
    <w:rsid w:val="008521EA"/>
    <w:rsid w:val="008528D2"/>
    <w:rsid w:val="00852A60"/>
    <w:rsid w:val="00852ACD"/>
    <w:rsid w:val="00852E3D"/>
    <w:rsid w:val="00852ED5"/>
    <w:rsid w:val="00852F18"/>
    <w:rsid w:val="00853319"/>
    <w:rsid w:val="008536C2"/>
    <w:rsid w:val="00853788"/>
    <w:rsid w:val="00853D0F"/>
    <w:rsid w:val="00854500"/>
    <w:rsid w:val="008546B4"/>
    <w:rsid w:val="00854DB0"/>
    <w:rsid w:val="00854E50"/>
    <w:rsid w:val="00855071"/>
    <w:rsid w:val="008551A1"/>
    <w:rsid w:val="00855668"/>
    <w:rsid w:val="008560DD"/>
    <w:rsid w:val="0085626E"/>
    <w:rsid w:val="00856579"/>
    <w:rsid w:val="00856640"/>
    <w:rsid w:val="008569B0"/>
    <w:rsid w:val="00856B95"/>
    <w:rsid w:val="00856BE0"/>
    <w:rsid w:val="00856CE3"/>
    <w:rsid w:val="00857093"/>
    <w:rsid w:val="008572B6"/>
    <w:rsid w:val="0085731F"/>
    <w:rsid w:val="00857460"/>
    <w:rsid w:val="00857706"/>
    <w:rsid w:val="00857B7B"/>
    <w:rsid w:val="00857E52"/>
    <w:rsid w:val="008604B9"/>
    <w:rsid w:val="008608F3"/>
    <w:rsid w:val="00860B81"/>
    <w:rsid w:val="00860C38"/>
    <w:rsid w:val="00860C3B"/>
    <w:rsid w:val="00861D85"/>
    <w:rsid w:val="00861EF8"/>
    <w:rsid w:val="00861F37"/>
    <w:rsid w:val="00862112"/>
    <w:rsid w:val="0086231E"/>
    <w:rsid w:val="00862781"/>
    <w:rsid w:val="00862D9D"/>
    <w:rsid w:val="00863493"/>
    <w:rsid w:val="0086356D"/>
    <w:rsid w:val="00863A0B"/>
    <w:rsid w:val="00863C04"/>
    <w:rsid w:val="008642DC"/>
    <w:rsid w:val="0086448C"/>
    <w:rsid w:val="00864ADB"/>
    <w:rsid w:val="00864D20"/>
    <w:rsid w:val="0086500B"/>
    <w:rsid w:val="008653ED"/>
    <w:rsid w:val="0086595A"/>
    <w:rsid w:val="00865ADF"/>
    <w:rsid w:val="00865EC1"/>
    <w:rsid w:val="00865EE3"/>
    <w:rsid w:val="00866D40"/>
    <w:rsid w:val="008673D0"/>
    <w:rsid w:val="0087044D"/>
    <w:rsid w:val="008706B0"/>
    <w:rsid w:val="008706C1"/>
    <w:rsid w:val="00870813"/>
    <w:rsid w:val="00870B9E"/>
    <w:rsid w:val="00870FFC"/>
    <w:rsid w:val="0087121B"/>
    <w:rsid w:val="00871439"/>
    <w:rsid w:val="0087145F"/>
    <w:rsid w:val="00871653"/>
    <w:rsid w:val="008719B7"/>
    <w:rsid w:val="00871AD7"/>
    <w:rsid w:val="00871D4A"/>
    <w:rsid w:val="0087234A"/>
    <w:rsid w:val="0087250C"/>
    <w:rsid w:val="00872912"/>
    <w:rsid w:val="00872AE1"/>
    <w:rsid w:val="00872DEC"/>
    <w:rsid w:val="00872E1D"/>
    <w:rsid w:val="00872F6A"/>
    <w:rsid w:val="008731BB"/>
    <w:rsid w:val="008738CC"/>
    <w:rsid w:val="008740C1"/>
    <w:rsid w:val="0087422E"/>
    <w:rsid w:val="008744E3"/>
    <w:rsid w:val="008748B8"/>
    <w:rsid w:val="00874DAE"/>
    <w:rsid w:val="008757DC"/>
    <w:rsid w:val="00875A21"/>
    <w:rsid w:val="00875AA1"/>
    <w:rsid w:val="00876B47"/>
    <w:rsid w:val="00876B8E"/>
    <w:rsid w:val="00876C8F"/>
    <w:rsid w:val="00876D6E"/>
    <w:rsid w:val="008770DD"/>
    <w:rsid w:val="00877CBA"/>
    <w:rsid w:val="00877E53"/>
    <w:rsid w:val="00880495"/>
    <w:rsid w:val="00880732"/>
    <w:rsid w:val="00880BF2"/>
    <w:rsid w:val="0088111E"/>
    <w:rsid w:val="00881B7D"/>
    <w:rsid w:val="0088211A"/>
    <w:rsid w:val="00882379"/>
    <w:rsid w:val="00882501"/>
    <w:rsid w:val="008826A0"/>
    <w:rsid w:val="00882D72"/>
    <w:rsid w:val="00882F61"/>
    <w:rsid w:val="00883821"/>
    <w:rsid w:val="00884019"/>
    <w:rsid w:val="00884397"/>
    <w:rsid w:val="008852F2"/>
    <w:rsid w:val="00886013"/>
    <w:rsid w:val="008865B3"/>
    <w:rsid w:val="0088746A"/>
    <w:rsid w:val="008879DF"/>
    <w:rsid w:val="00887A7D"/>
    <w:rsid w:val="00887DF7"/>
    <w:rsid w:val="00887F33"/>
    <w:rsid w:val="00887FE8"/>
    <w:rsid w:val="00890332"/>
    <w:rsid w:val="00890953"/>
    <w:rsid w:val="00890B00"/>
    <w:rsid w:val="00890F62"/>
    <w:rsid w:val="0089116C"/>
    <w:rsid w:val="008913BE"/>
    <w:rsid w:val="00891426"/>
    <w:rsid w:val="008914A5"/>
    <w:rsid w:val="008915C3"/>
    <w:rsid w:val="0089164F"/>
    <w:rsid w:val="00891C7C"/>
    <w:rsid w:val="00892763"/>
    <w:rsid w:val="008928B2"/>
    <w:rsid w:val="00892997"/>
    <w:rsid w:val="00892FE4"/>
    <w:rsid w:val="008932FB"/>
    <w:rsid w:val="00893372"/>
    <w:rsid w:val="008934A4"/>
    <w:rsid w:val="008940A3"/>
    <w:rsid w:val="008943D8"/>
    <w:rsid w:val="00894F2D"/>
    <w:rsid w:val="0089514C"/>
    <w:rsid w:val="00895E57"/>
    <w:rsid w:val="0089607F"/>
    <w:rsid w:val="00896F78"/>
    <w:rsid w:val="0089703E"/>
    <w:rsid w:val="008977C4"/>
    <w:rsid w:val="008977CF"/>
    <w:rsid w:val="00897AB7"/>
    <w:rsid w:val="00897C54"/>
    <w:rsid w:val="00897ED9"/>
    <w:rsid w:val="008A0475"/>
    <w:rsid w:val="008A09E2"/>
    <w:rsid w:val="008A0E62"/>
    <w:rsid w:val="008A160F"/>
    <w:rsid w:val="008A1795"/>
    <w:rsid w:val="008A23B7"/>
    <w:rsid w:val="008A2871"/>
    <w:rsid w:val="008A29F7"/>
    <w:rsid w:val="008A312F"/>
    <w:rsid w:val="008A3385"/>
    <w:rsid w:val="008A350C"/>
    <w:rsid w:val="008A36D9"/>
    <w:rsid w:val="008A3DD0"/>
    <w:rsid w:val="008A418A"/>
    <w:rsid w:val="008A47C4"/>
    <w:rsid w:val="008A49C4"/>
    <w:rsid w:val="008A4BB1"/>
    <w:rsid w:val="008A4C6A"/>
    <w:rsid w:val="008A4F3D"/>
    <w:rsid w:val="008A4F3F"/>
    <w:rsid w:val="008A4F64"/>
    <w:rsid w:val="008A5106"/>
    <w:rsid w:val="008A5286"/>
    <w:rsid w:val="008A52A0"/>
    <w:rsid w:val="008A5304"/>
    <w:rsid w:val="008A5525"/>
    <w:rsid w:val="008A5E68"/>
    <w:rsid w:val="008A5EC7"/>
    <w:rsid w:val="008A5FA0"/>
    <w:rsid w:val="008A6451"/>
    <w:rsid w:val="008A653D"/>
    <w:rsid w:val="008A6742"/>
    <w:rsid w:val="008A6CA0"/>
    <w:rsid w:val="008A6CDA"/>
    <w:rsid w:val="008A7511"/>
    <w:rsid w:val="008A767B"/>
    <w:rsid w:val="008A781A"/>
    <w:rsid w:val="008A7A51"/>
    <w:rsid w:val="008A7B89"/>
    <w:rsid w:val="008A7BC4"/>
    <w:rsid w:val="008B0442"/>
    <w:rsid w:val="008B1A5A"/>
    <w:rsid w:val="008B2372"/>
    <w:rsid w:val="008B248B"/>
    <w:rsid w:val="008B295D"/>
    <w:rsid w:val="008B3440"/>
    <w:rsid w:val="008B355E"/>
    <w:rsid w:val="008B35F6"/>
    <w:rsid w:val="008B37BF"/>
    <w:rsid w:val="008B3934"/>
    <w:rsid w:val="008B3F52"/>
    <w:rsid w:val="008B427C"/>
    <w:rsid w:val="008B4514"/>
    <w:rsid w:val="008B463E"/>
    <w:rsid w:val="008B46E5"/>
    <w:rsid w:val="008B4EDC"/>
    <w:rsid w:val="008B517A"/>
    <w:rsid w:val="008B5190"/>
    <w:rsid w:val="008B5292"/>
    <w:rsid w:val="008B5DBD"/>
    <w:rsid w:val="008B5FB6"/>
    <w:rsid w:val="008B643E"/>
    <w:rsid w:val="008B64B3"/>
    <w:rsid w:val="008B6576"/>
    <w:rsid w:val="008B66F4"/>
    <w:rsid w:val="008B6A8C"/>
    <w:rsid w:val="008B6B37"/>
    <w:rsid w:val="008B6C36"/>
    <w:rsid w:val="008B7664"/>
    <w:rsid w:val="008B778A"/>
    <w:rsid w:val="008B7810"/>
    <w:rsid w:val="008C0060"/>
    <w:rsid w:val="008C03B9"/>
    <w:rsid w:val="008C13CA"/>
    <w:rsid w:val="008C2254"/>
    <w:rsid w:val="008C2303"/>
    <w:rsid w:val="008C30D0"/>
    <w:rsid w:val="008C3157"/>
    <w:rsid w:val="008C3441"/>
    <w:rsid w:val="008C3743"/>
    <w:rsid w:val="008C4184"/>
    <w:rsid w:val="008C438B"/>
    <w:rsid w:val="008C45D1"/>
    <w:rsid w:val="008C4757"/>
    <w:rsid w:val="008C4764"/>
    <w:rsid w:val="008C4A2E"/>
    <w:rsid w:val="008C5EF5"/>
    <w:rsid w:val="008C65A9"/>
    <w:rsid w:val="008C65AA"/>
    <w:rsid w:val="008C6C2A"/>
    <w:rsid w:val="008C7466"/>
    <w:rsid w:val="008C7B4B"/>
    <w:rsid w:val="008D0441"/>
    <w:rsid w:val="008D052D"/>
    <w:rsid w:val="008D1C09"/>
    <w:rsid w:val="008D1F48"/>
    <w:rsid w:val="008D2142"/>
    <w:rsid w:val="008D2187"/>
    <w:rsid w:val="008D2CBD"/>
    <w:rsid w:val="008D2F02"/>
    <w:rsid w:val="008D3AAA"/>
    <w:rsid w:val="008D3C5E"/>
    <w:rsid w:val="008D4F17"/>
    <w:rsid w:val="008D51BC"/>
    <w:rsid w:val="008D5445"/>
    <w:rsid w:val="008D5731"/>
    <w:rsid w:val="008D5AC3"/>
    <w:rsid w:val="008D618F"/>
    <w:rsid w:val="008D6606"/>
    <w:rsid w:val="008D664F"/>
    <w:rsid w:val="008D6AD6"/>
    <w:rsid w:val="008D7107"/>
    <w:rsid w:val="008D7AA8"/>
    <w:rsid w:val="008E070B"/>
    <w:rsid w:val="008E0744"/>
    <w:rsid w:val="008E0C8F"/>
    <w:rsid w:val="008E145B"/>
    <w:rsid w:val="008E2506"/>
    <w:rsid w:val="008E269D"/>
    <w:rsid w:val="008E2752"/>
    <w:rsid w:val="008E339B"/>
    <w:rsid w:val="008E3483"/>
    <w:rsid w:val="008E3830"/>
    <w:rsid w:val="008E3DF9"/>
    <w:rsid w:val="008E3EF9"/>
    <w:rsid w:val="008E46DD"/>
    <w:rsid w:val="008E4A7B"/>
    <w:rsid w:val="008E4A95"/>
    <w:rsid w:val="008E4B34"/>
    <w:rsid w:val="008E4F28"/>
    <w:rsid w:val="008E539C"/>
    <w:rsid w:val="008E5407"/>
    <w:rsid w:val="008E561B"/>
    <w:rsid w:val="008E5B6A"/>
    <w:rsid w:val="008E5C00"/>
    <w:rsid w:val="008E5D95"/>
    <w:rsid w:val="008E5DC8"/>
    <w:rsid w:val="008E5EC5"/>
    <w:rsid w:val="008E6A36"/>
    <w:rsid w:val="008E6C94"/>
    <w:rsid w:val="008E74BA"/>
    <w:rsid w:val="008E78CF"/>
    <w:rsid w:val="008E7E8A"/>
    <w:rsid w:val="008F00A3"/>
    <w:rsid w:val="008F054D"/>
    <w:rsid w:val="008F0A1D"/>
    <w:rsid w:val="008F1677"/>
    <w:rsid w:val="008F201C"/>
    <w:rsid w:val="008F2395"/>
    <w:rsid w:val="008F26DE"/>
    <w:rsid w:val="008F2773"/>
    <w:rsid w:val="008F29FC"/>
    <w:rsid w:val="008F306D"/>
    <w:rsid w:val="008F3275"/>
    <w:rsid w:val="008F332C"/>
    <w:rsid w:val="008F3844"/>
    <w:rsid w:val="008F38DF"/>
    <w:rsid w:val="008F3BE0"/>
    <w:rsid w:val="008F3DA2"/>
    <w:rsid w:val="008F3DDC"/>
    <w:rsid w:val="008F3E7D"/>
    <w:rsid w:val="008F404B"/>
    <w:rsid w:val="008F4201"/>
    <w:rsid w:val="008F4C92"/>
    <w:rsid w:val="008F5403"/>
    <w:rsid w:val="008F5434"/>
    <w:rsid w:val="008F5A2F"/>
    <w:rsid w:val="008F5B0A"/>
    <w:rsid w:val="008F5F9C"/>
    <w:rsid w:val="008F64B2"/>
    <w:rsid w:val="008F6E80"/>
    <w:rsid w:val="008F7608"/>
    <w:rsid w:val="008F77BC"/>
    <w:rsid w:val="00900465"/>
    <w:rsid w:val="00900728"/>
    <w:rsid w:val="009008BB"/>
    <w:rsid w:val="00900AB2"/>
    <w:rsid w:val="00900BAC"/>
    <w:rsid w:val="00901295"/>
    <w:rsid w:val="00901448"/>
    <w:rsid w:val="00901877"/>
    <w:rsid w:val="009018DD"/>
    <w:rsid w:val="00901915"/>
    <w:rsid w:val="00901AC5"/>
    <w:rsid w:val="00901FF9"/>
    <w:rsid w:val="00902367"/>
    <w:rsid w:val="00902378"/>
    <w:rsid w:val="00902AF6"/>
    <w:rsid w:val="00902AFC"/>
    <w:rsid w:val="00902D68"/>
    <w:rsid w:val="009030BD"/>
    <w:rsid w:val="00903265"/>
    <w:rsid w:val="009034D7"/>
    <w:rsid w:val="00903906"/>
    <w:rsid w:val="00903B04"/>
    <w:rsid w:val="00903F57"/>
    <w:rsid w:val="0090409A"/>
    <w:rsid w:val="00904516"/>
    <w:rsid w:val="009047DF"/>
    <w:rsid w:val="00904B20"/>
    <w:rsid w:val="00904C35"/>
    <w:rsid w:val="00904E55"/>
    <w:rsid w:val="00905DF1"/>
    <w:rsid w:val="009066A0"/>
    <w:rsid w:val="00906F91"/>
    <w:rsid w:val="00907438"/>
    <w:rsid w:val="00907579"/>
    <w:rsid w:val="0090780C"/>
    <w:rsid w:val="00907A0E"/>
    <w:rsid w:val="00907BE2"/>
    <w:rsid w:val="00907DCD"/>
    <w:rsid w:val="00910073"/>
    <w:rsid w:val="009100D9"/>
    <w:rsid w:val="0091012A"/>
    <w:rsid w:val="00910B2D"/>
    <w:rsid w:val="00910BE3"/>
    <w:rsid w:val="00910F48"/>
    <w:rsid w:val="0091196A"/>
    <w:rsid w:val="00911A34"/>
    <w:rsid w:val="00911D50"/>
    <w:rsid w:val="00912770"/>
    <w:rsid w:val="009128B9"/>
    <w:rsid w:val="009130FE"/>
    <w:rsid w:val="00913152"/>
    <w:rsid w:val="00913571"/>
    <w:rsid w:val="00913592"/>
    <w:rsid w:val="0091364A"/>
    <w:rsid w:val="00913A5A"/>
    <w:rsid w:val="00913F95"/>
    <w:rsid w:val="009140DC"/>
    <w:rsid w:val="0091422F"/>
    <w:rsid w:val="009146D5"/>
    <w:rsid w:val="009149E1"/>
    <w:rsid w:val="00914B4E"/>
    <w:rsid w:val="00914D77"/>
    <w:rsid w:val="00915CC7"/>
    <w:rsid w:val="00915CDD"/>
    <w:rsid w:val="00915E36"/>
    <w:rsid w:val="00915EFD"/>
    <w:rsid w:val="00916411"/>
    <w:rsid w:val="00916D18"/>
    <w:rsid w:val="00917196"/>
    <w:rsid w:val="0091722C"/>
    <w:rsid w:val="00917B7E"/>
    <w:rsid w:val="00917EB7"/>
    <w:rsid w:val="00920089"/>
    <w:rsid w:val="009201C6"/>
    <w:rsid w:val="009206B8"/>
    <w:rsid w:val="00920747"/>
    <w:rsid w:val="0092092F"/>
    <w:rsid w:val="00920A06"/>
    <w:rsid w:val="00920AC1"/>
    <w:rsid w:val="00920DA7"/>
    <w:rsid w:val="00920FC0"/>
    <w:rsid w:val="0092106C"/>
    <w:rsid w:val="00921203"/>
    <w:rsid w:val="0092122C"/>
    <w:rsid w:val="00921341"/>
    <w:rsid w:val="009213FA"/>
    <w:rsid w:val="00921CD1"/>
    <w:rsid w:val="00921E96"/>
    <w:rsid w:val="00921FD4"/>
    <w:rsid w:val="0092200A"/>
    <w:rsid w:val="00922154"/>
    <w:rsid w:val="00922292"/>
    <w:rsid w:val="00922457"/>
    <w:rsid w:val="00922ADE"/>
    <w:rsid w:val="00922E81"/>
    <w:rsid w:val="00922FEB"/>
    <w:rsid w:val="0092326D"/>
    <w:rsid w:val="00923739"/>
    <w:rsid w:val="009237EB"/>
    <w:rsid w:val="00923E68"/>
    <w:rsid w:val="00923FFF"/>
    <w:rsid w:val="00924001"/>
    <w:rsid w:val="009240EA"/>
    <w:rsid w:val="00924897"/>
    <w:rsid w:val="00925430"/>
    <w:rsid w:val="00925B31"/>
    <w:rsid w:val="00925DF3"/>
    <w:rsid w:val="0092635A"/>
    <w:rsid w:val="0092641D"/>
    <w:rsid w:val="00926526"/>
    <w:rsid w:val="0092733D"/>
    <w:rsid w:val="009274EE"/>
    <w:rsid w:val="00927ADF"/>
    <w:rsid w:val="00931065"/>
    <w:rsid w:val="00931300"/>
    <w:rsid w:val="00931786"/>
    <w:rsid w:val="00931BA4"/>
    <w:rsid w:val="009321FC"/>
    <w:rsid w:val="0093269D"/>
    <w:rsid w:val="00933010"/>
    <w:rsid w:val="0093352E"/>
    <w:rsid w:val="00933A15"/>
    <w:rsid w:val="00933C86"/>
    <w:rsid w:val="00933D57"/>
    <w:rsid w:val="00933F2B"/>
    <w:rsid w:val="0093400C"/>
    <w:rsid w:val="0093433B"/>
    <w:rsid w:val="009349FE"/>
    <w:rsid w:val="00934B1D"/>
    <w:rsid w:val="00934ED1"/>
    <w:rsid w:val="00934EFC"/>
    <w:rsid w:val="0093501D"/>
    <w:rsid w:val="0093558C"/>
    <w:rsid w:val="00935592"/>
    <w:rsid w:val="0093563D"/>
    <w:rsid w:val="00935826"/>
    <w:rsid w:val="009358B0"/>
    <w:rsid w:val="00935CAF"/>
    <w:rsid w:val="00936306"/>
    <w:rsid w:val="00936724"/>
    <w:rsid w:val="009369F3"/>
    <w:rsid w:val="0093727B"/>
    <w:rsid w:val="0093792C"/>
    <w:rsid w:val="009379CF"/>
    <w:rsid w:val="00937AFD"/>
    <w:rsid w:val="00937C24"/>
    <w:rsid w:val="00937C86"/>
    <w:rsid w:val="00940B84"/>
    <w:rsid w:val="00941301"/>
    <w:rsid w:val="00941410"/>
    <w:rsid w:val="00941608"/>
    <w:rsid w:val="009418CE"/>
    <w:rsid w:val="00941AE0"/>
    <w:rsid w:val="00941CE9"/>
    <w:rsid w:val="009421A5"/>
    <w:rsid w:val="00942230"/>
    <w:rsid w:val="00942B47"/>
    <w:rsid w:val="00943130"/>
    <w:rsid w:val="00943267"/>
    <w:rsid w:val="00944C74"/>
    <w:rsid w:val="009450EB"/>
    <w:rsid w:val="00945224"/>
    <w:rsid w:val="0094535E"/>
    <w:rsid w:val="009454D0"/>
    <w:rsid w:val="0094561E"/>
    <w:rsid w:val="00945ABD"/>
    <w:rsid w:val="0094642D"/>
    <w:rsid w:val="009464AE"/>
    <w:rsid w:val="00946697"/>
    <w:rsid w:val="00946765"/>
    <w:rsid w:val="009469DA"/>
    <w:rsid w:val="00946AEB"/>
    <w:rsid w:val="009476BC"/>
    <w:rsid w:val="009477FF"/>
    <w:rsid w:val="00947C6C"/>
    <w:rsid w:val="009503FF"/>
    <w:rsid w:val="00950485"/>
    <w:rsid w:val="00950613"/>
    <w:rsid w:val="009506E5"/>
    <w:rsid w:val="00950993"/>
    <w:rsid w:val="00950A2B"/>
    <w:rsid w:val="00950CA9"/>
    <w:rsid w:val="00950E66"/>
    <w:rsid w:val="00951306"/>
    <w:rsid w:val="00951413"/>
    <w:rsid w:val="0095148B"/>
    <w:rsid w:val="0095189C"/>
    <w:rsid w:val="009519F8"/>
    <w:rsid w:val="0095201F"/>
    <w:rsid w:val="00952221"/>
    <w:rsid w:val="009528DB"/>
    <w:rsid w:val="00952BD2"/>
    <w:rsid w:val="00952D82"/>
    <w:rsid w:val="00952EA5"/>
    <w:rsid w:val="0095306D"/>
    <w:rsid w:val="009534D9"/>
    <w:rsid w:val="0095350C"/>
    <w:rsid w:val="00953571"/>
    <w:rsid w:val="00953A20"/>
    <w:rsid w:val="00953F6E"/>
    <w:rsid w:val="00954300"/>
    <w:rsid w:val="009545E8"/>
    <w:rsid w:val="00954F2E"/>
    <w:rsid w:val="00954FC3"/>
    <w:rsid w:val="00955370"/>
    <w:rsid w:val="00956140"/>
    <w:rsid w:val="00956141"/>
    <w:rsid w:val="00956586"/>
    <w:rsid w:val="009569EA"/>
    <w:rsid w:val="00956B99"/>
    <w:rsid w:val="00956F4D"/>
    <w:rsid w:val="009570D0"/>
    <w:rsid w:val="00957AB7"/>
    <w:rsid w:val="00957C3D"/>
    <w:rsid w:val="00957CC8"/>
    <w:rsid w:val="00960419"/>
    <w:rsid w:val="00960CAF"/>
    <w:rsid w:val="00960FD2"/>
    <w:rsid w:val="0096214C"/>
    <w:rsid w:val="0096221B"/>
    <w:rsid w:val="009622E3"/>
    <w:rsid w:val="009624A4"/>
    <w:rsid w:val="0096260F"/>
    <w:rsid w:val="009627F4"/>
    <w:rsid w:val="00962B5B"/>
    <w:rsid w:val="0096397B"/>
    <w:rsid w:val="00963EFE"/>
    <w:rsid w:val="0096446B"/>
    <w:rsid w:val="009646CC"/>
    <w:rsid w:val="009648EF"/>
    <w:rsid w:val="00964B69"/>
    <w:rsid w:val="00965044"/>
    <w:rsid w:val="009652DD"/>
    <w:rsid w:val="00965750"/>
    <w:rsid w:val="00965935"/>
    <w:rsid w:val="00965F87"/>
    <w:rsid w:val="00966041"/>
    <w:rsid w:val="009662EC"/>
    <w:rsid w:val="00966BC1"/>
    <w:rsid w:val="0096713D"/>
    <w:rsid w:val="0096723F"/>
    <w:rsid w:val="00967301"/>
    <w:rsid w:val="00967967"/>
    <w:rsid w:val="00967AE0"/>
    <w:rsid w:val="00970712"/>
    <w:rsid w:val="009709F6"/>
    <w:rsid w:val="00970A4C"/>
    <w:rsid w:val="00970C34"/>
    <w:rsid w:val="00970E33"/>
    <w:rsid w:val="00970EBA"/>
    <w:rsid w:val="009717E7"/>
    <w:rsid w:val="009718DF"/>
    <w:rsid w:val="00971A37"/>
    <w:rsid w:val="00971AF0"/>
    <w:rsid w:val="00971DA1"/>
    <w:rsid w:val="00972154"/>
    <w:rsid w:val="00972415"/>
    <w:rsid w:val="009724C7"/>
    <w:rsid w:val="00972789"/>
    <w:rsid w:val="00972B52"/>
    <w:rsid w:val="00972C9A"/>
    <w:rsid w:val="00972E51"/>
    <w:rsid w:val="0097378F"/>
    <w:rsid w:val="00973EAD"/>
    <w:rsid w:val="009748D9"/>
    <w:rsid w:val="00974B85"/>
    <w:rsid w:val="00974EC6"/>
    <w:rsid w:val="00975137"/>
    <w:rsid w:val="00975D12"/>
    <w:rsid w:val="0097650A"/>
    <w:rsid w:val="009767F9"/>
    <w:rsid w:val="00976A7D"/>
    <w:rsid w:val="00976AFE"/>
    <w:rsid w:val="00977098"/>
    <w:rsid w:val="009773DA"/>
    <w:rsid w:val="009773FE"/>
    <w:rsid w:val="00977761"/>
    <w:rsid w:val="0098000D"/>
    <w:rsid w:val="009801B6"/>
    <w:rsid w:val="009802FE"/>
    <w:rsid w:val="009803D4"/>
    <w:rsid w:val="009807A7"/>
    <w:rsid w:val="00980D1C"/>
    <w:rsid w:val="00980DA2"/>
    <w:rsid w:val="0098141E"/>
    <w:rsid w:val="00981561"/>
    <w:rsid w:val="0098213D"/>
    <w:rsid w:val="0098228C"/>
    <w:rsid w:val="0098233C"/>
    <w:rsid w:val="00982682"/>
    <w:rsid w:val="009826FB"/>
    <w:rsid w:val="009828C1"/>
    <w:rsid w:val="00982AF5"/>
    <w:rsid w:val="00983285"/>
    <w:rsid w:val="009836CA"/>
    <w:rsid w:val="009841D3"/>
    <w:rsid w:val="009844B5"/>
    <w:rsid w:val="0098480A"/>
    <w:rsid w:val="009848C3"/>
    <w:rsid w:val="009849B3"/>
    <w:rsid w:val="00984BC9"/>
    <w:rsid w:val="00984CF9"/>
    <w:rsid w:val="00985024"/>
    <w:rsid w:val="00985109"/>
    <w:rsid w:val="0098558C"/>
    <w:rsid w:val="00985D9A"/>
    <w:rsid w:val="009860F2"/>
    <w:rsid w:val="0098628A"/>
    <w:rsid w:val="00986489"/>
    <w:rsid w:val="0098665E"/>
    <w:rsid w:val="00986DD8"/>
    <w:rsid w:val="00987C54"/>
    <w:rsid w:val="009901F1"/>
    <w:rsid w:val="009903CE"/>
    <w:rsid w:val="00990700"/>
    <w:rsid w:val="0099084C"/>
    <w:rsid w:val="009909A6"/>
    <w:rsid w:val="00991113"/>
    <w:rsid w:val="00991355"/>
    <w:rsid w:val="00991568"/>
    <w:rsid w:val="00991826"/>
    <w:rsid w:val="009923BD"/>
    <w:rsid w:val="00993058"/>
    <w:rsid w:val="00993308"/>
    <w:rsid w:val="00993316"/>
    <w:rsid w:val="009934C5"/>
    <w:rsid w:val="00993D2A"/>
    <w:rsid w:val="00994464"/>
    <w:rsid w:val="0099479C"/>
    <w:rsid w:val="00995658"/>
    <w:rsid w:val="0099593D"/>
    <w:rsid w:val="00995FAB"/>
    <w:rsid w:val="00996551"/>
    <w:rsid w:val="00996922"/>
    <w:rsid w:val="00996A13"/>
    <w:rsid w:val="00996EEA"/>
    <w:rsid w:val="009975E3"/>
    <w:rsid w:val="00997DC4"/>
    <w:rsid w:val="00997E00"/>
    <w:rsid w:val="00997E26"/>
    <w:rsid w:val="009A008D"/>
    <w:rsid w:val="009A016C"/>
    <w:rsid w:val="009A0276"/>
    <w:rsid w:val="009A0335"/>
    <w:rsid w:val="009A0421"/>
    <w:rsid w:val="009A07DD"/>
    <w:rsid w:val="009A137D"/>
    <w:rsid w:val="009A1AF2"/>
    <w:rsid w:val="009A229D"/>
    <w:rsid w:val="009A2B09"/>
    <w:rsid w:val="009A2CC5"/>
    <w:rsid w:val="009A2CE3"/>
    <w:rsid w:val="009A2D5D"/>
    <w:rsid w:val="009A35DC"/>
    <w:rsid w:val="009A3F0C"/>
    <w:rsid w:val="009A3F34"/>
    <w:rsid w:val="009A4137"/>
    <w:rsid w:val="009A46DA"/>
    <w:rsid w:val="009A494B"/>
    <w:rsid w:val="009A4A87"/>
    <w:rsid w:val="009A4D4A"/>
    <w:rsid w:val="009A51E9"/>
    <w:rsid w:val="009A546A"/>
    <w:rsid w:val="009A57FF"/>
    <w:rsid w:val="009A5CE6"/>
    <w:rsid w:val="009A640C"/>
    <w:rsid w:val="009A64EA"/>
    <w:rsid w:val="009A6D5A"/>
    <w:rsid w:val="009A714A"/>
    <w:rsid w:val="009A71F6"/>
    <w:rsid w:val="009A760A"/>
    <w:rsid w:val="009A7D8A"/>
    <w:rsid w:val="009B0245"/>
    <w:rsid w:val="009B0891"/>
    <w:rsid w:val="009B0A35"/>
    <w:rsid w:val="009B0E2C"/>
    <w:rsid w:val="009B1455"/>
    <w:rsid w:val="009B23D0"/>
    <w:rsid w:val="009B27B9"/>
    <w:rsid w:val="009B35D0"/>
    <w:rsid w:val="009B38CF"/>
    <w:rsid w:val="009B399B"/>
    <w:rsid w:val="009B431B"/>
    <w:rsid w:val="009B440D"/>
    <w:rsid w:val="009B469C"/>
    <w:rsid w:val="009B4732"/>
    <w:rsid w:val="009B514E"/>
    <w:rsid w:val="009B5933"/>
    <w:rsid w:val="009B5BD1"/>
    <w:rsid w:val="009B6925"/>
    <w:rsid w:val="009B6F33"/>
    <w:rsid w:val="009B7435"/>
    <w:rsid w:val="009B764D"/>
    <w:rsid w:val="009B77CE"/>
    <w:rsid w:val="009B7CFB"/>
    <w:rsid w:val="009C0096"/>
    <w:rsid w:val="009C00B9"/>
    <w:rsid w:val="009C00DD"/>
    <w:rsid w:val="009C0316"/>
    <w:rsid w:val="009C0700"/>
    <w:rsid w:val="009C0857"/>
    <w:rsid w:val="009C11B6"/>
    <w:rsid w:val="009C12CC"/>
    <w:rsid w:val="009C1A05"/>
    <w:rsid w:val="009C1DE9"/>
    <w:rsid w:val="009C1E69"/>
    <w:rsid w:val="009C22CC"/>
    <w:rsid w:val="009C25BB"/>
    <w:rsid w:val="009C2A9D"/>
    <w:rsid w:val="009C3544"/>
    <w:rsid w:val="009C3799"/>
    <w:rsid w:val="009C37DF"/>
    <w:rsid w:val="009C39F9"/>
    <w:rsid w:val="009C3F4C"/>
    <w:rsid w:val="009C447C"/>
    <w:rsid w:val="009C4514"/>
    <w:rsid w:val="009C4C98"/>
    <w:rsid w:val="009C53FC"/>
    <w:rsid w:val="009C5BE3"/>
    <w:rsid w:val="009C6817"/>
    <w:rsid w:val="009C6C06"/>
    <w:rsid w:val="009C6FBE"/>
    <w:rsid w:val="009C740F"/>
    <w:rsid w:val="009C74E8"/>
    <w:rsid w:val="009C7B17"/>
    <w:rsid w:val="009C7B62"/>
    <w:rsid w:val="009C7C5A"/>
    <w:rsid w:val="009C7C5B"/>
    <w:rsid w:val="009D0086"/>
    <w:rsid w:val="009D04A0"/>
    <w:rsid w:val="009D04F0"/>
    <w:rsid w:val="009D111A"/>
    <w:rsid w:val="009D1506"/>
    <w:rsid w:val="009D1550"/>
    <w:rsid w:val="009D1953"/>
    <w:rsid w:val="009D1C2E"/>
    <w:rsid w:val="009D1FD0"/>
    <w:rsid w:val="009D229C"/>
    <w:rsid w:val="009D2AEF"/>
    <w:rsid w:val="009D2BF9"/>
    <w:rsid w:val="009D2F1A"/>
    <w:rsid w:val="009D2F93"/>
    <w:rsid w:val="009D3506"/>
    <w:rsid w:val="009D37F5"/>
    <w:rsid w:val="009D392B"/>
    <w:rsid w:val="009D42A8"/>
    <w:rsid w:val="009D42DC"/>
    <w:rsid w:val="009D4A0B"/>
    <w:rsid w:val="009D4BAE"/>
    <w:rsid w:val="009D4D95"/>
    <w:rsid w:val="009D5386"/>
    <w:rsid w:val="009D5462"/>
    <w:rsid w:val="009D622A"/>
    <w:rsid w:val="009D754D"/>
    <w:rsid w:val="009D7643"/>
    <w:rsid w:val="009D7924"/>
    <w:rsid w:val="009D7F6A"/>
    <w:rsid w:val="009E002B"/>
    <w:rsid w:val="009E02B2"/>
    <w:rsid w:val="009E03BB"/>
    <w:rsid w:val="009E050C"/>
    <w:rsid w:val="009E1467"/>
    <w:rsid w:val="009E146C"/>
    <w:rsid w:val="009E17DF"/>
    <w:rsid w:val="009E1AE9"/>
    <w:rsid w:val="009E1BA7"/>
    <w:rsid w:val="009E1E12"/>
    <w:rsid w:val="009E227E"/>
    <w:rsid w:val="009E28D9"/>
    <w:rsid w:val="009E2BB0"/>
    <w:rsid w:val="009E2CA6"/>
    <w:rsid w:val="009E33C0"/>
    <w:rsid w:val="009E34B2"/>
    <w:rsid w:val="009E3636"/>
    <w:rsid w:val="009E3971"/>
    <w:rsid w:val="009E3DC7"/>
    <w:rsid w:val="009E3DEE"/>
    <w:rsid w:val="009E3E60"/>
    <w:rsid w:val="009E3F57"/>
    <w:rsid w:val="009E3FB0"/>
    <w:rsid w:val="009E4303"/>
    <w:rsid w:val="009E43D8"/>
    <w:rsid w:val="009E468F"/>
    <w:rsid w:val="009E4C52"/>
    <w:rsid w:val="009E4EE5"/>
    <w:rsid w:val="009E5677"/>
    <w:rsid w:val="009E59BE"/>
    <w:rsid w:val="009E6F0B"/>
    <w:rsid w:val="009E7098"/>
    <w:rsid w:val="009E7369"/>
    <w:rsid w:val="009E74A5"/>
    <w:rsid w:val="009E7560"/>
    <w:rsid w:val="009E75C8"/>
    <w:rsid w:val="009E7B21"/>
    <w:rsid w:val="009E7B28"/>
    <w:rsid w:val="009F0096"/>
    <w:rsid w:val="009F076A"/>
    <w:rsid w:val="009F0E88"/>
    <w:rsid w:val="009F1036"/>
    <w:rsid w:val="009F1537"/>
    <w:rsid w:val="009F1FBF"/>
    <w:rsid w:val="009F210E"/>
    <w:rsid w:val="009F28B5"/>
    <w:rsid w:val="009F2F37"/>
    <w:rsid w:val="009F3231"/>
    <w:rsid w:val="009F3815"/>
    <w:rsid w:val="009F441F"/>
    <w:rsid w:val="009F4659"/>
    <w:rsid w:val="009F4763"/>
    <w:rsid w:val="009F4C5D"/>
    <w:rsid w:val="009F4D6E"/>
    <w:rsid w:val="009F4EFF"/>
    <w:rsid w:val="009F565C"/>
    <w:rsid w:val="009F5E1C"/>
    <w:rsid w:val="009F61E5"/>
    <w:rsid w:val="009F6694"/>
    <w:rsid w:val="009F6AA6"/>
    <w:rsid w:val="009F6C5C"/>
    <w:rsid w:val="009F6E1D"/>
    <w:rsid w:val="009F72F8"/>
    <w:rsid w:val="009F760D"/>
    <w:rsid w:val="009F782C"/>
    <w:rsid w:val="009F7E4D"/>
    <w:rsid w:val="00A00652"/>
    <w:rsid w:val="00A00DD9"/>
    <w:rsid w:val="00A00E80"/>
    <w:rsid w:val="00A012AB"/>
    <w:rsid w:val="00A0138C"/>
    <w:rsid w:val="00A01710"/>
    <w:rsid w:val="00A0198D"/>
    <w:rsid w:val="00A01A79"/>
    <w:rsid w:val="00A01B85"/>
    <w:rsid w:val="00A02ADC"/>
    <w:rsid w:val="00A02C47"/>
    <w:rsid w:val="00A02D7E"/>
    <w:rsid w:val="00A04335"/>
    <w:rsid w:val="00A04635"/>
    <w:rsid w:val="00A04B3F"/>
    <w:rsid w:val="00A04DA2"/>
    <w:rsid w:val="00A050DE"/>
    <w:rsid w:val="00A054F9"/>
    <w:rsid w:val="00A05888"/>
    <w:rsid w:val="00A05AF9"/>
    <w:rsid w:val="00A063A6"/>
    <w:rsid w:val="00A066D7"/>
    <w:rsid w:val="00A06EE8"/>
    <w:rsid w:val="00A0706E"/>
    <w:rsid w:val="00A07293"/>
    <w:rsid w:val="00A075C5"/>
    <w:rsid w:val="00A07641"/>
    <w:rsid w:val="00A10079"/>
    <w:rsid w:val="00A103C8"/>
    <w:rsid w:val="00A105E5"/>
    <w:rsid w:val="00A1140B"/>
    <w:rsid w:val="00A115F4"/>
    <w:rsid w:val="00A11F22"/>
    <w:rsid w:val="00A11FCE"/>
    <w:rsid w:val="00A122A6"/>
    <w:rsid w:val="00A12405"/>
    <w:rsid w:val="00A128BB"/>
    <w:rsid w:val="00A12AFD"/>
    <w:rsid w:val="00A12D1B"/>
    <w:rsid w:val="00A13A27"/>
    <w:rsid w:val="00A13B26"/>
    <w:rsid w:val="00A13DA6"/>
    <w:rsid w:val="00A142C7"/>
    <w:rsid w:val="00A1436B"/>
    <w:rsid w:val="00A143FC"/>
    <w:rsid w:val="00A14604"/>
    <w:rsid w:val="00A14881"/>
    <w:rsid w:val="00A14949"/>
    <w:rsid w:val="00A14C0D"/>
    <w:rsid w:val="00A14F75"/>
    <w:rsid w:val="00A15028"/>
    <w:rsid w:val="00A15334"/>
    <w:rsid w:val="00A160D5"/>
    <w:rsid w:val="00A1643A"/>
    <w:rsid w:val="00A16533"/>
    <w:rsid w:val="00A1654F"/>
    <w:rsid w:val="00A1695F"/>
    <w:rsid w:val="00A17662"/>
    <w:rsid w:val="00A17687"/>
    <w:rsid w:val="00A1798E"/>
    <w:rsid w:val="00A17DAC"/>
    <w:rsid w:val="00A2008F"/>
    <w:rsid w:val="00A20579"/>
    <w:rsid w:val="00A2072E"/>
    <w:rsid w:val="00A208C3"/>
    <w:rsid w:val="00A20A99"/>
    <w:rsid w:val="00A20D33"/>
    <w:rsid w:val="00A217F3"/>
    <w:rsid w:val="00A222DF"/>
    <w:rsid w:val="00A222F3"/>
    <w:rsid w:val="00A228BB"/>
    <w:rsid w:val="00A22F80"/>
    <w:rsid w:val="00A23ACA"/>
    <w:rsid w:val="00A23E9B"/>
    <w:rsid w:val="00A2412C"/>
    <w:rsid w:val="00A24642"/>
    <w:rsid w:val="00A2468D"/>
    <w:rsid w:val="00A24B90"/>
    <w:rsid w:val="00A24C02"/>
    <w:rsid w:val="00A24DCE"/>
    <w:rsid w:val="00A254D2"/>
    <w:rsid w:val="00A25C0A"/>
    <w:rsid w:val="00A25E5F"/>
    <w:rsid w:val="00A26856"/>
    <w:rsid w:val="00A26CDC"/>
    <w:rsid w:val="00A26E63"/>
    <w:rsid w:val="00A278F0"/>
    <w:rsid w:val="00A27B7F"/>
    <w:rsid w:val="00A27D21"/>
    <w:rsid w:val="00A27EEA"/>
    <w:rsid w:val="00A30335"/>
    <w:rsid w:val="00A304ED"/>
    <w:rsid w:val="00A30827"/>
    <w:rsid w:val="00A3121A"/>
    <w:rsid w:val="00A3133F"/>
    <w:rsid w:val="00A31A08"/>
    <w:rsid w:val="00A3220A"/>
    <w:rsid w:val="00A32403"/>
    <w:rsid w:val="00A324B9"/>
    <w:rsid w:val="00A328D6"/>
    <w:rsid w:val="00A33147"/>
    <w:rsid w:val="00A3327B"/>
    <w:rsid w:val="00A33472"/>
    <w:rsid w:val="00A33996"/>
    <w:rsid w:val="00A33D55"/>
    <w:rsid w:val="00A3433F"/>
    <w:rsid w:val="00A34752"/>
    <w:rsid w:val="00A35A72"/>
    <w:rsid w:val="00A36096"/>
    <w:rsid w:val="00A3610E"/>
    <w:rsid w:val="00A36B19"/>
    <w:rsid w:val="00A36BBE"/>
    <w:rsid w:val="00A36E75"/>
    <w:rsid w:val="00A37017"/>
    <w:rsid w:val="00A370BE"/>
    <w:rsid w:val="00A370E0"/>
    <w:rsid w:val="00A379F7"/>
    <w:rsid w:val="00A37B64"/>
    <w:rsid w:val="00A37D3E"/>
    <w:rsid w:val="00A4010F"/>
    <w:rsid w:val="00A401DD"/>
    <w:rsid w:val="00A40773"/>
    <w:rsid w:val="00A4171A"/>
    <w:rsid w:val="00A41DAA"/>
    <w:rsid w:val="00A421D6"/>
    <w:rsid w:val="00A42431"/>
    <w:rsid w:val="00A42E18"/>
    <w:rsid w:val="00A435DE"/>
    <w:rsid w:val="00A43A25"/>
    <w:rsid w:val="00A43B0B"/>
    <w:rsid w:val="00A43B5F"/>
    <w:rsid w:val="00A43B7C"/>
    <w:rsid w:val="00A44D34"/>
    <w:rsid w:val="00A44E66"/>
    <w:rsid w:val="00A452F4"/>
    <w:rsid w:val="00A453AE"/>
    <w:rsid w:val="00A4586D"/>
    <w:rsid w:val="00A460A9"/>
    <w:rsid w:val="00A462F0"/>
    <w:rsid w:val="00A462FA"/>
    <w:rsid w:val="00A46471"/>
    <w:rsid w:val="00A46ADD"/>
    <w:rsid w:val="00A46AF4"/>
    <w:rsid w:val="00A47422"/>
    <w:rsid w:val="00A50046"/>
    <w:rsid w:val="00A50451"/>
    <w:rsid w:val="00A506BC"/>
    <w:rsid w:val="00A50724"/>
    <w:rsid w:val="00A50897"/>
    <w:rsid w:val="00A512E9"/>
    <w:rsid w:val="00A51572"/>
    <w:rsid w:val="00A5163C"/>
    <w:rsid w:val="00A51EE8"/>
    <w:rsid w:val="00A51FB8"/>
    <w:rsid w:val="00A523DB"/>
    <w:rsid w:val="00A52A66"/>
    <w:rsid w:val="00A53411"/>
    <w:rsid w:val="00A53418"/>
    <w:rsid w:val="00A5360C"/>
    <w:rsid w:val="00A53A58"/>
    <w:rsid w:val="00A53C1A"/>
    <w:rsid w:val="00A5439D"/>
    <w:rsid w:val="00A54701"/>
    <w:rsid w:val="00A54766"/>
    <w:rsid w:val="00A54AE6"/>
    <w:rsid w:val="00A54CC2"/>
    <w:rsid w:val="00A54D4C"/>
    <w:rsid w:val="00A5500D"/>
    <w:rsid w:val="00A5508A"/>
    <w:rsid w:val="00A55D06"/>
    <w:rsid w:val="00A561DF"/>
    <w:rsid w:val="00A5633C"/>
    <w:rsid w:val="00A5669B"/>
    <w:rsid w:val="00A56CA0"/>
    <w:rsid w:val="00A56DE9"/>
    <w:rsid w:val="00A56E8E"/>
    <w:rsid w:val="00A56F08"/>
    <w:rsid w:val="00A57450"/>
    <w:rsid w:val="00A575C7"/>
    <w:rsid w:val="00A577B8"/>
    <w:rsid w:val="00A5787F"/>
    <w:rsid w:val="00A578E8"/>
    <w:rsid w:val="00A57D62"/>
    <w:rsid w:val="00A600AE"/>
    <w:rsid w:val="00A60557"/>
    <w:rsid w:val="00A60832"/>
    <w:rsid w:val="00A60A46"/>
    <w:rsid w:val="00A60D50"/>
    <w:rsid w:val="00A60E3D"/>
    <w:rsid w:val="00A61652"/>
    <w:rsid w:val="00A619BC"/>
    <w:rsid w:val="00A61CB4"/>
    <w:rsid w:val="00A61ED4"/>
    <w:rsid w:val="00A622DC"/>
    <w:rsid w:val="00A63517"/>
    <w:rsid w:val="00A644F2"/>
    <w:rsid w:val="00A647AE"/>
    <w:rsid w:val="00A64C25"/>
    <w:rsid w:val="00A64D18"/>
    <w:rsid w:val="00A64DF2"/>
    <w:rsid w:val="00A65368"/>
    <w:rsid w:val="00A6538B"/>
    <w:rsid w:val="00A65649"/>
    <w:rsid w:val="00A657D2"/>
    <w:rsid w:val="00A65A2A"/>
    <w:rsid w:val="00A65C1A"/>
    <w:rsid w:val="00A65C61"/>
    <w:rsid w:val="00A66154"/>
    <w:rsid w:val="00A66500"/>
    <w:rsid w:val="00A66761"/>
    <w:rsid w:val="00A669A5"/>
    <w:rsid w:val="00A66A61"/>
    <w:rsid w:val="00A66D08"/>
    <w:rsid w:val="00A66D6D"/>
    <w:rsid w:val="00A66E87"/>
    <w:rsid w:val="00A67135"/>
    <w:rsid w:val="00A67261"/>
    <w:rsid w:val="00A67268"/>
    <w:rsid w:val="00A672AD"/>
    <w:rsid w:val="00A678C6"/>
    <w:rsid w:val="00A67900"/>
    <w:rsid w:val="00A70438"/>
    <w:rsid w:val="00A715B0"/>
    <w:rsid w:val="00A7169A"/>
    <w:rsid w:val="00A716F3"/>
    <w:rsid w:val="00A71822"/>
    <w:rsid w:val="00A71CD0"/>
    <w:rsid w:val="00A71E0C"/>
    <w:rsid w:val="00A71E9A"/>
    <w:rsid w:val="00A7211A"/>
    <w:rsid w:val="00A7261D"/>
    <w:rsid w:val="00A72AA1"/>
    <w:rsid w:val="00A73215"/>
    <w:rsid w:val="00A73545"/>
    <w:rsid w:val="00A736A1"/>
    <w:rsid w:val="00A736F8"/>
    <w:rsid w:val="00A73FA8"/>
    <w:rsid w:val="00A740CF"/>
    <w:rsid w:val="00A74A71"/>
    <w:rsid w:val="00A74A99"/>
    <w:rsid w:val="00A7565A"/>
    <w:rsid w:val="00A75814"/>
    <w:rsid w:val="00A75936"/>
    <w:rsid w:val="00A75D39"/>
    <w:rsid w:val="00A75DF5"/>
    <w:rsid w:val="00A7634A"/>
    <w:rsid w:val="00A765F3"/>
    <w:rsid w:val="00A769D5"/>
    <w:rsid w:val="00A76BE5"/>
    <w:rsid w:val="00A77489"/>
    <w:rsid w:val="00A77B2C"/>
    <w:rsid w:val="00A77FD8"/>
    <w:rsid w:val="00A80941"/>
    <w:rsid w:val="00A80A66"/>
    <w:rsid w:val="00A80C87"/>
    <w:rsid w:val="00A80F66"/>
    <w:rsid w:val="00A81034"/>
    <w:rsid w:val="00A812D1"/>
    <w:rsid w:val="00A81AAB"/>
    <w:rsid w:val="00A821F8"/>
    <w:rsid w:val="00A824B6"/>
    <w:rsid w:val="00A82CBC"/>
    <w:rsid w:val="00A82D2D"/>
    <w:rsid w:val="00A8301D"/>
    <w:rsid w:val="00A835E9"/>
    <w:rsid w:val="00A84973"/>
    <w:rsid w:val="00A84CC1"/>
    <w:rsid w:val="00A84D0C"/>
    <w:rsid w:val="00A85071"/>
    <w:rsid w:val="00A850BF"/>
    <w:rsid w:val="00A85429"/>
    <w:rsid w:val="00A8577F"/>
    <w:rsid w:val="00A85A31"/>
    <w:rsid w:val="00A85C33"/>
    <w:rsid w:val="00A85D44"/>
    <w:rsid w:val="00A862C7"/>
    <w:rsid w:val="00A868E4"/>
    <w:rsid w:val="00A86EB8"/>
    <w:rsid w:val="00A87227"/>
    <w:rsid w:val="00A876FF"/>
    <w:rsid w:val="00A87850"/>
    <w:rsid w:val="00A90A40"/>
    <w:rsid w:val="00A90E43"/>
    <w:rsid w:val="00A90E78"/>
    <w:rsid w:val="00A91039"/>
    <w:rsid w:val="00A9130D"/>
    <w:rsid w:val="00A91501"/>
    <w:rsid w:val="00A915AE"/>
    <w:rsid w:val="00A91789"/>
    <w:rsid w:val="00A91B20"/>
    <w:rsid w:val="00A91F2F"/>
    <w:rsid w:val="00A92480"/>
    <w:rsid w:val="00A924E3"/>
    <w:rsid w:val="00A9285C"/>
    <w:rsid w:val="00A931E6"/>
    <w:rsid w:val="00A93369"/>
    <w:rsid w:val="00A9366C"/>
    <w:rsid w:val="00A93AC7"/>
    <w:rsid w:val="00A9475A"/>
    <w:rsid w:val="00A949DA"/>
    <w:rsid w:val="00A94EF7"/>
    <w:rsid w:val="00A952D3"/>
    <w:rsid w:val="00A95919"/>
    <w:rsid w:val="00A95A1E"/>
    <w:rsid w:val="00A95A41"/>
    <w:rsid w:val="00A95F19"/>
    <w:rsid w:val="00A9644A"/>
    <w:rsid w:val="00A96689"/>
    <w:rsid w:val="00A966FD"/>
    <w:rsid w:val="00A967D5"/>
    <w:rsid w:val="00A96A25"/>
    <w:rsid w:val="00A96B18"/>
    <w:rsid w:val="00AA0177"/>
    <w:rsid w:val="00AA01F8"/>
    <w:rsid w:val="00AA062F"/>
    <w:rsid w:val="00AA0967"/>
    <w:rsid w:val="00AA0F62"/>
    <w:rsid w:val="00AA10BA"/>
    <w:rsid w:val="00AA1EB6"/>
    <w:rsid w:val="00AA1FC3"/>
    <w:rsid w:val="00AA216E"/>
    <w:rsid w:val="00AA2865"/>
    <w:rsid w:val="00AA2E2B"/>
    <w:rsid w:val="00AA2E75"/>
    <w:rsid w:val="00AA2F64"/>
    <w:rsid w:val="00AA3822"/>
    <w:rsid w:val="00AA3D0B"/>
    <w:rsid w:val="00AA3E81"/>
    <w:rsid w:val="00AA451E"/>
    <w:rsid w:val="00AA4658"/>
    <w:rsid w:val="00AA4F47"/>
    <w:rsid w:val="00AA4FF0"/>
    <w:rsid w:val="00AA520C"/>
    <w:rsid w:val="00AA53C8"/>
    <w:rsid w:val="00AA5B98"/>
    <w:rsid w:val="00AA5D22"/>
    <w:rsid w:val="00AA5FBB"/>
    <w:rsid w:val="00AA6083"/>
    <w:rsid w:val="00AA632E"/>
    <w:rsid w:val="00AA6595"/>
    <w:rsid w:val="00AA65F3"/>
    <w:rsid w:val="00AA6725"/>
    <w:rsid w:val="00AA6C09"/>
    <w:rsid w:val="00AA6D14"/>
    <w:rsid w:val="00AA7795"/>
    <w:rsid w:val="00AA779F"/>
    <w:rsid w:val="00AA79E7"/>
    <w:rsid w:val="00AA7B5D"/>
    <w:rsid w:val="00AA7CB6"/>
    <w:rsid w:val="00AA7F5C"/>
    <w:rsid w:val="00AA7FD2"/>
    <w:rsid w:val="00AB0187"/>
    <w:rsid w:val="00AB102D"/>
    <w:rsid w:val="00AB1064"/>
    <w:rsid w:val="00AB1218"/>
    <w:rsid w:val="00AB123D"/>
    <w:rsid w:val="00AB141B"/>
    <w:rsid w:val="00AB24E7"/>
    <w:rsid w:val="00AB266C"/>
    <w:rsid w:val="00AB2F31"/>
    <w:rsid w:val="00AB33F0"/>
    <w:rsid w:val="00AB3AB7"/>
    <w:rsid w:val="00AB3EDF"/>
    <w:rsid w:val="00AB4042"/>
    <w:rsid w:val="00AB48C9"/>
    <w:rsid w:val="00AB552E"/>
    <w:rsid w:val="00AB5724"/>
    <w:rsid w:val="00AB5B65"/>
    <w:rsid w:val="00AB6717"/>
    <w:rsid w:val="00AB68B4"/>
    <w:rsid w:val="00AB6BC4"/>
    <w:rsid w:val="00AB6E1F"/>
    <w:rsid w:val="00AB7155"/>
    <w:rsid w:val="00AB7653"/>
    <w:rsid w:val="00AB7A12"/>
    <w:rsid w:val="00AC040F"/>
    <w:rsid w:val="00AC06BE"/>
    <w:rsid w:val="00AC0A6A"/>
    <w:rsid w:val="00AC0D95"/>
    <w:rsid w:val="00AC0E70"/>
    <w:rsid w:val="00AC1024"/>
    <w:rsid w:val="00AC1368"/>
    <w:rsid w:val="00AC137E"/>
    <w:rsid w:val="00AC1413"/>
    <w:rsid w:val="00AC150C"/>
    <w:rsid w:val="00AC16C2"/>
    <w:rsid w:val="00AC184A"/>
    <w:rsid w:val="00AC192B"/>
    <w:rsid w:val="00AC1B75"/>
    <w:rsid w:val="00AC20DD"/>
    <w:rsid w:val="00AC2535"/>
    <w:rsid w:val="00AC2E8B"/>
    <w:rsid w:val="00AC30D6"/>
    <w:rsid w:val="00AC3819"/>
    <w:rsid w:val="00AC38F8"/>
    <w:rsid w:val="00AC3995"/>
    <w:rsid w:val="00AC457B"/>
    <w:rsid w:val="00AC48BC"/>
    <w:rsid w:val="00AC4DB6"/>
    <w:rsid w:val="00AC50BA"/>
    <w:rsid w:val="00AC50C8"/>
    <w:rsid w:val="00AC5548"/>
    <w:rsid w:val="00AC58EB"/>
    <w:rsid w:val="00AC5912"/>
    <w:rsid w:val="00AC6F80"/>
    <w:rsid w:val="00AC7282"/>
    <w:rsid w:val="00AC7353"/>
    <w:rsid w:val="00AC77B2"/>
    <w:rsid w:val="00AC7A82"/>
    <w:rsid w:val="00AC7BC4"/>
    <w:rsid w:val="00AC7BD4"/>
    <w:rsid w:val="00AC7CF2"/>
    <w:rsid w:val="00AC7E31"/>
    <w:rsid w:val="00AD03D4"/>
    <w:rsid w:val="00AD055D"/>
    <w:rsid w:val="00AD0CF4"/>
    <w:rsid w:val="00AD0D8D"/>
    <w:rsid w:val="00AD0E76"/>
    <w:rsid w:val="00AD0F51"/>
    <w:rsid w:val="00AD1F6F"/>
    <w:rsid w:val="00AD205F"/>
    <w:rsid w:val="00AD22C3"/>
    <w:rsid w:val="00AD2308"/>
    <w:rsid w:val="00AD2A18"/>
    <w:rsid w:val="00AD2BCA"/>
    <w:rsid w:val="00AD2C5B"/>
    <w:rsid w:val="00AD39A3"/>
    <w:rsid w:val="00AD3F1B"/>
    <w:rsid w:val="00AD4374"/>
    <w:rsid w:val="00AD4C2C"/>
    <w:rsid w:val="00AD4DE9"/>
    <w:rsid w:val="00AD4F8E"/>
    <w:rsid w:val="00AD5059"/>
    <w:rsid w:val="00AD5728"/>
    <w:rsid w:val="00AD58E1"/>
    <w:rsid w:val="00AD5E30"/>
    <w:rsid w:val="00AD601B"/>
    <w:rsid w:val="00AD60C8"/>
    <w:rsid w:val="00AD61E2"/>
    <w:rsid w:val="00AD628A"/>
    <w:rsid w:val="00AD665F"/>
    <w:rsid w:val="00AD6AAB"/>
    <w:rsid w:val="00AD7628"/>
    <w:rsid w:val="00AD7D3F"/>
    <w:rsid w:val="00AD7ED0"/>
    <w:rsid w:val="00AD7F49"/>
    <w:rsid w:val="00AE0B36"/>
    <w:rsid w:val="00AE0C0B"/>
    <w:rsid w:val="00AE0D39"/>
    <w:rsid w:val="00AE0D8C"/>
    <w:rsid w:val="00AE10A2"/>
    <w:rsid w:val="00AE1143"/>
    <w:rsid w:val="00AE12F2"/>
    <w:rsid w:val="00AE132B"/>
    <w:rsid w:val="00AE19E5"/>
    <w:rsid w:val="00AE1C33"/>
    <w:rsid w:val="00AE1E44"/>
    <w:rsid w:val="00AE2494"/>
    <w:rsid w:val="00AE25B0"/>
    <w:rsid w:val="00AE300C"/>
    <w:rsid w:val="00AE3181"/>
    <w:rsid w:val="00AE3B3C"/>
    <w:rsid w:val="00AE3C3F"/>
    <w:rsid w:val="00AE49EB"/>
    <w:rsid w:val="00AE5712"/>
    <w:rsid w:val="00AE582A"/>
    <w:rsid w:val="00AE5D1F"/>
    <w:rsid w:val="00AE5E0D"/>
    <w:rsid w:val="00AE6443"/>
    <w:rsid w:val="00AE6775"/>
    <w:rsid w:val="00AE6C3D"/>
    <w:rsid w:val="00AE6D14"/>
    <w:rsid w:val="00AE7295"/>
    <w:rsid w:val="00AE79F7"/>
    <w:rsid w:val="00AE7CC8"/>
    <w:rsid w:val="00AF0DBF"/>
    <w:rsid w:val="00AF0DF6"/>
    <w:rsid w:val="00AF0FA3"/>
    <w:rsid w:val="00AF12F6"/>
    <w:rsid w:val="00AF1D66"/>
    <w:rsid w:val="00AF1E2C"/>
    <w:rsid w:val="00AF2146"/>
    <w:rsid w:val="00AF2436"/>
    <w:rsid w:val="00AF2A55"/>
    <w:rsid w:val="00AF37D8"/>
    <w:rsid w:val="00AF4304"/>
    <w:rsid w:val="00AF432E"/>
    <w:rsid w:val="00AF46FC"/>
    <w:rsid w:val="00AF52C6"/>
    <w:rsid w:val="00AF569A"/>
    <w:rsid w:val="00AF5747"/>
    <w:rsid w:val="00AF585F"/>
    <w:rsid w:val="00AF5A8C"/>
    <w:rsid w:val="00AF5D0F"/>
    <w:rsid w:val="00AF5F50"/>
    <w:rsid w:val="00AF6175"/>
    <w:rsid w:val="00AF639D"/>
    <w:rsid w:val="00AF67F9"/>
    <w:rsid w:val="00AF6BD5"/>
    <w:rsid w:val="00AF714A"/>
    <w:rsid w:val="00AF781F"/>
    <w:rsid w:val="00AF7D77"/>
    <w:rsid w:val="00AF7EE3"/>
    <w:rsid w:val="00AF7FB3"/>
    <w:rsid w:val="00B0024D"/>
    <w:rsid w:val="00B006F2"/>
    <w:rsid w:val="00B00985"/>
    <w:rsid w:val="00B00DEC"/>
    <w:rsid w:val="00B013A1"/>
    <w:rsid w:val="00B02331"/>
    <w:rsid w:val="00B026BC"/>
    <w:rsid w:val="00B029E2"/>
    <w:rsid w:val="00B02EE8"/>
    <w:rsid w:val="00B03C1A"/>
    <w:rsid w:val="00B03E7C"/>
    <w:rsid w:val="00B0486F"/>
    <w:rsid w:val="00B04EFB"/>
    <w:rsid w:val="00B04F28"/>
    <w:rsid w:val="00B0528E"/>
    <w:rsid w:val="00B053D4"/>
    <w:rsid w:val="00B058B7"/>
    <w:rsid w:val="00B05DBF"/>
    <w:rsid w:val="00B05F51"/>
    <w:rsid w:val="00B05F84"/>
    <w:rsid w:val="00B06155"/>
    <w:rsid w:val="00B062CA"/>
    <w:rsid w:val="00B063F5"/>
    <w:rsid w:val="00B06F07"/>
    <w:rsid w:val="00B072C8"/>
    <w:rsid w:val="00B074F6"/>
    <w:rsid w:val="00B07510"/>
    <w:rsid w:val="00B077EF"/>
    <w:rsid w:val="00B07B26"/>
    <w:rsid w:val="00B07C6B"/>
    <w:rsid w:val="00B101F0"/>
    <w:rsid w:val="00B10414"/>
    <w:rsid w:val="00B104EB"/>
    <w:rsid w:val="00B109C1"/>
    <w:rsid w:val="00B10D91"/>
    <w:rsid w:val="00B115AB"/>
    <w:rsid w:val="00B118AC"/>
    <w:rsid w:val="00B1191E"/>
    <w:rsid w:val="00B1304D"/>
    <w:rsid w:val="00B13126"/>
    <w:rsid w:val="00B1330B"/>
    <w:rsid w:val="00B13348"/>
    <w:rsid w:val="00B1357A"/>
    <w:rsid w:val="00B13947"/>
    <w:rsid w:val="00B1394A"/>
    <w:rsid w:val="00B13B37"/>
    <w:rsid w:val="00B15234"/>
    <w:rsid w:val="00B1585D"/>
    <w:rsid w:val="00B15C48"/>
    <w:rsid w:val="00B16013"/>
    <w:rsid w:val="00B16032"/>
    <w:rsid w:val="00B1684B"/>
    <w:rsid w:val="00B17420"/>
    <w:rsid w:val="00B17E54"/>
    <w:rsid w:val="00B20349"/>
    <w:rsid w:val="00B2046B"/>
    <w:rsid w:val="00B2053E"/>
    <w:rsid w:val="00B205A0"/>
    <w:rsid w:val="00B2066A"/>
    <w:rsid w:val="00B20796"/>
    <w:rsid w:val="00B207BC"/>
    <w:rsid w:val="00B20936"/>
    <w:rsid w:val="00B20C83"/>
    <w:rsid w:val="00B20CD1"/>
    <w:rsid w:val="00B21009"/>
    <w:rsid w:val="00B2129D"/>
    <w:rsid w:val="00B212C4"/>
    <w:rsid w:val="00B21405"/>
    <w:rsid w:val="00B216E7"/>
    <w:rsid w:val="00B217D3"/>
    <w:rsid w:val="00B21A37"/>
    <w:rsid w:val="00B21A5E"/>
    <w:rsid w:val="00B21EF5"/>
    <w:rsid w:val="00B221C4"/>
    <w:rsid w:val="00B222AD"/>
    <w:rsid w:val="00B2232E"/>
    <w:rsid w:val="00B22568"/>
    <w:rsid w:val="00B225F4"/>
    <w:rsid w:val="00B23107"/>
    <w:rsid w:val="00B2394F"/>
    <w:rsid w:val="00B23A1D"/>
    <w:rsid w:val="00B23C63"/>
    <w:rsid w:val="00B2462A"/>
    <w:rsid w:val="00B24767"/>
    <w:rsid w:val="00B24CE9"/>
    <w:rsid w:val="00B24D76"/>
    <w:rsid w:val="00B24FDD"/>
    <w:rsid w:val="00B2532B"/>
    <w:rsid w:val="00B25869"/>
    <w:rsid w:val="00B25C96"/>
    <w:rsid w:val="00B25D22"/>
    <w:rsid w:val="00B263CE"/>
    <w:rsid w:val="00B26BCF"/>
    <w:rsid w:val="00B26D33"/>
    <w:rsid w:val="00B26DD5"/>
    <w:rsid w:val="00B27483"/>
    <w:rsid w:val="00B27618"/>
    <w:rsid w:val="00B27AD6"/>
    <w:rsid w:val="00B27C49"/>
    <w:rsid w:val="00B27EA9"/>
    <w:rsid w:val="00B27F0C"/>
    <w:rsid w:val="00B3011C"/>
    <w:rsid w:val="00B30298"/>
    <w:rsid w:val="00B30416"/>
    <w:rsid w:val="00B30691"/>
    <w:rsid w:val="00B30911"/>
    <w:rsid w:val="00B30C6C"/>
    <w:rsid w:val="00B30EEF"/>
    <w:rsid w:val="00B31102"/>
    <w:rsid w:val="00B3118C"/>
    <w:rsid w:val="00B3121D"/>
    <w:rsid w:val="00B31599"/>
    <w:rsid w:val="00B32046"/>
    <w:rsid w:val="00B32588"/>
    <w:rsid w:val="00B32620"/>
    <w:rsid w:val="00B327F8"/>
    <w:rsid w:val="00B3289C"/>
    <w:rsid w:val="00B3305B"/>
    <w:rsid w:val="00B33795"/>
    <w:rsid w:val="00B33B4B"/>
    <w:rsid w:val="00B33C80"/>
    <w:rsid w:val="00B33F0E"/>
    <w:rsid w:val="00B33FD8"/>
    <w:rsid w:val="00B34468"/>
    <w:rsid w:val="00B34C72"/>
    <w:rsid w:val="00B3530D"/>
    <w:rsid w:val="00B3531A"/>
    <w:rsid w:val="00B35A00"/>
    <w:rsid w:val="00B35D14"/>
    <w:rsid w:val="00B3611B"/>
    <w:rsid w:val="00B363FB"/>
    <w:rsid w:val="00B3700D"/>
    <w:rsid w:val="00B37196"/>
    <w:rsid w:val="00B37B9E"/>
    <w:rsid w:val="00B37C4C"/>
    <w:rsid w:val="00B40CA5"/>
    <w:rsid w:val="00B40D8B"/>
    <w:rsid w:val="00B41768"/>
    <w:rsid w:val="00B418F7"/>
    <w:rsid w:val="00B41B50"/>
    <w:rsid w:val="00B41D3A"/>
    <w:rsid w:val="00B4221C"/>
    <w:rsid w:val="00B426CE"/>
    <w:rsid w:val="00B43404"/>
    <w:rsid w:val="00B4379A"/>
    <w:rsid w:val="00B440C4"/>
    <w:rsid w:val="00B4497A"/>
    <w:rsid w:val="00B44ED1"/>
    <w:rsid w:val="00B45AD5"/>
    <w:rsid w:val="00B46010"/>
    <w:rsid w:val="00B46247"/>
    <w:rsid w:val="00B463DD"/>
    <w:rsid w:val="00B46C33"/>
    <w:rsid w:val="00B46FAB"/>
    <w:rsid w:val="00B473D5"/>
    <w:rsid w:val="00B473DA"/>
    <w:rsid w:val="00B47C6B"/>
    <w:rsid w:val="00B511CC"/>
    <w:rsid w:val="00B51753"/>
    <w:rsid w:val="00B51BBF"/>
    <w:rsid w:val="00B51DAC"/>
    <w:rsid w:val="00B5259C"/>
    <w:rsid w:val="00B52773"/>
    <w:rsid w:val="00B52A8B"/>
    <w:rsid w:val="00B52BB2"/>
    <w:rsid w:val="00B52BF0"/>
    <w:rsid w:val="00B52BF6"/>
    <w:rsid w:val="00B533F2"/>
    <w:rsid w:val="00B537F0"/>
    <w:rsid w:val="00B53A7F"/>
    <w:rsid w:val="00B53ECE"/>
    <w:rsid w:val="00B5446D"/>
    <w:rsid w:val="00B54636"/>
    <w:rsid w:val="00B546D9"/>
    <w:rsid w:val="00B546F5"/>
    <w:rsid w:val="00B54705"/>
    <w:rsid w:val="00B54985"/>
    <w:rsid w:val="00B549B5"/>
    <w:rsid w:val="00B54A3D"/>
    <w:rsid w:val="00B54C22"/>
    <w:rsid w:val="00B54C84"/>
    <w:rsid w:val="00B54F0A"/>
    <w:rsid w:val="00B54F8C"/>
    <w:rsid w:val="00B5502B"/>
    <w:rsid w:val="00B55249"/>
    <w:rsid w:val="00B558B2"/>
    <w:rsid w:val="00B55DCF"/>
    <w:rsid w:val="00B55EE7"/>
    <w:rsid w:val="00B5632F"/>
    <w:rsid w:val="00B56720"/>
    <w:rsid w:val="00B56A21"/>
    <w:rsid w:val="00B56D95"/>
    <w:rsid w:val="00B56E6D"/>
    <w:rsid w:val="00B56F7C"/>
    <w:rsid w:val="00B57681"/>
    <w:rsid w:val="00B578E0"/>
    <w:rsid w:val="00B57F19"/>
    <w:rsid w:val="00B61B1D"/>
    <w:rsid w:val="00B61D64"/>
    <w:rsid w:val="00B63234"/>
    <w:rsid w:val="00B632A5"/>
    <w:rsid w:val="00B635A5"/>
    <w:rsid w:val="00B635B3"/>
    <w:rsid w:val="00B636C9"/>
    <w:rsid w:val="00B6371E"/>
    <w:rsid w:val="00B6371F"/>
    <w:rsid w:val="00B6459A"/>
    <w:rsid w:val="00B6495F"/>
    <w:rsid w:val="00B64C56"/>
    <w:rsid w:val="00B656EA"/>
    <w:rsid w:val="00B6627C"/>
    <w:rsid w:val="00B668ED"/>
    <w:rsid w:val="00B66A73"/>
    <w:rsid w:val="00B66C85"/>
    <w:rsid w:val="00B67622"/>
    <w:rsid w:val="00B6762A"/>
    <w:rsid w:val="00B676CC"/>
    <w:rsid w:val="00B6794D"/>
    <w:rsid w:val="00B67994"/>
    <w:rsid w:val="00B67E5E"/>
    <w:rsid w:val="00B67ED4"/>
    <w:rsid w:val="00B701C2"/>
    <w:rsid w:val="00B702CF"/>
    <w:rsid w:val="00B70D11"/>
    <w:rsid w:val="00B70F55"/>
    <w:rsid w:val="00B71853"/>
    <w:rsid w:val="00B7195C"/>
    <w:rsid w:val="00B719B5"/>
    <w:rsid w:val="00B71BCC"/>
    <w:rsid w:val="00B72367"/>
    <w:rsid w:val="00B7293D"/>
    <w:rsid w:val="00B734B2"/>
    <w:rsid w:val="00B737B4"/>
    <w:rsid w:val="00B74467"/>
    <w:rsid w:val="00B74A19"/>
    <w:rsid w:val="00B752D8"/>
    <w:rsid w:val="00B75581"/>
    <w:rsid w:val="00B7567B"/>
    <w:rsid w:val="00B75CDB"/>
    <w:rsid w:val="00B75D7B"/>
    <w:rsid w:val="00B772D1"/>
    <w:rsid w:val="00B774AC"/>
    <w:rsid w:val="00B77E77"/>
    <w:rsid w:val="00B804A6"/>
    <w:rsid w:val="00B80D68"/>
    <w:rsid w:val="00B8137C"/>
    <w:rsid w:val="00B81393"/>
    <w:rsid w:val="00B81D69"/>
    <w:rsid w:val="00B8216C"/>
    <w:rsid w:val="00B821AD"/>
    <w:rsid w:val="00B8344C"/>
    <w:rsid w:val="00B83791"/>
    <w:rsid w:val="00B83CD6"/>
    <w:rsid w:val="00B84271"/>
    <w:rsid w:val="00B84432"/>
    <w:rsid w:val="00B845EA"/>
    <w:rsid w:val="00B8477A"/>
    <w:rsid w:val="00B8488C"/>
    <w:rsid w:val="00B84CF8"/>
    <w:rsid w:val="00B8532E"/>
    <w:rsid w:val="00B85467"/>
    <w:rsid w:val="00B855D3"/>
    <w:rsid w:val="00B85882"/>
    <w:rsid w:val="00B85F11"/>
    <w:rsid w:val="00B8606F"/>
    <w:rsid w:val="00B862CB"/>
    <w:rsid w:val="00B86997"/>
    <w:rsid w:val="00B86EF7"/>
    <w:rsid w:val="00B900C7"/>
    <w:rsid w:val="00B90382"/>
    <w:rsid w:val="00B90527"/>
    <w:rsid w:val="00B90882"/>
    <w:rsid w:val="00B909EB"/>
    <w:rsid w:val="00B9105B"/>
    <w:rsid w:val="00B91147"/>
    <w:rsid w:val="00B91206"/>
    <w:rsid w:val="00B912C4"/>
    <w:rsid w:val="00B915E1"/>
    <w:rsid w:val="00B916D9"/>
    <w:rsid w:val="00B917D9"/>
    <w:rsid w:val="00B91DA0"/>
    <w:rsid w:val="00B91FAE"/>
    <w:rsid w:val="00B923B5"/>
    <w:rsid w:val="00B92739"/>
    <w:rsid w:val="00B92A2E"/>
    <w:rsid w:val="00B9378F"/>
    <w:rsid w:val="00B939DF"/>
    <w:rsid w:val="00B94615"/>
    <w:rsid w:val="00B94694"/>
    <w:rsid w:val="00B9481A"/>
    <w:rsid w:val="00B94BE8"/>
    <w:rsid w:val="00B956A3"/>
    <w:rsid w:val="00B95919"/>
    <w:rsid w:val="00B95B35"/>
    <w:rsid w:val="00B95F56"/>
    <w:rsid w:val="00B96151"/>
    <w:rsid w:val="00B962B6"/>
    <w:rsid w:val="00B96D43"/>
    <w:rsid w:val="00B97150"/>
    <w:rsid w:val="00B971D1"/>
    <w:rsid w:val="00B972FB"/>
    <w:rsid w:val="00B973F2"/>
    <w:rsid w:val="00B975EB"/>
    <w:rsid w:val="00B97610"/>
    <w:rsid w:val="00B976ED"/>
    <w:rsid w:val="00B9794B"/>
    <w:rsid w:val="00B97AB7"/>
    <w:rsid w:val="00B97AD7"/>
    <w:rsid w:val="00BA0066"/>
    <w:rsid w:val="00BA03D3"/>
    <w:rsid w:val="00BA045D"/>
    <w:rsid w:val="00BA088D"/>
    <w:rsid w:val="00BA0A68"/>
    <w:rsid w:val="00BA12FC"/>
    <w:rsid w:val="00BA142C"/>
    <w:rsid w:val="00BA170D"/>
    <w:rsid w:val="00BA17D8"/>
    <w:rsid w:val="00BA185C"/>
    <w:rsid w:val="00BA1D36"/>
    <w:rsid w:val="00BA1D56"/>
    <w:rsid w:val="00BA3758"/>
    <w:rsid w:val="00BA3EDD"/>
    <w:rsid w:val="00BA404E"/>
    <w:rsid w:val="00BA4420"/>
    <w:rsid w:val="00BA44EF"/>
    <w:rsid w:val="00BA4852"/>
    <w:rsid w:val="00BA4A58"/>
    <w:rsid w:val="00BA4E46"/>
    <w:rsid w:val="00BA5004"/>
    <w:rsid w:val="00BA53FB"/>
    <w:rsid w:val="00BA5426"/>
    <w:rsid w:val="00BA5767"/>
    <w:rsid w:val="00BA5C50"/>
    <w:rsid w:val="00BA5E63"/>
    <w:rsid w:val="00BA64A1"/>
    <w:rsid w:val="00BA689B"/>
    <w:rsid w:val="00BA696D"/>
    <w:rsid w:val="00BA7127"/>
    <w:rsid w:val="00BA71F3"/>
    <w:rsid w:val="00BA736B"/>
    <w:rsid w:val="00BA73EC"/>
    <w:rsid w:val="00BA7404"/>
    <w:rsid w:val="00BA7669"/>
    <w:rsid w:val="00BA769D"/>
    <w:rsid w:val="00BA77ED"/>
    <w:rsid w:val="00BA7896"/>
    <w:rsid w:val="00BB04A6"/>
    <w:rsid w:val="00BB0658"/>
    <w:rsid w:val="00BB09A3"/>
    <w:rsid w:val="00BB0C25"/>
    <w:rsid w:val="00BB0F24"/>
    <w:rsid w:val="00BB1088"/>
    <w:rsid w:val="00BB11E7"/>
    <w:rsid w:val="00BB215C"/>
    <w:rsid w:val="00BB221A"/>
    <w:rsid w:val="00BB2465"/>
    <w:rsid w:val="00BB26CD"/>
    <w:rsid w:val="00BB2774"/>
    <w:rsid w:val="00BB278C"/>
    <w:rsid w:val="00BB314C"/>
    <w:rsid w:val="00BB339C"/>
    <w:rsid w:val="00BB421D"/>
    <w:rsid w:val="00BB4572"/>
    <w:rsid w:val="00BB4ABC"/>
    <w:rsid w:val="00BB4BF4"/>
    <w:rsid w:val="00BB4E04"/>
    <w:rsid w:val="00BB4F1F"/>
    <w:rsid w:val="00BB602B"/>
    <w:rsid w:val="00BB62E2"/>
    <w:rsid w:val="00BB639E"/>
    <w:rsid w:val="00BB6A8A"/>
    <w:rsid w:val="00BB6C22"/>
    <w:rsid w:val="00BB7733"/>
    <w:rsid w:val="00BB7F20"/>
    <w:rsid w:val="00BB7F2D"/>
    <w:rsid w:val="00BC01B8"/>
    <w:rsid w:val="00BC0815"/>
    <w:rsid w:val="00BC157B"/>
    <w:rsid w:val="00BC15AE"/>
    <w:rsid w:val="00BC1BAC"/>
    <w:rsid w:val="00BC21B4"/>
    <w:rsid w:val="00BC2480"/>
    <w:rsid w:val="00BC28A2"/>
    <w:rsid w:val="00BC30FC"/>
    <w:rsid w:val="00BC3668"/>
    <w:rsid w:val="00BC37FA"/>
    <w:rsid w:val="00BC39E6"/>
    <w:rsid w:val="00BC3CDA"/>
    <w:rsid w:val="00BC4150"/>
    <w:rsid w:val="00BC4205"/>
    <w:rsid w:val="00BC4907"/>
    <w:rsid w:val="00BC4A43"/>
    <w:rsid w:val="00BC50BE"/>
    <w:rsid w:val="00BC55E4"/>
    <w:rsid w:val="00BC587E"/>
    <w:rsid w:val="00BC68F5"/>
    <w:rsid w:val="00BC6989"/>
    <w:rsid w:val="00BC738B"/>
    <w:rsid w:val="00BC7638"/>
    <w:rsid w:val="00BC796C"/>
    <w:rsid w:val="00BC7B60"/>
    <w:rsid w:val="00BC7C50"/>
    <w:rsid w:val="00BC7CA1"/>
    <w:rsid w:val="00BC7D97"/>
    <w:rsid w:val="00BD0694"/>
    <w:rsid w:val="00BD0878"/>
    <w:rsid w:val="00BD0D77"/>
    <w:rsid w:val="00BD1292"/>
    <w:rsid w:val="00BD12A8"/>
    <w:rsid w:val="00BD1657"/>
    <w:rsid w:val="00BD1FD8"/>
    <w:rsid w:val="00BD221A"/>
    <w:rsid w:val="00BD2A65"/>
    <w:rsid w:val="00BD2BE3"/>
    <w:rsid w:val="00BD2EF3"/>
    <w:rsid w:val="00BD3886"/>
    <w:rsid w:val="00BD3B25"/>
    <w:rsid w:val="00BD3DB8"/>
    <w:rsid w:val="00BD4AD6"/>
    <w:rsid w:val="00BD4C4F"/>
    <w:rsid w:val="00BD4FAD"/>
    <w:rsid w:val="00BD5044"/>
    <w:rsid w:val="00BD5B50"/>
    <w:rsid w:val="00BD61D2"/>
    <w:rsid w:val="00BD6ADC"/>
    <w:rsid w:val="00BD6B8E"/>
    <w:rsid w:val="00BD6E7B"/>
    <w:rsid w:val="00BD6ED1"/>
    <w:rsid w:val="00BD70E8"/>
    <w:rsid w:val="00BD744C"/>
    <w:rsid w:val="00BD7CB8"/>
    <w:rsid w:val="00BD7D61"/>
    <w:rsid w:val="00BE03D0"/>
    <w:rsid w:val="00BE0A3B"/>
    <w:rsid w:val="00BE0AB6"/>
    <w:rsid w:val="00BE0CB8"/>
    <w:rsid w:val="00BE0CFD"/>
    <w:rsid w:val="00BE0ED0"/>
    <w:rsid w:val="00BE1775"/>
    <w:rsid w:val="00BE18E3"/>
    <w:rsid w:val="00BE1A99"/>
    <w:rsid w:val="00BE203E"/>
    <w:rsid w:val="00BE2453"/>
    <w:rsid w:val="00BE2484"/>
    <w:rsid w:val="00BE26A5"/>
    <w:rsid w:val="00BE29E8"/>
    <w:rsid w:val="00BE2CDE"/>
    <w:rsid w:val="00BE3194"/>
    <w:rsid w:val="00BE3916"/>
    <w:rsid w:val="00BE4713"/>
    <w:rsid w:val="00BE4991"/>
    <w:rsid w:val="00BE4B07"/>
    <w:rsid w:val="00BE5425"/>
    <w:rsid w:val="00BE6B85"/>
    <w:rsid w:val="00BE6C68"/>
    <w:rsid w:val="00BE6EE2"/>
    <w:rsid w:val="00BE6F22"/>
    <w:rsid w:val="00BE6FFF"/>
    <w:rsid w:val="00BE7169"/>
    <w:rsid w:val="00BE76BF"/>
    <w:rsid w:val="00BE7917"/>
    <w:rsid w:val="00BF035B"/>
    <w:rsid w:val="00BF050D"/>
    <w:rsid w:val="00BF0E52"/>
    <w:rsid w:val="00BF1086"/>
    <w:rsid w:val="00BF111A"/>
    <w:rsid w:val="00BF113E"/>
    <w:rsid w:val="00BF15B8"/>
    <w:rsid w:val="00BF1696"/>
    <w:rsid w:val="00BF192E"/>
    <w:rsid w:val="00BF1CEB"/>
    <w:rsid w:val="00BF1D3E"/>
    <w:rsid w:val="00BF21FC"/>
    <w:rsid w:val="00BF2546"/>
    <w:rsid w:val="00BF3301"/>
    <w:rsid w:val="00BF36C4"/>
    <w:rsid w:val="00BF3741"/>
    <w:rsid w:val="00BF3775"/>
    <w:rsid w:val="00BF4A08"/>
    <w:rsid w:val="00BF4A19"/>
    <w:rsid w:val="00BF4B3E"/>
    <w:rsid w:val="00BF4E05"/>
    <w:rsid w:val="00BF4E53"/>
    <w:rsid w:val="00BF50E9"/>
    <w:rsid w:val="00BF5964"/>
    <w:rsid w:val="00BF5B92"/>
    <w:rsid w:val="00BF608F"/>
    <w:rsid w:val="00BF60DC"/>
    <w:rsid w:val="00BF6F18"/>
    <w:rsid w:val="00BF7570"/>
    <w:rsid w:val="00BF7D78"/>
    <w:rsid w:val="00BF7E06"/>
    <w:rsid w:val="00C0092A"/>
    <w:rsid w:val="00C009A8"/>
    <w:rsid w:val="00C00B81"/>
    <w:rsid w:val="00C00CE9"/>
    <w:rsid w:val="00C00EFF"/>
    <w:rsid w:val="00C0104E"/>
    <w:rsid w:val="00C0118C"/>
    <w:rsid w:val="00C013AF"/>
    <w:rsid w:val="00C01B49"/>
    <w:rsid w:val="00C01D59"/>
    <w:rsid w:val="00C01D60"/>
    <w:rsid w:val="00C023C5"/>
    <w:rsid w:val="00C0244C"/>
    <w:rsid w:val="00C02648"/>
    <w:rsid w:val="00C0278D"/>
    <w:rsid w:val="00C028CE"/>
    <w:rsid w:val="00C02F42"/>
    <w:rsid w:val="00C03375"/>
    <w:rsid w:val="00C033BD"/>
    <w:rsid w:val="00C03BF5"/>
    <w:rsid w:val="00C041C7"/>
    <w:rsid w:val="00C043B4"/>
    <w:rsid w:val="00C045C7"/>
    <w:rsid w:val="00C04F27"/>
    <w:rsid w:val="00C052EE"/>
    <w:rsid w:val="00C05310"/>
    <w:rsid w:val="00C05860"/>
    <w:rsid w:val="00C05A34"/>
    <w:rsid w:val="00C05A7C"/>
    <w:rsid w:val="00C05C72"/>
    <w:rsid w:val="00C061C8"/>
    <w:rsid w:val="00C062E3"/>
    <w:rsid w:val="00C0639B"/>
    <w:rsid w:val="00C0644B"/>
    <w:rsid w:val="00C066EE"/>
    <w:rsid w:val="00C06860"/>
    <w:rsid w:val="00C068FF"/>
    <w:rsid w:val="00C06C84"/>
    <w:rsid w:val="00C072AB"/>
    <w:rsid w:val="00C073B6"/>
    <w:rsid w:val="00C07489"/>
    <w:rsid w:val="00C0779F"/>
    <w:rsid w:val="00C077EC"/>
    <w:rsid w:val="00C10375"/>
    <w:rsid w:val="00C10A9E"/>
    <w:rsid w:val="00C10C40"/>
    <w:rsid w:val="00C1121A"/>
    <w:rsid w:val="00C113BD"/>
    <w:rsid w:val="00C11645"/>
    <w:rsid w:val="00C11762"/>
    <w:rsid w:val="00C1185B"/>
    <w:rsid w:val="00C11BCA"/>
    <w:rsid w:val="00C12650"/>
    <w:rsid w:val="00C1271A"/>
    <w:rsid w:val="00C1330C"/>
    <w:rsid w:val="00C13442"/>
    <w:rsid w:val="00C13504"/>
    <w:rsid w:val="00C1396F"/>
    <w:rsid w:val="00C13C18"/>
    <w:rsid w:val="00C13EB4"/>
    <w:rsid w:val="00C143BC"/>
    <w:rsid w:val="00C14441"/>
    <w:rsid w:val="00C145A6"/>
    <w:rsid w:val="00C146AC"/>
    <w:rsid w:val="00C14AAB"/>
    <w:rsid w:val="00C14AE5"/>
    <w:rsid w:val="00C14C75"/>
    <w:rsid w:val="00C14D84"/>
    <w:rsid w:val="00C1502E"/>
    <w:rsid w:val="00C15031"/>
    <w:rsid w:val="00C1503B"/>
    <w:rsid w:val="00C151B6"/>
    <w:rsid w:val="00C15C74"/>
    <w:rsid w:val="00C15F81"/>
    <w:rsid w:val="00C16055"/>
    <w:rsid w:val="00C16089"/>
    <w:rsid w:val="00C160F6"/>
    <w:rsid w:val="00C16925"/>
    <w:rsid w:val="00C1712A"/>
    <w:rsid w:val="00C176B5"/>
    <w:rsid w:val="00C17B36"/>
    <w:rsid w:val="00C17EF6"/>
    <w:rsid w:val="00C17F60"/>
    <w:rsid w:val="00C2067E"/>
    <w:rsid w:val="00C20EE8"/>
    <w:rsid w:val="00C21187"/>
    <w:rsid w:val="00C21348"/>
    <w:rsid w:val="00C21594"/>
    <w:rsid w:val="00C216FB"/>
    <w:rsid w:val="00C21D25"/>
    <w:rsid w:val="00C21F0A"/>
    <w:rsid w:val="00C21F18"/>
    <w:rsid w:val="00C22029"/>
    <w:rsid w:val="00C2214E"/>
    <w:rsid w:val="00C221AA"/>
    <w:rsid w:val="00C2239B"/>
    <w:rsid w:val="00C22502"/>
    <w:rsid w:val="00C22525"/>
    <w:rsid w:val="00C226FB"/>
    <w:rsid w:val="00C22CA3"/>
    <w:rsid w:val="00C23017"/>
    <w:rsid w:val="00C2372D"/>
    <w:rsid w:val="00C24004"/>
    <w:rsid w:val="00C24867"/>
    <w:rsid w:val="00C24B78"/>
    <w:rsid w:val="00C24EED"/>
    <w:rsid w:val="00C25099"/>
    <w:rsid w:val="00C25E6D"/>
    <w:rsid w:val="00C25F29"/>
    <w:rsid w:val="00C26996"/>
    <w:rsid w:val="00C26C51"/>
    <w:rsid w:val="00C270FC"/>
    <w:rsid w:val="00C2782C"/>
    <w:rsid w:val="00C30136"/>
    <w:rsid w:val="00C30619"/>
    <w:rsid w:val="00C307FF"/>
    <w:rsid w:val="00C30CFA"/>
    <w:rsid w:val="00C311EE"/>
    <w:rsid w:val="00C31C40"/>
    <w:rsid w:val="00C3235B"/>
    <w:rsid w:val="00C32462"/>
    <w:rsid w:val="00C32508"/>
    <w:rsid w:val="00C326F7"/>
    <w:rsid w:val="00C33916"/>
    <w:rsid w:val="00C33AC5"/>
    <w:rsid w:val="00C33ED2"/>
    <w:rsid w:val="00C3401F"/>
    <w:rsid w:val="00C34360"/>
    <w:rsid w:val="00C3438C"/>
    <w:rsid w:val="00C3442E"/>
    <w:rsid w:val="00C34CD8"/>
    <w:rsid w:val="00C34EB0"/>
    <w:rsid w:val="00C355C4"/>
    <w:rsid w:val="00C35613"/>
    <w:rsid w:val="00C35A15"/>
    <w:rsid w:val="00C36164"/>
    <w:rsid w:val="00C363EF"/>
    <w:rsid w:val="00C367D5"/>
    <w:rsid w:val="00C36927"/>
    <w:rsid w:val="00C36AE7"/>
    <w:rsid w:val="00C36B74"/>
    <w:rsid w:val="00C36BA9"/>
    <w:rsid w:val="00C37081"/>
    <w:rsid w:val="00C3751C"/>
    <w:rsid w:val="00C37B8C"/>
    <w:rsid w:val="00C37D29"/>
    <w:rsid w:val="00C401BF"/>
    <w:rsid w:val="00C40305"/>
    <w:rsid w:val="00C403A7"/>
    <w:rsid w:val="00C406D8"/>
    <w:rsid w:val="00C40923"/>
    <w:rsid w:val="00C40A36"/>
    <w:rsid w:val="00C41AF2"/>
    <w:rsid w:val="00C41BC2"/>
    <w:rsid w:val="00C41BDA"/>
    <w:rsid w:val="00C41BE7"/>
    <w:rsid w:val="00C41DAF"/>
    <w:rsid w:val="00C41DC7"/>
    <w:rsid w:val="00C41DE8"/>
    <w:rsid w:val="00C41E09"/>
    <w:rsid w:val="00C42224"/>
    <w:rsid w:val="00C42F43"/>
    <w:rsid w:val="00C43AED"/>
    <w:rsid w:val="00C441B2"/>
    <w:rsid w:val="00C441B5"/>
    <w:rsid w:val="00C44678"/>
    <w:rsid w:val="00C44BDE"/>
    <w:rsid w:val="00C44D71"/>
    <w:rsid w:val="00C45619"/>
    <w:rsid w:val="00C45A1D"/>
    <w:rsid w:val="00C45B32"/>
    <w:rsid w:val="00C45C15"/>
    <w:rsid w:val="00C45DF4"/>
    <w:rsid w:val="00C462BC"/>
    <w:rsid w:val="00C46B03"/>
    <w:rsid w:val="00C46CFE"/>
    <w:rsid w:val="00C4721C"/>
    <w:rsid w:val="00C47DD8"/>
    <w:rsid w:val="00C50926"/>
    <w:rsid w:val="00C50B9C"/>
    <w:rsid w:val="00C50EAF"/>
    <w:rsid w:val="00C512CA"/>
    <w:rsid w:val="00C51406"/>
    <w:rsid w:val="00C51AAB"/>
    <w:rsid w:val="00C52665"/>
    <w:rsid w:val="00C526F8"/>
    <w:rsid w:val="00C5285C"/>
    <w:rsid w:val="00C534CC"/>
    <w:rsid w:val="00C535C5"/>
    <w:rsid w:val="00C538B0"/>
    <w:rsid w:val="00C53B16"/>
    <w:rsid w:val="00C53DEA"/>
    <w:rsid w:val="00C53E49"/>
    <w:rsid w:val="00C54861"/>
    <w:rsid w:val="00C54B36"/>
    <w:rsid w:val="00C54CC8"/>
    <w:rsid w:val="00C54E86"/>
    <w:rsid w:val="00C5531C"/>
    <w:rsid w:val="00C55787"/>
    <w:rsid w:val="00C557A8"/>
    <w:rsid w:val="00C55B7E"/>
    <w:rsid w:val="00C55F60"/>
    <w:rsid w:val="00C5613B"/>
    <w:rsid w:val="00C561DB"/>
    <w:rsid w:val="00C56AC8"/>
    <w:rsid w:val="00C56E07"/>
    <w:rsid w:val="00C56E23"/>
    <w:rsid w:val="00C56F36"/>
    <w:rsid w:val="00C572AB"/>
    <w:rsid w:val="00C5763C"/>
    <w:rsid w:val="00C5765E"/>
    <w:rsid w:val="00C5772C"/>
    <w:rsid w:val="00C57B9D"/>
    <w:rsid w:val="00C60025"/>
    <w:rsid w:val="00C60181"/>
    <w:rsid w:val="00C6038E"/>
    <w:rsid w:val="00C6048F"/>
    <w:rsid w:val="00C613D4"/>
    <w:rsid w:val="00C613E7"/>
    <w:rsid w:val="00C614C0"/>
    <w:rsid w:val="00C617FE"/>
    <w:rsid w:val="00C618EC"/>
    <w:rsid w:val="00C61D56"/>
    <w:rsid w:val="00C61E75"/>
    <w:rsid w:val="00C62325"/>
    <w:rsid w:val="00C6232C"/>
    <w:rsid w:val="00C626B7"/>
    <w:rsid w:val="00C62913"/>
    <w:rsid w:val="00C62FD4"/>
    <w:rsid w:val="00C63378"/>
    <w:rsid w:val="00C63CCC"/>
    <w:rsid w:val="00C63D58"/>
    <w:rsid w:val="00C63FA9"/>
    <w:rsid w:val="00C64117"/>
    <w:rsid w:val="00C643EC"/>
    <w:rsid w:val="00C6447A"/>
    <w:rsid w:val="00C6466C"/>
    <w:rsid w:val="00C6562F"/>
    <w:rsid w:val="00C65866"/>
    <w:rsid w:val="00C658A3"/>
    <w:rsid w:val="00C660CF"/>
    <w:rsid w:val="00C6648D"/>
    <w:rsid w:val="00C6658B"/>
    <w:rsid w:val="00C678E5"/>
    <w:rsid w:val="00C67D61"/>
    <w:rsid w:val="00C70A7F"/>
    <w:rsid w:val="00C70D2B"/>
    <w:rsid w:val="00C70F1B"/>
    <w:rsid w:val="00C7116E"/>
    <w:rsid w:val="00C71617"/>
    <w:rsid w:val="00C725F9"/>
    <w:rsid w:val="00C7453C"/>
    <w:rsid w:val="00C74B46"/>
    <w:rsid w:val="00C74DB1"/>
    <w:rsid w:val="00C7505F"/>
    <w:rsid w:val="00C7523A"/>
    <w:rsid w:val="00C760D2"/>
    <w:rsid w:val="00C7639C"/>
    <w:rsid w:val="00C76AC8"/>
    <w:rsid w:val="00C76C83"/>
    <w:rsid w:val="00C7700E"/>
    <w:rsid w:val="00C77179"/>
    <w:rsid w:val="00C771D0"/>
    <w:rsid w:val="00C772F0"/>
    <w:rsid w:val="00C77563"/>
    <w:rsid w:val="00C77713"/>
    <w:rsid w:val="00C77FB7"/>
    <w:rsid w:val="00C80046"/>
    <w:rsid w:val="00C80065"/>
    <w:rsid w:val="00C800EE"/>
    <w:rsid w:val="00C812B6"/>
    <w:rsid w:val="00C8197D"/>
    <w:rsid w:val="00C81A0F"/>
    <w:rsid w:val="00C81C64"/>
    <w:rsid w:val="00C81D46"/>
    <w:rsid w:val="00C81E15"/>
    <w:rsid w:val="00C821EF"/>
    <w:rsid w:val="00C822A0"/>
    <w:rsid w:val="00C82740"/>
    <w:rsid w:val="00C827AF"/>
    <w:rsid w:val="00C827C0"/>
    <w:rsid w:val="00C82817"/>
    <w:rsid w:val="00C82BCE"/>
    <w:rsid w:val="00C82C28"/>
    <w:rsid w:val="00C82D78"/>
    <w:rsid w:val="00C82F20"/>
    <w:rsid w:val="00C82F69"/>
    <w:rsid w:val="00C833FC"/>
    <w:rsid w:val="00C83463"/>
    <w:rsid w:val="00C83B3A"/>
    <w:rsid w:val="00C83C6E"/>
    <w:rsid w:val="00C8409E"/>
    <w:rsid w:val="00C845F0"/>
    <w:rsid w:val="00C84DE3"/>
    <w:rsid w:val="00C851E8"/>
    <w:rsid w:val="00C85784"/>
    <w:rsid w:val="00C85934"/>
    <w:rsid w:val="00C85F18"/>
    <w:rsid w:val="00C866DD"/>
    <w:rsid w:val="00C867ED"/>
    <w:rsid w:val="00C868BD"/>
    <w:rsid w:val="00C86CB9"/>
    <w:rsid w:val="00C86FA7"/>
    <w:rsid w:val="00C87557"/>
    <w:rsid w:val="00C8769B"/>
    <w:rsid w:val="00C87A50"/>
    <w:rsid w:val="00C87EDB"/>
    <w:rsid w:val="00C90F93"/>
    <w:rsid w:val="00C920BE"/>
    <w:rsid w:val="00C921C0"/>
    <w:rsid w:val="00C92928"/>
    <w:rsid w:val="00C92B3D"/>
    <w:rsid w:val="00C92CE5"/>
    <w:rsid w:val="00C92EBE"/>
    <w:rsid w:val="00C93153"/>
    <w:rsid w:val="00C932B1"/>
    <w:rsid w:val="00C93A82"/>
    <w:rsid w:val="00C942B3"/>
    <w:rsid w:val="00C942B8"/>
    <w:rsid w:val="00C94300"/>
    <w:rsid w:val="00C951DD"/>
    <w:rsid w:val="00C953C9"/>
    <w:rsid w:val="00C953F8"/>
    <w:rsid w:val="00C9598F"/>
    <w:rsid w:val="00C961D1"/>
    <w:rsid w:val="00C9643F"/>
    <w:rsid w:val="00C967CE"/>
    <w:rsid w:val="00C96D76"/>
    <w:rsid w:val="00C974CB"/>
    <w:rsid w:val="00C9755A"/>
    <w:rsid w:val="00C97855"/>
    <w:rsid w:val="00C97873"/>
    <w:rsid w:val="00C97A8A"/>
    <w:rsid w:val="00C97AED"/>
    <w:rsid w:val="00C97F58"/>
    <w:rsid w:val="00CA00AF"/>
    <w:rsid w:val="00CA0287"/>
    <w:rsid w:val="00CA05BE"/>
    <w:rsid w:val="00CA06E1"/>
    <w:rsid w:val="00CA06FF"/>
    <w:rsid w:val="00CA07BF"/>
    <w:rsid w:val="00CA2380"/>
    <w:rsid w:val="00CA2418"/>
    <w:rsid w:val="00CA2769"/>
    <w:rsid w:val="00CA28F1"/>
    <w:rsid w:val="00CA2C24"/>
    <w:rsid w:val="00CA2E87"/>
    <w:rsid w:val="00CA2ECE"/>
    <w:rsid w:val="00CA3169"/>
    <w:rsid w:val="00CA3498"/>
    <w:rsid w:val="00CA35F4"/>
    <w:rsid w:val="00CA3708"/>
    <w:rsid w:val="00CA38DE"/>
    <w:rsid w:val="00CA3961"/>
    <w:rsid w:val="00CA3FA2"/>
    <w:rsid w:val="00CA4110"/>
    <w:rsid w:val="00CA4359"/>
    <w:rsid w:val="00CA48FE"/>
    <w:rsid w:val="00CA4ADA"/>
    <w:rsid w:val="00CA4D03"/>
    <w:rsid w:val="00CA4E22"/>
    <w:rsid w:val="00CA5DB9"/>
    <w:rsid w:val="00CA644C"/>
    <w:rsid w:val="00CA649E"/>
    <w:rsid w:val="00CA6CB2"/>
    <w:rsid w:val="00CA6F41"/>
    <w:rsid w:val="00CA7790"/>
    <w:rsid w:val="00CA7E65"/>
    <w:rsid w:val="00CB04F9"/>
    <w:rsid w:val="00CB056C"/>
    <w:rsid w:val="00CB08A1"/>
    <w:rsid w:val="00CB0CDF"/>
    <w:rsid w:val="00CB1915"/>
    <w:rsid w:val="00CB1AC5"/>
    <w:rsid w:val="00CB1FF9"/>
    <w:rsid w:val="00CB2683"/>
    <w:rsid w:val="00CB2FE5"/>
    <w:rsid w:val="00CB3567"/>
    <w:rsid w:val="00CB35AE"/>
    <w:rsid w:val="00CB376A"/>
    <w:rsid w:val="00CB3824"/>
    <w:rsid w:val="00CB38ED"/>
    <w:rsid w:val="00CB3E04"/>
    <w:rsid w:val="00CB3ED6"/>
    <w:rsid w:val="00CB502C"/>
    <w:rsid w:val="00CB5551"/>
    <w:rsid w:val="00CB57D1"/>
    <w:rsid w:val="00CB5EEE"/>
    <w:rsid w:val="00CB5F78"/>
    <w:rsid w:val="00CB6328"/>
    <w:rsid w:val="00CB6413"/>
    <w:rsid w:val="00CB64F4"/>
    <w:rsid w:val="00CB69D9"/>
    <w:rsid w:val="00CB6A07"/>
    <w:rsid w:val="00CB7050"/>
    <w:rsid w:val="00CB716E"/>
    <w:rsid w:val="00CB7234"/>
    <w:rsid w:val="00CB75BB"/>
    <w:rsid w:val="00CB76FF"/>
    <w:rsid w:val="00CB7BA4"/>
    <w:rsid w:val="00CB7D4E"/>
    <w:rsid w:val="00CB7E1A"/>
    <w:rsid w:val="00CC0216"/>
    <w:rsid w:val="00CC05EA"/>
    <w:rsid w:val="00CC0F3C"/>
    <w:rsid w:val="00CC11C9"/>
    <w:rsid w:val="00CC11DF"/>
    <w:rsid w:val="00CC1223"/>
    <w:rsid w:val="00CC17C8"/>
    <w:rsid w:val="00CC1D4B"/>
    <w:rsid w:val="00CC201A"/>
    <w:rsid w:val="00CC2529"/>
    <w:rsid w:val="00CC2CC8"/>
    <w:rsid w:val="00CC2E42"/>
    <w:rsid w:val="00CC2EAF"/>
    <w:rsid w:val="00CC32C8"/>
    <w:rsid w:val="00CC331C"/>
    <w:rsid w:val="00CC354C"/>
    <w:rsid w:val="00CC3A89"/>
    <w:rsid w:val="00CC4822"/>
    <w:rsid w:val="00CC4CC8"/>
    <w:rsid w:val="00CC4D82"/>
    <w:rsid w:val="00CC5495"/>
    <w:rsid w:val="00CC55C8"/>
    <w:rsid w:val="00CC625D"/>
    <w:rsid w:val="00CC62FA"/>
    <w:rsid w:val="00CC65F3"/>
    <w:rsid w:val="00CC6A92"/>
    <w:rsid w:val="00CC7494"/>
    <w:rsid w:val="00CC76CD"/>
    <w:rsid w:val="00CC77B4"/>
    <w:rsid w:val="00CC791D"/>
    <w:rsid w:val="00CC7ED0"/>
    <w:rsid w:val="00CC7F5C"/>
    <w:rsid w:val="00CD00D8"/>
    <w:rsid w:val="00CD0764"/>
    <w:rsid w:val="00CD0D1A"/>
    <w:rsid w:val="00CD125F"/>
    <w:rsid w:val="00CD126F"/>
    <w:rsid w:val="00CD176D"/>
    <w:rsid w:val="00CD257B"/>
    <w:rsid w:val="00CD278E"/>
    <w:rsid w:val="00CD3644"/>
    <w:rsid w:val="00CD41B0"/>
    <w:rsid w:val="00CD44A7"/>
    <w:rsid w:val="00CD45E7"/>
    <w:rsid w:val="00CD495B"/>
    <w:rsid w:val="00CD4FB9"/>
    <w:rsid w:val="00CD54C8"/>
    <w:rsid w:val="00CD5559"/>
    <w:rsid w:val="00CD561C"/>
    <w:rsid w:val="00CD5629"/>
    <w:rsid w:val="00CD5EEC"/>
    <w:rsid w:val="00CD635E"/>
    <w:rsid w:val="00CD6415"/>
    <w:rsid w:val="00CD6878"/>
    <w:rsid w:val="00CD75E7"/>
    <w:rsid w:val="00CD7916"/>
    <w:rsid w:val="00CD7B7D"/>
    <w:rsid w:val="00CD7CE2"/>
    <w:rsid w:val="00CE014F"/>
    <w:rsid w:val="00CE05CA"/>
    <w:rsid w:val="00CE0A7D"/>
    <w:rsid w:val="00CE1437"/>
    <w:rsid w:val="00CE1965"/>
    <w:rsid w:val="00CE1CDC"/>
    <w:rsid w:val="00CE1F63"/>
    <w:rsid w:val="00CE2043"/>
    <w:rsid w:val="00CE2146"/>
    <w:rsid w:val="00CE3198"/>
    <w:rsid w:val="00CE3828"/>
    <w:rsid w:val="00CE3909"/>
    <w:rsid w:val="00CE3AA9"/>
    <w:rsid w:val="00CE3B03"/>
    <w:rsid w:val="00CE3D5F"/>
    <w:rsid w:val="00CE3E70"/>
    <w:rsid w:val="00CE3FF6"/>
    <w:rsid w:val="00CE41A0"/>
    <w:rsid w:val="00CE4B65"/>
    <w:rsid w:val="00CE5103"/>
    <w:rsid w:val="00CE548F"/>
    <w:rsid w:val="00CE595C"/>
    <w:rsid w:val="00CE6074"/>
    <w:rsid w:val="00CE63BA"/>
    <w:rsid w:val="00CE6704"/>
    <w:rsid w:val="00CE67C0"/>
    <w:rsid w:val="00CE6B12"/>
    <w:rsid w:val="00CE71F1"/>
    <w:rsid w:val="00CE74DB"/>
    <w:rsid w:val="00CE76AD"/>
    <w:rsid w:val="00CE77B5"/>
    <w:rsid w:val="00CE7840"/>
    <w:rsid w:val="00CE7888"/>
    <w:rsid w:val="00CE79AF"/>
    <w:rsid w:val="00CE7A5E"/>
    <w:rsid w:val="00CE7D60"/>
    <w:rsid w:val="00CF02F8"/>
    <w:rsid w:val="00CF0388"/>
    <w:rsid w:val="00CF06C3"/>
    <w:rsid w:val="00CF1FC4"/>
    <w:rsid w:val="00CF2CBF"/>
    <w:rsid w:val="00CF3019"/>
    <w:rsid w:val="00CF31F2"/>
    <w:rsid w:val="00CF3354"/>
    <w:rsid w:val="00CF3A12"/>
    <w:rsid w:val="00CF3FD8"/>
    <w:rsid w:val="00CF3FEC"/>
    <w:rsid w:val="00CF4438"/>
    <w:rsid w:val="00CF469B"/>
    <w:rsid w:val="00CF46F2"/>
    <w:rsid w:val="00CF4703"/>
    <w:rsid w:val="00CF4977"/>
    <w:rsid w:val="00CF4A88"/>
    <w:rsid w:val="00CF4CAE"/>
    <w:rsid w:val="00CF4EEA"/>
    <w:rsid w:val="00CF5592"/>
    <w:rsid w:val="00CF5971"/>
    <w:rsid w:val="00CF59E3"/>
    <w:rsid w:val="00CF5B28"/>
    <w:rsid w:val="00CF5DD3"/>
    <w:rsid w:val="00CF600F"/>
    <w:rsid w:val="00CF62CE"/>
    <w:rsid w:val="00CF692F"/>
    <w:rsid w:val="00CF6BC9"/>
    <w:rsid w:val="00CF6D29"/>
    <w:rsid w:val="00CF6D37"/>
    <w:rsid w:val="00CF7105"/>
    <w:rsid w:val="00CF7216"/>
    <w:rsid w:val="00CF76CD"/>
    <w:rsid w:val="00CF7763"/>
    <w:rsid w:val="00CF7C04"/>
    <w:rsid w:val="00CF7D8C"/>
    <w:rsid w:val="00D00150"/>
    <w:rsid w:val="00D003D2"/>
    <w:rsid w:val="00D0042A"/>
    <w:rsid w:val="00D01CC0"/>
    <w:rsid w:val="00D01E1F"/>
    <w:rsid w:val="00D01ED3"/>
    <w:rsid w:val="00D02242"/>
    <w:rsid w:val="00D024BF"/>
    <w:rsid w:val="00D02CCB"/>
    <w:rsid w:val="00D03217"/>
    <w:rsid w:val="00D03BD8"/>
    <w:rsid w:val="00D03F52"/>
    <w:rsid w:val="00D04031"/>
    <w:rsid w:val="00D04DFF"/>
    <w:rsid w:val="00D050AC"/>
    <w:rsid w:val="00D052CA"/>
    <w:rsid w:val="00D05928"/>
    <w:rsid w:val="00D05A41"/>
    <w:rsid w:val="00D061C2"/>
    <w:rsid w:val="00D064A9"/>
    <w:rsid w:val="00D064C0"/>
    <w:rsid w:val="00D0653A"/>
    <w:rsid w:val="00D067F3"/>
    <w:rsid w:val="00D068E4"/>
    <w:rsid w:val="00D069AA"/>
    <w:rsid w:val="00D06D47"/>
    <w:rsid w:val="00D07306"/>
    <w:rsid w:val="00D0793F"/>
    <w:rsid w:val="00D079B4"/>
    <w:rsid w:val="00D10134"/>
    <w:rsid w:val="00D10DA3"/>
    <w:rsid w:val="00D11770"/>
    <w:rsid w:val="00D119E8"/>
    <w:rsid w:val="00D11B5B"/>
    <w:rsid w:val="00D11C88"/>
    <w:rsid w:val="00D11F71"/>
    <w:rsid w:val="00D121BC"/>
    <w:rsid w:val="00D1292C"/>
    <w:rsid w:val="00D130A9"/>
    <w:rsid w:val="00D13151"/>
    <w:rsid w:val="00D134CD"/>
    <w:rsid w:val="00D1359A"/>
    <w:rsid w:val="00D13A97"/>
    <w:rsid w:val="00D13DF5"/>
    <w:rsid w:val="00D13E41"/>
    <w:rsid w:val="00D14049"/>
    <w:rsid w:val="00D14291"/>
    <w:rsid w:val="00D14400"/>
    <w:rsid w:val="00D14729"/>
    <w:rsid w:val="00D1494D"/>
    <w:rsid w:val="00D14CD5"/>
    <w:rsid w:val="00D15065"/>
    <w:rsid w:val="00D15481"/>
    <w:rsid w:val="00D15570"/>
    <w:rsid w:val="00D15618"/>
    <w:rsid w:val="00D15FB9"/>
    <w:rsid w:val="00D161F1"/>
    <w:rsid w:val="00D162E0"/>
    <w:rsid w:val="00D16747"/>
    <w:rsid w:val="00D16809"/>
    <w:rsid w:val="00D16A7C"/>
    <w:rsid w:val="00D1715C"/>
    <w:rsid w:val="00D17593"/>
    <w:rsid w:val="00D2016D"/>
    <w:rsid w:val="00D20619"/>
    <w:rsid w:val="00D20F83"/>
    <w:rsid w:val="00D212B4"/>
    <w:rsid w:val="00D2200A"/>
    <w:rsid w:val="00D221E8"/>
    <w:rsid w:val="00D2227C"/>
    <w:rsid w:val="00D22412"/>
    <w:rsid w:val="00D2329A"/>
    <w:rsid w:val="00D24000"/>
    <w:rsid w:val="00D242AF"/>
    <w:rsid w:val="00D24439"/>
    <w:rsid w:val="00D247D3"/>
    <w:rsid w:val="00D2587F"/>
    <w:rsid w:val="00D25A69"/>
    <w:rsid w:val="00D25C64"/>
    <w:rsid w:val="00D265C6"/>
    <w:rsid w:val="00D2677B"/>
    <w:rsid w:val="00D26E8E"/>
    <w:rsid w:val="00D26FA5"/>
    <w:rsid w:val="00D2752B"/>
    <w:rsid w:val="00D275B6"/>
    <w:rsid w:val="00D275CE"/>
    <w:rsid w:val="00D30A89"/>
    <w:rsid w:val="00D30C3E"/>
    <w:rsid w:val="00D30E17"/>
    <w:rsid w:val="00D314E5"/>
    <w:rsid w:val="00D31735"/>
    <w:rsid w:val="00D31983"/>
    <w:rsid w:val="00D31DA1"/>
    <w:rsid w:val="00D322D3"/>
    <w:rsid w:val="00D3236E"/>
    <w:rsid w:val="00D32B5F"/>
    <w:rsid w:val="00D32E8E"/>
    <w:rsid w:val="00D32F2B"/>
    <w:rsid w:val="00D333B1"/>
    <w:rsid w:val="00D336E8"/>
    <w:rsid w:val="00D3372D"/>
    <w:rsid w:val="00D339F5"/>
    <w:rsid w:val="00D33BC7"/>
    <w:rsid w:val="00D33D52"/>
    <w:rsid w:val="00D33D99"/>
    <w:rsid w:val="00D33F96"/>
    <w:rsid w:val="00D34005"/>
    <w:rsid w:val="00D3468B"/>
    <w:rsid w:val="00D349CD"/>
    <w:rsid w:val="00D34AC7"/>
    <w:rsid w:val="00D351AB"/>
    <w:rsid w:val="00D35BB8"/>
    <w:rsid w:val="00D35EA9"/>
    <w:rsid w:val="00D36CE7"/>
    <w:rsid w:val="00D36EE2"/>
    <w:rsid w:val="00D37275"/>
    <w:rsid w:val="00D37573"/>
    <w:rsid w:val="00D37624"/>
    <w:rsid w:val="00D40431"/>
    <w:rsid w:val="00D40804"/>
    <w:rsid w:val="00D4080A"/>
    <w:rsid w:val="00D40893"/>
    <w:rsid w:val="00D40C4A"/>
    <w:rsid w:val="00D412BB"/>
    <w:rsid w:val="00D41594"/>
    <w:rsid w:val="00D4169E"/>
    <w:rsid w:val="00D41B63"/>
    <w:rsid w:val="00D41FF4"/>
    <w:rsid w:val="00D424B6"/>
    <w:rsid w:val="00D426AA"/>
    <w:rsid w:val="00D428F7"/>
    <w:rsid w:val="00D42C0E"/>
    <w:rsid w:val="00D4320A"/>
    <w:rsid w:val="00D4375D"/>
    <w:rsid w:val="00D43B33"/>
    <w:rsid w:val="00D43DEF"/>
    <w:rsid w:val="00D43E62"/>
    <w:rsid w:val="00D44279"/>
    <w:rsid w:val="00D44568"/>
    <w:rsid w:val="00D448AE"/>
    <w:rsid w:val="00D44BC2"/>
    <w:rsid w:val="00D44DBF"/>
    <w:rsid w:val="00D45060"/>
    <w:rsid w:val="00D45163"/>
    <w:rsid w:val="00D45699"/>
    <w:rsid w:val="00D45BF7"/>
    <w:rsid w:val="00D45EBD"/>
    <w:rsid w:val="00D465A1"/>
    <w:rsid w:val="00D46656"/>
    <w:rsid w:val="00D46D29"/>
    <w:rsid w:val="00D46DE8"/>
    <w:rsid w:val="00D46E25"/>
    <w:rsid w:val="00D47075"/>
    <w:rsid w:val="00D47084"/>
    <w:rsid w:val="00D4739E"/>
    <w:rsid w:val="00D473B2"/>
    <w:rsid w:val="00D475FB"/>
    <w:rsid w:val="00D47AF2"/>
    <w:rsid w:val="00D50353"/>
    <w:rsid w:val="00D5039A"/>
    <w:rsid w:val="00D503D5"/>
    <w:rsid w:val="00D5050E"/>
    <w:rsid w:val="00D50535"/>
    <w:rsid w:val="00D50602"/>
    <w:rsid w:val="00D5062F"/>
    <w:rsid w:val="00D50DE5"/>
    <w:rsid w:val="00D50E1B"/>
    <w:rsid w:val="00D513C8"/>
    <w:rsid w:val="00D516C4"/>
    <w:rsid w:val="00D51E72"/>
    <w:rsid w:val="00D51F41"/>
    <w:rsid w:val="00D5265F"/>
    <w:rsid w:val="00D52CA5"/>
    <w:rsid w:val="00D52E81"/>
    <w:rsid w:val="00D52E9E"/>
    <w:rsid w:val="00D52EF7"/>
    <w:rsid w:val="00D52F4C"/>
    <w:rsid w:val="00D5304B"/>
    <w:rsid w:val="00D533DF"/>
    <w:rsid w:val="00D53735"/>
    <w:rsid w:val="00D53782"/>
    <w:rsid w:val="00D53A2B"/>
    <w:rsid w:val="00D5406A"/>
    <w:rsid w:val="00D5470C"/>
    <w:rsid w:val="00D55350"/>
    <w:rsid w:val="00D556FA"/>
    <w:rsid w:val="00D55EB9"/>
    <w:rsid w:val="00D55F88"/>
    <w:rsid w:val="00D56A0D"/>
    <w:rsid w:val="00D570BB"/>
    <w:rsid w:val="00D57274"/>
    <w:rsid w:val="00D57ABF"/>
    <w:rsid w:val="00D57B65"/>
    <w:rsid w:val="00D57CCE"/>
    <w:rsid w:val="00D57F24"/>
    <w:rsid w:val="00D57FA2"/>
    <w:rsid w:val="00D6024C"/>
    <w:rsid w:val="00D60984"/>
    <w:rsid w:val="00D60AAB"/>
    <w:rsid w:val="00D61581"/>
    <w:rsid w:val="00D61FC5"/>
    <w:rsid w:val="00D62496"/>
    <w:rsid w:val="00D62692"/>
    <w:rsid w:val="00D62A58"/>
    <w:rsid w:val="00D63D01"/>
    <w:rsid w:val="00D63FAC"/>
    <w:rsid w:val="00D640C9"/>
    <w:rsid w:val="00D642CF"/>
    <w:rsid w:val="00D64E4A"/>
    <w:rsid w:val="00D65563"/>
    <w:rsid w:val="00D661D0"/>
    <w:rsid w:val="00D66A84"/>
    <w:rsid w:val="00D66D10"/>
    <w:rsid w:val="00D66FA5"/>
    <w:rsid w:val="00D67967"/>
    <w:rsid w:val="00D67CED"/>
    <w:rsid w:val="00D67DF0"/>
    <w:rsid w:val="00D67FFC"/>
    <w:rsid w:val="00D700C0"/>
    <w:rsid w:val="00D704F6"/>
    <w:rsid w:val="00D70B26"/>
    <w:rsid w:val="00D70D3A"/>
    <w:rsid w:val="00D713EF"/>
    <w:rsid w:val="00D715D5"/>
    <w:rsid w:val="00D716D9"/>
    <w:rsid w:val="00D71953"/>
    <w:rsid w:val="00D71A7A"/>
    <w:rsid w:val="00D71B22"/>
    <w:rsid w:val="00D71E3B"/>
    <w:rsid w:val="00D72608"/>
    <w:rsid w:val="00D72A69"/>
    <w:rsid w:val="00D7338E"/>
    <w:rsid w:val="00D73426"/>
    <w:rsid w:val="00D73A50"/>
    <w:rsid w:val="00D73D83"/>
    <w:rsid w:val="00D73EE6"/>
    <w:rsid w:val="00D73F90"/>
    <w:rsid w:val="00D742D1"/>
    <w:rsid w:val="00D7475F"/>
    <w:rsid w:val="00D748C2"/>
    <w:rsid w:val="00D74957"/>
    <w:rsid w:val="00D74BA1"/>
    <w:rsid w:val="00D75533"/>
    <w:rsid w:val="00D75802"/>
    <w:rsid w:val="00D75C54"/>
    <w:rsid w:val="00D75CCE"/>
    <w:rsid w:val="00D75D7A"/>
    <w:rsid w:val="00D7676C"/>
    <w:rsid w:val="00D76B66"/>
    <w:rsid w:val="00D7756A"/>
    <w:rsid w:val="00D77663"/>
    <w:rsid w:val="00D8077F"/>
    <w:rsid w:val="00D807CC"/>
    <w:rsid w:val="00D80863"/>
    <w:rsid w:val="00D80BE4"/>
    <w:rsid w:val="00D811B3"/>
    <w:rsid w:val="00D81778"/>
    <w:rsid w:val="00D81982"/>
    <w:rsid w:val="00D81C90"/>
    <w:rsid w:val="00D82609"/>
    <w:rsid w:val="00D82A9C"/>
    <w:rsid w:val="00D82EED"/>
    <w:rsid w:val="00D831F6"/>
    <w:rsid w:val="00D83AED"/>
    <w:rsid w:val="00D83FA4"/>
    <w:rsid w:val="00D8448E"/>
    <w:rsid w:val="00D84ADD"/>
    <w:rsid w:val="00D85424"/>
    <w:rsid w:val="00D85D10"/>
    <w:rsid w:val="00D85D42"/>
    <w:rsid w:val="00D861E9"/>
    <w:rsid w:val="00D8648B"/>
    <w:rsid w:val="00D865FB"/>
    <w:rsid w:val="00D86778"/>
    <w:rsid w:val="00D86A8E"/>
    <w:rsid w:val="00D86D22"/>
    <w:rsid w:val="00D87C33"/>
    <w:rsid w:val="00D87CB1"/>
    <w:rsid w:val="00D87F02"/>
    <w:rsid w:val="00D90083"/>
    <w:rsid w:val="00D902B3"/>
    <w:rsid w:val="00D9037A"/>
    <w:rsid w:val="00D90FB1"/>
    <w:rsid w:val="00D91002"/>
    <w:rsid w:val="00D91036"/>
    <w:rsid w:val="00D918C4"/>
    <w:rsid w:val="00D924E0"/>
    <w:rsid w:val="00D926EA"/>
    <w:rsid w:val="00D92B98"/>
    <w:rsid w:val="00D92D6F"/>
    <w:rsid w:val="00D93C7F"/>
    <w:rsid w:val="00D94251"/>
    <w:rsid w:val="00D9443F"/>
    <w:rsid w:val="00D947B0"/>
    <w:rsid w:val="00D94DDB"/>
    <w:rsid w:val="00D95789"/>
    <w:rsid w:val="00D95999"/>
    <w:rsid w:val="00D95D47"/>
    <w:rsid w:val="00D95EAF"/>
    <w:rsid w:val="00D95F37"/>
    <w:rsid w:val="00D963DB"/>
    <w:rsid w:val="00D964B3"/>
    <w:rsid w:val="00D974CB"/>
    <w:rsid w:val="00D9764C"/>
    <w:rsid w:val="00D97658"/>
    <w:rsid w:val="00D97722"/>
    <w:rsid w:val="00D979FB"/>
    <w:rsid w:val="00D97BFC"/>
    <w:rsid w:val="00DA08FA"/>
    <w:rsid w:val="00DA1B23"/>
    <w:rsid w:val="00DA1B96"/>
    <w:rsid w:val="00DA21E8"/>
    <w:rsid w:val="00DA22F0"/>
    <w:rsid w:val="00DA2303"/>
    <w:rsid w:val="00DA236F"/>
    <w:rsid w:val="00DA252F"/>
    <w:rsid w:val="00DA27F6"/>
    <w:rsid w:val="00DA2944"/>
    <w:rsid w:val="00DA2A58"/>
    <w:rsid w:val="00DA2FBE"/>
    <w:rsid w:val="00DA3013"/>
    <w:rsid w:val="00DA33FF"/>
    <w:rsid w:val="00DA3447"/>
    <w:rsid w:val="00DA3A5E"/>
    <w:rsid w:val="00DA3A8C"/>
    <w:rsid w:val="00DA3F04"/>
    <w:rsid w:val="00DA40B4"/>
    <w:rsid w:val="00DA4436"/>
    <w:rsid w:val="00DA4A76"/>
    <w:rsid w:val="00DA4CF6"/>
    <w:rsid w:val="00DA521A"/>
    <w:rsid w:val="00DA58D7"/>
    <w:rsid w:val="00DA5BCA"/>
    <w:rsid w:val="00DA6226"/>
    <w:rsid w:val="00DA64B4"/>
    <w:rsid w:val="00DA65E8"/>
    <w:rsid w:val="00DA6915"/>
    <w:rsid w:val="00DA6DEE"/>
    <w:rsid w:val="00DA7572"/>
    <w:rsid w:val="00DA7A22"/>
    <w:rsid w:val="00DA7AA5"/>
    <w:rsid w:val="00DB032B"/>
    <w:rsid w:val="00DB06AA"/>
    <w:rsid w:val="00DB07EF"/>
    <w:rsid w:val="00DB0BFC"/>
    <w:rsid w:val="00DB0C2E"/>
    <w:rsid w:val="00DB0DAE"/>
    <w:rsid w:val="00DB0DD4"/>
    <w:rsid w:val="00DB0E0C"/>
    <w:rsid w:val="00DB0ECD"/>
    <w:rsid w:val="00DB1025"/>
    <w:rsid w:val="00DB1057"/>
    <w:rsid w:val="00DB10CB"/>
    <w:rsid w:val="00DB14D3"/>
    <w:rsid w:val="00DB183E"/>
    <w:rsid w:val="00DB2301"/>
    <w:rsid w:val="00DB26DC"/>
    <w:rsid w:val="00DB3432"/>
    <w:rsid w:val="00DB3A80"/>
    <w:rsid w:val="00DB3E5A"/>
    <w:rsid w:val="00DB4079"/>
    <w:rsid w:val="00DB44EE"/>
    <w:rsid w:val="00DB4BDA"/>
    <w:rsid w:val="00DB4E20"/>
    <w:rsid w:val="00DB62FB"/>
    <w:rsid w:val="00DB642C"/>
    <w:rsid w:val="00DB64B6"/>
    <w:rsid w:val="00DB6582"/>
    <w:rsid w:val="00DB70E1"/>
    <w:rsid w:val="00DB71E8"/>
    <w:rsid w:val="00DB7495"/>
    <w:rsid w:val="00DC003C"/>
    <w:rsid w:val="00DC0574"/>
    <w:rsid w:val="00DC0AC2"/>
    <w:rsid w:val="00DC0B41"/>
    <w:rsid w:val="00DC1E2E"/>
    <w:rsid w:val="00DC20BE"/>
    <w:rsid w:val="00DC226E"/>
    <w:rsid w:val="00DC2347"/>
    <w:rsid w:val="00DC2C86"/>
    <w:rsid w:val="00DC2EA5"/>
    <w:rsid w:val="00DC394C"/>
    <w:rsid w:val="00DC3F34"/>
    <w:rsid w:val="00DC3F4E"/>
    <w:rsid w:val="00DC3FB4"/>
    <w:rsid w:val="00DC42CC"/>
    <w:rsid w:val="00DC4958"/>
    <w:rsid w:val="00DC4AE0"/>
    <w:rsid w:val="00DC4C91"/>
    <w:rsid w:val="00DC4D40"/>
    <w:rsid w:val="00DC4F13"/>
    <w:rsid w:val="00DC5349"/>
    <w:rsid w:val="00DC57AE"/>
    <w:rsid w:val="00DC587F"/>
    <w:rsid w:val="00DC5D07"/>
    <w:rsid w:val="00DC652B"/>
    <w:rsid w:val="00DC6688"/>
    <w:rsid w:val="00DC676F"/>
    <w:rsid w:val="00DC693F"/>
    <w:rsid w:val="00DC69A0"/>
    <w:rsid w:val="00DC6A81"/>
    <w:rsid w:val="00DC7295"/>
    <w:rsid w:val="00DC7306"/>
    <w:rsid w:val="00DC7B33"/>
    <w:rsid w:val="00DC7EF3"/>
    <w:rsid w:val="00DD015A"/>
    <w:rsid w:val="00DD0219"/>
    <w:rsid w:val="00DD04A2"/>
    <w:rsid w:val="00DD054B"/>
    <w:rsid w:val="00DD054F"/>
    <w:rsid w:val="00DD189C"/>
    <w:rsid w:val="00DD2181"/>
    <w:rsid w:val="00DD21C6"/>
    <w:rsid w:val="00DD23BC"/>
    <w:rsid w:val="00DD2595"/>
    <w:rsid w:val="00DD25AA"/>
    <w:rsid w:val="00DD29C6"/>
    <w:rsid w:val="00DD29DE"/>
    <w:rsid w:val="00DD30BE"/>
    <w:rsid w:val="00DD30DE"/>
    <w:rsid w:val="00DD3479"/>
    <w:rsid w:val="00DD3601"/>
    <w:rsid w:val="00DD43BA"/>
    <w:rsid w:val="00DD4ADE"/>
    <w:rsid w:val="00DD4BD1"/>
    <w:rsid w:val="00DD50A6"/>
    <w:rsid w:val="00DD522F"/>
    <w:rsid w:val="00DD59D4"/>
    <w:rsid w:val="00DD5CF0"/>
    <w:rsid w:val="00DD5FC7"/>
    <w:rsid w:val="00DD6A71"/>
    <w:rsid w:val="00DD6FED"/>
    <w:rsid w:val="00DD75F3"/>
    <w:rsid w:val="00DD78BE"/>
    <w:rsid w:val="00DD7D6E"/>
    <w:rsid w:val="00DD7DAF"/>
    <w:rsid w:val="00DD7DBD"/>
    <w:rsid w:val="00DD7E5B"/>
    <w:rsid w:val="00DE01EA"/>
    <w:rsid w:val="00DE02B0"/>
    <w:rsid w:val="00DE0413"/>
    <w:rsid w:val="00DE08C0"/>
    <w:rsid w:val="00DE0A59"/>
    <w:rsid w:val="00DE0A9E"/>
    <w:rsid w:val="00DE0BE5"/>
    <w:rsid w:val="00DE146A"/>
    <w:rsid w:val="00DE165D"/>
    <w:rsid w:val="00DE1693"/>
    <w:rsid w:val="00DE1751"/>
    <w:rsid w:val="00DE2047"/>
    <w:rsid w:val="00DE2A13"/>
    <w:rsid w:val="00DE2AB9"/>
    <w:rsid w:val="00DE3052"/>
    <w:rsid w:val="00DE307E"/>
    <w:rsid w:val="00DE3723"/>
    <w:rsid w:val="00DE44AA"/>
    <w:rsid w:val="00DE485C"/>
    <w:rsid w:val="00DE4A6E"/>
    <w:rsid w:val="00DE4F22"/>
    <w:rsid w:val="00DE50F1"/>
    <w:rsid w:val="00DE53E2"/>
    <w:rsid w:val="00DE5AEB"/>
    <w:rsid w:val="00DE5B53"/>
    <w:rsid w:val="00DE5BF9"/>
    <w:rsid w:val="00DE62DB"/>
    <w:rsid w:val="00DE6360"/>
    <w:rsid w:val="00DE667D"/>
    <w:rsid w:val="00DE6AA9"/>
    <w:rsid w:val="00DE6D79"/>
    <w:rsid w:val="00DE6F45"/>
    <w:rsid w:val="00DE7864"/>
    <w:rsid w:val="00DE78BC"/>
    <w:rsid w:val="00DE7CB2"/>
    <w:rsid w:val="00DE7DA7"/>
    <w:rsid w:val="00DE7EDE"/>
    <w:rsid w:val="00DF0276"/>
    <w:rsid w:val="00DF16DF"/>
    <w:rsid w:val="00DF1840"/>
    <w:rsid w:val="00DF1AB2"/>
    <w:rsid w:val="00DF1B93"/>
    <w:rsid w:val="00DF201E"/>
    <w:rsid w:val="00DF2AE7"/>
    <w:rsid w:val="00DF2B6E"/>
    <w:rsid w:val="00DF2CCB"/>
    <w:rsid w:val="00DF2CFB"/>
    <w:rsid w:val="00DF2DF2"/>
    <w:rsid w:val="00DF2E49"/>
    <w:rsid w:val="00DF308C"/>
    <w:rsid w:val="00DF33CC"/>
    <w:rsid w:val="00DF3A7F"/>
    <w:rsid w:val="00DF3B0D"/>
    <w:rsid w:val="00DF472E"/>
    <w:rsid w:val="00DF50DD"/>
    <w:rsid w:val="00DF5533"/>
    <w:rsid w:val="00DF55E1"/>
    <w:rsid w:val="00DF58E9"/>
    <w:rsid w:val="00DF59BA"/>
    <w:rsid w:val="00DF5AE1"/>
    <w:rsid w:val="00DF5C26"/>
    <w:rsid w:val="00DF5C30"/>
    <w:rsid w:val="00DF5DD1"/>
    <w:rsid w:val="00DF630E"/>
    <w:rsid w:val="00DF6E26"/>
    <w:rsid w:val="00DF6E6B"/>
    <w:rsid w:val="00DF7085"/>
    <w:rsid w:val="00DF7C50"/>
    <w:rsid w:val="00DF7CAC"/>
    <w:rsid w:val="00E0011B"/>
    <w:rsid w:val="00E00332"/>
    <w:rsid w:val="00E00BDC"/>
    <w:rsid w:val="00E00E30"/>
    <w:rsid w:val="00E00FDE"/>
    <w:rsid w:val="00E011F4"/>
    <w:rsid w:val="00E0213C"/>
    <w:rsid w:val="00E02A77"/>
    <w:rsid w:val="00E033FA"/>
    <w:rsid w:val="00E03446"/>
    <w:rsid w:val="00E0371D"/>
    <w:rsid w:val="00E0382F"/>
    <w:rsid w:val="00E03A61"/>
    <w:rsid w:val="00E03CF4"/>
    <w:rsid w:val="00E03EC1"/>
    <w:rsid w:val="00E040C7"/>
    <w:rsid w:val="00E04124"/>
    <w:rsid w:val="00E043EC"/>
    <w:rsid w:val="00E04F49"/>
    <w:rsid w:val="00E050C6"/>
    <w:rsid w:val="00E05BF1"/>
    <w:rsid w:val="00E06333"/>
    <w:rsid w:val="00E06462"/>
    <w:rsid w:val="00E06E66"/>
    <w:rsid w:val="00E070D3"/>
    <w:rsid w:val="00E07137"/>
    <w:rsid w:val="00E07776"/>
    <w:rsid w:val="00E07A05"/>
    <w:rsid w:val="00E07C29"/>
    <w:rsid w:val="00E07DB2"/>
    <w:rsid w:val="00E1007C"/>
    <w:rsid w:val="00E108BB"/>
    <w:rsid w:val="00E1206A"/>
    <w:rsid w:val="00E1225E"/>
    <w:rsid w:val="00E124E8"/>
    <w:rsid w:val="00E127AB"/>
    <w:rsid w:val="00E12D1B"/>
    <w:rsid w:val="00E130F4"/>
    <w:rsid w:val="00E13527"/>
    <w:rsid w:val="00E1430F"/>
    <w:rsid w:val="00E15006"/>
    <w:rsid w:val="00E15251"/>
    <w:rsid w:val="00E153B8"/>
    <w:rsid w:val="00E154FF"/>
    <w:rsid w:val="00E15B9A"/>
    <w:rsid w:val="00E15C9A"/>
    <w:rsid w:val="00E16150"/>
    <w:rsid w:val="00E16225"/>
    <w:rsid w:val="00E16468"/>
    <w:rsid w:val="00E16AD3"/>
    <w:rsid w:val="00E172BD"/>
    <w:rsid w:val="00E17582"/>
    <w:rsid w:val="00E17C7D"/>
    <w:rsid w:val="00E17EF4"/>
    <w:rsid w:val="00E20265"/>
    <w:rsid w:val="00E207C1"/>
    <w:rsid w:val="00E20AED"/>
    <w:rsid w:val="00E21145"/>
    <w:rsid w:val="00E214F1"/>
    <w:rsid w:val="00E21706"/>
    <w:rsid w:val="00E227C2"/>
    <w:rsid w:val="00E22EE6"/>
    <w:rsid w:val="00E22FB3"/>
    <w:rsid w:val="00E2408D"/>
    <w:rsid w:val="00E247C9"/>
    <w:rsid w:val="00E248F5"/>
    <w:rsid w:val="00E24D47"/>
    <w:rsid w:val="00E24D6E"/>
    <w:rsid w:val="00E25460"/>
    <w:rsid w:val="00E255B7"/>
    <w:rsid w:val="00E25849"/>
    <w:rsid w:val="00E25C3A"/>
    <w:rsid w:val="00E26015"/>
    <w:rsid w:val="00E26517"/>
    <w:rsid w:val="00E266DD"/>
    <w:rsid w:val="00E26EBA"/>
    <w:rsid w:val="00E2784D"/>
    <w:rsid w:val="00E27CD6"/>
    <w:rsid w:val="00E30993"/>
    <w:rsid w:val="00E30DB9"/>
    <w:rsid w:val="00E30F08"/>
    <w:rsid w:val="00E310CB"/>
    <w:rsid w:val="00E311DF"/>
    <w:rsid w:val="00E31801"/>
    <w:rsid w:val="00E31989"/>
    <w:rsid w:val="00E31DA4"/>
    <w:rsid w:val="00E31FB4"/>
    <w:rsid w:val="00E32235"/>
    <w:rsid w:val="00E32CE9"/>
    <w:rsid w:val="00E32D3E"/>
    <w:rsid w:val="00E32F2C"/>
    <w:rsid w:val="00E331A7"/>
    <w:rsid w:val="00E334F4"/>
    <w:rsid w:val="00E33B14"/>
    <w:rsid w:val="00E33D0E"/>
    <w:rsid w:val="00E33ED6"/>
    <w:rsid w:val="00E34191"/>
    <w:rsid w:val="00E34234"/>
    <w:rsid w:val="00E34473"/>
    <w:rsid w:val="00E34844"/>
    <w:rsid w:val="00E3525A"/>
    <w:rsid w:val="00E3547A"/>
    <w:rsid w:val="00E35668"/>
    <w:rsid w:val="00E359CC"/>
    <w:rsid w:val="00E35A18"/>
    <w:rsid w:val="00E35ABC"/>
    <w:rsid w:val="00E35DA0"/>
    <w:rsid w:val="00E35DEB"/>
    <w:rsid w:val="00E36A2B"/>
    <w:rsid w:val="00E36C9E"/>
    <w:rsid w:val="00E36CA3"/>
    <w:rsid w:val="00E37311"/>
    <w:rsid w:val="00E40261"/>
    <w:rsid w:val="00E404B5"/>
    <w:rsid w:val="00E40989"/>
    <w:rsid w:val="00E409B1"/>
    <w:rsid w:val="00E40E38"/>
    <w:rsid w:val="00E4123F"/>
    <w:rsid w:val="00E41366"/>
    <w:rsid w:val="00E41629"/>
    <w:rsid w:val="00E41B94"/>
    <w:rsid w:val="00E41EAA"/>
    <w:rsid w:val="00E423A8"/>
    <w:rsid w:val="00E42C09"/>
    <w:rsid w:val="00E42DB8"/>
    <w:rsid w:val="00E42F01"/>
    <w:rsid w:val="00E435DE"/>
    <w:rsid w:val="00E43C8B"/>
    <w:rsid w:val="00E43DA0"/>
    <w:rsid w:val="00E43F8B"/>
    <w:rsid w:val="00E4405E"/>
    <w:rsid w:val="00E44327"/>
    <w:rsid w:val="00E44522"/>
    <w:rsid w:val="00E446D1"/>
    <w:rsid w:val="00E448C7"/>
    <w:rsid w:val="00E44B71"/>
    <w:rsid w:val="00E44CC0"/>
    <w:rsid w:val="00E45377"/>
    <w:rsid w:val="00E45B84"/>
    <w:rsid w:val="00E45B9B"/>
    <w:rsid w:val="00E4636C"/>
    <w:rsid w:val="00E4655E"/>
    <w:rsid w:val="00E468E2"/>
    <w:rsid w:val="00E4754F"/>
    <w:rsid w:val="00E4755B"/>
    <w:rsid w:val="00E47620"/>
    <w:rsid w:val="00E47679"/>
    <w:rsid w:val="00E477AE"/>
    <w:rsid w:val="00E47834"/>
    <w:rsid w:val="00E4797D"/>
    <w:rsid w:val="00E50BFE"/>
    <w:rsid w:val="00E50EBF"/>
    <w:rsid w:val="00E510DC"/>
    <w:rsid w:val="00E51AF9"/>
    <w:rsid w:val="00E5281E"/>
    <w:rsid w:val="00E529B4"/>
    <w:rsid w:val="00E52EE6"/>
    <w:rsid w:val="00E52F37"/>
    <w:rsid w:val="00E52F4E"/>
    <w:rsid w:val="00E5309E"/>
    <w:rsid w:val="00E533AF"/>
    <w:rsid w:val="00E5369F"/>
    <w:rsid w:val="00E53BD6"/>
    <w:rsid w:val="00E53D59"/>
    <w:rsid w:val="00E54F8B"/>
    <w:rsid w:val="00E55100"/>
    <w:rsid w:val="00E55517"/>
    <w:rsid w:val="00E55A7E"/>
    <w:rsid w:val="00E55F49"/>
    <w:rsid w:val="00E56203"/>
    <w:rsid w:val="00E5647A"/>
    <w:rsid w:val="00E5676E"/>
    <w:rsid w:val="00E568AE"/>
    <w:rsid w:val="00E56F71"/>
    <w:rsid w:val="00E56FE2"/>
    <w:rsid w:val="00E57194"/>
    <w:rsid w:val="00E5748C"/>
    <w:rsid w:val="00E574B1"/>
    <w:rsid w:val="00E576F1"/>
    <w:rsid w:val="00E57717"/>
    <w:rsid w:val="00E57B0F"/>
    <w:rsid w:val="00E57ECF"/>
    <w:rsid w:val="00E60AB6"/>
    <w:rsid w:val="00E60FBB"/>
    <w:rsid w:val="00E613D4"/>
    <w:rsid w:val="00E61437"/>
    <w:rsid w:val="00E61F2E"/>
    <w:rsid w:val="00E6211D"/>
    <w:rsid w:val="00E6212D"/>
    <w:rsid w:val="00E62B85"/>
    <w:rsid w:val="00E62F86"/>
    <w:rsid w:val="00E63012"/>
    <w:rsid w:val="00E63166"/>
    <w:rsid w:val="00E63648"/>
    <w:rsid w:val="00E636FF"/>
    <w:rsid w:val="00E63C11"/>
    <w:rsid w:val="00E64074"/>
    <w:rsid w:val="00E6457D"/>
    <w:rsid w:val="00E64700"/>
    <w:rsid w:val="00E64809"/>
    <w:rsid w:val="00E64AB3"/>
    <w:rsid w:val="00E64C3F"/>
    <w:rsid w:val="00E64ECB"/>
    <w:rsid w:val="00E65437"/>
    <w:rsid w:val="00E65791"/>
    <w:rsid w:val="00E65919"/>
    <w:rsid w:val="00E659C0"/>
    <w:rsid w:val="00E66057"/>
    <w:rsid w:val="00E66758"/>
    <w:rsid w:val="00E66886"/>
    <w:rsid w:val="00E675D2"/>
    <w:rsid w:val="00E6769D"/>
    <w:rsid w:val="00E6789C"/>
    <w:rsid w:val="00E67CBA"/>
    <w:rsid w:val="00E706B3"/>
    <w:rsid w:val="00E70721"/>
    <w:rsid w:val="00E709F3"/>
    <w:rsid w:val="00E70E1C"/>
    <w:rsid w:val="00E70FE2"/>
    <w:rsid w:val="00E731B5"/>
    <w:rsid w:val="00E74490"/>
    <w:rsid w:val="00E752CA"/>
    <w:rsid w:val="00E75347"/>
    <w:rsid w:val="00E75806"/>
    <w:rsid w:val="00E759C8"/>
    <w:rsid w:val="00E75BA7"/>
    <w:rsid w:val="00E7605C"/>
    <w:rsid w:val="00E7654A"/>
    <w:rsid w:val="00E76737"/>
    <w:rsid w:val="00E77330"/>
    <w:rsid w:val="00E77409"/>
    <w:rsid w:val="00E77532"/>
    <w:rsid w:val="00E77CE7"/>
    <w:rsid w:val="00E8052D"/>
    <w:rsid w:val="00E80A29"/>
    <w:rsid w:val="00E80E15"/>
    <w:rsid w:val="00E81056"/>
    <w:rsid w:val="00E81C1F"/>
    <w:rsid w:val="00E8287C"/>
    <w:rsid w:val="00E829FF"/>
    <w:rsid w:val="00E8323B"/>
    <w:rsid w:val="00E833D8"/>
    <w:rsid w:val="00E833E5"/>
    <w:rsid w:val="00E834BB"/>
    <w:rsid w:val="00E83D2B"/>
    <w:rsid w:val="00E83D82"/>
    <w:rsid w:val="00E841FA"/>
    <w:rsid w:val="00E84247"/>
    <w:rsid w:val="00E84536"/>
    <w:rsid w:val="00E84769"/>
    <w:rsid w:val="00E84E90"/>
    <w:rsid w:val="00E85386"/>
    <w:rsid w:val="00E853CB"/>
    <w:rsid w:val="00E855A2"/>
    <w:rsid w:val="00E85C6C"/>
    <w:rsid w:val="00E85DDE"/>
    <w:rsid w:val="00E85FF7"/>
    <w:rsid w:val="00E8641F"/>
    <w:rsid w:val="00E8699C"/>
    <w:rsid w:val="00E86A1A"/>
    <w:rsid w:val="00E86C00"/>
    <w:rsid w:val="00E86E26"/>
    <w:rsid w:val="00E87102"/>
    <w:rsid w:val="00E878D2"/>
    <w:rsid w:val="00E879EE"/>
    <w:rsid w:val="00E87BFF"/>
    <w:rsid w:val="00E87D56"/>
    <w:rsid w:val="00E900D3"/>
    <w:rsid w:val="00E9030C"/>
    <w:rsid w:val="00E90438"/>
    <w:rsid w:val="00E906CD"/>
    <w:rsid w:val="00E90939"/>
    <w:rsid w:val="00E91368"/>
    <w:rsid w:val="00E922A6"/>
    <w:rsid w:val="00E92FBF"/>
    <w:rsid w:val="00E9319C"/>
    <w:rsid w:val="00E937E6"/>
    <w:rsid w:val="00E9395D"/>
    <w:rsid w:val="00E93EEC"/>
    <w:rsid w:val="00E940D3"/>
    <w:rsid w:val="00E94118"/>
    <w:rsid w:val="00E94515"/>
    <w:rsid w:val="00E948C3"/>
    <w:rsid w:val="00E9504C"/>
    <w:rsid w:val="00E95A1F"/>
    <w:rsid w:val="00E95AEB"/>
    <w:rsid w:val="00E95B79"/>
    <w:rsid w:val="00E96232"/>
    <w:rsid w:val="00E9649C"/>
    <w:rsid w:val="00E96618"/>
    <w:rsid w:val="00E9669D"/>
    <w:rsid w:val="00E966B9"/>
    <w:rsid w:val="00E96B88"/>
    <w:rsid w:val="00E96EB1"/>
    <w:rsid w:val="00E96F0E"/>
    <w:rsid w:val="00E96FAE"/>
    <w:rsid w:val="00E970EA"/>
    <w:rsid w:val="00E97752"/>
    <w:rsid w:val="00E97B47"/>
    <w:rsid w:val="00E97BB9"/>
    <w:rsid w:val="00E97C81"/>
    <w:rsid w:val="00E97CDE"/>
    <w:rsid w:val="00EA0071"/>
    <w:rsid w:val="00EA03B8"/>
    <w:rsid w:val="00EA03FD"/>
    <w:rsid w:val="00EA0826"/>
    <w:rsid w:val="00EA0CC4"/>
    <w:rsid w:val="00EA0F26"/>
    <w:rsid w:val="00EA0F43"/>
    <w:rsid w:val="00EA181C"/>
    <w:rsid w:val="00EA1827"/>
    <w:rsid w:val="00EA1A8F"/>
    <w:rsid w:val="00EA1B06"/>
    <w:rsid w:val="00EA2DC5"/>
    <w:rsid w:val="00EA2E4F"/>
    <w:rsid w:val="00EA2EE2"/>
    <w:rsid w:val="00EA333E"/>
    <w:rsid w:val="00EA34BC"/>
    <w:rsid w:val="00EA3870"/>
    <w:rsid w:val="00EA3B03"/>
    <w:rsid w:val="00EA3B86"/>
    <w:rsid w:val="00EA3FF3"/>
    <w:rsid w:val="00EA4116"/>
    <w:rsid w:val="00EA4221"/>
    <w:rsid w:val="00EA47D2"/>
    <w:rsid w:val="00EA48B5"/>
    <w:rsid w:val="00EA551D"/>
    <w:rsid w:val="00EA5E77"/>
    <w:rsid w:val="00EA64A6"/>
    <w:rsid w:val="00EA6872"/>
    <w:rsid w:val="00EA6BF1"/>
    <w:rsid w:val="00EA6CFD"/>
    <w:rsid w:val="00EA6DC4"/>
    <w:rsid w:val="00EA70F8"/>
    <w:rsid w:val="00EA7324"/>
    <w:rsid w:val="00EA76F1"/>
    <w:rsid w:val="00EA771A"/>
    <w:rsid w:val="00EA78CF"/>
    <w:rsid w:val="00EA79C1"/>
    <w:rsid w:val="00EA7F07"/>
    <w:rsid w:val="00EA7F1C"/>
    <w:rsid w:val="00EB0067"/>
    <w:rsid w:val="00EB05D4"/>
    <w:rsid w:val="00EB0B2F"/>
    <w:rsid w:val="00EB0F45"/>
    <w:rsid w:val="00EB107A"/>
    <w:rsid w:val="00EB108F"/>
    <w:rsid w:val="00EB120B"/>
    <w:rsid w:val="00EB1D9A"/>
    <w:rsid w:val="00EB1F7A"/>
    <w:rsid w:val="00EB2518"/>
    <w:rsid w:val="00EB251B"/>
    <w:rsid w:val="00EB2853"/>
    <w:rsid w:val="00EB2BA3"/>
    <w:rsid w:val="00EB2C89"/>
    <w:rsid w:val="00EB2DAC"/>
    <w:rsid w:val="00EB3220"/>
    <w:rsid w:val="00EB33E1"/>
    <w:rsid w:val="00EB369B"/>
    <w:rsid w:val="00EB39E3"/>
    <w:rsid w:val="00EB4261"/>
    <w:rsid w:val="00EB4D5C"/>
    <w:rsid w:val="00EB51D9"/>
    <w:rsid w:val="00EB548B"/>
    <w:rsid w:val="00EB5A21"/>
    <w:rsid w:val="00EB5F3E"/>
    <w:rsid w:val="00EB67F7"/>
    <w:rsid w:val="00EB68AA"/>
    <w:rsid w:val="00EB6CC5"/>
    <w:rsid w:val="00EB6D4A"/>
    <w:rsid w:val="00EB70B7"/>
    <w:rsid w:val="00EB710F"/>
    <w:rsid w:val="00EB7260"/>
    <w:rsid w:val="00EB73A7"/>
    <w:rsid w:val="00EB7419"/>
    <w:rsid w:val="00EB7474"/>
    <w:rsid w:val="00EB7AD8"/>
    <w:rsid w:val="00EB7BF6"/>
    <w:rsid w:val="00EB7D90"/>
    <w:rsid w:val="00EC00DE"/>
    <w:rsid w:val="00EC059F"/>
    <w:rsid w:val="00EC0992"/>
    <w:rsid w:val="00EC09D0"/>
    <w:rsid w:val="00EC0A2A"/>
    <w:rsid w:val="00EC0AB4"/>
    <w:rsid w:val="00EC0CFC"/>
    <w:rsid w:val="00EC0DC9"/>
    <w:rsid w:val="00EC0EDF"/>
    <w:rsid w:val="00EC1C0E"/>
    <w:rsid w:val="00EC202F"/>
    <w:rsid w:val="00EC20AA"/>
    <w:rsid w:val="00EC21BC"/>
    <w:rsid w:val="00EC2364"/>
    <w:rsid w:val="00EC246D"/>
    <w:rsid w:val="00EC252B"/>
    <w:rsid w:val="00EC26C3"/>
    <w:rsid w:val="00EC2778"/>
    <w:rsid w:val="00EC344F"/>
    <w:rsid w:val="00EC383A"/>
    <w:rsid w:val="00EC3914"/>
    <w:rsid w:val="00EC3AD1"/>
    <w:rsid w:val="00EC400B"/>
    <w:rsid w:val="00EC41B7"/>
    <w:rsid w:val="00EC4231"/>
    <w:rsid w:val="00EC44B9"/>
    <w:rsid w:val="00EC4928"/>
    <w:rsid w:val="00EC5682"/>
    <w:rsid w:val="00EC5931"/>
    <w:rsid w:val="00EC608D"/>
    <w:rsid w:val="00EC61CE"/>
    <w:rsid w:val="00EC62D1"/>
    <w:rsid w:val="00EC682B"/>
    <w:rsid w:val="00EC69EF"/>
    <w:rsid w:val="00EC6DAD"/>
    <w:rsid w:val="00EC730D"/>
    <w:rsid w:val="00EC73EF"/>
    <w:rsid w:val="00EC7481"/>
    <w:rsid w:val="00EC7636"/>
    <w:rsid w:val="00EC7648"/>
    <w:rsid w:val="00ED0002"/>
    <w:rsid w:val="00ED020E"/>
    <w:rsid w:val="00ED07ED"/>
    <w:rsid w:val="00ED09D6"/>
    <w:rsid w:val="00ED0A3E"/>
    <w:rsid w:val="00ED0C4A"/>
    <w:rsid w:val="00ED0FB9"/>
    <w:rsid w:val="00ED132E"/>
    <w:rsid w:val="00ED13AD"/>
    <w:rsid w:val="00ED16F8"/>
    <w:rsid w:val="00ED1740"/>
    <w:rsid w:val="00ED1DDA"/>
    <w:rsid w:val="00ED1F7E"/>
    <w:rsid w:val="00ED2237"/>
    <w:rsid w:val="00ED2689"/>
    <w:rsid w:val="00ED26C0"/>
    <w:rsid w:val="00ED2CBA"/>
    <w:rsid w:val="00ED2D34"/>
    <w:rsid w:val="00ED2E1E"/>
    <w:rsid w:val="00ED3926"/>
    <w:rsid w:val="00ED3B7C"/>
    <w:rsid w:val="00ED3C3F"/>
    <w:rsid w:val="00ED48F3"/>
    <w:rsid w:val="00ED4CB3"/>
    <w:rsid w:val="00ED52B8"/>
    <w:rsid w:val="00ED5344"/>
    <w:rsid w:val="00ED535A"/>
    <w:rsid w:val="00ED55EB"/>
    <w:rsid w:val="00ED5701"/>
    <w:rsid w:val="00ED5875"/>
    <w:rsid w:val="00ED5B9B"/>
    <w:rsid w:val="00ED5BCD"/>
    <w:rsid w:val="00ED5C5E"/>
    <w:rsid w:val="00ED6236"/>
    <w:rsid w:val="00ED6929"/>
    <w:rsid w:val="00ED6A9D"/>
    <w:rsid w:val="00ED6E9C"/>
    <w:rsid w:val="00ED70AD"/>
    <w:rsid w:val="00ED7194"/>
    <w:rsid w:val="00ED723B"/>
    <w:rsid w:val="00ED7242"/>
    <w:rsid w:val="00ED7924"/>
    <w:rsid w:val="00ED7A44"/>
    <w:rsid w:val="00ED7FE2"/>
    <w:rsid w:val="00EE021C"/>
    <w:rsid w:val="00EE02F9"/>
    <w:rsid w:val="00EE0543"/>
    <w:rsid w:val="00EE05C6"/>
    <w:rsid w:val="00EE05E7"/>
    <w:rsid w:val="00EE0670"/>
    <w:rsid w:val="00EE0BBF"/>
    <w:rsid w:val="00EE1621"/>
    <w:rsid w:val="00EE1688"/>
    <w:rsid w:val="00EE16BC"/>
    <w:rsid w:val="00EE1A45"/>
    <w:rsid w:val="00EE1B0E"/>
    <w:rsid w:val="00EE1BEC"/>
    <w:rsid w:val="00EE28D4"/>
    <w:rsid w:val="00EE3431"/>
    <w:rsid w:val="00EE364E"/>
    <w:rsid w:val="00EE4975"/>
    <w:rsid w:val="00EE4F76"/>
    <w:rsid w:val="00EE524A"/>
    <w:rsid w:val="00EE55FD"/>
    <w:rsid w:val="00EE5AB5"/>
    <w:rsid w:val="00EE60DD"/>
    <w:rsid w:val="00EE6BCA"/>
    <w:rsid w:val="00EE72AB"/>
    <w:rsid w:val="00EE7D0E"/>
    <w:rsid w:val="00EE7D80"/>
    <w:rsid w:val="00EF0000"/>
    <w:rsid w:val="00EF0476"/>
    <w:rsid w:val="00EF0586"/>
    <w:rsid w:val="00EF05BD"/>
    <w:rsid w:val="00EF0934"/>
    <w:rsid w:val="00EF0D5B"/>
    <w:rsid w:val="00EF0E25"/>
    <w:rsid w:val="00EF1054"/>
    <w:rsid w:val="00EF178D"/>
    <w:rsid w:val="00EF1892"/>
    <w:rsid w:val="00EF1CA6"/>
    <w:rsid w:val="00EF1E7F"/>
    <w:rsid w:val="00EF1F00"/>
    <w:rsid w:val="00EF21C5"/>
    <w:rsid w:val="00EF2698"/>
    <w:rsid w:val="00EF26A3"/>
    <w:rsid w:val="00EF361F"/>
    <w:rsid w:val="00EF3DED"/>
    <w:rsid w:val="00EF3F69"/>
    <w:rsid w:val="00EF3FE7"/>
    <w:rsid w:val="00EF42DB"/>
    <w:rsid w:val="00EF496F"/>
    <w:rsid w:val="00EF49A6"/>
    <w:rsid w:val="00EF49BE"/>
    <w:rsid w:val="00EF4B23"/>
    <w:rsid w:val="00EF4D40"/>
    <w:rsid w:val="00EF5144"/>
    <w:rsid w:val="00EF52EA"/>
    <w:rsid w:val="00EF5658"/>
    <w:rsid w:val="00EF59CD"/>
    <w:rsid w:val="00EF5A12"/>
    <w:rsid w:val="00EF5D1D"/>
    <w:rsid w:val="00EF5E74"/>
    <w:rsid w:val="00EF5EE9"/>
    <w:rsid w:val="00EF6323"/>
    <w:rsid w:val="00EF63E7"/>
    <w:rsid w:val="00EF73B9"/>
    <w:rsid w:val="00EF75A3"/>
    <w:rsid w:val="00EF7F61"/>
    <w:rsid w:val="00F00062"/>
    <w:rsid w:val="00F00506"/>
    <w:rsid w:val="00F00A88"/>
    <w:rsid w:val="00F00F13"/>
    <w:rsid w:val="00F00F24"/>
    <w:rsid w:val="00F00F6B"/>
    <w:rsid w:val="00F01DA2"/>
    <w:rsid w:val="00F01E89"/>
    <w:rsid w:val="00F01F67"/>
    <w:rsid w:val="00F0206F"/>
    <w:rsid w:val="00F0239F"/>
    <w:rsid w:val="00F02686"/>
    <w:rsid w:val="00F02C4D"/>
    <w:rsid w:val="00F03633"/>
    <w:rsid w:val="00F037DB"/>
    <w:rsid w:val="00F038B0"/>
    <w:rsid w:val="00F04206"/>
    <w:rsid w:val="00F04350"/>
    <w:rsid w:val="00F04B7B"/>
    <w:rsid w:val="00F04BEE"/>
    <w:rsid w:val="00F04DF0"/>
    <w:rsid w:val="00F05275"/>
    <w:rsid w:val="00F05342"/>
    <w:rsid w:val="00F05B1B"/>
    <w:rsid w:val="00F05FF6"/>
    <w:rsid w:val="00F06DC8"/>
    <w:rsid w:val="00F072FC"/>
    <w:rsid w:val="00F07471"/>
    <w:rsid w:val="00F076BE"/>
    <w:rsid w:val="00F07EF6"/>
    <w:rsid w:val="00F07F00"/>
    <w:rsid w:val="00F10545"/>
    <w:rsid w:val="00F10834"/>
    <w:rsid w:val="00F10A5F"/>
    <w:rsid w:val="00F10B95"/>
    <w:rsid w:val="00F10DDE"/>
    <w:rsid w:val="00F10E08"/>
    <w:rsid w:val="00F12032"/>
    <w:rsid w:val="00F125F3"/>
    <w:rsid w:val="00F1263C"/>
    <w:rsid w:val="00F129CE"/>
    <w:rsid w:val="00F12FD3"/>
    <w:rsid w:val="00F13529"/>
    <w:rsid w:val="00F13A7D"/>
    <w:rsid w:val="00F13D4F"/>
    <w:rsid w:val="00F13EB5"/>
    <w:rsid w:val="00F14FA7"/>
    <w:rsid w:val="00F15900"/>
    <w:rsid w:val="00F16B0F"/>
    <w:rsid w:val="00F16D36"/>
    <w:rsid w:val="00F175CA"/>
    <w:rsid w:val="00F17BAD"/>
    <w:rsid w:val="00F17FC0"/>
    <w:rsid w:val="00F20014"/>
    <w:rsid w:val="00F2082C"/>
    <w:rsid w:val="00F20CD4"/>
    <w:rsid w:val="00F20F6F"/>
    <w:rsid w:val="00F21193"/>
    <w:rsid w:val="00F215C0"/>
    <w:rsid w:val="00F21BFB"/>
    <w:rsid w:val="00F21D68"/>
    <w:rsid w:val="00F21EB2"/>
    <w:rsid w:val="00F21F90"/>
    <w:rsid w:val="00F220D6"/>
    <w:rsid w:val="00F22361"/>
    <w:rsid w:val="00F227A8"/>
    <w:rsid w:val="00F22849"/>
    <w:rsid w:val="00F228A8"/>
    <w:rsid w:val="00F22A4B"/>
    <w:rsid w:val="00F22F2A"/>
    <w:rsid w:val="00F23256"/>
    <w:rsid w:val="00F2326E"/>
    <w:rsid w:val="00F23A20"/>
    <w:rsid w:val="00F23B8C"/>
    <w:rsid w:val="00F23BF2"/>
    <w:rsid w:val="00F24312"/>
    <w:rsid w:val="00F24997"/>
    <w:rsid w:val="00F24C77"/>
    <w:rsid w:val="00F24D99"/>
    <w:rsid w:val="00F25755"/>
    <w:rsid w:val="00F259E0"/>
    <w:rsid w:val="00F25D08"/>
    <w:rsid w:val="00F25E4F"/>
    <w:rsid w:val="00F26770"/>
    <w:rsid w:val="00F2704E"/>
    <w:rsid w:val="00F27BB9"/>
    <w:rsid w:val="00F27E56"/>
    <w:rsid w:val="00F27F6E"/>
    <w:rsid w:val="00F27F97"/>
    <w:rsid w:val="00F30786"/>
    <w:rsid w:val="00F30BCB"/>
    <w:rsid w:val="00F30C65"/>
    <w:rsid w:val="00F30C6C"/>
    <w:rsid w:val="00F311E0"/>
    <w:rsid w:val="00F31627"/>
    <w:rsid w:val="00F31D2D"/>
    <w:rsid w:val="00F322FC"/>
    <w:rsid w:val="00F326B5"/>
    <w:rsid w:val="00F32B0D"/>
    <w:rsid w:val="00F32C89"/>
    <w:rsid w:val="00F33078"/>
    <w:rsid w:val="00F33139"/>
    <w:rsid w:val="00F332F0"/>
    <w:rsid w:val="00F33495"/>
    <w:rsid w:val="00F338B8"/>
    <w:rsid w:val="00F33D9B"/>
    <w:rsid w:val="00F33DAF"/>
    <w:rsid w:val="00F34193"/>
    <w:rsid w:val="00F345FA"/>
    <w:rsid w:val="00F34926"/>
    <w:rsid w:val="00F34D66"/>
    <w:rsid w:val="00F34F34"/>
    <w:rsid w:val="00F3504E"/>
    <w:rsid w:val="00F35075"/>
    <w:rsid w:val="00F3531D"/>
    <w:rsid w:val="00F358EC"/>
    <w:rsid w:val="00F35931"/>
    <w:rsid w:val="00F35AD5"/>
    <w:rsid w:val="00F35E2A"/>
    <w:rsid w:val="00F35F07"/>
    <w:rsid w:val="00F36252"/>
    <w:rsid w:val="00F36386"/>
    <w:rsid w:val="00F3644C"/>
    <w:rsid w:val="00F365F7"/>
    <w:rsid w:val="00F3697D"/>
    <w:rsid w:val="00F37332"/>
    <w:rsid w:val="00F3759A"/>
    <w:rsid w:val="00F37E94"/>
    <w:rsid w:val="00F37EF3"/>
    <w:rsid w:val="00F40516"/>
    <w:rsid w:val="00F40B42"/>
    <w:rsid w:val="00F40C1A"/>
    <w:rsid w:val="00F412AB"/>
    <w:rsid w:val="00F4140D"/>
    <w:rsid w:val="00F4182E"/>
    <w:rsid w:val="00F41D0B"/>
    <w:rsid w:val="00F41E4B"/>
    <w:rsid w:val="00F41FEE"/>
    <w:rsid w:val="00F42563"/>
    <w:rsid w:val="00F4257F"/>
    <w:rsid w:val="00F42EF9"/>
    <w:rsid w:val="00F42F00"/>
    <w:rsid w:val="00F42FF6"/>
    <w:rsid w:val="00F43927"/>
    <w:rsid w:val="00F43A5D"/>
    <w:rsid w:val="00F43F45"/>
    <w:rsid w:val="00F4444C"/>
    <w:rsid w:val="00F44795"/>
    <w:rsid w:val="00F44B49"/>
    <w:rsid w:val="00F44FCA"/>
    <w:rsid w:val="00F4608D"/>
    <w:rsid w:val="00F460DC"/>
    <w:rsid w:val="00F46A88"/>
    <w:rsid w:val="00F470A5"/>
    <w:rsid w:val="00F47400"/>
    <w:rsid w:val="00F477E3"/>
    <w:rsid w:val="00F479BA"/>
    <w:rsid w:val="00F47E0D"/>
    <w:rsid w:val="00F504C9"/>
    <w:rsid w:val="00F5063A"/>
    <w:rsid w:val="00F5068B"/>
    <w:rsid w:val="00F506EC"/>
    <w:rsid w:val="00F50C92"/>
    <w:rsid w:val="00F50CE9"/>
    <w:rsid w:val="00F51196"/>
    <w:rsid w:val="00F51AA9"/>
    <w:rsid w:val="00F51F93"/>
    <w:rsid w:val="00F525D5"/>
    <w:rsid w:val="00F52962"/>
    <w:rsid w:val="00F5372C"/>
    <w:rsid w:val="00F53DCE"/>
    <w:rsid w:val="00F542A1"/>
    <w:rsid w:val="00F545A1"/>
    <w:rsid w:val="00F54A5C"/>
    <w:rsid w:val="00F54ACA"/>
    <w:rsid w:val="00F54DB2"/>
    <w:rsid w:val="00F55030"/>
    <w:rsid w:val="00F5503E"/>
    <w:rsid w:val="00F55A6E"/>
    <w:rsid w:val="00F55AB7"/>
    <w:rsid w:val="00F55D4B"/>
    <w:rsid w:val="00F56619"/>
    <w:rsid w:val="00F56912"/>
    <w:rsid w:val="00F572B0"/>
    <w:rsid w:val="00F5766E"/>
    <w:rsid w:val="00F57A9C"/>
    <w:rsid w:val="00F57ADC"/>
    <w:rsid w:val="00F57F49"/>
    <w:rsid w:val="00F60F46"/>
    <w:rsid w:val="00F61F76"/>
    <w:rsid w:val="00F6216B"/>
    <w:rsid w:val="00F623BD"/>
    <w:rsid w:val="00F62B94"/>
    <w:rsid w:val="00F62FD7"/>
    <w:rsid w:val="00F64288"/>
    <w:rsid w:val="00F6460D"/>
    <w:rsid w:val="00F64867"/>
    <w:rsid w:val="00F64985"/>
    <w:rsid w:val="00F64C6B"/>
    <w:rsid w:val="00F64CC9"/>
    <w:rsid w:val="00F64E6B"/>
    <w:rsid w:val="00F64EDB"/>
    <w:rsid w:val="00F65467"/>
    <w:rsid w:val="00F6577F"/>
    <w:rsid w:val="00F657A3"/>
    <w:rsid w:val="00F658F8"/>
    <w:rsid w:val="00F659A8"/>
    <w:rsid w:val="00F659E4"/>
    <w:rsid w:val="00F65B24"/>
    <w:rsid w:val="00F65C84"/>
    <w:rsid w:val="00F6603D"/>
    <w:rsid w:val="00F66158"/>
    <w:rsid w:val="00F661E8"/>
    <w:rsid w:val="00F663FA"/>
    <w:rsid w:val="00F6642F"/>
    <w:rsid w:val="00F66448"/>
    <w:rsid w:val="00F66896"/>
    <w:rsid w:val="00F701F8"/>
    <w:rsid w:val="00F708D7"/>
    <w:rsid w:val="00F71478"/>
    <w:rsid w:val="00F7196A"/>
    <w:rsid w:val="00F71EFA"/>
    <w:rsid w:val="00F7241C"/>
    <w:rsid w:val="00F7260A"/>
    <w:rsid w:val="00F72ABF"/>
    <w:rsid w:val="00F72C92"/>
    <w:rsid w:val="00F7354B"/>
    <w:rsid w:val="00F73663"/>
    <w:rsid w:val="00F73767"/>
    <w:rsid w:val="00F73A38"/>
    <w:rsid w:val="00F73AD7"/>
    <w:rsid w:val="00F73F9B"/>
    <w:rsid w:val="00F7412A"/>
    <w:rsid w:val="00F743CA"/>
    <w:rsid w:val="00F7446A"/>
    <w:rsid w:val="00F74786"/>
    <w:rsid w:val="00F749B0"/>
    <w:rsid w:val="00F749B6"/>
    <w:rsid w:val="00F751CD"/>
    <w:rsid w:val="00F755FC"/>
    <w:rsid w:val="00F75C19"/>
    <w:rsid w:val="00F766DF"/>
    <w:rsid w:val="00F77190"/>
    <w:rsid w:val="00F773D9"/>
    <w:rsid w:val="00F77D7F"/>
    <w:rsid w:val="00F77F5D"/>
    <w:rsid w:val="00F77FCA"/>
    <w:rsid w:val="00F8003A"/>
    <w:rsid w:val="00F802F8"/>
    <w:rsid w:val="00F80721"/>
    <w:rsid w:val="00F807CE"/>
    <w:rsid w:val="00F8170A"/>
    <w:rsid w:val="00F8179A"/>
    <w:rsid w:val="00F819C3"/>
    <w:rsid w:val="00F821DD"/>
    <w:rsid w:val="00F82657"/>
    <w:rsid w:val="00F828CC"/>
    <w:rsid w:val="00F82DFE"/>
    <w:rsid w:val="00F82F4D"/>
    <w:rsid w:val="00F83F08"/>
    <w:rsid w:val="00F84212"/>
    <w:rsid w:val="00F842CE"/>
    <w:rsid w:val="00F84711"/>
    <w:rsid w:val="00F84EA1"/>
    <w:rsid w:val="00F84F28"/>
    <w:rsid w:val="00F84FDC"/>
    <w:rsid w:val="00F8515B"/>
    <w:rsid w:val="00F8518D"/>
    <w:rsid w:val="00F853AE"/>
    <w:rsid w:val="00F85581"/>
    <w:rsid w:val="00F85C4F"/>
    <w:rsid w:val="00F85C5D"/>
    <w:rsid w:val="00F85EE6"/>
    <w:rsid w:val="00F865EB"/>
    <w:rsid w:val="00F86939"/>
    <w:rsid w:val="00F86ABF"/>
    <w:rsid w:val="00F87412"/>
    <w:rsid w:val="00F87489"/>
    <w:rsid w:val="00F87BEB"/>
    <w:rsid w:val="00F87BFE"/>
    <w:rsid w:val="00F902FB"/>
    <w:rsid w:val="00F90783"/>
    <w:rsid w:val="00F90D07"/>
    <w:rsid w:val="00F91614"/>
    <w:rsid w:val="00F91716"/>
    <w:rsid w:val="00F919F1"/>
    <w:rsid w:val="00F91A8E"/>
    <w:rsid w:val="00F91D60"/>
    <w:rsid w:val="00F91DA5"/>
    <w:rsid w:val="00F9203D"/>
    <w:rsid w:val="00F9221D"/>
    <w:rsid w:val="00F926C5"/>
    <w:rsid w:val="00F9270C"/>
    <w:rsid w:val="00F92E58"/>
    <w:rsid w:val="00F93555"/>
    <w:rsid w:val="00F93690"/>
    <w:rsid w:val="00F94419"/>
    <w:rsid w:val="00F94A66"/>
    <w:rsid w:val="00F94D92"/>
    <w:rsid w:val="00F95188"/>
    <w:rsid w:val="00F9538B"/>
    <w:rsid w:val="00F9576E"/>
    <w:rsid w:val="00F959CD"/>
    <w:rsid w:val="00F95BDA"/>
    <w:rsid w:val="00F9646E"/>
    <w:rsid w:val="00F9685A"/>
    <w:rsid w:val="00F96C6D"/>
    <w:rsid w:val="00F96D91"/>
    <w:rsid w:val="00F979DF"/>
    <w:rsid w:val="00F97C8B"/>
    <w:rsid w:val="00F97CE9"/>
    <w:rsid w:val="00FA02C3"/>
    <w:rsid w:val="00FA0308"/>
    <w:rsid w:val="00FA0376"/>
    <w:rsid w:val="00FA046A"/>
    <w:rsid w:val="00FA06D4"/>
    <w:rsid w:val="00FA0995"/>
    <w:rsid w:val="00FA0DA5"/>
    <w:rsid w:val="00FA10DA"/>
    <w:rsid w:val="00FA1812"/>
    <w:rsid w:val="00FA18D0"/>
    <w:rsid w:val="00FA18E0"/>
    <w:rsid w:val="00FA2436"/>
    <w:rsid w:val="00FA261A"/>
    <w:rsid w:val="00FA2950"/>
    <w:rsid w:val="00FA2E08"/>
    <w:rsid w:val="00FA2F99"/>
    <w:rsid w:val="00FA3023"/>
    <w:rsid w:val="00FA3421"/>
    <w:rsid w:val="00FA39DD"/>
    <w:rsid w:val="00FA3DC5"/>
    <w:rsid w:val="00FA401E"/>
    <w:rsid w:val="00FA4034"/>
    <w:rsid w:val="00FA4E0A"/>
    <w:rsid w:val="00FA5DCE"/>
    <w:rsid w:val="00FA5F9C"/>
    <w:rsid w:val="00FA5FB1"/>
    <w:rsid w:val="00FA625E"/>
    <w:rsid w:val="00FA64FB"/>
    <w:rsid w:val="00FA65A1"/>
    <w:rsid w:val="00FA65DE"/>
    <w:rsid w:val="00FA69BE"/>
    <w:rsid w:val="00FA6BD5"/>
    <w:rsid w:val="00FA6C74"/>
    <w:rsid w:val="00FA6E91"/>
    <w:rsid w:val="00FA6F88"/>
    <w:rsid w:val="00FA70EF"/>
    <w:rsid w:val="00FA758E"/>
    <w:rsid w:val="00FA7A78"/>
    <w:rsid w:val="00FA7B19"/>
    <w:rsid w:val="00FA7D9E"/>
    <w:rsid w:val="00FA7E37"/>
    <w:rsid w:val="00FB00BF"/>
    <w:rsid w:val="00FB02F8"/>
    <w:rsid w:val="00FB0719"/>
    <w:rsid w:val="00FB07F1"/>
    <w:rsid w:val="00FB085A"/>
    <w:rsid w:val="00FB0B61"/>
    <w:rsid w:val="00FB0D92"/>
    <w:rsid w:val="00FB13F2"/>
    <w:rsid w:val="00FB1B85"/>
    <w:rsid w:val="00FB1D6D"/>
    <w:rsid w:val="00FB24F5"/>
    <w:rsid w:val="00FB24F9"/>
    <w:rsid w:val="00FB28D1"/>
    <w:rsid w:val="00FB2BD7"/>
    <w:rsid w:val="00FB2ED5"/>
    <w:rsid w:val="00FB31AD"/>
    <w:rsid w:val="00FB3474"/>
    <w:rsid w:val="00FB35E5"/>
    <w:rsid w:val="00FB44AE"/>
    <w:rsid w:val="00FB45E1"/>
    <w:rsid w:val="00FB48DC"/>
    <w:rsid w:val="00FB4FA7"/>
    <w:rsid w:val="00FB50C6"/>
    <w:rsid w:val="00FB5C06"/>
    <w:rsid w:val="00FB6168"/>
    <w:rsid w:val="00FB6796"/>
    <w:rsid w:val="00FB6EC2"/>
    <w:rsid w:val="00FB6FC0"/>
    <w:rsid w:val="00FB6FC4"/>
    <w:rsid w:val="00FB70AA"/>
    <w:rsid w:val="00FB71F7"/>
    <w:rsid w:val="00FB73C9"/>
    <w:rsid w:val="00FB7961"/>
    <w:rsid w:val="00FB7B73"/>
    <w:rsid w:val="00FB7CAA"/>
    <w:rsid w:val="00FB7DC7"/>
    <w:rsid w:val="00FC01AC"/>
    <w:rsid w:val="00FC02D6"/>
    <w:rsid w:val="00FC0547"/>
    <w:rsid w:val="00FC0870"/>
    <w:rsid w:val="00FC0BC1"/>
    <w:rsid w:val="00FC0DB0"/>
    <w:rsid w:val="00FC1247"/>
    <w:rsid w:val="00FC1467"/>
    <w:rsid w:val="00FC1699"/>
    <w:rsid w:val="00FC20A2"/>
    <w:rsid w:val="00FC22B1"/>
    <w:rsid w:val="00FC2707"/>
    <w:rsid w:val="00FC2921"/>
    <w:rsid w:val="00FC2B83"/>
    <w:rsid w:val="00FC2D12"/>
    <w:rsid w:val="00FC3035"/>
    <w:rsid w:val="00FC3122"/>
    <w:rsid w:val="00FC332C"/>
    <w:rsid w:val="00FC3BFF"/>
    <w:rsid w:val="00FC3DC1"/>
    <w:rsid w:val="00FC5524"/>
    <w:rsid w:val="00FC5CA8"/>
    <w:rsid w:val="00FC640D"/>
    <w:rsid w:val="00FC661D"/>
    <w:rsid w:val="00FC6978"/>
    <w:rsid w:val="00FC6ADB"/>
    <w:rsid w:val="00FC6B36"/>
    <w:rsid w:val="00FC6DFE"/>
    <w:rsid w:val="00FC7662"/>
    <w:rsid w:val="00FC7CEA"/>
    <w:rsid w:val="00FD05A5"/>
    <w:rsid w:val="00FD064C"/>
    <w:rsid w:val="00FD092C"/>
    <w:rsid w:val="00FD0AB7"/>
    <w:rsid w:val="00FD0BB0"/>
    <w:rsid w:val="00FD0BE7"/>
    <w:rsid w:val="00FD0CC0"/>
    <w:rsid w:val="00FD11D2"/>
    <w:rsid w:val="00FD1B33"/>
    <w:rsid w:val="00FD1ED4"/>
    <w:rsid w:val="00FD2A07"/>
    <w:rsid w:val="00FD35F6"/>
    <w:rsid w:val="00FD3769"/>
    <w:rsid w:val="00FD394C"/>
    <w:rsid w:val="00FD3B89"/>
    <w:rsid w:val="00FD3EDB"/>
    <w:rsid w:val="00FD4117"/>
    <w:rsid w:val="00FD4242"/>
    <w:rsid w:val="00FD4643"/>
    <w:rsid w:val="00FD4B34"/>
    <w:rsid w:val="00FD4E36"/>
    <w:rsid w:val="00FD500F"/>
    <w:rsid w:val="00FD54F5"/>
    <w:rsid w:val="00FD5D1C"/>
    <w:rsid w:val="00FD5E74"/>
    <w:rsid w:val="00FD696D"/>
    <w:rsid w:val="00FD721F"/>
    <w:rsid w:val="00FD74C4"/>
    <w:rsid w:val="00FD7544"/>
    <w:rsid w:val="00FD784C"/>
    <w:rsid w:val="00FD7A2F"/>
    <w:rsid w:val="00FD7A80"/>
    <w:rsid w:val="00FD7D17"/>
    <w:rsid w:val="00FD7F5B"/>
    <w:rsid w:val="00FE03ED"/>
    <w:rsid w:val="00FE0BCA"/>
    <w:rsid w:val="00FE0F75"/>
    <w:rsid w:val="00FE1C6C"/>
    <w:rsid w:val="00FE26C4"/>
    <w:rsid w:val="00FE275F"/>
    <w:rsid w:val="00FE2EC1"/>
    <w:rsid w:val="00FE3659"/>
    <w:rsid w:val="00FE39BC"/>
    <w:rsid w:val="00FE3DD6"/>
    <w:rsid w:val="00FE45C0"/>
    <w:rsid w:val="00FE47AD"/>
    <w:rsid w:val="00FE49B8"/>
    <w:rsid w:val="00FE4E94"/>
    <w:rsid w:val="00FE5186"/>
    <w:rsid w:val="00FE57A8"/>
    <w:rsid w:val="00FE5A61"/>
    <w:rsid w:val="00FE5B08"/>
    <w:rsid w:val="00FE5DBF"/>
    <w:rsid w:val="00FE5FBD"/>
    <w:rsid w:val="00FE62F9"/>
    <w:rsid w:val="00FE64DE"/>
    <w:rsid w:val="00FE6B28"/>
    <w:rsid w:val="00FE6BB4"/>
    <w:rsid w:val="00FE6E52"/>
    <w:rsid w:val="00FE7A50"/>
    <w:rsid w:val="00FF05B0"/>
    <w:rsid w:val="00FF0933"/>
    <w:rsid w:val="00FF0E42"/>
    <w:rsid w:val="00FF1455"/>
    <w:rsid w:val="00FF280E"/>
    <w:rsid w:val="00FF294C"/>
    <w:rsid w:val="00FF2D15"/>
    <w:rsid w:val="00FF2DCA"/>
    <w:rsid w:val="00FF3586"/>
    <w:rsid w:val="00FF4076"/>
    <w:rsid w:val="00FF40BD"/>
    <w:rsid w:val="00FF4373"/>
    <w:rsid w:val="00FF4470"/>
    <w:rsid w:val="00FF67ED"/>
    <w:rsid w:val="00FF69A5"/>
    <w:rsid w:val="00FF6F4B"/>
    <w:rsid w:val="00FF7808"/>
    <w:rsid w:val="00FF7929"/>
    <w:rsid w:val="00FF7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3C4872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F20AD"/>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DF7085"/>
    <w:pPr>
      <w:tabs>
        <w:tab w:val="right" w:pos="9016"/>
      </w:tabs>
    </w:pPr>
    <w:rPr>
      <w:rFonts w:ascii="DIN OT Medium" w:hAnsi="DIN OT Medium"/>
      <w:noProof/>
    </w:rPr>
  </w:style>
  <w:style w:type="paragraph" w:styleId="TOC2">
    <w:name w:val="toc 2"/>
    <w:aliases w:val="APRA TOC 2"/>
    <w:next w:val="APRANORMAL"/>
    <w:autoRedefine/>
    <w:uiPriority w:val="39"/>
    <w:unhideWhenUsed/>
    <w:qFormat/>
    <w:rsid w:val="00D7338E"/>
    <w:pPr>
      <w:tabs>
        <w:tab w:val="left" w:pos="880"/>
        <w:tab w:val="right" w:pos="9015"/>
      </w:tabs>
      <w:spacing w:after="240" w:line="240" w:lineRule="auto"/>
      <w:ind w:left="221"/>
    </w:pPr>
    <w:rPr>
      <w:rFonts w:ascii="DIN OT Light" w:hAnsi="DIN OT Light"/>
      <w:noProof/>
      <w:lang w:val="en-GB"/>
    </w:rPr>
  </w:style>
  <w:style w:type="paragraph" w:styleId="TOC3">
    <w:name w:val="toc 3"/>
    <w:basedOn w:val="Normal"/>
    <w:next w:val="Normal"/>
    <w:autoRedefine/>
    <w:uiPriority w:val="39"/>
    <w:unhideWhenUsed/>
    <w:rsid w:val="00E5748C"/>
    <w:pPr>
      <w:tabs>
        <w:tab w:val="right" w:leader="dot" w:pos="9016"/>
      </w:tabs>
      <w:ind w:left="440"/>
    </w:pPr>
    <w:rPr>
      <w:noProof/>
    </w:rPr>
  </w:style>
  <w:style w:type="paragraph" w:styleId="TOC4">
    <w:name w:val="toc 4"/>
    <w:basedOn w:val="Normal"/>
    <w:next w:val="Normal"/>
    <w:autoRedefine/>
    <w:uiPriority w:val="39"/>
    <w:unhideWhenUsed/>
    <w:rsid w:val="006E4003"/>
    <w:pPr>
      <w:ind w:left="660"/>
    </w:pPr>
  </w:style>
  <w:style w:type="paragraph" w:styleId="FootnoteText">
    <w:name w:val="footnote text"/>
    <w:basedOn w:val="Normal"/>
    <w:link w:val="FootnoteTextChar"/>
    <w:uiPriority w:val="99"/>
    <w:unhideWhenUsed/>
    <w:rsid w:val="0024145D"/>
    <w:pPr>
      <w:spacing w:before="120" w:after="120"/>
    </w:pPr>
    <w:rPr>
      <w:rFonts w:ascii="DIN OT Light" w:hAnsi="DIN OT Light"/>
      <w:sz w:val="18"/>
    </w:rPr>
  </w:style>
  <w:style w:type="character" w:customStyle="1" w:styleId="FootnoteTextChar">
    <w:name w:val="Footnote Text Char"/>
    <w:link w:val="FootnoteText"/>
    <w:uiPriority w:val="99"/>
    <w:rsid w:val="0024145D"/>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iPriority w:val="99"/>
    <w:unhideWhenUsed/>
    <w:qFormat/>
    <w:rsid w:val="003A1737"/>
    <w:rPr>
      <w:rFonts w:ascii="DIN OT Medium" w:hAnsi="DIN OT Medium"/>
      <w:i w:val="0"/>
      <w:color w:val="auto"/>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A13DA6"/>
    <w:rPr>
      <w:rFonts w:ascii="DIN OT" w:hAnsi="DIN OT"/>
      <w:color w:val="00B0F0"/>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11"/>
      </w:numPr>
    </w:pPr>
  </w:style>
  <w:style w:type="paragraph" w:styleId="ListParagraph">
    <w:name w:val="List Paragraph"/>
    <w:basedOn w:val="Normal"/>
    <w:link w:val="ListParagraphChar"/>
    <w:uiPriority w:val="34"/>
    <w:qFormat/>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ind w:left="720" w:hanging="360"/>
      <w:contextualSpacing w:val="0"/>
    </w:pPr>
  </w:style>
  <w:style w:type="paragraph" w:styleId="ListNumber2">
    <w:name w:val="List Number 2"/>
    <w:basedOn w:val="Normal"/>
    <w:uiPriority w:val="99"/>
    <w:unhideWhenUsed/>
    <w:rsid w:val="0026542C"/>
    <w:pPr>
      <w:numPr>
        <w:numId w:val="1"/>
      </w:numPr>
      <w:contextualSpacing/>
    </w:pPr>
  </w:style>
  <w:style w:type="paragraph" w:styleId="ListNumber3">
    <w:name w:val="List Number 3"/>
    <w:basedOn w:val="Normal"/>
    <w:link w:val="ListNumber3Char"/>
    <w:uiPriority w:val="99"/>
    <w:unhideWhenUsed/>
    <w:rsid w:val="0026542C"/>
    <w:pPr>
      <w:numPr>
        <w:numId w:val="2"/>
      </w:numPr>
      <w:contextualSpacing/>
    </w:pPr>
  </w:style>
  <w:style w:type="paragraph" w:styleId="ListNumber4">
    <w:name w:val="List Number 4"/>
    <w:basedOn w:val="Normal"/>
    <w:uiPriority w:val="99"/>
    <w:semiHidden/>
    <w:unhideWhenUsed/>
    <w:rsid w:val="0026542C"/>
    <w:pPr>
      <w:numPr>
        <w:numId w:val="3"/>
      </w:numPr>
      <w:contextualSpacing/>
    </w:pPr>
  </w:style>
  <w:style w:type="paragraph" w:styleId="ListNumber5">
    <w:name w:val="List Number 5"/>
    <w:basedOn w:val="Normal"/>
    <w:uiPriority w:val="99"/>
    <w:semiHidden/>
    <w:unhideWhenUsed/>
    <w:rsid w:val="0026542C"/>
    <w:pPr>
      <w:numPr>
        <w:numId w:val="4"/>
      </w:numPr>
      <w:contextualSpacing/>
    </w:pPr>
  </w:style>
  <w:style w:type="paragraph" w:styleId="ListNumber">
    <w:name w:val="List Number"/>
    <w:basedOn w:val="Normal"/>
    <w:uiPriority w:val="99"/>
    <w:unhideWhenUsed/>
    <w:rsid w:val="0026542C"/>
    <w:pPr>
      <w:tabs>
        <w:tab w:val="num" w:pos="360"/>
      </w:tabs>
      <w:ind w:left="360" w:hanging="360"/>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11"/>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Segoe UI" w:hAnsi="Segoe UI"/>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next w:val="APRAHEADING2"/>
    <w:link w:val="APRAHEADING1Char"/>
    <w:qFormat/>
    <w:rsid w:val="00C0092A"/>
    <w:pPr>
      <w:pageBreakBefore/>
      <w:numPr>
        <w:numId w:val="8"/>
      </w:numPr>
      <w:pBdr>
        <w:bottom w:val="single" w:sz="4" w:space="3" w:color="BFBFBF" w:themeColor="background1" w:themeShade="BF"/>
      </w:pBdr>
      <w:spacing w:after="480"/>
      <w:outlineLvl w:val="0"/>
    </w:pPr>
    <w:rPr>
      <w:rFonts w:ascii="DIN OT Medium" w:hAnsi="DIN OT Medium"/>
      <w:color w:val="002060"/>
      <w:sz w:val="40"/>
      <w:szCs w:val="40"/>
    </w:rPr>
  </w:style>
  <w:style w:type="paragraph" w:customStyle="1" w:styleId="APRANORMAL">
    <w:name w:val="APRA NORMAL"/>
    <w:basedOn w:val="Normal"/>
    <w:link w:val="APRANORMALChar"/>
    <w:qFormat/>
    <w:rsid w:val="00B94BE8"/>
    <w:rPr>
      <w:rFonts w:ascii="DIN OT Light" w:hAnsi="DIN OT Light"/>
      <w:lang w:val="en-GB"/>
    </w:rPr>
  </w:style>
  <w:style w:type="character" w:customStyle="1" w:styleId="APRAHEADING1Char">
    <w:name w:val="APRA HEADING 1 Char"/>
    <w:basedOn w:val="DefaultParagraphFont"/>
    <w:link w:val="APRAHEADING1"/>
    <w:rsid w:val="00C0092A"/>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B94BE8"/>
    <w:rPr>
      <w:rFonts w:ascii="DIN OT Light" w:hAnsi="DIN OT Light"/>
      <w:lang w:val="en-GB"/>
    </w:rPr>
  </w:style>
  <w:style w:type="paragraph" w:customStyle="1" w:styleId="APRAHEADING2">
    <w:name w:val="APRA HEADING 2"/>
    <w:next w:val="APRANORMAL"/>
    <w:link w:val="APRAHEADING2Char"/>
    <w:qFormat/>
    <w:rsid w:val="00BB7F20"/>
    <w:pPr>
      <w:keepNext/>
      <w:numPr>
        <w:ilvl w:val="1"/>
        <w:numId w:val="8"/>
      </w:numPr>
      <w:tabs>
        <w:tab w:val="clear" w:pos="2128"/>
        <w:tab w:val="left" w:pos="851"/>
      </w:tabs>
      <w:spacing w:before="360" w:after="240"/>
      <w:ind w:left="851" w:hanging="851"/>
      <w:outlineLvl w:val="1"/>
    </w:pPr>
    <w:rPr>
      <w:rFonts w:ascii="DIN OT Medium" w:hAnsi="DIN OT Medium"/>
      <w:color w:val="002060"/>
      <w:sz w:val="30"/>
      <w:szCs w:val="28"/>
    </w:rPr>
  </w:style>
  <w:style w:type="paragraph" w:customStyle="1" w:styleId="APRAHEADING3">
    <w:name w:val="APRA HEADING 3"/>
    <w:basedOn w:val="APRANORMAL"/>
    <w:next w:val="APRANORMAL"/>
    <w:link w:val="APRAHEADING3Char"/>
    <w:qFormat/>
    <w:rsid w:val="00BB7F20"/>
    <w:pPr>
      <w:keepNext/>
      <w:numPr>
        <w:ilvl w:val="2"/>
        <w:numId w:val="8"/>
      </w:numPr>
      <w:spacing w:before="360" w:after="120"/>
      <w:ind w:left="851" w:hanging="851"/>
    </w:pPr>
    <w:rPr>
      <w:rFonts w:ascii="DIN OT Medium" w:hAnsi="DIN OT Medium"/>
      <w:color w:val="002060"/>
      <w:sz w:val="26"/>
      <w:szCs w:val="24"/>
    </w:rPr>
  </w:style>
  <w:style w:type="character" w:customStyle="1" w:styleId="APRAHEADING2Char">
    <w:name w:val="APRA HEADING 2 Char"/>
    <w:basedOn w:val="APRAHEADING1Char"/>
    <w:link w:val="APRAHEADING2"/>
    <w:rsid w:val="00BB7F20"/>
    <w:rPr>
      <w:rFonts w:ascii="DIN OT Medium" w:hAnsi="DIN OT Medium"/>
      <w:color w:val="002060"/>
      <w:sz w:val="30"/>
      <w:szCs w:val="28"/>
    </w:rPr>
  </w:style>
  <w:style w:type="paragraph" w:customStyle="1" w:styleId="APRAHEADING4">
    <w:name w:val="APRA HEADING 4"/>
    <w:basedOn w:val="Normal"/>
    <w:link w:val="APRAHEADING4Char"/>
    <w:qFormat/>
    <w:rsid w:val="00443520"/>
    <w:pPr>
      <w:keepNext/>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BB7F20"/>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443520"/>
    <w:rPr>
      <w:rFonts w:ascii="DIN OT Medium" w:hAnsi="DIN OT Medium" w:cs="DIN Offc"/>
      <w:bCs/>
      <w:lang w:val="en-GB"/>
    </w:rPr>
  </w:style>
  <w:style w:type="paragraph" w:customStyle="1" w:styleId="APRABULLET">
    <w:name w:val="APRA BULLET"/>
    <w:link w:val="APRABULLETChar"/>
    <w:qFormat/>
    <w:rsid w:val="00990700"/>
    <w:pPr>
      <w:numPr>
        <w:numId w:val="12"/>
      </w:numPr>
      <w:tabs>
        <w:tab w:val="left" w:pos="357"/>
      </w:tabs>
      <w:spacing w:before="120" w:line="240" w:lineRule="auto"/>
      <w:ind w:left="357" w:hanging="357"/>
    </w:pPr>
    <w:rPr>
      <w:rFonts w:ascii="DIN OT Light" w:hAnsi="DIN OT Light"/>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000D6F"/>
    <w:rPr>
      <w:rFonts w:ascii="DIN OT Light" w:hAnsi="DIN OT Light"/>
      <w:color w:val="000000" w:themeColor="text1"/>
      <w:lang w:val="en-GB"/>
    </w:rPr>
  </w:style>
  <w:style w:type="paragraph" w:customStyle="1" w:styleId="APRACONTENTSHEADIN">
    <w:name w:val="APRA CONTENTS HEADIN"/>
    <w:rsid w:val="0026540B"/>
    <w:pPr>
      <w:pageBreakBefore/>
      <w:pBdr>
        <w:bottom w:val="single" w:sz="4" w:space="3" w:color="BFBFBF" w:themeColor="background1" w:themeShade="BF"/>
      </w:pBdr>
      <w:spacing w:after="480" w:line="240" w:lineRule="auto"/>
      <w:outlineLvl w:val="0"/>
    </w:pPr>
    <w:rPr>
      <w:rFonts w:ascii="DIN OT Medium" w:hAnsi="DIN OT Medium"/>
      <w:color w:val="002060"/>
      <w:sz w:val="40"/>
      <w:szCs w:val="40"/>
    </w:rPr>
  </w:style>
  <w:style w:type="character" w:styleId="CommentReference">
    <w:name w:val="annotation reference"/>
    <w:basedOn w:val="DefaultParagraphFont"/>
    <w:uiPriority w:val="99"/>
    <w:semiHidden/>
    <w:unhideWhenUsed/>
    <w:rsid w:val="00443520"/>
    <w:rPr>
      <w:sz w:val="16"/>
      <w:szCs w:val="16"/>
    </w:rPr>
  </w:style>
  <w:style w:type="paragraph" w:styleId="CommentText">
    <w:name w:val="annotation text"/>
    <w:basedOn w:val="Normal"/>
    <w:link w:val="CommentTextChar"/>
    <w:uiPriority w:val="99"/>
    <w:unhideWhenUsed/>
    <w:rsid w:val="00443520"/>
    <w:rPr>
      <w:sz w:val="20"/>
      <w:szCs w:val="20"/>
    </w:rPr>
  </w:style>
  <w:style w:type="character" w:customStyle="1" w:styleId="CommentTextChar">
    <w:name w:val="Comment Text Char"/>
    <w:basedOn w:val="DefaultParagraphFont"/>
    <w:link w:val="CommentText"/>
    <w:uiPriority w:val="99"/>
    <w:rsid w:val="00443520"/>
    <w:rPr>
      <w:sz w:val="20"/>
      <w:szCs w:val="20"/>
    </w:rPr>
  </w:style>
  <w:style w:type="paragraph" w:styleId="CommentSubject">
    <w:name w:val="annotation subject"/>
    <w:basedOn w:val="CommentText"/>
    <w:next w:val="CommentText"/>
    <w:link w:val="CommentSubjectChar"/>
    <w:uiPriority w:val="99"/>
    <w:semiHidden/>
    <w:unhideWhenUsed/>
    <w:rsid w:val="00443520"/>
    <w:rPr>
      <w:b/>
      <w:bCs/>
    </w:rPr>
  </w:style>
  <w:style w:type="character" w:customStyle="1" w:styleId="CommentSubjectChar">
    <w:name w:val="Comment Subject Char"/>
    <w:basedOn w:val="CommentTextChar"/>
    <w:link w:val="CommentSubject"/>
    <w:uiPriority w:val="99"/>
    <w:semiHidden/>
    <w:rsid w:val="00443520"/>
    <w:rPr>
      <w:b/>
      <w:bCs/>
      <w:sz w:val="20"/>
      <w:szCs w:val="20"/>
    </w:rPr>
  </w:style>
  <w:style w:type="paragraph" w:customStyle="1" w:styleId="Tabletext">
    <w:name w:val="Table text"/>
    <w:basedOn w:val="APRANORMAL"/>
    <w:link w:val="TabletextChar"/>
    <w:qFormat/>
    <w:rsid w:val="00C02648"/>
    <w:pPr>
      <w:spacing w:beforeLines="60" w:before="144" w:afterLines="60" w:after="144"/>
    </w:pPr>
    <w:rPr>
      <w:rFonts w:eastAsia="Times New Roman"/>
    </w:rPr>
  </w:style>
  <w:style w:type="paragraph" w:customStyle="1" w:styleId="Tableheading">
    <w:name w:val="Table heading"/>
    <w:basedOn w:val="APRAHEADING5"/>
    <w:rsid w:val="00E435DE"/>
    <w:pPr>
      <w:keepNext w:val="0"/>
      <w:spacing w:before="120" w:after="120"/>
    </w:pPr>
    <w:rPr>
      <w:rFonts w:eastAsia="Times New Roman"/>
      <w:i w:val="0"/>
      <w:color w:val="FFFFFF" w:themeColor="background1"/>
    </w:rPr>
  </w:style>
  <w:style w:type="paragraph" w:styleId="NormalWeb">
    <w:name w:val="Normal (Web)"/>
    <w:basedOn w:val="Normal"/>
    <w:uiPriority w:val="99"/>
    <w:semiHidden/>
    <w:unhideWhenUsed/>
    <w:rsid w:val="0075746A"/>
    <w:rPr>
      <w:rFonts w:ascii="Times New Roman" w:hAnsi="Times New Roman"/>
      <w:sz w:val="24"/>
      <w:szCs w:val="24"/>
    </w:rPr>
  </w:style>
  <w:style w:type="paragraph" w:customStyle="1" w:styleId="Default">
    <w:name w:val="Default"/>
    <w:rsid w:val="000F50AC"/>
    <w:pPr>
      <w:autoSpaceDE w:val="0"/>
      <w:autoSpaceDN w:val="0"/>
      <w:adjustRightInd w:val="0"/>
      <w:spacing w:after="0" w:line="240" w:lineRule="auto"/>
    </w:pPr>
    <w:rPr>
      <w:rFonts w:ascii="DIN OT" w:hAnsi="DIN OT" w:cs="DIN OT"/>
      <w:color w:val="000000"/>
      <w:sz w:val="24"/>
      <w:szCs w:val="24"/>
    </w:rPr>
  </w:style>
  <w:style w:type="table" w:styleId="GridTable5Dark-Accent1">
    <w:name w:val="Grid Table 5 Dark Accent 1"/>
    <w:basedOn w:val="TableNormal"/>
    <w:uiPriority w:val="50"/>
    <w:rsid w:val="004D69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3D3196"/>
    <w:pPr>
      <w:spacing w:after="0" w:line="240" w:lineRule="auto"/>
    </w:pPr>
  </w:style>
  <w:style w:type="character" w:styleId="HTMLCite">
    <w:name w:val="HTML Cite"/>
    <w:basedOn w:val="DefaultParagraphFont"/>
    <w:uiPriority w:val="99"/>
    <w:semiHidden/>
    <w:unhideWhenUsed/>
    <w:rsid w:val="005A6034"/>
    <w:rPr>
      <w:i/>
      <w:iCs/>
    </w:rPr>
  </w:style>
  <w:style w:type="paragraph" w:customStyle="1" w:styleId="APRAHEAD-NONUMBER">
    <w:name w:val="APRA HEAD-NO NUMBER"/>
    <w:rsid w:val="003D5631"/>
    <w:pPr>
      <w:pageBreakBefore/>
      <w:pBdr>
        <w:bottom w:val="single" w:sz="4" w:space="3" w:color="BFBFBF" w:themeColor="background1" w:themeShade="BF"/>
      </w:pBdr>
      <w:spacing w:after="480" w:line="240" w:lineRule="auto"/>
      <w:outlineLvl w:val="0"/>
    </w:pPr>
    <w:rPr>
      <w:rFonts w:ascii="DIN OT Medium" w:hAnsi="DIN OT Medium"/>
      <w:color w:val="002060"/>
      <w:sz w:val="40"/>
      <w:szCs w:val="40"/>
    </w:rPr>
  </w:style>
  <w:style w:type="paragraph" w:customStyle="1" w:styleId="APRAHEADING3-NONUMBER">
    <w:name w:val="APRA HEADING 3-NO NUMBER"/>
    <w:rsid w:val="003A35A5"/>
    <w:pPr>
      <w:spacing w:before="360" w:line="240" w:lineRule="auto"/>
    </w:pPr>
    <w:rPr>
      <w:rFonts w:ascii="DIN OT Medium" w:hAnsi="DIN OT Medium"/>
      <w:color w:val="002060"/>
      <w:sz w:val="26"/>
      <w:szCs w:val="24"/>
      <w:lang w:val="en-GB"/>
    </w:rPr>
  </w:style>
  <w:style w:type="paragraph" w:customStyle="1" w:styleId="APRATABLE-NUMBER">
    <w:name w:val="APRA TABLE - NUMBER"/>
    <w:basedOn w:val="APRANORMAL"/>
    <w:next w:val="APRANORMAL"/>
    <w:rsid w:val="00D0042A"/>
    <w:pPr>
      <w:keepNext/>
      <w:numPr>
        <w:numId w:val="49"/>
      </w:numPr>
      <w:spacing w:before="240" w:after="120"/>
      <w:ind w:left="1134" w:hanging="1134"/>
    </w:pPr>
    <w:rPr>
      <w:rFonts w:ascii="DIN OT Medium" w:hAnsi="DIN OT Medium"/>
      <w:i/>
    </w:rPr>
  </w:style>
  <w:style w:type="paragraph" w:customStyle="1" w:styleId="APRAFIGURE">
    <w:name w:val="APRA FIGURE"/>
    <w:rsid w:val="00F0239F"/>
    <w:pPr>
      <w:keepNext/>
      <w:numPr>
        <w:numId w:val="10"/>
      </w:numPr>
      <w:tabs>
        <w:tab w:val="left" w:pos="1134"/>
      </w:tabs>
      <w:spacing w:before="240" w:line="240" w:lineRule="auto"/>
      <w:ind w:left="1134" w:hanging="1134"/>
    </w:pPr>
    <w:rPr>
      <w:rFonts w:ascii="DIN OT Medium" w:hAnsi="DIN OT Medium"/>
      <w:i/>
    </w:rPr>
  </w:style>
  <w:style w:type="character" w:styleId="Emphasis">
    <w:name w:val="Emphasis"/>
    <w:basedOn w:val="DefaultParagraphFont"/>
    <w:uiPriority w:val="20"/>
    <w:qFormat/>
    <w:rsid w:val="00AA3E81"/>
    <w:rPr>
      <w:i/>
      <w:iCs/>
    </w:rPr>
  </w:style>
  <w:style w:type="character" w:customStyle="1" w:styleId="TabletextChar">
    <w:name w:val="Table text Char"/>
    <w:basedOn w:val="DefaultParagraphFont"/>
    <w:link w:val="Tabletext"/>
    <w:rsid w:val="00C02648"/>
    <w:rPr>
      <w:rFonts w:ascii="DIN OT Light" w:eastAsia="Times New Roman" w:hAnsi="DIN OT Light"/>
      <w:lang w:val="en-GB"/>
    </w:rPr>
  </w:style>
  <w:style w:type="paragraph" w:customStyle="1" w:styleId="APRABULLET2">
    <w:name w:val="APRA BULLET 2"/>
    <w:rsid w:val="00751807"/>
    <w:pPr>
      <w:numPr>
        <w:numId w:val="51"/>
      </w:numPr>
      <w:tabs>
        <w:tab w:val="left" w:pos="357"/>
      </w:tabs>
      <w:spacing w:before="120" w:line="240" w:lineRule="auto"/>
      <w:ind w:left="714" w:hanging="357"/>
    </w:pPr>
    <w:rPr>
      <w:rFonts w:ascii="DIN OT Light" w:hAnsi="DIN OT Ligh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39385">
      <w:bodyDiv w:val="1"/>
      <w:marLeft w:val="0"/>
      <w:marRight w:val="0"/>
      <w:marTop w:val="0"/>
      <w:marBottom w:val="0"/>
      <w:divBdr>
        <w:top w:val="none" w:sz="0" w:space="0" w:color="auto"/>
        <w:left w:val="none" w:sz="0" w:space="0" w:color="auto"/>
        <w:bottom w:val="none" w:sz="0" w:space="0" w:color="auto"/>
        <w:right w:val="none" w:sz="0" w:space="0" w:color="auto"/>
      </w:divBdr>
    </w:div>
    <w:div w:id="138496179">
      <w:bodyDiv w:val="1"/>
      <w:marLeft w:val="0"/>
      <w:marRight w:val="0"/>
      <w:marTop w:val="0"/>
      <w:marBottom w:val="0"/>
      <w:divBdr>
        <w:top w:val="none" w:sz="0" w:space="0" w:color="auto"/>
        <w:left w:val="none" w:sz="0" w:space="0" w:color="auto"/>
        <w:bottom w:val="none" w:sz="0" w:space="0" w:color="auto"/>
        <w:right w:val="none" w:sz="0" w:space="0" w:color="auto"/>
      </w:divBdr>
    </w:div>
    <w:div w:id="160239244">
      <w:bodyDiv w:val="1"/>
      <w:marLeft w:val="0"/>
      <w:marRight w:val="0"/>
      <w:marTop w:val="0"/>
      <w:marBottom w:val="0"/>
      <w:divBdr>
        <w:top w:val="none" w:sz="0" w:space="0" w:color="auto"/>
        <w:left w:val="none" w:sz="0" w:space="0" w:color="auto"/>
        <w:bottom w:val="none" w:sz="0" w:space="0" w:color="auto"/>
        <w:right w:val="none" w:sz="0" w:space="0" w:color="auto"/>
      </w:divBdr>
    </w:div>
    <w:div w:id="436950081">
      <w:bodyDiv w:val="1"/>
      <w:marLeft w:val="0"/>
      <w:marRight w:val="0"/>
      <w:marTop w:val="0"/>
      <w:marBottom w:val="0"/>
      <w:divBdr>
        <w:top w:val="none" w:sz="0" w:space="0" w:color="auto"/>
        <w:left w:val="none" w:sz="0" w:space="0" w:color="auto"/>
        <w:bottom w:val="none" w:sz="0" w:space="0" w:color="auto"/>
        <w:right w:val="none" w:sz="0" w:space="0" w:color="auto"/>
      </w:divBdr>
    </w:div>
    <w:div w:id="610288319">
      <w:bodyDiv w:val="1"/>
      <w:marLeft w:val="0"/>
      <w:marRight w:val="0"/>
      <w:marTop w:val="0"/>
      <w:marBottom w:val="0"/>
      <w:divBdr>
        <w:top w:val="none" w:sz="0" w:space="0" w:color="auto"/>
        <w:left w:val="none" w:sz="0" w:space="0" w:color="auto"/>
        <w:bottom w:val="none" w:sz="0" w:space="0" w:color="auto"/>
        <w:right w:val="none" w:sz="0" w:space="0" w:color="auto"/>
      </w:divBdr>
    </w:div>
    <w:div w:id="665672034">
      <w:bodyDiv w:val="1"/>
      <w:marLeft w:val="0"/>
      <w:marRight w:val="0"/>
      <w:marTop w:val="0"/>
      <w:marBottom w:val="0"/>
      <w:divBdr>
        <w:top w:val="none" w:sz="0" w:space="0" w:color="auto"/>
        <w:left w:val="none" w:sz="0" w:space="0" w:color="auto"/>
        <w:bottom w:val="none" w:sz="0" w:space="0" w:color="auto"/>
        <w:right w:val="none" w:sz="0" w:space="0" w:color="auto"/>
      </w:divBdr>
    </w:div>
    <w:div w:id="753552038">
      <w:bodyDiv w:val="1"/>
      <w:marLeft w:val="0"/>
      <w:marRight w:val="0"/>
      <w:marTop w:val="0"/>
      <w:marBottom w:val="0"/>
      <w:divBdr>
        <w:top w:val="none" w:sz="0" w:space="0" w:color="auto"/>
        <w:left w:val="none" w:sz="0" w:space="0" w:color="auto"/>
        <w:bottom w:val="none" w:sz="0" w:space="0" w:color="auto"/>
        <w:right w:val="none" w:sz="0" w:space="0" w:color="auto"/>
      </w:divBdr>
    </w:div>
    <w:div w:id="849609971">
      <w:bodyDiv w:val="1"/>
      <w:marLeft w:val="0"/>
      <w:marRight w:val="0"/>
      <w:marTop w:val="0"/>
      <w:marBottom w:val="0"/>
      <w:divBdr>
        <w:top w:val="none" w:sz="0" w:space="0" w:color="auto"/>
        <w:left w:val="none" w:sz="0" w:space="0" w:color="auto"/>
        <w:bottom w:val="none" w:sz="0" w:space="0" w:color="auto"/>
        <w:right w:val="none" w:sz="0" w:space="0" w:color="auto"/>
      </w:divBdr>
    </w:div>
    <w:div w:id="1048921731">
      <w:bodyDiv w:val="1"/>
      <w:marLeft w:val="0"/>
      <w:marRight w:val="0"/>
      <w:marTop w:val="0"/>
      <w:marBottom w:val="0"/>
      <w:divBdr>
        <w:top w:val="none" w:sz="0" w:space="0" w:color="auto"/>
        <w:left w:val="none" w:sz="0" w:space="0" w:color="auto"/>
        <w:bottom w:val="none" w:sz="0" w:space="0" w:color="auto"/>
        <w:right w:val="none" w:sz="0" w:space="0" w:color="auto"/>
      </w:divBdr>
    </w:div>
    <w:div w:id="1103182734">
      <w:bodyDiv w:val="1"/>
      <w:marLeft w:val="0"/>
      <w:marRight w:val="0"/>
      <w:marTop w:val="0"/>
      <w:marBottom w:val="0"/>
      <w:divBdr>
        <w:top w:val="none" w:sz="0" w:space="0" w:color="auto"/>
        <w:left w:val="none" w:sz="0" w:space="0" w:color="auto"/>
        <w:bottom w:val="none" w:sz="0" w:space="0" w:color="auto"/>
        <w:right w:val="none" w:sz="0" w:space="0" w:color="auto"/>
      </w:divBdr>
    </w:div>
    <w:div w:id="1164664750">
      <w:bodyDiv w:val="1"/>
      <w:marLeft w:val="0"/>
      <w:marRight w:val="0"/>
      <w:marTop w:val="0"/>
      <w:marBottom w:val="0"/>
      <w:divBdr>
        <w:top w:val="none" w:sz="0" w:space="0" w:color="auto"/>
        <w:left w:val="none" w:sz="0" w:space="0" w:color="auto"/>
        <w:bottom w:val="none" w:sz="0" w:space="0" w:color="auto"/>
        <w:right w:val="none" w:sz="0" w:space="0" w:color="auto"/>
      </w:divBdr>
    </w:div>
    <w:div w:id="1220897472">
      <w:bodyDiv w:val="1"/>
      <w:marLeft w:val="0"/>
      <w:marRight w:val="0"/>
      <w:marTop w:val="0"/>
      <w:marBottom w:val="0"/>
      <w:divBdr>
        <w:top w:val="none" w:sz="0" w:space="0" w:color="auto"/>
        <w:left w:val="none" w:sz="0" w:space="0" w:color="auto"/>
        <w:bottom w:val="none" w:sz="0" w:space="0" w:color="auto"/>
        <w:right w:val="none" w:sz="0" w:space="0" w:color="auto"/>
      </w:divBdr>
    </w:div>
    <w:div w:id="1267882614">
      <w:bodyDiv w:val="1"/>
      <w:marLeft w:val="0"/>
      <w:marRight w:val="0"/>
      <w:marTop w:val="0"/>
      <w:marBottom w:val="0"/>
      <w:divBdr>
        <w:top w:val="none" w:sz="0" w:space="0" w:color="auto"/>
        <w:left w:val="none" w:sz="0" w:space="0" w:color="auto"/>
        <w:bottom w:val="none" w:sz="0" w:space="0" w:color="auto"/>
        <w:right w:val="none" w:sz="0" w:space="0" w:color="auto"/>
      </w:divBdr>
    </w:div>
    <w:div w:id="1315522972">
      <w:bodyDiv w:val="1"/>
      <w:marLeft w:val="0"/>
      <w:marRight w:val="0"/>
      <w:marTop w:val="0"/>
      <w:marBottom w:val="0"/>
      <w:divBdr>
        <w:top w:val="none" w:sz="0" w:space="0" w:color="auto"/>
        <w:left w:val="none" w:sz="0" w:space="0" w:color="auto"/>
        <w:bottom w:val="none" w:sz="0" w:space="0" w:color="auto"/>
        <w:right w:val="none" w:sz="0" w:space="0" w:color="auto"/>
      </w:divBdr>
    </w:div>
    <w:div w:id="1440485615">
      <w:bodyDiv w:val="1"/>
      <w:marLeft w:val="0"/>
      <w:marRight w:val="0"/>
      <w:marTop w:val="0"/>
      <w:marBottom w:val="0"/>
      <w:divBdr>
        <w:top w:val="none" w:sz="0" w:space="0" w:color="auto"/>
        <w:left w:val="none" w:sz="0" w:space="0" w:color="auto"/>
        <w:bottom w:val="none" w:sz="0" w:space="0" w:color="auto"/>
        <w:right w:val="none" w:sz="0" w:space="0" w:color="auto"/>
      </w:divBdr>
    </w:div>
    <w:div w:id="1458140706">
      <w:bodyDiv w:val="1"/>
      <w:marLeft w:val="0"/>
      <w:marRight w:val="0"/>
      <w:marTop w:val="0"/>
      <w:marBottom w:val="0"/>
      <w:divBdr>
        <w:top w:val="none" w:sz="0" w:space="0" w:color="auto"/>
        <w:left w:val="none" w:sz="0" w:space="0" w:color="auto"/>
        <w:bottom w:val="none" w:sz="0" w:space="0" w:color="auto"/>
        <w:right w:val="none" w:sz="0" w:space="0" w:color="auto"/>
      </w:divBdr>
    </w:div>
    <w:div w:id="1498691705">
      <w:bodyDiv w:val="1"/>
      <w:marLeft w:val="0"/>
      <w:marRight w:val="0"/>
      <w:marTop w:val="0"/>
      <w:marBottom w:val="0"/>
      <w:divBdr>
        <w:top w:val="none" w:sz="0" w:space="0" w:color="auto"/>
        <w:left w:val="none" w:sz="0" w:space="0" w:color="auto"/>
        <w:bottom w:val="none" w:sz="0" w:space="0" w:color="auto"/>
        <w:right w:val="none" w:sz="0" w:space="0" w:color="auto"/>
      </w:divBdr>
    </w:div>
    <w:div w:id="1676226864">
      <w:bodyDiv w:val="1"/>
      <w:marLeft w:val="0"/>
      <w:marRight w:val="0"/>
      <w:marTop w:val="0"/>
      <w:marBottom w:val="0"/>
      <w:divBdr>
        <w:top w:val="none" w:sz="0" w:space="0" w:color="auto"/>
        <w:left w:val="none" w:sz="0" w:space="0" w:color="auto"/>
        <w:bottom w:val="none" w:sz="0" w:space="0" w:color="auto"/>
        <w:right w:val="none" w:sz="0" w:space="0" w:color="auto"/>
      </w:divBdr>
    </w:div>
    <w:div w:id="1694459964">
      <w:bodyDiv w:val="1"/>
      <w:marLeft w:val="0"/>
      <w:marRight w:val="0"/>
      <w:marTop w:val="0"/>
      <w:marBottom w:val="0"/>
      <w:divBdr>
        <w:top w:val="none" w:sz="0" w:space="0" w:color="auto"/>
        <w:left w:val="none" w:sz="0" w:space="0" w:color="auto"/>
        <w:bottom w:val="none" w:sz="0" w:space="0" w:color="auto"/>
        <w:right w:val="none" w:sz="0" w:space="0" w:color="auto"/>
      </w:divBdr>
    </w:div>
    <w:div w:id="1722749516">
      <w:bodyDiv w:val="1"/>
      <w:marLeft w:val="0"/>
      <w:marRight w:val="0"/>
      <w:marTop w:val="0"/>
      <w:marBottom w:val="0"/>
      <w:divBdr>
        <w:top w:val="none" w:sz="0" w:space="0" w:color="auto"/>
        <w:left w:val="none" w:sz="0" w:space="0" w:color="auto"/>
        <w:bottom w:val="none" w:sz="0" w:space="0" w:color="auto"/>
        <w:right w:val="none" w:sz="0" w:space="0" w:color="auto"/>
      </w:divBdr>
    </w:div>
    <w:div w:id="1780904687">
      <w:bodyDiv w:val="1"/>
      <w:marLeft w:val="0"/>
      <w:marRight w:val="0"/>
      <w:marTop w:val="0"/>
      <w:marBottom w:val="0"/>
      <w:divBdr>
        <w:top w:val="none" w:sz="0" w:space="0" w:color="auto"/>
        <w:left w:val="none" w:sz="0" w:space="0" w:color="auto"/>
        <w:bottom w:val="none" w:sz="0" w:space="0" w:color="auto"/>
        <w:right w:val="none" w:sz="0" w:space="0" w:color="auto"/>
      </w:divBdr>
    </w:div>
    <w:div w:id="1964800447">
      <w:bodyDiv w:val="1"/>
      <w:marLeft w:val="0"/>
      <w:marRight w:val="0"/>
      <w:marTop w:val="0"/>
      <w:marBottom w:val="0"/>
      <w:divBdr>
        <w:top w:val="none" w:sz="0" w:space="0" w:color="auto"/>
        <w:left w:val="none" w:sz="0" w:space="0" w:color="auto"/>
        <w:bottom w:val="none" w:sz="0" w:space="0" w:color="auto"/>
        <w:right w:val="none" w:sz="0" w:space="0" w:color="auto"/>
      </w:divBdr>
    </w:div>
    <w:div w:id="21265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hyperlink" Target="https://rbm.obpr.gov.au/"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gif"/><Relationship Id="rId7" Type="http://schemas.openxmlformats.org/officeDocument/2006/relationships/hyperlink" Target="https://creativecommons.org/licenses/by/3.0/au/" TargetMode="External"/><Relationship Id="rId17" Type="http://schemas.openxmlformats.org/officeDocument/2006/relationships/hyperlink" Target="mailto:ADIpolicy@apra.gov.a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3.0/au/" TargetMode="External"/><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image" Target="media/image2.emf"/><Relationship Id="rId4"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bis.org/publ/bcbs189.htm" TargetMode="External"/><Relationship Id="rId13" Type="http://schemas.openxmlformats.org/officeDocument/2006/relationships/hyperlink" Target="https://www.bis.org/bcbs/publ/d368.htm" TargetMode="External"/><Relationship Id="rId18" Type="http://schemas.openxmlformats.org/officeDocument/2006/relationships/hyperlink" Target="http://www.rba.gov.au/publications/fsr/2017/oct/pdf/box-a.pdf" TargetMode="External"/><Relationship Id="rId26" Type="http://schemas.openxmlformats.org/officeDocument/2006/relationships/hyperlink" Target="https://www.bankofengland.co.uk/financial-stability-report/2017/november-2017" TargetMode="External"/><Relationship Id="rId3" Type="http://schemas.openxmlformats.org/officeDocument/2006/relationships/hyperlink" Target="http://www.apra.gov.au/adi/Documents/Unquestionably%20Strong%20Information%20Paper.pdf" TargetMode="External"/><Relationship Id="rId21" Type="http://schemas.openxmlformats.org/officeDocument/2006/relationships/hyperlink" Target="http://www.rba.gov.au/publications/fsr/2017/apr/household-business-finances.html" TargetMode="External"/><Relationship Id="rId7" Type="http://schemas.openxmlformats.org/officeDocument/2006/relationships/hyperlink" Target="https://www.bis.org/publ/bcbs128.htm" TargetMode="External"/><Relationship Id="rId12" Type="http://schemas.openxmlformats.org/officeDocument/2006/relationships/hyperlink" Target="https://www.bis.org/bcbs/publ/d352.htm" TargetMode="External"/><Relationship Id="rId17" Type="http://schemas.openxmlformats.org/officeDocument/2006/relationships/hyperlink" Target="http://www.apra.gov.au/adi/PrudentialFramework/Pages/revisions-capital-framework-and-leverage-ratio-Feb-2018.aspx" TargetMode="External"/><Relationship Id="rId25" Type="http://schemas.openxmlformats.org/officeDocument/2006/relationships/hyperlink" Target="http://www.apra.gov.au/adi/Publications/Pages/Letter-to-ADIs-Basel-II-treatment-reverse-shared-equity-mortgages.aspx" TargetMode="External"/><Relationship Id="rId2" Type="http://schemas.openxmlformats.org/officeDocument/2006/relationships/hyperlink" Target="https://www.bis.org/bcbs/publ/d424.htm" TargetMode="External"/><Relationship Id="rId16" Type="http://schemas.openxmlformats.org/officeDocument/2006/relationships/hyperlink" Target="http://www.apra.gov.au/adi/Documents/Unquestionably%20Strong%20Information%20Paper.pdf" TargetMode="External"/><Relationship Id="rId20" Type="http://schemas.openxmlformats.org/officeDocument/2006/relationships/hyperlink" Target="https://www.gov.uk/government/consultations/consultation-on-financial-policy-committee-powers-of-direction-in-the-buy-to-let-market/financial-policy-committee-powers-of-direction-in-the-buy-to-let-market" TargetMode="External"/><Relationship Id="rId29" Type="http://schemas.openxmlformats.org/officeDocument/2006/relationships/hyperlink" Target="http://apra.gov.au/adi/Publications/Documents/22-October-2009-IPRE-letter-website.pdf" TargetMode="External"/><Relationship Id="rId1" Type="http://schemas.openxmlformats.org/officeDocument/2006/relationships/hyperlink" Target="http://fsi.gov.au/publications/final-report/" TargetMode="External"/><Relationship Id="rId6" Type="http://schemas.openxmlformats.org/officeDocument/2006/relationships/hyperlink" Target="https://www.bis.org/publ/bcbs04a.htm" TargetMode="External"/><Relationship Id="rId11" Type="http://schemas.openxmlformats.org/officeDocument/2006/relationships/hyperlink" Target="https://www.bis.org/bcbs/publ/d425.htm" TargetMode="External"/><Relationship Id="rId24" Type="http://schemas.openxmlformats.org/officeDocument/2006/relationships/hyperlink" Target="http://www.apra.gov.au/adi/Publications/Pages/Letter-to-all-locally-incorporated-ADIs-Treatment-of-loans-to-self-managed-superannuation-funds.aspx" TargetMode="External"/><Relationship Id="rId32" Type="http://schemas.openxmlformats.org/officeDocument/2006/relationships/hyperlink" Target="http://www.apra.gov.au/mediareleases/pages/15_19.aspx" TargetMode="External"/><Relationship Id="rId5" Type="http://schemas.openxmlformats.org/officeDocument/2006/relationships/hyperlink" Target="https://www.pc.gov.au/inquiries/current/financial-system/draft" TargetMode="External"/><Relationship Id="rId15" Type="http://schemas.openxmlformats.org/officeDocument/2006/relationships/hyperlink" Target="https://treasury.gov.au/publication/government-response-to-the-financial-system-inquiry/" TargetMode="External"/><Relationship Id="rId23" Type="http://schemas.openxmlformats.org/officeDocument/2006/relationships/hyperlink" Target="http://www.rba.gov.au/publications/fsr/2017/apr/box-b.html" TargetMode="External"/><Relationship Id="rId28" Type="http://schemas.openxmlformats.org/officeDocument/2006/relationships/hyperlink" Target="http://www.bis.org/bcbs/publ/d362.html" TargetMode="External"/><Relationship Id="rId10" Type="http://schemas.openxmlformats.org/officeDocument/2006/relationships/hyperlink" Target="https://www.bis.org/bcbs/publ/d424.htm" TargetMode="External"/><Relationship Id="rId19" Type="http://schemas.openxmlformats.org/officeDocument/2006/relationships/hyperlink" Target="http://www.rba.gov.au/publications/fsr/2017/apr/box-c.html" TargetMode="External"/><Relationship Id="rId31" Type="http://schemas.openxmlformats.org/officeDocument/2006/relationships/hyperlink" Target="http://www.apra.gov.au/adi/Publications/Documents/170321-letter-to-ADIs-FRTB.pdf" TargetMode="External"/><Relationship Id="rId4" Type="http://schemas.openxmlformats.org/officeDocument/2006/relationships/hyperlink" Target="http://www.apra.gov.au/adi/PrudentialFramework/Pages/revisions-capital-framework-and-leverage-ratio-Feb-2018.aspx" TargetMode="External"/><Relationship Id="rId9" Type="http://schemas.openxmlformats.org/officeDocument/2006/relationships/hyperlink" Target="http://www.apra.gov.au/adi/PrudentialFramework/Pages/Basel-III-Capital-Reforms-September-2011.aspx" TargetMode="External"/><Relationship Id="rId14" Type="http://schemas.openxmlformats.org/officeDocument/2006/relationships/hyperlink" Target="http://fsi.gov.au/publications/final-report/" TargetMode="External"/><Relationship Id="rId22" Type="http://schemas.openxmlformats.org/officeDocument/2006/relationships/hyperlink" Target="http://www.apra.gov.au/Insight/Pages/Insight-Issue4-2017.HTML" TargetMode="External"/><Relationship Id="rId27" Type="http://schemas.openxmlformats.org/officeDocument/2006/relationships/hyperlink" Target="http://www.aph.gov.au/Parliamentary_Business/Committees/House/Economics/APRAAnnualReport/Additional_Documents" TargetMode="External"/><Relationship Id="rId30" Type="http://schemas.openxmlformats.org/officeDocument/2006/relationships/hyperlink" Target="http://www.apra.gov.au/adi/Publications/Pages/IRB-Approach-to-Credit-Risk-Accreditation-Proces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PRA">
  <a:themeElements>
    <a:clrScheme name="APRA">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R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17488</Words>
  <Characters>99685</Characters>
  <Application>Microsoft Office Word</Application>
  <DocSecurity>0</DocSecurity>
  <Lines>830</Lines>
  <Paragraphs>233</Paragraphs>
  <ScaleCrop>false</ScaleCrop>
  <Company/>
  <LinksUpToDate>false</LinksUpToDate>
  <CharactersWithSpaces>116940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2021-11-19T01:43:00Z</dcterms:created>
  <dcterms:modified xsi:type="dcterms:W3CDTF">2021-11-19T01:43:00Z</dcterms:modified>
  <cp:category/>
  <cp:contentStatus/>
</cp:coreProperties>
</file>