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E629" w14:textId="25810A19" w:rsidR="00766E8E" w:rsidRPr="006C6D9D" w:rsidRDefault="00766E8E" w:rsidP="00766E8E">
      <w:pPr>
        <w:jc w:val="center"/>
        <w:rPr>
          <w:b/>
          <w:bCs/>
          <w:sz w:val="40"/>
          <w:szCs w:val="40"/>
        </w:rPr>
      </w:pPr>
      <w:r w:rsidRPr="006C6D9D">
        <w:rPr>
          <w:b/>
          <w:bCs/>
          <w:sz w:val="40"/>
          <w:szCs w:val="40"/>
        </w:rPr>
        <w:t>FREE TRADE AGREEMENT BETWEEN AUSTRALIA AND THE UNITED KINGDOM OF GREAT BRITAIN AND NORTHERN IRELAND</w:t>
      </w:r>
    </w:p>
    <w:p w14:paraId="1F710FC2" w14:textId="7027D5DD" w:rsidR="00B853AF" w:rsidRPr="006C6D9D" w:rsidRDefault="00B853AF" w:rsidP="00B853AF">
      <w:pPr>
        <w:jc w:val="center"/>
        <w:rPr>
          <w:sz w:val="40"/>
          <w:szCs w:val="40"/>
        </w:rPr>
      </w:pPr>
      <w:r w:rsidRPr="006C6D9D">
        <w:rPr>
          <w:sz w:val="40"/>
          <w:szCs w:val="40"/>
        </w:rPr>
        <w:t>REGULAT</w:t>
      </w:r>
      <w:r w:rsidR="002C535D">
        <w:rPr>
          <w:sz w:val="40"/>
          <w:szCs w:val="40"/>
        </w:rPr>
        <w:t>ION</w:t>
      </w:r>
      <w:r w:rsidRPr="006C6D9D">
        <w:rPr>
          <w:sz w:val="40"/>
          <w:szCs w:val="40"/>
        </w:rPr>
        <w:t xml:space="preserve"> IMPACT STATEMENT</w:t>
      </w:r>
    </w:p>
    <w:p w14:paraId="68A434BE" w14:textId="150967DF" w:rsidR="004C1DFF" w:rsidRPr="004C7831" w:rsidRDefault="004C1DFF" w:rsidP="00B853AF">
      <w:pPr>
        <w:jc w:val="center"/>
        <w:rPr>
          <w:b/>
          <w:bCs/>
          <w:sz w:val="24"/>
          <w:szCs w:val="24"/>
        </w:rPr>
      </w:pPr>
      <w:r w:rsidRPr="004C7831">
        <w:rPr>
          <w:b/>
          <w:bCs/>
          <w:sz w:val="24"/>
          <w:szCs w:val="24"/>
        </w:rPr>
        <w:t>FINAL ASSESSMENT</w:t>
      </w:r>
    </w:p>
    <w:p w14:paraId="4A08BA9E" w14:textId="11994462" w:rsidR="00B853AF" w:rsidRPr="00B853AF" w:rsidRDefault="00932E9C" w:rsidP="00B853AF">
      <w:pPr>
        <w:jc w:val="center"/>
        <w:rPr>
          <w:b/>
          <w:bCs/>
          <w:sz w:val="24"/>
          <w:szCs w:val="24"/>
        </w:rPr>
      </w:pPr>
      <w:r>
        <w:rPr>
          <w:b/>
          <w:bCs/>
          <w:sz w:val="24"/>
          <w:szCs w:val="24"/>
        </w:rPr>
        <w:t>2</w:t>
      </w:r>
      <w:r w:rsidR="003F0240">
        <w:rPr>
          <w:b/>
          <w:bCs/>
          <w:sz w:val="24"/>
          <w:szCs w:val="24"/>
        </w:rPr>
        <w:t>5</w:t>
      </w:r>
      <w:r w:rsidR="005C19D2">
        <w:rPr>
          <w:b/>
          <w:bCs/>
          <w:sz w:val="24"/>
          <w:szCs w:val="24"/>
        </w:rPr>
        <w:t xml:space="preserve"> November</w:t>
      </w:r>
      <w:r w:rsidR="00F1477C" w:rsidRPr="004C7831">
        <w:rPr>
          <w:b/>
          <w:bCs/>
          <w:sz w:val="24"/>
          <w:szCs w:val="24"/>
        </w:rPr>
        <w:t xml:space="preserve"> </w:t>
      </w:r>
      <w:r w:rsidR="00B853AF" w:rsidRPr="004C7831">
        <w:rPr>
          <w:b/>
          <w:bCs/>
          <w:sz w:val="24"/>
          <w:szCs w:val="24"/>
        </w:rPr>
        <w:t>2021</w:t>
      </w:r>
    </w:p>
    <w:p w14:paraId="2D1D884F" w14:textId="2A0367C7" w:rsidR="00B853AF" w:rsidRDefault="00B853AF" w:rsidP="00B853AF">
      <w:pPr>
        <w:jc w:val="center"/>
      </w:pPr>
    </w:p>
    <w:sdt>
      <w:sdtPr>
        <w:rPr>
          <w:rFonts w:asciiTheme="minorHAnsi" w:eastAsiaTheme="minorHAnsi" w:hAnsiTheme="minorHAnsi" w:cstheme="minorBidi"/>
          <w:color w:val="auto"/>
          <w:sz w:val="22"/>
          <w:szCs w:val="22"/>
          <w:lang w:val="en-AU"/>
        </w:rPr>
        <w:id w:val="764654897"/>
        <w:docPartObj>
          <w:docPartGallery w:val="Table of Contents"/>
          <w:docPartUnique/>
        </w:docPartObj>
      </w:sdtPr>
      <w:sdtEndPr>
        <w:rPr>
          <w:rFonts w:eastAsia="Times New Roman" w:cs="Times New Roman"/>
          <w:b/>
          <w:bCs/>
          <w:noProof/>
        </w:rPr>
      </w:sdtEndPr>
      <w:sdtContent>
        <w:p w14:paraId="6BECF422" w14:textId="24ACDDE8" w:rsidR="008133BE" w:rsidRDefault="008133BE">
          <w:pPr>
            <w:pStyle w:val="TOCHeading"/>
          </w:pPr>
          <w:r>
            <w:t>Contents</w:t>
          </w:r>
        </w:p>
        <w:p w14:paraId="5E2EFD9E" w14:textId="3CCFC81F" w:rsidR="00975F3B" w:rsidRDefault="008133B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88748490" w:history="1">
            <w:r w:rsidR="00975F3B" w:rsidRPr="004325A3">
              <w:rPr>
                <w:rStyle w:val="Hyperlink"/>
                <w:noProof/>
              </w:rPr>
              <w:t>INTRODUCTION</w:t>
            </w:r>
            <w:r w:rsidR="00975F3B">
              <w:rPr>
                <w:noProof/>
                <w:webHidden/>
              </w:rPr>
              <w:tab/>
            </w:r>
            <w:r w:rsidR="00975F3B">
              <w:rPr>
                <w:noProof/>
                <w:webHidden/>
              </w:rPr>
              <w:fldChar w:fldCharType="begin"/>
            </w:r>
            <w:r w:rsidR="00975F3B">
              <w:rPr>
                <w:noProof/>
                <w:webHidden/>
              </w:rPr>
              <w:instrText xml:space="preserve"> PAGEREF _Toc88748490 \h </w:instrText>
            </w:r>
            <w:r w:rsidR="00975F3B">
              <w:rPr>
                <w:noProof/>
                <w:webHidden/>
              </w:rPr>
            </w:r>
            <w:r w:rsidR="00975F3B">
              <w:rPr>
                <w:noProof/>
                <w:webHidden/>
              </w:rPr>
              <w:fldChar w:fldCharType="separate"/>
            </w:r>
            <w:r w:rsidR="00975F3B">
              <w:rPr>
                <w:noProof/>
                <w:webHidden/>
              </w:rPr>
              <w:t>2</w:t>
            </w:r>
            <w:r w:rsidR="00975F3B">
              <w:rPr>
                <w:noProof/>
                <w:webHidden/>
              </w:rPr>
              <w:fldChar w:fldCharType="end"/>
            </w:r>
          </w:hyperlink>
        </w:p>
        <w:p w14:paraId="4BC484FE" w14:textId="4072C85E" w:rsidR="00975F3B" w:rsidRDefault="00975F3B">
          <w:pPr>
            <w:pStyle w:val="TOC1"/>
            <w:tabs>
              <w:tab w:val="right" w:leader="dot" w:pos="9016"/>
            </w:tabs>
            <w:rPr>
              <w:rFonts w:eastAsiaTheme="minorEastAsia"/>
              <w:noProof/>
              <w:lang w:eastAsia="en-AU"/>
            </w:rPr>
          </w:pPr>
          <w:hyperlink w:anchor="_Toc88748491" w:history="1">
            <w:r w:rsidRPr="004325A3">
              <w:rPr>
                <w:rStyle w:val="Hyperlink"/>
                <w:noProof/>
              </w:rPr>
              <w:t>PROBLEM IDENTIFICATION – WHAT POLICY PROBLEM ARE YOU TRYING TO SOLVE?</w:t>
            </w:r>
            <w:r>
              <w:rPr>
                <w:noProof/>
                <w:webHidden/>
              </w:rPr>
              <w:tab/>
            </w:r>
            <w:r>
              <w:rPr>
                <w:noProof/>
                <w:webHidden/>
              </w:rPr>
              <w:fldChar w:fldCharType="begin"/>
            </w:r>
            <w:r>
              <w:rPr>
                <w:noProof/>
                <w:webHidden/>
              </w:rPr>
              <w:instrText xml:space="preserve"> PAGEREF _Toc88748491 \h </w:instrText>
            </w:r>
            <w:r>
              <w:rPr>
                <w:noProof/>
                <w:webHidden/>
              </w:rPr>
            </w:r>
            <w:r>
              <w:rPr>
                <w:noProof/>
                <w:webHidden/>
              </w:rPr>
              <w:fldChar w:fldCharType="separate"/>
            </w:r>
            <w:r>
              <w:rPr>
                <w:noProof/>
                <w:webHidden/>
              </w:rPr>
              <w:t>3</w:t>
            </w:r>
            <w:r>
              <w:rPr>
                <w:noProof/>
                <w:webHidden/>
              </w:rPr>
              <w:fldChar w:fldCharType="end"/>
            </w:r>
          </w:hyperlink>
        </w:p>
        <w:p w14:paraId="4D2EE202" w14:textId="2AC035BD" w:rsidR="00975F3B" w:rsidRDefault="00975F3B">
          <w:pPr>
            <w:pStyle w:val="TOC1"/>
            <w:tabs>
              <w:tab w:val="right" w:leader="dot" w:pos="9016"/>
            </w:tabs>
            <w:rPr>
              <w:rFonts w:eastAsiaTheme="minorEastAsia"/>
              <w:noProof/>
              <w:lang w:eastAsia="en-AU"/>
            </w:rPr>
          </w:pPr>
          <w:hyperlink w:anchor="_Toc88748492" w:history="1">
            <w:r w:rsidRPr="004325A3">
              <w:rPr>
                <w:rStyle w:val="Hyperlink"/>
                <w:noProof/>
              </w:rPr>
              <w:t>WHAT ARE THE PURPOSE AND THE OBJECTIVES OF GOVERNMENT ACTION</w:t>
            </w:r>
            <w:r>
              <w:rPr>
                <w:noProof/>
                <w:webHidden/>
              </w:rPr>
              <w:tab/>
            </w:r>
            <w:r>
              <w:rPr>
                <w:noProof/>
                <w:webHidden/>
              </w:rPr>
              <w:fldChar w:fldCharType="begin"/>
            </w:r>
            <w:r>
              <w:rPr>
                <w:noProof/>
                <w:webHidden/>
              </w:rPr>
              <w:instrText xml:space="preserve"> PAGEREF _Toc88748492 \h </w:instrText>
            </w:r>
            <w:r>
              <w:rPr>
                <w:noProof/>
                <w:webHidden/>
              </w:rPr>
            </w:r>
            <w:r>
              <w:rPr>
                <w:noProof/>
                <w:webHidden/>
              </w:rPr>
              <w:fldChar w:fldCharType="separate"/>
            </w:r>
            <w:r>
              <w:rPr>
                <w:noProof/>
                <w:webHidden/>
              </w:rPr>
              <w:t>14</w:t>
            </w:r>
            <w:r>
              <w:rPr>
                <w:noProof/>
                <w:webHidden/>
              </w:rPr>
              <w:fldChar w:fldCharType="end"/>
            </w:r>
          </w:hyperlink>
        </w:p>
        <w:p w14:paraId="1AA1497C" w14:textId="505FA533" w:rsidR="00975F3B" w:rsidRDefault="00975F3B">
          <w:pPr>
            <w:pStyle w:val="TOC1"/>
            <w:tabs>
              <w:tab w:val="right" w:leader="dot" w:pos="9016"/>
            </w:tabs>
            <w:rPr>
              <w:rFonts w:eastAsiaTheme="minorEastAsia"/>
              <w:noProof/>
              <w:lang w:eastAsia="en-AU"/>
            </w:rPr>
          </w:pPr>
          <w:hyperlink w:anchor="_Toc88748493" w:history="1">
            <w:r w:rsidRPr="004325A3">
              <w:rPr>
                <w:rStyle w:val="Hyperlink"/>
                <w:noProof/>
              </w:rPr>
              <w:t>WHAT ARE THE OPTIONS TO ACHIEVE THESE OBJECTIVES?</w:t>
            </w:r>
            <w:r>
              <w:rPr>
                <w:noProof/>
                <w:webHidden/>
              </w:rPr>
              <w:tab/>
            </w:r>
            <w:r>
              <w:rPr>
                <w:noProof/>
                <w:webHidden/>
              </w:rPr>
              <w:fldChar w:fldCharType="begin"/>
            </w:r>
            <w:r>
              <w:rPr>
                <w:noProof/>
                <w:webHidden/>
              </w:rPr>
              <w:instrText xml:space="preserve"> PAGEREF _Toc88748493 \h </w:instrText>
            </w:r>
            <w:r>
              <w:rPr>
                <w:noProof/>
                <w:webHidden/>
              </w:rPr>
            </w:r>
            <w:r>
              <w:rPr>
                <w:noProof/>
                <w:webHidden/>
              </w:rPr>
              <w:fldChar w:fldCharType="separate"/>
            </w:r>
            <w:r>
              <w:rPr>
                <w:noProof/>
                <w:webHidden/>
              </w:rPr>
              <w:t>14</w:t>
            </w:r>
            <w:r>
              <w:rPr>
                <w:noProof/>
                <w:webHidden/>
              </w:rPr>
              <w:fldChar w:fldCharType="end"/>
            </w:r>
          </w:hyperlink>
        </w:p>
        <w:p w14:paraId="388CDCF5" w14:textId="0587A317" w:rsidR="00975F3B" w:rsidRDefault="00975F3B">
          <w:pPr>
            <w:pStyle w:val="TOC1"/>
            <w:tabs>
              <w:tab w:val="right" w:leader="dot" w:pos="9016"/>
            </w:tabs>
            <w:rPr>
              <w:rFonts w:eastAsiaTheme="minorEastAsia"/>
              <w:noProof/>
              <w:lang w:eastAsia="en-AU"/>
            </w:rPr>
          </w:pPr>
          <w:hyperlink w:anchor="_Toc88748494" w:history="1">
            <w:r w:rsidRPr="004325A3">
              <w:rPr>
                <w:rStyle w:val="Hyperlink"/>
                <w:noProof/>
              </w:rPr>
              <w:t>BENEFITS AND IMPACT ANALYSIS</w:t>
            </w:r>
            <w:r>
              <w:rPr>
                <w:noProof/>
                <w:webHidden/>
              </w:rPr>
              <w:tab/>
            </w:r>
            <w:r>
              <w:rPr>
                <w:noProof/>
                <w:webHidden/>
              </w:rPr>
              <w:fldChar w:fldCharType="begin"/>
            </w:r>
            <w:r>
              <w:rPr>
                <w:noProof/>
                <w:webHidden/>
              </w:rPr>
              <w:instrText xml:space="preserve"> PAGEREF _Toc88748494 \h </w:instrText>
            </w:r>
            <w:r>
              <w:rPr>
                <w:noProof/>
                <w:webHidden/>
              </w:rPr>
            </w:r>
            <w:r>
              <w:rPr>
                <w:noProof/>
                <w:webHidden/>
              </w:rPr>
              <w:fldChar w:fldCharType="separate"/>
            </w:r>
            <w:r>
              <w:rPr>
                <w:noProof/>
                <w:webHidden/>
              </w:rPr>
              <w:t>15</w:t>
            </w:r>
            <w:r>
              <w:rPr>
                <w:noProof/>
                <w:webHidden/>
              </w:rPr>
              <w:fldChar w:fldCharType="end"/>
            </w:r>
          </w:hyperlink>
        </w:p>
        <w:p w14:paraId="0F0584B7" w14:textId="7E1C11E7" w:rsidR="00975F3B" w:rsidRDefault="00975F3B">
          <w:pPr>
            <w:pStyle w:val="TOC2"/>
            <w:tabs>
              <w:tab w:val="right" w:leader="dot" w:pos="9016"/>
            </w:tabs>
            <w:rPr>
              <w:rFonts w:eastAsiaTheme="minorEastAsia"/>
              <w:noProof/>
              <w:lang w:eastAsia="en-AU"/>
            </w:rPr>
          </w:pPr>
          <w:hyperlink w:anchor="_Toc88748495" w:history="1">
            <w:r w:rsidRPr="004325A3">
              <w:rPr>
                <w:rStyle w:val="Hyperlink"/>
                <w:noProof/>
              </w:rPr>
              <w:t>The impact of key goods market access outcomes for Australia</w:t>
            </w:r>
            <w:r>
              <w:rPr>
                <w:noProof/>
                <w:webHidden/>
              </w:rPr>
              <w:tab/>
            </w:r>
            <w:r>
              <w:rPr>
                <w:noProof/>
                <w:webHidden/>
              </w:rPr>
              <w:fldChar w:fldCharType="begin"/>
            </w:r>
            <w:r>
              <w:rPr>
                <w:noProof/>
                <w:webHidden/>
              </w:rPr>
              <w:instrText xml:space="preserve"> PAGEREF _Toc88748495 \h </w:instrText>
            </w:r>
            <w:r>
              <w:rPr>
                <w:noProof/>
                <w:webHidden/>
              </w:rPr>
            </w:r>
            <w:r>
              <w:rPr>
                <w:noProof/>
                <w:webHidden/>
              </w:rPr>
              <w:fldChar w:fldCharType="separate"/>
            </w:r>
            <w:r>
              <w:rPr>
                <w:noProof/>
                <w:webHidden/>
              </w:rPr>
              <w:t>16</w:t>
            </w:r>
            <w:r>
              <w:rPr>
                <w:noProof/>
                <w:webHidden/>
              </w:rPr>
              <w:fldChar w:fldCharType="end"/>
            </w:r>
          </w:hyperlink>
        </w:p>
        <w:p w14:paraId="61C10E8F" w14:textId="498DBF3B" w:rsidR="00975F3B" w:rsidRDefault="00975F3B">
          <w:pPr>
            <w:pStyle w:val="TOC2"/>
            <w:tabs>
              <w:tab w:val="right" w:leader="dot" w:pos="9016"/>
            </w:tabs>
            <w:rPr>
              <w:rFonts w:eastAsiaTheme="minorEastAsia"/>
              <w:noProof/>
              <w:lang w:eastAsia="en-AU"/>
            </w:rPr>
          </w:pPr>
          <w:hyperlink w:anchor="_Toc88748496" w:history="1">
            <w:r w:rsidRPr="004325A3">
              <w:rPr>
                <w:rStyle w:val="Hyperlink"/>
                <w:noProof/>
              </w:rPr>
              <w:t>Key market access outcomes for the UK</w:t>
            </w:r>
            <w:r>
              <w:rPr>
                <w:noProof/>
                <w:webHidden/>
              </w:rPr>
              <w:tab/>
            </w:r>
            <w:r>
              <w:rPr>
                <w:noProof/>
                <w:webHidden/>
              </w:rPr>
              <w:fldChar w:fldCharType="begin"/>
            </w:r>
            <w:r>
              <w:rPr>
                <w:noProof/>
                <w:webHidden/>
              </w:rPr>
              <w:instrText xml:space="preserve"> PAGEREF _Toc88748496 \h </w:instrText>
            </w:r>
            <w:r>
              <w:rPr>
                <w:noProof/>
                <w:webHidden/>
              </w:rPr>
            </w:r>
            <w:r>
              <w:rPr>
                <w:noProof/>
                <w:webHidden/>
              </w:rPr>
              <w:fldChar w:fldCharType="separate"/>
            </w:r>
            <w:r>
              <w:rPr>
                <w:noProof/>
                <w:webHidden/>
              </w:rPr>
              <w:t>30</w:t>
            </w:r>
            <w:r>
              <w:rPr>
                <w:noProof/>
                <w:webHidden/>
              </w:rPr>
              <w:fldChar w:fldCharType="end"/>
            </w:r>
          </w:hyperlink>
        </w:p>
        <w:p w14:paraId="465878FD" w14:textId="0F32942E" w:rsidR="00975F3B" w:rsidRDefault="00975F3B">
          <w:pPr>
            <w:pStyle w:val="TOC2"/>
            <w:tabs>
              <w:tab w:val="right" w:leader="dot" w:pos="9016"/>
            </w:tabs>
            <w:rPr>
              <w:rFonts w:eastAsiaTheme="minorEastAsia"/>
              <w:noProof/>
              <w:lang w:eastAsia="en-AU"/>
            </w:rPr>
          </w:pPr>
          <w:hyperlink w:anchor="_Toc88748497" w:history="1">
            <w:r w:rsidRPr="004325A3">
              <w:rPr>
                <w:rStyle w:val="Hyperlink"/>
                <w:noProof/>
              </w:rPr>
              <w:t>The impact of key goods chapter outcomes</w:t>
            </w:r>
            <w:r>
              <w:rPr>
                <w:noProof/>
                <w:webHidden/>
              </w:rPr>
              <w:tab/>
            </w:r>
            <w:r>
              <w:rPr>
                <w:noProof/>
                <w:webHidden/>
              </w:rPr>
              <w:fldChar w:fldCharType="begin"/>
            </w:r>
            <w:r>
              <w:rPr>
                <w:noProof/>
                <w:webHidden/>
              </w:rPr>
              <w:instrText xml:space="preserve"> PAGEREF _Toc88748497 \h </w:instrText>
            </w:r>
            <w:r>
              <w:rPr>
                <w:noProof/>
                <w:webHidden/>
              </w:rPr>
            </w:r>
            <w:r>
              <w:rPr>
                <w:noProof/>
                <w:webHidden/>
              </w:rPr>
              <w:fldChar w:fldCharType="separate"/>
            </w:r>
            <w:r>
              <w:rPr>
                <w:noProof/>
                <w:webHidden/>
              </w:rPr>
              <w:t>33</w:t>
            </w:r>
            <w:r>
              <w:rPr>
                <w:noProof/>
                <w:webHidden/>
              </w:rPr>
              <w:fldChar w:fldCharType="end"/>
            </w:r>
          </w:hyperlink>
        </w:p>
        <w:p w14:paraId="4B26511C" w14:textId="7CF4282A" w:rsidR="00975F3B" w:rsidRDefault="00975F3B">
          <w:pPr>
            <w:pStyle w:val="TOC2"/>
            <w:tabs>
              <w:tab w:val="right" w:leader="dot" w:pos="9016"/>
            </w:tabs>
            <w:rPr>
              <w:rFonts w:eastAsiaTheme="minorEastAsia"/>
              <w:noProof/>
              <w:lang w:eastAsia="en-AU"/>
            </w:rPr>
          </w:pPr>
          <w:hyperlink w:anchor="_Toc88748498" w:history="1">
            <w:r w:rsidRPr="004325A3">
              <w:rPr>
                <w:rStyle w:val="Hyperlink"/>
                <w:noProof/>
              </w:rPr>
              <w:t>The impact of key services chapter outcomes</w:t>
            </w:r>
            <w:r>
              <w:rPr>
                <w:noProof/>
                <w:webHidden/>
              </w:rPr>
              <w:tab/>
            </w:r>
            <w:r>
              <w:rPr>
                <w:noProof/>
                <w:webHidden/>
              </w:rPr>
              <w:fldChar w:fldCharType="begin"/>
            </w:r>
            <w:r>
              <w:rPr>
                <w:noProof/>
                <w:webHidden/>
              </w:rPr>
              <w:instrText xml:space="preserve"> PAGEREF _Toc88748498 \h </w:instrText>
            </w:r>
            <w:r>
              <w:rPr>
                <w:noProof/>
                <w:webHidden/>
              </w:rPr>
            </w:r>
            <w:r>
              <w:rPr>
                <w:noProof/>
                <w:webHidden/>
              </w:rPr>
              <w:fldChar w:fldCharType="separate"/>
            </w:r>
            <w:r>
              <w:rPr>
                <w:noProof/>
                <w:webHidden/>
              </w:rPr>
              <w:t>34</w:t>
            </w:r>
            <w:r>
              <w:rPr>
                <w:noProof/>
                <w:webHidden/>
              </w:rPr>
              <w:fldChar w:fldCharType="end"/>
            </w:r>
          </w:hyperlink>
        </w:p>
        <w:p w14:paraId="180278CA" w14:textId="09397546" w:rsidR="00975F3B" w:rsidRDefault="00975F3B">
          <w:pPr>
            <w:pStyle w:val="TOC2"/>
            <w:tabs>
              <w:tab w:val="right" w:leader="dot" w:pos="9016"/>
            </w:tabs>
            <w:rPr>
              <w:rFonts w:eastAsiaTheme="minorEastAsia"/>
              <w:noProof/>
              <w:lang w:eastAsia="en-AU"/>
            </w:rPr>
          </w:pPr>
          <w:hyperlink w:anchor="_Toc88748499" w:history="1">
            <w:r w:rsidRPr="004325A3">
              <w:rPr>
                <w:rStyle w:val="Hyperlink"/>
                <w:noProof/>
              </w:rPr>
              <w:t>The impact of key services and investment market access outcomes</w:t>
            </w:r>
            <w:r>
              <w:rPr>
                <w:noProof/>
                <w:webHidden/>
              </w:rPr>
              <w:tab/>
            </w:r>
            <w:r>
              <w:rPr>
                <w:noProof/>
                <w:webHidden/>
              </w:rPr>
              <w:fldChar w:fldCharType="begin"/>
            </w:r>
            <w:r>
              <w:rPr>
                <w:noProof/>
                <w:webHidden/>
              </w:rPr>
              <w:instrText xml:space="preserve"> PAGEREF _Toc88748499 \h </w:instrText>
            </w:r>
            <w:r>
              <w:rPr>
                <w:noProof/>
                <w:webHidden/>
              </w:rPr>
            </w:r>
            <w:r>
              <w:rPr>
                <w:noProof/>
                <w:webHidden/>
              </w:rPr>
              <w:fldChar w:fldCharType="separate"/>
            </w:r>
            <w:r>
              <w:rPr>
                <w:noProof/>
                <w:webHidden/>
              </w:rPr>
              <w:t>37</w:t>
            </w:r>
            <w:r>
              <w:rPr>
                <w:noProof/>
                <w:webHidden/>
              </w:rPr>
              <w:fldChar w:fldCharType="end"/>
            </w:r>
          </w:hyperlink>
        </w:p>
        <w:p w14:paraId="31E09A27" w14:textId="5DAE5B9B" w:rsidR="00975F3B" w:rsidRDefault="00975F3B">
          <w:pPr>
            <w:pStyle w:val="TOC2"/>
            <w:tabs>
              <w:tab w:val="right" w:leader="dot" w:pos="9016"/>
            </w:tabs>
            <w:rPr>
              <w:rFonts w:eastAsiaTheme="minorEastAsia"/>
              <w:noProof/>
              <w:lang w:eastAsia="en-AU"/>
            </w:rPr>
          </w:pPr>
          <w:hyperlink w:anchor="_Toc88748500" w:history="1">
            <w:r w:rsidRPr="004325A3">
              <w:rPr>
                <w:rStyle w:val="Hyperlink"/>
                <w:noProof/>
              </w:rPr>
              <w:t>The impact of key investment chapter outcomes</w:t>
            </w:r>
            <w:r>
              <w:rPr>
                <w:noProof/>
                <w:webHidden/>
              </w:rPr>
              <w:tab/>
            </w:r>
            <w:r>
              <w:rPr>
                <w:noProof/>
                <w:webHidden/>
              </w:rPr>
              <w:fldChar w:fldCharType="begin"/>
            </w:r>
            <w:r>
              <w:rPr>
                <w:noProof/>
                <w:webHidden/>
              </w:rPr>
              <w:instrText xml:space="preserve"> PAGEREF _Toc88748500 \h </w:instrText>
            </w:r>
            <w:r>
              <w:rPr>
                <w:noProof/>
                <w:webHidden/>
              </w:rPr>
            </w:r>
            <w:r>
              <w:rPr>
                <w:noProof/>
                <w:webHidden/>
              </w:rPr>
              <w:fldChar w:fldCharType="separate"/>
            </w:r>
            <w:r>
              <w:rPr>
                <w:noProof/>
                <w:webHidden/>
              </w:rPr>
              <w:t>39</w:t>
            </w:r>
            <w:r>
              <w:rPr>
                <w:noProof/>
                <w:webHidden/>
              </w:rPr>
              <w:fldChar w:fldCharType="end"/>
            </w:r>
          </w:hyperlink>
        </w:p>
        <w:p w14:paraId="1086898F" w14:textId="6E2D427E" w:rsidR="00975F3B" w:rsidRDefault="00975F3B">
          <w:pPr>
            <w:pStyle w:val="TOC2"/>
            <w:tabs>
              <w:tab w:val="right" w:leader="dot" w:pos="9016"/>
            </w:tabs>
            <w:rPr>
              <w:rFonts w:eastAsiaTheme="minorEastAsia"/>
              <w:noProof/>
              <w:lang w:eastAsia="en-AU"/>
            </w:rPr>
          </w:pPr>
          <w:hyperlink w:anchor="_Toc88748501" w:history="1">
            <w:r w:rsidRPr="004325A3">
              <w:rPr>
                <w:rStyle w:val="Hyperlink"/>
                <w:noProof/>
              </w:rPr>
              <w:t>The impact of key mobility outcomes</w:t>
            </w:r>
            <w:r>
              <w:rPr>
                <w:noProof/>
                <w:webHidden/>
              </w:rPr>
              <w:tab/>
            </w:r>
            <w:r>
              <w:rPr>
                <w:noProof/>
                <w:webHidden/>
              </w:rPr>
              <w:fldChar w:fldCharType="begin"/>
            </w:r>
            <w:r>
              <w:rPr>
                <w:noProof/>
                <w:webHidden/>
              </w:rPr>
              <w:instrText xml:space="preserve"> PAGEREF _Toc88748501 \h </w:instrText>
            </w:r>
            <w:r>
              <w:rPr>
                <w:noProof/>
                <w:webHidden/>
              </w:rPr>
            </w:r>
            <w:r>
              <w:rPr>
                <w:noProof/>
                <w:webHidden/>
              </w:rPr>
              <w:fldChar w:fldCharType="separate"/>
            </w:r>
            <w:r>
              <w:rPr>
                <w:noProof/>
                <w:webHidden/>
              </w:rPr>
              <w:t>40</w:t>
            </w:r>
            <w:r>
              <w:rPr>
                <w:noProof/>
                <w:webHidden/>
              </w:rPr>
              <w:fldChar w:fldCharType="end"/>
            </w:r>
          </w:hyperlink>
        </w:p>
        <w:p w14:paraId="1458000E" w14:textId="428E668C" w:rsidR="00975F3B" w:rsidRDefault="00975F3B">
          <w:pPr>
            <w:pStyle w:val="TOC2"/>
            <w:tabs>
              <w:tab w:val="right" w:leader="dot" w:pos="9016"/>
            </w:tabs>
            <w:rPr>
              <w:rFonts w:eastAsiaTheme="minorEastAsia"/>
              <w:noProof/>
              <w:lang w:eastAsia="en-AU"/>
            </w:rPr>
          </w:pPr>
          <w:hyperlink w:anchor="_Toc88748502" w:history="1">
            <w:r w:rsidRPr="004325A3">
              <w:rPr>
                <w:rStyle w:val="Hyperlink"/>
                <w:noProof/>
              </w:rPr>
              <w:t>The impact of key digital trade outcomes</w:t>
            </w:r>
            <w:r>
              <w:rPr>
                <w:noProof/>
                <w:webHidden/>
              </w:rPr>
              <w:tab/>
            </w:r>
            <w:r>
              <w:rPr>
                <w:noProof/>
                <w:webHidden/>
              </w:rPr>
              <w:fldChar w:fldCharType="begin"/>
            </w:r>
            <w:r>
              <w:rPr>
                <w:noProof/>
                <w:webHidden/>
              </w:rPr>
              <w:instrText xml:space="preserve"> PAGEREF _Toc88748502 \h </w:instrText>
            </w:r>
            <w:r>
              <w:rPr>
                <w:noProof/>
                <w:webHidden/>
              </w:rPr>
            </w:r>
            <w:r>
              <w:rPr>
                <w:noProof/>
                <w:webHidden/>
              </w:rPr>
              <w:fldChar w:fldCharType="separate"/>
            </w:r>
            <w:r>
              <w:rPr>
                <w:noProof/>
                <w:webHidden/>
              </w:rPr>
              <w:t>44</w:t>
            </w:r>
            <w:r>
              <w:rPr>
                <w:noProof/>
                <w:webHidden/>
              </w:rPr>
              <w:fldChar w:fldCharType="end"/>
            </w:r>
          </w:hyperlink>
        </w:p>
        <w:p w14:paraId="0F06C90B" w14:textId="67E11B94" w:rsidR="00975F3B" w:rsidRDefault="00975F3B">
          <w:pPr>
            <w:pStyle w:val="TOC2"/>
            <w:tabs>
              <w:tab w:val="right" w:leader="dot" w:pos="9016"/>
            </w:tabs>
            <w:rPr>
              <w:rFonts w:eastAsiaTheme="minorEastAsia"/>
              <w:noProof/>
              <w:lang w:eastAsia="en-AU"/>
            </w:rPr>
          </w:pPr>
          <w:hyperlink w:anchor="_Toc88748503" w:history="1">
            <w:r w:rsidRPr="004325A3">
              <w:rPr>
                <w:rStyle w:val="Hyperlink"/>
                <w:noProof/>
              </w:rPr>
              <w:t>The impact of key intellectual property outcomes</w:t>
            </w:r>
            <w:r>
              <w:rPr>
                <w:noProof/>
                <w:webHidden/>
              </w:rPr>
              <w:tab/>
            </w:r>
            <w:r>
              <w:rPr>
                <w:noProof/>
                <w:webHidden/>
              </w:rPr>
              <w:fldChar w:fldCharType="begin"/>
            </w:r>
            <w:r>
              <w:rPr>
                <w:noProof/>
                <w:webHidden/>
              </w:rPr>
              <w:instrText xml:space="preserve"> PAGEREF _Toc88748503 \h </w:instrText>
            </w:r>
            <w:r>
              <w:rPr>
                <w:noProof/>
                <w:webHidden/>
              </w:rPr>
            </w:r>
            <w:r>
              <w:rPr>
                <w:noProof/>
                <w:webHidden/>
              </w:rPr>
              <w:fldChar w:fldCharType="separate"/>
            </w:r>
            <w:r>
              <w:rPr>
                <w:noProof/>
                <w:webHidden/>
              </w:rPr>
              <w:t>45</w:t>
            </w:r>
            <w:r>
              <w:rPr>
                <w:noProof/>
                <w:webHidden/>
              </w:rPr>
              <w:fldChar w:fldCharType="end"/>
            </w:r>
          </w:hyperlink>
        </w:p>
        <w:p w14:paraId="125B6811" w14:textId="7E87ABA4" w:rsidR="00975F3B" w:rsidRDefault="00975F3B">
          <w:pPr>
            <w:pStyle w:val="TOC2"/>
            <w:tabs>
              <w:tab w:val="right" w:leader="dot" w:pos="9016"/>
            </w:tabs>
            <w:rPr>
              <w:rFonts w:eastAsiaTheme="minorEastAsia"/>
              <w:noProof/>
              <w:lang w:eastAsia="en-AU"/>
            </w:rPr>
          </w:pPr>
          <w:hyperlink w:anchor="_Toc88748504" w:history="1">
            <w:r w:rsidRPr="004325A3">
              <w:rPr>
                <w:rStyle w:val="Hyperlink"/>
                <w:noProof/>
              </w:rPr>
              <w:t>The impact of key government procurement outcomes</w:t>
            </w:r>
            <w:r>
              <w:rPr>
                <w:noProof/>
                <w:webHidden/>
              </w:rPr>
              <w:tab/>
            </w:r>
            <w:r>
              <w:rPr>
                <w:noProof/>
                <w:webHidden/>
              </w:rPr>
              <w:fldChar w:fldCharType="begin"/>
            </w:r>
            <w:r>
              <w:rPr>
                <w:noProof/>
                <w:webHidden/>
              </w:rPr>
              <w:instrText xml:space="preserve"> PAGEREF _Toc88748504 \h </w:instrText>
            </w:r>
            <w:r>
              <w:rPr>
                <w:noProof/>
                <w:webHidden/>
              </w:rPr>
            </w:r>
            <w:r>
              <w:rPr>
                <w:noProof/>
                <w:webHidden/>
              </w:rPr>
              <w:fldChar w:fldCharType="separate"/>
            </w:r>
            <w:r>
              <w:rPr>
                <w:noProof/>
                <w:webHidden/>
              </w:rPr>
              <w:t>47</w:t>
            </w:r>
            <w:r>
              <w:rPr>
                <w:noProof/>
                <w:webHidden/>
              </w:rPr>
              <w:fldChar w:fldCharType="end"/>
            </w:r>
          </w:hyperlink>
        </w:p>
        <w:p w14:paraId="57B40913" w14:textId="356779EF" w:rsidR="00975F3B" w:rsidRDefault="00975F3B">
          <w:pPr>
            <w:pStyle w:val="TOC2"/>
            <w:tabs>
              <w:tab w:val="right" w:leader="dot" w:pos="9016"/>
            </w:tabs>
            <w:rPr>
              <w:rFonts w:eastAsiaTheme="minorEastAsia"/>
              <w:noProof/>
              <w:lang w:eastAsia="en-AU"/>
            </w:rPr>
          </w:pPr>
          <w:hyperlink w:anchor="_Toc88748505" w:history="1">
            <w:r w:rsidRPr="004325A3">
              <w:rPr>
                <w:rStyle w:val="Hyperlink"/>
                <w:noProof/>
              </w:rPr>
              <w:t>The impact of key State-owned Enterprises and Designated Monopolies (SOEs) outcomes</w:t>
            </w:r>
            <w:r>
              <w:rPr>
                <w:noProof/>
                <w:webHidden/>
              </w:rPr>
              <w:tab/>
            </w:r>
            <w:r>
              <w:rPr>
                <w:noProof/>
                <w:webHidden/>
              </w:rPr>
              <w:fldChar w:fldCharType="begin"/>
            </w:r>
            <w:r>
              <w:rPr>
                <w:noProof/>
                <w:webHidden/>
              </w:rPr>
              <w:instrText xml:space="preserve"> PAGEREF _Toc88748505 \h </w:instrText>
            </w:r>
            <w:r>
              <w:rPr>
                <w:noProof/>
                <w:webHidden/>
              </w:rPr>
            </w:r>
            <w:r>
              <w:rPr>
                <w:noProof/>
                <w:webHidden/>
              </w:rPr>
              <w:fldChar w:fldCharType="separate"/>
            </w:r>
            <w:r>
              <w:rPr>
                <w:noProof/>
                <w:webHidden/>
              </w:rPr>
              <w:t>48</w:t>
            </w:r>
            <w:r>
              <w:rPr>
                <w:noProof/>
                <w:webHidden/>
              </w:rPr>
              <w:fldChar w:fldCharType="end"/>
            </w:r>
          </w:hyperlink>
        </w:p>
        <w:p w14:paraId="30CD00E2" w14:textId="54F54F4C" w:rsidR="00975F3B" w:rsidRDefault="00975F3B">
          <w:pPr>
            <w:pStyle w:val="TOC1"/>
            <w:tabs>
              <w:tab w:val="right" w:leader="dot" w:pos="9016"/>
            </w:tabs>
            <w:rPr>
              <w:rFonts w:eastAsiaTheme="minorEastAsia"/>
              <w:noProof/>
              <w:lang w:eastAsia="en-AU"/>
            </w:rPr>
          </w:pPr>
          <w:hyperlink w:anchor="_Toc88748506" w:history="1">
            <w:r w:rsidRPr="004325A3">
              <w:rPr>
                <w:rStyle w:val="Hyperlink"/>
                <w:noProof/>
              </w:rPr>
              <w:t>WHO DID YOU CONSULT AND HOW DID YOU INCORPORATE THEIR FEEDBACK?</w:t>
            </w:r>
            <w:r>
              <w:rPr>
                <w:noProof/>
                <w:webHidden/>
              </w:rPr>
              <w:tab/>
            </w:r>
            <w:r>
              <w:rPr>
                <w:noProof/>
                <w:webHidden/>
              </w:rPr>
              <w:fldChar w:fldCharType="begin"/>
            </w:r>
            <w:r>
              <w:rPr>
                <w:noProof/>
                <w:webHidden/>
              </w:rPr>
              <w:instrText xml:space="preserve"> PAGEREF _Toc88748506 \h </w:instrText>
            </w:r>
            <w:r>
              <w:rPr>
                <w:noProof/>
                <w:webHidden/>
              </w:rPr>
            </w:r>
            <w:r>
              <w:rPr>
                <w:noProof/>
                <w:webHidden/>
              </w:rPr>
              <w:fldChar w:fldCharType="separate"/>
            </w:r>
            <w:r>
              <w:rPr>
                <w:noProof/>
                <w:webHidden/>
              </w:rPr>
              <w:t>48</w:t>
            </w:r>
            <w:r>
              <w:rPr>
                <w:noProof/>
                <w:webHidden/>
              </w:rPr>
              <w:fldChar w:fldCharType="end"/>
            </w:r>
          </w:hyperlink>
        </w:p>
        <w:p w14:paraId="43A7B5EB" w14:textId="37AAB1F7" w:rsidR="00975F3B" w:rsidRDefault="00975F3B">
          <w:pPr>
            <w:pStyle w:val="TOC2"/>
            <w:tabs>
              <w:tab w:val="right" w:leader="dot" w:pos="9016"/>
            </w:tabs>
            <w:rPr>
              <w:rFonts w:eastAsiaTheme="minorEastAsia"/>
              <w:noProof/>
              <w:lang w:eastAsia="en-AU"/>
            </w:rPr>
          </w:pPr>
          <w:hyperlink w:anchor="_Toc88748507" w:history="1">
            <w:r w:rsidRPr="004325A3">
              <w:rPr>
                <w:rStyle w:val="Hyperlink"/>
                <w:noProof/>
              </w:rPr>
              <w:t>The stakeholder engagement process in the AU-UK FTA negotiations</w:t>
            </w:r>
            <w:r>
              <w:rPr>
                <w:noProof/>
                <w:webHidden/>
              </w:rPr>
              <w:tab/>
            </w:r>
            <w:r>
              <w:rPr>
                <w:noProof/>
                <w:webHidden/>
              </w:rPr>
              <w:fldChar w:fldCharType="begin"/>
            </w:r>
            <w:r>
              <w:rPr>
                <w:noProof/>
                <w:webHidden/>
              </w:rPr>
              <w:instrText xml:space="preserve"> PAGEREF _Toc88748507 \h </w:instrText>
            </w:r>
            <w:r>
              <w:rPr>
                <w:noProof/>
                <w:webHidden/>
              </w:rPr>
            </w:r>
            <w:r>
              <w:rPr>
                <w:noProof/>
                <w:webHidden/>
              </w:rPr>
              <w:fldChar w:fldCharType="separate"/>
            </w:r>
            <w:r>
              <w:rPr>
                <w:noProof/>
                <w:webHidden/>
              </w:rPr>
              <w:t>48</w:t>
            </w:r>
            <w:r>
              <w:rPr>
                <w:noProof/>
                <w:webHidden/>
              </w:rPr>
              <w:fldChar w:fldCharType="end"/>
            </w:r>
          </w:hyperlink>
        </w:p>
        <w:p w14:paraId="13FACDB8" w14:textId="0015732D" w:rsidR="00975F3B" w:rsidRDefault="00975F3B">
          <w:pPr>
            <w:pStyle w:val="TOC2"/>
            <w:tabs>
              <w:tab w:val="right" w:leader="dot" w:pos="9016"/>
            </w:tabs>
            <w:rPr>
              <w:rFonts w:eastAsiaTheme="minorEastAsia"/>
              <w:noProof/>
              <w:lang w:eastAsia="en-AU"/>
            </w:rPr>
          </w:pPr>
          <w:hyperlink w:anchor="_Toc88748508" w:history="1">
            <w:r w:rsidRPr="004325A3">
              <w:rPr>
                <w:rStyle w:val="Hyperlink"/>
                <w:noProof/>
              </w:rPr>
              <w:t>Business, Industry and Civil Society</w:t>
            </w:r>
            <w:r>
              <w:rPr>
                <w:noProof/>
                <w:webHidden/>
              </w:rPr>
              <w:tab/>
            </w:r>
            <w:r>
              <w:rPr>
                <w:noProof/>
                <w:webHidden/>
              </w:rPr>
              <w:fldChar w:fldCharType="begin"/>
            </w:r>
            <w:r>
              <w:rPr>
                <w:noProof/>
                <w:webHidden/>
              </w:rPr>
              <w:instrText xml:space="preserve"> PAGEREF _Toc88748508 \h </w:instrText>
            </w:r>
            <w:r>
              <w:rPr>
                <w:noProof/>
                <w:webHidden/>
              </w:rPr>
            </w:r>
            <w:r>
              <w:rPr>
                <w:noProof/>
                <w:webHidden/>
              </w:rPr>
              <w:fldChar w:fldCharType="separate"/>
            </w:r>
            <w:r>
              <w:rPr>
                <w:noProof/>
                <w:webHidden/>
              </w:rPr>
              <w:t>49</w:t>
            </w:r>
            <w:r>
              <w:rPr>
                <w:noProof/>
                <w:webHidden/>
              </w:rPr>
              <w:fldChar w:fldCharType="end"/>
            </w:r>
          </w:hyperlink>
        </w:p>
        <w:p w14:paraId="17B2BB0D" w14:textId="46AD1D60" w:rsidR="00975F3B" w:rsidRDefault="00975F3B">
          <w:pPr>
            <w:pStyle w:val="TOC2"/>
            <w:tabs>
              <w:tab w:val="right" w:leader="dot" w:pos="9016"/>
            </w:tabs>
            <w:rPr>
              <w:rFonts w:eastAsiaTheme="minorEastAsia"/>
              <w:noProof/>
              <w:lang w:eastAsia="en-AU"/>
            </w:rPr>
          </w:pPr>
          <w:hyperlink w:anchor="_Toc88748509" w:history="1">
            <w:r w:rsidRPr="004325A3">
              <w:rPr>
                <w:rStyle w:val="Hyperlink"/>
                <w:noProof/>
              </w:rPr>
              <w:t>State and territory governments</w:t>
            </w:r>
            <w:r>
              <w:rPr>
                <w:noProof/>
                <w:webHidden/>
              </w:rPr>
              <w:tab/>
            </w:r>
            <w:r>
              <w:rPr>
                <w:noProof/>
                <w:webHidden/>
              </w:rPr>
              <w:fldChar w:fldCharType="begin"/>
            </w:r>
            <w:r>
              <w:rPr>
                <w:noProof/>
                <w:webHidden/>
              </w:rPr>
              <w:instrText xml:space="preserve"> PAGEREF _Toc88748509 \h </w:instrText>
            </w:r>
            <w:r>
              <w:rPr>
                <w:noProof/>
                <w:webHidden/>
              </w:rPr>
            </w:r>
            <w:r>
              <w:rPr>
                <w:noProof/>
                <w:webHidden/>
              </w:rPr>
              <w:fldChar w:fldCharType="separate"/>
            </w:r>
            <w:r>
              <w:rPr>
                <w:noProof/>
                <w:webHidden/>
              </w:rPr>
              <w:t>58</w:t>
            </w:r>
            <w:r>
              <w:rPr>
                <w:noProof/>
                <w:webHidden/>
              </w:rPr>
              <w:fldChar w:fldCharType="end"/>
            </w:r>
          </w:hyperlink>
        </w:p>
        <w:p w14:paraId="3EBEA5D5" w14:textId="407973CB" w:rsidR="00975F3B" w:rsidRDefault="00975F3B">
          <w:pPr>
            <w:pStyle w:val="TOC1"/>
            <w:tabs>
              <w:tab w:val="right" w:leader="dot" w:pos="9016"/>
            </w:tabs>
            <w:rPr>
              <w:rFonts w:eastAsiaTheme="minorEastAsia"/>
              <w:noProof/>
              <w:lang w:eastAsia="en-AU"/>
            </w:rPr>
          </w:pPr>
          <w:hyperlink w:anchor="_Toc88748510" w:history="1">
            <w:r w:rsidRPr="004325A3">
              <w:rPr>
                <w:rStyle w:val="Hyperlink"/>
                <w:noProof/>
              </w:rPr>
              <w:t>WHAT IS THE BEST OPTION FROM THOSE YOU HAVE CONSIDERED?</w:t>
            </w:r>
            <w:r>
              <w:rPr>
                <w:noProof/>
                <w:webHidden/>
              </w:rPr>
              <w:tab/>
            </w:r>
            <w:r>
              <w:rPr>
                <w:noProof/>
                <w:webHidden/>
              </w:rPr>
              <w:fldChar w:fldCharType="begin"/>
            </w:r>
            <w:r>
              <w:rPr>
                <w:noProof/>
                <w:webHidden/>
              </w:rPr>
              <w:instrText xml:space="preserve"> PAGEREF _Toc88748510 \h </w:instrText>
            </w:r>
            <w:r>
              <w:rPr>
                <w:noProof/>
                <w:webHidden/>
              </w:rPr>
            </w:r>
            <w:r>
              <w:rPr>
                <w:noProof/>
                <w:webHidden/>
              </w:rPr>
              <w:fldChar w:fldCharType="separate"/>
            </w:r>
            <w:r>
              <w:rPr>
                <w:noProof/>
                <w:webHidden/>
              </w:rPr>
              <w:t>59</w:t>
            </w:r>
            <w:r>
              <w:rPr>
                <w:noProof/>
                <w:webHidden/>
              </w:rPr>
              <w:fldChar w:fldCharType="end"/>
            </w:r>
          </w:hyperlink>
        </w:p>
        <w:p w14:paraId="32ECBA7D" w14:textId="538C4034" w:rsidR="00975F3B" w:rsidRDefault="00975F3B">
          <w:pPr>
            <w:pStyle w:val="TOC1"/>
            <w:tabs>
              <w:tab w:val="right" w:leader="dot" w:pos="9016"/>
            </w:tabs>
            <w:rPr>
              <w:rFonts w:eastAsiaTheme="minorEastAsia"/>
              <w:noProof/>
              <w:lang w:eastAsia="en-AU"/>
            </w:rPr>
          </w:pPr>
          <w:hyperlink w:anchor="_Toc88748511" w:history="1">
            <w:r w:rsidRPr="004325A3">
              <w:rPr>
                <w:rStyle w:val="Hyperlink"/>
                <w:noProof/>
              </w:rPr>
              <w:t>HOW WILL YOU IMPLEMENT AND EVALUATE YOUR CHOSEN OPTION?</w:t>
            </w:r>
            <w:r>
              <w:rPr>
                <w:noProof/>
                <w:webHidden/>
              </w:rPr>
              <w:tab/>
            </w:r>
            <w:r>
              <w:rPr>
                <w:noProof/>
                <w:webHidden/>
              </w:rPr>
              <w:fldChar w:fldCharType="begin"/>
            </w:r>
            <w:r>
              <w:rPr>
                <w:noProof/>
                <w:webHidden/>
              </w:rPr>
              <w:instrText xml:space="preserve"> PAGEREF _Toc88748511 \h </w:instrText>
            </w:r>
            <w:r>
              <w:rPr>
                <w:noProof/>
                <w:webHidden/>
              </w:rPr>
            </w:r>
            <w:r>
              <w:rPr>
                <w:noProof/>
                <w:webHidden/>
              </w:rPr>
              <w:fldChar w:fldCharType="separate"/>
            </w:r>
            <w:r>
              <w:rPr>
                <w:noProof/>
                <w:webHidden/>
              </w:rPr>
              <w:t>60</w:t>
            </w:r>
            <w:r>
              <w:rPr>
                <w:noProof/>
                <w:webHidden/>
              </w:rPr>
              <w:fldChar w:fldCharType="end"/>
            </w:r>
          </w:hyperlink>
        </w:p>
        <w:p w14:paraId="3EBB2CA5" w14:textId="2F98F799" w:rsidR="00975F3B" w:rsidRDefault="00975F3B">
          <w:pPr>
            <w:pStyle w:val="TOC1"/>
            <w:tabs>
              <w:tab w:val="right" w:leader="dot" w:pos="9016"/>
            </w:tabs>
            <w:rPr>
              <w:rFonts w:eastAsiaTheme="minorEastAsia"/>
              <w:noProof/>
              <w:lang w:eastAsia="en-AU"/>
            </w:rPr>
          </w:pPr>
          <w:hyperlink w:anchor="_Toc88748512" w:history="1">
            <w:r w:rsidRPr="004325A3">
              <w:rPr>
                <w:rStyle w:val="Hyperlink"/>
                <w:noProof/>
              </w:rPr>
              <w:t>ATTACHMENT A: AU-UK FTA NEGOTIATIONS – AGREEMENT IN PRINCIPLE</w:t>
            </w:r>
            <w:r>
              <w:rPr>
                <w:noProof/>
                <w:webHidden/>
              </w:rPr>
              <w:tab/>
            </w:r>
            <w:r>
              <w:rPr>
                <w:noProof/>
                <w:webHidden/>
              </w:rPr>
              <w:fldChar w:fldCharType="begin"/>
            </w:r>
            <w:r>
              <w:rPr>
                <w:noProof/>
                <w:webHidden/>
              </w:rPr>
              <w:instrText xml:space="preserve"> PAGEREF _Toc88748512 \h </w:instrText>
            </w:r>
            <w:r>
              <w:rPr>
                <w:noProof/>
                <w:webHidden/>
              </w:rPr>
            </w:r>
            <w:r>
              <w:rPr>
                <w:noProof/>
                <w:webHidden/>
              </w:rPr>
              <w:fldChar w:fldCharType="separate"/>
            </w:r>
            <w:r>
              <w:rPr>
                <w:noProof/>
                <w:webHidden/>
              </w:rPr>
              <w:t>63</w:t>
            </w:r>
            <w:r>
              <w:rPr>
                <w:noProof/>
                <w:webHidden/>
              </w:rPr>
              <w:fldChar w:fldCharType="end"/>
            </w:r>
          </w:hyperlink>
        </w:p>
        <w:p w14:paraId="2DAC8A9D" w14:textId="3F7748EA" w:rsidR="00975F3B" w:rsidRDefault="00975F3B">
          <w:pPr>
            <w:pStyle w:val="TOC1"/>
            <w:tabs>
              <w:tab w:val="right" w:leader="dot" w:pos="9016"/>
            </w:tabs>
            <w:rPr>
              <w:rFonts w:eastAsiaTheme="minorEastAsia"/>
              <w:noProof/>
              <w:lang w:eastAsia="en-AU"/>
            </w:rPr>
          </w:pPr>
          <w:hyperlink w:anchor="_Toc88748513" w:history="1">
            <w:r w:rsidRPr="004325A3">
              <w:rPr>
                <w:rStyle w:val="Hyperlink"/>
                <w:rFonts w:cstheme="minorHAnsi"/>
                <w:noProof/>
              </w:rPr>
              <w:t xml:space="preserve">ATTACHMENT B: </w:t>
            </w:r>
            <w:r w:rsidRPr="004325A3">
              <w:rPr>
                <w:rStyle w:val="Hyperlink"/>
                <w:noProof/>
              </w:rPr>
              <w:t>REGULATORY BURDEN ESTIMATE</w:t>
            </w:r>
            <w:r>
              <w:rPr>
                <w:noProof/>
                <w:webHidden/>
              </w:rPr>
              <w:tab/>
            </w:r>
            <w:r>
              <w:rPr>
                <w:noProof/>
                <w:webHidden/>
              </w:rPr>
              <w:fldChar w:fldCharType="begin"/>
            </w:r>
            <w:r>
              <w:rPr>
                <w:noProof/>
                <w:webHidden/>
              </w:rPr>
              <w:instrText xml:space="preserve"> PAGEREF _Toc88748513 \h </w:instrText>
            </w:r>
            <w:r>
              <w:rPr>
                <w:noProof/>
                <w:webHidden/>
              </w:rPr>
            </w:r>
            <w:r>
              <w:rPr>
                <w:noProof/>
                <w:webHidden/>
              </w:rPr>
              <w:fldChar w:fldCharType="separate"/>
            </w:r>
            <w:r>
              <w:rPr>
                <w:noProof/>
                <w:webHidden/>
              </w:rPr>
              <w:t>78</w:t>
            </w:r>
            <w:r>
              <w:rPr>
                <w:noProof/>
                <w:webHidden/>
              </w:rPr>
              <w:fldChar w:fldCharType="end"/>
            </w:r>
          </w:hyperlink>
        </w:p>
        <w:p w14:paraId="7C5EADA4" w14:textId="4F4E6640" w:rsidR="008133BE" w:rsidRDefault="008133BE">
          <w:r>
            <w:rPr>
              <w:b/>
              <w:bCs/>
              <w:noProof/>
            </w:rPr>
            <w:fldChar w:fldCharType="end"/>
          </w:r>
        </w:p>
      </w:sdtContent>
    </w:sdt>
    <w:p w14:paraId="5FB0FD6E" w14:textId="77777777" w:rsidR="00963EEA" w:rsidRDefault="00963EEA" w:rsidP="00B853AF">
      <w:pPr>
        <w:jc w:val="center"/>
      </w:pPr>
    </w:p>
    <w:p w14:paraId="00ED5D80" w14:textId="56841069" w:rsidR="008133BE" w:rsidRDefault="008133BE">
      <w:pPr>
        <w:rPr>
          <w:rFonts w:asciiTheme="majorHAnsi" w:eastAsiaTheme="majorEastAsia" w:hAnsiTheme="majorHAnsi" w:cstheme="majorBidi"/>
          <w:color w:val="2F5496" w:themeColor="accent1" w:themeShade="BF"/>
          <w:sz w:val="32"/>
          <w:szCs w:val="32"/>
        </w:rPr>
      </w:pPr>
      <w:r>
        <w:br w:type="page"/>
      </w:r>
    </w:p>
    <w:p w14:paraId="3C127BD4" w14:textId="658380B4" w:rsidR="00963EEA" w:rsidRPr="00963EEA" w:rsidRDefault="00963EEA" w:rsidP="00963EEA">
      <w:pPr>
        <w:pStyle w:val="Heading1"/>
      </w:pPr>
      <w:bookmarkStart w:id="0" w:name="_Toc88748490"/>
      <w:r w:rsidRPr="00963EEA">
        <w:lastRenderedPageBreak/>
        <w:t>INTRODUCTION</w:t>
      </w:r>
      <w:bookmarkEnd w:id="0"/>
    </w:p>
    <w:p w14:paraId="74998BC4" w14:textId="77777777" w:rsidR="008C028F" w:rsidRPr="008C028F" w:rsidRDefault="008C028F" w:rsidP="008C028F">
      <w:pPr>
        <w:pStyle w:val="ListParagraph"/>
        <w:rPr>
          <w:sz w:val="24"/>
          <w:szCs w:val="24"/>
        </w:rPr>
      </w:pPr>
    </w:p>
    <w:p w14:paraId="099DD142" w14:textId="251E7B83" w:rsidR="008C028F" w:rsidRDefault="00EB5B04" w:rsidP="00206944">
      <w:pPr>
        <w:pStyle w:val="ListParagraph"/>
        <w:numPr>
          <w:ilvl w:val="0"/>
          <w:numId w:val="1"/>
        </w:numPr>
        <w:ind w:left="567" w:hanging="567"/>
        <w:rPr>
          <w:sz w:val="24"/>
          <w:szCs w:val="24"/>
        </w:rPr>
      </w:pPr>
      <w:r>
        <w:rPr>
          <w:sz w:val="24"/>
          <w:szCs w:val="24"/>
        </w:rPr>
        <w:t>This Regulat</w:t>
      </w:r>
      <w:r w:rsidR="002C535D">
        <w:rPr>
          <w:sz w:val="24"/>
          <w:szCs w:val="24"/>
        </w:rPr>
        <w:t>ion</w:t>
      </w:r>
      <w:r>
        <w:rPr>
          <w:sz w:val="24"/>
          <w:szCs w:val="24"/>
        </w:rPr>
        <w:t xml:space="preserve"> Impact Statement</w:t>
      </w:r>
      <w:r w:rsidR="000466FA">
        <w:rPr>
          <w:sz w:val="24"/>
          <w:szCs w:val="24"/>
        </w:rPr>
        <w:t xml:space="preserve"> (RIS)</w:t>
      </w:r>
      <w:r>
        <w:rPr>
          <w:sz w:val="24"/>
          <w:szCs w:val="24"/>
        </w:rPr>
        <w:t xml:space="preserve"> relates to the </w:t>
      </w:r>
      <w:r w:rsidR="00766E8E" w:rsidRPr="00766E8E">
        <w:rPr>
          <w:sz w:val="24"/>
          <w:szCs w:val="24"/>
        </w:rPr>
        <w:t xml:space="preserve">Free Trade Agreement between Australia and the United Kingdom of Great Britain and Northern Ireland </w:t>
      </w:r>
      <w:r>
        <w:rPr>
          <w:sz w:val="24"/>
          <w:szCs w:val="24"/>
        </w:rPr>
        <w:t>(AU-UK FTA)</w:t>
      </w:r>
      <w:r w:rsidR="00457897">
        <w:rPr>
          <w:sz w:val="24"/>
          <w:szCs w:val="24"/>
        </w:rPr>
        <w:t>.</w:t>
      </w:r>
      <w:r w:rsidR="00E62BB7">
        <w:rPr>
          <w:sz w:val="24"/>
          <w:szCs w:val="24"/>
        </w:rPr>
        <w:t xml:space="preserve"> </w:t>
      </w:r>
    </w:p>
    <w:p w14:paraId="225474E7" w14:textId="77777777" w:rsidR="00BA1F24" w:rsidRDefault="00BA1F24" w:rsidP="00BA1F24">
      <w:pPr>
        <w:pStyle w:val="ListParagraph"/>
        <w:ind w:left="360"/>
        <w:rPr>
          <w:sz w:val="24"/>
          <w:szCs w:val="24"/>
        </w:rPr>
      </w:pPr>
    </w:p>
    <w:p w14:paraId="7F4F02A0" w14:textId="4C6B89AF" w:rsidR="005D0C28" w:rsidRDefault="00EB5B04" w:rsidP="00206944">
      <w:pPr>
        <w:pStyle w:val="ListParagraph"/>
        <w:numPr>
          <w:ilvl w:val="0"/>
          <w:numId w:val="1"/>
        </w:numPr>
        <w:ind w:left="567" w:hanging="567"/>
        <w:rPr>
          <w:sz w:val="24"/>
          <w:szCs w:val="24"/>
        </w:rPr>
      </w:pPr>
      <w:r>
        <w:rPr>
          <w:sz w:val="24"/>
          <w:szCs w:val="24"/>
        </w:rPr>
        <w:t xml:space="preserve">In accordance with the Australian Government’s Guide to </w:t>
      </w:r>
      <w:r w:rsidR="00C71D46">
        <w:rPr>
          <w:sz w:val="24"/>
          <w:szCs w:val="24"/>
        </w:rPr>
        <w:t>Regulatory Impact Analysis</w:t>
      </w:r>
      <w:r w:rsidR="000466FA">
        <w:rPr>
          <w:sz w:val="24"/>
          <w:szCs w:val="24"/>
        </w:rPr>
        <w:t xml:space="preserve">, the Department of Foreign Affairs and Trade (DFAT) has completed this RIS </w:t>
      </w:r>
      <w:r w:rsidR="001F18A0">
        <w:rPr>
          <w:sz w:val="24"/>
          <w:szCs w:val="24"/>
        </w:rPr>
        <w:t>to analyse the impact of the decision to sign a bilateral free trade agreement with the United Kingdom</w:t>
      </w:r>
      <w:r w:rsidR="00457897">
        <w:rPr>
          <w:sz w:val="24"/>
          <w:szCs w:val="24"/>
        </w:rPr>
        <w:t xml:space="preserve"> (UK)</w:t>
      </w:r>
      <w:r w:rsidR="001F18A0">
        <w:rPr>
          <w:sz w:val="24"/>
          <w:szCs w:val="24"/>
        </w:rPr>
        <w:t xml:space="preserve">. </w:t>
      </w:r>
      <w:r w:rsidR="00F410A4">
        <w:rPr>
          <w:sz w:val="24"/>
          <w:szCs w:val="24"/>
        </w:rPr>
        <w:t>A</w:t>
      </w:r>
      <w:r w:rsidR="00F410A4" w:rsidRPr="005756E1">
        <w:rPr>
          <w:sz w:val="24"/>
          <w:szCs w:val="24"/>
        </w:rPr>
        <w:t xml:space="preserve"> RIS</w:t>
      </w:r>
      <w:r w:rsidR="00F410A4">
        <w:rPr>
          <w:sz w:val="24"/>
          <w:szCs w:val="24"/>
        </w:rPr>
        <w:t xml:space="preserve"> to inform the decision to commence negotiations </w:t>
      </w:r>
      <w:r w:rsidR="00F410A4" w:rsidRPr="005756E1">
        <w:rPr>
          <w:sz w:val="24"/>
          <w:szCs w:val="24"/>
        </w:rPr>
        <w:t>was prepared by DFAT in consultation with the Office of Best Practice Regulation (OBPR) in 201</w:t>
      </w:r>
      <w:r w:rsidR="00F410A4">
        <w:rPr>
          <w:sz w:val="24"/>
          <w:szCs w:val="24"/>
        </w:rPr>
        <w:t>9.</w:t>
      </w:r>
      <w:r w:rsidR="003A74B4">
        <w:rPr>
          <w:sz w:val="24"/>
          <w:szCs w:val="24"/>
        </w:rPr>
        <w:t xml:space="preserve"> </w:t>
      </w:r>
    </w:p>
    <w:p w14:paraId="3CF35BA9" w14:textId="77777777" w:rsidR="001F18A0" w:rsidRPr="001F18A0" w:rsidRDefault="001F18A0" w:rsidP="001F18A0">
      <w:pPr>
        <w:pStyle w:val="ListParagraph"/>
        <w:rPr>
          <w:sz w:val="24"/>
          <w:szCs w:val="24"/>
        </w:rPr>
      </w:pPr>
    </w:p>
    <w:p w14:paraId="1524BE85" w14:textId="141726A8" w:rsidR="005D0C28" w:rsidRPr="001F18A0" w:rsidRDefault="00457897" w:rsidP="00206944">
      <w:pPr>
        <w:pStyle w:val="ListParagraph"/>
        <w:numPr>
          <w:ilvl w:val="0"/>
          <w:numId w:val="1"/>
        </w:numPr>
        <w:ind w:left="567" w:hanging="567"/>
        <w:rPr>
          <w:sz w:val="24"/>
          <w:szCs w:val="24"/>
        </w:rPr>
      </w:pPr>
      <w:r>
        <w:rPr>
          <w:sz w:val="24"/>
          <w:szCs w:val="24"/>
        </w:rPr>
        <w:t>O</w:t>
      </w:r>
      <w:r w:rsidRPr="001F18A0">
        <w:rPr>
          <w:sz w:val="24"/>
          <w:szCs w:val="24"/>
        </w:rPr>
        <w:t>n 17 June 2020</w:t>
      </w:r>
      <w:r>
        <w:rPr>
          <w:sz w:val="24"/>
          <w:szCs w:val="24"/>
        </w:rPr>
        <w:t>, the</w:t>
      </w:r>
      <w:r w:rsidR="005D0C28" w:rsidRPr="001F18A0">
        <w:rPr>
          <w:sz w:val="24"/>
          <w:szCs w:val="24"/>
        </w:rPr>
        <w:t xml:space="preserve"> then Minister for Trade, Tourism and Investment Simon Birmingham launched negotiations for a</w:t>
      </w:r>
      <w:r w:rsidR="0058166F">
        <w:rPr>
          <w:sz w:val="24"/>
          <w:szCs w:val="24"/>
        </w:rPr>
        <w:t xml:space="preserve">n </w:t>
      </w:r>
      <w:r w:rsidR="005D0C28" w:rsidRPr="001F18A0">
        <w:rPr>
          <w:sz w:val="24"/>
          <w:szCs w:val="24"/>
        </w:rPr>
        <w:t>FTA with his UK counterpart</w:t>
      </w:r>
      <w:r>
        <w:rPr>
          <w:sz w:val="24"/>
          <w:szCs w:val="24"/>
        </w:rPr>
        <w:t>,</w:t>
      </w:r>
      <w:r w:rsidR="005D0C28" w:rsidRPr="001F18A0">
        <w:rPr>
          <w:sz w:val="24"/>
          <w:szCs w:val="24"/>
        </w:rPr>
        <w:t xml:space="preserve"> the </w:t>
      </w:r>
      <w:r w:rsidR="003E6795">
        <w:rPr>
          <w:sz w:val="24"/>
          <w:szCs w:val="24"/>
        </w:rPr>
        <w:t xml:space="preserve">then </w:t>
      </w:r>
      <w:r w:rsidR="005D0C28" w:rsidRPr="001F18A0">
        <w:rPr>
          <w:sz w:val="24"/>
          <w:szCs w:val="24"/>
        </w:rPr>
        <w:t>Secretary of State for International Trade</w:t>
      </w:r>
      <w:r w:rsidR="00270D48">
        <w:rPr>
          <w:sz w:val="24"/>
          <w:szCs w:val="24"/>
        </w:rPr>
        <w:t>,</w:t>
      </w:r>
      <w:r w:rsidR="005D0C28" w:rsidRPr="001F18A0">
        <w:rPr>
          <w:sz w:val="24"/>
          <w:szCs w:val="24"/>
        </w:rPr>
        <w:t xml:space="preserve"> Elizabeth Truss. </w:t>
      </w:r>
      <w:r w:rsidR="005C19D2">
        <w:rPr>
          <w:sz w:val="24"/>
          <w:szCs w:val="24"/>
        </w:rPr>
        <w:t>F</w:t>
      </w:r>
      <w:r w:rsidR="005D0C28" w:rsidRPr="00FB2279">
        <w:rPr>
          <w:sz w:val="24"/>
          <w:szCs w:val="24"/>
        </w:rPr>
        <w:t xml:space="preserve">ive </w:t>
      </w:r>
      <w:r w:rsidR="00FB2279">
        <w:rPr>
          <w:sz w:val="24"/>
          <w:szCs w:val="24"/>
        </w:rPr>
        <w:t xml:space="preserve">formal </w:t>
      </w:r>
      <w:r w:rsidR="005D0C28" w:rsidRPr="00FB2279">
        <w:rPr>
          <w:sz w:val="24"/>
          <w:szCs w:val="24"/>
        </w:rPr>
        <w:t>rounds of negotiations</w:t>
      </w:r>
      <w:r w:rsidR="0024100C" w:rsidRPr="00FB2279">
        <w:rPr>
          <w:sz w:val="24"/>
          <w:szCs w:val="24"/>
        </w:rPr>
        <w:t xml:space="preserve"> </w:t>
      </w:r>
      <w:r w:rsidR="005C19D2">
        <w:rPr>
          <w:sz w:val="24"/>
          <w:szCs w:val="24"/>
        </w:rPr>
        <w:t>were</w:t>
      </w:r>
      <w:r w:rsidR="0024100C" w:rsidRPr="00FB2279">
        <w:rPr>
          <w:sz w:val="24"/>
          <w:szCs w:val="24"/>
        </w:rPr>
        <w:t xml:space="preserve"> held</w:t>
      </w:r>
      <w:r w:rsidR="005D0C28" w:rsidRPr="00FB2279">
        <w:rPr>
          <w:sz w:val="24"/>
          <w:szCs w:val="24"/>
        </w:rPr>
        <w:t xml:space="preserve"> </w:t>
      </w:r>
      <w:r w:rsidR="00C91245">
        <w:rPr>
          <w:sz w:val="24"/>
          <w:szCs w:val="24"/>
        </w:rPr>
        <w:t xml:space="preserve">through </w:t>
      </w:r>
      <w:r w:rsidR="005C19D2">
        <w:rPr>
          <w:sz w:val="24"/>
          <w:szCs w:val="24"/>
        </w:rPr>
        <w:t>a</w:t>
      </w:r>
      <w:r w:rsidR="00C91245">
        <w:rPr>
          <w:sz w:val="24"/>
          <w:szCs w:val="24"/>
        </w:rPr>
        <w:t xml:space="preserve"> </w:t>
      </w:r>
      <w:r w:rsidR="005D0C28" w:rsidRPr="00FB2279">
        <w:rPr>
          <w:sz w:val="24"/>
          <w:szCs w:val="24"/>
        </w:rPr>
        <w:t>virtual</w:t>
      </w:r>
      <w:r w:rsidR="00C91245">
        <w:rPr>
          <w:sz w:val="24"/>
          <w:szCs w:val="24"/>
        </w:rPr>
        <w:t xml:space="preserve"> format</w:t>
      </w:r>
      <w:r w:rsidR="005D0C28" w:rsidRPr="001F18A0">
        <w:rPr>
          <w:sz w:val="24"/>
          <w:szCs w:val="24"/>
        </w:rPr>
        <w:t xml:space="preserve">. The first round of negotiations was </w:t>
      </w:r>
      <w:r>
        <w:rPr>
          <w:sz w:val="24"/>
          <w:szCs w:val="24"/>
        </w:rPr>
        <w:t xml:space="preserve">held </w:t>
      </w:r>
      <w:r w:rsidR="005D0C28" w:rsidRPr="001F18A0">
        <w:rPr>
          <w:sz w:val="24"/>
          <w:szCs w:val="24"/>
        </w:rPr>
        <w:t xml:space="preserve">from 29 June </w:t>
      </w:r>
      <w:r w:rsidR="00AF20B1" w:rsidRPr="001F18A0">
        <w:rPr>
          <w:sz w:val="24"/>
          <w:szCs w:val="24"/>
        </w:rPr>
        <w:t>to</w:t>
      </w:r>
      <w:r w:rsidR="005D0C28" w:rsidRPr="001F18A0">
        <w:rPr>
          <w:sz w:val="24"/>
          <w:szCs w:val="24"/>
        </w:rPr>
        <w:t xml:space="preserve"> 10 July </w:t>
      </w:r>
      <w:r>
        <w:rPr>
          <w:sz w:val="24"/>
          <w:szCs w:val="24"/>
        </w:rPr>
        <w:t xml:space="preserve">and </w:t>
      </w:r>
      <w:r w:rsidR="005D0C28" w:rsidRPr="001F18A0">
        <w:rPr>
          <w:sz w:val="24"/>
          <w:szCs w:val="24"/>
        </w:rPr>
        <w:t xml:space="preserve">the second round from 21 September </w:t>
      </w:r>
      <w:r w:rsidR="00AF20B1" w:rsidRPr="001F18A0">
        <w:rPr>
          <w:sz w:val="24"/>
          <w:szCs w:val="24"/>
        </w:rPr>
        <w:t>to</w:t>
      </w:r>
      <w:r w:rsidR="005D0C28" w:rsidRPr="001F18A0">
        <w:rPr>
          <w:sz w:val="24"/>
          <w:szCs w:val="24"/>
        </w:rPr>
        <w:t xml:space="preserve"> 2 October</w:t>
      </w:r>
      <w:r>
        <w:rPr>
          <w:sz w:val="24"/>
          <w:szCs w:val="24"/>
        </w:rPr>
        <w:t xml:space="preserve"> 2020</w:t>
      </w:r>
      <w:r w:rsidR="005D0C28" w:rsidRPr="001F18A0">
        <w:rPr>
          <w:sz w:val="24"/>
          <w:szCs w:val="24"/>
        </w:rPr>
        <w:t xml:space="preserve">. The third round of negotiations was </w:t>
      </w:r>
      <w:r>
        <w:rPr>
          <w:sz w:val="24"/>
          <w:szCs w:val="24"/>
        </w:rPr>
        <w:t xml:space="preserve">held </w:t>
      </w:r>
      <w:r w:rsidR="005D0C28" w:rsidRPr="001F18A0">
        <w:rPr>
          <w:sz w:val="24"/>
          <w:szCs w:val="24"/>
        </w:rPr>
        <w:t>from 23 November to 4 December</w:t>
      </w:r>
      <w:r>
        <w:rPr>
          <w:sz w:val="24"/>
          <w:szCs w:val="24"/>
        </w:rPr>
        <w:t xml:space="preserve"> 2020</w:t>
      </w:r>
      <w:r w:rsidR="0024100C" w:rsidRPr="001F18A0">
        <w:rPr>
          <w:sz w:val="24"/>
          <w:szCs w:val="24"/>
        </w:rPr>
        <w:t xml:space="preserve">, </w:t>
      </w:r>
      <w:r w:rsidR="005D0C28" w:rsidRPr="001F18A0">
        <w:rPr>
          <w:sz w:val="24"/>
          <w:szCs w:val="24"/>
        </w:rPr>
        <w:t>the fourth round from 22 February to 5 March 2021</w:t>
      </w:r>
      <w:r w:rsidR="00270D48">
        <w:rPr>
          <w:sz w:val="24"/>
          <w:szCs w:val="24"/>
        </w:rPr>
        <w:t>,</w:t>
      </w:r>
      <w:r w:rsidR="00C01A3C" w:rsidRPr="001F18A0">
        <w:rPr>
          <w:sz w:val="24"/>
          <w:szCs w:val="24"/>
        </w:rPr>
        <w:t xml:space="preserve"> and</w:t>
      </w:r>
      <w:r w:rsidR="005D0C28" w:rsidRPr="001F18A0">
        <w:rPr>
          <w:sz w:val="24"/>
          <w:szCs w:val="24"/>
        </w:rPr>
        <w:t xml:space="preserve"> the </w:t>
      </w:r>
      <w:r w:rsidR="005D0C28" w:rsidRPr="00DF6590">
        <w:rPr>
          <w:sz w:val="24"/>
          <w:szCs w:val="24"/>
        </w:rPr>
        <w:t>fifth round</w:t>
      </w:r>
      <w:r w:rsidR="005D0C28" w:rsidRPr="001F18A0">
        <w:rPr>
          <w:sz w:val="24"/>
          <w:szCs w:val="24"/>
        </w:rPr>
        <w:t xml:space="preserve"> from 4 May to 2 June</w:t>
      </w:r>
      <w:r>
        <w:rPr>
          <w:sz w:val="24"/>
          <w:szCs w:val="24"/>
        </w:rPr>
        <w:t xml:space="preserve"> 2021</w:t>
      </w:r>
      <w:r w:rsidR="00C01A3C" w:rsidRPr="001F18A0">
        <w:rPr>
          <w:sz w:val="24"/>
          <w:szCs w:val="24"/>
        </w:rPr>
        <w:t>.</w:t>
      </w:r>
      <w:r w:rsidR="0024100C" w:rsidRPr="001F18A0">
        <w:rPr>
          <w:sz w:val="24"/>
          <w:szCs w:val="24"/>
        </w:rPr>
        <w:t xml:space="preserve"> </w:t>
      </w:r>
      <w:r w:rsidR="00C01A3C" w:rsidRPr="001F18A0">
        <w:rPr>
          <w:sz w:val="24"/>
          <w:szCs w:val="24"/>
        </w:rPr>
        <w:t>F</w:t>
      </w:r>
      <w:r w:rsidR="0024100C" w:rsidRPr="001F18A0">
        <w:rPr>
          <w:sz w:val="24"/>
          <w:szCs w:val="24"/>
        </w:rPr>
        <w:t xml:space="preserve">rom July to </w:t>
      </w:r>
      <w:r w:rsidR="005C19D2">
        <w:rPr>
          <w:sz w:val="24"/>
          <w:szCs w:val="24"/>
        </w:rPr>
        <w:t>November</w:t>
      </w:r>
      <w:r w:rsidR="0024100C" w:rsidRPr="001F18A0">
        <w:rPr>
          <w:sz w:val="24"/>
          <w:szCs w:val="24"/>
        </w:rPr>
        <w:t xml:space="preserve"> </w:t>
      </w:r>
      <w:r>
        <w:rPr>
          <w:sz w:val="24"/>
          <w:szCs w:val="24"/>
        </w:rPr>
        <w:t>2021,</w:t>
      </w:r>
      <w:r w:rsidR="00E62BB7">
        <w:rPr>
          <w:sz w:val="24"/>
          <w:szCs w:val="24"/>
        </w:rPr>
        <w:t xml:space="preserve"> </w:t>
      </w:r>
      <w:r w:rsidR="0024100C" w:rsidRPr="001F18A0">
        <w:rPr>
          <w:sz w:val="24"/>
          <w:szCs w:val="24"/>
        </w:rPr>
        <w:t xml:space="preserve">rolling </w:t>
      </w:r>
      <w:r>
        <w:rPr>
          <w:sz w:val="24"/>
          <w:szCs w:val="24"/>
        </w:rPr>
        <w:t xml:space="preserve">negotiating </w:t>
      </w:r>
      <w:r w:rsidR="0024100C" w:rsidRPr="001F18A0">
        <w:rPr>
          <w:sz w:val="24"/>
          <w:szCs w:val="24"/>
        </w:rPr>
        <w:t>sessions</w:t>
      </w:r>
      <w:r>
        <w:rPr>
          <w:sz w:val="24"/>
          <w:szCs w:val="24"/>
        </w:rPr>
        <w:t xml:space="preserve"> were held</w:t>
      </w:r>
      <w:r w:rsidR="005D0C28" w:rsidRPr="001F18A0">
        <w:rPr>
          <w:sz w:val="24"/>
          <w:szCs w:val="24"/>
        </w:rPr>
        <w:t>.</w:t>
      </w:r>
      <w:r w:rsidR="00C91245">
        <w:rPr>
          <w:sz w:val="24"/>
          <w:szCs w:val="24"/>
        </w:rPr>
        <w:t xml:space="preserve"> The Minister for Trade, Tourism and Investment, Dan Tehan, negotiated elements of the agreement with his UK counterpart</w:t>
      </w:r>
      <w:r w:rsidR="005C19D2">
        <w:rPr>
          <w:sz w:val="24"/>
          <w:szCs w:val="24"/>
        </w:rPr>
        <w:t>s</w:t>
      </w:r>
      <w:r w:rsidR="00C91245">
        <w:rPr>
          <w:sz w:val="24"/>
          <w:szCs w:val="24"/>
        </w:rPr>
        <w:t xml:space="preserve"> </w:t>
      </w:r>
      <w:r w:rsidR="005C19D2">
        <w:rPr>
          <w:sz w:val="24"/>
          <w:szCs w:val="24"/>
        </w:rPr>
        <w:t>(Secretary of State Truss, and</w:t>
      </w:r>
      <w:r w:rsidR="00713D48">
        <w:rPr>
          <w:sz w:val="24"/>
          <w:szCs w:val="24"/>
        </w:rPr>
        <w:t xml:space="preserve"> </w:t>
      </w:r>
      <w:r w:rsidR="00713D48">
        <w:rPr>
          <w:sz w:val="24"/>
          <w:szCs w:val="24"/>
        </w:rPr>
        <w:t>following her appointment on 15 September 2021</w:t>
      </w:r>
      <w:r w:rsidR="00713D48">
        <w:rPr>
          <w:sz w:val="24"/>
          <w:szCs w:val="24"/>
        </w:rPr>
        <w:t xml:space="preserve">, </w:t>
      </w:r>
      <w:r w:rsidR="005C19D2">
        <w:rPr>
          <w:sz w:val="24"/>
          <w:szCs w:val="24"/>
        </w:rPr>
        <w:t>Secretary of State for International Trade Anne-Marie</w:t>
      </w:r>
      <w:r w:rsidR="00713D48" w:rsidRPr="00713D48">
        <w:rPr>
          <w:sz w:val="24"/>
          <w:szCs w:val="24"/>
        </w:rPr>
        <w:t xml:space="preserve"> </w:t>
      </w:r>
      <w:r w:rsidR="00713D48">
        <w:rPr>
          <w:sz w:val="24"/>
          <w:szCs w:val="24"/>
        </w:rPr>
        <w:t>Trevelyan</w:t>
      </w:r>
      <w:r w:rsidR="005C19D2">
        <w:rPr>
          <w:sz w:val="24"/>
          <w:szCs w:val="24"/>
        </w:rPr>
        <w:t>)</w:t>
      </w:r>
      <w:r w:rsidR="00270D48" w:rsidRPr="00270D48">
        <w:rPr>
          <w:sz w:val="24"/>
          <w:szCs w:val="24"/>
        </w:rPr>
        <w:t xml:space="preserve"> </w:t>
      </w:r>
      <w:r w:rsidR="00270D48">
        <w:rPr>
          <w:sz w:val="24"/>
          <w:szCs w:val="24"/>
        </w:rPr>
        <w:t xml:space="preserve">in regular </w:t>
      </w:r>
      <w:r w:rsidR="00270D48" w:rsidRPr="00A55C09">
        <w:rPr>
          <w:sz w:val="24"/>
          <w:szCs w:val="24"/>
        </w:rPr>
        <w:t>virtual meetings</w:t>
      </w:r>
      <w:r w:rsidR="00270D48">
        <w:rPr>
          <w:sz w:val="24"/>
          <w:szCs w:val="24"/>
        </w:rPr>
        <w:t xml:space="preserve"> over the course of negotiations and</w:t>
      </w:r>
      <w:r w:rsidR="005C19D2">
        <w:rPr>
          <w:sz w:val="24"/>
          <w:szCs w:val="24"/>
        </w:rPr>
        <w:t xml:space="preserve"> </w:t>
      </w:r>
      <w:r w:rsidR="00C91245">
        <w:rPr>
          <w:sz w:val="24"/>
          <w:szCs w:val="24"/>
        </w:rPr>
        <w:t>when he visited London in April</w:t>
      </w:r>
      <w:r w:rsidR="005C19D2">
        <w:rPr>
          <w:sz w:val="24"/>
          <w:szCs w:val="24"/>
        </w:rPr>
        <w:t xml:space="preserve"> and October</w:t>
      </w:r>
      <w:r w:rsidR="00270D48">
        <w:rPr>
          <w:sz w:val="24"/>
          <w:szCs w:val="24"/>
        </w:rPr>
        <w:t xml:space="preserve"> 2021</w:t>
      </w:r>
      <w:r w:rsidR="00C91245" w:rsidRPr="00A55C09">
        <w:rPr>
          <w:sz w:val="24"/>
          <w:szCs w:val="24"/>
        </w:rPr>
        <w:t>.</w:t>
      </w:r>
      <w:r w:rsidR="00C91245">
        <w:rPr>
          <w:sz w:val="24"/>
          <w:szCs w:val="24"/>
        </w:rPr>
        <w:t xml:space="preserve"> </w:t>
      </w:r>
      <w:r w:rsidR="005D0C28" w:rsidRPr="001F18A0">
        <w:rPr>
          <w:sz w:val="24"/>
          <w:szCs w:val="24"/>
        </w:rPr>
        <w:t xml:space="preserve"> </w:t>
      </w:r>
    </w:p>
    <w:p w14:paraId="3DADBAAD" w14:textId="77777777" w:rsidR="005D0C28" w:rsidRDefault="005D0C28" w:rsidP="005D0C28">
      <w:pPr>
        <w:pStyle w:val="ListParagraph"/>
        <w:ind w:left="360"/>
        <w:rPr>
          <w:sz w:val="24"/>
          <w:szCs w:val="24"/>
        </w:rPr>
      </w:pPr>
    </w:p>
    <w:p w14:paraId="45180DAA" w14:textId="3CA86574" w:rsidR="005D0C28" w:rsidRPr="007D616B" w:rsidRDefault="00895315" w:rsidP="00206944">
      <w:pPr>
        <w:pStyle w:val="ListParagraph"/>
        <w:numPr>
          <w:ilvl w:val="0"/>
          <w:numId w:val="1"/>
        </w:numPr>
        <w:ind w:left="567" w:hanging="567"/>
        <w:rPr>
          <w:sz w:val="24"/>
          <w:szCs w:val="24"/>
        </w:rPr>
      </w:pPr>
      <w:r>
        <w:rPr>
          <w:sz w:val="24"/>
          <w:szCs w:val="24"/>
        </w:rPr>
        <w:t>A</w:t>
      </w:r>
      <w:r w:rsidR="00457897">
        <w:rPr>
          <w:sz w:val="24"/>
          <w:szCs w:val="24"/>
        </w:rPr>
        <w:t xml:space="preserve">t the April 2021 Ministerial discussions in London, </w:t>
      </w:r>
      <w:r>
        <w:rPr>
          <w:sz w:val="24"/>
          <w:szCs w:val="24"/>
        </w:rPr>
        <w:t xml:space="preserve">Minister </w:t>
      </w:r>
      <w:r w:rsidR="00457897">
        <w:rPr>
          <w:sz w:val="24"/>
          <w:szCs w:val="24"/>
        </w:rPr>
        <w:t xml:space="preserve">Tehan and </w:t>
      </w:r>
      <w:r w:rsidR="003E6795">
        <w:rPr>
          <w:sz w:val="24"/>
          <w:szCs w:val="24"/>
        </w:rPr>
        <w:t xml:space="preserve">then </w:t>
      </w:r>
      <w:r w:rsidR="00457897">
        <w:rPr>
          <w:sz w:val="24"/>
          <w:szCs w:val="24"/>
        </w:rPr>
        <w:t xml:space="preserve">Secretary of State Truss agreed that </w:t>
      </w:r>
      <w:r>
        <w:rPr>
          <w:sz w:val="24"/>
          <w:szCs w:val="24"/>
        </w:rPr>
        <w:t>t</w:t>
      </w:r>
      <w:r w:rsidRPr="005756E1">
        <w:rPr>
          <w:sz w:val="24"/>
          <w:szCs w:val="24"/>
        </w:rPr>
        <w:t>he UK</w:t>
      </w:r>
      <w:r>
        <w:rPr>
          <w:sz w:val="24"/>
          <w:szCs w:val="24"/>
        </w:rPr>
        <w:t xml:space="preserve"> and Australia would expedite negotiations </w:t>
      </w:r>
      <w:r w:rsidR="00F44187">
        <w:rPr>
          <w:sz w:val="24"/>
          <w:szCs w:val="24"/>
        </w:rPr>
        <w:t>with the aim of</w:t>
      </w:r>
      <w:r>
        <w:rPr>
          <w:sz w:val="24"/>
          <w:szCs w:val="24"/>
        </w:rPr>
        <w:t xml:space="preserve"> </w:t>
      </w:r>
      <w:r w:rsidR="00F44187">
        <w:rPr>
          <w:sz w:val="24"/>
          <w:szCs w:val="24"/>
        </w:rPr>
        <w:t>announcing</w:t>
      </w:r>
      <w:r w:rsidR="00F44187" w:rsidRPr="005756E1">
        <w:rPr>
          <w:sz w:val="24"/>
          <w:szCs w:val="24"/>
        </w:rPr>
        <w:t xml:space="preserve"> </w:t>
      </w:r>
      <w:r>
        <w:rPr>
          <w:sz w:val="24"/>
          <w:szCs w:val="24"/>
        </w:rPr>
        <w:t xml:space="preserve">an </w:t>
      </w:r>
      <w:r w:rsidRPr="005756E1">
        <w:rPr>
          <w:sz w:val="24"/>
          <w:szCs w:val="24"/>
        </w:rPr>
        <w:t>‘Agreement in Principle’</w:t>
      </w:r>
      <w:r>
        <w:rPr>
          <w:sz w:val="24"/>
          <w:szCs w:val="24"/>
        </w:rPr>
        <w:t xml:space="preserve"> (</w:t>
      </w:r>
      <w:proofErr w:type="spellStart"/>
      <w:r>
        <w:rPr>
          <w:sz w:val="24"/>
          <w:szCs w:val="24"/>
        </w:rPr>
        <w:t>AiP</w:t>
      </w:r>
      <w:proofErr w:type="spellEnd"/>
      <w:r>
        <w:rPr>
          <w:sz w:val="24"/>
          <w:szCs w:val="24"/>
        </w:rPr>
        <w:t>) immediately</w:t>
      </w:r>
      <w:r w:rsidRPr="005756E1">
        <w:rPr>
          <w:sz w:val="24"/>
          <w:szCs w:val="24"/>
        </w:rPr>
        <w:t xml:space="preserve"> after the G7 Summit</w:t>
      </w:r>
      <w:r w:rsidR="007D616B">
        <w:rPr>
          <w:sz w:val="24"/>
          <w:szCs w:val="24"/>
        </w:rPr>
        <w:t xml:space="preserve">. </w:t>
      </w:r>
      <w:r w:rsidR="005D0C28" w:rsidRPr="007D616B">
        <w:rPr>
          <w:sz w:val="24"/>
          <w:szCs w:val="24"/>
        </w:rPr>
        <w:t>On 1</w:t>
      </w:r>
      <w:r w:rsidR="00270D48">
        <w:rPr>
          <w:sz w:val="24"/>
          <w:szCs w:val="24"/>
        </w:rPr>
        <w:t>6</w:t>
      </w:r>
      <w:r w:rsidR="005D0C28" w:rsidRPr="007D616B">
        <w:rPr>
          <w:sz w:val="24"/>
          <w:szCs w:val="24"/>
        </w:rPr>
        <w:t xml:space="preserve"> June 2021, Australian Prime Minister Scott Morrison and UK Prime Minister Boris Johnson </w:t>
      </w:r>
      <w:r w:rsidR="00F44187" w:rsidRPr="007D616B">
        <w:rPr>
          <w:sz w:val="24"/>
          <w:szCs w:val="24"/>
        </w:rPr>
        <w:t xml:space="preserve">announced that an agreement in principle had been reached </w:t>
      </w:r>
      <w:r w:rsidR="005D0C28" w:rsidRPr="007D616B">
        <w:rPr>
          <w:sz w:val="24"/>
          <w:szCs w:val="24"/>
        </w:rPr>
        <w:t xml:space="preserve">on core elements of the free trade agreement negotiations. </w:t>
      </w:r>
      <w:r w:rsidR="005D0C28" w:rsidRPr="007D616B">
        <w:rPr>
          <w:b/>
          <w:bCs/>
          <w:sz w:val="24"/>
          <w:szCs w:val="24"/>
        </w:rPr>
        <w:t xml:space="preserve">(See Attachment </w:t>
      </w:r>
      <w:r w:rsidR="000C7448" w:rsidRPr="007D616B">
        <w:rPr>
          <w:b/>
          <w:bCs/>
          <w:sz w:val="24"/>
          <w:szCs w:val="24"/>
        </w:rPr>
        <w:t>A</w:t>
      </w:r>
      <w:r w:rsidR="005D0C28" w:rsidRPr="007D616B">
        <w:rPr>
          <w:b/>
          <w:bCs/>
          <w:sz w:val="24"/>
          <w:szCs w:val="24"/>
        </w:rPr>
        <w:t xml:space="preserve"> – AU-UK FTA negotiations – Agreement in Principle (</w:t>
      </w:r>
      <w:proofErr w:type="spellStart"/>
      <w:r w:rsidR="005D0C28" w:rsidRPr="007D616B">
        <w:rPr>
          <w:b/>
          <w:bCs/>
          <w:sz w:val="24"/>
          <w:szCs w:val="24"/>
        </w:rPr>
        <w:t>AiP</w:t>
      </w:r>
      <w:proofErr w:type="spellEnd"/>
      <w:r w:rsidR="005D0C28" w:rsidRPr="007D616B">
        <w:rPr>
          <w:b/>
          <w:bCs/>
          <w:sz w:val="24"/>
          <w:szCs w:val="24"/>
        </w:rPr>
        <w:t>))</w:t>
      </w:r>
      <w:r w:rsidR="005D0C28" w:rsidRPr="007D616B">
        <w:rPr>
          <w:sz w:val="24"/>
          <w:szCs w:val="24"/>
        </w:rPr>
        <w:t xml:space="preserve">. </w:t>
      </w:r>
      <w:r w:rsidR="00CE2B39" w:rsidRPr="007D616B">
        <w:rPr>
          <w:sz w:val="24"/>
          <w:szCs w:val="24"/>
        </w:rPr>
        <w:t xml:space="preserve">The </w:t>
      </w:r>
      <w:proofErr w:type="spellStart"/>
      <w:r w:rsidR="00CE2B39" w:rsidRPr="007D616B">
        <w:rPr>
          <w:sz w:val="24"/>
          <w:szCs w:val="24"/>
        </w:rPr>
        <w:t>AiP</w:t>
      </w:r>
      <w:proofErr w:type="spellEnd"/>
      <w:r w:rsidR="00CE2B39" w:rsidRPr="007D616B">
        <w:rPr>
          <w:sz w:val="24"/>
          <w:szCs w:val="24"/>
        </w:rPr>
        <w:t xml:space="preserve"> undertakings are reflected in the final agreement.</w:t>
      </w:r>
    </w:p>
    <w:p w14:paraId="46D0F96A" w14:textId="77777777" w:rsidR="005D0C28" w:rsidRPr="008C028F" w:rsidRDefault="005D0C28" w:rsidP="005D0C28">
      <w:pPr>
        <w:pStyle w:val="ListParagraph"/>
        <w:rPr>
          <w:sz w:val="24"/>
          <w:szCs w:val="24"/>
        </w:rPr>
      </w:pPr>
    </w:p>
    <w:p w14:paraId="3FA405E5" w14:textId="76F4539A" w:rsidR="0006725C" w:rsidRDefault="005D0C28" w:rsidP="00206944">
      <w:pPr>
        <w:pStyle w:val="ListParagraph"/>
        <w:numPr>
          <w:ilvl w:val="0"/>
          <w:numId w:val="1"/>
        </w:numPr>
        <w:ind w:left="567" w:hanging="567"/>
        <w:rPr>
          <w:sz w:val="24"/>
          <w:szCs w:val="24"/>
        </w:rPr>
      </w:pPr>
      <w:r>
        <w:rPr>
          <w:sz w:val="24"/>
          <w:szCs w:val="24"/>
        </w:rPr>
        <w:t>The</w:t>
      </w:r>
      <w:r w:rsidR="00C01A3C">
        <w:rPr>
          <w:sz w:val="24"/>
          <w:szCs w:val="24"/>
        </w:rPr>
        <w:t xml:space="preserve"> </w:t>
      </w:r>
      <w:r w:rsidR="003872E7">
        <w:rPr>
          <w:sz w:val="24"/>
          <w:szCs w:val="24"/>
        </w:rPr>
        <w:t xml:space="preserve">proposed </w:t>
      </w:r>
      <w:r>
        <w:rPr>
          <w:sz w:val="24"/>
          <w:szCs w:val="24"/>
        </w:rPr>
        <w:t xml:space="preserve">AU-UK FTA is a trade agreement </w:t>
      </w:r>
      <w:r w:rsidRPr="00F8768F">
        <w:rPr>
          <w:sz w:val="24"/>
          <w:szCs w:val="24"/>
        </w:rPr>
        <w:t xml:space="preserve">covering </w:t>
      </w:r>
      <w:r w:rsidR="00F8768F" w:rsidRPr="00F8768F">
        <w:rPr>
          <w:sz w:val="24"/>
          <w:szCs w:val="24"/>
        </w:rPr>
        <w:t>32</w:t>
      </w:r>
      <w:r w:rsidRPr="00F8768F">
        <w:rPr>
          <w:sz w:val="24"/>
          <w:szCs w:val="24"/>
        </w:rPr>
        <w:t xml:space="preserve"> Chapters.</w:t>
      </w:r>
      <w:r>
        <w:rPr>
          <w:sz w:val="24"/>
          <w:szCs w:val="24"/>
        </w:rPr>
        <w:t xml:space="preserve"> </w:t>
      </w:r>
      <w:r w:rsidR="000F66B0">
        <w:rPr>
          <w:sz w:val="24"/>
          <w:szCs w:val="24"/>
        </w:rPr>
        <w:t>Th</w:t>
      </w:r>
      <w:r w:rsidR="00F44187">
        <w:rPr>
          <w:sz w:val="24"/>
          <w:szCs w:val="24"/>
        </w:rPr>
        <w:t>ese</w:t>
      </w:r>
      <w:r w:rsidR="000F66B0">
        <w:rPr>
          <w:sz w:val="24"/>
          <w:szCs w:val="24"/>
        </w:rPr>
        <w:t xml:space="preserve"> include</w:t>
      </w:r>
      <w:r w:rsidR="00B15BD7" w:rsidRPr="00B15BD7">
        <w:rPr>
          <w:sz w:val="24"/>
          <w:szCs w:val="24"/>
        </w:rPr>
        <w:t xml:space="preserve"> trade in goods, trade in services, investment, </w:t>
      </w:r>
      <w:r w:rsidR="00B15BD7">
        <w:rPr>
          <w:sz w:val="24"/>
          <w:szCs w:val="24"/>
        </w:rPr>
        <w:t>digital trade</w:t>
      </w:r>
      <w:r w:rsidR="00B15BD7" w:rsidRPr="00B15BD7">
        <w:rPr>
          <w:sz w:val="24"/>
          <w:szCs w:val="24"/>
        </w:rPr>
        <w:t>, intellectual property, government procurement, competition</w:t>
      </w:r>
      <w:r w:rsidR="001B331D">
        <w:rPr>
          <w:sz w:val="24"/>
          <w:szCs w:val="24"/>
        </w:rPr>
        <w:t xml:space="preserve"> policy</w:t>
      </w:r>
      <w:r w:rsidR="00B15BD7" w:rsidRPr="00B15BD7">
        <w:rPr>
          <w:sz w:val="24"/>
          <w:szCs w:val="24"/>
        </w:rPr>
        <w:t xml:space="preserve">, </w:t>
      </w:r>
      <w:r w:rsidR="001B331D">
        <w:rPr>
          <w:sz w:val="24"/>
          <w:szCs w:val="24"/>
        </w:rPr>
        <w:t xml:space="preserve">state-owned enterprises, </w:t>
      </w:r>
      <w:r w:rsidR="00B15BD7">
        <w:rPr>
          <w:sz w:val="24"/>
          <w:szCs w:val="24"/>
        </w:rPr>
        <w:t>labour</w:t>
      </w:r>
      <w:r w:rsidR="000F66B0">
        <w:rPr>
          <w:sz w:val="24"/>
          <w:szCs w:val="24"/>
        </w:rPr>
        <w:t xml:space="preserve">, </w:t>
      </w:r>
      <w:r w:rsidR="00F44187">
        <w:rPr>
          <w:sz w:val="24"/>
          <w:szCs w:val="24"/>
        </w:rPr>
        <w:t xml:space="preserve">environment, </w:t>
      </w:r>
      <w:r w:rsidR="000F66B0">
        <w:rPr>
          <w:sz w:val="24"/>
          <w:szCs w:val="24"/>
        </w:rPr>
        <w:t xml:space="preserve">innovation, </w:t>
      </w:r>
      <w:proofErr w:type="gramStart"/>
      <w:r w:rsidR="000F66B0">
        <w:rPr>
          <w:sz w:val="24"/>
          <w:szCs w:val="24"/>
        </w:rPr>
        <w:t>development</w:t>
      </w:r>
      <w:proofErr w:type="gramEnd"/>
      <w:r w:rsidR="00B15BD7">
        <w:rPr>
          <w:sz w:val="24"/>
          <w:szCs w:val="24"/>
        </w:rPr>
        <w:t xml:space="preserve"> </w:t>
      </w:r>
      <w:r w:rsidR="00B15BD7" w:rsidRPr="00B15BD7">
        <w:rPr>
          <w:sz w:val="24"/>
          <w:szCs w:val="24"/>
        </w:rPr>
        <w:t>and small and medium sized enterprises.</w:t>
      </w:r>
    </w:p>
    <w:p w14:paraId="12830B05" w14:textId="3D6051E1" w:rsidR="0006725C" w:rsidRDefault="0006725C" w:rsidP="0006725C">
      <w:pPr>
        <w:pStyle w:val="ListParagraph"/>
        <w:rPr>
          <w:sz w:val="24"/>
          <w:szCs w:val="24"/>
        </w:rPr>
      </w:pPr>
    </w:p>
    <w:p w14:paraId="3331ED32" w14:textId="68EF7DFB" w:rsidR="00B22304" w:rsidRDefault="00B22304" w:rsidP="0006725C">
      <w:pPr>
        <w:pStyle w:val="ListParagraph"/>
        <w:rPr>
          <w:sz w:val="24"/>
          <w:szCs w:val="24"/>
        </w:rPr>
      </w:pPr>
    </w:p>
    <w:p w14:paraId="46C0FFB8" w14:textId="77777777" w:rsidR="00833466" w:rsidRPr="0006725C" w:rsidRDefault="00833466" w:rsidP="0006725C">
      <w:pPr>
        <w:pStyle w:val="ListParagraph"/>
        <w:rPr>
          <w:sz w:val="24"/>
          <w:szCs w:val="24"/>
        </w:rPr>
      </w:pPr>
    </w:p>
    <w:p w14:paraId="7F92BBFF" w14:textId="2BA6B5B2" w:rsidR="00636619" w:rsidRPr="0044128E" w:rsidRDefault="00B853AF" w:rsidP="0044128E">
      <w:pPr>
        <w:pStyle w:val="Heading1"/>
      </w:pPr>
      <w:bookmarkStart w:id="1" w:name="_Toc88748491"/>
      <w:r w:rsidRPr="00B853AF">
        <w:lastRenderedPageBreak/>
        <w:t xml:space="preserve">PROBLEM IDENTIFICATION – WHAT </w:t>
      </w:r>
      <w:r w:rsidR="00E46973">
        <w:t>POLICY PROBLEM ARE YOU TRYING TO SOLVE?</w:t>
      </w:r>
      <w:bookmarkEnd w:id="1"/>
      <w:r w:rsidR="00E46973">
        <w:t xml:space="preserve"> </w:t>
      </w:r>
    </w:p>
    <w:p w14:paraId="6E3F161B" w14:textId="0FED4E6A" w:rsidR="00110D56" w:rsidRDefault="00110D56" w:rsidP="000C7448">
      <w:pPr>
        <w:pStyle w:val="ListParagraph"/>
        <w:ind w:left="360"/>
        <w:rPr>
          <w:sz w:val="24"/>
          <w:szCs w:val="24"/>
        </w:rPr>
      </w:pPr>
    </w:p>
    <w:p w14:paraId="412A2B29" w14:textId="258C1900" w:rsidR="00B75102" w:rsidRPr="002808B4" w:rsidRDefault="00B75102" w:rsidP="00206944">
      <w:pPr>
        <w:pStyle w:val="ListParagraph"/>
        <w:numPr>
          <w:ilvl w:val="0"/>
          <w:numId w:val="1"/>
        </w:numPr>
        <w:ind w:left="567" w:hanging="567"/>
        <w:rPr>
          <w:sz w:val="24"/>
          <w:szCs w:val="24"/>
        </w:rPr>
      </w:pPr>
      <w:r w:rsidRPr="0061434A">
        <w:rPr>
          <w:sz w:val="24"/>
          <w:szCs w:val="24"/>
        </w:rPr>
        <w:t>Australia</w:t>
      </w:r>
      <w:r>
        <w:rPr>
          <w:sz w:val="24"/>
          <w:szCs w:val="24"/>
        </w:rPr>
        <w:t xml:space="preserve"> and the UK are close partners. Our relationship </w:t>
      </w:r>
      <w:r w:rsidRPr="0061434A">
        <w:rPr>
          <w:sz w:val="24"/>
          <w:szCs w:val="24"/>
        </w:rPr>
        <w:t xml:space="preserve">is underpinned by our shared heritage, common values, </w:t>
      </w:r>
      <w:r>
        <w:rPr>
          <w:sz w:val="24"/>
          <w:szCs w:val="24"/>
        </w:rPr>
        <w:t xml:space="preserve">including democracy and the rule of law, </w:t>
      </w:r>
      <w:r w:rsidRPr="0061434A">
        <w:rPr>
          <w:sz w:val="24"/>
          <w:szCs w:val="24"/>
        </w:rPr>
        <w:t>closely aligned strategic outlook and trade and investment links. Brexit</w:t>
      </w:r>
      <w:r>
        <w:rPr>
          <w:sz w:val="24"/>
          <w:szCs w:val="24"/>
        </w:rPr>
        <w:t xml:space="preserve">, and the UK’s resulting independent trade policy, </w:t>
      </w:r>
      <w:r w:rsidRPr="0061434A">
        <w:rPr>
          <w:sz w:val="24"/>
          <w:szCs w:val="24"/>
        </w:rPr>
        <w:t>has served to strengthen our ties</w:t>
      </w:r>
      <w:r>
        <w:rPr>
          <w:sz w:val="24"/>
          <w:szCs w:val="24"/>
        </w:rPr>
        <w:t xml:space="preserve"> and</w:t>
      </w:r>
      <w:r w:rsidRPr="0061434A">
        <w:rPr>
          <w:sz w:val="24"/>
          <w:szCs w:val="24"/>
        </w:rPr>
        <w:t xml:space="preserve"> revitalis</w:t>
      </w:r>
      <w:r>
        <w:rPr>
          <w:sz w:val="24"/>
          <w:szCs w:val="24"/>
        </w:rPr>
        <w:t>e</w:t>
      </w:r>
      <w:r w:rsidRPr="0061434A">
        <w:rPr>
          <w:sz w:val="24"/>
          <w:szCs w:val="24"/>
        </w:rPr>
        <w:t xml:space="preserve"> </w:t>
      </w:r>
      <w:r w:rsidR="00E87B83">
        <w:rPr>
          <w:sz w:val="24"/>
          <w:szCs w:val="24"/>
        </w:rPr>
        <w:t>our</w:t>
      </w:r>
      <w:r w:rsidR="00E87B83" w:rsidRPr="0061434A">
        <w:rPr>
          <w:sz w:val="24"/>
          <w:szCs w:val="24"/>
        </w:rPr>
        <w:t xml:space="preserve"> </w:t>
      </w:r>
      <w:r w:rsidR="00E87B83">
        <w:rPr>
          <w:sz w:val="24"/>
          <w:szCs w:val="24"/>
        </w:rPr>
        <w:t xml:space="preserve">bilateral </w:t>
      </w:r>
      <w:r w:rsidRPr="0061434A">
        <w:rPr>
          <w:sz w:val="24"/>
          <w:szCs w:val="24"/>
        </w:rPr>
        <w:t xml:space="preserve">relationship </w:t>
      </w:r>
      <w:r>
        <w:rPr>
          <w:sz w:val="24"/>
          <w:szCs w:val="24"/>
        </w:rPr>
        <w:t>to</w:t>
      </w:r>
      <w:r w:rsidRPr="0061434A">
        <w:rPr>
          <w:sz w:val="24"/>
          <w:szCs w:val="24"/>
        </w:rPr>
        <w:t xml:space="preserve"> focus on new opportunities.</w:t>
      </w:r>
    </w:p>
    <w:p w14:paraId="49DC1A0D" w14:textId="77777777" w:rsidR="00B75102" w:rsidRDefault="00B75102" w:rsidP="00B75102">
      <w:pPr>
        <w:pStyle w:val="ListParagraph"/>
        <w:ind w:left="360"/>
        <w:rPr>
          <w:sz w:val="24"/>
          <w:szCs w:val="24"/>
        </w:rPr>
      </w:pPr>
    </w:p>
    <w:p w14:paraId="56A72FE0" w14:textId="408FC128" w:rsidR="00B75102" w:rsidRPr="00B9513C" w:rsidRDefault="00B9513C" w:rsidP="00A55C09">
      <w:pPr>
        <w:pStyle w:val="ListParagraph"/>
        <w:numPr>
          <w:ilvl w:val="0"/>
          <w:numId w:val="1"/>
        </w:numPr>
        <w:ind w:left="567" w:hanging="567"/>
        <w:rPr>
          <w:sz w:val="24"/>
          <w:szCs w:val="24"/>
        </w:rPr>
      </w:pPr>
      <w:r w:rsidRPr="00B9513C">
        <w:rPr>
          <w:sz w:val="24"/>
          <w:szCs w:val="24"/>
        </w:rPr>
        <w:t xml:space="preserve">Australia and the UK have complementary trading economies. </w:t>
      </w:r>
      <w:r w:rsidRPr="00115909">
        <w:rPr>
          <w:sz w:val="24"/>
          <w:szCs w:val="24"/>
        </w:rPr>
        <w:t>In 2019-20, 78 per cent of Australia’s goods exports were primary products</w:t>
      </w:r>
      <w:r w:rsidR="00115909" w:rsidRPr="00115909">
        <w:rPr>
          <w:rStyle w:val="FootnoteReference"/>
          <w:sz w:val="24"/>
          <w:szCs w:val="24"/>
        </w:rPr>
        <w:footnoteReference w:id="1"/>
      </w:r>
      <w:r w:rsidRPr="00115909">
        <w:rPr>
          <w:sz w:val="24"/>
          <w:szCs w:val="24"/>
        </w:rPr>
        <w:t>, while more than 85 per cent of the UK’s goods exports were manufacture</w:t>
      </w:r>
      <w:r w:rsidR="00270D48">
        <w:rPr>
          <w:sz w:val="24"/>
          <w:szCs w:val="24"/>
        </w:rPr>
        <w:t>s</w:t>
      </w:r>
      <w:r w:rsidRPr="00115909">
        <w:rPr>
          <w:sz w:val="24"/>
          <w:szCs w:val="24"/>
        </w:rPr>
        <w:t>.</w:t>
      </w:r>
      <w:r w:rsidR="00115909" w:rsidRPr="00115909">
        <w:rPr>
          <w:rStyle w:val="FootnoteReference"/>
          <w:sz w:val="24"/>
          <w:szCs w:val="24"/>
        </w:rPr>
        <w:footnoteReference w:id="2"/>
      </w:r>
      <w:r w:rsidR="00593BFC" w:rsidRPr="00B9513C">
        <w:rPr>
          <w:sz w:val="24"/>
          <w:szCs w:val="24"/>
        </w:rPr>
        <w:t xml:space="preserve"> </w:t>
      </w:r>
      <w:r w:rsidR="005238E3" w:rsidRPr="00B9513C">
        <w:rPr>
          <w:sz w:val="24"/>
          <w:szCs w:val="24"/>
        </w:rPr>
        <w:t xml:space="preserve">As the Joint Standing Committee on Foreign Affairs and Trade outlined in its Inquiry into Australia’s trade and investment relationship with the UK, </w:t>
      </w:r>
      <w:r w:rsidR="00712FA2">
        <w:rPr>
          <w:sz w:val="24"/>
          <w:szCs w:val="24"/>
        </w:rPr>
        <w:t xml:space="preserve">the </w:t>
      </w:r>
      <w:r w:rsidR="00A67AAD" w:rsidRPr="00B9513C">
        <w:rPr>
          <w:sz w:val="24"/>
          <w:szCs w:val="24"/>
        </w:rPr>
        <w:t xml:space="preserve">UK’s robust economy and growing population </w:t>
      </w:r>
      <w:r w:rsidR="00B75102" w:rsidRPr="00B9513C">
        <w:rPr>
          <w:sz w:val="24"/>
          <w:szCs w:val="24"/>
        </w:rPr>
        <w:t xml:space="preserve">will </w:t>
      </w:r>
      <w:r w:rsidR="00A67AAD" w:rsidRPr="00B9513C">
        <w:rPr>
          <w:sz w:val="24"/>
          <w:szCs w:val="24"/>
        </w:rPr>
        <w:t>continue to drive demand for Australian food, education, and services.</w:t>
      </w:r>
      <w:r w:rsidR="00EC5EE9" w:rsidRPr="00B9513C">
        <w:rPr>
          <w:rStyle w:val="FootnoteReference"/>
          <w:sz w:val="24"/>
          <w:szCs w:val="24"/>
        </w:rPr>
        <w:t xml:space="preserve"> </w:t>
      </w:r>
      <w:r w:rsidR="00EC5EE9">
        <w:rPr>
          <w:rStyle w:val="FootnoteReference"/>
          <w:sz w:val="24"/>
          <w:szCs w:val="24"/>
        </w:rPr>
        <w:footnoteReference w:id="3"/>
      </w:r>
      <w:r w:rsidR="00A67AAD" w:rsidRPr="00B9513C">
        <w:rPr>
          <w:sz w:val="24"/>
          <w:szCs w:val="24"/>
        </w:rPr>
        <w:t xml:space="preserve"> An FTA between the UK and Australia will further</w:t>
      </w:r>
      <w:r w:rsidR="00C9327F">
        <w:rPr>
          <w:sz w:val="24"/>
          <w:szCs w:val="24"/>
        </w:rPr>
        <w:t xml:space="preserve"> open</w:t>
      </w:r>
      <w:r w:rsidR="00A67AAD" w:rsidRPr="00B9513C">
        <w:rPr>
          <w:sz w:val="24"/>
          <w:szCs w:val="24"/>
        </w:rPr>
        <w:t xml:space="preserve"> opportunities to grow this trade. </w:t>
      </w:r>
    </w:p>
    <w:p w14:paraId="4AB7A29B" w14:textId="77777777" w:rsidR="00BF52DD" w:rsidRPr="00BF52DD" w:rsidRDefault="00BF52DD" w:rsidP="00BF52DD">
      <w:pPr>
        <w:pStyle w:val="ListParagraph"/>
        <w:rPr>
          <w:sz w:val="24"/>
          <w:szCs w:val="24"/>
        </w:rPr>
      </w:pPr>
    </w:p>
    <w:p w14:paraId="76887B80" w14:textId="389B2E57" w:rsidR="00BF52DD" w:rsidRDefault="00DC3716" w:rsidP="00206944">
      <w:pPr>
        <w:pStyle w:val="ListParagraph"/>
        <w:numPr>
          <w:ilvl w:val="0"/>
          <w:numId w:val="1"/>
        </w:numPr>
        <w:ind w:left="567" w:hanging="567"/>
        <w:rPr>
          <w:sz w:val="24"/>
          <w:szCs w:val="24"/>
        </w:rPr>
      </w:pPr>
      <w:r w:rsidRPr="00BF52DD">
        <w:rPr>
          <w:sz w:val="24"/>
          <w:szCs w:val="24"/>
        </w:rPr>
        <w:t xml:space="preserve">Australia’s </w:t>
      </w:r>
      <w:r w:rsidR="0082517B">
        <w:rPr>
          <w:sz w:val="24"/>
          <w:szCs w:val="24"/>
        </w:rPr>
        <w:t>liberal</w:t>
      </w:r>
      <w:r w:rsidR="0082517B" w:rsidRPr="00BF52DD">
        <w:rPr>
          <w:sz w:val="24"/>
          <w:szCs w:val="24"/>
        </w:rPr>
        <w:t xml:space="preserve"> </w:t>
      </w:r>
      <w:r w:rsidRPr="00BF52DD">
        <w:rPr>
          <w:sz w:val="24"/>
          <w:szCs w:val="24"/>
        </w:rPr>
        <w:t xml:space="preserve">trade policy </w:t>
      </w:r>
      <w:r w:rsidR="0082517B">
        <w:rPr>
          <w:sz w:val="24"/>
          <w:szCs w:val="24"/>
        </w:rPr>
        <w:t>settings have</w:t>
      </w:r>
      <w:r w:rsidRPr="00BF52DD">
        <w:rPr>
          <w:sz w:val="24"/>
          <w:szCs w:val="24"/>
        </w:rPr>
        <w:t xml:space="preserve"> </w:t>
      </w:r>
      <w:r w:rsidR="00E87B83">
        <w:rPr>
          <w:sz w:val="24"/>
          <w:szCs w:val="24"/>
        </w:rPr>
        <w:t>underpinned</w:t>
      </w:r>
      <w:r w:rsidR="00D04682">
        <w:rPr>
          <w:sz w:val="24"/>
          <w:szCs w:val="24"/>
        </w:rPr>
        <w:t xml:space="preserve"> </w:t>
      </w:r>
      <w:r w:rsidRPr="00BF52DD">
        <w:rPr>
          <w:sz w:val="24"/>
          <w:szCs w:val="24"/>
        </w:rPr>
        <w:t xml:space="preserve">our ongoing economic growth. </w:t>
      </w:r>
      <w:r w:rsidR="00127365" w:rsidRPr="00BF52DD">
        <w:rPr>
          <w:sz w:val="24"/>
          <w:szCs w:val="24"/>
        </w:rPr>
        <w:t>Our open economy</w:t>
      </w:r>
      <w:r w:rsidR="00B75102" w:rsidRPr="00BF52DD">
        <w:rPr>
          <w:sz w:val="24"/>
          <w:szCs w:val="24"/>
        </w:rPr>
        <w:t xml:space="preserve"> </w:t>
      </w:r>
      <w:r w:rsidR="00757627" w:rsidRPr="00BF52DD">
        <w:rPr>
          <w:sz w:val="24"/>
          <w:szCs w:val="24"/>
        </w:rPr>
        <w:t xml:space="preserve">and support for rules-based international trade </w:t>
      </w:r>
      <w:r w:rsidR="00E87B83">
        <w:rPr>
          <w:sz w:val="24"/>
          <w:szCs w:val="24"/>
        </w:rPr>
        <w:t>have</w:t>
      </w:r>
      <w:r w:rsidR="00E87B83" w:rsidRPr="00BF52DD">
        <w:rPr>
          <w:sz w:val="24"/>
          <w:szCs w:val="24"/>
        </w:rPr>
        <w:t xml:space="preserve"> </w:t>
      </w:r>
      <w:r w:rsidR="00757627" w:rsidRPr="00BF52DD">
        <w:rPr>
          <w:sz w:val="24"/>
          <w:szCs w:val="24"/>
        </w:rPr>
        <w:t xml:space="preserve">contributed to the high standard of living </w:t>
      </w:r>
      <w:r w:rsidR="00E87B83">
        <w:rPr>
          <w:sz w:val="24"/>
          <w:szCs w:val="24"/>
        </w:rPr>
        <w:t>Australians</w:t>
      </w:r>
      <w:r w:rsidR="00E87B83" w:rsidRPr="00BF52DD">
        <w:rPr>
          <w:sz w:val="24"/>
          <w:szCs w:val="24"/>
        </w:rPr>
        <w:t xml:space="preserve"> </w:t>
      </w:r>
      <w:r w:rsidR="00757627" w:rsidRPr="00BF52DD">
        <w:rPr>
          <w:sz w:val="24"/>
          <w:szCs w:val="24"/>
        </w:rPr>
        <w:t>enjoy. In 2019</w:t>
      </w:r>
      <w:r w:rsidR="00EC5EE9">
        <w:rPr>
          <w:sz w:val="24"/>
          <w:szCs w:val="24"/>
        </w:rPr>
        <w:t>,</w:t>
      </w:r>
      <w:r w:rsidR="00757627" w:rsidRPr="00BF52DD">
        <w:rPr>
          <w:sz w:val="24"/>
          <w:szCs w:val="24"/>
        </w:rPr>
        <w:t xml:space="preserve"> Australia reached its 28</w:t>
      </w:r>
      <w:r w:rsidR="00757627" w:rsidRPr="00BF52DD">
        <w:rPr>
          <w:sz w:val="24"/>
          <w:szCs w:val="24"/>
          <w:vertAlign w:val="superscript"/>
        </w:rPr>
        <w:t>th</w:t>
      </w:r>
      <w:r w:rsidR="00757627" w:rsidRPr="00BF52DD">
        <w:rPr>
          <w:sz w:val="24"/>
          <w:szCs w:val="24"/>
        </w:rPr>
        <w:t xml:space="preserve"> consecutive year of economic growth and was the 13</w:t>
      </w:r>
      <w:r w:rsidR="00EC5EE9" w:rsidRPr="00EC5EE9">
        <w:rPr>
          <w:sz w:val="24"/>
          <w:szCs w:val="24"/>
          <w:vertAlign w:val="superscript"/>
        </w:rPr>
        <w:t>th</w:t>
      </w:r>
      <w:r w:rsidR="00C50FC2">
        <w:rPr>
          <w:rStyle w:val="FootnoteReference"/>
          <w:sz w:val="24"/>
          <w:szCs w:val="24"/>
        </w:rPr>
        <w:footnoteReference w:id="4"/>
      </w:r>
      <w:r w:rsidR="00757627" w:rsidRPr="00BF52DD">
        <w:rPr>
          <w:sz w:val="24"/>
          <w:szCs w:val="24"/>
        </w:rPr>
        <w:t xml:space="preserve"> largest global economy despite having only the 5</w:t>
      </w:r>
      <w:r w:rsidR="00C50FC2" w:rsidRPr="00BF52DD">
        <w:rPr>
          <w:sz w:val="24"/>
          <w:szCs w:val="24"/>
        </w:rPr>
        <w:t>4</w:t>
      </w:r>
      <w:r w:rsidR="00EC5EE9" w:rsidRPr="00EC5EE9">
        <w:rPr>
          <w:sz w:val="24"/>
          <w:szCs w:val="24"/>
          <w:vertAlign w:val="superscript"/>
        </w:rPr>
        <w:t>th</w:t>
      </w:r>
      <w:r w:rsidR="00EC5EE9">
        <w:rPr>
          <w:sz w:val="24"/>
          <w:szCs w:val="24"/>
        </w:rPr>
        <w:t xml:space="preserve"> </w:t>
      </w:r>
      <w:r w:rsidR="00757627" w:rsidRPr="00BF52DD">
        <w:rPr>
          <w:sz w:val="24"/>
          <w:szCs w:val="24"/>
        </w:rPr>
        <w:t xml:space="preserve">largest </w:t>
      </w:r>
      <w:r w:rsidR="0082517B">
        <w:rPr>
          <w:sz w:val="24"/>
          <w:szCs w:val="24"/>
        </w:rPr>
        <w:t>population</w:t>
      </w:r>
      <w:r w:rsidR="00EC5EE9">
        <w:rPr>
          <w:sz w:val="24"/>
          <w:szCs w:val="24"/>
        </w:rPr>
        <w:t>.</w:t>
      </w:r>
      <w:r w:rsidR="00C50FC2">
        <w:rPr>
          <w:rStyle w:val="FootnoteReference"/>
          <w:sz w:val="24"/>
          <w:szCs w:val="24"/>
        </w:rPr>
        <w:footnoteReference w:id="5"/>
      </w:r>
      <w:r w:rsidR="00757627" w:rsidRPr="00BF52DD">
        <w:rPr>
          <w:sz w:val="24"/>
          <w:szCs w:val="24"/>
        </w:rPr>
        <w:t xml:space="preserve"> </w:t>
      </w:r>
    </w:p>
    <w:p w14:paraId="6CF6C6FF" w14:textId="77777777" w:rsidR="00BF52DD" w:rsidRPr="00BF52DD" w:rsidRDefault="00BF52DD" w:rsidP="00BF52DD">
      <w:pPr>
        <w:pStyle w:val="ListParagraph"/>
        <w:rPr>
          <w:sz w:val="24"/>
          <w:szCs w:val="24"/>
        </w:rPr>
      </w:pPr>
    </w:p>
    <w:p w14:paraId="7745CB87" w14:textId="5C35DD4A" w:rsidR="00DC3716" w:rsidRDefault="00757627" w:rsidP="00206944">
      <w:pPr>
        <w:pStyle w:val="ListParagraph"/>
        <w:numPr>
          <w:ilvl w:val="0"/>
          <w:numId w:val="1"/>
        </w:numPr>
        <w:ind w:left="567" w:hanging="567"/>
        <w:rPr>
          <w:sz w:val="24"/>
          <w:szCs w:val="24"/>
        </w:rPr>
      </w:pPr>
      <w:r w:rsidRPr="00BF52DD">
        <w:rPr>
          <w:sz w:val="24"/>
          <w:szCs w:val="24"/>
        </w:rPr>
        <w:t xml:space="preserve">The COVID-19 pandemic in 2020 </w:t>
      </w:r>
      <w:r w:rsidR="00BF52DD">
        <w:rPr>
          <w:sz w:val="24"/>
          <w:szCs w:val="24"/>
        </w:rPr>
        <w:t xml:space="preserve">however, </w:t>
      </w:r>
      <w:r w:rsidRPr="00BF52DD">
        <w:rPr>
          <w:sz w:val="24"/>
          <w:szCs w:val="24"/>
        </w:rPr>
        <w:t xml:space="preserve">led to Australia experiencing </w:t>
      </w:r>
      <w:r w:rsidR="00BF52DD">
        <w:rPr>
          <w:sz w:val="24"/>
          <w:szCs w:val="24"/>
        </w:rPr>
        <w:t xml:space="preserve">two consecutive </w:t>
      </w:r>
      <w:r w:rsidRPr="00BF52DD">
        <w:rPr>
          <w:sz w:val="24"/>
          <w:szCs w:val="24"/>
        </w:rPr>
        <w:t>negative growth quarter</w:t>
      </w:r>
      <w:r w:rsidR="00BF52DD">
        <w:rPr>
          <w:sz w:val="24"/>
          <w:szCs w:val="24"/>
        </w:rPr>
        <w:t>s</w:t>
      </w:r>
      <w:r w:rsidR="005D6EDD">
        <w:rPr>
          <w:sz w:val="24"/>
          <w:szCs w:val="24"/>
        </w:rPr>
        <w:t xml:space="preserve"> in 2020, the first</w:t>
      </w:r>
      <w:r w:rsidRPr="00BF52DD">
        <w:rPr>
          <w:sz w:val="24"/>
          <w:szCs w:val="24"/>
        </w:rPr>
        <w:t xml:space="preserve"> since 1991</w:t>
      </w:r>
      <w:r w:rsidR="005D6EDD">
        <w:rPr>
          <w:sz w:val="24"/>
          <w:szCs w:val="24"/>
        </w:rPr>
        <w:t>.</w:t>
      </w:r>
      <w:r w:rsidR="00BF52DD">
        <w:rPr>
          <w:rStyle w:val="FootnoteReference"/>
          <w:sz w:val="24"/>
          <w:szCs w:val="24"/>
        </w:rPr>
        <w:footnoteReference w:id="6"/>
      </w:r>
      <w:r w:rsidRPr="00BF52DD">
        <w:rPr>
          <w:sz w:val="24"/>
          <w:szCs w:val="24"/>
        </w:rPr>
        <w:t xml:space="preserve"> The </w:t>
      </w:r>
      <w:r w:rsidR="00FE5714">
        <w:rPr>
          <w:sz w:val="24"/>
          <w:szCs w:val="24"/>
        </w:rPr>
        <w:t xml:space="preserve">proposed </w:t>
      </w:r>
      <w:r w:rsidRPr="00BF52DD">
        <w:rPr>
          <w:sz w:val="24"/>
          <w:szCs w:val="24"/>
        </w:rPr>
        <w:t>AU</w:t>
      </w:r>
      <w:r w:rsidR="00B75102" w:rsidRPr="00BF52DD">
        <w:rPr>
          <w:sz w:val="24"/>
          <w:szCs w:val="24"/>
        </w:rPr>
        <w:t>-</w:t>
      </w:r>
      <w:r w:rsidRPr="00BF52DD">
        <w:rPr>
          <w:sz w:val="24"/>
          <w:szCs w:val="24"/>
        </w:rPr>
        <w:t>UK</w:t>
      </w:r>
      <w:r w:rsidR="00B75102" w:rsidRPr="00BF52DD">
        <w:rPr>
          <w:sz w:val="24"/>
          <w:szCs w:val="24"/>
        </w:rPr>
        <w:t xml:space="preserve"> </w:t>
      </w:r>
      <w:r w:rsidRPr="00BF52DD">
        <w:rPr>
          <w:sz w:val="24"/>
          <w:szCs w:val="24"/>
        </w:rPr>
        <w:t>FTA form</w:t>
      </w:r>
      <w:r w:rsidR="00B75102" w:rsidRPr="00BF52DD">
        <w:rPr>
          <w:sz w:val="24"/>
          <w:szCs w:val="24"/>
        </w:rPr>
        <w:t>s</w:t>
      </w:r>
      <w:r w:rsidRPr="00BF52DD">
        <w:rPr>
          <w:sz w:val="24"/>
          <w:szCs w:val="24"/>
        </w:rPr>
        <w:t xml:space="preserve"> part of the Government’s </w:t>
      </w:r>
      <w:r w:rsidR="00EC5EE9">
        <w:rPr>
          <w:sz w:val="24"/>
          <w:szCs w:val="24"/>
        </w:rPr>
        <w:t>strategy</w:t>
      </w:r>
      <w:r w:rsidRPr="00BF52DD">
        <w:rPr>
          <w:sz w:val="24"/>
          <w:szCs w:val="24"/>
        </w:rPr>
        <w:t xml:space="preserve"> to address the economic impacts of COVID-19</w:t>
      </w:r>
      <w:r w:rsidR="00BF52DD">
        <w:rPr>
          <w:sz w:val="24"/>
          <w:szCs w:val="24"/>
        </w:rPr>
        <w:t xml:space="preserve"> and to support an export-led recovery. This includes g</w:t>
      </w:r>
      <w:r w:rsidR="00BF52DD" w:rsidRPr="00BF52DD">
        <w:rPr>
          <w:sz w:val="24"/>
          <w:szCs w:val="24"/>
        </w:rPr>
        <w:t>rowing Australia’s export</w:t>
      </w:r>
      <w:r w:rsidR="00C9327F">
        <w:rPr>
          <w:sz w:val="24"/>
          <w:szCs w:val="24"/>
        </w:rPr>
        <w:t>s</w:t>
      </w:r>
      <w:r w:rsidR="00BF52DD" w:rsidRPr="00BF52DD">
        <w:rPr>
          <w:sz w:val="24"/>
          <w:szCs w:val="24"/>
        </w:rPr>
        <w:t xml:space="preserve"> through </w:t>
      </w:r>
      <w:r w:rsidR="00C9327F">
        <w:rPr>
          <w:sz w:val="24"/>
          <w:szCs w:val="24"/>
        </w:rPr>
        <w:t xml:space="preserve">market </w:t>
      </w:r>
      <w:r w:rsidR="00BF52DD" w:rsidRPr="00BF52DD">
        <w:rPr>
          <w:sz w:val="24"/>
          <w:szCs w:val="24"/>
        </w:rPr>
        <w:t>diversification</w:t>
      </w:r>
      <w:r w:rsidR="00A905DE">
        <w:rPr>
          <w:sz w:val="24"/>
          <w:szCs w:val="24"/>
        </w:rPr>
        <w:t xml:space="preserve"> and expanding trade opportunities for businesses, in particular SMEs</w:t>
      </w:r>
      <w:r w:rsidR="005D6EDD">
        <w:rPr>
          <w:sz w:val="24"/>
          <w:szCs w:val="24"/>
        </w:rPr>
        <w:t>.</w:t>
      </w:r>
      <w:r w:rsidR="00BF52DD">
        <w:rPr>
          <w:rStyle w:val="FootnoteReference"/>
          <w:sz w:val="24"/>
          <w:szCs w:val="24"/>
        </w:rPr>
        <w:footnoteReference w:id="7"/>
      </w:r>
    </w:p>
    <w:p w14:paraId="33C9D445" w14:textId="77777777" w:rsidR="00FD2ABE" w:rsidRPr="00FD2ABE" w:rsidRDefault="00FD2ABE" w:rsidP="00FD2ABE">
      <w:pPr>
        <w:pStyle w:val="ListParagraph"/>
        <w:rPr>
          <w:sz w:val="24"/>
          <w:szCs w:val="24"/>
        </w:rPr>
      </w:pPr>
    </w:p>
    <w:p w14:paraId="10DA8474" w14:textId="375333F6" w:rsidR="00FD2ABE" w:rsidRPr="00010F4B" w:rsidRDefault="00FD2ABE" w:rsidP="00206944">
      <w:pPr>
        <w:pStyle w:val="ListParagraph"/>
        <w:numPr>
          <w:ilvl w:val="0"/>
          <w:numId w:val="1"/>
        </w:numPr>
        <w:ind w:left="567" w:hanging="567"/>
        <w:rPr>
          <w:sz w:val="24"/>
          <w:szCs w:val="24"/>
        </w:rPr>
      </w:pPr>
      <w:r>
        <w:rPr>
          <w:sz w:val="24"/>
          <w:szCs w:val="24"/>
        </w:rPr>
        <w:t>Expanding f</w:t>
      </w:r>
      <w:r w:rsidRPr="00010F4B">
        <w:rPr>
          <w:sz w:val="24"/>
          <w:szCs w:val="24"/>
        </w:rPr>
        <w:t>oreign investment, including from the UK, also play</w:t>
      </w:r>
      <w:r>
        <w:rPr>
          <w:sz w:val="24"/>
          <w:szCs w:val="24"/>
        </w:rPr>
        <w:t>s</w:t>
      </w:r>
      <w:r w:rsidRPr="00010F4B">
        <w:rPr>
          <w:sz w:val="24"/>
          <w:szCs w:val="24"/>
        </w:rPr>
        <w:t xml:space="preserve"> an important role in our</w:t>
      </w:r>
      <w:r w:rsidR="00E2375F">
        <w:rPr>
          <w:sz w:val="24"/>
          <w:szCs w:val="24"/>
        </w:rPr>
        <w:t xml:space="preserve"> </w:t>
      </w:r>
      <w:r w:rsidRPr="00010F4B">
        <w:rPr>
          <w:sz w:val="24"/>
          <w:szCs w:val="24"/>
        </w:rPr>
        <w:t>COVID-19 economic recovery. The proposed AU-UK FTA contribute</w:t>
      </w:r>
      <w:r>
        <w:rPr>
          <w:sz w:val="24"/>
          <w:szCs w:val="24"/>
        </w:rPr>
        <w:t>s</w:t>
      </w:r>
      <w:r w:rsidRPr="00010F4B">
        <w:rPr>
          <w:sz w:val="24"/>
          <w:szCs w:val="24"/>
        </w:rPr>
        <w:t xml:space="preserve"> to Australia’s international competitiveness a</w:t>
      </w:r>
      <w:r w:rsidR="00164FAB">
        <w:rPr>
          <w:sz w:val="24"/>
          <w:szCs w:val="24"/>
        </w:rPr>
        <w:t>s it will h</w:t>
      </w:r>
      <w:r w:rsidRPr="00010F4B">
        <w:rPr>
          <w:sz w:val="24"/>
          <w:szCs w:val="24"/>
        </w:rPr>
        <w:t>elp encourage new businesses to enter Australia and create new connections in</w:t>
      </w:r>
      <w:r w:rsidR="00C9327F">
        <w:rPr>
          <w:sz w:val="24"/>
          <w:szCs w:val="24"/>
        </w:rPr>
        <w:t>to</w:t>
      </w:r>
      <w:r w:rsidRPr="00010F4B">
        <w:rPr>
          <w:sz w:val="24"/>
          <w:szCs w:val="24"/>
        </w:rPr>
        <w:t xml:space="preserve"> other markets. Increased UK investment into Australia will </w:t>
      </w:r>
      <w:r w:rsidR="00164FAB">
        <w:rPr>
          <w:sz w:val="24"/>
          <w:szCs w:val="24"/>
        </w:rPr>
        <w:t xml:space="preserve">also </w:t>
      </w:r>
      <w:r w:rsidRPr="00010F4B">
        <w:rPr>
          <w:sz w:val="24"/>
          <w:szCs w:val="24"/>
        </w:rPr>
        <w:t xml:space="preserve">encourage competition and increase innovation by bringing new technologies and services to the Australian market. </w:t>
      </w:r>
    </w:p>
    <w:p w14:paraId="41038A8D" w14:textId="77777777" w:rsidR="004450B0" w:rsidRPr="00FD2ABE" w:rsidRDefault="004450B0" w:rsidP="00FD2ABE">
      <w:pPr>
        <w:pStyle w:val="ListParagraph"/>
        <w:ind w:left="360"/>
        <w:rPr>
          <w:sz w:val="24"/>
          <w:szCs w:val="24"/>
        </w:rPr>
      </w:pPr>
    </w:p>
    <w:p w14:paraId="3063ECF6" w14:textId="6EF8620D" w:rsidR="00527855" w:rsidRPr="002F02CC" w:rsidRDefault="005649CE" w:rsidP="00206944">
      <w:pPr>
        <w:pStyle w:val="ListParagraph"/>
        <w:numPr>
          <w:ilvl w:val="0"/>
          <w:numId w:val="1"/>
        </w:numPr>
        <w:ind w:left="567" w:hanging="567"/>
        <w:rPr>
          <w:sz w:val="24"/>
          <w:szCs w:val="24"/>
        </w:rPr>
      </w:pPr>
      <w:r>
        <w:rPr>
          <w:sz w:val="24"/>
          <w:szCs w:val="24"/>
        </w:rPr>
        <w:t xml:space="preserve">In </w:t>
      </w:r>
      <w:r w:rsidRPr="005649CE">
        <w:rPr>
          <w:sz w:val="24"/>
          <w:szCs w:val="24"/>
        </w:rPr>
        <w:t xml:space="preserve">2020, </w:t>
      </w:r>
      <w:r w:rsidR="00757627">
        <w:rPr>
          <w:sz w:val="24"/>
          <w:szCs w:val="24"/>
        </w:rPr>
        <w:t xml:space="preserve">an Inquiry by </w:t>
      </w:r>
      <w:r w:rsidR="00757627" w:rsidRPr="005649CE">
        <w:rPr>
          <w:sz w:val="24"/>
          <w:szCs w:val="24"/>
        </w:rPr>
        <w:t>the Joint Standing Committee on Trade and Investment Growth into</w:t>
      </w:r>
      <w:r w:rsidR="00757627">
        <w:rPr>
          <w:sz w:val="24"/>
          <w:szCs w:val="24"/>
        </w:rPr>
        <w:t xml:space="preserve"> </w:t>
      </w:r>
      <w:r w:rsidR="00757627" w:rsidRPr="005649CE">
        <w:rPr>
          <w:sz w:val="24"/>
          <w:szCs w:val="24"/>
        </w:rPr>
        <w:t>Diversifying Australia's Trade and Investment Profile</w:t>
      </w:r>
      <w:r w:rsidR="00757627">
        <w:rPr>
          <w:sz w:val="24"/>
          <w:szCs w:val="24"/>
        </w:rPr>
        <w:t xml:space="preserve"> concluded</w:t>
      </w:r>
      <w:r w:rsidR="00496BB4" w:rsidRPr="00496BB4">
        <w:rPr>
          <w:sz w:val="24"/>
          <w:szCs w:val="24"/>
        </w:rPr>
        <w:t xml:space="preserve"> </w:t>
      </w:r>
      <w:r w:rsidR="00496BB4">
        <w:rPr>
          <w:sz w:val="24"/>
          <w:szCs w:val="24"/>
        </w:rPr>
        <w:t>in a report entitled ‘Pivot’</w:t>
      </w:r>
      <w:r w:rsidR="00496BB4">
        <w:rPr>
          <w:rStyle w:val="FootnoteReference"/>
          <w:sz w:val="24"/>
          <w:szCs w:val="24"/>
        </w:rPr>
        <w:footnoteReference w:id="8"/>
      </w:r>
      <w:r w:rsidR="00496BB4">
        <w:rPr>
          <w:sz w:val="24"/>
          <w:szCs w:val="24"/>
        </w:rPr>
        <w:t>,</w:t>
      </w:r>
      <w:r w:rsidR="00757627">
        <w:rPr>
          <w:sz w:val="24"/>
          <w:szCs w:val="24"/>
        </w:rPr>
        <w:t xml:space="preserve"> that there </w:t>
      </w:r>
      <w:r w:rsidR="003C1755">
        <w:rPr>
          <w:sz w:val="24"/>
          <w:szCs w:val="24"/>
        </w:rPr>
        <w:t>wa</w:t>
      </w:r>
      <w:r w:rsidR="00757627">
        <w:rPr>
          <w:sz w:val="24"/>
          <w:szCs w:val="24"/>
        </w:rPr>
        <w:t xml:space="preserve">s a need to diversify Australia’s trade. </w:t>
      </w:r>
      <w:r w:rsidR="00842D84">
        <w:rPr>
          <w:sz w:val="24"/>
          <w:szCs w:val="24"/>
        </w:rPr>
        <w:t>The first r</w:t>
      </w:r>
      <w:r w:rsidR="00496BB4">
        <w:rPr>
          <w:sz w:val="24"/>
          <w:szCs w:val="24"/>
        </w:rPr>
        <w:t xml:space="preserve">ecommendation </w:t>
      </w:r>
      <w:r w:rsidR="00842D84">
        <w:rPr>
          <w:sz w:val="24"/>
          <w:szCs w:val="24"/>
        </w:rPr>
        <w:t>was</w:t>
      </w:r>
      <w:r w:rsidR="00757627">
        <w:rPr>
          <w:sz w:val="24"/>
          <w:szCs w:val="24"/>
        </w:rPr>
        <w:t>:</w:t>
      </w:r>
    </w:p>
    <w:p w14:paraId="199C8C9E" w14:textId="07A9FFC2" w:rsidR="00527855" w:rsidRPr="00527855" w:rsidRDefault="00576D5D" w:rsidP="00527855">
      <w:pPr>
        <w:pStyle w:val="ListParagraph"/>
        <w:numPr>
          <w:ilvl w:val="1"/>
          <w:numId w:val="1"/>
        </w:numPr>
        <w:rPr>
          <w:sz w:val="24"/>
          <w:szCs w:val="24"/>
        </w:rPr>
      </w:pPr>
      <w:r>
        <w:rPr>
          <w:sz w:val="24"/>
          <w:szCs w:val="24"/>
        </w:rPr>
        <w:t>T</w:t>
      </w:r>
      <w:r w:rsidR="00527855" w:rsidRPr="00527855">
        <w:rPr>
          <w:sz w:val="24"/>
          <w:szCs w:val="24"/>
        </w:rPr>
        <w:t>hat the Australian Government develop and release a plan for trade diversification, w</w:t>
      </w:r>
      <w:r w:rsidR="002F02CC">
        <w:rPr>
          <w:sz w:val="24"/>
          <w:szCs w:val="24"/>
        </w:rPr>
        <w:t>ith</w:t>
      </w:r>
      <w:r w:rsidR="00527855" w:rsidRPr="00527855">
        <w:rPr>
          <w:sz w:val="24"/>
          <w:szCs w:val="24"/>
        </w:rPr>
        <w:t>:</w:t>
      </w:r>
    </w:p>
    <w:p w14:paraId="25CB5048" w14:textId="00B3D6EA" w:rsidR="00527855" w:rsidRPr="00527855" w:rsidRDefault="00527855" w:rsidP="00527855">
      <w:pPr>
        <w:pStyle w:val="ListParagraph"/>
        <w:numPr>
          <w:ilvl w:val="2"/>
          <w:numId w:val="1"/>
        </w:numPr>
        <w:rPr>
          <w:sz w:val="24"/>
          <w:szCs w:val="24"/>
        </w:rPr>
      </w:pPr>
      <w:r w:rsidRPr="00527855">
        <w:rPr>
          <w:sz w:val="24"/>
          <w:szCs w:val="24"/>
        </w:rPr>
        <w:t>a focus on maintaining relationships with existing close trading partners as well as expanding trade with other countries</w:t>
      </w:r>
      <w:r w:rsidR="00164FAB">
        <w:rPr>
          <w:sz w:val="24"/>
          <w:szCs w:val="24"/>
        </w:rPr>
        <w:t>;</w:t>
      </w:r>
      <w:r>
        <w:rPr>
          <w:sz w:val="24"/>
          <w:szCs w:val="24"/>
        </w:rPr>
        <w:t xml:space="preserve"> and</w:t>
      </w:r>
      <w:r w:rsidR="00164FAB">
        <w:rPr>
          <w:sz w:val="24"/>
          <w:szCs w:val="24"/>
        </w:rPr>
        <w:t>,</w:t>
      </w:r>
    </w:p>
    <w:p w14:paraId="4A80204C" w14:textId="23FA214F" w:rsidR="00527855" w:rsidRDefault="00527855" w:rsidP="00527855">
      <w:pPr>
        <w:pStyle w:val="ListParagraph"/>
        <w:numPr>
          <w:ilvl w:val="2"/>
          <w:numId w:val="1"/>
        </w:numPr>
        <w:rPr>
          <w:sz w:val="24"/>
          <w:szCs w:val="24"/>
        </w:rPr>
      </w:pPr>
      <w:r w:rsidRPr="00527855">
        <w:rPr>
          <w:sz w:val="24"/>
          <w:szCs w:val="24"/>
        </w:rPr>
        <w:t>a plan for diversifying Australia’s range of goods and service</w:t>
      </w:r>
      <w:r w:rsidR="00164FAB">
        <w:rPr>
          <w:sz w:val="24"/>
          <w:szCs w:val="24"/>
        </w:rPr>
        <w:t>s</w:t>
      </w:r>
      <w:r w:rsidR="00164FAB" w:rsidRPr="00164FAB">
        <w:rPr>
          <w:sz w:val="24"/>
          <w:szCs w:val="24"/>
        </w:rPr>
        <w:t xml:space="preserve"> </w:t>
      </w:r>
      <w:r w:rsidR="00164FAB" w:rsidRPr="00527855">
        <w:rPr>
          <w:sz w:val="24"/>
          <w:szCs w:val="24"/>
        </w:rPr>
        <w:t>export</w:t>
      </w:r>
      <w:r w:rsidR="00164FAB">
        <w:rPr>
          <w:sz w:val="24"/>
          <w:szCs w:val="24"/>
        </w:rPr>
        <w:t>s</w:t>
      </w:r>
      <w:r>
        <w:rPr>
          <w:sz w:val="24"/>
          <w:szCs w:val="24"/>
        </w:rPr>
        <w:t>.</w:t>
      </w:r>
    </w:p>
    <w:p w14:paraId="77F4C566" w14:textId="77777777" w:rsidR="00E47E7C" w:rsidRDefault="00E47E7C" w:rsidP="00E47E7C">
      <w:pPr>
        <w:pStyle w:val="ListParagraph"/>
        <w:ind w:left="1800"/>
        <w:rPr>
          <w:sz w:val="24"/>
          <w:szCs w:val="24"/>
        </w:rPr>
      </w:pPr>
    </w:p>
    <w:p w14:paraId="2D553B86" w14:textId="177E1C38" w:rsidR="003C1755" w:rsidRDefault="002F02CC" w:rsidP="00206944">
      <w:pPr>
        <w:pStyle w:val="ListParagraph"/>
        <w:numPr>
          <w:ilvl w:val="0"/>
          <w:numId w:val="1"/>
        </w:numPr>
        <w:ind w:left="567" w:hanging="567"/>
        <w:rPr>
          <w:sz w:val="24"/>
          <w:szCs w:val="24"/>
        </w:rPr>
      </w:pPr>
      <w:r>
        <w:rPr>
          <w:sz w:val="24"/>
          <w:szCs w:val="24"/>
        </w:rPr>
        <w:t>T</w:t>
      </w:r>
      <w:r w:rsidR="00757627">
        <w:rPr>
          <w:sz w:val="24"/>
          <w:szCs w:val="24"/>
        </w:rPr>
        <w:t>he</w:t>
      </w:r>
      <w:r>
        <w:rPr>
          <w:sz w:val="24"/>
          <w:szCs w:val="24"/>
        </w:rPr>
        <w:t xml:space="preserve"> </w:t>
      </w:r>
      <w:r w:rsidR="00496BB4">
        <w:rPr>
          <w:sz w:val="24"/>
          <w:szCs w:val="24"/>
        </w:rPr>
        <w:t>Government</w:t>
      </w:r>
      <w:r w:rsidR="00842D84">
        <w:rPr>
          <w:sz w:val="24"/>
          <w:szCs w:val="24"/>
        </w:rPr>
        <w:t>’s</w:t>
      </w:r>
      <w:r w:rsidR="00496BB4">
        <w:rPr>
          <w:sz w:val="24"/>
          <w:szCs w:val="24"/>
        </w:rPr>
        <w:t xml:space="preserve"> formal respon</w:t>
      </w:r>
      <w:r w:rsidR="00842D84">
        <w:rPr>
          <w:sz w:val="24"/>
          <w:szCs w:val="24"/>
        </w:rPr>
        <w:t>se</w:t>
      </w:r>
      <w:r w:rsidR="00496BB4">
        <w:rPr>
          <w:sz w:val="24"/>
          <w:szCs w:val="24"/>
        </w:rPr>
        <w:t xml:space="preserve"> to th</w:t>
      </w:r>
      <w:r w:rsidR="003C1755">
        <w:rPr>
          <w:sz w:val="24"/>
          <w:szCs w:val="24"/>
        </w:rPr>
        <w:t>i</w:t>
      </w:r>
      <w:r w:rsidR="00496BB4">
        <w:rPr>
          <w:sz w:val="24"/>
          <w:szCs w:val="24"/>
        </w:rPr>
        <w:t>s recommendation</w:t>
      </w:r>
      <w:r w:rsidR="00842D84">
        <w:rPr>
          <w:rStyle w:val="FootnoteReference"/>
          <w:sz w:val="24"/>
          <w:szCs w:val="24"/>
        </w:rPr>
        <w:footnoteReference w:id="9"/>
      </w:r>
      <w:r w:rsidR="003C1755">
        <w:rPr>
          <w:sz w:val="24"/>
          <w:szCs w:val="24"/>
        </w:rPr>
        <w:t>, released in August 2021,</w:t>
      </w:r>
      <w:r w:rsidR="00496BB4">
        <w:rPr>
          <w:sz w:val="24"/>
          <w:szCs w:val="24"/>
        </w:rPr>
        <w:t xml:space="preserve"> </w:t>
      </w:r>
      <w:r w:rsidR="00562177">
        <w:rPr>
          <w:sz w:val="24"/>
          <w:szCs w:val="24"/>
        </w:rPr>
        <w:t>notes</w:t>
      </w:r>
      <w:r w:rsidR="003C1755">
        <w:rPr>
          <w:sz w:val="24"/>
          <w:szCs w:val="24"/>
        </w:rPr>
        <w:t xml:space="preserve"> that</w:t>
      </w:r>
      <w:r w:rsidR="00842D84">
        <w:rPr>
          <w:sz w:val="24"/>
          <w:szCs w:val="24"/>
        </w:rPr>
        <w:t xml:space="preserve"> </w:t>
      </w:r>
      <w:r w:rsidR="003C1755">
        <w:rPr>
          <w:sz w:val="24"/>
          <w:szCs w:val="24"/>
        </w:rPr>
        <w:t xml:space="preserve">it </w:t>
      </w:r>
      <w:r w:rsidR="00115839">
        <w:rPr>
          <w:sz w:val="24"/>
          <w:szCs w:val="24"/>
        </w:rPr>
        <w:t>i</w:t>
      </w:r>
      <w:r w:rsidR="003C1755">
        <w:rPr>
          <w:sz w:val="24"/>
          <w:szCs w:val="24"/>
        </w:rPr>
        <w:t>s delivering a comprehensive suite of measures to support Australian exporters to diversify their markets. This includes through</w:t>
      </w:r>
      <w:r w:rsidR="00842D84">
        <w:rPr>
          <w:sz w:val="24"/>
          <w:szCs w:val="24"/>
        </w:rPr>
        <w:t xml:space="preserve"> creating new export opportunities by negotiating new trade agreements</w:t>
      </w:r>
      <w:r w:rsidR="003C1755">
        <w:rPr>
          <w:sz w:val="24"/>
          <w:szCs w:val="24"/>
        </w:rPr>
        <w:t>. The report references</w:t>
      </w:r>
      <w:r w:rsidR="00842D84">
        <w:rPr>
          <w:sz w:val="24"/>
          <w:szCs w:val="24"/>
        </w:rPr>
        <w:t xml:space="preserve"> the mid-June 2021 announcement </w:t>
      </w:r>
      <w:r w:rsidR="00A66A00">
        <w:rPr>
          <w:sz w:val="24"/>
          <w:szCs w:val="24"/>
        </w:rPr>
        <w:t>by</w:t>
      </w:r>
      <w:r w:rsidR="00842D84">
        <w:rPr>
          <w:sz w:val="24"/>
          <w:szCs w:val="24"/>
        </w:rPr>
        <w:t xml:space="preserve"> Prime Minister Morrison and UK Prime Minister Johnson that agreement had been reached on the core elements of a bilateral FTA.</w:t>
      </w:r>
    </w:p>
    <w:p w14:paraId="5FDA8C09" w14:textId="77777777" w:rsidR="003C1755" w:rsidRDefault="003C1755" w:rsidP="004C7831">
      <w:pPr>
        <w:pStyle w:val="ListParagraph"/>
        <w:ind w:left="567"/>
        <w:rPr>
          <w:sz w:val="24"/>
          <w:szCs w:val="24"/>
        </w:rPr>
      </w:pPr>
    </w:p>
    <w:p w14:paraId="37A0DBBD" w14:textId="64164704" w:rsidR="005649CE" w:rsidRPr="00A67AAD" w:rsidRDefault="00F82EF9" w:rsidP="00206944">
      <w:pPr>
        <w:pStyle w:val="ListParagraph"/>
        <w:numPr>
          <w:ilvl w:val="0"/>
          <w:numId w:val="1"/>
        </w:numPr>
        <w:ind w:left="567" w:hanging="567"/>
        <w:rPr>
          <w:sz w:val="24"/>
          <w:szCs w:val="24"/>
        </w:rPr>
      </w:pPr>
      <w:r>
        <w:rPr>
          <w:sz w:val="24"/>
          <w:szCs w:val="24"/>
        </w:rPr>
        <w:t>Under the proposed FTA, a</w:t>
      </w:r>
      <w:r w:rsidR="00757627">
        <w:rPr>
          <w:sz w:val="24"/>
          <w:szCs w:val="24"/>
        </w:rPr>
        <w:t>gricultur</w:t>
      </w:r>
      <w:r w:rsidR="00C9327F">
        <w:rPr>
          <w:sz w:val="24"/>
          <w:szCs w:val="24"/>
        </w:rPr>
        <w:t>al</w:t>
      </w:r>
      <w:r w:rsidR="00757627">
        <w:rPr>
          <w:sz w:val="24"/>
          <w:szCs w:val="24"/>
        </w:rPr>
        <w:t xml:space="preserve"> export</w:t>
      </w:r>
      <w:r w:rsidR="002F02CC">
        <w:rPr>
          <w:sz w:val="24"/>
          <w:szCs w:val="24"/>
        </w:rPr>
        <w:t xml:space="preserve">s </w:t>
      </w:r>
      <w:r w:rsidR="0082517B">
        <w:rPr>
          <w:sz w:val="24"/>
          <w:szCs w:val="24"/>
        </w:rPr>
        <w:t xml:space="preserve">are </w:t>
      </w:r>
      <w:r w:rsidR="002F02CC">
        <w:rPr>
          <w:sz w:val="24"/>
          <w:szCs w:val="24"/>
        </w:rPr>
        <w:t>a</w:t>
      </w:r>
      <w:r w:rsidR="00164FAB">
        <w:rPr>
          <w:sz w:val="24"/>
          <w:szCs w:val="24"/>
        </w:rPr>
        <w:t xml:space="preserve"> key</w:t>
      </w:r>
      <w:r w:rsidR="002F02CC">
        <w:rPr>
          <w:sz w:val="24"/>
          <w:szCs w:val="24"/>
        </w:rPr>
        <w:t xml:space="preserve"> example of </w:t>
      </w:r>
      <w:r w:rsidR="00C9327F">
        <w:rPr>
          <w:sz w:val="24"/>
          <w:szCs w:val="24"/>
        </w:rPr>
        <w:t xml:space="preserve">the </w:t>
      </w:r>
      <w:r w:rsidR="002F02CC">
        <w:rPr>
          <w:sz w:val="24"/>
          <w:szCs w:val="24"/>
        </w:rPr>
        <w:t xml:space="preserve">trade </w:t>
      </w:r>
      <w:r w:rsidR="00C9327F">
        <w:rPr>
          <w:sz w:val="24"/>
          <w:szCs w:val="24"/>
        </w:rPr>
        <w:t xml:space="preserve">diversification and </w:t>
      </w:r>
      <w:r w:rsidR="002F02CC">
        <w:rPr>
          <w:sz w:val="24"/>
          <w:szCs w:val="24"/>
        </w:rPr>
        <w:t>expan</w:t>
      </w:r>
      <w:r w:rsidR="0082517B">
        <w:rPr>
          <w:sz w:val="24"/>
          <w:szCs w:val="24"/>
        </w:rPr>
        <w:t>sion</w:t>
      </w:r>
      <w:r w:rsidR="002F02CC">
        <w:rPr>
          <w:sz w:val="24"/>
          <w:szCs w:val="24"/>
        </w:rPr>
        <w:t xml:space="preserve"> </w:t>
      </w:r>
      <w:r w:rsidR="003C1755">
        <w:rPr>
          <w:sz w:val="24"/>
          <w:szCs w:val="24"/>
        </w:rPr>
        <w:t xml:space="preserve">that will be </w:t>
      </w:r>
      <w:r w:rsidR="00C9327F">
        <w:rPr>
          <w:sz w:val="24"/>
          <w:szCs w:val="24"/>
        </w:rPr>
        <w:t xml:space="preserve">possible </w:t>
      </w:r>
      <w:r w:rsidR="00164FAB">
        <w:rPr>
          <w:sz w:val="24"/>
          <w:szCs w:val="24"/>
        </w:rPr>
        <w:t>due to</w:t>
      </w:r>
      <w:r w:rsidR="002F02CC">
        <w:rPr>
          <w:sz w:val="24"/>
          <w:szCs w:val="24"/>
        </w:rPr>
        <w:t xml:space="preserve"> </w:t>
      </w:r>
      <w:r w:rsidR="00C9327F">
        <w:rPr>
          <w:sz w:val="24"/>
          <w:szCs w:val="24"/>
        </w:rPr>
        <w:t xml:space="preserve">the significant </w:t>
      </w:r>
      <w:r w:rsidR="002F02CC">
        <w:rPr>
          <w:sz w:val="24"/>
          <w:szCs w:val="24"/>
        </w:rPr>
        <w:t>tariff and quota reduc</w:t>
      </w:r>
      <w:r w:rsidR="00164FAB">
        <w:rPr>
          <w:sz w:val="24"/>
          <w:szCs w:val="24"/>
        </w:rPr>
        <w:t>tion</w:t>
      </w:r>
      <w:r w:rsidR="002F02CC">
        <w:rPr>
          <w:sz w:val="24"/>
          <w:szCs w:val="24"/>
        </w:rPr>
        <w:t xml:space="preserve"> and eliminat</w:t>
      </w:r>
      <w:r w:rsidR="00164FAB">
        <w:rPr>
          <w:sz w:val="24"/>
          <w:szCs w:val="24"/>
        </w:rPr>
        <w:t>ion</w:t>
      </w:r>
      <w:r w:rsidR="002F02CC">
        <w:rPr>
          <w:sz w:val="24"/>
          <w:szCs w:val="24"/>
        </w:rPr>
        <w:t xml:space="preserve"> either at entry into force or over a phased </w:t>
      </w:r>
      <w:r w:rsidR="00576D5D">
        <w:rPr>
          <w:sz w:val="24"/>
          <w:szCs w:val="24"/>
        </w:rPr>
        <w:t>period</w:t>
      </w:r>
      <w:r w:rsidR="002F02CC">
        <w:rPr>
          <w:sz w:val="24"/>
          <w:szCs w:val="24"/>
        </w:rPr>
        <w:t xml:space="preserve">. </w:t>
      </w:r>
      <w:r w:rsidR="00576D5D">
        <w:rPr>
          <w:sz w:val="24"/>
          <w:szCs w:val="24"/>
        </w:rPr>
        <w:t>C</w:t>
      </w:r>
      <w:r w:rsidR="002F02CC">
        <w:rPr>
          <w:sz w:val="24"/>
          <w:szCs w:val="24"/>
        </w:rPr>
        <w:t xml:space="preserve">ommitments </w:t>
      </w:r>
      <w:r w:rsidR="00576D5D">
        <w:rPr>
          <w:sz w:val="24"/>
          <w:szCs w:val="24"/>
        </w:rPr>
        <w:t>associated with</w:t>
      </w:r>
      <w:r w:rsidR="002F02CC">
        <w:rPr>
          <w:sz w:val="24"/>
          <w:szCs w:val="24"/>
        </w:rPr>
        <w:t xml:space="preserve"> the </w:t>
      </w:r>
      <w:r w:rsidR="00576D5D">
        <w:rPr>
          <w:sz w:val="24"/>
          <w:szCs w:val="24"/>
        </w:rPr>
        <w:t>Temporary Entry</w:t>
      </w:r>
      <w:r w:rsidR="00C976E3">
        <w:rPr>
          <w:sz w:val="24"/>
          <w:szCs w:val="24"/>
        </w:rPr>
        <w:t xml:space="preserve"> </w:t>
      </w:r>
      <w:r w:rsidR="00576D5D">
        <w:rPr>
          <w:sz w:val="24"/>
          <w:szCs w:val="24"/>
        </w:rPr>
        <w:t xml:space="preserve">for </w:t>
      </w:r>
      <w:proofErr w:type="gramStart"/>
      <w:r w:rsidR="00576D5D">
        <w:rPr>
          <w:sz w:val="24"/>
          <w:szCs w:val="24"/>
        </w:rPr>
        <w:t>Business Persons</w:t>
      </w:r>
      <w:proofErr w:type="gramEnd"/>
      <w:r w:rsidR="00576D5D">
        <w:rPr>
          <w:sz w:val="24"/>
          <w:szCs w:val="24"/>
        </w:rPr>
        <w:t xml:space="preserve"> C</w:t>
      </w:r>
      <w:r w:rsidR="00C976E3">
        <w:rPr>
          <w:sz w:val="24"/>
          <w:szCs w:val="24"/>
        </w:rPr>
        <w:t>hapter</w:t>
      </w:r>
      <w:r w:rsidR="00576D5D">
        <w:rPr>
          <w:sz w:val="24"/>
          <w:szCs w:val="24"/>
        </w:rPr>
        <w:t xml:space="preserve"> </w:t>
      </w:r>
      <w:r w:rsidR="0082517B">
        <w:rPr>
          <w:sz w:val="24"/>
          <w:szCs w:val="24"/>
        </w:rPr>
        <w:t>broaden</w:t>
      </w:r>
      <w:r w:rsidR="00AD543B">
        <w:rPr>
          <w:sz w:val="24"/>
          <w:szCs w:val="24"/>
        </w:rPr>
        <w:t xml:space="preserve"> </w:t>
      </w:r>
      <w:r w:rsidR="00164FAB">
        <w:rPr>
          <w:sz w:val="24"/>
          <w:szCs w:val="24"/>
        </w:rPr>
        <w:t>the</w:t>
      </w:r>
      <w:r w:rsidR="00822852">
        <w:rPr>
          <w:sz w:val="24"/>
          <w:szCs w:val="24"/>
        </w:rPr>
        <w:t xml:space="preserve"> demographic </w:t>
      </w:r>
      <w:r w:rsidR="00576D5D">
        <w:rPr>
          <w:sz w:val="24"/>
          <w:szCs w:val="24"/>
        </w:rPr>
        <w:t xml:space="preserve">for participation in mobility opportunities between our two countries, and commitments on services provide </w:t>
      </w:r>
      <w:r w:rsidR="00822852">
        <w:rPr>
          <w:sz w:val="24"/>
          <w:szCs w:val="24"/>
        </w:rPr>
        <w:t xml:space="preserve">transparency </w:t>
      </w:r>
      <w:r w:rsidR="00576D5D">
        <w:rPr>
          <w:sz w:val="24"/>
          <w:szCs w:val="24"/>
        </w:rPr>
        <w:t xml:space="preserve">and certainty for services suppliers, all contributing </w:t>
      </w:r>
      <w:r w:rsidR="00E87B83">
        <w:rPr>
          <w:sz w:val="24"/>
          <w:szCs w:val="24"/>
        </w:rPr>
        <w:t xml:space="preserve">to </w:t>
      </w:r>
      <w:r w:rsidR="00C9327F">
        <w:rPr>
          <w:sz w:val="24"/>
          <w:szCs w:val="24"/>
        </w:rPr>
        <w:t xml:space="preserve">maintaining our strong </w:t>
      </w:r>
      <w:r w:rsidR="00576D5D">
        <w:rPr>
          <w:sz w:val="24"/>
          <w:szCs w:val="24"/>
        </w:rPr>
        <w:t>links</w:t>
      </w:r>
      <w:r w:rsidR="00C9327F">
        <w:rPr>
          <w:sz w:val="24"/>
          <w:szCs w:val="24"/>
        </w:rPr>
        <w:t xml:space="preserve"> with the UK and </w:t>
      </w:r>
      <w:r w:rsidR="00E87B83">
        <w:rPr>
          <w:sz w:val="24"/>
          <w:szCs w:val="24"/>
        </w:rPr>
        <w:t>increas</w:t>
      </w:r>
      <w:r w:rsidR="00C9327F">
        <w:rPr>
          <w:sz w:val="24"/>
          <w:szCs w:val="24"/>
        </w:rPr>
        <w:t>ing</w:t>
      </w:r>
      <w:r w:rsidR="002F02CC">
        <w:rPr>
          <w:sz w:val="24"/>
          <w:szCs w:val="24"/>
        </w:rPr>
        <w:t xml:space="preserve"> two-way trade.  </w:t>
      </w:r>
    </w:p>
    <w:p w14:paraId="6CDCA06A" w14:textId="77777777" w:rsidR="003872E7" w:rsidRPr="0009281F" w:rsidRDefault="003872E7" w:rsidP="0009281F">
      <w:pPr>
        <w:rPr>
          <w:sz w:val="24"/>
          <w:szCs w:val="24"/>
        </w:rPr>
      </w:pPr>
    </w:p>
    <w:p w14:paraId="76682901" w14:textId="634A11D3" w:rsidR="00110D56" w:rsidRDefault="00270D9D" w:rsidP="00206944">
      <w:pPr>
        <w:pStyle w:val="ListParagraph"/>
        <w:numPr>
          <w:ilvl w:val="0"/>
          <w:numId w:val="1"/>
        </w:numPr>
        <w:ind w:left="567" w:hanging="567"/>
        <w:rPr>
          <w:sz w:val="24"/>
          <w:szCs w:val="24"/>
        </w:rPr>
      </w:pPr>
      <w:bookmarkStart w:id="2" w:name="_Hlk80962030"/>
      <w:r w:rsidRPr="003B5606">
        <w:rPr>
          <w:sz w:val="24"/>
          <w:szCs w:val="24"/>
        </w:rPr>
        <w:t>The UK is</w:t>
      </w:r>
      <w:r w:rsidR="005D6EDD">
        <w:rPr>
          <w:sz w:val="24"/>
          <w:szCs w:val="24"/>
        </w:rPr>
        <w:t xml:space="preserve"> a</w:t>
      </w:r>
      <w:r w:rsidR="00C976E3">
        <w:rPr>
          <w:sz w:val="24"/>
          <w:szCs w:val="24"/>
        </w:rPr>
        <w:t>n important</w:t>
      </w:r>
      <w:r w:rsidR="005D6EDD">
        <w:rPr>
          <w:sz w:val="24"/>
          <w:szCs w:val="24"/>
        </w:rPr>
        <w:t xml:space="preserve"> partner with which to expand trade</w:t>
      </w:r>
      <w:r w:rsidR="00E87B83">
        <w:rPr>
          <w:sz w:val="24"/>
          <w:szCs w:val="24"/>
        </w:rPr>
        <w:t xml:space="preserve"> a</w:t>
      </w:r>
      <w:r w:rsidR="005D6EDD">
        <w:rPr>
          <w:sz w:val="24"/>
          <w:szCs w:val="24"/>
        </w:rPr>
        <w:t>s</w:t>
      </w:r>
      <w:r w:rsidRPr="003B5606">
        <w:rPr>
          <w:sz w:val="24"/>
          <w:szCs w:val="24"/>
        </w:rPr>
        <w:t xml:space="preserve"> the world’s fifth largest economy</w:t>
      </w:r>
      <w:r w:rsidR="00C50FC2">
        <w:rPr>
          <w:rStyle w:val="FootnoteReference"/>
          <w:sz w:val="24"/>
          <w:szCs w:val="24"/>
        </w:rPr>
        <w:footnoteReference w:id="10"/>
      </w:r>
      <w:r w:rsidR="00C976E3">
        <w:rPr>
          <w:sz w:val="24"/>
          <w:szCs w:val="24"/>
        </w:rPr>
        <w:t xml:space="preserve">, </w:t>
      </w:r>
      <w:r w:rsidR="00712FA2">
        <w:rPr>
          <w:sz w:val="24"/>
          <w:szCs w:val="24"/>
        </w:rPr>
        <w:t>and as</w:t>
      </w:r>
      <w:r w:rsidR="00C976E3">
        <w:rPr>
          <w:sz w:val="24"/>
          <w:szCs w:val="24"/>
        </w:rPr>
        <w:t xml:space="preserve"> a</w:t>
      </w:r>
      <w:r w:rsidRPr="003B5606">
        <w:rPr>
          <w:sz w:val="24"/>
          <w:szCs w:val="24"/>
        </w:rPr>
        <w:t xml:space="preserve"> driver of global trade and investment</w:t>
      </w:r>
      <w:r w:rsidR="00E87B83">
        <w:rPr>
          <w:sz w:val="24"/>
          <w:szCs w:val="24"/>
        </w:rPr>
        <w:t>.</w:t>
      </w:r>
      <w:r w:rsidR="005D6EDD">
        <w:rPr>
          <w:sz w:val="24"/>
          <w:szCs w:val="24"/>
        </w:rPr>
        <w:t xml:space="preserve"> </w:t>
      </w:r>
      <w:r w:rsidR="00E87B83">
        <w:rPr>
          <w:sz w:val="24"/>
          <w:szCs w:val="24"/>
        </w:rPr>
        <w:t>T</w:t>
      </w:r>
      <w:r w:rsidR="005D6EDD">
        <w:rPr>
          <w:sz w:val="24"/>
          <w:szCs w:val="24"/>
        </w:rPr>
        <w:t>he UK is</w:t>
      </w:r>
      <w:r w:rsidRPr="00A6622D">
        <w:rPr>
          <w:sz w:val="24"/>
          <w:szCs w:val="24"/>
        </w:rPr>
        <w:t xml:space="preserve"> our fifth-largest two-way trading partner, </w:t>
      </w:r>
      <w:r w:rsidR="00C50FC2">
        <w:rPr>
          <w:sz w:val="24"/>
          <w:szCs w:val="24"/>
        </w:rPr>
        <w:t xml:space="preserve">with </w:t>
      </w:r>
      <w:r w:rsidR="00822852">
        <w:rPr>
          <w:sz w:val="24"/>
          <w:szCs w:val="24"/>
        </w:rPr>
        <w:t>A</w:t>
      </w:r>
      <w:r w:rsidR="00C50FC2">
        <w:rPr>
          <w:sz w:val="24"/>
          <w:szCs w:val="24"/>
        </w:rPr>
        <w:t>$31.8 billion in goods and services trade in 2020.</w:t>
      </w:r>
      <w:r w:rsidR="005D6EDD" w:rsidRPr="005D6EDD">
        <w:rPr>
          <w:rStyle w:val="FootnoteReference"/>
          <w:sz w:val="24"/>
          <w:szCs w:val="24"/>
        </w:rPr>
        <w:t xml:space="preserve"> </w:t>
      </w:r>
      <w:r w:rsidR="005D6EDD">
        <w:rPr>
          <w:rStyle w:val="FootnoteReference"/>
          <w:sz w:val="24"/>
          <w:szCs w:val="24"/>
        </w:rPr>
        <w:footnoteReference w:id="11"/>
      </w:r>
      <w:r w:rsidR="00C50FC2">
        <w:rPr>
          <w:sz w:val="24"/>
          <w:szCs w:val="24"/>
        </w:rPr>
        <w:t xml:space="preserve"> </w:t>
      </w:r>
      <w:r w:rsidR="00C976E3">
        <w:rPr>
          <w:sz w:val="24"/>
          <w:szCs w:val="24"/>
        </w:rPr>
        <w:t>I</w:t>
      </w:r>
      <w:r w:rsidR="00C50FC2">
        <w:rPr>
          <w:sz w:val="24"/>
          <w:szCs w:val="24"/>
        </w:rPr>
        <w:t xml:space="preserve">t is also Australia’s fifth-largest merchandise trading partner, with two-way goods trade worth </w:t>
      </w:r>
      <w:r w:rsidR="00822852">
        <w:rPr>
          <w:sz w:val="24"/>
          <w:szCs w:val="24"/>
        </w:rPr>
        <w:t>A</w:t>
      </w:r>
      <w:r w:rsidR="00C50FC2" w:rsidRPr="00C50FC2">
        <w:rPr>
          <w:sz w:val="24"/>
          <w:szCs w:val="24"/>
        </w:rPr>
        <w:t>$21.9 billion in 2020</w:t>
      </w:r>
      <w:r w:rsidR="00E87B83">
        <w:rPr>
          <w:sz w:val="24"/>
          <w:szCs w:val="24"/>
        </w:rPr>
        <w:t>,</w:t>
      </w:r>
      <w:r w:rsidR="00C50FC2" w:rsidRPr="00C50FC2">
        <w:rPr>
          <w:sz w:val="24"/>
          <w:szCs w:val="24"/>
        </w:rPr>
        <w:t xml:space="preserve"> and </w:t>
      </w:r>
      <w:r w:rsidR="00E87B83">
        <w:rPr>
          <w:sz w:val="24"/>
          <w:szCs w:val="24"/>
        </w:rPr>
        <w:t xml:space="preserve">our </w:t>
      </w:r>
      <w:r w:rsidR="00C50FC2" w:rsidRPr="00C50FC2">
        <w:rPr>
          <w:sz w:val="24"/>
          <w:szCs w:val="24"/>
        </w:rPr>
        <w:t xml:space="preserve">third-largest services trading partner, with two-way services trade worth </w:t>
      </w:r>
      <w:r w:rsidR="00822852">
        <w:rPr>
          <w:sz w:val="24"/>
          <w:szCs w:val="24"/>
        </w:rPr>
        <w:t>A</w:t>
      </w:r>
      <w:r w:rsidR="00C50FC2" w:rsidRPr="00C50FC2">
        <w:rPr>
          <w:sz w:val="24"/>
          <w:szCs w:val="24"/>
        </w:rPr>
        <w:t>$9.9 billion</w:t>
      </w:r>
      <w:r w:rsidR="00C50FC2">
        <w:rPr>
          <w:sz w:val="24"/>
          <w:szCs w:val="24"/>
        </w:rPr>
        <w:t xml:space="preserve"> in 2020. The UK is also </w:t>
      </w:r>
      <w:r w:rsidR="00822852">
        <w:rPr>
          <w:sz w:val="24"/>
          <w:szCs w:val="24"/>
        </w:rPr>
        <w:t xml:space="preserve">Australia’s </w:t>
      </w:r>
      <w:r w:rsidR="00C50FC2">
        <w:rPr>
          <w:sz w:val="24"/>
          <w:szCs w:val="24"/>
        </w:rPr>
        <w:t xml:space="preserve">third-largest source of foreign direct investment, with foreign direct investment (stocks) valued at </w:t>
      </w:r>
      <w:r w:rsidR="00822852">
        <w:rPr>
          <w:sz w:val="24"/>
          <w:szCs w:val="24"/>
        </w:rPr>
        <w:t>A</w:t>
      </w:r>
      <w:r w:rsidR="00C50FC2">
        <w:rPr>
          <w:sz w:val="24"/>
          <w:szCs w:val="24"/>
        </w:rPr>
        <w:t xml:space="preserve">$123.5 billion in 2020, and the second-largest source of foreign investment in terms of total stocks, valued at </w:t>
      </w:r>
      <w:r w:rsidR="00822852">
        <w:rPr>
          <w:sz w:val="24"/>
          <w:szCs w:val="24"/>
        </w:rPr>
        <w:t>A</w:t>
      </w:r>
      <w:r w:rsidR="00C50FC2">
        <w:rPr>
          <w:sz w:val="24"/>
          <w:szCs w:val="24"/>
        </w:rPr>
        <w:t>$737.6 billion in 2020</w:t>
      </w:r>
      <w:r w:rsidRPr="00B612C2">
        <w:rPr>
          <w:sz w:val="24"/>
          <w:szCs w:val="24"/>
        </w:rPr>
        <w:t>.</w:t>
      </w:r>
      <w:r w:rsidR="00831339">
        <w:rPr>
          <w:sz w:val="24"/>
          <w:szCs w:val="24"/>
        </w:rPr>
        <w:t xml:space="preserve"> </w:t>
      </w:r>
      <w:r w:rsidR="00D631F5" w:rsidRPr="00C976E3">
        <w:rPr>
          <w:b/>
          <w:bCs/>
          <w:sz w:val="24"/>
          <w:szCs w:val="24"/>
          <w:u w:val="single"/>
        </w:rPr>
        <w:t>Graphs 1-</w:t>
      </w:r>
      <w:r w:rsidR="005A7FBF">
        <w:rPr>
          <w:b/>
          <w:bCs/>
          <w:sz w:val="24"/>
          <w:szCs w:val="24"/>
          <w:u w:val="single"/>
        </w:rPr>
        <w:t>4</w:t>
      </w:r>
      <w:r w:rsidR="00D631F5" w:rsidRPr="00D649DB">
        <w:rPr>
          <w:sz w:val="24"/>
          <w:szCs w:val="24"/>
        </w:rPr>
        <w:t xml:space="preserve"> and</w:t>
      </w:r>
      <w:r w:rsidR="00D631F5" w:rsidRPr="00D649DB">
        <w:rPr>
          <w:b/>
          <w:bCs/>
          <w:sz w:val="24"/>
          <w:szCs w:val="24"/>
        </w:rPr>
        <w:t xml:space="preserve"> </w:t>
      </w:r>
      <w:r w:rsidR="00831339" w:rsidRPr="00C976E3">
        <w:rPr>
          <w:b/>
          <w:bCs/>
          <w:sz w:val="24"/>
          <w:szCs w:val="24"/>
          <w:u w:val="single"/>
        </w:rPr>
        <w:t>Tables 1-</w:t>
      </w:r>
      <w:r w:rsidR="005A7FBF">
        <w:rPr>
          <w:b/>
          <w:bCs/>
          <w:sz w:val="24"/>
          <w:szCs w:val="24"/>
          <w:u w:val="single"/>
        </w:rPr>
        <w:t>5</w:t>
      </w:r>
      <w:r w:rsidR="00831339">
        <w:rPr>
          <w:sz w:val="24"/>
          <w:szCs w:val="24"/>
        </w:rPr>
        <w:t xml:space="preserve"> provide</w:t>
      </w:r>
      <w:r w:rsidR="00C30B0B">
        <w:rPr>
          <w:sz w:val="24"/>
          <w:szCs w:val="24"/>
        </w:rPr>
        <w:t xml:space="preserve"> detail </w:t>
      </w:r>
      <w:r w:rsidR="005D6EDD">
        <w:rPr>
          <w:sz w:val="24"/>
          <w:szCs w:val="24"/>
        </w:rPr>
        <w:t>regarding</w:t>
      </w:r>
      <w:r w:rsidR="00C30B0B">
        <w:rPr>
          <w:sz w:val="24"/>
          <w:szCs w:val="24"/>
        </w:rPr>
        <w:t xml:space="preserve"> Australia-UK </w:t>
      </w:r>
      <w:r w:rsidR="00822852">
        <w:rPr>
          <w:sz w:val="24"/>
          <w:szCs w:val="24"/>
        </w:rPr>
        <w:t>goods</w:t>
      </w:r>
      <w:r w:rsidR="00C976E3">
        <w:rPr>
          <w:sz w:val="24"/>
          <w:szCs w:val="24"/>
        </w:rPr>
        <w:t xml:space="preserve"> and</w:t>
      </w:r>
      <w:r w:rsidR="00822852">
        <w:rPr>
          <w:sz w:val="24"/>
          <w:szCs w:val="24"/>
        </w:rPr>
        <w:t xml:space="preserve"> services</w:t>
      </w:r>
      <w:r w:rsidR="00C976E3">
        <w:rPr>
          <w:sz w:val="24"/>
          <w:szCs w:val="24"/>
        </w:rPr>
        <w:t xml:space="preserve"> trade</w:t>
      </w:r>
      <w:r w:rsidR="00822852">
        <w:rPr>
          <w:sz w:val="24"/>
          <w:szCs w:val="24"/>
        </w:rPr>
        <w:t xml:space="preserve"> and </w:t>
      </w:r>
      <w:r w:rsidR="00C976E3">
        <w:rPr>
          <w:sz w:val="24"/>
          <w:szCs w:val="24"/>
        </w:rPr>
        <w:t xml:space="preserve">the </w:t>
      </w:r>
      <w:r w:rsidR="00822852">
        <w:rPr>
          <w:sz w:val="24"/>
          <w:szCs w:val="24"/>
        </w:rPr>
        <w:t>investment</w:t>
      </w:r>
      <w:r w:rsidR="00C976E3">
        <w:rPr>
          <w:sz w:val="24"/>
          <w:szCs w:val="24"/>
        </w:rPr>
        <w:t xml:space="preserve"> relationship</w:t>
      </w:r>
      <w:r w:rsidR="00C30B0B">
        <w:rPr>
          <w:sz w:val="24"/>
          <w:szCs w:val="24"/>
        </w:rPr>
        <w:t xml:space="preserve"> </w:t>
      </w:r>
      <w:r w:rsidR="00D87285">
        <w:rPr>
          <w:sz w:val="24"/>
          <w:szCs w:val="24"/>
        </w:rPr>
        <w:t>over the last decade</w:t>
      </w:r>
      <w:r w:rsidR="00C30B0B">
        <w:rPr>
          <w:sz w:val="24"/>
          <w:szCs w:val="24"/>
        </w:rPr>
        <w:t xml:space="preserve">. </w:t>
      </w:r>
    </w:p>
    <w:p w14:paraId="28A4C53A" w14:textId="66A1D29F" w:rsidR="005261F1" w:rsidRDefault="005261F1" w:rsidP="005261F1">
      <w:pPr>
        <w:rPr>
          <w:sz w:val="24"/>
          <w:szCs w:val="24"/>
        </w:rPr>
      </w:pPr>
    </w:p>
    <w:p w14:paraId="1B3A078D" w14:textId="77777777" w:rsidR="008670F9" w:rsidRDefault="008670F9" w:rsidP="005261F1">
      <w:pPr>
        <w:rPr>
          <w:sz w:val="24"/>
          <w:szCs w:val="24"/>
        </w:rPr>
        <w:sectPr w:rsidR="008670F9">
          <w:headerReference w:type="default" r:id="rId8"/>
          <w:footerReference w:type="default" r:id="rId9"/>
          <w:pgSz w:w="11906" w:h="16838"/>
          <w:pgMar w:top="1440" w:right="1440" w:bottom="1440" w:left="1440" w:header="708" w:footer="708" w:gutter="0"/>
          <w:cols w:space="708"/>
          <w:docGrid w:linePitch="360"/>
        </w:sectPr>
      </w:pPr>
    </w:p>
    <w:p w14:paraId="6919FBCB" w14:textId="3B074679" w:rsidR="008670F9" w:rsidRDefault="00B652FF" w:rsidP="002407AE">
      <w:pPr>
        <w:shd w:val="clear" w:color="auto" w:fill="B4C6E7" w:themeFill="accent1" w:themeFillTint="66"/>
        <w:rPr>
          <w:b/>
          <w:bCs/>
          <w:sz w:val="24"/>
          <w:szCs w:val="24"/>
        </w:rPr>
      </w:pPr>
      <w:r w:rsidRPr="0033543B">
        <w:rPr>
          <w:b/>
          <w:bCs/>
          <w:sz w:val="24"/>
          <w:szCs w:val="24"/>
          <w:u w:val="single"/>
        </w:rPr>
        <w:lastRenderedPageBreak/>
        <w:t>Graph 1</w:t>
      </w:r>
      <w:r w:rsidRPr="00B652FF">
        <w:rPr>
          <w:b/>
          <w:bCs/>
          <w:sz w:val="24"/>
          <w:szCs w:val="24"/>
        </w:rPr>
        <w:t xml:space="preserve">: Goods and Services Trade between Australia and the United Kingdom </w:t>
      </w:r>
    </w:p>
    <w:p w14:paraId="212767C6" w14:textId="57518379" w:rsidR="0053253C" w:rsidRPr="00B652FF" w:rsidRDefault="0053253C" w:rsidP="002407AE">
      <w:pPr>
        <w:shd w:val="clear" w:color="auto" w:fill="B4C6E7" w:themeFill="accent1" w:themeFillTint="66"/>
        <w:rPr>
          <w:b/>
          <w:bCs/>
          <w:sz w:val="24"/>
          <w:szCs w:val="24"/>
        </w:rPr>
      </w:pPr>
      <w:r>
        <w:rPr>
          <w:sz w:val="24"/>
          <w:szCs w:val="24"/>
        </w:rPr>
        <w:t>Source: Office of the Chief Economist, DFAT</w:t>
      </w:r>
      <w:r w:rsidR="002A6B8B">
        <w:rPr>
          <w:sz w:val="24"/>
          <w:szCs w:val="24"/>
        </w:rPr>
        <w:t xml:space="preserve"> based on ABS data catalogue </w:t>
      </w:r>
      <w:r w:rsidR="002A6B8B" w:rsidRPr="00A14255">
        <w:rPr>
          <w:sz w:val="24"/>
          <w:szCs w:val="24"/>
        </w:rPr>
        <w:t>5368.0</w:t>
      </w:r>
    </w:p>
    <w:p w14:paraId="5201CFFE" w14:textId="3079C6C7" w:rsidR="009B7232" w:rsidRPr="009B7232" w:rsidRDefault="005261F1" w:rsidP="009B7232">
      <w:pPr>
        <w:rPr>
          <w:sz w:val="24"/>
          <w:szCs w:val="24"/>
        </w:rPr>
      </w:pPr>
      <w:r>
        <w:rPr>
          <w:noProof/>
        </w:rPr>
        <w:drawing>
          <wp:inline distT="0" distB="0" distL="0" distR="0" wp14:anchorId="4ACB8C1F" wp14:editId="12802922">
            <wp:extent cx="9467850" cy="303948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33966" cy="3092816"/>
                    </a:xfrm>
                    <a:prstGeom prst="rect">
                      <a:avLst/>
                    </a:prstGeom>
                  </pic:spPr>
                </pic:pic>
              </a:graphicData>
            </a:graphic>
          </wp:inline>
        </w:drawing>
      </w:r>
    </w:p>
    <w:p w14:paraId="4E04AFEB" w14:textId="09994F6A" w:rsidR="009B7232" w:rsidRPr="009B7232" w:rsidRDefault="00B652FF" w:rsidP="009B7232">
      <w:pPr>
        <w:rPr>
          <w:sz w:val="24"/>
          <w:szCs w:val="24"/>
        </w:rPr>
      </w:pPr>
      <w:r>
        <w:rPr>
          <w:noProof/>
        </w:rPr>
        <w:drawing>
          <wp:inline distT="0" distB="0" distL="0" distR="0" wp14:anchorId="59883846" wp14:editId="6E1E8C1A">
            <wp:extent cx="10786505"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93705" cy="1229545"/>
                    </a:xfrm>
                    <a:prstGeom prst="rect">
                      <a:avLst/>
                    </a:prstGeom>
                  </pic:spPr>
                </pic:pic>
              </a:graphicData>
            </a:graphic>
          </wp:inline>
        </w:drawing>
      </w:r>
    </w:p>
    <w:bookmarkEnd w:id="2"/>
    <w:p w14:paraId="3AC615D3" w14:textId="77777777" w:rsidR="00B652FF" w:rsidRDefault="00B652FF" w:rsidP="00B652FF">
      <w:pPr>
        <w:rPr>
          <w:b/>
          <w:bCs/>
          <w:sz w:val="24"/>
          <w:szCs w:val="24"/>
        </w:rPr>
      </w:pPr>
    </w:p>
    <w:p w14:paraId="23B13657" w14:textId="77777777" w:rsidR="00B652FF" w:rsidRDefault="00B652FF" w:rsidP="00B652FF">
      <w:pPr>
        <w:rPr>
          <w:b/>
          <w:bCs/>
          <w:sz w:val="24"/>
          <w:szCs w:val="24"/>
        </w:rPr>
      </w:pPr>
    </w:p>
    <w:p w14:paraId="6FEE0772" w14:textId="77777777" w:rsidR="00B652FF" w:rsidRDefault="00B652FF" w:rsidP="00B652FF">
      <w:pPr>
        <w:rPr>
          <w:b/>
          <w:bCs/>
          <w:sz w:val="24"/>
          <w:szCs w:val="24"/>
        </w:rPr>
      </w:pPr>
    </w:p>
    <w:p w14:paraId="40FCADA1" w14:textId="77777777" w:rsidR="00B652FF" w:rsidRDefault="00B652FF" w:rsidP="00B652FF">
      <w:pPr>
        <w:rPr>
          <w:b/>
          <w:bCs/>
          <w:sz w:val="24"/>
          <w:szCs w:val="24"/>
        </w:rPr>
      </w:pPr>
    </w:p>
    <w:p w14:paraId="1AE921DF" w14:textId="77777777" w:rsidR="00B652FF" w:rsidRDefault="00B652FF" w:rsidP="00B652FF">
      <w:pPr>
        <w:rPr>
          <w:b/>
          <w:bCs/>
          <w:sz w:val="24"/>
          <w:szCs w:val="24"/>
        </w:rPr>
      </w:pPr>
    </w:p>
    <w:p w14:paraId="292E04E8" w14:textId="77777777" w:rsidR="00B652FF" w:rsidRDefault="00B652FF" w:rsidP="00B652FF">
      <w:pPr>
        <w:rPr>
          <w:b/>
          <w:bCs/>
          <w:sz w:val="24"/>
          <w:szCs w:val="24"/>
        </w:rPr>
      </w:pPr>
    </w:p>
    <w:p w14:paraId="6F398F7F" w14:textId="77777777" w:rsidR="0053253C" w:rsidRDefault="00B652FF" w:rsidP="002407AE">
      <w:pPr>
        <w:shd w:val="clear" w:color="auto" w:fill="B4C6E7" w:themeFill="accent1" w:themeFillTint="66"/>
        <w:rPr>
          <w:b/>
          <w:bCs/>
          <w:sz w:val="24"/>
          <w:szCs w:val="24"/>
        </w:rPr>
      </w:pPr>
      <w:r w:rsidRPr="0033543B">
        <w:rPr>
          <w:b/>
          <w:bCs/>
          <w:sz w:val="24"/>
          <w:szCs w:val="24"/>
          <w:u w:val="single"/>
        </w:rPr>
        <w:t>Graph 2:</w:t>
      </w:r>
      <w:r w:rsidRPr="00B652FF">
        <w:rPr>
          <w:b/>
          <w:bCs/>
          <w:sz w:val="24"/>
          <w:szCs w:val="24"/>
        </w:rPr>
        <w:t xml:space="preserve"> Goods Trade between Australia and the United Kingdom </w:t>
      </w:r>
    </w:p>
    <w:p w14:paraId="3ABFE81C" w14:textId="1B0E80B2" w:rsidR="0053253C" w:rsidRDefault="0053253C" w:rsidP="002407AE">
      <w:pPr>
        <w:shd w:val="clear" w:color="auto" w:fill="B4C6E7" w:themeFill="accent1" w:themeFillTint="66"/>
        <w:rPr>
          <w:noProof/>
        </w:rPr>
      </w:pPr>
      <w:r>
        <w:rPr>
          <w:sz w:val="24"/>
          <w:szCs w:val="24"/>
        </w:rPr>
        <w:t>Source: Office of the Chief Economist, DFAT</w:t>
      </w:r>
      <w:r>
        <w:rPr>
          <w:noProof/>
        </w:rPr>
        <w:t xml:space="preserve"> </w:t>
      </w:r>
      <w:r w:rsidR="002A6B8B">
        <w:rPr>
          <w:sz w:val="24"/>
          <w:szCs w:val="24"/>
        </w:rPr>
        <w:t xml:space="preserve">based on ABS data catalogue </w:t>
      </w:r>
      <w:r w:rsidR="002A6B8B" w:rsidRPr="00A14255">
        <w:rPr>
          <w:sz w:val="24"/>
          <w:szCs w:val="24"/>
        </w:rPr>
        <w:t>5368.0</w:t>
      </w:r>
      <w:r w:rsidR="00B652FF">
        <w:rPr>
          <w:noProof/>
        </w:rPr>
        <w:drawing>
          <wp:inline distT="0" distB="0" distL="0" distR="0" wp14:anchorId="794FAF57" wp14:editId="2F5F31AB">
            <wp:extent cx="9009238" cy="43910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42908" cy="4407430"/>
                    </a:xfrm>
                    <a:prstGeom prst="rect">
                      <a:avLst/>
                    </a:prstGeom>
                  </pic:spPr>
                </pic:pic>
              </a:graphicData>
            </a:graphic>
          </wp:inline>
        </w:drawing>
      </w:r>
      <w:r w:rsidR="00B652FF" w:rsidRPr="00B652FF">
        <w:rPr>
          <w:noProof/>
        </w:rPr>
        <w:t xml:space="preserve"> </w:t>
      </w:r>
    </w:p>
    <w:p w14:paraId="5E1B92D9" w14:textId="77777777" w:rsidR="0053253C" w:rsidRDefault="0053253C" w:rsidP="00DA5E1D">
      <w:pPr>
        <w:rPr>
          <w:noProof/>
        </w:rPr>
      </w:pPr>
    </w:p>
    <w:p w14:paraId="6521C7D7" w14:textId="77777777" w:rsidR="0053253C" w:rsidRDefault="0053253C" w:rsidP="00DA5E1D">
      <w:pPr>
        <w:rPr>
          <w:noProof/>
        </w:rPr>
      </w:pPr>
    </w:p>
    <w:p w14:paraId="00158D15" w14:textId="77777777" w:rsidR="0053253C" w:rsidRDefault="0053253C" w:rsidP="00DA5E1D">
      <w:pPr>
        <w:rPr>
          <w:noProof/>
        </w:rPr>
      </w:pPr>
    </w:p>
    <w:p w14:paraId="2D425C25" w14:textId="77777777" w:rsidR="00F92C6F" w:rsidRDefault="00F92C6F" w:rsidP="00DA5E1D">
      <w:pPr>
        <w:rPr>
          <w:noProof/>
        </w:rPr>
      </w:pPr>
    </w:p>
    <w:p w14:paraId="78EE7426" w14:textId="77777777" w:rsidR="00B24505" w:rsidRDefault="00B652FF" w:rsidP="002407AE">
      <w:pPr>
        <w:shd w:val="clear" w:color="auto" w:fill="B4C6E7" w:themeFill="accent1" w:themeFillTint="66"/>
        <w:rPr>
          <w:b/>
          <w:bCs/>
          <w:sz w:val="24"/>
          <w:szCs w:val="24"/>
        </w:rPr>
      </w:pPr>
      <w:r w:rsidRPr="0033543B">
        <w:rPr>
          <w:b/>
          <w:bCs/>
          <w:sz w:val="24"/>
          <w:szCs w:val="24"/>
          <w:u w:val="single"/>
        </w:rPr>
        <w:lastRenderedPageBreak/>
        <w:t>Graph 3:</w:t>
      </w:r>
      <w:r w:rsidRPr="00B652FF">
        <w:rPr>
          <w:b/>
          <w:bCs/>
          <w:sz w:val="24"/>
          <w:szCs w:val="24"/>
        </w:rPr>
        <w:t xml:space="preserve"> </w:t>
      </w:r>
      <w:r>
        <w:rPr>
          <w:b/>
          <w:bCs/>
          <w:sz w:val="24"/>
          <w:szCs w:val="24"/>
        </w:rPr>
        <w:t>Services</w:t>
      </w:r>
      <w:r w:rsidRPr="00B652FF">
        <w:rPr>
          <w:b/>
          <w:bCs/>
          <w:sz w:val="24"/>
          <w:szCs w:val="24"/>
        </w:rPr>
        <w:t xml:space="preserve"> Trade between Australia and the United Kingdom</w:t>
      </w:r>
      <w:r w:rsidR="00F92C6F">
        <w:rPr>
          <w:b/>
          <w:bCs/>
          <w:sz w:val="24"/>
          <w:szCs w:val="24"/>
        </w:rPr>
        <w:t xml:space="preserve"> </w:t>
      </w:r>
    </w:p>
    <w:p w14:paraId="436E4D79" w14:textId="32B64AF8" w:rsidR="008670F9" w:rsidRDefault="0053253C" w:rsidP="002407AE">
      <w:pPr>
        <w:shd w:val="clear" w:color="auto" w:fill="B4C6E7" w:themeFill="accent1" w:themeFillTint="66"/>
        <w:rPr>
          <w:b/>
          <w:bCs/>
          <w:noProof/>
        </w:rPr>
      </w:pPr>
      <w:r>
        <w:rPr>
          <w:sz w:val="24"/>
          <w:szCs w:val="24"/>
        </w:rPr>
        <w:t>Source: Office of the Chief Economist, DFA</w:t>
      </w:r>
      <w:r w:rsidR="00F92C6F">
        <w:rPr>
          <w:sz w:val="24"/>
          <w:szCs w:val="24"/>
        </w:rPr>
        <w:t>T</w:t>
      </w:r>
      <w:r w:rsidR="002A6B8B">
        <w:rPr>
          <w:sz w:val="24"/>
          <w:szCs w:val="24"/>
        </w:rPr>
        <w:t xml:space="preserve"> based on ABS data catalogue </w:t>
      </w:r>
      <w:r w:rsidR="002A6B8B" w:rsidRPr="00A14255">
        <w:rPr>
          <w:sz w:val="24"/>
          <w:szCs w:val="24"/>
        </w:rPr>
        <w:t>5368.0</w:t>
      </w:r>
      <w:r w:rsidR="00B652FF">
        <w:rPr>
          <w:noProof/>
        </w:rPr>
        <w:drawing>
          <wp:inline distT="0" distB="0" distL="0" distR="0" wp14:anchorId="5A57B7A9" wp14:editId="60B28E15">
            <wp:extent cx="9464522" cy="42386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67642" cy="4240022"/>
                    </a:xfrm>
                    <a:prstGeom prst="rect">
                      <a:avLst/>
                    </a:prstGeom>
                  </pic:spPr>
                </pic:pic>
              </a:graphicData>
            </a:graphic>
          </wp:inline>
        </w:drawing>
      </w:r>
      <w:r w:rsidR="00F92C6F" w:rsidRPr="00F92C6F">
        <w:rPr>
          <w:noProof/>
        </w:rPr>
        <w:t xml:space="preserve"> </w:t>
      </w:r>
      <w:r w:rsidR="00F92C6F" w:rsidRPr="005A7FBF">
        <w:rPr>
          <w:b/>
          <w:bCs/>
          <w:noProof/>
          <w:sz w:val="24"/>
          <w:szCs w:val="24"/>
          <w:u w:val="single"/>
        </w:rPr>
        <w:lastRenderedPageBreak/>
        <w:t>Graph</w:t>
      </w:r>
      <w:r w:rsidR="00107B74" w:rsidRPr="005A7FBF">
        <w:rPr>
          <w:b/>
          <w:bCs/>
          <w:noProof/>
          <w:sz w:val="24"/>
          <w:szCs w:val="24"/>
          <w:u w:val="single"/>
        </w:rPr>
        <w:t xml:space="preserve"> 4</w:t>
      </w:r>
      <w:r w:rsidR="00107B74" w:rsidRPr="005A7FBF">
        <w:rPr>
          <w:b/>
          <w:bCs/>
          <w:noProof/>
          <w:sz w:val="24"/>
          <w:szCs w:val="24"/>
        </w:rPr>
        <w:t xml:space="preserve">: </w:t>
      </w:r>
      <w:r w:rsidR="0033543B" w:rsidRPr="005A7FBF">
        <w:rPr>
          <w:b/>
          <w:bCs/>
          <w:noProof/>
          <w:sz w:val="24"/>
          <w:szCs w:val="24"/>
        </w:rPr>
        <w:t xml:space="preserve">Australia-UK investment relationship </w:t>
      </w:r>
      <w:r w:rsidR="00107B74" w:rsidRPr="005A7FBF">
        <w:rPr>
          <w:noProof/>
          <w:sz w:val="24"/>
          <w:szCs w:val="24"/>
        </w:rPr>
        <w:t>Source: Office of the Chief Economist</w:t>
      </w:r>
      <w:r w:rsidR="002A6B8B" w:rsidRPr="005A7FBF">
        <w:rPr>
          <w:noProof/>
          <w:sz w:val="24"/>
          <w:szCs w:val="24"/>
        </w:rPr>
        <w:t xml:space="preserve"> </w:t>
      </w:r>
      <w:r w:rsidR="002A6B8B" w:rsidRPr="005A7FBF">
        <w:rPr>
          <w:sz w:val="24"/>
          <w:szCs w:val="24"/>
        </w:rPr>
        <w:t>based on ABS data catalogue 5368.0</w:t>
      </w:r>
      <w:r w:rsidR="00F92C6F">
        <w:rPr>
          <w:noProof/>
        </w:rPr>
        <w:drawing>
          <wp:inline distT="0" distB="0" distL="0" distR="0" wp14:anchorId="3D4ED8DF" wp14:editId="52C740FA">
            <wp:extent cx="8863330" cy="539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5394325"/>
                    </a:xfrm>
                    <a:prstGeom prst="rect">
                      <a:avLst/>
                    </a:prstGeom>
                  </pic:spPr>
                </pic:pic>
              </a:graphicData>
            </a:graphic>
          </wp:inline>
        </w:drawing>
      </w:r>
    </w:p>
    <w:p w14:paraId="03E70E27" w14:textId="23D3CCC8" w:rsidR="00B24505" w:rsidRPr="005A7FBF" w:rsidRDefault="00B24505" w:rsidP="002407AE">
      <w:pPr>
        <w:shd w:val="clear" w:color="auto" w:fill="B4C6E7" w:themeFill="accent1" w:themeFillTint="66"/>
        <w:rPr>
          <w:b/>
          <w:bCs/>
          <w:noProof/>
          <w:sz w:val="24"/>
          <w:szCs w:val="24"/>
        </w:rPr>
      </w:pPr>
      <w:r w:rsidRPr="005A7FBF">
        <w:rPr>
          <w:b/>
          <w:bCs/>
          <w:noProof/>
          <w:sz w:val="24"/>
          <w:szCs w:val="24"/>
          <w:u w:val="single"/>
        </w:rPr>
        <w:lastRenderedPageBreak/>
        <w:t>Table 1:</w:t>
      </w:r>
      <w:r w:rsidRPr="005A7FBF">
        <w:rPr>
          <w:b/>
          <w:bCs/>
          <w:noProof/>
          <w:sz w:val="24"/>
          <w:szCs w:val="24"/>
        </w:rPr>
        <w:t xml:space="preserve"> Australia’s services trade with the United Kingdom</w:t>
      </w:r>
    </w:p>
    <w:p w14:paraId="60789AEB" w14:textId="77777777" w:rsidR="00B24505" w:rsidRDefault="00B24505" w:rsidP="002407AE">
      <w:pPr>
        <w:shd w:val="clear" w:color="auto" w:fill="B4C6E7" w:themeFill="accent1" w:themeFillTint="66"/>
        <w:rPr>
          <w:b/>
          <w:bCs/>
          <w:noProof/>
        </w:rPr>
      </w:pPr>
    </w:p>
    <w:tbl>
      <w:tblPr>
        <w:tblW w:w="13965" w:type="dxa"/>
        <w:tblInd w:w="142" w:type="dxa"/>
        <w:tblLook w:val="04A0" w:firstRow="1" w:lastRow="0" w:firstColumn="1" w:lastColumn="0" w:noHBand="0" w:noVBand="1"/>
      </w:tblPr>
      <w:tblGrid>
        <w:gridCol w:w="454"/>
        <w:gridCol w:w="596"/>
        <w:gridCol w:w="598"/>
        <w:gridCol w:w="6441"/>
        <w:gridCol w:w="1158"/>
        <w:gridCol w:w="1158"/>
        <w:gridCol w:w="1158"/>
        <w:gridCol w:w="1242"/>
        <w:gridCol w:w="1160"/>
      </w:tblGrid>
      <w:tr w:rsidR="00B24505" w:rsidRPr="00B24505" w14:paraId="1EBA214F" w14:textId="77777777" w:rsidTr="004802F8">
        <w:trPr>
          <w:trHeight w:val="324"/>
        </w:trPr>
        <w:tc>
          <w:tcPr>
            <w:tcW w:w="13965" w:type="dxa"/>
            <w:gridSpan w:val="9"/>
            <w:tcBorders>
              <w:top w:val="nil"/>
              <w:left w:val="nil"/>
              <w:bottom w:val="nil"/>
              <w:right w:val="nil"/>
            </w:tcBorders>
            <w:shd w:val="clear" w:color="auto" w:fill="auto"/>
            <w:noWrap/>
            <w:vAlign w:val="bottom"/>
            <w:hideMark/>
          </w:tcPr>
          <w:p w14:paraId="0B0D77D0" w14:textId="77777777" w:rsidR="00B24505" w:rsidRPr="00B24505" w:rsidRDefault="00B24505" w:rsidP="00B24505">
            <w:pPr>
              <w:jc w:val="center"/>
              <w:rPr>
                <w:rFonts w:ascii="Calibri" w:hAnsi="Calibri" w:cs="Calibri"/>
                <w:b/>
                <w:bCs/>
                <w:sz w:val="24"/>
                <w:szCs w:val="24"/>
                <w:lang w:eastAsia="en-AU"/>
              </w:rPr>
            </w:pPr>
            <w:r w:rsidRPr="00B24505">
              <w:rPr>
                <w:rFonts w:ascii="Calibri" w:hAnsi="Calibri" w:cs="Calibri"/>
                <w:b/>
                <w:bCs/>
                <w:sz w:val="24"/>
                <w:szCs w:val="24"/>
                <w:lang w:eastAsia="en-AU"/>
              </w:rPr>
              <w:t>AUSTRALIA'S SERVICES TRADE WITH THE UNITED KINGDOM (a)</w:t>
            </w:r>
          </w:p>
        </w:tc>
      </w:tr>
      <w:tr w:rsidR="00B24505" w:rsidRPr="00B24505" w14:paraId="4350801F" w14:textId="77777777" w:rsidTr="004802F8">
        <w:trPr>
          <w:trHeight w:val="324"/>
        </w:trPr>
        <w:tc>
          <w:tcPr>
            <w:tcW w:w="13965" w:type="dxa"/>
            <w:gridSpan w:val="9"/>
            <w:tcBorders>
              <w:top w:val="nil"/>
              <w:left w:val="nil"/>
              <w:bottom w:val="nil"/>
              <w:right w:val="nil"/>
            </w:tcBorders>
            <w:shd w:val="clear" w:color="auto" w:fill="auto"/>
            <w:noWrap/>
            <w:vAlign w:val="bottom"/>
            <w:hideMark/>
          </w:tcPr>
          <w:p w14:paraId="659C96C2" w14:textId="77777777" w:rsidR="00B24505" w:rsidRPr="00B24505" w:rsidRDefault="00B24505" w:rsidP="00B24505">
            <w:pPr>
              <w:jc w:val="center"/>
              <w:rPr>
                <w:rFonts w:ascii="Calibri" w:hAnsi="Calibri" w:cs="Calibri"/>
                <w:b/>
                <w:bCs/>
                <w:lang w:eastAsia="en-AU"/>
              </w:rPr>
            </w:pPr>
            <w:r w:rsidRPr="00B24505">
              <w:rPr>
                <w:rFonts w:ascii="Calibri" w:hAnsi="Calibri" w:cs="Calibri"/>
                <w:b/>
                <w:bCs/>
                <w:lang w:eastAsia="en-AU"/>
              </w:rPr>
              <w:t>(A$ million)</w:t>
            </w:r>
          </w:p>
        </w:tc>
      </w:tr>
      <w:tr w:rsidR="004802F8" w:rsidRPr="00B24505" w14:paraId="72669383" w14:textId="77777777" w:rsidTr="004802F8">
        <w:trPr>
          <w:trHeight w:val="268"/>
        </w:trPr>
        <w:tc>
          <w:tcPr>
            <w:tcW w:w="454" w:type="dxa"/>
            <w:tcBorders>
              <w:top w:val="nil"/>
              <w:left w:val="nil"/>
              <w:bottom w:val="nil"/>
              <w:right w:val="nil"/>
            </w:tcBorders>
            <w:shd w:val="clear" w:color="auto" w:fill="auto"/>
            <w:noWrap/>
            <w:vAlign w:val="bottom"/>
            <w:hideMark/>
          </w:tcPr>
          <w:p w14:paraId="024FF178" w14:textId="77777777" w:rsidR="00B24505" w:rsidRPr="00B24505" w:rsidRDefault="00B24505" w:rsidP="00B24505">
            <w:pPr>
              <w:jc w:val="center"/>
              <w:rPr>
                <w:rFonts w:ascii="Calibri" w:hAnsi="Calibri" w:cs="Calibri"/>
                <w:b/>
                <w:bCs/>
                <w:lang w:eastAsia="en-AU"/>
              </w:rPr>
            </w:pPr>
          </w:p>
        </w:tc>
        <w:tc>
          <w:tcPr>
            <w:tcW w:w="596" w:type="dxa"/>
            <w:tcBorders>
              <w:top w:val="nil"/>
              <w:left w:val="nil"/>
              <w:bottom w:val="nil"/>
              <w:right w:val="nil"/>
            </w:tcBorders>
            <w:shd w:val="clear" w:color="auto" w:fill="auto"/>
            <w:noWrap/>
            <w:vAlign w:val="bottom"/>
            <w:hideMark/>
          </w:tcPr>
          <w:p w14:paraId="4FEF31A7" w14:textId="77777777" w:rsidR="00B24505" w:rsidRPr="00B24505" w:rsidRDefault="00B24505" w:rsidP="00B24505">
            <w:pPr>
              <w:rPr>
                <w:rFonts w:ascii="Times New Roman" w:hAnsi="Times New Roman"/>
                <w:sz w:val="20"/>
                <w:szCs w:val="20"/>
                <w:lang w:eastAsia="en-AU"/>
              </w:rPr>
            </w:pPr>
          </w:p>
        </w:tc>
        <w:tc>
          <w:tcPr>
            <w:tcW w:w="598" w:type="dxa"/>
            <w:tcBorders>
              <w:top w:val="nil"/>
              <w:left w:val="nil"/>
              <w:bottom w:val="nil"/>
              <w:right w:val="nil"/>
            </w:tcBorders>
            <w:shd w:val="clear" w:color="auto" w:fill="auto"/>
            <w:noWrap/>
            <w:vAlign w:val="bottom"/>
            <w:hideMark/>
          </w:tcPr>
          <w:p w14:paraId="2650C231" w14:textId="77777777" w:rsidR="00B24505" w:rsidRPr="00B24505" w:rsidRDefault="00B24505" w:rsidP="00B24505">
            <w:pPr>
              <w:rPr>
                <w:rFonts w:ascii="Times New Roman" w:hAnsi="Times New Roman"/>
                <w:sz w:val="20"/>
                <w:szCs w:val="20"/>
                <w:lang w:eastAsia="en-AU"/>
              </w:rPr>
            </w:pPr>
          </w:p>
        </w:tc>
        <w:tc>
          <w:tcPr>
            <w:tcW w:w="6441" w:type="dxa"/>
            <w:tcBorders>
              <w:top w:val="nil"/>
              <w:left w:val="nil"/>
              <w:bottom w:val="nil"/>
              <w:right w:val="nil"/>
            </w:tcBorders>
            <w:shd w:val="clear" w:color="auto" w:fill="auto"/>
            <w:noWrap/>
            <w:vAlign w:val="bottom"/>
            <w:hideMark/>
          </w:tcPr>
          <w:p w14:paraId="03369936" w14:textId="77777777" w:rsidR="00B24505" w:rsidRPr="00B24505" w:rsidRDefault="00B24505" w:rsidP="00B24505">
            <w:pPr>
              <w:rPr>
                <w:rFonts w:ascii="Times New Roman" w:hAnsi="Times New Roman"/>
                <w:sz w:val="20"/>
                <w:szCs w:val="20"/>
                <w:lang w:eastAsia="en-AU"/>
              </w:rPr>
            </w:pPr>
          </w:p>
        </w:tc>
        <w:tc>
          <w:tcPr>
            <w:tcW w:w="1158" w:type="dxa"/>
            <w:tcBorders>
              <w:top w:val="nil"/>
              <w:left w:val="nil"/>
              <w:bottom w:val="nil"/>
              <w:right w:val="nil"/>
            </w:tcBorders>
            <w:shd w:val="clear" w:color="auto" w:fill="auto"/>
            <w:noWrap/>
            <w:vAlign w:val="bottom"/>
            <w:hideMark/>
          </w:tcPr>
          <w:p w14:paraId="60A06410" w14:textId="77777777" w:rsidR="00B24505" w:rsidRPr="00B24505" w:rsidRDefault="00B24505" w:rsidP="00B24505">
            <w:pPr>
              <w:rPr>
                <w:rFonts w:ascii="Times New Roman" w:hAnsi="Times New Roman"/>
                <w:sz w:val="20"/>
                <w:szCs w:val="20"/>
                <w:lang w:eastAsia="en-AU"/>
              </w:rPr>
            </w:pPr>
          </w:p>
        </w:tc>
        <w:tc>
          <w:tcPr>
            <w:tcW w:w="1158" w:type="dxa"/>
            <w:tcBorders>
              <w:top w:val="nil"/>
              <w:left w:val="nil"/>
              <w:bottom w:val="nil"/>
              <w:right w:val="nil"/>
            </w:tcBorders>
            <w:shd w:val="clear" w:color="auto" w:fill="auto"/>
            <w:noWrap/>
            <w:vAlign w:val="bottom"/>
            <w:hideMark/>
          </w:tcPr>
          <w:p w14:paraId="042BA38B" w14:textId="77777777" w:rsidR="00B24505" w:rsidRPr="00B24505" w:rsidRDefault="00B24505" w:rsidP="00B24505">
            <w:pPr>
              <w:jc w:val="right"/>
              <w:rPr>
                <w:rFonts w:ascii="Times New Roman" w:hAnsi="Times New Roman"/>
                <w:sz w:val="20"/>
                <w:szCs w:val="20"/>
                <w:lang w:eastAsia="en-AU"/>
              </w:rPr>
            </w:pPr>
          </w:p>
        </w:tc>
        <w:tc>
          <w:tcPr>
            <w:tcW w:w="1158" w:type="dxa"/>
            <w:tcBorders>
              <w:top w:val="nil"/>
              <w:left w:val="nil"/>
              <w:bottom w:val="nil"/>
              <w:right w:val="nil"/>
            </w:tcBorders>
            <w:shd w:val="clear" w:color="auto" w:fill="auto"/>
            <w:noWrap/>
            <w:vAlign w:val="bottom"/>
            <w:hideMark/>
          </w:tcPr>
          <w:p w14:paraId="192DBAEE" w14:textId="77777777" w:rsidR="00B24505" w:rsidRPr="00B24505" w:rsidRDefault="00B24505" w:rsidP="00B24505">
            <w:pPr>
              <w:jc w:val="right"/>
              <w:rPr>
                <w:rFonts w:ascii="Times New Roman" w:hAnsi="Times New Roman"/>
                <w:sz w:val="20"/>
                <w:szCs w:val="20"/>
                <w:lang w:eastAsia="en-AU"/>
              </w:rPr>
            </w:pPr>
          </w:p>
        </w:tc>
        <w:tc>
          <w:tcPr>
            <w:tcW w:w="1242" w:type="dxa"/>
            <w:tcBorders>
              <w:top w:val="nil"/>
              <w:left w:val="nil"/>
              <w:bottom w:val="nil"/>
              <w:right w:val="nil"/>
            </w:tcBorders>
            <w:shd w:val="clear" w:color="auto" w:fill="auto"/>
            <w:noWrap/>
            <w:vAlign w:val="bottom"/>
            <w:hideMark/>
          </w:tcPr>
          <w:p w14:paraId="0A68EF1E" w14:textId="77777777" w:rsidR="00B24505" w:rsidRPr="00B24505" w:rsidRDefault="00B24505" w:rsidP="00B24505">
            <w:pPr>
              <w:jc w:val="right"/>
              <w:rPr>
                <w:rFonts w:ascii="Times New Roman" w:hAnsi="Times New Roman"/>
                <w:sz w:val="20"/>
                <w:szCs w:val="20"/>
                <w:lang w:eastAsia="en-AU"/>
              </w:rPr>
            </w:pPr>
          </w:p>
        </w:tc>
        <w:tc>
          <w:tcPr>
            <w:tcW w:w="1160" w:type="dxa"/>
            <w:tcBorders>
              <w:top w:val="nil"/>
              <w:left w:val="nil"/>
              <w:bottom w:val="nil"/>
              <w:right w:val="nil"/>
            </w:tcBorders>
            <w:shd w:val="clear" w:color="auto" w:fill="auto"/>
            <w:noWrap/>
            <w:vAlign w:val="bottom"/>
            <w:hideMark/>
          </w:tcPr>
          <w:p w14:paraId="76A9FD47" w14:textId="77777777" w:rsidR="00B24505" w:rsidRPr="00B24505" w:rsidRDefault="00B24505" w:rsidP="00B24505">
            <w:pPr>
              <w:jc w:val="right"/>
              <w:rPr>
                <w:rFonts w:ascii="Times New Roman" w:hAnsi="Times New Roman"/>
                <w:sz w:val="20"/>
                <w:szCs w:val="20"/>
                <w:lang w:eastAsia="en-AU"/>
              </w:rPr>
            </w:pPr>
          </w:p>
        </w:tc>
      </w:tr>
      <w:tr w:rsidR="00B24505" w:rsidRPr="00B24505" w14:paraId="537BCA94" w14:textId="77777777" w:rsidTr="004802F8">
        <w:trPr>
          <w:trHeight w:val="518"/>
        </w:trPr>
        <w:tc>
          <w:tcPr>
            <w:tcW w:w="454" w:type="dxa"/>
            <w:tcBorders>
              <w:top w:val="nil"/>
              <w:left w:val="nil"/>
              <w:bottom w:val="nil"/>
              <w:right w:val="nil"/>
            </w:tcBorders>
            <w:shd w:val="clear" w:color="auto" w:fill="B4C6E7" w:themeFill="accent1" w:themeFillTint="66"/>
            <w:noWrap/>
            <w:hideMark/>
          </w:tcPr>
          <w:p w14:paraId="6435F935"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 </w:t>
            </w:r>
          </w:p>
        </w:tc>
        <w:tc>
          <w:tcPr>
            <w:tcW w:w="596" w:type="dxa"/>
            <w:tcBorders>
              <w:top w:val="nil"/>
              <w:left w:val="nil"/>
              <w:bottom w:val="nil"/>
              <w:right w:val="nil"/>
            </w:tcBorders>
            <w:shd w:val="clear" w:color="auto" w:fill="B4C6E7" w:themeFill="accent1" w:themeFillTint="66"/>
            <w:noWrap/>
            <w:hideMark/>
          </w:tcPr>
          <w:p w14:paraId="05A64066"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 </w:t>
            </w:r>
          </w:p>
        </w:tc>
        <w:tc>
          <w:tcPr>
            <w:tcW w:w="598" w:type="dxa"/>
            <w:tcBorders>
              <w:top w:val="nil"/>
              <w:left w:val="nil"/>
              <w:bottom w:val="nil"/>
              <w:right w:val="nil"/>
            </w:tcBorders>
            <w:shd w:val="clear" w:color="auto" w:fill="B4C6E7" w:themeFill="accent1" w:themeFillTint="66"/>
            <w:noWrap/>
            <w:hideMark/>
          </w:tcPr>
          <w:p w14:paraId="560129DF"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 </w:t>
            </w:r>
          </w:p>
        </w:tc>
        <w:tc>
          <w:tcPr>
            <w:tcW w:w="6441" w:type="dxa"/>
            <w:tcBorders>
              <w:top w:val="nil"/>
              <w:left w:val="nil"/>
              <w:bottom w:val="nil"/>
              <w:right w:val="nil"/>
            </w:tcBorders>
            <w:shd w:val="clear" w:color="auto" w:fill="B4C6E7" w:themeFill="accent1" w:themeFillTint="66"/>
            <w:noWrap/>
            <w:hideMark/>
          </w:tcPr>
          <w:p w14:paraId="05B03F49"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 </w:t>
            </w:r>
          </w:p>
        </w:tc>
        <w:tc>
          <w:tcPr>
            <w:tcW w:w="1158" w:type="dxa"/>
            <w:tcBorders>
              <w:top w:val="nil"/>
              <w:left w:val="nil"/>
              <w:bottom w:val="nil"/>
              <w:right w:val="nil"/>
            </w:tcBorders>
            <w:shd w:val="clear" w:color="auto" w:fill="B4C6E7" w:themeFill="accent1" w:themeFillTint="66"/>
            <w:noWrap/>
            <w:vAlign w:val="center"/>
            <w:hideMark/>
          </w:tcPr>
          <w:p w14:paraId="55787CE1"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2016</w:t>
            </w:r>
          </w:p>
        </w:tc>
        <w:tc>
          <w:tcPr>
            <w:tcW w:w="1158" w:type="dxa"/>
            <w:tcBorders>
              <w:top w:val="nil"/>
              <w:left w:val="nil"/>
              <w:bottom w:val="nil"/>
              <w:right w:val="nil"/>
            </w:tcBorders>
            <w:shd w:val="clear" w:color="auto" w:fill="B4C6E7" w:themeFill="accent1" w:themeFillTint="66"/>
            <w:noWrap/>
            <w:vAlign w:val="center"/>
            <w:hideMark/>
          </w:tcPr>
          <w:p w14:paraId="0A5BA7C5"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2017</w:t>
            </w:r>
          </w:p>
        </w:tc>
        <w:tc>
          <w:tcPr>
            <w:tcW w:w="1158" w:type="dxa"/>
            <w:tcBorders>
              <w:top w:val="nil"/>
              <w:left w:val="nil"/>
              <w:bottom w:val="nil"/>
              <w:right w:val="nil"/>
            </w:tcBorders>
            <w:shd w:val="clear" w:color="auto" w:fill="B4C6E7" w:themeFill="accent1" w:themeFillTint="66"/>
            <w:noWrap/>
            <w:vAlign w:val="center"/>
            <w:hideMark/>
          </w:tcPr>
          <w:p w14:paraId="793FF6D9"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2018</w:t>
            </w:r>
          </w:p>
        </w:tc>
        <w:tc>
          <w:tcPr>
            <w:tcW w:w="1242" w:type="dxa"/>
            <w:tcBorders>
              <w:top w:val="nil"/>
              <w:left w:val="nil"/>
              <w:bottom w:val="nil"/>
              <w:right w:val="nil"/>
            </w:tcBorders>
            <w:shd w:val="clear" w:color="auto" w:fill="B4C6E7" w:themeFill="accent1" w:themeFillTint="66"/>
            <w:noWrap/>
            <w:vAlign w:val="center"/>
            <w:hideMark/>
          </w:tcPr>
          <w:p w14:paraId="25EDCB36"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2019</w:t>
            </w:r>
          </w:p>
        </w:tc>
        <w:tc>
          <w:tcPr>
            <w:tcW w:w="1160" w:type="dxa"/>
            <w:tcBorders>
              <w:top w:val="nil"/>
              <w:left w:val="nil"/>
              <w:bottom w:val="nil"/>
              <w:right w:val="nil"/>
            </w:tcBorders>
            <w:shd w:val="clear" w:color="auto" w:fill="B4C6E7" w:themeFill="accent1" w:themeFillTint="66"/>
            <w:noWrap/>
            <w:vAlign w:val="center"/>
            <w:hideMark/>
          </w:tcPr>
          <w:p w14:paraId="2E998B25"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2020</w:t>
            </w:r>
          </w:p>
        </w:tc>
      </w:tr>
      <w:tr w:rsidR="004802F8" w:rsidRPr="00B24505" w14:paraId="088B6EB1" w14:textId="77777777" w:rsidTr="004802F8">
        <w:trPr>
          <w:trHeight w:val="583"/>
        </w:trPr>
        <w:tc>
          <w:tcPr>
            <w:tcW w:w="8089" w:type="dxa"/>
            <w:gridSpan w:val="4"/>
            <w:tcBorders>
              <w:top w:val="nil"/>
              <w:left w:val="nil"/>
              <w:bottom w:val="single" w:sz="4" w:space="0" w:color="auto"/>
              <w:right w:val="nil"/>
            </w:tcBorders>
            <w:shd w:val="clear" w:color="000000" w:fill="495965"/>
            <w:noWrap/>
            <w:vAlign w:val="bottom"/>
            <w:hideMark/>
          </w:tcPr>
          <w:p w14:paraId="4F177C30" w14:textId="77777777" w:rsidR="00B24505" w:rsidRPr="00B24505" w:rsidRDefault="00B24505" w:rsidP="00B24505">
            <w:pPr>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Total services exports</w:t>
            </w:r>
          </w:p>
        </w:tc>
        <w:tc>
          <w:tcPr>
            <w:tcW w:w="1158" w:type="dxa"/>
            <w:tcBorders>
              <w:top w:val="nil"/>
              <w:left w:val="nil"/>
              <w:bottom w:val="single" w:sz="4" w:space="0" w:color="auto"/>
              <w:right w:val="nil"/>
            </w:tcBorders>
            <w:shd w:val="clear" w:color="000000" w:fill="495965"/>
            <w:noWrap/>
            <w:vAlign w:val="bottom"/>
            <w:hideMark/>
          </w:tcPr>
          <w:p w14:paraId="530410E8"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5,313</w:t>
            </w:r>
          </w:p>
        </w:tc>
        <w:tc>
          <w:tcPr>
            <w:tcW w:w="1158" w:type="dxa"/>
            <w:tcBorders>
              <w:top w:val="nil"/>
              <w:left w:val="nil"/>
              <w:bottom w:val="single" w:sz="4" w:space="0" w:color="auto"/>
              <w:right w:val="nil"/>
            </w:tcBorders>
            <w:shd w:val="clear" w:color="000000" w:fill="495965"/>
            <w:noWrap/>
            <w:vAlign w:val="bottom"/>
            <w:hideMark/>
          </w:tcPr>
          <w:p w14:paraId="5E097B75"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5,402</w:t>
            </w:r>
          </w:p>
        </w:tc>
        <w:tc>
          <w:tcPr>
            <w:tcW w:w="1158" w:type="dxa"/>
            <w:tcBorders>
              <w:top w:val="nil"/>
              <w:left w:val="nil"/>
              <w:bottom w:val="single" w:sz="4" w:space="0" w:color="auto"/>
              <w:right w:val="nil"/>
            </w:tcBorders>
            <w:shd w:val="clear" w:color="000000" w:fill="495965"/>
            <w:noWrap/>
            <w:vAlign w:val="bottom"/>
            <w:hideMark/>
          </w:tcPr>
          <w:p w14:paraId="2CD215EA"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5,465</w:t>
            </w:r>
          </w:p>
        </w:tc>
        <w:tc>
          <w:tcPr>
            <w:tcW w:w="1242" w:type="dxa"/>
            <w:tcBorders>
              <w:top w:val="nil"/>
              <w:left w:val="nil"/>
              <w:bottom w:val="single" w:sz="4" w:space="0" w:color="auto"/>
              <w:right w:val="nil"/>
            </w:tcBorders>
            <w:shd w:val="clear" w:color="000000" w:fill="495965"/>
            <w:noWrap/>
            <w:vAlign w:val="bottom"/>
            <w:hideMark/>
          </w:tcPr>
          <w:p w14:paraId="129F86C1"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5,852</w:t>
            </w:r>
          </w:p>
        </w:tc>
        <w:tc>
          <w:tcPr>
            <w:tcW w:w="1160" w:type="dxa"/>
            <w:tcBorders>
              <w:top w:val="nil"/>
              <w:left w:val="nil"/>
              <w:bottom w:val="single" w:sz="4" w:space="0" w:color="auto"/>
              <w:right w:val="nil"/>
            </w:tcBorders>
            <w:shd w:val="clear" w:color="000000" w:fill="495965"/>
            <w:noWrap/>
            <w:vAlign w:val="bottom"/>
            <w:hideMark/>
          </w:tcPr>
          <w:p w14:paraId="0D015E4D"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3,853</w:t>
            </w:r>
          </w:p>
        </w:tc>
      </w:tr>
      <w:tr w:rsidR="004802F8" w:rsidRPr="00B24505" w14:paraId="6F302D33" w14:textId="77777777" w:rsidTr="004802F8">
        <w:trPr>
          <w:trHeight w:val="389"/>
        </w:trPr>
        <w:tc>
          <w:tcPr>
            <w:tcW w:w="8089" w:type="dxa"/>
            <w:gridSpan w:val="4"/>
            <w:tcBorders>
              <w:top w:val="single" w:sz="4" w:space="0" w:color="auto"/>
              <w:left w:val="nil"/>
              <w:bottom w:val="single" w:sz="4" w:space="0" w:color="auto"/>
              <w:right w:val="nil"/>
            </w:tcBorders>
            <w:shd w:val="clear" w:color="000000" w:fill="495965"/>
            <w:noWrap/>
            <w:vAlign w:val="bottom"/>
            <w:hideMark/>
          </w:tcPr>
          <w:p w14:paraId="6822310C" w14:textId="77777777" w:rsidR="00B24505" w:rsidRPr="00B24505" w:rsidRDefault="00B24505" w:rsidP="00B24505">
            <w:pPr>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Total services imports</w:t>
            </w:r>
          </w:p>
        </w:tc>
        <w:tc>
          <w:tcPr>
            <w:tcW w:w="1158" w:type="dxa"/>
            <w:tcBorders>
              <w:top w:val="nil"/>
              <w:left w:val="nil"/>
              <w:bottom w:val="single" w:sz="4" w:space="0" w:color="auto"/>
              <w:right w:val="nil"/>
            </w:tcBorders>
            <w:shd w:val="clear" w:color="000000" w:fill="495965"/>
            <w:noWrap/>
            <w:vAlign w:val="bottom"/>
            <w:hideMark/>
          </w:tcPr>
          <w:p w14:paraId="02C094C5"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7,881</w:t>
            </w:r>
          </w:p>
        </w:tc>
        <w:tc>
          <w:tcPr>
            <w:tcW w:w="1158" w:type="dxa"/>
            <w:tcBorders>
              <w:top w:val="nil"/>
              <w:left w:val="nil"/>
              <w:bottom w:val="single" w:sz="4" w:space="0" w:color="auto"/>
              <w:right w:val="nil"/>
            </w:tcBorders>
            <w:shd w:val="clear" w:color="000000" w:fill="495965"/>
            <w:noWrap/>
            <w:vAlign w:val="bottom"/>
            <w:hideMark/>
          </w:tcPr>
          <w:p w14:paraId="31180343"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8,950</w:t>
            </w:r>
          </w:p>
        </w:tc>
        <w:tc>
          <w:tcPr>
            <w:tcW w:w="1158" w:type="dxa"/>
            <w:tcBorders>
              <w:top w:val="nil"/>
              <w:left w:val="nil"/>
              <w:bottom w:val="single" w:sz="4" w:space="0" w:color="auto"/>
              <w:right w:val="nil"/>
            </w:tcBorders>
            <w:shd w:val="clear" w:color="000000" w:fill="495965"/>
            <w:noWrap/>
            <w:vAlign w:val="bottom"/>
            <w:hideMark/>
          </w:tcPr>
          <w:p w14:paraId="0141F5F1"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9,484</w:t>
            </w:r>
          </w:p>
        </w:tc>
        <w:tc>
          <w:tcPr>
            <w:tcW w:w="1242" w:type="dxa"/>
            <w:tcBorders>
              <w:top w:val="nil"/>
              <w:left w:val="nil"/>
              <w:bottom w:val="single" w:sz="4" w:space="0" w:color="auto"/>
              <w:right w:val="nil"/>
            </w:tcBorders>
            <w:shd w:val="clear" w:color="000000" w:fill="495965"/>
            <w:noWrap/>
            <w:vAlign w:val="bottom"/>
            <w:hideMark/>
          </w:tcPr>
          <w:p w14:paraId="5A84C570"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10,172</w:t>
            </w:r>
          </w:p>
        </w:tc>
        <w:tc>
          <w:tcPr>
            <w:tcW w:w="1160" w:type="dxa"/>
            <w:tcBorders>
              <w:top w:val="nil"/>
              <w:left w:val="nil"/>
              <w:bottom w:val="single" w:sz="4" w:space="0" w:color="auto"/>
              <w:right w:val="nil"/>
            </w:tcBorders>
            <w:shd w:val="clear" w:color="000000" w:fill="495965"/>
            <w:noWrap/>
            <w:vAlign w:val="bottom"/>
            <w:hideMark/>
          </w:tcPr>
          <w:p w14:paraId="32973DF2"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5,997</w:t>
            </w:r>
          </w:p>
        </w:tc>
      </w:tr>
      <w:tr w:rsidR="004802F8" w:rsidRPr="00B24505" w14:paraId="74C07670" w14:textId="77777777" w:rsidTr="004802F8">
        <w:trPr>
          <w:trHeight w:val="389"/>
        </w:trPr>
        <w:tc>
          <w:tcPr>
            <w:tcW w:w="8089" w:type="dxa"/>
            <w:gridSpan w:val="4"/>
            <w:tcBorders>
              <w:top w:val="single" w:sz="4" w:space="0" w:color="auto"/>
              <w:left w:val="nil"/>
              <w:bottom w:val="nil"/>
              <w:right w:val="nil"/>
            </w:tcBorders>
            <w:shd w:val="clear" w:color="000000" w:fill="495965"/>
            <w:noWrap/>
            <w:vAlign w:val="bottom"/>
            <w:hideMark/>
          </w:tcPr>
          <w:p w14:paraId="2642F7E3" w14:textId="77777777" w:rsidR="00B24505" w:rsidRPr="00B24505" w:rsidRDefault="00B24505" w:rsidP="00B24505">
            <w:pPr>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Balance on services trade</w:t>
            </w:r>
          </w:p>
        </w:tc>
        <w:tc>
          <w:tcPr>
            <w:tcW w:w="1158" w:type="dxa"/>
            <w:tcBorders>
              <w:top w:val="nil"/>
              <w:left w:val="nil"/>
              <w:bottom w:val="nil"/>
              <w:right w:val="nil"/>
            </w:tcBorders>
            <w:shd w:val="clear" w:color="000000" w:fill="495965"/>
            <w:noWrap/>
            <w:vAlign w:val="bottom"/>
            <w:hideMark/>
          </w:tcPr>
          <w:p w14:paraId="722C8AC4"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-2,568</w:t>
            </w:r>
          </w:p>
        </w:tc>
        <w:tc>
          <w:tcPr>
            <w:tcW w:w="1158" w:type="dxa"/>
            <w:tcBorders>
              <w:top w:val="nil"/>
              <w:left w:val="nil"/>
              <w:bottom w:val="nil"/>
              <w:right w:val="nil"/>
            </w:tcBorders>
            <w:shd w:val="clear" w:color="000000" w:fill="495965"/>
            <w:noWrap/>
            <w:vAlign w:val="bottom"/>
            <w:hideMark/>
          </w:tcPr>
          <w:p w14:paraId="31D47019"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-3,548</w:t>
            </w:r>
          </w:p>
        </w:tc>
        <w:tc>
          <w:tcPr>
            <w:tcW w:w="1158" w:type="dxa"/>
            <w:tcBorders>
              <w:top w:val="nil"/>
              <w:left w:val="nil"/>
              <w:bottom w:val="nil"/>
              <w:right w:val="nil"/>
            </w:tcBorders>
            <w:shd w:val="clear" w:color="000000" w:fill="495965"/>
            <w:noWrap/>
            <w:vAlign w:val="bottom"/>
            <w:hideMark/>
          </w:tcPr>
          <w:p w14:paraId="3DDD4254"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-4,019</w:t>
            </w:r>
          </w:p>
        </w:tc>
        <w:tc>
          <w:tcPr>
            <w:tcW w:w="1242" w:type="dxa"/>
            <w:tcBorders>
              <w:top w:val="nil"/>
              <w:left w:val="nil"/>
              <w:bottom w:val="nil"/>
              <w:right w:val="nil"/>
            </w:tcBorders>
            <w:shd w:val="clear" w:color="000000" w:fill="495965"/>
            <w:noWrap/>
            <w:vAlign w:val="bottom"/>
            <w:hideMark/>
          </w:tcPr>
          <w:p w14:paraId="6C4662C9"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-4,320</w:t>
            </w:r>
          </w:p>
        </w:tc>
        <w:tc>
          <w:tcPr>
            <w:tcW w:w="1160" w:type="dxa"/>
            <w:tcBorders>
              <w:top w:val="nil"/>
              <w:left w:val="nil"/>
              <w:bottom w:val="nil"/>
              <w:right w:val="nil"/>
            </w:tcBorders>
            <w:shd w:val="clear" w:color="000000" w:fill="495965"/>
            <w:noWrap/>
            <w:vAlign w:val="bottom"/>
            <w:hideMark/>
          </w:tcPr>
          <w:p w14:paraId="6348A3CA" w14:textId="77777777" w:rsidR="00B24505" w:rsidRPr="00B24505" w:rsidRDefault="00B24505" w:rsidP="00B24505">
            <w:pPr>
              <w:jc w:val="right"/>
              <w:rPr>
                <w:rFonts w:ascii="Calibri" w:hAnsi="Calibri" w:cs="Calibri"/>
                <w:b/>
                <w:bCs/>
                <w:color w:val="FFFFFF"/>
                <w:sz w:val="20"/>
                <w:szCs w:val="20"/>
                <w:lang w:eastAsia="en-AU"/>
              </w:rPr>
            </w:pPr>
            <w:r w:rsidRPr="00B24505">
              <w:rPr>
                <w:rFonts w:ascii="Calibri" w:hAnsi="Calibri" w:cs="Calibri"/>
                <w:b/>
                <w:bCs/>
                <w:color w:val="FFFFFF"/>
                <w:sz w:val="20"/>
                <w:szCs w:val="20"/>
                <w:lang w:eastAsia="en-AU"/>
              </w:rPr>
              <w:t>-2,144</w:t>
            </w:r>
          </w:p>
        </w:tc>
      </w:tr>
      <w:tr w:rsidR="00B24505" w:rsidRPr="00B24505" w14:paraId="709C1356" w14:textId="77777777" w:rsidTr="004802F8">
        <w:trPr>
          <w:trHeight w:val="648"/>
        </w:trPr>
        <w:tc>
          <w:tcPr>
            <w:tcW w:w="1648" w:type="dxa"/>
            <w:gridSpan w:val="3"/>
            <w:tcBorders>
              <w:top w:val="nil"/>
              <w:left w:val="nil"/>
              <w:bottom w:val="single" w:sz="4" w:space="0" w:color="auto"/>
              <w:right w:val="nil"/>
            </w:tcBorders>
            <w:shd w:val="clear" w:color="auto" w:fill="auto"/>
            <w:noWrap/>
            <w:vAlign w:val="bottom"/>
            <w:hideMark/>
          </w:tcPr>
          <w:p w14:paraId="168CA2C6"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Services exports</w:t>
            </w:r>
          </w:p>
        </w:tc>
        <w:tc>
          <w:tcPr>
            <w:tcW w:w="6441" w:type="dxa"/>
            <w:tcBorders>
              <w:top w:val="nil"/>
              <w:left w:val="nil"/>
              <w:bottom w:val="single" w:sz="4" w:space="0" w:color="auto"/>
              <w:right w:val="nil"/>
            </w:tcBorders>
            <w:shd w:val="clear" w:color="auto" w:fill="auto"/>
            <w:noWrap/>
            <w:vAlign w:val="bottom"/>
            <w:hideMark/>
          </w:tcPr>
          <w:p w14:paraId="2C4D319D"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287529E8" w14:textId="77777777" w:rsidR="00B24505" w:rsidRPr="00B24505" w:rsidRDefault="00B24505" w:rsidP="00B24505">
            <w:pPr>
              <w:jc w:val="right"/>
              <w:rPr>
                <w:rFonts w:ascii="Calibri" w:hAnsi="Calibri" w:cs="Calibri"/>
                <w:b/>
                <w:bCs/>
                <w:sz w:val="19"/>
                <w:szCs w:val="19"/>
                <w:lang w:eastAsia="en-AU"/>
              </w:rPr>
            </w:pPr>
            <w:r w:rsidRPr="00B24505">
              <w:rPr>
                <w:rFonts w:ascii="Calibri" w:hAnsi="Calibri" w:cs="Calibri"/>
                <w:b/>
                <w:bCs/>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31D562E7" w14:textId="77777777" w:rsidR="00B24505" w:rsidRPr="00B24505" w:rsidRDefault="00B24505" w:rsidP="00B24505">
            <w:pPr>
              <w:jc w:val="right"/>
              <w:rPr>
                <w:rFonts w:ascii="Calibri" w:hAnsi="Calibri" w:cs="Calibri"/>
                <w:b/>
                <w:bCs/>
                <w:sz w:val="19"/>
                <w:szCs w:val="19"/>
                <w:lang w:eastAsia="en-AU"/>
              </w:rPr>
            </w:pPr>
            <w:r w:rsidRPr="00B24505">
              <w:rPr>
                <w:rFonts w:ascii="Calibri" w:hAnsi="Calibri" w:cs="Calibri"/>
                <w:b/>
                <w:bCs/>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6240058B"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242" w:type="dxa"/>
            <w:tcBorders>
              <w:top w:val="nil"/>
              <w:left w:val="nil"/>
              <w:bottom w:val="single" w:sz="4" w:space="0" w:color="auto"/>
              <w:right w:val="nil"/>
            </w:tcBorders>
            <w:shd w:val="clear" w:color="auto" w:fill="auto"/>
            <w:noWrap/>
            <w:vAlign w:val="bottom"/>
            <w:hideMark/>
          </w:tcPr>
          <w:p w14:paraId="4D21863A"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160" w:type="dxa"/>
            <w:tcBorders>
              <w:top w:val="nil"/>
              <w:left w:val="nil"/>
              <w:bottom w:val="single" w:sz="4" w:space="0" w:color="auto"/>
              <w:right w:val="nil"/>
            </w:tcBorders>
            <w:shd w:val="clear" w:color="auto" w:fill="auto"/>
            <w:noWrap/>
            <w:vAlign w:val="bottom"/>
            <w:hideMark/>
          </w:tcPr>
          <w:p w14:paraId="1A274C05"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r>
      <w:tr w:rsidR="00B24505" w:rsidRPr="00B24505" w14:paraId="76C6038B" w14:textId="77777777" w:rsidTr="004802F8">
        <w:trPr>
          <w:trHeight w:val="648"/>
        </w:trPr>
        <w:tc>
          <w:tcPr>
            <w:tcW w:w="454" w:type="dxa"/>
            <w:tcBorders>
              <w:top w:val="nil"/>
              <w:left w:val="nil"/>
              <w:bottom w:val="single" w:sz="4" w:space="0" w:color="auto"/>
              <w:right w:val="nil"/>
            </w:tcBorders>
            <w:shd w:val="clear" w:color="auto" w:fill="auto"/>
            <w:noWrap/>
            <w:vAlign w:val="bottom"/>
            <w:hideMark/>
          </w:tcPr>
          <w:p w14:paraId="2E9EBAF0"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vAlign w:val="bottom"/>
            <w:hideMark/>
          </w:tcPr>
          <w:p w14:paraId="1A7643D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xml:space="preserve">Manufacturing services on physical inputs owned by others </w:t>
            </w:r>
          </w:p>
        </w:tc>
        <w:tc>
          <w:tcPr>
            <w:tcW w:w="1158" w:type="dxa"/>
            <w:tcBorders>
              <w:top w:val="nil"/>
              <w:left w:val="nil"/>
              <w:bottom w:val="single" w:sz="4" w:space="0" w:color="auto"/>
              <w:right w:val="nil"/>
            </w:tcBorders>
            <w:shd w:val="clear" w:color="auto" w:fill="auto"/>
            <w:noWrap/>
            <w:vAlign w:val="bottom"/>
            <w:hideMark/>
          </w:tcPr>
          <w:p w14:paraId="46160B0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56B165DA"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6E9D4E6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242" w:type="dxa"/>
            <w:tcBorders>
              <w:top w:val="nil"/>
              <w:left w:val="nil"/>
              <w:bottom w:val="single" w:sz="4" w:space="0" w:color="auto"/>
              <w:right w:val="nil"/>
            </w:tcBorders>
            <w:shd w:val="clear" w:color="auto" w:fill="auto"/>
            <w:noWrap/>
            <w:vAlign w:val="bottom"/>
            <w:hideMark/>
          </w:tcPr>
          <w:p w14:paraId="23D4FEEA"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60" w:type="dxa"/>
            <w:tcBorders>
              <w:top w:val="nil"/>
              <w:left w:val="nil"/>
              <w:bottom w:val="single" w:sz="4" w:space="0" w:color="auto"/>
              <w:right w:val="nil"/>
            </w:tcBorders>
            <w:shd w:val="clear" w:color="auto" w:fill="auto"/>
            <w:noWrap/>
            <w:vAlign w:val="bottom"/>
            <w:hideMark/>
          </w:tcPr>
          <w:p w14:paraId="3D440D7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r>
      <w:tr w:rsidR="00B24505" w:rsidRPr="00B24505" w14:paraId="0054A645" w14:textId="77777777" w:rsidTr="004802F8">
        <w:trPr>
          <w:trHeight w:val="389"/>
        </w:trPr>
        <w:tc>
          <w:tcPr>
            <w:tcW w:w="454" w:type="dxa"/>
            <w:tcBorders>
              <w:top w:val="nil"/>
              <w:left w:val="nil"/>
              <w:bottom w:val="single" w:sz="4" w:space="0" w:color="auto"/>
              <w:right w:val="nil"/>
            </w:tcBorders>
            <w:shd w:val="clear" w:color="auto" w:fill="auto"/>
            <w:noWrap/>
            <w:vAlign w:val="bottom"/>
            <w:hideMark/>
          </w:tcPr>
          <w:p w14:paraId="2582DFDD"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28D2D836"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xml:space="preserve">Maintenance &amp; repair services </w:t>
            </w:r>
            <w:proofErr w:type="spellStart"/>
            <w:r w:rsidRPr="00B24505">
              <w:rPr>
                <w:rFonts w:ascii="Calibri" w:hAnsi="Calibri" w:cs="Calibri"/>
                <w:sz w:val="19"/>
                <w:szCs w:val="19"/>
                <w:lang w:eastAsia="en-AU"/>
              </w:rPr>
              <w:t>nie</w:t>
            </w:r>
            <w:proofErr w:type="spellEnd"/>
          </w:p>
        </w:tc>
        <w:tc>
          <w:tcPr>
            <w:tcW w:w="1158" w:type="dxa"/>
            <w:tcBorders>
              <w:top w:val="nil"/>
              <w:left w:val="nil"/>
              <w:bottom w:val="single" w:sz="4" w:space="0" w:color="auto"/>
              <w:right w:val="nil"/>
            </w:tcBorders>
            <w:shd w:val="clear" w:color="auto" w:fill="auto"/>
            <w:noWrap/>
            <w:vAlign w:val="bottom"/>
            <w:hideMark/>
          </w:tcPr>
          <w:p w14:paraId="3BBD489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w:t>
            </w:r>
          </w:p>
        </w:tc>
        <w:tc>
          <w:tcPr>
            <w:tcW w:w="1158" w:type="dxa"/>
            <w:tcBorders>
              <w:top w:val="nil"/>
              <w:left w:val="nil"/>
              <w:bottom w:val="single" w:sz="4" w:space="0" w:color="auto"/>
              <w:right w:val="nil"/>
            </w:tcBorders>
            <w:shd w:val="clear" w:color="auto" w:fill="auto"/>
            <w:noWrap/>
            <w:vAlign w:val="bottom"/>
            <w:hideMark/>
          </w:tcPr>
          <w:p w14:paraId="679597F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70F324B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w:t>
            </w:r>
          </w:p>
        </w:tc>
        <w:tc>
          <w:tcPr>
            <w:tcW w:w="1242" w:type="dxa"/>
            <w:tcBorders>
              <w:top w:val="nil"/>
              <w:left w:val="nil"/>
              <w:bottom w:val="single" w:sz="4" w:space="0" w:color="auto"/>
              <w:right w:val="nil"/>
            </w:tcBorders>
            <w:shd w:val="clear" w:color="auto" w:fill="auto"/>
            <w:noWrap/>
            <w:vAlign w:val="bottom"/>
            <w:hideMark/>
          </w:tcPr>
          <w:p w14:paraId="3AD529DF"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w:t>
            </w:r>
          </w:p>
        </w:tc>
        <w:tc>
          <w:tcPr>
            <w:tcW w:w="1160" w:type="dxa"/>
            <w:tcBorders>
              <w:top w:val="nil"/>
              <w:left w:val="nil"/>
              <w:bottom w:val="single" w:sz="4" w:space="0" w:color="auto"/>
              <w:right w:val="nil"/>
            </w:tcBorders>
            <w:shd w:val="clear" w:color="auto" w:fill="auto"/>
            <w:noWrap/>
            <w:vAlign w:val="bottom"/>
            <w:hideMark/>
          </w:tcPr>
          <w:p w14:paraId="1EB4274E"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r>
      <w:tr w:rsidR="00B24505" w:rsidRPr="00B24505" w14:paraId="6EF0115C" w14:textId="77777777" w:rsidTr="004802F8">
        <w:trPr>
          <w:trHeight w:val="389"/>
        </w:trPr>
        <w:tc>
          <w:tcPr>
            <w:tcW w:w="454" w:type="dxa"/>
            <w:tcBorders>
              <w:top w:val="nil"/>
              <w:left w:val="nil"/>
              <w:bottom w:val="single" w:sz="4" w:space="0" w:color="auto"/>
              <w:right w:val="nil"/>
            </w:tcBorders>
            <w:shd w:val="clear" w:color="auto" w:fill="auto"/>
            <w:noWrap/>
            <w:vAlign w:val="bottom"/>
            <w:hideMark/>
          </w:tcPr>
          <w:p w14:paraId="4A7B4AC1"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76EFB5F6"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Transport services</w:t>
            </w:r>
          </w:p>
        </w:tc>
        <w:tc>
          <w:tcPr>
            <w:tcW w:w="1158" w:type="dxa"/>
            <w:tcBorders>
              <w:top w:val="nil"/>
              <w:left w:val="nil"/>
              <w:bottom w:val="single" w:sz="4" w:space="0" w:color="auto"/>
              <w:right w:val="nil"/>
            </w:tcBorders>
            <w:shd w:val="clear" w:color="auto" w:fill="auto"/>
            <w:noWrap/>
            <w:vAlign w:val="bottom"/>
            <w:hideMark/>
          </w:tcPr>
          <w:p w14:paraId="6524A38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250</w:t>
            </w:r>
          </w:p>
        </w:tc>
        <w:tc>
          <w:tcPr>
            <w:tcW w:w="1158" w:type="dxa"/>
            <w:tcBorders>
              <w:top w:val="nil"/>
              <w:left w:val="nil"/>
              <w:bottom w:val="single" w:sz="4" w:space="0" w:color="auto"/>
              <w:right w:val="nil"/>
            </w:tcBorders>
            <w:shd w:val="clear" w:color="auto" w:fill="auto"/>
            <w:noWrap/>
            <w:vAlign w:val="bottom"/>
            <w:hideMark/>
          </w:tcPr>
          <w:p w14:paraId="49A1D04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254</w:t>
            </w:r>
          </w:p>
        </w:tc>
        <w:tc>
          <w:tcPr>
            <w:tcW w:w="1158" w:type="dxa"/>
            <w:tcBorders>
              <w:top w:val="nil"/>
              <w:left w:val="nil"/>
              <w:bottom w:val="single" w:sz="4" w:space="0" w:color="auto"/>
              <w:right w:val="nil"/>
            </w:tcBorders>
            <w:shd w:val="clear" w:color="auto" w:fill="auto"/>
            <w:noWrap/>
            <w:vAlign w:val="bottom"/>
            <w:hideMark/>
          </w:tcPr>
          <w:p w14:paraId="5FBF0429"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255</w:t>
            </w:r>
          </w:p>
        </w:tc>
        <w:tc>
          <w:tcPr>
            <w:tcW w:w="1242" w:type="dxa"/>
            <w:tcBorders>
              <w:top w:val="nil"/>
              <w:left w:val="nil"/>
              <w:bottom w:val="single" w:sz="4" w:space="0" w:color="auto"/>
              <w:right w:val="nil"/>
            </w:tcBorders>
            <w:shd w:val="clear" w:color="auto" w:fill="auto"/>
            <w:noWrap/>
            <w:vAlign w:val="bottom"/>
            <w:hideMark/>
          </w:tcPr>
          <w:p w14:paraId="3E0F7BBA"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298</w:t>
            </w:r>
          </w:p>
        </w:tc>
        <w:tc>
          <w:tcPr>
            <w:tcW w:w="1160" w:type="dxa"/>
            <w:tcBorders>
              <w:top w:val="nil"/>
              <w:left w:val="nil"/>
              <w:bottom w:val="single" w:sz="4" w:space="0" w:color="auto"/>
              <w:right w:val="nil"/>
            </w:tcBorders>
            <w:shd w:val="clear" w:color="auto" w:fill="auto"/>
            <w:noWrap/>
            <w:vAlign w:val="bottom"/>
            <w:hideMark/>
          </w:tcPr>
          <w:p w14:paraId="730A587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125</w:t>
            </w:r>
          </w:p>
        </w:tc>
      </w:tr>
      <w:tr w:rsidR="00B24505" w:rsidRPr="00B24505" w14:paraId="24B7F3C3" w14:textId="77777777" w:rsidTr="004802F8">
        <w:trPr>
          <w:trHeight w:val="389"/>
        </w:trPr>
        <w:tc>
          <w:tcPr>
            <w:tcW w:w="454" w:type="dxa"/>
            <w:tcBorders>
              <w:top w:val="nil"/>
              <w:left w:val="nil"/>
              <w:bottom w:val="single" w:sz="4" w:space="0" w:color="auto"/>
              <w:right w:val="nil"/>
            </w:tcBorders>
            <w:shd w:val="clear" w:color="auto" w:fill="auto"/>
            <w:noWrap/>
            <w:vAlign w:val="bottom"/>
            <w:hideMark/>
          </w:tcPr>
          <w:p w14:paraId="0AD6F1A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73027268"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Travel services</w:t>
            </w:r>
          </w:p>
        </w:tc>
        <w:tc>
          <w:tcPr>
            <w:tcW w:w="1158" w:type="dxa"/>
            <w:tcBorders>
              <w:top w:val="nil"/>
              <w:left w:val="nil"/>
              <w:bottom w:val="single" w:sz="4" w:space="0" w:color="auto"/>
              <w:right w:val="nil"/>
            </w:tcBorders>
            <w:shd w:val="clear" w:color="auto" w:fill="auto"/>
            <w:noWrap/>
            <w:vAlign w:val="bottom"/>
            <w:hideMark/>
          </w:tcPr>
          <w:p w14:paraId="3FEBE39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3,027</w:t>
            </w:r>
          </w:p>
        </w:tc>
        <w:tc>
          <w:tcPr>
            <w:tcW w:w="1158" w:type="dxa"/>
            <w:tcBorders>
              <w:top w:val="nil"/>
              <w:left w:val="nil"/>
              <w:bottom w:val="single" w:sz="4" w:space="0" w:color="auto"/>
              <w:right w:val="nil"/>
            </w:tcBorders>
            <w:shd w:val="clear" w:color="auto" w:fill="auto"/>
            <w:noWrap/>
            <w:vAlign w:val="bottom"/>
            <w:hideMark/>
          </w:tcPr>
          <w:p w14:paraId="5786C93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2,876</w:t>
            </w:r>
          </w:p>
        </w:tc>
        <w:tc>
          <w:tcPr>
            <w:tcW w:w="1158" w:type="dxa"/>
            <w:tcBorders>
              <w:top w:val="nil"/>
              <w:left w:val="nil"/>
              <w:bottom w:val="single" w:sz="4" w:space="0" w:color="auto"/>
              <w:right w:val="nil"/>
            </w:tcBorders>
            <w:shd w:val="clear" w:color="auto" w:fill="auto"/>
            <w:noWrap/>
            <w:vAlign w:val="bottom"/>
            <w:hideMark/>
          </w:tcPr>
          <w:p w14:paraId="68E2D12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2,803</w:t>
            </w:r>
          </w:p>
        </w:tc>
        <w:tc>
          <w:tcPr>
            <w:tcW w:w="1242" w:type="dxa"/>
            <w:tcBorders>
              <w:top w:val="nil"/>
              <w:left w:val="nil"/>
              <w:bottom w:val="single" w:sz="4" w:space="0" w:color="auto"/>
              <w:right w:val="nil"/>
            </w:tcBorders>
            <w:shd w:val="clear" w:color="auto" w:fill="auto"/>
            <w:noWrap/>
            <w:vAlign w:val="bottom"/>
            <w:hideMark/>
          </w:tcPr>
          <w:p w14:paraId="607F5EA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2,594</w:t>
            </w:r>
          </w:p>
        </w:tc>
        <w:tc>
          <w:tcPr>
            <w:tcW w:w="1160" w:type="dxa"/>
            <w:tcBorders>
              <w:top w:val="nil"/>
              <w:left w:val="nil"/>
              <w:bottom w:val="single" w:sz="4" w:space="0" w:color="auto"/>
              <w:right w:val="nil"/>
            </w:tcBorders>
            <w:shd w:val="clear" w:color="auto" w:fill="auto"/>
            <w:noWrap/>
            <w:vAlign w:val="bottom"/>
            <w:hideMark/>
          </w:tcPr>
          <w:p w14:paraId="115FD69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738</w:t>
            </w:r>
          </w:p>
        </w:tc>
      </w:tr>
      <w:tr w:rsidR="00B24505" w:rsidRPr="00B24505" w14:paraId="36FADE37"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400F4D51"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2615EF39"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039" w:type="dxa"/>
            <w:gridSpan w:val="2"/>
            <w:tcBorders>
              <w:top w:val="single" w:sz="4" w:space="0" w:color="auto"/>
              <w:left w:val="nil"/>
              <w:bottom w:val="single" w:sz="4" w:space="0" w:color="auto"/>
              <w:right w:val="nil"/>
            </w:tcBorders>
            <w:shd w:val="clear" w:color="auto" w:fill="auto"/>
            <w:noWrap/>
            <w:vAlign w:val="bottom"/>
            <w:hideMark/>
          </w:tcPr>
          <w:p w14:paraId="32872C88"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Business</w:t>
            </w:r>
          </w:p>
        </w:tc>
        <w:tc>
          <w:tcPr>
            <w:tcW w:w="1158" w:type="dxa"/>
            <w:tcBorders>
              <w:top w:val="nil"/>
              <w:left w:val="nil"/>
              <w:bottom w:val="single" w:sz="4" w:space="0" w:color="auto"/>
              <w:right w:val="nil"/>
            </w:tcBorders>
            <w:shd w:val="clear" w:color="auto" w:fill="auto"/>
            <w:noWrap/>
            <w:vAlign w:val="bottom"/>
            <w:hideMark/>
          </w:tcPr>
          <w:p w14:paraId="06C43A8C"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241</w:t>
            </w:r>
          </w:p>
        </w:tc>
        <w:tc>
          <w:tcPr>
            <w:tcW w:w="1158" w:type="dxa"/>
            <w:tcBorders>
              <w:top w:val="nil"/>
              <w:left w:val="nil"/>
              <w:bottom w:val="single" w:sz="4" w:space="0" w:color="auto"/>
              <w:right w:val="nil"/>
            </w:tcBorders>
            <w:shd w:val="clear" w:color="auto" w:fill="auto"/>
            <w:noWrap/>
            <w:vAlign w:val="bottom"/>
            <w:hideMark/>
          </w:tcPr>
          <w:p w14:paraId="3106B7DF"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254</w:t>
            </w:r>
          </w:p>
        </w:tc>
        <w:tc>
          <w:tcPr>
            <w:tcW w:w="1158" w:type="dxa"/>
            <w:tcBorders>
              <w:top w:val="nil"/>
              <w:left w:val="nil"/>
              <w:bottom w:val="single" w:sz="4" w:space="0" w:color="auto"/>
              <w:right w:val="nil"/>
            </w:tcBorders>
            <w:shd w:val="clear" w:color="auto" w:fill="auto"/>
            <w:noWrap/>
            <w:vAlign w:val="bottom"/>
            <w:hideMark/>
          </w:tcPr>
          <w:p w14:paraId="69C8A387"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264</w:t>
            </w:r>
          </w:p>
        </w:tc>
        <w:tc>
          <w:tcPr>
            <w:tcW w:w="1242" w:type="dxa"/>
            <w:tcBorders>
              <w:top w:val="nil"/>
              <w:left w:val="nil"/>
              <w:bottom w:val="single" w:sz="4" w:space="0" w:color="auto"/>
              <w:right w:val="nil"/>
            </w:tcBorders>
            <w:shd w:val="clear" w:color="auto" w:fill="auto"/>
            <w:noWrap/>
            <w:vAlign w:val="bottom"/>
            <w:hideMark/>
          </w:tcPr>
          <w:p w14:paraId="513650C0"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236</w:t>
            </w:r>
          </w:p>
        </w:tc>
        <w:tc>
          <w:tcPr>
            <w:tcW w:w="1160" w:type="dxa"/>
            <w:tcBorders>
              <w:top w:val="nil"/>
              <w:left w:val="nil"/>
              <w:bottom w:val="single" w:sz="4" w:space="0" w:color="auto"/>
              <w:right w:val="nil"/>
            </w:tcBorders>
            <w:shd w:val="clear" w:color="auto" w:fill="auto"/>
            <w:noWrap/>
            <w:vAlign w:val="bottom"/>
            <w:hideMark/>
          </w:tcPr>
          <w:p w14:paraId="2BC4C65E"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77</w:t>
            </w:r>
          </w:p>
        </w:tc>
      </w:tr>
      <w:tr w:rsidR="00B24505" w:rsidRPr="00B24505" w14:paraId="343010BB"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512BA431"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1246DF32"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039" w:type="dxa"/>
            <w:gridSpan w:val="2"/>
            <w:tcBorders>
              <w:top w:val="single" w:sz="4" w:space="0" w:color="auto"/>
              <w:left w:val="nil"/>
              <w:bottom w:val="single" w:sz="4" w:space="0" w:color="auto"/>
              <w:right w:val="nil"/>
            </w:tcBorders>
            <w:shd w:val="clear" w:color="auto" w:fill="auto"/>
            <w:noWrap/>
            <w:vAlign w:val="bottom"/>
            <w:hideMark/>
          </w:tcPr>
          <w:p w14:paraId="43ED2A26"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Personal</w:t>
            </w:r>
          </w:p>
        </w:tc>
        <w:tc>
          <w:tcPr>
            <w:tcW w:w="1158" w:type="dxa"/>
            <w:tcBorders>
              <w:top w:val="nil"/>
              <w:left w:val="nil"/>
              <w:bottom w:val="single" w:sz="4" w:space="0" w:color="auto"/>
              <w:right w:val="nil"/>
            </w:tcBorders>
            <w:shd w:val="clear" w:color="auto" w:fill="auto"/>
            <w:noWrap/>
            <w:vAlign w:val="bottom"/>
            <w:hideMark/>
          </w:tcPr>
          <w:p w14:paraId="7C76DB5A"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2,785</w:t>
            </w:r>
          </w:p>
        </w:tc>
        <w:tc>
          <w:tcPr>
            <w:tcW w:w="1158" w:type="dxa"/>
            <w:tcBorders>
              <w:top w:val="nil"/>
              <w:left w:val="nil"/>
              <w:bottom w:val="single" w:sz="4" w:space="0" w:color="auto"/>
              <w:right w:val="nil"/>
            </w:tcBorders>
            <w:shd w:val="clear" w:color="auto" w:fill="auto"/>
            <w:noWrap/>
            <w:vAlign w:val="bottom"/>
            <w:hideMark/>
          </w:tcPr>
          <w:p w14:paraId="76CA0CF2"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2,622</w:t>
            </w:r>
          </w:p>
        </w:tc>
        <w:tc>
          <w:tcPr>
            <w:tcW w:w="1158" w:type="dxa"/>
            <w:tcBorders>
              <w:top w:val="nil"/>
              <w:left w:val="nil"/>
              <w:bottom w:val="single" w:sz="4" w:space="0" w:color="auto"/>
              <w:right w:val="nil"/>
            </w:tcBorders>
            <w:shd w:val="clear" w:color="auto" w:fill="auto"/>
            <w:noWrap/>
            <w:vAlign w:val="bottom"/>
            <w:hideMark/>
          </w:tcPr>
          <w:p w14:paraId="405F867E"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2,538</w:t>
            </w:r>
          </w:p>
        </w:tc>
        <w:tc>
          <w:tcPr>
            <w:tcW w:w="1242" w:type="dxa"/>
            <w:tcBorders>
              <w:top w:val="nil"/>
              <w:left w:val="nil"/>
              <w:bottom w:val="single" w:sz="4" w:space="0" w:color="auto"/>
              <w:right w:val="nil"/>
            </w:tcBorders>
            <w:shd w:val="clear" w:color="auto" w:fill="auto"/>
            <w:noWrap/>
            <w:vAlign w:val="bottom"/>
            <w:hideMark/>
          </w:tcPr>
          <w:p w14:paraId="2BB75CE0"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2,358</w:t>
            </w:r>
          </w:p>
        </w:tc>
        <w:tc>
          <w:tcPr>
            <w:tcW w:w="1160" w:type="dxa"/>
            <w:tcBorders>
              <w:top w:val="nil"/>
              <w:left w:val="nil"/>
              <w:bottom w:val="single" w:sz="4" w:space="0" w:color="auto"/>
              <w:right w:val="nil"/>
            </w:tcBorders>
            <w:shd w:val="clear" w:color="auto" w:fill="auto"/>
            <w:noWrap/>
            <w:vAlign w:val="bottom"/>
            <w:hideMark/>
          </w:tcPr>
          <w:p w14:paraId="3472D3B2"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661</w:t>
            </w:r>
          </w:p>
        </w:tc>
      </w:tr>
      <w:tr w:rsidR="004802F8" w:rsidRPr="00B24505" w14:paraId="6E29E563"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32FEB133"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6FE0AE2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8" w:type="dxa"/>
            <w:tcBorders>
              <w:top w:val="nil"/>
              <w:left w:val="nil"/>
              <w:bottom w:val="single" w:sz="4" w:space="0" w:color="auto"/>
              <w:right w:val="nil"/>
            </w:tcBorders>
            <w:shd w:val="clear" w:color="auto" w:fill="auto"/>
            <w:noWrap/>
            <w:vAlign w:val="bottom"/>
            <w:hideMark/>
          </w:tcPr>
          <w:p w14:paraId="19859943"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6441" w:type="dxa"/>
            <w:tcBorders>
              <w:top w:val="nil"/>
              <w:left w:val="nil"/>
              <w:bottom w:val="single" w:sz="4" w:space="0" w:color="auto"/>
              <w:right w:val="nil"/>
            </w:tcBorders>
            <w:shd w:val="clear" w:color="auto" w:fill="auto"/>
            <w:noWrap/>
            <w:vAlign w:val="bottom"/>
            <w:hideMark/>
          </w:tcPr>
          <w:p w14:paraId="35554E52" w14:textId="77777777" w:rsidR="00B24505" w:rsidRPr="00B24505" w:rsidRDefault="00B24505" w:rsidP="00B24505">
            <w:pPr>
              <w:rPr>
                <w:rFonts w:ascii="Calibri" w:hAnsi="Calibri" w:cs="Calibri"/>
                <w:i/>
                <w:iCs/>
                <w:sz w:val="19"/>
                <w:szCs w:val="19"/>
                <w:lang w:eastAsia="en-AU"/>
              </w:rPr>
            </w:pPr>
            <w:r w:rsidRPr="00B24505">
              <w:rPr>
                <w:rFonts w:ascii="Calibri" w:hAnsi="Calibri" w:cs="Calibri"/>
                <w:i/>
                <w:iCs/>
                <w:sz w:val="19"/>
                <w:szCs w:val="19"/>
                <w:lang w:eastAsia="en-AU"/>
              </w:rPr>
              <w:t>Education-related</w:t>
            </w:r>
          </w:p>
        </w:tc>
        <w:tc>
          <w:tcPr>
            <w:tcW w:w="1158" w:type="dxa"/>
            <w:tcBorders>
              <w:top w:val="nil"/>
              <w:left w:val="nil"/>
              <w:bottom w:val="single" w:sz="4" w:space="0" w:color="auto"/>
              <w:right w:val="nil"/>
            </w:tcBorders>
            <w:shd w:val="clear" w:color="auto" w:fill="auto"/>
            <w:noWrap/>
            <w:vAlign w:val="bottom"/>
            <w:hideMark/>
          </w:tcPr>
          <w:p w14:paraId="24AA755C"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231</w:t>
            </w:r>
          </w:p>
        </w:tc>
        <w:tc>
          <w:tcPr>
            <w:tcW w:w="1158" w:type="dxa"/>
            <w:tcBorders>
              <w:top w:val="nil"/>
              <w:left w:val="nil"/>
              <w:bottom w:val="single" w:sz="4" w:space="0" w:color="auto"/>
              <w:right w:val="nil"/>
            </w:tcBorders>
            <w:shd w:val="clear" w:color="auto" w:fill="auto"/>
            <w:noWrap/>
            <w:vAlign w:val="bottom"/>
            <w:hideMark/>
          </w:tcPr>
          <w:p w14:paraId="3A650E88"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247</w:t>
            </w:r>
          </w:p>
        </w:tc>
        <w:tc>
          <w:tcPr>
            <w:tcW w:w="1158" w:type="dxa"/>
            <w:tcBorders>
              <w:top w:val="nil"/>
              <w:left w:val="nil"/>
              <w:bottom w:val="single" w:sz="4" w:space="0" w:color="auto"/>
              <w:right w:val="nil"/>
            </w:tcBorders>
            <w:shd w:val="clear" w:color="auto" w:fill="auto"/>
            <w:noWrap/>
            <w:vAlign w:val="bottom"/>
            <w:hideMark/>
          </w:tcPr>
          <w:p w14:paraId="51EB5584"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258</w:t>
            </w:r>
          </w:p>
        </w:tc>
        <w:tc>
          <w:tcPr>
            <w:tcW w:w="1242" w:type="dxa"/>
            <w:tcBorders>
              <w:top w:val="nil"/>
              <w:left w:val="nil"/>
              <w:bottom w:val="single" w:sz="4" w:space="0" w:color="auto"/>
              <w:right w:val="nil"/>
            </w:tcBorders>
            <w:shd w:val="clear" w:color="auto" w:fill="auto"/>
            <w:noWrap/>
            <w:vAlign w:val="bottom"/>
            <w:hideMark/>
          </w:tcPr>
          <w:p w14:paraId="4C3C8830"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281</w:t>
            </w:r>
          </w:p>
        </w:tc>
        <w:tc>
          <w:tcPr>
            <w:tcW w:w="1160" w:type="dxa"/>
            <w:tcBorders>
              <w:top w:val="nil"/>
              <w:left w:val="nil"/>
              <w:bottom w:val="single" w:sz="4" w:space="0" w:color="auto"/>
              <w:right w:val="nil"/>
            </w:tcBorders>
            <w:shd w:val="clear" w:color="auto" w:fill="auto"/>
            <w:noWrap/>
            <w:vAlign w:val="bottom"/>
            <w:hideMark/>
          </w:tcPr>
          <w:p w14:paraId="49416E1B"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241</w:t>
            </w:r>
          </w:p>
        </w:tc>
      </w:tr>
      <w:tr w:rsidR="004802F8" w:rsidRPr="00B24505" w14:paraId="43F026B9"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5851F02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5A7755F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8" w:type="dxa"/>
            <w:tcBorders>
              <w:top w:val="nil"/>
              <w:left w:val="nil"/>
              <w:bottom w:val="single" w:sz="4" w:space="0" w:color="auto"/>
              <w:right w:val="nil"/>
            </w:tcBorders>
            <w:shd w:val="clear" w:color="auto" w:fill="auto"/>
            <w:noWrap/>
            <w:vAlign w:val="bottom"/>
            <w:hideMark/>
          </w:tcPr>
          <w:p w14:paraId="2F2AF03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6441" w:type="dxa"/>
            <w:tcBorders>
              <w:top w:val="nil"/>
              <w:left w:val="nil"/>
              <w:bottom w:val="single" w:sz="4" w:space="0" w:color="auto"/>
              <w:right w:val="nil"/>
            </w:tcBorders>
            <w:shd w:val="clear" w:color="auto" w:fill="auto"/>
            <w:noWrap/>
            <w:vAlign w:val="bottom"/>
            <w:hideMark/>
          </w:tcPr>
          <w:p w14:paraId="1D4DC931" w14:textId="77777777" w:rsidR="00B24505" w:rsidRPr="00B24505" w:rsidRDefault="00B24505" w:rsidP="00B24505">
            <w:pPr>
              <w:rPr>
                <w:rFonts w:ascii="Calibri" w:hAnsi="Calibri" w:cs="Calibri"/>
                <w:i/>
                <w:iCs/>
                <w:sz w:val="19"/>
                <w:szCs w:val="19"/>
                <w:lang w:eastAsia="en-AU"/>
              </w:rPr>
            </w:pPr>
            <w:r w:rsidRPr="00B24505">
              <w:rPr>
                <w:rFonts w:ascii="Calibri" w:hAnsi="Calibri" w:cs="Calibri"/>
                <w:i/>
                <w:iCs/>
                <w:sz w:val="19"/>
                <w:szCs w:val="19"/>
                <w:lang w:eastAsia="en-AU"/>
              </w:rPr>
              <w:t>Personal travel (excl education-related)</w:t>
            </w:r>
          </w:p>
        </w:tc>
        <w:tc>
          <w:tcPr>
            <w:tcW w:w="1158" w:type="dxa"/>
            <w:tcBorders>
              <w:top w:val="nil"/>
              <w:left w:val="nil"/>
              <w:bottom w:val="single" w:sz="4" w:space="0" w:color="auto"/>
              <w:right w:val="nil"/>
            </w:tcBorders>
            <w:shd w:val="clear" w:color="auto" w:fill="auto"/>
            <w:noWrap/>
            <w:vAlign w:val="bottom"/>
            <w:hideMark/>
          </w:tcPr>
          <w:p w14:paraId="4C2C2F85"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2,555</w:t>
            </w:r>
          </w:p>
        </w:tc>
        <w:tc>
          <w:tcPr>
            <w:tcW w:w="1158" w:type="dxa"/>
            <w:tcBorders>
              <w:top w:val="nil"/>
              <w:left w:val="nil"/>
              <w:bottom w:val="single" w:sz="4" w:space="0" w:color="auto"/>
              <w:right w:val="nil"/>
            </w:tcBorders>
            <w:shd w:val="clear" w:color="auto" w:fill="auto"/>
            <w:noWrap/>
            <w:vAlign w:val="bottom"/>
            <w:hideMark/>
          </w:tcPr>
          <w:p w14:paraId="5627EF89"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2,375</w:t>
            </w:r>
          </w:p>
        </w:tc>
        <w:tc>
          <w:tcPr>
            <w:tcW w:w="1158" w:type="dxa"/>
            <w:tcBorders>
              <w:top w:val="nil"/>
              <w:left w:val="nil"/>
              <w:bottom w:val="single" w:sz="4" w:space="0" w:color="auto"/>
              <w:right w:val="nil"/>
            </w:tcBorders>
            <w:shd w:val="clear" w:color="auto" w:fill="auto"/>
            <w:noWrap/>
            <w:vAlign w:val="bottom"/>
            <w:hideMark/>
          </w:tcPr>
          <w:p w14:paraId="551D3C07"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2,281</w:t>
            </w:r>
          </w:p>
        </w:tc>
        <w:tc>
          <w:tcPr>
            <w:tcW w:w="1242" w:type="dxa"/>
            <w:tcBorders>
              <w:top w:val="nil"/>
              <w:left w:val="nil"/>
              <w:bottom w:val="single" w:sz="4" w:space="0" w:color="auto"/>
              <w:right w:val="nil"/>
            </w:tcBorders>
            <w:shd w:val="clear" w:color="auto" w:fill="auto"/>
            <w:noWrap/>
            <w:vAlign w:val="bottom"/>
            <w:hideMark/>
          </w:tcPr>
          <w:p w14:paraId="5D94A98A"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2,077</w:t>
            </w:r>
          </w:p>
        </w:tc>
        <w:tc>
          <w:tcPr>
            <w:tcW w:w="1160" w:type="dxa"/>
            <w:tcBorders>
              <w:top w:val="nil"/>
              <w:left w:val="nil"/>
              <w:bottom w:val="single" w:sz="4" w:space="0" w:color="auto"/>
              <w:right w:val="nil"/>
            </w:tcBorders>
            <w:shd w:val="clear" w:color="auto" w:fill="auto"/>
            <w:noWrap/>
            <w:vAlign w:val="bottom"/>
            <w:hideMark/>
          </w:tcPr>
          <w:p w14:paraId="2B38FA89"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420</w:t>
            </w:r>
          </w:p>
        </w:tc>
      </w:tr>
      <w:tr w:rsidR="00B24505" w:rsidRPr="00B24505" w14:paraId="1CCBDECA"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6F0A4F96"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799C1929"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Construction services</w:t>
            </w:r>
          </w:p>
        </w:tc>
        <w:tc>
          <w:tcPr>
            <w:tcW w:w="1158" w:type="dxa"/>
            <w:tcBorders>
              <w:top w:val="nil"/>
              <w:left w:val="nil"/>
              <w:bottom w:val="single" w:sz="4" w:space="0" w:color="auto"/>
              <w:right w:val="nil"/>
            </w:tcBorders>
            <w:shd w:val="clear" w:color="auto" w:fill="auto"/>
            <w:noWrap/>
            <w:vAlign w:val="bottom"/>
            <w:hideMark/>
          </w:tcPr>
          <w:p w14:paraId="747E3AD8"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29A4618A"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c>
          <w:tcPr>
            <w:tcW w:w="1158" w:type="dxa"/>
            <w:tcBorders>
              <w:top w:val="nil"/>
              <w:left w:val="nil"/>
              <w:bottom w:val="single" w:sz="4" w:space="0" w:color="auto"/>
              <w:right w:val="nil"/>
            </w:tcBorders>
            <w:shd w:val="clear" w:color="auto" w:fill="auto"/>
            <w:noWrap/>
            <w:vAlign w:val="bottom"/>
            <w:hideMark/>
          </w:tcPr>
          <w:p w14:paraId="223EA25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c>
          <w:tcPr>
            <w:tcW w:w="1242" w:type="dxa"/>
            <w:tcBorders>
              <w:top w:val="nil"/>
              <w:left w:val="nil"/>
              <w:bottom w:val="single" w:sz="4" w:space="0" w:color="auto"/>
              <w:right w:val="nil"/>
            </w:tcBorders>
            <w:shd w:val="clear" w:color="auto" w:fill="auto"/>
            <w:noWrap/>
            <w:vAlign w:val="bottom"/>
            <w:hideMark/>
          </w:tcPr>
          <w:p w14:paraId="57E751E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c>
          <w:tcPr>
            <w:tcW w:w="1160" w:type="dxa"/>
            <w:tcBorders>
              <w:top w:val="nil"/>
              <w:left w:val="nil"/>
              <w:bottom w:val="single" w:sz="4" w:space="0" w:color="auto"/>
              <w:right w:val="nil"/>
            </w:tcBorders>
            <w:shd w:val="clear" w:color="auto" w:fill="auto"/>
            <w:noWrap/>
            <w:vAlign w:val="bottom"/>
            <w:hideMark/>
          </w:tcPr>
          <w:p w14:paraId="603CEFE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r>
      <w:tr w:rsidR="00B24505" w:rsidRPr="00B24505" w14:paraId="30685FA7"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542EA082"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1BD06CC0"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Insurance &amp; pension services</w:t>
            </w:r>
          </w:p>
        </w:tc>
        <w:tc>
          <w:tcPr>
            <w:tcW w:w="1158" w:type="dxa"/>
            <w:tcBorders>
              <w:top w:val="nil"/>
              <w:left w:val="nil"/>
              <w:bottom w:val="single" w:sz="4" w:space="0" w:color="auto"/>
              <w:right w:val="nil"/>
            </w:tcBorders>
            <w:shd w:val="clear" w:color="auto" w:fill="auto"/>
            <w:noWrap/>
            <w:vAlign w:val="bottom"/>
            <w:hideMark/>
          </w:tcPr>
          <w:p w14:paraId="25E8CD3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14</w:t>
            </w:r>
          </w:p>
        </w:tc>
        <w:tc>
          <w:tcPr>
            <w:tcW w:w="1158" w:type="dxa"/>
            <w:tcBorders>
              <w:top w:val="nil"/>
              <w:left w:val="nil"/>
              <w:bottom w:val="single" w:sz="4" w:space="0" w:color="auto"/>
              <w:right w:val="nil"/>
            </w:tcBorders>
            <w:shd w:val="clear" w:color="auto" w:fill="auto"/>
            <w:noWrap/>
            <w:vAlign w:val="bottom"/>
            <w:hideMark/>
          </w:tcPr>
          <w:p w14:paraId="6F151A5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9</w:t>
            </w:r>
          </w:p>
        </w:tc>
        <w:tc>
          <w:tcPr>
            <w:tcW w:w="1158" w:type="dxa"/>
            <w:tcBorders>
              <w:top w:val="nil"/>
              <w:left w:val="nil"/>
              <w:bottom w:val="single" w:sz="4" w:space="0" w:color="auto"/>
              <w:right w:val="nil"/>
            </w:tcBorders>
            <w:shd w:val="clear" w:color="auto" w:fill="auto"/>
            <w:noWrap/>
            <w:vAlign w:val="bottom"/>
            <w:hideMark/>
          </w:tcPr>
          <w:p w14:paraId="17A1066E"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10</w:t>
            </w:r>
          </w:p>
        </w:tc>
        <w:tc>
          <w:tcPr>
            <w:tcW w:w="1242" w:type="dxa"/>
            <w:tcBorders>
              <w:top w:val="nil"/>
              <w:left w:val="nil"/>
              <w:bottom w:val="single" w:sz="4" w:space="0" w:color="auto"/>
              <w:right w:val="nil"/>
            </w:tcBorders>
            <w:shd w:val="clear" w:color="auto" w:fill="auto"/>
            <w:noWrap/>
            <w:vAlign w:val="bottom"/>
            <w:hideMark/>
          </w:tcPr>
          <w:p w14:paraId="178056B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14</w:t>
            </w:r>
          </w:p>
        </w:tc>
        <w:tc>
          <w:tcPr>
            <w:tcW w:w="1160" w:type="dxa"/>
            <w:tcBorders>
              <w:top w:val="nil"/>
              <w:left w:val="nil"/>
              <w:bottom w:val="single" w:sz="4" w:space="0" w:color="auto"/>
              <w:right w:val="nil"/>
            </w:tcBorders>
            <w:shd w:val="clear" w:color="auto" w:fill="auto"/>
            <w:noWrap/>
            <w:vAlign w:val="bottom"/>
            <w:hideMark/>
          </w:tcPr>
          <w:p w14:paraId="318AAF0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15</w:t>
            </w:r>
          </w:p>
        </w:tc>
      </w:tr>
      <w:tr w:rsidR="00B24505" w:rsidRPr="00B24505" w14:paraId="1B6DA339"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2F2A5C8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072CEFEE"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Financial services</w:t>
            </w:r>
          </w:p>
        </w:tc>
        <w:tc>
          <w:tcPr>
            <w:tcW w:w="1158" w:type="dxa"/>
            <w:tcBorders>
              <w:top w:val="nil"/>
              <w:left w:val="nil"/>
              <w:bottom w:val="single" w:sz="4" w:space="0" w:color="auto"/>
              <w:right w:val="nil"/>
            </w:tcBorders>
            <w:shd w:val="clear" w:color="auto" w:fill="auto"/>
            <w:noWrap/>
            <w:vAlign w:val="bottom"/>
            <w:hideMark/>
          </w:tcPr>
          <w:p w14:paraId="61FD301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540</w:t>
            </w:r>
          </w:p>
        </w:tc>
        <w:tc>
          <w:tcPr>
            <w:tcW w:w="1158" w:type="dxa"/>
            <w:tcBorders>
              <w:top w:val="nil"/>
              <w:left w:val="nil"/>
              <w:bottom w:val="single" w:sz="4" w:space="0" w:color="auto"/>
              <w:right w:val="nil"/>
            </w:tcBorders>
            <w:shd w:val="clear" w:color="auto" w:fill="auto"/>
            <w:noWrap/>
            <w:vAlign w:val="bottom"/>
            <w:hideMark/>
          </w:tcPr>
          <w:p w14:paraId="492B9A48"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738</w:t>
            </w:r>
          </w:p>
        </w:tc>
        <w:tc>
          <w:tcPr>
            <w:tcW w:w="1158" w:type="dxa"/>
            <w:tcBorders>
              <w:top w:val="nil"/>
              <w:left w:val="nil"/>
              <w:bottom w:val="single" w:sz="4" w:space="0" w:color="auto"/>
              <w:right w:val="nil"/>
            </w:tcBorders>
            <w:shd w:val="clear" w:color="auto" w:fill="auto"/>
            <w:noWrap/>
            <w:vAlign w:val="bottom"/>
            <w:hideMark/>
          </w:tcPr>
          <w:p w14:paraId="28CA9C8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701</w:t>
            </w:r>
          </w:p>
        </w:tc>
        <w:tc>
          <w:tcPr>
            <w:tcW w:w="1242" w:type="dxa"/>
            <w:tcBorders>
              <w:top w:val="nil"/>
              <w:left w:val="nil"/>
              <w:bottom w:val="single" w:sz="4" w:space="0" w:color="auto"/>
              <w:right w:val="nil"/>
            </w:tcBorders>
            <w:shd w:val="clear" w:color="auto" w:fill="auto"/>
            <w:noWrap/>
            <w:vAlign w:val="bottom"/>
            <w:hideMark/>
          </w:tcPr>
          <w:p w14:paraId="7FE33E0E"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828</w:t>
            </w:r>
          </w:p>
        </w:tc>
        <w:tc>
          <w:tcPr>
            <w:tcW w:w="1160" w:type="dxa"/>
            <w:tcBorders>
              <w:top w:val="nil"/>
              <w:left w:val="nil"/>
              <w:bottom w:val="single" w:sz="4" w:space="0" w:color="auto"/>
              <w:right w:val="nil"/>
            </w:tcBorders>
            <w:shd w:val="clear" w:color="auto" w:fill="auto"/>
            <w:noWrap/>
            <w:vAlign w:val="bottom"/>
            <w:hideMark/>
          </w:tcPr>
          <w:p w14:paraId="4BD0919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639</w:t>
            </w:r>
          </w:p>
        </w:tc>
      </w:tr>
      <w:tr w:rsidR="00B24505" w:rsidRPr="00B24505" w14:paraId="391EE0CF"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581B8DF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3422D2F1"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xml:space="preserve">Intellectual property charges </w:t>
            </w:r>
            <w:proofErr w:type="spellStart"/>
            <w:r w:rsidRPr="00B24505">
              <w:rPr>
                <w:rFonts w:ascii="Calibri" w:hAnsi="Calibri" w:cs="Calibri"/>
                <w:sz w:val="19"/>
                <w:szCs w:val="19"/>
                <w:lang w:eastAsia="en-AU"/>
              </w:rPr>
              <w:t>nie</w:t>
            </w:r>
            <w:proofErr w:type="spellEnd"/>
          </w:p>
        </w:tc>
        <w:tc>
          <w:tcPr>
            <w:tcW w:w="1158" w:type="dxa"/>
            <w:tcBorders>
              <w:top w:val="nil"/>
              <w:left w:val="nil"/>
              <w:bottom w:val="single" w:sz="4" w:space="0" w:color="auto"/>
              <w:right w:val="nil"/>
            </w:tcBorders>
            <w:shd w:val="clear" w:color="auto" w:fill="auto"/>
            <w:noWrap/>
            <w:vAlign w:val="bottom"/>
            <w:hideMark/>
          </w:tcPr>
          <w:p w14:paraId="37032B9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81</w:t>
            </w:r>
          </w:p>
        </w:tc>
        <w:tc>
          <w:tcPr>
            <w:tcW w:w="1158" w:type="dxa"/>
            <w:tcBorders>
              <w:top w:val="nil"/>
              <w:left w:val="nil"/>
              <w:bottom w:val="single" w:sz="4" w:space="0" w:color="auto"/>
              <w:right w:val="nil"/>
            </w:tcBorders>
            <w:shd w:val="clear" w:color="auto" w:fill="auto"/>
            <w:noWrap/>
            <w:vAlign w:val="bottom"/>
            <w:hideMark/>
          </w:tcPr>
          <w:p w14:paraId="0FABF0A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c>
          <w:tcPr>
            <w:tcW w:w="1158" w:type="dxa"/>
            <w:tcBorders>
              <w:top w:val="nil"/>
              <w:left w:val="nil"/>
              <w:bottom w:val="single" w:sz="4" w:space="0" w:color="auto"/>
              <w:right w:val="nil"/>
            </w:tcBorders>
            <w:shd w:val="clear" w:color="auto" w:fill="auto"/>
            <w:noWrap/>
            <w:vAlign w:val="bottom"/>
            <w:hideMark/>
          </w:tcPr>
          <w:p w14:paraId="523B5A3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c>
          <w:tcPr>
            <w:tcW w:w="1242" w:type="dxa"/>
            <w:tcBorders>
              <w:top w:val="nil"/>
              <w:left w:val="nil"/>
              <w:bottom w:val="single" w:sz="4" w:space="0" w:color="auto"/>
              <w:right w:val="nil"/>
            </w:tcBorders>
            <w:shd w:val="clear" w:color="auto" w:fill="auto"/>
            <w:noWrap/>
            <w:vAlign w:val="bottom"/>
            <w:hideMark/>
          </w:tcPr>
          <w:p w14:paraId="4A00778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c>
          <w:tcPr>
            <w:tcW w:w="1160" w:type="dxa"/>
            <w:tcBorders>
              <w:top w:val="nil"/>
              <w:left w:val="nil"/>
              <w:bottom w:val="single" w:sz="4" w:space="0" w:color="auto"/>
              <w:right w:val="nil"/>
            </w:tcBorders>
            <w:shd w:val="clear" w:color="auto" w:fill="auto"/>
            <w:noWrap/>
            <w:vAlign w:val="bottom"/>
            <w:hideMark/>
          </w:tcPr>
          <w:p w14:paraId="0EF71CF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np</w:t>
            </w:r>
          </w:p>
        </w:tc>
      </w:tr>
      <w:tr w:rsidR="00B24505" w:rsidRPr="00B24505" w14:paraId="0F62EA23"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70A33E10"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4190D5F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Telecom. computer &amp; information services</w:t>
            </w:r>
          </w:p>
        </w:tc>
        <w:tc>
          <w:tcPr>
            <w:tcW w:w="1158" w:type="dxa"/>
            <w:tcBorders>
              <w:top w:val="nil"/>
              <w:left w:val="nil"/>
              <w:bottom w:val="single" w:sz="4" w:space="0" w:color="auto"/>
              <w:right w:val="nil"/>
            </w:tcBorders>
            <w:shd w:val="clear" w:color="auto" w:fill="auto"/>
            <w:noWrap/>
            <w:vAlign w:val="bottom"/>
            <w:hideMark/>
          </w:tcPr>
          <w:p w14:paraId="6C6E0D38"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439</w:t>
            </w:r>
          </w:p>
        </w:tc>
        <w:tc>
          <w:tcPr>
            <w:tcW w:w="1158" w:type="dxa"/>
            <w:tcBorders>
              <w:top w:val="nil"/>
              <w:left w:val="nil"/>
              <w:bottom w:val="single" w:sz="4" w:space="0" w:color="auto"/>
              <w:right w:val="nil"/>
            </w:tcBorders>
            <w:shd w:val="clear" w:color="auto" w:fill="auto"/>
            <w:noWrap/>
            <w:vAlign w:val="bottom"/>
            <w:hideMark/>
          </w:tcPr>
          <w:p w14:paraId="54FE140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491</w:t>
            </w:r>
          </w:p>
        </w:tc>
        <w:tc>
          <w:tcPr>
            <w:tcW w:w="1158" w:type="dxa"/>
            <w:tcBorders>
              <w:top w:val="nil"/>
              <w:left w:val="nil"/>
              <w:bottom w:val="single" w:sz="4" w:space="0" w:color="auto"/>
              <w:right w:val="nil"/>
            </w:tcBorders>
            <w:shd w:val="clear" w:color="auto" w:fill="auto"/>
            <w:noWrap/>
            <w:vAlign w:val="bottom"/>
            <w:hideMark/>
          </w:tcPr>
          <w:p w14:paraId="325345F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611</w:t>
            </w:r>
          </w:p>
        </w:tc>
        <w:tc>
          <w:tcPr>
            <w:tcW w:w="1242" w:type="dxa"/>
            <w:tcBorders>
              <w:top w:val="nil"/>
              <w:left w:val="nil"/>
              <w:bottom w:val="single" w:sz="4" w:space="0" w:color="auto"/>
              <w:right w:val="nil"/>
            </w:tcBorders>
            <w:shd w:val="clear" w:color="auto" w:fill="auto"/>
            <w:noWrap/>
            <w:vAlign w:val="bottom"/>
            <w:hideMark/>
          </w:tcPr>
          <w:p w14:paraId="3FAF93AF"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545</w:t>
            </w:r>
          </w:p>
        </w:tc>
        <w:tc>
          <w:tcPr>
            <w:tcW w:w="1160" w:type="dxa"/>
            <w:tcBorders>
              <w:top w:val="nil"/>
              <w:left w:val="nil"/>
              <w:bottom w:val="single" w:sz="4" w:space="0" w:color="auto"/>
              <w:right w:val="nil"/>
            </w:tcBorders>
            <w:shd w:val="clear" w:color="auto" w:fill="auto"/>
            <w:noWrap/>
            <w:vAlign w:val="bottom"/>
            <w:hideMark/>
          </w:tcPr>
          <w:p w14:paraId="4DC1659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602</w:t>
            </w:r>
          </w:p>
        </w:tc>
      </w:tr>
      <w:tr w:rsidR="00B24505" w:rsidRPr="00B24505" w14:paraId="2FEA6829"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60BCEE7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4B16574D"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Other business services</w:t>
            </w:r>
          </w:p>
        </w:tc>
        <w:tc>
          <w:tcPr>
            <w:tcW w:w="1158" w:type="dxa"/>
            <w:tcBorders>
              <w:top w:val="nil"/>
              <w:left w:val="nil"/>
              <w:bottom w:val="single" w:sz="4" w:space="0" w:color="auto"/>
              <w:right w:val="nil"/>
            </w:tcBorders>
            <w:shd w:val="clear" w:color="auto" w:fill="auto"/>
            <w:noWrap/>
            <w:vAlign w:val="bottom"/>
            <w:hideMark/>
          </w:tcPr>
          <w:p w14:paraId="332004A8"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808</w:t>
            </w:r>
          </w:p>
        </w:tc>
        <w:tc>
          <w:tcPr>
            <w:tcW w:w="1158" w:type="dxa"/>
            <w:tcBorders>
              <w:top w:val="nil"/>
              <w:left w:val="nil"/>
              <w:bottom w:val="single" w:sz="4" w:space="0" w:color="auto"/>
              <w:right w:val="nil"/>
            </w:tcBorders>
            <w:shd w:val="clear" w:color="auto" w:fill="auto"/>
            <w:noWrap/>
            <w:vAlign w:val="bottom"/>
            <w:hideMark/>
          </w:tcPr>
          <w:p w14:paraId="6E5F792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756</w:t>
            </w:r>
          </w:p>
        </w:tc>
        <w:tc>
          <w:tcPr>
            <w:tcW w:w="1158" w:type="dxa"/>
            <w:tcBorders>
              <w:top w:val="nil"/>
              <w:left w:val="nil"/>
              <w:bottom w:val="single" w:sz="4" w:space="0" w:color="auto"/>
              <w:right w:val="nil"/>
            </w:tcBorders>
            <w:shd w:val="clear" w:color="auto" w:fill="auto"/>
            <w:noWrap/>
            <w:vAlign w:val="bottom"/>
            <w:hideMark/>
          </w:tcPr>
          <w:p w14:paraId="5FB771A8"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768</w:t>
            </w:r>
          </w:p>
        </w:tc>
        <w:tc>
          <w:tcPr>
            <w:tcW w:w="1242" w:type="dxa"/>
            <w:tcBorders>
              <w:top w:val="nil"/>
              <w:left w:val="nil"/>
              <w:bottom w:val="single" w:sz="4" w:space="0" w:color="auto"/>
              <w:right w:val="nil"/>
            </w:tcBorders>
            <w:shd w:val="clear" w:color="auto" w:fill="auto"/>
            <w:noWrap/>
            <w:vAlign w:val="bottom"/>
            <w:hideMark/>
          </w:tcPr>
          <w:p w14:paraId="1B90258E"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1,228</w:t>
            </w:r>
          </w:p>
        </w:tc>
        <w:tc>
          <w:tcPr>
            <w:tcW w:w="1160" w:type="dxa"/>
            <w:tcBorders>
              <w:top w:val="nil"/>
              <w:left w:val="nil"/>
              <w:bottom w:val="single" w:sz="4" w:space="0" w:color="auto"/>
              <w:right w:val="nil"/>
            </w:tcBorders>
            <w:shd w:val="clear" w:color="auto" w:fill="auto"/>
            <w:noWrap/>
            <w:vAlign w:val="bottom"/>
            <w:hideMark/>
          </w:tcPr>
          <w:p w14:paraId="03FD852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1,515</w:t>
            </w:r>
          </w:p>
        </w:tc>
      </w:tr>
      <w:tr w:rsidR="00B24505" w:rsidRPr="00B24505" w14:paraId="46590B9F"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4EAAC6C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lastRenderedPageBreak/>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0899CBD8"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Personal, cultural &amp; recreational services</w:t>
            </w:r>
          </w:p>
        </w:tc>
        <w:tc>
          <w:tcPr>
            <w:tcW w:w="1158" w:type="dxa"/>
            <w:tcBorders>
              <w:top w:val="nil"/>
              <w:left w:val="nil"/>
              <w:bottom w:val="single" w:sz="4" w:space="0" w:color="auto"/>
              <w:right w:val="nil"/>
            </w:tcBorders>
            <w:shd w:val="clear" w:color="auto" w:fill="auto"/>
            <w:noWrap/>
            <w:vAlign w:val="bottom"/>
            <w:hideMark/>
          </w:tcPr>
          <w:p w14:paraId="0F2DCC61"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109</w:t>
            </w:r>
          </w:p>
        </w:tc>
        <w:tc>
          <w:tcPr>
            <w:tcW w:w="1158" w:type="dxa"/>
            <w:tcBorders>
              <w:top w:val="nil"/>
              <w:left w:val="nil"/>
              <w:bottom w:val="single" w:sz="4" w:space="0" w:color="auto"/>
              <w:right w:val="nil"/>
            </w:tcBorders>
            <w:shd w:val="clear" w:color="auto" w:fill="auto"/>
            <w:noWrap/>
            <w:vAlign w:val="bottom"/>
            <w:hideMark/>
          </w:tcPr>
          <w:p w14:paraId="6B064D79"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154</w:t>
            </w:r>
          </w:p>
        </w:tc>
        <w:tc>
          <w:tcPr>
            <w:tcW w:w="1158" w:type="dxa"/>
            <w:tcBorders>
              <w:top w:val="nil"/>
              <w:left w:val="nil"/>
              <w:bottom w:val="single" w:sz="4" w:space="0" w:color="auto"/>
              <w:right w:val="nil"/>
            </w:tcBorders>
            <w:shd w:val="clear" w:color="auto" w:fill="auto"/>
            <w:noWrap/>
            <w:vAlign w:val="bottom"/>
            <w:hideMark/>
          </w:tcPr>
          <w:p w14:paraId="6BD7098D"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149</w:t>
            </w:r>
          </w:p>
        </w:tc>
        <w:tc>
          <w:tcPr>
            <w:tcW w:w="1242" w:type="dxa"/>
            <w:tcBorders>
              <w:top w:val="nil"/>
              <w:left w:val="nil"/>
              <w:bottom w:val="single" w:sz="4" w:space="0" w:color="auto"/>
              <w:right w:val="nil"/>
            </w:tcBorders>
            <w:shd w:val="clear" w:color="auto" w:fill="auto"/>
            <w:noWrap/>
            <w:vAlign w:val="bottom"/>
            <w:hideMark/>
          </w:tcPr>
          <w:p w14:paraId="339643F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165</w:t>
            </w:r>
          </w:p>
        </w:tc>
        <w:tc>
          <w:tcPr>
            <w:tcW w:w="1160" w:type="dxa"/>
            <w:tcBorders>
              <w:top w:val="nil"/>
              <w:left w:val="nil"/>
              <w:bottom w:val="single" w:sz="4" w:space="0" w:color="auto"/>
              <w:right w:val="nil"/>
            </w:tcBorders>
            <w:shd w:val="clear" w:color="auto" w:fill="auto"/>
            <w:noWrap/>
            <w:vAlign w:val="bottom"/>
            <w:hideMark/>
          </w:tcPr>
          <w:p w14:paraId="26B9F0D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121</w:t>
            </w:r>
          </w:p>
        </w:tc>
      </w:tr>
      <w:tr w:rsidR="00B24505" w:rsidRPr="00B24505" w14:paraId="37DCA232"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611FB058"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17BD1B27"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Government services</w:t>
            </w:r>
          </w:p>
        </w:tc>
        <w:tc>
          <w:tcPr>
            <w:tcW w:w="1158" w:type="dxa"/>
            <w:tcBorders>
              <w:top w:val="nil"/>
              <w:left w:val="nil"/>
              <w:bottom w:val="single" w:sz="4" w:space="0" w:color="auto"/>
              <w:right w:val="nil"/>
            </w:tcBorders>
            <w:shd w:val="clear" w:color="auto" w:fill="auto"/>
            <w:noWrap/>
            <w:vAlign w:val="bottom"/>
            <w:hideMark/>
          </w:tcPr>
          <w:p w14:paraId="4CC7725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46</w:t>
            </w:r>
          </w:p>
        </w:tc>
        <w:tc>
          <w:tcPr>
            <w:tcW w:w="1158" w:type="dxa"/>
            <w:tcBorders>
              <w:top w:val="nil"/>
              <w:left w:val="nil"/>
              <w:bottom w:val="single" w:sz="4" w:space="0" w:color="auto"/>
              <w:right w:val="nil"/>
            </w:tcBorders>
            <w:shd w:val="clear" w:color="auto" w:fill="auto"/>
            <w:noWrap/>
            <w:vAlign w:val="bottom"/>
            <w:hideMark/>
          </w:tcPr>
          <w:p w14:paraId="1A7994C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54</w:t>
            </w:r>
          </w:p>
        </w:tc>
        <w:tc>
          <w:tcPr>
            <w:tcW w:w="1158" w:type="dxa"/>
            <w:tcBorders>
              <w:top w:val="nil"/>
              <w:left w:val="nil"/>
              <w:bottom w:val="single" w:sz="4" w:space="0" w:color="auto"/>
              <w:right w:val="nil"/>
            </w:tcBorders>
            <w:shd w:val="clear" w:color="auto" w:fill="auto"/>
            <w:noWrap/>
            <w:vAlign w:val="bottom"/>
            <w:hideMark/>
          </w:tcPr>
          <w:p w14:paraId="454C3EE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60</w:t>
            </w:r>
          </w:p>
        </w:tc>
        <w:tc>
          <w:tcPr>
            <w:tcW w:w="1242" w:type="dxa"/>
            <w:tcBorders>
              <w:top w:val="nil"/>
              <w:left w:val="nil"/>
              <w:bottom w:val="single" w:sz="4" w:space="0" w:color="auto"/>
              <w:right w:val="nil"/>
            </w:tcBorders>
            <w:shd w:val="clear" w:color="auto" w:fill="auto"/>
            <w:noWrap/>
            <w:vAlign w:val="bottom"/>
            <w:hideMark/>
          </w:tcPr>
          <w:p w14:paraId="1914E8E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61</w:t>
            </w:r>
          </w:p>
        </w:tc>
        <w:tc>
          <w:tcPr>
            <w:tcW w:w="1160" w:type="dxa"/>
            <w:tcBorders>
              <w:top w:val="nil"/>
              <w:left w:val="nil"/>
              <w:bottom w:val="single" w:sz="4" w:space="0" w:color="auto"/>
              <w:right w:val="nil"/>
            </w:tcBorders>
            <w:shd w:val="clear" w:color="auto" w:fill="auto"/>
            <w:noWrap/>
            <w:vAlign w:val="bottom"/>
            <w:hideMark/>
          </w:tcPr>
          <w:p w14:paraId="52378B0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28</w:t>
            </w:r>
          </w:p>
        </w:tc>
      </w:tr>
      <w:tr w:rsidR="00B24505" w:rsidRPr="00B24505" w14:paraId="182E781F" w14:textId="77777777" w:rsidTr="004802F8">
        <w:trPr>
          <w:trHeight w:val="648"/>
        </w:trPr>
        <w:tc>
          <w:tcPr>
            <w:tcW w:w="1648" w:type="dxa"/>
            <w:gridSpan w:val="3"/>
            <w:tcBorders>
              <w:top w:val="single" w:sz="4" w:space="0" w:color="auto"/>
              <w:left w:val="nil"/>
              <w:bottom w:val="single" w:sz="4" w:space="0" w:color="auto"/>
              <w:right w:val="nil"/>
            </w:tcBorders>
            <w:shd w:val="clear" w:color="auto" w:fill="auto"/>
            <w:noWrap/>
            <w:vAlign w:val="bottom"/>
            <w:hideMark/>
          </w:tcPr>
          <w:p w14:paraId="2647232B"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Services imports</w:t>
            </w:r>
          </w:p>
        </w:tc>
        <w:tc>
          <w:tcPr>
            <w:tcW w:w="6441" w:type="dxa"/>
            <w:tcBorders>
              <w:top w:val="nil"/>
              <w:left w:val="nil"/>
              <w:bottom w:val="single" w:sz="4" w:space="0" w:color="auto"/>
              <w:right w:val="nil"/>
            </w:tcBorders>
            <w:shd w:val="clear" w:color="auto" w:fill="auto"/>
            <w:noWrap/>
            <w:vAlign w:val="bottom"/>
            <w:hideMark/>
          </w:tcPr>
          <w:p w14:paraId="121CFBA5"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7CEEA64E" w14:textId="77777777" w:rsidR="00B24505" w:rsidRPr="00B24505" w:rsidRDefault="00B24505" w:rsidP="00B24505">
            <w:pPr>
              <w:jc w:val="right"/>
              <w:rPr>
                <w:rFonts w:ascii="Calibri" w:hAnsi="Calibri" w:cs="Calibri"/>
                <w:b/>
                <w:bCs/>
                <w:sz w:val="19"/>
                <w:szCs w:val="19"/>
                <w:lang w:eastAsia="en-AU"/>
              </w:rPr>
            </w:pPr>
            <w:r w:rsidRPr="00B24505">
              <w:rPr>
                <w:rFonts w:ascii="Calibri" w:hAnsi="Calibri" w:cs="Calibri"/>
                <w:b/>
                <w:bCs/>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6A6EF578" w14:textId="77777777" w:rsidR="00B24505" w:rsidRPr="00B24505" w:rsidRDefault="00B24505" w:rsidP="00B24505">
            <w:pPr>
              <w:jc w:val="right"/>
              <w:rPr>
                <w:rFonts w:ascii="Calibri" w:hAnsi="Calibri" w:cs="Calibri"/>
                <w:b/>
                <w:bCs/>
                <w:sz w:val="19"/>
                <w:szCs w:val="19"/>
                <w:lang w:eastAsia="en-AU"/>
              </w:rPr>
            </w:pPr>
            <w:r w:rsidRPr="00B24505">
              <w:rPr>
                <w:rFonts w:ascii="Calibri" w:hAnsi="Calibri" w:cs="Calibri"/>
                <w:b/>
                <w:bCs/>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3DCBF59A"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242" w:type="dxa"/>
            <w:tcBorders>
              <w:top w:val="nil"/>
              <w:left w:val="nil"/>
              <w:bottom w:val="single" w:sz="4" w:space="0" w:color="auto"/>
              <w:right w:val="nil"/>
            </w:tcBorders>
            <w:shd w:val="clear" w:color="auto" w:fill="auto"/>
            <w:noWrap/>
            <w:vAlign w:val="bottom"/>
            <w:hideMark/>
          </w:tcPr>
          <w:p w14:paraId="5499FC32"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160" w:type="dxa"/>
            <w:tcBorders>
              <w:top w:val="nil"/>
              <w:left w:val="nil"/>
              <w:bottom w:val="single" w:sz="4" w:space="0" w:color="auto"/>
              <w:right w:val="nil"/>
            </w:tcBorders>
            <w:shd w:val="clear" w:color="auto" w:fill="auto"/>
            <w:noWrap/>
            <w:vAlign w:val="bottom"/>
            <w:hideMark/>
          </w:tcPr>
          <w:p w14:paraId="326CEF8B"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r>
      <w:tr w:rsidR="00B24505" w:rsidRPr="00B24505" w14:paraId="0CAE4261" w14:textId="77777777" w:rsidTr="004802F8">
        <w:trPr>
          <w:trHeight w:val="648"/>
        </w:trPr>
        <w:tc>
          <w:tcPr>
            <w:tcW w:w="454" w:type="dxa"/>
            <w:tcBorders>
              <w:top w:val="nil"/>
              <w:left w:val="nil"/>
              <w:bottom w:val="single" w:sz="4" w:space="0" w:color="auto"/>
              <w:right w:val="nil"/>
            </w:tcBorders>
            <w:shd w:val="clear" w:color="auto" w:fill="auto"/>
            <w:noWrap/>
            <w:vAlign w:val="bottom"/>
            <w:hideMark/>
          </w:tcPr>
          <w:p w14:paraId="49C301D2"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vAlign w:val="bottom"/>
            <w:hideMark/>
          </w:tcPr>
          <w:p w14:paraId="5929B6D8"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xml:space="preserve">Manufacturing services on physical inputs owned by others </w:t>
            </w:r>
          </w:p>
        </w:tc>
        <w:tc>
          <w:tcPr>
            <w:tcW w:w="1158" w:type="dxa"/>
            <w:tcBorders>
              <w:top w:val="nil"/>
              <w:left w:val="nil"/>
              <w:bottom w:val="single" w:sz="4" w:space="0" w:color="auto"/>
              <w:right w:val="nil"/>
            </w:tcBorders>
            <w:shd w:val="clear" w:color="auto" w:fill="auto"/>
            <w:noWrap/>
            <w:vAlign w:val="bottom"/>
            <w:hideMark/>
          </w:tcPr>
          <w:p w14:paraId="3058695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4ACE058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5CB6B421"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242" w:type="dxa"/>
            <w:tcBorders>
              <w:top w:val="nil"/>
              <w:left w:val="nil"/>
              <w:bottom w:val="single" w:sz="4" w:space="0" w:color="auto"/>
              <w:right w:val="nil"/>
            </w:tcBorders>
            <w:shd w:val="clear" w:color="auto" w:fill="auto"/>
            <w:noWrap/>
            <w:vAlign w:val="bottom"/>
            <w:hideMark/>
          </w:tcPr>
          <w:p w14:paraId="682936A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60" w:type="dxa"/>
            <w:tcBorders>
              <w:top w:val="nil"/>
              <w:left w:val="nil"/>
              <w:bottom w:val="single" w:sz="4" w:space="0" w:color="auto"/>
              <w:right w:val="nil"/>
            </w:tcBorders>
            <w:shd w:val="clear" w:color="auto" w:fill="auto"/>
            <w:noWrap/>
            <w:vAlign w:val="bottom"/>
            <w:hideMark/>
          </w:tcPr>
          <w:p w14:paraId="10223DE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r>
      <w:tr w:rsidR="00B24505" w:rsidRPr="00B24505" w14:paraId="0F0EC85A" w14:textId="77777777" w:rsidTr="004802F8">
        <w:trPr>
          <w:trHeight w:val="389"/>
        </w:trPr>
        <w:tc>
          <w:tcPr>
            <w:tcW w:w="454" w:type="dxa"/>
            <w:tcBorders>
              <w:top w:val="nil"/>
              <w:left w:val="nil"/>
              <w:bottom w:val="single" w:sz="4" w:space="0" w:color="auto"/>
              <w:right w:val="nil"/>
            </w:tcBorders>
            <w:shd w:val="clear" w:color="auto" w:fill="auto"/>
            <w:noWrap/>
            <w:vAlign w:val="bottom"/>
            <w:hideMark/>
          </w:tcPr>
          <w:p w14:paraId="14354D32" w14:textId="77777777" w:rsidR="00B24505" w:rsidRPr="00B24505" w:rsidRDefault="00B24505" w:rsidP="00B24505">
            <w:pPr>
              <w:rPr>
                <w:rFonts w:ascii="Calibri" w:hAnsi="Calibri" w:cs="Calibri"/>
                <w:b/>
                <w:bCs/>
                <w:sz w:val="19"/>
                <w:szCs w:val="19"/>
                <w:lang w:eastAsia="en-AU"/>
              </w:rPr>
            </w:pPr>
            <w:r w:rsidRPr="00B24505">
              <w:rPr>
                <w:rFonts w:ascii="Calibri" w:hAnsi="Calibri" w:cs="Calibri"/>
                <w:b/>
                <w:bCs/>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5BDF355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xml:space="preserve">Maintenance &amp; repair services </w:t>
            </w:r>
            <w:proofErr w:type="spellStart"/>
            <w:r w:rsidRPr="00B24505">
              <w:rPr>
                <w:rFonts w:ascii="Calibri" w:hAnsi="Calibri" w:cs="Calibri"/>
                <w:sz w:val="19"/>
                <w:szCs w:val="19"/>
                <w:lang w:eastAsia="en-AU"/>
              </w:rPr>
              <w:t>nie</w:t>
            </w:r>
            <w:proofErr w:type="spellEnd"/>
          </w:p>
        </w:tc>
        <w:tc>
          <w:tcPr>
            <w:tcW w:w="1158" w:type="dxa"/>
            <w:tcBorders>
              <w:top w:val="nil"/>
              <w:left w:val="nil"/>
              <w:bottom w:val="single" w:sz="4" w:space="0" w:color="auto"/>
              <w:right w:val="nil"/>
            </w:tcBorders>
            <w:shd w:val="clear" w:color="auto" w:fill="auto"/>
            <w:noWrap/>
            <w:vAlign w:val="bottom"/>
            <w:hideMark/>
          </w:tcPr>
          <w:p w14:paraId="1D0EB4C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68</w:t>
            </w:r>
          </w:p>
        </w:tc>
        <w:tc>
          <w:tcPr>
            <w:tcW w:w="1158" w:type="dxa"/>
            <w:tcBorders>
              <w:top w:val="nil"/>
              <w:left w:val="nil"/>
              <w:bottom w:val="single" w:sz="4" w:space="0" w:color="auto"/>
              <w:right w:val="nil"/>
            </w:tcBorders>
            <w:shd w:val="clear" w:color="auto" w:fill="auto"/>
            <w:noWrap/>
            <w:vAlign w:val="bottom"/>
            <w:hideMark/>
          </w:tcPr>
          <w:p w14:paraId="58394201"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63</w:t>
            </w:r>
          </w:p>
        </w:tc>
        <w:tc>
          <w:tcPr>
            <w:tcW w:w="1158" w:type="dxa"/>
            <w:tcBorders>
              <w:top w:val="nil"/>
              <w:left w:val="nil"/>
              <w:bottom w:val="single" w:sz="4" w:space="0" w:color="auto"/>
              <w:right w:val="nil"/>
            </w:tcBorders>
            <w:shd w:val="clear" w:color="auto" w:fill="auto"/>
            <w:noWrap/>
            <w:vAlign w:val="bottom"/>
            <w:hideMark/>
          </w:tcPr>
          <w:p w14:paraId="27A5FDCD"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134</w:t>
            </w:r>
          </w:p>
        </w:tc>
        <w:tc>
          <w:tcPr>
            <w:tcW w:w="1242" w:type="dxa"/>
            <w:tcBorders>
              <w:top w:val="nil"/>
              <w:left w:val="nil"/>
              <w:bottom w:val="single" w:sz="4" w:space="0" w:color="auto"/>
              <w:right w:val="nil"/>
            </w:tcBorders>
            <w:shd w:val="clear" w:color="auto" w:fill="auto"/>
            <w:noWrap/>
            <w:vAlign w:val="bottom"/>
            <w:hideMark/>
          </w:tcPr>
          <w:p w14:paraId="2606685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223</w:t>
            </w:r>
          </w:p>
        </w:tc>
        <w:tc>
          <w:tcPr>
            <w:tcW w:w="1160" w:type="dxa"/>
            <w:tcBorders>
              <w:top w:val="nil"/>
              <w:left w:val="nil"/>
              <w:bottom w:val="single" w:sz="4" w:space="0" w:color="auto"/>
              <w:right w:val="nil"/>
            </w:tcBorders>
            <w:shd w:val="clear" w:color="auto" w:fill="auto"/>
            <w:noWrap/>
            <w:vAlign w:val="bottom"/>
            <w:hideMark/>
          </w:tcPr>
          <w:p w14:paraId="5EDE3E7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85</w:t>
            </w:r>
          </w:p>
        </w:tc>
      </w:tr>
      <w:tr w:rsidR="00B24505" w:rsidRPr="00B24505" w14:paraId="4619D818" w14:textId="77777777" w:rsidTr="004802F8">
        <w:trPr>
          <w:trHeight w:val="389"/>
        </w:trPr>
        <w:tc>
          <w:tcPr>
            <w:tcW w:w="454" w:type="dxa"/>
            <w:tcBorders>
              <w:top w:val="nil"/>
              <w:left w:val="nil"/>
              <w:bottom w:val="single" w:sz="4" w:space="0" w:color="auto"/>
              <w:right w:val="nil"/>
            </w:tcBorders>
            <w:shd w:val="clear" w:color="auto" w:fill="auto"/>
            <w:noWrap/>
            <w:vAlign w:val="bottom"/>
            <w:hideMark/>
          </w:tcPr>
          <w:p w14:paraId="4528E0DD"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4C4752A7"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Transport services</w:t>
            </w:r>
          </w:p>
        </w:tc>
        <w:tc>
          <w:tcPr>
            <w:tcW w:w="1158" w:type="dxa"/>
            <w:tcBorders>
              <w:top w:val="nil"/>
              <w:left w:val="nil"/>
              <w:bottom w:val="single" w:sz="4" w:space="0" w:color="auto"/>
              <w:right w:val="nil"/>
            </w:tcBorders>
            <w:shd w:val="clear" w:color="auto" w:fill="auto"/>
            <w:noWrap/>
            <w:vAlign w:val="bottom"/>
            <w:hideMark/>
          </w:tcPr>
          <w:p w14:paraId="673ABEB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487</w:t>
            </w:r>
          </w:p>
        </w:tc>
        <w:tc>
          <w:tcPr>
            <w:tcW w:w="1158" w:type="dxa"/>
            <w:tcBorders>
              <w:top w:val="nil"/>
              <w:left w:val="nil"/>
              <w:bottom w:val="single" w:sz="4" w:space="0" w:color="auto"/>
              <w:right w:val="nil"/>
            </w:tcBorders>
            <w:shd w:val="clear" w:color="auto" w:fill="auto"/>
            <w:noWrap/>
            <w:vAlign w:val="bottom"/>
            <w:hideMark/>
          </w:tcPr>
          <w:p w14:paraId="53B42BF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500</w:t>
            </w:r>
          </w:p>
        </w:tc>
        <w:tc>
          <w:tcPr>
            <w:tcW w:w="1158" w:type="dxa"/>
            <w:tcBorders>
              <w:top w:val="nil"/>
              <w:left w:val="nil"/>
              <w:bottom w:val="single" w:sz="4" w:space="0" w:color="auto"/>
              <w:right w:val="nil"/>
            </w:tcBorders>
            <w:shd w:val="clear" w:color="auto" w:fill="auto"/>
            <w:noWrap/>
            <w:vAlign w:val="bottom"/>
            <w:hideMark/>
          </w:tcPr>
          <w:p w14:paraId="4208156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571</w:t>
            </w:r>
          </w:p>
        </w:tc>
        <w:tc>
          <w:tcPr>
            <w:tcW w:w="1242" w:type="dxa"/>
            <w:tcBorders>
              <w:top w:val="nil"/>
              <w:left w:val="nil"/>
              <w:bottom w:val="single" w:sz="4" w:space="0" w:color="auto"/>
              <w:right w:val="nil"/>
            </w:tcBorders>
            <w:shd w:val="clear" w:color="auto" w:fill="auto"/>
            <w:noWrap/>
            <w:vAlign w:val="bottom"/>
            <w:hideMark/>
          </w:tcPr>
          <w:p w14:paraId="4B2AB6E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521</w:t>
            </w:r>
          </w:p>
        </w:tc>
        <w:tc>
          <w:tcPr>
            <w:tcW w:w="1160" w:type="dxa"/>
            <w:tcBorders>
              <w:top w:val="nil"/>
              <w:left w:val="nil"/>
              <w:bottom w:val="single" w:sz="4" w:space="0" w:color="auto"/>
              <w:right w:val="nil"/>
            </w:tcBorders>
            <w:shd w:val="clear" w:color="auto" w:fill="auto"/>
            <w:noWrap/>
            <w:vAlign w:val="bottom"/>
            <w:hideMark/>
          </w:tcPr>
          <w:p w14:paraId="40B6F67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365</w:t>
            </w:r>
          </w:p>
        </w:tc>
      </w:tr>
      <w:tr w:rsidR="00B24505" w:rsidRPr="00B24505" w14:paraId="702789AD" w14:textId="77777777" w:rsidTr="004802F8">
        <w:trPr>
          <w:trHeight w:val="389"/>
        </w:trPr>
        <w:tc>
          <w:tcPr>
            <w:tcW w:w="454" w:type="dxa"/>
            <w:tcBorders>
              <w:top w:val="nil"/>
              <w:left w:val="nil"/>
              <w:bottom w:val="single" w:sz="4" w:space="0" w:color="auto"/>
              <w:right w:val="nil"/>
            </w:tcBorders>
            <w:shd w:val="clear" w:color="auto" w:fill="auto"/>
            <w:noWrap/>
            <w:vAlign w:val="bottom"/>
            <w:hideMark/>
          </w:tcPr>
          <w:p w14:paraId="6883F8A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29E6A94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Travel services</w:t>
            </w:r>
          </w:p>
        </w:tc>
        <w:tc>
          <w:tcPr>
            <w:tcW w:w="1158" w:type="dxa"/>
            <w:tcBorders>
              <w:top w:val="nil"/>
              <w:left w:val="nil"/>
              <w:bottom w:val="single" w:sz="4" w:space="0" w:color="auto"/>
              <w:right w:val="nil"/>
            </w:tcBorders>
            <w:shd w:val="clear" w:color="auto" w:fill="auto"/>
            <w:noWrap/>
            <w:vAlign w:val="bottom"/>
            <w:hideMark/>
          </w:tcPr>
          <w:p w14:paraId="10FA0D99"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4,036</w:t>
            </w:r>
          </w:p>
        </w:tc>
        <w:tc>
          <w:tcPr>
            <w:tcW w:w="1158" w:type="dxa"/>
            <w:tcBorders>
              <w:top w:val="nil"/>
              <w:left w:val="nil"/>
              <w:bottom w:val="single" w:sz="4" w:space="0" w:color="auto"/>
              <w:right w:val="nil"/>
            </w:tcBorders>
            <w:shd w:val="clear" w:color="auto" w:fill="auto"/>
            <w:noWrap/>
            <w:vAlign w:val="bottom"/>
            <w:hideMark/>
          </w:tcPr>
          <w:p w14:paraId="63E86E8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4,244</w:t>
            </w:r>
          </w:p>
        </w:tc>
        <w:tc>
          <w:tcPr>
            <w:tcW w:w="1158" w:type="dxa"/>
            <w:tcBorders>
              <w:top w:val="nil"/>
              <w:left w:val="nil"/>
              <w:bottom w:val="single" w:sz="4" w:space="0" w:color="auto"/>
              <w:right w:val="nil"/>
            </w:tcBorders>
            <w:shd w:val="clear" w:color="auto" w:fill="auto"/>
            <w:noWrap/>
            <w:vAlign w:val="bottom"/>
            <w:hideMark/>
          </w:tcPr>
          <w:p w14:paraId="66E47FD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4,427</w:t>
            </w:r>
          </w:p>
        </w:tc>
        <w:tc>
          <w:tcPr>
            <w:tcW w:w="1242" w:type="dxa"/>
            <w:tcBorders>
              <w:top w:val="nil"/>
              <w:left w:val="nil"/>
              <w:bottom w:val="single" w:sz="4" w:space="0" w:color="auto"/>
              <w:right w:val="nil"/>
            </w:tcBorders>
            <w:shd w:val="clear" w:color="auto" w:fill="auto"/>
            <w:noWrap/>
            <w:vAlign w:val="bottom"/>
            <w:hideMark/>
          </w:tcPr>
          <w:p w14:paraId="670841CD"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4,636</w:t>
            </w:r>
          </w:p>
        </w:tc>
        <w:tc>
          <w:tcPr>
            <w:tcW w:w="1160" w:type="dxa"/>
            <w:tcBorders>
              <w:top w:val="nil"/>
              <w:left w:val="nil"/>
              <w:bottom w:val="single" w:sz="4" w:space="0" w:color="auto"/>
              <w:right w:val="nil"/>
            </w:tcBorders>
            <w:shd w:val="clear" w:color="auto" w:fill="auto"/>
            <w:noWrap/>
            <w:vAlign w:val="bottom"/>
            <w:hideMark/>
          </w:tcPr>
          <w:p w14:paraId="42D13D4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642</w:t>
            </w:r>
          </w:p>
        </w:tc>
      </w:tr>
      <w:tr w:rsidR="00B24505" w:rsidRPr="00B24505" w14:paraId="507D649B"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37D9B25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359BEDF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039" w:type="dxa"/>
            <w:gridSpan w:val="2"/>
            <w:tcBorders>
              <w:top w:val="single" w:sz="4" w:space="0" w:color="auto"/>
              <w:left w:val="nil"/>
              <w:bottom w:val="single" w:sz="4" w:space="0" w:color="auto"/>
              <w:right w:val="nil"/>
            </w:tcBorders>
            <w:shd w:val="clear" w:color="auto" w:fill="auto"/>
            <w:noWrap/>
            <w:vAlign w:val="bottom"/>
            <w:hideMark/>
          </w:tcPr>
          <w:p w14:paraId="3A04798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Business</w:t>
            </w:r>
          </w:p>
        </w:tc>
        <w:tc>
          <w:tcPr>
            <w:tcW w:w="1158" w:type="dxa"/>
            <w:tcBorders>
              <w:top w:val="nil"/>
              <w:left w:val="nil"/>
              <w:bottom w:val="single" w:sz="4" w:space="0" w:color="auto"/>
              <w:right w:val="nil"/>
            </w:tcBorders>
            <w:shd w:val="clear" w:color="auto" w:fill="auto"/>
            <w:noWrap/>
            <w:vAlign w:val="bottom"/>
            <w:hideMark/>
          </w:tcPr>
          <w:p w14:paraId="58B6888E"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324</w:t>
            </w:r>
          </w:p>
        </w:tc>
        <w:tc>
          <w:tcPr>
            <w:tcW w:w="1158" w:type="dxa"/>
            <w:tcBorders>
              <w:top w:val="nil"/>
              <w:left w:val="nil"/>
              <w:bottom w:val="single" w:sz="4" w:space="0" w:color="auto"/>
              <w:right w:val="nil"/>
            </w:tcBorders>
            <w:shd w:val="clear" w:color="auto" w:fill="auto"/>
            <w:noWrap/>
            <w:vAlign w:val="bottom"/>
            <w:hideMark/>
          </w:tcPr>
          <w:p w14:paraId="6DA193FD"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293</w:t>
            </w:r>
          </w:p>
        </w:tc>
        <w:tc>
          <w:tcPr>
            <w:tcW w:w="1158" w:type="dxa"/>
            <w:tcBorders>
              <w:top w:val="nil"/>
              <w:left w:val="nil"/>
              <w:bottom w:val="single" w:sz="4" w:space="0" w:color="auto"/>
              <w:right w:val="nil"/>
            </w:tcBorders>
            <w:shd w:val="clear" w:color="auto" w:fill="auto"/>
            <w:noWrap/>
            <w:vAlign w:val="bottom"/>
            <w:hideMark/>
          </w:tcPr>
          <w:p w14:paraId="6AB73A08"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301</w:t>
            </w:r>
          </w:p>
        </w:tc>
        <w:tc>
          <w:tcPr>
            <w:tcW w:w="1242" w:type="dxa"/>
            <w:tcBorders>
              <w:top w:val="nil"/>
              <w:left w:val="nil"/>
              <w:bottom w:val="single" w:sz="4" w:space="0" w:color="auto"/>
              <w:right w:val="nil"/>
            </w:tcBorders>
            <w:shd w:val="clear" w:color="auto" w:fill="auto"/>
            <w:noWrap/>
            <w:vAlign w:val="bottom"/>
            <w:hideMark/>
          </w:tcPr>
          <w:p w14:paraId="123A3F1E"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328</w:t>
            </w:r>
          </w:p>
        </w:tc>
        <w:tc>
          <w:tcPr>
            <w:tcW w:w="1160" w:type="dxa"/>
            <w:tcBorders>
              <w:top w:val="nil"/>
              <w:left w:val="nil"/>
              <w:bottom w:val="single" w:sz="4" w:space="0" w:color="auto"/>
              <w:right w:val="nil"/>
            </w:tcBorders>
            <w:shd w:val="clear" w:color="auto" w:fill="auto"/>
            <w:noWrap/>
            <w:vAlign w:val="bottom"/>
            <w:hideMark/>
          </w:tcPr>
          <w:p w14:paraId="5F941F30"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84</w:t>
            </w:r>
          </w:p>
        </w:tc>
      </w:tr>
      <w:tr w:rsidR="00B24505" w:rsidRPr="00B24505" w14:paraId="094729EA"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758964E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32F1B10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039" w:type="dxa"/>
            <w:gridSpan w:val="2"/>
            <w:tcBorders>
              <w:top w:val="single" w:sz="4" w:space="0" w:color="auto"/>
              <w:left w:val="nil"/>
              <w:bottom w:val="single" w:sz="4" w:space="0" w:color="auto"/>
              <w:right w:val="nil"/>
            </w:tcBorders>
            <w:shd w:val="clear" w:color="auto" w:fill="auto"/>
            <w:noWrap/>
            <w:vAlign w:val="bottom"/>
            <w:hideMark/>
          </w:tcPr>
          <w:p w14:paraId="7D21977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Personal</w:t>
            </w:r>
          </w:p>
        </w:tc>
        <w:tc>
          <w:tcPr>
            <w:tcW w:w="1158" w:type="dxa"/>
            <w:tcBorders>
              <w:top w:val="nil"/>
              <w:left w:val="nil"/>
              <w:bottom w:val="single" w:sz="4" w:space="0" w:color="auto"/>
              <w:right w:val="nil"/>
            </w:tcBorders>
            <w:shd w:val="clear" w:color="auto" w:fill="auto"/>
            <w:noWrap/>
            <w:vAlign w:val="bottom"/>
            <w:hideMark/>
          </w:tcPr>
          <w:p w14:paraId="0CBD5B7F"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3,713</w:t>
            </w:r>
          </w:p>
        </w:tc>
        <w:tc>
          <w:tcPr>
            <w:tcW w:w="1158" w:type="dxa"/>
            <w:tcBorders>
              <w:top w:val="nil"/>
              <w:left w:val="nil"/>
              <w:bottom w:val="single" w:sz="4" w:space="0" w:color="auto"/>
              <w:right w:val="nil"/>
            </w:tcBorders>
            <w:shd w:val="clear" w:color="auto" w:fill="auto"/>
            <w:noWrap/>
            <w:vAlign w:val="bottom"/>
            <w:hideMark/>
          </w:tcPr>
          <w:p w14:paraId="576BDCE5"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3,951</w:t>
            </w:r>
          </w:p>
        </w:tc>
        <w:tc>
          <w:tcPr>
            <w:tcW w:w="1158" w:type="dxa"/>
            <w:tcBorders>
              <w:top w:val="nil"/>
              <w:left w:val="nil"/>
              <w:bottom w:val="single" w:sz="4" w:space="0" w:color="auto"/>
              <w:right w:val="nil"/>
            </w:tcBorders>
            <w:shd w:val="clear" w:color="auto" w:fill="auto"/>
            <w:noWrap/>
            <w:vAlign w:val="bottom"/>
            <w:hideMark/>
          </w:tcPr>
          <w:p w14:paraId="60061B26"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4,125</w:t>
            </w:r>
          </w:p>
        </w:tc>
        <w:tc>
          <w:tcPr>
            <w:tcW w:w="1242" w:type="dxa"/>
            <w:tcBorders>
              <w:top w:val="nil"/>
              <w:left w:val="nil"/>
              <w:bottom w:val="single" w:sz="4" w:space="0" w:color="auto"/>
              <w:right w:val="nil"/>
            </w:tcBorders>
            <w:shd w:val="clear" w:color="auto" w:fill="auto"/>
            <w:noWrap/>
            <w:vAlign w:val="bottom"/>
            <w:hideMark/>
          </w:tcPr>
          <w:p w14:paraId="654C7877"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4,308</w:t>
            </w:r>
          </w:p>
        </w:tc>
        <w:tc>
          <w:tcPr>
            <w:tcW w:w="1160" w:type="dxa"/>
            <w:tcBorders>
              <w:top w:val="nil"/>
              <w:left w:val="nil"/>
              <w:bottom w:val="single" w:sz="4" w:space="0" w:color="auto"/>
              <w:right w:val="nil"/>
            </w:tcBorders>
            <w:shd w:val="clear" w:color="auto" w:fill="auto"/>
            <w:noWrap/>
            <w:vAlign w:val="bottom"/>
            <w:hideMark/>
          </w:tcPr>
          <w:p w14:paraId="41B64A24"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558</w:t>
            </w:r>
          </w:p>
        </w:tc>
      </w:tr>
      <w:tr w:rsidR="004802F8" w:rsidRPr="00B24505" w14:paraId="17A894F7"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0A1F9987"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79518743"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8" w:type="dxa"/>
            <w:tcBorders>
              <w:top w:val="nil"/>
              <w:left w:val="nil"/>
              <w:bottom w:val="single" w:sz="4" w:space="0" w:color="auto"/>
              <w:right w:val="nil"/>
            </w:tcBorders>
            <w:shd w:val="clear" w:color="auto" w:fill="auto"/>
            <w:noWrap/>
            <w:vAlign w:val="bottom"/>
            <w:hideMark/>
          </w:tcPr>
          <w:p w14:paraId="47BF1086"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6441" w:type="dxa"/>
            <w:tcBorders>
              <w:top w:val="nil"/>
              <w:left w:val="nil"/>
              <w:bottom w:val="single" w:sz="4" w:space="0" w:color="auto"/>
              <w:right w:val="nil"/>
            </w:tcBorders>
            <w:shd w:val="clear" w:color="auto" w:fill="auto"/>
            <w:noWrap/>
            <w:vAlign w:val="bottom"/>
            <w:hideMark/>
          </w:tcPr>
          <w:p w14:paraId="07E9AFD6" w14:textId="77777777" w:rsidR="00B24505" w:rsidRPr="00B24505" w:rsidRDefault="00B24505" w:rsidP="00B24505">
            <w:pPr>
              <w:rPr>
                <w:rFonts w:ascii="Calibri" w:hAnsi="Calibri" w:cs="Calibri"/>
                <w:i/>
                <w:iCs/>
                <w:sz w:val="19"/>
                <w:szCs w:val="19"/>
                <w:lang w:eastAsia="en-AU"/>
              </w:rPr>
            </w:pPr>
            <w:r w:rsidRPr="00B24505">
              <w:rPr>
                <w:rFonts w:ascii="Calibri" w:hAnsi="Calibri" w:cs="Calibri"/>
                <w:i/>
                <w:iCs/>
                <w:sz w:val="19"/>
                <w:szCs w:val="19"/>
                <w:lang w:eastAsia="en-AU"/>
              </w:rPr>
              <w:t>Education-related</w:t>
            </w:r>
          </w:p>
        </w:tc>
        <w:tc>
          <w:tcPr>
            <w:tcW w:w="1158" w:type="dxa"/>
            <w:tcBorders>
              <w:top w:val="nil"/>
              <w:left w:val="nil"/>
              <w:bottom w:val="single" w:sz="4" w:space="0" w:color="auto"/>
              <w:right w:val="nil"/>
            </w:tcBorders>
            <w:shd w:val="clear" w:color="auto" w:fill="auto"/>
            <w:noWrap/>
            <w:vAlign w:val="bottom"/>
            <w:hideMark/>
          </w:tcPr>
          <w:p w14:paraId="2B0B5F56"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35</w:t>
            </w:r>
          </w:p>
        </w:tc>
        <w:tc>
          <w:tcPr>
            <w:tcW w:w="1158" w:type="dxa"/>
            <w:tcBorders>
              <w:top w:val="nil"/>
              <w:left w:val="nil"/>
              <w:bottom w:val="single" w:sz="4" w:space="0" w:color="auto"/>
              <w:right w:val="nil"/>
            </w:tcBorders>
            <w:shd w:val="clear" w:color="auto" w:fill="auto"/>
            <w:noWrap/>
            <w:vAlign w:val="bottom"/>
            <w:hideMark/>
          </w:tcPr>
          <w:p w14:paraId="6E5541BA"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25</w:t>
            </w:r>
          </w:p>
        </w:tc>
        <w:tc>
          <w:tcPr>
            <w:tcW w:w="1158" w:type="dxa"/>
            <w:tcBorders>
              <w:top w:val="nil"/>
              <w:left w:val="nil"/>
              <w:bottom w:val="single" w:sz="4" w:space="0" w:color="auto"/>
              <w:right w:val="nil"/>
            </w:tcBorders>
            <w:shd w:val="clear" w:color="auto" w:fill="auto"/>
            <w:noWrap/>
            <w:vAlign w:val="bottom"/>
            <w:hideMark/>
          </w:tcPr>
          <w:p w14:paraId="57C77474"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21</w:t>
            </w:r>
          </w:p>
        </w:tc>
        <w:tc>
          <w:tcPr>
            <w:tcW w:w="1242" w:type="dxa"/>
            <w:tcBorders>
              <w:top w:val="nil"/>
              <w:left w:val="nil"/>
              <w:bottom w:val="single" w:sz="4" w:space="0" w:color="auto"/>
              <w:right w:val="nil"/>
            </w:tcBorders>
            <w:shd w:val="clear" w:color="auto" w:fill="auto"/>
            <w:noWrap/>
            <w:vAlign w:val="bottom"/>
            <w:hideMark/>
          </w:tcPr>
          <w:p w14:paraId="19CB77F6"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28</w:t>
            </w:r>
          </w:p>
        </w:tc>
        <w:tc>
          <w:tcPr>
            <w:tcW w:w="1160" w:type="dxa"/>
            <w:tcBorders>
              <w:top w:val="nil"/>
              <w:left w:val="nil"/>
              <w:bottom w:val="single" w:sz="4" w:space="0" w:color="auto"/>
              <w:right w:val="nil"/>
            </w:tcBorders>
            <w:shd w:val="clear" w:color="auto" w:fill="auto"/>
            <w:noWrap/>
            <w:vAlign w:val="bottom"/>
            <w:hideMark/>
          </w:tcPr>
          <w:p w14:paraId="2DC5C879"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13</w:t>
            </w:r>
          </w:p>
        </w:tc>
      </w:tr>
      <w:tr w:rsidR="004802F8" w:rsidRPr="00B24505" w14:paraId="443F1A13"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39677463"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50E8DDB2"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8" w:type="dxa"/>
            <w:tcBorders>
              <w:top w:val="nil"/>
              <w:left w:val="nil"/>
              <w:bottom w:val="single" w:sz="4" w:space="0" w:color="auto"/>
              <w:right w:val="nil"/>
            </w:tcBorders>
            <w:shd w:val="clear" w:color="auto" w:fill="auto"/>
            <w:noWrap/>
            <w:vAlign w:val="bottom"/>
            <w:hideMark/>
          </w:tcPr>
          <w:p w14:paraId="108DC671"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6441" w:type="dxa"/>
            <w:tcBorders>
              <w:top w:val="nil"/>
              <w:left w:val="nil"/>
              <w:bottom w:val="single" w:sz="4" w:space="0" w:color="auto"/>
              <w:right w:val="nil"/>
            </w:tcBorders>
            <w:shd w:val="clear" w:color="auto" w:fill="auto"/>
            <w:noWrap/>
            <w:vAlign w:val="bottom"/>
            <w:hideMark/>
          </w:tcPr>
          <w:p w14:paraId="2A02892F" w14:textId="77777777" w:rsidR="00B24505" w:rsidRPr="00B24505" w:rsidRDefault="00B24505" w:rsidP="00B24505">
            <w:pPr>
              <w:rPr>
                <w:rFonts w:ascii="Calibri" w:hAnsi="Calibri" w:cs="Calibri"/>
                <w:i/>
                <w:iCs/>
                <w:sz w:val="19"/>
                <w:szCs w:val="19"/>
                <w:lang w:eastAsia="en-AU"/>
              </w:rPr>
            </w:pPr>
            <w:r w:rsidRPr="00B24505">
              <w:rPr>
                <w:rFonts w:ascii="Calibri" w:hAnsi="Calibri" w:cs="Calibri"/>
                <w:i/>
                <w:iCs/>
                <w:sz w:val="19"/>
                <w:szCs w:val="19"/>
                <w:lang w:eastAsia="en-AU"/>
              </w:rPr>
              <w:t>Personal travel (excl education-related)</w:t>
            </w:r>
          </w:p>
        </w:tc>
        <w:tc>
          <w:tcPr>
            <w:tcW w:w="1158" w:type="dxa"/>
            <w:tcBorders>
              <w:top w:val="nil"/>
              <w:left w:val="nil"/>
              <w:bottom w:val="single" w:sz="4" w:space="0" w:color="auto"/>
              <w:right w:val="nil"/>
            </w:tcBorders>
            <w:shd w:val="clear" w:color="auto" w:fill="auto"/>
            <w:noWrap/>
            <w:vAlign w:val="bottom"/>
            <w:hideMark/>
          </w:tcPr>
          <w:p w14:paraId="3E55A964"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3,677</w:t>
            </w:r>
          </w:p>
        </w:tc>
        <w:tc>
          <w:tcPr>
            <w:tcW w:w="1158" w:type="dxa"/>
            <w:tcBorders>
              <w:top w:val="nil"/>
              <w:left w:val="nil"/>
              <w:bottom w:val="single" w:sz="4" w:space="0" w:color="auto"/>
              <w:right w:val="nil"/>
            </w:tcBorders>
            <w:shd w:val="clear" w:color="auto" w:fill="auto"/>
            <w:noWrap/>
            <w:vAlign w:val="bottom"/>
            <w:hideMark/>
          </w:tcPr>
          <w:p w14:paraId="77502895"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3,926</w:t>
            </w:r>
          </w:p>
        </w:tc>
        <w:tc>
          <w:tcPr>
            <w:tcW w:w="1158" w:type="dxa"/>
            <w:tcBorders>
              <w:top w:val="nil"/>
              <w:left w:val="nil"/>
              <w:bottom w:val="single" w:sz="4" w:space="0" w:color="auto"/>
              <w:right w:val="nil"/>
            </w:tcBorders>
            <w:shd w:val="clear" w:color="auto" w:fill="auto"/>
            <w:noWrap/>
            <w:vAlign w:val="bottom"/>
            <w:hideMark/>
          </w:tcPr>
          <w:p w14:paraId="5931D25D"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4,104</w:t>
            </w:r>
          </w:p>
        </w:tc>
        <w:tc>
          <w:tcPr>
            <w:tcW w:w="1242" w:type="dxa"/>
            <w:tcBorders>
              <w:top w:val="nil"/>
              <w:left w:val="nil"/>
              <w:bottom w:val="single" w:sz="4" w:space="0" w:color="auto"/>
              <w:right w:val="nil"/>
            </w:tcBorders>
            <w:shd w:val="clear" w:color="auto" w:fill="auto"/>
            <w:noWrap/>
            <w:vAlign w:val="bottom"/>
            <w:hideMark/>
          </w:tcPr>
          <w:p w14:paraId="67602BE6"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4,280</w:t>
            </w:r>
          </w:p>
        </w:tc>
        <w:tc>
          <w:tcPr>
            <w:tcW w:w="1160" w:type="dxa"/>
            <w:tcBorders>
              <w:top w:val="nil"/>
              <w:left w:val="nil"/>
              <w:bottom w:val="single" w:sz="4" w:space="0" w:color="auto"/>
              <w:right w:val="nil"/>
            </w:tcBorders>
            <w:shd w:val="clear" w:color="auto" w:fill="auto"/>
            <w:noWrap/>
            <w:vAlign w:val="bottom"/>
            <w:hideMark/>
          </w:tcPr>
          <w:p w14:paraId="6F8108E5" w14:textId="77777777" w:rsidR="00B24505" w:rsidRPr="00B24505" w:rsidRDefault="00B24505" w:rsidP="00B24505">
            <w:pPr>
              <w:jc w:val="right"/>
              <w:rPr>
                <w:rFonts w:ascii="Calibri" w:hAnsi="Calibri" w:cs="Calibri"/>
                <w:i/>
                <w:iCs/>
                <w:color w:val="000000"/>
                <w:sz w:val="19"/>
                <w:szCs w:val="19"/>
                <w:lang w:eastAsia="en-AU"/>
              </w:rPr>
            </w:pPr>
            <w:r w:rsidRPr="00B24505">
              <w:rPr>
                <w:rFonts w:ascii="Calibri" w:hAnsi="Calibri" w:cs="Calibri"/>
                <w:i/>
                <w:iCs/>
                <w:color w:val="000000"/>
                <w:sz w:val="19"/>
                <w:szCs w:val="19"/>
                <w:lang w:eastAsia="en-AU"/>
              </w:rPr>
              <w:t>545</w:t>
            </w:r>
          </w:p>
        </w:tc>
      </w:tr>
      <w:tr w:rsidR="00B24505" w:rsidRPr="00B24505" w14:paraId="64B88A5F"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43D81F7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553D27BF"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Construction services</w:t>
            </w:r>
          </w:p>
        </w:tc>
        <w:tc>
          <w:tcPr>
            <w:tcW w:w="1158" w:type="dxa"/>
            <w:tcBorders>
              <w:top w:val="nil"/>
              <w:left w:val="nil"/>
              <w:bottom w:val="single" w:sz="4" w:space="0" w:color="auto"/>
              <w:right w:val="nil"/>
            </w:tcBorders>
            <w:shd w:val="clear" w:color="auto" w:fill="auto"/>
            <w:noWrap/>
            <w:vAlign w:val="bottom"/>
            <w:hideMark/>
          </w:tcPr>
          <w:p w14:paraId="262AB7B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4FD6751E"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58" w:type="dxa"/>
            <w:tcBorders>
              <w:top w:val="nil"/>
              <w:left w:val="nil"/>
              <w:bottom w:val="single" w:sz="4" w:space="0" w:color="auto"/>
              <w:right w:val="nil"/>
            </w:tcBorders>
            <w:shd w:val="clear" w:color="auto" w:fill="auto"/>
            <w:noWrap/>
            <w:vAlign w:val="bottom"/>
            <w:hideMark/>
          </w:tcPr>
          <w:p w14:paraId="7157DBF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242" w:type="dxa"/>
            <w:tcBorders>
              <w:top w:val="nil"/>
              <w:left w:val="nil"/>
              <w:bottom w:val="single" w:sz="4" w:space="0" w:color="auto"/>
              <w:right w:val="nil"/>
            </w:tcBorders>
            <w:shd w:val="clear" w:color="auto" w:fill="auto"/>
            <w:noWrap/>
            <w:vAlign w:val="bottom"/>
            <w:hideMark/>
          </w:tcPr>
          <w:p w14:paraId="529F357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c>
          <w:tcPr>
            <w:tcW w:w="1160" w:type="dxa"/>
            <w:tcBorders>
              <w:top w:val="nil"/>
              <w:left w:val="nil"/>
              <w:bottom w:val="single" w:sz="4" w:space="0" w:color="auto"/>
              <w:right w:val="nil"/>
            </w:tcBorders>
            <w:shd w:val="clear" w:color="auto" w:fill="auto"/>
            <w:noWrap/>
            <w:vAlign w:val="bottom"/>
            <w:hideMark/>
          </w:tcPr>
          <w:p w14:paraId="40D273FD"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0</w:t>
            </w:r>
          </w:p>
        </w:tc>
      </w:tr>
      <w:tr w:rsidR="00B24505" w:rsidRPr="00B24505" w14:paraId="7E1B8A2F"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16A15A12"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47092C2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Insurance &amp; pension services</w:t>
            </w:r>
          </w:p>
        </w:tc>
        <w:tc>
          <w:tcPr>
            <w:tcW w:w="1158" w:type="dxa"/>
            <w:tcBorders>
              <w:top w:val="nil"/>
              <w:left w:val="nil"/>
              <w:bottom w:val="single" w:sz="4" w:space="0" w:color="auto"/>
              <w:right w:val="nil"/>
            </w:tcBorders>
            <w:shd w:val="clear" w:color="auto" w:fill="auto"/>
            <w:noWrap/>
            <w:vAlign w:val="bottom"/>
            <w:hideMark/>
          </w:tcPr>
          <w:p w14:paraId="45F0605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577</w:t>
            </w:r>
          </w:p>
        </w:tc>
        <w:tc>
          <w:tcPr>
            <w:tcW w:w="1158" w:type="dxa"/>
            <w:tcBorders>
              <w:top w:val="nil"/>
              <w:left w:val="nil"/>
              <w:bottom w:val="single" w:sz="4" w:space="0" w:color="auto"/>
              <w:right w:val="nil"/>
            </w:tcBorders>
            <w:shd w:val="clear" w:color="auto" w:fill="auto"/>
            <w:noWrap/>
            <w:vAlign w:val="bottom"/>
            <w:hideMark/>
          </w:tcPr>
          <w:p w14:paraId="31ACA09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792</w:t>
            </w:r>
          </w:p>
        </w:tc>
        <w:tc>
          <w:tcPr>
            <w:tcW w:w="1158" w:type="dxa"/>
            <w:tcBorders>
              <w:top w:val="nil"/>
              <w:left w:val="nil"/>
              <w:bottom w:val="single" w:sz="4" w:space="0" w:color="auto"/>
              <w:right w:val="nil"/>
            </w:tcBorders>
            <w:shd w:val="clear" w:color="auto" w:fill="auto"/>
            <w:noWrap/>
            <w:vAlign w:val="bottom"/>
            <w:hideMark/>
          </w:tcPr>
          <w:p w14:paraId="469A1A39"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728</w:t>
            </w:r>
          </w:p>
        </w:tc>
        <w:tc>
          <w:tcPr>
            <w:tcW w:w="1242" w:type="dxa"/>
            <w:tcBorders>
              <w:top w:val="nil"/>
              <w:left w:val="nil"/>
              <w:bottom w:val="single" w:sz="4" w:space="0" w:color="auto"/>
              <w:right w:val="nil"/>
            </w:tcBorders>
            <w:shd w:val="clear" w:color="auto" w:fill="auto"/>
            <w:noWrap/>
            <w:vAlign w:val="bottom"/>
            <w:hideMark/>
          </w:tcPr>
          <w:p w14:paraId="20ECD43A"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744</w:t>
            </w:r>
          </w:p>
        </w:tc>
        <w:tc>
          <w:tcPr>
            <w:tcW w:w="1160" w:type="dxa"/>
            <w:tcBorders>
              <w:top w:val="nil"/>
              <w:left w:val="nil"/>
              <w:bottom w:val="single" w:sz="4" w:space="0" w:color="auto"/>
              <w:right w:val="nil"/>
            </w:tcBorders>
            <w:shd w:val="clear" w:color="auto" w:fill="auto"/>
            <w:noWrap/>
            <w:vAlign w:val="bottom"/>
            <w:hideMark/>
          </w:tcPr>
          <w:p w14:paraId="38966E8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758</w:t>
            </w:r>
          </w:p>
        </w:tc>
      </w:tr>
      <w:tr w:rsidR="00B24505" w:rsidRPr="00B24505" w14:paraId="568BDEC1"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0191160E"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3607B6A2"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Financial services</w:t>
            </w:r>
          </w:p>
        </w:tc>
        <w:tc>
          <w:tcPr>
            <w:tcW w:w="1158" w:type="dxa"/>
            <w:tcBorders>
              <w:top w:val="nil"/>
              <w:left w:val="nil"/>
              <w:bottom w:val="single" w:sz="4" w:space="0" w:color="auto"/>
              <w:right w:val="nil"/>
            </w:tcBorders>
            <w:shd w:val="clear" w:color="auto" w:fill="auto"/>
            <w:noWrap/>
            <w:vAlign w:val="bottom"/>
            <w:hideMark/>
          </w:tcPr>
          <w:p w14:paraId="60F62A6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383</w:t>
            </w:r>
          </w:p>
        </w:tc>
        <w:tc>
          <w:tcPr>
            <w:tcW w:w="1158" w:type="dxa"/>
            <w:tcBorders>
              <w:top w:val="nil"/>
              <w:left w:val="nil"/>
              <w:bottom w:val="single" w:sz="4" w:space="0" w:color="auto"/>
              <w:right w:val="nil"/>
            </w:tcBorders>
            <w:shd w:val="clear" w:color="auto" w:fill="auto"/>
            <w:noWrap/>
            <w:vAlign w:val="bottom"/>
            <w:hideMark/>
          </w:tcPr>
          <w:p w14:paraId="5EC4EC7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686</w:t>
            </w:r>
          </w:p>
        </w:tc>
        <w:tc>
          <w:tcPr>
            <w:tcW w:w="1158" w:type="dxa"/>
            <w:tcBorders>
              <w:top w:val="nil"/>
              <w:left w:val="nil"/>
              <w:bottom w:val="single" w:sz="4" w:space="0" w:color="auto"/>
              <w:right w:val="nil"/>
            </w:tcBorders>
            <w:shd w:val="clear" w:color="auto" w:fill="auto"/>
            <w:noWrap/>
            <w:vAlign w:val="bottom"/>
            <w:hideMark/>
          </w:tcPr>
          <w:p w14:paraId="43B126B1"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490</w:t>
            </w:r>
          </w:p>
        </w:tc>
        <w:tc>
          <w:tcPr>
            <w:tcW w:w="1242" w:type="dxa"/>
            <w:tcBorders>
              <w:top w:val="nil"/>
              <w:left w:val="nil"/>
              <w:bottom w:val="single" w:sz="4" w:space="0" w:color="auto"/>
              <w:right w:val="nil"/>
            </w:tcBorders>
            <w:shd w:val="clear" w:color="auto" w:fill="auto"/>
            <w:noWrap/>
            <w:vAlign w:val="bottom"/>
            <w:hideMark/>
          </w:tcPr>
          <w:p w14:paraId="7E261F6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662</w:t>
            </w:r>
          </w:p>
        </w:tc>
        <w:tc>
          <w:tcPr>
            <w:tcW w:w="1160" w:type="dxa"/>
            <w:tcBorders>
              <w:top w:val="nil"/>
              <w:left w:val="nil"/>
              <w:bottom w:val="single" w:sz="4" w:space="0" w:color="auto"/>
              <w:right w:val="nil"/>
            </w:tcBorders>
            <w:shd w:val="clear" w:color="auto" w:fill="auto"/>
            <w:noWrap/>
            <w:vAlign w:val="bottom"/>
            <w:hideMark/>
          </w:tcPr>
          <w:p w14:paraId="178EA63B"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786</w:t>
            </w:r>
          </w:p>
        </w:tc>
      </w:tr>
      <w:tr w:rsidR="00B24505" w:rsidRPr="00B24505" w14:paraId="58E48548"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4EED6A3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0511244A"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xml:space="preserve">Intellectual property charges </w:t>
            </w:r>
            <w:proofErr w:type="spellStart"/>
            <w:r w:rsidRPr="00B24505">
              <w:rPr>
                <w:rFonts w:ascii="Calibri" w:hAnsi="Calibri" w:cs="Calibri"/>
                <w:sz w:val="19"/>
                <w:szCs w:val="19"/>
                <w:lang w:eastAsia="en-AU"/>
              </w:rPr>
              <w:t>nie</w:t>
            </w:r>
            <w:proofErr w:type="spellEnd"/>
          </w:p>
        </w:tc>
        <w:tc>
          <w:tcPr>
            <w:tcW w:w="1158" w:type="dxa"/>
            <w:tcBorders>
              <w:top w:val="nil"/>
              <w:left w:val="nil"/>
              <w:bottom w:val="single" w:sz="4" w:space="0" w:color="auto"/>
              <w:right w:val="nil"/>
            </w:tcBorders>
            <w:shd w:val="clear" w:color="auto" w:fill="auto"/>
            <w:noWrap/>
            <w:vAlign w:val="bottom"/>
            <w:hideMark/>
          </w:tcPr>
          <w:p w14:paraId="7DA9EFF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330</w:t>
            </w:r>
          </w:p>
        </w:tc>
        <w:tc>
          <w:tcPr>
            <w:tcW w:w="1158" w:type="dxa"/>
            <w:tcBorders>
              <w:top w:val="nil"/>
              <w:left w:val="nil"/>
              <w:bottom w:val="single" w:sz="4" w:space="0" w:color="auto"/>
              <w:right w:val="nil"/>
            </w:tcBorders>
            <w:shd w:val="clear" w:color="auto" w:fill="auto"/>
            <w:noWrap/>
            <w:vAlign w:val="bottom"/>
            <w:hideMark/>
          </w:tcPr>
          <w:p w14:paraId="7B67C2B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658</w:t>
            </w:r>
          </w:p>
        </w:tc>
        <w:tc>
          <w:tcPr>
            <w:tcW w:w="1158" w:type="dxa"/>
            <w:tcBorders>
              <w:top w:val="nil"/>
              <w:left w:val="nil"/>
              <w:bottom w:val="single" w:sz="4" w:space="0" w:color="auto"/>
              <w:right w:val="nil"/>
            </w:tcBorders>
            <w:shd w:val="clear" w:color="auto" w:fill="auto"/>
            <w:noWrap/>
            <w:vAlign w:val="bottom"/>
            <w:hideMark/>
          </w:tcPr>
          <w:p w14:paraId="56A5437D"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844</w:t>
            </w:r>
          </w:p>
        </w:tc>
        <w:tc>
          <w:tcPr>
            <w:tcW w:w="1242" w:type="dxa"/>
            <w:tcBorders>
              <w:top w:val="nil"/>
              <w:left w:val="nil"/>
              <w:bottom w:val="single" w:sz="4" w:space="0" w:color="auto"/>
              <w:right w:val="nil"/>
            </w:tcBorders>
            <w:shd w:val="clear" w:color="auto" w:fill="auto"/>
            <w:noWrap/>
            <w:vAlign w:val="bottom"/>
            <w:hideMark/>
          </w:tcPr>
          <w:p w14:paraId="1D1AF2FF"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879</w:t>
            </w:r>
          </w:p>
        </w:tc>
        <w:tc>
          <w:tcPr>
            <w:tcW w:w="1160" w:type="dxa"/>
            <w:tcBorders>
              <w:top w:val="nil"/>
              <w:left w:val="nil"/>
              <w:bottom w:val="single" w:sz="4" w:space="0" w:color="auto"/>
              <w:right w:val="nil"/>
            </w:tcBorders>
            <w:shd w:val="clear" w:color="auto" w:fill="auto"/>
            <w:noWrap/>
            <w:vAlign w:val="bottom"/>
            <w:hideMark/>
          </w:tcPr>
          <w:p w14:paraId="2DE8D949"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963</w:t>
            </w:r>
          </w:p>
        </w:tc>
      </w:tr>
      <w:tr w:rsidR="00B24505" w:rsidRPr="00B24505" w14:paraId="28FC3BA4"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51DA0B19"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34E8A629"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Telecom. computer &amp; information services</w:t>
            </w:r>
          </w:p>
        </w:tc>
        <w:tc>
          <w:tcPr>
            <w:tcW w:w="1158" w:type="dxa"/>
            <w:tcBorders>
              <w:top w:val="nil"/>
              <w:left w:val="nil"/>
              <w:bottom w:val="single" w:sz="4" w:space="0" w:color="auto"/>
              <w:right w:val="nil"/>
            </w:tcBorders>
            <w:shd w:val="clear" w:color="auto" w:fill="auto"/>
            <w:noWrap/>
            <w:vAlign w:val="bottom"/>
            <w:hideMark/>
          </w:tcPr>
          <w:p w14:paraId="5C3B31D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343</w:t>
            </w:r>
          </w:p>
        </w:tc>
        <w:tc>
          <w:tcPr>
            <w:tcW w:w="1158" w:type="dxa"/>
            <w:tcBorders>
              <w:top w:val="nil"/>
              <w:left w:val="nil"/>
              <w:bottom w:val="single" w:sz="4" w:space="0" w:color="auto"/>
              <w:right w:val="nil"/>
            </w:tcBorders>
            <w:shd w:val="clear" w:color="auto" w:fill="auto"/>
            <w:noWrap/>
            <w:vAlign w:val="bottom"/>
            <w:hideMark/>
          </w:tcPr>
          <w:p w14:paraId="65F3A86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367</w:t>
            </w:r>
          </w:p>
        </w:tc>
        <w:tc>
          <w:tcPr>
            <w:tcW w:w="1158" w:type="dxa"/>
            <w:tcBorders>
              <w:top w:val="nil"/>
              <w:left w:val="nil"/>
              <w:bottom w:val="single" w:sz="4" w:space="0" w:color="auto"/>
              <w:right w:val="nil"/>
            </w:tcBorders>
            <w:shd w:val="clear" w:color="auto" w:fill="auto"/>
            <w:noWrap/>
            <w:vAlign w:val="bottom"/>
            <w:hideMark/>
          </w:tcPr>
          <w:p w14:paraId="4F9019BC"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382</w:t>
            </w:r>
          </w:p>
        </w:tc>
        <w:tc>
          <w:tcPr>
            <w:tcW w:w="1242" w:type="dxa"/>
            <w:tcBorders>
              <w:top w:val="nil"/>
              <w:left w:val="nil"/>
              <w:bottom w:val="single" w:sz="4" w:space="0" w:color="auto"/>
              <w:right w:val="nil"/>
            </w:tcBorders>
            <w:shd w:val="clear" w:color="auto" w:fill="auto"/>
            <w:noWrap/>
            <w:vAlign w:val="bottom"/>
            <w:hideMark/>
          </w:tcPr>
          <w:p w14:paraId="6638227A"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379</w:t>
            </w:r>
          </w:p>
        </w:tc>
        <w:tc>
          <w:tcPr>
            <w:tcW w:w="1160" w:type="dxa"/>
            <w:tcBorders>
              <w:top w:val="nil"/>
              <w:left w:val="nil"/>
              <w:bottom w:val="single" w:sz="4" w:space="0" w:color="auto"/>
              <w:right w:val="nil"/>
            </w:tcBorders>
            <w:shd w:val="clear" w:color="auto" w:fill="auto"/>
            <w:noWrap/>
            <w:vAlign w:val="bottom"/>
            <w:hideMark/>
          </w:tcPr>
          <w:p w14:paraId="128F92B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474</w:t>
            </w:r>
          </w:p>
        </w:tc>
      </w:tr>
      <w:tr w:rsidR="00B24505" w:rsidRPr="00B24505" w14:paraId="7DDFD237"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6F88CF27"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6E7FFD6E"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Other business services</w:t>
            </w:r>
          </w:p>
        </w:tc>
        <w:tc>
          <w:tcPr>
            <w:tcW w:w="1158" w:type="dxa"/>
            <w:tcBorders>
              <w:top w:val="nil"/>
              <w:left w:val="nil"/>
              <w:bottom w:val="single" w:sz="4" w:space="0" w:color="auto"/>
              <w:right w:val="nil"/>
            </w:tcBorders>
            <w:shd w:val="clear" w:color="auto" w:fill="auto"/>
            <w:noWrap/>
            <w:vAlign w:val="bottom"/>
            <w:hideMark/>
          </w:tcPr>
          <w:p w14:paraId="3F2A655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1,235</w:t>
            </w:r>
          </w:p>
        </w:tc>
        <w:tc>
          <w:tcPr>
            <w:tcW w:w="1158" w:type="dxa"/>
            <w:tcBorders>
              <w:top w:val="nil"/>
              <w:left w:val="nil"/>
              <w:bottom w:val="single" w:sz="4" w:space="0" w:color="auto"/>
              <w:right w:val="nil"/>
            </w:tcBorders>
            <w:shd w:val="clear" w:color="auto" w:fill="auto"/>
            <w:noWrap/>
            <w:vAlign w:val="bottom"/>
            <w:hideMark/>
          </w:tcPr>
          <w:p w14:paraId="587D8DBF"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1,073</w:t>
            </w:r>
          </w:p>
        </w:tc>
        <w:tc>
          <w:tcPr>
            <w:tcW w:w="1158" w:type="dxa"/>
            <w:tcBorders>
              <w:top w:val="nil"/>
              <w:left w:val="nil"/>
              <w:bottom w:val="single" w:sz="4" w:space="0" w:color="auto"/>
              <w:right w:val="nil"/>
            </w:tcBorders>
            <w:shd w:val="clear" w:color="auto" w:fill="auto"/>
            <w:noWrap/>
            <w:vAlign w:val="bottom"/>
            <w:hideMark/>
          </w:tcPr>
          <w:p w14:paraId="63B3B08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1,305</w:t>
            </w:r>
          </w:p>
        </w:tc>
        <w:tc>
          <w:tcPr>
            <w:tcW w:w="1242" w:type="dxa"/>
            <w:tcBorders>
              <w:top w:val="nil"/>
              <w:left w:val="nil"/>
              <w:bottom w:val="single" w:sz="4" w:space="0" w:color="auto"/>
              <w:right w:val="nil"/>
            </w:tcBorders>
            <w:shd w:val="clear" w:color="auto" w:fill="auto"/>
            <w:noWrap/>
            <w:vAlign w:val="bottom"/>
            <w:hideMark/>
          </w:tcPr>
          <w:p w14:paraId="7F870FB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1,594</w:t>
            </w:r>
          </w:p>
        </w:tc>
        <w:tc>
          <w:tcPr>
            <w:tcW w:w="1160" w:type="dxa"/>
            <w:tcBorders>
              <w:top w:val="nil"/>
              <w:left w:val="nil"/>
              <w:bottom w:val="single" w:sz="4" w:space="0" w:color="auto"/>
              <w:right w:val="nil"/>
            </w:tcBorders>
            <w:shd w:val="clear" w:color="auto" w:fill="auto"/>
            <w:noWrap/>
            <w:vAlign w:val="bottom"/>
            <w:hideMark/>
          </w:tcPr>
          <w:p w14:paraId="7B72CAED"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1,481</w:t>
            </w:r>
          </w:p>
        </w:tc>
      </w:tr>
      <w:tr w:rsidR="00B24505" w:rsidRPr="00B24505" w14:paraId="2AD46E1C"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0E908C62"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5A663D9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Personal, cultural &amp; recreational services</w:t>
            </w:r>
          </w:p>
        </w:tc>
        <w:tc>
          <w:tcPr>
            <w:tcW w:w="1158" w:type="dxa"/>
            <w:tcBorders>
              <w:top w:val="nil"/>
              <w:left w:val="nil"/>
              <w:bottom w:val="single" w:sz="4" w:space="0" w:color="auto"/>
              <w:right w:val="nil"/>
            </w:tcBorders>
            <w:shd w:val="clear" w:color="auto" w:fill="auto"/>
            <w:noWrap/>
            <w:vAlign w:val="bottom"/>
            <w:hideMark/>
          </w:tcPr>
          <w:p w14:paraId="1F553687"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328</w:t>
            </w:r>
          </w:p>
        </w:tc>
        <w:tc>
          <w:tcPr>
            <w:tcW w:w="1158" w:type="dxa"/>
            <w:tcBorders>
              <w:top w:val="nil"/>
              <w:left w:val="nil"/>
              <w:bottom w:val="single" w:sz="4" w:space="0" w:color="auto"/>
              <w:right w:val="nil"/>
            </w:tcBorders>
            <w:shd w:val="clear" w:color="auto" w:fill="auto"/>
            <w:noWrap/>
            <w:vAlign w:val="bottom"/>
            <w:hideMark/>
          </w:tcPr>
          <w:p w14:paraId="231991C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467</w:t>
            </w:r>
          </w:p>
        </w:tc>
        <w:tc>
          <w:tcPr>
            <w:tcW w:w="1158" w:type="dxa"/>
            <w:tcBorders>
              <w:top w:val="nil"/>
              <w:left w:val="nil"/>
              <w:bottom w:val="single" w:sz="4" w:space="0" w:color="auto"/>
              <w:right w:val="nil"/>
            </w:tcBorders>
            <w:shd w:val="clear" w:color="auto" w:fill="auto"/>
            <w:noWrap/>
            <w:vAlign w:val="bottom"/>
            <w:hideMark/>
          </w:tcPr>
          <w:p w14:paraId="26F9D2F0"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490</w:t>
            </w:r>
          </w:p>
        </w:tc>
        <w:tc>
          <w:tcPr>
            <w:tcW w:w="1242" w:type="dxa"/>
            <w:tcBorders>
              <w:top w:val="nil"/>
              <w:left w:val="nil"/>
              <w:bottom w:val="single" w:sz="4" w:space="0" w:color="auto"/>
              <w:right w:val="nil"/>
            </w:tcBorders>
            <w:shd w:val="clear" w:color="auto" w:fill="auto"/>
            <w:noWrap/>
            <w:vAlign w:val="bottom"/>
            <w:hideMark/>
          </w:tcPr>
          <w:p w14:paraId="591E06A5"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408</w:t>
            </w:r>
          </w:p>
        </w:tc>
        <w:tc>
          <w:tcPr>
            <w:tcW w:w="1160" w:type="dxa"/>
            <w:tcBorders>
              <w:top w:val="nil"/>
              <w:left w:val="nil"/>
              <w:bottom w:val="single" w:sz="4" w:space="0" w:color="auto"/>
              <w:right w:val="nil"/>
            </w:tcBorders>
            <w:shd w:val="clear" w:color="auto" w:fill="auto"/>
            <w:noWrap/>
            <w:vAlign w:val="bottom"/>
            <w:hideMark/>
          </w:tcPr>
          <w:p w14:paraId="6FF1D064"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314</w:t>
            </w:r>
          </w:p>
        </w:tc>
      </w:tr>
      <w:tr w:rsidR="00B24505" w:rsidRPr="00B24505" w14:paraId="288947E5" w14:textId="77777777" w:rsidTr="004802F8">
        <w:trPr>
          <w:trHeight w:val="291"/>
        </w:trPr>
        <w:tc>
          <w:tcPr>
            <w:tcW w:w="454" w:type="dxa"/>
            <w:tcBorders>
              <w:top w:val="nil"/>
              <w:left w:val="nil"/>
              <w:bottom w:val="single" w:sz="4" w:space="0" w:color="auto"/>
              <w:right w:val="nil"/>
            </w:tcBorders>
            <w:shd w:val="clear" w:color="auto" w:fill="auto"/>
            <w:noWrap/>
            <w:vAlign w:val="bottom"/>
            <w:hideMark/>
          </w:tcPr>
          <w:p w14:paraId="329103A9"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7635" w:type="dxa"/>
            <w:gridSpan w:val="3"/>
            <w:tcBorders>
              <w:top w:val="single" w:sz="4" w:space="0" w:color="auto"/>
              <w:left w:val="nil"/>
              <w:bottom w:val="single" w:sz="4" w:space="0" w:color="auto"/>
              <w:right w:val="nil"/>
            </w:tcBorders>
            <w:shd w:val="clear" w:color="auto" w:fill="auto"/>
            <w:noWrap/>
            <w:vAlign w:val="bottom"/>
            <w:hideMark/>
          </w:tcPr>
          <w:p w14:paraId="00463BE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Government services</w:t>
            </w:r>
          </w:p>
        </w:tc>
        <w:tc>
          <w:tcPr>
            <w:tcW w:w="1158" w:type="dxa"/>
            <w:tcBorders>
              <w:top w:val="nil"/>
              <w:left w:val="nil"/>
              <w:bottom w:val="single" w:sz="4" w:space="0" w:color="auto"/>
              <w:right w:val="nil"/>
            </w:tcBorders>
            <w:shd w:val="clear" w:color="auto" w:fill="auto"/>
            <w:noWrap/>
            <w:vAlign w:val="bottom"/>
            <w:hideMark/>
          </w:tcPr>
          <w:p w14:paraId="217571D3"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93</w:t>
            </w:r>
          </w:p>
        </w:tc>
        <w:tc>
          <w:tcPr>
            <w:tcW w:w="1158" w:type="dxa"/>
            <w:tcBorders>
              <w:top w:val="nil"/>
              <w:left w:val="nil"/>
              <w:bottom w:val="single" w:sz="4" w:space="0" w:color="auto"/>
              <w:right w:val="nil"/>
            </w:tcBorders>
            <w:shd w:val="clear" w:color="auto" w:fill="auto"/>
            <w:noWrap/>
            <w:vAlign w:val="bottom"/>
            <w:hideMark/>
          </w:tcPr>
          <w:p w14:paraId="319C821F"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102</w:t>
            </w:r>
          </w:p>
        </w:tc>
        <w:tc>
          <w:tcPr>
            <w:tcW w:w="1158" w:type="dxa"/>
            <w:tcBorders>
              <w:top w:val="nil"/>
              <w:left w:val="nil"/>
              <w:bottom w:val="single" w:sz="4" w:space="0" w:color="auto"/>
              <w:right w:val="nil"/>
            </w:tcBorders>
            <w:shd w:val="clear" w:color="auto" w:fill="auto"/>
            <w:noWrap/>
            <w:vAlign w:val="bottom"/>
            <w:hideMark/>
          </w:tcPr>
          <w:p w14:paraId="5C38B8A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114</w:t>
            </w:r>
          </w:p>
        </w:tc>
        <w:tc>
          <w:tcPr>
            <w:tcW w:w="1242" w:type="dxa"/>
            <w:tcBorders>
              <w:top w:val="nil"/>
              <w:left w:val="nil"/>
              <w:bottom w:val="single" w:sz="4" w:space="0" w:color="auto"/>
              <w:right w:val="nil"/>
            </w:tcBorders>
            <w:shd w:val="clear" w:color="auto" w:fill="auto"/>
            <w:noWrap/>
            <w:vAlign w:val="bottom"/>
            <w:hideMark/>
          </w:tcPr>
          <w:p w14:paraId="0710ACE6"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127</w:t>
            </w:r>
          </w:p>
        </w:tc>
        <w:tc>
          <w:tcPr>
            <w:tcW w:w="1160" w:type="dxa"/>
            <w:tcBorders>
              <w:top w:val="nil"/>
              <w:left w:val="nil"/>
              <w:bottom w:val="single" w:sz="4" w:space="0" w:color="auto"/>
              <w:right w:val="nil"/>
            </w:tcBorders>
            <w:shd w:val="clear" w:color="auto" w:fill="auto"/>
            <w:noWrap/>
            <w:vAlign w:val="bottom"/>
            <w:hideMark/>
          </w:tcPr>
          <w:p w14:paraId="25C598F2" w14:textId="77777777" w:rsidR="00B24505" w:rsidRPr="00B24505" w:rsidRDefault="00B24505" w:rsidP="00B24505">
            <w:pPr>
              <w:jc w:val="right"/>
              <w:rPr>
                <w:rFonts w:ascii="Calibri" w:hAnsi="Calibri" w:cs="Calibri"/>
                <w:color w:val="000000"/>
                <w:sz w:val="19"/>
                <w:szCs w:val="19"/>
                <w:lang w:eastAsia="en-AU"/>
              </w:rPr>
            </w:pPr>
            <w:r w:rsidRPr="00B24505">
              <w:rPr>
                <w:rFonts w:ascii="Calibri" w:hAnsi="Calibri" w:cs="Calibri"/>
                <w:color w:val="000000"/>
                <w:sz w:val="19"/>
                <w:szCs w:val="19"/>
                <w:lang w:eastAsia="en-AU"/>
              </w:rPr>
              <w:t>128</w:t>
            </w:r>
          </w:p>
        </w:tc>
      </w:tr>
      <w:tr w:rsidR="004802F8" w:rsidRPr="00B24505" w14:paraId="66DA57DC" w14:textId="77777777" w:rsidTr="004802F8">
        <w:trPr>
          <w:trHeight w:val="268"/>
        </w:trPr>
        <w:tc>
          <w:tcPr>
            <w:tcW w:w="454" w:type="dxa"/>
            <w:tcBorders>
              <w:top w:val="nil"/>
              <w:left w:val="nil"/>
              <w:bottom w:val="single" w:sz="4" w:space="0" w:color="auto"/>
              <w:right w:val="nil"/>
            </w:tcBorders>
            <w:shd w:val="clear" w:color="auto" w:fill="auto"/>
            <w:noWrap/>
            <w:vAlign w:val="bottom"/>
            <w:hideMark/>
          </w:tcPr>
          <w:p w14:paraId="3597D6B6"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6" w:type="dxa"/>
            <w:tcBorders>
              <w:top w:val="nil"/>
              <w:left w:val="nil"/>
              <w:bottom w:val="single" w:sz="4" w:space="0" w:color="auto"/>
              <w:right w:val="nil"/>
            </w:tcBorders>
            <w:shd w:val="clear" w:color="auto" w:fill="auto"/>
            <w:noWrap/>
            <w:vAlign w:val="bottom"/>
            <w:hideMark/>
          </w:tcPr>
          <w:p w14:paraId="1D14D8A4"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598" w:type="dxa"/>
            <w:tcBorders>
              <w:top w:val="nil"/>
              <w:left w:val="nil"/>
              <w:bottom w:val="single" w:sz="4" w:space="0" w:color="auto"/>
              <w:right w:val="nil"/>
            </w:tcBorders>
            <w:shd w:val="clear" w:color="auto" w:fill="auto"/>
            <w:noWrap/>
            <w:vAlign w:val="bottom"/>
            <w:hideMark/>
          </w:tcPr>
          <w:p w14:paraId="43C7BADC"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6441" w:type="dxa"/>
            <w:tcBorders>
              <w:top w:val="nil"/>
              <w:left w:val="nil"/>
              <w:bottom w:val="single" w:sz="4" w:space="0" w:color="auto"/>
              <w:right w:val="nil"/>
            </w:tcBorders>
            <w:shd w:val="clear" w:color="auto" w:fill="auto"/>
            <w:noWrap/>
            <w:vAlign w:val="bottom"/>
            <w:hideMark/>
          </w:tcPr>
          <w:p w14:paraId="60585500" w14:textId="77777777" w:rsidR="00B24505" w:rsidRPr="00B24505" w:rsidRDefault="00B24505" w:rsidP="00B24505">
            <w:pPr>
              <w:rPr>
                <w:rFonts w:ascii="Calibri" w:hAnsi="Calibri" w:cs="Calibri"/>
                <w:sz w:val="19"/>
                <w:szCs w:val="19"/>
                <w:lang w:eastAsia="en-AU"/>
              </w:rPr>
            </w:pPr>
            <w:r w:rsidRPr="00B24505">
              <w:rPr>
                <w:rFonts w:ascii="Calibri" w:hAnsi="Calibri" w:cs="Calibri"/>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37C1BAFD"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1E2F5B85"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158" w:type="dxa"/>
            <w:tcBorders>
              <w:top w:val="nil"/>
              <w:left w:val="nil"/>
              <w:bottom w:val="single" w:sz="4" w:space="0" w:color="auto"/>
              <w:right w:val="nil"/>
            </w:tcBorders>
            <w:shd w:val="clear" w:color="auto" w:fill="auto"/>
            <w:noWrap/>
            <w:vAlign w:val="bottom"/>
            <w:hideMark/>
          </w:tcPr>
          <w:p w14:paraId="19D6CE77"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242" w:type="dxa"/>
            <w:tcBorders>
              <w:top w:val="nil"/>
              <w:left w:val="nil"/>
              <w:bottom w:val="single" w:sz="4" w:space="0" w:color="auto"/>
              <w:right w:val="nil"/>
            </w:tcBorders>
            <w:shd w:val="clear" w:color="auto" w:fill="auto"/>
            <w:noWrap/>
            <w:vAlign w:val="bottom"/>
            <w:hideMark/>
          </w:tcPr>
          <w:p w14:paraId="60BB7A34"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c>
          <w:tcPr>
            <w:tcW w:w="1160" w:type="dxa"/>
            <w:tcBorders>
              <w:top w:val="nil"/>
              <w:left w:val="nil"/>
              <w:bottom w:val="single" w:sz="4" w:space="0" w:color="auto"/>
              <w:right w:val="nil"/>
            </w:tcBorders>
            <w:shd w:val="clear" w:color="auto" w:fill="auto"/>
            <w:noWrap/>
            <w:vAlign w:val="bottom"/>
            <w:hideMark/>
          </w:tcPr>
          <w:p w14:paraId="134C07F7" w14:textId="77777777" w:rsidR="00B24505" w:rsidRPr="00B24505" w:rsidRDefault="00B24505" w:rsidP="00B24505">
            <w:pPr>
              <w:jc w:val="right"/>
              <w:rPr>
                <w:rFonts w:ascii="Calibri" w:hAnsi="Calibri" w:cs="Calibri"/>
                <w:sz w:val="19"/>
                <w:szCs w:val="19"/>
                <w:lang w:eastAsia="en-AU"/>
              </w:rPr>
            </w:pPr>
            <w:r w:rsidRPr="00B24505">
              <w:rPr>
                <w:rFonts w:ascii="Calibri" w:hAnsi="Calibri" w:cs="Calibri"/>
                <w:sz w:val="19"/>
                <w:szCs w:val="19"/>
                <w:lang w:eastAsia="en-AU"/>
              </w:rPr>
              <w:t> </w:t>
            </w:r>
          </w:p>
        </w:tc>
      </w:tr>
      <w:tr w:rsidR="00B24505" w:rsidRPr="00B24505" w14:paraId="78782D87" w14:textId="77777777" w:rsidTr="004802F8">
        <w:trPr>
          <w:trHeight w:val="389"/>
        </w:trPr>
        <w:tc>
          <w:tcPr>
            <w:tcW w:w="8089" w:type="dxa"/>
            <w:gridSpan w:val="4"/>
            <w:tcBorders>
              <w:top w:val="nil"/>
              <w:left w:val="nil"/>
              <w:bottom w:val="nil"/>
              <w:right w:val="nil"/>
            </w:tcBorders>
            <w:shd w:val="clear" w:color="auto" w:fill="auto"/>
            <w:noWrap/>
            <w:vAlign w:val="bottom"/>
            <w:hideMark/>
          </w:tcPr>
          <w:p w14:paraId="6169778D" w14:textId="335012DD" w:rsidR="00B24505" w:rsidRPr="00B24505" w:rsidRDefault="00B24505" w:rsidP="00B24505">
            <w:pPr>
              <w:rPr>
                <w:rFonts w:ascii="Calibri" w:hAnsi="Calibri" w:cs="Calibri"/>
                <w:sz w:val="16"/>
                <w:szCs w:val="16"/>
                <w:lang w:eastAsia="en-AU"/>
              </w:rPr>
            </w:pPr>
          </w:p>
        </w:tc>
        <w:tc>
          <w:tcPr>
            <w:tcW w:w="1158" w:type="dxa"/>
            <w:tcBorders>
              <w:top w:val="nil"/>
              <w:left w:val="nil"/>
              <w:bottom w:val="nil"/>
              <w:right w:val="nil"/>
            </w:tcBorders>
            <w:shd w:val="clear" w:color="auto" w:fill="auto"/>
            <w:noWrap/>
            <w:vAlign w:val="bottom"/>
            <w:hideMark/>
          </w:tcPr>
          <w:p w14:paraId="261C33E4" w14:textId="77777777" w:rsidR="00B24505" w:rsidRPr="00B24505" w:rsidRDefault="00B24505" w:rsidP="00B24505">
            <w:pPr>
              <w:rPr>
                <w:rFonts w:ascii="Calibri" w:hAnsi="Calibri" w:cs="Calibri"/>
                <w:sz w:val="16"/>
                <w:szCs w:val="16"/>
                <w:lang w:eastAsia="en-AU"/>
              </w:rPr>
            </w:pPr>
          </w:p>
        </w:tc>
        <w:tc>
          <w:tcPr>
            <w:tcW w:w="1158" w:type="dxa"/>
            <w:tcBorders>
              <w:top w:val="nil"/>
              <w:left w:val="nil"/>
              <w:bottom w:val="nil"/>
              <w:right w:val="nil"/>
            </w:tcBorders>
            <w:shd w:val="clear" w:color="auto" w:fill="auto"/>
            <w:noWrap/>
            <w:vAlign w:val="bottom"/>
            <w:hideMark/>
          </w:tcPr>
          <w:p w14:paraId="22FF793D" w14:textId="77777777" w:rsidR="00B24505" w:rsidRPr="00B24505" w:rsidRDefault="00B24505" w:rsidP="00B24505">
            <w:pPr>
              <w:jc w:val="right"/>
              <w:rPr>
                <w:rFonts w:ascii="Times New Roman" w:hAnsi="Times New Roman"/>
                <w:sz w:val="20"/>
                <w:szCs w:val="20"/>
                <w:lang w:eastAsia="en-AU"/>
              </w:rPr>
            </w:pPr>
          </w:p>
        </w:tc>
        <w:tc>
          <w:tcPr>
            <w:tcW w:w="1158" w:type="dxa"/>
            <w:tcBorders>
              <w:top w:val="nil"/>
              <w:left w:val="nil"/>
              <w:bottom w:val="nil"/>
              <w:right w:val="nil"/>
            </w:tcBorders>
            <w:shd w:val="clear" w:color="auto" w:fill="auto"/>
            <w:noWrap/>
            <w:vAlign w:val="bottom"/>
            <w:hideMark/>
          </w:tcPr>
          <w:p w14:paraId="3DDAD09C" w14:textId="77777777" w:rsidR="00B24505" w:rsidRPr="00B24505" w:rsidRDefault="00B24505" w:rsidP="00B24505">
            <w:pPr>
              <w:jc w:val="right"/>
              <w:rPr>
                <w:rFonts w:ascii="Times New Roman" w:hAnsi="Times New Roman"/>
                <w:sz w:val="20"/>
                <w:szCs w:val="20"/>
                <w:lang w:eastAsia="en-AU"/>
              </w:rPr>
            </w:pPr>
          </w:p>
        </w:tc>
        <w:tc>
          <w:tcPr>
            <w:tcW w:w="1242" w:type="dxa"/>
            <w:tcBorders>
              <w:top w:val="nil"/>
              <w:left w:val="nil"/>
              <w:bottom w:val="nil"/>
              <w:right w:val="nil"/>
            </w:tcBorders>
            <w:shd w:val="clear" w:color="auto" w:fill="auto"/>
            <w:noWrap/>
            <w:vAlign w:val="bottom"/>
            <w:hideMark/>
          </w:tcPr>
          <w:p w14:paraId="0E81B409" w14:textId="77777777" w:rsidR="00B24505" w:rsidRPr="00B24505" w:rsidRDefault="00B24505" w:rsidP="00B24505">
            <w:pPr>
              <w:jc w:val="right"/>
              <w:rPr>
                <w:rFonts w:ascii="Times New Roman" w:hAnsi="Times New Roman"/>
                <w:sz w:val="20"/>
                <w:szCs w:val="20"/>
                <w:lang w:eastAsia="en-AU"/>
              </w:rPr>
            </w:pPr>
          </w:p>
        </w:tc>
        <w:tc>
          <w:tcPr>
            <w:tcW w:w="1160" w:type="dxa"/>
            <w:tcBorders>
              <w:top w:val="nil"/>
              <w:left w:val="nil"/>
              <w:bottom w:val="nil"/>
              <w:right w:val="nil"/>
            </w:tcBorders>
            <w:shd w:val="clear" w:color="auto" w:fill="auto"/>
            <w:noWrap/>
            <w:vAlign w:val="bottom"/>
            <w:hideMark/>
          </w:tcPr>
          <w:p w14:paraId="20E47C10" w14:textId="77777777" w:rsidR="00B24505" w:rsidRPr="00B24505" w:rsidRDefault="00B24505" w:rsidP="00B24505">
            <w:pPr>
              <w:jc w:val="right"/>
              <w:rPr>
                <w:rFonts w:ascii="Times New Roman" w:hAnsi="Times New Roman"/>
                <w:sz w:val="20"/>
                <w:szCs w:val="20"/>
                <w:lang w:eastAsia="en-AU"/>
              </w:rPr>
            </w:pPr>
          </w:p>
        </w:tc>
      </w:tr>
      <w:tr w:rsidR="00B24505" w:rsidRPr="00B24505" w14:paraId="0F096005" w14:textId="77777777" w:rsidTr="004802F8">
        <w:trPr>
          <w:trHeight w:val="275"/>
        </w:trPr>
        <w:tc>
          <w:tcPr>
            <w:tcW w:w="8089" w:type="dxa"/>
            <w:gridSpan w:val="4"/>
            <w:tcBorders>
              <w:top w:val="nil"/>
              <w:left w:val="nil"/>
              <w:bottom w:val="nil"/>
              <w:right w:val="nil"/>
            </w:tcBorders>
            <w:shd w:val="clear" w:color="auto" w:fill="auto"/>
            <w:noWrap/>
            <w:vAlign w:val="bottom"/>
            <w:hideMark/>
          </w:tcPr>
          <w:p w14:paraId="35778B54" w14:textId="77777777" w:rsidR="00B24505" w:rsidRPr="00B24505" w:rsidRDefault="00B24505" w:rsidP="00B24505">
            <w:pPr>
              <w:rPr>
                <w:rFonts w:ascii="Calibri" w:hAnsi="Calibri" w:cs="Calibri"/>
                <w:sz w:val="16"/>
                <w:szCs w:val="16"/>
                <w:lang w:eastAsia="en-AU"/>
              </w:rPr>
            </w:pPr>
            <w:r w:rsidRPr="00B24505">
              <w:rPr>
                <w:rFonts w:ascii="Calibri" w:hAnsi="Calibri" w:cs="Calibri"/>
                <w:sz w:val="16"/>
                <w:szCs w:val="16"/>
                <w:lang w:eastAsia="en-AU"/>
              </w:rPr>
              <w:t>Based on ABS catalogue 5368.0.55.003/4 and DFAT estimates.</w:t>
            </w:r>
          </w:p>
        </w:tc>
        <w:tc>
          <w:tcPr>
            <w:tcW w:w="1158" w:type="dxa"/>
            <w:tcBorders>
              <w:top w:val="nil"/>
              <w:left w:val="nil"/>
              <w:bottom w:val="nil"/>
              <w:right w:val="nil"/>
            </w:tcBorders>
            <w:shd w:val="clear" w:color="auto" w:fill="auto"/>
            <w:noWrap/>
            <w:vAlign w:val="bottom"/>
            <w:hideMark/>
          </w:tcPr>
          <w:p w14:paraId="4628F5F3" w14:textId="77777777" w:rsidR="00B24505" w:rsidRPr="00B24505" w:rsidRDefault="00B24505" w:rsidP="00B24505">
            <w:pPr>
              <w:rPr>
                <w:rFonts w:ascii="Calibri" w:hAnsi="Calibri" w:cs="Calibri"/>
                <w:sz w:val="16"/>
                <w:szCs w:val="16"/>
                <w:lang w:eastAsia="en-AU"/>
              </w:rPr>
            </w:pPr>
          </w:p>
        </w:tc>
        <w:tc>
          <w:tcPr>
            <w:tcW w:w="1158" w:type="dxa"/>
            <w:tcBorders>
              <w:top w:val="nil"/>
              <w:left w:val="nil"/>
              <w:bottom w:val="nil"/>
              <w:right w:val="nil"/>
            </w:tcBorders>
            <w:shd w:val="clear" w:color="auto" w:fill="auto"/>
            <w:noWrap/>
            <w:vAlign w:val="bottom"/>
            <w:hideMark/>
          </w:tcPr>
          <w:p w14:paraId="2C703C5A" w14:textId="77777777" w:rsidR="00B24505" w:rsidRPr="00B24505" w:rsidRDefault="00B24505" w:rsidP="00B24505">
            <w:pPr>
              <w:jc w:val="right"/>
              <w:rPr>
                <w:rFonts w:ascii="Times New Roman" w:hAnsi="Times New Roman"/>
                <w:sz w:val="20"/>
                <w:szCs w:val="20"/>
                <w:lang w:eastAsia="en-AU"/>
              </w:rPr>
            </w:pPr>
          </w:p>
        </w:tc>
        <w:tc>
          <w:tcPr>
            <w:tcW w:w="1158" w:type="dxa"/>
            <w:tcBorders>
              <w:top w:val="nil"/>
              <w:left w:val="nil"/>
              <w:bottom w:val="nil"/>
              <w:right w:val="nil"/>
            </w:tcBorders>
            <w:shd w:val="clear" w:color="auto" w:fill="auto"/>
            <w:noWrap/>
            <w:vAlign w:val="bottom"/>
            <w:hideMark/>
          </w:tcPr>
          <w:p w14:paraId="68C810B3" w14:textId="77777777" w:rsidR="00B24505" w:rsidRPr="00B24505" w:rsidRDefault="00B24505" w:rsidP="00B24505">
            <w:pPr>
              <w:jc w:val="right"/>
              <w:rPr>
                <w:rFonts w:ascii="Times New Roman" w:hAnsi="Times New Roman"/>
                <w:sz w:val="20"/>
                <w:szCs w:val="20"/>
                <w:lang w:eastAsia="en-AU"/>
              </w:rPr>
            </w:pPr>
          </w:p>
        </w:tc>
        <w:tc>
          <w:tcPr>
            <w:tcW w:w="1242" w:type="dxa"/>
            <w:tcBorders>
              <w:top w:val="nil"/>
              <w:left w:val="nil"/>
              <w:bottom w:val="nil"/>
              <w:right w:val="nil"/>
            </w:tcBorders>
            <w:shd w:val="clear" w:color="auto" w:fill="auto"/>
            <w:noWrap/>
            <w:vAlign w:val="bottom"/>
            <w:hideMark/>
          </w:tcPr>
          <w:p w14:paraId="5E359238" w14:textId="77777777" w:rsidR="00B24505" w:rsidRPr="00B24505" w:rsidRDefault="00B24505" w:rsidP="00B24505">
            <w:pPr>
              <w:jc w:val="right"/>
              <w:rPr>
                <w:rFonts w:ascii="Times New Roman" w:hAnsi="Times New Roman"/>
                <w:sz w:val="20"/>
                <w:szCs w:val="20"/>
                <w:lang w:eastAsia="en-AU"/>
              </w:rPr>
            </w:pPr>
          </w:p>
        </w:tc>
        <w:tc>
          <w:tcPr>
            <w:tcW w:w="1160" w:type="dxa"/>
            <w:tcBorders>
              <w:top w:val="nil"/>
              <w:left w:val="nil"/>
              <w:bottom w:val="nil"/>
              <w:right w:val="nil"/>
            </w:tcBorders>
            <w:shd w:val="clear" w:color="auto" w:fill="auto"/>
            <w:noWrap/>
            <w:vAlign w:val="bottom"/>
            <w:hideMark/>
          </w:tcPr>
          <w:p w14:paraId="48375D76" w14:textId="77777777" w:rsidR="00B24505" w:rsidRPr="00B24505" w:rsidRDefault="00B24505" w:rsidP="00B24505">
            <w:pPr>
              <w:jc w:val="right"/>
              <w:rPr>
                <w:rFonts w:ascii="Times New Roman" w:hAnsi="Times New Roman"/>
                <w:sz w:val="20"/>
                <w:szCs w:val="20"/>
                <w:lang w:eastAsia="en-AU"/>
              </w:rPr>
            </w:pPr>
          </w:p>
        </w:tc>
      </w:tr>
    </w:tbl>
    <w:p w14:paraId="6C482BD6" w14:textId="799EE9B4" w:rsidR="00B24505" w:rsidRPr="00F92C6F" w:rsidRDefault="00B24505" w:rsidP="00DA5E1D">
      <w:pPr>
        <w:rPr>
          <w:b/>
          <w:bCs/>
          <w:sz w:val="24"/>
          <w:szCs w:val="24"/>
        </w:rPr>
        <w:sectPr w:rsidR="00B24505" w:rsidRPr="00F92C6F" w:rsidSect="008670F9">
          <w:pgSz w:w="16838" w:h="11906" w:orient="landscape"/>
          <w:pgMar w:top="1440" w:right="1440" w:bottom="1440" w:left="1440" w:header="708" w:footer="708" w:gutter="0"/>
          <w:cols w:space="708"/>
          <w:docGrid w:linePitch="360"/>
        </w:sectPr>
      </w:pPr>
    </w:p>
    <w:tbl>
      <w:tblPr>
        <w:tblW w:w="9072" w:type="dxa"/>
        <w:tblLook w:val="04A0" w:firstRow="1" w:lastRow="0" w:firstColumn="1" w:lastColumn="0" w:noHBand="0" w:noVBand="1"/>
      </w:tblPr>
      <w:tblGrid>
        <w:gridCol w:w="9072"/>
      </w:tblGrid>
      <w:tr w:rsidR="002A6B8B" w:rsidRPr="0092152D" w14:paraId="61B9048F" w14:textId="77777777" w:rsidTr="00192530">
        <w:trPr>
          <w:trHeight w:val="315"/>
        </w:trPr>
        <w:tc>
          <w:tcPr>
            <w:tcW w:w="9072" w:type="dxa"/>
            <w:tcBorders>
              <w:top w:val="nil"/>
              <w:left w:val="nil"/>
              <w:bottom w:val="nil"/>
              <w:right w:val="nil"/>
            </w:tcBorders>
            <w:shd w:val="clear" w:color="auto" w:fill="auto"/>
            <w:noWrap/>
            <w:vAlign w:val="bottom"/>
            <w:hideMark/>
          </w:tcPr>
          <w:p w14:paraId="2CB2C840" w14:textId="77777777" w:rsidR="002A6B8B" w:rsidRPr="0092152D" w:rsidRDefault="002A6B8B" w:rsidP="00192530">
            <w:pPr>
              <w:jc w:val="center"/>
              <w:rPr>
                <w:rFonts w:ascii="Calibri" w:hAnsi="Calibri" w:cs="Calibri"/>
                <w:b/>
                <w:bCs/>
                <w:sz w:val="24"/>
                <w:szCs w:val="24"/>
                <w:lang w:eastAsia="en-AU"/>
              </w:rPr>
            </w:pPr>
            <w:r w:rsidRPr="0092152D">
              <w:rPr>
                <w:rFonts w:ascii="Calibri" w:hAnsi="Calibri" w:cs="Calibri"/>
                <w:b/>
                <w:bCs/>
                <w:sz w:val="24"/>
                <w:szCs w:val="24"/>
                <w:lang w:eastAsia="en-AU"/>
              </w:rPr>
              <w:lastRenderedPageBreak/>
              <w:t>AUSTRALIA'S TRADE IN GOODS AND SERVICES</w:t>
            </w:r>
          </w:p>
        </w:tc>
      </w:tr>
      <w:tr w:rsidR="002A6B8B" w:rsidRPr="0092152D" w14:paraId="5B7AE4E4" w14:textId="77777777" w:rsidTr="00192530">
        <w:trPr>
          <w:trHeight w:val="315"/>
        </w:trPr>
        <w:tc>
          <w:tcPr>
            <w:tcW w:w="9072" w:type="dxa"/>
            <w:tcBorders>
              <w:top w:val="nil"/>
              <w:left w:val="nil"/>
              <w:bottom w:val="nil"/>
              <w:right w:val="nil"/>
            </w:tcBorders>
            <w:shd w:val="clear" w:color="auto" w:fill="auto"/>
            <w:noWrap/>
            <w:vAlign w:val="bottom"/>
            <w:hideMark/>
          </w:tcPr>
          <w:p w14:paraId="11F0BC77" w14:textId="77777777" w:rsidR="002A6B8B" w:rsidRPr="0092152D" w:rsidRDefault="002A6B8B" w:rsidP="00192530">
            <w:pPr>
              <w:jc w:val="center"/>
              <w:rPr>
                <w:rFonts w:ascii="Calibri" w:hAnsi="Calibri" w:cs="Calibri"/>
                <w:b/>
                <w:bCs/>
                <w:sz w:val="24"/>
                <w:szCs w:val="24"/>
                <w:lang w:eastAsia="en-AU"/>
              </w:rPr>
            </w:pPr>
            <w:r>
              <w:rPr>
                <w:rFonts w:ascii="Calibri" w:hAnsi="Calibri" w:cs="Calibri"/>
                <w:b/>
                <w:bCs/>
                <w:sz w:val="24"/>
                <w:szCs w:val="24"/>
                <w:lang w:eastAsia="en-AU"/>
              </w:rPr>
              <w:t>(</w:t>
            </w:r>
            <w:r w:rsidRPr="0092152D">
              <w:rPr>
                <w:rFonts w:ascii="Calibri" w:hAnsi="Calibri" w:cs="Calibri"/>
                <w:b/>
                <w:bCs/>
                <w:sz w:val="24"/>
                <w:szCs w:val="24"/>
                <w:lang w:eastAsia="en-AU"/>
              </w:rPr>
              <w:t>A$ million</w:t>
            </w:r>
            <w:r>
              <w:rPr>
                <w:rFonts w:ascii="Calibri" w:hAnsi="Calibri" w:cs="Calibri"/>
                <w:b/>
                <w:bCs/>
                <w:sz w:val="24"/>
                <w:szCs w:val="24"/>
                <w:lang w:eastAsia="en-AU"/>
              </w:rPr>
              <w:t>, current prices</w:t>
            </w:r>
            <w:r w:rsidRPr="0092152D">
              <w:rPr>
                <w:rFonts w:ascii="Calibri" w:hAnsi="Calibri" w:cs="Calibri"/>
                <w:b/>
                <w:bCs/>
                <w:sz w:val="24"/>
                <w:szCs w:val="24"/>
                <w:lang w:eastAsia="en-AU"/>
              </w:rPr>
              <w:t>)</w:t>
            </w:r>
          </w:p>
        </w:tc>
      </w:tr>
    </w:tbl>
    <w:p w14:paraId="14ABD97F" w14:textId="77777777" w:rsidR="002A6B8B" w:rsidRPr="009E7911" w:rsidRDefault="002A6B8B" w:rsidP="002A6B8B">
      <w:pPr>
        <w:rPr>
          <w:rFonts w:ascii="Calibri" w:hAnsi="Calibri" w:cs="Calibri"/>
          <w:b/>
          <w:bCs/>
          <w:color w:val="000000"/>
          <w:sz w:val="24"/>
          <w:szCs w:val="24"/>
          <w:lang w:eastAsia="en-AU"/>
        </w:rPr>
      </w:pPr>
    </w:p>
    <w:tbl>
      <w:tblPr>
        <w:tblW w:w="5000" w:type="pct"/>
        <w:tblLayout w:type="fixed"/>
        <w:tblLook w:val="04A0" w:firstRow="1" w:lastRow="0" w:firstColumn="1" w:lastColumn="0" w:noHBand="0" w:noVBand="1"/>
      </w:tblPr>
      <w:tblGrid>
        <w:gridCol w:w="689"/>
        <w:gridCol w:w="949"/>
        <w:gridCol w:w="949"/>
        <w:gridCol w:w="950"/>
        <w:gridCol w:w="950"/>
        <w:gridCol w:w="950"/>
        <w:gridCol w:w="951"/>
        <w:gridCol w:w="246"/>
        <w:gridCol w:w="854"/>
        <w:gridCol w:w="832"/>
        <w:gridCol w:w="706"/>
      </w:tblGrid>
      <w:tr w:rsidR="002A6B8B" w:rsidRPr="003A253C" w14:paraId="2B5376EF" w14:textId="77777777" w:rsidTr="00192530">
        <w:trPr>
          <w:trHeight w:val="300"/>
        </w:trPr>
        <w:tc>
          <w:tcPr>
            <w:tcW w:w="5000" w:type="pct"/>
            <w:gridSpan w:val="11"/>
            <w:tcBorders>
              <w:top w:val="nil"/>
              <w:left w:val="nil"/>
              <w:bottom w:val="nil"/>
              <w:right w:val="nil"/>
            </w:tcBorders>
            <w:shd w:val="clear" w:color="000000" w:fill="000000"/>
            <w:noWrap/>
            <w:vAlign w:val="center"/>
            <w:hideMark/>
          </w:tcPr>
          <w:p w14:paraId="1FC3885F" w14:textId="71138FD6" w:rsidR="002A6B8B" w:rsidRPr="00DD08EE" w:rsidRDefault="002A6B8B" w:rsidP="00192530">
            <w:pPr>
              <w:rPr>
                <w:rFonts w:ascii="Calibri" w:hAnsi="Calibri" w:cs="Calibri"/>
                <w:b/>
                <w:bCs/>
                <w:color w:val="65C5B4"/>
                <w:lang w:eastAsia="en-AU"/>
              </w:rPr>
            </w:pPr>
            <w:r w:rsidRPr="00DD08EE">
              <w:rPr>
                <w:rFonts w:ascii="Calibri" w:hAnsi="Calibri" w:cs="Calibri"/>
                <w:b/>
                <w:bCs/>
                <w:lang w:eastAsia="en-AU"/>
              </w:rPr>
              <w:t xml:space="preserve">Table </w:t>
            </w:r>
            <w:r>
              <w:rPr>
                <w:rFonts w:ascii="Calibri" w:hAnsi="Calibri" w:cs="Calibri"/>
                <w:b/>
                <w:bCs/>
                <w:lang w:eastAsia="en-AU"/>
              </w:rPr>
              <w:t>2</w:t>
            </w:r>
            <w:r w:rsidRPr="00DD08EE">
              <w:rPr>
                <w:rFonts w:ascii="Calibri" w:hAnsi="Calibri" w:cs="Calibri"/>
                <w:b/>
                <w:bCs/>
                <w:lang w:eastAsia="en-AU"/>
              </w:rPr>
              <w:t>: Australia's total two-way trade with the United Kingdom, annual, 2015-2020</w:t>
            </w:r>
          </w:p>
        </w:tc>
      </w:tr>
      <w:tr w:rsidR="002A6B8B" w:rsidRPr="003A253C" w14:paraId="3A6A5E00" w14:textId="77777777" w:rsidTr="00192530">
        <w:trPr>
          <w:trHeight w:val="300"/>
        </w:trPr>
        <w:tc>
          <w:tcPr>
            <w:tcW w:w="382" w:type="pct"/>
            <w:tcBorders>
              <w:top w:val="nil"/>
              <w:left w:val="nil"/>
              <w:bottom w:val="nil"/>
              <w:right w:val="nil"/>
            </w:tcBorders>
            <w:shd w:val="clear" w:color="auto" w:fill="B4C6E7" w:themeFill="accent1" w:themeFillTint="66"/>
            <w:noWrap/>
            <w:vAlign w:val="center"/>
            <w:hideMark/>
          </w:tcPr>
          <w:p w14:paraId="3C06812C"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center"/>
          </w:tcPr>
          <w:p w14:paraId="6096405C"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center"/>
          </w:tcPr>
          <w:p w14:paraId="7F2FFF48"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6F6162A4"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06122697"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015F2FD3"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center"/>
          </w:tcPr>
          <w:p w14:paraId="3BBA5146"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center"/>
            <w:hideMark/>
          </w:tcPr>
          <w:p w14:paraId="75CCB6EE"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center"/>
            <w:hideMark/>
          </w:tcPr>
          <w:p w14:paraId="4992BF39"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851" w:type="pct"/>
            <w:gridSpan w:val="2"/>
            <w:tcBorders>
              <w:top w:val="nil"/>
              <w:left w:val="nil"/>
              <w:bottom w:val="single" w:sz="4" w:space="0" w:color="FFFFFF"/>
              <w:right w:val="nil"/>
            </w:tcBorders>
            <w:shd w:val="clear" w:color="auto" w:fill="B4C6E7" w:themeFill="accent1" w:themeFillTint="66"/>
            <w:noWrap/>
            <w:vAlign w:val="center"/>
            <w:hideMark/>
          </w:tcPr>
          <w:p w14:paraId="1DBEC3CD" w14:textId="77777777" w:rsidR="002A6B8B" w:rsidRPr="000B1F3B" w:rsidRDefault="002A6B8B" w:rsidP="00192530">
            <w:pPr>
              <w:jc w:val="center"/>
              <w:rPr>
                <w:rFonts w:ascii="Calibri" w:hAnsi="Calibri" w:cs="Calibri"/>
                <w:b/>
                <w:bCs/>
                <w:sz w:val="20"/>
                <w:szCs w:val="20"/>
                <w:lang w:eastAsia="en-AU"/>
              </w:rPr>
            </w:pPr>
            <w:r w:rsidRPr="000B1F3B">
              <w:rPr>
                <w:rFonts w:ascii="Calibri" w:hAnsi="Calibri" w:cs="Calibri"/>
                <w:b/>
                <w:bCs/>
                <w:sz w:val="20"/>
                <w:szCs w:val="20"/>
                <w:lang w:eastAsia="en-AU"/>
              </w:rPr>
              <w:t>% growth</w:t>
            </w:r>
          </w:p>
        </w:tc>
      </w:tr>
      <w:tr w:rsidR="002A6B8B" w:rsidRPr="003A253C" w14:paraId="48EF2270" w14:textId="77777777" w:rsidTr="00192530">
        <w:trPr>
          <w:trHeight w:val="300"/>
        </w:trPr>
        <w:tc>
          <w:tcPr>
            <w:tcW w:w="382" w:type="pct"/>
            <w:tcBorders>
              <w:top w:val="nil"/>
              <w:left w:val="nil"/>
              <w:bottom w:val="nil"/>
              <w:right w:val="nil"/>
            </w:tcBorders>
            <w:shd w:val="clear" w:color="auto" w:fill="B4C6E7" w:themeFill="accent1" w:themeFillTint="66"/>
            <w:noWrap/>
            <w:vAlign w:val="bottom"/>
            <w:hideMark/>
          </w:tcPr>
          <w:p w14:paraId="1DA4E744"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bottom"/>
          </w:tcPr>
          <w:p w14:paraId="5A48D732"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bottom"/>
          </w:tcPr>
          <w:p w14:paraId="37747B8C"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0AB4704C"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4744BD32"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331AF9BC"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bottom"/>
          </w:tcPr>
          <w:p w14:paraId="2CEB8195"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bottom"/>
            <w:hideMark/>
          </w:tcPr>
          <w:p w14:paraId="61D6F443"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bottom"/>
            <w:hideMark/>
          </w:tcPr>
          <w:p w14:paraId="0E65A4F4"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 xml:space="preserve">2020 </w:t>
            </w:r>
            <w:r w:rsidRPr="000B1F3B">
              <w:rPr>
                <w:rFonts w:ascii="Calibri" w:hAnsi="Calibri" w:cs="Calibri"/>
                <w:b/>
                <w:bCs/>
                <w:sz w:val="20"/>
                <w:szCs w:val="20"/>
                <w:lang w:eastAsia="en-AU"/>
              </w:rPr>
              <w:t>% share</w:t>
            </w:r>
          </w:p>
        </w:tc>
        <w:tc>
          <w:tcPr>
            <w:tcW w:w="461" w:type="pct"/>
            <w:tcBorders>
              <w:top w:val="nil"/>
              <w:left w:val="nil"/>
              <w:bottom w:val="nil"/>
              <w:right w:val="nil"/>
            </w:tcBorders>
            <w:shd w:val="clear" w:color="auto" w:fill="B4C6E7" w:themeFill="accent1" w:themeFillTint="66"/>
            <w:noWrap/>
            <w:vAlign w:val="bottom"/>
            <w:hideMark/>
          </w:tcPr>
          <w:p w14:paraId="6C75ECB8"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2019 to</w:t>
            </w:r>
          </w:p>
        </w:tc>
        <w:tc>
          <w:tcPr>
            <w:tcW w:w="390" w:type="pct"/>
            <w:tcBorders>
              <w:top w:val="nil"/>
              <w:left w:val="nil"/>
              <w:bottom w:val="nil"/>
              <w:right w:val="nil"/>
            </w:tcBorders>
            <w:shd w:val="clear" w:color="auto" w:fill="B4C6E7" w:themeFill="accent1" w:themeFillTint="66"/>
            <w:noWrap/>
            <w:vAlign w:val="bottom"/>
            <w:hideMark/>
          </w:tcPr>
          <w:p w14:paraId="03074502"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5 year</w:t>
            </w:r>
          </w:p>
        </w:tc>
      </w:tr>
      <w:tr w:rsidR="002A6B8B" w:rsidRPr="003A253C" w14:paraId="3CCDE684" w14:textId="77777777" w:rsidTr="00192530">
        <w:trPr>
          <w:trHeight w:val="300"/>
        </w:trPr>
        <w:tc>
          <w:tcPr>
            <w:tcW w:w="382" w:type="pct"/>
            <w:tcBorders>
              <w:top w:val="nil"/>
              <w:left w:val="nil"/>
              <w:bottom w:val="single" w:sz="4" w:space="0" w:color="auto"/>
              <w:right w:val="nil"/>
            </w:tcBorders>
            <w:shd w:val="clear" w:color="auto" w:fill="B4C6E7" w:themeFill="accent1" w:themeFillTint="66"/>
            <w:noWrap/>
            <w:hideMark/>
          </w:tcPr>
          <w:p w14:paraId="1908EBD3"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Rank</w:t>
            </w:r>
          </w:p>
        </w:tc>
        <w:tc>
          <w:tcPr>
            <w:tcW w:w="526" w:type="pct"/>
            <w:tcBorders>
              <w:left w:val="nil"/>
              <w:bottom w:val="single" w:sz="4" w:space="0" w:color="auto"/>
              <w:right w:val="nil"/>
            </w:tcBorders>
            <w:shd w:val="clear" w:color="auto" w:fill="B4C6E7" w:themeFill="accent1" w:themeFillTint="66"/>
            <w:noWrap/>
          </w:tcPr>
          <w:p w14:paraId="064BAC90"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2015</w:t>
            </w:r>
          </w:p>
        </w:tc>
        <w:tc>
          <w:tcPr>
            <w:tcW w:w="526" w:type="pct"/>
            <w:tcBorders>
              <w:left w:val="nil"/>
              <w:bottom w:val="single" w:sz="4" w:space="0" w:color="auto"/>
              <w:right w:val="nil"/>
            </w:tcBorders>
            <w:shd w:val="clear" w:color="auto" w:fill="B4C6E7" w:themeFill="accent1" w:themeFillTint="66"/>
          </w:tcPr>
          <w:p w14:paraId="2027B88D"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2016</w:t>
            </w:r>
          </w:p>
        </w:tc>
        <w:tc>
          <w:tcPr>
            <w:tcW w:w="526" w:type="pct"/>
            <w:tcBorders>
              <w:top w:val="nil"/>
              <w:left w:val="nil"/>
              <w:bottom w:val="single" w:sz="4" w:space="0" w:color="auto"/>
              <w:right w:val="nil"/>
            </w:tcBorders>
            <w:shd w:val="clear" w:color="auto" w:fill="B4C6E7" w:themeFill="accent1" w:themeFillTint="66"/>
            <w:noWrap/>
          </w:tcPr>
          <w:p w14:paraId="2EDFC174"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2017</w:t>
            </w:r>
          </w:p>
        </w:tc>
        <w:tc>
          <w:tcPr>
            <w:tcW w:w="526" w:type="pct"/>
            <w:tcBorders>
              <w:top w:val="nil"/>
              <w:left w:val="nil"/>
              <w:bottom w:val="single" w:sz="4" w:space="0" w:color="auto"/>
              <w:right w:val="nil"/>
            </w:tcBorders>
            <w:shd w:val="clear" w:color="auto" w:fill="B4C6E7" w:themeFill="accent1" w:themeFillTint="66"/>
            <w:noWrap/>
          </w:tcPr>
          <w:p w14:paraId="590D5CE0"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2018</w:t>
            </w:r>
          </w:p>
        </w:tc>
        <w:tc>
          <w:tcPr>
            <w:tcW w:w="526" w:type="pct"/>
            <w:tcBorders>
              <w:top w:val="nil"/>
              <w:left w:val="nil"/>
              <w:bottom w:val="single" w:sz="4" w:space="0" w:color="auto"/>
              <w:right w:val="nil"/>
            </w:tcBorders>
            <w:shd w:val="clear" w:color="auto" w:fill="B4C6E7" w:themeFill="accent1" w:themeFillTint="66"/>
            <w:noWrap/>
          </w:tcPr>
          <w:p w14:paraId="70B0E021"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2019</w:t>
            </w:r>
          </w:p>
        </w:tc>
        <w:tc>
          <w:tcPr>
            <w:tcW w:w="527" w:type="pct"/>
            <w:tcBorders>
              <w:top w:val="nil"/>
              <w:left w:val="nil"/>
              <w:bottom w:val="single" w:sz="4" w:space="0" w:color="auto"/>
              <w:right w:val="nil"/>
            </w:tcBorders>
            <w:shd w:val="clear" w:color="auto" w:fill="B4C6E7" w:themeFill="accent1" w:themeFillTint="66"/>
            <w:noWrap/>
          </w:tcPr>
          <w:p w14:paraId="4C933B43"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2020</w:t>
            </w:r>
          </w:p>
        </w:tc>
        <w:tc>
          <w:tcPr>
            <w:tcW w:w="136" w:type="pct"/>
            <w:tcBorders>
              <w:top w:val="nil"/>
              <w:left w:val="nil"/>
              <w:bottom w:val="single" w:sz="4" w:space="0" w:color="auto"/>
              <w:right w:val="nil"/>
            </w:tcBorders>
            <w:shd w:val="clear" w:color="auto" w:fill="B4C6E7" w:themeFill="accent1" w:themeFillTint="66"/>
            <w:noWrap/>
            <w:hideMark/>
          </w:tcPr>
          <w:p w14:paraId="47555B1F"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single" w:sz="4" w:space="0" w:color="auto"/>
              <w:right w:val="nil"/>
            </w:tcBorders>
            <w:shd w:val="clear" w:color="auto" w:fill="B4C6E7" w:themeFill="accent1" w:themeFillTint="66"/>
            <w:noWrap/>
            <w:hideMark/>
          </w:tcPr>
          <w:p w14:paraId="30958FAD"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of total</w:t>
            </w:r>
          </w:p>
        </w:tc>
        <w:tc>
          <w:tcPr>
            <w:tcW w:w="461" w:type="pct"/>
            <w:tcBorders>
              <w:top w:val="nil"/>
              <w:left w:val="nil"/>
              <w:bottom w:val="single" w:sz="4" w:space="0" w:color="auto"/>
              <w:right w:val="nil"/>
            </w:tcBorders>
            <w:shd w:val="clear" w:color="auto" w:fill="B4C6E7" w:themeFill="accent1" w:themeFillTint="66"/>
            <w:noWrap/>
            <w:hideMark/>
          </w:tcPr>
          <w:p w14:paraId="74B5AA66"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2020</w:t>
            </w:r>
          </w:p>
        </w:tc>
        <w:tc>
          <w:tcPr>
            <w:tcW w:w="390" w:type="pct"/>
            <w:tcBorders>
              <w:top w:val="nil"/>
              <w:left w:val="nil"/>
              <w:bottom w:val="single" w:sz="4" w:space="0" w:color="auto"/>
              <w:right w:val="nil"/>
            </w:tcBorders>
            <w:shd w:val="clear" w:color="auto" w:fill="B4C6E7" w:themeFill="accent1" w:themeFillTint="66"/>
            <w:noWrap/>
            <w:hideMark/>
          </w:tcPr>
          <w:p w14:paraId="785700FD"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trend</w:t>
            </w:r>
          </w:p>
        </w:tc>
      </w:tr>
      <w:tr w:rsidR="002A6B8B" w:rsidRPr="003A253C" w14:paraId="587C065C" w14:textId="77777777" w:rsidTr="00192530">
        <w:trPr>
          <w:trHeight w:val="263"/>
        </w:trPr>
        <w:tc>
          <w:tcPr>
            <w:tcW w:w="382" w:type="pct"/>
            <w:tcBorders>
              <w:top w:val="nil"/>
              <w:left w:val="nil"/>
              <w:bottom w:val="single" w:sz="4" w:space="0" w:color="auto"/>
              <w:right w:val="nil"/>
            </w:tcBorders>
            <w:shd w:val="clear" w:color="auto" w:fill="auto"/>
            <w:noWrap/>
            <w:vAlign w:val="bottom"/>
            <w:hideMark/>
          </w:tcPr>
          <w:p w14:paraId="4211327D" w14:textId="77777777" w:rsidR="002A6B8B" w:rsidRPr="003A253C" w:rsidRDefault="002A6B8B" w:rsidP="00192530">
            <w:pPr>
              <w:jc w:val="both"/>
              <w:rPr>
                <w:rFonts w:ascii="Calibri Light" w:hAnsi="Calibri Light" w:cs="Calibri Light"/>
                <w:sz w:val="19"/>
                <w:szCs w:val="19"/>
                <w:lang w:eastAsia="en-AU"/>
              </w:rPr>
            </w:pPr>
            <w:r>
              <w:rPr>
                <w:rFonts w:ascii="Calibri Light" w:hAnsi="Calibri Light" w:cs="Calibri Light"/>
                <w:sz w:val="19"/>
                <w:szCs w:val="19"/>
                <w:lang w:eastAsia="en-AU"/>
              </w:rPr>
              <w:t>5</w:t>
            </w:r>
          </w:p>
        </w:tc>
        <w:tc>
          <w:tcPr>
            <w:tcW w:w="526" w:type="pct"/>
            <w:tcBorders>
              <w:top w:val="nil"/>
              <w:left w:val="nil"/>
              <w:bottom w:val="single" w:sz="4" w:space="0" w:color="auto"/>
              <w:right w:val="nil"/>
            </w:tcBorders>
            <w:shd w:val="clear" w:color="auto" w:fill="auto"/>
            <w:vAlign w:val="bottom"/>
          </w:tcPr>
          <w:p w14:paraId="28CACBC4" w14:textId="77777777" w:rsidR="002A6B8B" w:rsidRPr="003A253C" w:rsidRDefault="002A6B8B" w:rsidP="00192530">
            <w:pPr>
              <w:jc w:val="right"/>
              <w:rPr>
                <w:rFonts w:ascii="Calibri Light" w:hAnsi="Calibri Light" w:cs="Calibri Light"/>
                <w:sz w:val="19"/>
                <w:szCs w:val="19"/>
                <w:lang w:eastAsia="en-AU"/>
              </w:rPr>
            </w:pPr>
            <w:r>
              <w:rPr>
                <w:rFonts w:ascii="Calibri Light" w:hAnsi="Calibri Light" w:cs="Calibri Light"/>
                <w:sz w:val="19"/>
                <w:szCs w:val="19"/>
                <w:lang w:eastAsia="en-AU"/>
              </w:rPr>
              <w:t>24,563</w:t>
            </w:r>
          </w:p>
        </w:tc>
        <w:tc>
          <w:tcPr>
            <w:tcW w:w="526" w:type="pct"/>
            <w:tcBorders>
              <w:top w:val="single" w:sz="4" w:space="0" w:color="auto"/>
              <w:left w:val="nil"/>
              <w:bottom w:val="single" w:sz="4" w:space="0" w:color="auto"/>
              <w:right w:val="nil"/>
            </w:tcBorders>
            <w:shd w:val="clear" w:color="auto" w:fill="auto"/>
            <w:noWrap/>
            <w:vAlign w:val="bottom"/>
            <w:hideMark/>
          </w:tcPr>
          <w:p w14:paraId="06F7D654" w14:textId="77777777" w:rsidR="002A6B8B" w:rsidRPr="003A253C" w:rsidRDefault="002A6B8B" w:rsidP="00192530">
            <w:pPr>
              <w:jc w:val="right"/>
              <w:rPr>
                <w:rFonts w:ascii="Calibri Light" w:hAnsi="Calibri Light" w:cs="Calibri Light"/>
                <w:color w:val="000000"/>
                <w:sz w:val="19"/>
                <w:szCs w:val="19"/>
                <w:lang w:eastAsia="en-AU"/>
              </w:rPr>
            </w:pPr>
            <w:r w:rsidRPr="005C6A0B">
              <w:rPr>
                <w:rFonts w:ascii="Calibri Light" w:hAnsi="Calibri Light" w:cs="Calibri Light"/>
                <w:color w:val="000000"/>
                <w:sz w:val="19"/>
                <w:szCs w:val="19"/>
                <w:lang w:eastAsia="en-AU"/>
              </w:rPr>
              <w:t>30,468</w:t>
            </w:r>
          </w:p>
        </w:tc>
        <w:tc>
          <w:tcPr>
            <w:tcW w:w="526" w:type="pct"/>
            <w:tcBorders>
              <w:top w:val="single" w:sz="4" w:space="0" w:color="auto"/>
              <w:left w:val="nil"/>
              <w:bottom w:val="single" w:sz="4" w:space="0" w:color="auto"/>
              <w:right w:val="nil"/>
            </w:tcBorders>
            <w:shd w:val="clear" w:color="auto" w:fill="auto"/>
            <w:vAlign w:val="bottom"/>
          </w:tcPr>
          <w:p w14:paraId="6CE609DD" w14:textId="77777777" w:rsidR="002A6B8B" w:rsidRPr="003A253C" w:rsidRDefault="002A6B8B" w:rsidP="00192530">
            <w:pPr>
              <w:jc w:val="right"/>
              <w:rPr>
                <w:rFonts w:ascii="Calibri Light" w:hAnsi="Calibri Light" w:cs="Calibri Light"/>
                <w:color w:val="000000"/>
                <w:sz w:val="19"/>
                <w:szCs w:val="19"/>
                <w:lang w:eastAsia="en-AU"/>
              </w:rPr>
            </w:pPr>
            <w:r>
              <w:rPr>
                <w:rFonts w:ascii="Calibri Light" w:hAnsi="Calibri Light" w:cs="Calibri Light"/>
                <w:color w:val="000000"/>
                <w:sz w:val="19"/>
                <w:szCs w:val="19"/>
                <w:lang w:eastAsia="en-AU"/>
              </w:rPr>
              <w:t>27,377</w:t>
            </w:r>
          </w:p>
        </w:tc>
        <w:tc>
          <w:tcPr>
            <w:tcW w:w="526" w:type="pct"/>
            <w:tcBorders>
              <w:top w:val="nil"/>
              <w:left w:val="nil"/>
              <w:bottom w:val="single" w:sz="4" w:space="0" w:color="auto"/>
              <w:right w:val="nil"/>
            </w:tcBorders>
            <w:shd w:val="clear" w:color="auto" w:fill="auto"/>
            <w:noWrap/>
            <w:vAlign w:val="bottom"/>
            <w:hideMark/>
          </w:tcPr>
          <w:p w14:paraId="501549B6" w14:textId="77777777" w:rsidR="002A6B8B" w:rsidRPr="003A253C" w:rsidRDefault="002A6B8B" w:rsidP="00192530">
            <w:pPr>
              <w:jc w:val="right"/>
              <w:rPr>
                <w:rFonts w:ascii="Calibri Light" w:hAnsi="Calibri Light" w:cs="Calibri Light"/>
                <w:sz w:val="19"/>
                <w:szCs w:val="19"/>
                <w:lang w:eastAsia="en-AU"/>
              </w:rPr>
            </w:pPr>
            <w:r w:rsidRPr="003A253C">
              <w:rPr>
                <w:rFonts w:ascii="Calibri Light" w:hAnsi="Calibri Light" w:cs="Calibri Light"/>
                <w:sz w:val="19"/>
                <w:szCs w:val="19"/>
                <w:lang w:eastAsia="en-AU"/>
              </w:rPr>
              <w:t>27,212</w:t>
            </w:r>
          </w:p>
        </w:tc>
        <w:tc>
          <w:tcPr>
            <w:tcW w:w="526" w:type="pct"/>
            <w:tcBorders>
              <w:top w:val="nil"/>
              <w:left w:val="nil"/>
              <w:bottom w:val="single" w:sz="4" w:space="0" w:color="auto"/>
              <w:right w:val="nil"/>
            </w:tcBorders>
            <w:shd w:val="clear" w:color="auto" w:fill="auto"/>
            <w:noWrap/>
            <w:vAlign w:val="bottom"/>
            <w:hideMark/>
          </w:tcPr>
          <w:p w14:paraId="5BB9B0A5" w14:textId="77777777" w:rsidR="002A6B8B" w:rsidRPr="003A253C" w:rsidRDefault="002A6B8B" w:rsidP="00192530">
            <w:pPr>
              <w:jc w:val="right"/>
              <w:rPr>
                <w:rFonts w:ascii="Calibri Light" w:hAnsi="Calibri Light" w:cs="Calibri Light"/>
                <w:sz w:val="19"/>
                <w:szCs w:val="19"/>
                <w:lang w:eastAsia="en-AU"/>
              </w:rPr>
            </w:pPr>
            <w:r w:rsidRPr="003A253C">
              <w:rPr>
                <w:rFonts w:ascii="Calibri Light" w:hAnsi="Calibri Light" w:cs="Calibri Light"/>
                <w:sz w:val="19"/>
                <w:szCs w:val="19"/>
                <w:lang w:eastAsia="en-AU"/>
              </w:rPr>
              <w:t>38,605</w:t>
            </w:r>
          </w:p>
        </w:tc>
        <w:tc>
          <w:tcPr>
            <w:tcW w:w="527" w:type="pct"/>
            <w:tcBorders>
              <w:top w:val="nil"/>
              <w:left w:val="nil"/>
              <w:bottom w:val="single" w:sz="4" w:space="0" w:color="auto"/>
              <w:right w:val="nil"/>
            </w:tcBorders>
            <w:shd w:val="clear" w:color="auto" w:fill="auto"/>
            <w:noWrap/>
            <w:vAlign w:val="bottom"/>
            <w:hideMark/>
          </w:tcPr>
          <w:p w14:paraId="7DBA887F" w14:textId="77777777" w:rsidR="002A6B8B" w:rsidRPr="003A253C" w:rsidRDefault="002A6B8B" w:rsidP="00192530">
            <w:pPr>
              <w:jc w:val="right"/>
              <w:rPr>
                <w:rFonts w:ascii="Calibri Light" w:hAnsi="Calibri Light" w:cs="Calibri Light"/>
                <w:sz w:val="19"/>
                <w:szCs w:val="19"/>
                <w:lang w:eastAsia="en-AU"/>
              </w:rPr>
            </w:pPr>
            <w:r w:rsidRPr="003A253C">
              <w:rPr>
                <w:rFonts w:ascii="Calibri Light" w:hAnsi="Calibri Light" w:cs="Calibri Light"/>
                <w:sz w:val="19"/>
                <w:szCs w:val="19"/>
                <w:lang w:eastAsia="en-AU"/>
              </w:rPr>
              <w:t>31,770</w:t>
            </w:r>
          </w:p>
        </w:tc>
        <w:tc>
          <w:tcPr>
            <w:tcW w:w="136" w:type="pct"/>
            <w:tcBorders>
              <w:top w:val="nil"/>
              <w:left w:val="nil"/>
              <w:bottom w:val="single" w:sz="4" w:space="0" w:color="auto"/>
              <w:right w:val="nil"/>
            </w:tcBorders>
            <w:shd w:val="clear" w:color="auto" w:fill="auto"/>
            <w:noWrap/>
            <w:vAlign w:val="bottom"/>
            <w:hideMark/>
          </w:tcPr>
          <w:p w14:paraId="7813792D" w14:textId="77777777" w:rsidR="002A6B8B" w:rsidRPr="003A253C" w:rsidRDefault="002A6B8B" w:rsidP="00192530">
            <w:pPr>
              <w:rPr>
                <w:rFonts w:ascii="Calibri Light" w:hAnsi="Calibri Light" w:cs="Calibri Light"/>
                <w:sz w:val="19"/>
                <w:szCs w:val="19"/>
                <w:lang w:eastAsia="en-AU"/>
              </w:rPr>
            </w:pPr>
            <w:r w:rsidRPr="003A253C">
              <w:rPr>
                <w:rFonts w:ascii="Calibri Light" w:hAnsi="Calibri Light" w:cs="Calibri Light"/>
                <w:sz w:val="19"/>
                <w:szCs w:val="19"/>
                <w:lang w:eastAsia="en-AU"/>
              </w:rPr>
              <w:t> </w:t>
            </w:r>
          </w:p>
        </w:tc>
        <w:tc>
          <w:tcPr>
            <w:tcW w:w="473" w:type="pct"/>
            <w:tcBorders>
              <w:top w:val="nil"/>
              <w:left w:val="nil"/>
              <w:bottom w:val="single" w:sz="4" w:space="0" w:color="auto"/>
              <w:right w:val="nil"/>
            </w:tcBorders>
            <w:shd w:val="clear" w:color="auto" w:fill="auto"/>
            <w:noWrap/>
            <w:vAlign w:val="bottom"/>
            <w:hideMark/>
          </w:tcPr>
          <w:p w14:paraId="1E1CBC18" w14:textId="77777777" w:rsidR="002A6B8B" w:rsidRPr="003A253C" w:rsidRDefault="002A6B8B" w:rsidP="00192530">
            <w:pPr>
              <w:jc w:val="right"/>
              <w:rPr>
                <w:rFonts w:ascii="Calibri Light" w:hAnsi="Calibri Light" w:cs="Calibri Light"/>
                <w:i/>
                <w:iCs/>
                <w:color w:val="666699"/>
                <w:sz w:val="19"/>
                <w:szCs w:val="19"/>
                <w:lang w:eastAsia="en-AU"/>
              </w:rPr>
            </w:pPr>
            <w:r w:rsidRPr="003A253C">
              <w:rPr>
                <w:rFonts w:ascii="Calibri Light" w:hAnsi="Calibri Light" w:cs="Calibri Light"/>
                <w:i/>
                <w:iCs/>
                <w:color w:val="666699"/>
                <w:sz w:val="19"/>
                <w:szCs w:val="19"/>
                <w:lang w:eastAsia="en-AU"/>
              </w:rPr>
              <w:t xml:space="preserve">4.0 </w:t>
            </w:r>
          </w:p>
        </w:tc>
        <w:tc>
          <w:tcPr>
            <w:tcW w:w="461" w:type="pct"/>
            <w:tcBorders>
              <w:top w:val="nil"/>
              <w:left w:val="nil"/>
              <w:bottom w:val="single" w:sz="4" w:space="0" w:color="auto"/>
              <w:right w:val="nil"/>
            </w:tcBorders>
            <w:shd w:val="clear" w:color="auto" w:fill="auto"/>
            <w:noWrap/>
            <w:vAlign w:val="bottom"/>
            <w:hideMark/>
          </w:tcPr>
          <w:p w14:paraId="4F68AB3A" w14:textId="77777777" w:rsidR="002A6B8B" w:rsidRPr="003A253C" w:rsidRDefault="002A6B8B" w:rsidP="00192530">
            <w:pPr>
              <w:jc w:val="right"/>
              <w:rPr>
                <w:rFonts w:ascii="Calibri Light" w:hAnsi="Calibri Light" w:cs="Calibri Light"/>
                <w:i/>
                <w:iCs/>
                <w:color w:val="0000FF"/>
                <w:sz w:val="19"/>
                <w:szCs w:val="19"/>
                <w:lang w:eastAsia="en-AU"/>
              </w:rPr>
            </w:pPr>
            <w:r w:rsidRPr="003A253C">
              <w:rPr>
                <w:rFonts w:ascii="Calibri Light" w:hAnsi="Calibri Light" w:cs="Calibri Light"/>
                <w:i/>
                <w:iCs/>
                <w:color w:val="FF0000"/>
                <w:sz w:val="19"/>
                <w:szCs w:val="19"/>
                <w:lang w:eastAsia="en-AU"/>
              </w:rPr>
              <w:t>-17.7</w:t>
            </w:r>
          </w:p>
        </w:tc>
        <w:tc>
          <w:tcPr>
            <w:tcW w:w="390" w:type="pct"/>
            <w:tcBorders>
              <w:top w:val="nil"/>
              <w:left w:val="nil"/>
              <w:bottom w:val="single" w:sz="4" w:space="0" w:color="auto"/>
              <w:right w:val="nil"/>
            </w:tcBorders>
            <w:shd w:val="clear" w:color="auto" w:fill="auto"/>
            <w:noWrap/>
            <w:vAlign w:val="bottom"/>
            <w:hideMark/>
          </w:tcPr>
          <w:p w14:paraId="7D7DA6FC" w14:textId="77777777" w:rsidR="002A6B8B" w:rsidRPr="003A253C" w:rsidRDefault="002A6B8B" w:rsidP="00192530">
            <w:pPr>
              <w:jc w:val="right"/>
              <w:rPr>
                <w:rFonts w:ascii="Calibri Light" w:hAnsi="Calibri Light" w:cs="Calibri Light"/>
                <w:i/>
                <w:iCs/>
                <w:color w:val="0000FF"/>
                <w:sz w:val="19"/>
                <w:szCs w:val="19"/>
                <w:lang w:eastAsia="en-AU"/>
              </w:rPr>
            </w:pPr>
            <w:r w:rsidRPr="003A253C">
              <w:rPr>
                <w:rFonts w:ascii="Calibri Light" w:hAnsi="Calibri Light" w:cs="Calibri Light"/>
                <w:i/>
                <w:iCs/>
                <w:color w:val="0000FF"/>
                <w:sz w:val="19"/>
                <w:szCs w:val="19"/>
                <w:lang w:eastAsia="en-AU"/>
              </w:rPr>
              <w:t>5.9</w:t>
            </w:r>
          </w:p>
        </w:tc>
      </w:tr>
    </w:tbl>
    <w:p w14:paraId="290CD828" w14:textId="77777777" w:rsidR="002A6B8B" w:rsidRPr="00D054AA" w:rsidRDefault="002A6B8B" w:rsidP="002A6B8B">
      <w:pPr>
        <w:rPr>
          <w:sz w:val="16"/>
          <w:szCs w:val="16"/>
        </w:rPr>
      </w:pPr>
      <w:r w:rsidRPr="00D054AA">
        <w:rPr>
          <w:sz w:val="16"/>
          <w:szCs w:val="16"/>
        </w:rPr>
        <w:t>Source: ABS (cat. no. 5368.0 and 5368.0.55.004) and unpublished ABS data with DFAT adjustments</w:t>
      </w:r>
    </w:p>
    <w:p w14:paraId="6CCD3D1C" w14:textId="77777777" w:rsidR="002A6B8B" w:rsidRPr="00D631F5" w:rsidRDefault="002A6B8B" w:rsidP="002A6B8B">
      <w:pPr>
        <w:rPr>
          <w:rFonts w:ascii="Calibri" w:hAnsi="Calibri" w:cs="Calibri"/>
          <w:b/>
          <w:bCs/>
          <w:color w:val="000000"/>
          <w:sz w:val="24"/>
          <w:szCs w:val="24"/>
          <w:lang w:eastAsia="en-AU"/>
        </w:rPr>
      </w:pPr>
    </w:p>
    <w:tbl>
      <w:tblPr>
        <w:tblW w:w="5000" w:type="pct"/>
        <w:tblLayout w:type="fixed"/>
        <w:tblLook w:val="04A0" w:firstRow="1" w:lastRow="0" w:firstColumn="1" w:lastColumn="0" w:noHBand="0" w:noVBand="1"/>
      </w:tblPr>
      <w:tblGrid>
        <w:gridCol w:w="689"/>
        <w:gridCol w:w="949"/>
        <w:gridCol w:w="949"/>
        <w:gridCol w:w="950"/>
        <w:gridCol w:w="950"/>
        <w:gridCol w:w="950"/>
        <w:gridCol w:w="951"/>
        <w:gridCol w:w="246"/>
        <w:gridCol w:w="854"/>
        <w:gridCol w:w="832"/>
        <w:gridCol w:w="706"/>
      </w:tblGrid>
      <w:tr w:rsidR="002A6B8B" w:rsidRPr="003A253C" w14:paraId="748F7CA3" w14:textId="77777777" w:rsidTr="00192530">
        <w:trPr>
          <w:trHeight w:val="300"/>
        </w:trPr>
        <w:tc>
          <w:tcPr>
            <w:tcW w:w="5000" w:type="pct"/>
            <w:gridSpan w:val="11"/>
            <w:tcBorders>
              <w:top w:val="nil"/>
              <w:left w:val="nil"/>
              <w:bottom w:val="nil"/>
              <w:right w:val="nil"/>
            </w:tcBorders>
            <w:shd w:val="clear" w:color="000000" w:fill="000000"/>
            <w:noWrap/>
            <w:vAlign w:val="center"/>
            <w:hideMark/>
          </w:tcPr>
          <w:p w14:paraId="18AE5F6C" w14:textId="11B1AFF2" w:rsidR="002A6B8B" w:rsidRPr="00DD08EE" w:rsidRDefault="002A6B8B" w:rsidP="00192530">
            <w:pPr>
              <w:rPr>
                <w:rFonts w:ascii="Calibri" w:hAnsi="Calibri" w:cs="Calibri"/>
                <w:b/>
                <w:bCs/>
                <w:lang w:eastAsia="en-AU"/>
              </w:rPr>
            </w:pPr>
            <w:r w:rsidRPr="00DD08EE">
              <w:rPr>
                <w:rFonts w:ascii="Calibri" w:hAnsi="Calibri" w:cs="Calibri"/>
                <w:b/>
                <w:bCs/>
                <w:lang w:eastAsia="en-AU"/>
              </w:rPr>
              <w:t xml:space="preserve">Table </w:t>
            </w:r>
            <w:r>
              <w:rPr>
                <w:rFonts w:ascii="Calibri" w:hAnsi="Calibri" w:cs="Calibri"/>
                <w:b/>
                <w:bCs/>
                <w:lang w:eastAsia="en-AU"/>
              </w:rPr>
              <w:t>3</w:t>
            </w:r>
            <w:r w:rsidRPr="00DD08EE">
              <w:rPr>
                <w:rFonts w:ascii="Calibri" w:hAnsi="Calibri" w:cs="Calibri"/>
                <w:b/>
                <w:bCs/>
                <w:lang w:eastAsia="en-AU"/>
              </w:rPr>
              <w:t>: Australia's total exports to the United Kingdom, annual, 2015-2020</w:t>
            </w:r>
          </w:p>
        </w:tc>
      </w:tr>
      <w:tr w:rsidR="002A6B8B" w:rsidRPr="003A253C" w14:paraId="658B74AE" w14:textId="77777777" w:rsidTr="00192530">
        <w:trPr>
          <w:trHeight w:val="300"/>
        </w:trPr>
        <w:tc>
          <w:tcPr>
            <w:tcW w:w="382" w:type="pct"/>
            <w:tcBorders>
              <w:top w:val="nil"/>
              <w:left w:val="nil"/>
              <w:bottom w:val="nil"/>
              <w:right w:val="nil"/>
            </w:tcBorders>
            <w:shd w:val="clear" w:color="auto" w:fill="B4C6E7" w:themeFill="accent1" w:themeFillTint="66"/>
            <w:noWrap/>
            <w:vAlign w:val="center"/>
            <w:hideMark/>
          </w:tcPr>
          <w:p w14:paraId="3FAD6137"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center"/>
          </w:tcPr>
          <w:p w14:paraId="79775950"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center"/>
          </w:tcPr>
          <w:p w14:paraId="72AA4633"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0954015A"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76C47FAE"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6B6339EF"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center"/>
          </w:tcPr>
          <w:p w14:paraId="58B26C40"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center"/>
            <w:hideMark/>
          </w:tcPr>
          <w:p w14:paraId="4FEFB8C7"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center"/>
            <w:hideMark/>
          </w:tcPr>
          <w:p w14:paraId="3A9088DA"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852" w:type="pct"/>
            <w:gridSpan w:val="2"/>
            <w:tcBorders>
              <w:top w:val="nil"/>
              <w:left w:val="nil"/>
              <w:bottom w:val="single" w:sz="4" w:space="0" w:color="FFFFFF"/>
              <w:right w:val="nil"/>
            </w:tcBorders>
            <w:shd w:val="clear" w:color="auto" w:fill="B4C6E7" w:themeFill="accent1" w:themeFillTint="66"/>
            <w:noWrap/>
            <w:vAlign w:val="center"/>
            <w:hideMark/>
          </w:tcPr>
          <w:p w14:paraId="55DEF5E0" w14:textId="77777777" w:rsidR="002A6B8B" w:rsidRPr="000B1F3B" w:rsidRDefault="002A6B8B" w:rsidP="00192530">
            <w:pPr>
              <w:jc w:val="center"/>
              <w:rPr>
                <w:rFonts w:ascii="Calibri" w:hAnsi="Calibri" w:cs="Calibri"/>
                <w:b/>
                <w:bCs/>
                <w:sz w:val="20"/>
                <w:szCs w:val="20"/>
                <w:lang w:eastAsia="en-AU"/>
              </w:rPr>
            </w:pPr>
            <w:r w:rsidRPr="000B1F3B">
              <w:rPr>
                <w:rFonts w:ascii="Calibri" w:hAnsi="Calibri" w:cs="Calibri"/>
                <w:b/>
                <w:bCs/>
                <w:sz w:val="20"/>
                <w:szCs w:val="20"/>
                <w:lang w:eastAsia="en-AU"/>
              </w:rPr>
              <w:t>% growth</w:t>
            </w:r>
          </w:p>
        </w:tc>
      </w:tr>
      <w:tr w:rsidR="002A6B8B" w:rsidRPr="003A253C" w14:paraId="4B81A2ED" w14:textId="77777777" w:rsidTr="00192530">
        <w:trPr>
          <w:trHeight w:val="300"/>
        </w:trPr>
        <w:tc>
          <w:tcPr>
            <w:tcW w:w="382" w:type="pct"/>
            <w:tcBorders>
              <w:top w:val="nil"/>
              <w:left w:val="nil"/>
              <w:bottom w:val="nil"/>
              <w:right w:val="nil"/>
            </w:tcBorders>
            <w:shd w:val="clear" w:color="auto" w:fill="B4C6E7" w:themeFill="accent1" w:themeFillTint="66"/>
            <w:noWrap/>
            <w:vAlign w:val="bottom"/>
            <w:hideMark/>
          </w:tcPr>
          <w:p w14:paraId="32081D0A"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bottom"/>
          </w:tcPr>
          <w:p w14:paraId="7C4EDCB3"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bottom"/>
          </w:tcPr>
          <w:p w14:paraId="7875B795"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5710D95F"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3C6FF04C"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2D6264D5"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bottom"/>
          </w:tcPr>
          <w:p w14:paraId="32C31553"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bottom"/>
            <w:hideMark/>
          </w:tcPr>
          <w:p w14:paraId="0115D1BF"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bottom"/>
            <w:hideMark/>
          </w:tcPr>
          <w:p w14:paraId="3D1C2F87"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 xml:space="preserve">2020 </w:t>
            </w:r>
            <w:r w:rsidRPr="000B1F3B">
              <w:rPr>
                <w:rFonts w:ascii="Calibri" w:hAnsi="Calibri" w:cs="Calibri"/>
                <w:b/>
                <w:bCs/>
                <w:sz w:val="20"/>
                <w:szCs w:val="20"/>
                <w:lang w:eastAsia="en-AU"/>
              </w:rPr>
              <w:t>% share</w:t>
            </w:r>
          </w:p>
        </w:tc>
        <w:tc>
          <w:tcPr>
            <w:tcW w:w="461" w:type="pct"/>
            <w:tcBorders>
              <w:top w:val="nil"/>
              <w:left w:val="nil"/>
              <w:bottom w:val="nil"/>
              <w:right w:val="nil"/>
            </w:tcBorders>
            <w:shd w:val="clear" w:color="auto" w:fill="B4C6E7" w:themeFill="accent1" w:themeFillTint="66"/>
            <w:noWrap/>
            <w:vAlign w:val="bottom"/>
            <w:hideMark/>
          </w:tcPr>
          <w:p w14:paraId="7D582F26"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2019 to</w:t>
            </w:r>
          </w:p>
        </w:tc>
        <w:tc>
          <w:tcPr>
            <w:tcW w:w="391" w:type="pct"/>
            <w:tcBorders>
              <w:top w:val="nil"/>
              <w:left w:val="nil"/>
              <w:bottom w:val="nil"/>
              <w:right w:val="nil"/>
            </w:tcBorders>
            <w:shd w:val="clear" w:color="auto" w:fill="B4C6E7" w:themeFill="accent1" w:themeFillTint="66"/>
            <w:noWrap/>
            <w:vAlign w:val="bottom"/>
            <w:hideMark/>
          </w:tcPr>
          <w:p w14:paraId="3B15B9B2"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5 year</w:t>
            </w:r>
          </w:p>
        </w:tc>
      </w:tr>
      <w:tr w:rsidR="002A6B8B" w:rsidRPr="003A253C" w14:paraId="6FD47021" w14:textId="77777777" w:rsidTr="00192530">
        <w:trPr>
          <w:trHeight w:val="300"/>
        </w:trPr>
        <w:tc>
          <w:tcPr>
            <w:tcW w:w="382" w:type="pct"/>
            <w:tcBorders>
              <w:top w:val="nil"/>
              <w:left w:val="nil"/>
              <w:bottom w:val="single" w:sz="4" w:space="0" w:color="auto"/>
              <w:right w:val="nil"/>
            </w:tcBorders>
            <w:shd w:val="clear" w:color="auto" w:fill="B4C6E7" w:themeFill="accent1" w:themeFillTint="66"/>
            <w:noWrap/>
            <w:hideMark/>
          </w:tcPr>
          <w:p w14:paraId="47543FF4"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Rank</w:t>
            </w:r>
          </w:p>
        </w:tc>
        <w:tc>
          <w:tcPr>
            <w:tcW w:w="526" w:type="pct"/>
            <w:tcBorders>
              <w:left w:val="nil"/>
              <w:bottom w:val="single" w:sz="4" w:space="0" w:color="auto"/>
              <w:right w:val="nil"/>
            </w:tcBorders>
            <w:shd w:val="clear" w:color="auto" w:fill="B4C6E7" w:themeFill="accent1" w:themeFillTint="66"/>
            <w:noWrap/>
          </w:tcPr>
          <w:p w14:paraId="06265606"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2015</w:t>
            </w:r>
          </w:p>
        </w:tc>
        <w:tc>
          <w:tcPr>
            <w:tcW w:w="526" w:type="pct"/>
            <w:tcBorders>
              <w:left w:val="nil"/>
              <w:bottom w:val="single" w:sz="4" w:space="0" w:color="auto"/>
              <w:right w:val="nil"/>
            </w:tcBorders>
            <w:shd w:val="clear" w:color="auto" w:fill="B4C6E7" w:themeFill="accent1" w:themeFillTint="66"/>
          </w:tcPr>
          <w:p w14:paraId="07BEEA9E"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2016</w:t>
            </w:r>
          </w:p>
        </w:tc>
        <w:tc>
          <w:tcPr>
            <w:tcW w:w="526" w:type="pct"/>
            <w:tcBorders>
              <w:top w:val="nil"/>
              <w:left w:val="nil"/>
              <w:bottom w:val="single" w:sz="4" w:space="0" w:color="auto"/>
              <w:right w:val="nil"/>
            </w:tcBorders>
            <w:shd w:val="clear" w:color="auto" w:fill="B4C6E7" w:themeFill="accent1" w:themeFillTint="66"/>
            <w:noWrap/>
          </w:tcPr>
          <w:p w14:paraId="423B58FC"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2017</w:t>
            </w:r>
          </w:p>
        </w:tc>
        <w:tc>
          <w:tcPr>
            <w:tcW w:w="526" w:type="pct"/>
            <w:tcBorders>
              <w:top w:val="nil"/>
              <w:left w:val="nil"/>
              <w:bottom w:val="single" w:sz="4" w:space="0" w:color="auto"/>
              <w:right w:val="nil"/>
            </w:tcBorders>
            <w:shd w:val="clear" w:color="auto" w:fill="B4C6E7" w:themeFill="accent1" w:themeFillTint="66"/>
            <w:noWrap/>
          </w:tcPr>
          <w:p w14:paraId="79D18E1D"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2018</w:t>
            </w:r>
          </w:p>
        </w:tc>
        <w:tc>
          <w:tcPr>
            <w:tcW w:w="526" w:type="pct"/>
            <w:tcBorders>
              <w:top w:val="nil"/>
              <w:left w:val="nil"/>
              <w:bottom w:val="single" w:sz="4" w:space="0" w:color="auto"/>
              <w:right w:val="nil"/>
            </w:tcBorders>
            <w:shd w:val="clear" w:color="auto" w:fill="B4C6E7" w:themeFill="accent1" w:themeFillTint="66"/>
            <w:noWrap/>
          </w:tcPr>
          <w:p w14:paraId="7745F52E"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2019</w:t>
            </w:r>
          </w:p>
        </w:tc>
        <w:tc>
          <w:tcPr>
            <w:tcW w:w="527" w:type="pct"/>
            <w:tcBorders>
              <w:top w:val="nil"/>
              <w:left w:val="nil"/>
              <w:bottom w:val="single" w:sz="4" w:space="0" w:color="auto"/>
              <w:right w:val="nil"/>
            </w:tcBorders>
            <w:shd w:val="clear" w:color="auto" w:fill="B4C6E7" w:themeFill="accent1" w:themeFillTint="66"/>
            <w:noWrap/>
          </w:tcPr>
          <w:p w14:paraId="51DBCF49"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2020</w:t>
            </w:r>
          </w:p>
        </w:tc>
        <w:tc>
          <w:tcPr>
            <w:tcW w:w="136" w:type="pct"/>
            <w:tcBorders>
              <w:top w:val="nil"/>
              <w:left w:val="nil"/>
              <w:bottom w:val="single" w:sz="4" w:space="0" w:color="auto"/>
              <w:right w:val="nil"/>
            </w:tcBorders>
            <w:shd w:val="clear" w:color="auto" w:fill="B4C6E7" w:themeFill="accent1" w:themeFillTint="66"/>
            <w:noWrap/>
            <w:hideMark/>
          </w:tcPr>
          <w:p w14:paraId="78ABFACF"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single" w:sz="4" w:space="0" w:color="auto"/>
              <w:right w:val="nil"/>
            </w:tcBorders>
            <w:shd w:val="clear" w:color="auto" w:fill="B4C6E7" w:themeFill="accent1" w:themeFillTint="66"/>
            <w:noWrap/>
            <w:hideMark/>
          </w:tcPr>
          <w:p w14:paraId="78C1C87D"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of total</w:t>
            </w:r>
          </w:p>
        </w:tc>
        <w:tc>
          <w:tcPr>
            <w:tcW w:w="461" w:type="pct"/>
            <w:tcBorders>
              <w:top w:val="nil"/>
              <w:left w:val="nil"/>
              <w:bottom w:val="single" w:sz="4" w:space="0" w:color="auto"/>
              <w:right w:val="nil"/>
            </w:tcBorders>
            <w:shd w:val="clear" w:color="auto" w:fill="B4C6E7" w:themeFill="accent1" w:themeFillTint="66"/>
            <w:noWrap/>
            <w:hideMark/>
          </w:tcPr>
          <w:p w14:paraId="3D3555D3"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2020</w:t>
            </w:r>
          </w:p>
        </w:tc>
        <w:tc>
          <w:tcPr>
            <w:tcW w:w="391" w:type="pct"/>
            <w:tcBorders>
              <w:top w:val="nil"/>
              <w:left w:val="nil"/>
              <w:bottom w:val="single" w:sz="4" w:space="0" w:color="auto"/>
              <w:right w:val="nil"/>
            </w:tcBorders>
            <w:shd w:val="clear" w:color="auto" w:fill="B4C6E7" w:themeFill="accent1" w:themeFillTint="66"/>
            <w:noWrap/>
            <w:hideMark/>
          </w:tcPr>
          <w:p w14:paraId="422A6794"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trend</w:t>
            </w:r>
          </w:p>
        </w:tc>
      </w:tr>
      <w:tr w:rsidR="002A6B8B" w:rsidRPr="003A253C" w14:paraId="46A5B876" w14:textId="77777777" w:rsidTr="00192530">
        <w:trPr>
          <w:trHeight w:val="263"/>
        </w:trPr>
        <w:tc>
          <w:tcPr>
            <w:tcW w:w="382" w:type="pct"/>
            <w:tcBorders>
              <w:top w:val="nil"/>
              <w:left w:val="nil"/>
              <w:bottom w:val="single" w:sz="4" w:space="0" w:color="auto"/>
              <w:right w:val="nil"/>
            </w:tcBorders>
            <w:shd w:val="clear" w:color="auto" w:fill="auto"/>
            <w:noWrap/>
            <w:vAlign w:val="bottom"/>
            <w:hideMark/>
          </w:tcPr>
          <w:p w14:paraId="43DE9A40" w14:textId="77777777" w:rsidR="002A6B8B" w:rsidRPr="003A253C" w:rsidRDefault="002A6B8B" w:rsidP="00192530">
            <w:pPr>
              <w:jc w:val="both"/>
              <w:rPr>
                <w:rFonts w:ascii="Calibri Light" w:hAnsi="Calibri Light" w:cs="Calibri Light"/>
                <w:sz w:val="19"/>
                <w:szCs w:val="19"/>
                <w:lang w:eastAsia="en-AU"/>
              </w:rPr>
            </w:pPr>
            <w:r>
              <w:rPr>
                <w:rFonts w:ascii="Calibri Light" w:hAnsi="Calibri Light" w:cs="Calibri Light"/>
                <w:sz w:val="19"/>
                <w:szCs w:val="19"/>
                <w:lang w:eastAsia="en-AU"/>
              </w:rPr>
              <w:t>5</w:t>
            </w:r>
          </w:p>
        </w:tc>
        <w:tc>
          <w:tcPr>
            <w:tcW w:w="526" w:type="pct"/>
            <w:tcBorders>
              <w:top w:val="nil"/>
              <w:left w:val="nil"/>
              <w:bottom w:val="single" w:sz="4" w:space="0" w:color="auto"/>
              <w:right w:val="nil"/>
            </w:tcBorders>
            <w:shd w:val="clear" w:color="auto" w:fill="auto"/>
          </w:tcPr>
          <w:p w14:paraId="4DD05141" w14:textId="77777777" w:rsidR="002A6B8B" w:rsidRPr="009E7911" w:rsidRDefault="002A6B8B" w:rsidP="00192530">
            <w:pPr>
              <w:jc w:val="right"/>
              <w:rPr>
                <w:rFonts w:ascii="Calibri Light" w:hAnsi="Calibri Light" w:cs="Calibri Light"/>
                <w:color w:val="000000"/>
                <w:sz w:val="19"/>
                <w:szCs w:val="19"/>
                <w:lang w:eastAsia="en-AU"/>
              </w:rPr>
            </w:pPr>
            <w:r w:rsidRPr="009E7911">
              <w:rPr>
                <w:rFonts w:ascii="Calibri Light" w:hAnsi="Calibri Light" w:cs="Calibri Light"/>
                <w:color w:val="000000"/>
                <w:sz w:val="19"/>
                <w:szCs w:val="19"/>
                <w:lang w:eastAsia="en-AU"/>
              </w:rPr>
              <w:t>9,341</w:t>
            </w:r>
          </w:p>
        </w:tc>
        <w:tc>
          <w:tcPr>
            <w:tcW w:w="526" w:type="pct"/>
            <w:tcBorders>
              <w:top w:val="single" w:sz="4" w:space="0" w:color="auto"/>
              <w:left w:val="nil"/>
              <w:bottom w:val="single" w:sz="4" w:space="0" w:color="auto"/>
              <w:right w:val="nil"/>
            </w:tcBorders>
            <w:shd w:val="clear" w:color="auto" w:fill="auto"/>
            <w:noWrap/>
            <w:hideMark/>
          </w:tcPr>
          <w:p w14:paraId="4BCA19CE" w14:textId="77777777" w:rsidR="002A6B8B" w:rsidRPr="009E7911" w:rsidRDefault="002A6B8B" w:rsidP="00192530">
            <w:pPr>
              <w:jc w:val="right"/>
              <w:rPr>
                <w:rFonts w:ascii="Calibri Light" w:hAnsi="Calibri Light" w:cs="Calibri Light"/>
                <w:color w:val="000000"/>
                <w:sz w:val="19"/>
                <w:szCs w:val="19"/>
                <w:lang w:eastAsia="en-AU"/>
              </w:rPr>
            </w:pPr>
            <w:r w:rsidRPr="009E7911">
              <w:rPr>
                <w:rFonts w:ascii="Calibri Light" w:hAnsi="Calibri Light" w:cs="Calibri Light"/>
                <w:color w:val="000000"/>
                <w:sz w:val="19"/>
                <w:szCs w:val="19"/>
                <w:lang w:eastAsia="en-AU"/>
              </w:rPr>
              <w:t>15,461</w:t>
            </w:r>
          </w:p>
        </w:tc>
        <w:tc>
          <w:tcPr>
            <w:tcW w:w="526" w:type="pct"/>
            <w:tcBorders>
              <w:top w:val="single" w:sz="4" w:space="0" w:color="auto"/>
              <w:left w:val="nil"/>
              <w:bottom w:val="single" w:sz="4" w:space="0" w:color="auto"/>
              <w:right w:val="nil"/>
            </w:tcBorders>
            <w:shd w:val="clear" w:color="auto" w:fill="auto"/>
          </w:tcPr>
          <w:p w14:paraId="234CE2F5" w14:textId="77777777" w:rsidR="002A6B8B" w:rsidRPr="009E7911" w:rsidRDefault="002A6B8B" w:rsidP="00192530">
            <w:pPr>
              <w:jc w:val="right"/>
              <w:rPr>
                <w:rFonts w:ascii="Calibri Light" w:hAnsi="Calibri Light" w:cs="Calibri Light"/>
                <w:color w:val="000000"/>
                <w:sz w:val="19"/>
                <w:szCs w:val="19"/>
                <w:lang w:eastAsia="en-AU"/>
              </w:rPr>
            </w:pPr>
            <w:r w:rsidRPr="009E7911">
              <w:rPr>
                <w:rFonts w:ascii="Calibri Light" w:hAnsi="Calibri Light" w:cs="Calibri Light"/>
                <w:color w:val="000000"/>
                <w:sz w:val="19"/>
                <w:szCs w:val="19"/>
                <w:lang w:eastAsia="en-AU"/>
              </w:rPr>
              <w:t>11,551</w:t>
            </w:r>
          </w:p>
        </w:tc>
        <w:tc>
          <w:tcPr>
            <w:tcW w:w="526" w:type="pct"/>
            <w:tcBorders>
              <w:top w:val="nil"/>
              <w:left w:val="nil"/>
              <w:bottom w:val="single" w:sz="4" w:space="0" w:color="auto"/>
              <w:right w:val="nil"/>
            </w:tcBorders>
            <w:shd w:val="clear" w:color="auto" w:fill="auto"/>
            <w:noWrap/>
            <w:hideMark/>
          </w:tcPr>
          <w:p w14:paraId="57AB92CA" w14:textId="77777777" w:rsidR="002A6B8B" w:rsidRPr="009E7911" w:rsidRDefault="002A6B8B" w:rsidP="00192530">
            <w:pPr>
              <w:jc w:val="right"/>
              <w:rPr>
                <w:rFonts w:ascii="Calibri Light" w:hAnsi="Calibri Light" w:cs="Calibri Light"/>
                <w:color w:val="000000"/>
                <w:sz w:val="19"/>
                <w:szCs w:val="19"/>
                <w:lang w:eastAsia="en-AU"/>
              </w:rPr>
            </w:pPr>
            <w:r w:rsidRPr="009E7911">
              <w:rPr>
                <w:rFonts w:ascii="Calibri Light" w:hAnsi="Calibri Light" w:cs="Calibri Light"/>
                <w:color w:val="000000"/>
                <w:sz w:val="19"/>
                <w:szCs w:val="19"/>
                <w:lang w:eastAsia="en-AU"/>
              </w:rPr>
              <w:t>10,498</w:t>
            </w:r>
          </w:p>
        </w:tc>
        <w:tc>
          <w:tcPr>
            <w:tcW w:w="526" w:type="pct"/>
            <w:tcBorders>
              <w:top w:val="nil"/>
              <w:left w:val="nil"/>
              <w:bottom w:val="single" w:sz="4" w:space="0" w:color="auto"/>
              <w:right w:val="nil"/>
            </w:tcBorders>
            <w:shd w:val="clear" w:color="auto" w:fill="auto"/>
            <w:noWrap/>
            <w:hideMark/>
          </w:tcPr>
          <w:p w14:paraId="6C2B3BA7" w14:textId="77777777" w:rsidR="002A6B8B" w:rsidRPr="009E7911" w:rsidRDefault="002A6B8B" w:rsidP="00192530">
            <w:pPr>
              <w:jc w:val="right"/>
              <w:rPr>
                <w:rFonts w:ascii="Calibri Light" w:hAnsi="Calibri Light" w:cs="Calibri Light"/>
                <w:color w:val="000000"/>
                <w:sz w:val="19"/>
                <w:szCs w:val="19"/>
                <w:lang w:eastAsia="en-AU"/>
              </w:rPr>
            </w:pPr>
            <w:r w:rsidRPr="009E7911">
              <w:rPr>
                <w:rFonts w:ascii="Calibri Light" w:hAnsi="Calibri Light" w:cs="Calibri Light"/>
                <w:color w:val="000000"/>
                <w:sz w:val="19"/>
                <w:szCs w:val="19"/>
                <w:lang w:eastAsia="en-AU"/>
              </w:rPr>
              <w:t>21,209</w:t>
            </w:r>
          </w:p>
        </w:tc>
        <w:tc>
          <w:tcPr>
            <w:tcW w:w="527" w:type="pct"/>
            <w:tcBorders>
              <w:top w:val="nil"/>
              <w:left w:val="nil"/>
              <w:bottom w:val="single" w:sz="4" w:space="0" w:color="auto"/>
              <w:right w:val="nil"/>
            </w:tcBorders>
            <w:shd w:val="clear" w:color="auto" w:fill="auto"/>
            <w:noWrap/>
            <w:hideMark/>
          </w:tcPr>
          <w:p w14:paraId="519C6190" w14:textId="77777777" w:rsidR="002A6B8B" w:rsidRPr="009E7911" w:rsidRDefault="002A6B8B" w:rsidP="00192530">
            <w:pPr>
              <w:jc w:val="right"/>
              <w:rPr>
                <w:rFonts w:ascii="Calibri Light" w:hAnsi="Calibri Light" w:cs="Calibri Light"/>
                <w:color w:val="000000"/>
                <w:sz w:val="19"/>
                <w:szCs w:val="19"/>
                <w:lang w:eastAsia="en-AU"/>
              </w:rPr>
            </w:pPr>
            <w:r w:rsidRPr="009E7911">
              <w:rPr>
                <w:rFonts w:ascii="Calibri Light" w:hAnsi="Calibri Light" w:cs="Calibri Light"/>
                <w:color w:val="000000"/>
                <w:sz w:val="19"/>
                <w:szCs w:val="19"/>
                <w:lang w:eastAsia="en-AU"/>
              </w:rPr>
              <w:t>18,777</w:t>
            </w:r>
          </w:p>
        </w:tc>
        <w:tc>
          <w:tcPr>
            <w:tcW w:w="136" w:type="pct"/>
            <w:tcBorders>
              <w:top w:val="nil"/>
              <w:left w:val="nil"/>
              <w:bottom w:val="single" w:sz="4" w:space="0" w:color="auto"/>
              <w:right w:val="nil"/>
            </w:tcBorders>
            <w:shd w:val="clear" w:color="auto" w:fill="auto"/>
            <w:noWrap/>
            <w:vAlign w:val="bottom"/>
            <w:hideMark/>
          </w:tcPr>
          <w:p w14:paraId="7757C0BA" w14:textId="77777777" w:rsidR="002A6B8B" w:rsidRPr="003A253C" w:rsidRDefault="002A6B8B" w:rsidP="00192530">
            <w:pPr>
              <w:rPr>
                <w:rFonts w:ascii="Calibri Light" w:hAnsi="Calibri Light" w:cs="Calibri Light"/>
                <w:sz w:val="19"/>
                <w:szCs w:val="19"/>
                <w:lang w:eastAsia="en-AU"/>
              </w:rPr>
            </w:pPr>
            <w:r w:rsidRPr="003A253C">
              <w:rPr>
                <w:rFonts w:ascii="Calibri Light" w:hAnsi="Calibri Light" w:cs="Calibri Light"/>
                <w:sz w:val="19"/>
                <w:szCs w:val="19"/>
                <w:lang w:eastAsia="en-AU"/>
              </w:rPr>
              <w:t> </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A397" w14:textId="77777777" w:rsidR="002A6B8B" w:rsidRPr="003A253C" w:rsidRDefault="002A6B8B" w:rsidP="00192530">
            <w:pPr>
              <w:jc w:val="right"/>
              <w:rPr>
                <w:rFonts w:ascii="Calibri Light" w:hAnsi="Calibri Light" w:cs="Calibri Light"/>
                <w:i/>
                <w:iCs/>
                <w:color w:val="666699"/>
                <w:sz w:val="19"/>
                <w:szCs w:val="19"/>
                <w:lang w:eastAsia="en-AU"/>
              </w:rPr>
            </w:pPr>
            <w:r>
              <w:rPr>
                <w:rFonts w:ascii="Calibri" w:hAnsi="Calibri" w:cs="Calibri"/>
                <w:i/>
                <w:iCs/>
                <w:color w:val="333399"/>
                <w:sz w:val="18"/>
                <w:szCs w:val="18"/>
              </w:rPr>
              <w:t>4.3</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14:paraId="4755DA28" w14:textId="77777777" w:rsidR="002A6B8B" w:rsidRPr="003A253C" w:rsidRDefault="002A6B8B" w:rsidP="00192530">
            <w:pPr>
              <w:jc w:val="right"/>
              <w:rPr>
                <w:rFonts w:ascii="Calibri Light" w:hAnsi="Calibri Light" w:cs="Calibri Light"/>
                <w:i/>
                <w:iCs/>
                <w:color w:val="0000FF"/>
                <w:sz w:val="19"/>
                <w:szCs w:val="19"/>
                <w:lang w:eastAsia="en-AU"/>
              </w:rPr>
            </w:pPr>
            <w:r>
              <w:rPr>
                <w:rFonts w:ascii="Calibri" w:hAnsi="Calibri" w:cs="Calibri"/>
                <w:i/>
                <w:iCs/>
                <w:color w:val="FF0000"/>
                <w:sz w:val="18"/>
                <w:szCs w:val="18"/>
              </w:rPr>
              <w:t>-11.5</w:t>
            </w:r>
          </w:p>
        </w:tc>
        <w:tc>
          <w:tcPr>
            <w:tcW w:w="391" w:type="pct"/>
            <w:tcBorders>
              <w:top w:val="single" w:sz="4" w:space="0" w:color="auto"/>
              <w:left w:val="nil"/>
              <w:bottom w:val="single" w:sz="4" w:space="0" w:color="auto"/>
              <w:right w:val="nil"/>
            </w:tcBorders>
            <w:shd w:val="clear" w:color="auto" w:fill="auto"/>
            <w:noWrap/>
            <w:vAlign w:val="bottom"/>
            <w:hideMark/>
          </w:tcPr>
          <w:p w14:paraId="439F0593" w14:textId="77777777" w:rsidR="002A6B8B" w:rsidRPr="003A253C" w:rsidRDefault="002A6B8B" w:rsidP="00192530">
            <w:pPr>
              <w:jc w:val="right"/>
              <w:rPr>
                <w:rFonts w:ascii="Calibri Light" w:hAnsi="Calibri Light" w:cs="Calibri Light"/>
                <w:i/>
                <w:iCs/>
                <w:color w:val="0000FF"/>
                <w:sz w:val="19"/>
                <w:szCs w:val="19"/>
                <w:lang w:eastAsia="en-AU"/>
              </w:rPr>
            </w:pPr>
            <w:r>
              <w:rPr>
                <w:rFonts w:ascii="Calibri" w:hAnsi="Calibri" w:cs="Calibri"/>
                <w:i/>
                <w:iCs/>
                <w:color w:val="0000FF"/>
                <w:sz w:val="18"/>
                <w:szCs w:val="18"/>
              </w:rPr>
              <w:t>13.2</w:t>
            </w:r>
          </w:p>
        </w:tc>
      </w:tr>
    </w:tbl>
    <w:p w14:paraId="5EA25B76" w14:textId="77777777" w:rsidR="002A6B8B" w:rsidRDefault="002A6B8B" w:rsidP="002A6B8B">
      <w:pPr>
        <w:rPr>
          <w:sz w:val="24"/>
          <w:szCs w:val="24"/>
        </w:rPr>
      </w:pPr>
      <w:r w:rsidRPr="00D054AA">
        <w:rPr>
          <w:sz w:val="16"/>
          <w:szCs w:val="16"/>
        </w:rPr>
        <w:t>Source: ABS (cat. no. 5368.0 and 5368.0.55.004) and unpublished ABS data with DFAT adjustments</w:t>
      </w:r>
    </w:p>
    <w:p w14:paraId="159B9A7B" w14:textId="77777777" w:rsidR="002A6B8B" w:rsidRPr="00D631F5" w:rsidRDefault="002A6B8B" w:rsidP="002A6B8B">
      <w:pPr>
        <w:rPr>
          <w:rFonts w:ascii="Calibri" w:hAnsi="Calibri" w:cs="Calibri"/>
          <w:b/>
          <w:bCs/>
          <w:color w:val="000000"/>
          <w:sz w:val="24"/>
          <w:szCs w:val="24"/>
          <w:lang w:eastAsia="en-AU"/>
        </w:rPr>
      </w:pPr>
    </w:p>
    <w:tbl>
      <w:tblPr>
        <w:tblW w:w="5000" w:type="pct"/>
        <w:tblLayout w:type="fixed"/>
        <w:tblLook w:val="04A0" w:firstRow="1" w:lastRow="0" w:firstColumn="1" w:lastColumn="0" w:noHBand="0" w:noVBand="1"/>
      </w:tblPr>
      <w:tblGrid>
        <w:gridCol w:w="689"/>
        <w:gridCol w:w="949"/>
        <w:gridCol w:w="949"/>
        <w:gridCol w:w="950"/>
        <w:gridCol w:w="950"/>
        <w:gridCol w:w="950"/>
        <w:gridCol w:w="951"/>
        <w:gridCol w:w="246"/>
        <w:gridCol w:w="854"/>
        <w:gridCol w:w="832"/>
        <w:gridCol w:w="706"/>
      </w:tblGrid>
      <w:tr w:rsidR="002A6B8B" w:rsidRPr="003A253C" w14:paraId="553798F1" w14:textId="77777777" w:rsidTr="00192530">
        <w:trPr>
          <w:trHeight w:val="300"/>
        </w:trPr>
        <w:tc>
          <w:tcPr>
            <w:tcW w:w="5000" w:type="pct"/>
            <w:gridSpan w:val="11"/>
            <w:tcBorders>
              <w:top w:val="nil"/>
              <w:left w:val="nil"/>
              <w:bottom w:val="nil"/>
              <w:right w:val="nil"/>
            </w:tcBorders>
            <w:shd w:val="clear" w:color="000000" w:fill="000000"/>
            <w:noWrap/>
            <w:vAlign w:val="center"/>
            <w:hideMark/>
          </w:tcPr>
          <w:p w14:paraId="0D8227A5" w14:textId="64141232" w:rsidR="002A6B8B" w:rsidRPr="00DD08EE" w:rsidRDefault="002A6B8B" w:rsidP="00192530">
            <w:pPr>
              <w:rPr>
                <w:rFonts w:ascii="Calibri" w:hAnsi="Calibri" w:cs="Calibri"/>
                <w:b/>
                <w:bCs/>
                <w:lang w:eastAsia="en-AU"/>
              </w:rPr>
            </w:pPr>
            <w:r w:rsidRPr="00DD08EE">
              <w:rPr>
                <w:rFonts w:ascii="Calibri" w:hAnsi="Calibri" w:cs="Calibri"/>
                <w:b/>
                <w:bCs/>
                <w:lang w:eastAsia="en-AU"/>
              </w:rPr>
              <w:t xml:space="preserve">Table </w:t>
            </w:r>
            <w:r>
              <w:rPr>
                <w:rFonts w:ascii="Calibri" w:hAnsi="Calibri" w:cs="Calibri"/>
                <w:b/>
                <w:bCs/>
                <w:lang w:eastAsia="en-AU"/>
              </w:rPr>
              <w:t>4</w:t>
            </w:r>
            <w:r w:rsidRPr="00DD08EE">
              <w:rPr>
                <w:rFonts w:ascii="Calibri" w:hAnsi="Calibri" w:cs="Calibri"/>
                <w:b/>
                <w:bCs/>
                <w:lang w:eastAsia="en-AU"/>
              </w:rPr>
              <w:t>: Australia's total imports from the United Kingdom, annual, 2015-2020</w:t>
            </w:r>
          </w:p>
        </w:tc>
      </w:tr>
      <w:tr w:rsidR="002A6B8B" w:rsidRPr="003A253C" w14:paraId="210E6551" w14:textId="77777777" w:rsidTr="00192530">
        <w:trPr>
          <w:trHeight w:val="300"/>
        </w:trPr>
        <w:tc>
          <w:tcPr>
            <w:tcW w:w="382" w:type="pct"/>
            <w:tcBorders>
              <w:top w:val="nil"/>
              <w:left w:val="nil"/>
              <w:bottom w:val="nil"/>
              <w:right w:val="nil"/>
            </w:tcBorders>
            <w:shd w:val="clear" w:color="auto" w:fill="B4C6E7" w:themeFill="accent1" w:themeFillTint="66"/>
            <w:noWrap/>
            <w:vAlign w:val="center"/>
            <w:hideMark/>
          </w:tcPr>
          <w:p w14:paraId="50F331A3"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center"/>
          </w:tcPr>
          <w:p w14:paraId="1CC41D1F"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center"/>
          </w:tcPr>
          <w:p w14:paraId="2A9DFF1C"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0A50AEA4"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54487868"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7B401BC6"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center"/>
          </w:tcPr>
          <w:p w14:paraId="65766DA5"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center"/>
            <w:hideMark/>
          </w:tcPr>
          <w:p w14:paraId="0B593061"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center"/>
            <w:hideMark/>
          </w:tcPr>
          <w:p w14:paraId="77A1C01E"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852" w:type="pct"/>
            <w:gridSpan w:val="2"/>
            <w:tcBorders>
              <w:top w:val="nil"/>
              <w:left w:val="nil"/>
              <w:bottom w:val="single" w:sz="4" w:space="0" w:color="FFFFFF"/>
              <w:right w:val="nil"/>
            </w:tcBorders>
            <w:shd w:val="clear" w:color="auto" w:fill="B4C6E7" w:themeFill="accent1" w:themeFillTint="66"/>
            <w:noWrap/>
            <w:vAlign w:val="center"/>
            <w:hideMark/>
          </w:tcPr>
          <w:p w14:paraId="135438A9" w14:textId="77777777" w:rsidR="002A6B8B" w:rsidRPr="000B1F3B" w:rsidRDefault="002A6B8B" w:rsidP="00192530">
            <w:pPr>
              <w:jc w:val="center"/>
              <w:rPr>
                <w:rFonts w:ascii="Calibri" w:hAnsi="Calibri" w:cs="Calibri"/>
                <w:b/>
                <w:bCs/>
                <w:sz w:val="20"/>
                <w:szCs w:val="20"/>
                <w:lang w:eastAsia="en-AU"/>
              </w:rPr>
            </w:pPr>
            <w:r w:rsidRPr="000B1F3B">
              <w:rPr>
                <w:rFonts w:ascii="Calibri" w:hAnsi="Calibri" w:cs="Calibri"/>
                <w:b/>
                <w:bCs/>
                <w:sz w:val="20"/>
                <w:szCs w:val="20"/>
                <w:lang w:eastAsia="en-AU"/>
              </w:rPr>
              <w:t>% growth</w:t>
            </w:r>
          </w:p>
        </w:tc>
      </w:tr>
      <w:tr w:rsidR="002A6B8B" w:rsidRPr="003A253C" w14:paraId="646C7CF8" w14:textId="77777777" w:rsidTr="00192530">
        <w:trPr>
          <w:trHeight w:val="300"/>
        </w:trPr>
        <w:tc>
          <w:tcPr>
            <w:tcW w:w="382" w:type="pct"/>
            <w:tcBorders>
              <w:top w:val="nil"/>
              <w:left w:val="nil"/>
              <w:bottom w:val="nil"/>
              <w:right w:val="nil"/>
            </w:tcBorders>
            <w:shd w:val="clear" w:color="auto" w:fill="B4C6E7" w:themeFill="accent1" w:themeFillTint="66"/>
            <w:noWrap/>
            <w:vAlign w:val="bottom"/>
            <w:hideMark/>
          </w:tcPr>
          <w:p w14:paraId="40519790"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bottom"/>
          </w:tcPr>
          <w:p w14:paraId="15303F90"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bottom"/>
          </w:tcPr>
          <w:p w14:paraId="77033F64"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52A3D57D"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7242077B"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6A25E92D"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bottom"/>
          </w:tcPr>
          <w:p w14:paraId="4B6F47FA"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bottom"/>
            <w:hideMark/>
          </w:tcPr>
          <w:p w14:paraId="0729197D"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bottom"/>
            <w:hideMark/>
          </w:tcPr>
          <w:p w14:paraId="4EC397D1"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 xml:space="preserve">2020 </w:t>
            </w:r>
            <w:r w:rsidRPr="000B1F3B">
              <w:rPr>
                <w:rFonts w:ascii="Calibri" w:hAnsi="Calibri" w:cs="Calibri"/>
                <w:b/>
                <w:bCs/>
                <w:sz w:val="20"/>
                <w:szCs w:val="20"/>
                <w:lang w:eastAsia="en-AU"/>
              </w:rPr>
              <w:t>% share</w:t>
            </w:r>
          </w:p>
        </w:tc>
        <w:tc>
          <w:tcPr>
            <w:tcW w:w="461" w:type="pct"/>
            <w:tcBorders>
              <w:top w:val="nil"/>
              <w:left w:val="nil"/>
              <w:bottom w:val="nil"/>
              <w:right w:val="nil"/>
            </w:tcBorders>
            <w:shd w:val="clear" w:color="auto" w:fill="B4C6E7" w:themeFill="accent1" w:themeFillTint="66"/>
            <w:noWrap/>
            <w:vAlign w:val="bottom"/>
            <w:hideMark/>
          </w:tcPr>
          <w:p w14:paraId="40A40ABC"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2019 to</w:t>
            </w:r>
          </w:p>
        </w:tc>
        <w:tc>
          <w:tcPr>
            <w:tcW w:w="391" w:type="pct"/>
            <w:tcBorders>
              <w:top w:val="nil"/>
              <w:left w:val="nil"/>
              <w:bottom w:val="nil"/>
              <w:right w:val="nil"/>
            </w:tcBorders>
            <w:shd w:val="clear" w:color="auto" w:fill="B4C6E7" w:themeFill="accent1" w:themeFillTint="66"/>
            <w:noWrap/>
            <w:vAlign w:val="bottom"/>
            <w:hideMark/>
          </w:tcPr>
          <w:p w14:paraId="703CB805"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5 year</w:t>
            </w:r>
          </w:p>
        </w:tc>
      </w:tr>
      <w:tr w:rsidR="002A6B8B" w:rsidRPr="003A253C" w14:paraId="08512188" w14:textId="77777777" w:rsidTr="00192530">
        <w:trPr>
          <w:trHeight w:val="300"/>
        </w:trPr>
        <w:tc>
          <w:tcPr>
            <w:tcW w:w="382" w:type="pct"/>
            <w:tcBorders>
              <w:top w:val="nil"/>
              <w:left w:val="nil"/>
              <w:bottom w:val="single" w:sz="4" w:space="0" w:color="auto"/>
              <w:right w:val="nil"/>
            </w:tcBorders>
            <w:shd w:val="clear" w:color="auto" w:fill="B4C6E7" w:themeFill="accent1" w:themeFillTint="66"/>
            <w:noWrap/>
            <w:hideMark/>
          </w:tcPr>
          <w:p w14:paraId="31031853"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Rank</w:t>
            </w:r>
          </w:p>
        </w:tc>
        <w:tc>
          <w:tcPr>
            <w:tcW w:w="526" w:type="pct"/>
            <w:tcBorders>
              <w:left w:val="nil"/>
              <w:bottom w:val="single" w:sz="4" w:space="0" w:color="auto"/>
              <w:right w:val="nil"/>
            </w:tcBorders>
            <w:shd w:val="clear" w:color="auto" w:fill="B4C6E7" w:themeFill="accent1" w:themeFillTint="66"/>
            <w:noWrap/>
          </w:tcPr>
          <w:p w14:paraId="5EC90703"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2015</w:t>
            </w:r>
          </w:p>
        </w:tc>
        <w:tc>
          <w:tcPr>
            <w:tcW w:w="526" w:type="pct"/>
            <w:tcBorders>
              <w:left w:val="nil"/>
              <w:bottom w:val="single" w:sz="4" w:space="0" w:color="auto"/>
              <w:right w:val="nil"/>
            </w:tcBorders>
            <w:shd w:val="clear" w:color="auto" w:fill="B4C6E7" w:themeFill="accent1" w:themeFillTint="66"/>
          </w:tcPr>
          <w:p w14:paraId="611ED647"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2016</w:t>
            </w:r>
          </w:p>
        </w:tc>
        <w:tc>
          <w:tcPr>
            <w:tcW w:w="526" w:type="pct"/>
            <w:tcBorders>
              <w:top w:val="nil"/>
              <w:left w:val="nil"/>
              <w:bottom w:val="single" w:sz="4" w:space="0" w:color="auto"/>
              <w:right w:val="nil"/>
            </w:tcBorders>
            <w:shd w:val="clear" w:color="auto" w:fill="B4C6E7" w:themeFill="accent1" w:themeFillTint="66"/>
            <w:noWrap/>
          </w:tcPr>
          <w:p w14:paraId="770F59FA"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2017</w:t>
            </w:r>
          </w:p>
        </w:tc>
        <w:tc>
          <w:tcPr>
            <w:tcW w:w="526" w:type="pct"/>
            <w:tcBorders>
              <w:top w:val="nil"/>
              <w:left w:val="nil"/>
              <w:bottom w:val="single" w:sz="4" w:space="0" w:color="auto"/>
              <w:right w:val="nil"/>
            </w:tcBorders>
            <w:shd w:val="clear" w:color="auto" w:fill="B4C6E7" w:themeFill="accent1" w:themeFillTint="66"/>
            <w:noWrap/>
          </w:tcPr>
          <w:p w14:paraId="22FBB326"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2018</w:t>
            </w:r>
          </w:p>
        </w:tc>
        <w:tc>
          <w:tcPr>
            <w:tcW w:w="526" w:type="pct"/>
            <w:tcBorders>
              <w:top w:val="nil"/>
              <w:left w:val="nil"/>
              <w:bottom w:val="single" w:sz="4" w:space="0" w:color="auto"/>
              <w:right w:val="nil"/>
            </w:tcBorders>
            <w:shd w:val="clear" w:color="auto" w:fill="B4C6E7" w:themeFill="accent1" w:themeFillTint="66"/>
            <w:noWrap/>
          </w:tcPr>
          <w:p w14:paraId="2D147EDD"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2019</w:t>
            </w:r>
          </w:p>
        </w:tc>
        <w:tc>
          <w:tcPr>
            <w:tcW w:w="527" w:type="pct"/>
            <w:tcBorders>
              <w:top w:val="nil"/>
              <w:left w:val="nil"/>
              <w:bottom w:val="single" w:sz="4" w:space="0" w:color="auto"/>
              <w:right w:val="nil"/>
            </w:tcBorders>
            <w:shd w:val="clear" w:color="auto" w:fill="B4C6E7" w:themeFill="accent1" w:themeFillTint="66"/>
            <w:noWrap/>
          </w:tcPr>
          <w:p w14:paraId="0653B7C2"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2020</w:t>
            </w:r>
          </w:p>
        </w:tc>
        <w:tc>
          <w:tcPr>
            <w:tcW w:w="136" w:type="pct"/>
            <w:tcBorders>
              <w:top w:val="nil"/>
              <w:left w:val="nil"/>
              <w:bottom w:val="single" w:sz="4" w:space="0" w:color="auto"/>
              <w:right w:val="nil"/>
            </w:tcBorders>
            <w:shd w:val="clear" w:color="auto" w:fill="B4C6E7" w:themeFill="accent1" w:themeFillTint="66"/>
            <w:noWrap/>
            <w:hideMark/>
          </w:tcPr>
          <w:p w14:paraId="54BD4E4A"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single" w:sz="4" w:space="0" w:color="auto"/>
              <w:right w:val="nil"/>
            </w:tcBorders>
            <w:shd w:val="clear" w:color="auto" w:fill="B4C6E7" w:themeFill="accent1" w:themeFillTint="66"/>
            <w:noWrap/>
            <w:hideMark/>
          </w:tcPr>
          <w:p w14:paraId="7D714B4A"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of total</w:t>
            </w:r>
          </w:p>
        </w:tc>
        <w:tc>
          <w:tcPr>
            <w:tcW w:w="461" w:type="pct"/>
            <w:tcBorders>
              <w:top w:val="nil"/>
              <w:left w:val="nil"/>
              <w:bottom w:val="single" w:sz="4" w:space="0" w:color="auto"/>
              <w:right w:val="nil"/>
            </w:tcBorders>
            <w:shd w:val="clear" w:color="auto" w:fill="B4C6E7" w:themeFill="accent1" w:themeFillTint="66"/>
            <w:noWrap/>
            <w:hideMark/>
          </w:tcPr>
          <w:p w14:paraId="7E6250FD"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2020</w:t>
            </w:r>
          </w:p>
        </w:tc>
        <w:tc>
          <w:tcPr>
            <w:tcW w:w="391" w:type="pct"/>
            <w:tcBorders>
              <w:top w:val="nil"/>
              <w:left w:val="nil"/>
              <w:bottom w:val="single" w:sz="4" w:space="0" w:color="auto"/>
              <w:right w:val="nil"/>
            </w:tcBorders>
            <w:shd w:val="clear" w:color="auto" w:fill="B4C6E7" w:themeFill="accent1" w:themeFillTint="66"/>
            <w:noWrap/>
            <w:hideMark/>
          </w:tcPr>
          <w:p w14:paraId="1CC9E489"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trend</w:t>
            </w:r>
          </w:p>
        </w:tc>
      </w:tr>
      <w:tr w:rsidR="002A6B8B" w:rsidRPr="003A253C" w14:paraId="13CD7A47" w14:textId="77777777" w:rsidTr="00192530">
        <w:trPr>
          <w:trHeight w:val="263"/>
        </w:trPr>
        <w:tc>
          <w:tcPr>
            <w:tcW w:w="382" w:type="pct"/>
            <w:tcBorders>
              <w:top w:val="nil"/>
              <w:left w:val="nil"/>
              <w:bottom w:val="single" w:sz="4" w:space="0" w:color="auto"/>
              <w:right w:val="nil"/>
            </w:tcBorders>
            <w:shd w:val="clear" w:color="auto" w:fill="auto"/>
            <w:noWrap/>
            <w:vAlign w:val="bottom"/>
            <w:hideMark/>
          </w:tcPr>
          <w:p w14:paraId="2B801601" w14:textId="77777777" w:rsidR="002A6B8B" w:rsidRPr="003A253C" w:rsidRDefault="002A6B8B" w:rsidP="00192530">
            <w:pPr>
              <w:jc w:val="both"/>
              <w:rPr>
                <w:rFonts w:ascii="Calibri Light" w:hAnsi="Calibri Light" w:cs="Calibri Light"/>
                <w:sz w:val="19"/>
                <w:szCs w:val="19"/>
                <w:lang w:eastAsia="en-AU"/>
              </w:rPr>
            </w:pPr>
            <w:r>
              <w:rPr>
                <w:rFonts w:ascii="Calibri Light" w:hAnsi="Calibri Light" w:cs="Calibri Light"/>
                <w:sz w:val="19"/>
                <w:szCs w:val="19"/>
                <w:lang w:eastAsia="en-AU"/>
              </w:rPr>
              <w:t>6</w:t>
            </w:r>
          </w:p>
        </w:tc>
        <w:tc>
          <w:tcPr>
            <w:tcW w:w="526" w:type="pct"/>
            <w:tcBorders>
              <w:top w:val="single" w:sz="4" w:space="0" w:color="auto"/>
              <w:left w:val="nil"/>
              <w:bottom w:val="single" w:sz="4" w:space="0" w:color="auto"/>
              <w:right w:val="nil"/>
            </w:tcBorders>
            <w:shd w:val="clear" w:color="auto" w:fill="auto"/>
            <w:vAlign w:val="bottom"/>
          </w:tcPr>
          <w:p w14:paraId="6BD8F5A8" w14:textId="77777777" w:rsidR="002A6B8B" w:rsidRPr="009E7911"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15,222</w:t>
            </w:r>
          </w:p>
        </w:tc>
        <w:tc>
          <w:tcPr>
            <w:tcW w:w="526" w:type="pct"/>
            <w:tcBorders>
              <w:top w:val="single" w:sz="4" w:space="0" w:color="auto"/>
              <w:left w:val="nil"/>
              <w:bottom w:val="single" w:sz="4" w:space="0" w:color="auto"/>
              <w:right w:val="nil"/>
            </w:tcBorders>
            <w:shd w:val="clear" w:color="auto" w:fill="auto"/>
            <w:noWrap/>
            <w:vAlign w:val="bottom"/>
            <w:hideMark/>
          </w:tcPr>
          <w:p w14:paraId="7D55314D" w14:textId="77777777" w:rsidR="002A6B8B" w:rsidRPr="009E7911"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15,007</w:t>
            </w:r>
          </w:p>
        </w:tc>
        <w:tc>
          <w:tcPr>
            <w:tcW w:w="526" w:type="pct"/>
            <w:tcBorders>
              <w:top w:val="single" w:sz="4" w:space="0" w:color="auto"/>
              <w:left w:val="nil"/>
              <w:bottom w:val="single" w:sz="4" w:space="0" w:color="auto"/>
              <w:right w:val="nil"/>
            </w:tcBorders>
            <w:shd w:val="clear" w:color="auto" w:fill="auto"/>
            <w:vAlign w:val="bottom"/>
          </w:tcPr>
          <w:p w14:paraId="4851602B" w14:textId="77777777" w:rsidR="002A6B8B" w:rsidRPr="009E7911"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15,826</w:t>
            </w:r>
          </w:p>
        </w:tc>
        <w:tc>
          <w:tcPr>
            <w:tcW w:w="526" w:type="pct"/>
            <w:tcBorders>
              <w:top w:val="single" w:sz="4" w:space="0" w:color="auto"/>
              <w:left w:val="nil"/>
              <w:bottom w:val="single" w:sz="4" w:space="0" w:color="auto"/>
              <w:right w:val="nil"/>
            </w:tcBorders>
            <w:shd w:val="clear" w:color="auto" w:fill="auto"/>
            <w:noWrap/>
            <w:vAlign w:val="bottom"/>
            <w:hideMark/>
          </w:tcPr>
          <w:p w14:paraId="74E31B93" w14:textId="77777777" w:rsidR="002A6B8B" w:rsidRPr="009E7911"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16,714</w:t>
            </w:r>
          </w:p>
        </w:tc>
        <w:tc>
          <w:tcPr>
            <w:tcW w:w="526" w:type="pct"/>
            <w:tcBorders>
              <w:top w:val="single" w:sz="4" w:space="0" w:color="auto"/>
              <w:left w:val="nil"/>
              <w:bottom w:val="single" w:sz="4" w:space="0" w:color="auto"/>
              <w:right w:val="nil"/>
            </w:tcBorders>
            <w:shd w:val="clear" w:color="auto" w:fill="auto"/>
            <w:noWrap/>
            <w:vAlign w:val="bottom"/>
            <w:hideMark/>
          </w:tcPr>
          <w:p w14:paraId="47A5BAF5" w14:textId="77777777" w:rsidR="002A6B8B" w:rsidRPr="009E7911"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17,396</w:t>
            </w:r>
          </w:p>
        </w:tc>
        <w:tc>
          <w:tcPr>
            <w:tcW w:w="527" w:type="pct"/>
            <w:tcBorders>
              <w:top w:val="single" w:sz="4" w:space="0" w:color="auto"/>
              <w:left w:val="nil"/>
              <w:bottom w:val="single" w:sz="4" w:space="0" w:color="auto"/>
              <w:right w:val="nil"/>
            </w:tcBorders>
            <w:shd w:val="clear" w:color="auto" w:fill="auto"/>
            <w:noWrap/>
            <w:vAlign w:val="bottom"/>
            <w:hideMark/>
          </w:tcPr>
          <w:p w14:paraId="3C0219DA" w14:textId="77777777" w:rsidR="002A6B8B" w:rsidRPr="009E7911"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12,997</w:t>
            </w:r>
          </w:p>
        </w:tc>
        <w:tc>
          <w:tcPr>
            <w:tcW w:w="136" w:type="pct"/>
            <w:tcBorders>
              <w:top w:val="nil"/>
              <w:left w:val="nil"/>
              <w:bottom w:val="single" w:sz="4" w:space="0" w:color="auto"/>
              <w:right w:val="nil"/>
            </w:tcBorders>
            <w:shd w:val="clear" w:color="auto" w:fill="auto"/>
            <w:noWrap/>
            <w:vAlign w:val="bottom"/>
            <w:hideMark/>
          </w:tcPr>
          <w:p w14:paraId="37A699A9" w14:textId="77777777" w:rsidR="002A6B8B" w:rsidRPr="003A253C" w:rsidRDefault="002A6B8B" w:rsidP="00192530">
            <w:pPr>
              <w:rPr>
                <w:rFonts w:ascii="Calibri Light" w:hAnsi="Calibri Light" w:cs="Calibri Light"/>
                <w:sz w:val="19"/>
                <w:szCs w:val="19"/>
                <w:lang w:eastAsia="en-AU"/>
              </w:rPr>
            </w:pPr>
            <w:r w:rsidRPr="003A253C">
              <w:rPr>
                <w:rFonts w:ascii="Calibri Light" w:hAnsi="Calibri Light" w:cs="Calibri Light"/>
                <w:sz w:val="19"/>
                <w:szCs w:val="19"/>
                <w:lang w:eastAsia="en-AU"/>
              </w:rPr>
              <w:t> </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BD97" w14:textId="77777777" w:rsidR="002A6B8B" w:rsidRPr="003A253C" w:rsidRDefault="002A6B8B" w:rsidP="00192530">
            <w:pPr>
              <w:jc w:val="right"/>
              <w:rPr>
                <w:rFonts w:ascii="Calibri Light" w:hAnsi="Calibri Light" w:cs="Calibri Light"/>
                <w:i/>
                <w:iCs/>
                <w:color w:val="666699"/>
                <w:sz w:val="19"/>
                <w:szCs w:val="19"/>
                <w:lang w:eastAsia="en-AU"/>
              </w:rPr>
            </w:pPr>
            <w:r>
              <w:rPr>
                <w:rFonts w:ascii="Calibri" w:hAnsi="Calibri" w:cs="Calibri"/>
                <w:i/>
                <w:iCs/>
                <w:color w:val="333399"/>
                <w:sz w:val="18"/>
                <w:szCs w:val="18"/>
              </w:rPr>
              <w:t>3.6</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14:paraId="79B3117C" w14:textId="77777777" w:rsidR="002A6B8B" w:rsidRPr="003A253C" w:rsidRDefault="002A6B8B" w:rsidP="00192530">
            <w:pPr>
              <w:jc w:val="right"/>
              <w:rPr>
                <w:rFonts w:ascii="Calibri Light" w:hAnsi="Calibri Light" w:cs="Calibri Light"/>
                <w:i/>
                <w:iCs/>
                <w:color w:val="0000FF"/>
                <w:sz w:val="19"/>
                <w:szCs w:val="19"/>
                <w:lang w:eastAsia="en-AU"/>
              </w:rPr>
            </w:pPr>
            <w:r>
              <w:rPr>
                <w:rFonts w:ascii="Calibri" w:hAnsi="Calibri" w:cs="Calibri"/>
                <w:i/>
                <w:iCs/>
                <w:color w:val="FF0000"/>
                <w:sz w:val="18"/>
                <w:szCs w:val="18"/>
              </w:rPr>
              <w:t>-25.3</w:t>
            </w:r>
          </w:p>
        </w:tc>
        <w:tc>
          <w:tcPr>
            <w:tcW w:w="391" w:type="pct"/>
            <w:tcBorders>
              <w:top w:val="single" w:sz="4" w:space="0" w:color="auto"/>
              <w:left w:val="nil"/>
              <w:bottom w:val="single" w:sz="4" w:space="0" w:color="auto"/>
              <w:right w:val="nil"/>
            </w:tcBorders>
            <w:shd w:val="clear" w:color="auto" w:fill="auto"/>
            <w:noWrap/>
            <w:vAlign w:val="bottom"/>
            <w:hideMark/>
          </w:tcPr>
          <w:p w14:paraId="65B2B4C3" w14:textId="77777777" w:rsidR="002A6B8B" w:rsidRPr="003A253C" w:rsidRDefault="002A6B8B" w:rsidP="00192530">
            <w:pPr>
              <w:jc w:val="right"/>
              <w:rPr>
                <w:rFonts w:ascii="Calibri Light" w:hAnsi="Calibri Light" w:cs="Calibri Light"/>
                <w:i/>
                <w:iCs/>
                <w:color w:val="0000FF"/>
                <w:sz w:val="19"/>
                <w:szCs w:val="19"/>
                <w:lang w:eastAsia="en-AU"/>
              </w:rPr>
            </w:pPr>
            <w:r>
              <w:rPr>
                <w:rFonts w:ascii="Calibri" w:hAnsi="Calibri" w:cs="Calibri"/>
                <w:i/>
                <w:iCs/>
                <w:color w:val="FF0000"/>
                <w:sz w:val="18"/>
                <w:szCs w:val="18"/>
              </w:rPr>
              <w:t>-0.8</w:t>
            </w:r>
          </w:p>
        </w:tc>
      </w:tr>
    </w:tbl>
    <w:p w14:paraId="31CB0C3E" w14:textId="3F36DF1A" w:rsidR="002A6B8B" w:rsidRPr="005A7FBF" w:rsidRDefault="002A6B8B" w:rsidP="002A6B8B">
      <w:pPr>
        <w:rPr>
          <w:sz w:val="16"/>
          <w:szCs w:val="16"/>
        </w:rPr>
      </w:pPr>
      <w:r w:rsidRPr="00D054AA">
        <w:rPr>
          <w:sz w:val="16"/>
          <w:szCs w:val="16"/>
        </w:rPr>
        <w:t>Source: ABS (cat. no. 5368.0 and 5368.0.55.004) and unpublished ABS data with DFAT adjustments</w:t>
      </w:r>
    </w:p>
    <w:p w14:paraId="55A186BB" w14:textId="77777777" w:rsidR="002A6B8B" w:rsidRDefault="002A6B8B" w:rsidP="002A6B8B">
      <w:pPr>
        <w:rPr>
          <w:sz w:val="24"/>
          <w:szCs w:val="24"/>
        </w:rPr>
      </w:pPr>
    </w:p>
    <w:tbl>
      <w:tblPr>
        <w:tblW w:w="5000" w:type="pct"/>
        <w:tblLook w:val="04A0" w:firstRow="1" w:lastRow="0" w:firstColumn="1" w:lastColumn="0" w:noHBand="0" w:noVBand="1"/>
      </w:tblPr>
      <w:tblGrid>
        <w:gridCol w:w="9026"/>
      </w:tblGrid>
      <w:tr w:rsidR="002A6B8B" w:rsidRPr="00E4360D" w14:paraId="012B279B" w14:textId="77777777" w:rsidTr="00192530">
        <w:trPr>
          <w:trHeight w:val="330"/>
        </w:trPr>
        <w:tc>
          <w:tcPr>
            <w:tcW w:w="5000" w:type="pct"/>
            <w:tcBorders>
              <w:top w:val="nil"/>
              <w:left w:val="nil"/>
              <w:bottom w:val="nil"/>
              <w:right w:val="nil"/>
            </w:tcBorders>
            <w:shd w:val="clear" w:color="auto" w:fill="auto"/>
            <w:noWrap/>
            <w:vAlign w:val="bottom"/>
            <w:hideMark/>
          </w:tcPr>
          <w:p w14:paraId="30BA9677" w14:textId="77777777" w:rsidR="002A6B8B" w:rsidRPr="00E4360D" w:rsidRDefault="002A6B8B" w:rsidP="00192530">
            <w:pPr>
              <w:jc w:val="center"/>
              <w:rPr>
                <w:rFonts w:ascii="Calibri" w:hAnsi="Calibri" w:cs="Calibri"/>
                <w:b/>
                <w:bCs/>
                <w:color w:val="000000"/>
                <w:sz w:val="24"/>
                <w:szCs w:val="24"/>
                <w:lang w:eastAsia="en-AU"/>
              </w:rPr>
            </w:pPr>
            <w:r w:rsidRPr="00E4360D">
              <w:rPr>
                <w:rFonts w:ascii="Calibri" w:hAnsi="Calibri" w:cs="Calibri"/>
                <w:b/>
                <w:bCs/>
                <w:color w:val="000000"/>
                <w:sz w:val="24"/>
                <w:szCs w:val="24"/>
                <w:lang w:eastAsia="en-AU"/>
              </w:rPr>
              <w:t>AUSTRALIA'S MERCHANDISE EXPOR</w:t>
            </w:r>
            <w:r>
              <w:rPr>
                <w:rFonts w:ascii="Calibri" w:hAnsi="Calibri" w:cs="Calibri"/>
                <w:b/>
                <w:bCs/>
                <w:color w:val="000000"/>
                <w:sz w:val="24"/>
                <w:szCs w:val="24"/>
                <w:lang w:eastAsia="en-AU"/>
              </w:rPr>
              <w:t xml:space="preserve">TS </w:t>
            </w:r>
          </w:p>
        </w:tc>
      </w:tr>
      <w:tr w:rsidR="002A6B8B" w:rsidRPr="00E4360D" w14:paraId="295B07FE" w14:textId="77777777" w:rsidTr="00192530">
        <w:trPr>
          <w:trHeight w:val="270"/>
        </w:trPr>
        <w:tc>
          <w:tcPr>
            <w:tcW w:w="5000" w:type="pct"/>
            <w:tcBorders>
              <w:top w:val="nil"/>
              <w:left w:val="nil"/>
              <w:bottom w:val="nil"/>
              <w:right w:val="nil"/>
            </w:tcBorders>
            <w:shd w:val="clear" w:color="auto" w:fill="auto"/>
            <w:noWrap/>
            <w:vAlign w:val="bottom"/>
            <w:hideMark/>
          </w:tcPr>
          <w:p w14:paraId="6F9B06A6" w14:textId="77777777" w:rsidR="002A6B8B" w:rsidRPr="00E4360D" w:rsidRDefault="002A6B8B" w:rsidP="00192530">
            <w:pPr>
              <w:jc w:val="center"/>
              <w:rPr>
                <w:rFonts w:ascii="Calibri" w:hAnsi="Calibri" w:cs="Calibri"/>
                <w:b/>
                <w:bCs/>
                <w:color w:val="000000"/>
                <w:lang w:eastAsia="en-AU"/>
              </w:rPr>
            </w:pPr>
            <w:r w:rsidRPr="00E4360D">
              <w:rPr>
                <w:rFonts w:ascii="Calibri" w:hAnsi="Calibri" w:cs="Calibri"/>
                <w:b/>
                <w:bCs/>
                <w:color w:val="000000"/>
                <w:lang w:eastAsia="en-AU"/>
              </w:rPr>
              <w:t>(A$</w:t>
            </w:r>
            <w:r>
              <w:rPr>
                <w:rFonts w:ascii="Calibri" w:hAnsi="Calibri" w:cs="Calibri"/>
                <w:b/>
                <w:bCs/>
                <w:color w:val="000000"/>
                <w:lang w:eastAsia="en-AU"/>
              </w:rPr>
              <w:t xml:space="preserve"> million, current prices</w:t>
            </w:r>
            <w:r w:rsidRPr="00E4360D">
              <w:rPr>
                <w:rFonts w:ascii="Calibri" w:hAnsi="Calibri" w:cs="Calibri"/>
                <w:b/>
                <w:bCs/>
                <w:color w:val="000000"/>
                <w:lang w:eastAsia="en-AU"/>
              </w:rPr>
              <w:t>)</w:t>
            </w:r>
          </w:p>
        </w:tc>
      </w:tr>
    </w:tbl>
    <w:p w14:paraId="244E59B1" w14:textId="77777777" w:rsidR="002A6B8B" w:rsidRDefault="002A6B8B" w:rsidP="002A6B8B">
      <w:pPr>
        <w:rPr>
          <w:sz w:val="24"/>
          <w:szCs w:val="24"/>
        </w:rPr>
      </w:pPr>
    </w:p>
    <w:tbl>
      <w:tblPr>
        <w:tblW w:w="5000" w:type="pct"/>
        <w:tblLayout w:type="fixed"/>
        <w:tblLook w:val="04A0" w:firstRow="1" w:lastRow="0" w:firstColumn="1" w:lastColumn="0" w:noHBand="0" w:noVBand="1"/>
      </w:tblPr>
      <w:tblGrid>
        <w:gridCol w:w="689"/>
        <w:gridCol w:w="949"/>
        <w:gridCol w:w="949"/>
        <w:gridCol w:w="950"/>
        <w:gridCol w:w="950"/>
        <w:gridCol w:w="950"/>
        <w:gridCol w:w="951"/>
        <w:gridCol w:w="246"/>
        <w:gridCol w:w="854"/>
        <w:gridCol w:w="832"/>
        <w:gridCol w:w="706"/>
      </w:tblGrid>
      <w:tr w:rsidR="002A6B8B" w:rsidRPr="003A253C" w14:paraId="0CDC85AA" w14:textId="77777777" w:rsidTr="00192530">
        <w:trPr>
          <w:trHeight w:val="300"/>
        </w:trPr>
        <w:tc>
          <w:tcPr>
            <w:tcW w:w="5000" w:type="pct"/>
            <w:gridSpan w:val="11"/>
            <w:tcBorders>
              <w:top w:val="nil"/>
              <w:left w:val="nil"/>
              <w:bottom w:val="nil"/>
              <w:right w:val="nil"/>
            </w:tcBorders>
            <w:shd w:val="clear" w:color="000000" w:fill="000000"/>
            <w:noWrap/>
            <w:vAlign w:val="center"/>
            <w:hideMark/>
          </w:tcPr>
          <w:p w14:paraId="6CD39A8A" w14:textId="4E3BBC1B" w:rsidR="002A6B8B" w:rsidRPr="00DD08EE" w:rsidRDefault="002A6B8B" w:rsidP="00192530">
            <w:pPr>
              <w:rPr>
                <w:rFonts w:ascii="Calibri" w:hAnsi="Calibri" w:cs="Calibri"/>
                <w:b/>
                <w:bCs/>
                <w:lang w:eastAsia="en-AU"/>
              </w:rPr>
            </w:pPr>
            <w:r w:rsidRPr="00DD08EE">
              <w:rPr>
                <w:rFonts w:ascii="Calibri" w:hAnsi="Calibri" w:cs="Calibri"/>
                <w:b/>
                <w:bCs/>
                <w:lang w:eastAsia="en-AU"/>
              </w:rPr>
              <w:t xml:space="preserve">Table </w:t>
            </w:r>
            <w:r>
              <w:rPr>
                <w:rFonts w:ascii="Calibri" w:hAnsi="Calibri" w:cs="Calibri"/>
                <w:b/>
                <w:bCs/>
                <w:lang w:eastAsia="en-AU"/>
              </w:rPr>
              <w:t>5</w:t>
            </w:r>
            <w:r w:rsidRPr="00DD08EE">
              <w:rPr>
                <w:rFonts w:ascii="Calibri" w:hAnsi="Calibri" w:cs="Calibri"/>
                <w:b/>
                <w:bCs/>
                <w:lang w:eastAsia="en-AU"/>
              </w:rPr>
              <w:t>: Australia’s exports in goods to the United Kingdom, annual, 2015-2020</w:t>
            </w:r>
          </w:p>
        </w:tc>
      </w:tr>
      <w:tr w:rsidR="002A6B8B" w:rsidRPr="003A253C" w14:paraId="02087FAA" w14:textId="77777777" w:rsidTr="00192530">
        <w:trPr>
          <w:trHeight w:val="300"/>
        </w:trPr>
        <w:tc>
          <w:tcPr>
            <w:tcW w:w="382" w:type="pct"/>
            <w:tcBorders>
              <w:top w:val="nil"/>
              <w:left w:val="nil"/>
              <w:bottom w:val="nil"/>
              <w:right w:val="nil"/>
            </w:tcBorders>
            <w:shd w:val="clear" w:color="auto" w:fill="B4C6E7" w:themeFill="accent1" w:themeFillTint="66"/>
            <w:noWrap/>
            <w:vAlign w:val="center"/>
            <w:hideMark/>
          </w:tcPr>
          <w:p w14:paraId="03008308"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center"/>
          </w:tcPr>
          <w:p w14:paraId="45AF8D31"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center"/>
          </w:tcPr>
          <w:p w14:paraId="7AC86EFC"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7656B6C0"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77ADD1AB"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center"/>
          </w:tcPr>
          <w:p w14:paraId="625178F1"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center"/>
          </w:tcPr>
          <w:p w14:paraId="6A999E13"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center"/>
            <w:hideMark/>
          </w:tcPr>
          <w:p w14:paraId="225227A7"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center"/>
            <w:hideMark/>
          </w:tcPr>
          <w:p w14:paraId="44C808F6"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851" w:type="pct"/>
            <w:gridSpan w:val="2"/>
            <w:tcBorders>
              <w:top w:val="nil"/>
              <w:left w:val="nil"/>
              <w:bottom w:val="single" w:sz="4" w:space="0" w:color="FFFFFF"/>
              <w:right w:val="nil"/>
            </w:tcBorders>
            <w:shd w:val="clear" w:color="auto" w:fill="B4C6E7" w:themeFill="accent1" w:themeFillTint="66"/>
            <w:noWrap/>
            <w:vAlign w:val="center"/>
            <w:hideMark/>
          </w:tcPr>
          <w:p w14:paraId="490C904C" w14:textId="77777777" w:rsidR="002A6B8B" w:rsidRPr="000B1F3B" w:rsidRDefault="002A6B8B" w:rsidP="00192530">
            <w:pPr>
              <w:jc w:val="center"/>
              <w:rPr>
                <w:rFonts w:ascii="Calibri" w:hAnsi="Calibri" w:cs="Calibri"/>
                <w:b/>
                <w:bCs/>
                <w:sz w:val="20"/>
                <w:szCs w:val="20"/>
                <w:lang w:eastAsia="en-AU"/>
              </w:rPr>
            </w:pPr>
            <w:r w:rsidRPr="000B1F3B">
              <w:rPr>
                <w:rFonts w:ascii="Calibri" w:hAnsi="Calibri" w:cs="Calibri"/>
                <w:b/>
                <w:bCs/>
                <w:sz w:val="20"/>
                <w:szCs w:val="20"/>
                <w:lang w:eastAsia="en-AU"/>
              </w:rPr>
              <w:t>% growth</w:t>
            </w:r>
          </w:p>
        </w:tc>
      </w:tr>
      <w:tr w:rsidR="002A6B8B" w:rsidRPr="003A253C" w14:paraId="3B6D53AC" w14:textId="77777777" w:rsidTr="00192530">
        <w:trPr>
          <w:trHeight w:val="300"/>
        </w:trPr>
        <w:tc>
          <w:tcPr>
            <w:tcW w:w="382" w:type="pct"/>
            <w:tcBorders>
              <w:top w:val="nil"/>
              <w:left w:val="nil"/>
              <w:bottom w:val="nil"/>
              <w:right w:val="nil"/>
            </w:tcBorders>
            <w:shd w:val="clear" w:color="auto" w:fill="B4C6E7" w:themeFill="accent1" w:themeFillTint="66"/>
            <w:noWrap/>
            <w:vAlign w:val="bottom"/>
            <w:hideMark/>
          </w:tcPr>
          <w:p w14:paraId="1B165E3F"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 </w:t>
            </w:r>
          </w:p>
        </w:tc>
        <w:tc>
          <w:tcPr>
            <w:tcW w:w="526" w:type="pct"/>
            <w:tcBorders>
              <w:left w:val="nil"/>
              <w:right w:val="nil"/>
            </w:tcBorders>
            <w:shd w:val="clear" w:color="auto" w:fill="B4C6E7" w:themeFill="accent1" w:themeFillTint="66"/>
            <w:noWrap/>
            <w:vAlign w:val="bottom"/>
          </w:tcPr>
          <w:p w14:paraId="442A674A" w14:textId="77777777" w:rsidR="002A6B8B" w:rsidRPr="000B1F3B" w:rsidRDefault="002A6B8B" w:rsidP="00192530">
            <w:pPr>
              <w:jc w:val="right"/>
              <w:rPr>
                <w:rFonts w:ascii="Calibri" w:hAnsi="Calibri" w:cs="Calibri"/>
                <w:b/>
                <w:bCs/>
                <w:sz w:val="20"/>
                <w:szCs w:val="20"/>
                <w:lang w:eastAsia="en-AU"/>
              </w:rPr>
            </w:pPr>
          </w:p>
        </w:tc>
        <w:tc>
          <w:tcPr>
            <w:tcW w:w="526" w:type="pct"/>
            <w:tcBorders>
              <w:left w:val="nil"/>
              <w:right w:val="nil"/>
            </w:tcBorders>
            <w:shd w:val="clear" w:color="auto" w:fill="B4C6E7" w:themeFill="accent1" w:themeFillTint="66"/>
            <w:vAlign w:val="bottom"/>
          </w:tcPr>
          <w:p w14:paraId="29C9488B"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29F0BAFD"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1342421F" w14:textId="77777777" w:rsidR="002A6B8B" w:rsidRPr="000B1F3B" w:rsidRDefault="002A6B8B" w:rsidP="00192530">
            <w:pPr>
              <w:jc w:val="right"/>
              <w:rPr>
                <w:rFonts w:ascii="Calibri" w:hAnsi="Calibri" w:cs="Calibri"/>
                <w:b/>
                <w:bCs/>
                <w:sz w:val="20"/>
                <w:szCs w:val="20"/>
                <w:lang w:eastAsia="en-AU"/>
              </w:rPr>
            </w:pPr>
          </w:p>
        </w:tc>
        <w:tc>
          <w:tcPr>
            <w:tcW w:w="526" w:type="pct"/>
            <w:tcBorders>
              <w:top w:val="nil"/>
              <w:left w:val="nil"/>
              <w:bottom w:val="nil"/>
              <w:right w:val="nil"/>
            </w:tcBorders>
            <w:shd w:val="clear" w:color="auto" w:fill="B4C6E7" w:themeFill="accent1" w:themeFillTint="66"/>
            <w:noWrap/>
            <w:vAlign w:val="bottom"/>
          </w:tcPr>
          <w:p w14:paraId="6FEF5A4D" w14:textId="77777777" w:rsidR="002A6B8B" w:rsidRPr="000B1F3B" w:rsidRDefault="002A6B8B" w:rsidP="00192530">
            <w:pPr>
              <w:jc w:val="right"/>
              <w:rPr>
                <w:rFonts w:ascii="Calibri" w:hAnsi="Calibri" w:cs="Calibri"/>
                <w:b/>
                <w:bCs/>
                <w:sz w:val="20"/>
                <w:szCs w:val="20"/>
                <w:lang w:eastAsia="en-AU"/>
              </w:rPr>
            </w:pPr>
          </w:p>
        </w:tc>
        <w:tc>
          <w:tcPr>
            <w:tcW w:w="527" w:type="pct"/>
            <w:tcBorders>
              <w:top w:val="nil"/>
              <w:left w:val="nil"/>
              <w:bottom w:val="nil"/>
              <w:right w:val="nil"/>
            </w:tcBorders>
            <w:shd w:val="clear" w:color="auto" w:fill="B4C6E7" w:themeFill="accent1" w:themeFillTint="66"/>
            <w:noWrap/>
            <w:vAlign w:val="bottom"/>
          </w:tcPr>
          <w:p w14:paraId="4C684145" w14:textId="77777777" w:rsidR="002A6B8B" w:rsidRPr="000B1F3B" w:rsidRDefault="002A6B8B" w:rsidP="00192530">
            <w:pPr>
              <w:jc w:val="right"/>
              <w:rPr>
                <w:rFonts w:ascii="Calibri" w:hAnsi="Calibri" w:cs="Calibri"/>
                <w:b/>
                <w:bCs/>
                <w:sz w:val="20"/>
                <w:szCs w:val="20"/>
                <w:lang w:eastAsia="en-AU"/>
              </w:rPr>
            </w:pPr>
          </w:p>
        </w:tc>
        <w:tc>
          <w:tcPr>
            <w:tcW w:w="136" w:type="pct"/>
            <w:tcBorders>
              <w:top w:val="nil"/>
              <w:left w:val="nil"/>
              <w:bottom w:val="nil"/>
              <w:right w:val="nil"/>
            </w:tcBorders>
            <w:shd w:val="clear" w:color="auto" w:fill="B4C6E7" w:themeFill="accent1" w:themeFillTint="66"/>
            <w:noWrap/>
            <w:vAlign w:val="bottom"/>
            <w:hideMark/>
          </w:tcPr>
          <w:p w14:paraId="569CD34D"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nil"/>
              <w:right w:val="nil"/>
            </w:tcBorders>
            <w:shd w:val="clear" w:color="auto" w:fill="B4C6E7" w:themeFill="accent1" w:themeFillTint="66"/>
            <w:noWrap/>
            <w:vAlign w:val="bottom"/>
            <w:hideMark/>
          </w:tcPr>
          <w:p w14:paraId="596305A4"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 xml:space="preserve">2020 </w:t>
            </w:r>
            <w:r w:rsidRPr="000B1F3B">
              <w:rPr>
                <w:rFonts w:ascii="Calibri" w:hAnsi="Calibri" w:cs="Calibri"/>
                <w:b/>
                <w:bCs/>
                <w:sz w:val="20"/>
                <w:szCs w:val="20"/>
                <w:lang w:eastAsia="en-AU"/>
              </w:rPr>
              <w:t>% share</w:t>
            </w:r>
          </w:p>
        </w:tc>
        <w:tc>
          <w:tcPr>
            <w:tcW w:w="461" w:type="pct"/>
            <w:tcBorders>
              <w:top w:val="nil"/>
              <w:left w:val="nil"/>
              <w:bottom w:val="nil"/>
              <w:right w:val="nil"/>
            </w:tcBorders>
            <w:shd w:val="clear" w:color="auto" w:fill="B4C6E7" w:themeFill="accent1" w:themeFillTint="66"/>
            <w:noWrap/>
            <w:vAlign w:val="bottom"/>
            <w:hideMark/>
          </w:tcPr>
          <w:p w14:paraId="46DC4828"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2019 to</w:t>
            </w:r>
          </w:p>
        </w:tc>
        <w:tc>
          <w:tcPr>
            <w:tcW w:w="390" w:type="pct"/>
            <w:tcBorders>
              <w:top w:val="nil"/>
              <w:left w:val="nil"/>
              <w:bottom w:val="nil"/>
              <w:right w:val="nil"/>
            </w:tcBorders>
            <w:shd w:val="clear" w:color="auto" w:fill="B4C6E7" w:themeFill="accent1" w:themeFillTint="66"/>
            <w:noWrap/>
            <w:vAlign w:val="bottom"/>
            <w:hideMark/>
          </w:tcPr>
          <w:p w14:paraId="0BC90FBC"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5 year</w:t>
            </w:r>
          </w:p>
        </w:tc>
      </w:tr>
      <w:tr w:rsidR="002A6B8B" w:rsidRPr="003A253C" w14:paraId="6CF0A739" w14:textId="77777777" w:rsidTr="00192530">
        <w:trPr>
          <w:trHeight w:val="300"/>
        </w:trPr>
        <w:tc>
          <w:tcPr>
            <w:tcW w:w="382" w:type="pct"/>
            <w:tcBorders>
              <w:top w:val="nil"/>
              <w:left w:val="nil"/>
              <w:bottom w:val="single" w:sz="4" w:space="0" w:color="auto"/>
              <w:right w:val="nil"/>
            </w:tcBorders>
            <w:shd w:val="clear" w:color="auto" w:fill="B4C6E7" w:themeFill="accent1" w:themeFillTint="66"/>
            <w:noWrap/>
            <w:hideMark/>
          </w:tcPr>
          <w:p w14:paraId="6C2FC60C" w14:textId="77777777" w:rsidR="002A6B8B" w:rsidRPr="000B1F3B" w:rsidRDefault="002A6B8B" w:rsidP="00192530">
            <w:pPr>
              <w:jc w:val="both"/>
              <w:rPr>
                <w:rFonts w:ascii="Calibri" w:hAnsi="Calibri" w:cs="Calibri"/>
                <w:b/>
                <w:bCs/>
                <w:sz w:val="20"/>
                <w:szCs w:val="20"/>
                <w:lang w:eastAsia="en-AU"/>
              </w:rPr>
            </w:pPr>
            <w:r w:rsidRPr="000B1F3B">
              <w:rPr>
                <w:rFonts w:ascii="Calibri" w:hAnsi="Calibri" w:cs="Calibri"/>
                <w:b/>
                <w:bCs/>
                <w:sz w:val="20"/>
                <w:szCs w:val="20"/>
                <w:lang w:eastAsia="en-AU"/>
              </w:rPr>
              <w:t>Rank</w:t>
            </w:r>
          </w:p>
        </w:tc>
        <w:tc>
          <w:tcPr>
            <w:tcW w:w="526" w:type="pct"/>
            <w:tcBorders>
              <w:left w:val="nil"/>
              <w:bottom w:val="single" w:sz="4" w:space="0" w:color="auto"/>
              <w:right w:val="nil"/>
            </w:tcBorders>
            <w:shd w:val="clear" w:color="auto" w:fill="B4C6E7" w:themeFill="accent1" w:themeFillTint="66"/>
            <w:noWrap/>
          </w:tcPr>
          <w:p w14:paraId="7FCDAF05"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2015</w:t>
            </w:r>
          </w:p>
        </w:tc>
        <w:tc>
          <w:tcPr>
            <w:tcW w:w="526" w:type="pct"/>
            <w:tcBorders>
              <w:left w:val="nil"/>
              <w:bottom w:val="single" w:sz="4" w:space="0" w:color="auto"/>
              <w:right w:val="nil"/>
            </w:tcBorders>
            <w:shd w:val="clear" w:color="auto" w:fill="B4C6E7" w:themeFill="accent1" w:themeFillTint="66"/>
          </w:tcPr>
          <w:p w14:paraId="10C04BFB"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2016</w:t>
            </w:r>
          </w:p>
        </w:tc>
        <w:tc>
          <w:tcPr>
            <w:tcW w:w="526" w:type="pct"/>
            <w:tcBorders>
              <w:top w:val="nil"/>
              <w:left w:val="nil"/>
              <w:bottom w:val="single" w:sz="4" w:space="0" w:color="auto"/>
              <w:right w:val="nil"/>
            </w:tcBorders>
            <w:shd w:val="clear" w:color="auto" w:fill="B4C6E7" w:themeFill="accent1" w:themeFillTint="66"/>
            <w:noWrap/>
          </w:tcPr>
          <w:p w14:paraId="3C2F84B8"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2017</w:t>
            </w:r>
          </w:p>
        </w:tc>
        <w:tc>
          <w:tcPr>
            <w:tcW w:w="526" w:type="pct"/>
            <w:tcBorders>
              <w:top w:val="nil"/>
              <w:left w:val="nil"/>
              <w:bottom w:val="single" w:sz="4" w:space="0" w:color="auto"/>
              <w:right w:val="nil"/>
            </w:tcBorders>
            <w:shd w:val="clear" w:color="auto" w:fill="B4C6E7" w:themeFill="accent1" w:themeFillTint="66"/>
            <w:noWrap/>
          </w:tcPr>
          <w:p w14:paraId="06036AF4"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2018</w:t>
            </w:r>
          </w:p>
        </w:tc>
        <w:tc>
          <w:tcPr>
            <w:tcW w:w="526" w:type="pct"/>
            <w:tcBorders>
              <w:top w:val="nil"/>
              <w:left w:val="nil"/>
              <w:bottom w:val="single" w:sz="4" w:space="0" w:color="auto"/>
              <w:right w:val="nil"/>
            </w:tcBorders>
            <w:shd w:val="clear" w:color="auto" w:fill="B4C6E7" w:themeFill="accent1" w:themeFillTint="66"/>
            <w:noWrap/>
          </w:tcPr>
          <w:p w14:paraId="4C2AB987"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2019</w:t>
            </w:r>
          </w:p>
        </w:tc>
        <w:tc>
          <w:tcPr>
            <w:tcW w:w="527" w:type="pct"/>
            <w:tcBorders>
              <w:top w:val="nil"/>
              <w:left w:val="nil"/>
              <w:bottom w:val="single" w:sz="4" w:space="0" w:color="auto"/>
              <w:right w:val="nil"/>
            </w:tcBorders>
            <w:shd w:val="clear" w:color="auto" w:fill="B4C6E7" w:themeFill="accent1" w:themeFillTint="66"/>
            <w:noWrap/>
          </w:tcPr>
          <w:p w14:paraId="1E1C544D" w14:textId="77777777" w:rsidR="002A6B8B" w:rsidRPr="000B1F3B" w:rsidRDefault="002A6B8B" w:rsidP="00192530">
            <w:pPr>
              <w:jc w:val="right"/>
              <w:rPr>
                <w:rFonts w:ascii="Calibri" w:hAnsi="Calibri" w:cs="Calibri"/>
                <w:b/>
                <w:bCs/>
                <w:sz w:val="20"/>
                <w:szCs w:val="20"/>
                <w:lang w:eastAsia="en-AU"/>
              </w:rPr>
            </w:pPr>
            <w:r>
              <w:rPr>
                <w:rFonts w:ascii="Calibri" w:hAnsi="Calibri" w:cs="Calibri"/>
                <w:b/>
                <w:bCs/>
                <w:sz w:val="20"/>
                <w:szCs w:val="20"/>
                <w:lang w:eastAsia="en-AU"/>
              </w:rPr>
              <w:t>2020</w:t>
            </w:r>
          </w:p>
        </w:tc>
        <w:tc>
          <w:tcPr>
            <w:tcW w:w="136" w:type="pct"/>
            <w:tcBorders>
              <w:top w:val="nil"/>
              <w:left w:val="nil"/>
              <w:bottom w:val="single" w:sz="4" w:space="0" w:color="auto"/>
              <w:right w:val="nil"/>
            </w:tcBorders>
            <w:shd w:val="clear" w:color="auto" w:fill="B4C6E7" w:themeFill="accent1" w:themeFillTint="66"/>
            <w:noWrap/>
            <w:hideMark/>
          </w:tcPr>
          <w:p w14:paraId="3FDAC2CC"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 </w:t>
            </w:r>
          </w:p>
        </w:tc>
        <w:tc>
          <w:tcPr>
            <w:tcW w:w="473" w:type="pct"/>
            <w:tcBorders>
              <w:top w:val="nil"/>
              <w:left w:val="nil"/>
              <w:bottom w:val="single" w:sz="4" w:space="0" w:color="auto"/>
              <w:right w:val="nil"/>
            </w:tcBorders>
            <w:shd w:val="clear" w:color="auto" w:fill="B4C6E7" w:themeFill="accent1" w:themeFillTint="66"/>
            <w:noWrap/>
            <w:hideMark/>
          </w:tcPr>
          <w:p w14:paraId="466FE81F"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of total</w:t>
            </w:r>
          </w:p>
        </w:tc>
        <w:tc>
          <w:tcPr>
            <w:tcW w:w="461" w:type="pct"/>
            <w:tcBorders>
              <w:top w:val="nil"/>
              <w:left w:val="nil"/>
              <w:bottom w:val="single" w:sz="4" w:space="0" w:color="auto"/>
              <w:right w:val="nil"/>
            </w:tcBorders>
            <w:shd w:val="clear" w:color="auto" w:fill="B4C6E7" w:themeFill="accent1" w:themeFillTint="66"/>
            <w:noWrap/>
            <w:hideMark/>
          </w:tcPr>
          <w:p w14:paraId="4E28C933"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2020</w:t>
            </w:r>
          </w:p>
        </w:tc>
        <w:tc>
          <w:tcPr>
            <w:tcW w:w="390" w:type="pct"/>
            <w:tcBorders>
              <w:top w:val="nil"/>
              <w:left w:val="nil"/>
              <w:bottom w:val="single" w:sz="4" w:space="0" w:color="auto"/>
              <w:right w:val="nil"/>
            </w:tcBorders>
            <w:shd w:val="clear" w:color="auto" w:fill="B4C6E7" w:themeFill="accent1" w:themeFillTint="66"/>
            <w:noWrap/>
            <w:hideMark/>
          </w:tcPr>
          <w:p w14:paraId="0DBB7E80" w14:textId="77777777" w:rsidR="002A6B8B" w:rsidRPr="000B1F3B" w:rsidRDefault="002A6B8B" w:rsidP="00192530">
            <w:pPr>
              <w:jc w:val="right"/>
              <w:rPr>
                <w:rFonts w:ascii="Calibri" w:hAnsi="Calibri" w:cs="Calibri"/>
                <w:b/>
                <w:bCs/>
                <w:sz w:val="20"/>
                <w:szCs w:val="20"/>
                <w:lang w:eastAsia="en-AU"/>
              </w:rPr>
            </w:pPr>
            <w:r w:rsidRPr="000B1F3B">
              <w:rPr>
                <w:rFonts w:ascii="Calibri" w:hAnsi="Calibri" w:cs="Calibri"/>
                <w:b/>
                <w:bCs/>
                <w:sz w:val="20"/>
                <w:szCs w:val="20"/>
                <w:lang w:eastAsia="en-AU"/>
              </w:rPr>
              <w:t>trend</w:t>
            </w:r>
          </w:p>
        </w:tc>
      </w:tr>
      <w:tr w:rsidR="002A6B8B" w:rsidRPr="003A253C" w14:paraId="63E0A0DC" w14:textId="77777777" w:rsidTr="00192530">
        <w:trPr>
          <w:trHeight w:val="263"/>
        </w:trPr>
        <w:tc>
          <w:tcPr>
            <w:tcW w:w="382" w:type="pct"/>
            <w:tcBorders>
              <w:top w:val="nil"/>
              <w:left w:val="nil"/>
              <w:bottom w:val="single" w:sz="4" w:space="0" w:color="auto"/>
              <w:right w:val="nil"/>
            </w:tcBorders>
            <w:shd w:val="clear" w:color="auto" w:fill="auto"/>
            <w:noWrap/>
            <w:vAlign w:val="bottom"/>
            <w:hideMark/>
          </w:tcPr>
          <w:p w14:paraId="674C34C9" w14:textId="77777777" w:rsidR="002A6B8B" w:rsidRPr="003A253C" w:rsidRDefault="002A6B8B" w:rsidP="00192530">
            <w:pPr>
              <w:jc w:val="both"/>
              <w:rPr>
                <w:rFonts w:ascii="Calibri Light" w:hAnsi="Calibri Light" w:cs="Calibri Light"/>
                <w:sz w:val="19"/>
                <w:szCs w:val="19"/>
                <w:lang w:eastAsia="en-AU"/>
              </w:rPr>
            </w:pPr>
            <w:r>
              <w:rPr>
                <w:rFonts w:ascii="Calibri Light" w:hAnsi="Calibri Light" w:cs="Calibri Light"/>
                <w:sz w:val="19"/>
                <w:szCs w:val="19"/>
                <w:lang w:eastAsia="en-AU"/>
              </w:rPr>
              <w:t>5</w:t>
            </w:r>
          </w:p>
        </w:tc>
        <w:tc>
          <w:tcPr>
            <w:tcW w:w="526" w:type="pct"/>
            <w:tcBorders>
              <w:top w:val="single" w:sz="4" w:space="0" w:color="auto"/>
              <w:left w:val="nil"/>
              <w:bottom w:val="single" w:sz="4" w:space="0" w:color="auto"/>
              <w:right w:val="nil"/>
            </w:tcBorders>
            <w:shd w:val="clear" w:color="auto" w:fill="auto"/>
            <w:vAlign w:val="bottom"/>
          </w:tcPr>
          <w:p w14:paraId="7191DF41" w14:textId="77777777" w:rsidR="002A6B8B" w:rsidRPr="003A253C" w:rsidRDefault="002A6B8B" w:rsidP="00192530">
            <w:pPr>
              <w:jc w:val="right"/>
              <w:rPr>
                <w:rFonts w:ascii="Calibri Light" w:hAnsi="Calibri Light" w:cs="Calibri Light"/>
                <w:sz w:val="19"/>
                <w:szCs w:val="19"/>
                <w:lang w:eastAsia="en-AU"/>
              </w:rPr>
            </w:pPr>
            <w:r>
              <w:rPr>
                <w:rFonts w:ascii="Calibri" w:hAnsi="Calibri" w:cs="Calibri"/>
                <w:color w:val="000000"/>
                <w:sz w:val="18"/>
                <w:szCs w:val="18"/>
              </w:rPr>
              <w:t>3,788</w:t>
            </w:r>
          </w:p>
        </w:tc>
        <w:tc>
          <w:tcPr>
            <w:tcW w:w="526" w:type="pct"/>
            <w:tcBorders>
              <w:top w:val="single" w:sz="4" w:space="0" w:color="auto"/>
              <w:left w:val="nil"/>
              <w:bottom w:val="single" w:sz="4" w:space="0" w:color="auto"/>
              <w:right w:val="nil"/>
            </w:tcBorders>
            <w:shd w:val="clear" w:color="auto" w:fill="auto"/>
            <w:noWrap/>
            <w:vAlign w:val="bottom"/>
            <w:hideMark/>
          </w:tcPr>
          <w:p w14:paraId="042EB176" w14:textId="77777777" w:rsidR="002A6B8B" w:rsidRPr="003A253C"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10,148</w:t>
            </w:r>
          </w:p>
        </w:tc>
        <w:tc>
          <w:tcPr>
            <w:tcW w:w="526" w:type="pct"/>
            <w:tcBorders>
              <w:top w:val="single" w:sz="4" w:space="0" w:color="auto"/>
              <w:left w:val="nil"/>
              <w:bottom w:val="single" w:sz="4" w:space="0" w:color="auto"/>
              <w:right w:val="nil"/>
            </w:tcBorders>
            <w:shd w:val="clear" w:color="auto" w:fill="auto"/>
            <w:vAlign w:val="bottom"/>
          </w:tcPr>
          <w:p w14:paraId="0E5A9E43" w14:textId="77777777" w:rsidR="002A6B8B" w:rsidRPr="003A253C" w:rsidRDefault="002A6B8B" w:rsidP="00192530">
            <w:pPr>
              <w:jc w:val="right"/>
              <w:rPr>
                <w:rFonts w:ascii="Calibri Light" w:hAnsi="Calibri Light" w:cs="Calibri Light"/>
                <w:color w:val="000000"/>
                <w:sz w:val="19"/>
                <w:szCs w:val="19"/>
                <w:lang w:eastAsia="en-AU"/>
              </w:rPr>
            </w:pPr>
            <w:r>
              <w:rPr>
                <w:rFonts w:ascii="Calibri" w:hAnsi="Calibri" w:cs="Calibri"/>
                <w:color w:val="000000"/>
                <w:sz w:val="18"/>
                <w:szCs w:val="18"/>
              </w:rPr>
              <w:t>6,149</w:t>
            </w:r>
          </w:p>
        </w:tc>
        <w:tc>
          <w:tcPr>
            <w:tcW w:w="526" w:type="pct"/>
            <w:tcBorders>
              <w:top w:val="single" w:sz="4" w:space="0" w:color="auto"/>
              <w:left w:val="nil"/>
              <w:bottom w:val="single" w:sz="4" w:space="0" w:color="auto"/>
              <w:right w:val="nil"/>
            </w:tcBorders>
            <w:shd w:val="clear" w:color="auto" w:fill="auto"/>
            <w:noWrap/>
            <w:vAlign w:val="bottom"/>
            <w:hideMark/>
          </w:tcPr>
          <w:p w14:paraId="45763220" w14:textId="77777777" w:rsidR="002A6B8B" w:rsidRPr="003A253C" w:rsidRDefault="002A6B8B" w:rsidP="00192530">
            <w:pPr>
              <w:jc w:val="right"/>
              <w:rPr>
                <w:rFonts w:ascii="Calibri Light" w:hAnsi="Calibri Light" w:cs="Calibri Light"/>
                <w:sz w:val="19"/>
                <w:szCs w:val="19"/>
                <w:lang w:eastAsia="en-AU"/>
              </w:rPr>
            </w:pPr>
            <w:r>
              <w:rPr>
                <w:rFonts w:ascii="Calibri" w:hAnsi="Calibri" w:cs="Calibri"/>
                <w:color w:val="000000"/>
                <w:sz w:val="18"/>
                <w:szCs w:val="18"/>
              </w:rPr>
              <w:t>5,033</w:t>
            </w:r>
          </w:p>
        </w:tc>
        <w:tc>
          <w:tcPr>
            <w:tcW w:w="526" w:type="pct"/>
            <w:tcBorders>
              <w:top w:val="single" w:sz="4" w:space="0" w:color="auto"/>
              <w:left w:val="nil"/>
              <w:bottom w:val="single" w:sz="4" w:space="0" w:color="auto"/>
              <w:right w:val="nil"/>
            </w:tcBorders>
            <w:shd w:val="clear" w:color="auto" w:fill="auto"/>
            <w:noWrap/>
            <w:vAlign w:val="bottom"/>
            <w:hideMark/>
          </w:tcPr>
          <w:p w14:paraId="626DE1E5" w14:textId="77777777" w:rsidR="002A6B8B" w:rsidRPr="003A253C" w:rsidRDefault="002A6B8B" w:rsidP="00192530">
            <w:pPr>
              <w:jc w:val="right"/>
              <w:rPr>
                <w:rFonts w:ascii="Calibri Light" w:hAnsi="Calibri Light" w:cs="Calibri Light"/>
                <w:sz w:val="19"/>
                <w:szCs w:val="19"/>
                <w:lang w:eastAsia="en-AU"/>
              </w:rPr>
            </w:pPr>
            <w:r>
              <w:rPr>
                <w:rFonts w:ascii="Calibri" w:hAnsi="Calibri" w:cs="Calibri"/>
                <w:color w:val="000000"/>
                <w:sz w:val="18"/>
                <w:szCs w:val="18"/>
              </w:rPr>
              <w:t>15,357</w:t>
            </w:r>
          </w:p>
        </w:tc>
        <w:tc>
          <w:tcPr>
            <w:tcW w:w="527" w:type="pct"/>
            <w:tcBorders>
              <w:top w:val="single" w:sz="4" w:space="0" w:color="auto"/>
              <w:left w:val="nil"/>
              <w:bottom w:val="single" w:sz="4" w:space="0" w:color="auto"/>
              <w:right w:val="nil"/>
            </w:tcBorders>
            <w:shd w:val="clear" w:color="auto" w:fill="auto"/>
            <w:noWrap/>
            <w:vAlign w:val="bottom"/>
            <w:hideMark/>
          </w:tcPr>
          <w:p w14:paraId="2C7FFA17" w14:textId="77777777" w:rsidR="002A6B8B" w:rsidRPr="003A253C" w:rsidRDefault="002A6B8B" w:rsidP="00192530">
            <w:pPr>
              <w:jc w:val="right"/>
              <w:rPr>
                <w:rFonts w:ascii="Calibri Light" w:hAnsi="Calibri Light" w:cs="Calibri Light"/>
                <w:sz w:val="19"/>
                <w:szCs w:val="19"/>
                <w:lang w:eastAsia="en-AU"/>
              </w:rPr>
            </w:pPr>
            <w:r>
              <w:rPr>
                <w:rFonts w:ascii="Calibri" w:hAnsi="Calibri" w:cs="Calibri"/>
                <w:color w:val="000000"/>
                <w:sz w:val="18"/>
                <w:szCs w:val="18"/>
              </w:rPr>
              <w:t>14,924</w:t>
            </w:r>
          </w:p>
        </w:tc>
        <w:tc>
          <w:tcPr>
            <w:tcW w:w="136" w:type="pct"/>
            <w:tcBorders>
              <w:top w:val="nil"/>
              <w:left w:val="nil"/>
              <w:bottom w:val="single" w:sz="4" w:space="0" w:color="auto"/>
              <w:right w:val="nil"/>
            </w:tcBorders>
            <w:shd w:val="clear" w:color="auto" w:fill="auto"/>
            <w:noWrap/>
            <w:vAlign w:val="bottom"/>
            <w:hideMark/>
          </w:tcPr>
          <w:p w14:paraId="44AA0D69" w14:textId="77777777" w:rsidR="002A6B8B" w:rsidRPr="003A253C" w:rsidRDefault="002A6B8B" w:rsidP="00192530">
            <w:pPr>
              <w:rPr>
                <w:rFonts w:ascii="Calibri Light" w:hAnsi="Calibri Light" w:cs="Calibri Light"/>
                <w:sz w:val="19"/>
                <w:szCs w:val="19"/>
                <w:lang w:eastAsia="en-AU"/>
              </w:rPr>
            </w:pPr>
            <w:r w:rsidRPr="003A253C">
              <w:rPr>
                <w:rFonts w:ascii="Calibri Light" w:hAnsi="Calibri Light" w:cs="Calibri Light"/>
                <w:sz w:val="19"/>
                <w:szCs w:val="19"/>
                <w:lang w:eastAsia="en-AU"/>
              </w:rPr>
              <w:t> </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152CE" w14:textId="77777777" w:rsidR="002A6B8B" w:rsidRPr="003A253C" w:rsidRDefault="002A6B8B" w:rsidP="00192530">
            <w:pPr>
              <w:jc w:val="right"/>
              <w:rPr>
                <w:rFonts w:ascii="Calibri Light" w:hAnsi="Calibri Light" w:cs="Calibri Light"/>
                <w:i/>
                <w:iCs/>
                <w:color w:val="666699"/>
                <w:sz w:val="19"/>
                <w:szCs w:val="19"/>
                <w:lang w:eastAsia="en-AU"/>
              </w:rPr>
            </w:pPr>
            <w:r>
              <w:rPr>
                <w:rFonts w:ascii="Calibri" w:hAnsi="Calibri" w:cs="Calibri"/>
                <w:i/>
                <w:iCs/>
                <w:color w:val="333399"/>
                <w:sz w:val="18"/>
                <w:szCs w:val="18"/>
              </w:rPr>
              <w:t>4.1</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14:paraId="5B62849F" w14:textId="77777777" w:rsidR="002A6B8B" w:rsidRPr="003A253C" w:rsidRDefault="002A6B8B" w:rsidP="00192530">
            <w:pPr>
              <w:jc w:val="right"/>
              <w:rPr>
                <w:rFonts w:ascii="Calibri Light" w:hAnsi="Calibri Light" w:cs="Calibri Light"/>
                <w:i/>
                <w:iCs/>
                <w:color w:val="0000FF"/>
                <w:sz w:val="19"/>
                <w:szCs w:val="19"/>
                <w:lang w:eastAsia="en-AU"/>
              </w:rPr>
            </w:pPr>
            <w:r>
              <w:rPr>
                <w:rFonts w:ascii="Calibri" w:hAnsi="Calibri" w:cs="Calibri"/>
                <w:i/>
                <w:iCs/>
                <w:color w:val="FF0000"/>
                <w:sz w:val="18"/>
                <w:szCs w:val="18"/>
              </w:rPr>
              <w:t>-2.8</w:t>
            </w:r>
          </w:p>
        </w:tc>
        <w:tc>
          <w:tcPr>
            <w:tcW w:w="390" w:type="pct"/>
            <w:tcBorders>
              <w:top w:val="single" w:sz="4" w:space="0" w:color="auto"/>
              <w:left w:val="nil"/>
              <w:bottom w:val="single" w:sz="4" w:space="0" w:color="auto"/>
              <w:right w:val="nil"/>
            </w:tcBorders>
            <w:shd w:val="clear" w:color="auto" w:fill="auto"/>
            <w:noWrap/>
            <w:vAlign w:val="bottom"/>
            <w:hideMark/>
          </w:tcPr>
          <w:p w14:paraId="6D86B528" w14:textId="77777777" w:rsidR="002A6B8B" w:rsidRPr="003A253C" w:rsidRDefault="002A6B8B" w:rsidP="00192530">
            <w:pPr>
              <w:jc w:val="right"/>
              <w:rPr>
                <w:rFonts w:ascii="Calibri Light" w:hAnsi="Calibri Light" w:cs="Calibri Light"/>
                <w:i/>
                <w:iCs/>
                <w:color w:val="0000FF"/>
                <w:sz w:val="19"/>
                <w:szCs w:val="19"/>
                <w:lang w:eastAsia="en-AU"/>
              </w:rPr>
            </w:pPr>
            <w:r>
              <w:rPr>
                <w:rFonts w:ascii="Calibri" w:hAnsi="Calibri" w:cs="Calibri"/>
                <w:i/>
                <w:iCs/>
                <w:color w:val="0000FF"/>
                <w:sz w:val="18"/>
                <w:szCs w:val="18"/>
              </w:rPr>
              <w:t>25.3</w:t>
            </w:r>
          </w:p>
        </w:tc>
      </w:tr>
    </w:tbl>
    <w:p w14:paraId="3B881654" w14:textId="77777777" w:rsidR="002A6B8B" w:rsidRPr="00D054AA" w:rsidRDefault="002A6B8B" w:rsidP="002A6B8B">
      <w:pPr>
        <w:rPr>
          <w:sz w:val="16"/>
          <w:szCs w:val="16"/>
        </w:rPr>
      </w:pPr>
      <w:r w:rsidRPr="00D054AA">
        <w:rPr>
          <w:sz w:val="16"/>
          <w:szCs w:val="16"/>
        </w:rPr>
        <w:t>Source: ABS (cat. no. 5368.0) and unpublished ABS data with DFAT adjustments</w:t>
      </w:r>
    </w:p>
    <w:p w14:paraId="6A438561" w14:textId="77777777" w:rsidR="00300B03" w:rsidRPr="003A7612" w:rsidRDefault="00300B03" w:rsidP="00270D9D">
      <w:pPr>
        <w:pStyle w:val="ListParagraph"/>
        <w:rPr>
          <w:sz w:val="24"/>
          <w:szCs w:val="24"/>
        </w:rPr>
      </w:pPr>
    </w:p>
    <w:p w14:paraId="09AC1887" w14:textId="70D0D58C" w:rsidR="005D6EDD" w:rsidRDefault="0033543B" w:rsidP="00206944">
      <w:pPr>
        <w:pStyle w:val="ListParagraph"/>
        <w:numPr>
          <w:ilvl w:val="0"/>
          <w:numId w:val="1"/>
        </w:numPr>
        <w:ind w:left="567" w:hanging="567"/>
        <w:rPr>
          <w:sz w:val="24"/>
          <w:szCs w:val="24"/>
        </w:rPr>
      </w:pPr>
      <w:r>
        <w:rPr>
          <w:sz w:val="24"/>
          <w:szCs w:val="24"/>
        </w:rPr>
        <w:t>In 1973 when the UK acceded to the European Communities (EC, which ultimately became the European Union in 1993), trade d</w:t>
      </w:r>
      <w:r w:rsidR="0042760F">
        <w:rPr>
          <w:sz w:val="24"/>
          <w:szCs w:val="24"/>
        </w:rPr>
        <w:t xml:space="preserve">ata </w:t>
      </w:r>
      <w:r>
        <w:rPr>
          <w:sz w:val="24"/>
          <w:szCs w:val="24"/>
        </w:rPr>
        <w:t xml:space="preserve">between </w:t>
      </w:r>
      <w:r w:rsidR="0042760F">
        <w:rPr>
          <w:sz w:val="24"/>
          <w:szCs w:val="24"/>
        </w:rPr>
        <w:t>Australia</w:t>
      </w:r>
      <w:r>
        <w:rPr>
          <w:sz w:val="24"/>
          <w:szCs w:val="24"/>
        </w:rPr>
        <w:t xml:space="preserve"> and the </w:t>
      </w:r>
      <w:r w:rsidR="0042760F">
        <w:rPr>
          <w:sz w:val="24"/>
          <w:szCs w:val="24"/>
        </w:rPr>
        <w:t>UK indicate</w:t>
      </w:r>
      <w:r>
        <w:rPr>
          <w:sz w:val="24"/>
          <w:szCs w:val="24"/>
        </w:rPr>
        <w:t>s</w:t>
      </w:r>
      <w:r w:rsidR="0042760F">
        <w:rPr>
          <w:sz w:val="24"/>
          <w:szCs w:val="24"/>
        </w:rPr>
        <w:t xml:space="preserve"> that </w:t>
      </w:r>
      <w:r w:rsidR="00CA2F32">
        <w:rPr>
          <w:sz w:val="24"/>
          <w:szCs w:val="24"/>
        </w:rPr>
        <w:t xml:space="preserve">UK membership </w:t>
      </w:r>
      <w:r>
        <w:rPr>
          <w:sz w:val="24"/>
          <w:szCs w:val="24"/>
        </w:rPr>
        <w:t>to</w:t>
      </w:r>
      <w:r w:rsidR="00CA2F32">
        <w:rPr>
          <w:sz w:val="24"/>
          <w:szCs w:val="24"/>
        </w:rPr>
        <w:t xml:space="preserve"> </w:t>
      </w:r>
      <w:r w:rsidR="00CA2F32" w:rsidRPr="00C30087">
        <w:rPr>
          <w:sz w:val="24"/>
          <w:szCs w:val="24"/>
        </w:rPr>
        <w:t xml:space="preserve">the </w:t>
      </w:r>
      <w:r w:rsidR="003669A6">
        <w:rPr>
          <w:sz w:val="24"/>
          <w:szCs w:val="24"/>
        </w:rPr>
        <w:t>EC</w:t>
      </w:r>
      <w:r w:rsidR="005D6EDD">
        <w:rPr>
          <w:sz w:val="24"/>
          <w:szCs w:val="24"/>
        </w:rPr>
        <w:t xml:space="preserve"> had a </w:t>
      </w:r>
      <w:r w:rsidR="00AC7F64">
        <w:rPr>
          <w:sz w:val="24"/>
          <w:szCs w:val="24"/>
        </w:rPr>
        <w:t xml:space="preserve">very </w:t>
      </w:r>
      <w:r w:rsidR="005D6EDD">
        <w:rPr>
          <w:sz w:val="24"/>
          <w:szCs w:val="24"/>
        </w:rPr>
        <w:t>negative impact on two-way trade. It</w:t>
      </w:r>
      <w:r w:rsidR="00CA2F32" w:rsidRPr="00C30087">
        <w:rPr>
          <w:sz w:val="24"/>
          <w:szCs w:val="24"/>
        </w:rPr>
        <w:t xml:space="preserve"> </w:t>
      </w:r>
      <w:r w:rsidR="00CA2F32">
        <w:rPr>
          <w:sz w:val="24"/>
          <w:szCs w:val="24"/>
        </w:rPr>
        <w:t>resulted in increased trade restrictions</w:t>
      </w:r>
      <w:r w:rsidR="005D6EDD">
        <w:rPr>
          <w:sz w:val="24"/>
          <w:szCs w:val="24"/>
        </w:rPr>
        <w:t>,</w:t>
      </w:r>
      <w:r w:rsidR="00CA2F32">
        <w:rPr>
          <w:sz w:val="24"/>
          <w:szCs w:val="24"/>
        </w:rPr>
        <w:t xml:space="preserve"> </w:t>
      </w:r>
      <w:r w:rsidR="00CA2F32" w:rsidRPr="00C30087">
        <w:rPr>
          <w:sz w:val="24"/>
          <w:szCs w:val="24"/>
        </w:rPr>
        <w:t xml:space="preserve">particularly high </w:t>
      </w:r>
      <w:proofErr w:type="gramStart"/>
      <w:r w:rsidR="00CA2F32" w:rsidRPr="00C30087">
        <w:rPr>
          <w:sz w:val="24"/>
          <w:szCs w:val="24"/>
        </w:rPr>
        <w:t>tariffs</w:t>
      </w:r>
      <w:proofErr w:type="gramEnd"/>
      <w:r w:rsidR="00CA2F32" w:rsidRPr="00C30087">
        <w:rPr>
          <w:sz w:val="24"/>
          <w:szCs w:val="24"/>
        </w:rPr>
        <w:t xml:space="preserve"> </w:t>
      </w:r>
      <w:r w:rsidR="00CA2F32">
        <w:rPr>
          <w:sz w:val="24"/>
          <w:szCs w:val="24"/>
        </w:rPr>
        <w:t xml:space="preserve">and quotas </w:t>
      </w:r>
      <w:r w:rsidR="00CA2F32" w:rsidRPr="00C30087">
        <w:rPr>
          <w:sz w:val="24"/>
          <w:szCs w:val="24"/>
        </w:rPr>
        <w:t xml:space="preserve">on </w:t>
      </w:r>
      <w:r w:rsidR="005D6EDD">
        <w:rPr>
          <w:sz w:val="24"/>
          <w:szCs w:val="24"/>
        </w:rPr>
        <w:t xml:space="preserve">Australia’s </w:t>
      </w:r>
      <w:r w:rsidR="00CA2F32" w:rsidRPr="00C30087">
        <w:rPr>
          <w:sz w:val="24"/>
          <w:szCs w:val="24"/>
        </w:rPr>
        <w:t xml:space="preserve">agricultural products. </w:t>
      </w:r>
      <w:bookmarkStart w:id="3" w:name="_Hlk79415440"/>
      <w:r w:rsidR="00AC7F64" w:rsidRPr="004C7831">
        <w:rPr>
          <w:b/>
          <w:bCs/>
          <w:sz w:val="24"/>
          <w:szCs w:val="24"/>
          <w:u w:val="single"/>
        </w:rPr>
        <w:t>Table 6</w:t>
      </w:r>
      <w:r w:rsidR="00AC7F64" w:rsidRPr="00AC7F64">
        <w:rPr>
          <w:sz w:val="24"/>
          <w:szCs w:val="24"/>
        </w:rPr>
        <w:t xml:space="preserve"> show</w:t>
      </w:r>
      <w:r w:rsidR="00AC7F64">
        <w:rPr>
          <w:sz w:val="24"/>
          <w:szCs w:val="24"/>
        </w:rPr>
        <w:t>s</w:t>
      </w:r>
      <w:r w:rsidR="00AC7F64" w:rsidRPr="00AC7F64">
        <w:rPr>
          <w:sz w:val="24"/>
          <w:szCs w:val="24"/>
        </w:rPr>
        <w:t xml:space="preserve"> </w:t>
      </w:r>
      <w:r w:rsidR="00AC7F64">
        <w:rPr>
          <w:sz w:val="24"/>
          <w:szCs w:val="24"/>
        </w:rPr>
        <w:t>between financial years</w:t>
      </w:r>
      <w:r w:rsidR="00AC7F64" w:rsidRPr="00AC7F64">
        <w:rPr>
          <w:sz w:val="24"/>
          <w:szCs w:val="24"/>
        </w:rPr>
        <w:t xml:space="preserve"> 1972/73 and 1975/76 key </w:t>
      </w:r>
      <w:r w:rsidR="00AC7F64">
        <w:rPr>
          <w:sz w:val="24"/>
          <w:szCs w:val="24"/>
        </w:rPr>
        <w:t xml:space="preserve">Australian </w:t>
      </w:r>
      <w:r w:rsidR="00AC7F64" w:rsidRPr="00AC7F64">
        <w:rPr>
          <w:sz w:val="24"/>
          <w:szCs w:val="24"/>
        </w:rPr>
        <w:t>ag</w:t>
      </w:r>
      <w:r w:rsidR="00AC7F64">
        <w:rPr>
          <w:sz w:val="24"/>
          <w:szCs w:val="24"/>
        </w:rPr>
        <w:t>ricultural</w:t>
      </w:r>
      <w:r w:rsidR="00AC7F64" w:rsidRPr="00AC7F64">
        <w:rPr>
          <w:sz w:val="24"/>
          <w:szCs w:val="24"/>
        </w:rPr>
        <w:t xml:space="preserve"> </w:t>
      </w:r>
      <w:r w:rsidR="00AC7F64">
        <w:rPr>
          <w:sz w:val="24"/>
          <w:szCs w:val="24"/>
        </w:rPr>
        <w:t xml:space="preserve">export </w:t>
      </w:r>
      <w:r w:rsidR="00AC7F64" w:rsidRPr="00AC7F64">
        <w:rPr>
          <w:sz w:val="24"/>
          <w:szCs w:val="24"/>
        </w:rPr>
        <w:t>commodities drop</w:t>
      </w:r>
      <w:r w:rsidR="00AC7F64">
        <w:rPr>
          <w:sz w:val="24"/>
          <w:szCs w:val="24"/>
        </w:rPr>
        <w:t>ped</w:t>
      </w:r>
      <w:r w:rsidR="00AC7F64" w:rsidRPr="00AC7F64">
        <w:rPr>
          <w:sz w:val="24"/>
          <w:szCs w:val="24"/>
        </w:rPr>
        <w:t xml:space="preserve"> </w:t>
      </w:r>
      <w:r w:rsidR="00AC7F64">
        <w:rPr>
          <w:sz w:val="24"/>
          <w:szCs w:val="24"/>
        </w:rPr>
        <w:t xml:space="preserve">by as much as </w:t>
      </w:r>
      <w:r w:rsidR="00AC7F64" w:rsidRPr="00AC7F64">
        <w:rPr>
          <w:sz w:val="24"/>
          <w:szCs w:val="24"/>
        </w:rPr>
        <w:t>40 to 100 per cent</w:t>
      </w:r>
      <w:r w:rsidR="00AC7F64">
        <w:rPr>
          <w:sz w:val="24"/>
          <w:szCs w:val="24"/>
        </w:rPr>
        <w:t>.</w:t>
      </w:r>
      <w:r w:rsidR="00AC7F64" w:rsidRPr="00AC7F64">
        <w:rPr>
          <w:sz w:val="24"/>
          <w:szCs w:val="24"/>
        </w:rPr>
        <w:t xml:space="preserve"> </w:t>
      </w:r>
      <w:r w:rsidR="002970D3">
        <w:rPr>
          <w:sz w:val="24"/>
          <w:szCs w:val="24"/>
        </w:rPr>
        <w:t>V</w:t>
      </w:r>
      <w:r w:rsidR="00AC7F64" w:rsidRPr="00AC7F64">
        <w:rPr>
          <w:sz w:val="24"/>
          <w:szCs w:val="24"/>
        </w:rPr>
        <w:t xml:space="preserve">olumes of </w:t>
      </w:r>
      <w:r w:rsidR="00AC7F64">
        <w:rPr>
          <w:sz w:val="24"/>
          <w:szCs w:val="24"/>
        </w:rPr>
        <w:t xml:space="preserve">apple exports to the UK dropped by 40 per cent, </w:t>
      </w:r>
      <w:r w:rsidR="00AC7F64" w:rsidRPr="00AC7F64">
        <w:rPr>
          <w:sz w:val="24"/>
          <w:szCs w:val="24"/>
        </w:rPr>
        <w:t>beef by 90</w:t>
      </w:r>
      <w:r w:rsidR="00AC7F64">
        <w:rPr>
          <w:sz w:val="24"/>
          <w:szCs w:val="24"/>
        </w:rPr>
        <w:t xml:space="preserve"> per cent</w:t>
      </w:r>
      <w:r w:rsidR="00AC7F64" w:rsidRPr="00AC7F64">
        <w:rPr>
          <w:sz w:val="24"/>
          <w:szCs w:val="24"/>
        </w:rPr>
        <w:t>, sheep meat by 70</w:t>
      </w:r>
      <w:r w:rsidR="00AC7F64">
        <w:rPr>
          <w:sz w:val="24"/>
          <w:szCs w:val="24"/>
        </w:rPr>
        <w:t xml:space="preserve"> per cent</w:t>
      </w:r>
      <w:r w:rsidR="00AC7F64" w:rsidRPr="00AC7F64">
        <w:rPr>
          <w:sz w:val="24"/>
          <w:szCs w:val="24"/>
        </w:rPr>
        <w:t>, cheese by 80</w:t>
      </w:r>
      <w:r w:rsidR="00AC7F64">
        <w:rPr>
          <w:sz w:val="24"/>
          <w:szCs w:val="24"/>
        </w:rPr>
        <w:t xml:space="preserve"> per cent</w:t>
      </w:r>
      <w:r w:rsidR="00AC7F64" w:rsidRPr="00AC7F64">
        <w:rPr>
          <w:sz w:val="24"/>
          <w:szCs w:val="24"/>
        </w:rPr>
        <w:t>, sugar by 85</w:t>
      </w:r>
      <w:r w:rsidR="00AC7F64">
        <w:rPr>
          <w:sz w:val="24"/>
          <w:szCs w:val="24"/>
        </w:rPr>
        <w:t xml:space="preserve"> per cent</w:t>
      </w:r>
      <w:r w:rsidR="00AC7F64" w:rsidRPr="00AC7F64">
        <w:rPr>
          <w:sz w:val="24"/>
          <w:szCs w:val="24"/>
        </w:rPr>
        <w:t>, rice by 60</w:t>
      </w:r>
      <w:r w:rsidR="00AC7F64">
        <w:rPr>
          <w:sz w:val="24"/>
          <w:szCs w:val="24"/>
        </w:rPr>
        <w:t xml:space="preserve"> per cent,</w:t>
      </w:r>
      <w:r w:rsidR="00AC7F64" w:rsidRPr="00AC7F64">
        <w:rPr>
          <w:sz w:val="24"/>
          <w:szCs w:val="24"/>
        </w:rPr>
        <w:t xml:space="preserve"> wheat by nearly 90</w:t>
      </w:r>
      <w:r w:rsidR="00AC7F64">
        <w:rPr>
          <w:sz w:val="24"/>
          <w:szCs w:val="24"/>
        </w:rPr>
        <w:t xml:space="preserve"> per cent and butter exports stopped</w:t>
      </w:r>
      <w:r w:rsidR="002970D3">
        <w:rPr>
          <w:sz w:val="24"/>
          <w:szCs w:val="24"/>
        </w:rPr>
        <w:t xml:space="preserve"> completely</w:t>
      </w:r>
      <w:r w:rsidR="00AC7F64" w:rsidRPr="00AC7F64">
        <w:rPr>
          <w:sz w:val="24"/>
          <w:szCs w:val="24"/>
        </w:rPr>
        <w:t>.</w:t>
      </w:r>
      <w:r w:rsidR="00AC7F64" w:rsidDel="00AC7F64">
        <w:rPr>
          <w:sz w:val="24"/>
          <w:szCs w:val="24"/>
        </w:rPr>
        <w:t xml:space="preserve"> </w:t>
      </w:r>
      <w:bookmarkStart w:id="4" w:name="_Hlk80777980"/>
    </w:p>
    <w:p w14:paraId="55F7308D" w14:textId="77777777" w:rsidR="002970D3" w:rsidRDefault="002970D3" w:rsidP="002970D3">
      <w:pPr>
        <w:pStyle w:val="ListParagraph"/>
        <w:ind w:left="567"/>
        <w:rPr>
          <w:sz w:val="24"/>
          <w:szCs w:val="24"/>
        </w:rPr>
      </w:pPr>
    </w:p>
    <w:p w14:paraId="67CC07C7" w14:textId="06CB3F90" w:rsidR="005D6EDD" w:rsidRDefault="00AC7F64" w:rsidP="00AC7F64">
      <w:pPr>
        <w:rPr>
          <w:sz w:val="24"/>
          <w:szCs w:val="24"/>
        </w:rPr>
      </w:pPr>
      <w:r w:rsidRPr="004C7831">
        <w:rPr>
          <w:b/>
          <w:bCs/>
          <w:sz w:val="24"/>
          <w:szCs w:val="24"/>
          <w:u w:val="single"/>
        </w:rPr>
        <w:lastRenderedPageBreak/>
        <w:t>Table 6:</w:t>
      </w:r>
      <w:r>
        <w:rPr>
          <w:sz w:val="24"/>
          <w:szCs w:val="24"/>
        </w:rPr>
        <w:t xml:space="preserve"> </w:t>
      </w:r>
      <w:r w:rsidRPr="00F32C76">
        <w:rPr>
          <w:b/>
          <w:bCs/>
          <w:sz w:val="24"/>
          <w:szCs w:val="24"/>
        </w:rPr>
        <w:t>Australian exports of selected commodities to the UK, 1972-73 to 1975-76</w:t>
      </w:r>
    </w:p>
    <w:p w14:paraId="47DE283D" w14:textId="3E521F1A" w:rsidR="00AC7F64" w:rsidRDefault="00AC7F64" w:rsidP="00AC7F64">
      <w:pPr>
        <w:rPr>
          <w:sz w:val="24"/>
          <w:szCs w:val="24"/>
        </w:rPr>
      </w:pPr>
      <w:r>
        <w:rPr>
          <w:noProof/>
        </w:rPr>
        <w:drawing>
          <wp:inline distT="0" distB="0" distL="0" distR="0" wp14:anchorId="3E7F16C5" wp14:editId="0F52ADCB">
            <wp:extent cx="5731510" cy="21545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154555"/>
                    </a:xfrm>
                    <a:prstGeom prst="rect">
                      <a:avLst/>
                    </a:prstGeom>
                  </pic:spPr>
                </pic:pic>
              </a:graphicData>
            </a:graphic>
          </wp:inline>
        </w:drawing>
      </w:r>
    </w:p>
    <w:p w14:paraId="6F7FED3A" w14:textId="6D24D4AD" w:rsidR="00AC7F64" w:rsidRPr="004C7831" w:rsidRDefault="00AC7F64" w:rsidP="00AC7F64">
      <w:pPr>
        <w:rPr>
          <w:sz w:val="18"/>
          <w:szCs w:val="18"/>
        </w:rPr>
      </w:pPr>
      <w:r w:rsidRPr="004C7831">
        <w:rPr>
          <w:sz w:val="18"/>
          <w:szCs w:val="18"/>
        </w:rPr>
        <w:t>Source: ABS export data</w:t>
      </w:r>
    </w:p>
    <w:p w14:paraId="1516977E" w14:textId="77777777" w:rsidR="00AC7F64" w:rsidRPr="004C7831" w:rsidRDefault="00AC7F64" w:rsidP="004C7831">
      <w:pPr>
        <w:rPr>
          <w:sz w:val="24"/>
          <w:szCs w:val="24"/>
        </w:rPr>
      </w:pPr>
    </w:p>
    <w:p w14:paraId="267D7157" w14:textId="43C5E705" w:rsidR="002808B4" w:rsidRPr="007132F2" w:rsidRDefault="00F576C4" w:rsidP="007132F2">
      <w:pPr>
        <w:pStyle w:val="ListParagraph"/>
        <w:numPr>
          <w:ilvl w:val="0"/>
          <w:numId w:val="1"/>
        </w:numPr>
        <w:ind w:left="567" w:hanging="567"/>
        <w:rPr>
          <w:sz w:val="24"/>
          <w:szCs w:val="24"/>
        </w:rPr>
      </w:pPr>
      <w:r w:rsidRPr="007132F2">
        <w:rPr>
          <w:sz w:val="24"/>
          <w:szCs w:val="24"/>
        </w:rPr>
        <w:t xml:space="preserve">In recent decades, </w:t>
      </w:r>
      <w:r w:rsidR="00562AF7" w:rsidRPr="007132F2">
        <w:rPr>
          <w:sz w:val="24"/>
          <w:szCs w:val="24"/>
        </w:rPr>
        <w:t xml:space="preserve">Australia’s </w:t>
      </w:r>
      <w:r w:rsidRPr="007132F2">
        <w:rPr>
          <w:sz w:val="24"/>
          <w:szCs w:val="24"/>
        </w:rPr>
        <w:t xml:space="preserve">agricultural exports to the UK have </w:t>
      </w:r>
      <w:r w:rsidR="0077476B" w:rsidRPr="007132F2">
        <w:rPr>
          <w:sz w:val="24"/>
          <w:szCs w:val="24"/>
        </w:rPr>
        <w:t>remained</w:t>
      </w:r>
      <w:r w:rsidRPr="007132F2">
        <w:rPr>
          <w:sz w:val="24"/>
          <w:szCs w:val="24"/>
        </w:rPr>
        <w:t xml:space="preserve"> relatively low </w:t>
      </w:r>
      <w:bookmarkStart w:id="5" w:name="_Hlk80777950"/>
      <w:r w:rsidRPr="007132F2">
        <w:rPr>
          <w:sz w:val="24"/>
          <w:szCs w:val="24"/>
        </w:rPr>
        <w:t>(</w:t>
      </w:r>
      <w:r w:rsidR="0042760F" w:rsidRPr="007132F2">
        <w:rPr>
          <w:sz w:val="24"/>
          <w:szCs w:val="24"/>
        </w:rPr>
        <w:t>A</w:t>
      </w:r>
      <w:r w:rsidR="00C50FC2" w:rsidRPr="007132F2">
        <w:rPr>
          <w:sz w:val="24"/>
          <w:szCs w:val="24"/>
        </w:rPr>
        <w:t xml:space="preserve">$723.6 million in 2020, or 1.5 per cent of </w:t>
      </w:r>
      <w:r w:rsidR="001F58C1">
        <w:rPr>
          <w:sz w:val="24"/>
          <w:szCs w:val="24"/>
        </w:rPr>
        <w:t xml:space="preserve">Australia’s </w:t>
      </w:r>
      <w:r w:rsidR="00C50FC2" w:rsidRPr="007132F2">
        <w:rPr>
          <w:sz w:val="24"/>
          <w:szCs w:val="24"/>
        </w:rPr>
        <w:t>total agricultural exports</w:t>
      </w:r>
      <w:bookmarkEnd w:id="5"/>
      <w:r w:rsidRPr="007132F2">
        <w:rPr>
          <w:sz w:val="24"/>
          <w:szCs w:val="24"/>
        </w:rPr>
        <w:t>).</w:t>
      </w:r>
      <w:bookmarkEnd w:id="3"/>
      <w:bookmarkEnd w:id="4"/>
      <w:r w:rsidR="0042760F" w:rsidRPr="007132F2">
        <w:rPr>
          <w:rStyle w:val="FootnoteReference"/>
          <w:sz w:val="24"/>
          <w:szCs w:val="24"/>
        </w:rPr>
        <w:t xml:space="preserve"> </w:t>
      </w:r>
      <w:r w:rsidR="0042760F">
        <w:rPr>
          <w:rStyle w:val="FootnoteReference"/>
          <w:sz w:val="24"/>
          <w:szCs w:val="24"/>
        </w:rPr>
        <w:footnoteReference w:id="12"/>
      </w:r>
      <w:r w:rsidR="002808B4" w:rsidRPr="007132F2">
        <w:rPr>
          <w:sz w:val="24"/>
          <w:szCs w:val="24"/>
        </w:rPr>
        <w:t xml:space="preserve"> </w:t>
      </w:r>
      <w:r w:rsidR="0033543B">
        <w:rPr>
          <w:sz w:val="24"/>
          <w:szCs w:val="24"/>
        </w:rPr>
        <w:t>S</w:t>
      </w:r>
      <w:r w:rsidR="0077476B" w:rsidRPr="007132F2">
        <w:rPr>
          <w:sz w:val="24"/>
          <w:szCs w:val="24"/>
        </w:rPr>
        <w:t xml:space="preserve">ubmissions </w:t>
      </w:r>
      <w:r w:rsidR="0033543B">
        <w:rPr>
          <w:sz w:val="24"/>
          <w:szCs w:val="24"/>
        </w:rPr>
        <w:t>received by industry</w:t>
      </w:r>
      <w:r w:rsidR="0042760F" w:rsidRPr="007132F2">
        <w:rPr>
          <w:sz w:val="24"/>
          <w:szCs w:val="24"/>
        </w:rPr>
        <w:t xml:space="preserve"> throughout the AU-UK FTA negotiations</w:t>
      </w:r>
      <w:r w:rsidR="0077476B" w:rsidRPr="007132F2">
        <w:rPr>
          <w:sz w:val="24"/>
          <w:szCs w:val="24"/>
        </w:rPr>
        <w:t xml:space="preserve">, </w:t>
      </w:r>
      <w:r w:rsidR="0033543B">
        <w:rPr>
          <w:sz w:val="24"/>
          <w:szCs w:val="24"/>
        </w:rPr>
        <w:t xml:space="preserve">confirm that </w:t>
      </w:r>
      <w:r w:rsidR="005D6EDD" w:rsidRPr="007132F2">
        <w:rPr>
          <w:sz w:val="24"/>
          <w:szCs w:val="24"/>
        </w:rPr>
        <w:t>duties and quotas a</w:t>
      </w:r>
      <w:r w:rsidR="0033543B">
        <w:rPr>
          <w:sz w:val="24"/>
          <w:szCs w:val="24"/>
        </w:rPr>
        <w:t>re</w:t>
      </w:r>
      <w:r w:rsidR="005D6EDD" w:rsidRPr="007132F2">
        <w:rPr>
          <w:sz w:val="24"/>
          <w:szCs w:val="24"/>
        </w:rPr>
        <w:t xml:space="preserve"> the </w:t>
      </w:r>
      <w:r w:rsidR="00562AF7" w:rsidRPr="007132F2">
        <w:rPr>
          <w:sz w:val="24"/>
          <w:szCs w:val="24"/>
        </w:rPr>
        <w:t xml:space="preserve">greatest </w:t>
      </w:r>
      <w:r w:rsidR="002808B4" w:rsidRPr="007132F2">
        <w:rPr>
          <w:sz w:val="24"/>
          <w:szCs w:val="24"/>
        </w:rPr>
        <w:t xml:space="preserve">barriers to </w:t>
      </w:r>
      <w:r w:rsidR="00760259" w:rsidRPr="007132F2">
        <w:rPr>
          <w:sz w:val="24"/>
          <w:szCs w:val="24"/>
        </w:rPr>
        <w:t>trade</w:t>
      </w:r>
      <w:r w:rsidR="0077476B" w:rsidRPr="007132F2">
        <w:rPr>
          <w:sz w:val="24"/>
          <w:szCs w:val="24"/>
        </w:rPr>
        <w:t xml:space="preserve"> </w:t>
      </w:r>
      <w:r w:rsidR="005D6EDD" w:rsidRPr="007132F2">
        <w:rPr>
          <w:sz w:val="24"/>
          <w:szCs w:val="24"/>
        </w:rPr>
        <w:t xml:space="preserve">with </w:t>
      </w:r>
      <w:r w:rsidR="0077476B" w:rsidRPr="007132F2">
        <w:rPr>
          <w:sz w:val="24"/>
          <w:szCs w:val="24"/>
        </w:rPr>
        <w:t xml:space="preserve">the UK </w:t>
      </w:r>
      <w:r w:rsidR="005D6EDD" w:rsidRPr="007132F2">
        <w:rPr>
          <w:sz w:val="24"/>
          <w:szCs w:val="24"/>
        </w:rPr>
        <w:t>on</w:t>
      </w:r>
      <w:r w:rsidR="002808B4" w:rsidRPr="007132F2">
        <w:rPr>
          <w:sz w:val="24"/>
          <w:szCs w:val="24"/>
        </w:rPr>
        <w:t xml:space="preserve"> </w:t>
      </w:r>
      <w:r w:rsidR="00E14A3B" w:rsidRPr="007132F2">
        <w:rPr>
          <w:sz w:val="24"/>
          <w:szCs w:val="24"/>
        </w:rPr>
        <w:t>major</w:t>
      </w:r>
      <w:r w:rsidR="002808B4" w:rsidRPr="007132F2">
        <w:rPr>
          <w:sz w:val="24"/>
          <w:szCs w:val="24"/>
        </w:rPr>
        <w:t xml:space="preserve"> </w:t>
      </w:r>
      <w:r w:rsidR="00B22F2F">
        <w:rPr>
          <w:sz w:val="24"/>
          <w:szCs w:val="24"/>
        </w:rPr>
        <w:t xml:space="preserve">agricultural </w:t>
      </w:r>
      <w:r w:rsidR="002808B4" w:rsidRPr="007132F2">
        <w:rPr>
          <w:sz w:val="24"/>
          <w:szCs w:val="24"/>
        </w:rPr>
        <w:t>export</w:t>
      </w:r>
      <w:r w:rsidR="00DA4017" w:rsidRPr="007132F2">
        <w:rPr>
          <w:sz w:val="24"/>
          <w:szCs w:val="24"/>
        </w:rPr>
        <w:t>s</w:t>
      </w:r>
      <w:r w:rsidR="005D6EDD" w:rsidRPr="007132F2">
        <w:rPr>
          <w:sz w:val="24"/>
          <w:szCs w:val="24"/>
        </w:rPr>
        <w:t xml:space="preserve"> such as</w:t>
      </w:r>
      <w:r w:rsidR="0077476B" w:rsidRPr="007132F2">
        <w:rPr>
          <w:sz w:val="24"/>
          <w:szCs w:val="24"/>
        </w:rPr>
        <w:t xml:space="preserve"> </w:t>
      </w:r>
      <w:r w:rsidR="002808B4" w:rsidRPr="007132F2">
        <w:rPr>
          <w:sz w:val="24"/>
          <w:szCs w:val="24"/>
        </w:rPr>
        <w:t xml:space="preserve">beef, sugar, wine, </w:t>
      </w:r>
      <w:r w:rsidR="00E14A3B" w:rsidRPr="007132F2">
        <w:rPr>
          <w:sz w:val="24"/>
          <w:szCs w:val="24"/>
        </w:rPr>
        <w:t xml:space="preserve">dairy, </w:t>
      </w:r>
      <w:r w:rsidR="002808B4" w:rsidRPr="007132F2">
        <w:rPr>
          <w:sz w:val="24"/>
          <w:szCs w:val="24"/>
        </w:rPr>
        <w:t xml:space="preserve">sheep-meat, extra-virgin olive oil and nuts. </w:t>
      </w:r>
      <w:r w:rsidR="007132F2" w:rsidRPr="007132F2">
        <w:rPr>
          <w:sz w:val="24"/>
          <w:szCs w:val="24"/>
        </w:rPr>
        <w:t xml:space="preserve">In the absence of improved market access through a trade agreement, Australian exporters </w:t>
      </w:r>
      <w:r w:rsidR="00B22F2F">
        <w:rPr>
          <w:sz w:val="24"/>
          <w:szCs w:val="24"/>
        </w:rPr>
        <w:t xml:space="preserve">would continue to </w:t>
      </w:r>
      <w:r w:rsidR="007132F2" w:rsidRPr="007132F2">
        <w:rPr>
          <w:sz w:val="24"/>
          <w:szCs w:val="24"/>
        </w:rPr>
        <w:t xml:space="preserve">face high tariffs into </w:t>
      </w:r>
      <w:r w:rsidR="007132F2">
        <w:rPr>
          <w:sz w:val="24"/>
          <w:szCs w:val="24"/>
        </w:rPr>
        <w:t xml:space="preserve">the UK </w:t>
      </w:r>
      <w:r w:rsidR="007132F2" w:rsidRPr="007132F2">
        <w:rPr>
          <w:sz w:val="24"/>
          <w:szCs w:val="24"/>
        </w:rPr>
        <w:t xml:space="preserve">for </w:t>
      </w:r>
      <w:r w:rsidR="00B22F2F">
        <w:rPr>
          <w:sz w:val="24"/>
          <w:szCs w:val="24"/>
        </w:rPr>
        <w:t>these key</w:t>
      </w:r>
      <w:r w:rsidR="007132F2" w:rsidRPr="007132F2">
        <w:rPr>
          <w:sz w:val="24"/>
          <w:szCs w:val="24"/>
        </w:rPr>
        <w:t xml:space="preserve"> products.  </w:t>
      </w:r>
    </w:p>
    <w:p w14:paraId="303702B5" w14:textId="77777777" w:rsidR="00F576C4" w:rsidRPr="006955A8" w:rsidRDefault="00F576C4" w:rsidP="00E0150E">
      <w:pPr>
        <w:pStyle w:val="ListParagraph"/>
        <w:ind w:left="360"/>
        <w:rPr>
          <w:sz w:val="24"/>
          <w:szCs w:val="24"/>
        </w:rPr>
      </w:pPr>
    </w:p>
    <w:p w14:paraId="6009DE2E" w14:textId="6509E411" w:rsidR="003A5F45" w:rsidRPr="00B22F2F" w:rsidRDefault="00B22F2F" w:rsidP="00B22F2F">
      <w:pPr>
        <w:pStyle w:val="ListParagraph"/>
        <w:numPr>
          <w:ilvl w:val="0"/>
          <w:numId w:val="1"/>
        </w:numPr>
        <w:ind w:left="567" w:hanging="567"/>
        <w:rPr>
          <w:sz w:val="24"/>
          <w:szCs w:val="24"/>
        </w:rPr>
      </w:pPr>
      <w:r>
        <w:rPr>
          <w:sz w:val="24"/>
          <w:szCs w:val="24"/>
        </w:rPr>
        <w:t xml:space="preserve">Stakeholders have also called for an FTA that will </w:t>
      </w:r>
      <w:r w:rsidR="00CA2F32">
        <w:rPr>
          <w:sz w:val="24"/>
          <w:szCs w:val="24"/>
        </w:rPr>
        <w:t>complement and support other agreements that Australia has struck with the UK since Brexit. Th</w:t>
      </w:r>
      <w:r w:rsidR="00562AF7">
        <w:rPr>
          <w:sz w:val="24"/>
          <w:szCs w:val="24"/>
        </w:rPr>
        <w:t>ese</w:t>
      </w:r>
      <w:r w:rsidR="00CA2F32">
        <w:rPr>
          <w:sz w:val="24"/>
          <w:szCs w:val="24"/>
        </w:rPr>
        <w:t xml:space="preserve"> include </w:t>
      </w:r>
      <w:r w:rsidR="0033060E">
        <w:rPr>
          <w:sz w:val="24"/>
          <w:szCs w:val="24"/>
        </w:rPr>
        <w:t xml:space="preserve">the </w:t>
      </w:r>
      <w:r w:rsidR="00CA2F32" w:rsidRPr="00FA5F66">
        <w:rPr>
          <w:sz w:val="24"/>
          <w:szCs w:val="24"/>
        </w:rPr>
        <w:t>Wine and Mutual Recognition Agreements</w:t>
      </w:r>
      <w:r w:rsidR="00CA2F32">
        <w:rPr>
          <w:sz w:val="24"/>
          <w:szCs w:val="24"/>
        </w:rPr>
        <w:t xml:space="preserve"> </w:t>
      </w:r>
      <w:r w:rsidR="0033060E">
        <w:rPr>
          <w:sz w:val="24"/>
          <w:szCs w:val="24"/>
        </w:rPr>
        <w:t>that Australia signed</w:t>
      </w:r>
      <w:r w:rsidR="00CA2F32">
        <w:rPr>
          <w:sz w:val="24"/>
          <w:szCs w:val="24"/>
        </w:rPr>
        <w:t xml:space="preserve"> in 2019</w:t>
      </w:r>
      <w:r w:rsidR="00CA2F32" w:rsidRPr="00FA5F66">
        <w:rPr>
          <w:sz w:val="24"/>
          <w:szCs w:val="24"/>
        </w:rPr>
        <w:t xml:space="preserve">. </w:t>
      </w:r>
      <w:r w:rsidR="003A5F45" w:rsidRPr="00FA5F66">
        <w:rPr>
          <w:sz w:val="24"/>
          <w:szCs w:val="24"/>
        </w:rPr>
        <w:t xml:space="preserve">These agreements ensure recognition of Australian wine making techniques and common testing certifications for products such as medical devices, </w:t>
      </w:r>
      <w:proofErr w:type="gramStart"/>
      <w:r w:rsidR="003A5F45" w:rsidRPr="00FA5F66">
        <w:rPr>
          <w:sz w:val="24"/>
          <w:szCs w:val="24"/>
        </w:rPr>
        <w:t>machinery</w:t>
      </w:r>
      <w:proofErr w:type="gramEnd"/>
      <w:r w:rsidR="003A5F45" w:rsidRPr="00FA5F66">
        <w:rPr>
          <w:sz w:val="24"/>
          <w:szCs w:val="24"/>
        </w:rPr>
        <w:t xml:space="preserve"> and automotive products.</w:t>
      </w:r>
      <w:r w:rsidR="003A5F45">
        <w:rPr>
          <w:sz w:val="24"/>
          <w:szCs w:val="24"/>
        </w:rPr>
        <w:t xml:space="preserve"> </w:t>
      </w:r>
      <w:r w:rsidR="003A5F45" w:rsidRPr="00B22F2F">
        <w:rPr>
          <w:sz w:val="24"/>
          <w:szCs w:val="24"/>
        </w:rPr>
        <w:t xml:space="preserve">This was an important step in Australia’s post-Brexit preparations as industry called to minimise disruptions to trade flows and </w:t>
      </w:r>
      <w:r w:rsidR="00562AF7" w:rsidRPr="00B22F2F">
        <w:rPr>
          <w:sz w:val="24"/>
          <w:szCs w:val="24"/>
        </w:rPr>
        <w:t xml:space="preserve">for </w:t>
      </w:r>
      <w:r w:rsidR="003A5F45" w:rsidRPr="00B22F2F">
        <w:rPr>
          <w:sz w:val="24"/>
          <w:szCs w:val="24"/>
        </w:rPr>
        <w:t xml:space="preserve">as much certainty </w:t>
      </w:r>
      <w:r w:rsidR="00562AF7" w:rsidRPr="00B22F2F">
        <w:rPr>
          <w:sz w:val="24"/>
          <w:szCs w:val="24"/>
        </w:rPr>
        <w:t xml:space="preserve">for </w:t>
      </w:r>
      <w:r w:rsidR="003A5F45" w:rsidRPr="00B22F2F">
        <w:rPr>
          <w:sz w:val="24"/>
          <w:szCs w:val="24"/>
        </w:rPr>
        <w:t xml:space="preserve">exporters as possible. Having achieved this, industry </w:t>
      </w:r>
      <w:r w:rsidR="005D6EDD" w:rsidRPr="00B22F2F">
        <w:rPr>
          <w:sz w:val="24"/>
          <w:szCs w:val="24"/>
        </w:rPr>
        <w:t>now</w:t>
      </w:r>
      <w:r w:rsidR="003A5F45" w:rsidRPr="00B22F2F">
        <w:rPr>
          <w:sz w:val="24"/>
          <w:szCs w:val="24"/>
        </w:rPr>
        <w:t xml:space="preserve"> call</w:t>
      </w:r>
      <w:r w:rsidR="005D6EDD" w:rsidRPr="00B22F2F">
        <w:rPr>
          <w:sz w:val="24"/>
          <w:szCs w:val="24"/>
        </w:rPr>
        <w:t>s</w:t>
      </w:r>
      <w:r w:rsidR="003A5F45" w:rsidRPr="00B22F2F">
        <w:rPr>
          <w:sz w:val="24"/>
          <w:szCs w:val="24"/>
        </w:rPr>
        <w:t xml:space="preserve"> </w:t>
      </w:r>
      <w:r w:rsidR="00562AF7" w:rsidRPr="00B22F2F">
        <w:rPr>
          <w:sz w:val="24"/>
          <w:szCs w:val="24"/>
        </w:rPr>
        <w:t>for</w:t>
      </w:r>
      <w:r w:rsidR="003A5F45" w:rsidRPr="00B22F2F">
        <w:rPr>
          <w:sz w:val="24"/>
          <w:szCs w:val="24"/>
        </w:rPr>
        <w:t xml:space="preserve"> the proposed AU-UK FTA to streamline standards further and remove </w:t>
      </w:r>
      <w:r w:rsidR="00370736">
        <w:rPr>
          <w:sz w:val="24"/>
          <w:szCs w:val="24"/>
        </w:rPr>
        <w:t>other</w:t>
      </w:r>
      <w:r w:rsidR="003A5F45" w:rsidRPr="00B22F2F">
        <w:rPr>
          <w:sz w:val="24"/>
          <w:szCs w:val="24"/>
        </w:rPr>
        <w:t xml:space="preserve"> barriers to trade.</w:t>
      </w:r>
    </w:p>
    <w:p w14:paraId="504267DC" w14:textId="77777777" w:rsidR="00E7047C" w:rsidRPr="00E7047C" w:rsidRDefault="00E7047C" w:rsidP="00E7047C">
      <w:pPr>
        <w:pStyle w:val="ListParagraph"/>
        <w:rPr>
          <w:sz w:val="24"/>
          <w:szCs w:val="24"/>
        </w:rPr>
      </w:pPr>
    </w:p>
    <w:p w14:paraId="35269975" w14:textId="4E21259D" w:rsidR="000329CE" w:rsidRDefault="00B22F2F" w:rsidP="00206944">
      <w:pPr>
        <w:pStyle w:val="ListParagraph"/>
        <w:numPr>
          <w:ilvl w:val="0"/>
          <w:numId w:val="1"/>
        </w:numPr>
        <w:ind w:left="567" w:hanging="567"/>
        <w:rPr>
          <w:sz w:val="24"/>
          <w:szCs w:val="24"/>
        </w:rPr>
      </w:pPr>
      <w:r>
        <w:rPr>
          <w:sz w:val="24"/>
          <w:szCs w:val="24"/>
        </w:rPr>
        <w:t xml:space="preserve">Enhanced arrangements for </w:t>
      </w:r>
      <w:r w:rsidR="006B3FA3">
        <w:rPr>
          <w:sz w:val="24"/>
          <w:szCs w:val="24"/>
        </w:rPr>
        <w:t>temporary entry,</w:t>
      </w:r>
      <w:r w:rsidR="003C2A22">
        <w:rPr>
          <w:sz w:val="24"/>
          <w:szCs w:val="24"/>
        </w:rPr>
        <w:t xml:space="preserve"> in particular the mobility of professionals</w:t>
      </w:r>
      <w:r w:rsidR="00C0663E">
        <w:rPr>
          <w:sz w:val="24"/>
          <w:szCs w:val="24"/>
        </w:rPr>
        <w:t xml:space="preserve"> such as in</w:t>
      </w:r>
      <w:r w:rsidR="000329CE">
        <w:rPr>
          <w:sz w:val="24"/>
          <w:szCs w:val="24"/>
        </w:rPr>
        <w:t xml:space="preserve"> </w:t>
      </w:r>
      <w:r w:rsidR="0033060E">
        <w:rPr>
          <w:sz w:val="24"/>
          <w:szCs w:val="24"/>
        </w:rPr>
        <w:t>l</w:t>
      </w:r>
      <w:r w:rsidR="003C2A22">
        <w:rPr>
          <w:sz w:val="24"/>
          <w:szCs w:val="24"/>
        </w:rPr>
        <w:t>egal</w:t>
      </w:r>
      <w:r w:rsidR="00562AF7">
        <w:rPr>
          <w:sz w:val="24"/>
          <w:szCs w:val="24"/>
        </w:rPr>
        <w:t xml:space="preserve">, accounting, </w:t>
      </w:r>
      <w:proofErr w:type="gramStart"/>
      <w:r w:rsidR="00562AF7">
        <w:rPr>
          <w:sz w:val="24"/>
          <w:szCs w:val="24"/>
        </w:rPr>
        <w:t>engineering</w:t>
      </w:r>
      <w:proofErr w:type="gramEnd"/>
      <w:r w:rsidR="00562AF7">
        <w:rPr>
          <w:sz w:val="24"/>
          <w:szCs w:val="24"/>
        </w:rPr>
        <w:t xml:space="preserve"> and architecture professions</w:t>
      </w:r>
      <w:r w:rsidR="006B3FA3">
        <w:rPr>
          <w:sz w:val="24"/>
          <w:szCs w:val="24"/>
        </w:rPr>
        <w:t>,</w:t>
      </w:r>
      <w:r>
        <w:rPr>
          <w:sz w:val="24"/>
          <w:szCs w:val="24"/>
        </w:rPr>
        <w:t xml:space="preserve"> </w:t>
      </w:r>
      <w:r w:rsidR="001F58C1">
        <w:rPr>
          <w:sz w:val="24"/>
          <w:szCs w:val="24"/>
        </w:rPr>
        <w:t xml:space="preserve">were </w:t>
      </w:r>
      <w:r>
        <w:rPr>
          <w:sz w:val="24"/>
          <w:szCs w:val="24"/>
        </w:rPr>
        <w:t>also a key ask of stakeholders in the lead up to the proposed AU-UK FTA negotiations</w:t>
      </w:r>
      <w:r w:rsidR="00C0663E">
        <w:rPr>
          <w:sz w:val="24"/>
          <w:szCs w:val="24"/>
        </w:rPr>
        <w:t>.</w:t>
      </w:r>
      <w:r w:rsidR="000329CE">
        <w:rPr>
          <w:sz w:val="24"/>
          <w:szCs w:val="24"/>
        </w:rPr>
        <w:t xml:space="preserve"> </w:t>
      </w:r>
      <w:r w:rsidR="00562AF7">
        <w:rPr>
          <w:sz w:val="24"/>
          <w:szCs w:val="24"/>
        </w:rPr>
        <w:t>These issues are</w:t>
      </w:r>
      <w:r w:rsidR="000329CE">
        <w:rPr>
          <w:sz w:val="24"/>
          <w:szCs w:val="24"/>
        </w:rPr>
        <w:t xml:space="preserve"> addressed in the FTA’s </w:t>
      </w:r>
      <w:r w:rsidR="006B3FA3">
        <w:rPr>
          <w:sz w:val="24"/>
          <w:szCs w:val="24"/>
        </w:rPr>
        <w:t xml:space="preserve">Temporary Entry of </w:t>
      </w:r>
      <w:proofErr w:type="gramStart"/>
      <w:r w:rsidR="006B3FA3">
        <w:rPr>
          <w:sz w:val="24"/>
          <w:szCs w:val="24"/>
        </w:rPr>
        <w:t>Business Persons</w:t>
      </w:r>
      <w:proofErr w:type="gramEnd"/>
      <w:r w:rsidR="006B3FA3">
        <w:rPr>
          <w:sz w:val="24"/>
          <w:szCs w:val="24"/>
        </w:rPr>
        <w:t xml:space="preserve"> and </w:t>
      </w:r>
      <w:r w:rsidR="000329CE">
        <w:rPr>
          <w:sz w:val="24"/>
          <w:szCs w:val="24"/>
        </w:rPr>
        <w:t xml:space="preserve">Professional Services </w:t>
      </w:r>
      <w:r w:rsidR="006B3FA3">
        <w:rPr>
          <w:sz w:val="24"/>
          <w:szCs w:val="24"/>
        </w:rPr>
        <w:t>c</w:t>
      </w:r>
      <w:r w:rsidR="000329CE" w:rsidRPr="003C2A22">
        <w:rPr>
          <w:sz w:val="24"/>
          <w:szCs w:val="24"/>
        </w:rPr>
        <w:t>hapter</w:t>
      </w:r>
      <w:r w:rsidR="006B3FA3">
        <w:rPr>
          <w:sz w:val="24"/>
          <w:szCs w:val="24"/>
        </w:rPr>
        <w:t xml:space="preserve">s and associated </w:t>
      </w:r>
      <w:r w:rsidR="00713D48">
        <w:rPr>
          <w:sz w:val="24"/>
          <w:szCs w:val="24"/>
        </w:rPr>
        <w:t>commitments</w:t>
      </w:r>
      <w:r w:rsidR="00562AF7">
        <w:rPr>
          <w:sz w:val="24"/>
          <w:szCs w:val="24"/>
        </w:rPr>
        <w:t>, as</w:t>
      </w:r>
      <w:r w:rsidR="000329CE">
        <w:rPr>
          <w:sz w:val="24"/>
          <w:szCs w:val="24"/>
        </w:rPr>
        <w:t xml:space="preserve"> outlined in more detail in the Benefits and </w:t>
      </w:r>
      <w:r w:rsidR="0033060E">
        <w:rPr>
          <w:sz w:val="24"/>
          <w:szCs w:val="24"/>
        </w:rPr>
        <w:t>I</w:t>
      </w:r>
      <w:r w:rsidR="000329CE">
        <w:rPr>
          <w:sz w:val="24"/>
          <w:szCs w:val="24"/>
        </w:rPr>
        <w:t xml:space="preserve">mpact </w:t>
      </w:r>
      <w:r w:rsidR="0033060E">
        <w:rPr>
          <w:sz w:val="24"/>
          <w:szCs w:val="24"/>
        </w:rPr>
        <w:t>A</w:t>
      </w:r>
      <w:r w:rsidR="000329CE">
        <w:rPr>
          <w:sz w:val="24"/>
          <w:szCs w:val="24"/>
        </w:rPr>
        <w:t xml:space="preserve">nalysis </w:t>
      </w:r>
      <w:r w:rsidR="00C0663E">
        <w:rPr>
          <w:sz w:val="24"/>
          <w:szCs w:val="24"/>
        </w:rPr>
        <w:t>s</w:t>
      </w:r>
      <w:r w:rsidR="000329CE">
        <w:rPr>
          <w:sz w:val="24"/>
          <w:szCs w:val="24"/>
        </w:rPr>
        <w:t xml:space="preserve">ection. </w:t>
      </w:r>
    </w:p>
    <w:p w14:paraId="21474045" w14:textId="169D47E9" w:rsidR="004C7831" w:rsidRDefault="004C7831" w:rsidP="004C7831">
      <w:pPr>
        <w:rPr>
          <w:sz w:val="24"/>
          <w:szCs w:val="24"/>
        </w:rPr>
      </w:pPr>
    </w:p>
    <w:p w14:paraId="2ADC666D" w14:textId="64522096" w:rsidR="002970D3" w:rsidRDefault="002970D3" w:rsidP="004C7831">
      <w:pPr>
        <w:rPr>
          <w:sz w:val="24"/>
          <w:szCs w:val="24"/>
        </w:rPr>
      </w:pPr>
    </w:p>
    <w:p w14:paraId="3DB91526" w14:textId="006D39E9" w:rsidR="002970D3" w:rsidRDefault="002970D3" w:rsidP="004C7831">
      <w:pPr>
        <w:rPr>
          <w:sz w:val="24"/>
          <w:szCs w:val="24"/>
        </w:rPr>
      </w:pPr>
    </w:p>
    <w:p w14:paraId="795350B8" w14:textId="77777777" w:rsidR="002970D3" w:rsidRDefault="002970D3" w:rsidP="004C7831">
      <w:pPr>
        <w:rPr>
          <w:sz w:val="24"/>
          <w:szCs w:val="24"/>
        </w:rPr>
      </w:pPr>
    </w:p>
    <w:p w14:paraId="6C0C166A" w14:textId="77777777" w:rsidR="004C7831" w:rsidRPr="004C7831" w:rsidRDefault="004C7831" w:rsidP="004C7831">
      <w:pPr>
        <w:rPr>
          <w:sz w:val="24"/>
          <w:szCs w:val="24"/>
        </w:rPr>
      </w:pPr>
    </w:p>
    <w:p w14:paraId="7C71507C" w14:textId="025928AD" w:rsidR="0064442A" w:rsidRPr="00300EF2" w:rsidRDefault="00300EF2" w:rsidP="00300EF2">
      <w:pPr>
        <w:rPr>
          <w:b/>
          <w:bCs/>
          <w:sz w:val="24"/>
          <w:szCs w:val="24"/>
        </w:rPr>
      </w:pPr>
      <w:r w:rsidRPr="00300EF2">
        <w:rPr>
          <w:b/>
          <w:bCs/>
          <w:sz w:val="24"/>
          <w:szCs w:val="24"/>
        </w:rPr>
        <w:t>Australia’s economic outlook</w:t>
      </w:r>
    </w:p>
    <w:p w14:paraId="67E91D93" w14:textId="1FAD0133" w:rsidR="0086742C" w:rsidRDefault="0064442A" w:rsidP="00206944">
      <w:pPr>
        <w:pStyle w:val="ListParagraph"/>
        <w:numPr>
          <w:ilvl w:val="0"/>
          <w:numId w:val="1"/>
        </w:numPr>
        <w:ind w:left="567" w:hanging="567"/>
        <w:rPr>
          <w:sz w:val="24"/>
          <w:szCs w:val="24"/>
        </w:rPr>
      </w:pPr>
      <w:r w:rsidRPr="00536CC7">
        <w:rPr>
          <w:sz w:val="24"/>
          <w:szCs w:val="24"/>
        </w:rPr>
        <w:t xml:space="preserve">Australia </w:t>
      </w:r>
      <w:r w:rsidR="00C0663E">
        <w:rPr>
          <w:sz w:val="24"/>
          <w:szCs w:val="24"/>
        </w:rPr>
        <w:t xml:space="preserve">has </w:t>
      </w:r>
      <w:r w:rsidR="00562AF7">
        <w:rPr>
          <w:sz w:val="24"/>
          <w:szCs w:val="24"/>
        </w:rPr>
        <w:t xml:space="preserve">responded to </w:t>
      </w:r>
      <w:r w:rsidRPr="00536CC7">
        <w:rPr>
          <w:sz w:val="24"/>
          <w:szCs w:val="24"/>
        </w:rPr>
        <w:t>the</w:t>
      </w:r>
      <w:r w:rsidR="004C4B10">
        <w:rPr>
          <w:sz w:val="24"/>
          <w:szCs w:val="24"/>
        </w:rPr>
        <w:t xml:space="preserve"> COVID-19 </w:t>
      </w:r>
      <w:r w:rsidR="00562AF7">
        <w:rPr>
          <w:sz w:val="24"/>
          <w:szCs w:val="24"/>
        </w:rPr>
        <w:t xml:space="preserve">pandemic by </w:t>
      </w:r>
      <w:r w:rsidR="00C92B6B">
        <w:rPr>
          <w:sz w:val="24"/>
          <w:szCs w:val="24"/>
        </w:rPr>
        <w:t>provid</w:t>
      </w:r>
      <w:r w:rsidR="00562AF7">
        <w:rPr>
          <w:sz w:val="24"/>
          <w:szCs w:val="24"/>
        </w:rPr>
        <w:t>ing</w:t>
      </w:r>
      <w:r w:rsidRPr="00536CC7">
        <w:rPr>
          <w:sz w:val="24"/>
          <w:szCs w:val="24"/>
        </w:rPr>
        <w:t xml:space="preserve"> fiscal and monetary responses</w:t>
      </w:r>
      <w:r w:rsidR="004C4B10">
        <w:rPr>
          <w:sz w:val="24"/>
          <w:szCs w:val="24"/>
        </w:rPr>
        <w:t xml:space="preserve"> to support economic activity</w:t>
      </w:r>
      <w:r w:rsidR="007D45EE">
        <w:rPr>
          <w:sz w:val="24"/>
          <w:szCs w:val="24"/>
        </w:rPr>
        <w:t xml:space="preserve">. </w:t>
      </w:r>
      <w:r w:rsidR="00C92B6B">
        <w:rPr>
          <w:sz w:val="24"/>
          <w:szCs w:val="24"/>
        </w:rPr>
        <w:t>Sustainability c</w:t>
      </w:r>
      <w:r w:rsidRPr="00536CC7">
        <w:rPr>
          <w:sz w:val="24"/>
          <w:szCs w:val="24"/>
        </w:rPr>
        <w:t>hallenges remain. A durable recovery from the</w:t>
      </w:r>
      <w:r w:rsidR="007D45EE">
        <w:rPr>
          <w:sz w:val="24"/>
          <w:szCs w:val="24"/>
        </w:rPr>
        <w:t xml:space="preserve"> </w:t>
      </w:r>
      <w:r w:rsidRPr="00536CC7">
        <w:rPr>
          <w:sz w:val="24"/>
          <w:szCs w:val="24"/>
        </w:rPr>
        <w:t xml:space="preserve">pandemic </w:t>
      </w:r>
      <w:r w:rsidR="007D45EE">
        <w:rPr>
          <w:sz w:val="24"/>
          <w:szCs w:val="24"/>
        </w:rPr>
        <w:t>include</w:t>
      </w:r>
      <w:r w:rsidR="00C92B6B">
        <w:rPr>
          <w:sz w:val="24"/>
          <w:szCs w:val="24"/>
        </w:rPr>
        <w:t>s</w:t>
      </w:r>
      <w:r w:rsidR="007D45EE">
        <w:rPr>
          <w:sz w:val="24"/>
          <w:szCs w:val="24"/>
        </w:rPr>
        <w:t xml:space="preserve"> </w:t>
      </w:r>
      <w:r w:rsidR="00C92B6B">
        <w:rPr>
          <w:sz w:val="24"/>
          <w:szCs w:val="24"/>
        </w:rPr>
        <w:t>increasing</w:t>
      </w:r>
      <w:r w:rsidR="007D45EE">
        <w:rPr>
          <w:sz w:val="24"/>
          <w:szCs w:val="24"/>
        </w:rPr>
        <w:t xml:space="preserve"> opportunities for</w:t>
      </w:r>
      <w:r w:rsidRPr="00536CC7">
        <w:rPr>
          <w:sz w:val="24"/>
          <w:szCs w:val="24"/>
        </w:rPr>
        <w:t xml:space="preserve"> businesses to invest and diversify trade</w:t>
      </w:r>
      <w:r w:rsidR="00C92B6B">
        <w:rPr>
          <w:sz w:val="24"/>
          <w:szCs w:val="24"/>
        </w:rPr>
        <w:t>,</w:t>
      </w:r>
      <w:r w:rsidR="00C92B6B">
        <w:rPr>
          <w:rStyle w:val="FootnoteReference"/>
          <w:sz w:val="24"/>
          <w:szCs w:val="24"/>
        </w:rPr>
        <w:footnoteReference w:id="13"/>
      </w:r>
      <w:r w:rsidR="00C92B6B">
        <w:rPr>
          <w:sz w:val="24"/>
          <w:szCs w:val="24"/>
        </w:rPr>
        <w:t xml:space="preserve"> assisted</w:t>
      </w:r>
      <w:r w:rsidRPr="00536CC7">
        <w:rPr>
          <w:sz w:val="24"/>
          <w:szCs w:val="24"/>
        </w:rPr>
        <w:t xml:space="preserve"> </w:t>
      </w:r>
      <w:r w:rsidR="003B138D" w:rsidRPr="00536CC7">
        <w:rPr>
          <w:sz w:val="24"/>
          <w:szCs w:val="24"/>
        </w:rPr>
        <w:t>through the conclusion of new FTAs</w:t>
      </w:r>
      <w:r w:rsidR="00C0663E">
        <w:rPr>
          <w:sz w:val="24"/>
          <w:szCs w:val="24"/>
        </w:rPr>
        <w:t xml:space="preserve"> such as the proposed AU-UK FTA</w:t>
      </w:r>
      <w:r w:rsidRPr="00536CC7">
        <w:rPr>
          <w:sz w:val="24"/>
          <w:szCs w:val="24"/>
        </w:rPr>
        <w:t xml:space="preserve">. </w:t>
      </w:r>
    </w:p>
    <w:p w14:paraId="75207FBE" w14:textId="77777777" w:rsidR="0086742C" w:rsidRPr="0086742C" w:rsidRDefault="0086742C" w:rsidP="0086742C">
      <w:pPr>
        <w:pStyle w:val="ListParagraph"/>
        <w:rPr>
          <w:sz w:val="24"/>
          <w:szCs w:val="24"/>
        </w:rPr>
      </w:pPr>
    </w:p>
    <w:p w14:paraId="6628A23E" w14:textId="68454D6C" w:rsidR="00536CC7" w:rsidRDefault="00536CC7" w:rsidP="00206944">
      <w:pPr>
        <w:pStyle w:val="ListParagraph"/>
        <w:numPr>
          <w:ilvl w:val="0"/>
          <w:numId w:val="1"/>
        </w:numPr>
        <w:ind w:left="567" w:hanging="567"/>
        <w:rPr>
          <w:sz w:val="24"/>
          <w:szCs w:val="24"/>
        </w:rPr>
      </w:pPr>
      <w:r w:rsidRPr="00536CC7">
        <w:rPr>
          <w:sz w:val="24"/>
          <w:szCs w:val="24"/>
        </w:rPr>
        <w:t>The Reserve Bank of Australia</w:t>
      </w:r>
      <w:r w:rsidR="00D319E8">
        <w:rPr>
          <w:sz w:val="24"/>
          <w:szCs w:val="24"/>
        </w:rPr>
        <w:t xml:space="preserve"> (RBA)</w:t>
      </w:r>
      <w:r w:rsidRPr="00536CC7">
        <w:rPr>
          <w:sz w:val="24"/>
          <w:szCs w:val="24"/>
        </w:rPr>
        <w:t xml:space="preserve"> </w:t>
      </w:r>
      <w:r w:rsidR="00B22F2F">
        <w:rPr>
          <w:sz w:val="24"/>
          <w:szCs w:val="24"/>
        </w:rPr>
        <w:t xml:space="preserve">has </w:t>
      </w:r>
      <w:r w:rsidRPr="00536CC7">
        <w:rPr>
          <w:sz w:val="24"/>
          <w:szCs w:val="24"/>
        </w:rPr>
        <w:t>predict</w:t>
      </w:r>
      <w:r w:rsidR="00B22F2F">
        <w:rPr>
          <w:sz w:val="24"/>
          <w:szCs w:val="24"/>
        </w:rPr>
        <w:t>ed</w:t>
      </w:r>
      <w:r w:rsidRPr="00536CC7">
        <w:rPr>
          <w:sz w:val="24"/>
          <w:szCs w:val="24"/>
        </w:rPr>
        <w:t xml:space="preserve"> that the Australian economy will transition from recovery to</w:t>
      </w:r>
      <w:r w:rsidR="00562AF7">
        <w:rPr>
          <w:sz w:val="24"/>
          <w:szCs w:val="24"/>
        </w:rPr>
        <w:t xml:space="preserve"> </w:t>
      </w:r>
      <w:r w:rsidRPr="00536CC7">
        <w:rPr>
          <w:sz w:val="24"/>
          <w:szCs w:val="24"/>
        </w:rPr>
        <w:t xml:space="preserve">expansion phase earlier than expected, </w:t>
      </w:r>
      <w:r w:rsidR="007D45EE">
        <w:rPr>
          <w:sz w:val="24"/>
          <w:szCs w:val="24"/>
        </w:rPr>
        <w:t xml:space="preserve">but this is contingent upon </w:t>
      </w:r>
      <w:r w:rsidRPr="00536CC7">
        <w:rPr>
          <w:sz w:val="24"/>
          <w:szCs w:val="24"/>
        </w:rPr>
        <w:t>vaccination rates ris</w:t>
      </w:r>
      <w:r w:rsidR="007D45EE">
        <w:rPr>
          <w:sz w:val="24"/>
          <w:szCs w:val="24"/>
        </w:rPr>
        <w:t>ing</w:t>
      </w:r>
      <w:r w:rsidRPr="00536CC7">
        <w:rPr>
          <w:sz w:val="24"/>
          <w:szCs w:val="24"/>
        </w:rPr>
        <w:t xml:space="preserve">. </w:t>
      </w:r>
      <w:r w:rsidR="00562AF7">
        <w:rPr>
          <w:sz w:val="24"/>
          <w:szCs w:val="24"/>
        </w:rPr>
        <w:t xml:space="preserve">The </w:t>
      </w:r>
      <w:r w:rsidR="00D319E8">
        <w:rPr>
          <w:sz w:val="24"/>
          <w:szCs w:val="24"/>
        </w:rPr>
        <w:t xml:space="preserve">RBA </w:t>
      </w:r>
      <w:r w:rsidR="00562AF7">
        <w:rPr>
          <w:sz w:val="24"/>
          <w:szCs w:val="24"/>
        </w:rPr>
        <w:t xml:space="preserve">also </w:t>
      </w:r>
      <w:r w:rsidR="00D319E8">
        <w:rPr>
          <w:sz w:val="24"/>
          <w:szCs w:val="24"/>
        </w:rPr>
        <w:t>predict</w:t>
      </w:r>
      <w:r w:rsidR="00B22F2F">
        <w:rPr>
          <w:sz w:val="24"/>
          <w:szCs w:val="24"/>
        </w:rPr>
        <w:t xml:space="preserve">ed </w:t>
      </w:r>
      <w:r w:rsidR="00D319E8">
        <w:rPr>
          <w:sz w:val="24"/>
          <w:szCs w:val="24"/>
        </w:rPr>
        <w:t>that t</w:t>
      </w:r>
      <w:r w:rsidR="00D319E8" w:rsidRPr="00D319E8">
        <w:rPr>
          <w:sz w:val="24"/>
          <w:szCs w:val="24"/>
        </w:rPr>
        <w:t xml:space="preserve">he outlook </w:t>
      </w:r>
      <w:r w:rsidR="00B22F2F">
        <w:rPr>
          <w:sz w:val="24"/>
          <w:szCs w:val="24"/>
        </w:rPr>
        <w:t>wa</w:t>
      </w:r>
      <w:r w:rsidR="00D319E8" w:rsidRPr="00D319E8">
        <w:rPr>
          <w:sz w:val="24"/>
          <w:szCs w:val="24"/>
        </w:rPr>
        <w:t>s likely to be uneven across industries, reflecting</w:t>
      </w:r>
      <w:r w:rsidR="00C0663E">
        <w:rPr>
          <w:sz w:val="24"/>
          <w:szCs w:val="24"/>
        </w:rPr>
        <w:t xml:space="preserve"> t</w:t>
      </w:r>
      <w:r w:rsidR="00C0663E" w:rsidRPr="00C0663E">
        <w:rPr>
          <w:sz w:val="24"/>
          <w:szCs w:val="24"/>
        </w:rPr>
        <w:t xml:space="preserve">he emergency period </w:t>
      </w:r>
      <w:r w:rsidR="00C0663E">
        <w:rPr>
          <w:sz w:val="24"/>
          <w:szCs w:val="24"/>
        </w:rPr>
        <w:t xml:space="preserve">that </w:t>
      </w:r>
      <w:r w:rsidR="00C0663E" w:rsidRPr="00C0663E">
        <w:rPr>
          <w:sz w:val="24"/>
          <w:szCs w:val="24"/>
        </w:rPr>
        <w:t>has been in place since 18 March 2020</w:t>
      </w:r>
      <w:r w:rsidR="00B22F2F">
        <w:rPr>
          <w:sz w:val="24"/>
          <w:szCs w:val="24"/>
        </w:rPr>
        <w:t xml:space="preserve"> </w:t>
      </w:r>
      <w:r w:rsidR="001F58C1">
        <w:rPr>
          <w:sz w:val="24"/>
          <w:szCs w:val="24"/>
        </w:rPr>
        <w:t xml:space="preserve">including </w:t>
      </w:r>
      <w:r w:rsidR="00B22F2F">
        <w:rPr>
          <w:sz w:val="24"/>
          <w:szCs w:val="24"/>
        </w:rPr>
        <w:t>closing borders</w:t>
      </w:r>
      <w:r w:rsidR="00C0663E" w:rsidRPr="00C0663E">
        <w:rPr>
          <w:sz w:val="24"/>
          <w:szCs w:val="24"/>
        </w:rPr>
        <w:t xml:space="preserve"> to protect Australians during the COVID-19 pandemic</w:t>
      </w:r>
      <w:r w:rsidR="00C0663E">
        <w:rPr>
          <w:sz w:val="24"/>
          <w:szCs w:val="24"/>
        </w:rPr>
        <w:t xml:space="preserve"> </w:t>
      </w:r>
      <w:r w:rsidR="00562AF7">
        <w:rPr>
          <w:sz w:val="24"/>
          <w:szCs w:val="24"/>
        </w:rPr>
        <w:t xml:space="preserve">which </w:t>
      </w:r>
      <w:r w:rsidR="00C0663E" w:rsidRPr="00C0663E">
        <w:rPr>
          <w:sz w:val="24"/>
          <w:szCs w:val="24"/>
        </w:rPr>
        <w:t>will continue until 17 December 2021</w:t>
      </w:r>
      <w:r w:rsidR="00C0663E">
        <w:rPr>
          <w:rStyle w:val="FootnoteReference"/>
          <w:sz w:val="24"/>
          <w:szCs w:val="24"/>
        </w:rPr>
        <w:footnoteReference w:id="14"/>
      </w:r>
      <w:r w:rsidR="00B22F2F">
        <w:rPr>
          <w:sz w:val="24"/>
          <w:szCs w:val="24"/>
        </w:rPr>
        <w:t>.</w:t>
      </w:r>
      <w:r w:rsidR="00C92B6B">
        <w:rPr>
          <w:sz w:val="24"/>
          <w:szCs w:val="24"/>
        </w:rPr>
        <w:t xml:space="preserve"> </w:t>
      </w:r>
      <w:r w:rsidR="00B22F2F">
        <w:rPr>
          <w:sz w:val="24"/>
          <w:szCs w:val="24"/>
        </w:rPr>
        <w:t xml:space="preserve">This emergency period has </w:t>
      </w:r>
      <w:r w:rsidR="00C0663E">
        <w:rPr>
          <w:sz w:val="24"/>
          <w:szCs w:val="24"/>
        </w:rPr>
        <w:t>result</w:t>
      </w:r>
      <w:r w:rsidR="00B22F2F">
        <w:rPr>
          <w:sz w:val="24"/>
          <w:szCs w:val="24"/>
        </w:rPr>
        <w:t>ed in supply disruptions and</w:t>
      </w:r>
      <w:r w:rsidR="00C0663E">
        <w:rPr>
          <w:sz w:val="24"/>
          <w:szCs w:val="24"/>
        </w:rPr>
        <w:t xml:space="preserve"> </w:t>
      </w:r>
      <w:r w:rsidR="00D319E8" w:rsidRPr="00D319E8">
        <w:rPr>
          <w:sz w:val="24"/>
          <w:szCs w:val="24"/>
        </w:rPr>
        <w:t>restrictions in parts of the services sector</w:t>
      </w:r>
      <w:r w:rsidR="00CD43F9">
        <w:rPr>
          <w:sz w:val="24"/>
          <w:szCs w:val="24"/>
        </w:rPr>
        <w:t xml:space="preserve"> such as retail and education</w:t>
      </w:r>
      <w:r w:rsidR="007D45EE">
        <w:rPr>
          <w:sz w:val="24"/>
          <w:szCs w:val="24"/>
        </w:rPr>
        <w:t>.</w:t>
      </w:r>
      <w:r w:rsidR="00C92B6B">
        <w:rPr>
          <w:rStyle w:val="FootnoteReference"/>
          <w:sz w:val="24"/>
          <w:szCs w:val="24"/>
        </w:rPr>
        <w:footnoteReference w:id="15"/>
      </w:r>
    </w:p>
    <w:p w14:paraId="76408874" w14:textId="77777777" w:rsidR="0086742C" w:rsidRPr="0086742C" w:rsidRDefault="0086742C" w:rsidP="0086742C">
      <w:pPr>
        <w:pStyle w:val="ListParagraph"/>
        <w:rPr>
          <w:sz w:val="24"/>
          <w:szCs w:val="24"/>
        </w:rPr>
      </w:pPr>
    </w:p>
    <w:p w14:paraId="08EACE9D" w14:textId="3D4E1922" w:rsidR="007D45EE" w:rsidRPr="005C5635" w:rsidRDefault="0086742C" w:rsidP="00206944">
      <w:pPr>
        <w:pStyle w:val="ListParagraph"/>
        <w:numPr>
          <w:ilvl w:val="0"/>
          <w:numId w:val="1"/>
        </w:numPr>
        <w:ind w:left="567" w:hanging="567"/>
        <w:rPr>
          <w:sz w:val="24"/>
          <w:szCs w:val="24"/>
        </w:rPr>
      </w:pPr>
      <w:r w:rsidRPr="0086742C">
        <w:rPr>
          <w:sz w:val="24"/>
          <w:szCs w:val="24"/>
        </w:rPr>
        <w:t xml:space="preserve">The closure of Australia's international border and the related </w:t>
      </w:r>
      <w:r w:rsidR="00CD43F9">
        <w:rPr>
          <w:sz w:val="24"/>
          <w:szCs w:val="24"/>
        </w:rPr>
        <w:t xml:space="preserve">drop </w:t>
      </w:r>
      <w:r w:rsidRPr="0086742C">
        <w:rPr>
          <w:sz w:val="24"/>
          <w:szCs w:val="24"/>
        </w:rPr>
        <w:t xml:space="preserve">in </w:t>
      </w:r>
      <w:r w:rsidR="00CD43F9">
        <w:rPr>
          <w:sz w:val="24"/>
          <w:szCs w:val="24"/>
        </w:rPr>
        <w:t>m</w:t>
      </w:r>
      <w:r w:rsidRPr="0086742C">
        <w:rPr>
          <w:sz w:val="24"/>
          <w:szCs w:val="24"/>
        </w:rPr>
        <w:t>igration has reduced growth in</w:t>
      </w:r>
      <w:r w:rsidR="00CD43F9">
        <w:rPr>
          <w:sz w:val="24"/>
          <w:szCs w:val="24"/>
        </w:rPr>
        <w:t xml:space="preserve"> services sectors</w:t>
      </w:r>
      <w:r w:rsidRPr="0086742C">
        <w:rPr>
          <w:sz w:val="24"/>
          <w:szCs w:val="24"/>
        </w:rPr>
        <w:t xml:space="preserve">, especially tourism and </w:t>
      </w:r>
      <w:r w:rsidR="00B22F2F">
        <w:rPr>
          <w:sz w:val="24"/>
          <w:szCs w:val="24"/>
        </w:rPr>
        <w:t xml:space="preserve">international </w:t>
      </w:r>
      <w:r w:rsidRPr="0086742C">
        <w:rPr>
          <w:sz w:val="24"/>
          <w:szCs w:val="24"/>
        </w:rPr>
        <w:t>education.</w:t>
      </w:r>
      <w:r w:rsidR="00C0663E">
        <w:rPr>
          <w:rStyle w:val="FootnoteReference"/>
          <w:sz w:val="24"/>
          <w:szCs w:val="24"/>
        </w:rPr>
        <w:footnoteReference w:id="16"/>
      </w:r>
      <w:r w:rsidRPr="0086742C">
        <w:rPr>
          <w:sz w:val="24"/>
          <w:szCs w:val="24"/>
        </w:rPr>
        <w:t xml:space="preserve"> It has also constrained labour supply in sectors where temporary migrants have been a </w:t>
      </w:r>
      <w:r w:rsidR="00CD43F9">
        <w:rPr>
          <w:sz w:val="24"/>
          <w:szCs w:val="24"/>
        </w:rPr>
        <w:t>substantial</w:t>
      </w:r>
      <w:r w:rsidRPr="0086742C">
        <w:rPr>
          <w:sz w:val="24"/>
          <w:szCs w:val="24"/>
        </w:rPr>
        <w:t xml:space="preserve"> share of the workforce, such as</w:t>
      </w:r>
      <w:r>
        <w:rPr>
          <w:sz w:val="24"/>
          <w:szCs w:val="24"/>
        </w:rPr>
        <w:t xml:space="preserve"> in the agriculture sector, the </w:t>
      </w:r>
      <w:r w:rsidR="00CD43F9">
        <w:rPr>
          <w:sz w:val="24"/>
          <w:szCs w:val="24"/>
        </w:rPr>
        <w:t xml:space="preserve">aged and disability </w:t>
      </w:r>
      <w:r>
        <w:rPr>
          <w:sz w:val="24"/>
          <w:szCs w:val="24"/>
        </w:rPr>
        <w:t>care and</w:t>
      </w:r>
      <w:r w:rsidRPr="0086742C">
        <w:rPr>
          <w:sz w:val="24"/>
          <w:szCs w:val="24"/>
        </w:rPr>
        <w:t xml:space="preserve"> hospitality</w:t>
      </w:r>
      <w:r>
        <w:rPr>
          <w:sz w:val="24"/>
          <w:szCs w:val="24"/>
        </w:rPr>
        <w:t xml:space="preserve"> sector</w:t>
      </w:r>
      <w:r w:rsidR="00CD43F9">
        <w:rPr>
          <w:sz w:val="24"/>
          <w:szCs w:val="24"/>
        </w:rPr>
        <w:t>s</w:t>
      </w:r>
      <w:r w:rsidRPr="0086742C">
        <w:rPr>
          <w:sz w:val="24"/>
          <w:szCs w:val="24"/>
        </w:rPr>
        <w:t>.</w:t>
      </w:r>
      <w:r w:rsidR="00C0663E">
        <w:rPr>
          <w:rStyle w:val="FootnoteReference"/>
          <w:sz w:val="24"/>
          <w:szCs w:val="24"/>
        </w:rPr>
        <w:footnoteReference w:id="17"/>
      </w:r>
      <w:r w:rsidR="007D45EE">
        <w:rPr>
          <w:sz w:val="24"/>
          <w:szCs w:val="24"/>
        </w:rPr>
        <w:t xml:space="preserve"> The AU-UK FTA is looking to address, in part, some of these challenges. </w:t>
      </w:r>
    </w:p>
    <w:p w14:paraId="67B29A9D" w14:textId="728059D3" w:rsidR="00536CC7" w:rsidRPr="00300EF2" w:rsidRDefault="00300EF2" w:rsidP="00300EF2">
      <w:pPr>
        <w:rPr>
          <w:b/>
          <w:bCs/>
          <w:sz w:val="24"/>
          <w:szCs w:val="24"/>
        </w:rPr>
      </w:pPr>
      <w:r w:rsidRPr="00300EF2">
        <w:rPr>
          <w:b/>
          <w:bCs/>
          <w:sz w:val="24"/>
          <w:szCs w:val="24"/>
        </w:rPr>
        <w:t>UK’s economic outlook</w:t>
      </w:r>
    </w:p>
    <w:p w14:paraId="20E561DA" w14:textId="7D318C9F" w:rsidR="0064442A" w:rsidRDefault="00536CC7" w:rsidP="00206944">
      <w:pPr>
        <w:pStyle w:val="ListParagraph"/>
        <w:numPr>
          <w:ilvl w:val="0"/>
          <w:numId w:val="1"/>
        </w:numPr>
        <w:ind w:left="567" w:hanging="567"/>
        <w:rPr>
          <w:sz w:val="24"/>
          <w:szCs w:val="24"/>
        </w:rPr>
      </w:pPr>
      <w:r w:rsidRPr="004C4B10">
        <w:rPr>
          <w:sz w:val="24"/>
          <w:szCs w:val="24"/>
        </w:rPr>
        <w:t xml:space="preserve">UK’s economic outlook is </w:t>
      </w:r>
      <w:r w:rsidR="004C4B10" w:rsidRPr="004C4B10">
        <w:rPr>
          <w:sz w:val="24"/>
          <w:szCs w:val="24"/>
        </w:rPr>
        <w:t>improving after disruptions associated with Brexit and COVID-19</w:t>
      </w:r>
      <w:r w:rsidRPr="004C4B10">
        <w:rPr>
          <w:sz w:val="24"/>
          <w:szCs w:val="24"/>
        </w:rPr>
        <w:t xml:space="preserve">. </w:t>
      </w:r>
      <w:r w:rsidR="004C4B10" w:rsidRPr="004C4B10">
        <w:rPr>
          <w:sz w:val="24"/>
          <w:szCs w:val="24"/>
        </w:rPr>
        <w:t>In</w:t>
      </w:r>
      <w:r w:rsidRPr="004C4B10">
        <w:rPr>
          <w:sz w:val="24"/>
          <w:szCs w:val="24"/>
        </w:rPr>
        <w:t xml:space="preserve"> 2020</w:t>
      </w:r>
      <w:r w:rsidR="004C4B10" w:rsidRPr="004C4B10">
        <w:rPr>
          <w:sz w:val="24"/>
          <w:szCs w:val="24"/>
        </w:rPr>
        <w:t xml:space="preserve">, UK </w:t>
      </w:r>
      <w:r w:rsidRPr="004C4B10">
        <w:rPr>
          <w:sz w:val="24"/>
          <w:szCs w:val="24"/>
        </w:rPr>
        <w:t>GDP contracted 9.9 per cent, the largest annual fall on record</w:t>
      </w:r>
      <w:r w:rsidR="004C4B10" w:rsidRPr="004C4B10">
        <w:rPr>
          <w:sz w:val="24"/>
          <w:szCs w:val="24"/>
        </w:rPr>
        <w:t>. H</w:t>
      </w:r>
      <w:r w:rsidRPr="004C4B10">
        <w:rPr>
          <w:sz w:val="24"/>
          <w:szCs w:val="24"/>
        </w:rPr>
        <w:t>owever</w:t>
      </w:r>
      <w:r w:rsidR="00130C59">
        <w:rPr>
          <w:sz w:val="24"/>
          <w:szCs w:val="24"/>
        </w:rPr>
        <w:t>,</w:t>
      </w:r>
      <w:r w:rsidRPr="004C4B10">
        <w:rPr>
          <w:sz w:val="24"/>
          <w:szCs w:val="24"/>
        </w:rPr>
        <w:t xml:space="preserve"> in the fourth quarter of 2020, </w:t>
      </w:r>
      <w:r w:rsidR="004C4B10" w:rsidRPr="004C4B10">
        <w:rPr>
          <w:sz w:val="24"/>
          <w:szCs w:val="24"/>
        </w:rPr>
        <w:t xml:space="preserve">GDP growth exceeded </w:t>
      </w:r>
      <w:r w:rsidRPr="004C4B10">
        <w:rPr>
          <w:sz w:val="24"/>
          <w:szCs w:val="24"/>
        </w:rPr>
        <w:t>Bank of England expectations</w:t>
      </w:r>
      <w:r w:rsidR="004C4B10" w:rsidRPr="004C4B10">
        <w:rPr>
          <w:sz w:val="24"/>
          <w:szCs w:val="24"/>
        </w:rPr>
        <w:t xml:space="preserve">, rising by 1 per cent </w:t>
      </w:r>
      <w:r w:rsidRPr="004C4B10">
        <w:rPr>
          <w:sz w:val="24"/>
          <w:szCs w:val="24"/>
        </w:rPr>
        <w:t xml:space="preserve">with increases in services, </w:t>
      </w:r>
      <w:proofErr w:type="gramStart"/>
      <w:r w:rsidRPr="004C4B10">
        <w:rPr>
          <w:sz w:val="24"/>
          <w:szCs w:val="24"/>
        </w:rPr>
        <w:t>production</w:t>
      </w:r>
      <w:proofErr w:type="gramEnd"/>
      <w:r w:rsidRPr="004C4B10">
        <w:rPr>
          <w:sz w:val="24"/>
          <w:szCs w:val="24"/>
        </w:rPr>
        <w:t xml:space="preserve"> and construction output. </w:t>
      </w:r>
      <w:r w:rsidR="004C4B10">
        <w:rPr>
          <w:sz w:val="24"/>
          <w:szCs w:val="24"/>
        </w:rPr>
        <w:t>Analysts now expect t</w:t>
      </w:r>
      <w:r w:rsidRPr="008867A8">
        <w:rPr>
          <w:sz w:val="24"/>
          <w:szCs w:val="24"/>
        </w:rPr>
        <w:t>he UK economy to return to pre-COVID levels by the middle of 2022, largely due to the vaccin</w:t>
      </w:r>
      <w:r w:rsidR="00B22F2F">
        <w:rPr>
          <w:sz w:val="24"/>
          <w:szCs w:val="24"/>
        </w:rPr>
        <w:t>ation</w:t>
      </w:r>
      <w:r w:rsidRPr="008867A8">
        <w:rPr>
          <w:sz w:val="24"/>
          <w:szCs w:val="24"/>
        </w:rPr>
        <w:t xml:space="preserve"> roll-out and the</w:t>
      </w:r>
      <w:r w:rsidR="004C4B10">
        <w:rPr>
          <w:sz w:val="24"/>
          <w:szCs w:val="24"/>
        </w:rPr>
        <w:t xml:space="preserve"> UK G</w:t>
      </w:r>
      <w:r w:rsidRPr="008867A8">
        <w:rPr>
          <w:sz w:val="24"/>
          <w:szCs w:val="24"/>
        </w:rPr>
        <w:t>overnment's easing</w:t>
      </w:r>
      <w:r w:rsidR="00FF69E1">
        <w:rPr>
          <w:sz w:val="24"/>
          <w:szCs w:val="24"/>
        </w:rPr>
        <w:t xml:space="preserve"> of lock-down</w:t>
      </w:r>
      <w:r w:rsidRPr="008867A8">
        <w:rPr>
          <w:sz w:val="24"/>
          <w:szCs w:val="24"/>
        </w:rPr>
        <w:t xml:space="preserve"> restrictions.</w:t>
      </w:r>
      <w:r w:rsidR="00F73BA4" w:rsidRPr="00F73BA4">
        <w:rPr>
          <w:rStyle w:val="FootnoteReference"/>
          <w:b/>
          <w:bCs/>
          <w:sz w:val="24"/>
          <w:szCs w:val="24"/>
        </w:rPr>
        <w:t xml:space="preserve"> </w:t>
      </w:r>
      <w:r w:rsidR="00F73BA4">
        <w:rPr>
          <w:rStyle w:val="FootnoteReference"/>
          <w:b/>
          <w:bCs/>
          <w:sz w:val="24"/>
          <w:szCs w:val="24"/>
        </w:rPr>
        <w:footnoteReference w:id="18"/>
      </w:r>
    </w:p>
    <w:p w14:paraId="15C105CF" w14:textId="77777777" w:rsidR="003A5F45" w:rsidRDefault="003A5F45" w:rsidP="003A5F45">
      <w:pPr>
        <w:pStyle w:val="ListParagraph"/>
        <w:ind w:left="360"/>
        <w:rPr>
          <w:sz w:val="24"/>
          <w:szCs w:val="24"/>
        </w:rPr>
      </w:pPr>
    </w:p>
    <w:p w14:paraId="6465A29D" w14:textId="7A1F2551" w:rsidR="007D45EE" w:rsidRPr="000B1F3B" w:rsidRDefault="003A5F45" w:rsidP="00206944">
      <w:pPr>
        <w:pStyle w:val="ListParagraph"/>
        <w:numPr>
          <w:ilvl w:val="0"/>
          <w:numId w:val="1"/>
        </w:numPr>
        <w:ind w:left="567" w:hanging="567"/>
        <w:rPr>
          <w:sz w:val="24"/>
          <w:szCs w:val="24"/>
        </w:rPr>
      </w:pPr>
      <w:r>
        <w:rPr>
          <w:sz w:val="24"/>
          <w:szCs w:val="24"/>
        </w:rPr>
        <w:t xml:space="preserve">There are </w:t>
      </w:r>
      <w:r w:rsidR="00E7047C">
        <w:rPr>
          <w:sz w:val="24"/>
          <w:szCs w:val="24"/>
        </w:rPr>
        <w:t xml:space="preserve">many </w:t>
      </w:r>
      <w:r>
        <w:rPr>
          <w:sz w:val="24"/>
          <w:szCs w:val="24"/>
        </w:rPr>
        <w:t>opportunities to use the proposed AU-UK FTA as a vehicle for economic recovery from COVID</w:t>
      </w:r>
      <w:r w:rsidR="00F73BA4">
        <w:rPr>
          <w:sz w:val="24"/>
          <w:szCs w:val="24"/>
        </w:rPr>
        <w:t>-19</w:t>
      </w:r>
      <w:r>
        <w:rPr>
          <w:sz w:val="24"/>
          <w:szCs w:val="24"/>
        </w:rPr>
        <w:t xml:space="preserve"> for both countries. These are explained in more detail in subsequent sections below. </w:t>
      </w:r>
    </w:p>
    <w:p w14:paraId="07204EDD" w14:textId="21C4EEAA" w:rsidR="008867A8" w:rsidRPr="00B853AF" w:rsidRDefault="005C5635" w:rsidP="008867A8">
      <w:pPr>
        <w:pStyle w:val="Heading1"/>
      </w:pPr>
      <w:bookmarkStart w:id="6" w:name="_Toc88748492"/>
      <w:r>
        <w:lastRenderedPageBreak/>
        <w:t xml:space="preserve">WHAT </w:t>
      </w:r>
      <w:r w:rsidR="00562AF7">
        <w:t xml:space="preserve">ARE </w:t>
      </w:r>
      <w:r>
        <w:t xml:space="preserve">THE PURPOSE AND THE OBJECTIVES OF GOVERNMENT </w:t>
      </w:r>
      <w:proofErr w:type="gramStart"/>
      <w:r>
        <w:t>ACTION</w:t>
      </w:r>
      <w:bookmarkEnd w:id="6"/>
      <w:proofErr w:type="gramEnd"/>
    </w:p>
    <w:p w14:paraId="4E441F65" w14:textId="77777777" w:rsidR="008867A8" w:rsidRPr="008867A8" w:rsidRDefault="008867A8" w:rsidP="008867A8">
      <w:pPr>
        <w:pStyle w:val="ListParagraph"/>
        <w:rPr>
          <w:sz w:val="24"/>
          <w:szCs w:val="24"/>
        </w:rPr>
      </w:pPr>
    </w:p>
    <w:p w14:paraId="7CC432E1" w14:textId="6E000F2A" w:rsidR="00473B8C" w:rsidRPr="003A5F45" w:rsidRDefault="005C5635" w:rsidP="00206944">
      <w:pPr>
        <w:pStyle w:val="ListParagraph"/>
        <w:numPr>
          <w:ilvl w:val="0"/>
          <w:numId w:val="1"/>
        </w:numPr>
        <w:ind w:left="567" w:hanging="567"/>
        <w:rPr>
          <w:sz w:val="24"/>
          <w:szCs w:val="24"/>
        </w:rPr>
      </w:pPr>
      <w:bookmarkStart w:id="7" w:name="_Hlk83378815"/>
      <w:r w:rsidRPr="003A5F45">
        <w:rPr>
          <w:sz w:val="24"/>
          <w:szCs w:val="24"/>
        </w:rPr>
        <w:t>The purpose of signing the proposed AU-UK FTA is to</w:t>
      </w:r>
      <w:r w:rsidR="002808B4" w:rsidRPr="003A5F45">
        <w:rPr>
          <w:sz w:val="24"/>
          <w:szCs w:val="24"/>
        </w:rPr>
        <w:t xml:space="preserve"> </w:t>
      </w:r>
      <w:proofErr w:type="gramStart"/>
      <w:r w:rsidR="002808B4" w:rsidRPr="003A5F45">
        <w:rPr>
          <w:sz w:val="24"/>
          <w:szCs w:val="24"/>
        </w:rPr>
        <w:t>open up</w:t>
      </w:r>
      <w:proofErr w:type="gramEnd"/>
      <w:r w:rsidR="002808B4" w:rsidRPr="003A5F45">
        <w:rPr>
          <w:sz w:val="24"/>
          <w:szCs w:val="24"/>
        </w:rPr>
        <w:t xml:space="preserve"> new opportunities</w:t>
      </w:r>
      <w:r w:rsidR="00B6242F">
        <w:rPr>
          <w:sz w:val="24"/>
          <w:szCs w:val="24"/>
        </w:rPr>
        <w:t>, and to ensure existing access is maintained,</w:t>
      </w:r>
      <w:r w:rsidR="002808B4" w:rsidRPr="003A5F45">
        <w:rPr>
          <w:sz w:val="24"/>
          <w:szCs w:val="24"/>
        </w:rPr>
        <w:t xml:space="preserve"> for goods</w:t>
      </w:r>
      <w:r w:rsidR="003A5F45" w:rsidRPr="003A5F45">
        <w:rPr>
          <w:sz w:val="24"/>
          <w:szCs w:val="24"/>
        </w:rPr>
        <w:t xml:space="preserve"> and services trade and investment with the UK. </w:t>
      </w:r>
      <w:r w:rsidR="003A5F45" w:rsidRPr="00F8089A">
        <w:rPr>
          <w:sz w:val="24"/>
          <w:szCs w:val="24"/>
        </w:rPr>
        <w:t xml:space="preserve">The </w:t>
      </w:r>
      <w:r w:rsidR="00A56EDB" w:rsidRPr="00A56EDB">
        <w:rPr>
          <w:sz w:val="24"/>
          <w:szCs w:val="24"/>
        </w:rPr>
        <w:t xml:space="preserve">broad objective of </w:t>
      </w:r>
      <w:r w:rsidR="00A56EDB">
        <w:rPr>
          <w:sz w:val="24"/>
          <w:szCs w:val="24"/>
        </w:rPr>
        <w:t xml:space="preserve">signing </w:t>
      </w:r>
      <w:r w:rsidR="00A56EDB" w:rsidRPr="00F8089A">
        <w:rPr>
          <w:sz w:val="24"/>
          <w:szCs w:val="24"/>
        </w:rPr>
        <w:t xml:space="preserve">the </w:t>
      </w:r>
      <w:r w:rsidR="00A56EDB">
        <w:rPr>
          <w:sz w:val="24"/>
          <w:szCs w:val="24"/>
        </w:rPr>
        <w:t>proposed AU-UK FTA</w:t>
      </w:r>
      <w:r w:rsidR="00A56EDB" w:rsidRPr="00F8089A">
        <w:rPr>
          <w:sz w:val="24"/>
          <w:szCs w:val="24"/>
        </w:rPr>
        <w:t xml:space="preserve"> </w:t>
      </w:r>
      <w:r w:rsidR="00A56EDB">
        <w:rPr>
          <w:sz w:val="24"/>
          <w:szCs w:val="24"/>
        </w:rPr>
        <w:t xml:space="preserve">is to </w:t>
      </w:r>
      <w:r w:rsidR="00A56EDB" w:rsidRPr="00A56EDB">
        <w:rPr>
          <w:sz w:val="24"/>
          <w:szCs w:val="24"/>
        </w:rPr>
        <w:t>expand economic opportunities for Australian businesses and consumers</w:t>
      </w:r>
      <w:r w:rsidR="00F73BA4">
        <w:rPr>
          <w:sz w:val="24"/>
          <w:szCs w:val="24"/>
        </w:rPr>
        <w:t xml:space="preserve"> and, ultimately, to</w:t>
      </w:r>
      <w:r w:rsidR="003A5F45">
        <w:rPr>
          <w:sz w:val="24"/>
          <w:szCs w:val="24"/>
        </w:rPr>
        <w:t xml:space="preserve"> </w:t>
      </w:r>
      <w:r w:rsidR="00F73BA4">
        <w:rPr>
          <w:sz w:val="24"/>
          <w:szCs w:val="24"/>
        </w:rPr>
        <w:t xml:space="preserve">contribute to </w:t>
      </w:r>
      <w:r w:rsidR="00562AF7">
        <w:rPr>
          <w:sz w:val="24"/>
          <w:szCs w:val="24"/>
        </w:rPr>
        <w:t xml:space="preserve">maintaining and </w:t>
      </w:r>
      <w:r w:rsidR="003A5F45">
        <w:rPr>
          <w:sz w:val="24"/>
          <w:szCs w:val="24"/>
        </w:rPr>
        <w:t>improv</w:t>
      </w:r>
      <w:r w:rsidR="00F73BA4">
        <w:rPr>
          <w:sz w:val="24"/>
          <w:szCs w:val="24"/>
        </w:rPr>
        <w:t>ing</w:t>
      </w:r>
      <w:r w:rsidR="003A5F45">
        <w:rPr>
          <w:sz w:val="24"/>
          <w:szCs w:val="24"/>
        </w:rPr>
        <w:t xml:space="preserve"> the living standards of Australians.</w:t>
      </w:r>
    </w:p>
    <w:bookmarkEnd w:id="7"/>
    <w:p w14:paraId="1F59BCA8" w14:textId="38D595D5" w:rsidR="00F8089A" w:rsidRPr="003A5F45" w:rsidRDefault="005C5635" w:rsidP="003A5F45">
      <w:pPr>
        <w:pStyle w:val="ListParagraph"/>
        <w:ind w:left="360"/>
        <w:rPr>
          <w:sz w:val="24"/>
          <w:szCs w:val="24"/>
          <w:highlight w:val="yellow"/>
        </w:rPr>
      </w:pPr>
      <w:r>
        <w:rPr>
          <w:sz w:val="24"/>
          <w:szCs w:val="24"/>
          <w:highlight w:val="yellow"/>
        </w:rPr>
        <w:t xml:space="preserve"> </w:t>
      </w:r>
    </w:p>
    <w:p w14:paraId="12C1EA5B" w14:textId="218F1EB6" w:rsidR="008867A8" w:rsidRPr="00D7284D" w:rsidRDefault="00B05851" w:rsidP="00206944">
      <w:pPr>
        <w:pStyle w:val="ListParagraph"/>
        <w:numPr>
          <w:ilvl w:val="0"/>
          <w:numId w:val="1"/>
        </w:numPr>
        <w:ind w:left="567" w:hanging="567"/>
        <w:rPr>
          <w:sz w:val="24"/>
          <w:szCs w:val="24"/>
        </w:rPr>
      </w:pPr>
      <w:r>
        <w:rPr>
          <w:sz w:val="24"/>
          <w:szCs w:val="24"/>
        </w:rPr>
        <w:t xml:space="preserve">This is consistent with Australia’s </w:t>
      </w:r>
      <w:hyperlink r:id="rId16" w:history="1">
        <w:r w:rsidR="00F8089A" w:rsidRPr="00D7284D">
          <w:rPr>
            <w:rStyle w:val="Hyperlink"/>
            <w:sz w:val="24"/>
            <w:szCs w:val="24"/>
          </w:rPr>
          <w:t>2017 Foreign Policy White Paper</w:t>
        </w:r>
      </w:hyperlink>
      <w:r w:rsidR="00DE73A2">
        <w:rPr>
          <w:rStyle w:val="FootnoteReference"/>
          <w:color w:val="0563C1" w:themeColor="hyperlink"/>
          <w:sz w:val="24"/>
          <w:szCs w:val="24"/>
          <w:u w:val="single"/>
        </w:rPr>
        <w:footnoteReference w:id="19"/>
      </w:r>
      <w:r w:rsidR="004927E9">
        <w:rPr>
          <w:sz w:val="24"/>
          <w:szCs w:val="24"/>
        </w:rPr>
        <w:t xml:space="preserve">, which </w:t>
      </w:r>
      <w:r w:rsidR="005D1378">
        <w:rPr>
          <w:sz w:val="24"/>
          <w:szCs w:val="24"/>
        </w:rPr>
        <w:t xml:space="preserve">suggests that the purpose of </w:t>
      </w:r>
      <w:r w:rsidR="00D20A39">
        <w:rPr>
          <w:sz w:val="24"/>
          <w:szCs w:val="24"/>
        </w:rPr>
        <w:t>sign</w:t>
      </w:r>
      <w:r w:rsidR="004927E9">
        <w:rPr>
          <w:sz w:val="24"/>
          <w:szCs w:val="24"/>
        </w:rPr>
        <w:t>ing</w:t>
      </w:r>
      <w:r w:rsidR="006D6C2B">
        <w:rPr>
          <w:sz w:val="24"/>
          <w:szCs w:val="24"/>
        </w:rPr>
        <w:t xml:space="preserve"> new FTAs</w:t>
      </w:r>
      <w:r w:rsidR="00F8089A" w:rsidRPr="00F8089A">
        <w:rPr>
          <w:sz w:val="24"/>
          <w:szCs w:val="24"/>
        </w:rPr>
        <w:t xml:space="preserve"> </w:t>
      </w:r>
      <w:r w:rsidR="005D1378">
        <w:rPr>
          <w:sz w:val="24"/>
          <w:szCs w:val="24"/>
        </w:rPr>
        <w:t>is to</w:t>
      </w:r>
      <w:r w:rsidR="00F8089A" w:rsidRPr="00F8089A">
        <w:rPr>
          <w:sz w:val="24"/>
          <w:szCs w:val="24"/>
        </w:rPr>
        <w:t xml:space="preserve"> </w:t>
      </w:r>
      <w:r w:rsidR="00D20A39">
        <w:rPr>
          <w:sz w:val="24"/>
          <w:szCs w:val="24"/>
        </w:rPr>
        <w:t xml:space="preserve">contribute to </w:t>
      </w:r>
      <w:r w:rsidR="00473B8C">
        <w:rPr>
          <w:sz w:val="24"/>
          <w:szCs w:val="24"/>
        </w:rPr>
        <w:t>diversify</w:t>
      </w:r>
      <w:r w:rsidR="00D20A39">
        <w:rPr>
          <w:sz w:val="24"/>
          <w:szCs w:val="24"/>
        </w:rPr>
        <w:t>ing</w:t>
      </w:r>
      <w:r w:rsidR="00473B8C">
        <w:rPr>
          <w:sz w:val="24"/>
          <w:szCs w:val="24"/>
        </w:rPr>
        <w:t xml:space="preserve"> </w:t>
      </w:r>
      <w:r w:rsidR="004927E9">
        <w:rPr>
          <w:sz w:val="24"/>
          <w:szCs w:val="24"/>
        </w:rPr>
        <w:t>Australia’s</w:t>
      </w:r>
      <w:r w:rsidR="00473B8C">
        <w:rPr>
          <w:sz w:val="24"/>
          <w:szCs w:val="24"/>
        </w:rPr>
        <w:t xml:space="preserve"> trade and</w:t>
      </w:r>
      <w:r w:rsidR="00D20A39">
        <w:rPr>
          <w:sz w:val="24"/>
          <w:szCs w:val="24"/>
        </w:rPr>
        <w:t xml:space="preserve"> </w:t>
      </w:r>
      <w:r w:rsidR="00F8089A" w:rsidRPr="00F8089A">
        <w:rPr>
          <w:sz w:val="24"/>
          <w:szCs w:val="24"/>
        </w:rPr>
        <w:t>guard</w:t>
      </w:r>
      <w:r w:rsidR="00D20A39">
        <w:rPr>
          <w:sz w:val="24"/>
          <w:szCs w:val="24"/>
        </w:rPr>
        <w:t>ing</w:t>
      </w:r>
      <w:r w:rsidR="00F8089A" w:rsidRPr="00F8089A">
        <w:rPr>
          <w:sz w:val="24"/>
          <w:szCs w:val="24"/>
        </w:rPr>
        <w:t xml:space="preserve"> against the risk of discriminatory trade blocs that </w:t>
      </w:r>
      <w:r w:rsidR="006D6C2B">
        <w:rPr>
          <w:sz w:val="24"/>
          <w:szCs w:val="24"/>
        </w:rPr>
        <w:t>c</w:t>
      </w:r>
      <w:r w:rsidR="00F8089A" w:rsidRPr="00F8089A">
        <w:rPr>
          <w:sz w:val="24"/>
          <w:szCs w:val="24"/>
        </w:rPr>
        <w:t xml:space="preserve">ould damage </w:t>
      </w:r>
      <w:r w:rsidR="005D1378">
        <w:rPr>
          <w:sz w:val="24"/>
          <w:szCs w:val="24"/>
        </w:rPr>
        <w:t xml:space="preserve">Australia’s </w:t>
      </w:r>
      <w:r w:rsidR="00F8089A" w:rsidRPr="00F8089A">
        <w:rPr>
          <w:sz w:val="24"/>
          <w:szCs w:val="24"/>
        </w:rPr>
        <w:t xml:space="preserve">economic and security interests. </w:t>
      </w:r>
      <w:r w:rsidR="007F1B9C" w:rsidRPr="007F1B9C">
        <w:rPr>
          <w:sz w:val="24"/>
          <w:szCs w:val="24"/>
        </w:rPr>
        <w:t xml:space="preserve">FTAs also put pressure on the multilateral trading system to further liberalise and to broaden the range of issues the multilateral system engages with, as has happened with environmental goods and </w:t>
      </w:r>
      <w:r w:rsidR="007F1B9C">
        <w:rPr>
          <w:sz w:val="24"/>
          <w:szCs w:val="24"/>
        </w:rPr>
        <w:t>digital trade</w:t>
      </w:r>
      <w:r w:rsidR="007F1B9C" w:rsidRPr="007F1B9C">
        <w:rPr>
          <w:sz w:val="24"/>
          <w:szCs w:val="24"/>
        </w:rPr>
        <w:t>.</w:t>
      </w:r>
      <w:r w:rsidR="007F1B9C">
        <w:rPr>
          <w:sz w:val="24"/>
          <w:szCs w:val="24"/>
        </w:rPr>
        <w:t xml:space="preserve"> </w:t>
      </w:r>
      <w:r w:rsidR="00D20A39">
        <w:rPr>
          <w:sz w:val="24"/>
          <w:szCs w:val="24"/>
        </w:rPr>
        <w:t>Signing an</w:t>
      </w:r>
      <w:r w:rsidR="00F8089A" w:rsidRPr="00F8089A">
        <w:rPr>
          <w:sz w:val="24"/>
          <w:szCs w:val="24"/>
        </w:rPr>
        <w:t xml:space="preserve"> </w:t>
      </w:r>
      <w:r w:rsidR="006D6C2B">
        <w:rPr>
          <w:sz w:val="24"/>
          <w:szCs w:val="24"/>
        </w:rPr>
        <w:t>FTA with the UK</w:t>
      </w:r>
      <w:r w:rsidR="00F8089A" w:rsidRPr="00F8089A">
        <w:rPr>
          <w:sz w:val="24"/>
          <w:szCs w:val="24"/>
        </w:rPr>
        <w:t xml:space="preserve"> </w:t>
      </w:r>
      <w:r w:rsidR="007F1B9C">
        <w:rPr>
          <w:sz w:val="24"/>
          <w:szCs w:val="24"/>
        </w:rPr>
        <w:t>w</w:t>
      </w:r>
      <w:r w:rsidR="00B6242F">
        <w:rPr>
          <w:sz w:val="24"/>
          <w:szCs w:val="24"/>
        </w:rPr>
        <w:t>ill</w:t>
      </w:r>
      <w:r w:rsidR="005D1378">
        <w:rPr>
          <w:sz w:val="24"/>
          <w:szCs w:val="24"/>
        </w:rPr>
        <w:t xml:space="preserve"> also</w:t>
      </w:r>
      <w:r w:rsidR="00F8089A" w:rsidRPr="00F8089A">
        <w:rPr>
          <w:sz w:val="24"/>
          <w:szCs w:val="24"/>
        </w:rPr>
        <w:t xml:space="preserve"> send a signal </w:t>
      </w:r>
      <w:r w:rsidR="006D6C2B">
        <w:rPr>
          <w:sz w:val="24"/>
          <w:szCs w:val="24"/>
        </w:rPr>
        <w:t xml:space="preserve">to the world of </w:t>
      </w:r>
      <w:r w:rsidR="004927E9">
        <w:rPr>
          <w:sz w:val="24"/>
          <w:szCs w:val="24"/>
        </w:rPr>
        <w:t>Australia’s</w:t>
      </w:r>
      <w:r w:rsidR="006D6C2B">
        <w:rPr>
          <w:sz w:val="24"/>
          <w:szCs w:val="24"/>
        </w:rPr>
        <w:t xml:space="preserve"> </w:t>
      </w:r>
      <w:r w:rsidR="0089486A">
        <w:rPr>
          <w:sz w:val="24"/>
          <w:szCs w:val="24"/>
        </w:rPr>
        <w:t>ongoing</w:t>
      </w:r>
      <w:r w:rsidR="0089486A" w:rsidRPr="00F8089A">
        <w:rPr>
          <w:sz w:val="24"/>
          <w:szCs w:val="24"/>
        </w:rPr>
        <w:t xml:space="preserve"> </w:t>
      </w:r>
      <w:r w:rsidR="00F8089A" w:rsidRPr="00F8089A">
        <w:rPr>
          <w:sz w:val="24"/>
          <w:szCs w:val="24"/>
        </w:rPr>
        <w:t xml:space="preserve">commitment to trade liberalisation, helping to counter protectionist sentiment during a period of </w:t>
      </w:r>
      <w:r w:rsidR="00D7284D">
        <w:rPr>
          <w:sz w:val="24"/>
          <w:szCs w:val="24"/>
        </w:rPr>
        <w:t xml:space="preserve">geopolitical uncertainty and </w:t>
      </w:r>
      <w:r w:rsidR="00F8089A" w:rsidRPr="00F8089A">
        <w:rPr>
          <w:sz w:val="24"/>
          <w:szCs w:val="24"/>
        </w:rPr>
        <w:t xml:space="preserve">trade tensions. </w:t>
      </w:r>
    </w:p>
    <w:p w14:paraId="24AAACB3" w14:textId="77777777" w:rsidR="00D02548" w:rsidRDefault="00D02548" w:rsidP="00D02548">
      <w:pPr>
        <w:pStyle w:val="ListParagraph"/>
        <w:ind w:left="360"/>
        <w:rPr>
          <w:sz w:val="24"/>
          <w:szCs w:val="24"/>
        </w:rPr>
      </w:pPr>
    </w:p>
    <w:p w14:paraId="6090D47A" w14:textId="29C6D142" w:rsidR="004927E9" w:rsidRDefault="004927E9" w:rsidP="00206944">
      <w:pPr>
        <w:pStyle w:val="ListParagraph"/>
        <w:numPr>
          <w:ilvl w:val="0"/>
          <w:numId w:val="1"/>
        </w:numPr>
        <w:ind w:left="567" w:hanging="567"/>
        <w:rPr>
          <w:sz w:val="24"/>
          <w:szCs w:val="24"/>
        </w:rPr>
      </w:pPr>
      <w:bookmarkStart w:id="8" w:name="_Hlk83378845"/>
      <w:r>
        <w:rPr>
          <w:sz w:val="24"/>
          <w:szCs w:val="24"/>
        </w:rPr>
        <w:t>A</w:t>
      </w:r>
      <w:r w:rsidR="00447F35">
        <w:rPr>
          <w:sz w:val="24"/>
          <w:szCs w:val="24"/>
        </w:rPr>
        <w:t xml:space="preserve"> key</w:t>
      </w:r>
      <w:r w:rsidR="00010F4B" w:rsidRPr="000619F3">
        <w:rPr>
          <w:sz w:val="24"/>
          <w:szCs w:val="24"/>
        </w:rPr>
        <w:t xml:space="preserve"> </w:t>
      </w:r>
      <w:r w:rsidR="00027663">
        <w:rPr>
          <w:sz w:val="24"/>
          <w:szCs w:val="24"/>
        </w:rPr>
        <w:t>objective</w:t>
      </w:r>
      <w:r w:rsidR="00010F4B">
        <w:rPr>
          <w:sz w:val="24"/>
          <w:szCs w:val="24"/>
        </w:rPr>
        <w:t xml:space="preserve"> </w:t>
      </w:r>
      <w:r w:rsidR="00D20A39">
        <w:rPr>
          <w:sz w:val="24"/>
          <w:szCs w:val="24"/>
        </w:rPr>
        <w:t xml:space="preserve">for </w:t>
      </w:r>
      <w:r w:rsidR="004601E5">
        <w:rPr>
          <w:sz w:val="24"/>
          <w:szCs w:val="24"/>
        </w:rPr>
        <w:t>committing to</w:t>
      </w:r>
      <w:r w:rsidR="00010F4B">
        <w:rPr>
          <w:sz w:val="24"/>
          <w:szCs w:val="24"/>
        </w:rPr>
        <w:t xml:space="preserve"> the </w:t>
      </w:r>
      <w:r w:rsidR="00010F4B" w:rsidRPr="000619F3">
        <w:rPr>
          <w:sz w:val="24"/>
          <w:szCs w:val="24"/>
        </w:rPr>
        <w:t xml:space="preserve">AU-UK FTA </w:t>
      </w:r>
      <w:r w:rsidR="00010F4B">
        <w:rPr>
          <w:sz w:val="24"/>
          <w:szCs w:val="24"/>
        </w:rPr>
        <w:t xml:space="preserve">is to </w:t>
      </w:r>
      <w:r w:rsidR="00447F35">
        <w:rPr>
          <w:sz w:val="24"/>
          <w:szCs w:val="24"/>
        </w:rPr>
        <w:t xml:space="preserve">secure </w:t>
      </w:r>
      <w:r w:rsidR="004601E5">
        <w:rPr>
          <w:sz w:val="24"/>
          <w:szCs w:val="24"/>
        </w:rPr>
        <w:t xml:space="preserve">UK </w:t>
      </w:r>
      <w:r w:rsidR="00447F35">
        <w:rPr>
          <w:sz w:val="24"/>
          <w:szCs w:val="24"/>
        </w:rPr>
        <w:t xml:space="preserve">agreement to </w:t>
      </w:r>
      <w:r>
        <w:rPr>
          <w:sz w:val="24"/>
          <w:szCs w:val="24"/>
        </w:rPr>
        <w:t>remove</w:t>
      </w:r>
      <w:r w:rsidR="00010F4B" w:rsidRPr="000619F3">
        <w:rPr>
          <w:sz w:val="24"/>
          <w:szCs w:val="24"/>
        </w:rPr>
        <w:t xml:space="preserve"> barriers </w:t>
      </w:r>
      <w:r w:rsidR="00447F35">
        <w:rPr>
          <w:sz w:val="24"/>
          <w:szCs w:val="24"/>
        </w:rPr>
        <w:t xml:space="preserve">that were </w:t>
      </w:r>
      <w:r w:rsidR="00010F4B" w:rsidRPr="000619F3">
        <w:rPr>
          <w:sz w:val="24"/>
          <w:szCs w:val="24"/>
        </w:rPr>
        <w:t>impeding trade in goods</w:t>
      </w:r>
      <w:r w:rsidR="00010F4B">
        <w:rPr>
          <w:sz w:val="24"/>
          <w:szCs w:val="24"/>
        </w:rPr>
        <w:t>, for example,</w:t>
      </w:r>
      <w:r w:rsidR="00010F4B" w:rsidRPr="000619F3">
        <w:rPr>
          <w:sz w:val="24"/>
          <w:szCs w:val="24"/>
        </w:rPr>
        <w:t xml:space="preserve"> while the UK was </w:t>
      </w:r>
      <w:r w:rsidR="0089486A">
        <w:rPr>
          <w:sz w:val="24"/>
          <w:szCs w:val="24"/>
        </w:rPr>
        <w:t>a member</w:t>
      </w:r>
      <w:r w:rsidR="0089486A" w:rsidRPr="000619F3">
        <w:rPr>
          <w:sz w:val="24"/>
          <w:szCs w:val="24"/>
        </w:rPr>
        <w:t xml:space="preserve"> </w:t>
      </w:r>
      <w:r w:rsidR="00010F4B" w:rsidRPr="000619F3">
        <w:rPr>
          <w:sz w:val="24"/>
          <w:szCs w:val="24"/>
        </w:rPr>
        <w:t xml:space="preserve">of the European Union. </w:t>
      </w:r>
      <w:r w:rsidR="00010F4B" w:rsidRPr="00B6790B">
        <w:rPr>
          <w:sz w:val="24"/>
          <w:szCs w:val="24"/>
        </w:rPr>
        <w:t>Some of the barriers to goods trade include tariffs and quotas on exports and imports. Reducing or eliminating these quotas and tariffs means that trade can flow more freely</w:t>
      </w:r>
      <w:r w:rsidR="0089486A">
        <w:rPr>
          <w:sz w:val="24"/>
          <w:szCs w:val="24"/>
        </w:rPr>
        <w:t>,</w:t>
      </w:r>
      <w:r w:rsidR="00010F4B" w:rsidRPr="00B6790B">
        <w:rPr>
          <w:sz w:val="24"/>
          <w:szCs w:val="24"/>
        </w:rPr>
        <w:t xml:space="preserve"> resulting in more competitively priced products for consumers in both countries and improv</w:t>
      </w:r>
      <w:r w:rsidR="00D649DB">
        <w:rPr>
          <w:sz w:val="24"/>
          <w:szCs w:val="24"/>
        </w:rPr>
        <w:t>ed</w:t>
      </w:r>
      <w:r w:rsidR="00010F4B" w:rsidRPr="00B6790B">
        <w:rPr>
          <w:sz w:val="24"/>
          <w:szCs w:val="24"/>
        </w:rPr>
        <w:t xml:space="preserve"> standards of living. Removing tariffs on UK goods, for example UK manufactured </w:t>
      </w:r>
      <w:r w:rsidR="00B6790B">
        <w:rPr>
          <w:sz w:val="24"/>
          <w:szCs w:val="24"/>
        </w:rPr>
        <w:t>vehicles</w:t>
      </w:r>
      <w:r w:rsidR="00010F4B" w:rsidRPr="00B6790B">
        <w:rPr>
          <w:sz w:val="24"/>
          <w:szCs w:val="24"/>
        </w:rPr>
        <w:t xml:space="preserve">, will provide more choices for Australians as they will have greater access to competitively priced </w:t>
      </w:r>
      <w:r w:rsidR="0089486A">
        <w:rPr>
          <w:sz w:val="24"/>
          <w:szCs w:val="24"/>
        </w:rPr>
        <w:t>motor vehicles</w:t>
      </w:r>
      <w:r w:rsidR="00010F4B" w:rsidRPr="00B6790B">
        <w:rPr>
          <w:sz w:val="24"/>
          <w:szCs w:val="24"/>
        </w:rPr>
        <w:t>.</w:t>
      </w:r>
    </w:p>
    <w:bookmarkEnd w:id="8"/>
    <w:p w14:paraId="2F343093" w14:textId="77777777" w:rsidR="004927E9" w:rsidRPr="004927E9" w:rsidRDefault="004927E9" w:rsidP="004927E9">
      <w:pPr>
        <w:pStyle w:val="ListParagraph"/>
        <w:rPr>
          <w:sz w:val="24"/>
          <w:szCs w:val="24"/>
        </w:rPr>
      </w:pPr>
    </w:p>
    <w:p w14:paraId="27DE5E39" w14:textId="7A78A01E" w:rsidR="00010F4B" w:rsidRPr="004927E9" w:rsidRDefault="004927E9" w:rsidP="00206944">
      <w:pPr>
        <w:pStyle w:val="ListParagraph"/>
        <w:numPr>
          <w:ilvl w:val="0"/>
          <w:numId w:val="1"/>
        </w:numPr>
        <w:ind w:left="567" w:hanging="567"/>
        <w:rPr>
          <w:sz w:val="24"/>
          <w:szCs w:val="24"/>
        </w:rPr>
      </w:pPr>
      <w:r w:rsidRPr="004927E9">
        <w:rPr>
          <w:sz w:val="24"/>
          <w:szCs w:val="24"/>
        </w:rPr>
        <w:t xml:space="preserve">A selection of </w:t>
      </w:r>
      <w:r w:rsidR="00B6790B">
        <w:rPr>
          <w:sz w:val="24"/>
          <w:szCs w:val="24"/>
        </w:rPr>
        <w:t>key</w:t>
      </w:r>
      <w:r w:rsidRPr="004927E9">
        <w:rPr>
          <w:sz w:val="24"/>
          <w:szCs w:val="24"/>
        </w:rPr>
        <w:t xml:space="preserve"> goods market access outcomes, </w:t>
      </w:r>
      <w:r>
        <w:rPr>
          <w:sz w:val="24"/>
          <w:szCs w:val="24"/>
        </w:rPr>
        <w:t>which</w:t>
      </w:r>
      <w:r w:rsidR="00D20A39">
        <w:rPr>
          <w:sz w:val="24"/>
          <w:szCs w:val="24"/>
        </w:rPr>
        <w:t xml:space="preserve"> provide </w:t>
      </w:r>
      <w:r w:rsidR="00B6790B">
        <w:rPr>
          <w:sz w:val="24"/>
          <w:szCs w:val="24"/>
        </w:rPr>
        <w:t xml:space="preserve">further </w:t>
      </w:r>
      <w:r w:rsidR="00D20A39">
        <w:rPr>
          <w:sz w:val="24"/>
          <w:szCs w:val="24"/>
        </w:rPr>
        <w:t xml:space="preserve">practical examples of the </w:t>
      </w:r>
      <w:r>
        <w:rPr>
          <w:sz w:val="24"/>
          <w:szCs w:val="24"/>
        </w:rPr>
        <w:t xml:space="preserve">purpose </w:t>
      </w:r>
      <w:r w:rsidR="00CB13A3">
        <w:rPr>
          <w:sz w:val="24"/>
          <w:szCs w:val="24"/>
        </w:rPr>
        <w:t xml:space="preserve">and objectives </w:t>
      </w:r>
      <w:r>
        <w:rPr>
          <w:sz w:val="24"/>
          <w:szCs w:val="24"/>
        </w:rPr>
        <w:t xml:space="preserve">of </w:t>
      </w:r>
      <w:r w:rsidR="00CB13A3">
        <w:rPr>
          <w:sz w:val="24"/>
          <w:szCs w:val="24"/>
        </w:rPr>
        <w:t>committing to</w:t>
      </w:r>
      <w:r>
        <w:rPr>
          <w:sz w:val="24"/>
          <w:szCs w:val="24"/>
        </w:rPr>
        <w:t xml:space="preserve"> an FTA with the UK, are </w:t>
      </w:r>
      <w:r w:rsidR="00D20A39">
        <w:rPr>
          <w:sz w:val="24"/>
          <w:szCs w:val="24"/>
        </w:rPr>
        <w:t xml:space="preserve">provided </w:t>
      </w:r>
      <w:r w:rsidRPr="004927E9">
        <w:rPr>
          <w:sz w:val="24"/>
          <w:szCs w:val="24"/>
        </w:rPr>
        <w:t xml:space="preserve">in the </w:t>
      </w:r>
      <w:hyperlink r:id="rId17" w:history="1">
        <w:r w:rsidRPr="004927E9">
          <w:rPr>
            <w:rStyle w:val="Hyperlink"/>
            <w:sz w:val="24"/>
            <w:szCs w:val="24"/>
          </w:rPr>
          <w:t>Agreement in Principle (</w:t>
        </w:r>
        <w:proofErr w:type="spellStart"/>
        <w:r w:rsidRPr="004927E9">
          <w:rPr>
            <w:rStyle w:val="Hyperlink"/>
            <w:sz w:val="24"/>
            <w:szCs w:val="24"/>
          </w:rPr>
          <w:t>AiP</w:t>
        </w:r>
        <w:proofErr w:type="spellEnd"/>
        <w:r w:rsidRPr="004927E9">
          <w:rPr>
            <w:rStyle w:val="Hyperlink"/>
            <w:sz w:val="24"/>
            <w:szCs w:val="24"/>
          </w:rPr>
          <w:t>)</w:t>
        </w:r>
      </w:hyperlink>
      <w:r w:rsidRPr="004927E9">
        <w:rPr>
          <w:sz w:val="24"/>
          <w:szCs w:val="24"/>
        </w:rPr>
        <w:t xml:space="preserve"> at </w:t>
      </w:r>
      <w:r w:rsidRPr="004927E9">
        <w:rPr>
          <w:b/>
          <w:bCs/>
          <w:sz w:val="24"/>
          <w:szCs w:val="24"/>
          <w:u w:val="single"/>
        </w:rPr>
        <w:t>Attachment A</w:t>
      </w:r>
      <w:r w:rsidRPr="004927E9">
        <w:rPr>
          <w:sz w:val="24"/>
          <w:szCs w:val="24"/>
        </w:rPr>
        <w:t xml:space="preserve"> to this RIS.</w:t>
      </w:r>
    </w:p>
    <w:p w14:paraId="35A3BDBC" w14:textId="77777777" w:rsidR="00010F4B" w:rsidRDefault="00010F4B" w:rsidP="00010F4B">
      <w:pPr>
        <w:pStyle w:val="ListParagraph"/>
        <w:ind w:left="360"/>
        <w:rPr>
          <w:sz w:val="24"/>
          <w:szCs w:val="24"/>
        </w:rPr>
      </w:pPr>
    </w:p>
    <w:p w14:paraId="1351F0F7" w14:textId="4CD74160" w:rsidR="006448A8" w:rsidRDefault="005C5635" w:rsidP="00E14FCE">
      <w:pPr>
        <w:pStyle w:val="Heading1"/>
      </w:pPr>
      <w:bookmarkStart w:id="9" w:name="_Toc88748493"/>
      <w:r>
        <w:t>WHAT ARE THE OPTIONS TO ACHIEVE THESE OBJECTIVES?</w:t>
      </w:r>
      <w:bookmarkEnd w:id="9"/>
    </w:p>
    <w:p w14:paraId="0858B7AB" w14:textId="77777777" w:rsidR="002808B4" w:rsidRDefault="002808B4" w:rsidP="002808B4">
      <w:pPr>
        <w:pStyle w:val="ListParagraph"/>
        <w:ind w:left="360"/>
        <w:rPr>
          <w:sz w:val="24"/>
          <w:szCs w:val="24"/>
        </w:rPr>
      </w:pPr>
    </w:p>
    <w:p w14:paraId="0857D354" w14:textId="5E10C9CA" w:rsidR="00EC5207" w:rsidRDefault="00EC5207" w:rsidP="00206944">
      <w:pPr>
        <w:pStyle w:val="ListParagraph"/>
        <w:numPr>
          <w:ilvl w:val="0"/>
          <w:numId w:val="1"/>
        </w:numPr>
        <w:ind w:left="567" w:hanging="567"/>
        <w:rPr>
          <w:sz w:val="24"/>
          <w:szCs w:val="24"/>
        </w:rPr>
      </w:pPr>
      <w:r>
        <w:rPr>
          <w:sz w:val="24"/>
          <w:szCs w:val="24"/>
        </w:rPr>
        <w:t xml:space="preserve">This RIS considers two options: </w:t>
      </w:r>
      <w:r w:rsidR="00D20A39">
        <w:rPr>
          <w:sz w:val="24"/>
          <w:szCs w:val="24"/>
        </w:rPr>
        <w:t>to sign or not to</w:t>
      </w:r>
      <w:r>
        <w:rPr>
          <w:sz w:val="24"/>
          <w:szCs w:val="24"/>
        </w:rPr>
        <w:t xml:space="preserve"> </w:t>
      </w:r>
      <w:r w:rsidR="005D1378">
        <w:rPr>
          <w:sz w:val="24"/>
          <w:szCs w:val="24"/>
        </w:rPr>
        <w:t>sign</w:t>
      </w:r>
      <w:r>
        <w:rPr>
          <w:sz w:val="24"/>
          <w:szCs w:val="24"/>
        </w:rPr>
        <w:t xml:space="preserve"> the </w:t>
      </w:r>
      <w:r w:rsidR="008F3541">
        <w:rPr>
          <w:sz w:val="24"/>
          <w:szCs w:val="24"/>
        </w:rPr>
        <w:t xml:space="preserve">proposed </w:t>
      </w:r>
      <w:r>
        <w:rPr>
          <w:sz w:val="24"/>
          <w:szCs w:val="24"/>
        </w:rPr>
        <w:t xml:space="preserve">bilateral AU-UK FTA. </w:t>
      </w:r>
    </w:p>
    <w:p w14:paraId="69D6FC71" w14:textId="77777777" w:rsidR="00EC5207" w:rsidRPr="00EC5207" w:rsidRDefault="00EC5207" w:rsidP="00EC5207">
      <w:pPr>
        <w:pStyle w:val="ListParagraph"/>
        <w:ind w:left="360"/>
        <w:rPr>
          <w:sz w:val="24"/>
          <w:szCs w:val="24"/>
        </w:rPr>
      </w:pPr>
    </w:p>
    <w:p w14:paraId="076DB4D2" w14:textId="241EB39D" w:rsidR="008133BE" w:rsidRDefault="005C5635" w:rsidP="00206944">
      <w:pPr>
        <w:pStyle w:val="ListParagraph"/>
        <w:numPr>
          <w:ilvl w:val="0"/>
          <w:numId w:val="1"/>
        </w:numPr>
        <w:ind w:left="567" w:hanging="567"/>
        <w:rPr>
          <w:sz w:val="24"/>
          <w:szCs w:val="24"/>
        </w:rPr>
      </w:pPr>
      <w:bookmarkStart w:id="10" w:name="_Hlk83379023"/>
      <w:r w:rsidRPr="00EC5207">
        <w:rPr>
          <w:sz w:val="24"/>
          <w:szCs w:val="24"/>
        </w:rPr>
        <w:t xml:space="preserve">If the </w:t>
      </w:r>
      <w:r w:rsidR="008F3541">
        <w:rPr>
          <w:sz w:val="24"/>
          <w:szCs w:val="24"/>
        </w:rPr>
        <w:t>G</w:t>
      </w:r>
      <w:r w:rsidRPr="00EC5207">
        <w:rPr>
          <w:sz w:val="24"/>
          <w:szCs w:val="24"/>
        </w:rPr>
        <w:t>overnment does not sign the proposed AU-UK FTA</w:t>
      </w:r>
      <w:r w:rsidR="00EC44FA">
        <w:rPr>
          <w:sz w:val="24"/>
          <w:szCs w:val="24"/>
        </w:rPr>
        <w:t>,</w:t>
      </w:r>
      <w:r w:rsidRPr="00EC5207">
        <w:rPr>
          <w:sz w:val="24"/>
          <w:szCs w:val="24"/>
        </w:rPr>
        <w:t xml:space="preserve"> </w:t>
      </w:r>
      <w:r w:rsidR="00EC5207" w:rsidRPr="00EC5207">
        <w:rPr>
          <w:sz w:val="24"/>
          <w:szCs w:val="24"/>
        </w:rPr>
        <w:t xml:space="preserve">this would be a missed opportunity for Australian exporters and investors to </w:t>
      </w:r>
      <w:r w:rsidR="005D1378">
        <w:rPr>
          <w:sz w:val="24"/>
          <w:szCs w:val="24"/>
        </w:rPr>
        <w:t xml:space="preserve">benefit from </w:t>
      </w:r>
      <w:r w:rsidR="00724623">
        <w:rPr>
          <w:sz w:val="24"/>
          <w:szCs w:val="24"/>
        </w:rPr>
        <w:t xml:space="preserve">an improved trading relationship. </w:t>
      </w:r>
      <w:bookmarkStart w:id="11" w:name="_Hlk83297044"/>
      <w:r w:rsidR="00E21A56">
        <w:rPr>
          <w:sz w:val="24"/>
          <w:szCs w:val="24"/>
        </w:rPr>
        <w:t>I</w:t>
      </w:r>
      <w:r w:rsidR="00E21A56" w:rsidRPr="00BE1B88">
        <w:rPr>
          <w:sz w:val="24"/>
          <w:szCs w:val="24"/>
        </w:rPr>
        <w:t>t</w:t>
      </w:r>
      <w:r w:rsidR="00E21A56">
        <w:rPr>
          <w:sz w:val="24"/>
          <w:szCs w:val="24"/>
        </w:rPr>
        <w:t xml:space="preserve"> i</w:t>
      </w:r>
      <w:r w:rsidR="00E21A56" w:rsidRPr="00BE1B88">
        <w:rPr>
          <w:sz w:val="24"/>
          <w:szCs w:val="24"/>
        </w:rPr>
        <w:t xml:space="preserve">s in Australia’s interest to ensure the competitiveness of its </w:t>
      </w:r>
      <w:r w:rsidR="00E21A56" w:rsidRPr="00BE1B88">
        <w:rPr>
          <w:sz w:val="24"/>
          <w:szCs w:val="24"/>
        </w:rPr>
        <w:lastRenderedPageBreak/>
        <w:t xml:space="preserve">agricultural and </w:t>
      </w:r>
      <w:r w:rsidR="00E21A56">
        <w:rPr>
          <w:sz w:val="24"/>
          <w:szCs w:val="24"/>
        </w:rPr>
        <w:t>industrial exports</w:t>
      </w:r>
      <w:r w:rsidR="00E21A56" w:rsidRPr="00BE1B88">
        <w:rPr>
          <w:sz w:val="24"/>
          <w:szCs w:val="24"/>
        </w:rPr>
        <w:t xml:space="preserve"> in</w:t>
      </w:r>
      <w:r w:rsidR="00E21A56">
        <w:rPr>
          <w:sz w:val="24"/>
          <w:szCs w:val="24"/>
        </w:rPr>
        <w:t>to</w:t>
      </w:r>
      <w:r w:rsidR="00E21A56" w:rsidRPr="00BE1B88">
        <w:rPr>
          <w:sz w:val="24"/>
          <w:szCs w:val="24"/>
        </w:rPr>
        <w:t xml:space="preserve"> </w:t>
      </w:r>
      <w:r w:rsidR="00E21A56">
        <w:rPr>
          <w:sz w:val="24"/>
          <w:szCs w:val="24"/>
        </w:rPr>
        <w:t>the UK</w:t>
      </w:r>
      <w:r w:rsidR="00E21A56" w:rsidRPr="00BE1B88">
        <w:rPr>
          <w:sz w:val="24"/>
          <w:szCs w:val="24"/>
        </w:rPr>
        <w:t xml:space="preserve">, particularly at a time when many of Australia’s trade competitors </w:t>
      </w:r>
      <w:r w:rsidR="00E21A56">
        <w:rPr>
          <w:sz w:val="24"/>
          <w:szCs w:val="24"/>
        </w:rPr>
        <w:t>ar</w:t>
      </w:r>
      <w:r w:rsidR="00E21A56" w:rsidRPr="00BE1B88">
        <w:rPr>
          <w:sz w:val="24"/>
          <w:szCs w:val="24"/>
        </w:rPr>
        <w:t>e negotiating preferential access</w:t>
      </w:r>
      <w:r w:rsidR="00E21A56">
        <w:rPr>
          <w:sz w:val="24"/>
          <w:szCs w:val="24"/>
        </w:rPr>
        <w:t xml:space="preserve"> with the UK</w:t>
      </w:r>
      <w:r w:rsidR="00E21A56" w:rsidRPr="00BE1B88">
        <w:rPr>
          <w:sz w:val="24"/>
          <w:szCs w:val="24"/>
        </w:rPr>
        <w:t xml:space="preserve">, </w:t>
      </w:r>
      <w:r w:rsidR="00DB4596">
        <w:rPr>
          <w:sz w:val="24"/>
          <w:szCs w:val="24"/>
        </w:rPr>
        <w:t xml:space="preserve">including </w:t>
      </w:r>
      <w:r w:rsidR="00E21A56" w:rsidRPr="00BE1B88">
        <w:rPr>
          <w:sz w:val="24"/>
          <w:szCs w:val="24"/>
        </w:rPr>
        <w:t>through bilateral FTAs</w:t>
      </w:r>
      <w:r w:rsidR="00F82EF9">
        <w:rPr>
          <w:sz w:val="24"/>
          <w:szCs w:val="24"/>
        </w:rPr>
        <w:t xml:space="preserve"> and through the Comprehensive and Progressive Trans-Pacific Partnership (CPTPP) as the UK formally requested accession on 2 June 2021</w:t>
      </w:r>
      <w:r w:rsidR="00E21A56" w:rsidRPr="00BE1B88">
        <w:rPr>
          <w:sz w:val="24"/>
          <w:szCs w:val="24"/>
        </w:rPr>
        <w:t xml:space="preserve">. </w:t>
      </w:r>
      <w:bookmarkEnd w:id="11"/>
      <w:r w:rsidR="00EC5207" w:rsidRPr="00447F35">
        <w:rPr>
          <w:sz w:val="24"/>
          <w:szCs w:val="24"/>
        </w:rPr>
        <w:t>Signing the</w:t>
      </w:r>
      <w:r w:rsidR="00E91704">
        <w:rPr>
          <w:sz w:val="24"/>
          <w:szCs w:val="24"/>
        </w:rPr>
        <w:t xml:space="preserve"> proposed</w:t>
      </w:r>
      <w:r w:rsidR="00EC5207" w:rsidRPr="00447F35">
        <w:rPr>
          <w:sz w:val="24"/>
          <w:szCs w:val="24"/>
        </w:rPr>
        <w:t xml:space="preserve"> AU-UK FTA will </w:t>
      </w:r>
      <w:r w:rsidR="00E14FCE" w:rsidRPr="00447F35">
        <w:rPr>
          <w:sz w:val="24"/>
          <w:szCs w:val="24"/>
        </w:rPr>
        <w:t>protect and improve Australia’s competitive position</w:t>
      </w:r>
      <w:r w:rsidR="00447F35">
        <w:rPr>
          <w:sz w:val="24"/>
          <w:szCs w:val="24"/>
        </w:rPr>
        <w:t xml:space="preserve"> relative to other trading partners</w:t>
      </w:r>
      <w:r w:rsidR="005F51E8">
        <w:rPr>
          <w:sz w:val="24"/>
          <w:szCs w:val="24"/>
        </w:rPr>
        <w:t>,</w:t>
      </w:r>
      <w:r w:rsidR="005C4E29">
        <w:rPr>
          <w:sz w:val="24"/>
          <w:szCs w:val="24"/>
        </w:rPr>
        <w:t xml:space="preserve"> </w:t>
      </w:r>
      <w:r w:rsidR="00E14FCE" w:rsidRPr="00447F35">
        <w:rPr>
          <w:sz w:val="24"/>
          <w:szCs w:val="24"/>
        </w:rPr>
        <w:t xml:space="preserve">open new commercial opportunities </w:t>
      </w:r>
      <w:r w:rsidR="005F51E8">
        <w:rPr>
          <w:sz w:val="24"/>
          <w:szCs w:val="24"/>
        </w:rPr>
        <w:t xml:space="preserve">for Australian businesses and exporters, </w:t>
      </w:r>
      <w:r w:rsidR="00E14FCE" w:rsidRPr="00447F35">
        <w:rPr>
          <w:sz w:val="24"/>
          <w:szCs w:val="24"/>
        </w:rPr>
        <w:t xml:space="preserve">and </w:t>
      </w:r>
      <w:r w:rsidR="00E2375F" w:rsidRPr="00447F35">
        <w:rPr>
          <w:sz w:val="24"/>
          <w:szCs w:val="24"/>
        </w:rPr>
        <w:t>contribute to</w:t>
      </w:r>
      <w:r w:rsidR="003A5F45" w:rsidRPr="00447F35">
        <w:rPr>
          <w:sz w:val="24"/>
          <w:szCs w:val="24"/>
        </w:rPr>
        <w:t xml:space="preserve"> </w:t>
      </w:r>
      <w:r w:rsidR="00027663">
        <w:rPr>
          <w:sz w:val="24"/>
          <w:szCs w:val="24"/>
        </w:rPr>
        <w:t>Australia’s</w:t>
      </w:r>
      <w:r w:rsidR="003A5F45" w:rsidRPr="00447F35">
        <w:rPr>
          <w:sz w:val="24"/>
          <w:szCs w:val="24"/>
        </w:rPr>
        <w:t xml:space="preserve"> COVID</w:t>
      </w:r>
      <w:r w:rsidR="00E2375F" w:rsidRPr="00447F35">
        <w:rPr>
          <w:sz w:val="24"/>
          <w:szCs w:val="24"/>
        </w:rPr>
        <w:t>-19</w:t>
      </w:r>
      <w:r w:rsidR="003A5F45" w:rsidRPr="00447F35">
        <w:rPr>
          <w:sz w:val="24"/>
          <w:szCs w:val="24"/>
        </w:rPr>
        <w:t xml:space="preserve"> economic recovery. </w:t>
      </w:r>
    </w:p>
    <w:bookmarkEnd w:id="10"/>
    <w:p w14:paraId="60D5667E" w14:textId="77777777" w:rsidR="005C4E29" w:rsidRPr="005C4E29" w:rsidRDefault="005C4E29" w:rsidP="005C4E29">
      <w:pPr>
        <w:pStyle w:val="ListParagraph"/>
        <w:rPr>
          <w:sz w:val="24"/>
          <w:szCs w:val="24"/>
        </w:rPr>
      </w:pPr>
    </w:p>
    <w:p w14:paraId="313EF9A2" w14:textId="768C58C0" w:rsidR="005C4E29" w:rsidRPr="00E21A56" w:rsidRDefault="005C4E29" w:rsidP="00E21A56">
      <w:pPr>
        <w:pStyle w:val="ListParagraph"/>
        <w:numPr>
          <w:ilvl w:val="0"/>
          <w:numId w:val="1"/>
        </w:numPr>
        <w:ind w:left="567" w:hanging="567"/>
        <w:rPr>
          <w:sz w:val="24"/>
          <w:szCs w:val="24"/>
        </w:rPr>
      </w:pPr>
      <w:r>
        <w:rPr>
          <w:sz w:val="24"/>
          <w:szCs w:val="24"/>
        </w:rPr>
        <w:t>Not signing the proposed AU-UK FTA</w:t>
      </w:r>
      <w:r w:rsidRPr="005C4E29">
        <w:rPr>
          <w:sz w:val="24"/>
          <w:szCs w:val="24"/>
        </w:rPr>
        <w:t xml:space="preserve"> would </w:t>
      </w:r>
      <w:r>
        <w:rPr>
          <w:sz w:val="24"/>
          <w:szCs w:val="24"/>
        </w:rPr>
        <w:t xml:space="preserve">also </w:t>
      </w:r>
      <w:bookmarkStart w:id="12" w:name="_Hlk83296518"/>
      <w:r w:rsidRPr="005C4E29">
        <w:rPr>
          <w:sz w:val="24"/>
          <w:szCs w:val="24"/>
        </w:rPr>
        <w:t xml:space="preserve">mean </w:t>
      </w:r>
      <w:r>
        <w:rPr>
          <w:sz w:val="24"/>
          <w:szCs w:val="24"/>
        </w:rPr>
        <w:t xml:space="preserve">that </w:t>
      </w:r>
      <w:r w:rsidRPr="005C4E29">
        <w:rPr>
          <w:sz w:val="24"/>
          <w:szCs w:val="24"/>
        </w:rPr>
        <w:t>Australia</w:t>
      </w:r>
      <w:r>
        <w:rPr>
          <w:sz w:val="24"/>
          <w:szCs w:val="24"/>
        </w:rPr>
        <w:t xml:space="preserve"> would be</w:t>
      </w:r>
      <w:r w:rsidRPr="005C4E29">
        <w:rPr>
          <w:sz w:val="24"/>
          <w:szCs w:val="24"/>
        </w:rPr>
        <w:t xml:space="preserve"> trading with the UK on </w:t>
      </w:r>
      <w:r>
        <w:rPr>
          <w:sz w:val="24"/>
          <w:szCs w:val="24"/>
        </w:rPr>
        <w:t>Most-Favoured Nation (</w:t>
      </w:r>
      <w:r w:rsidRPr="005C4E29">
        <w:rPr>
          <w:sz w:val="24"/>
          <w:szCs w:val="24"/>
        </w:rPr>
        <w:t>MFN</w:t>
      </w:r>
      <w:r>
        <w:rPr>
          <w:sz w:val="24"/>
          <w:szCs w:val="24"/>
        </w:rPr>
        <w:t>)</w:t>
      </w:r>
      <w:r w:rsidRPr="005C4E29">
        <w:rPr>
          <w:sz w:val="24"/>
          <w:szCs w:val="24"/>
        </w:rPr>
        <w:t xml:space="preserve"> </w:t>
      </w:r>
      <w:r w:rsidR="00417820">
        <w:rPr>
          <w:sz w:val="24"/>
          <w:szCs w:val="24"/>
        </w:rPr>
        <w:t xml:space="preserve">terms as in the </w:t>
      </w:r>
      <w:r w:rsidRPr="005C4E29">
        <w:rPr>
          <w:sz w:val="24"/>
          <w:szCs w:val="24"/>
        </w:rPr>
        <w:t>W</w:t>
      </w:r>
      <w:r>
        <w:rPr>
          <w:sz w:val="24"/>
          <w:szCs w:val="24"/>
        </w:rPr>
        <w:t xml:space="preserve">orld </w:t>
      </w:r>
      <w:r w:rsidRPr="005C4E29">
        <w:rPr>
          <w:sz w:val="24"/>
          <w:szCs w:val="24"/>
        </w:rPr>
        <w:t>T</w:t>
      </w:r>
      <w:r>
        <w:rPr>
          <w:sz w:val="24"/>
          <w:szCs w:val="24"/>
        </w:rPr>
        <w:t xml:space="preserve">rade </w:t>
      </w:r>
      <w:r w:rsidRPr="005C4E29">
        <w:rPr>
          <w:sz w:val="24"/>
          <w:szCs w:val="24"/>
        </w:rPr>
        <w:t>O</w:t>
      </w:r>
      <w:r>
        <w:rPr>
          <w:sz w:val="24"/>
          <w:szCs w:val="24"/>
        </w:rPr>
        <w:t>rganization (WTO)</w:t>
      </w:r>
      <w:bookmarkEnd w:id="12"/>
      <w:r>
        <w:rPr>
          <w:sz w:val="24"/>
          <w:szCs w:val="24"/>
        </w:rPr>
        <w:t>. W</w:t>
      </w:r>
      <w:r w:rsidRPr="005C4E29">
        <w:rPr>
          <w:sz w:val="24"/>
          <w:szCs w:val="24"/>
        </w:rPr>
        <w:t xml:space="preserve">hile the UK’s global tariff </w:t>
      </w:r>
      <w:r>
        <w:rPr>
          <w:sz w:val="24"/>
          <w:szCs w:val="24"/>
        </w:rPr>
        <w:t xml:space="preserve">schedule </w:t>
      </w:r>
      <w:r w:rsidRPr="005C4E29">
        <w:rPr>
          <w:sz w:val="24"/>
          <w:szCs w:val="24"/>
        </w:rPr>
        <w:t xml:space="preserve">indicates </w:t>
      </w:r>
      <w:r>
        <w:rPr>
          <w:sz w:val="24"/>
          <w:szCs w:val="24"/>
        </w:rPr>
        <w:t xml:space="preserve">that </w:t>
      </w:r>
      <w:r w:rsidRPr="005C4E29">
        <w:rPr>
          <w:sz w:val="24"/>
          <w:szCs w:val="24"/>
        </w:rPr>
        <w:t xml:space="preserve">its tariffs are relatively low, they are high for </w:t>
      </w:r>
      <w:bookmarkStart w:id="13" w:name="_Hlk83296554"/>
      <w:r w:rsidRPr="005C4E29">
        <w:rPr>
          <w:sz w:val="24"/>
          <w:szCs w:val="24"/>
        </w:rPr>
        <w:t>key products of interest to Australia</w:t>
      </w:r>
      <w:r>
        <w:rPr>
          <w:sz w:val="24"/>
          <w:szCs w:val="24"/>
        </w:rPr>
        <w:t xml:space="preserve"> for example </w:t>
      </w:r>
      <w:r w:rsidR="00E423F0">
        <w:rPr>
          <w:sz w:val="24"/>
          <w:szCs w:val="24"/>
        </w:rPr>
        <w:t xml:space="preserve">wine, </w:t>
      </w:r>
      <w:proofErr w:type="gramStart"/>
      <w:r>
        <w:rPr>
          <w:sz w:val="24"/>
          <w:szCs w:val="24"/>
        </w:rPr>
        <w:t>beef</w:t>
      </w:r>
      <w:proofErr w:type="gramEnd"/>
      <w:r w:rsidR="00E423F0">
        <w:rPr>
          <w:sz w:val="24"/>
          <w:szCs w:val="24"/>
        </w:rPr>
        <w:t xml:space="preserve"> and</w:t>
      </w:r>
      <w:r>
        <w:rPr>
          <w:sz w:val="24"/>
          <w:szCs w:val="24"/>
        </w:rPr>
        <w:t xml:space="preserve"> sheep meat</w:t>
      </w:r>
      <w:bookmarkEnd w:id="13"/>
      <w:r w:rsidRPr="005C4E29">
        <w:rPr>
          <w:sz w:val="24"/>
          <w:szCs w:val="24"/>
        </w:rPr>
        <w:t xml:space="preserve">. </w:t>
      </w:r>
      <w:r w:rsidR="008B615C">
        <w:rPr>
          <w:sz w:val="24"/>
          <w:szCs w:val="24"/>
        </w:rPr>
        <w:t xml:space="preserve">The UK </w:t>
      </w:r>
      <w:r w:rsidR="008B615C" w:rsidRPr="008B615C">
        <w:rPr>
          <w:sz w:val="24"/>
          <w:szCs w:val="24"/>
        </w:rPr>
        <w:t>maintained trade restrictions on goods and services of interest to Australia</w:t>
      </w:r>
      <w:r w:rsidR="008B615C">
        <w:rPr>
          <w:sz w:val="24"/>
          <w:szCs w:val="24"/>
        </w:rPr>
        <w:t xml:space="preserve"> while it was part of the EU</w:t>
      </w:r>
      <w:r w:rsidR="008B615C" w:rsidRPr="008B615C">
        <w:rPr>
          <w:sz w:val="24"/>
          <w:szCs w:val="24"/>
        </w:rPr>
        <w:t xml:space="preserve">. </w:t>
      </w:r>
      <w:bookmarkStart w:id="14" w:name="_Hlk83296786"/>
      <w:r w:rsidR="008B615C" w:rsidRPr="00E21A56">
        <w:rPr>
          <w:sz w:val="24"/>
          <w:szCs w:val="24"/>
        </w:rPr>
        <w:t>Without th</w:t>
      </w:r>
      <w:r w:rsidR="00BE1B88" w:rsidRPr="00E21A56">
        <w:rPr>
          <w:sz w:val="24"/>
          <w:szCs w:val="24"/>
        </w:rPr>
        <w:t>e</w:t>
      </w:r>
      <w:r w:rsidR="008B615C" w:rsidRPr="00E21A56">
        <w:rPr>
          <w:sz w:val="24"/>
          <w:szCs w:val="24"/>
        </w:rPr>
        <w:t xml:space="preserve"> proposed AU-UK FTA to reduce these restrictions, Australian exporters would be constrained in their ability to capitalise fully on the opportunities presented by the UK’s </w:t>
      </w:r>
      <w:r w:rsidR="00DB4596">
        <w:rPr>
          <w:sz w:val="24"/>
          <w:szCs w:val="24"/>
        </w:rPr>
        <w:t>departure</w:t>
      </w:r>
      <w:r w:rsidR="008B615C" w:rsidRPr="00E21A56">
        <w:rPr>
          <w:sz w:val="24"/>
          <w:szCs w:val="24"/>
        </w:rPr>
        <w:t xml:space="preserve"> from the EU. </w:t>
      </w:r>
      <w:bookmarkEnd w:id="14"/>
    </w:p>
    <w:p w14:paraId="57FB89A0" w14:textId="77777777" w:rsidR="005C4E29" w:rsidRPr="005C4E29" w:rsidRDefault="005C4E29" w:rsidP="005C4E29">
      <w:pPr>
        <w:pStyle w:val="ListParagraph"/>
        <w:rPr>
          <w:sz w:val="24"/>
          <w:szCs w:val="24"/>
        </w:rPr>
      </w:pPr>
    </w:p>
    <w:p w14:paraId="6EEB1F89" w14:textId="34D67D61" w:rsidR="00061D2C" w:rsidRPr="00417820" w:rsidRDefault="00CB1B1B" w:rsidP="00417820">
      <w:pPr>
        <w:pStyle w:val="ListParagraph"/>
        <w:numPr>
          <w:ilvl w:val="0"/>
          <w:numId w:val="1"/>
        </w:numPr>
        <w:ind w:left="567" w:hanging="567"/>
        <w:rPr>
          <w:sz w:val="24"/>
          <w:szCs w:val="24"/>
        </w:rPr>
      </w:pPr>
      <w:r>
        <w:rPr>
          <w:sz w:val="24"/>
          <w:szCs w:val="24"/>
        </w:rPr>
        <w:t>Finally, n</w:t>
      </w:r>
      <w:r w:rsidR="005C4E29">
        <w:rPr>
          <w:sz w:val="24"/>
          <w:szCs w:val="24"/>
        </w:rPr>
        <w:t xml:space="preserve">ot signing the proposed AU-UK FTA </w:t>
      </w:r>
      <w:r w:rsidR="00316787">
        <w:rPr>
          <w:sz w:val="24"/>
          <w:szCs w:val="24"/>
        </w:rPr>
        <w:t xml:space="preserve">would </w:t>
      </w:r>
      <w:r w:rsidR="005C4E29">
        <w:rPr>
          <w:sz w:val="24"/>
          <w:szCs w:val="24"/>
        </w:rPr>
        <w:t xml:space="preserve">also </w:t>
      </w:r>
      <w:r w:rsidR="005C4E29" w:rsidRPr="005C4E29">
        <w:rPr>
          <w:sz w:val="24"/>
          <w:szCs w:val="24"/>
        </w:rPr>
        <w:t>mean</w:t>
      </w:r>
      <w:r w:rsidR="005C4E29">
        <w:rPr>
          <w:sz w:val="24"/>
          <w:szCs w:val="24"/>
        </w:rPr>
        <w:t xml:space="preserve"> that</w:t>
      </w:r>
      <w:r w:rsidR="00316787">
        <w:rPr>
          <w:sz w:val="24"/>
          <w:szCs w:val="24"/>
        </w:rPr>
        <w:t xml:space="preserve"> </w:t>
      </w:r>
      <w:r w:rsidR="00DB4596">
        <w:rPr>
          <w:sz w:val="24"/>
          <w:szCs w:val="24"/>
        </w:rPr>
        <w:t>Australia would not be able to benefit from</w:t>
      </w:r>
      <w:r w:rsidR="00316787">
        <w:rPr>
          <w:sz w:val="24"/>
          <w:szCs w:val="24"/>
        </w:rPr>
        <w:t xml:space="preserve"> the market access outcomes nor the chapter text commitments that will likely serve to </w:t>
      </w:r>
      <w:r w:rsidR="005C4E29" w:rsidRPr="005C4E29">
        <w:rPr>
          <w:sz w:val="24"/>
          <w:szCs w:val="24"/>
        </w:rPr>
        <w:t xml:space="preserve">attract investment and support </w:t>
      </w:r>
      <w:r w:rsidR="00027663">
        <w:rPr>
          <w:sz w:val="24"/>
          <w:szCs w:val="24"/>
        </w:rPr>
        <w:t xml:space="preserve">mobility for </w:t>
      </w:r>
      <w:proofErr w:type="gramStart"/>
      <w:r w:rsidR="00027663">
        <w:rPr>
          <w:sz w:val="24"/>
          <w:szCs w:val="24"/>
        </w:rPr>
        <w:t xml:space="preserve">business </w:t>
      </w:r>
      <w:r w:rsidR="005C4E29" w:rsidRPr="005C4E29">
        <w:rPr>
          <w:sz w:val="24"/>
          <w:szCs w:val="24"/>
        </w:rPr>
        <w:t>people</w:t>
      </w:r>
      <w:proofErr w:type="gramEnd"/>
      <w:r w:rsidR="00027663">
        <w:rPr>
          <w:sz w:val="24"/>
          <w:szCs w:val="24"/>
        </w:rPr>
        <w:t xml:space="preserve"> and professionals</w:t>
      </w:r>
      <w:r w:rsidR="005C4E29" w:rsidRPr="005C4E29">
        <w:rPr>
          <w:sz w:val="24"/>
          <w:szCs w:val="24"/>
        </w:rPr>
        <w:t xml:space="preserve"> </w:t>
      </w:r>
      <w:r w:rsidR="00316787">
        <w:rPr>
          <w:sz w:val="24"/>
          <w:szCs w:val="24"/>
        </w:rPr>
        <w:t xml:space="preserve">in </w:t>
      </w:r>
      <w:r w:rsidR="00027663">
        <w:rPr>
          <w:sz w:val="24"/>
          <w:szCs w:val="24"/>
        </w:rPr>
        <w:t>the</w:t>
      </w:r>
      <w:r w:rsidR="00316787">
        <w:rPr>
          <w:sz w:val="24"/>
          <w:szCs w:val="24"/>
        </w:rPr>
        <w:t xml:space="preserve"> </w:t>
      </w:r>
      <w:r w:rsidR="005C4E29" w:rsidRPr="005C4E29">
        <w:rPr>
          <w:sz w:val="24"/>
          <w:szCs w:val="24"/>
        </w:rPr>
        <w:t>post</w:t>
      </w:r>
      <w:r w:rsidR="00316787">
        <w:rPr>
          <w:sz w:val="24"/>
          <w:szCs w:val="24"/>
        </w:rPr>
        <w:t>-</w:t>
      </w:r>
      <w:r w:rsidR="005C4E29" w:rsidRPr="005C4E29">
        <w:rPr>
          <w:sz w:val="24"/>
          <w:szCs w:val="24"/>
        </w:rPr>
        <w:t>C</w:t>
      </w:r>
      <w:r w:rsidR="00316787">
        <w:rPr>
          <w:sz w:val="24"/>
          <w:szCs w:val="24"/>
        </w:rPr>
        <w:t>OVID-19</w:t>
      </w:r>
      <w:r w:rsidR="005C4E29" w:rsidRPr="005C4E29">
        <w:rPr>
          <w:sz w:val="24"/>
          <w:szCs w:val="24"/>
        </w:rPr>
        <w:t xml:space="preserve"> recovery</w:t>
      </w:r>
      <w:r w:rsidR="00316787">
        <w:rPr>
          <w:sz w:val="24"/>
          <w:szCs w:val="24"/>
        </w:rPr>
        <w:t xml:space="preserve"> environment</w:t>
      </w:r>
      <w:r w:rsidR="005C4E29" w:rsidRPr="005C4E29">
        <w:rPr>
          <w:sz w:val="24"/>
          <w:szCs w:val="24"/>
        </w:rPr>
        <w:t>.</w:t>
      </w:r>
    </w:p>
    <w:p w14:paraId="1CC93B0D" w14:textId="77777777" w:rsidR="00061D2C" w:rsidRPr="00061D2C" w:rsidRDefault="00061D2C" w:rsidP="00061D2C">
      <w:pPr>
        <w:pStyle w:val="ListParagraph"/>
        <w:ind w:left="567"/>
        <w:rPr>
          <w:sz w:val="24"/>
          <w:szCs w:val="24"/>
        </w:rPr>
      </w:pPr>
    </w:p>
    <w:p w14:paraId="58B7419E" w14:textId="6FCF6D1C" w:rsidR="00275F74" w:rsidRDefault="00B47AEF" w:rsidP="002C15EC">
      <w:pPr>
        <w:pStyle w:val="Heading1"/>
      </w:pPr>
      <w:bookmarkStart w:id="15" w:name="_Toc88748494"/>
      <w:r>
        <w:t>BENEFIT</w:t>
      </w:r>
      <w:r w:rsidR="00E968CA">
        <w:t>S AND IMPACT ANALYSIS</w:t>
      </w:r>
      <w:bookmarkEnd w:id="15"/>
    </w:p>
    <w:p w14:paraId="0399C2B0" w14:textId="1B68B4FC" w:rsidR="00E1113B" w:rsidRDefault="00E1113B" w:rsidP="00E1113B"/>
    <w:p w14:paraId="61C685AC" w14:textId="08C0A9EB" w:rsidR="00E1113B" w:rsidRDefault="00E1113B" w:rsidP="00E1113B">
      <w:pPr>
        <w:pStyle w:val="ListParagraph"/>
        <w:numPr>
          <w:ilvl w:val="0"/>
          <w:numId w:val="1"/>
        </w:numPr>
        <w:ind w:left="567" w:hanging="567"/>
        <w:rPr>
          <w:sz w:val="24"/>
          <w:szCs w:val="24"/>
        </w:rPr>
      </w:pPr>
      <w:r w:rsidRPr="00E1113B">
        <w:rPr>
          <w:sz w:val="24"/>
          <w:szCs w:val="24"/>
        </w:rPr>
        <w:t xml:space="preserve">There are multiple influences on </w:t>
      </w:r>
      <w:r w:rsidR="00CB1B1B">
        <w:rPr>
          <w:sz w:val="24"/>
          <w:szCs w:val="24"/>
        </w:rPr>
        <w:t xml:space="preserve">international </w:t>
      </w:r>
      <w:r w:rsidRPr="00E1113B">
        <w:rPr>
          <w:sz w:val="24"/>
          <w:szCs w:val="24"/>
        </w:rPr>
        <w:t xml:space="preserve">trade and investment flows, such as </w:t>
      </w:r>
      <w:r w:rsidR="00CB1B1B">
        <w:rPr>
          <w:sz w:val="24"/>
          <w:szCs w:val="24"/>
        </w:rPr>
        <w:t>current</w:t>
      </w:r>
      <w:r w:rsidRPr="00E1113B">
        <w:rPr>
          <w:sz w:val="24"/>
          <w:szCs w:val="24"/>
        </w:rPr>
        <w:t xml:space="preserve"> economic conditions, exchange rate fluctuations, supply and demand factors, and environmental </w:t>
      </w:r>
      <w:r w:rsidR="008577D0">
        <w:rPr>
          <w:sz w:val="24"/>
          <w:szCs w:val="24"/>
        </w:rPr>
        <w:t>issues</w:t>
      </w:r>
      <w:r w:rsidRPr="00E1113B">
        <w:rPr>
          <w:sz w:val="24"/>
          <w:szCs w:val="24"/>
        </w:rPr>
        <w:t xml:space="preserve"> such as natural disasters. This has an impact on</w:t>
      </w:r>
      <w:r w:rsidR="00CB1B1B">
        <w:rPr>
          <w:sz w:val="24"/>
          <w:szCs w:val="24"/>
        </w:rPr>
        <w:t xml:space="preserve"> </w:t>
      </w:r>
      <w:r w:rsidRPr="00E1113B">
        <w:rPr>
          <w:sz w:val="24"/>
          <w:szCs w:val="24"/>
        </w:rPr>
        <w:t>determin</w:t>
      </w:r>
      <w:r w:rsidR="00CB1B1B">
        <w:rPr>
          <w:sz w:val="24"/>
          <w:szCs w:val="24"/>
        </w:rPr>
        <w:t>ing</w:t>
      </w:r>
      <w:r w:rsidRPr="00E1113B">
        <w:rPr>
          <w:sz w:val="24"/>
          <w:szCs w:val="24"/>
        </w:rPr>
        <w:t xml:space="preserve"> a </w:t>
      </w:r>
      <w:proofErr w:type="spellStart"/>
      <w:r w:rsidR="00EF2BBA">
        <w:rPr>
          <w:sz w:val="24"/>
          <w:szCs w:val="24"/>
        </w:rPr>
        <w:t>‘</w:t>
      </w:r>
      <w:r w:rsidR="00EF2BBA" w:rsidRPr="00E1113B">
        <w:rPr>
          <w:sz w:val="24"/>
          <w:szCs w:val="24"/>
        </w:rPr>
        <w:t>cause</w:t>
      </w:r>
      <w:proofErr w:type="spellEnd"/>
      <w:r w:rsidRPr="00E1113B">
        <w:rPr>
          <w:sz w:val="24"/>
          <w:szCs w:val="24"/>
        </w:rPr>
        <w:t xml:space="preserve"> and effect' relationship between an FTA and trade and investment outcomes.  </w:t>
      </w:r>
    </w:p>
    <w:p w14:paraId="47B0E3A1" w14:textId="77777777" w:rsidR="00E1113B" w:rsidRDefault="00E1113B" w:rsidP="00E1113B">
      <w:pPr>
        <w:pStyle w:val="ListParagraph"/>
        <w:ind w:left="567"/>
        <w:rPr>
          <w:sz w:val="24"/>
          <w:szCs w:val="24"/>
        </w:rPr>
      </w:pPr>
    </w:p>
    <w:p w14:paraId="26F5159D" w14:textId="19442C22" w:rsidR="00E1113B" w:rsidRPr="00E52E3F" w:rsidRDefault="00E1113B" w:rsidP="00E52E3F">
      <w:pPr>
        <w:pStyle w:val="ListParagraph"/>
        <w:numPr>
          <w:ilvl w:val="0"/>
          <w:numId w:val="1"/>
        </w:numPr>
        <w:ind w:left="567" w:hanging="567"/>
        <w:rPr>
          <w:sz w:val="24"/>
          <w:szCs w:val="24"/>
        </w:rPr>
      </w:pPr>
      <w:r w:rsidRPr="00E1113B">
        <w:rPr>
          <w:sz w:val="24"/>
          <w:szCs w:val="24"/>
        </w:rPr>
        <w:t xml:space="preserve">Measuring what would have happened if the FTA had not entered into force is complex. </w:t>
      </w:r>
      <w:r w:rsidR="008577D0">
        <w:rPr>
          <w:sz w:val="24"/>
          <w:szCs w:val="24"/>
        </w:rPr>
        <w:t>D</w:t>
      </w:r>
      <w:r w:rsidRPr="00E1113B">
        <w:rPr>
          <w:sz w:val="24"/>
          <w:szCs w:val="24"/>
        </w:rPr>
        <w:t>ata considered in isolation may not always reveal the full picture</w:t>
      </w:r>
      <w:r w:rsidR="00CB1B1B">
        <w:rPr>
          <w:sz w:val="24"/>
          <w:szCs w:val="24"/>
        </w:rPr>
        <w:t>.</w:t>
      </w:r>
      <w:r w:rsidRPr="00E1113B">
        <w:rPr>
          <w:sz w:val="24"/>
          <w:szCs w:val="24"/>
        </w:rPr>
        <w:t xml:space="preserve"> </w:t>
      </w:r>
      <w:r>
        <w:rPr>
          <w:sz w:val="24"/>
          <w:szCs w:val="24"/>
        </w:rPr>
        <w:t>C</w:t>
      </w:r>
      <w:r w:rsidRPr="00E1113B">
        <w:rPr>
          <w:sz w:val="24"/>
          <w:szCs w:val="24"/>
        </w:rPr>
        <w:t xml:space="preserve">omparisons between Australian and partner-country trade data can be difficult, reflecting valuation differences, transhipments through third-party countries, and timing issues. </w:t>
      </w:r>
      <w:r w:rsidR="00E52E3F">
        <w:rPr>
          <w:sz w:val="24"/>
          <w:szCs w:val="24"/>
        </w:rPr>
        <w:t>T</w:t>
      </w:r>
      <w:r w:rsidR="00E031FB" w:rsidRPr="00E52E3F">
        <w:rPr>
          <w:sz w:val="24"/>
          <w:szCs w:val="24"/>
        </w:rPr>
        <w:t>he</w:t>
      </w:r>
      <w:r w:rsidR="008577D0" w:rsidRPr="00E52E3F">
        <w:rPr>
          <w:sz w:val="24"/>
          <w:szCs w:val="24"/>
        </w:rPr>
        <w:t xml:space="preserve"> </w:t>
      </w:r>
      <w:r w:rsidRPr="00E52E3F">
        <w:rPr>
          <w:sz w:val="24"/>
          <w:szCs w:val="24"/>
        </w:rPr>
        <w:t>impact of recent disruptions to trade due to COVID-19 and the effects of trade tensions</w:t>
      </w:r>
      <w:r w:rsidR="00E52E3F">
        <w:rPr>
          <w:sz w:val="24"/>
          <w:szCs w:val="24"/>
        </w:rPr>
        <w:t xml:space="preserve"> also add to the complexity</w:t>
      </w:r>
      <w:r w:rsidRPr="00E52E3F">
        <w:rPr>
          <w:sz w:val="24"/>
          <w:szCs w:val="24"/>
        </w:rPr>
        <w:t xml:space="preserve">. </w:t>
      </w:r>
      <w:r w:rsidR="00F82EF9">
        <w:rPr>
          <w:sz w:val="24"/>
          <w:szCs w:val="24"/>
        </w:rPr>
        <w:t>I</w:t>
      </w:r>
      <w:r w:rsidR="00F96F0D">
        <w:rPr>
          <w:sz w:val="24"/>
          <w:szCs w:val="24"/>
        </w:rPr>
        <w:t xml:space="preserve">f we do not sign the </w:t>
      </w:r>
      <w:r w:rsidR="002970D3">
        <w:rPr>
          <w:sz w:val="24"/>
          <w:szCs w:val="24"/>
        </w:rPr>
        <w:t xml:space="preserve">proposed </w:t>
      </w:r>
      <w:r w:rsidR="00F96F0D">
        <w:rPr>
          <w:sz w:val="24"/>
          <w:szCs w:val="24"/>
        </w:rPr>
        <w:t>AU-UK FTA</w:t>
      </w:r>
      <w:r w:rsidR="00975449">
        <w:rPr>
          <w:sz w:val="24"/>
          <w:szCs w:val="24"/>
        </w:rPr>
        <w:t>,</w:t>
      </w:r>
      <w:r w:rsidR="00F96F0D">
        <w:rPr>
          <w:sz w:val="24"/>
          <w:szCs w:val="24"/>
        </w:rPr>
        <w:t xml:space="preserve"> trade will likely </w:t>
      </w:r>
      <w:proofErr w:type="gramStart"/>
      <w:r w:rsidR="00F82EF9">
        <w:rPr>
          <w:sz w:val="24"/>
          <w:szCs w:val="24"/>
        </w:rPr>
        <w:t>continue on</w:t>
      </w:r>
      <w:proofErr w:type="gramEnd"/>
      <w:r w:rsidR="00F96F0D">
        <w:rPr>
          <w:sz w:val="24"/>
          <w:szCs w:val="24"/>
        </w:rPr>
        <w:t xml:space="preserve"> its current growth trajectory</w:t>
      </w:r>
      <w:r w:rsidR="00975449">
        <w:rPr>
          <w:sz w:val="24"/>
          <w:szCs w:val="24"/>
        </w:rPr>
        <w:t>,</w:t>
      </w:r>
      <w:r w:rsidR="00F96F0D">
        <w:rPr>
          <w:sz w:val="24"/>
          <w:szCs w:val="24"/>
        </w:rPr>
        <w:t xml:space="preserve"> but the opportunity cost may be significant</w:t>
      </w:r>
      <w:r w:rsidR="00975449">
        <w:rPr>
          <w:sz w:val="24"/>
          <w:szCs w:val="24"/>
        </w:rPr>
        <w:t>:</w:t>
      </w:r>
      <w:r w:rsidR="00F96F0D">
        <w:rPr>
          <w:sz w:val="24"/>
          <w:szCs w:val="24"/>
        </w:rPr>
        <w:t xml:space="preserve"> </w:t>
      </w:r>
      <w:r w:rsidR="00F82EF9">
        <w:rPr>
          <w:sz w:val="24"/>
          <w:szCs w:val="24"/>
        </w:rPr>
        <w:t xml:space="preserve">DFAT considers that </w:t>
      </w:r>
      <w:r w:rsidR="00F96F0D">
        <w:rPr>
          <w:sz w:val="24"/>
          <w:szCs w:val="24"/>
        </w:rPr>
        <w:t xml:space="preserve">the </w:t>
      </w:r>
      <w:r w:rsidR="00975449">
        <w:rPr>
          <w:sz w:val="24"/>
          <w:szCs w:val="24"/>
        </w:rPr>
        <w:t>benefits</w:t>
      </w:r>
      <w:r w:rsidR="00F96F0D">
        <w:rPr>
          <w:sz w:val="24"/>
          <w:szCs w:val="24"/>
        </w:rPr>
        <w:t xml:space="preserve"> </w:t>
      </w:r>
      <w:r w:rsidR="00975449">
        <w:rPr>
          <w:sz w:val="24"/>
          <w:szCs w:val="24"/>
        </w:rPr>
        <w:t xml:space="preserve">to Australia </w:t>
      </w:r>
      <w:r w:rsidR="00F96F0D">
        <w:rPr>
          <w:sz w:val="24"/>
          <w:szCs w:val="24"/>
        </w:rPr>
        <w:t xml:space="preserve">in signing the AU-UK FTA, as explored in detail below, are greater than not signing. </w:t>
      </w:r>
      <w:r w:rsidRPr="00E52E3F">
        <w:rPr>
          <w:sz w:val="24"/>
          <w:szCs w:val="24"/>
        </w:rPr>
        <w:t xml:space="preserve"> </w:t>
      </w:r>
    </w:p>
    <w:p w14:paraId="7C734175" w14:textId="77777777" w:rsidR="003648B6" w:rsidRPr="003648B6" w:rsidRDefault="003648B6" w:rsidP="003648B6">
      <w:pPr>
        <w:pStyle w:val="ListParagraph"/>
        <w:rPr>
          <w:sz w:val="24"/>
          <w:szCs w:val="24"/>
        </w:rPr>
      </w:pPr>
    </w:p>
    <w:p w14:paraId="7CE0D840" w14:textId="682A6B50" w:rsidR="003648B6" w:rsidRPr="00E52E3F" w:rsidRDefault="003648B6" w:rsidP="00E52E3F">
      <w:pPr>
        <w:pStyle w:val="ListParagraph"/>
        <w:numPr>
          <w:ilvl w:val="0"/>
          <w:numId w:val="1"/>
        </w:numPr>
        <w:ind w:left="567" w:hanging="567"/>
        <w:rPr>
          <w:sz w:val="24"/>
          <w:szCs w:val="24"/>
        </w:rPr>
      </w:pPr>
      <w:r>
        <w:rPr>
          <w:sz w:val="24"/>
          <w:szCs w:val="24"/>
        </w:rPr>
        <w:t>DFAT’s</w:t>
      </w:r>
      <w:r w:rsidRPr="003648B6">
        <w:rPr>
          <w:sz w:val="24"/>
          <w:szCs w:val="24"/>
        </w:rPr>
        <w:t xml:space="preserve"> qualitative assessment is that </w:t>
      </w:r>
      <w:r w:rsidR="00F96F0D">
        <w:rPr>
          <w:sz w:val="24"/>
          <w:szCs w:val="24"/>
        </w:rPr>
        <w:t>signing the</w:t>
      </w:r>
      <w:r>
        <w:rPr>
          <w:sz w:val="24"/>
          <w:szCs w:val="24"/>
        </w:rPr>
        <w:t xml:space="preserve"> proposed AU-UK FTA will </w:t>
      </w:r>
      <w:r w:rsidR="00F96F0D">
        <w:rPr>
          <w:sz w:val="24"/>
          <w:szCs w:val="24"/>
        </w:rPr>
        <w:t xml:space="preserve">result in a net benefit for Australia. This is due to the </w:t>
      </w:r>
      <w:r w:rsidR="00CB1B1B">
        <w:rPr>
          <w:sz w:val="24"/>
          <w:szCs w:val="24"/>
        </w:rPr>
        <w:t>likelihood of</w:t>
      </w:r>
      <w:r w:rsidRPr="003648B6">
        <w:rPr>
          <w:sz w:val="24"/>
          <w:szCs w:val="24"/>
        </w:rPr>
        <w:t xml:space="preserve"> increased business activity</w:t>
      </w:r>
      <w:r w:rsidR="00CB1B1B">
        <w:rPr>
          <w:sz w:val="24"/>
          <w:szCs w:val="24"/>
        </w:rPr>
        <w:t xml:space="preserve"> and confidence</w:t>
      </w:r>
      <w:r w:rsidRPr="003648B6">
        <w:rPr>
          <w:sz w:val="24"/>
          <w:szCs w:val="24"/>
        </w:rPr>
        <w:t xml:space="preserve">, </w:t>
      </w:r>
      <w:r w:rsidRPr="00CF0AFF">
        <w:rPr>
          <w:sz w:val="24"/>
          <w:szCs w:val="24"/>
        </w:rPr>
        <w:t xml:space="preserve">a greater range of competitively priced </w:t>
      </w:r>
      <w:r w:rsidR="00CF0AFF" w:rsidRPr="00CF0AFF">
        <w:rPr>
          <w:sz w:val="24"/>
          <w:szCs w:val="24"/>
        </w:rPr>
        <w:t>goods</w:t>
      </w:r>
      <w:r w:rsidRPr="00CF0AFF">
        <w:rPr>
          <w:sz w:val="24"/>
          <w:szCs w:val="24"/>
        </w:rPr>
        <w:t xml:space="preserve"> imported from </w:t>
      </w:r>
      <w:r w:rsidR="001F314A" w:rsidRPr="00CF0AFF">
        <w:rPr>
          <w:sz w:val="24"/>
          <w:szCs w:val="24"/>
        </w:rPr>
        <w:t>the UK</w:t>
      </w:r>
      <w:r w:rsidR="00F96F0D">
        <w:rPr>
          <w:sz w:val="24"/>
          <w:szCs w:val="24"/>
        </w:rPr>
        <w:t xml:space="preserve"> for </w:t>
      </w:r>
      <w:r w:rsidR="00F96F0D">
        <w:rPr>
          <w:sz w:val="24"/>
          <w:szCs w:val="24"/>
        </w:rPr>
        <w:lastRenderedPageBreak/>
        <w:t>consumers</w:t>
      </w:r>
      <w:r w:rsidRPr="00CF0AFF">
        <w:rPr>
          <w:sz w:val="24"/>
          <w:szCs w:val="24"/>
        </w:rPr>
        <w:t>,</w:t>
      </w:r>
      <w:r w:rsidRPr="003648B6">
        <w:rPr>
          <w:sz w:val="24"/>
          <w:szCs w:val="24"/>
        </w:rPr>
        <w:t xml:space="preserve"> and improved access and competitiveness of Australian goods and services in</w:t>
      </w:r>
      <w:r w:rsidR="00CB1B1B">
        <w:rPr>
          <w:sz w:val="24"/>
          <w:szCs w:val="24"/>
        </w:rPr>
        <w:t>to</w:t>
      </w:r>
      <w:r w:rsidRPr="003648B6">
        <w:rPr>
          <w:sz w:val="24"/>
          <w:szCs w:val="24"/>
        </w:rPr>
        <w:t xml:space="preserve"> the </w:t>
      </w:r>
      <w:r w:rsidR="001F314A">
        <w:rPr>
          <w:sz w:val="24"/>
          <w:szCs w:val="24"/>
        </w:rPr>
        <w:t>UK</w:t>
      </w:r>
      <w:r w:rsidR="00F96F0D">
        <w:rPr>
          <w:sz w:val="24"/>
          <w:szCs w:val="24"/>
        </w:rPr>
        <w:t>, which is good for Australian business</w:t>
      </w:r>
      <w:r w:rsidRPr="003648B6">
        <w:rPr>
          <w:sz w:val="24"/>
          <w:szCs w:val="24"/>
        </w:rPr>
        <w:t xml:space="preserve">. </w:t>
      </w:r>
    </w:p>
    <w:p w14:paraId="37814039" w14:textId="77777777" w:rsidR="008577D0" w:rsidRPr="008577D0" w:rsidRDefault="008577D0" w:rsidP="008577D0">
      <w:pPr>
        <w:pStyle w:val="ListParagraph"/>
        <w:rPr>
          <w:sz w:val="24"/>
          <w:szCs w:val="24"/>
        </w:rPr>
      </w:pPr>
    </w:p>
    <w:p w14:paraId="63F4B472" w14:textId="508ABB37" w:rsidR="008577D0" w:rsidRDefault="00CB1B1B" w:rsidP="008577D0">
      <w:pPr>
        <w:pStyle w:val="ListParagraph"/>
        <w:numPr>
          <w:ilvl w:val="0"/>
          <w:numId w:val="1"/>
        </w:numPr>
        <w:ind w:left="567" w:hanging="567"/>
        <w:rPr>
          <w:sz w:val="24"/>
          <w:szCs w:val="24"/>
        </w:rPr>
      </w:pPr>
      <w:r>
        <w:rPr>
          <w:sz w:val="24"/>
          <w:szCs w:val="24"/>
        </w:rPr>
        <w:t xml:space="preserve">This assessment is supported by recent studies. </w:t>
      </w:r>
      <w:r w:rsidR="008577D0">
        <w:rPr>
          <w:sz w:val="24"/>
          <w:szCs w:val="24"/>
        </w:rPr>
        <w:t xml:space="preserve">In 2018, </w:t>
      </w:r>
      <w:r w:rsidR="008577D0" w:rsidRPr="008577D0">
        <w:rPr>
          <w:sz w:val="24"/>
          <w:szCs w:val="24"/>
        </w:rPr>
        <w:t>DFAT commissioned an independent study on business utilisation of Australia's FTAs. The FTA Utilisation Study</w:t>
      </w:r>
      <w:r w:rsidR="00714404">
        <w:rPr>
          <w:rStyle w:val="FootnoteReference"/>
          <w:sz w:val="24"/>
          <w:szCs w:val="24"/>
        </w:rPr>
        <w:footnoteReference w:id="20"/>
      </w:r>
      <w:r w:rsidR="008577D0" w:rsidRPr="008577D0">
        <w:rPr>
          <w:sz w:val="24"/>
          <w:szCs w:val="24"/>
        </w:rPr>
        <w:t xml:space="preserve"> undertaken by PricewaterhouseCoopers (PwC) found Australia's FTAs, </w:t>
      </w:r>
      <w:r w:rsidR="008577D0">
        <w:rPr>
          <w:sz w:val="24"/>
          <w:szCs w:val="24"/>
        </w:rPr>
        <w:t xml:space="preserve">focusing on our FTAs with China, </w:t>
      </w:r>
      <w:proofErr w:type="gramStart"/>
      <w:r w:rsidR="008577D0">
        <w:rPr>
          <w:sz w:val="24"/>
          <w:szCs w:val="24"/>
        </w:rPr>
        <w:t>Japan</w:t>
      </w:r>
      <w:proofErr w:type="gramEnd"/>
      <w:r w:rsidR="008577D0">
        <w:rPr>
          <w:sz w:val="24"/>
          <w:szCs w:val="24"/>
        </w:rPr>
        <w:t xml:space="preserve"> and Korea</w:t>
      </w:r>
      <w:r w:rsidR="008577D0" w:rsidRPr="008577D0">
        <w:rPr>
          <w:sz w:val="24"/>
          <w:szCs w:val="24"/>
        </w:rPr>
        <w:t xml:space="preserve">, </w:t>
      </w:r>
      <w:r w:rsidR="000C2501">
        <w:rPr>
          <w:sz w:val="24"/>
          <w:szCs w:val="24"/>
        </w:rPr>
        <w:t xml:space="preserve">found FTAs </w:t>
      </w:r>
      <w:r w:rsidR="008577D0" w:rsidRPr="008577D0">
        <w:rPr>
          <w:sz w:val="24"/>
          <w:szCs w:val="24"/>
        </w:rPr>
        <w:t>were being widely used and were having a positive impact on business confidence, activity, strategy, expansion planning, and international investment</w:t>
      </w:r>
      <w:r w:rsidR="00714404">
        <w:rPr>
          <w:sz w:val="24"/>
          <w:szCs w:val="24"/>
        </w:rPr>
        <w:t xml:space="preserve">, </w:t>
      </w:r>
      <w:r w:rsidR="008577D0" w:rsidRPr="008577D0">
        <w:rPr>
          <w:sz w:val="24"/>
          <w:szCs w:val="24"/>
        </w:rPr>
        <w:t>including in services sector</w:t>
      </w:r>
      <w:r w:rsidR="008577D0">
        <w:rPr>
          <w:sz w:val="24"/>
          <w:szCs w:val="24"/>
        </w:rPr>
        <w:t>s</w:t>
      </w:r>
      <w:r w:rsidR="008577D0" w:rsidRPr="008577D0">
        <w:rPr>
          <w:sz w:val="24"/>
          <w:szCs w:val="24"/>
        </w:rPr>
        <w:t>.</w:t>
      </w:r>
    </w:p>
    <w:p w14:paraId="5F6E8CA9" w14:textId="77777777" w:rsidR="008577D0" w:rsidRPr="00CB1B1B" w:rsidRDefault="008577D0" w:rsidP="00CB1B1B">
      <w:pPr>
        <w:rPr>
          <w:sz w:val="24"/>
          <w:szCs w:val="24"/>
        </w:rPr>
      </w:pPr>
    </w:p>
    <w:p w14:paraId="2C7249AD" w14:textId="64FA48CF" w:rsidR="008577D0" w:rsidRDefault="008577D0" w:rsidP="008577D0">
      <w:pPr>
        <w:pStyle w:val="ListParagraph"/>
        <w:numPr>
          <w:ilvl w:val="0"/>
          <w:numId w:val="1"/>
        </w:numPr>
        <w:ind w:left="567" w:hanging="567"/>
        <w:rPr>
          <w:sz w:val="24"/>
          <w:szCs w:val="24"/>
        </w:rPr>
      </w:pPr>
      <w:r w:rsidRPr="008577D0">
        <w:rPr>
          <w:sz w:val="24"/>
          <w:szCs w:val="24"/>
        </w:rPr>
        <w:t xml:space="preserve">The PwC research highlighted the 'head turning' effect of Australia's trade agreements with </w:t>
      </w:r>
      <w:r>
        <w:rPr>
          <w:sz w:val="24"/>
          <w:szCs w:val="24"/>
        </w:rPr>
        <w:t xml:space="preserve">China, </w:t>
      </w:r>
      <w:proofErr w:type="gramStart"/>
      <w:r>
        <w:rPr>
          <w:sz w:val="24"/>
          <w:szCs w:val="24"/>
        </w:rPr>
        <w:t>Japan</w:t>
      </w:r>
      <w:proofErr w:type="gramEnd"/>
      <w:r>
        <w:rPr>
          <w:sz w:val="24"/>
          <w:szCs w:val="24"/>
        </w:rPr>
        <w:t xml:space="preserve"> and </w:t>
      </w:r>
      <w:r w:rsidRPr="008577D0">
        <w:rPr>
          <w:sz w:val="24"/>
          <w:szCs w:val="24"/>
        </w:rPr>
        <w:t xml:space="preserve">Korea, </w:t>
      </w:r>
      <w:bookmarkStart w:id="16" w:name="_Hlk83302557"/>
      <w:r w:rsidRPr="008577D0">
        <w:rPr>
          <w:sz w:val="24"/>
          <w:szCs w:val="24"/>
        </w:rPr>
        <w:t xml:space="preserve">contributing to the positive perception of Australia as a place to invest and do business. </w:t>
      </w:r>
      <w:bookmarkEnd w:id="16"/>
      <w:r w:rsidRPr="008577D0">
        <w:rPr>
          <w:sz w:val="24"/>
          <w:szCs w:val="24"/>
        </w:rPr>
        <w:t>It also noted businesses reporting increases in domestic demand for goods and services from businesses trading internationally.</w:t>
      </w:r>
    </w:p>
    <w:p w14:paraId="4899F013" w14:textId="77777777" w:rsidR="001378B7" w:rsidRPr="001378B7" w:rsidRDefault="001378B7" w:rsidP="001378B7">
      <w:pPr>
        <w:pStyle w:val="ListParagraph"/>
        <w:rPr>
          <w:sz w:val="24"/>
          <w:szCs w:val="24"/>
        </w:rPr>
      </w:pPr>
    </w:p>
    <w:p w14:paraId="222EE77C" w14:textId="569A3610" w:rsidR="003648B6" w:rsidRPr="001378B7" w:rsidRDefault="001378B7" w:rsidP="007C420B">
      <w:pPr>
        <w:pStyle w:val="ListParagraph"/>
        <w:numPr>
          <w:ilvl w:val="0"/>
          <w:numId w:val="1"/>
        </w:numPr>
        <w:ind w:left="567" w:hanging="567"/>
        <w:rPr>
          <w:sz w:val="24"/>
          <w:szCs w:val="24"/>
        </w:rPr>
      </w:pPr>
      <w:r w:rsidRPr="001378B7">
        <w:rPr>
          <w:sz w:val="24"/>
          <w:szCs w:val="24"/>
        </w:rPr>
        <w:t xml:space="preserve">DFAT estimates that it is likely that </w:t>
      </w:r>
      <w:r w:rsidR="00714404">
        <w:rPr>
          <w:sz w:val="24"/>
          <w:szCs w:val="24"/>
        </w:rPr>
        <w:t xml:space="preserve">the proposed </w:t>
      </w:r>
      <w:r w:rsidR="00714404" w:rsidRPr="001378B7">
        <w:rPr>
          <w:sz w:val="24"/>
          <w:szCs w:val="24"/>
        </w:rPr>
        <w:t>AU-UK FTA</w:t>
      </w:r>
      <w:r w:rsidR="00714404">
        <w:rPr>
          <w:sz w:val="24"/>
          <w:szCs w:val="24"/>
        </w:rPr>
        <w:t xml:space="preserve"> will have </w:t>
      </w:r>
      <w:r w:rsidRPr="001378B7">
        <w:rPr>
          <w:sz w:val="24"/>
          <w:szCs w:val="24"/>
        </w:rPr>
        <w:t xml:space="preserve">a similar </w:t>
      </w:r>
      <w:r w:rsidR="00714404">
        <w:rPr>
          <w:sz w:val="24"/>
          <w:szCs w:val="24"/>
        </w:rPr>
        <w:t>effect o</w:t>
      </w:r>
      <w:r w:rsidRPr="001378B7">
        <w:rPr>
          <w:sz w:val="24"/>
          <w:szCs w:val="24"/>
        </w:rPr>
        <w:t>n Australian market</w:t>
      </w:r>
      <w:r w:rsidR="00714404">
        <w:rPr>
          <w:sz w:val="24"/>
          <w:szCs w:val="24"/>
        </w:rPr>
        <w:t>s</w:t>
      </w:r>
      <w:r w:rsidRPr="001378B7">
        <w:rPr>
          <w:sz w:val="24"/>
          <w:szCs w:val="24"/>
        </w:rPr>
        <w:t xml:space="preserve"> </w:t>
      </w:r>
      <w:r w:rsidR="00714404">
        <w:rPr>
          <w:sz w:val="24"/>
          <w:szCs w:val="24"/>
        </w:rPr>
        <w:t xml:space="preserve">resulting in an overall </w:t>
      </w:r>
      <w:r w:rsidR="00A25A9C">
        <w:rPr>
          <w:sz w:val="24"/>
          <w:szCs w:val="24"/>
        </w:rPr>
        <w:t xml:space="preserve">net benefit for Australian </w:t>
      </w:r>
      <w:r w:rsidR="00714404">
        <w:rPr>
          <w:sz w:val="24"/>
          <w:szCs w:val="24"/>
        </w:rPr>
        <w:t>business</w:t>
      </w:r>
      <w:r w:rsidR="00A25A9C">
        <w:rPr>
          <w:sz w:val="24"/>
          <w:szCs w:val="24"/>
        </w:rPr>
        <w:t>es</w:t>
      </w:r>
      <w:r w:rsidR="00714404">
        <w:rPr>
          <w:sz w:val="24"/>
          <w:szCs w:val="24"/>
        </w:rPr>
        <w:t xml:space="preserve"> and consumers</w:t>
      </w:r>
      <w:r w:rsidRPr="001378B7">
        <w:rPr>
          <w:sz w:val="24"/>
          <w:szCs w:val="24"/>
        </w:rPr>
        <w:t xml:space="preserve">. </w:t>
      </w:r>
      <w:r>
        <w:rPr>
          <w:sz w:val="24"/>
          <w:szCs w:val="24"/>
        </w:rPr>
        <w:t>More detailed evidence supporting this proposition is provided below:</w:t>
      </w:r>
    </w:p>
    <w:p w14:paraId="2457AD56" w14:textId="2D48B0E6" w:rsidR="00E423F0" w:rsidRPr="009421ED" w:rsidRDefault="0026275F" w:rsidP="00E423F0">
      <w:pPr>
        <w:pStyle w:val="Heading2"/>
      </w:pPr>
      <w:bookmarkStart w:id="17" w:name="_Toc88748495"/>
      <w:r>
        <w:t>The impact of key g</w:t>
      </w:r>
      <w:r w:rsidR="00E423F0">
        <w:t>oods</w:t>
      </w:r>
      <w:r>
        <w:t xml:space="preserve"> market access outcomes for Australia</w:t>
      </w:r>
      <w:bookmarkEnd w:id="17"/>
    </w:p>
    <w:p w14:paraId="24F1514B" w14:textId="61DCE7ED" w:rsidR="0020273F" w:rsidRPr="003A5F45" w:rsidRDefault="0020273F" w:rsidP="003A5F45">
      <w:pPr>
        <w:rPr>
          <w:sz w:val="24"/>
          <w:szCs w:val="24"/>
        </w:rPr>
      </w:pPr>
    </w:p>
    <w:p w14:paraId="312CB0EC" w14:textId="24AF017E" w:rsidR="005627E8" w:rsidRPr="005700E6" w:rsidRDefault="00447F35" w:rsidP="005700E6">
      <w:pPr>
        <w:pStyle w:val="ListParagraph"/>
        <w:numPr>
          <w:ilvl w:val="0"/>
          <w:numId w:val="1"/>
        </w:numPr>
        <w:ind w:left="567" w:hanging="567"/>
        <w:rPr>
          <w:sz w:val="24"/>
          <w:szCs w:val="24"/>
        </w:rPr>
      </w:pPr>
      <w:bookmarkStart w:id="18" w:name="_Hlk83297353"/>
      <w:r w:rsidRPr="005700E6">
        <w:rPr>
          <w:sz w:val="24"/>
          <w:szCs w:val="24"/>
        </w:rPr>
        <w:t xml:space="preserve">Under the proposed </w:t>
      </w:r>
      <w:r w:rsidR="00BA60E2" w:rsidRPr="005700E6">
        <w:rPr>
          <w:sz w:val="24"/>
          <w:szCs w:val="24"/>
        </w:rPr>
        <w:t>A</w:t>
      </w:r>
      <w:r w:rsidRPr="005700E6">
        <w:rPr>
          <w:sz w:val="24"/>
          <w:szCs w:val="24"/>
        </w:rPr>
        <w:t>U</w:t>
      </w:r>
      <w:r w:rsidR="00BA60E2" w:rsidRPr="005700E6">
        <w:rPr>
          <w:sz w:val="24"/>
          <w:szCs w:val="24"/>
        </w:rPr>
        <w:t>-UK</w:t>
      </w:r>
      <w:r w:rsidR="00BA60E2">
        <w:t xml:space="preserve"> </w:t>
      </w:r>
      <w:r w:rsidR="00BA60E2" w:rsidRPr="005700E6">
        <w:rPr>
          <w:sz w:val="24"/>
          <w:szCs w:val="24"/>
        </w:rPr>
        <w:t>FTA</w:t>
      </w:r>
      <w:r w:rsidRPr="005700E6">
        <w:rPr>
          <w:sz w:val="24"/>
          <w:szCs w:val="24"/>
        </w:rPr>
        <w:t>, a</w:t>
      </w:r>
      <w:r w:rsidR="00F01EBA" w:rsidRPr="005700E6">
        <w:rPr>
          <w:sz w:val="24"/>
          <w:szCs w:val="24"/>
        </w:rPr>
        <w:t xml:space="preserve">lmost 99 per cent of Australian goods exports (valued at </w:t>
      </w:r>
      <w:r w:rsidR="00DE2CD6" w:rsidRPr="005700E6">
        <w:rPr>
          <w:sz w:val="24"/>
          <w:szCs w:val="24"/>
        </w:rPr>
        <w:t>A</w:t>
      </w:r>
      <w:r w:rsidR="00F01EBA" w:rsidRPr="005700E6">
        <w:rPr>
          <w:sz w:val="24"/>
          <w:szCs w:val="24"/>
        </w:rPr>
        <w:t>$9.2 billion on average over the period 2017 to 2019</w:t>
      </w:r>
      <w:r w:rsidR="00D1779B">
        <w:rPr>
          <w:rStyle w:val="FootnoteReference"/>
          <w:sz w:val="24"/>
          <w:szCs w:val="24"/>
        </w:rPr>
        <w:footnoteReference w:id="21"/>
      </w:r>
      <w:r w:rsidR="00F01EBA" w:rsidRPr="005700E6">
        <w:rPr>
          <w:sz w:val="24"/>
          <w:szCs w:val="24"/>
        </w:rPr>
        <w:t xml:space="preserve">) will enter the UK duty-free on entry into force. </w:t>
      </w:r>
      <w:r w:rsidR="00BA60E2" w:rsidRPr="005700E6">
        <w:rPr>
          <w:sz w:val="24"/>
          <w:szCs w:val="24"/>
        </w:rPr>
        <w:t xml:space="preserve">Barriers </w:t>
      </w:r>
      <w:r w:rsidR="002C15EC" w:rsidRPr="005700E6">
        <w:rPr>
          <w:sz w:val="24"/>
          <w:szCs w:val="24"/>
        </w:rPr>
        <w:t xml:space="preserve">that have been in place for just under </w:t>
      </w:r>
      <w:r w:rsidR="00692CF2">
        <w:rPr>
          <w:sz w:val="24"/>
          <w:szCs w:val="24"/>
        </w:rPr>
        <w:t>5</w:t>
      </w:r>
      <w:r w:rsidR="002C15EC" w:rsidRPr="005700E6">
        <w:rPr>
          <w:sz w:val="24"/>
          <w:szCs w:val="24"/>
        </w:rPr>
        <w:t>0 years on</w:t>
      </w:r>
      <w:r w:rsidR="00BA60E2" w:rsidRPr="005700E6">
        <w:rPr>
          <w:sz w:val="24"/>
          <w:szCs w:val="24"/>
        </w:rPr>
        <w:t xml:space="preserve"> Australian exports will be removed across a range of </w:t>
      </w:r>
      <w:r w:rsidR="00417820" w:rsidRPr="005700E6">
        <w:rPr>
          <w:sz w:val="24"/>
          <w:szCs w:val="24"/>
        </w:rPr>
        <w:t xml:space="preserve">key </w:t>
      </w:r>
      <w:r w:rsidR="00BA60E2" w:rsidRPr="005700E6">
        <w:rPr>
          <w:sz w:val="24"/>
          <w:szCs w:val="24"/>
        </w:rPr>
        <w:t xml:space="preserve">products including wine, motor vehicle parts, clothing, seafood, grains, fruit and vegetables, honey, </w:t>
      </w:r>
      <w:proofErr w:type="gramStart"/>
      <w:r w:rsidR="00BA60E2" w:rsidRPr="005700E6">
        <w:rPr>
          <w:sz w:val="24"/>
          <w:szCs w:val="24"/>
        </w:rPr>
        <w:t>nuts</w:t>
      </w:r>
      <w:proofErr w:type="gramEnd"/>
      <w:r w:rsidR="00BA60E2" w:rsidRPr="005700E6">
        <w:rPr>
          <w:sz w:val="24"/>
          <w:szCs w:val="24"/>
        </w:rPr>
        <w:t xml:space="preserve"> and olive oil. </w:t>
      </w:r>
      <w:r w:rsidR="005700E6" w:rsidRPr="005700E6">
        <w:rPr>
          <w:sz w:val="24"/>
          <w:szCs w:val="24"/>
        </w:rPr>
        <w:t xml:space="preserve">Under </w:t>
      </w:r>
      <w:r w:rsidR="005700E6">
        <w:rPr>
          <w:sz w:val="24"/>
          <w:szCs w:val="24"/>
        </w:rPr>
        <w:t>the AU-UK FTA</w:t>
      </w:r>
      <w:r w:rsidR="005700E6" w:rsidRPr="005700E6">
        <w:rPr>
          <w:sz w:val="24"/>
          <w:szCs w:val="24"/>
        </w:rPr>
        <w:t>, tariff reductions w</w:t>
      </w:r>
      <w:r w:rsidR="00DE2529">
        <w:rPr>
          <w:sz w:val="24"/>
          <w:szCs w:val="24"/>
        </w:rPr>
        <w:t>ill</w:t>
      </w:r>
      <w:r w:rsidR="005700E6" w:rsidRPr="005700E6">
        <w:rPr>
          <w:sz w:val="24"/>
          <w:szCs w:val="24"/>
        </w:rPr>
        <w:t xml:space="preserve"> be locked in, providing</w:t>
      </w:r>
      <w:r w:rsidR="00714404">
        <w:rPr>
          <w:sz w:val="24"/>
          <w:szCs w:val="24"/>
        </w:rPr>
        <w:t xml:space="preserve"> </w:t>
      </w:r>
      <w:r w:rsidR="005700E6" w:rsidRPr="005700E6">
        <w:rPr>
          <w:sz w:val="24"/>
          <w:szCs w:val="24"/>
        </w:rPr>
        <w:t xml:space="preserve">certainty for Australian </w:t>
      </w:r>
      <w:r w:rsidR="00A25A9C">
        <w:rPr>
          <w:sz w:val="24"/>
          <w:szCs w:val="24"/>
        </w:rPr>
        <w:t>exporters</w:t>
      </w:r>
      <w:r w:rsidR="005700E6">
        <w:rPr>
          <w:sz w:val="24"/>
          <w:szCs w:val="24"/>
        </w:rPr>
        <w:t>.</w:t>
      </w:r>
    </w:p>
    <w:bookmarkEnd w:id="18"/>
    <w:p w14:paraId="0D27ABF7" w14:textId="77777777" w:rsidR="005627E8" w:rsidRDefault="005627E8" w:rsidP="005627E8">
      <w:pPr>
        <w:pStyle w:val="ListParagraph"/>
        <w:ind w:left="567"/>
        <w:rPr>
          <w:sz w:val="24"/>
          <w:szCs w:val="24"/>
        </w:rPr>
      </w:pPr>
    </w:p>
    <w:p w14:paraId="20C96A29" w14:textId="1795D3B6" w:rsidR="00E031FB" w:rsidRDefault="00E031FB" w:rsidP="00812812">
      <w:pPr>
        <w:pStyle w:val="ListParagraph"/>
        <w:numPr>
          <w:ilvl w:val="0"/>
          <w:numId w:val="1"/>
        </w:numPr>
        <w:ind w:left="567" w:hanging="567"/>
        <w:rPr>
          <w:sz w:val="24"/>
          <w:szCs w:val="24"/>
        </w:rPr>
      </w:pPr>
      <w:r>
        <w:rPr>
          <w:sz w:val="24"/>
          <w:szCs w:val="24"/>
        </w:rPr>
        <w:t xml:space="preserve">This is highly relevant as </w:t>
      </w:r>
      <w:r w:rsidRPr="00E031FB">
        <w:rPr>
          <w:sz w:val="24"/>
          <w:szCs w:val="24"/>
        </w:rPr>
        <w:t xml:space="preserve">Australia is </w:t>
      </w:r>
      <w:r>
        <w:rPr>
          <w:sz w:val="24"/>
          <w:szCs w:val="24"/>
        </w:rPr>
        <w:t>one of</w:t>
      </w:r>
      <w:r w:rsidRPr="00E031FB">
        <w:rPr>
          <w:sz w:val="24"/>
          <w:szCs w:val="24"/>
        </w:rPr>
        <w:t xml:space="preserve"> the top 15 agricultural exporters in the world (WTO 2020a)</w:t>
      </w:r>
      <w:r w:rsidR="00FB670B">
        <w:rPr>
          <w:sz w:val="24"/>
          <w:szCs w:val="24"/>
        </w:rPr>
        <w:t>,</w:t>
      </w:r>
      <w:r w:rsidRPr="00E031FB">
        <w:rPr>
          <w:sz w:val="24"/>
          <w:szCs w:val="24"/>
        </w:rPr>
        <w:t xml:space="preserve"> with the </w:t>
      </w:r>
      <w:r w:rsidR="00A25A9C">
        <w:rPr>
          <w:sz w:val="24"/>
          <w:szCs w:val="24"/>
        </w:rPr>
        <w:t xml:space="preserve">agricultural </w:t>
      </w:r>
      <w:r w:rsidRPr="00E031FB">
        <w:rPr>
          <w:sz w:val="24"/>
          <w:szCs w:val="24"/>
        </w:rPr>
        <w:t>sector exporting about 70</w:t>
      </w:r>
      <w:r>
        <w:rPr>
          <w:sz w:val="24"/>
          <w:szCs w:val="24"/>
        </w:rPr>
        <w:t xml:space="preserve"> per cent</w:t>
      </w:r>
      <w:r w:rsidRPr="00E031FB">
        <w:rPr>
          <w:sz w:val="24"/>
          <w:szCs w:val="24"/>
        </w:rPr>
        <w:t xml:space="preserve"> of production to 192 countries (ABS 2020). </w:t>
      </w:r>
      <w:r>
        <w:rPr>
          <w:sz w:val="24"/>
          <w:szCs w:val="24"/>
        </w:rPr>
        <w:t>It has been assessed that t</w:t>
      </w:r>
      <w:r w:rsidRPr="00E031FB">
        <w:rPr>
          <w:sz w:val="24"/>
          <w:szCs w:val="24"/>
        </w:rPr>
        <w:t xml:space="preserve">his </w:t>
      </w:r>
      <w:r>
        <w:rPr>
          <w:sz w:val="24"/>
          <w:szCs w:val="24"/>
        </w:rPr>
        <w:t xml:space="preserve">international </w:t>
      </w:r>
      <w:r w:rsidRPr="00E031FB">
        <w:rPr>
          <w:sz w:val="24"/>
          <w:szCs w:val="24"/>
        </w:rPr>
        <w:t xml:space="preserve">success could not have been achieved without government and industry partnerships to secure market access in global markets. </w:t>
      </w:r>
      <w:r w:rsidR="00B24952">
        <w:rPr>
          <w:sz w:val="24"/>
          <w:szCs w:val="24"/>
        </w:rPr>
        <w:t>N</w:t>
      </w:r>
      <w:r w:rsidRPr="00E031FB">
        <w:rPr>
          <w:sz w:val="24"/>
          <w:szCs w:val="24"/>
        </w:rPr>
        <w:t>egotiated outcomes in multilateral forums, such as the World Trade Organization (WTO)</w:t>
      </w:r>
      <w:r w:rsidR="00B24952">
        <w:rPr>
          <w:sz w:val="24"/>
          <w:szCs w:val="24"/>
        </w:rPr>
        <w:t>,</w:t>
      </w:r>
      <w:r>
        <w:rPr>
          <w:sz w:val="24"/>
          <w:szCs w:val="24"/>
        </w:rPr>
        <w:t xml:space="preserve"> and</w:t>
      </w:r>
      <w:r w:rsidRPr="00E031FB">
        <w:rPr>
          <w:sz w:val="24"/>
          <w:szCs w:val="24"/>
        </w:rPr>
        <w:t xml:space="preserve"> preferential trade agreements</w:t>
      </w:r>
      <w:r>
        <w:rPr>
          <w:rStyle w:val="FootnoteReference"/>
          <w:sz w:val="24"/>
          <w:szCs w:val="24"/>
        </w:rPr>
        <w:footnoteReference w:id="22"/>
      </w:r>
      <w:r w:rsidR="00B24952">
        <w:rPr>
          <w:sz w:val="24"/>
          <w:szCs w:val="24"/>
        </w:rPr>
        <w:t xml:space="preserve"> have also helped secure market access outcomes over time.</w:t>
      </w:r>
    </w:p>
    <w:p w14:paraId="69FA7A23" w14:textId="77777777" w:rsidR="00E031FB" w:rsidRPr="00E031FB" w:rsidRDefault="00E031FB" w:rsidP="00E031FB">
      <w:pPr>
        <w:pStyle w:val="ListParagraph"/>
        <w:rPr>
          <w:sz w:val="24"/>
          <w:szCs w:val="24"/>
        </w:rPr>
      </w:pPr>
    </w:p>
    <w:p w14:paraId="18B28CF0" w14:textId="2F852D64" w:rsidR="00DE2CD6" w:rsidRDefault="00812812" w:rsidP="00812812">
      <w:pPr>
        <w:pStyle w:val="ListParagraph"/>
        <w:numPr>
          <w:ilvl w:val="0"/>
          <w:numId w:val="1"/>
        </w:numPr>
        <w:ind w:left="567" w:hanging="567"/>
        <w:rPr>
          <w:sz w:val="24"/>
          <w:szCs w:val="24"/>
        </w:rPr>
      </w:pPr>
      <w:r w:rsidRPr="00D06256">
        <w:rPr>
          <w:sz w:val="24"/>
          <w:szCs w:val="24"/>
        </w:rPr>
        <w:t xml:space="preserve">Of particular significance </w:t>
      </w:r>
      <w:r>
        <w:rPr>
          <w:sz w:val="24"/>
          <w:szCs w:val="24"/>
        </w:rPr>
        <w:t>are</w:t>
      </w:r>
      <w:r w:rsidRPr="00D06256">
        <w:rPr>
          <w:sz w:val="24"/>
          <w:szCs w:val="24"/>
        </w:rPr>
        <w:t xml:space="preserve"> commitment</w:t>
      </w:r>
      <w:r>
        <w:rPr>
          <w:sz w:val="24"/>
          <w:szCs w:val="24"/>
        </w:rPr>
        <w:t>s</w:t>
      </w:r>
      <w:r w:rsidRPr="00D06256">
        <w:rPr>
          <w:sz w:val="24"/>
          <w:szCs w:val="24"/>
        </w:rPr>
        <w:t xml:space="preserve"> secured </w:t>
      </w:r>
      <w:r w:rsidR="00B24952">
        <w:rPr>
          <w:sz w:val="24"/>
          <w:szCs w:val="24"/>
        </w:rPr>
        <w:t xml:space="preserve">under the proposed AU-UK FTA </w:t>
      </w:r>
      <w:r w:rsidRPr="00D06256">
        <w:rPr>
          <w:sz w:val="24"/>
          <w:szCs w:val="24"/>
        </w:rPr>
        <w:t xml:space="preserve">for immediate access to transitional duty-free quotas on beef, sheep meat, </w:t>
      </w:r>
      <w:proofErr w:type="gramStart"/>
      <w:r w:rsidRPr="00D06256">
        <w:rPr>
          <w:sz w:val="24"/>
          <w:szCs w:val="24"/>
        </w:rPr>
        <w:t>dairy</w:t>
      </w:r>
      <w:proofErr w:type="gramEnd"/>
      <w:r w:rsidRPr="00D06256">
        <w:rPr>
          <w:sz w:val="24"/>
          <w:szCs w:val="24"/>
        </w:rPr>
        <w:t xml:space="preserve"> and </w:t>
      </w:r>
      <w:r w:rsidRPr="00D06256">
        <w:rPr>
          <w:sz w:val="24"/>
          <w:szCs w:val="24"/>
        </w:rPr>
        <w:lastRenderedPageBreak/>
        <w:t xml:space="preserve">sugar, </w:t>
      </w:r>
      <w:r>
        <w:rPr>
          <w:sz w:val="24"/>
          <w:szCs w:val="24"/>
        </w:rPr>
        <w:t xml:space="preserve">with tariffs eliminated after 10 years for beef and sheep meat and </w:t>
      </w:r>
      <w:r w:rsidRPr="00D06256">
        <w:rPr>
          <w:sz w:val="24"/>
          <w:szCs w:val="24"/>
        </w:rPr>
        <w:t>phased tariff elimination</w:t>
      </w:r>
      <w:r>
        <w:rPr>
          <w:sz w:val="24"/>
          <w:szCs w:val="24"/>
        </w:rPr>
        <w:t xml:space="preserve"> for </w:t>
      </w:r>
      <w:r w:rsidRPr="00D06256">
        <w:rPr>
          <w:sz w:val="24"/>
          <w:szCs w:val="24"/>
        </w:rPr>
        <w:t>dairy and suga</w:t>
      </w:r>
      <w:r>
        <w:rPr>
          <w:sz w:val="24"/>
          <w:szCs w:val="24"/>
        </w:rPr>
        <w:t xml:space="preserve">r, and for elimination of tariffs on wine and </w:t>
      </w:r>
      <w:r w:rsidRPr="009421ED">
        <w:rPr>
          <w:rFonts w:cstheme="minorHAnsi"/>
          <w:sz w:val="24"/>
          <w:szCs w:val="24"/>
        </w:rPr>
        <w:t>short and medium grain milled rice</w:t>
      </w:r>
      <w:r>
        <w:rPr>
          <w:rFonts w:cstheme="minorHAnsi"/>
          <w:sz w:val="24"/>
          <w:szCs w:val="24"/>
        </w:rPr>
        <w:t xml:space="preserve"> immediately on entry into force. </w:t>
      </w:r>
      <w:r w:rsidR="00412127">
        <w:rPr>
          <w:sz w:val="24"/>
          <w:szCs w:val="24"/>
        </w:rPr>
        <w:t>E</w:t>
      </w:r>
      <w:r w:rsidR="005627E8" w:rsidRPr="00812812">
        <w:rPr>
          <w:sz w:val="24"/>
          <w:szCs w:val="24"/>
        </w:rPr>
        <w:t xml:space="preserve">xpanding access </w:t>
      </w:r>
      <w:r w:rsidR="002C15EC" w:rsidRPr="00812812">
        <w:rPr>
          <w:sz w:val="24"/>
          <w:szCs w:val="24"/>
        </w:rPr>
        <w:t>to</w:t>
      </w:r>
      <w:r w:rsidR="005627E8" w:rsidRPr="00812812">
        <w:rPr>
          <w:sz w:val="24"/>
          <w:szCs w:val="24"/>
        </w:rPr>
        <w:t xml:space="preserve"> </w:t>
      </w:r>
      <w:r w:rsidR="00412127">
        <w:rPr>
          <w:sz w:val="24"/>
          <w:szCs w:val="24"/>
        </w:rPr>
        <w:t>imports</w:t>
      </w:r>
      <w:r w:rsidR="002C15EC" w:rsidRPr="00812812">
        <w:rPr>
          <w:sz w:val="24"/>
          <w:szCs w:val="24"/>
        </w:rPr>
        <w:t xml:space="preserve"> </w:t>
      </w:r>
      <w:r w:rsidR="005627E8" w:rsidRPr="00812812">
        <w:rPr>
          <w:sz w:val="24"/>
          <w:szCs w:val="24"/>
        </w:rPr>
        <w:t>lower</w:t>
      </w:r>
      <w:r w:rsidR="002C15EC" w:rsidRPr="00812812">
        <w:rPr>
          <w:sz w:val="24"/>
          <w:szCs w:val="24"/>
        </w:rPr>
        <w:t>s</w:t>
      </w:r>
      <w:r w:rsidR="005627E8" w:rsidRPr="00812812">
        <w:rPr>
          <w:sz w:val="24"/>
          <w:szCs w:val="24"/>
        </w:rPr>
        <w:t xml:space="preserve"> prices f</w:t>
      </w:r>
      <w:r w:rsidR="002C15EC" w:rsidRPr="00812812">
        <w:rPr>
          <w:sz w:val="24"/>
          <w:szCs w:val="24"/>
        </w:rPr>
        <w:t>or</w:t>
      </w:r>
      <w:r w:rsidR="005627E8" w:rsidRPr="00812812">
        <w:rPr>
          <w:sz w:val="24"/>
          <w:szCs w:val="24"/>
        </w:rPr>
        <w:t xml:space="preserve"> imported goods, and in turn contribut</w:t>
      </w:r>
      <w:r w:rsidR="002C15EC" w:rsidRPr="00812812">
        <w:rPr>
          <w:sz w:val="24"/>
          <w:szCs w:val="24"/>
        </w:rPr>
        <w:t>es</w:t>
      </w:r>
      <w:r w:rsidR="005627E8" w:rsidRPr="00812812">
        <w:rPr>
          <w:sz w:val="24"/>
          <w:szCs w:val="24"/>
        </w:rPr>
        <w:t xml:space="preserve"> to capital accumulation, productivity, and job creation. </w:t>
      </w:r>
      <w:r w:rsidR="00DE2529" w:rsidRPr="00812812">
        <w:rPr>
          <w:sz w:val="24"/>
          <w:szCs w:val="24"/>
        </w:rPr>
        <w:t>Removal of these t</w:t>
      </w:r>
      <w:r w:rsidR="00DE2529">
        <w:rPr>
          <w:sz w:val="24"/>
          <w:szCs w:val="24"/>
        </w:rPr>
        <w:t xml:space="preserve">ariffs and quotas </w:t>
      </w:r>
      <w:r w:rsidR="00DE2529" w:rsidRPr="00812812">
        <w:rPr>
          <w:sz w:val="24"/>
          <w:szCs w:val="24"/>
        </w:rPr>
        <w:t>is likely to increase trade, stimulate economic activity and provide more choice for consumers in both countries.</w:t>
      </w:r>
    </w:p>
    <w:p w14:paraId="4DAA3FB4" w14:textId="77777777" w:rsidR="00E1539E" w:rsidRPr="00E1539E" w:rsidRDefault="00E1539E" w:rsidP="00E1539E">
      <w:pPr>
        <w:pStyle w:val="ListParagraph"/>
        <w:rPr>
          <w:sz w:val="24"/>
          <w:szCs w:val="24"/>
        </w:rPr>
      </w:pPr>
    </w:p>
    <w:p w14:paraId="56DBE9EE" w14:textId="1A959069" w:rsidR="00E1539E" w:rsidRPr="00E1539E" w:rsidRDefault="00E1539E" w:rsidP="00E1539E">
      <w:pPr>
        <w:pStyle w:val="ListParagraph"/>
        <w:numPr>
          <w:ilvl w:val="0"/>
          <w:numId w:val="1"/>
        </w:numPr>
        <w:ind w:left="567" w:hanging="567"/>
        <w:rPr>
          <w:sz w:val="24"/>
          <w:szCs w:val="24"/>
        </w:rPr>
      </w:pPr>
      <w:bookmarkStart w:id="19" w:name="_Hlk83297300"/>
      <w:r>
        <w:rPr>
          <w:sz w:val="24"/>
          <w:szCs w:val="24"/>
        </w:rPr>
        <w:t>These outcomes will result in a marked improvement to Australia’s goods market access to the UK and allow Australia’s agricultural producers to compete on an equal footing with competitors including the European Union, which already enjoys duty free access to the UK market.</w:t>
      </w:r>
    </w:p>
    <w:bookmarkEnd w:id="19"/>
    <w:p w14:paraId="5748344E" w14:textId="77777777" w:rsidR="005627E8" w:rsidRPr="005627E8" w:rsidRDefault="005627E8" w:rsidP="005627E8">
      <w:pPr>
        <w:pStyle w:val="ListParagraph"/>
        <w:rPr>
          <w:sz w:val="24"/>
          <w:szCs w:val="24"/>
        </w:rPr>
      </w:pPr>
    </w:p>
    <w:p w14:paraId="689FCB1E" w14:textId="4A24F9AA" w:rsidR="00061D2C" w:rsidRPr="002D4F58" w:rsidRDefault="00BA60E2" w:rsidP="002D4F58">
      <w:pPr>
        <w:pStyle w:val="ListParagraph"/>
        <w:numPr>
          <w:ilvl w:val="0"/>
          <w:numId w:val="1"/>
        </w:numPr>
        <w:ind w:left="567" w:hanging="567"/>
        <w:rPr>
          <w:sz w:val="24"/>
          <w:szCs w:val="24"/>
        </w:rPr>
      </w:pPr>
      <w:r w:rsidRPr="00E031FB">
        <w:rPr>
          <w:b/>
          <w:bCs/>
          <w:sz w:val="24"/>
          <w:szCs w:val="24"/>
          <w:u w:val="single"/>
        </w:rPr>
        <w:t xml:space="preserve">Table </w:t>
      </w:r>
      <w:r w:rsidR="00E00D9E">
        <w:rPr>
          <w:b/>
          <w:bCs/>
          <w:sz w:val="24"/>
          <w:szCs w:val="24"/>
          <w:u w:val="single"/>
        </w:rPr>
        <w:t>7</w:t>
      </w:r>
      <w:r w:rsidRPr="002D4F58">
        <w:rPr>
          <w:sz w:val="24"/>
          <w:szCs w:val="24"/>
        </w:rPr>
        <w:t xml:space="preserve"> summarises the agreed tariff elimination schedule that will apply to Australia’s major goods exports to the UK. </w:t>
      </w:r>
      <w:r w:rsidRPr="00E031FB">
        <w:rPr>
          <w:b/>
          <w:bCs/>
          <w:sz w:val="24"/>
          <w:szCs w:val="24"/>
          <w:u w:val="single"/>
        </w:rPr>
        <w:t xml:space="preserve">Table </w:t>
      </w:r>
      <w:r w:rsidR="00E00D9E">
        <w:rPr>
          <w:b/>
          <w:bCs/>
          <w:sz w:val="24"/>
          <w:szCs w:val="24"/>
          <w:u w:val="single"/>
        </w:rPr>
        <w:t>8</w:t>
      </w:r>
      <w:r w:rsidRPr="002D4F58">
        <w:rPr>
          <w:sz w:val="24"/>
          <w:szCs w:val="24"/>
        </w:rPr>
        <w:t xml:space="preserve"> details the main dutiable Australian exports to the UK. </w:t>
      </w:r>
    </w:p>
    <w:p w14:paraId="117B0960" w14:textId="078AD5B7" w:rsidR="002A6B8B" w:rsidRPr="002A6B8B" w:rsidRDefault="002A6B8B" w:rsidP="002A6B8B">
      <w:pPr>
        <w:rPr>
          <w:b/>
          <w:bCs/>
          <w:sz w:val="24"/>
          <w:szCs w:val="24"/>
        </w:rPr>
      </w:pPr>
      <w:r w:rsidRPr="002A6B8B">
        <w:rPr>
          <w:b/>
          <w:bCs/>
          <w:sz w:val="24"/>
          <w:szCs w:val="24"/>
          <w:u w:val="single"/>
        </w:rPr>
        <w:t xml:space="preserve">Table </w:t>
      </w:r>
      <w:r w:rsidR="00E00D9E">
        <w:rPr>
          <w:b/>
          <w:bCs/>
          <w:sz w:val="24"/>
          <w:szCs w:val="24"/>
          <w:u w:val="single"/>
        </w:rPr>
        <w:t>7</w:t>
      </w:r>
      <w:r w:rsidRPr="002A6B8B">
        <w:rPr>
          <w:b/>
          <w:bCs/>
          <w:sz w:val="24"/>
          <w:szCs w:val="24"/>
        </w:rPr>
        <w:t>: Elimination schedule of UK tariffs on imports of Australian goods</w:t>
      </w:r>
    </w:p>
    <w:tbl>
      <w:tblPr>
        <w:tblStyle w:val="TableGrid"/>
        <w:tblW w:w="0" w:type="auto"/>
        <w:tblInd w:w="-5" w:type="dxa"/>
        <w:tblLook w:val="04A0" w:firstRow="1" w:lastRow="0" w:firstColumn="1" w:lastColumn="0" w:noHBand="0" w:noVBand="1"/>
      </w:tblPr>
      <w:tblGrid>
        <w:gridCol w:w="2835"/>
        <w:gridCol w:w="851"/>
        <w:gridCol w:w="850"/>
        <w:gridCol w:w="1276"/>
        <w:gridCol w:w="992"/>
        <w:gridCol w:w="931"/>
        <w:gridCol w:w="1286"/>
      </w:tblGrid>
      <w:tr w:rsidR="002A6B8B" w14:paraId="1EE3B4B6" w14:textId="77777777" w:rsidTr="00AA4F83">
        <w:tc>
          <w:tcPr>
            <w:tcW w:w="283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82370C8" w14:textId="77777777" w:rsidR="002A6B8B" w:rsidRDefault="002A6B8B" w:rsidP="00192530">
            <w:pPr>
              <w:jc w:val="center"/>
              <w:rPr>
                <w:b/>
                <w:bCs/>
              </w:rPr>
            </w:pPr>
            <w:r>
              <w:rPr>
                <w:b/>
                <w:bCs/>
              </w:rPr>
              <w:t>Outcome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AA7861" w14:textId="77777777" w:rsidR="002A6B8B" w:rsidRDefault="002A6B8B" w:rsidP="00192530">
            <w:pPr>
              <w:jc w:val="center"/>
              <w:rPr>
                <w:b/>
                <w:bCs/>
              </w:rPr>
            </w:pPr>
            <w:r>
              <w:rPr>
                <w:b/>
                <w:bCs/>
              </w:rPr>
              <w:t>Tariff lines</w:t>
            </w:r>
          </w:p>
        </w:tc>
        <w:tc>
          <w:tcPr>
            <w:tcW w:w="320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D90545" w14:textId="77777777" w:rsidR="002A6B8B" w:rsidRDefault="002A6B8B" w:rsidP="00192530">
            <w:pPr>
              <w:jc w:val="center"/>
              <w:rPr>
                <w:b/>
                <w:bCs/>
              </w:rPr>
            </w:pPr>
            <w:r>
              <w:rPr>
                <w:b/>
                <w:bCs/>
              </w:rPr>
              <w:t>UK imports from Australia</w:t>
            </w:r>
          </w:p>
          <w:p w14:paraId="40ABEE59" w14:textId="77777777" w:rsidR="002A6B8B" w:rsidRDefault="002A6B8B" w:rsidP="00192530">
            <w:pPr>
              <w:jc w:val="center"/>
              <w:rPr>
                <w:b/>
                <w:bCs/>
              </w:rPr>
            </w:pPr>
            <w:r>
              <w:rPr>
                <w:b/>
                <w:bCs/>
              </w:rPr>
              <w:t>(average 2017-19)</w:t>
            </w:r>
          </w:p>
        </w:tc>
      </w:tr>
      <w:tr w:rsidR="002A6B8B" w14:paraId="7F1D8ADF" w14:textId="77777777" w:rsidTr="00AA4F83">
        <w:tc>
          <w:tcPr>
            <w:tcW w:w="2835" w:type="dxa"/>
            <w:vMerge/>
            <w:tcBorders>
              <w:top w:val="single" w:sz="4" w:space="0" w:color="auto"/>
              <w:left w:val="single" w:sz="4" w:space="0" w:color="auto"/>
              <w:bottom w:val="single" w:sz="4" w:space="0" w:color="auto"/>
              <w:right w:val="single" w:sz="4" w:space="0" w:color="auto"/>
            </w:tcBorders>
            <w:vAlign w:val="center"/>
            <w:hideMark/>
          </w:tcPr>
          <w:p w14:paraId="20985E92" w14:textId="77777777" w:rsidR="002A6B8B" w:rsidRDefault="002A6B8B" w:rsidP="00192530">
            <w:pPr>
              <w:rPr>
                <w:b/>
                <w:bCs/>
              </w:rPr>
            </w:pPr>
          </w:p>
        </w:tc>
        <w:tc>
          <w:tcPr>
            <w:tcW w:w="85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70C036" w14:textId="77777777" w:rsidR="002A6B8B" w:rsidRDefault="002A6B8B" w:rsidP="00192530">
            <w:pPr>
              <w:jc w:val="center"/>
              <w:rPr>
                <w:b/>
                <w:bCs/>
              </w:rPr>
            </w:pPr>
            <w:r>
              <w:rPr>
                <w:b/>
                <w:bCs/>
              </w:rPr>
              <w:t>No.</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8AA1CC" w14:textId="77777777" w:rsidR="002A6B8B" w:rsidRDefault="002A6B8B" w:rsidP="00192530">
            <w:pPr>
              <w:jc w:val="center"/>
              <w:rPr>
                <w:b/>
                <w:bCs/>
              </w:rPr>
            </w:pPr>
            <w:r>
              <w:rPr>
                <w:b/>
                <w:bCs/>
              </w:rPr>
              <w:t>% of total</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6DE234" w14:textId="77777777" w:rsidR="002A6B8B" w:rsidRDefault="002A6B8B" w:rsidP="00192530">
            <w:pPr>
              <w:jc w:val="center"/>
              <w:rPr>
                <w:b/>
                <w:bCs/>
              </w:rPr>
            </w:pPr>
            <w:r>
              <w:rPr>
                <w:b/>
                <w:bCs/>
              </w:rPr>
              <w:t>Cumulative total (%)</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8BCF97" w14:textId="77777777" w:rsidR="002A6B8B" w:rsidRDefault="002A6B8B" w:rsidP="00192530">
            <w:pPr>
              <w:jc w:val="center"/>
              <w:rPr>
                <w:b/>
                <w:bCs/>
              </w:rPr>
            </w:pPr>
            <w:r>
              <w:rPr>
                <w:b/>
                <w:bCs/>
              </w:rPr>
              <w:t>AUD (million)</w:t>
            </w:r>
          </w:p>
        </w:tc>
        <w:tc>
          <w:tcPr>
            <w:tcW w:w="93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A7A082" w14:textId="77777777" w:rsidR="002A6B8B" w:rsidRDefault="002A6B8B" w:rsidP="00192530">
            <w:pPr>
              <w:jc w:val="center"/>
              <w:rPr>
                <w:b/>
                <w:bCs/>
              </w:rPr>
            </w:pPr>
            <w:r>
              <w:rPr>
                <w:b/>
                <w:bCs/>
              </w:rPr>
              <w:t>% of total</w:t>
            </w:r>
          </w:p>
        </w:tc>
        <w:tc>
          <w:tcPr>
            <w:tcW w:w="128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C56E19" w14:textId="77777777" w:rsidR="002A6B8B" w:rsidRDefault="002A6B8B" w:rsidP="00192530">
            <w:pPr>
              <w:jc w:val="center"/>
              <w:rPr>
                <w:b/>
                <w:bCs/>
              </w:rPr>
            </w:pPr>
            <w:r>
              <w:rPr>
                <w:b/>
                <w:bCs/>
              </w:rPr>
              <w:t>Cumulative total (%)</w:t>
            </w:r>
          </w:p>
        </w:tc>
      </w:tr>
      <w:tr w:rsidR="002A6B8B" w14:paraId="7DEDFC7F"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2B658C64" w14:textId="77777777" w:rsidR="002A6B8B" w:rsidRDefault="002A6B8B" w:rsidP="00192530">
            <w:r>
              <w:t>Zero at EIF</w:t>
            </w:r>
          </w:p>
        </w:tc>
        <w:tc>
          <w:tcPr>
            <w:tcW w:w="851" w:type="dxa"/>
            <w:tcBorders>
              <w:top w:val="single" w:sz="4" w:space="0" w:color="auto"/>
              <w:left w:val="single" w:sz="4" w:space="0" w:color="auto"/>
              <w:bottom w:val="single" w:sz="4" w:space="0" w:color="auto"/>
              <w:right w:val="single" w:sz="4" w:space="0" w:color="auto"/>
            </w:tcBorders>
            <w:hideMark/>
          </w:tcPr>
          <w:p w14:paraId="71C7AA12" w14:textId="77777777" w:rsidR="002A6B8B" w:rsidRDefault="002A6B8B" w:rsidP="00192530">
            <w:pPr>
              <w:jc w:val="right"/>
            </w:pPr>
            <w:r>
              <w:t>8,917</w:t>
            </w:r>
          </w:p>
        </w:tc>
        <w:tc>
          <w:tcPr>
            <w:tcW w:w="850" w:type="dxa"/>
            <w:tcBorders>
              <w:top w:val="single" w:sz="4" w:space="0" w:color="auto"/>
              <w:left w:val="single" w:sz="4" w:space="0" w:color="auto"/>
              <w:bottom w:val="single" w:sz="4" w:space="0" w:color="auto"/>
              <w:right w:val="single" w:sz="4" w:space="0" w:color="auto"/>
            </w:tcBorders>
            <w:hideMark/>
          </w:tcPr>
          <w:p w14:paraId="13D47B43" w14:textId="77777777" w:rsidR="002A6B8B" w:rsidRDefault="002A6B8B" w:rsidP="00192530">
            <w:pPr>
              <w:jc w:val="right"/>
            </w:pPr>
            <w:r>
              <w:t>94.0</w:t>
            </w:r>
          </w:p>
        </w:tc>
        <w:tc>
          <w:tcPr>
            <w:tcW w:w="1276" w:type="dxa"/>
            <w:tcBorders>
              <w:top w:val="single" w:sz="4" w:space="0" w:color="auto"/>
              <w:left w:val="single" w:sz="4" w:space="0" w:color="auto"/>
              <w:bottom w:val="single" w:sz="4" w:space="0" w:color="auto"/>
              <w:right w:val="single" w:sz="4" w:space="0" w:color="auto"/>
            </w:tcBorders>
            <w:hideMark/>
          </w:tcPr>
          <w:p w14:paraId="59898398" w14:textId="77777777" w:rsidR="002A6B8B" w:rsidRDefault="002A6B8B" w:rsidP="00192530">
            <w:pPr>
              <w:jc w:val="right"/>
            </w:pPr>
            <w:r>
              <w:t>94.0</w:t>
            </w:r>
          </w:p>
        </w:tc>
        <w:tc>
          <w:tcPr>
            <w:tcW w:w="992" w:type="dxa"/>
            <w:tcBorders>
              <w:top w:val="single" w:sz="4" w:space="0" w:color="auto"/>
              <w:left w:val="single" w:sz="4" w:space="0" w:color="auto"/>
              <w:bottom w:val="single" w:sz="4" w:space="0" w:color="auto"/>
              <w:right w:val="single" w:sz="4" w:space="0" w:color="auto"/>
            </w:tcBorders>
            <w:hideMark/>
          </w:tcPr>
          <w:p w14:paraId="0B8A3849" w14:textId="77777777" w:rsidR="002A6B8B" w:rsidRDefault="002A6B8B" w:rsidP="00192530">
            <w:pPr>
              <w:jc w:val="right"/>
            </w:pPr>
            <w:r>
              <w:t>9,146</w:t>
            </w:r>
          </w:p>
        </w:tc>
        <w:tc>
          <w:tcPr>
            <w:tcW w:w="931" w:type="dxa"/>
            <w:tcBorders>
              <w:top w:val="single" w:sz="4" w:space="0" w:color="auto"/>
              <w:left w:val="single" w:sz="4" w:space="0" w:color="auto"/>
              <w:bottom w:val="single" w:sz="4" w:space="0" w:color="auto"/>
              <w:right w:val="single" w:sz="4" w:space="0" w:color="auto"/>
            </w:tcBorders>
            <w:hideMark/>
          </w:tcPr>
          <w:p w14:paraId="509E08BB" w14:textId="77777777" w:rsidR="002A6B8B" w:rsidRDefault="002A6B8B" w:rsidP="00192530">
            <w:pPr>
              <w:jc w:val="right"/>
            </w:pPr>
            <w:r>
              <w:t>98.5</w:t>
            </w:r>
          </w:p>
        </w:tc>
        <w:tc>
          <w:tcPr>
            <w:tcW w:w="1286" w:type="dxa"/>
            <w:tcBorders>
              <w:top w:val="single" w:sz="4" w:space="0" w:color="auto"/>
              <w:left w:val="single" w:sz="4" w:space="0" w:color="auto"/>
              <w:bottom w:val="single" w:sz="4" w:space="0" w:color="auto"/>
              <w:right w:val="single" w:sz="4" w:space="0" w:color="auto"/>
            </w:tcBorders>
            <w:hideMark/>
          </w:tcPr>
          <w:p w14:paraId="59C1E152" w14:textId="77777777" w:rsidR="002A6B8B" w:rsidRDefault="002A6B8B" w:rsidP="00192530">
            <w:pPr>
              <w:jc w:val="right"/>
            </w:pPr>
            <w:r>
              <w:t>98.5</w:t>
            </w:r>
          </w:p>
        </w:tc>
      </w:tr>
      <w:tr w:rsidR="002A6B8B" w14:paraId="4A502EA6"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2DFCA20D" w14:textId="77777777" w:rsidR="002A6B8B" w:rsidRDefault="002A6B8B" w:rsidP="00192530">
            <w:pPr>
              <w:ind w:left="306"/>
              <w:rPr>
                <w:i/>
                <w:iCs/>
              </w:rPr>
            </w:pPr>
            <w:r>
              <w:rPr>
                <w:i/>
                <w:iCs/>
              </w:rPr>
              <w:t>MFN 0</w:t>
            </w:r>
          </w:p>
        </w:tc>
        <w:tc>
          <w:tcPr>
            <w:tcW w:w="851" w:type="dxa"/>
            <w:tcBorders>
              <w:top w:val="single" w:sz="4" w:space="0" w:color="auto"/>
              <w:left w:val="single" w:sz="4" w:space="0" w:color="auto"/>
              <w:bottom w:val="single" w:sz="4" w:space="0" w:color="auto"/>
              <w:right w:val="single" w:sz="4" w:space="0" w:color="auto"/>
            </w:tcBorders>
            <w:hideMark/>
          </w:tcPr>
          <w:p w14:paraId="4FE1A7C3" w14:textId="77777777" w:rsidR="002A6B8B" w:rsidRDefault="002A6B8B" w:rsidP="00192530">
            <w:pPr>
              <w:jc w:val="right"/>
              <w:rPr>
                <w:i/>
                <w:iCs/>
              </w:rPr>
            </w:pPr>
            <w:r>
              <w:rPr>
                <w:i/>
                <w:iCs/>
              </w:rPr>
              <w:t>4,460</w:t>
            </w:r>
          </w:p>
        </w:tc>
        <w:tc>
          <w:tcPr>
            <w:tcW w:w="850" w:type="dxa"/>
            <w:tcBorders>
              <w:top w:val="single" w:sz="4" w:space="0" w:color="auto"/>
              <w:left w:val="single" w:sz="4" w:space="0" w:color="auto"/>
              <w:bottom w:val="single" w:sz="4" w:space="0" w:color="auto"/>
              <w:right w:val="single" w:sz="4" w:space="0" w:color="auto"/>
            </w:tcBorders>
            <w:hideMark/>
          </w:tcPr>
          <w:p w14:paraId="1EEDB1EB" w14:textId="77777777" w:rsidR="002A6B8B" w:rsidRDefault="002A6B8B" w:rsidP="00192530">
            <w:pPr>
              <w:jc w:val="right"/>
              <w:rPr>
                <w:i/>
                <w:iCs/>
              </w:rPr>
            </w:pPr>
            <w:r>
              <w:rPr>
                <w:i/>
                <w:iCs/>
              </w:rPr>
              <w:t>47.0</w:t>
            </w:r>
          </w:p>
        </w:tc>
        <w:tc>
          <w:tcPr>
            <w:tcW w:w="1276" w:type="dxa"/>
            <w:tcBorders>
              <w:top w:val="single" w:sz="4" w:space="0" w:color="auto"/>
              <w:left w:val="single" w:sz="4" w:space="0" w:color="auto"/>
              <w:bottom w:val="single" w:sz="4" w:space="0" w:color="auto"/>
              <w:right w:val="single" w:sz="4" w:space="0" w:color="auto"/>
            </w:tcBorders>
            <w:hideMark/>
          </w:tcPr>
          <w:p w14:paraId="1FCF4230" w14:textId="77777777" w:rsidR="002A6B8B" w:rsidRDefault="002A6B8B" w:rsidP="00192530">
            <w:pPr>
              <w:jc w:val="right"/>
              <w:rPr>
                <w:i/>
                <w:iCs/>
              </w:rPr>
            </w:pPr>
            <w:r>
              <w:rPr>
                <w:i/>
                <w:iCs/>
              </w:rPr>
              <w:t>..</w:t>
            </w:r>
          </w:p>
        </w:tc>
        <w:tc>
          <w:tcPr>
            <w:tcW w:w="992" w:type="dxa"/>
            <w:tcBorders>
              <w:top w:val="single" w:sz="4" w:space="0" w:color="auto"/>
              <w:left w:val="single" w:sz="4" w:space="0" w:color="auto"/>
              <w:bottom w:val="single" w:sz="4" w:space="0" w:color="auto"/>
              <w:right w:val="single" w:sz="4" w:space="0" w:color="auto"/>
            </w:tcBorders>
            <w:hideMark/>
          </w:tcPr>
          <w:p w14:paraId="6D2AFFA8" w14:textId="77777777" w:rsidR="002A6B8B" w:rsidRDefault="002A6B8B" w:rsidP="00192530">
            <w:pPr>
              <w:jc w:val="right"/>
              <w:rPr>
                <w:i/>
                <w:iCs/>
              </w:rPr>
            </w:pPr>
            <w:r>
              <w:rPr>
                <w:i/>
                <w:iCs/>
              </w:rPr>
              <w:t>8,305</w:t>
            </w:r>
          </w:p>
        </w:tc>
        <w:tc>
          <w:tcPr>
            <w:tcW w:w="931" w:type="dxa"/>
            <w:tcBorders>
              <w:top w:val="single" w:sz="4" w:space="0" w:color="auto"/>
              <w:left w:val="single" w:sz="4" w:space="0" w:color="auto"/>
              <w:bottom w:val="single" w:sz="4" w:space="0" w:color="auto"/>
              <w:right w:val="single" w:sz="4" w:space="0" w:color="auto"/>
            </w:tcBorders>
            <w:hideMark/>
          </w:tcPr>
          <w:p w14:paraId="259EB02B" w14:textId="77777777" w:rsidR="002A6B8B" w:rsidRDefault="002A6B8B" w:rsidP="00192530">
            <w:pPr>
              <w:jc w:val="right"/>
              <w:rPr>
                <w:i/>
                <w:iCs/>
              </w:rPr>
            </w:pPr>
            <w:r>
              <w:rPr>
                <w:i/>
                <w:iCs/>
              </w:rPr>
              <w:t>89.4</w:t>
            </w:r>
          </w:p>
        </w:tc>
        <w:tc>
          <w:tcPr>
            <w:tcW w:w="1286" w:type="dxa"/>
            <w:tcBorders>
              <w:top w:val="single" w:sz="4" w:space="0" w:color="auto"/>
              <w:left w:val="single" w:sz="4" w:space="0" w:color="auto"/>
              <w:bottom w:val="single" w:sz="4" w:space="0" w:color="auto"/>
              <w:right w:val="single" w:sz="4" w:space="0" w:color="auto"/>
            </w:tcBorders>
            <w:hideMark/>
          </w:tcPr>
          <w:p w14:paraId="53D916E5" w14:textId="77777777" w:rsidR="002A6B8B" w:rsidRDefault="002A6B8B" w:rsidP="00192530">
            <w:pPr>
              <w:jc w:val="right"/>
              <w:rPr>
                <w:i/>
                <w:iCs/>
              </w:rPr>
            </w:pPr>
            <w:r>
              <w:rPr>
                <w:i/>
                <w:iCs/>
              </w:rPr>
              <w:t>..</w:t>
            </w:r>
          </w:p>
        </w:tc>
      </w:tr>
      <w:tr w:rsidR="002A6B8B" w14:paraId="2F750B7D"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011A7FE2" w14:textId="77777777" w:rsidR="002A6B8B" w:rsidRDefault="002A6B8B" w:rsidP="00192530">
            <w:pPr>
              <w:ind w:left="306"/>
              <w:rPr>
                <w:i/>
                <w:iCs/>
              </w:rPr>
            </w:pPr>
            <w:r>
              <w:rPr>
                <w:i/>
                <w:iCs/>
              </w:rPr>
              <w:t>Tariffs eliminated on EIF</w:t>
            </w:r>
          </w:p>
        </w:tc>
        <w:tc>
          <w:tcPr>
            <w:tcW w:w="851" w:type="dxa"/>
            <w:tcBorders>
              <w:top w:val="single" w:sz="4" w:space="0" w:color="auto"/>
              <w:left w:val="single" w:sz="4" w:space="0" w:color="auto"/>
              <w:bottom w:val="single" w:sz="4" w:space="0" w:color="auto"/>
              <w:right w:val="single" w:sz="4" w:space="0" w:color="auto"/>
            </w:tcBorders>
            <w:hideMark/>
          </w:tcPr>
          <w:p w14:paraId="70A8B1F4" w14:textId="77777777" w:rsidR="002A6B8B" w:rsidRDefault="002A6B8B" w:rsidP="00192530">
            <w:pPr>
              <w:jc w:val="right"/>
              <w:rPr>
                <w:i/>
                <w:iCs/>
              </w:rPr>
            </w:pPr>
            <w:r>
              <w:rPr>
                <w:i/>
                <w:iCs/>
              </w:rPr>
              <w:t>4,457</w:t>
            </w:r>
          </w:p>
        </w:tc>
        <w:tc>
          <w:tcPr>
            <w:tcW w:w="850" w:type="dxa"/>
            <w:tcBorders>
              <w:top w:val="single" w:sz="4" w:space="0" w:color="auto"/>
              <w:left w:val="single" w:sz="4" w:space="0" w:color="auto"/>
              <w:bottom w:val="single" w:sz="4" w:space="0" w:color="auto"/>
              <w:right w:val="single" w:sz="4" w:space="0" w:color="auto"/>
            </w:tcBorders>
            <w:hideMark/>
          </w:tcPr>
          <w:p w14:paraId="12BFC7F8" w14:textId="77777777" w:rsidR="002A6B8B" w:rsidRDefault="002A6B8B" w:rsidP="00192530">
            <w:pPr>
              <w:jc w:val="right"/>
              <w:rPr>
                <w:i/>
                <w:iCs/>
              </w:rPr>
            </w:pPr>
            <w:r>
              <w:rPr>
                <w:i/>
                <w:iCs/>
              </w:rPr>
              <w:t>47.0</w:t>
            </w:r>
          </w:p>
        </w:tc>
        <w:tc>
          <w:tcPr>
            <w:tcW w:w="1276" w:type="dxa"/>
            <w:tcBorders>
              <w:top w:val="single" w:sz="4" w:space="0" w:color="auto"/>
              <w:left w:val="single" w:sz="4" w:space="0" w:color="auto"/>
              <w:bottom w:val="single" w:sz="4" w:space="0" w:color="auto"/>
              <w:right w:val="single" w:sz="4" w:space="0" w:color="auto"/>
            </w:tcBorders>
            <w:hideMark/>
          </w:tcPr>
          <w:p w14:paraId="62672A84" w14:textId="77777777" w:rsidR="002A6B8B" w:rsidRDefault="002A6B8B" w:rsidP="00192530">
            <w:pPr>
              <w:jc w:val="right"/>
              <w:rPr>
                <w:i/>
                <w:iCs/>
              </w:rPr>
            </w:pPr>
            <w:r>
              <w:rPr>
                <w:i/>
                <w:iCs/>
              </w:rPr>
              <w:t>..</w:t>
            </w:r>
          </w:p>
        </w:tc>
        <w:tc>
          <w:tcPr>
            <w:tcW w:w="992" w:type="dxa"/>
            <w:tcBorders>
              <w:top w:val="single" w:sz="4" w:space="0" w:color="auto"/>
              <w:left w:val="single" w:sz="4" w:space="0" w:color="auto"/>
              <w:bottom w:val="single" w:sz="4" w:space="0" w:color="auto"/>
              <w:right w:val="single" w:sz="4" w:space="0" w:color="auto"/>
            </w:tcBorders>
            <w:hideMark/>
          </w:tcPr>
          <w:p w14:paraId="2AD6F75A" w14:textId="77777777" w:rsidR="002A6B8B" w:rsidRDefault="002A6B8B" w:rsidP="00192530">
            <w:pPr>
              <w:jc w:val="right"/>
              <w:rPr>
                <w:i/>
                <w:iCs/>
              </w:rPr>
            </w:pPr>
            <w:r>
              <w:rPr>
                <w:i/>
                <w:iCs/>
              </w:rPr>
              <w:t>841</w:t>
            </w:r>
          </w:p>
        </w:tc>
        <w:tc>
          <w:tcPr>
            <w:tcW w:w="931" w:type="dxa"/>
            <w:tcBorders>
              <w:top w:val="single" w:sz="4" w:space="0" w:color="auto"/>
              <w:left w:val="single" w:sz="4" w:space="0" w:color="auto"/>
              <w:bottom w:val="single" w:sz="4" w:space="0" w:color="auto"/>
              <w:right w:val="single" w:sz="4" w:space="0" w:color="auto"/>
            </w:tcBorders>
            <w:hideMark/>
          </w:tcPr>
          <w:p w14:paraId="13DBF2AB" w14:textId="77777777" w:rsidR="002A6B8B" w:rsidRDefault="002A6B8B" w:rsidP="00192530">
            <w:pPr>
              <w:jc w:val="right"/>
              <w:rPr>
                <w:i/>
                <w:iCs/>
              </w:rPr>
            </w:pPr>
            <w:r>
              <w:rPr>
                <w:i/>
                <w:iCs/>
              </w:rPr>
              <w:t>9.1</w:t>
            </w:r>
          </w:p>
        </w:tc>
        <w:tc>
          <w:tcPr>
            <w:tcW w:w="1286" w:type="dxa"/>
            <w:tcBorders>
              <w:top w:val="single" w:sz="4" w:space="0" w:color="auto"/>
              <w:left w:val="single" w:sz="4" w:space="0" w:color="auto"/>
              <w:bottom w:val="single" w:sz="4" w:space="0" w:color="auto"/>
              <w:right w:val="single" w:sz="4" w:space="0" w:color="auto"/>
            </w:tcBorders>
            <w:hideMark/>
          </w:tcPr>
          <w:p w14:paraId="77F93BB8" w14:textId="77777777" w:rsidR="002A6B8B" w:rsidRDefault="002A6B8B" w:rsidP="00192530">
            <w:pPr>
              <w:jc w:val="right"/>
              <w:rPr>
                <w:i/>
                <w:iCs/>
              </w:rPr>
            </w:pPr>
            <w:r>
              <w:rPr>
                <w:i/>
                <w:iCs/>
              </w:rPr>
              <w:t>..</w:t>
            </w:r>
          </w:p>
        </w:tc>
      </w:tr>
      <w:tr w:rsidR="002A6B8B" w14:paraId="79E895D3"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384687D0" w14:textId="77777777" w:rsidR="002A6B8B" w:rsidRDefault="002A6B8B" w:rsidP="00192530">
            <w:r>
              <w:t>4-year phasing</w:t>
            </w:r>
          </w:p>
        </w:tc>
        <w:tc>
          <w:tcPr>
            <w:tcW w:w="851" w:type="dxa"/>
            <w:tcBorders>
              <w:top w:val="single" w:sz="4" w:space="0" w:color="auto"/>
              <w:left w:val="single" w:sz="4" w:space="0" w:color="auto"/>
              <w:bottom w:val="single" w:sz="4" w:space="0" w:color="auto"/>
              <w:right w:val="single" w:sz="4" w:space="0" w:color="auto"/>
            </w:tcBorders>
            <w:hideMark/>
          </w:tcPr>
          <w:p w14:paraId="04D50265" w14:textId="77777777" w:rsidR="002A6B8B" w:rsidRDefault="002A6B8B" w:rsidP="00192530">
            <w:pPr>
              <w:jc w:val="right"/>
            </w:pPr>
            <w:r>
              <w:t>204</w:t>
            </w:r>
          </w:p>
        </w:tc>
        <w:tc>
          <w:tcPr>
            <w:tcW w:w="850" w:type="dxa"/>
            <w:tcBorders>
              <w:top w:val="single" w:sz="4" w:space="0" w:color="auto"/>
              <w:left w:val="single" w:sz="4" w:space="0" w:color="auto"/>
              <w:bottom w:val="single" w:sz="4" w:space="0" w:color="auto"/>
              <w:right w:val="single" w:sz="4" w:space="0" w:color="auto"/>
            </w:tcBorders>
            <w:hideMark/>
          </w:tcPr>
          <w:p w14:paraId="7AC98945" w14:textId="77777777" w:rsidR="002A6B8B" w:rsidRDefault="002A6B8B" w:rsidP="00192530">
            <w:pPr>
              <w:jc w:val="right"/>
            </w:pPr>
            <w:r>
              <w:t>2.2</w:t>
            </w:r>
          </w:p>
        </w:tc>
        <w:tc>
          <w:tcPr>
            <w:tcW w:w="1276" w:type="dxa"/>
            <w:tcBorders>
              <w:top w:val="single" w:sz="4" w:space="0" w:color="auto"/>
              <w:left w:val="single" w:sz="4" w:space="0" w:color="auto"/>
              <w:bottom w:val="single" w:sz="4" w:space="0" w:color="auto"/>
              <w:right w:val="single" w:sz="4" w:space="0" w:color="auto"/>
            </w:tcBorders>
            <w:hideMark/>
          </w:tcPr>
          <w:p w14:paraId="20A41F31" w14:textId="77777777" w:rsidR="002A6B8B" w:rsidRDefault="002A6B8B" w:rsidP="00192530">
            <w:pPr>
              <w:jc w:val="right"/>
            </w:pPr>
            <w:r>
              <w:t>96.2</w:t>
            </w:r>
          </w:p>
        </w:tc>
        <w:tc>
          <w:tcPr>
            <w:tcW w:w="992" w:type="dxa"/>
            <w:tcBorders>
              <w:top w:val="single" w:sz="4" w:space="0" w:color="auto"/>
              <w:left w:val="single" w:sz="4" w:space="0" w:color="auto"/>
              <w:bottom w:val="single" w:sz="4" w:space="0" w:color="auto"/>
              <w:right w:val="single" w:sz="4" w:space="0" w:color="auto"/>
            </w:tcBorders>
            <w:hideMark/>
          </w:tcPr>
          <w:p w14:paraId="534D6FD8" w14:textId="77777777" w:rsidR="002A6B8B" w:rsidRDefault="002A6B8B" w:rsidP="00192530">
            <w:pPr>
              <w:jc w:val="right"/>
            </w:pPr>
            <w:r>
              <w:t>24</w:t>
            </w:r>
          </w:p>
        </w:tc>
        <w:tc>
          <w:tcPr>
            <w:tcW w:w="931" w:type="dxa"/>
            <w:tcBorders>
              <w:top w:val="single" w:sz="4" w:space="0" w:color="auto"/>
              <w:left w:val="single" w:sz="4" w:space="0" w:color="auto"/>
              <w:bottom w:val="single" w:sz="4" w:space="0" w:color="auto"/>
              <w:right w:val="single" w:sz="4" w:space="0" w:color="auto"/>
            </w:tcBorders>
            <w:hideMark/>
          </w:tcPr>
          <w:p w14:paraId="5CC89186" w14:textId="77777777" w:rsidR="002A6B8B" w:rsidRDefault="002A6B8B" w:rsidP="00192530">
            <w:pPr>
              <w:jc w:val="right"/>
            </w:pPr>
            <w:r>
              <w:t>0.3</w:t>
            </w:r>
          </w:p>
        </w:tc>
        <w:tc>
          <w:tcPr>
            <w:tcW w:w="1286" w:type="dxa"/>
            <w:tcBorders>
              <w:top w:val="single" w:sz="4" w:space="0" w:color="auto"/>
              <w:left w:val="single" w:sz="4" w:space="0" w:color="auto"/>
              <w:bottom w:val="single" w:sz="4" w:space="0" w:color="auto"/>
              <w:right w:val="single" w:sz="4" w:space="0" w:color="auto"/>
            </w:tcBorders>
            <w:hideMark/>
          </w:tcPr>
          <w:p w14:paraId="1583BCA4" w14:textId="77777777" w:rsidR="002A6B8B" w:rsidRDefault="002A6B8B" w:rsidP="00192530">
            <w:pPr>
              <w:jc w:val="right"/>
            </w:pPr>
            <w:r>
              <w:t>98.8</w:t>
            </w:r>
          </w:p>
        </w:tc>
      </w:tr>
      <w:tr w:rsidR="002A6B8B" w14:paraId="702949E2"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6AC8ACF8" w14:textId="77777777" w:rsidR="002A6B8B" w:rsidRDefault="002A6B8B" w:rsidP="00192530">
            <w:r>
              <w:t>8-year phasing</w:t>
            </w:r>
          </w:p>
        </w:tc>
        <w:tc>
          <w:tcPr>
            <w:tcW w:w="851" w:type="dxa"/>
            <w:tcBorders>
              <w:top w:val="single" w:sz="4" w:space="0" w:color="auto"/>
              <w:left w:val="single" w:sz="4" w:space="0" w:color="auto"/>
              <w:bottom w:val="single" w:sz="4" w:space="0" w:color="auto"/>
              <w:right w:val="single" w:sz="4" w:space="0" w:color="auto"/>
            </w:tcBorders>
            <w:hideMark/>
          </w:tcPr>
          <w:p w14:paraId="2FA0A6E6" w14:textId="77777777" w:rsidR="002A6B8B" w:rsidRDefault="002A6B8B" w:rsidP="00192530">
            <w:pPr>
              <w:jc w:val="right"/>
            </w:pPr>
            <w:r>
              <w:t>48</w:t>
            </w:r>
          </w:p>
        </w:tc>
        <w:tc>
          <w:tcPr>
            <w:tcW w:w="850" w:type="dxa"/>
            <w:tcBorders>
              <w:top w:val="single" w:sz="4" w:space="0" w:color="auto"/>
              <w:left w:val="single" w:sz="4" w:space="0" w:color="auto"/>
              <w:bottom w:val="single" w:sz="4" w:space="0" w:color="auto"/>
              <w:right w:val="single" w:sz="4" w:space="0" w:color="auto"/>
            </w:tcBorders>
            <w:hideMark/>
          </w:tcPr>
          <w:p w14:paraId="412F8252" w14:textId="77777777" w:rsidR="002A6B8B" w:rsidRDefault="002A6B8B" w:rsidP="00192530">
            <w:pPr>
              <w:jc w:val="right"/>
            </w:pPr>
            <w:r>
              <w:t>0.5</w:t>
            </w:r>
          </w:p>
        </w:tc>
        <w:tc>
          <w:tcPr>
            <w:tcW w:w="1276" w:type="dxa"/>
            <w:tcBorders>
              <w:top w:val="single" w:sz="4" w:space="0" w:color="auto"/>
              <w:left w:val="single" w:sz="4" w:space="0" w:color="auto"/>
              <w:bottom w:val="single" w:sz="4" w:space="0" w:color="auto"/>
              <w:right w:val="single" w:sz="4" w:space="0" w:color="auto"/>
            </w:tcBorders>
            <w:hideMark/>
          </w:tcPr>
          <w:p w14:paraId="56A7698A" w14:textId="77777777" w:rsidR="002A6B8B" w:rsidRDefault="002A6B8B" w:rsidP="00192530">
            <w:pPr>
              <w:jc w:val="right"/>
            </w:pPr>
            <w:r>
              <w:t>96.7</w:t>
            </w:r>
          </w:p>
        </w:tc>
        <w:tc>
          <w:tcPr>
            <w:tcW w:w="992" w:type="dxa"/>
            <w:tcBorders>
              <w:top w:val="single" w:sz="4" w:space="0" w:color="auto"/>
              <w:left w:val="single" w:sz="4" w:space="0" w:color="auto"/>
              <w:bottom w:val="single" w:sz="4" w:space="0" w:color="auto"/>
              <w:right w:val="single" w:sz="4" w:space="0" w:color="auto"/>
            </w:tcBorders>
            <w:hideMark/>
          </w:tcPr>
          <w:p w14:paraId="6F88C698" w14:textId="77777777" w:rsidR="002A6B8B" w:rsidRDefault="002A6B8B" w:rsidP="00192530">
            <w:pPr>
              <w:jc w:val="right"/>
            </w:pPr>
            <w:r>
              <w:t>0</w:t>
            </w:r>
          </w:p>
        </w:tc>
        <w:tc>
          <w:tcPr>
            <w:tcW w:w="931" w:type="dxa"/>
            <w:tcBorders>
              <w:top w:val="single" w:sz="4" w:space="0" w:color="auto"/>
              <w:left w:val="single" w:sz="4" w:space="0" w:color="auto"/>
              <w:bottom w:val="single" w:sz="4" w:space="0" w:color="auto"/>
              <w:right w:val="single" w:sz="4" w:space="0" w:color="auto"/>
            </w:tcBorders>
            <w:hideMark/>
          </w:tcPr>
          <w:p w14:paraId="6D37B1E6" w14:textId="77777777" w:rsidR="002A6B8B" w:rsidRDefault="002A6B8B" w:rsidP="00192530">
            <w:pPr>
              <w:jc w:val="right"/>
            </w:pPr>
            <w:r>
              <w:t>0.0</w:t>
            </w:r>
          </w:p>
        </w:tc>
        <w:tc>
          <w:tcPr>
            <w:tcW w:w="1286" w:type="dxa"/>
            <w:tcBorders>
              <w:top w:val="single" w:sz="4" w:space="0" w:color="auto"/>
              <w:left w:val="single" w:sz="4" w:space="0" w:color="auto"/>
              <w:bottom w:val="single" w:sz="4" w:space="0" w:color="auto"/>
              <w:right w:val="single" w:sz="4" w:space="0" w:color="auto"/>
            </w:tcBorders>
            <w:hideMark/>
          </w:tcPr>
          <w:p w14:paraId="0CB0A7FD" w14:textId="77777777" w:rsidR="002A6B8B" w:rsidRDefault="002A6B8B" w:rsidP="00192530">
            <w:pPr>
              <w:jc w:val="right"/>
            </w:pPr>
            <w:r>
              <w:t>98.8</w:t>
            </w:r>
          </w:p>
        </w:tc>
      </w:tr>
      <w:tr w:rsidR="002A6B8B" w14:paraId="20F5411A"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7B044D0C" w14:textId="77777777" w:rsidR="002A6B8B" w:rsidRDefault="002A6B8B" w:rsidP="00192530">
            <w:r>
              <w:t>Tariff rate quotas (TRQs)</w:t>
            </w:r>
          </w:p>
        </w:tc>
        <w:tc>
          <w:tcPr>
            <w:tcW w:w="851" w:type="dxa"/>
            <w:tcBorders>
              <w:top w:val="single" w:sz="4" w:space="0" w:color="auto"/>
              <w:left w:val="single" w:sz="4" w:space="0" w:color="auto"/>
              <w:bottom w:val="single" w:sz="4" w:space="0" w:color="auto"/>
              <w:right w:val="single" w:sz="4" w:space="0" w:color="auto"/>
            </w:tcBorders>
            <w:hideMark/>
          </w:tcPr>
          <w:p w14:paraId="6F0CBF91" w14:textId="77777777" w:rsidR="002A6B8B" w:rsidRDefault="002A6B8B" w:rsidP="00192530">
            <w:pPr>
              <w:jc w:val="right"/>
            </w:pPr>
            <w:r>
              <w:t>211</w:t>
            </w:r>
          </w:p>
        </w:tc>
        <w:tc>
          <w:tcPr>
            <w:tcW w:w="850" w:type="dxa"/>
            <w:tcBorders>
              <w:top w:val="single" w:sz="4" w:space="0" w:color="auto"/>
              <w:left w:val="single" w:sz="4" w:space="0" w:color="auto"/>
              <w:bottom w:val="single" w:sz="4" w:space="0" w:color="auto"/>
              <w:right w:val="single" w:sz="4" w:space="0" w:color="auto"/>
            </w:tcBorders>
            <w:hideMark/>
          </w:tcPr>
          <w:p w14:paraId="571E0167" w14:textId="77777777" w:rsidR="002A6B8B" w:rsidRDefault="002A6B8B" w:rsidP="00192530">
            <w:pPr>
              <w:jc w:val="right"/>
            </w:pPr>
            <w:r>
              <w:t>2.2</w:t>
            </w:r>
          </w:p>
        </w:tc>
        <w:tc>
          <w:tcPr>
            <w:tcW w:w="1276" w:type="dxa"/>
            <w:tcBorders>
              <w:top w:val="single" w:sz="4" w:space="0" w:color="auto"/>
              <w:left w:val="single" w:sz="4" w:space="0" w:color="auto"/>
              <w:bottom w:val="single" w:sz="4" w:space="0" w:color="auto"/>
              <w:right w:val="single" w:sz="4" w:space="0" w:color="auto"/>
            </w:tcBorders>
            <w:hideMark/>
          </w:tcPr>
          <w:p w14:paraId="3528C3A1" w14:textId="77777777" w:rsidR="002A6B8B" w:rsidRDefault="002A6B8B" w:rsidP="00192530">
            <w:pPr>
              <w:jc w:val="right"/>
            </w:pPr>
            <w:r>
              <w:t>98.9</w:t>
            </w:r>
          </w:p>
        </w:tc>
        <w:tc>
          <w:tcPr>
            <w:tcW w:w="992" w:type="dxa"/>
            <w:tcBorders>
              <w:top w:val="single" w:sz="4" w:space="0" w:color="auto"/>
              <w:left w:val="single" w:sz="4" w:space="0" w:color="auto"/>
              <w:bottom w:val="single" w:sz="4" w:space="0" w:color="auto"/>
              <w:right w:val="single" w:sz="4" w:space="0" w:color="auto"/>
            </w:tcBorders>
            <w:hideMark/>
          </w:tcPr>
          <w:p w14:paraId="77E5D0F3" w14:textId="77777777" w:rsidR="002A6B8B" w:rsidRDefault="002A6B8B" w:rsidP="00192530">
            <w:pPr>
              <w:jc w:val="right"/>
            </w:pPr>
            <w:r>
              <w:t>116</w:t>
            </w:r>
          </w:p>
        </w:tc>
        <w:tc>
          <w:tcPr>
            <w:tcW w:w="931" w:type="dxa"/>
            <w:tcBorders>
              <w:top w:val="single" w:sz="4" w:space="0" w:color="auto"/>
              <w:left w:val="single" w:sz="4" w:space="0" w:color="auto"/>
              <w:bottom w:val="single" w:sz="4" w:space="0" w:color="auto"/>
              <w:right w:val="single" w:sz="4" w:space="0" w:color="auto"/>
            </w:tcBorders>
            <w:hideMark/>
          </w:tcPr>
          <w:p w14:paraId="468DF5D6" w14:textId="77777777" w:rsidR="002A6B8B" w:rsidRDefault="002A6B8B" w:rsidP="00192530">
            <w:pPr>
              <w:jc w:val="right"/>
            </w:pPr>
            <w:r>
              <w:t>1.2</w:t>
            </w:r>
          </w:p>
        </w:tc>
        <w:tc>
          <w:tcPr>
            <w:tcW w:w="1286" w:type="dxa"/>
            <w:tcBorders>
              <w:top w:val="single" w:sz="4" w:space="0" w:color="auto"/>
              <w:left w:val="single" w:sz="4" w:space="0" w:color="auto"/>
              <w:bottom w:val="single" w:sz="4" w:space="0" w:color="auto"/>
              <w:right w:val="single" w:sz="4" w:space="0" w:color="auto"/>
            </w:tcBorders>
            <w:hideMark/>
          </w:tcPr>
          <w:p w14:paraId="4F1CDA73" w14:textId="77777777" w:rsidR="002A6B8B" w:rsidRDefault="002A6B8B" w:rsidP="00192530">
            <w:pPr>
              <w:jc w:val="right"/>
            </w:pPr>
            <w:r>
              <w:t>100.0</w:t>
            </w:r>
          </w:p>
        </w:tc>
      </w:tr>
      <w:tr w:rsidR="002A6B8B" w14:paraId="747B2CAC" w14:textId="77777777" w:rsidTr="00AA4F83">
        <w:tc>
          <w:tcPr>
            <w:tcW w:w="2835" w:type="dxa"/>
            <w:tcBorders>
              <w:top w:val="single" w:sz="4" w:space="0" w:color="auto"/>
              <w:left w:val="single" w:sz="4" w:space="0" w:color="auto"/>
              <w:bottom w:val="single" w:sz="4" w:space="0" w:color="auto"/>
              <w:right w:val="single" w:sz="4" w:space="0" w:color="auto"/>
            </w:tcBorders>
            <w:hideMark/>
          </w:tcPr>
          <w:p w14:paraId="7BCF3551" w14:textId="77777777" w:rsidR="002A6B8B" w:rsidRDefault="002A6B8B" w:rsidP="00192530">
            <w:r>
              <w:t>To be confirmed</w:t>
            </w:r>
          </w:p>
        </w:tc>
        <w:tc>
          <w:tcPr>
            <w:tcW w:w="851" w:type="dxa"/>
            <w:tcBorders>
              <w:top w:val="single" w:sz="4" w:space="0" w:color="auto"/>
              <w:left w:val="single" w:sz="4" w:space="0" w:color="auto"/>
              <w:bottom w:val="single" w:sz="4" w:space="0" w:color="auto"/>
              <w:right w:val="single" w:sz="4" w:space="0" w:color="auto"/>
            </w:tcBorders>
            <w:hideMark/>
          </w:tcPr>
          <w:p w14:paraId="573D7171" w14:textId="77777777" w:rsidR="002A6B8B" w:rsidRDefault="002A6B8B" w:rsidP="00192530">
            <w:pPr>
              <w:jc w:val="right"/>
            </w:pPr>
            <w:r>
              <w:t>103</w:t>
            </w:r>
          </w:p>
        </w:tc>
        <w:tc>
          <w:tcPr>
            <w:tcW w:w="850" w:type="dxa"/>
            <w:tcBorders>
              <w:top w:val="single" w:sz="4" w:space="0" w:color="auto"/>
              <w:left w:val="single" w:sz="4" w:space="0" w:color="auto"/>
              <w:bottom w:val="single" w:sz="4" w:space="0" w:color="auto"/>
              <w:right w:val="single" w:sz="4" w:space="0" w:color="auto"/>
            </w:tcBorders>
            <w:hideMark/>
          </w:tcPr>
          <w:p w14:paraId="6B35D031" w14:textId="77777777" w:rsidR="002A6B8B" w:rsidRDefault="002A6B8B" w:rsidP="00192530">
            <w:pPr>
              <w:jc w:val="right"/>
            </w:pPr>
            <w:r>
              <w:t>1.1</w:t>
            </w:r>
          </w:p>
        </w:tc>
        <w:tc>
          <w:tcPr>
            <w:tcW w:w="1276" w:type="dxa"/>
            <w:tcBorders>
              <w:top w:val="single" w:sz="4" w:space="0" w:color="auto"/>
              <w:left w:val="single" w:sz="4" w:space="0" w:color="auto"/>
              <w:bottom w:val="single" w:sz="4" w:space="0" w:color="auto"/>
              <w:right w:val="single" w:sz="4" w:space="0" w:color="auto"/>
            </w:tcBorders>
            <w:hideMark/>
          </w:tcPr>
          <w:p w14:paraId="0A80E755" w14:textId="77777777" w:rsidR="002A6B8B" w:rsidRDefault="002A6B8B" w:rsidP="00192530">
            <w:pPr>
              <w:jc w:val="right"/>
            </w:pPr>
            <w:r>
              <w:t>100.0</w:t>
            </w:r>
          </w:p>
        </w:tc>
        <w:tc>
          <w:tcPr>
            <w:tcW w:w="992" w:type="dxa"/>
            <w:tcBorders>
              <w:top w:val="single" w:sz="4" w:space="0" w:color="auto"/>
              <w:left w:val="single" w:sz="4" w:space="0" w:color="auto"/>
              <w:bottom w:val="single" w:sz="4" w:space="0" w:color="auto"/>
              <w:right w:val="single" w:sz="4" w:space="0" w:color="auto"/>
            </w:tcBorders>
            <w:hideMark/>
          </w:tcPr>
          <w:p w14:paraId="0E37615A" w14:textId="77777777" w:rsidR="002A6B8B" w:rsidRDefault="002A6B8B" w:rsidP="00192530">
            <w:pPr>
              <w:jc w:val="right"/>
            </w:pPr>
            <w:r>
              <w:t>0</w:t>
            </w:r>
          </w:p>
        </w:tc>
        <w:tc>
          <w:tcPr>
            <w:tcW w:w="931" w:type="dxa"/>
            <w:tcBorders>
              <w:top w:val="single" w:sz="4" w:space="0" w:color="auto"/>
              <w:left w:val="single" w:sz="4" w:space="0" w:color="auto"/>
              <w:bottom w:val="single" w:sz="4" w:space="0" w:color="auto"/>
              <w:right w:val="single" w:sz="4" w:space="0" w:color="auto"/>
            </w:tcBorders>
            <w:hideMark/>
          </w:tcPr>
          <w:p w14:paraId="7D9E7962" w14:textId="77777777" w:rsidR="002A6B8B" w:rsidRDefault="002A6B8B" w:rsidP="00192530">
            <w:pPr>
              <w:jc w:val="right"/>
            </w:pPr>
            <w:r>
              <w:t>0.0</w:t>
            </w:r>
          </w:p>
        </w:tc>
        <w:tc>
          <w:tcPr>
            <w:tcW w:w="1286" w:type="dxa"/>
            <w:tcBorders>
              <w:top w:val="single" w:sz="4" w:space="0" w:color="auto"/>
              <w:left w:val="single" w:sz="4" w:space="0" w:color="auto"/>
              <w:bottom w:val="single" w:sz="4" w:space="0" w:color="auto"/>
              <w:right w:val="single" w:sz="4" w:space="0" w:color="auto"/>
            </w:tcBorders>
            <w:hideMark/>
          </w:tcPr>
          <w:p w14:paraId="43A38D94" w14:textId="77777777" w:rsidR="002A6B8B" w:rsidRDefault="002A6B8B" w:rsidP="00192530">
            <w:pPr>
              <w:jc w:val="right"/>
            </w:pPr>
            <w:r>
              <w:t>100.0</w:t>
            </w:r>
          </w:p>
        </w:tc>
      </w:tr>
      <w:tr w:rsidR="002A6B8B" w14:paraId="28FB66A0" w14:textId="77777777" w:rsidTr="00AA4F8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DAE62" w14:textId="77777777" w:rsidR="002A6B8B" w:rsidRDefault="002A6B8B" w:rsidP="00192530">
            <w:pPr>
              <w:rPr>
                <w:b/>
                <w:bCs/>
              </w:rPr>
            </w:pPr>
            <w:r>
              <w:rPr>
                <w:b/>
                <w:bCs/>
              </w:rPr>
              <w:t>Total</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7AEA7" w14:textId="77777777" w:rsidR="002A6B8B" w:rsidRDefault="002A6B8B" w:rsidP="00192530">
            <w:pPr>
              <w:jc w:val="right"/>
              <w:rPr>
                <w:b/>
                <w:bCs/>
              </w:rPr>
            </w:pPr>
            <w:r>
              <w:rPr>
                <w:b/>
                <w:bCs/>
              </w:rPr>
              <w:t>9,483</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440B0" w14:textId="77777777" w:rsidR="002A6B8B" w:rsidRDefault="002A6B8B" w:rsidP="00192530">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2A23D" w14:textId="77777777" w:rsidR="002A6B8B" w:rsidRDefault="002A6B8B" w:rsidP="00192530">
            <w:pPr>
              <w:jc w:val="right"/>
              <w:rPr>
                <w:b/>
                <w:bCs/>
              </w:rPr>
            </w:pPr>
            <w:r>
              <w:rPr>
                <w:b/>
                <w:bCs/>
              </w:rPr>
              <w:t>100.0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D334" w14:textId="77777777" w:rsidR="002A6B8B" w:rsidRDefault="002A6B8B" w:rsidP="00192530">
            <w:pPr>
              <w:jc w:val="right"/>
              <w:rPr>
                <w:b/>
                <w:bCs/>
              </w:rPr>
            </w:pPr>
            <w:r>
              <w:rPr>
                <w:b/>
                <w:bCs/>
              </w:rPr>
              <w:t>9,286</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E151F3" w14:textId="77777777" w:rsidR="002A6B8B" w:rsidRDefault="002A6B8B" w:rsidP="00192530">
            <w:pPr>
              <w:jc w:val="right"/>
              <w:rPr>
                <w:b/>
                <w:bCs/>
              </w:rPr>
            </w:pPr>
            <w:r>
              <w:rPr>
                <w:b/>
                <w:bCs/>
              </w:rPr>
              <w:t>100.0</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1ABE0" w14:textId="77777777" w:rsidR="002A6B8B" w:rsidRDefault="002A6B8B" w:rsidP="00192530">
            <w:pPr>
              <w:jc w:val="right"/>
              <w:rPr>
                <w:b/>
                <w:bCs/>
              </w:rPr>
            </w:pPr>
            <w:r>
              <w:rPr>
                <w:b/>
                <w:bCs/>
              </w:rPr>
              <w:t>100.0</w:t>
            </w:r>
          </w:p>
        </w:tc>
      </w:tr>
    </w:tbl>
    <w:p w14:paraId="4F9CCF15" w14:textId="77777777" w:rsidR="002A6B8B" w:rsidRDefault="002A6B8B" w:rsidP="002A6B8B">
      <w:pPr>
        <w:pStyle w:val="ListParagraph"/>
        <w:ind w:left="360"/>
      </w:pPr>
    </w:p>
    <w:p w14:paraId="4DC132FE" w14:textId="7435709E" w:rsidR="002A6B8B" w:rsidRPr="002A6B8B" w:rsidRDefault="002A6B8B" w:rsidP="002A6B8B">
      <w:pPr>
        <w:keepNext/>
        <w:rPr>
          <w:b/>
          <w:bCs/>
          <w:sz w:val="24"/>
          <w:szCs w:val="24"/>
        </w:rPr>
      </w:pPr>
      <w:r w:rsidRPr="002A6B8B">
        <w:rPr>
          <w:b/>
          <w:bCs/>
          <w:sz w:val="24"/>
          <w:szCs w:val="24"/>
          <w:u w:val="single"/>
        </w:rPr>
        <w:t xml:space="preserve">Table </w:t>
      </w:r>
      <w:r w:rsidR="00E00D9E">
        <w:rPr>
          <w:b/>
          <w:bCs/>
          <w:sz w:val="24"/>
          <w:szCs w:val="24"/>
          <w:u w:val="single"/>
        </w:rPr>
        <w:t>8</w:t>
      </w:r>
      <w:r w:rsidRPr="002A6B8B">
        <w:rPr>
          <w:b/>
          <w:bCs/>
          <w:sz w:val="24"/>
          <w:szCs w:val="24"/>
        </w:rPr>
        <w:t>: Key dutiable Australian exports to the UK</w:t>
      </w:r>
    </w:p>
    <w:tbl>
      <w:tblPr>
        <w:tblStyle w:val="TableGrid"/>
        <w:tblW w:w="0" w:type="auto"/>
        <w:tblInd w:w="0" w:type="dxa"/>
        <w:tblLook w:val="04A0" w:firstRow="1" w:lastRow="0" w:firstColumn="1" w:lastColumn="0" w:noHBand="0" w:noVBand="1"/>
      </w:tblPr>
      <w:tblGrid>
        <w:gridCol w:w="4815"/>
        <w:gridCol w:w="1701"/>
        <w:gridCol w:w="2500"/>
      </w:tblGrid>
      <w:tr w:rsidR="002A6B8B" w14:paraId="7AA3A271" w14:textId="77777777" w:rsidTr="00192530">
        <w:tc>
          <w:tcPr>
            <w:tcW w:w="48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CE165D" w14:textId="77777777" w:rsidR="002A6B8B" w:rsidRDefault="002A6B8B" w:rsidP="00192530">
            <w:pPr>
              <w:jc w:val="center"/>
              <w:rPr>
                <w:b/>
                <w:bCs/>
              </w:rPr>
            </w:pPr>
            <w:r>
              <w:rPr>
                <w:b/>
                <w:bCs/>
              </w:rPr>
              <w:t>Product</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3CAA55" w14:textId="77777777" w:rsidR="002A6B8B" w:rsidRDefault="002A6B8B" w:rsidP="00192530">
            <w:pPr>
              <w:jc w:val="center"/>
              <w:rPr>
                <w:b/>
                <w:bCs/>
              </w:rPr>
            </w:pPr>
            <w:r>
              <w:rPr>
                <w:b/>
                <w:bCs/>
              </w:rPr>
              <w:t>UK’s MFN applied tariff (%)</w:t>
            </w:r>
          </w:p>
        </w:tc>
        <w:tc>
          <w:tcPr>
            <w:tcW w:w="2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5F295E" w14:textId="77777777" w:rsidR="002A6B8B" w:rsidRDefault="002A6B8B" w:rsidP="00192530">
            <w:pPr>
              <w:jc w:val="center"/>
              <w:rPr>
                <w:b/>
                <w:bCs/>
              </w:rPr>
            </w:pPr>
            <w:r>
              <w:rPr>
                <w:b/>
                <w:bCs/>
              </w:rPr>
              <w:t>UK imports from Australia</w:t>
            </w:r>
          </w:p>
          <w:p w14:paraId="4FC2AE40" w14:textId="77777777" w:rsidR="002A6B8B" w:rsidRDefault="002A6B8B" w:rsidP="00192530">
            <w:pPr>
              <w:jc w:val="center"/>
              <w:rPr>
                <w:b/>
                <w:bCs/>
              </w:rPr>
            </w:pPr>
            <w:r>
              <w:rPr>
                <w:b/>
                <w:bCs/>
              </w:rPr>
              <w:t xml:space="preserve">(A$ million, </w:t>
            </w:r>
            <w:proofErr w:type="spellStart"/>
            <w:r>
              <w:rPr>
                <w:b/>
                <w:bCs/>
              </w:rPr>
              <w:t>ave</w:t>
            </w:r>
            <w:proofErr w:type="spellEnd"/>
            <w:r>
              <w:rPr>
                <w:b/>
                <w:bCs/>
              </w:rPr>
              <w:t xml:space="preserve"> 2017-19)</w:t>
            </w:r>
          </w:p>
        </w:tc>
      </w:tr>
      <w:tr w:rsidR="002A6B8B" w14:paraId="1398B079"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729BB70B" w14:textId="77777777" w:rsidR="002A6B8B" w:rsidRDefault="002A6B8B" w:rsidP="00192530">
            <w:r>
              <w:t>Wine</w:t>
            </w:r>
          </w:p>
        </w:tc>
        <w:tc>
          <w:tcPr>
            <w:tcW w:w="1701" w:type="dxa"/>
            <w:tcBorders>
              <w:top w:val="single" w:sz="4" w:space="0" w:color="auto"/>
              <w:left w:val="single" w:sz="4" w:space="0" w:color="auto"/>
              <w:bottom w:val="single" w:sz="4" w:space="0" w:color="auto"/>
              <w:right w:val="single" w:sz="4" w:space="0" w:color="auto"/>
            </w:tcBorders>
            <w:hideMark/>
          </w:tcPr>
          <w:p w14:paraId="5ACA13B6" w14:textId="77777777" w:rsidR="002A6B8B" w:rsidRDefault="002A6B8B" w:rsidP="00192530">
            <w:pPr>
              <w:jc w:val="center"/>
            </w:pPr>
            <w:r>
              <w:t>10-26 GBP/hl</w:t>
            </w:r>
          </w:p>
        </w:tc>
        <w:tc>
          <w:tcPr>
            <w:tcW w:w="2500" w:type="dxa"/>
            <w:tcBorders>
              <w:top w:val="single" w:sz="4" w:space="0" w:color="auto"/>
              <w:left w:val="single" w:sz="4" w:space="0" w:color="auto"/>
              <w:bottom w:val="single" w:sz="4" w:space="0" w:color="auto"/>
              <w:right w:val="single" w:sz="4" w:space="0" w:color="auto"/>
            </w:tcBorders>
            <w:hideMark/>
          </w:tcPr>
          <w:p w14:paraId="15630A8E" w14:textId="77777777" w:rsidR="002A6B8B" w:rsidRDefault="002A6B8B" w:rsidP="00192530">
            <w:pPr>
              <w:jc w:val="right"/>
            </w:pPr>
            <w:r>
              <w:t>443.3</w:t>
            </w:r>
          </w:p>
        </w:tc>
      </w:tr>
      <w:tr w:rsidR="002A6B8B" w14:paraId="65D7DD67"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63B6BEFD" w14:textId="77777777" w:rsidR="002A6B8B" w:rsidRDefault="002A6B8B" w:rsidP="00192530">
            <w:r>
              <w:t>Sheep meat and goat meat</w:t>
            </w:r>
          </w:p>
        </w:tc>
        <w:tc>
          <w:tcPr>
            <w:tcW w:w="1701" w:type="dxa"/>
            <w:tcBorders>
              <w:top w:val="single" w:sz="4" w:space="0" w:color="auto"/>
              <w:left w:val="single" w:sz="4" w:space="0" w:color="auto"/>
              <w:bottom w:val="single" w:sz="4" w:space="0" w:color="auto"/>
              <w:right w:val="single" w:sz="4" w:space="0" w:color="auto"/>
            </w:tcBorders>
            <w:hideMark/>
          </w:tcPr>
          <w:p w14:paraId="74C9D01D" w14:textId="77777777" w:rsidR="002A6B8B" w:rsidRDefault="002A6B8B" w:rsidP="00192530">
            <w:pPr>
              <w:jc w:val="center"/>
            </w:pPr>
            <w:r>
              <w:t>12% + 140-260 GBP/100kg</w:t>
            </w:r>
          </w:p>
        </w:tc>
        <w:tc>
          <w:tcPr>
            <w:tcW w:w="2500" w:type="dxa"/>
            <w:tcBorders>
              <w:top w:val="single" w:sz="4" w:space="0" w:color="auto"/>
              <w:left w:val="single" w:sz="4" w:space="0" w:color="auto"/>
              <w:bottom w:val="single" w:sz="4" w:space="0" w:color="auto"/>
              <w:right w:val="single" w:sz="4" w:space="0" w:color="auto"/>
            </w:tcBorders>
            <w:hideMark/>
          </w:tcPr>
          <w:p w14:paraId="7D41F16D" w14:textId="77777777" w:rsidR="002A6B8B" w:rsidRDefault="002A6B8B" w:rsidP="00192530">
            <w:pPr>
              <w:jc w:val="right"/>
            </w:pPr>
            <w:r>
              <w:t>78.9</w:t>
            </w:r>
          </w:p>
        </w:tc>
      </w:tr>
      <w:tr w:rsidR="002A6B8B" w14:paraId="4004B0B2"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2555AD88" w14:textId="77777777" w:rsidR="002A6B8B" w:rsidRDefault="002A6B8B" w:rsidP="00192530">
            <w:r>
              <w:t>Parts and accessories of motor vehicles</w:t>
            </w:r>
          </w:p>
        </w:tc>
        <w:tc>
          <w:tcPr>
            <w:tcW w:w="1701" w:type="dxa"/>
            <w:tcBorders>
              <w:top w:val="single" w:sz="4" w:space="0" w:color="auto"/>
              <w:left w:val="single" w:sz="4" w:space="0" w:color="auto"/>
              <w:bottom w:val="single" w:sz="4" w:space="0" w:color="auto"/>
              <w:right w:val="single" w:sz="4" w:space="0" w:color="auto"/>
            </w:tcBorders>
            <w:hideMark/>
          </w:tcPr>
          <w:p w14:paraId="62EF1092" w14:textId="77777777" w:rsidR="002A6B8B" w:rsidRDefault="002A6B8B" w:rsidP="00192530">
            <w:pPr>
              <w:jc w:val="center"/>
            </w:pPr>
            <w:r>
              <w:t>2% or 4%</w:t>
            </w:r>
          </w:p>
        </w:tc>
        <w:tc>
          <w:tcPr>
            <w:tcW w:w="2500" w:type="dxa"/>
            <w:tcBorders>
              <w:top w:val="single" w:sz="4" w:space="0" w:color="auto"/>
              <w:left w:val="single" w:sz="4" w:space="0" w:color="auto"/>
              <w:bottom w:val="single" w:sz="4" w:space="0" w:color="auto"/>
              <w:right w:val="single" w:sz="4" w:space="0" w:color="auto"/>
            </w:tcBorders>
            <w:hideMark/>
          </w:tcPr>
          <w:p w14:paraId="085BACE6" w14:textId="77777777" w:rsidR="002A6B8B" w:rsidRDefault="002A6B8B" w:rsidP="00192530">
            <w:pPr>
              <w:jc w:val="right"/>
            </w:pPr>
            <w:r>
              <w:t>36.5</w:t>
            </w:r>
          </w:p>
        </w:tc>
      </w:tr>
      <w:tr w:rsidR="002A6B8B" w14:paraId="3F616AD4"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0EFB7EE6" w14:textId="77777777" w:rsidR="002A6B8B" w:rsidRDefault="002A6B8B" w:rsidP="00192530">
            <w:r>
              <w:t>Beef</w:t>
            </w:r>
          </w:p>
        </w:tc>
        <w:tc>
          <w:tcPr>
            <w:tcW w:w="1701" w:type="dxa"/>
            <w:tcBorders>
              <w:top w:val="single" w:sz="4" w:space="0" w:color="auto"/>
              <w:left w:val="single" w:sz="4" w:space="0" w:color="auto"/>
              <w:bottom w:val="single" w:sz="4" w:space="0" w:color="auto"/>
              <w:right w:val="single" w:sz="4" w:space="0" w:color="auto"/>
            </w:tcBorders>
            <w:hideMark/>
          </w:tcPr>
          <w:p w14:paraId="613FF60D" w14:textId="77777777" w:rsidR="002A6B8B" w:rsidRDefault="002A6B8B" w:rsidP="00192530">
            <w:pPr>
              <w:jc w:val="center"/>
            </w:pPr>
            <w:r>
              <w:t>12% + 253 GBP/100kg</w:t>
            </w:r>
          </w:p>
        </w:tc>
        <w:tc>
          <w:tcPr>
            <w:tcW w:w="2500" w:type="dxa"/>
            <w:tcBorders>
              <w:top w:val="single" w:sz="4" w:space="0" w:color="auto"/>
              <w:left w:val="single" w:sz="4" w:space="0" w:color="auto"/>
              <w:bottom w:val="single" w:sz="4" w:space="0" w:color="auto"/>
              <w:right w:val="single" w:sz="4" w:space="0" w:color="auto"/>
            </w:tcBorders>
            <w:hideMark/>
          </w:tcPr>
          <w:p w14:paraId="6DCF28E9" w14:textId="77777777" w:rsidR="002A6B8B" w:rsidRDefault="002A6B8B" w:rsidP="00192530">
            <w:pPr>
              <w:jc w:val="right"/>
            </w:pPr>
            <w:r>
              <w:t>32.5</w:t>
            </w:r>
          </w:p>
        </w:tc>
      </w:tr>
      <w:tr w:rsidR="002A6B8B" w14:paraId="6E7E5C5F"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174C2E58" w14:textId="77777777" w:rsidR="002A6B8B" w:rsidRDefault="002A6B8B" w:rsidP="00192530">
            <w:r>
              <w:t>Electrical machines and apparatus, having individual functions</w:t>
            </w:r>
          </w:p>
        </w:tc>
        <w:tc>
          <w:tcPr>
            <w:tcW w:w="1701" w:type="dxa"/>
            <w:tcBorders>
              <w:top w:val="single" w:sz="4" w:space="0" w:color="auto"/>
              <w:left w:val="single" w:sz="4" w:space="0" w:color="auto"/>
              <w:bottom w:val="single" w:sz="4" w:space="0" w:color="auto"/>
              <w:right w:val="single" w:sz="4" w:space="0" w:color="auto"/>
            </w:tcBorders>
            <w:hideMark/>
          </w:tcPr>
          <w:p w14:paraId="609AABF3"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28C37C25" w14:textId="77777777" w:rsidR="002A6B8B" w:rsidRDefault="002A6B8B" w:rsidP="00192530">
            <w:pPr>
              <w:jc w:val="right"/>
            </w:pPr>
            <w:r>
              <w:t>31.2</w:t>
            </w:r>
          </w:p>
        </w:tc>
      </w:tr>
      <w:tr w:rsidR="002A6B8B" w14:paraId="771E7FEB"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00AAACEA" w14:textId="77777777" w:rsidR="002A6B8B" w:rsidRDefault="002A6B8B" w:rsidP="00192530">
            <w:r>
              <w:t>Electric instantaneous water heaters</w:t>
            </w:r>
          </w:p>
        </w:tc>
        <w:tc>
          <w:tcPr>
            <w:tcW w:w="1701" w:type="dxa"/>
            <w:tcBorders>
              <w:top w:val="single" w:sz="4" w:space="0" w:color="auto"/>
              <w:left w:val="single" w:sz="4" w:space="0" w:color="auto"/>
              <w:bottom w:val="single" w:sz="4" w:space="0" w:color="auto"/>
              <w:right w:val="single" w:sz="4" w:space="0" w:color="auto"/>
            </w:tcBorders>
            <w:hideMark/>
          </w:tcPr>
          <w:p w14:paraId="2EB83EFD"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6D55294E" w14:textId="77777777" w:rsidR="002A6B8B" w:rsidRDefault="002A6B8B" w:rsidP="00192530">
            <w:pPr>
              <w:jc w:val="right"/>
            </w:pPr>
            <w:r>
              <w:t>22.3</w:t>
            </w:r>
          </w:p>
        </w:tc>
      </w:tr>
      <w:tr w:rsidR="002A6B8B" w14:paraId="4FAD169A"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681E563A" w14:textId="77777777" w:rsidR="002A6B8B" w:rsidRDefault="002A6B8B" w:rsidP="00192530">
            <w:r>
              <w:t>Electric lighting or visual signalling equipment of a kind used for bicycles</w:t>
            </w:r>
          </w:p>
        </w:tc>
        <w:tc>
          <w:tcPr>
            <w:tcW w:w="1701" w:type="dxa"/>
            <w:tcBorders>
              <w:top w:val="single" w:sz="4" w:space="0" w:color="auto"/>
              <w:left w:val="single" w:sz="4" w:space="0" w:color="auto"/>
              <w:bottom w:val="single" w:sz="4" w:space="0" w:color="auto"/>
              <w:right w:val="single" w:sz="4" w:space="0" w:color="auto"/>
            </w:tcBorders>
            <w:hideMark/>
          </w:tcPr>
          <w:p w14:paraId="6EDED2A6"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75441380" w14:textId="77777777" w:rsidR="002A6B8B" w:rsidRDefault="002A6B8B" w:rsidP="00192530">
            <w:pPr>
              <w:jc w:val="right"/>
            </w:pPr>
            <w:r>
              <w:t>16.9</w:t>
            </w:r>
          </w:p>
        </w:tc>
      </w:tr>
      <w:tr w:rsidR="002A6B8B" w14:paraId="13B4DB49"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3E48EA96" w14:textId="77777777" w:rsidR="002A6B8B" w:rsidRDefault="002A6B8B" w:rsidP="00192530">
            <w:r>
              <w:lastRenderedPageBreak/>
              <w:t>Plates, sheets, etc, of non-cellular polymers of ethylene, not reinforced</w:t>
            </w:r>
          </w:p>
        </w:tc>
        <w:tc>
          <w:tcPr>
            <w:tcW w:w="1701" w:type="dxa"/>
            <w:tcBorders>
              <w:top w:val="single" w:sz="4" w:space="0" w:color="auto"/>
              <w:left w:val="single" w:sz="4" w:space="0" w:color="auto"/>
              <w:bottom w:val="single" w:sz="4" w:space="0" w:color="auto"/>
              <w:right w:val="single" w:sz="4" w:space="0" w:color="auto"/>
            </w:tcBorders>
            <w:hideMark/>
          </w:tcPr>
          <w:p w14:paraId="0E5C51C4" w14:textId="77777777" w:rsidR="002A6B8B" w:rsidRDefault="002A6B8B" w:rsidP="00192530">
            <w:pPr>
              <w:jc w:val="center"/>
            </w:pPr>
            <w:r>
              <w:t>6%</w:t>
            </w:r>
          </w:p>
        </w:tc>
        <w:tc>
          <w:tcPr>
            <w:tcW w:w="2500" w:type="dxa"/>
            <w:tcBorders>
              <w:top w:val="single" w:sz="4" w:space="0" w:color="auto"/>
              <w:left w:val="single" w:sz="4" w:space="0" w:color="auto"/>
              <w:bottom w:val="single" w:sz="4" w:space="0" w:color="auto"/>
              <w:right w:val="single" w:sz="4" w:space="0" w:color="auto"/>
            </w:tcBorders>
            <w:hideMark/>
          </w:tcPr>
          <w:p w14:paraId="06B97472" w14:textId="77777777" w:rsidR="002A6B8B" w:rsidRDefault="002A6B8B" w:rsidP="00192530">
            <w:pPr>
              <w:jc w:val="right"/>
            </w:pPr>
            <w:r>
              <w:t>14.8</w:t>
            </w:r>
          </w:p>
        </w:tc>
      </w:tr>
      <w:tr w:rsidR="002A6B8B" w14:paraId="5B33BD20"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1C4D36E5" w14:textId="77777777" w:rsidR="002A6B8B" w:rsidRDefault="002A6B8B" w:rsidP="00192530">
            <w:r>
              <w:t>Inedible mixtures or preparations of animal or of animal and vegetable fats and oils</w:t>
            </w:r>
          </w:p>
        </w:tc>
        <w:tc>
          <w:tcPr>
            <w:tcW w:w="1701" w:type="dxa"/>
            <w:tcBorders>
              <w:top w:val="single" w:sz="4" w:space="0" w:color="auto"/>
              <w:left w:val="single" w:sz="4" w:space="0" w:color="auto"/>
              <w:bottom w:val="single" w:sz="4" w:space="0" w:color="auto"/>
              <w:right w:val="single" w:sz="4" w:space="0" w:color="auto"/>
            </w:tcBorders>
            <w:hideMark/>
          </w:tcPr>
          <w:p w14:paraId="593FAB95"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7AA65C66" w14:textId="77777777" w:rsidR="002A6B8B" w:rsidRDefault="002A6B8B" w:rsidP="00192530">
            <w:pPr>
              <w:jc w:val="right"/>
            </w:pPr>
            <w:r>
              <w:t>13.4</w:t>
            </w:r>
          </w:p>
        </w:tc>
      </w:tr>
      <w:tr w:rsidR="002A6B8B" w14:paraId="14B6ED12"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6AEB4911" w14:textId="77777777" w:rsidR="002A6B8B" w:rsidRDefault="002A6B8B" w:rsidP="00192530">
            <w:r>
              <w:t xml:space="preserve">Palm oil and its liquid fractions, </w:t>
            </w:r>
            <w:proofErr w:type="gramStart"/>
            <w:r>
              <w:t>whether or not</w:t>
            </w:r>
            <w:proofErr w:type="gramEnd"/>
            <w:r>
              <w:t xml:space="preserve"> refined, but not chemically modified</w:t>
            </w:r>
          </w:p>
        </w:tc>
        <w:tc>
          <w:tcPr>
            <w:tcW w:w="1701" w:type="dxa"/>
            <w:tcBorders>
              <w:top w:val="single" w:sz="4" w:space="0" w:color="auto"/>
              <w:left w:val="single" w:sz="4" w:space="0" w:color="auto"/>
              <w:bottom w:val="single" w:sz="4" w:space="0" w:color="auto"/>
              <w:right w:val="single" w:sz="4" w:space="0" w:color="auto"/>
            </w:tcBorders>
            <w:hideMark/>
          </w:tcPr>
          <w:p w14:paraId="5F5F0636" w14:textId="77777777" w:rsidR="002A6B8B" w:rsidRDefault="002A6B8B" w:rsidP="00192530">
            <w:pPr>
              <w:jc w:val="center"/>
            </w:pPr>
            <w:r>
              <w:t>8%</w:t>
            </w:r>
          </w:p>
        </w:tc>
        <w:tc>
          <w:tcPr>
            <w:tcW w:w="2500" w:type="dxa"/>
            <w:tcBorders>
              <w:top w:val="single" w:sz="4" w:space="0" w:color="auto"/>
              <w:left w:val="single" w:sz="4" w:space="0" w:color="auto"/>
              <w:bottom w:val="single" w:sz="4" w:space="0" w:color="auto"/>
              <w:right w:val="single" w:sz="4" w:space="0" w:color="auto"/>
            </w:tcBorders>
            <w:hideMark/>
          </w:tcPr>
          <w:p w14:paraId="5B7E3B54" w14:textId="77777777" w:rsidR="002A6B8B" w:rsidRDefault="002A6B8B" w:rsidP="00192530">
            <w:pPr>
              <w:jc w:val="right"/>
            </w:pPr>
            <w:r>
              <w:t>13.3</w:t>
            </w:r>
          </w:p>
        </w:tc>
      </w:tr>
      <w:tr w:rsidR="002A6B8B" w14:paraId="7B583984"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48B18010" w14:textId="77777777" w:rsidR="002A6B8B" w:rsidRDefault="002A6B8B" w:rsidP="00192530">
            <w:r>
              <w:t>Motor cars and other passenger motor vehicles (for less than 10 persons)</w:t>
            </w:r>
          </w:p>
        </w:tc>
        <w:tc>
          <w:tcPr>
            <w:tcW w:w="1701" w:type="dxa"/>
            <w:tcBorders>
              <w:top w:val="single" w:sz="4" w:space="0" w:color="auto"/>
              <w:left w:val="single" w:sz="4" w:space="0" w:color="auto"/>
              <w:bottom w:val="single" w:sz="4" w:space="0" w:color="auto"/>
              <w:right w:val="single" w:sz="4" w:space="0" w:color="auto"/>
            </w:tcBorders>
            <w:hideMark/>
          </w:tcPr>
          <w:p w14:paraId="5C8ACC50" w14:textId="77777777" w:rsidR="002A6B8B" w:rsidRDefault="002A6B8B" w:rsidP="00192530">
            <w:pPr>
              <w:jc w:val="center"/>
            </w:pPr>
            <w:r>
              <w:t>10%</w:t>
            </w:r>
          </w:p>
        </w:tc>
        <w:tc>
          <w:tcPr>
            <w:tcW w:w="2500" w:type="dxa"/>
            <w:tcBorders>
              <w:top w:val="single" w:sz="4" w:space="0" w:color="auto"/>
              <w:left w:val="single" w:sz="4" w:space="0" w:color="auto"/>
              <w:bottom w:val="single" w:sz="4" w:space="0" w:color="auto"/>
              <w:right w:val="single" w:sz="4" w:space="0" w:color="auto"/>
            </w:tcBorders>
            <w:hideMark/>
          </w:tcPr>
          <w:p w14:paraId="53CD057C" w14:textId="77777777" w:rsidR="002A6B8B" w:rsidRDefault="002A6B8B" w:rsidP="00192530">
            <w:pPr>
              <w:jc w:val="right"/>
            </w:pPr>
            <w:r>
              <w:t>10.8</w:t>
            </w:r>
          </w:p>
        </w:tc>
      </w:tr>
      <w:tr w:rsidR="002A6B8B" w14:paraId="45D3CA8D"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02A36422" w14:textId="77777777" w:rsidR="002A6B8B" w:rsidRDefault="002A6B8B" w:rsidP="00192530">
            <w:r>
              <w:t>Almonds (excl. bitter), shelled</w:t>
            </w:r>
          </w:p>
        </w:tc>
        <w:tc>
          <w:tcPr>
            <w:tcW w:w="1701" w:type="dxa"/>
            <w:tcBorders>
              <w:top w:val="single" w:sz="4" w:space="0" w:color="auto"/>
              <w:left w:val="single" w:sz="4" w:space="0" w:color="auto"/>
              <w:bottom w:val="single" w:sz="4" w:space="0" w:color="auto"/>
              <w:right w:val="single" w:sz="4" w:space="0" w:color="auto"/>
            </w:tcBorders>
            <w:hideMark/>
          </w:tcPr>
          <w:p w14:paraId="51452479"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649511AB" w14:textId="77777777" w:rsidR="002A6B8B" w:rsidRDefault="002A6B8B" w:rsidP="00192530">
            <w:pPr>
              <w:jc w:val="right"/>
            </w:pPr>
            <w:r>
              <w:t>9.2</w:t>
            </w:r>
          </w:p>
        </w:tc>
      </w:tr>
      <w:tr w:rsidR="002A6B8B" w14:paraId="007C33D0"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690E5F9B" w14:textId="77777777" w:rsidR="002A6B8B" w:rsidRDefault="002A6B8B" w:rsidP="00192530">
            <w:r>
              <w:t>Copper oxides and hydroxides</w:t>
            </w:r>
          </w:p>
        </w:tc>
        <w:tc>
          <w:tcPr>
            <w:tcW w:w="1701" w:type="dxa"/>
            <w:tcBorders>
              <w:top w:val="single" w:sz="4" w:space="0" w:color="auto"/>
              <w:left w:val="single" w:sz="4" w:space="0" w:color="auto"/>
              <w:bottom w:val="single" w:sz="4" w:space="0" w:color="auto"/>
              <w:right w:val="single" w:sz="4" w:space="0" w:color="auto"/>
            </w:tcBorders>
            <w:hideMark/>
          </w:tcPr>
          <w:p w14:paraId="6776BC16"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511A7EB8" w14:textId="77777777" w:rsidR="002A6B8B" w:rsidRDefault="002A6B8B" w:rsidP="00192530">
            <w:pPr>
              <w:jc w:val="right"/>
            </w:pPr>
            <w:r>
              <w:t>9.1</w:t>
            </w:r>
          </w:p>
        </w:tc>
      </w:tr>
      <w:tr w:rsidR="002A6B8B" w14:paraId="0D9499E3"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37DC534F" w14:textId="77777777" w:rsidR="002A6B8B" w:rsidRDefault="002A6B8B" w:rsidP="00192530">
            <w:r>
              <w:t>Regulating or controlling instruments and apparatus (excl. hydraulic or pneumatic,</w:t>
            </w:r>
          </w:p>
          <w:p w14:paraId="1A74BFA4" w14:textId="77777777" w:rsidR="002A6B8B" w:rsidRDefault="002A6B8B" w:rsidP="00192530">
            <w:proofErr w:type="spellStart"/>
            <w:r>
              <w:t>manostats</w:t>
            </w:r>
            <w:proofErr w:type="spellEnd"/>
            <w:r>
              <w:t>, thermostats)</w:t>
            </w:r>
          </w:p>
        </w:tc>
        <w:tc>
          <w:tcPr>
            <w:tcW w:w="1701" w:type="dxa"/>
            <w:tcBorders>
              <w:top w:val="single" w:sz="4" w:space="0" w:color="auto"/>
              <w:left w:val="single" w:sz="4" w:space="0" w:color="auto"/>
              <w:bottom w:val="single" w:sz="4" w:space="0" w:color="auto"/>
              <w:right w:val="single" w:sz="4" w:space="0" w:color="auto"/>
            </w:tcBorders>
            <w:hideMark/>
          </w:tcPr>
          <w:p w14:paraId="0BE8AF87"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78A28350" w14:textId="77777777" w:rsidR="002A6B8B" w:rsidRDefault="002A6B8B" w:rsidP="00192530">
            <w:pPr>
              <w:jc w:val="right"/>
            </w:pPr>
            <w:r>
              <w:t>8.9</w:t>
            </w:r>
          </w:p>
        </w:tc>
      </w:tr>
      <w:tr w:rsidR="002A6B8B" w14:paraId="00806F5F"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18E05CD4" w14:textId="77777777" w:rsidR="002A6B8B" w:rsidRDefault="002A6B8B" w:rsidP="00192530">
            <w:r>
              <w:t xml:space="preserve">Women's or girls' suits, jackets, blazers, dresses, skirts, trousers, </w:t>
            </w:r>
            <w:proofErr w:type="gramStart"/>
            <w:r>
              <w:t>overalls</w:t>
            </w:r>
            <w:proofErr w:type="gramEnd"/>
            <w:r>
              <w:t xml:space="preserve"> and shorts</w:t>
            </w:r>
          </w:p>
        </w:tc>
        <w:tc>
          <w:tcPr>
            <w:tcW w:w="1701" w:type="dxa"/>
            <w:tcBorders>
              <w:top w:val="single" w:sz="4" w:space="0" w:color="auto"/>
              <w:left w:val="single" w:sz="4" w:space="0" w:color="auto"/>
              <w:bottom w:val="single" w:sz="4" w:space="0" w:color="auto"/>
              <w:right w:val="single" w:sz="4" w:space="0" w:color="auto"/>
            </w:tcBorders>
            <w:hideMark/>
          </w:tcPr>
          <w:p w14:paraId="7255EFCE" w14:textId="77777777" w:rsidR="002A6B8B" w:rsidRDefault="002A6B8B" w:rsidP="00192530">
            <w:pPr>
              <w:jc w:val="center"/>
            </w:pPr>
            <w:r>
              <w:t>12%</w:t>
            </w:r>
          </w:p>
        </w:tc>
        <w:tc>
          <w:tcPr>
            <w:tcW w:w="2500" w:type="dxa"/>
            <w:tcBorders>
              <w:top w:val="single" w:sz="4" w:space="0" w:color="auto"/>
              <w:left w:val="single" w:sz="4" w:space="0" w:color="auto"/>
              <w:bottom w:val="single" w:sz="4" w:space="0" w:color="auto"/>
              <w:right w:val="single" w:sz="4" w:space="0" w:color="auto"/>
            </w:tcBorders>
            <w:hideMark/>
          </w:tcPr>
          <w:p w14:paraId="65DD93EA" w14:textId="77777777" w:rsidR="002A6B8B" w:rsidRDefault="002A6B8B" w:rsidP="00192530">
            <w:pPr>
              <w:jc w:val="right"/>
            </w:pPr>
            <w:r>
              <w:t>7.4</w:t>
            </w:r>
          </w:p>
        </w:tc>
      </w:tr>
      <w:tr w:rsidR="002A6B8B" w14:paraId="5EE8B387"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5A3D508C" w14:textId="77777777" w:rsidR="002A6B8B" w:rsidRDefault="002A6B8B" w:rsidP="00192530">
            <w:r>
              <w:t>Fittings (</w:t>
            </w:r>
            <w:proofErr w:type="gramStart"/>
            <w:r>
              <w:t>e.g.</w:t>
            </w:r>
            <w:proofErr w:type="gramEnd"/>
            <w:r>
              <w:t xml:space="preserve"> joints, elbows, flanges) of plastics, for tubes, pipes and hoses</w:t>
            </w:r>
          </w:p>
        </w:tc>
        <w:tc>
          <w:tcPr>
            <w:tcW w:w="1701" w:type="dxa"/>
            <w:tcBorders>
              <w:top w:val="single" w:sz="4" w:space="0" w:color="auto"/>
              <w:left w:val="single" w:sz="4" w:space="0" w:color="auto"/>
              <w:bottom w:val="single" w:sz="4" w:space="0" w:color="auto"/>
              <w:right w:val="single" w:sz="4" w:space="0" w:color="auto"/>
            </w:tcBorders>
            <w:hideMark/>
          </w:tcPr>
          <w:p w14:paraId="7D47FE2C" w14:textId="77777777" w:rsidR="002A6B8B" w:rsidRDefault="002A6B8B" w:rsidP="00192530">
            <w:pPr>
              <w:jc w:val="center"/>
            </w:pPr>
            <w:r>
              <w:t>6%</w:t>
            </w:r>
          </w:p>
        </w:tc>
        <w:tc>
          <w:tcPr>
            <w:tcW w:w="2500" w:type="dxa"/>
            <w:tcBorders>
              <w:top w:val="single" w:sz="4" w:space="0" w:color="auto"/>
              <w:left w:val="single" w:sz="4" w:space="0" w:color="auto"/>
              <w:bottom w:val="single" w:sz="4" w:space="0" w:color="auto"/>
              <w:right w:val="single" w:sz="4" w:space="0" w:color="auto"/>
            </w:tcBorders>
            <w:hideMark/>
          </w:tcPr>
          <w:p w14:paraId="4DEED831" w14:textId="77777777" w:rsidR="002A6B8B" w:rsidRDefault="002A6B8B" w:rsidP="00192530">
            <w:pPr>
              <w:jc w:val="right"/>
            </w:pPr>
            <w:r>
              <w:t>6.9</w:t>
            </w:r>
          </w:p>
        </w:tc>
      </w:tr>
      <w:tr w:rsidR="002A6B8B" w14:paraId="5D87F17B"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203C392E" w14:textId="77777777" w:rsidR="002A6B8B" w:rsidRDefault="002A6B8B" w:rsidP="00192530">
            <w:r>
              <w:t xml:space="preserve">Boards, </w:t>
            </w:r>
            <w:proofErr w:type="gramStart"/>
            <w:r>
              <w:t>cabinets</w:t>
            </w:r>
            <w:proofErr w:type="gramEnd"/>
            <w:r>
              <w:t xml:space="preserve"> and similar combinations of apparatus for electric control or the</w:t>
            </w:r>
          </w:p>
          <w:p w14:paraId="416A6C35" w14:textId="77777777" w:rsidR="002A6B8B" w:rsidRDefault="002A6B8B" w:rsidP="00192530">
            <w:r>
              <w:t>distribution of electricity, for a voltage &lt;= 1.000 V</w:t>
            </w:r>
          </w:p>
        </w:tc>
        <w:tc>
          <w:tcPr>
            <w:tcW w:w="1701" w:type="dxa"/>
            <w:tcBorders>
              <w:top w:val="single" w:sz="4" w:space="0" w:color="auto"/>
              <w:left w:val="single" w:sz="4" w:space="0" w:color="auto"/>
              <w:bottom w:val="single" w:sz="4" w:space="0" w:color="auto"/>
              <w:right w:val="single" w:sz="4" w:space="0" w:color="auto"/>
            </w:tcBorders>
            <w:hideMark/>
          </w:tcPr>
          <w:p w14:paraId="2AC60692"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09F6D64D" w14:textId="77777777" w:rsidR="002A6B8B" w:rsidRDefault="002A6B8B" w:rsidP="00192530">
            <w:pPr>
              <w:jc w:val="right"/>
            </w:pPr>
            <w:r>
              <w:t>6.8</w:t>
            </w:r>
          </w:p>
        </w:tc>
      </w:tr>
      <w:tr w:rsidR="002A6B8B" w14:paraId="30D3F882"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4347EDA6" w14:textId="77777777" w:rsidR="002A6B8B" w:rsidRDefault="002A6B8B" w:rsidP="00192530">
            <w:r>
              <w:t>Articles of plastics and articles of other materials</w:t>
            </w:r>
          </w:p>
        </w:tc>
        <w:tc>
          <w:tcPr>
            <w:tcW w:w="1701" w:type="dxa"/>
            <w:tcBorders>
              <w:top w:val="single" w:sz="4" w:space="0" w:color="auto"/>
              <w:left w:val="single" w:sz="4" w:space="0" w:color="auto"/>
              <w:bottom w:val="single" w:sz="4" w:space="0" w:color="auto"/>
              <w:right w:val="single" w:sz="4" w:space="0" w:color="auto"/>
            </w:tcBorders>
            <w:hideMark/>
          </w:tcPr>
          <w:p w14:paraId="3974DDB6" w14:textId="77777777" w:rsidR="002A6B8B" w:rsidRDefault="002A6B8B" w:rsidP="00192530">
            <w:pPr>
              <w:jc w:val="center"/>
            </w:pPr>
            <w:r>
              <w:t>6%</w:t>
            </w:r>
          </w:p>
        </w:tc>
        <w:tc>
          <w:tcPr>
            <w:tcW w:w="2500" w:type="dxa"/>
            <w:tcBorders>
              <w:top w:val="single" w:sz="4" w:space="0" w:color="auto"/>
              <w:left w:val="single" w:sz="4" w:space="0" w:color="auto"/>
              <w:bottom w:val="single" w:sz="4" w:space="0" w:color="auto"/>
              <w:right w:val="single" w:sz="4" w:space="0" w:color="auto"/>
            </w:tcBorders>
            <w:hideMark/>
          </w:tcPr>
          <w:p w14:paraId="536A51E1" w14:textId="77777777" w:rsidR="002A6B8B" w:rsidRDefault="002A6B8B" w:rsidP="00192530">
            <w:pPr>
              <w:jc w:val="right"/>
            </w:pPr>
            <w:r>
              <w:t>6.6</w:t>
            </w:r>
          </w:p>
        </w:tc>
      </w:tr>
      <w:tr w:rsidR="002A6B8B" w14:paraId="2C708CA4"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4EF16FEA" w14:textId="77777777" w:rsidR="002A6B8B" w:rsidRDefault="002A6B8B" w:rsidP="00192530">
            <w:r>
              <w:t>Electric conductors, for a voltage &lt;= 1.000 V, insulated, fitted with connectors</w:t>
            </w:r>
          </w:p>
        </w:tc>
        <w:tc>
          <w:tcPr>
            <w:tcW w:w="1701" w:type="dxa"/>
            <w:tcBorders>
              <w:top w:val="single" w:sz="4" w:space="0" w:color="auto"/>
              <w:left w:val="single" w:sz="4" w:space="0" w:color="auto"/>
              <w:bottom w:val="single" w:sz="4" w:space="0" w:color="auto"/>
              <w:right w:val="single" w:sz="4" w:space="0" w:color="auto"/>
            </w:tcBorders>
            <w:hideMark/>
          </w:tcPr>
          <w:p w14:paraId="1F5F31F0" w14:textId="77777777" w:rsidR="002A6B8B" w:rsidRDefault="002A6B8B" w:rsidP="00192530">
            <w:pPr>
              <w:jc w:val="center"/>
            </w:pPr>
            <w:r>
              <w:t>2%</w:t>
            </w:r>
          </w:p>
        </w:tc>
        <w:tc>
          <w:tcPr>
            <w:tcW w:w="2500" w:type="dxa"/>
            <w:tcBorders>
              <w:top w:val="single" w:sz="4" w:space="0" w:color="auto"/>
              <w:left w:val="single" w:sz="4" w:space="0" w:color="auto"/>
              <w:bottom w:val="single" w:sz="4" w:space="0" w:color="auto"/>
              <w:right w:val="single" w:sz="4" w:space="0" w:color="auto"/>
            </w:tcBorders>
            <w:hideMark/>
          </w:tcPr>
          <w:p w14:paraId="220B7412" w14:textId="77777777" w:rsidR="002A6B8B" w:rsidRDefault="002A6B8B" w:rsidP="00192530">
            <w:pPr>
              <w:jc w:val="right"/>
            </w:pPr>
            <w:r>
              <w:t>5.5</w:t>
            </w:r>
          </w:p>
        </w:tc>
      </w:tr>
      <w:tr w:rsidR="002A6B8B" w14:paraId="3A3A09F4"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74D02898" w14:textId="77777777" w:rsidR="002A6B8B" w:rsidRDefault="002A6B8B" w:rsidP="00192530">
            <w:r>
              <w:t>Food preparations not elsewhere specified or included (incl. food supplements)</w:t>
            </w:r>
          </w:p>
        </w:tc>
        <w:tc>
          <w:tcPr>
            <w:tcW w:w="1701" w:type="dxa"/>
            <w:tcBorders>
              <w:top w:val="single" w:sz="4" w:space="0" w:color="auto"/>
              <w:left w:val="single" w:sz="4" w:space="0" w:color="auto"/>
              <w:bottom w:val="single" w:sz="4" w:space="0" w:color="auto"/>
              <w:right w:val="single" w:sz="4" w:space="0" w:color="auto"/>
            </w:tcBorders>
            <w:hideMark/>
          </w:tcPr>
          <w:p w14:paraId="70B2582F" w14:textId="77777777" w:rsidR="002A6B8B" w:rsidRDefault="002A6B8B" w:rsidP="00192530">
            <w:pPr>
              <w:jc w:val="center"/>
            </w:pPr>
            <w:r>
              <w:t>8% or 12%</w:t>
            </w:r>
          </w:p>
        </w:tc>
        <w:tc>
          <w:tcPr>
            <w:tcW w:w="2500" w:type="dxa"/>
            <w:tcBorders>
              <w:top w:val="single" w:sz="4" w:space="0" w:color="auto"/>
              <w:left w:val="single" w:sz="4" w:space="0" w:color="auto"/>
              <w:bottom w:val="single" w:sz="4" w:space="0" w:color="auto"/>
              <w:right w:val="single" w:sz="4" w:space="0" w:color="auto"/>
            </w:tcBorders>
            <w:hideMark/>
          </w:tcPr>
          <w:p w14:paraId="04EE04C7" w14:textId="77777777" w:rsidR="002A6B8B" w:rsidRDefault="002A6B8B" w:rsidP="00192530">
            <w:pPr>
              <w:jc w:val="right"/>
            </w:pPr>
            <w:r>
              <w:t>4.0</w:t>
            </w:r>
          </w:p>
        </w:tc>
      </w:tr>
    </w:tbl>
    <w:p w14:paraId="3CAD9E73" w14:textId="0F29F403" w:rsidR="00BA60E2" w:rsidRDefault="00BA60E2" w:rsidP="00BA60E2">
      <w:pPr>
        <w:pStyle w:val="CommentText"/>
        <w:rPr>
          <w:highlight w:val="yellow"/>
        </w:rPr>
      </w:pPr>
    </w:p>
    <w:p w14:paraId="6CC3C43B" w14:textId="76A52E39" w:rsidR="002D4F58" w:rsidRPr="005A7FBF" w:rsidRDefault="00D06256" w:rsidP="00BA60E2">
      <w:pPr>
        <w:pStyle w:val="ListParagraph"/>
        <w:numPr>
          <w:ilvl w:val="0"/>
          <w:numId w:val="1"/>
        </w:numPr>
        <w:ind w:left="567" w:hanging="567"/>
        <w:rPr>
          <w:sz w:val="24"/>
          <w:szCs w:val="24"/>
        </w:rPr>
      </w:pPr>
      <w:bookmarkStart w:id="20" w:name="_Hlk84599784"/>
      <w:r>
        <w:rPr>
          <w:sz w:val="24"/>
          <w:szCs w:val="24"/>
        </w:rPr>
        <w:t xml:space="preserve">For a very limited </w:t>
      </w:r>
      <w:r w:rsidRPr="00D06256">
        <w:rPr>
          <w:sz w:val="24"/>
          <w:szCs w:val="24"/>
        </w:rPr>
        <w:t xml:space="preserve">number of products </w:t>
      </w:r>
      <w:r w:rsidR="00C34C57">
        <w:rPr>
          <w:sz w:val="24"/>
          <w:szCs w:val="24"/>
        </w:rPr>
        <w:t>–</w:t>
      </w:r>
      <w:r w:rsidRPr="00D06256">
        <w:rPr>
          <w:sz w:val="24"/>
          <w:szCs w:val="24"/>
        </w:rPr>
        <w:t xml:space="preserve"> </w:t>
      </w:r>
      <w:r w:rsidRPr="005A19C1">
        <w:rPr>
          <w:sz w:val="24"/>
          <w:szCs w:val="24"/>
        </w:rPr>
        <w:t>103</w:t>
      </w:r>
      <w:r w:rsidR="00C34C57" w:rsidRPr="005A19C1">
        <w:rPr>
          <w:sz w:val="24"/>
          <w:szCs w:val="24"/>
        </w:rPr>
        <w:t xml:space="preserve"> </w:t>
      </w:r>
      <w:r w:rsidRPr="005A19C1">
        <w:rPr>
          <w:sz w:val="24"/>
          <w:szCs w:val="24"/>
        </w:rPr>
        <w:t xml:space="preserve">lines in total </w:t>
      </w:r>
      <w:r w:rsidR="00812812" w:rsidRPr="005A19C1">
        <w:rPr>
          <w:sz w:val="24"/>
          <w:szCs w:val="24"/>
        </w:rPr>
        <w:t>comprising long grain rice, poultry, pork, processed meats, and eggs – the UK has not offered to eliminate tariffs.</w:t>
      </w:r>
      <w:r w:rsidR="00812812" w:rsidRPr="00D06256">
        <w:rPr>
          <w:sz w:val="24"/>
          <w:szCs w:val="24"/>
        </w:rPr>
        <w:t xml:space="preserve"> </w:t>
      </w:r>
    </w:p>
    <w:p w14:paraId="43747A4B" w14:textId="4094DF9C" w:rsidR="00117D95" w:rsidRPr="00675DF9" w:rsidRDefault="00BA60E2" w:rsidP="00675DF9">
      <w:pPr>
        <w:rPr>
          <w:rFonts w:cstheme="minorHAnsi"/>
          <w:b/>
          <w:bCs/>
          <w:i/>
          <w:iCs/>
          <w:sz w:val="24"/>
          <w:szCs w:val="24"/>
        </w:rPr>
      </w:pPr>
      <w:bookmarkStart w:id="21" w:name="_Hlk83037320"/>
      <w:bookmarkEnd w:id="20"/>
      <w:r w:rsidRPr="00F6614E">
        <w:rPr>
          <w:rFonts w:cstheme="minorHAnsi"/>
          <w:b/>
          <w:bCs/>
          <w:i/>
          <w:iCs/>
          <w:sz w:val="24"/>
          <w:szCs w:val="24"/>
        </w:rPr>
        <w:t xml:space="preserve">Wine </w:t>
      </w:r>
    </w:p>
    <w:p w14:paraId="57E31552" w14:textId="77777777" w:rsidR="00675DF9" w:rsidRPr="002A4B6E" w:rsidRDefault="00675DF9" w:rsidP="00675DF9">
      <w:pPr>
        <w:pStyle w:val="ListParagraph"/>
        <w:rPr>
          <w:rFonts w:cstheme="minorHAnsi"/>
        </w:rPr>
      </w:pPr>
    </w:p>
    <w:p w14:paraId="7BA81E3D" w14:textId="0CB9F414" w:rsidR="00675DF9" w:rsidRPr="002A4B6E" w:rsidRDefault="00675DF9" w:rsidP="00675DF9">
      <w:pPr>
        <w:pStyle w:val="ListParagraph"/>
        <w:numPr>
          <w:ilvl w:val="0"/>
          <w:numId w:val="1"/>
        </w:numPr>
        <w:ind w:left="567" w:hanging="567"/>
        <w:rPr>
          <w:rFonts w:cstheme="minorHAnsi"/>
          <w:sz w:val="24"/>
          <w:szCs w:val="24"/>
          <w:lang w:val="en-GB"/>
        </w:rPr>
      </w:pPr>
      <w:r w:rsidRPr="001A207A">
        <w:rPr>
          <w:sz w:val="24"/>
          <w:szCs w:val="24"/>
        </w:rPr>
        <w:t>Currently</w:t>
      </w:r>
      <w:r w:rsidRPr="002A4B6E">
        <w:rPr>
          <w:rFonts w:cstheme="minorHAnsi"/>
          <w:sz w:val="24"/>
          <w:szCs w:val="24"/>
          <w:lang w:val="en-GB"/>
        </w:rPr>
        <w:t>, wine is Australia’s largest dutiable export to the UK by value, with exports valued at A$443 million per annum in the period 2017-19. Current UK tariffs on Australian wine range between Great British Pound (GBP)</w:t>
      </w:r>
      <w:r w:rsidR="00056035">
        <w:rPr>
          <w:rFonts w:cstheme="minorHAnsi"/>
          <w:sz w:val="24"/>
          <w:szCs w:val="24"/>
          <w:lang w:val="en-GB"/>
        </w:rPr>
        <w:t xml:space="preserve"> </w:t>
      </w:r>
      <w:r w:rsidRPr="002A4B6E">
        <w:rPr>
          <w:rFonts w:cstheme="minorHAnsi"/>
          <w:sz w:val="24"/>
          <w:szCs w:val="24"/>
          <w:lang w:val="en-GB"/>
        </w:rPr>
        <w:t xml:space="preserve">10 and 26 per hectolitre, equating to customs duties of around A$43 million each year, or an ad valorem equivalent of around 10 per cent. The UK will eliminate these tariffs immediately on entry into force. </w:t>
      </w:r>
    </w:p>
    <w:p w14:paraId="70542551" w14:textId="77777777" w:rsidR="00B9094D" w:rsidRPr="002A4B6E" w:rsidRDefault="00B9094D" w:rsidP="00B9094D">
      <w:pPr>
        <w:pStyle w:val="ListParagraph"/>
        <w:ind w:left="567"/>
        <w:rPr>
          <w:rFonts w:cstheme="minorHAnsi"/>
          <w:sz w:val="24"/>
          <w:szCs w:val="24"/>
          <w:lang w:val="en-GB"/>
        </w:rPr>
      </w:pPr>
    </w:p>
    <w:bookmarkEnd w:id="21"/>
    <w:p w14:paraId="0C4A12AB" w14:textId="0BCFCD1E" w:rsidR="001A207A" w:rsidRPr="001A207A" w:rsidRDefault="001A207A" w:rsidP="001A207A">
      <w:pPr>
        <w:pStyle w:val="ListParagraph"/>
        <w:numPr>
          <w:ilvl w:val="0"/>
          <w:numId w:val="1"/>
        </w:numPr>
        <w:ind w:left="567" w:hanging="567"/>
        <w:rPr>
          <w:rFonts w:cstheme="minorHAnsi"/>
        </w:rPr>
      </w:pPr>
      <w:r w:rsidRPr="00365961">
        <w:rPr>
          <w:sz w:val="24"/>
          <w:szCs w:val="24"/>
        </w:rPr>
        <w:t xml:space="preserve">The full elimination of </w:t>
      </w:r>
      <w:r>
        <w:rPr>
          <w:sz w:val="24"/>
          <w:szCs w:val="24"/>
        </w:rPr>
        <w:t xml:space="preserve">these </w:t>
      </w:r>
      <w:r w:rsidRPr="00365961">
        <w:rPr>
          <w:sz w:val="24"/>
          <w:szCs w:val="24"/>
        </w:rPr>
        <w:t>tariffs under the A</w:t>
      </w:r>
      <w:r>
        <w:rPr>
          <w:sz w:val="24"/>
          <w:szCs w:val="24"/>
        </w:rPr>
        <w:t>U</w:t>
      </w:r>
      <w:r w:rsidRPr="00365961">
        <w:rPr>
          <w:sz w:val="24"/>
          <w:szCs w:val="24"/>
        </w:rPr>
        <w:t>-UK</w:t>
      </w:r>
      <w:r>
        <w:rPr>
          <w:sz w:val="24"/>
          <w:szCs w:val="24"/>
        </w:rPr>
        <w:t xml:space="preserve"> </w:t>
      </w:r>
      <w:r w:rsidRPr="00365961">
        <w:rPr>
          <w:sz w:val="24"/>
          <w:szCs w:val="24"/>
        </w:rPr>
        <w:t>FTA offers Australian wine producers an opportunity</w:t>
      </w:r>
      <w:r>
        <w:rPr>
          <w:sz w:val="24"/>
          <w:szCs w:val="24"/>
        </w:rPr>
        <w:t xml:space="preserve"> both</w:t>
      </w:r>
      <w:r w:rsidRPr="00365961">
        <w:rPr>
          <w:sz w:val="24"/>
          <w:szCs w:val="24"/>
        </w:rPr>
        <w:t xml:space="preserve"> </w:t>
      </w:r>
      <w:r>
        <w:rPr>
          <w:sz w:val="24"/>
          <w:szCs w:val="24"/>
        </w:rPr>
        <w:t xml:space="preserve">to </w:t>
      </w:r>
      <w:r w:rsidRPr="00365961">
        <w:rPr>
          <w:sz w:val="24"/>
          <w:szCs w:val="24"/>
        </w:rPr>
        <w:t xml:space="preserve">increase </w:t>
      </w:r>
      <w:r>
        <w:rPr>
          <w:sz w:val="24"/>
          <w:szCs w:val="24"/>
        </w:rPr>
        <w:t xml:space="preserve">their </w:t>
      </w:r>
      <w:r w:rsidRPr="00365961">
        <w:rPr>
          <w:sz w:val="24"/>
          <w:szCs w:val="24"/>
        </w:rPr>
        <w:t xml:space="preserve">profitability </w:t>
      </w:r>
      <w:r>
        <w:rPr>
          <w:sz w:val="24"/>
          <w:szCs w:val="24"/>
        </w:rPr>
        <w:t xml:space="preserve">and </w:t>
      </w:r>
      <w:r w:rsidRPr="00365961">
        <w:rPr>
          <w:sz w:val="24"/>
          <w:szCs w:val="24"/>
        </w:rPr>
        <w:t>expand existing trade</w:t>
      </w:r>
      <w:r>
        <w:rPr>
          <w:sz w:val="24"/>
          <w:szCs w:val="24"/>
        </w:rPr>
        <w:t xml:space="preserve"> by reducing financial costs and administrative burdens associated with exporting to the UK.</w:t>
      </w:r>
    </w:p>
    <w:p w14:paraId="23669B1B" w14:textId="77777777" w:rsidR="001A207A" w:rsidRPr="001A207A" w:rsidRDefault="001A207A" w:rsidP="001A207A">
      <w:pPr>
        <w:pStyle w:val="ListParagraph"/>
        <w:rPr>
          <w:rFonts w:cstheme="minorHAnsi"/>
        </w:rPr>
      </w:pPr>
    </w:p>
    <w:p w14:paraId="10BACEEA" w14:textId="163716AA" w:rsidR="001A207A" w:rsidRPr="001A207A" w:rsidRDefault="001A207A" w:rsidP="001A207A">
      <w:pPr>
        <w:pStyle w:val="ListParagraph"/>
        <w:numPr>
          <w:ilvl w:val="0"/>
          <w:numId w:val="1"/>
        </w:numPr>
        <w:ind w:left="567" w:hanging="567"/>
        <w:rPr>
          <w:rFonts w:cstheme="minorHAnsi"/>
        </w:rPr>
      </w:pPr>
      <w:r w:rsidRPr="001A207A">
        <w:rPr>
          <w:sz w:val="24"/>
          <w:szCs w:val="24"/>
        </w:rPr>
        <w:t>Providing</w:t>
      </w:r>
      <w:r w:rsidRPr="001A207A">
        <w:rPr>
          <w:rFonts w:cstheme="minorHAnsi"/>
          <w:sz w:val="24"/>
          <w:szCs w:val="24"/>
        </w:rPr>
        <w:t xml:space="preserve"> </w:t>
      </w:r>
      <w:r w:rsidRPr="001A207A">
        <w:rPr>
          <w:rFonts w:cstheme="minorHAnsi"/>
          <w:sz w:val="24"/>
          <w:szCs w:val="24"/>
          <w:lang w:val="en-GB"/>
        </w:rPr>
        <w:t>further</w:t>
      </w:r>
      <w:r w:rsidRPr="001A207A">
        <w:rPr>
          <w:rFonts w:cstheme="minorHAnsi"/>
          <w:sz w:val="24"/>
          <w:szCs w:val="24"/>
        </w:rPr>
        <w:t xml:space="preserve"> opportunities for Australian wine producers to diversify their export markets is vital. With reduced demand from China and other disruptions to the wine industry from the 2020 bushfires and the global pandemic, the UK has been an important driver of recovery for the Australian wine industry. Wine Australia </w:t>
      </w:r>
      <w:r w:rsidRPr="001A207A">
        <w:rPr>
          <w:rFonts w:cstheme="minorHAnsi"/>
          <w:sz w:val="24"/>
          <w:szCs w:val="24"/>
        </w:rPr>
        <w:lastRenderedPageBreak/>
        <w:t xml:space="preserve">estimates exports to the UK increased by 40 per cent to </w:t>
      </w:r>
      <w:r>
        <w:rPr>
          <w:rFonts w:cstheme="minorHAnsi"/>
          <w:sz w:val="24"/>
          <w:szCs w:val="24"/>
        </w:rPr>
        <w:t>A</w:t>
      </w:r>
      <w:r w:rsidRPr="001A207A">
        <w:rPr>
          <w:rFonts w:cstheme="minorHAnsi"/>
          <w:sz w:val="24"/>
          <w:szCs w:val="24"/>
        </w:rPr>
        <w:t xml:space="preserve">$255 million in the first half of the 2020-21 financial year and by 8 per cent to </w:t>
      </w:r>
      <w:r>
        <w:rPr>
          <w:rFonts w:cstheme="minorHAnsi"/>
          <w:sz w:val="24"/>
          <w:szCs w:val="24"/>
        </w:rPr>
        <w:t>A</w:t>
      </w:r>
      <w:r w:rsidRPr="001A207A">
        <w:rPr>
          <w:rFonts w:cstheme="minorHAnsi"/>
          <w:sz w:val="24"/>
          <w:szCs w:val="24"/>
        </w:rPr>
        <w:t>$218 million in the second half.</w:t>
      </w:r>
      <w:r>
        <w:rPr>
          <w:rStyle w:val="FootnoteReference"/>
          <w:rFonts w:cstheme="minorHAnsi"/>
          <w:sz w:val="24"/>
          <w:szCs w:val="24"/>
        </w:rPr>
        <w:footnoteReference w:id="23"/>
      </w:r>
      <w:r w:rsidRPr="001A207A">
        <w:rPr>
          <w:rFonts w:cstheme="minorHAnsi"/>
          <w:sz w:val="24"/>
          <w:szCs w:val="24"/>
        </w:rPr>
        <w:t xml:space="preserve"> </w:t>
      </w:r>
      <w:proofErr w:type="gramStart"/>
      <w:r w:rsidRPr="001A207A">
        <w:rPr>
          <w:rFonts w:cstheme="minorHAnsi"/>
          <w:sz w:val="24"/>
          <w:szCs w:val="24"/>
        </w:rPr>
        <w:t>This places</w:t>
      </w:r>
      <w:proofErr w:type="gramEnd"/>
      <w:r w:rsidRPr="001A207A">
        <w:rPr>
          <w:rFonts w:cstheme="minorHAnsi"/>
          <w:sz w:val="24"/>
          <w:szCs w:val="24"/>
        </w:rPr>
        <w:t xml:space="preserve"> the UK first in terms of destination for exports by volume (increasing by 16</w:t>
      </w:r>
      <w:r w:rsidR="00056035">
        <w:rPr>
          <w:rFonts w:cstheme="minorHAnsi"/>
          <w:sz w:val="24"/>
          <w:szCs w:val="24"/>
        </w:rPr>
        <w:t> </w:t>
      </w:r>
      <w:r w:rsidRPr="001A207A">
        <w:rPr>
          <w:rFonts w:cstheme="minorHAnsi"/>
          <w:sz w:val="24"/>
          <w:szCs w:val="24"/>
        </w:rPr>
        <w:t xml:space="preserve">per cent to 269 million [30 million 9-litre case equivalents] in 2020-21) and second by value (increasing by 23 per cent to </w:t>
      </w:r>
      <w:r>
        <w:rPr>
          <w:rFonts w:cstheme="minorHAnsi"/>
          <w:sz w:val="24"/>
          <w:szCs w:val="24"/>
        </w:rPr>
        <w:t>A</w:t>
      </w:r>
      <w:r w:rsidRPr="001A207A">
        <w:rPr>
          <w:rFonts w:cstheme="minorHAnsi"/>
          <w:sz w:val="24"/>
          <w:szCs w:val="24"/>
        </w:rPr>
        <w:t>$472 million and volume in 2020-21)</w:t>
      </w:r>
      <w:r>
        <w:rPr>
          <w:rStyle w:val="FootnoteReference"/>
          <w:rFonts w:cstheme="minorHAnsi"/>
          <w:sz w:val="24"/>
          <w:szCs w:val="24"/>
        </w:rPr>
        <w:footnoteReference w:id="24"/>
      </w:r>
      <w:r w:rsidRPr="001A207A">
        <w:rPr>
          <w:rFonts w:cstheme="minorHAnsi"/>
          <w:sz w:val="24"/>
          <w:szCs w:val="24"/>
        </w:rPr>
        <w:t xml:space="preserve">. </w:t>
      </w:r>
    </w:p>
    <w:p w14:paraId="69A0A199" w14:textId="77777777" w:rsidR="001A207A" w:rsidRDefault="001A207A" w:rsidP="001A207A">
      <w:pPr>
        <w:ind w:left="360"/>
        <w:rPr>
          <w:rFonts w:cstheme="minorHAnsi"/>
          <w:sz w:val="24"/>
          <w:szCs w:val="24"/>
        </w:rPr>
      </w:pPr>
    </w:p>
    <w:p w14:paraId="46F061A0" w14:textId="7FE25AD6" w:rsidR="00B202BE" w:rsidRPr="005A7FBF" w:rsidRDefault="001A207A" w:rsidP="00785A45">
      <w:pPr>
        <w:pStyle w:val="ListParagraph"/>
        <w:numPr>
          <w:ilvl w:val="0"/>
          <w:numId w:val="1"/>
        </w:numPr>
        <w:ind w:left="567" w:hanging="567"/>
        <w:rPr>
          <w:rFonts w:cstheme="minorHAnsi"/>
          <w:sz w:val="24"/>
          <w:szCs w:val="24"/>
        </w:rPr>
      </w:pPr>
      <w:r w:rsidRPr="001A207A">
        <w:rPr>
          <w:sz w:val="24"/>
          <w:szCs w:val="24"/>
        </w:rPr>
        <w:t>While</w:t>
      </w:r>
      <w:r>
        <w:rPr>
          <w:rFonts w:cstheme="minorHAnsi"/>
          <w:sz w:val="24"/>
          <w:szCs w:val="24"/>
        </w:rPr>
        <w:t xml:space="preserve"> this represents an encouraging area of growth, our overall wine exports by value and volume globally remain low (down 10 per cent in </w:t>
      </w:r>
      <w:r w:rsidRPr="00745F1E">
        <w:rPr>
          <w:rFonts w:cstheme="minorHAnsi"/>
          <w:sz w:val="24"/>
          <w:szCs w:val="24"/>
        </w:rPr>
        <w:t xml:space="preserve">value to </w:t>
      </w:r>
      <w:r>
        <w:rPr>
          <w:rFonts w:cstheme="minorHAnsi"/>
          <w:sz w:val="24"/>
          <w:szCs w:val="24"/>
        </w:rPr>
        <w:t>A</w:t>
      </w:r>
      <w:r w:rsidRPr="00745F1E">
        <w:rPr>
          <w:rFonts w:cstheme="minorHAnsi"/>
          <w:sz w:val="24"/>
          <w:szCs w:val="24"/>
        </w:rPr>
        <w:t xml:space="preserve">$2.56 billion, </w:t>
      </w:r>
      <w:r>
        <w:rPr>
          <w:rFonts w:cstheme="minorHAnsi"/>
          <w:sz w:val="24"/>
          <w:szCs w:val="24"/>
        </w:rPr>
        <w:t xml:space="preserve">and </w:t>
      </w:r>
      <w:r w:rsidRPr="00745F1E">
        <w:rPr>
          <w:rFonts w:cstheme="minorHAnsi"/>
          <w:sz w:val="24"/>
          <w:szCs w:val="24"/>
        </w:rPr>
        <w:t xml:space="preserve">5 per cent in volume to 695 million litres </w:t>
      </w:r>
      <w:r>
        <w:rPr>
          <w:rFonts w:cstheme="minorHAnsi"/>
          <w:sz w:val="24"/>
          <w:szCs w:val="24"/>
        </w:rPr>
        <w:t>[</w:t>
      </w:r>
      <w:r w:rsidRPr="00745F1E">
        <w:rPr>
          <w:rFonts w:cstheme="minorHAnsi"/>
          <w:sz w:val="24"/>
          <w:szCs w:val="24"/>
        </w:rPr>
        <w:t>77 million 9-litre case equivalents</w:t>
      </w:r>
      <w:r>
        <w:rPr>
          <w:rFonts w:cstheme="minorHAnsi"/>
          <w:sz w:val="24"/>
          <w:szCs w:val="24"/>
        </w:rPr>
        <w:t xml:space="preserve">], </w:t>
      </w:r>
      <w:r w:rsidRPr="00745F1E">
        <w:rPr>
          <w:rFonts w:cstheme="minorHAnsi"/>
          <w:sz w:val="24"/>
          <w:szCs w:val="24"/>
        </w:rPr>
        <w:t>compared with the previous financial yea</w:t>
      </w:r>
      <w:r>
        <w:rPr>
          <w:rFonts w:cstheme="minorHAnsi"/>
          <w:sz w:val="24"/>
          <w:szCs w:val="24"/>
        </w:rPr>
        <w:t xml:space="preserve">r). An FTA with the UK could </w:t>
      </w:r>
      <w:r w:rsidR="00056035">
        <w:rPr>
          <w:rFonts w:cstheme="minorHAnsi"/>
          <w:sz w:val="24"/>
          <w:szCs w:val="24"/>
        </w:rPr>
        <w:t>support</w:t>
      </w:r>
      <w:r>
        <w:rPr>
          <w:rFonts w:cstheme="minorHAnsi"/>
          <w:sz w:val="24"/>
          <w:szCs w:val="24"/>
        </w:rPr>
        <w:t xml:space="preserve"> a rebound in the industry by reducing the financial and administrative barriers for Australian producers outlined </w:t>
      </w:r>
      <w:proofErr w:type="gramStart"/>
      <w:r>
        <w:rPr>
          <w:rFonts w:cstheme="minorHAnsi"/>
          <w:sz w:val="24"/>
          <w:szCs w:val="24"/>
        </w:rPr>
        <w:t>above, and</w:t>
      </w:r>
      <w:proofErr w:type="gramEnd"/>
      <w:r>
        <w:rPr>
          <w:rFonts w:cstheme="minorHAnsi"/>
          <w:sz w:val="24"/>
          <w:szCs w:val="24"/>
        </w:rPr>
        <w:t xml:space="preserve"> demonstrate our commitment to trade diversification in the wine industry with a focus on the UK as an important export market.</w:t>
      </w:r>
    </w:p>
    <w:p w14:paraId="5472AD72" w14:textId="1A412CFA" w:rsidR="009421ED" w:rsidRPr="00F6614E" w:rsidRDefault="009421ED" w:rsidP="009421ED">
      <w:pPr>
        <w:rPr>
          <w:rFonts w:cstheme="minorHAnsi"/>
          <w:b/>
          <w:bCs/>
          <w:i/>
          <w:iCs/>
          <w:sz w:val="24"/>
          <w:szCs w:val="24"/>
        </w:rPr>
      </w:pPr>
      <w:r w:rsidRPr="00F6614E">
        <w:rPr>
          <w:rFonts w:cstheme="minorHAnsi"/>
          <w:b/>
          <w:bCs/>
          <w:i/>
          <w:iCs/>
          <w:sz w:val="24"/>
          <w:szCs w:val="24"/>
        </w:rPr>
        <w:t>Beef</w:t>
      </w:r>
    </w:p>
    <w:p w14:paraId="536F30A3" w14:textId="03D4898C" w:rsidR="00BA60E2" w:rsidRDefault="00056035" w:rsidP="00206944">
      <w:pPr>
        <w:pStyle w:val="ListParagraph"/>
        <w:numPr>
          <w:ilvl w:val="0"/>
          <w:numId w:val="1"/>
        </w:numPr>
        <w:ind w:left="567" w:hanging="567"/>
        <w:rPr>
          <w:sz w:val="24"/>
          <w:szCs w:val="24"/>
        </w:rPr>
      </w:pPr>
      <w:bookmarkStart w:id="22" w:name="_Hlk84600894"/>
      <w:r>
        <w:rPr>
          <w:sz w:val="24"/>
          <w:szCs w:val="24"/>
        </w:rPr>
        <w:t xml:space="preserve">Tariffs on Australian exports of beef to the UK </w:t>
      </w:r>
      <w:r w:rsidR="00BA60E2" w:rsidRPr="009421ED">
        <w:rPr>
          <w:sz w:val="24"/>
          <w:szCs w:val="24"/>
        </w:rPr>
        <w:t xml:space="preserve">will be eliminated after ten years. During the transition period, Australia will have immediate access to a duty-free quota of 35,000 tonnes, rising in equal instalments to 110,000 tonnes in year 10. </w:t>
      </w:r>
      <w:r w:rsidR="00812812" w:rsidRPr="009421ED">
        <w:rPr>
          <w:sz w:val="24"/>
          <w:szCs w:val="24"/>
        </w:rPr>
        <w:t>In the subsequent five years, a safeguard in the form of a duty of 20 per</w:t>
      </w:r>
      <w:r w:rsidR="00812812">
        <w:rPr>
          <w:sz w:val="24"/>
          <w:szCs w:val="24"/>
        </w:rPr>
        <w:t xml:space="preserve"> </w:t>
      </w:r>
      <w:r w:rsidR="00812812" w:rsidRPr="009421ED">
        <w:rPr>
          <w:sz w:val="24"/>
          <w:szCs w:val="24"/>
        </w:rPr>
        <w:t xml:space="preserve">cent will apply for the rest of the calendar year </w:t>
      </w:r>
      <w:r w:rsidR="00812812">
        <w:rPr>
          <w:sz w:val="24"/>
          <w:szCs w:val="24"/>
        </w:rPr>
        <w:t>to</w:t>
      </w:r>
      <w:r w:rsidR="00812812" w:rsidRPr="009421ED">
        <w:rPr>
          <w:sz w:val="24"/>
          <w:szCs w:val="24"/>
        </w:rPr>
        <w:t xml:space="preserve"> beef imports exceed</w:t>
      </w:r>
      <w:r w:rsidR="00812812">
        <w:rPr>
          <w:sz w:val="24"/>
          <w:szCs w:val="24"/>
        </w:rPr>
        <w:t>ing</w:t>
      </w:r>
      <w:r w:rsidR="00812812" w:rsidRPr="009421ED">
        <w:rPr>
          <w:sz w:val="24"/>
          <w:szCs w:val="24"/>
        </w:rPr>
        <w:t xml:space="preserve"> a </w:t>
      </w:r>
      <w:proofErr w:type="gramStart"/>
      <w:r w:rsidR="00812812">
        <w:rPr>
          <w:sz w:val="24"/>
          <w:szCs w:val="24"/>
        </w:rPr>
        <w:t>122,000</w:t>
      </w:r>
      <w:r w:rsidR="00812812" w:rsidRPr="009421ED">
        <w:rPr>
          <w:sz w:val="24"/>
          <w:szCs w:val="24"/>
        </w:rPr>
        <w:t xml:space="preserve"> </w:t>
      </w:r>
      <w:r w:rsidR="00812812">
        <w:rPr>
          <w:sz w:val="24"/>
          <w:szCs w:val="24"/>
        </w:rPr>
        <w:t>tonne</w:t>
      </w:r>
      <w:proofErr w:type="gramEnd"/>
      <w:r w:rsidR="00812812">
        <w:rPr>
          <w:sz w:val="24"/>
          <w:szCs w:val="24"/>
        </w:rPr>
        <w:t xml:space="preserve"> </w:t>
      </w:r>
      <w:r w:rsidR="00812812" w:rsidRPr="009421ED">
        <w:rPr>
          <w:sz w:val="24"/>
          <w:szCs w:val="24"/>
        </w:rPr>
        <w:t>threshold</w:t>
      </w:r>
      <w:r w:rsidR="00812812">
        <w:rPr>
          <w:sz w:val="24"/>
          <w:szCs w:val="24"/>
        </w:rPr>
        <w:t>, which will</w:t>
      </w:r>
      <w:r w:rsidR="00812812" w:rsidRPr="009421ED">
        <w:rPr>
          <w:sz w:val="24"/>
          <w:szCs w:val="24"/>
        </w:rPr>
        <w:t xml:space="preserve"> ris</w:t>
      </w:r>
      <w:r w:rsidR="00812812">
        <w:rPr>
          <w:sz w:val="24"/>
          <w:szCs w:val="24"/>
        </w:rPr>
        <w:t>e</w:t>
      </w:r>
      <w:r w:rsidR="00812812" w:rsidRPr="009421ED">
        <w:rPr>
          <w:sz w:val="24"/>
          <w:szCs w:val="24"/>
        </w:rPr>
        <w:t xml:space="preserve"> in equal instalments to 170,000 tonnes in year 15.</w:t>
      </w:r>
    </w:p>
    <w:bookmarkEnd w:id="22"/>
    <w:p w14:paraId="29365AD8" w14:textId="77777777" w:rsidR="003D4502" w:rsidRDefault="003D4502" w:rsidP="003D4502">
      <w:pPr>
        <w:pStyle w:val="ListParagraph"/>
        <w:ind w:left="567"/>
        <w:rPr>
          <w:sz w:val="24"/>
          <w:szCs w:val="24"/>
        </w:rPr>
      </w:pPr>
    </w:p>
    <w:p w14:paraId="1D68F483" w14:textId="60DB7FFD" w:rsidR="00D1368D" w:rsidRPr="00AF4E06" w:rsidRDefault="00D1368D" w:rsidP="00D1368D">
      <w:pPr>
        <w:pStyle w:val="ListParagraph"/>
        <w:numPr>
          <w:ilvl w:val="0"/>
          <w:numId w:val="1"/>
        </w:numPr>
        <w:ind w:left="567" w:hanging="567"/>
        <w:rPr>
          <w:sz w:val="24"/>
          <w:szCs w:val="24"/>
        </w:rPr>
      </w:pPr>
      <w:r>
        <w:rPr>
          <w:sz w:val="24"/>
          <w:szCs w:val="24"/>
        </w:rPr>
        <w:t xml:space="preserve">The availability and use of large areas for farming in Australia advantage Australian beef producers globally, as well as relative to the UK. </w:t>
      </w:r>
      <w:r w:rsidRPr="00AF4E06">
        <w:rPr>
          <w:sz w:val="24"/>
          <w:szCs w:val="24"/>
        </w:rPr>
        <w:t xml:space="preserve">However, despite our position as one of the top exporting countries for beef globally, the UK </w:t>
      </w:r>
      <w:r w:rsidR="006534D9">
        <w:rPr>
          <w:sz w:val="24"/>
          <w:szCs w:val="24"/>
        </w:rPr>
        <w:t xml:space="preserve">as an export destination </w:t>
      </w:r>
      <w:r>
        <w:rPr>
          <w:sz w:val="24"/>
          <w:szCs w:val="24"/>
        </w:rPr>
        <w:t xml:space="preserve">currently </w:t>
      </w:r>
      <w:r w:rsidRPr="00AF4E06">
        <w:rPr>
          <w:sz w:val="24"/>
          <w:szCs w:val="24"/>
        </w:rPr>
        <w:t>makes up a very small proportion of Australia’s total exports. Industry estimates that in 2020, the UK imported 314,000 tonnes of beef, of which just 1567 tonnes came from Australia, approximately 0.15 per cent of all Australian beef exports</w:t>
      </w:r>
      <w:r>
        <w:rPr>
          <w:sz w:val="24"/>
          <w:szCs w:val="24"/>
        </w:rPr>
        <w:t>.</w:t>
      </w:r>
      <w:r>
        <w:rPr>
          <w:rStyle w:val="FootnoteReference"/>
          <w:sz w:val="24"/>
          <w:szCs w:val="24"/>
        </w:rPr>
        <w:footnoteReference w:id="25"/>
      </w:r>
      <w:r w:rsidRPr="00AF4E06">
        <w:rPr>
          <w:sz w:val="24"/>
          <w:szCs w:val="24"/>
        </w:rPr>
        <w:t xml:space="preserve"> </w:t>
      </w:r>
    </w:p>
    <w:p w14:paraId="5E79128A" w14:textId="77777777" w:rsidR="00D1368D" w:rsidRDefault="00D1368D" w:rsidP="00D1368D">
      <w:pPr>
        <w:pStyle w:val="ListParagraph"/>
        <w:ind w:left="360"/>
        <w:rPr>
          <w:sz w:val="24"/>
          <w:szCs w:val="24"/>
        </w:rPr>
      </w:pPr>
    </w:p>
    <w:p w14:paraId="65C926E0" w14:textId="22FA89AD" w:rsidR="00D1368D" w:rsidRDefault="00D1368D" w:rsidP="00D1368D">
      <w:pPr>
        <w:pStyle w:val="ListParagraph"/>
        <w:numPr>
          <w:ilvl w:val="0"/>
          <w:numId w:val="1"/>
        </w:numPr>
        <w:ind w:left="567" w:hanging="567"/>
        <w:rPr>
          <w:sz w:val="24"/>
          <w:szCs w:val="24"/>
        </w:rPr>
      </w:pPr>
      <w:r>
        <w:rPr>
          <w:sz w:val="24"/>
          <w:szCs w:val="24"/>
        </w:rPr>
        <w:t>Although global demand was impacted by the pandemic over this period, this figure represents an overall trend for UK beef imports, the vast majority of which come from Ireland (80 per cent of total UK imports) and other European countries.</w:t>
      </w:r>
      <w:r>
        <w:rPr>
          <w:rStyle w:val="FootnoteReference"/>
          <w:sz w:val="24"/>
          <w:szCs w:val="24"/>
        </w:rPr>
        <w:footnoteReference w:id="26"/>
      </w:r>
      <w:r>
        <w:rPr>
          <w:sz w:val="24"/>
          <w:szCs w:val="24"/>
        </w:rPr>
        <w:t xml:space="preserve"> Physical proximity explains some of this, while the UK’s membership </w:t>
      </w:r>
      <w:r w:rsidR="006534D9">
        <w:rPr>
          <w:sz w:val="24"/>
          <w:szCs w:val="24"/>
        </w:rPr>
        <w:t>of</w:t>
      </w:r>
      <w:r>
        <w:rPr>
          <w:sz w:val="24"/>
          <w:szCs w:val="24"/>
        </w:rPr>
        <w:t xml:space="preserve"> the EU also acted as a barrier to trade with non-European countries such as Australia. </w:t>
      </w:r>
    </w:p>
    <w:p w14:paraId="70E54B0B" w14:textId="77777777" w:rsidR="00D1368D" w:rsidRDefault="00D1368D" w:rsidP="00D1368D">
      <w:pPr>
        <w:pStyle w:val="ListParagraph"/>
        <w:ind w:left="360"/>
        <w:rPr>
          <w:sz w:val="24"/>
          <w:szCs w:val="24"/>
        </w:rPr>
      </w:pPr>
    </w:p>
    <w:p w14:paraId="636E1F06" w14:textId="5A0963D2" w:rsidR="00D1368D" w:rsidRPr="005A7FBF" w:rsidRDefault="00D1368D" w:rsidP="0057231D">
      <w:pPr>
        <w:pStyle w:val="ListParagraph"/>
        <w:numPr>
          <w:ilvl w:val="0"/>
          <w:numId w:val="1"/>
        </w:numPr>
        <w:ind w:left="567" w:hanging="567"/>
        <w:rPr>
          <w:sz w:val="24"/>
          <w:szCs w:val="24"/>
        </w:rPr>
      </w:pPr>
      <w:r>
        <w:rPr>
          <w:sz w:val="24"/>
          <w:szCs w:val="24"/>
        </w:rPr>
        <w:lastRenderedPageBreak/>
        <w:t xml:space="preserve">Now that the UK has left the EU, there is scope </w:t>
      </w:r>
      <w:r w:rsidR="006534D9">
        <w:rPr>
          <w:sz w:val="24"/>
          <w:szCs w:val="24"/>
        </w:rPr>
        <w:t xml:space="preserve">for the UK </w:t>
      </w:r>
      <w:r>
        <w:rPr>
          <w:sz w:val="24"/>
          <w:szCs w:val="24"/>
        </w:rPr>
        <w:t xml:space="preserve">to diversify </w:t>
      </w:r>
      <w:r w:rsidR="006534D9">
        <w:rPr>
          <w:sz w:val="24"/>
          <w:szCs w:val="24"/>
        </w:rPr>
        <w:t xml:space="preserve">its </w:t>
      </w:r>
      <w:r>
        <w:rPr>
          <w:sz w:val="24"/>
          <w:szCs w:val="24"/>
        </w:rPr>
        <w:t xml:space="preserve">imports and reduce dependency on Ireland to meet the UK’s domestic beef consumption needs. An FTA with the UK not only offers Australian beef producers the opportunity to expand and diversify </w:t>
      </w:r>
      <w:r w:rsidR="006534D9">
        <w:rPr>
          <w:sz w:val="24"/>
          <w:szCs w:val="24"/>
        </w:rPr>
        <w:t xml:space="preserve">its </w:t>
      </w:r>
      <w:r>
        <w:rPr>
          <w:sz w:val="24"/>
          <w:szCs w:val="24"/>
        </w:rPr>
        <w:t xml:space="preserve">exports, </w:t>
      </w:r>
      <w:proofErr w:type="gramStart"/>
      <w:r>
        <w:rPr>
          <w:sz w:val="24"/>
          <w:szCs w:val="24"/>
        </w:rPr>
        <w:t>it</w:t>
      </w:r>
      <w:proofErr w:type="gramEnd"/>
      <w:r>
        <w:rPr>
          <w:sz w:val="24"/>
          <w:szCs w:val="24"/>
        </w:rPr>
        <w:t xml:space="preserve"> also offers UK importers and consumers an alternative source of high</w:t>
      </w:r>
      <w:r>
        <w:rPr>
          <w:sz w:val="24"/>
          <w:szCs w:val="24"/>
        </w:rPr>
        <w:noBreakHyphen/>
        <w:t xml:space="preserve">quality and competitively priced beef. </w:t>
      </w:r>
    </w:p>
    <w:p w14:paraId="08A36012" w14:textId="3050A11C" w:rsidR="009421ED" w:rsidRPr="00F6614E" w:rsidRDefault="009421ED" w:rsidP="009421ED">
      <w:pPr>
        <w:rPr>
          <w:b/>
          <w:bCs/>
          <w:i/>
          <w:iCs/>
          <w:sz w:val="24"/>
          <w:szCs w:val="24"/>
        </w:rPr>
      </w:pPr>
      <w:r w:rsidRPr="00F6614E">
        <w:rPr>
          <w:b/>
          <w:bCs/>
          <w:i/>
          <w:iCs/>
          <w:sz w:val="24"/>
          <w:szCs w:val="24"/>
        </w:rPr>
        <w:t>Sheep meat</w:t>
      </w:r>
    </w:p>
    <w:p w14:paraId="43622A99" w14:textId="26D1B599" w:rsidR="00DE2CD6" w:rsidRPr="00D1368D" w:rsidRDefault="00BD72F0" w:rsidP="00206944">
      <w:pPr>
        <w:pStyle w:val="ListParagraph"/>
        <w:numPr>
          <w:ilvl w:val="0"/>
          <w:numId w:val="1"/>
        </w:numPr>
        <w:ind w:left="567" w:hanging="567"/>
        <w:rPr>
          <w:sz w:val="24"/>
          <w:szCs w:val="24"/>
        </w:rPr>
      </w:pPr>
      <w:bookmarkStart w:id="23" w:name="_Hlk84600917"/>
      <w:r>
        <w:rPr>
          <w:rFonts w:cstheme="minorHAnsi"/>
          <w:sz w:val="24"/>
          <w:szCs w:val="24"/>
        </w:rPr>
        <w:t>T</w:t>
      </w:r>
      <w:r w:rsidR="00BA60E2" w:rsidRPr="009421ED">
        <w:rPr>
          <w:rFonts w:cstheme="minorHAnsi"/>
          <w:sz w:val="24"/>
          <w:szCs w:val="24"/>
        </w:rPr>
        <w:t xml:space="preserve">ariffs </w:t>
      </w:r>
      <w:r>
        <w:rPr>
          <w:rFonts w:cstheme="minorHAnsi"/>
          <w:sz w:val="24"/>
          <w:szCs w:val="24"/>
        </w:rPr>
        <w:t xml:space="preserve">on Australian exports of sheep meat to the UK </w:t>
      </w:r>
      <w:r w:rsidR="00BA60E2" w:rsidRPr="009421ED">
        <w:rPr>
          <w:rFonts w:cstheme="minorHAnsi"/>
          <w:sz w:val="24"/>
          <w:szCs w:val="24"/>
        </w:rPr>
        <w:t xml:space="preserve">will be eliminated after ten years. During the transition period, Australia </w:t>
      </w:r>
      <w:r w:rsidR="00BA60E2" w:rsidRPr="003D4502">
        <w:rPr>
          <w:sz w:val="24"/>
          <w:szCs w:val="24"/>
        </w:rPr>
        <w:t>will</w:t>
      </w:r>
      <w:r w:rsidR="00BA60E2" w:rsidRPr="009421ED">
        <w:rPr>
          <w:rFonts w:cstheme="minorHAnsi"/>
          <w:sz w:val="24"/>
          <w:szCs w:val="24"/>
        </w:rPr>
        <w:t xml:space="preserve"> have immediate access to a duty-free quota of 25,000 tonnes, rising in equal instalments to 75,000 tonnes in year 10. </w:t>
      </w:r>
      <w:r w:rsidR="00684886" w:rsidRPr="009421ED">
        <w:rPr>
          <w:rFonts w:cstheme="minorHAnsi"/>
          <w:sz w:val="24"/>
          <w:szCs w:val="24"/>
        </w:rPr>
        <w:t xml:space="preserve">In the subsequent five years a safeguard will apply on sheep meat imports exceeding a volume threshold </w:t>
      </w:r>
      <w:r w:rsidR="00684886">
        <w:rPr>
          <w:rFonts w:cstheme="minorHAnsi"/>
          <w:sz w:val="24"/>
          <w:szCs w:val="24"/>
        </w:rPr>
        <w:t xml:space="preserve">of 85,000 tonnes, </w:t>
      </w:r>
      <w:r w:rsidR="00684886" w:rsidRPr="009421ED">
        <w:rPr>
          <w:rFonts w:cstheme="minorHAnsi"/>
          <w:sz w:val="24"/>
          <w:szCs w:val="24"/>
        </w:rPr>
        <w:t>rising in equal instalments to 125,000 tonnes</w:t>
      </w:r>
      <w:r w:rsidR="00684886">
        <w:rPr>
          <w:rFonts w:cstheme="minorHAnsi"/>
          <w:sz w:val="24"/>
          <w:szCs w:val="24"/>
        </w:rPr>
        <w:t xml:space="preserve"> in year 15</w:t>
      </w:r>
      <w:r w:rsidR="00684886" w:rsidRPr="009421ED">
        <w:rPr>
          <w:rFonts w:cstheme="minorHAnsi"/>
          <w:sz w:val="24"/>
          <w:szCs w:val="24"/>
        </w:rPr>
        <w:t>, levying a tariff safeguard duty of 20 per cent for the rest of the calendar year.</w:t>
      </w:r>
    </w:p>
    <w:bookmarkEnd w:id="23"/>
    <w:p w14:paraId="1FD92144" w14:textId="77777777" w:rsidR="00D1368D" w:rsidRPr="00675DF9" w:rsidRDefault="00D1368D" w:rsidP="00D1368D">
      <w:pPr>
        <w:pStyle w:val="ListParagraph"/>
        <w:ind w:left="567"/>
        <w:rPr>
          <w:sz w:val="24"/>
          <w:szCs w:val="24"/>
        </w:rPr>
      </w:pPr>
    </w:p>
    <w:p w14:paraId="7559EEC9" w14:textId="35475D5C" w:rsidR="00D1368D" w:rsidRDefault="00D1368D" w:rsidP="00D1368D">
      <w:pPr>
        <w:pStyle w:val="ListParagraph"/>
        <w:numPr>
          <w:ilvl w:val="0"/>
          <w:numId w:val="1"/>
        </w:numPr>
        <w:ind w:left="567" w:hanging="567"/>
        <w:rPr>
          <w:sz w:val="24"/>
          <w:szCs w:val="24"/>
        </w:rPr>
      </w:pPr>
      <w:r w:rsidRPr="00FE1E66">
        <w:rPr>
          <w:sz w:val="24"/>
          <w:szCs w:val="24"/>
        </w:rPr>
        <w:t>In 2020</w:t>
      </w:r>
      <w:r>
        <w:rPr>
          <w:sz w:val="24"/>
          <w:szCs w:val="24"/>
        </w:rPr>
        <w:t>,</w:t>
      </w:r>
      <w:r w:rsidRPr="00FE1E66">
        <w:rPr>
          <w:sz w:val="24"/>
          <w:szCs w:val="24"/>
        </w:rPr>
        <w:t xml:space="preserve"> the UK imported 67,500 tonnes of sheep</w:t>
      </w:r>
      <w:r w:rsidR="006534D9">
        <w:rPr>
          <w:sz w:val="24"/>
          <w:szCs w:val="24"/>
        </w:rPr>
        <w:t xml:space="preserve"> </w:t>
      </w:r>
      <w:r w:rsidRPr="00FE1E66">
        <w:rPr>
          <w:sz w:val="24"/>
          <w:szCs w:val="24"/>
        </w:rPr>
        <w:t>meat, about 14</w:t>
      </w:r>
      <w:r>
        <w:rPr>
          <w:sz w:val="24"/>
          <w:szCs w:val="24"/>
        </w:rPr>
        <w:t xml:space="preserve"> per cent</w:t>
      </w:r>
      <w:r w:rsidRPr="00FE1E66">
        <w:rPr>
          <w:sz w:val="24"/>
          <w:szCs w:val="24"/>
        </w:rPr>
        <w:t xml:space="preserve"> of which came from Australia</w:t>
      </w:r>
      <w:r>
        <w:rPr>
          <w:sz w:val="24"/>
          <w:szCs w:val="24"/>
        </w:rPr>
        <w:t>.</w:t>
      </w:r>
      <w:r>
        <w:rPr>
          <w:rStyle w:val="FootnoteReference"/>
          <w:sz w:val="24"/>
          <w:szCs w:val="24"/>
        </w:rPr>
        <w:footnoteReference w:id="27"/>
      </w:r>
      <w:r>
        <w:rPr>
          <w:sz w:val="24"/>
          <w:szCs w:val="24"/>
        </w:rPr>
        <w:t xml:space="preserve"> </w:t>
      </w:r>
      <w:r w:rsidRPr="00EA26D3">
        <w:rPr>
          <w:sz w:val="24"/>
          <w:szCs w:val="24"/>
        </w:rPr>
        <w:t>Despite falling lamb consumption over time, 2020 saw a shift in consumption patterns in the UK, with lamb retail volumes up 4 per cent in the year</w:t>
      </w:r>
      <w:r>
        <w:rPr>
          <w:sz w:val="24"/>
          <w:szCs w:val="24"/>
        </w:rPr>
        <w:t>.</w:t>
      </w:r>
      <w:r>
        <w:rPr>
          <w:rStyle w:val="FootnoteReference"/>
          <w:sz w:val="24"/>
          <w:szCs w:val="24"/>
        </w:rPr>
        <w:footnoteReference w:id="28"/>
      </w:r>
      <w:r>
        <w:rPr>
          <w:sz w:val="24"/>
          <w:szCs w:val="24"/>
        </w:rPr>
        <w:t xml:space="preserve"> The UK also remained one of the top global importers of lamb, fourth behind France, the US, and China.</w:t>
      </w:r>
      <w:r>
        <w:rPr>
          <w:rStyle w:val="FootnoteReference"/>
          <w:sz w:val="24"/>
          <w:szCs w:val="24"/>
        </w:rPr>
        <w:footnoteReference w:id="29"/>
      </w:r>
    </w:p>
    <w:p w14:paraId="162A8B1C" w14:textId="77777777" w:rsidR="00D1368D" w:rsidRPr="009A3D6B" w:rsidRDefault="00D1368D" w:rsidP="00D1368D">
      <w:pPr>
        <w:pStyle w:val="ListParagraph"/>
        <w:rPr>
          <w:sz w:val="24"/>
          <w:szCs w:val="24"/>
        </w:rPr>
      </w:pPr>
    </w:p>
    <w:p w14:paraId="3F192FE5" w14:textId="626FC833" w:rsidR="009667B4" w:rsidRPr="005A19C1" w:rsidRDefault="00D1368D" w:rsidP="004F0540">
      <w:pPr>
        <w:pStyle w:val="ListParagraph"/>
        <w:numPr>
          <w:ilvl w:val="0"/>
          <w:numId w:val="1"/>
        </w:numPr>
        <w:ind w:left="567" w:hanging="567"/>
        <w:rPr>
          <w:sz w:val="24"/>
          <w:szCs w:val="24"/>
        </w:rPr>
      </w:pPr>
      <w:r w:rsidRPr="005A19C1">
        <w:rPr>
          <w:rFonts w:cstheme="minorHAnsi"/>
          <w:sz w:val="24"/>
          <w:szCs w:val="24"/>
        </w:rPr>
        <w:t>A</w:t>
      </w:r>
      <w:r w:rsidR="007C344A" w:rsidRPr="005A19C1">
        <w:rPr>
          <w:rFonts w:cstheme="minorHAnsi"/>
          <w:sz w:val="24"/>
          <w:szCs w:val="24"/>
        </w:rPr>
        <w:t xml:space="preserve"> </w:t>
      </w:r>
      <w:r w:rsidR="00562177" w:rsidRPr="005A19C1">
        <w:rPr>
          <w:rFonts w:cstheme="minorHAnsi"/>
          <w:sz w:val="24"/>
          <w:szCs w:val="24"/>
        </w:rPr>
        <w:t xml:space="preserve">recent </w:t>
      </w:r>
      <w:r w:rsidR="007C344A" w:rsidRPr="005A19C1">
        <w:rPr>
          <w:rFonts w:cstheme="minorHAnsi"/>
          <w:sz w:val="24"/>
          <w:szCs w:val="24"/>
        </w:rPr>
        <w:t>report</w:t>
      </w:r>
      <w:r w:rsidRPr="005A19C1">
        <w:rPr>
          <w:sz w:val="24"/>
          <w:szCs w:val="24"/>
        </w:rPr>
        <w:t xml:space="preserve"> by the UK’s Agriculture and Horticulture Development Board (AHDB) </w:t>
      </w:r>
      <w:r w:rsidR="00562177" w:rsidRPr="005A19C1">
        <w:rPr>
          <w:sz w:val="24"/>
          <w:szCs w:val="24"/>
        </w:rPr>
        <w:t>recognises</w:t>
      </w:r>
      <w:r w:rsidRPr="005A19C1">
        <w:rPr>
          <w:sz w:val="24"/>
          <w:szCs w:val="24"/>
        </w:rPr>
        <w:t xml:space="preserve"> that </w:t>
      </w:r>
      <w:r w:rsidR="00562177" w:rsidRPr="005A19C1">
        <w:rPr>
          <w:sz w:val="24"/>
          <w:szCs w:val="24"/>
        </w:rPr>
        <w:t xml:space="preserve">UK </w:t>
      </w:r>
      <w:r w:rsidRPr="005A19C1">
        <w:rPr>
          <w:sz w:val="24"/>
          <w:szCs w:val="24"/>
        </w:rPr>
        <w:t>sheep</w:t>
      </w:r>
      <w:r w:rsidR="006534D9" w:rsidRPr="005A19C1">
        <w:rPr>
          <w:sz w:val="24"/>
          <w:szCs w:val="24"/>
        </w:rPr>
        <w:t xml:space="preserve"> </w:t>
      </w:r>
      <w:r w:rsidRPr="005A19C1">
        <w:rPr>
          <w:sz w:val="24"/>
          <w:szCs w:val="24"/>
        </w:rPr>
        <w:t xml:space="preserve">meat </w:t>
      </w:r>
      <w:r w:rsidR="00562177" w:rsidRPr="005A19C1">
        <w:rPr>
          <w:sz w:val="24"/>
          <w:szCs w:val="24"/>
        </w:rPr>
        <w:t xml:space="preserve">farmers need to be ready to compete with Australian sheep meat </w:t>
      </w:r>
      <w:r w:rsidRPr="005A19C1">
        <w:rPr>
          <w:sz w:val="24"/>
          <w:szCs w:val="24"/>
        </w:rPr>
        <w:t>export</w:t>
      </w:r>
      <w:r w:rsidR="00562177" w:rsidRPr="005A19C1">
        <w:rPr>
          <w:sz w:val="24"/>
          <w:szCs w:val="24"/>
        </w:rPr>
        <w:t>ers.</w:t>
      </w:r>
      <w:r>
        <w:rPr>
          <w:rStyle w:val="FootnoteReference"/>
          <w:sz w:val="24"/>
          <w:szCs w:val="24"/>
        </w:rPr>
        <w:footnoteReference w:id="30"/>
      </w:r>
      <w:r w:rsidRPr="005A19C1">
        <w:rPr>
          <w:sz w:val="24"/>
          <w:szCs w:val="24"/>
        </w:rPr>
        <w:t xml:space="preserve"> </w:t>
      </w:r>
      <w:r w:rsidR="007C344A" w:rsidRPr="005A19C1">
        <w:rPr>
          <w:sz w:val="24"/>
          <w:szCs w:val="24"/>
        </w:rPr>
        <w:t>Currently, t</w:t>
      </w:r>
      <w:r w:rsidRPr="005A19C1">
        <w:rPr>
          <w:sz w:val="24"/>
          <w:szCs w:val="24"/>
        </w:rPr>
        <w:t>he primary market for UK sheep farmers and producers, aside from the domestic market, are countries in the EU</w:t>
      </w:r>
      <w:r w:rsidR="007C344A" w:rsidRPr="005A19C1">
        <w:rPr>
          <w:sz w:val="24"/>
          <w:szCs w:val="24"/>
        </w:rPr>
        <w:t xml:space="preserve">. The AHDB report calls for increased market access for UK sheep meat into </w:t>
      </w:r>
      <w:r w:rsidR="00DE1F90" w:rsidRPr="005A19C1">
        <w:rPr>
          <w:sz w:val="24"/>
          <w:szCs w:val="24"/>
        </w:rPr>
        <w:t xml:space="preserve">alternative </w:t>
      </w:r>
      <w:r w:rsidR="007C344A" w:rsidRPr="005A19C1">
        <w:rPr>
          <w:sz w:val="24"/>
          <w:szCs w:val="24"/>
        </w:rPr>
        <w:t>overseas markets</w:t>
      </w:r>
      <w:r w:rsidR="00562177" w:rsidRPr="005A19C1">
        <w:rPr>
          <w:sz w:val="24"/>
          <w:szCs w:val="24"/>
        </w:rPr>
        <w:t xml:space="preserve"> other than </w:t>
      </w:r>
      <w:r w:rsidR="00DE1F90" w:rsidRPr="005A19C1">
        <w:rPr>
          <w:sz w:val="24"/>
          <w:szCs w:val="24"/>
        </w:rPr>
        <w:t>the EU</w:t>
      </w:r>
      <w:r w:rsidR="007C344A" w:rsidRPr="005A19C1">
        <w:rPr>
          <w:sz w:val="24"/>
          <w:szCs w:val="24"/>
        </w:rPr>
        <w:t>.</w:t>
      </w:r>
      <w:r w:rsidRPr="005A19C1">
        <w:rPr>
          <w:sz w:val="24"/>
          <w:szCs w:val="24"/>
        </w:rPr>
        <w:t xml:space="preserve"> </w:t>
      </w:r>
      <w:r w:rsidR="007C344A" w:rsidRPr="005A19C1">
        <w:rPr>
          <w:sz w:val="24"/>
          <w:szCs w:val="24"/>
        </w:rPr>
        <w:t xml:space="preserve">As the UK is currently negotiating new trade agreements with </w:t>
      </w:r>
      <w:proofErr w:type="gramStart"/>
      <w:r w:rsidR="007C344A" w:rsidRPr="005A19C1">
        <w:rPr>
          <w:sz w:val="24"/>
          <w:szCs w:val="24"/>
        </w:rPr>
        <w:t>a number of</w:t>
      </w:r>
      <w:proofErr w:type="gramEnd"/>
      <w:r w:rsidR="007C344A" w:rsidRPr="005A19C1">
        <w:rPr>
          <w:sz w:val="24"/>
          <w:szCs w:val="24"/>
        </w:rPr>
        <w:t xml:space="preserve"> </w:t>
      </w:r>
      <w:r w:rsidR="00562177" w:rsidRPr="005A19C1">
        <w:rPr>
          <w:sz w:val="24"/>
          <w:szCs w:val="24"/>
        </w:rPr>
        <w:t>economies</w:t>
      </w:r>
      <w:r w:rsidR="007C344A" w:rsidRPr="005A19C1">
        <w:rPr>
          <w:sz w:val="24"/>
          <w:szCs w:val="24"/>
        </w:rPr>
        <w:t xml:space="preserve">, it is </w:t>
      </w:r>
      <w:r w:rsidR="000826A6" w:rsidRPr="005A19C1">
        <w:rPr>
          <w:sz w:val="24"/>
          <w:szCs w:val="24"/>
        </w:rPr>
        <w:t>possible</w:t>
      </w:r>
      <w:r w:rsidR="007C344A" w:rsidRPr="005A19C1">
        <w:rPr>
          <w:sz w:val="24"/>
          <w:szCs w:val="24"/>
        </w:rPr>
        <w:t xml:space="preserve"> that </w:t>
      </w:r>
      <w:r w:rsidR="00DE1F90" w:rsidRPr="005A19C1">
        <w:rPr>
          <w:sz w:val="24"/>
          <w:szCs w:val="24"/>
        </w:rPr>
        <w:t>alternative</w:t>
      </w:r>
      <w:r w:rsidR="007C344A" w:rsidRPr="005A19C1">
        <w:rPr>
          <w:sz w:val="24"/>
          <w:szCs w:val="24"/>
        </w:rPr>
        <w:t xml:space="preserve"> export </w:t>
      </w:r>
      <w:r w:rsidR="00DE1F90" w:rsidRPr="005A19C1">
        <w:rPr>
          <w:sz w:val="24"/>
          <w:szCs w:val="24"/>
        </w:rPr>
        <w:t xml:space="preserve">market </w:t>
      </w:r>
      <w:r w:rsidR="007C344A" w:rsidRPr="005A19C1">
        <w:rPr>
          <w:sz w:val="24"/>
          <w:szCs w:val="24"/>
        </w:rPr>
        <w:t xml:space="preserve">opportunities will arise for UK sheep farmers, which </w:t>
      </w:r>
      <w:r w:rsidRPr="005A19C1">
        <w:rPr>
          <w:sz w:val="24"/>
          <w:szCs w:val="24"/>
        </w:rPr>
        <w:t>could in turn create a gap in the UK market for Australian exporters.</w:t>
      </w:r>
      <w:r w:rsidR="005A19C1" w:rsidRPr="005A19C1">
        <w:rPr>
          <w:sz w:val="24"/>
          <w:szCs w:val="24"/>
        </w:rPr>
        <w:t xml:space="preserve"> As </w:t>
      </w:r>
      <w:r w:rsidR="005A19C1" w:rsidRPr="005A19C1">
        <w:rPr>
          <w:b/>
          <w:bCs/>
          <w:sz w:val="24"/>
          <w:szCs w:val="24"/>
          <w:u w:val="single"/>
        </w:rPr>
        <w:t>Graph 5</w:t>
      </w:r>
      <w:r w:rsidR="005A19C1" w:rsidRPr="005A19C1">
        <w:rPr>
          <w:sz w:val="24"/>
          <w:szCs w:val="24"/>
        </w:rPr>
        <w:t xml:space="preserve"> illustrates, the global strength of Australia’s sheep meat export industry suggests that industry is ready to fill that gap. </w:t>
      </w:r>
    </w:p>
    <w:p w14:paraId="551C901F" w14:textId="43D1CA9B" w:rsidR="004C7831" w:rsidRDefault="004C7831" w:rsidP="004C7831">
      <w:pPr>
        <w:pStyle w:val="ListParagraph"/>
        <w:rPr>
          <w:sz w:val="24"/>
          <w:szCs w:val="24"/>
        </w:rPr>
      </w:pPr>
    </w:p>
    <w:p w14:paraId="625671E0" w14:textId="295B88DA" w:rsidR="004C7831" w:rsidRDefault="004C7831" w:rsidP="004C7831">
      <w:pPr>
        <w:pStyle w:val="ListParagraph"/>
        <w:rPr>
          <w:sz w:val="24"/>
          <w:szCs w:val="24"/>
        </w:rPr>
      </w:pPr>
    </w:p>
    <w:p w14:paraId="379DCAF1" w14:textId="39129819" w:rsidR="004C7831" w:rsidRDefault="004C7831" w:rsidP="004C7831">
      <w:pPr>
        <w:pStyle w:val="ListParagraph"/>
        <w:rPr>
          <w:sz w:val="24"/>
          <w:szCs w:val="24"/>
        </w:rPr>
      </w:pPr>
    </w:p>
    <w:p w14:paraId="1961BCC5" w14:textId="0BA269AB" w:rsidR="00A207C3" w:rsidRDefault="00A207C3" w:rsidP="004C7831">
      <w:pPr>
        <w:pStyle w:val="ListParagraph"/>
        <w:rPr>
          <w:sz w:val="24"/>
          <w:szCs w:val="24"/>
        </w:rPr>
      </w:pPr>
    </w:p>
    <w:p w14:paraId="70BC851B" w14:textId="198368AE" w:rsidR="00A207C3" w:rsidRDefault="00A207C3" w:rsidP="004C7831">
      <w:pPr>
        <w:pStyle w:val="ListParagraph"/>
        <w:rPr>
          <w:sz w:val="24"/>
          <w:szCs w:val="24"/>
        </w:rPr>
      </w:pPr>
    </w:p>
    <w:p w14:paraId="6153A550" w14:textId="60F9E08D" w:rsidR="00D96FCD" w:rsidRDefault="00D96FCD" w:rsidP="004C7831">
      <w:pPr>
        <w:pStyle w:val="ListParagraph"/>
        <w:rPr>
          <w:sz w:val="24"/>
          <w:szCs w:val="24"/>
        </w:rPr>
      </w:pPr>
    </w:p>
    <w:p w14:paraId="6D28700A" w14:textId="435F2246" w:rsidR="00D96FCD" w:rsidRDefault="00D96FCD" w:rsidP="004C7831">
      <w:pPr>
        <w:pStyle w:val="ListParagraph"/>
        <w:rPr>
          <w:sz w:val="24"/>
          <w:szCs w:val="24"/>
        </w:rPr>
      </w:pPr>
    </w:p>
    <w:p w14:paraId="33B2ADF9" w14:textId="68C8FB6D" w:rsidR="00D96FCD" w:rsidRDefault="00D96FCD" w:rsidP="004C7831">
      <w:pPr>
        <w:pStyle w:val="ListParagraph"/>
        <w:rPr>
          <w:sz w:val="24"/>
          <w:szCs w:val="24"/>
        </w:rPr>
      </w:pPr>
    </w:p>
    <w:p w14:paraId="016279DD" w14:textId="77777777" w:rsidR="00D96FCD" w:rsidRPr="004C7831" w:rsidRDefault="00D96FCD" w:rsidP="004C7831">
      <w:pPr>
        <w:pStyle w:val="ListParagraph"/>
        <w:rPr>
          <w:sz w:val="24"/>
          <w:szCs w:val="24"/>
        </w:rPr>
      </w:pPr>
    </w:p>
    <w:p w14:paraId="1D676758" w14:textId="6C53C506" w:rsidR="00DE1F90" w:rsidRDefault="009667B4" w:rsidP="009667B4">
      <w:pPr>
        <w:rPr>
          <w:sz w:val="24"/>
          <w:szCs w:val="24"/>
        </w:rPr>
      </w:pPr>
      <w:r w:rsidRPr="004C7831">
        <w:rPr>
          <w:b/>
          <w:bCs/>
          <w:sz w:val="24"/>
          <w:szCs w:val="24"/>
          <w:u w:val="single"/>
        </w:rPr>
        <w:lastRenderedPageBreak/>
        <w:t>Graph 5</w:t>
      </w:r>
      <w:r>
        <w:rPr>
          <w:sz w:val="24"/>
          <w:szCs w:val="24"/>
        </w:rPr>
        <w:t xml:space="preserve">: </w:t>
      </w:r>
      <w:r w:rsidRPr="00F32C76">
        <w:rPr>
          <w:b/>
          <w:bCs/>
          <w:sz w:val="24"/>
          <w:szCs w:val="24"/>
        </w:rPr>
        <w:t>Major sheep meat exporters and importers (in tonnes)</w:t>
      </w:r>
      <w:r w:rsidR="00DE1F90" w:rsidRPr="004C7831">
        <w:rPr>
          <w:sz w:val="24"/>
          <w:szCs w:val="24"/>
        </w:rPr>
        <w:t xml:space="preserve"> </w:t>
      </w:r>
    </w:p>
    <w:p w14:paraId="64BA7522" w14:textId="66FEFE1C" w:rsidR="009667B4" w:rsidRPr="004C7831" w:rsidRDefault="009667B4" w:rsidP="004C7831">
      <w:pPr>
        <w:rPr>
          <w:sz w:val="24"/>
          <w:szCs w:val="24"/>
        </w:rPr>
      </w:pPr>
      <w:r>
        <w:rPr>
          <w:noProof/>
        </w:rPr>
        <w:drawing>
          <wp:inline distT="0" distB="0" distL="0" distR="0" wp14:anchorId="5F6758AE" wp14:editId="3952485C">
            <wp:extent cx="5731510" cy="239522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395220"/>
                    </a:xfrm>
                    <a:prstGeom prst="rect">
                      <a:avLst/>
                    </a:prstGeom>
                  </pic:spPr>
                </pic:pic>
              </a:graphicData>
            </a:graphic>
          </wp:inline>
        </w:drawing>
      </w:r>
    </w:p>
    <w:p w14:paraId="78D3F463" w14:textId="77777777" w:rsidR="00D1368D" w:rsidRPr="00EA26D3" w:rsidRDefault="00D1368D" w:rsidP="00D1368D">
      <w:pPr>
        <w:pStyle w:val="ListParagraph"/>
        <w:rPr>
          <w:sz w:val="24"/>
          <w:szCs w:val="24"/>
        </w:rPr>
      </w:pPr>
    </w:p>
    <w:p w14:paraId="7653627D" w14:textId="504A1EA3" w:rsidR="00D1368D" w:rsidRDefault="00D1368D" w:rsidP="00D1368D">
      <w:pPr>
        <w:pStyle w:val="ListParagraph"/>
        <w:numPr>
          <w:ilvl w:val="0"/>
          <w:numId w:val="1"/>
        </w:numPr>
        <w:ind w:left="567" w:hanging="567"/>
        <w:rPr>
          <w:sz w:val="24"/>
          <w:szCs w:val="24"/>
        </w:rPr>
      </w:pPr>
      <w:r w:rsidRPr="00D1368D">
        <w:rPr>
          <w:rFonts w:cstheme="minorHAnsi"/>
          <w:sz w:val="24"/>
          <w:szCs w:val="24"/>
        </w:rPr>
        <w:t>Additionally</w:t>
      </w:r>
      <w:r>
        <w:rPr>
          <w:sz w:val="24"/>
          <w:szCs w:val="24"/>
        </w:rPr>
        <w:t>, as with beef, Australian producers have an advantage over UK producers, with larger farming areas and lower farming costs (such as more ewes managed per full</w:t>
      </w:r>
      <w:r>
        <w:rPr>
          <w:sz w:val="24"/>
          <w:szCs w:val="24"/>
        </w:rPr>
        <w:noBreakHyphen/>
        <w:t>time labour unit, and lower costs for machinery and buildings).</w:t>
      </w:r>
      <w:r>
        <w:rPr>
          <w:rStyle w:val="FootnoteReference"/>
          <w:sz w:val="24"/>
          <w:szCs w:val="24"/>
        </w:rPr>
        <w:footnoteReference w:id="31"/>
      </w:r>
      <w:r>
        <w:rPr>
          <w:sz w:val="24"/>
          <w:szCs w:val="24"/>
        </w:rPr>
        <w:t xml:space="preserve"> Although Australia remains a top exporter, we face </w:t>
      </w:r>
      <w:proofErr w:type="gramStart"/>
      <w:r>
        <w:rPr>
          <w:sz w:val="24"/>
          <w:szCs w:val="24"/>
        </w:rPr>
        <w:t>a number of</w:t>
      </w:r>
      <w:proofErr w:type="gramEnd"/>
      <w:r>
        <w:rPr>
          <w:sz w:val="24"/>
          <w:szCs w:val="24"/>
        </w:rPr>
        <w:t xml:space="preserve"> challenges. Like our other exports, overall impacts from the COVID-19 pandemic have affected the sheep</w:t>
      </w:r>
      <w:r w:rsidR="006534D9">
        <w:rPr>
          <w:sz w:val="24"/>
          <w:szCs w:val="24"/>
        </w:rPr>
        <w:t xml:space="preserve"> </w:t>
      </w:r>
      <w:r>
        <w:rPr>
          <w:sz w:val="24"/>
          <w:szCs w:val="24"/>
        </w:rPr>
        <w:t>meat industry, but other industry-specific issues have affected production as well. Drought in 2018 and 2019 led to diminished flock, which remains an issue into 2021, and with China’s domestic sheep</w:t>
      </w:r>
      <w:r w:rsidR="006534D9">
        <w:rPr>
          <w:sz w:val="24"/>
          <w:szCs w:val="24"/>
        </w:rPr>
        <w:t xml:space="preserve"> </w:t>
      </w:r>
      <w:r>
        <w:rPr>
          <w:sz w:val="24"/>
          <w:szCs w:val="24"/>
        </w:rPr>
        <w:t>meat production on the rise in coming years, Australian producers are facing increased competition globally.</w:t>
      </w:r>
      <w:r>
        <w:rPr>
          <w:rStyle w:val="FootnoteReference"/>
          <w:sz w:val="24"/>
          <w:szCs w:val="24"/>
        </w:rPr>
        <w:footnoteReference w:id="32"/>
      </w:r>
      <w:r>
        <w:rPr>
          <w:sz w:val="24"/>
          <w:szCs w:val="24"/>
        </w:rPr>
        <w:t xml:space="preserve"> As with other commodities, an FTA with the UK could go some way to helping Australian farmers and sheep</w:t>
      </w:r>
      <w:r w:rsidR="006534D9">
        <w:rPr>
          <w:sz w:val="24"/>
          <w:szCs w:val="24"/>
        </w:rPr>
        <w:t xml:space="preserve"> </w:t>
      </w:r>
      <w:r>
        <w:rPr>
          <w:sz w:val="24"/>
          <w:szCs w:val="24"/>
        </w:rPr>
        <w:t>meat producers diversify and expand their export markets over time.</w:t>
      </w:r>
    </w:p>
    <w:p w14:paraId="2ABD5CDD" w14:textId="77777777" w:rsidR="00BA60E2" w:rsidRPr="00F6614E" w:rsidRDefault="00BA60E2" w:rsidP="00BA60E2">
      <w:pPr>
        <w:rPr>
          <w:rFonts w:cstheme="minorHAnsi"/>
          <w:b/>
          <w:bCs/>
          <w:i/>
          <w:iCs/>
          <w:sz w:val="24"/>
          <w:szCs w:val="24"/>
        </w:rPr>
      </w:pPr>
      <w:r w:rsidRPr="00F6614E">
        <w:rPr>
          <w:rFonts w:cstheme="minorHAnsi"/>
          <w:b/>
          <w:bCs/>
          <w:i/>
          <w:iCs/>
          <w:sz w:val="24"/>
          <w:szCs w:val="24"/>
        </w:rPr>
        <w:t xml:space="preserve">Sugar </w:t>
      </w:r>
    </w:p>
    <w:p w14:paraId="14C9BE75" w14:textId="4B841E10" w:rsidR="00BA60E2" w:rsidRDefault="007947E3" w:rsidP="002D4F58">
      <w:pPr>
        <w:pStyle w:val="ListParagraph"/>
        <w:numPr>
          <w:ilvl w:val="0"/>
          <w:numId w:val="1"/>
        </w:numPr>
        <w:ind w:left="567" w:hanging="567"/>
        <w:rPr>
          <w:rFonts w:cstheme="minorHAnsi"/>
          <w:sz w:val="24"/>
          <w:szCs w:val="24"/>
        </w:rPr>
      </w:pPr>
      <w:r>
        <w:rPr>
          <w:rFonts w:cstheme="minorHAnsi"/>
          <w:sz w:val="24"/>
          <w:szCs w:val="24"/>
        </w:rPr>
        <w:t>Tariffs on Australian sugar exports to the UK</w:t>
      </w:r>
      <w:r w:rsidR="00BA60E2" w:rsidRPr="009421ED">
        <w:rPr>
          <w:rFonts w:cstheme="minorHAnsi"/>
          <w:sz w:val="24"/>
          <w:szCs w:val="24"/>
        </w:rPr>
        <w:t xml:space="preserve"> will be eliminated over eight years. During the transition period, Australia will have immediate access to a duty-free quota of 80,000 tonnes, rising by 20,000 tonnes each year, reaching 220,000 tonnes in year </w:t>
      </w:r>
      <w:r w:rsidR="00F5197E">
        <w:rPr>
          <w:rFonts w:cstheme="minorHAnsi"/>
          <w:sz w:val="24"/>
          <w:szCs w:val="24"/>
        </w:rPr>
        <w:t>eight</w:t>
      </w:r>
      <w:r w:rsidR="00BA60E2" w:rsidRPr="009421ED">
        <w:rPr>
          <w:rFonts w:cstheme="minorHAnsi"/>
          <w:sz w:val="24"/>
          <w:szCs w:val="24"/>
        </w:rPr>
        <w:t>. The estimated increase in Australian trade value for sugar is</w:t>
      </w:r>
      <w:r w:rsidR="00DE2CD6">
        <w:rPr>
          <w:rFonts w:cstheme="minorHAnsi"/>
          <w:sz w:val="24"/>
          <w:szCs w:val="24"/>
        </w:rPr>
        <w:t xml:space="preserve"> A</w:t>
      </w:r>
      <w:r w:rsidR="00BA60E2" w:rsidRPr="009421ED">
        <w:rPr>
          <w:rFonts w:cstheme="minorHAnsi"/>
          <w:sz w:val="24"/>
          <w:szCs w:val="24"/>
        </w:rPr>
        <w:t xml:space="preserve">$47 million in year </w:t>
      </w:r>
      <w:r w:rsidR="00F5197E">
        <w:rPr>
          <w:rFonts w:cstheme="minorHAnsi"/>
          <w:sz w:val="24"/>
          <w:szCs w:val="24"/>
        </w:rPr>
        <w:t>one</w:t>
      </w:r>
      <w:r w:rsidR="00BA60E2" w:rsidRPr="009421ED">
        <w:rPr>
          <w:rFonts w:cstheme="minorHAnsi"/>
          <w:sz w:val="24"/>
          <w:szCs w:val="24"/>
        </w:rPr>
        <w:t xml:space="preserve">, rising to </w:t>
      </w:r>
      <w:r w:rsidR="00DE2CD6">
        <w:rPr>
          <w:rFonts w:cstheme="minorHAnsi"/>
          <w:sz w:val="24"/>
          <w:szCs w:val="24"/>
        </w:rPr>
        <w:t>A</w:t>
      </w:r>
      <w:r w:rsidR="00BA60E2" w:rsidRPr="009421ED">
        <w:rPr>
          <w:rFonts w:cstheme="minorHAnsi"/>
          <w:sz w:val="24"/>
          <w:szCs w:val="24"/>
        </w:rPr>
        <w:t xml:space="preserve">$130 million in year 10, assuming the duty-free quota is filled. </w:t>
      </w:r>
      <w:r w:rsidR="00BA60E2" w:rsidRPr="002D4F58">
        <w:rPr>
          <w:rFonts w:cstheme="minorHAnsi"/>
          <w:sz w:val="24"/>
          <w:szCs w:val="24"/>
        </w:rPr>
        <w:t>Removal of tariffs reduces barriers to trade and enhances Australia</w:t>
      </w:r>
      <w:r w:rsidR="00DE2CD6" w:rsidRPr="002D4F58">
        <w:rPr>
          <w:rFonts w:cstheme="minorHAnsi"/>
          <w:sz w:val="24"/>
          <w:szCs w:val="24"/>
        </w:rPr>
        <w:t>’s</w:t>
      </w:r>
      <w:r w:rsidR="00BA60E2" w:rsidRPr="002D4F58">
        <w:rPr>
          <w:rFonts w:cstheme="minorHAnsi"/>
          <w:sz w:val="24"/>
          <w:szCs w:val="24"/>
        </w:rPr>
        <w:t xml:space="preserve"> position as a </w:t>
      </w:r>
      <w:r w:rsidR="00BA60E2" w:rsidRPr="002D4F58">
        <w:rPr>
          <w:sz w:val="24"/>
          <w:szCs w:val="24"/>
        </w:rPr>
        <w:t>competitive</w:t>
      </w:r>
      <w:r w:rsidR="00BA60E2" w:rsidRPr="002D4F58">
        <w:rPr>
          <w:rFonts w:cstheme="minorHAnsi"/>
          <w:sz w:val="24"/>
          <w:szCs w:val="24"/>
        </w:rPr>
        <w:t xml:space="preserve"> </w:t>
      </w:r>
      <w:r w:rsidR="00DE2CD6" w:rsidRPr="002D4F58">
        <w:rPr>
          <w:rFonts w:cstheme="minorHAnsi"/>
          <w:sz w:val="24"/>
          <w:szCs w:val="24"/>
        </w:rPr>
        <w:t xml:space="preserve">international </w:t>
      </w:r>
      <w:r w:rsidR="00BA60E2" w:rsidRPr="002D4F58">
        <w:rPr>
          <w:rFonts w:cstheme="minorHAnsi"/>
          <w:sz w:val="24"/>
          <w:szCs w:val="24"/>
        </w:rPr>
        <w:t xml:space="preserve">source of sugar. </w:t>
      </w:r>
    </w:p>
    <w:p w14:paraId="4CC1E808" w14:textId="77777777" w:rsidR="00675DF9" w:rsidRDefault="00675DF9" w:rsidP="00675DF9">
      <w:pPr>
        <w:pStyle w:val="ListParagraph"/>
        <w:ind w:left="567"/>
        <w:rPr>
          <w:rFonts w:cstheme="minorHAnsi"/>
          <w:sz w:val="24"/>
          <w:szCs w:val="24"/>
        </w:rPr>
      </w:pPr>
    </w:p>
    <w:p w14:paraId="1F8E5B4B" w14:textId="77777777" w:rsidR="00D1368D" w:rsidRPr="00854A03" w:rsidRDefault="00D1368D" w:rsidP="00D1368D">
      <w:pPr>
        <w:pStyle w:val="ListParagraph"/>
        <w:numPr>
          <w:ilvl w:val="0"/>
          <w:numId w:val="1"/>
        </w:numPr>
        <w:ind w:left="567" w:hanging="567"/>
        <w:rPr>
          <w:rFonts w:cstheme="minorHAnsi"/>
          <w:sz w:val="24"/>
          <w:szCs w:val="24"/>
        </w:rPr>
      </w:pPr>
      <w:r w:rsidRPr="00854A03">
        <w:rPr>
          <w:rFonts w:cstheme="minorHAnsi"/>
          <w:sz w:val="24"/>
          <w:szCs w:val="24"/>
        </w:rPr>
        <w:t>This was echoed by the Australian Sugar Milling Council, which states it is “vital to continue to grow market options for the future of the industry” outside of Australia’s existing export markets in Asia.</w:t>
      </w:r>
      <w:r>
        <w:rPr>
          <w:rStyle w:val="FootnoteReference"/>
          <w:rFonts w:cstheme="minorHAnsi"/>
          <w:sz w:val="24"/>
          <w:szCs w:val="24"/>
        </w:rPr>
        <w:footnoteReference w:id="33"/>
      </w:r>
    </w:p>
    <w:p w14:paraId="335121D1" w14:textId="77777777" w:rsidR="00D1368D" w:rsidRDefault="00D1368D" w:rsidP="00D1368D">
      <w:pPr>
        <w:pStyle w:val="ListParagraph"/>
        <w:ind w:left="360"/>
        <w:rPr>
          <w:rFonts w:cstheme="minorHAnsi"/>
          <w:sz w:val="24"/>
          <w:szCs w:val="24"/>
        </w:rPr>
      </w:pPr>
    </w:p>
    <w:p w14:paraId="4A8B1309" w14:textId="49A1C92F" w:rsidR="00D1368D" w:rsidRDefault="00D1368D" w:rsidP="00D1368D">
      <w:pPr>
        <w:pStyle w:val="ListParagraph"/>
        <w:numPr>
          <w:ilvl w:val="0"/>
          <w:numId w:val="1"/>
        </w:numPr>
        <w:ind w:left="567" w:hanging="567"/>
        <w:rPr>
          <w:rFonts w:cstheme="minorHAnsi"/>
          <w:sz w:val="24"/>
          <w:szCs w:val="24"/>
        </w:rPr>
      </w:pPr>
      <w:r w:rsidRPr="00854A03">
        <w:rPr>
          <w:rFonts w:cstheme="minorHAnsi"/>
          <w:sz w:val="24"/>
          <w:szCs w:val="24"/>
        </w:rPr>
        <w:lastRenderedPageBreak/>
        <w:t xml:space="preserve">Expanding market opportunities for Australian sugar producers is also likely to have a regional effect in Australia, with the vast majority (95 per cent) of Australian sugar produced in Queensland. </w:t>
      </w:r>
      <w:r>
        <w:rPr>
          <w:rStyle w:val="FootnoteReference"/>
          <w:rFonts w:cstheme="minorHAnsi"/>
          <w:sz w:val="24"/>
          <w:szCs w:val="24"/>
        </w:rPr>
        <w:footnoteReference w:id="34"/>
      </w:r>
      <w:r w:rsidRPr="00854A03">
        <w:rPr>
          <w:rFonts w:cstheme="minorHAnsi"/>
          <w:sz w:val="24"/>
          <w:szCs w:val="24"/>
        </w:rPr>
        <w:t xml:space="preserve"> A</w:t>
      </w:r>
      <w:r>
        <w:rPr>
          <w:rFonts w:cstheme="minorHAnsi"/>
          <w:sz w:val="24"/>
          <w:szCs w:val="24"/>
        </w:rPr>
        <w:t>n</w:t>
      </w:r>
      <w:r w:rsidRPr="00854A03">
        <w:rPr>
          <w:rFonts w:cstheme="minorHAnsi"/>
          <w:sz w:val="24"/>
          <w:szCs w:val="24"/>
        </w:rPr>
        <w:t xml:space="preserve"> </w:t>
      </w:r>
      <w:r>
        <w:rPr>
          <w:rFonts w:cstheme="minorHAnsi"/>
          <w:sz w:val="24"/>
          <w:szCs w:val="24"/>
        </w:rPr>
        <w:t>FTA</w:t>
      </w:r>
      <w:r w:rsidRPr="00854A03">
        <w:rPr>
          <w:rFonts w:cstheme="minorHAnsi"/>
          <w:sz w:val="24"/>
          <w:szCs w:val="24"/>
        </w:rPr>
        <w:t xml:space="preserve"> with the UK will therefore have a direct impact for sugar cane producers in Australia whose prospects are improving after the 2019-20 droughts affected yields.</w:t>
      </w:r>
      <w:r>
        <w:rPr>
          <w:rStyle w:val="FootnoteReference"/>
          <w:rFonts w:cstheme="minorHAnsi"/>
          <w:sz w:val="24"/>
          <w:szCs w:val="24"/>
        </w:rPr>
        <w:footnoteReference w:id="35"/>
      </w:r>
      <w:r w:rsidRPr="00854A03">
        <w:rPr>
          <w:rFonts w:cstheme="minorHAnsi"/>
          <w:sz w:val="24"/>
          <w:szCs w:val="24"/>
        </w:rPr>
        <w:t xml:space="preserve"> Most sugar producers in Australia are also experienced exporters, with around 80 per cent of all sugar produced in Australia exported overseas</w:t>
      </w:r>
      <w:r>
        <w:rPr>
          <w:rStyle w:val="FootnoteReference"/>
          <w:rFonts w:cstheme="minorHAnsi"/>
          <w:sz w:val="24"/>
          <w:szCs w:val="24"/>
        </w:rPr>
        <w:footnoteReference w:id="36"/>
      </w:r>
      <w:r w:rsidRPr="00854A03">
        <w:rPr>
          <w:rFonts w:cstheme="minorHAnsi"/>
          <w:sz w:val="24"/>
          <w:szCs w:val="24"/>
        </w:rPr>
        <w:t xml:space="preserve">. </w:t>
      </w:r>
    </w:p>
    <w:p w14:paraId="54661E61" w14:textId="77777777" w:rsidR="00D1368D" w:rsidRPr="00854A03" w:rsidRDefault="00D1368D" w:rsidP="00D1368D">
      <w:pPr>
        <w:pStyle w:val="ListParagraph"/>
        <w:rPr>
          <w:rFonts w:cstheme="minorHAnsi"/>
          <w:sz w:val="24"/>
          <w:szCs w:val="24"/>
        </w:rPr>
      </w:pPr>
    </w:p>
    <w:p w14:paraId="6CA84E78" w14:textId="2A62AE5E" w:rsidR="00D1368D" w:rsidRPr="00854A03" w:rsidRDefault="00D1368D" w:rsidP="00D1368D">
      <w:pPr>
        <w:pStyle w:val="ListParagraph"/>
        <w:numPr>
          <w:ilvl w:val="0"/>
          <w:numId w:val="1"/>
        </w:numPr>
        <w:ind w:left="567" w:hanging="567"/>
        <w:rPr>
          <w:rFonts w:cstheme="minorHAnsi"/>
          <w:sz w:val="24"/>
          <w:szCs w:val="24"/>
        </w:rPr>
      </w:pPr>
      <w:r w:rsidRPr="00854A03">
        <w:rPr>
          <w:rFonts w:cstheme="minorHAnsi"/>
          <w:sz w:val="24"/>
          <w:szCs w:val="24"/>
        </w:rPr>
        <w:t xml:space="preserve">Australian sugar exports could also help meet consumer demand in the UK. With consistently low yields over the last few years, sugar beet production in the UK and the EU </w:t>
      </w:r>
      <w:r w:rsidR="006534D9">
        <w:rPr>
          <w:rFonts w:cstheme="minorHAnsi"/>
          <w:sz w:val="24"/>
          <w:szCs w:val="24"/>
        </w:rPr>
        <w:t>has</w:t>
      </w:r>
      <w:r w:rsidR="006534D9" w:rsidRPr="00854A03">
        <w:rPr>
          <w:rFonts w:cstheme="minorHAnsi"/>
          <w:sz w:val="24"/>
          <w:szCs w:val="24"/>
        </w:rPr>
        <w:t xml:space="preserve"> </w:t>
      </w:r>
      <w:r w:rsidRPr="00854A03">
        <w:rPr>
          <w:rFonts w:cstheme="minorHAnsi"/>
          <w:sz w:val="24"/>
          <w:szCs w:val="24"/>
        </w:rPr>
        <w:t>remained low, leading to a trade deficit in sugar</w:t>
      </w:r>
      <w:r>
        <w:rPr>
          <w:rFonts w:cstheme="minorHAnsi"/>
          <w:sz w:val="24"/>
          <w:szCs w:val="24"/>
        </w:rPr>
        <w:t>.</w:t>
      </w:r>
      <w:r>
        <w:rPr>
          <w:rStyle w:val="FootnoteReference"/>
          <w:rFonts w:cstheme="minorHAnsi"/>
          <w:sz w:val="24"/>
          <w:szCs w:val="24"/>
        </w:rPr>
        <w:footnoteReference w:id="37"/>
      </w:r>
      <w:r w:rsidRPr="00854A03">
        <w:rPr>
          <w:rFonts w:cstheme="minorHAnsi"/>
          <w:sz w:val="24"/>
          <w:szCs w:val="24"/>
        </w:rPr>
        <w:t xml:space="preserve"> Additionally, Australian sugar producers primarily grow sugar cane, offering </w:t>
      </w:r>
      <w:r w:rsidR="006534D9">
        <w:rPr>
          <w:rFonts w:cstheme="minorHAnsi"/>
          <w:sz w:val="24"/>
          <w:szCs w:val="24"/>
        </w:rPr>
        <w:t xml:space="preserve">the UK </w:t>
      </w:r>
      <w:r w:rsidRPr="00854A03">
        <w:rPr>
          <w:rFonts w:cstheme="minorHAnsi"/>
          <w:sz w:val="24"/>
          <w:szCs w:val="24"/>
        </w:rPr>
        <w:t xml:space="preserve">both an alternative source of sugar </w:t>
      </w:r>
      <w:r w:rsidR="006534D9">
        <w:rPr>
          <w:rFonts w:cstheme="minorHAnsi"/>
          <w:sz w:val="24"/>
          <w:szCs w:val="24"/>
        </w:rPr>
        <w:t>imports</w:t>
      </w:r>
      <w:r w:rsidR="006534D9" w:rsidRPr="00854A03">
        <w:rPr>
          <w:rFonts w:cstheme="minorHAnsi"/>
          <w:sz w:val="24"/>
          <w:szCs w:val="24"/>
        </w:rPr>
        <w:t xml:space="preserve"> </w:t>
      </w:r>
      <w:r w:rsidRPr="00854A03">
        <w:rPr>
          <w:rFonts w:cstheme="minorHAnsi"/>
          <w:sz w:val="24"/>
          <w:szCs w:val="24"/>
        </w:rPr>
        <w:t xml:space="preserve">and farming options, which could further fill gaps in the UK domestic market due to recent diseases in sugar beet crops in both the UK and EU. </w:t>
      </w:r>
    </w:p>
    <w:p w14:paraId="1A9C4534" w14:textId="77777777" w:rsidR="00BA60E2" w:rsidRPr="00F6614E" w:rsidRDefault="00BA60E2" w:rsidP="00BA60E2">
      <w:pPr>
        <w:keepNext/>
        <w:rPr>
          <w:rFonts w:cstheme="minorHAnsi"/>
          <w:b/>
          <w:bCs/>
          <w:i/>
          <w:iCs/>
          <w:sz w:val="24"/>
          <w:szCs w:val="24"/>
        </w:rPr>
      </w:pPr>
      <w:r w:rsidRPr="00F6614E">
        <w:rPr>
          <w:rFonts w:cstheme="minorHAnsi"/>
          <w:b/>
          <w:bCs/>
          <w:i/>
          <w:iCs/>
          <w:sz w:val="24"/>
          <w:szCs w:val="24"/>
        </w:rPr>
        <w:t xml:space="preserve">Dairy </w:t>
      </w:r>
    </w:p>
    <w:p w14:paraId="7817A64B" w14:textId="247E6B41" w:rsidR="00BA60E2" w:rsidRPr="009421ED" w:rsidRDefault="007947E3" w:rsidP="00206944">
      <w:pPr>
        <w:pStyle w:val="ListParagraph"/>
        <w:numPr>
          <w:ilvl w:val="0"/>
          <w:numId w:val="1"/>
        </w:numPr>
        <w:ind w:left="567" w:hanging="567"/>
        <w:rPr>
          <w:rFonts w:cstheme="minorHAnsi"/>
          <w:sz w:val="24"/>
          <w:szCs w:val="24"/>
        </w:rPr>
      </w:pPr>
      <w:r>
        <w:rPr>
          <w:rFonts w:cstheme="minorHAnsi"/>
          <w:sz w:val="24"/>
          <w:szCs w:val="24"/>
        </w:rPr>
        <w:t>Tariffs on Australian d</w:t>
      </w:r>
      <w:r w:rsidR="00BA60E2" w:rsidRPr="009421ED">
        <w:rPr>
          <w:rFonts w:cstheme="minorHAnsi"/>
          <w:sz w:val="24"/>
          <w:szCs w:val="24"/>
        </w:rPr>
        <w:t xml:space="preserve">airy </w:t>
      </w:r>
      <w:r>
        <w:rPr>
          <w:rFonts w:cstheme="minorHAnsi"/>
          <w:sz w:val="24"/>
          <w:szCs w:val="24"/>
        </w:rPr>
        <w:t>exports to the UK</w:t>
      </w:r>
      <w:r w:rsidR="00BA60E2" w:rsidRPr="009421ED">
        <w:rPr>
          <w:rFonts w:cstheme="minorHAnsi"/>
          <w:sz w:val="24"/>
          <w:szCs w:val="24"/>
        </w:rPr>
        <w:t xml:space="preserve"> will be eliminated over five years. During the transition period, Australia will have immediate access to duty-free quotas: </w:t>
      </w:r>
    </w:p>
    <w:p w14:paraId="3E53733F" w14:textId="6B39C897" w:rsidR="00BA60E2" w:rsidRPr="009421ED" w:rsidRDefault="00BA60E2" w:rsidP="00BA60E2">
      <w:pPr>
        <w:pStyle w:val="ListParagraph"/>
        <w:numPr>
          <w:ilvl w:val="0"/>
          <w:numId w:val="31"/>
        </w:numPr>
        <w:spacing w:line="256" w:lineRule="auto"/>
        <w:rPr>
          <w:rFonts w:cstheme="minorHAnsi"/>
          <w:sz w:val="24"/>
          <w:szCs w:val="24"/>
        </w:rPr>
      </w:pPr>
      <w:r w:rsidRPr="009421ED">
        <w:rPr>
          <w:rFonts w:cstheme="minorHAnsi"/>
          <w:sz w:val="24"/>
          <w:szCs w:val="24"/>
        </w:rPr>
        <w:t xml:space="preserve">for cheese, of 24,000 tonnes, rising in equal instalments to 48,000 tonnes in year </w:t>
      </w:r>
      <w:r w:rsidR="00F5197E">
        <w:rPr>
          <w:rFonts w:cstheme="minorHAnsi"/>
          <w:sz w:val="24"/>
          <w:szCs w:val="24"/>
        </w:rPr>
        <w:t>five</w:t>
      </w:r>
      <w:r w:rsidRPr="009421ED">
        <w:rPr>
          <w:rFonts w:cstheme="minorHAnsi"/>
          <w:sz w:val="24"/>
          <w:szCs w:val="24"/>
        </w:rPr>
        <w:t xml:space="preserve">, representing </w:t>
      </w:r>
      <w:r w:rsidR="00DE2CD6">
        <w:rPr>
          <w:rFonts w:cstheme="minorHAnsi"/>
          <w:sz w:val="24"/>
          <w:szCs w:val="24"/>
        </w:rPr>
        <w:t>A</w:t>
      </w:r>
      <w:r w:rsidRPr="009421ED">
        <w:rPr>
          <w:rFonts w:cstheme="minorHAnsi"/>
          <w:sz w:val="24"/>
          <w:szCs w:val="24"/>
        </w:rPr>
        <w:t xml:space="preserve">$136 million in increased trade in year </w:t>
      </w:r>
      <w:r w:rsidR="00F5197E">
        <w:rPr>
          <w:rFonts w:cstheme="minorHAnsi"/>
          <w:sz w:val="24"/>
          <w:szCs w:val="24"/>
        </w:rPr>
        <w:t>one</w:t>
      </w:r>
      <w:r w:rsidRPr="009421ED">
        <w:rPr>
          <w:rFonts w:cstheme="minorHAnsi"/>
          <w:sz w:val="24"/>
          <w:szCs w:val="24"/>
        </w:rPr>
        <w:t xml:space="preserve">, rising to </w:t>
      </w:r>
      <w:r w:rsidR="00DE2CD6">
        <w:rPr>
          <w:rFonts w:cstheme="minorHAnsi"/>
          <w:sz w:val="24"/>
          <w:szCs w:val="24"/>
        </w:rPr>
        <w:t>A</w:t>
      </w:r>
      <w:r w:rsidRPr="009421ED">
        <w:rPr>
          <w:rFonts w:cstheme="minorHAnsi"/>
          <w:sz w:val="24"/>
          <w:szCs w:val="24"/>
        </w:rPr>
        <w:t>$272 million in year five, if the quota were filled</w:t>
      </w:r>
    </w:p>
    <w:p w14:paraId="22791639" w14:textId="5CC1E8B7" w:rsidR="00BA60E2" w:rsidRPr="009421ED" w:rsidRDefault="00BA60E2" w:rsidP="00BA60E2">
      <w:pPr>
        <w:pStyle w:val="ListParagraph"/>
        <w:numPr>
          <w:ilvl w:val="0"/>
          <w:numId w:val="31"/>
        </w:numPr>
        <w:spacing w:line="256" w:lineRule="auto"/>
        <w:rPr>
          <w:rFonts w:cstheme="minorHAnsi"/>
          <w:sz w:val="24"/>
          <w:szCs w:val="24"/>
        </w:rPr>
      </w:pPr>
      <w:r w:rsidRPr="009421ED">
        <w:rPr>
          <w:rFonts w:cstheme="minorHAnsi"/>
          <w:sz w:val="24"/>
          <w:szCs w:val="24"/>
        </w:rPr>
        <w:t xml:space="preserve">for non-cheese dairy, of 20,000 tonnes each year, representing an additional </w:t>
      </w:r>
      <w:r w:rsidR="00DE2CD6">
        <w:rPr>
          <w:rFonts w:cstheme="minorHAnsi"/>
          <w:sz w:val="24"/>
          <w:szCs w:val="24"/>
        </w:rPr>
        <w:t>A</w:t>
      </w:r>
      <w:r w:rsidRPr="009421ED">
        <w:rPr>
          <w:rFonts w:cstheme="minorHAnsi"/>
          <w:sz w:val="24"/>
          <w:szCs w:val="24"/>
        </w:rPr>
        <w:t>$52 million in trade each year, if the quota were filled</w:t>
      </w:r>
    </w:p>
    <w:p w14:paraId="7D409B59" w14:textId="523322AE" w:rsidR="00BA60E2" w:rsidRDefault="00BA60E2" w:rsidP="00FC0BDB">
      <w:pPr>
        <w:pStyle w:val="ListParagraph"/>
        <w:numPr>
          <w:ilvl w:val="0"/>
          <w:numId w:val="31"/>
        </w:numPr>
        <w:spacing w:line="256" w:lineRule="auto"/>
        <w:rPr>
          <w:rFonts w:cstheme="minorHAnsi"/>
          <w:sz w:val="24"/>
          <w:szCs w:val="24"/>
        </w:rPr>
      </w:pPr>
      <w:r w:rsidRPr="009421ED">
        <w:rPr>
          <w:rFonts w:cstheme="minorHAnsi"/>
          <w:sz w:val="24"/>
          <w:szCs w:val="24"/>
        </w:rPr>
        <w:t xml:space="preserve">for butter, of 5,500 tonnes, rising to 11,500 tonnes in year </w:t>
      </w:r>
      <w:r w:rsidR="00F5197E">
        <w:rPr>
          <w:rFonts w:cstheme="minorHAnsi"/>
          <w:sz w:val="24"/>
          <w:szCs w:val="24"/>
        </w:rPr>
        <w:t>five</w:t>
      </w:r>
      <w:r w:rsidRPr="009421ED">
        <w:rPr>
          <w:rFonts w:cstheme="minorHAnsi"/>
          <w:sz w:val="24"/>
          <w:szCs w:val="24"/>
        </w:rPr>
        <w:t xml:space="preserve">, representing estimated additional trade of </w:t>
      </w:r>
      <w:r w:rsidR="00DE2CD6">
        <w:rPr>
          <w:rFonts w:cstheme="minorHAnsi"/>
          <w:sz w:val="24"/>
          <w:szCs w:val="24"/>
        </w:rPr>
        <w:t>A</w:t>
      </w:r>
      <w:r w:rsidRPr="009421ED">
        <w:rPr>
          <w:rFonts w:cstheme="minorHAnsi"/>
          <w:sz w:val="24"/>
          <w:szCs w:val="24"/>
        </w:rPr>
        <w:t xml:space="preserve">$35 million in year </w:t>
      </w:r>
      <w:r w:rsidR="00F5197E">
        <w:rPr>
          <w:rFonts w:cstheme="minorHAnsi"/>
          <w:sz w:val="24"/>
          <w:szCs w:val="24"/>
        </w:rPr>
        <w:t>one</w:t>
      </w:r>
      <w:r w:rsidRPr="009421ED">
        <w:rPr>
          <w:rFonts w:cstheme="minorHAnsi"/>
          <w:sz w:val="24"/>
          <w:szCs w:val="24"/>
        </w:rPr>
        <w:t xml:space="preserve">, rising to </w:t>
      </w:r>
      <w:r w:rsidR="00DE2CD6">
        <w:rPr>
          <w:rFonts w:cstheme="minorHAnsi"/>
          <w:sz w:val="24"/>
          <w:szCs w:val="24"/>
        </w:rPr>
        <w:t>A</w:t>
      </w:r>
      <w:r w:rsidRPr="009421ED">
        <w:rPr>
          <w:rFonts w:cstheme="minorHAnsi"/>
          <w:sz w:val="24"/>
          <w:szCs w:val="24"/>
        </w:rPr>
        <w:t xml:space="preserve">$76 million in year </w:t>
      </w:r>
      <w:proofErr w:type="gramStart"/>
      <w:r w:rsidR="00F5197E">
        <w:rPr>
          <w:rFonts w:cstheme="minorHAnsi"/>
          <w:sz w:val="24"/>
          <w:szCs w:val="24"/>
        </w:rPr>
        <w:t>five</w:t>
      </w:r>
      <w:r w:rsidRPr="009421ED">
        <w:rPr>
          <w:rFonts w:cstheme="minorHAnsi"/>
          <w:sz w:val="24"/>
          <w:szCs w:val="24"/>
        </w:rPr>
        <w:t>, if</w:t>
      </w:r>
      <w:proofErr w:type="gramEnd"/>
      <w:r w:rsidRPr="009421ED">
        <w:rPr>
          <w:rFonts w:cstheme="minorHAnsi"/>
          <w:sz w:val="24"/>
          <w:szCs w:val="24"/>
        </w:rPr>
        <w:t xml:space="preserve"> the quota were filled.</w:t>
      </w:r>
    </w:p>
    <w:p w14:paraId="0EC65571" w14:textId="77777777" w:rsidR="00675DF9" w:rsidRDefault="00675DF9" w:rsidP="00675DF9">
      <w:pPr>
        <w:pStyle w:val="ListParagraph"/>
        <w:spacing w:line="256" w:lineRule="auto"/>
        <w:rPr>
          <w:rFonts w:cstheme="minorHAnsi"/>
          <w:sz w:val="24"/>
          <w:szCs w:val="24"/>
        </w:rPr>
      </w:pPr>
    </w:p>
    <w:p w14:paraId="4F97D15C" w14:textId="0D2A4D19" w:rsidR="005766DC" w:rsidRDefault="005766DC" w:rsidP="005766DC">
      <w:pPr>
        <w:pStyle w:val="ListParagraph"/>
        <w:numPr>
          <w:ilvl w:val="0"/>
          <w:numId w:val="1"/>
        </w:numPr>
        <w:ind w:left="567" w:hanging="567"/>
        <w:rPr>
          <w:rFonts w:cstheme="minorHAnsi"/>
          <w:sz w:val="24"/>
          <w:szCs w:val="24"/>
        </w:rPr>
      </w:pPr>
      <w:r w:rsidRPr="002F295D">
        <w:rPr>
          <w:rFonts w:cstheme="minorHAnsi"/>
          <w:sz w:val="24"/>
          <w:szCs w:val="24"/>
        </w:rPr>
        <w:t>The dairy industry is the fourth largest rural industry in Australia</w:t>
      </w:r>
      <w:r>
        <w:rPr>
          <w:rFonts w:cstheme="minorHAnsi"/>
          <w:sz w:val="24"/>
          <w:szCs w:val="24"/>
        </w:rPr>
        <w:t>, generating around A</w:t>
      </w:r>
      <w:r w:rsidRPr="002F295D">
        <w:rPr>
          <w:rFonts w:cstheme="minorHAnsi"/>
          <w:sz w:val="24"/>
          <w:szCs w:val="24"/>
        </w:rPr>
        <w:t>$4.8</w:t>
      </w:r>
      <w:r>
        <w:rPr>
          <w:rFonts w:cstheme="minorHAnsi"/>
          <w:sz w:val="24"/>
          <w:szCs w:val="24"/>
        </w:rPr>
        <w:t> </w:t>
      </w:r>
      <w:r w:rsidRPr="002F295D">
        <w:rPr>
          <w:rFonts w:cstheme="minorHAnsi"/>
          <w:sz w:val="24"/>
          <w:szCs w:val="24"/>
        </w:rPr>
        <w:t>billion in farmgate valu</w:t>
      </w:r>
      <w:r>
        <w:rPr>
          <w:rFonts w:cstheme="minorHAnsi"/>
          <w:sz w:val="24"/>
          <w:szCs w:val="24"/>
        </w:rPr>
        <w:t>e in 2019-20.</w:t>
      </w:r>
      <w:r>
        <w:rPr>
          <w:rStyle w:val="FootnoteReference"/>
          <w:rFonts w:cstheme="minorHAnsi"/>
          <w:sz w:val="24"/>
          <w:szCs w:val="24"/>
        </w:rPr>
        <w:footnoteReference w:id="38"/>
      </w:r>
      <w:r>
        <w:rPr>
          <w:rFonts w:cstheme="minorHAnsi"/>
          <w:sz w:val="24"/>
          <w:szCs w:val="24"/>
        </w:rPr>
        <w:t xml:space="preserve"> Most of Australia’s export markets for dairy products are in Asia.</w:t>
      </w:r>
      <w:r>
        <w:rPr>
          <w:rStyle w:val="FootnoteReference"/>
          <w:rFonts w:cstheme="minorHAnsi"/>
          <w:sz w:val="24"/>
          <w:szCs w:val="24"/>
        </w:rPr>
        <w:footnoteReference w:id="39"/>
      </w:r>
      <w:r>
        <w:rPr>
          <w:rFonts w:cstheme="minorHAnsi"/>
          <w:sz w:val="24"/>
          <w:szCs w:val="24"/>
        </w:rPr>
        <w:t xml:space="preserve"> As such, an FTA with the UK could help Australian dairy producers further diversify their export markets. </w:t>
      </w:r>
    </w:p>
    <w:p w14:paraId="0E47A8C4" w14:textId="77777777" w:rsidR="005766DC" w:rsidRDefault="005766DC" w:rsidP="005766DC">
      <w:pPr>
        <w:pStyle w:val="ListParagraph"/>
        <w:ind w:left="360"/>
        <w:rPr>
          <w:rFonts w:cstheme="minorHAnsi"/>
          <w:sz w:val="24"/>
          <w:szCs w:val="24"/>
        </w:rPr>
      </w:pPr>
    </w:p>
    <w:p w14:paraId="2E748ABA" w14:textId="17930F61" w:rsidR="005766DC" w:rsidRPr="005766DC" w:rsidRDefault="005766DC" w:rsidP="005766DC">
      <w:pPr>
        <w:pStyle w:val="ListParagraph"/>
        <w:numPr>
          <w:ilvl w:val="0"/>
          <w:numId w:val="1"/>
        </w:numPr>
        <w:ind w:left="567" w:hanging="567"/>
        <w:rPr>
          <w:rFonts w:cstheme="minorHAnsi"/>
          <w:sz w:val="24"/>
          <w:szCs w:val="24"/>
        </w:rPr>
      </w:pPr>
      <w:r w:rsidRPr="003B4315">
        <w:rPr>
          <w:rFonts w:cstheme="minorHAnsi"/>
          <w:sz w:val="24"/>
          <w:szCs w:val="24"/>
        </w:rPr>
        <w:t>Given the volatility of dairy products generally (due to the perishable nature of most goods, and susceptibility of production to unforeseeable events such as adverse weather conditions and disease), having greater diversity in our export markets could</w:t>
      </w:r>
      <w:r>
        <w:rPr>
          <w:rFonts w:cstheme="minorHAnsi"/>
          <w:sz w:val="24"/>
          <w:szCs w:val="24"/>
        </w:rPr>
        <w:t xml:space="preserve"> </w:t>
      </w:r>
      <w:r w:rsidRPr="003B4315">
        <w:rPr>
          <w:rFonts w:cstheme="minorHAnsi"/>
          <w:sz w:val="24"/>
          <w:szCs w:val="24"/>
        </w:rPr>
        <w:t xml:space="preserve">help reduce vulnerability to shocks. </w:t>
      </w:r>
      <w:r>
        <w:rPr>
          <w:rFonts w:cstheme="minorHAnsi"/>
          <w:sz w:val="24"/>
          <w:szCs w:val="24"/>
        </w:rPr>
        <w:t>As Dairy Australia notes, “</w:t>
      </w:r>
      <w:r w:rsidRPr="003B4315">
        <w:rPr>
          <w:rFonts w:cstheme="minorHAnsi"/>
          <w:sz w:val="24"/>
          <w:szCs w:val="24"/>
        </w:rPr>
        <w:t>although most</w:t>
      </w:r>
      <w:r>
        <w:rPr>
          <w:rFonts w:cstheme="minorHAnsi"/>
          <w:sz w:val="24"/>
          <w:szCs w:val="24"/>
        </w:rPr>
        <w:t xml:space="preserve"> </w:t>
      </w:r>
      <w:r w:rsidRPr="005766DC">
        <w:rPr>
          <w:rFonts w:cstheme="minorHAnsi"/>
          <w:sz w:val="24"/>
          <w:szCs w:val="24"/>
        </w:rPr>
        <w:t xml:space="preserve">Australian dairy is consumed domestically, international markets and events have a </w:t>
      </w:r>
      <w:r w:rsidRPr="005766DC">
        <w:rPr>
          <w:rFonts w:cstheme="minorHAnsi"/>
          <w:sz w:val="24"/>
          <w:szCs w:val="24"/>
        </w:rPr>
        <w:lastRenderedPageBreak/>
        <w:t>major influence on Australian farmgate milk prices.”</w:t>
      </w:r>
      <w:r>
        <w:rPr>
          <w:rStyle w:val="FootnoteReference"/>
          <w:rFonts w:cstheme="minorHAnsi"/>
          <w:sz w:val="24"/>
          <w:szCs w:val="24"/>
        </w:rPr>
        <w:footnoteReference w:id="40"/>
      </w:r>
      <w:r w:rsidRPr="005766DC">
        <w:rPr>
          <w:rFonts w:cstheme="minorHAnsi"/>
          <w:sz w:val="24"/>
          <w:szCs w:val="24"/>
        </w:rPr>
        <w:t xml:space="preserve"> Supporting Australian dairy farmers and producers to expand their export markets could also help the many dairy farmers and producers who were affected by drought early in the 2019-20 season.</w:t>
      </w:r>
      <w:r>
        <w:rPr>
          <w:rStyle w:val="FootnoteReference"/>
          <w:rFonts w:cstheme="minorHAnsi"/>
          <w:sz w:val="24"/>
          <w:szCs w:val="24"/>
        </w:rPr>
        <w:footnoteReference w:id="41"/>
      </w:r>
    </w:p>
    <w:p w14:paraId="47FAD737" w14:textId="77777777" w:rsidR="005766DC" w:rsidRDefault="005766DC" w:rsidP="005766DC">
      <w:pPr>
        <w:pStyle w:val="ListParagraph"/>
        <w:ind w:left="360"/>
        <w:rPr>
          <w:rFonts w:cstheme="minorHAnsi"/>
          <w:sz w:val="24"/>
          <w:szCs w:val="24"/>
        </w:rPr>
      </w:pPr>
    </w:p>
    <w:p w14:paraId="1CCB6AD7" w14:textId="05FAEFBF" w:rsidR="000A1984" w:rsidRDefault="005766DC" w:rsidP="007979BB">
      <w:pPr>
        <w:pStyle w:val="ListParagraph"/>
        <w:numPr>
          <w:ilvl w:val="0"/>
          <w:numId w:val="1"/>
        </w:numPr>
        <w:ind w:left="567" w:hanging="567"/>
        <w:rPr>
          <w:rFonts w:cstheme="minorHAnsi"/>
          <w:sz w:val="24"/>
          <w:szCs w:val="24"/>
        </w:rPr>
      </w:pPr>
      <w:r>
        <w:rPr>
          <w:rFonts w:cstheme="minorHAnsi"/>
          <w:sz w:val="24"/>
          <w:szCs w:val="24"/>
        </w:rPr>
        <w:t xml:space="preserve">In addition to the benefits of diversifying trade for Australian dairy exports, the UK faces high domestic demand for dairy products and new challenges to meet that demand. </w:t>
      </w:r>
      <w:r w:rsidR="007979BB">
        <w:rPr>
          <w:rFonts w:cstheme="minorHAnsi"/>
          <w:sz w:val="24"/>
          <w:szCs w:val="24"/>
        </w:rPr>
        <w:t xml:space="preserve">Australian exports of dairy could help fill the domestic supply-demand gap in the UK. </w:t>
      </w:r>
      <w:r>
        <w:rPr>
          <w:rFonts w:cstheme="minorHAnsi"/>
          <w:sz w:val="24"/>
          <w:szCs w:val="24"/>
        </w:rPr>
        <w:t xml:space="preserve">Like Australia, </w:t>
      </w:r>
      <w:proofErr w:type="gramStart"/>
      <w:r>
        <w:rPr>
          <w:rFonts w:cstheme="minorHAnsi"/>
          <w:sz w:val="24"/>
          <w:szCs w:val="24"/>
        </w:rPr>
        <w:t>the majority of</w:t>
      </w:r>
      <w:proofErr w:type="gramEnd"/>
      <w:r>
        <w:rPr>
          <w:rFonts w:cstheme="minorHAnsi"/>
          <w:sz w:val="24"/>
          <w:szCs w:val="24"/>
        </w:rPr>
        <w:t xml:space="preserve"> dairy products produced in the UK are for domestic consumption, though the</w:t>
      </w:r>
      <w:r w:rsidR="007979BB">
        <w:rPr>
          <w:rFonts w:cstheme="minorHAnsi"/>
          <w:sz w:val="24"/>
          <w:szCs w:val="24"/>
        </w:rPr>
        <w:t xml:space="preserve"> UK does e</w:t>
      </w:r>
      <w:r>
        <w:rPr>
          <w:rFonts w:cstheme="minorHAnsi"/>
          <w:sz w:val="24"/>
          <w:szCs w:val="24"/>
        </w:rPr>
        <w:t>xport</w:t>
      </w:r>
      <w:r w:rsidR="007979BB">
        <w:rPr>
          <w:rFonts w:cstheme="minorHAnsi"/>
          <w:sz w:val="24"/>
          <w:szCs w:val="24"/>
        </w:rPr>
        <w:t xml:space="preserve"> some</w:t>
      </w:r>
      <w:r>
        <w:rPr>
          <w:rFonts w:cstheme="minorHAnsi"/>
          <w:sz w:val="24"/>
          <w:szCs w:val="24"/>
        </w:rPr>
        <w:t xml:space="preserve"> milk,</w:t>
      </w:r>
      <w:r w:rsidRPr="005031D0">
        <w:rPr>
          <w:rFonts w:cstheme="minorHAnsi"/>
          <w:sz w:val="24"/>
          <w:szCs w:val="24"/>
        </w:rPr>
        <w:t xml:space="preserve"> </w:t>
      </w:r>
      <w:r w:rsidR="00D05AFF">
        <w:rPr>
          <w:rFonts w:cstheme="minorHAnsi"/>
          <w:sz w:val="24"/>
          <w:szCs w:val="24"/>
        </w:rPr>
        <w:t xml:space="preserve">cheese, </w:t>
      </w:r>
      <w:r w:rsidRPr="005031D0">
        <w:rPr>
          <w:rFonts w:cstheme="minorHAnsi"/>
          <w:sz w:val="24"/>
          <w:szCs w:val="24"/>
        </w:rPr>
        <w:t>cream and butter</w:t>
      </w:r>
      <w:r>
        <w:rPr>
          <w:rFonts w:cstheme="minorHAnsi"/>
          <w:sz w:val="24"/>
          <w:szCs w:val="24"/>
        </w:rPr>
        <w:t>.</w:t>
      </w:r>
      <w:r>
        <w:rPr>
          <w:rStyle w:val="FootnoteReference"/>
          <w:rFonts w:cstheme="minorHAnsi"/>
          <w:sz w:val="24"/>
          <w:szCs w:val="24"/>
        </w:rPr>
        <w:footnoteReference w:id="42"/>
      </w:r>
      <w:r>
        <w:rPr>
          <w:rFonts w:cstheme="minorHAnsi"/>
          <w:sz w:val="24"/>
          <w:szCs w:val="24"/>
        </w:rPr>
        <w:t xml:space="preserve"> </w:t>
      </w:r>
    </w:p>
    <w:p w14:paraId="5122EA32" w14:textId="77777777" w:rsidR="007979BB" w:rsidRPr="007979BB" w:rsidRDefault="007979BB" w:rsidP="007979BB">
      <w:pPr>
        <w:pStyle w:val="ListParagraph"/>
        <w:rPr>
          <w:rFonts w:cstheme="minorHAnsi"/>
          <w:sz w:val="24"/>
          <w:szCs w:val="24"/>
        </w:rPr>
      </w:pPr>
    </w:p>
    <w:p w14:paraId="42CE8ABA" w14:textId="6F0F6BCE" w:rsidR="000A1984" w:rsidRPr="007979BB" w:rsidRDefault="000826A6" w:rsidP="007979BB">
      <w:pPr>
        <w:pStyle w:val="ListParagraph"/>
        <w:numPr>
          <w:ilvl w:val="0"/>
          <w:numId w:val="1"/>
        </w:numPr>
        <w:ind w:left="567" w:hanging="567"/>
        <w:rPr>
          <w:rFonts w:cstheme="minorHAnsi"/>
          <w:sz w:val="24"/>
          <w:szCs w:val="24"/>
        </w:rPr>
      </w:pPr>
      <w:r w:rsidRPr="007979BB">
        <w:rPr>
          <w:rFonts w:cstheme="minorHAnsi"/>
          <w:sz w:val="24"/>
          <w:szCs w:val="24"/>
        </w:rPr>
        <w:t>There is</w:t>
      </w:r>
      <w:r w:rsidR="000A1984" w:rsidRPr="007979BB">
        <w:rPr>
          <w:rFonts w:cstheme="minorHAnsi"/>
          <w:sz w:val="24"/>
          <w:szCs w:val="24"/>
        </w:rPr>
        <w:t xml:space="preserve"> a general trend of a trade deficit in the UK for dairy, amounting to £1.16bn (A$31.2) for all dairy products in 2020.</w:t>
      </w:r>
      <w:r w:rsidR="000A1984">
        <w:rPr>
          <w:rStyle w:val="FootnoteReference"/>
          <w:rFonts w:cstheme="minorHAnsi"/>
          <w:sz w:val="24"/>
          <w:szCs w:val="24"/>
        </w:rPr>
        <w:footnoteReference w:id="43"/>
      </w:r>
      <w:r w:rsidR="000A1984" w:rsidRPr="007979BB">
        <w:rPr>
          <w:rFonts w:cstheme="minorHAnsi"/>
          <w:sz w:val="24"/>
          <w:szCs w:val="24"/>
        </w:rPr>
        <w:t xml:space="preserve"> Cheese and butter – two goods that an FTA with the UK would cover – have seen trade deficits </w:t>
      </w:r>
      <w:r w:rsidR="007979BB">
        <w:rPr>
          <w:rFonts w:cstheme="minorHAnsi"/>
          <w:sz w:val="24"/>
          <w:szCs w:val="24"/>
        </w:rPr>
        <w:t xml:space="preserve">in the UK </w:t>
      </w:r>
      <w:r w:rsidR="000A1984" w:rsidRPr="007979BB">
        <w:rPr>
          <w:rFonts w:cstheme="minorHAnsi"/>
          <w:sz w:val="24"/>
          <w:szCs w:val="24"/>
        </w:rPr>
        <w:t>for years</w:t>
      </w:r>
      <w:r w:rsidR="007979BB">
        <w:rPr>
          <w:rFonts w:cstheme="minorHAnsi"/>
          <w:sz w:val="24"/>
          <w:szCs w:val="24"/>
        </w:rPr>
        <w:t>, where imports</w:t>
      </w:r>
      <w:r w:rsidR="00D05AFF">
        <w:rPr>
          <w:rFonts w:cstheme="minorHAnsi"/>
          <w:sz w:val="24"/>
          <w:szCs w:val="24"/>
        </w:rPr>
        <w:t xml:space="preserve"> </w:t>
      </w:r>
      <w:r w:rsidR="007979BB">
        <w:rPr>
          <w:rFonts w:cstheme="minorHAnsi"/>
          <w:sz w:val="24"/>
          <w:szCs w:val="24"/>
        </w:rPr>
        <w:t>outstrip exports</w:t>
      </w:r>
      <w:r w:rsidR="000A1984" w:rsidRPr="007979BB">
        <w:rPr>
          <w:rFonts w:cstheme="minorHAnsi"/>
          <w:sz w:val="24"/>
          <w:szCs w:val="24"/>
        </w:rPr>
        <w:t xml:space="preserve">. Unless domestic production </w:t>
      </w:r>
      <w:proofErr w:type="gramStart"/>
      <w:r w:rsidR="000A1984" w:rsidRPr="007979BB">
        <w:rPr>
          <w:rFonts w:cstheme="minorHAnsi"/>
          <w:sz w:val="24"/>
          <w:szCs w:val="24"/>
        </w:rPr>
        <w:t>is able to</w:t>
      </w:r>
      <w:proofErr w:type="gramEnd"/>
      <w:r w:rsidR="000A1984" w:rsidRPr="007979BB">
        <w:rPr>
          <w:rFonts w:cstheme="minorHAnsi"/>
          <w:sz w:val="24"/>
          <w:szCs w:val="24"/>
        </w:rPr>
        <w:t xml:space="preserve"> meet demand</w:t>
      </w:r>
      <w:r w:rsidR="007979BB">
        <w:rPr>
          <w:rFonts w:cstheme="minorHAnsi"/>
          <w:sz w:val="24"/>
          <w:szCs w:val="24"/>
        </w:rPr>
        <w:t xml:space="preserve">, </w:t>
      </w:r>
      <w:r w:rsidR="000A1984" w:rsidRPr="007979BB">
        <w:rPr>
          <w:rFonts w:cstheme="minorHAnsi"/>
          <w:sz w:val="24"/>
          <w:szCs w:val="24"/>
        </w:rPr>
        <w:t xml:space="preserve">there could be a gap in the market for Australian exporters in the UK. </w:t>
      </w:r>
      <w:r w:rsidR="00D05AFF">
        <w:rPr>
          <w:rFonts w:cstheme="minorHAnsi"/>
          <w:sz w:val="24"/>
          <w:szCs w:val="24"/>
        </w:rPr>
        <w:t>That gap may increase considering the UK’s FTA negotiation agenda and increasing global demand for dairy products</w:t>
      </w:r>
      <w:r w:rsidR="00D05AFF">
        <w:rPr>
          <w:rStyle w:val="FootnoteReference"/>
          <w:rFonts w:cstheme="minorHAnsi"/>
          <w:sz w:val="24"/>
          <w:szCs w:val="24"/>
        </w:rPr>
        <w:footnoteReference w:id="44"/>
      </w:r>
      <w:r w:rsidR="00D05AFF">
        <w:rPr>
          <w:rFonts w:cstheme="minorHAnsi"/>
          <w:sz w:val="24"/>
          <w:szCs w:val="24"/>
        </w:rPr>
        <w:t>, which may see more UK dairy exported to new markets and create a further domestic gap</w:t>
      </w:r>
      <w:r w:rsidR="005A19C1">
        <w:rPr>
          <w:rFonts w:cstheme="minorHAnsi"/>
          <w:sz w:val="24"/>
          <w:szCs w:val="24"/>
        </w:rPr>
        <w:t xml:space="preserve"> in the UK</w:t>
      </w:r>
      <w:r w:rsidR="00D05AFF">
        <w:rPr>
          <w:rFonts w:cstheme="minorHAnsi"/>
          <w:sz w:val="24"/>
          <w:szCs w:val="24"/>
        </w:rPr>
        <w:t xml:space="preserve"> that Australian dairy could fill. </w:t>
      </w:r>
      <w:r w:rsidR="000A1984" w:rsidRPr="007979BB">
        <w:rPr>
          <w:rFonts w:cstheme="minorHAnsi"/>
          <w:sz w:val="24"/>
          <w:szCs w:val="24"/>
        </w:rPr>
        <w:t xml:space="preserve"> </w:t>
      </w:r>
    </w:p>
    <w:p w14:paraId="0D4017B1" w14:textId="77777777" w:rsidR="00BA60E2" w:rsidRPr="00F32C76" w:rsidRDefault="00BA60E2" w:rsidP="004C7831">
      <w:pPr>
        <w:rPr>
          <w:b/>
          <w:bCs/>
          <w:i/>
          <w:iCs/>
          <w:sz w:val="24"/>
          <w:szCs w:val="24"/>
        </w:rPr>
      </w:pPr>
      <w:r w:rsidRPr="00F32C76">
        <w:rPr>
          <w:b/>
          <w:bCs/>
          <w:i/>
          <w:iCs/>
          <w:sz w:val="24"/>
          <w:szCs w:val="24"/>
        </w:rPr>
        <w:t>Rice</w:t>
      </w:r>
    </w:p>
    <w:p w14:paraId="537D8ADE" w14:textId="244647A1" w:rsidR="00A55C09" w:rsidRDefault="007947E3" w:rsidP="00415E91">
      <w:pPr>
        <w:pStyle w:val="ListParagraph"/>
        <w:numPr>
          <w:ilvl w:val="0"/>
          <w:numId w:val="1"/>
        </w:numPr>
        <w:ind w:left="567" w:hanging="567"/>
        <w:rPr>
          <w:rFonts w:cstheme="minorHAnsi"/>
          <w:sz w:val="24"/>
          <w:szCs w:val="24"/>
        </w:rPr>
      </w:pPr>
      <w:r>
        <w:rPr>
          <w:rFonts w:cstheme="minorHAnsi"/>
          <w:sz w:val="24"/>
          <w:szCs w:val="24"/>
        </w:rPr>
        <w:t>UK t</w:t>
      </w:r>
      <w:r w:rsidR="002D4F58">
        <w:rPr>
          <w:rFonts w:cstheme="minorHAnsi"/>
          <w:sz w:val="24"/>
          <w:szCs w:val="24"/>
        </w:rPr>
        <w:t xml:space="preserve">ariffs on </w:t>
      </w:r>
      <w:r>
        <w:rPr>
          <w:rFonts w:cstheme="minorHAnsi"/>
          <w:sz w:val="24"/>
          <w:szCs w:val="24"/>
        </w:rPr>
        <w:t xml:space="preserve">Australian </w:t>
      </w:r>
      <w:r w:rsidR="002D4F58" w:rsidRPr="009421ED">
        <w:rPr>
          <w:rFonts w:cstheme="minorHAnsi"/>
          <w:sz w:val="24"/>
          <w:szCs w:val="24"/>
        </w:rPr>
        <w:t xml:space="preserve">short and medium grain milled rice </w:t>
      </w:r>
      <w:r w:rsidR="002D4F58">
        <w:rPr>
          <w:rFonts w:cstheme="minorHAnsi"/>
          <w:sz w:val="24"/>
          <w:szCs w:val="24"/>
        </w:rPr>
        <w:t xml:space="preserve">will be eliminated on </w:t>
      </w:r>
      <w:r w:rsidR="00BA60E2" w:rsidRPr="009421ED">
        <w:rPr>
          <w:rFonts w:cstheme="minorHAnsi"/>
          <w:sz w:val="24"/>
          <w:szCs w:val="24"/>
        </w:rPr>
        <w:t xml:space="preserve">entry into force. Tariffs on broken rice will be eliminated after </w:t>
      </w:r>
      <w:r w:rsidR="0083201A">
        <w:rPr>
          <w:rFonts w:cstheme="minorHAnsi"/>
          <w:sz w:val="24"/>
          <w:szCs w:val="24"/>
        </w:rPr>
        <w:t>four</w:t>
      </w:r>
      <w:r w:rsidR="00BA60E2" w:rsidRPr="009421ED">
        <w:rPr>
          <w:rFonts w:cstheme="minorHAnsi"/>
          <w:sz w:val="24"/>
          <w:szCs w:val="24"/>
        </w:rPr>
        <w:t xml:space="preserve"> years, with access to a duty-free transitional quota of 11, 500 tonnes per year. Australia will also have access to a permanent duty-free quota of 1,000 tonnes per year for long grain milled rice. </w:t>
      </w:r>
    </w:p>
    <w:p w14:paraId="3473C11C" w14:textId="77777777" w:rsidR="00415E91" w:rsidRPr="00415E91" w:rsidRDefault="00415E91" w:rsidP="00415E91">
      <w:pPr>
        <w:pStyle w:val="ListParagraph"/>
        <w:ind w:left="567"/>
        <w:rPr>
          <w:rFonts w:cstheme="minorHAnsi"/>
          <w:sz w:val="24"/>
          <w:szCs w:val="24"/>
        </w:rPr>
      </w:pPr>
    </w:p>
    <w:p w14:paraId="181A7CDF" w14:textId="77777777" w:rsidR="00A47044" w:rsidRPr="0048558F" w:rsidRDefault="00A47044" w:rsidP="00A47044">
      <w:pPr>
        <w:pStyle w:val="ListParagraph"/>
        <w:numPr>
          <w:ilvl w:val="0"/>
          <w:numId w:val="1"/>
        </w:numPr>
        <w:ind w:left="567" w:hanging="567"/>
        <w:rPr>
          <w:rFonts w:cstheme="minorHAnsi"/>
          <w:sz w:val="24"/>
          <w:szCs w:val="24"/>
        </w:rPr>
      </w:pPr>
      <w:bookmarkStart w:id="24" w:name="_Hlk83037267"/>
      <w:r w:rsidRPr="0048558F">
        <w:rPr>
          <w:rFonts w:cstheme="minorHAnsi"/>
          <w:sz w:val="24"/>
          <w:szCs w:val="24"/>
        </w:rPr>
        <w:t xml:space="preserve">According to </w:t>
      </w:r>
      <w:proofErr w:type="spellStart"/>
      <w:r w:rsidRPr="0048558F">
        <w:rPr>
          <w:rFonts w:cstheme="minorHAnsi"/>
          <w:sz w:val="24"/>
          <w:szCs w:val="24"/>
        </w:rPr>
        <w:t>SunRice</w:t>
      </w:r>
      <w:proofErr w:type="spellEnd"/>
      <w:r w:rsidRPr="0048558F">
        <w:rPr>
          <w:rFonts w:cstheme="minorHAnsi"/>
          <w:sz w:val="24"/>
          <w:szCs w:val="24"/>
        </w:rPr>
        <w:t xml:space="preserve"> Chairman, Laurie Arthur, the removal of quota and tariff arrangements under an FTA for short and medium grain varietals “will drastically increase the attractiveness of the United Kingdom as an export destination for our Australian rice products.”</w:t>
      </w:r>
      <w:r>
        <w:rPr>
          <w:rStyle w:val="FootnoteReference"/>
          <w:rFonts w:cstheme="minorHAnsi"/>
          <w:sz w:val="24"/>
          <w:szCs w:val="24"/>
        </w:rPr>
        <w:footnoteReference w:id="45"/>
      </w:r>
    </w:p>
    <w:p w14:paraId="4B354636" w14:textId="77777777" w:rsidR="00A47044" w:rsidRDefault="00A47044" w:rsidP="00A47044">
      <w:pPr>
        <w:pStyle w:val="ListParagraph"/>
        <w:ind w:left="360"/>
        <w:rPr>
          <w:rFonts w:cstheme="minorHAnsi"/>
          <w:sz w:val="24"/>
          <w:szCs w:val="24"/>
        </w:rPr>
      </w:pPr>
    </w:p>
    <w:p w14:paraId="5F7DCFAB" w14:textId="77777777" w:rsidR="000A1984" w:rsidRDefault="000A1984" w:rsidP="000A1984">
      <w:pPr>
        <w:pStyle w:val="ListParagraph"/>
        <w:numPr>
          <w:ilvl w:val="0"/>
          <w:numId w:val="1"/>
        </w:numPr>
        <w:ind w:left="567" w:hanging="567"/>
        <w:rPr>
          <w:rFonts w:cstheme="minorHAnsi"/>
          <w:sz w:val="24"/>
          <w:szCs w:val="24"/>
        </w:rPr>
      </w:pPr>
      <w:r>
        <w:rPr>
          <w:rFonts w:cstheme="minorHAnsi"/>
          <w:sz w:val="24"/>
          <w:szCs w:val="24"/>
        </w:rPr>
        <w:t>The UK is a net importer of rice, importing the equivalent of</w:t>
      </w:r>
      <w:r w:rsidRPr="00CC4400">
        <w:rPr>
          <w:rFonts w:cstheme="minorHAnsi"/>
          <w:sz w:val="24"/>
          <w:szCs w:val="24"/>
        </w:rPr>
        <w:t xml:space="preserve"> </w:t>
      </w:r>
      <w:r>
        <w:rPr>
          <w:rFonts w:cstheme="minorHAnsi"/>
          <w:sz w:val="24"/>
          <w:szCs w:val="24"/>
        </w:rPr>
        <w:t>A</w:t>
      </w:r>
      <w:r w:rsidRPr="00CC4400">
        <w:rPr>
          <w:rFonts w:cstheme="minorHAnsi"/>
          <w:sz w:val="24"/>
          <w:szCs w:val="24"/>
        </w:rPr>
        <w:t>$</w:t>
      </w:r>
      <w:r>
        <w:rPr>
          <w:rFonts w:cstheme="minorHAnsi"/>
          <w:sz w:val="24"/>
          <w:szCs w:val="24"/>
        </w:rPr>
        <w:t>678m worth of rice in 2019.</w:t>
      </w:r>
      <w:r>
        <w:rPr>
          <w:rStyle w:val="FootnoteReference"/>
          <w:rFonts w:cstheme="minorHAnsi"/>
          <w:sz w:val="24"/>
          <w:szCs w:val="24"/>
        </w:rPr>
        <w:footnoteReference w:id="46"/>
      </w:r>
      <w:r>
        <w:rPr>
          <w:rFonts w:cstheme="minorHAnsi"/>
          <w:sz w:val="24"/>
          <w:szCs w:val="24"/>
        </w:rPr>
        <w:t xml:space="preserve"> Rice imports in the UK are primarily f</w:t>
      </w:r>
      <w:r w:rsidRPr="004C20EA">
        <w:rPr>
          <w:rFonts w:cstheme="minorHAnsi"/>
          <w:sz w:val="24"/>
          <w:szCs w:val="24"/>
        </w:rPr>
        <w:t>rom India (</w:t>
      </w:r>
      <w:r>
        <w:rPr>
          <w:rFonts w:cstheme="minorHAnsi"/>
          <w:sz w:val="24"/>
          <w:szCs w:val="24"/>
        </w:rPr>
        <w:t>A</w:t>
      </w:r>
      <w:r w:rsidRPr="004C20EA">
        <w:rPr>
          <w:rFonts w:cstheme="minorHAnsi"/>
          <w:sz w:val="24"/>
          <w:szCs w:val="24"/>
        </w:rPr>
        <w:t>$</w:t>
      </w:r>
      <w:r>
        <w:rPr>
          <w:rFonts w:cstheme="minorHAnsi"/>
          <w:sz w:val="24"/>
          <w:szCs w:val="24"/>
        </w:rPr>
        <w:t>154m</w:t>
      </w:r>
      <w:r w:rsidRPr="004C20EA">
        <w:rPr>
          <w:rFonts w:cstheme="minorHAnsi"/>
          <w:sz w:val="24"/>
          <w:szCs w:val="24"/>
        </w:rPr>
        <w:t>)</w:t>
      </w:r>
      <w:r>
        <w:rPr>
          <w:rFonts w:cstheme="minorHAnsi"/>
          <w:sz w:val="24"/>
          <w:szCs w:val="24"/>
        </w:rPr>
        <w:t xml:space="preserve"> and</w:t>
      </w:r>
      <w:r w:rsidRPr="004C20EA">
        <w:rPr>
          <w:rFonts w:cstheme="minorHAnsi"/>
          <w:sz w:val="24"/>
          <w:szCs w:val="24"/>
        </w:rPr>
        <w:t xml:space="preserve"> Pakistan (</w:t>
      </w:r>
      <w:r>
        <w:rPr>
          <w:rFonts w:cstheme="minorHAnsi"/>
          <w:sz w:val="24"/>
          <w:szCs w:val="24"/>
        </w:rPr>
        <w:t>A</w:t>
      </w:r>
      <w:r w:rsidRPr="004C20EA">
        <w:rPr>
          <w:rFonts w:cstheme="minorHAnsi"/>
          <w:sz w:val="24"/>
          <w:szCs w:val="24"/>
        </w:rPr>
        <w:t>$</w:t>
      </w:r>
      <w:r>
        <w:rPr>
          <w:rFonts w:cstheme="minorHAnsi"/>
          <w:sz w:val="24"/>
          <w:szCs w:val="24"/>
        </w:rPr>
        <w:t>127m</w:t>
      </w:r>
      <w:r w:rsidRPr="004C20EA">
        <w:rPr>
          <w:rFonts w:cstheme="minorHAnsi"/>
          <w:sz w:val="24"/>
          <w:szCs w:val="24"/>
        </w:rPr>
        <w:t xml:space="preserve">), </w:t>
      </w:r>
      <w:r>
        <w:rPr>
          <w:rFonts w:cstheme="minorHAnsi"/>
          <w:sz w:val="24"/>
          <w:szCs w:val="24"/>
        </w:rPr>
        <w:t xml:space="preserve">though some rice also comes from </w:t>
      </w:r>
      <w:r w:rsidRPr="004C20EA">
        <w:rPr>
          <w:rFonts w:cstheme="minorHAnsi"/>
          <w:sz w:val="24"/>
          <w:szCs w:val="24"/>
        </w:rPr>
        <w:t>Italy (</w:t>
      </w:r>
      <w:r>
        <w:rPr>
          <w:rFonts w:cstheme="minorHAnsi"/>
          <w:sz w:val="24"/>
          <w:szCs w:val="24"/>
        </w:rPr>
        <w:t>A</w:t>
      </w:r>
      <w:r w:rsidRPr="004C20EA">
        <w:rPr>
          <w:rFonts w:cstheme="minorHAnsi"/>
          <w:sz w:val="24"/>
          <w:szCs w:val="24"/>
        </w:rPr>
        <w:t>$</w:t>
      </w:r>
      <w:r>
        <w:rPr>
          <w:rFonts w:cstheme="minorHAnsi"/>
          <w:sz w:val="24"/>
          <w:szCs w:val="24"/>
        </w:rPr>
        <w:t>70.4m</w:t>
      </w:r>
      <w:r w:rsidRPr="004C20EA">
        <w:rPr>
          <w:rFonts w:cstheme="minorHAnsi"/>
          <w:sz w:val="24"/>
          <w:szCs w:val="24"/>
        </w:rPr>
        <w:t>) and Spain (</w:t>
      </w:r>
      <w:r>
        <w:rPr>
          <w:rFonts w:cstheme="minorHAnsi"/>
          <w:sz w:val="24"/>
          <w:szCs w:val="24"/>
        </w:rPr>
        <w:t>A</w:t>
      </w:r>
      <w:r w:rsidRPr="004C20EA">
        <w:rPr>
          <w:rFonts w:cstheme="minorHAnsi"/>
          <w:sz w:val="24"/>
          <w:szCs w:val="24"/>
        </w:rPr>
        <w:t>$</w:t>
      </w:r>
      <w:r>
        <w:rPr>
          <w:rFonts w:cstheme="minorHAnsi"/>
          <w:sz w:val="24"/>
          <w:szCs w:val="24"/>
        </w:rPr>
        <w:t>63.5m</w:t>
      </w:r>
      <w:r w:rsidRPr="004C20EA">
        <w:rPr>
          <w:rFonts w:cstheme="minorHAnsi"/>
          <w:sz w:val="24"/>
          <w:szCs w:val="24"/>
        </w:rPr>
        <w:t>).</w:t>
      </w:r>
      <w:r>
        <w:rPr>
          <w:rStyle w:val="FootnoteReference"/>
          <w:rFonts w:cstheme="minorHAnsi"/>
          <w:sz w:val="24"/>
          <w:szCs w:val="24"/>
        </w:rPr>
        <w:footnoteReference w:id="47"/>
      </w:r>
      <w:r>
        <w:rPr>
          <w:rFonts w:cstheme="minorHAnsi"/>
          <w:sz w:val="24"/>
          <w:szCs w:val="24"/>
        </w:rPr>
        <w:t xml:space="preserve"> Although the 2020 pandemic and adverse weather conditions affected rice trade globally, these countries have largely remained the UK’s main import markets for rice. </w:t>
      </w:r>
      <w:r>
        <w:rPr>
          <w:rFonts w:cstheme="minorHAnsi"/>
          <w:sz w:val="24"/>
          <w:szCs w:val="24"/>
        </w:rPr>
        <w:lastRenderedPageBreak/>
        <w:t xml:space="preserve">However, with ongoing trade issues </w:t>
      </w:r>
      <w:proofErr w:type="gramStart"/>
      <w:r>
        <w:rPr>
          <w:rFonts w:cstheme="minorHAnsi"/>
          <w:sz w:val="24"/>
          <w:szCs w:val="24"/>
        </w:rPr>
        <w:t>as a result of</w:t>
      </w:r>
      <w:proofErr w:type="gramEnd"/>
      <w:r>
        <w:rPr>
          <w:rFonts w:cstheme="minorHAnsi"/>
          <w:sz w:val="24"/>
          <w:szCs w:val="24"/>
        </w:rPr>
        <w:t xml:space="preserve"> Brexit, it is possible that Australian producers may be able to fill gaps in the UK market left by EU exporters from Italy and Spain. </w:t>
      </w:r>
    </w:p>
    <w:p w14:paraId="28F93D91" w14:textId="77777777" w:rsidR="00A47044" w:rsidRDefault="00A47044" w:rsidP="00A47044">
      <w:pPr>
        <w:pStyle w:val="ListParagraph"/>
        <w:ind w:left="360"/>
        <w:rPr>
          <w:rFonts w:cstheme="minorHAnsi"/>
          <w:sz w:val="24"/>
          <w:szCs w:val="24"/>
        </w:rPr>
      </w:pPr>
    </w:p>
    <w:p w14:paraId="7CBBA310" w14:textId="77777777" w:rsidR="00A47044" w:rsidRDefault="00A47044" w:rsidP="00A47044">
      <w:pPr>
        <w:pStyle w:val="ListParagraph"/>
        <w:numPr>
          <w:ilvl w:val="0"/>
          <w:numId w:val="1"/>
        </w:numPr>
        <w:ind w:left="567" w:hanging="567"/>
        <w:rPr>
          <w:rFonts w:cstheme="minorHAnsi"/>
          <w:sz w:val="24"/>
          <w:szCs w:val="24"/>
        </w:rPr>
      </w:pPr>
      <w:r>
        <w:rPr>
          <w:rFonts w:cstheme="minorHAnsi"/>
          <w:sz w:val="24"/>
          <w:szCs w:val="24"/>
        </w:rPr>
        <w:t xml:space="preserve">Additionally, as with Australian sugar producers, Australian rice producers are experienced exporters, with </w:t>
      </w:r>
      <w:r w:rsidRPr="00E54EEA">
        <w:rPr>
          <w:rFonts w:cstheme="minorHAnsi"/>
          <w:sz w:val="24"/>
          <w:szCs w:val="24"/>
        </w:rPr>
        <w:t xml:space="preserve">an average of 350,000 tonnes per year of rice </w:t>
      </w:r>
      <w:r>
        <w:rPr>
          <w:rFonts w:cstheme="minorHAnsi"/>
          <w:sz w:val="24"/>
          <w:szCs w:val="24"/>
        </w:rPr>
        <w:t xml:space="preserve">exported </w:t>
      </w:r>
      <w:r w:rsidRPr="00E54EEA">
        <w:rPr>
          <w:rFonts w:cstheme="minorHAnsi"/>
          <w:sz w:val="24"/>
          <w:szCs w:val="24"/>
        </w:rPr>
        <w:t>between 2010–11 and 2019–20</w:t>
      </w:r>
      <w:r>
        <w:rPr>
          <w:rFonts w:cstheme="minorHAnsi"/>
          <w:sz w:val="24"/>
          <w:szCs w:val="24"/>
        </w:rPr>
        <w:t>.</w:t>
      </w:r>
      <w:r>
        <w:rPr>
          <w:rStyle w:val="FootnoteReference"/>
          <w:rFonts w:cstheme="minorHAnsi"/>
          <w:sz w:val="24"/>
          <w:szCs w:val="24"/>
        </w:rPr>
        <w:footnoteReference w:id="48"/>
      </w:r>
      <w:r>
        <w:rPr>
          <w:rFonts w:cstheme="minorHAnsi"/>
          <w:sz w:val="24"/>
          <w:szCs w:val="24"/>
        </w:rPr>
        <w:t xml:space="preserve"> This represents the majority of Australia’s total rice</w:t>
      </w:r>
      <w:r w:rsidRPr="00E54EEA">
        <w:rPr>
          <w:rFonts w:cstheme="minorHAnsi"/>
          <w:sz w:val="24"/>
          <w:szCs w:val="24"/>
        </w:rPr>
        <w:t xml:space="preserve"> crop, </w:t>
      </w:r>
      <w:r>
        <w:rPr>
          <w:rFonts w:cstheme="minorHAnsi"/>
          <w:sz w:val="24"/>
          <w:szCs w:val="24"/>
        </w:rPr>
        <w:t>around 74 per cent in 2020</w:t>
      </w:r>
      <w:r w:rsidRPr="00E54EEA">
        <w:rPr>
          <w:rFonts w:cstheme="minorHAnsi"/>
          <w:sz w:val="24"/>
          <w:szCs w:val="24"/>
        </w:rPr>
        <w:t>.</w:t>
      </w:r>
      <w:r>
        <w:rPr>
          <w:rStyle w:val="FootnoteReference"/>
          <w:rFonts w:cstheme="minorHAnsi"/>
          <w:sz w:val="24"/>
          <w:szCs w:val="24"/>
        </w:rPr>
        <w:footnoteReference w:id="49"/>
      </w:r>
      <w:r>
        <w:rPr>
          <w:rFonts w:cstheme="minorHAnsi"/>
          <w:sz w:val="24"/>
          <w:szCs w:val="24"/>
        </w:rPr>
        <w:t xml:space="preserve"> As with other commodities, providing opportunities for Australian rice producers to further diversify their export markets could help expand the industry and reduce its vulnerability to shocks. </w:t>
      </w:r>
    </w:p>
    <w:p w14:paraId="28969625" w14:textId="77777777" w:rsidR="00BA60E2" w:rsidRPr="00F6614E" w:rsidRDefault="00BA60E2" w:rsidP="00BA60E2">
      <w:pPr>
        <w:keepNext/>
        <w:rPr>
          <w:rFonts w:cstheme="minorHAnsi"/>
          <w:b/>
          <w:bCs/>
          <w:i/>
          <w:iCs/>
          <w:sz w:val="24"/>
          <w:szCs w:val="24"/>
        </w:rPr>
      </w:pPr>
      <w:r w:rsidRPr="00F6614E">
        <w:rPr>
          <w:rFonts w:cstheme="minorHAnsi"/>
          <w:b/>
          <w:bCs/>
          <w:i/>
          <w:iCs/>
          <w:sz w:val="24"/>
          <w:szCs w:val="24"/>
        </w:rPr>
        <w:t xml:space="preserve">Seafood </w:t>
      </w:r>
    </w:p>
    <w:p w14:paraId="340AC2EA" w14:textId="19208025" w:rsidR="00BA60E2" w:rsidRDefault="007947E3" w:rsidP="00206944">
      <w:pPr>
        <w:pStyle w:val="ListParagraph"/>
        <w:numPr>
          <w:ilvl w:val="0"/>
          <w:numId w:val="1"/>
        </w:numPr>
        <w:ind w:left="567" w:hanging="567"/>
        <w:rPr>
          <w:rFonts w:cstheme="minorHAnsi"/>
          <w:sz w:val="24"/>
          <w:szCs w:val="24"/>
        </w:rPr>
      </w:pPr>
      <w:r>
        <w:rPr>
          <w:rFonts w:cstheme="minorHAnsi"/>
          <w:sz w:val="24"/>
          <w:szCs w:val="24"/>
        </w:rPr>
        <w:t>UK t</w:t>
      </w:r>
      <w:r w:rsidR="00BA60E2" w:rsidRPr="009421ED">
        <w:rPr>
          <w:rFonts w:cstheme="minorHAnsi"/>
          <w:sz w:val="24"/>
          <w:szCs w:val="24"/>
        </w:rPr>
        <w:t xml:space="preserve">ariffs on most Australian seafood will be eliminated on entry into force of the agreement, with remaining tariffs eliminated after </w:t>
      </w:r>
      <w:r w:rsidR="0083201A">
        <w:rPr>
          <w:rFonts w:cstheme="minorHAnsi"/>
          <w:sz w:val="24"/>
          <w:szCs w:val="24"/>
        </w:rPr>
        <w:t>three</w:t>
      </w:r>
      <w:r w:rsidR="00BA60E2" w:rsidRPr="009421ED">
        <w:rPr>
          <w:rFonts w:cstheme="minorHAnsi"/>
          <w:sz w:val="24"/>
          <w:szCs w:val="24"/>
        </w:rPr>
        <w:t xml:space="preserve"> years. Tariffs eliminated on entry into force include those on all finfish </w:t>
      </w:r>
      <w:r w:rsidR="006129CE">
        <w:rPr>
          <w:rFonts w:cstheme="minorHAnsi"/>
          <w:sz w:val="24"/>
          <w:szCs w:val="24"/>
        </w:rPr>
        <w:t>as well as</w:t>
      </w:r>
      <w:r w:rsidR="006129CE" w:rsidRPr="009421ED">
        <w:rPr>
          <w:rFonts w:cstheme="minorHAnsi"/>
          <w:sz w:val="24"/>
          <w:szCs w:val="24"/>
        </w:rPr>
        <w:t xml:space="preserve"> </w:t>
      </w:r>
      <w:r w:rsidR="00BA60E2" w:rsidRPr="009421ED">
        <w:rPr>
          <w:rFonts w:cstheme="minorHAnsi"/>
          <w:sz w:val="24"/>
          <w:szCs w:val="24"/>
        </w:rPr>
        <w:t>the 12</w:t>
      </w:r>
      <w:r w:rsidR="00B0441F">
        <w:rPr>
          <w:rFonts w:cstheme="minorHAnsi"/>
          <w:sz w:val="24"/>
          <w:szCs w:val="24"/>
        </w:rPr>
        <w:t xml:space="preserve"> per</w:t>
      </w:r>
      <w:r w:rsidR="0083201A">
        <w:rPr>
          <w:rFonts w:cstheme="minorHAnsi"/>
          <w:sz w:val="24"/>
          <w:szCs w:val="24"/>
        </w:rPr>
        <w:t xml:space="preserve"> </w:t>
      </w:r>
      <w:r w:rsidR="00B0441F">
        <w:rPr>
          <w:rFonts w:cstheme="minorHAnsi"/>
          <w:sz w:val="24"/>
          <w:szCs w:val="24"/>
        </w:rPr>
        <w:t>cent</w:t>
      </w:r>
      <w:r w:rsidR="00BA60E2" w:rsidRPr="009421ED">
        <w:rPr>
          <w:rFonts w:cstheme="minorHAnsi"/>
          <w:sz w:val="24"/>
          <w:szCs w:val="24"/>
        </w:rPr>
        <w:t xml:space="preserve"> tariff on fresh and frozen rock lobster. </w:t>
      </w:r>
    </w:p>
    <w:p w14:paraId="08373955" w14:textId="77777777" w:rsidR="007542C5" w:rsidRDefault="007542C5" w:rsidP="007542C5">
      <w:pPr>
        <w:pStyle w:val="ListParagraph"/>
        <w:ind w:left="567"/>
        <w:rPr>
          <w:rFonts w:cstheme="minorHAnsi"/>
          <w:sz w:val="24"/>
          <w:szCs w:val="24"/>
        </w:rPr>
      </w:pPr>
    </w:p>
    <w:p w14:paraId="55D0AE89" w14:textId="3398AC29" w:rsidR="008310A4" w:rsidRDefault="007542C5" w:rsidP="00206944">
      <w:pPr>
        <w:pStyle w:val="ListParagraph"/>
        <w:numPr>
          <w:ilvl w:val="0"/>
          <w:numId w:val="1"/>
        </w:numPr>
        <w:ind w:left="567" w:hanging="567"/>
        <w:rPr>
          <w:rFonts w:cstheme="minorHAnsi"/>
          <w:sz w:val="24"/>
          <w:szCs w:val="24"/>
        </w:rPr>
      </w:pPr>
      <w:r>
        <w:rPr>
          <w:rFonts w:cstheme="minorHAnsi"/>
          <w:sz w:val="24"/>
          <w:szCs w:val="24"/>
        </w:rPr>
        <w:t xml:space="preserve">As </w:t>
      </w:r>
      <w:r w:rsidRPr="007542C5">
        <w:rPr>
          <w:rFonts w:cstheme="minorHAnsi"/>
          <w:sz w:val="24"/>
          <w:szCs w:val="24"/>
        </w:rPr>
        <w:t>Australian fisheries exports are dominated by high-value products</w:t>
      </w:r>
      <w:r w:rsidR="00A55C09">
        <w:rPr>
          <w:rFonts w:cstheme="minorHAnsi"/>
          <w:sz w:val="24"/>
          <w:szCs w:val="24"/>
        </w:rPr>
        <w:t xml:space="preserve">, </w:t>
      </w:r>
      <w:r w:rsidRPr="007542C5">
        <w:rPr>
          <w:rFonts w:cstheme="minorHAnsi"/>
          <w:sz w:val="24"/>
          <w:szCs w:val="24"/>
        </w:rPr>
        <w:t>such</w:t>
      </w:r>
      <w:r w:rsidR="00A55C09">
        <w:rPr>
          <w:rFonts w:cstheme="minorHAnsi"/>
          <w:sz w:val="24"/>
          <w:szCs w:val="24"/>
        </w:rPr>
        <w:t xml:space="preserve"> </w:t>
      </w:r>
      <w:r w:rsidRPr="007542C5">
        <w:rPr>
          <w:rFonts w:cstheme="minorHAnsi"/>
          <w:sz w:val="24"/>
          <w:szCs w:val="24"/>
        </w:rPr>
        <w:t>as rock lobster</w:t>
      </w:r>
      <w:r>
        <w:rPr>
          <w:rStyle w:val="FootnoteReference"/>
          <w:rFonts w:cstheme="minorHAnsi"/>
          <w:sz w:val="24"/>
          <w:szCs w:val="24"/>
        </w:rPr>
        <w:footnoteReference w:id="50"/>
      </w:r>
      <w:r w:rsidR="00A55C09">
        <w:rPr>
          <w:rFonts w:cstheme="minorHAnsi"/>
          <w:sz w:val="24"/>
          <w:szCs w:val="24"/>
        </w:rPr>
        <w:t xml:space="preserve">, </w:t>
      </w:r>
      <w:r>
        <w:rPr>
          <w:rFonts w:cstheme="minorHAnsi"/>
          <w:sz w:val="24"/>
          <w:szCs w:val="24"/>
        </w:rPr>
        <w:t>this</w:t>
      </w:r>
      <w:r w:rsidR="00A55C09">
        <w:rPr>
          <w:rFonts w:cstheme="minorHAnsi"/>
          <w:sz w:val="24"/>
          <w:szCs w:val="24"/>
        </w:rPr>
        <w:t xml:space="preserve"> </w:t>
      </w:r>
      <w:r>
        <w:rPr>
          <w:rFonts w:cstheme="minorHAnsi"/>
          <w:sz w:val="24"/>
          <w:szCs w:val="24"/>
        </w:rPr>
        <w:t xml:space="preserve">outcome is expected to have a positive </w:t>
      </w:r>
      <w:r w:rsidR="00BF57C2">
        <w:rPr>
          <w:rFonts w:cstheme="minorHAnsi"/>
          <w:sz w:val="24"/>
          <w:szCs w:val="24"/>
        </w:rPr>
        <w:t xml:space="preserve">market </w:t>
      </w:r>
      <w:r>
        <w:rPr>
          <w:rFonts w:cstheme="minorHAnsi"/>
          <w:sz w:val="24"/>
          <w:szCs w:val="24"/>
        </w:rPr>
        <w:t>impact</w:t>
      </w:r>
      <w:r w:rsidR="001B2409">
        <w:rPr>
          <w:rFonts w:cstheme="minorHAnsi"/>
          <w:sz w:val="24"/>
          <w:szCs w:val="24"/>
        </w:rPr>
        <w:t>.</w:t>
      </w:r>
      <w:r>
        <w:rPr>
          <w:rFonts w:cstheme="minorHAnsi"/>
          <w:sz w:val="24"/>
          <w:szCs w:val="24"/>
        </w:rPr>
        <w:t xml:space="preserve"> </w:t>
      </w:r>
      <w:r w:rsidR="001B2409">
        <w:rPr>
          <w:rFonts w:cstheme="minorHAnsi"/>
          <w:sz w:val="24"/>
          <w:szCs w:val="24"/>
        </w:rPr>
        <w:t>T</w:t>
      </w:r>
      <w:r w:rsidR="004F64DC">
        <w:rPr>
          <w:rFonts w:cstheme="minorHAnsi"/>
          <w:sz w:val="24"/>
          <w:szCs w:val="24"/>
        </w:rPr>
        <w:t>he elimination of tariffs</w:t>
      </w:r>
      <w:r w:rsidR="00DA39F8">
        <w:rPr>
          <w:rFonts w:cstheme="minorHAnsi"/>
          <w:sz w:val="24"/>
          <w:szCs w:val="24"/>
        </w:rPr>
        <w:t xml:space="preserve"> </w:t>
      </w:r>
      <w:r w:rsidR="004F64DC">
        <w:rPr>
          <w:rFonts w:cstheme="minorHAnsi"/>
          <w:sz w:val="24"/>
          <w:szCs w:val="24"/>
        </w:rPr>
        <w:t xml:space="preserve">provides an opportunity for an alternative </w:t>
      </w:r>
      <w:r w:rsidR="00BF57C2">
        <w:rPr>
          <w:rFonts w:cstheme="minorHAnsi"/>
          <w:sz w:val="24"/>
          <w:szCs w:val="24"/>
        </w:rPr>
        <w:t xml:space="preserve">export </w:t>
      </w:r>
      <w:r w:rsidR="004F64DC">
        <w:rPr>
          <w:rFonts w:cstheme="minorHAnsi"/>
          <w:sz w:val="24"/>
          <w:szCs w:val="24"/>
        </w:rPr>
        <w:t xml:space="preserve">market to grow. </w:t>
      </w:r>
    </w:p>
    <w:p w14:paraId="41C49ECD" w14:textId="77777777" w:rsidR="008310A4" w:rsidRPr="008310A4" w:rsidRDefault="008310A4" w:rsidP="008310A4">
      <w:pPr>
        <w:pStyle w:val="ListParagraph"/>
        <w:rPr>
          <w:rFonts w:cstheme="minorHAnsi"/>
          <w:sz w:val="24"/>
          <w:szCs w:val="24"/>
        </w:rPr>
      </w:pPr>
    </w:p>
    <w:p w14:paraId="6B6D4EBA" w14:textId="1C95E7FE" w:rsidR="00A47044" w:rsidRPr="005A7FBF" w:rsidRDefault="004F64DC" w:rsidP="001B2409">
      <w:pPr>
        <w:pStyle w:val="ListParagraph"/>
        <w:numPr>
          <w:ilvl w:val="0"/>
          <w:numId w:val="1"/>
        </w:numPr>
        <w:ind w:left="567" w:hanging="567"/>
        <w:rPr>
          <w:rFonts w:cstheme="minorHAnsi"/>
          <w:sz w:val="24"/>
          <w:szCs w:val="24"/>
        </w:rPr>
      </w:pPr>
      <w:r>
        <w:rPr>
          <w:rFonts w:cstheme="minorHAnsi"/>
          <w:sz w:val="24"/>
          <w:szCs w:val="24"/>
        </w:rPr>
        <w:t xml:space="preserve">As </w:t>
      </w:r>
      <w:r w:rsidR="008310A4" w:rsidRPr="00CF0AFF">
        <w:rPr>
          <w:rFonts w:cstheme="minorHAnsi"/>
          <w:b/>
          <w:bCs/>
          <w:sz w:val="24"/>
          <w:szCs w:val="24"/>
          <w:u w:val="single"/>
        </w:rPr>
        <w:t>G</w:t>
      </w:r>
      <w:r w:rsidRPr="00CF0AFF">
        <w:rPr>
          <w:rFonts w:cstheme="minorHAnsi"/>
          <w:b/>
          <w:bCs/>
          <w:sz w:val="24"/>
          <w:szCs w:val="24"/>
          <w:u w:val="single"/>
        </w:rPr>
        <w:t>raph</w:t>
      </w:r>
      <w:r w:rsidR="008310A4" w:rsidRPr="00CF0AFF">
        <w:rPr>
          <w:rFonts w:cstheme="minorHAnsi"/>
          <w:b/>
          <w:bCs/>
          <w:sz w:val="24"/>
          <w:szCs w:val="24"/>
          <w:u w:val="single"/>
        </w:rPr>
        <w:t xml:space="preserve"> </w:t>
      </w:r>
      <w:r w:rsidR="009667B4">
        <w:rPr>
          <w:rFonts w:cstheme="minorHAnsi"/>
          <w:b/>
          <w:bCs/>
          <w:sz w:val="24"/>
          <w:szCs w:val="24"/>
          <w:u w:val="single"/>
        </w:rPr>
        <w:t>6</w:t>
      </w:r>
      <w:r>
        <w:rPr>
          <w:rFonts w:cstheme="minorHAnsi"/>
          <w:sz w:val="24"/>
          <w:szCs w:val="24"/>
        </w:rPr>
        <w:t xml:space="preserve"> illustrates, there w</w:t>
      </w:r>
      <w:r w:rsidR="00BF57C2">
        <w:rPr>
          <w:rFonts w:cstheme="minorHAnsi"/>
          <w:sz w:val="24"/>
          <w:szCs w:val="24"/>
        </w:rPr>
        <w:t>as a drop in rock l</w:t>
      </w:r>
      <w:r>
        <w:rPr>
          <w:rFonts w:cstheme="minorHAnsi"/>
          <w:sz w:val="24"/>
          <w:szCs w:val="24"/>
        </w:rPr>
        <w:t>obster exports in 2020</w:t>
      </w:r>
      <w:r w:rsidR="00BF57C2">
        <w:rPr>
          <w:rFonts w:cstheme="minorHAnsi"/>
          <w:sz w:val="24"/>
          <w:szCs w:val="24"/>
        </w:rPr>
        <w:t xml:space="preserve">. </w:t>
      </w:r>
      <w:r w:rsidR="00A55C09">
        <w:rPr>
          <w:rFonts w:cstheme="minorHAnsi"/>
          <w:sz w:val="24"/>
          <w:szCs w:val="24"/>
        </w:rPr>
        <w:t>Economists suggested that this</w:t>
      </w:r>
      <w:r w:rsidR="00BF57C2">
        <w:rPr>
          <w:rFonts w:cstheme="minorHAnsi"/>
          <w:sz w:val="24"/>
          <w:szCs w:val="24"/>
        </w:rPr>
        <w:t xml:space="preserve"> was primarily due to a reduction in export </w:t>
      </w:r>
      <w:r w:rsidR="00DA39F8">
        <w:rPr>
          <w:rFonts w:cstheme="minorHAnsi"/>
          <w:sz w:val="24"/>
          <w:szCs w:val="24"/>
        </w:rPr>
        <w:t>trade with China and</w:t>
      </w:r>
      <w:r w:rsidR="00BC4258">
        <w:rPr>
          <w:rFonts w:cstheme="minorHAnsi"/>
          <w:sz w:val="24"/>
          <w:szCs w:val="24"/>
        </w:rPr>
        <w:t xml:space="preserve"> freight disruptions due to</w:t>
      </w:r>
      <w:r w:rsidR="00DA39F8">
        <w:rPr>
          <w:rFonts w:cstheme="minorHAnsi"/>
          <w:sz w:val="24"/>
          <w:szCs w:val="24"/>
        </w:rPr>
        <w:t xml:space="preserve"> the global pandemic</w:t>
      </w:r>
      <w:r>
        <w:rPr>
          <w:rFonts w:cstheme="minorHAnsi"/>
          <w:sz w:val="24"/>
          <w:szCs w:val="24"/>
        </w:rPr>
        <w:t>.</w:t>
      </w:r>
      <w:r w:rsidR="00A47044" w:rsidRPr="00A47044">
        <w:rPr>
          <w:rStyle w:val="FootnoteReference"/>
          <w:rFonts w:cstheme="minorHAnsi"/>
          <w:sz w:val="24"/>
          <w:szCs w:val="24"/>
        </w:rPr>
        <w:t xml:space="preserve"> </w:t>
      </w:r>
      <w:r w:rsidR="00A47044">
        <w:rPr>
          <w:rStyle w:val="FootnoteReference"/>
          <w:rFonts w:cstheme="minorHAnsi"/>
          <w:sz w:val="24"/>
          <w:szCs w:val="24"/>
        </w:rPr>
        <w:footnoteReference w:id="51"/>
      </w:r>
      <w:r w:rsidR="00A47044">
        <w:rPr>
          <w:rFonts w:cstheme="minorHAnsi"/>
          <w:sz w:val="24"/>
          <w:szCs w:val="24"/>
        </w:rPr>
        <w:t xml:space="preserve"> </w:t>
      </w:r>
      <w:r>
        <w:rPr>
          <w:rFonts w:cstheme="minorHAnsi"/>
          <w:sz w:val="24"/>
          <w:szCs w:val="24"/>
        </w:rPr>
        <w:t xml:space="preserve"> </w:t>
      </w:r>
      <w:r w:rsidRPr="004F64DC">
        <w:rPr>
          <w:rFonts w:cstheme="minorHAnsi"/>
          <w:sz w:val="24"/>
          <w:szCs w:val="24"/>
        </w:rPr>
        <w:t>China accounted for around 91</w:t>
      </w:r>
      <w:r>
        <w:rPr>
          <w:rFonts w:cstheme="minorHAnsi"/>
          <w:sz w:val="24"/>
          <w:szCs w:val="24"/>
        </w:rPr>
        <w:t xml:space="preserve"> per cent</w:t>
      </w:r>
      <w:r w:rsidRPr="004F64DC">
        <w:rPr>
          <w:rFonts w:cstheme="minorHAnsi"/>
          <w:sz w:val="24"/>
          <w:szCs w:val="24"/>
        </w:rPr>
        <w:t xml:space="preserve"> of Australian rock lobster exports in 2019 and 2020</w:t>
      </w:r>
      <w:r w:rsidR="00BF57C2">
        <w:rPr>
          <w:rFonts w:cstheme="minorHAnsi"/>
          <w:sz w:val="24"/>
          <w:szCs w:val="24"/>
        </w:rPr>
        <w:t>.</w:t>
      </w:r>
      <w:r w:rsidR="00A47044">
        <w:rPr>
          <w:rStyle w:val="FootnoteReference"/>
          <w:rFonts w:cstheme="minorHAnsi"/>
          <w:sz w:val="24"/>
          <w:szCs w:val="24"/>
        </w:rPr>
        <w:footnoteReference w:id="52"/>
      </w:r>
      <w:r>
        <w:rPr>
          <w:rFonts w:cstheme="minorHAnsi"/>
          <w:sz w:val="24"/>
          <w:szCs w:val="24"/>
        </w:rPr>
        <w:t xml:space="preserve"> </w:t>
      </w:r>
    </w:p>
    <w:p w14:paraId="79D39978" w14:textId="756040F7" w:rsidR="005A7FBF" w:rsidRDefault="005A7FBF" w:rsidP="001B2409">
      <w:pPr>
        <w:rPr>
          <w:rFonts w:cstheme="minorHAnsi"/>
          <w:b/>
          <w:bCs/>
          <w:sz w:val="24"/>
          <w:szCs w:val="24"/>
          <w:u w:val="single"/>
        </w:rPr>
      </w:pPr>
    </w:p>
    <w:p w14:paraId="08A927EA" w14:textId="5C6CE9F0" w:rsidR="005A19C1" w:rsidRDefault="005A19C1" w:rsidP="001B2409">
      <w:pPr>
        <w:rPr>
          <w:rFonts w:cstheme="minorHAnsi"/>
          <w:b/>
          <w:bCs/>
          <w:sz w:val="24"/>
          <w:szCs w:val="24"/>
          <w:u w:val="single"/>
        </w:rPr>
      </w:pPr>
    </w:p>
    <w:p w14:paraId="5957834A" w14:textId="0D548554" w:rsidR="005A19C1" w:rsidRDefault="005A19C1" w:rsidP="001B2409">
      <w:pPr>
        <w:rPr>
          <w:rFonts w:cstheme="minorHAnsi"/>
          <w:b/>
          <w:bCs/>
          <w:sz w:val="24"/>
          <w:szCs w:val="24"/>
          <w:u w:val="single"/>
        </w:rPr>
      </w:pPr>
    </w:p>
    <w:p w14:paraId="7E8B9A04" w14:textId="4CA075A0" w:rsidR="005A19C1" w:rsidRDefault="005A19C1" w:rsidP="001B2409">
      <w:pPr>
        <w:rPr>
          <w:rFonts w:cstheme="minorHAnsi"/>
          <w:b/>
          <w:bCs/>
          <w:sz w:val="24"/>
          <w:szCs w:val="24"/>
          <w:u w:val="single"/>
        </w:rPr>
      </w:pPr>
    </w:p>
    <w:p w14:paraId="42CD63CD" w14:textId="5C7A7FCB" w:rsidR="005A19C1" w:rsidRDefault="005A19C1" w:rsidP="001B2409">
      <w:pPr>
        <w:rPr>
          <w:rFonts w:cstheme="minorHAnsi"/>
          <w:b/>
          <w:bCs/>
          <w:sz w:val="24"/>
          <w:szCs w:val="24"/>
          <w:u w:val="single"/>
        </w:rPr>
      </w:pPr>
    </w:p>
    <w:p w14:paraId="62858428" w14:textId="372BE493" w:rsidR="005A19C1" w:rsidRDefault="005A19C1" w:rsidP="001B2409">
      <w:pPr>
        <w:rPr>
          <w:rFonts w:cstheme="minorHAnsi"/>
          <w:b/>
          <w:bCs/>
          <w:sz w:val="24"/>
          <w:szCs w:val="24"/>
          <w:u w:val="single"/>
        </w:rPr>
      </w:pPr>
    </w:p>
    <w:p w14:paraId="29ECA06A" w14:textId="75D2C125" w:rsidR="005A19C1" w:rsidRDefault="005A19C1" w:rsidP="001B2409">
      <w:pPr>
        <w:rPr>
          <w:rFonts w:cstheme="minorHAnsi"/>
          <w:b/>
          <w:bCs/>
          <w:sz w:val="24"/>
          <w:szCs w:val="24"/>
          <w:u w:val="single"/>
        </w:rPr>
      </w:pPr>
    </w:p>
    <w:p w14:paraId="3148A2F3" w14:textId="4AA01D84" w:rsidR="005A19C1" w:rsidRDefault="005A19C1" w:rsidP="001B2409">
      <w:pPr>
        <w:rPr>
          <w:rFonts w:cstheme="minorHAnsi"/>
          <w:b/>
          <w:bCs/>
          <w:sz w:val="24"/>
          <w:szCs w:val="24"/>
          <w:u w:val="single"/>
        </w:rPr>
      </w:pPr>
    </w:p>
    <w:p w14:paraId="7B99379A" w14:textId="3FF7094E" w:rsidR="005A19C1" w:rsidRDefault="005A19C1" w:rsidP="001B2409">
      <w:pPr>
        <w:rPr>
          <w:rFonts w:cstheme="minorHAnsi"/>
          <w:b/>
          <w:bCs/>
          <w:sz w:val="24"/>
          <w:szCs w:val="24"/>
          <w:u w:val="single"/>
        </w:rPr>
      </w:pPr>
    </w:p>
    <w:p w14:paraId="032CC0A5" w14:textId="66E71C1B" w:rsidR="005A19C1" w:rsidRDefault="005A19C1" w:rsidP="001B2409">
      <w:pPr>
        <w:rPr>
          <w:rFonts w:cstheme="minorHAnsi"/>
          <w:b/>
          <w:bCs/>
          <w:sz w:val="24"/>
          <w:szCs w:val="24"/>
          <w:u w:val="single"/>
        </w:rPr>
      </w:pPr>
    </w:p>
    <w:p w14:paraId="4B2E316B" w14:textId="462ABF25" w:rsidR="005A19C1" w:rsidRDefault="005A19C1" w:rsidP="001B2409">
      <w:pPr>
        <w:rPr>
          <w:rFonts w:cstheme="minorHAnsi"/>
          <w:b/>
          <w:bCs/>
          <w:sz w:val="24"/>
          <w:szCs w:val="24"/>
          <w:u w:val="single"/>
        </w:rPr>
      </w:pPr>
    </w:p>
    <w:p w14:paraId="70F3D025" w14:textId="5485163F" w:rsidR="005A19C1" w:rsidRDefault="005A19C1" w:rsidP="001B2409">
      <w:pPr>
        <w:rPr>
          <w:rFonts w:cstheme="minorHAnsi"/>
          <w:b/>
          <w:bCs/>
          <w:sz w:val="24"/>
          <w:szCs w:val="24"/>
          <w:u w:val="single"/>
        </w:rPr>
      </w:pPr>
    </w:p>
    <w:p w14:paraId="10B36401" w14:textId="4D102A2B" w:rsidR="005A19C1" w:rsidRDefault="005A19C1" w:rsidP="001B2409">
      <w:pPr>
        <w:rPr>
          <w:rFonts w:cstheme="minorHAnsi"/>
          <w:b/>
          <w:bCs/>
          <w:sz w:val="24"/>
          <w:szCs w:val="24"/>
          <w:u w:val="single"/>
        </w:rPr>
      </w:pPr>
    </w:p>
    <w:p w14:paraId="002E891E" w14:textId="144F010B" w:rsidR="005A19C1" w:rsidRDefault="005A19C1" w:rsidP="001B2409">
      <w:pPr>
        <w:rPr>
          <w:rFonts w:cstheme="minorHAnsi"/>
          <w:b/>
          <w:bCs/>
          <w:sz w:val="24"/>
          <w:szCs w:val="24"/>
          <w:u w:val="single"/>
        </w:rPr>
      </w:pPr>
    </w:p>
    <w:p w14:paraId="35E7BEDE" w14:textId="77777777" w:rsidR="005A19C1" w:rsidRDefault="005A19C1" w:rsidP="001B2409">
      <w:pPr>
        <w:rPr>
          <w:rFonts w:cstheme="minorHAnsi"/>
          <w:b/>
          <w:bCs/>
          <w:sz w:val="24"/>
          <w:szCs w:val="24"/>
          <w:u w:val="single"/>
        </w:rPr>
      </w:pPr>
    </w:p>
    <w:p w14:paraId="25C8F9B4" w14:textId="3DF1C35B" w:rsidR="001B2409" w:rsidRDefault="001B2409" w:rsidP="001B2409">
      <w:pPr>
        <w:rPr>
          <w:rFonts w:cstheme="minorHAnsi"/>
          <w:sz w:val="24"/>
          <w:szCs w:val="24"/>
        </w:rPr>
      </w:pPr>
      <w:r w:rsidRPr="001B2409">
        <w:rPr>
          <w:rFonts w:cstheme="minorHAnsi"/>
          <w:b/>
          <w:bCs/>
          <w:sz w:val="24"/>
          <w:szCs w:val="24"/>
          <w:u w:val="single"/>
        </w:rPr>
        <w:t xml:space="preserve">Graph </w:t>
      </w:r>
      <w:r w:rsidR="009667B4">
        <w:rPr>
          <w:rFonts w:cstheme="minorHAnsi"/>
          <w:b/>
          <w:bCs/>
          <w:sz w:val="24"/>
          <w:szCs w:val="24"/>
          <w:u w:val="single"/>
        </w:rPr>
        <w:t>6</w:t>
      </w:r>
      <w:r w:rsidRPr="002162AF">
        <w:rPr>
          <w:rFonts w:cstheme="minorHAnsi"/>
          <w:b/>
          <w:bCs/>
          <w:sz w:val="24"/>
          <w:szCs w:val="24"/>
        </w:rPr>
        <w:t xml:space="preserve">: Outlook for </w:t>
      </w:r>
      <w:r w:rsidR="0072718D" w:rsidRPr="002162AF">
        <w:rPr>
          <w:rFonts w:cstheme="minorHAnsi"/>
          <w:b/>
          <w:bCs/>
          <w:sz w:val="24"/>
          <w:szCs w:val="24"/>
        </w:rPr>
        <w:t>r</w:t>
      </w:r>
      <w:r w:rsidRPr="002162AF">
        <w:rPr>
          <w:rFonts w:cstheme="minorHAnsi"/>
          <w:b/>
          <w:bCs/>
          <w:sz w:val="24"/>
          <w:szCs w:val="24"/>
        </w:rPr>
        <w:t>ock lobster exports</w:t>
      </w:r>
      <w:r>
        <w:rPr>
          <w:rStyle w:val="FootnoteReference"/>
          <w:rFonts w:cstheme="minorHAnsi"/>
          <w:sz w:val="24"/>
          <w:szCs w:val="24"/>
        </w:rPr>
        <w:footnoteReference w:id="53"/>
      </w:r>
    </w:p>
    <w:p w14:paraId="2E54B9C4" w14:textId="7F6AB836" w:rsidR="001B2409" w:rsidRDefault="001B2409" w:rsidP="001B2409">
      <w:pPr>
        <w:rPr>
          <w:rFonts w:cstheme="minorHAnsi"/>
          <w:sz w:val="24"/>
          <w:szCs w:val="24"/>
        </w:rPr>
      </w:pPr>
      <w:r>
        <w:rPr>
          <w:noProof/>
        </w:rPr>
        <w:drawing>
          <wp:inline distT="0" distB="0" distL="0" distR="0" wp14:anchorId="3C29EBC6" wp14:editId="60E5CE51">
            <wp:extent cx="5731510" cy="3451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451225"/>
                    </a:xfrm>
                    <a:prstGeom prst="rect">
                      <a:avLst/>
                    </a:prstGeom>
                  </pic:spPr>
                </pic:pic>
              </a:graphicData>
            </a:graphic>
          </wp:inline>
        </w:drawing>
      </w:r>
    </w:p>
    <w:p w14:paraId="5AF4E870" w14:textId="77777777" w:rsidR="001B2409" w:rsidRPr="001B2409" w:rsidRDefault="001B2409" w:rsidP="001B2409">
      <w:pPr>
        <w:rPr>
          <w:rFonts w:cstheme="minorHAnsi"/>
          <w:sz w:val="24"/>
          <w:szCs w:val="24"/>
        </w:rPr>
      </w:pPr>
    </w:p>
    <w:p w14:paraId="5E98D3BF" w14:textId="1094191D" w:rsidR="007D0A46" w:rsidRPr="004F64DC" w:rsidRDefault="00BF57C2" w:rsidP="004F64DC">
      <w:pPr>
        <w:pStyle w:val="ListParagraph"/>
        <w:numPr>
          <w:ilvl w:val="0"/>
          <w:numId w:val="1"/>
        </w:numPr>
        <w:ind w:left="567" w:hanging="567"/>
        <w:rPr>
          <w:rFonts w:cstheme="minorHAnsi"/>
          <w:sz w:val="24"/>
          <w:szCs w:val="24"/>
        </w:rPr>
      </w:pPr>
      <w:r>
        <w:rPr>
          <w:rFonts w:cstheme="minorHAnsi"/>
          <w:sz w:val="24"/>
          <w:szCs w:val="24"/>
        </w:rPr>
        <w:t>There are uncertainties around the projections</w:t>
      </w:r>
      <w:r w:rsidR="00A47044">
        <w:rPr>
          <w:rFonts w:cstheme="minorHAnsi"/>
          <w:sz w:val="24"/>
          <w:szCs w:val="24"/>
        </w:rPr>
        <w:t xml:space="preserve">, </w:t>
      </w:r>
      <w:r>
        <w:rPr>
          <w:rFonts w:cstheme="minorHAnsi"/>
          <w:sz w:val="24"/>
          <w:szCs w:val="24"/>
        </w:rPr>
        <w:t>for example demand from China</w:t>
      </w:r>
      <w:r w:rsidR="00A47044">
        <w:rPr>
          <w:rFonts w:cstheme="minorHAnsi"/>
          <w:sz w:val="24"/>
          <w:szCs w:val="24"/>
        </w:rPr>
        <w:t>,</w:t>
      </w:r>
      <w:r>
        <w:rPr>
          <w:rFonts w:cstheme="minorHAnsi"/>
          <w:sz w:val="24"/>
          <w:szCs w:val="24"/>
        </w:rPr>
        <w:t xml:space="preserve"> but it is understood that</w:t>
      </w:r>
      <w:r w:rsidR="004F64DC">
        <w:rPr>
          <w:rFonts w:cstheme="minorHAnsi"/>
          <w:sz w:val="24"/>
          <w:szCs w:val="24"/>
        </w:rPr>
        <w:t xml:space="preserve"> </w:t>
      </w:r>
      <w:r>
        <w:rPr>
          <w:rFonts w:cstheme="minorHAnsi"/>
          <w:sz w:val="24"/>
          <w:szCs w:val="24"/>
        </w:rPr>
        <w:t xml:space="preserve">removing tariffs </w:t>
      </w:r>
      <w:r w:rsidR="00272956">
        <w:rPr>
          <w:rFonts w:cstheme="minorHAnsi"/>
          <w:sz w:val="24"/>
          <w:szCs w:val="24"/>
        </w:rPr>
        <w:t xml:space="preserve">under </w:t>
      </w:r>
      <w:r>
        <w:rPr>
          <w:rFonts w:cstheme="minorHAnsi"/>
          <w:sz w:val="24"/>
          <w:szCs w:val="24"/>
        </w:rPr>
        <w:t xml:space="preserve">the AU-UK FTA will incentivise exporters and will contribute to a bounce back in overall exports. </w:t>
      </w:r>
      <w:r w:rsidR="004F64DC">
        <w:rPr>
          <w:rFonts w:cstheme="minorHAnsi"/>
          <w:sz w:val="24"/>
          <w:szCs w:val="24"/>
        </w:rPr>
        <w:t xml:space="preserve">This </w:t>
      </w:r>
      <w:r w:rsidR="001B2409">
        <w:rPr>
          <w:rFonts w:cstheme="minorHAnsi"/>
          <w:sz w:val="24"/>
          <w:szCs w:val="24"/>
        </w:rPr>
        <w:t xml:space="preserve">would </w:t>
      </w:r>
      <w:r w:rsidR="008310A4">
        <w:rPr>
          <w:rFonts w:cstheme="minorHAnsi"/>
          <w:sz w:val="24"/>
          <w:szCs w:val="24"/>
        </w:rPr>
        <w:t xml:space="preserve">result in an overall </w:t>
      </w:r>
      <w:r w:rsidR="001B2409">
        <w:rPr>
          <w:rFonts w:cstheme="minorHAnsi"/>
          <w:sz w:val="24"/>
          <w:szCs w:val="24"/>
        </w:rPr>
        <w:t xml:space="preserve">net benefit to Australia, which </w:t>
      </w:r>
      <w:r w:rsidR="004F64DC">
        <w:rPr>
          <w:rFonts w:cstheme="minorHAnsi"/>
          <w:sz w:val="24"/>
          <w:szCs w:val="24"/>
        </w:rPr>
        <w:t>is reinforced i</w:t>
      </w:r>
      <w:r w:rsidR="007D0A46" w:rsidRPr="004F64DC">
        <w:rPr>
          <w:rFonts w:cstheme="minorHAnsi"/>
          <w:sz w:val="24"/>
          <w:szCs w:val="24"/>
        </w:rPr>
        <w:t>n Austral Fisheries submission to the proposed AU-UK FTA negotiations</w:t>
      </w:r>
      <w:r w:rsidR="001B2409">
        <w:rPr>
          <w:rFonts w:cstheme="minorHAnsi"/>
          <w:sz w:val="24"/>
          <w:szCs w:val="24"/>
        </w:rPr>
        <w:t xml:space="preserve"> </w:t>
      </w:r>
      <w:r w:rsidR="00272956">
        <w:rPr>
          <w:rFonts w:cstheme="minorHAnsi"/>
          <w:sz w:val="24"/>
          <w:szCs w:val="24"/>
        </w:rPr>
        <w:t>which</w:t>
      </w:r>
      <w:r w:rsidR="007D0A46" w:rsidRPr="004F64DC">
        <w:rPr>
          <w:rFonts w:cstheme="minorHAnsi"/>
          <w:sz w:val="24"/>
          <w:szCs w:val="24"/>
        </w:rPr>
        <w:t xml:space="preserve"> stated that ‘a </w:t>
      </w:r>
      <w:r w:rsidR="007D0A46" w:rsidRPr="004F64DC">
        <w:rPr>
          <w:sz w:val="24"/>
          <w:szCs w:val="24"/>
        </w:rPr>
        <w:t>reduction</w:t>
      </w:r>
      <w:r w:rsidR="007D0A46" w:rsidRPr="004F64DC">
        <w:rPr>
          <w:rFonts w:cstheme="minorHAnsi"/>
          <w:sz w:val="24"/>
          <w:szCs w:val="24"/>
        </w:rPr>
        <w:t xml:space="preserve"> in tariffs would increase demand for Australian seafood creating a significant increase in value added production and Australian jobs.’</w:t>
      </w:r>
      <w:r w:rsidR="007D0A46" w:rsidRPr="009421ED">
        <w:rPr>
          <w:rStyle w:val="FootnoteReference"/>
          <w:rFonts w:cstheme="minorHAnsi"/>
          <w:sz w:val="24"/>
          <w:szCs w:val="24"/>
        </w:rPr>
        <w:footnoteReference w:id="54"/>
      </w:r>
      <w:r w:rsidR="007D0A46" w:rsidRPr="004F64DC">
        <w:rPr>
          <w:rFonts w:cstheme="minorHAnsi"/>
          <w:sz w:val="24"/>
          <w:szCs w:val="24"/>
        </w:rPr>
        <w:t xml:space="preserve"> </w:t>
      </w:r>
    </w:p>
    <w:bookmarkEnd w:id="24"/>
    <w:p w14:paraId="10E1C4C9" w14:textId="77777777" w:rsidR="00675DF9" w:rsidRPr="009421ED" w:rsidRDefault="00675DF9" w:rsidP="00675DF9">
      <w:pPr>
        <w:pStyle w:val="ListParagraph"/>
        <w:ind w:left="567"/>
        <w:rPr>
          <w:rFonts w:cstheme="minorHAnsi"/>
          <w:sz w:val="24"/>
          <w:szCs w:val="24"/>
        </w:rPr>
      </w:pPr>
    </w:p>
    <w:p w14:paraId="7F849468" w14:textId="77777777" w:rsidR="00BA60E2" w:rsidRPr="00F6614E" w:rsidRDefault="00BA60E2" w:rsidP="00BA60E2">
      <w:pPr>
        <w:keepNext/>
        <w:rPr>
          <w:rFonts w:cstheme="minorHAnsi"/>
          <w:b/>
          <w:bCs/>
          <w:i/>
          <w:iCs/>
          <w:sz w:val="24"/>
          <w:szCs w:val="24"/>
        </w:rPr>
      </w:pPr>
      <w:r w:rsidRPr="00F6614E">
        <w:rPr>
          <w:rFonts w:cstheme="minorHAnsi"/>
          <w:b/>
          <w:bCs/>
          <w:i/>
          <w:iCs/>
          <w:sz w:val="24"/>
          <w:szCs w:val="24"/>
        </w:rPr>
        <w:t>Honey</w:t>
      </w:r>
    </w:p>
    <w:p w14:paraId="1C3E6513" w14:textId="3F49ECD0" w:rsidR="00BA60E2" w:rsidRPr="00D9795D" w:rsidRDefault="00BA60E2" w:rsidP="00A55C09">
      <w:pPr>
        <w:pStyle w:val="ListParagraph"/>
        <w:numPr>
          <w:ilvl w:val="0"/>
          <w:numId w:val="1"/>
        </w:numPr>
        <w:ind w:left="567" w:hanging="567"/>
        <w:rPr>
          <w:rFonts w:cstheme="minorHAnsi"/>
          <w:sz w:val="24"/>
          <w:szCs w:val="24"/>
        </w:rPr>
      </w:pPr>
      <w:r w:rsidRPr="009421ED">
        <w:rPr>
          <w:rFonts w:cstheme="minorHAnsi"/>
          <w:sz w:val="24"/>
          <w:szCs w:val="24"/>
        </w:rPr>
        <w:t xml:space="preserve">The </w:t>
      </w:r>
      <w:r w:rsidR="007947E3">
        <w:rPr>
          <w:rFonts w:cstheme="minorHAnsi"/>
          <w:sz w:val="24"/>
          <w:szCs w:val="24"/>
        </w:rPr>
        <w:t xml:space="preserve">UK’s </w:t>
      </w:r>
      <w:r w:rsidRPr="009421ED">
        <w:rPr>
          <w:rFonts w:cstheme="minorHAnsi"/>
          <w:sz w:val="24"/>
          <w:szCs w:val="24"/>
        </w:rPr>
        <w:t>16</w:t>
      </w:r>
      <w:r w:rsidR="00B0441F">
        <w:rPr>
          <w:rFonts w:cstheme="minorHAnsi"/>
          <w:sz w:val="24"/>
          <w:szCs w:val="24"/>
        </w:rPr>
        <w:t xml:space="preserve"> </w:t>
      </w:r>
      <w:r w:rsidR="00B0441F" w:rsidRPr="00206944">
        <w:rPr>
          <w:sz w:val="24"/>
          <w:szCs w:val="24"/>
        </w:rPr>
        <w:t>per</w:t>
      </w:r>
      <w:r w:rsidR="0083201A">
        <w:rPr>
          <w:rFonts w:cstheme="minorHAnsi"/>
          <w:sz w:val="24"/>
          <w:szCs w:val="24"/>
        </w:rPr>
        <w:t xml:space="preserve"> </w:t>
      </w:r>
      <w:r w:rsidR="00B0441F">
        <w:rPr>
          <w:rFonts w:cstheme="minorHAnsi"/>
          <w:sz w:val="24"/>
          <w:szCs w:val="24"/>
        </w:rPr>
        <w:t>cent</w:t>
      </w:r>
      <w:r w:rsidRPr="009421ED">
        <w:rPr>
          <w:rFonts w:cstheme="minorHAnsi"/>
          <w:sz w:val="24"/>
          <w:szCs w:val="24"/>
        </w:rPr>
        <w:t xml:space="preserve"> tariff on </w:t>
      </w:r>
      <w:r w:rsidR="007947E3">
        <w:rPr>
          <w:rFonts w:cstheme="minorHAnsi"/>
          <w:sz w:val="24"/>
          <w:szCs w:val="24"/>
        </w:rPr>
        <w:t xml:space="preserve">Australian </w:t>
      </w:r>
      <w:r w:rsidRPr="009421ED">
        <w:rPr>
          <w:rFonts w:cstheme="minorHAnsi"/>
          <w:sz w:val="24"/>
          <w:szCs w:val="24"/>
        </w:rPr>
        <w:t xml:space="preserve">honey will be eliminated on entry into force of the agreement. </w:t>
      </w:r>
      <w:r w:rsidR="00AA4CA2" w:rsidRPr="00AA4CA2">
        <w:rPr>
          <w:rFonts w:cstheme="minorHAnsi"/>
          <w:sz w:val="24"/>
          <w:szCs w:val="24"/>
        </w:rPr>
        <w:t xml:space="preserve">The Australian </w:t>
      </w:r>
      <w:proofErr w:type="gramStart"/>
      <w:r w:rsidR="00AA4CA2" w:rsidRPr="00AA4CA2">
        <w:rPr>
          <w:rFonts w:cstheme="minorHAnsi"/>
          <w:sz w:val="24"/>
          <w:szCs w:val="24"/>
        </w:rPr>
        <w:t>Honey Bee</w:t>
      </w:r>
      <w:proofErr w:type="gramEnd"/>
      <w:r w:rsidR="00AA4CA2" w:rsidRPr="00AA4CA2">
        <w:rPr>
          <w:rFonts w:cstheme="minorHAnsi"/>
          <w:sz w:val="24"/>
          <w:szCs w:val="24"/>
        </w:rPr>
        <w:t xml:space="preserve"> Industry Council (AHBIC)</w:t>
      </w:r>
      <w:r w:rsidR="00D9795D">
        <w:rPr>
          <w:rFonts w:cstheme="minorHAnsi"/>
          <w:sz w:val="24"/>
          <w:szCs w:val="24"/>
        </w:rPr>
        <w:t>,</w:t>
      </w:r>
      <w:r w:rsidR="00AA4CA2" w:rsidRPr="00AA4CA2">
        <w:rPr>
          <w:rFonts w:cstheme="minorHAnsi"/>
          <w:sz w:val="24"/>
          <w:szCs w:val="24"/>
        </w:rPr>
        <w:t xml:space="preserve"> </w:t>
      </w:r>
      <w:r w:rsidR="00D9795D">
        <w:rPr>
          <w:rFonts w:cstheme="minorHAnsi"/>
          <w:sz w:val="24"/>
          <w:szCs w:val="24"/>
        </w:rPr>
        <w:t>the</w:t>
      </w:r>
      <w:r w:rsidR="00AA4CA2" w:rsidRPr="00AA4CA2">
        <w:rPr>
          <w:rFonts w:cstheme="minorHAnsi"/>
          <w:sz w:val="24"/>
          <w:szCs w:val="24"/>
        </w:rPr>
        <w:t xml:space="preserve"> peak body for beekeeping in Australia</w:t>
      </w:r>
      <w:r w:rsidR="00D9795D">
        <w:rPr>
          <w:rFonts w:cstheme="minorHAnsi"/>
          <w:sz w:val="24"/>
          <w:szCs w:val="24"/>
        </w:rPr>
        <w:t xml:space="preserve">, stated in a submission to a Senate enquiry into the future of beekeeping, that </w:t>
      </w:r>
      <w:r w:rsidR="00D9795D" w:rsidRPr="00D9795D">
        <w:rPr>
          <w:rFonts w:cstheme="minorHAnsi"/>
          <w:sz w:val="24"/>
          <w:szCs w:val="24"/>
        </w:rPr>
        <w:t>Australia</w:t>
      </w:r>
      <w:r w:rsidR="00D9795D">
        <w:rPr>
          <w:rFonts w:cstheme="minorHAnsi"/>
          <w:sz w:val="24"/>
          <w:szCs w:val="24"/>
        </w:rPr>
        <w:t>n beekeepers</w:t>
      </w:r>
      <w:r w:rsidR="00C023B9">
        <w:rPr>
          <w:rFonts w:cstheme="minorHAnsi"/>
          <w:sz w:val="24"/>
          <w:szCs w:val="24"/>
        </w:rPr>
        <w:t xml:space="preserve"> are</w:t>
      </w:r>
      <w:r w:rsidR="00D9795D" w:rsidRPr="00D9795D">
        <w:rPr>
          <w:rFonts w:cstheme="minorHAnsi"/>
          <w:sz w:val="24"/>
          <w:szCs w:val="24"/>
        </w:rPr>
        <w:t xml:space="preserve"> disadvantaged by tariffs imposed on honey exported from Australia</w:t>
      </w:r>
      <w:r w:rsidR="00D9795D">
        <w:rPr>
          <w:rFonts w:cstheme="minorHAnsi"/>
          <w:sz w:val="24"/>
          <w:szCs w:val="24"/>
        </w:rPr>
        <w:t>.</w:t>
      </w:r>
      <w:r w:rsidR="00A55C09">
        <w:rPr>
          <w:rFonts w:cstheme="minorHAnsi"/>
          <w:sz w:val="24"/>
          <w:szCs w:val="24"/>
        </w:rPr>
        <w:t xml:space="preserve"> It states,</w:t>
      </w:r>
      <w:r w:rsidR="00D9795D">
        <w:rPr>
          <w:rFonts w:cstheme="minorHAnsi"/>
          <w:sz w:val="24"/>
          <w:szCs w:val="24"/>
        </w:rPr>
        <w:t xml:space="preserve"> </w:t>
      </w:r>
      <w:r w:rsidR="00D9795D" w:rsidRPr="00D9795D">
        <w:rPr>
          <w:rFonts w:cstheme="minorHAnsi"/>
          <w:sz w:val="24"/>
          <w:szCs w:val="24"/>
        </w:rPr>
        <w:t>‘</w:t>
      </w:r>
      <w:proofErr w:type="gramStart"/>
      <w:r w:rsidR="00D9795D" w:rsidRPr="00D9795D">
        <w:rPr>
          <w:rFonts w:cstheme="minorHAnsi"/>
          <w:sz w:val="24"/>
          <w:szCs w:val="24"/>
        </w:rPr>
        <w:t>Beekeepers</w:t>
      </w:r>
      <w:proofErr w:type="gramEnd"/>
      <w:r w:rsidR="00D9795D" w:rsidRPr="00D9795D">
        <w:rPr>
          <w:rFonts w:cstheme="minorHAnsi"/>
          <w:sz w:val="24"/>
          <w:szCs w:val="24"/>
        </w:rPr>
        <w:t xml:space="preserve"> incomes are being held back by the imposition of these tariffs on honey exported to those countries’.</w:t>
      </w:r>
      <w:r w:rsidR="00D9795D">
        <w:rPr>
          <w:rStyle w:val="FootnoteReference"/>
          <w:rFonts w:cstheme="minorHAnsi"/>
          <w:sz w:val="24"/>
          <w:szCs w:val="24"/>
        </w:rPr>
        <w:footnoteReference w:id="55"/>
      </w:r>
      <w:r w:rsidR="00D9795D">
        <w:rPr>
          <w:rFonts w:cstheme="minorHAnsi"/>
          <w:sz w:val="24"/>
          <w:szCs w:val="24"/>
        </w:rPr>
        <w:t xml:space="preserve"> Removal of these tariffs based on industry interests is a net benefit for Australia as Australian beekeepers have the opportunity to expand further into the UK market without the financial imposition of tariffs.</w:t>
      </w:r>
    </w:p>
    <w:p w14:paraId="2500F601" w14:textId="77777777" w:rsidR="00675DF9" w:rsidRPr="00D9795D" w:rsidRDefault="00675DF9" w:rsidP="00D9795D">
      <w:pPr>
        <w:rPr>
          <w:rFonts w:cstheme="minorHAnsi"/>
          <w:sz w:val="24"/>
          <w:szCs w:val="24"/>
        </w:rPr>
      </w:pPr>
    </w:p>
    <w:p w14:paraId="20B85728" w14:textId="77777777" w:rsidR="00BA60E2" w:rsidRPr="00F6614E" w:rsidRDefault="00BA60E2" w:rsidP="00BA60E2">
      <w:pPr>
        <w:keepNext/>
        <w:rPr>
          <w:rFonts w:cstheme="minorHAnsi"/>
          <w:b/>
          <w:bCs/>
          <w:i/>
          <w:iCs/>
          <w:sz w:val="24"/>
          <w:szCs w:val="24"/>
        </w:rPr>
      </w:pPr>
      <w:r w:rsidRPr="00F6614E">
        <w:rPr>
          <w:rFonts w:cstheme="minorHAnsi"/>
          <w:b/>
          <w:bCs/>
          <w:i/>
          <w:iCs/>
          <w:sz w:val="24"/>
          <w:szCs w:val="24"/>
        </w:rPr>
        <w:lastRenderedPageBreak/>
        <w:t xml:space="preserve">Horticulture </w:t>
      </w:r>
    </w:p>
    <w:p w14:paraId="5AF4576C" w14:textId="7BEA7A27" w:rsidR="00BA60E2" w:rsidRPr="00461707" w:rsidRDefault="007947E3" w:rsidP="00461707">
      <w:pPr>
        <w:pStyle w:val="ListParagraph"/>
        <w:numPr>
          <w:ilvl w:val="0"/>
          <w:numId w:val="1"/>
        </w:numPr>
        <w:ind w:left="567" w:hanging="567"/>
        <w:rPr>
          <w:rFonts w:cstheme="minorHAnsi"/>
          <w:sz w:val="24"/>
          <w:szCs w:val="24"/>
        </w:rPr>
      </w:pPr>
      <w:r>
        <w:rPr>
          <w:rFonts w:cstheme="minorHAnsi"/>
          <w:sz w:val="24"/>
          <w:szCs w:val="24"/>
        </w:rPr>
        <w:t>UK t</w:t>
      </w:r>
      <w:r w:rsidR="00BA60E2" w:rsidRPr="009421ED">
        <w:rPr>
          <w:rFonts w:cstheme="minorHAnsi"/>
          <w:sz w:val="24"/>
          <w:szCs w:val="24"/>
        </w:rPr>
        <w:t xml:space="preserve">ariffs on most </w:t>
      </w:r>
      <w:r>
        <w:rPr>
          <w:rFonts w:cstheme="minorHAnsi"/>
          <w:sz w:val="24"/>
          <w:szCs w:val="24"/>
        </w:rPr>
        <w:t xml:space="preserve">Australian </w:t>
      </w:r>
      <w:r w:rsidR="00BA60E2" w:rsidRPr="009421ED">
        <w:rPr>
          <w:rFonts w:cstheme="minorHAnsi"/>
          <w:sz w:val="24"/>
          <w:szCs w:val="24"/>
        </w:rPr>
        <w:t xml:space="preserve">fruits and vegetables will be eliminated on entry into force of the </w:t>
      </w:r>
      <w:r w:rsidR="00BA60E2" w:rsidRPr="00206944">
        <w:rPr>
          <w:sz w:val="24"/>
          <w:szCs w:val="24"/>
        </w:rPr>
        <w:t>agreement</w:t>
      </w:r>
      <w:r w:rsidR="00BA60E2" w:rsidRPr="009421ED">
        <w:rPr>
          <w:rFonts w:cstheme="minorHAnsi"/>
          <w:sz w:val="24"/>
          <w:szCs w:val="24"/>
        </w:rPr>
        <w:t xml:space="preserve">, with tariffs on other products of Australian export interests eliminated after </w:t>
      </w:r>
      <w:r w:rsidR="0083201A">
        <w:rPr>
          <w:rFonts w:cstheme="minorHAnsi"/>
          <w:sz w:val="24"/>
          <w:szCs w:val="24"/>
        </w:rPr>
        <w:t>three</w:t>
      </w:r>
      <w:r w:rsidR="00BA60E2" w:rsidRPr="009421ED">
        <w:rPr>
          <w:rFonts w:cstheme="minorHAnsi"/>
          <w:sz w:val="24"/>
          <w:szCs w:val="24"/>
        </w:rPr>
        <w:t xml:space="preserve"> years and all remaining tariffs eliminated after </w:t>
      </w:r>
      <w:r w:rsidR="0083201A">
        <w:rPr>
          <w:rFonts w:cstheme="minorHAnsi"/>
          <w:sz w:val="24"/>
          <w:szCs w:val="24"/>
        </w:rPr>
        <w:t>seven</w:t>
      </w:r>
      <w:r w:rsidR="00BA60E2" w:rsidRPr="009421ED">
        <w:rPr>
          <w:rFonts w:cstheme="minorHAnsi"/>
          <w:sz w:val="24"/>
          <w:szCs w:val="24"/>
        </w:rPr>
        <w:t xml:space="preserve"> years. </w:t>
      </w:r>
      <w:r w:rsidR="00461707" w:rsidRPr="009421ED">
        <w:rPr>
          <w:rFonts w:cstheme="minorHAnsi"/>
          <w:sz w:val="24"/>
          <w:szCs w:val="24"/>
        </w:rPr>
        <w:t xml:space="preserve">Tariffs </w:t>
      </w:r>
      <w:r w:rsidR="00461707" w:rsidRPr="009421ED">
        <w:rPr>
          <w:sz w:val="24"/>
          <w:szCs w:val="24"/>
        </w:rPr>
        <w:t xml:space="preserve">eliminated after </w:t>
      </w:r>
      <w:r w:rsidR="00461707">
        <w:rPr>
          <w:sz w:val="24"/>
          <w:szCs w:val="24"/>
        </w:rPr>
        <w:t>three</w:t>
      </w:r>
      <w:r w:rsidR="00461707" w:rsidRPr="009421ED">
        <w:rPr>
          <w:sz w:val="24"/>
          <w:szCs w:val="24"/>
        </w:rPr>
        <w:t xml:space="preserve"> years include</w:t>
      </w:r>
      <w:r w:rsidR="00461707" w:rsidRPr="009421ED">
        <w:rPr>
          <w:rFonts w:cstheme="minorHAnsi"/>
          <w:sz w:val="24"/>
          <w:szCs w:val="24"/>
        </w:rPr>
        <w:t xml:space="preserve"> those on </w:t>
      </w:r>
      <w:r w:rsidR="00461707" w:rsidRPr="009421ED">
        <w:rPr>
          <w:sz w:val="24"/>
          <w:szCs w:val="24"/>
        </w:rPr>
        <w:t xml:space="preserve">apricots, nectarines, peaches, strawberries, asparagus, beans, tomatoes, apples (except </w:t>
      </w:r>
      <w:r w:rsidR="00461707" w:rsidRPr="009421ED">
        <w:rPr>
          <w:rFonts w:cstheme="minorHAnsi"/>
          <w:sz w:val="24"/>
          <w:szCs w:val="24"/>
        </w:rPr>
        <w:t>cider</w:t>
      </w:r>
      <w:r w:rsidR="00461707" w:rsidRPr="009421ED">
        <w:rPr>
          <w:sz w:val="24"/>
          <w:szCs w:val="24"/>
        </w:rPr>
        <w:t xml:space="preserve"> apples) and pears (except perry pears)</w:t>
      </w:r>
      <w:r w:rsidR="00461707" w:rsidRPr="009421ED">
        <w:rPr>
          <w:rFonts w:cstheme="minorHAnsi"/>
          <w:sz w:val="24"/>
          <w:szCs w:val="24"/>
        </w:rPr>
        <w:t xml:space="preserve">. </w:t>
      </w:r>
    </w:p>
    <w:p w14:paraId="6ACAA56B" w14:textId="77777777" w:rsidR="00BA60E2" w:rsidRPr="009421ED" w:rsidRDefault="00BA60E2" w:rsidP="00BA60E2">
      <w:pPr>
        <w:pStyle w:val="ListParagraph"/>
        <w:ind w:left="360"/>
        <w:rPr>
          <w:rFonts w:cstheme="minorHAnsi"/>
          <w:sz w:val="24"/>
          <w:szCs w:val="24"/>
        </w:rPr>
      </w:pPr>
    </w:p>
    <w:p w14:paraId="7B38FC3E" w14:textId="77777777" w:rsidR="00BA60E2" w:rsidRPr="009421ED" w:rsidRDefault="00BA60E2" w:rsidP="00206944">
      <w:pPr>
        <w:pStyle w:val="ListParagraph"/>
        <w:numPr>
          <w:ilvl w:val="0"/>
          <w:numId w:val="1"/>
        </w:numPr>
        <w:ind w:left="567" w:hanging="567"/>
        <w:rPr>
          <w:rFonts w:cstheme="minorHAnsi"/>
          <w:sz w:val="24"/>
          <w:szCs w:val="24"/>
        </w:rPr>
      </w:pPr>
      <w:r w:rsidRPr="00206944">
        <w:rPr>
          <w:sz w:val="24"/>
          <w:szCs w:val="24"/>
        </w:rPr>
        <w:t>Tariffs</w:t>
      </w:r>
      <w:r w:rsidRPr="009421ED">
        <w:rPr>
          <w:rFonts w:cstheme="minorHAnsi"/>
          <w:sz w:val="24"/>
          <w:szCs w:val="24"/>
        </w:rPr>
        <w:t xml:space="preserve"> eliminated on entry into force include those on: </w:t>
      </w:r>
    </w:p>
    <w:p w14:paraId="5431D8D3" w14:textId="77777777" w:rsidR="00BA60E2" w:rsidRPr="009421ED" w:rsidRDefault="00BA60E2" w:rsidP="00BA60E2">
      <w:pPr>
        <w:pStyle w:val="ListParagraph"/>
        <w:numPr>
          <w:ilvl w:val="0"/>
          <w:numId w:val="32"/>
        </w:numPr>
        <w:spacing w:line="256" w:lineRule="auto"/>
        <w:rPr>
          <w:rFonts w:cstheme="minorHAnsi"/>
          <w:sz w:val="24"/>
          <w:szCs w:val="24"/>
        </w:rPr>
      </w:pPr>
      <w:r w:rsidRPr="009421ED">
        <w:rPr>
          <w:rFonts w:cstheme="minorHAnsi"/>
          <w:sz w:val="24"/>
          <w:szCs w:val="24"/>
        </w:rPr>
        <w:t>almonds, macadamias, and other nuts</w:t>
      </w:r>
      <w:r w:rsidRPr="009421ED">
        <w:rPr>
          <w:rFonts w:cstheme="minorHAnsi"/>
          <w:sz w:val="24"/>
          <w:szCs w:val="24"/>
          <w:lang w:val="en-GB"/>
        </w:rPr>
        <w:t xml:space="preserve">; and </w:t>
      </w:r>
    </w:p>
    <w:p w14:paraId="1757EBB3" w14:textId="133961E1" w:rsidR="00BA60E2" w:rsidRPr="00012793" w:rsidRDefault="00BA60E2" w:rsidP="00BA60E2">
      <w:pPr>
        <w:pStyle w:val="ListParagraph"/>
        <w:numPr>
          <w:ilvl w:val="0"/>
          <w:numId w:val="32"/>
        </w:numPr>
        <w:spacing w:line="256" w:lineRule="auto"/>
        <w:rPr>
          <w:rFonts w:cstheme="minorHAnsi"/>
          <w:sz w:val="24"/>
          <w:szCs w:val="24"/>
        </w:rPr>
      </w:pPr>
      <w:r w:rsidRPr="009421ED">
        <w:rPr>
          <w:sz w:val="24"/>
          <w:szCs w:val="24"/>
        </w:rPr>
        <w:t>avocados, cherries (except sour cherries), dried fruits, citrus fruits, carrots, and table grapes.</w:t>
      </w:r>
    </w:p>
    <w:p w14:paraId="0BB1A366" w14:textId="77777777" w:rsidR="00C023B9" w:rsidRPr="00461707" w:rsidRDefault="00C023B9" w:rsidP="00461707">
      <w:pPr>
        <w:rPr>
          <w:rFonts w:cstheme="minorHAnsi"/>
          <w:sz w:val="24"/>
          <w:szCs w:val="24"/>
        </w:rPr>
      </w:pPr>
    </w:p>
    <w:p w14:paraId="6C8D5FC7" w14:textId="61F08DC8" w:rsidR="009F52DA" w:rsidRDefault="00C023B9" w:rsidP="00211A61">
      <w:pPr>
        <w:pStyle w:val="ListParagraph"/>
        <w:numPr>
          <w:ilvl w:val="0"/>
          <w:numId w:val="1"/>
        </w:numPr>
        <w:ind w:left="567" w:hanging="567"/>
        <w:rPr>
          <w:rFonts w:cstheme="minorHAnsi"/>
          <w:sz w:val="24"/>
          <w:szCs w:val="24"/>
        </w:rPr>
      </w:pPr>
      <w:r w:rsidRPr="00C023B9">
        <w:rPr>
          <w:rFonts w:cstheme="minorHAnsi"/>
          <w:sz w:val="24"/>
          <w:szCs w:val="24"/>
        </w:rPr>
        <w:t xml:space="preserve">In 2019-2020 the horticulture sector overall exceeded </w:t>
      </w:r>
      <w:r>
        <w:rPr>
          <w:rFonts w:cstheme="minorHAnsi"/>
          <w:sz w:val="24"/>
          <w:szCs w:val="24"/>
        </w:rPr>
        <w:t>A</w:t>
      </w:r>
      <w:r w:rsidRPr="00C023B9">
        <w:rPr>
          <w:rFonts w:cstheme="minorHAnsi"/>
          <w:sz w:val="24"/>
          <w:szCs w:val="24"/>
        </w:rPr>
        <w:t>$15 billion in production value</w:t>
      </w:r>
      <w:r>
        <w:rPr>
          <w:rFonts w:cstheme="minorHAnsi"/>
          <w:sz w:val="24"/>
          <w:szCs w:val="24"/>
        </w:rPr>
        <w:t xml:space="preserve"> </w:t>
      </w:r>
      <w:r w:rsidRPr="00C023B9">
        <w:rPr>
          <w:rFonts w:cstheme="minorHAnsi"/>
          <w:sz w:val="24"/>
          <w:szCs w:val="24"/>
        </w:rPr>
        <w:t>and employed over 60,000 people.</w:t>
      </w:r>
      <w:r>
        <w:rPr>
          <w:rStyle w:val="FootnoteReference"/>
          <w:rFonts w:cstheme="minorHAnsi"/>
          <w:sz w:val="24"/>
          <w:szCs w:val="24"/>
        </w:rPr>
        <w:footnoteReference w:id="56"/>
      </w:r>
      <w:r>
        <w:rPr>
          <w:rFonts w:cstheme="minorHAnsi"/>
          <w:sz w:val="24"/>
          <w:szCs w:val="24"/>
        </w:rPr>
        <w:t xml:space="preserve"> </w:t>
      </w:r>
      <w:r w:rsidR="00316B29">
        <w:rPr>
          <w:rFonts w:cstheme="minorHAnsi"/>
          <w:sz w:val="24"/>
          <w:szCs w:val="24"/>
        </w:rPr>
        <w:t>O</w:t>
      </w:r>
      <w:r w:rsidR="00E21E68">
        <w:rPr>
          <w:rFonts w:cstheme="minorHAnsi"/>
          <w:sz w:val="24"/>
          <w:szCs w:val="24"/>
        </w:rPr>
        <w:t>f that</w:t>
      </w:r>
      <w:r w:rsidR="00316B29">
        <w:rPr>
          <w:rFonts w:cstheme="minorHAnsi"/>
          <w:sz w:val="24"/>
          <w:szCs w:val="24"/>
        </w:rPr>
        <w:t xml:space="preserve">, </w:t>
      </w:r>
      <w:r w:rsidR="00316B29" w:rsidRPr="00316B29">
        <w:rPr>
          <w:rFonts w:cstheme="minorHAnsi"/>
          <w:sz w:val="24"/>
          <w:szCs w:val="24"/>
        </w:rPr>
        <w:t xml:space="preserve">the value of exported fresh and processed fruit, vegetables and nuts was over </w:t>
      </w:r>
      <w:r w:rsidR="00316B29">
        <w:rPr>
          <w:rFonts w:cstheme="minorHAnsi"/>
          <w:sz w:val="24"/>
          <w:szCs w:val="24"/>
        </w:rPr>
        <w:t>A</w:t>
      </w:r>
      <w:r w:rsidR="00316B29" w:rsidRPr="00316B29">
        <w:rPr>
          <w:rFonts w:cstheme="minorHAnsi"/>
          <w:sz w:val="24"/>
          <w:szCs w:val="24"/>
        </w:rPr>
        <w:t>$3.1 billion</w:t>
      </w:r>
      <w:r w:rsidR="00762FF2">
        <w:rPr>
          <w:rFonts w:cstheme="minorHAnsi"/>
          <w:sz w:val="24"/>
          <w:szCs w:val="24"/>
        </w:rPr>
        <w:t>.</w:t>
      </w:r>
      <w:r w:rsidR="00FD7971">
        <w:rPr>
          <w:rFonts w:cstheme="minorHAnsi"/>
          <w:sz w:val="24"/>
          <w:szCs w:val="24"/>
        </w:rPr>
        <w:t xml:space="preserve"> Australia export</w:t>
      </w:r>
      <w:r w:rsidR="00762FF2">
        <w:rPr>
          <w:rFonts w:cstheme="minorHAnsi"/>
          <w:sz w:val="24"/>
          <w:szCs w:val="24"/>
        </w:rPr>
        <w:t>s</w:t>
      </w:r>
      <w:r w:rsidR="00FD7971">
        <w:rPr>
          <w:rFonts w:cstheme="minorHAnsi"/>
          <w:sz w:val="24"/>
          <w:szCs w:val="24"/>
        </w:rPr>
        <w:t xml:space="preserve"> over half of </w:t>
      </w:r>
      <w:r w:rsidR="00762FF2">
        <w:rPr>
          <w:rFonts w:cstheme="minorHAnsi"/>
          <w:sz w:val="24"/>
          <w:szCs w:val="24"/>
        </w:rPr>
        <w:t>its</w:t>
      </w:r>
      <w:r w:rsidR="00FD7971">
        <w:rPr>
          <w:rFonts w:cstheme="minorHAnsi"/>
          <w:sz w:val="24"/>
          <w:szCs w:val="24"/>
        </w:rPr>
        <w:t xml:space="preserve"> agricultural produce</w:t>
      </w:r>
      <w:r w:rsidR="00316B29">
        <w:rPr>
          <w:rStyle w:val="FootnoteReference"/>
          <w:rFonts w:cstheme="minorHAnsi"/>
          <w:sz w:val="24"/>
          <w:szCs w:val="24"/>
        </w:rPr>
        <w:footnoteReference w:id="57"/>
      </w:r>
      <w:r w:rsidR="00461707">
        <w:rPr>
          <w:rFonts w:cstheme="minorHAnsi"/>
          <w:sz w:val="24"/>
          <w:szCs w:val="24"/>
        </w:rPr>
        <w:t xml:space="preserve"> </w:t>
      </w:r>
      <w:r w:rsidR="007560E5">
        <w:rPr>
          <w:rFonts w:cstheme="minorHAnsi"/>
          <w:sz w:val="24"/>
          <w:szCs w:val="24"/>
        </w:rPr>
        <w:t>and t</w:t>
      </w:r>
      <w:r w:rsidR="00FD7971">
        <w:rPr>
          <w:rFonts w:cstheme="minorHAnsi"/>
          <w:sz w:val="24"/>
          <w:szCs w:val="24"/>
        </w:rPr>
        <w:t>he Australian Food and Grocery Council has commented that Australia produces enough food to feed 75 million people.</w:t>
      </w:r>
      <w:r w:rsidR="00A47044">
        <w:rPr>
          <w:rStyle w:val="FootnoteReference"/>
          <w:rFonts w:cstheme="minorHAnsi"/>
          <w:sz w:val="24"/>
          <w:szCs w:val="24"/>
        </w:rPr>
        <w:footnoteReference w:id="58"/>
      </w:r>
      <w:r w:rsidR="00FD7971">
        <w:rPr>
          <w:rFonts w:cstheme="minorHAnsi"/>
          <w:sz w:val="24"/>
          <w:szCs w:val="24"/>
        </w:rPr>
        <w:t xml:space="preserve"> D</w:t>
      </w:r>
      <w:r w:rsidR="00461707">
        <w:rPr>
          <w:rFonts w:cstheme="minorHAnsi"/>
          <w:sz w:val="24"/>
          <w:szCs w:val="24"/>
        </w:rPr>
        <w:t xml:space="preserve">rought and </w:t>
      </w:r>
      <w:r w:rsidR="009F52DA">
        <w:rPr>
          <w:rFonts w:cstheme="minorHAnsi"/>
          <w:sz w:val="24"/>
          <w:szCs w:val="24"/>
        </w:rPr>
        <w:t xml:space="preserve">disruptions to international freight </w:t>
      </w:r>
      <w:proofErr w:type="gramStart"/>
      <w:r w:rsidR="009F52DA">
        <w:rPr>
          <w:rFonts w:cstheme="minorHAnsi"/>
          <w:sz w:val="24"/>
          <w:szCs w:val="24"/>
        </w:rPr>
        <w:t>as a result of</w:t>
      </w:r>
      <w:proofErr w:type="gramEnd"/>
      <w:r w:rsidR="009F52DA">
        <w:rPr>
          <w:rFonts w:cstheme="minorHAnsi"/>
          <w:sz w:val="24"/>
          <w:szCs w:val="24"/>
        </w:rPr>
        <w:t xml:space="preserve"> </w:t>
      </w:r>
      <w:r w:rsidR="00461707">
        <w:rPr>
          <w:rFonts w:cstheme="minorHAnsi"/>
          <w:sz w:val="24"/>
          <w:szCs w:val="24"/>
        </w:rPr>
        <w:t>COVID-19 have had a detrimental impact on the productivity of Australia’s horticulture sector</w:t>
      </w:r>
      <w:r w:rsidR="00FD7971">
        <w:rPr>
          <w:rFonts w:cstheme="minorHAnsi"/>
          <w:sz w:val="24"/>
          <w:szCs w:val="24"/>
        </w:rPr>
        <w:t>.</w:t>
      </w:r>
      <w:r w:rsidR="00211A61">
        <w:rPr>
          <w:rFonts w:cstheme="minorHAnsi"/>
          <w:sz w:val="24"/>
          <w:szCs w:val="24"/>
        </w:rPr>
        <w:t xml:space="preserve"> </w:t>
      </w:r>
    </w:p>
    <w:p w14:paraId="60F280F3" w14:textId="77777777" w:rsidR="00FB670B" w:rsidRDefault="00FB670B" w:rsidP="00FB670B">
      <w:pPr>
        <w:pStyle w:val="ListParagraph"/>
        <w:ind w:left="567"/>
        <w:rPr>
          <w:rFonts w:cstheme="minorHAnsi"/>
          <w:sz w:val="24"/>
          <w:szCs w:val="24"/>
        </w:rPr>
      </w:pPr>
    </w:p>
    <w:p w14:paraId="27378FFE" w14:textId="7C4A0087" w:rsidR="005A7FBF" w:rsidRPr="007560E5" w:rsidRDefault="00FD7971" w:rsidP="004C7831">
      <w:pPr>
        <w:pStyle w:val="ListParagraph"/>
        <w:numPr>
          <w:ilvl w:val="0"/>
          <w:numId w:val="1"/>
        </w:numPr>
        <w:ind w:left="567" w:hanging="567"/>
      </w:pPr>
      <w:r>
        <w:rPr>
          <w:rFonts w:cstheme="minorHAnsi"/>
          <w:sz w:val="24"/>
          <w:szCs w:val="24"/>
        </w:rPr>
        <w:t>F</w:t>
      </w:r>
      <w:r w:rsidR="00211A61">
        <w:rPr>
          <w:rFonts w:cstheme="minorHAnsi"/>
          <w:sz w:val="24"/>
          <w:szCs w:val="24"/>
        </w:rPr>
        <w:t xml:space="preserve">igures in </w:t>
      </w:r>
      <w:r w:rsidR="00211A61" w:rsidRPr="00211A61">
        <w:rPr>
          <w:rFonts w:cstheme="minorHAnsi"/>
          <w:b/>
          <w:bCs/>
          <w:sz w:val="24"/>
          <w:szCs w:val="24"/>
          <w:u w:val="single"/>
        </w:rPr>
        <w:t xml:space="preserve">Graph </w:t>
      </w:r>
      <w:r w:rsidR="009667B4">
        <w:rPr>
          <w:rFonts w:cstheme="minorHAnsi"/>
          <w:b/>
          <w:bCs/>
          <w:sz w:val="24"/>
          <w:szCs w:val="24"/>
          <w:u w:val="single"/>
        </w:rPr>
        <w:t>7</w:t>
      </w:r>
      <w:r w:rsidR="00211A61">
        <w:rPr>
          <w:rFonts w:cstheme="minorHAnsi"/>
          <w:sz w:val="24"/>
          <w:szCs w:val="24"/>
        </w:rPr>
        <w:t xml:space="preserve"> show that</w:t>
      </w:r>
      <w:r w:rsidR="009F52DA">
        <w:rPr>
          <w:rFonts w:cstheme="minorHAnsi"/>
          <w:sz w:val="24"/>
          <w:szCs w:val="24"/>
        </w:rPr>
        <w:t>, despite this,</w:t>
      </w:r>
      <w:r w:rsidR="00211A61">
        <w:rPr>
          <w:rFonts w:cstheme="minorHAnsi"/>
          <w:sz w:val="24"/>
          <w:szCs w:val="24"/>
        </w:rPr>
        <w:t xml:space="preserve"> trade continues to increase, albeit at a slower pace</w:t>
      </w:r>
      <w:r w:rsidR="00461707">
        <w:rPr>
          <w:rFonts w:cstheme="minorHAnsi"/>
          <w:sz w:val="24"/>
          <w:szCs w:val="24"/>
        </w:rPr>
        <w:t xml:space="preserve">. </w:t>
      </w:r>
      <w:r w:rsidR="00211A61">
        <w:rPr>
          <w:rFonts w:cstheme="minorHAnsi"/>
          <w:sz w:val="24"/>
          <w:szCs w:val="24"/>
        </w:rPr>
        <w:t>F</w:t>
      </w:r>
      <w:r w:rsidR="00461707">
        <w:rPr>
          <w:rFonts w:cstheme="minorHAnsi"/>
          <w:sz w:val="24"/>
          <w:szCs w:val="24"/>
        </w:rPr>
        <w:t xml:space="preserve">urther opening </w:t>
      </w:r>
      <w:r w:rsidR="00211A61">
        <w:rPr>
          <w:rFonts w:cstheme="minorHAnsi"/>
          <w:sz w:val="24"/>
          <w:szCs w:val="24"/>
        </w:rPr>
        <w:t xml:space="preserve">of </w:t>
      </w:r>
      <w:r w:rsidR="00461707">
        <w:rPr>
          <w:rFonts w:cstheme="minorHAnsi"/>
          <w:sz w:val="24"/>
          <w:szCs w:val="24"/>
        </w:rPr>
        <w:t xml:space="preserve">markets </w:t>
      </w:r>
      <w:r w:rsidR="00211A61">
        <w:rPr>
          <w:rFonts w:cstheme="minorHAnsi"/>
          <w:sz w:val="24"/>
          <w:szCs w:val="24"/>
        </w:rPr>
        <w:t xml:space="preserve">such as the UK </w:t>
      </w:r>
      <w:r w:rsidR="00461707">
        <w:rPr>
          <w:rFonts w:cstheme="minorHAnsi"/>
          <w:sz w:val="24"/>
          <w:szCs w:val="24"/>
        </w:rPr>
        <w:t>through tariff removal is</w:t>
      </w:r>
      <w:r w:rsidR="009F52DA">
        <w:rPr>
          <w:rFonts w:cstheme="minorHAnsi"/>
          <w:sz w:val="24"/>
          <w:szCs w:val="24"/>
        </w:rPr>
        <w:t xml:space="preserve"> likely to be</w:t>
      </w:r>
      <w:r w:rsidR="00461707">
        <w:rPr>
          <w:rFonts w:cstheme="minorHAnsi"/>
          <w:sz w:val="24"/>
          <w:szCs w:val="24"/>
        </w:rPr>
        <w:t xml:space="preserve"> a contributor</w:t>
      </w:r>
      <w:r w:rsidR="00211A61">
        <w:rPr>
          <w:rFonts w:cstheme="minorHAnsi"/>
          <w:sz w:val="24"/>
          <w:szCs w:val="24"/>
        </w:rPr>
        <w:t xml:space="preserve"> toward </w:t>
      </w:r>
      <w:r>
        <w:rPr>
          <w:rFonts w:cstheme="minorHAnsi"/>
          <w:sz w:val="24"/>
          <w:szCs w:val="24"/>
        </w:rPr>
        <w:t xml:space="preserve">the </w:t>
      </w:r>
      <w:r w:rsidR="009F52DA">
        <w:rPr>
          <w:rFonts w:cstheme="minorHAnsi"/>
          <w:sz w:val="24"/>
          <w:szCs w:val="24"/>
        </w:rPr>
        <w:t xml:space="preserve">horticultural </w:t>
      </w:r>
      <w:r>
        <w:rPr>
          <w:rFonts w:cstheme="minorHAnsi"/>
          <w:sz w:val="24"/>
          <w:szCs w:val="24"/>
        </w:rPr>
        <w:t>sector</w:t>
      </w:r>
      <w:r w:rsidR="00272956">
        <w:rPr>
          <w:rFonts w:cstheme="minorHAnsi"/>
          <w:sz w:val="24"/>
          <w:szCs w:val="24"/>
        </w:rPr>
        <w:t>’</w:t>
      </w:r>
      <w:r>
        <w:rPr>
          <w:rFonts w:cstheme="minorHAnsi"/>
          <w:sz w:val="24"/>
          <w:szCs w:val="24"/>
        </w:rPr>
        <w:t>s</w:t>
      </w:r>
      <w:r w:rsidR="00211A61">
        <w:rPr>
          <w:rFonts w:cstheme="minorHAnsi"/>
          <w:sz w:val="24"/>
          <w:szCs w:val="24"/>
        </w:rPr>
        <w:t xml:space="preserve"> post-COVID economic recovery</w:t>
      </w:r>
      <w:r w:rsidR="00272956">
        <w:rPr>
          <w:rFonts w:cstheme="minorHAnsi"/>
          <w:sz w:val="24"/>
          <w:szCs w:val="24"/>
        </w:rPr>
        <w:t>. T</w:t>
      </w:r>
      <w:r w:rsidR="007560E5">
        <w:rPr>
          <w:rFonts w:cstheme="minorHAnsi"/>
          <w:sz w:val="24"/>
          <w:szCs w:val="24"/>
        </w:rPr>
        <w:t>his is very important considering its productivity potential</w:t>
      </w:r>
      <w:r w:rsidR="00211A61">
        <w:rPr>
          <w:rFonts w:cstheme="minorHAnsi"/>
          <w:sz w:val="24"/>
          <w:szCs w:val="24"/>
        </w:rPr>
        <w:t>.</w:t>
      </w:r>
      <w:r>
        <w:rPr>
          <w:rFonts w:cstheme="minorHAnsi"/>
          <w:sz w:val="24"/>
          <w:szCs w:val="24"/>
        </w:rPr>
        <w:t xml:space="preserve"> </w:t>
      </w:r>
      <w:r w:rsidR="007560E5">
        <w:rPr>
          <w:rFonts w:cstheme="minorHAnsi"/>
          <w:sz w:val="24"/>
          <w:szCs w:val="24"/>
        </w:rPr>
        <w:t xml:space="preserve">This will also </w:t>
      </w:r>
      <w:r w:rsidR="00272956">
        <w:rPr>
          <w:rFonts w:cstheme="minorHAnsi"/>
          <w:sz w:val="24"/>
          <w:szCs w:val="24"/>
        </w:rPr>
        <w:t>benefit</w:t>
      </w:r>
      <w:r>
        <w:rPr>
          <w:rFonts w:cstheme="minorHAnsi"/>
          <w:sz w:val="24"/>
          <w:szCs w:val="24"/>
        </w:rPr>
        <w:t xml:space="preserve"> UK consumers as </w:t>
      </w:r>
      <w:r w:rsidR="007560E5">
        <w:rPr>
          <w:rFonts w:cstheme="minorHAnsi"/>
          <w:sz w:val="24"/>
          <w:szCs w:val="24"/>
        </w:rPr>
        <w:t xml:space="preserve">greater choice will likely reduce costs </w:t>
      </w:r>
      <w:r w:rsidR="00272956">
        <w:rPr>
          <w:rFonts w:cstheme="minorHAnsi"/>
          <w:sz w:val="24"/>
          <w:szCs w:val="24"/>
        </w:rPr>
        <w:t xml:space="preserve">while </w:t>
      </w:r>
      <w:r w:rsidR="00B21A56">
        <w:rPr>
          <w:rFonts w:cstheme="minorHAnsi"/>
          <w:sz w:val="24"/>
          <w:szCs w:val="24"/>
        </w:rPr>
        <w:t>greater</w:t>
      </w:r>
      <w:r>
        <w:rPr>
          <w:rFonts w:cstheme="minorHAnsi"/>
          <w:sz w:val="24"/>
          <w:szCs w:val="24"/>
        </w:rPr>
        <w:t xml:space="preserve"> access to </w:t>
      </w:r>
      <w:r w:rsidR="007560E5">
        <w:rPr>
          <w:rFonts w:cstheme="minorHAnsi"/>
          <w:sz w:val="24"/>
          <w:szCs w:val="24"/>
        </w:rPr>
        <w:t xml:space="preserve">a wider variety of </w:t>
      </w:r>
      <w:r>
        <w:rPr>
          <w:rFonts w:cstheme="minorHAnsi"/>
          <w:sz w:val="24"/>
          <w:szCs w:val="24"/>
        </w:rPr>
        <w:t>horticultur</w:t>
      </w:r>
      <w:r w:rsidR="00B21A56">
        <w:rPr>
          <w:rFonts w:cstheme="minorHAnsi"/>
          <w:sz w:val="24"/>
          <w:szCs w:val="24"/>
        </w:rPr>
        <w:t xml:space="preserve">al </w:t>
      </w:r>
      <w:r>
        <w:rPr>
          <w:rFonts w:cstheme="minorHAnsi"/>
          <w:sz w:val="24"/>
          <w:szCs w:val="24"/>
        </w:rPr>
        <w:t xml:space="preserve">products that have a reputation for being high-quality, </w:t>
      </w:r>
      <w:proofErr w:type="gramStart"/>
      <w:r>
        <w:rPr>
          <w:rFonts w:cstheme="minorHAnsi"/>
          <w:sz w:val="24"/>
          <w:szCs w:val="24"/>
        </w:rPr>
        <w:t>reliable</w:t>
      </w:r>
      <w:proofErr w:type="gramEnd"/>
      <w:r>
        <w:rPr>
          <w:rFonts w:cstheme="minorHAnsi"/>
          <w:sz w:val="24"/>
          <w:szCs w:val="24"/>
        </w:rPr>
        <w:t xml:space="preserve"> and safe</w:t>
      </w:r>
      <w:r w:rsidR="007560E5">
        <w:rPr>
          <w:rFonts w:cstheme="minorHAnsi"/>
          <w:sz w:val="24"/>
          <w:szCs w:val="24"/>
        </w:rPr>
        <w:t xml:space="preserve"> </w:t>
      </w:r>
      <w:r w:rsidR="00272956">
        <w:rPr>
          <w:rFonts w:cstheme="minorHAnsi"/>
          <w:sz w:val="24"/>
          <w:szCs w:val="24"/>
        </w:rPr>
        <w:t>will benefit</w:t>
      </w:r>
      <w:r w:rsidR="007560E5">
        <w:rPr>
          <w:rFonts w:cstheme="minorHAnsi"/>
          <w:sz w:val="24"/>
          <w:szCs w:val="24"/>
        </w:rPr>
        <w:t xml:space="preserve"> UK consumer health</w:t>
      </w:r>
      <w:r>
        <w:rPr>
          <w:rFonts w:cstheme="minorHAnsi"/>
          <w:sz w:val="24"/>
          <w:szCs w:val="24"/>
        </w:rPr>
        <w:t>.</w:t>
      </w:r>
    </w:p>
    <w:p w14:paraId="7CB6A9D9" w14:textId="77777777" w:rsidR="005A19C1" w:rsidRDefault="005A19C1" w:rsidP="00316B29">
      <w:pPr>
        <w:rPr>
          <w:rFonts w:cstheme="minorHAnsi"/>
          <w:b/>
          <w:bCs/>
          <w:sz w:val="24"/>
          <w:szCs w:val="24"/>
          <w:u w:val="single"/>
        </w:rPr>
      </w:pPr>
    </w:p>
    <w:p w14:paraId="1AE3DD3E" w14:textId="77777777" w:rsidR="005A19C1" w:rsidRDefault="005A19C1" w:rsidP="00316B29">
      <w:pPr>
        <w:rPr>
          <w:rFonts w:cstheme="minorHAnsi"/>
          <w:b/>
          <w:bCs/>
          <w:sz w:val="24"/>
          <w:szCs w:val="24"/>
          <w:u w:val="single"/>
        </w:rPr>
      </w:pPr>
    </w:p>
    <w:p w14:paraId="702E7867" w14:textId="77777777" w:rsidR="005A19C1" w:rsidRDefault="005A19C1" w:rsidP="00316B29">
      <w:pPr>
        <w:rPr>
          <w:rFonts w:cstheme="minorHAnsi"/>
          <w:b/>
          <w:bCs/>
          <w:sz w:val="24"/>
          <w:szCs w:val="24"/>
          <w:u w:val="single"/>
        </w:rPr>
      </w:pPr>
    </w:p>
    <w:p w14:paraId="14D3F572" w14:textId="77777777" w:rsidR="005A19C1" w:rsidRDefault="005A19C1" w:rsidP="00316B29">
      <w:pPr>
        <w:rPr>
          <w:rFonts w:cstheme="minorHAnsi"/>
          <w:b/>
          <w:bCs/>
          <w:sz w:val="24"/>
          <w:szCs w:val="24"/>
          <w:u w:val="single"/>
        </w:rPr>
      </w:pPr>
    </w:p>
    <w:p w14:paraId="01CC23B4" w14:textId="77777777" w:rsidR="005A19C1" w:rsidRDefault="005A19C1" w:rsidP="00316B29">
      <w:pPr>
        <w:rPr>
          <w:rFonts w:cstheme="minorHAnsi"/>
          <w:b/>
          <w:bCs/>
          <w:sz w:val="24"/>
          <w:szCs w:val="24"/>
          <w:u w:val="single"/>
        </w:rPr>
      </w:pPr>
    </w:p>
    <w:p w14:paraId="172CF99D" w14:textId="77777777" w:rsidR="005A19C1" w:rsidRDefault="005A19C1" w:rsidP="00316B29">
      <w:pPr>
        <w:rPr>
          <w:rFonts w:cstheme="minorHAnsi"/>
          <w:b/>
          <w:bCs/>
          <w:sz w:val="24"/>
          <w:szCs w:val="24"/>
          <w:u w:val="single"/>
        </w:rPr>
      </w:pPr>
    </w:p>
    <w:p w14:paraId="03D953F9" w14:textId="77777777" w:rsidR="005A19C1" w:rsidRDefault="005A19C1" w:rsidP="00316B29">
      <w:pPr>
        <w:rPr>
          <w:rFonts w:cstheme="minorHAnsi"/>
          <w:b/>
          <w:bCs/>
          <w:sz w:val="24"/>
          <w:szCs w:val="24"/>
          <w:u w:val="single"/>
        </w:rPr>
      </w:pPr>
    </w:p>
    <w:p w14:paraId="4FDECBAA" w14:textId="77777777" w:rsidR="005A19C1" w:rsidRDefault="005A19C1" w:rsidP="00316B29">
      <w:pPr>
        <w:rPr>
          <w:rFonts w:cstheme="minorHAnsi"/>
          <w:b/>
          <w:bCs/>
          <w:sz w:val="24"/>
          <w:szCs w:val="24"/>
          <w:u w:val="single"/>
        </w:rPr>
      </w:pPr>
    </w:p>
    <w:p w14:paraId="5144F133" w14:textId="77777777" w:rsidR="005A19C1" w:rsidRDefault="005A19C1" w:rsidP="00316B29">
      <w:pPr>
        <w:rPr>
          <w:rFonts w:cstheme="minorHAnsi"/>
          <w:b/>
          <w:bCs/>
          <w:sz w:val="24"/>
          <w:szCs w:val="24"/>
          <w:u w:val="single"/>
        </w:rPr>
      </w:pPr>
    </w:p>
    <w:p w14:paraId="005A664F" w14:textId="77777777" w:rsidR="005A19C1" w:rsidRDefault="005A19C1" w:rsidP="00316B29">
      <w:pPr>
        <w:rPr>
          <w:rFonts w:cstheme="minorHAnsi"/>
          <w:b/>
          <w:bCs/>
          <w:sz w:val="24"/>
          <w:szCs w:val="24"/>
          <w:u w:val="single"/>
        </w:rPr>
      </w:pPr>
    </w:p>
    <w:p w14:paraId="33382540" w14:textId="77777777" w:rsidR="005A19C1" w:rsidRDefault="005A19C1" w:rsidP="00316B29">
      <w:pPr>
        <w:rPr>
          <w:rFonts w:cstheme="minorHAnsi"/>
          <w:b/>
          <w:bCs/>
          <w:sz w:val="24"/>
          <w:szCs w:val="24"/>
          <w:u w:val="single"/>
        </w:rPr>
      </w:pPr>
    </w:p>
    <w:p w14:paraId="6EDD1183" w14:textId="77777777" w:rsidR="005A19C1" w:rsidRDefault="005A19C1" w:rsidP="00316B29">
      <w:pPr>
        <w:rPr>
          <w:rFonts w:cstheme="minorHAnsi"/>
          <w:b/>
          <w:bCs/>
          <w:sz w:val="24"/>
          <w:szCs w:val="24"/>
          <w:u w:val="single"/>
        </w:rPr>
      </w:pPr>
    </w:p>
    <w:p w14:paraId="1AEA7A0B" w14:textId="24125895" w:rsidR="00316B29" w:rsidRPr="00316B29" w:rsidRDefault="00316B29" w:rsidP="00316B29">
      <w:pPr>
        <w:rPr>
          <w:rFonts w:cstheme="minorHAnsi"/>
          <w:b/>
          <w:bCs/>
          <w:u w:val="single"/>
        </w:rPr>
      </w:pPr>
      <w:r w:rsidRPr="00E52E3F">
        <w:rPr>
          <w:rFonts w:cstheme="minorHAnsi"/>
          <w:b/>
          <w:bCs/>
          <w:sz w:val="24"/>
          <w:szCs w:val="24"/>
          <w:u w:val="single"/>
        </w:rPr>
        <w:lastRenderedPageBreak/>
        <w:t xml:space="preserve">Graph </w:t>
      </w:r>
      <w:r w:rsidR="009667B4">
        <w:rPr>
          <w:rFonts w:cstheme="minorHAnsi"/>
          <w:b/>
          <w:bCs/>
          <w:sz w:val="24"/>
          <w:szCs w:val="24"/>
          <w:u w:val="single"/>
        </w:rPr>
        <w:t>7</w:t>
      </w:r>
      <w:r w:rsidRPr="005A7FBF">
        <w:rPr>
          <w:rFonts w:cstheme="minorHAnsi"/>
          <w:b/>
          <w:bCs/>
          <w:sz w:val="24"/>
          <w:szCs w:val="24"/>
        </w:rPr>
        <w:t>: Trade in horticulture from 2010-2020</w:t>
      </w:r>
      <w:r w:rsidR="00117574" w:rsidRPr="005A7FBF">
        <w:rPr>
          <w:rStyle w:val="FootnoteReference"/>
          <w:rFonts w:cstheme="minorHAnsi"/>
          <w:b/>
          <w:bCs/>
        </w:rPr>
        <w:footnoteReference w:id="59"/>
      </w:r>
      <w:r w:rsidRPr="00316B29">
        <w:rPr>
          <w:rFonts w:cstheme="minorHAnsi"/>
          <w:b/>
          <w:bCs/>
          <w:u w:val="single"/>
        </w:rPr>
        <w:t xml:space="preserve"> </w:t>
      </w:r>
    </w:p>
    <w:p w14:paraId="1B952D4B" w14:textId="66503640" w:rsidR="00115909" w:rsidRPr="0054572E" w:rsidRDefault="00316B29" w:rsidP="00316B29">
      <w:pPr>
        <w:rPr>
          <w:rFonts w:cstheme="minorHAnsi"/>
          <w:sz w:val="24"/>
          <w:szCs w:val="24"/>
          <w:highlight w:val="yellow"/>
        </w:rPr>
      </w:pPr>
      <w:r>
        <w:rPr>
          <w:noProof/>
        </w:rPr>
        <w:drawing>
          <wp:inline distT="0" distB="0" distL="0" distR="0" wp14:anchorId="2E3E1E9A" wp14:editId="4CDF9177">
            <wp:extent cx="5731510" cy="33782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378200"/>
                    </a:xfrm>
                    <a:prstGeom prst="rect">
                      <a:avLst/>
                    </a:prstGeom>
                  </pic:spPr>
                </pic:pic>
              </a:graphicData>
            </a:graphic>
          </wp:inline>
        </w:drawing>
      </w:r>
    </w:p>
    <w:p w14:paraId="73CEBE47" w14:textId="77777777" w:rsidR="00316B29" w:rsidRPr="0054572E" w:rsidRDefault="00316B29" w:rsidP="00316B29">
      <w:pPr>
        <w:rPr>
          <w:rFonts w:cstheme="minorHAnsi"/>
          <w:sz w:val="24"/>
          <w:szCs w:val="24"/>
          <w:highlight w:val="yellow"/>
        </w:rPr>
      </w:pPr>
    </w:p>
    <w:p w14:paraId="06D97629" w14:textId="6F7364CB" w:rsidR="00415E91" w:rsidRPr="00A47044" w:rsidRDefault="00211A61" w:rsidP="00A47044">
      <w:pPr>
        <w:pStyle w:val="ListParagraph"/>
        <w:numPr>
          <w:ilvl w:val="0"/>
          <w:numId w:val="1"/>
        </w:numPr>
        <w:ind w:left="567" w:hanging="567"/>
        <w:rPr>
          <w:rFonts w:cstheme="minorHAnsi"/>
          <w:sz w:val="24"/>
          <w:szCs w:val="24"/>
        </w:rPr>
      </w:pPr>
      <w:r w:rsidRPr="0054572E">
        <w:rPr>
          <w:rFonts w:cstheme="minorHAnsi"/>
          <w:sz w:val="24"/>
          <w:szCs w:val="24"/>
        </w:rPr>
        <w:t xml:space="preserve">The outcome </w:t>
      </w:r>
      <w:r w:rsidR="009F52DA">
        <w:rPr>
          <w:rFonts w:cstheme="minorHAnsi"/>
          <w:sz w:val="24"/>
          <w:szCs w:val="24"/>
        </w:rPr>
        <w:t xml:space="preserve">under the proposed AU-UK FTA </w:t>
      </w:r>
      <w:r w:rsidRPr="0054572E">
        <w:rPr>
          <w:rFonts w:cstheme="minorHAnsi"/>
          <w:sz w:val="24"/>
          <w:szCs w:val="24"/>
        </w:rPr>
        <w:t>in horticulture is also consistent with what industry has called for</w:t>
      </w:r>
      <w:r w:rsidR="00762FF2">
        <w:rPr>
          <w:rFonts w:cstheme="minorHAnsi"/>
          <w:sz w:val="24"/>
          <w:szCs w:val="24"/>
        </w:rPr>
        <w:t>,</w:t>
      </w:r>
      <w:r w:rsidRPr="0054572E">
        <w:rPr>
          <w:rFonts w:cstheme="minorHAnsi"/>
          <w:sz w:val="24"/>
          <w:szCs w:val="24"/>
        </w:rPr>
        <w:t xml:space="preserve"> </w:t>
      </w:r>
      <w:r w:rsidR="00FD7971" w:rsidRPr="0054572E">
        <w:rPr>
          <w:rFonts w:cstheme="minorHAnsi"/>
          <w:sz w:val="24"/>
          <w:szCs w:val="24"/>
        </w:rPr>
        <w:t xml:space="preserve">for example, </w:t>
      </w:r>
      <w:r w:rsidR="007560E5">
        <w:rPr>
          <w:rFonts w:cstheme="minorHAnsi"/>
          <w:sz w:val="24"/>
          <w:szCs w:val="24"/>
        </w:rPr>
        <w:t>a</w:t>
      </w:r>
      <w:r w:rsidR="00762FF2">
        <w:rPr>
          <w:rFonts w:cstheme="minorHAnsi"/>
          <w:sz w:val="24"/>
          <w:szCs w:val="24"/>
        </w:rPr>
        <w:t xml:space="preserve"> request </w:t>
      </w:r>
      <w:r w:rsidR="007560E5">
        <w:rPr>
          <w:rFonts w:cstheme="minorHAnsi"/>
          <w:sz w:val="24"/>
          <w:szCs w:val="24"/>
        </w:rPr>
        <w:t>to</w:t>
      </w:r>
      <w:r w:rsidRPr="0054572E">
        <w:rPr>
          <w:rFonts w:cstheme="minorHAnsi"/>
          <w:sz w:val="24"/>
          <w:szCs w:val="24"/>
        </w:rPr>
        <w:t xml:space="preserve"> </w:t>
      </w:r>
      <w:r w:rsidRPr="0054572E">
        <w:rPr>
          <w:sz w:val="24"/>
          <w:szCs w:val="24"/>
        </w:rPr>
        <w:t>eliminat</w:t>
      </w:r>
      <w:r w:rsidR="007560E5">
        <w:rPr>
          <w:sz w:val="24"/>
          <w:szCs w:val="24"/>
        </w:rPr>
        <w:t>e</w:t>
      </w:r>
      <w:r w:rsidRPr="0054572E">
        <w:rPr>
          <w:sz w:val="24"/>
          <w:szCs w:val="24"/>
        </w:rPr>
        <w:t xml:space="preserve"> tariffs on nut exports </w:t>
      </w:r>
      <w:r w:rsidR="007560E5">
        <w:rPr>
          <w:sz w:val="24"/>
          <w:szCs w:val="24"/>
        </w:rPr>
        <w:t>on</w:t>
      </w:r>
      <w:r w:rsidRPr="0054572E">
        <w:rPr>
          <w:sz w:val="24"/>
          <w:szCs w:val="24"/>
        </w:rPr>
        <w:t xml:space="preserve"> entry into force. </w:t>
      </w:r>
      <w:r w:rsidR="00A47044">
        <w:rPr>
          <w:sz w:val="24"/>
          <w:szCs w:val="24"/>
        </w:rPr>
        <w:t>The Australian Nut Industry Council c</w:t>
      </w:r>
      <w:r w:rsidRPr="0054572E">
        <w:rPr>
          <w:sz w:val="24"/>
          <w:szCs w:val="24"/>
        </w:rPr>
        <w:t>onfirmed that the UK does not grow nuts commerciall</w:t>
      </w:r>
      <w:r w:rsidR="00A47044">
        <w:rPr>
          <w:sz w:val="24"/>
          <w:szCs w:val="24"/>
        </w:rPr>
        <w:t xml:space="preserve">y and it would be in UK consumer interest to </w:t>
      </w:r>
      <w:r w:rsidR="00C13F5B">
        <w:rPr>
          <w:sz w:val="24"/>
          <w:szCs w:val="24"/>
        </w:rPr>
        <w:t xml:space="preserve">have access to a </w:t>
      </w:r>
      <w:r w:rsidR="00A47044">
        <w:rPr>
          <w:sz w:val="24"/>
          <w:szCs w:val="24"/>
        </w:rPr>
        <w:t>greater choice of nut imports</w:t>
      </w:r>
      <w:r w:rsidRPr="0054572E">
        <w:rPr>
          <w:sz w:val="24"/>
          <w:szCs w:val="24"/>
        </w:rPr>
        <w:t>.</w:t>
      </w:r>
      <w:r w:rsidR="00A47044">
        <w:rPr>
          <w:rStyle w:val="FootnoteReference"/>
          <w:sz w:val="24"/>
          <w:szCs w:val="24"/>
        </w:rPr>
        <w:footnoteReference w:id="60"/>
      </w:r>
      <w:r w:rsidRPr="0054572E">
        <w:rPr>
          <w:sz w:val="24"/>
          <w:szCs w:val="24"/>
        </w:rPr>
        <w:t xml:space="preserve"> </w:t>
      </w:r>
      <w:r w:rsidR="00115909" w:rsidRPr="0054572E">
        <w:rPr>
          <w:rFonts w:cstheme="minorHAnsi"/>
          <w:sz w:val="24"/>
          <w:szCs w:val="24"/>
        </w:rPr>
        <w:t>This is also reflected through the views of Horticulture Innovation Australia</w:t>
      </w:r>
      <w:r w:rsidR="00762FF2">
        <w:rPr>
          <w:rFonts w:cstheme="minorHAnsi"/>
          <w:sz w:val="24"/>
          <w:szCs w:val="24"/>
        </w:rPr>
        <w:t xml:space="preserve"> in </w:t>
      </w:r>
      <w:r w:rsidR="00C13F5B">
        <w:rPr>
          <w:rFonts w:cstheme="minorHAnsi"/>
          <w:sz w:val="24"/>
          <w:szCs w:val="24"/>
        </w:rPr>
        <w:t xml:space="preserve">its </w:t>
      </w:r>
      <w:r w:rsidR="00762FF2">
        <w:rPr>
          <w:rFonts w:cstheme="minorHAnsi"/>
          <w:sz w:val="24"/>
          <w:szCs w:val="24"/>
        </w:rPr>
        <w:t>commentary on the AU-UK FTA:</w:t>
      </w:r>
      <w:r w:rsidR="00115909" w:rsidRPr="0054572E">
        <w:rPr>
          <w:rFonts w:cstheme="minorHAnsi"/>
          <w:sz w:val="24"/>
          <w:szCs w:val="24"/>
        </w:rPr>
        <w:t xml:space="preserve"> ‘The Australia-UK free trade negotiations present an exciting opportunity for our economies. The Australian horticulture sector is always looking for ways to improve trade links in accessible international markets.’</w:t>
      </w:r>
      <w:r w:rsidR="00115909" w:rsidRPr="0054572E">
        <w:rPr>
          <w:rStyle w:val="FootnoteReference"/>
          <w:rFonts w:cstheme="minorHAnsi"/>
          <w:sz w:val="24"/>
          <w:szCs w:val="24"/>
        </w:rPr>
        <w:footnoteReference w:id="61"/>
      </w:r>
    </w:p>
    <w:p w14:paraId="570C8F2C" w14:textId="77777777" w:rsidR="00A47044" w:rsidRDefault="00A47044" w:rsidP="00BA60E2">
      <w:pPr>
        <w:rPr>
          <w:rFonts w:cstheme="minorHAnsi"/>
          <w:b/>
          <w:bCs/>
          <w:i/>
          <w:iCs/>
          <w:sz w:val="24"/>
          <w:szCs w:val="24"/>
        </w:rPr>
      </w:pPr>
    </w:p>
    <w:p w14:paraId="68D4ECCD" w14:textId="1F7B44D6" w:rsidR="00BA60E2" w:rsidRPr="0054572E" w:rsidRDefault="00BA60E2" w:rsidP="00BA60E2">
      <w:pPr>
        <w:rPr>
          <w:rFonts w:cstheme="minorHAnsi"/>
          <w:b/>
          <w:bCs/>
          <w:i/>
          <w:iCs/>
          <w:sz w:val="24"/>
          <w:szCs w:val="24"/>
        </w:rPr>
      </w:pPr>
      <w:r w:rsidRPr="0054572E">
        <w:rPr>
          <w:rFonts w:cstheme="minorHAnsi"/>
          <w:b/>
          <w:bCs/>
          <w:i/>
          <w:iCs/>
          <w:sz w:val="24"/>
          <w:szCs w:val="24"/>
        </w:rPr>
        <w:t xml:space="preserve">Wheat/Barley - Other cereals </w:t>
      </w:r>
    </w:p>
    <w:p w14:paraId="79900AA8" w14:textId="5E933896" w:rsidR="00B0441F" w:rsidRPr="0054572E" w:rsidRDefault="00BA60E2" w:rsidP="00B21A56">
      <w:pPr>
        <w:pStyle w:val="ListParagraph"/>
        <w:numPr>
          <w:ilvl w:val="0"/>
          <w:numId w:val="1"/>
        </w:numPr>
        <w:ind w:left="567" w:hanging="567"/>
        <w:rPr>
          <w:rFonts w:cstheme="minorHAnsi"/>
          <w:bCs/>
          <w:sz w:val="24"/>
          <w:szCs w:val="24"/>
          <w:lang w:val="en-GB"/>
        </w:rPr>
      </w:pPr>
      <w:r w:rsidRPr="0054572E">
        <w:rPr>
          <w:rFonts w:cstheme="minorHAnsi"/>
          <w:bCs/>
          <w:sz w:val="24"/>
          <w:szCs w:val="24"/>
          <w:lang w:val="en-GB"/>
        </w:rPr>
        <w:t xml:space="preserve">For wheat, </w:t>
      </w:r>
      <w:r w:rsidRPr="0054572E">
        <w:rPr>
          <w:rFonts w:cstheme="minorHAnsi"/>
          <w:sz w:val="24"/>
          <w:szCs w:val="24"/>
        </w:rPr>
        <w:t xml:space="preserve">Australia will have immediate access to a duty-free quota of 80,000 tonnes per year on entry into force of the agreement, equating to an additional </w:t>
      </w:r>
      <w:r w:rsidR="00B0441F" w:rsidRPr="0054572E">
        <w:rPr>
          <w:rFonts w:cstheme="minorHAnsi"/>
          <w:sz w:val="24"/>
          <w:szCs w:val="24"/>
        </w:rPr>
        <w:t>A</w:t>
      </w:r>
      <w:r w:rsidRPr="0054572E">
        <w:rPr>
          <w:rFonts w:cstheme="minorHAnsi"/>
          <w:sz w:val="24"/>
          <w:szCs w:val="24"/>
        </w:rPr>
        <w:t xml:space="preserve">$28.5 million in trade value per year if the quota is filled. Tariffs will be eliminated after </w:t>
      </w:r>
      <w:r w:rsidR="0083201A" w:rsidRPr="0054572E">
        <w:rPr>
          <w:rFonts w:cstheme="minorHAnsi"/>
          <w:sz w:val="24"/>
          <w:szCs w:val="24"/>
        </w:rPr>
        <w:t>four</w:t>
      </w:r>
      <w:r w:rsidRPr="0054572E">
        <w:rPr>
          <w:rFonts w:cstheme="minorHAnsi"/>
          <w:sz w:val="24"/>
          <w:szCs w:val="24"/>
        </w:rPr>
        <w:t xml:space="preserve"> years.</w:t>
      </w:r>
      <w:r w:rsidR="00B21A56" w:rsidRPr="0054572E">
        <w:rPr>
          <w:rFonts w:cstheme="minorHAnsi"/>
          <w:sz w:val="24"/>
          <w:szCs w:val="24"/>
        </w:rPr>
        <w:t xml:space="preserve"> </w:t>
      </w:r>
      <w:r w:rsidRPr="0054572E">
        <w:rPr>
          <w:rFonts w:cstheme="minorHAnsi"/>
          <w:sz w:val="24"/>
          <w:szCs w:val="24"/>
        </w:rPr>
        <w:t xml:space="preserve">Tariffs </w:t>
      </w:r>
      <w:r w:rsidRPr="0054572E">
        <w:rPr>
          <w:sz w:val="24"/>
          <w:szCs w:val="24"/>
        </w:rPr>
        <w:t>on</w:t>
      </w:r>
      <w:r w:rsidRPr="0054572E">
        <w:rPr>
          <w:rFonts w:cstheme="minorHAnsi"/>
          <w:sz w:val="24"/>
          <w:szCs w:val="24"/>
        </w:rPr>
        <w:t xml:space="preserve"> barley will also be eliminated after </w:t>
      </w:r>
      <w:r w:rsidR="0083201A" w:rsidRPr="0054572E">
        <w:rPr>
          <w:rFonts w:cstheme="minorHAnsi"/>
          <w:sz w:val="24"/>
          <w:szCs w:val="24"/>
        </w:rPr>
        <w:t>four</w:t>
      </w:r>
      <w:r w:rsidRPr="0054572E">
        <w:rPr>
          <w:rFonts w:cstheme="minorHAnsi"/>
          <w:sz w:val="24"/>
          <w:szCs w:val="24"/>
        </w:rPr>
        <w:t xml:space="preserve"> years, with a transitional duty-free quota of 7,000 tonnes per year, equating to an additional </w:t>
      </w:r>
      <w:r w:rsidR="00B0441F" w:rsidRPr="0054572E">
        <w:rPr>
          <w:rFonts w:cstheme="minorHAnsi"/>
          <w:sz w:val="24"/>
          <w:szCs w:val="24"/>
        </w:rPr>
        <w:t>A</w:t>
      </w:r>
      <w:r w:rsidRPr="0054572E">
        <w:rPr>
          <w:rFonts w:cstheme="minorHAnsi"/>
          <w:sz w:val="24"/>
          <w:szCs w:val="24"/>
        </w:rPr>
        <w:t xml:space="preserve">$2.2 million in trade value per year if the quota is filled. </w:t>
      </w:r>
      <w:r w:rsidRPr="0054572E">
        <w:rPr>
          <w:sz w:val="24"/>
          <w:szCs w:val="24"/>
        </w:rPr>
        <w:t>Australia</w:t>
      </w:r>
      <w:r w:rsidRPr="0054572E">
        <w:rPr>
          <w:rFonts w:cstheme="minorHAnsi"/>
          <w:bCs/>
          <w:sz w:val="24"/>
          <w:szCs w:val="24"/>
          <w:lang w:val="en-GB"/>
        </w:rPr>
        <w:t xml:space="preserve"> has existing WTO duty free access to the UK for durum and </w:t>
      </w:r>
      <w:r w:rsidR="00012793" w:rsidRPr="0054572E">
        <w:rPr>
          <w:rFonts w:cstheme="minorHAnsi"/>
          <w:bCs/>
          <w:sz w:val="24"/>
          <w:szCs w:val="24"/>
          <w:lang w:val="en-GB"/>
        </w:rPr>
        <w:t>high-quality</w:t>
      </w:r>
      <w:r w:rsidRPr="0054572E">
        <w:rPr>
          <w:rFonts w:cstheme="minorHAnsi"/>
          <w:bCs/>
          <w:sz w:val="24"/>
          <w:szCs w:val="24"/>
          <w:lang w:val="en-GB"/>
        </w:rPr>
        <w:t xml:space="preserve"> wheat, </w:t>
      </w:r>
      <w:proofErr w:type="gramStart"/>
      <w:r w:rsidRPr="0054572E">
        <w:rPr>
          <w:rFonts w:cstheme="minorHAnsi"/>
          <w:bCs/>
          <w:sz w:val="24"/>
          <w:szCs w:val="24"/>
          <w:lang w:val="en-GB"/>
        </w:rPr>
        <w:t>canola</w:t>
      </w:r>
      <w:proofErr w:type="gramEnd"/>
      <w:r w:rsidRPr="0054572E">
        <w:rPr>
          <w:rFonts w:cstheme="minorHAnsi"/>
          <w:bCs/>
          <w:sz w:val="24"/>
          <w:szCs w:val="24"/>
          <w:lang w:val="en-GB"/>
        </w:rPr>
        <w:t xml:space="preserve"> and chickpeas.</w:t>
      </w:r>
    </w:p>
    <w:p w14:paraId="2FBCEDDF" w14:textId="77777777" w:rsidR="00675DF9" w:rsidRPr="0054572E" w:rsidRDefault="00675DF9" w:rsidP="00675DF9">
      <w:pPr>
        <w:pStyle w:val="ListParagraph"/>
        <w:rPr>
          <w:rFonts w:cstheme="minorHAnsi"/>
          <w:bCs/>
          <w:sz w:val="24"/>
          <w:szCs w:val="24"/>
          <w:lang w:val="en-GB"/>
        </w:rPr>
      </w:pPr>
    </w:p>
    <w:p w14:paraId="1CE9E44C" w14:textId="1E3843DF" w:rsidR="003F19CC" w:rsidRDefault="003F19CC" w:rsidP="000B5C91">
      <w:pPr>
        <w:pStyle w:val="ListParagraph"/>
        <w:numPr>
          <w:ilvl w:val="0"/>
          <w:numId w:val="1"/>
        </w:numPr>
        <w:ind w:left="567" w:hanging="567"/>
        <w:rPr>
          <w:rFonts w:cstheme="minorHAnsi"/>
          <w:sz w:val="24"/>
          <w:szCs w:val="24"/>
        </w:rPr>
      </w:pPr>
      <w:r>
        <w:rPr>
          <w:rFonts w:cstheme="minorHAnsi"/>
          <w:sz w:val="24"/>
          <w:szCs w:val="24"/>
        </w:rPr>
        <w:t>Drawing out wheat as a key example</w:t>
      </w:r>
      <w:r w:rsidR="00C13F5B">
        <w:rPr>
          <w:rFonts w:cstheme="minorHAnsi"/>
          <w:sz w:val="24"/>
          <w:szCs w:val="24"/>
        </w:rPr>
        <w:t>,</w:t>
      </w:r>
      <w:r>
        <w:rPr>
          <w:rFonts w:cstheme="minorHAnsi"/>
          <w:sz w:val="24"/>
          <w:szCs w:val="24"/>
        </w:rPr>
        <w:t xml:space="preserve"> </w:t>
      </w:r>
      <w:r w:rsidR="009F52DA">
        <w:rPr>
          <w:rFonts w:cstheme="minorHAnsi"/>
          <w:sz w:val="24"/>
          <w:szCs w:val="24"/>
        </w:rPr>
        <w:t>Australia is a significant exporte</w:t>
      </w:r>
      <w:r w:rsidR="00762FF2">
        <w:rPr>
          <w:rFonts w:cstheme="minorHAnsi"/>
          <w:sz w:val="24"/>
          <w:szCs w:val="24"/>
        </w:rPr>
        <w:t>r</w:t>
      </w:r>
      <w:r>
        <w:rPr>
          <w:rFonts w:cstheme="minorHAnsi"/>
          <w:sz w:val="24"/>
          <w:szCs w:val="24"/>
        </w:rPr>
        <w:t>,</w:t>
      </w:r>
      <w:r w:rsidR="009F52DA">
        <w:rPr>
          <w:rFonts w:cstheme="minorHAnsi"/>
          <w:sz w:val="24"/>
          <w:szCs w:val="24"/>
        </w:rPr>
        <w:t xml:space="preserve"> </w:t>
      </w:r>
      <w:r w:rsidR="00762FF2">
        <w:rPr>
          <w:rFonts w:cstheme="minorHAnsi"/>
          <w:sz w:val="24"/>
          <w:szCs w:val="24"/>
        </w:rPr>
        <w:t xml:space="preserve">with </w:t>
      </w:r>
      <w:r>
        <w:rPr>
          <w:rFonts w:cstheme="minorHAnsi"/>
          <w:sz w:val="24"/>
          <w:szCs w:val="24"/>
        </w:rPr>
        <w:t>most of the</w:t>
      </w:r>
      <w:r w:rsidR="009F52DA">
        <w:rPr>
          <w:rFonts w:cstheme="minorHAnsi"/>
          <w:sz w:val="24"/>
          <w:szCs w:val="24"/>
        </w:rPr>
        <w:t xml:space="preserve"> wheat produced in Australia s</w:t>
      </w:r>
      <w:r w:rsidR="009F52DA" w:rsidRPr="0054572E">
        <w:rPr>
          <w:rFonts w:cstheme="minorHAnsi"/>
          <w:sz w:val="24"/>
          <w:szCs w:val="24"/>
        </w:rPr>
        <w:t>old overseas</w:t>
      </w:r>
      <w:r w:rsidR="009F52DA">
        <w:rPr>
          <w:rFonts w:cstheme="minorHAnsi"/>
          <w:sz w:val="24"/>
          <w:szCs w:val="24"/>
        </w:rPr>
        <w:t>. As with other agricultur</w:t>
      </w:r>
      <w:r>
        <w:rPr>
          <w:rFonts w:cstheme="minorHAnsi"/>
          <w:sz w:val="24"/>
          <w:szCs w:val="24"/>
        </w:rPr>
        <w:t>al</w:t>
      </w:r>
      <w:r w:rsidR="009F52DA">
        <w:rPr>
          <w:rFonts w:cstheme="minorHAnsi"/>
          <w:sz w:val="24"/>
          <w:szCs w:val="24"/>
        </w:rPr>
        <w:t xml:space="preserve"> </w:t>
      </w:r>
      <w:r w:rsidR="009F52DA">
        <w:rPr>
          <w:rFonts w:cstheme="minorHAnsi"/>
          <w:sz w:val="24"/>
          <w:szCs w:val="24"/>
        </w:rPr>
        <w:lastRenderedPageBreak/>
        <w:t>commodities, drought</w:t>
      </w:r>
      <w:r>
        <w:rPr>
          <w:rFonts w:cstheme="minorHAnsi"/>
          <w:sz w:val="24"/>
          <w:szCs w:val="24"/>
        </w:rPr>
        <w:t xml:space="preserve">, </w:t>
      </w:r>
      <w:r w:rsidR="00825F95">
        <w:rPr>
          <w:rFonts w:cstheme="minorHAnsi"/>
          <w:sz w:val="24"/>
          <w:szCs w:val="24"/>
        </w:rPr>
        <w:t>increased</w:t>
      </w:r>
      <w:r>
        <w:rPr>
          <w:rFonts w:cstheme="minorHAnsi"/>
          <w:sz w:val="24"/>
          <w:szCs w:val="24"/>
        </w:rPr>
        <w:t xml:space="preserve"> m</w:t>
      </w:r>
      <w:r w:rsidR="00825F95">
        <w:rPr>
          <w:rFonts w:cstheme="minorHAnsi"/>
          <w:sz w:val="24"/>
          <w:szCs w:val="24"/>
        </w:rPr>
        <w:t>ice populations</w:t>
      </w:r>
      <w:r>
        <w:rPr>
          <w:rFonts w:cstheme="minorHAnsi"/>
          <w:sz w:val="24"/>
          <w:szCs w:val="24"/>
        </w:rPr>
        <w:t xml:space="preserve"> along eastern Australia</w:t>
      </w:r>
      <w:r w:rsidR="009F52DA">
        <w:rPr>
          <w:rFonts w:cstheme="minorHAnsi"/>
          <w:sz w:val="24"/>
          <w:szCs w:val="24"/>
        </w:rPr>
        <w:t xml:space="preserve"> and COVID-19 </w:t>
      </w:r>
      <w:r w:rsidR="00C13F5B">
        <w:rPr>
          <w:rFonts w:cstheme="minorHAnsi"/>
          <w:sz w:val="24"/>
          <w:szCs w:val="24"/>
        </w:rPr>
        <w:t xml:space="preserve">have </w:t>
      </w:r>
      <w:r w:rsidR="009F52DA">
        <w:rPr>
          <w:rFonts w:cstheme="minorHAnsi"/>
          <w:sz w:val="24"/>
          <w:szCs w:val="24"/>
        </w:rPr>
        <w:t xml:space="preserve">seen a </w:t>
      </w:r>
      <w:r>
        <w:rPr>
          <w:rFonts w:cstheme="minorHAnsi"/>
          <w:sz w:val="24"/>
          <w:szCs w:val="24"/>
        </w:rPr>
        <w:t xml:space="preserve">recent </w:t>
      </w:r>
      <w:r w:rsidR="009F52DA">
        <w:rPr>
          <w:rFonts w:cstheme="minorHAnsi"/>
          <w:sz w:val="24"/>
          <w:szCs w:val="24"/>
        </w:rPr>
        <w:t>dip in producti</w:t>
      </w:r>
      <w:r>
        <w:rPr>
          <w:rFonts w:cstheme="minorHAnsi"/>
          <w:sz w:val="24"/>
          <w:szCs w:val="24"/>
        </w:rPr>
        <w:t>vity</w:t>
      </w:r>
      <w:r w:rsidR="00C13F5B">
        <w:rPr>
          <w:rFonts w:cstheme="minorHAnsi"/>
          <w:sz w:val="24"/>
          <w:szCs w:val="24"/>
        </w:rPr>
        <w:t xml:space="preserve"> as illustrated in</w:t>
      </w:r>
      <w:r w:rsidR="009F52DA">
        <w:rPr>
          <w:rFonts w:cstheme="minorHAnsi"/>
          <w:sz w:val="24"/>
          <w:szCs w:val="24"/>
        </w:rPr>
        <w:t xml:space="preserve"> </w:t>
      </w:r>
      <w:r w:rsidR="00825F95" w:rsidRPr="00825F95">
        <w:rPr>
          <w:rFonts w:cstheme="minorHAnsi"/>
          <w:b/>
          <w:bCs/>
          <w:sz w:val="24"/>
          <w:szCs w:val="24"/>
          <w:u w:val="single"/>
        </w:rPr>
        <w:t xml:space="preserve">Graph </w:t>
      </w:r>
      <w:r w:rsidR="009667B4">
        <w:rPr>
          <w:rFonts w:cstheme="minorHAnsi"/>
          <w:b/>
          <w:bCs/>
          <w:sz w:val="24"/>
          <w:szCs w:val="24"/>
          <w:u w:val="single"/>
        </w:rPr>
        <w:t>8</w:t>
      </w:r>
      <w:r w:rsidR="00825F95">
        <w:rPr>
          <w:rFonts w:cstheme="minorHAnsi"/>
          <w:sz w:val="24"/>
          <w:szCs w:val="24"/>
        </w:rPr>
        <w:t xml:space="preserve">. </w:t>
      </w:r>
      <w:r w:rsidR="009F52DA">
        <w:rPr>
          <w:rFonts w:cstheme="minorHAnsi"/>
          <w:sz w:val="24"/>
          <w:szCs w:val="24"/>
        </w:rPr>
        <w:t>Economists are predicting that global COVID-19 economic recovery is on track</w:t>
      </w:r>
      <w:r>
        <w:rPr>
          <w:rFonts w:cstheme="minorHAnsi"/>
          <w:sz w:val="24"/>
          <w:szCs w:val="24"/>
        </w:rPr>
        <w:t>,</w:t>
      </w:r>
      <w:r w:rsidR="00B74A2A">
        <w:rPr>
          <w:rFonts w:cstheme="minorHAnsi"/>
          <w:sz w:val="24"/>
          <w:szCs w:val="24"/>
        </w:rPr>
        <w:t xml:space="preserve"> </w:t>
      </w:r>
      <w:r w:rsidR="009F52DA">
        <w:rPr>
          <w:rFonts w:cstheme="minorHAnsi"/>
          <w:sz w:val="24"/>
          <w:szCs w:val="24"/>
        </w:rPr>
        <w:t xml:space="preserve">and when combined with </w:t>
      </w:r>
      <w:r w:rsidR="00B74A2A">
        <w:rPr>
          <w:rFonts w:cstheme="minorHAnsi"/>
          <w:sz w:val="24"/>
          <w:szCs w:val="24"/>
        </w:rPr>
        <w:t xml:space="preserve">predicted </w:t>
      </w:r>
      <w:r w:rsidR="009F52DA">
        <w:rPr>
          <w:rFonts w:cstheme="minorHAnsi"/>
          <w:sz w:val="24"/>
          <w:szCs w:val="24"/>
        </w:rPr>
        <w:t>favourable seasonal conditions</w:t>
      </w:r>
      <w:r w:rsidR="00B74A2A">
        <w:rPr>
          <w:rFonts w:cstheme="minorHAnsi"/>
          <w:sz w:val="24"/>
          <w:szCs w:val="24"/>
        </w:rPr>
        <w:t xml:space="preserve"> in Australia, </w:t>
      </w:r>
      <w:r>
        <w:rPr>
          <w:rFonts w:cstheme="minorHAnsi"/>
          <w:sz w:val="24"/>
          <w:szCs w:val="24"/>
        </w:rPr>
        <w:t>there is a high likelihood that the Australian market will start to bounce back in 2021/22.</w:t>
      </w:r>
      <w:r>
        <w:rPr>
          <w:rStyle w:val="FootnoteReference"/>
          <w:rFonts w:cstheme="minorHAnsi"/>
          <w:sz w:val="24"/>
          <w:szCs w:val="24"/>
        </w:rPr>
        <w:footnoteReference w:id="62"/>
      </w:r>
      <w:r>
        <w:rPr>
          <w:rFonts w:cstheme="minorHAnsi"/>
          <w:sz w:val="24"/>
          <w:szCs w:val="24"/>
        </w:rPr>
        <w:t xml:space="preserve"> </w:t>
      </w:r>
    </w:p>
    <w:p w14:paraId="67151965" w14:textId="77777777" w:rsidR="00825F95" w:rsidRPr="00825F95" w:rsidRDefault="00825F95" w:rsidP="00825F95">
      <w:pPr>
        <w:pStyle w:val="ListParagraph"/>
        <w:rPr>
          <w:rFonts w:cstheme="minorHAnsi"/>
          <w:sz w:val="24"/>
          <w:szCs w:val="24"/>
        </w:rPr>
      </w:pPr>
    </w:p>
    <w:p w14:paraId="330BCF1B" w14:textId="6F909661" w:rsidR="00825F95" w:rsidRPr="005A7FBF" w:rsidRDefault="00825F95" w:rsidP="00825F95">
      <w:pPr>
        <w:rPr>
          <w:rFonts w:cstheme="minorHAnsi"/>
          <w:b/>
          <w:bCs/>
          <w:sz w:val="24"/>
          <w:szCs w:val="24"/>
        </w:rPr>
      </w:pPr>
      <w:r w:rsidRPr="00825F95">
        <w:rPr>
          <w:rFonts w:cstheme="minorHAnsi"/>
          <w:b/>
          <w:bCs/>
          <w:sz w:val="24"/>
          <w:szCs w:val="24"/>
          <w:u w:val="single"/>
        </w:rPr>
        <w:t xml:space="preserve">Graph </w:t>
      </w:r>
      <w:r w:rsidR="009667B4">
        <w:rPr>
          <w:rFonts w:cstheme="minorHAnsi"/>
          <w:b/>
          <w:bCs/>
          <w:sz w:val="24"/>
          <w:szCs w:val="24"/>
          <w:u w:val="single"/>
        </w:rPr>
        <w:t>8</w:t>
      </w:r>
      <w:r w:rsidRPr="005A7FBF">
        <w:rPr>
          <w:rFonts w:cstheme="minorHAnsi"/>
          <w:b/>
          <w:bCs/>
          <w:sz w:val="24"/>
          <w:szCs w:val="24"/>
        </w:rPr>
        <w:t>: Australian wheat supply 2000-2021</w:t>
      </w:r>
      <w:r w:rsidRPr="005A7FBF">
        <w:rPr>
          <w:rStyle w:val="FootnoteReference"/>
          <w:rFonts w:cstheme="minorHAnsi"/>
          <w:b/>
          <w:bCs/>
          <w:sz w:val="24"/>
          <w:szCs w:val="24"/>
        </w:rPr>
        <w:footnoteReference w:id="63"/>
      </w:r>
    </w:p>
    <w:p w14:paraId="53E7E850" w14:textId="497AA6F5" w:rsidR="003F19CC" w:rsidRPr="00825F95" w:rsidRDefault="00825F95" w:rsidP="00825F95">
      <w:pPr>
        <w:rPr>
          <w:rFonts w:cstheme="minorHAnsi"/>
          <w:sz w:val="24"/>
          <w:szCs w:val="24"/>
        </w:rPr>
      </w:pPr>
      <w:r>
        <w:rPr>
          <w:noProof/>
        </w:rPr>
        <w:drawing>
          <wp:inline distT="0" distB="0" distL="0" distR="0" wp14:anchorId="0163E0F2" wp14:editId="4F54DF18">
            <wp:extent cx="5731510" cy="33127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312795"/>
                    </a:xfrm>
                    <a:prstGeom prst="rect">
                      <a:avLst/>
                    </a:prstGeom>
                  </pic:spPr>
                </pic:pic>
              </a:graphicData>
            </a:graphic>
          </wp:inline>
        </w:drawing>
      </w:r>
    </w:p>
    <w:p w14:paraId="40343549" w14:textId="77777777" w:rsidR="00762FF2" w:rsidRDefault="00762FF2" w:rsidP="00762FF2">
      <w:pPr>
        <w:pStyle w:val="ListParagraph"/>
        <w:ind w:left="567"/>
        <w:rPr>
          <w:rFonts w:cstheme="minorHAnsi"/>
          <w:sz w:val="24"/>
          <w:szCs w:val="24"/>
        </w:rPr>
      </w:pPr>
    </w:p>
    <w:p w14:paraId="18114415" w14:textId="62D03EA1" w:rsidR="009F52DA" w:rsidRDefault="003F19CC" w:rsidP="000B5C91">
      <w:pPr>
        <w:pStyle w:val="ListParagraph"/>
        <w:numPr>
          <w:ilvl w:val="0"/>
          <w:numId w:val="1"/>
        </w:numPr>
        <w:ind w:left="567" w:hanging="567"/>
        <w:rPr>
          <w:rFonts w:cstheme="minorHAnsi"/>
          <w:sz w:val="24"/>
          <w:szCs w:val="24"/>
        </w:rPr>
      </w:pPr>
      <w:r>
        <w:rPr>
          <w:rFonts w:cstheme="minorHAnsi"/>
          <w:sz w:val="24"/>
          <w:szCs w:val="24"/>
        </w:rPr>
        <w:t>Another contributing factor is that supply from other key wheat exporters</w:t>
      </w:r>
      <w:r w:rsidR="009F52DA" w:rsidRPr="0054572E">
        <w:rPr>
          <w:rFonts w:cstheme="minorHAnsi"/>
          <w:sz w:val="24"/>
          <w:szCs w:val="24"/>
        </w:rPr>
        <w:t xml:space="preserve"> </w:t>
      </w:r>
      <w:r>
        <w:rPr>
          <w:rFonts w:cstheme="minorHAnsi"/>
          <w:sz w:val="24"/>
          <w:szCs w:val="24"/>
        </w:rPr>
        <w:t xml:space="preserve">such as </w:t>
      </w:r>
      <w:r w:rsidR="00C13F5B">
        <w:rPr>
          <w:rFonts w:cstheme="minorHAnsi"/>
          <w:sz w:val="24"/>
          <w:szCs w:val="24"/>
        </w:rPr>
        <w:t xml:space="preserve">the </w:t>
      </w:r>
      <w:r>
        <w:rPr>
          <w:rFonts w:cstheme="minorHAnsi"/>
          <w:sz w:val="24"/>
          <w:szCs w:val="24"/>
        </w:rPr>
        <w:t>Russian Federation and the EU is mixed due to unfavourable seasonal conditions.</w:t>
      </w:r>
      <w:r>
        <w:rPr>
          <w:rStyle w:val="FootnoteReference"/>
          <w:rFonts w:cstheme="minorHAnsi"/>
          <w:sz w:val="24"/>
          <w:szCs w:val="24"/>
        </w:rPr>
        <w:footnoteReference w:id="64"/>
      </w:r>
      <w:r>
        <w:rPr>
          <w:rFonts w:cstheme="minorHAnsi"/>
          <w:sz w:val="24"/>
          <w:szCs w:val="24"/>
        </w:rPr>
        <w:t xml:space="preserve"> It is possible that demand for wheat will outstrip supply globally. W</w:t>
      </w:r>
      <w:r w:rsidR="00825F95">
        <w:rPr>
          <w:rFonts w:cstheme="minorHAnsi"/>
          <w:sz w:val="24"/>
          <w:szCs w:val="24"/>
        </w:rPr>
        <w:t>hile w</w:t>
      </w:r>
      <w:r>
        <w:rPr>
          <w:rFonts w:cstheme="minorHAnsi"/>
          <w:sz w:val="24"/>
          <w:szCs w:val="24"/>
        </w:rPr>
        <w:t>heat p</w:t>
      </w:r>
      <w:r w:rsidRPr="003F19CC">
        <w:rPr>
          <w:rFonts w:cstheme="minorHAnsi"/>
          <w:sz w:val="24"/>
          <w:szCs w:val="24"/>
        </w:rPr>
        <w:t>roduction in the UK</w:t>
      </w:r>
      <w:r w:rsidR="00825F95">
        <w:rPr>
          <w:rFonts w:cstheme="minorHAnsi"/>
          <w:sz w:val="24"/>
          <w:szCs w:val="24"/>
        </w:rPr>
        <w:t xml:space="preserve"> </w:t>
      </w:r>
      <w:r w:rsidRPr="003F19CC">
        <w:rPr>
          <w:rFonts w:cstheme="minorHAnsi"/>
          <w:sz w:val="24"/>
          <w:szCs w:val="24"/>
        </w:rPr>
        <w:t xml:space="preserve">is also forecast to increase from the drought affected low of the previous season </w:t>
      </w:r>
      <w:r w:rsidR="00825F95">
        <w:rPr>
          <w:rFonts w:cstheme="minorHAnsi"/>
          <w:sz w:val="24"/>
          <w:szCs w:val="24"/>
        </w:rPr>
        <w:t>it</w:t>
      </w:r>
      <w:r w:rsidRPr="003F19CC">
        <w:rPr>
          <w:rFonts w:cstheme="minorHAnsi"/>
          <w:sz w:val="24"/>
          <w:szCs w:val="24"/>
        </w:rPr>
        <w:t xml:space="preserve"> will also be impacted by a wet finish.</w:t>
      </w:r>
      <w:r w:rsidR="00825F95">
        <w:rPr>
          <w:rStyle w:val="FootnoteReference"/>
          <w:rFonts w:cstheme="minorHAnsi"/>
          <w:sz w:val="24"/>
          <w:szCs w:val="24"/>
        </w:rPr>
        <w:footnoteReference w:id="65"/>
      </w:r>
      <w:r>
        <w:rPr>
          <w:rFonts w:cstheme="minorHAnsi"/>
          <w:sz w:val="24"/>
          <w:szCs w:val="24"/>
        </w:rPr>
        <w:t xml:space="preserve"> </w:t>
      </w:r>
      <w:r w:rsidR="00825F95">
        <w:rPr>
          <w:rFonts w:cstheme="minorHAnsi"/>
          <w:sz w:val="24"/>
          <w:szCs w:val="24"/>
        </w:rPr>
        <w:t xml:space="preserve">The </w:t>
      </w:r>
      <w:r w:rsidR="00FB670B">
        <w:rPr>
          <w:rFonts w:cstheme="minorHAnsi"/>
          <w:sz w:val="24"/>
          <w:szCs w:val="24"/>
        </w:rPr>
        <w:t>duty-free</w:t>
      </w:r>
      <w:r w:rsidR="00825F95">
        <w:rPr>
          <w:rFonts w:cstheme="minorHAnsi"/>
          <w:sz w:val="24"/>
          <w:szCs w:val="24"/>
        </w:rPr>
        <w:t xml:space="preserve"> quota secured under the AU-UK FTA for wheat will likely provide an excellent opportunity for Australia’s wheat exporters to meet the demand in the UK </w:t>
      </w:r>
      <w:r w:rsidR="007560E5">
        <w:rPr>
          <w:rFonts w:cstheme="minorHAnsi"/>
          <w:sz w:val="24"/>
          <w:szCs w:val="24"/>
        </w:rPr>
        <w:t xml:space="preserve">that might not be met from other markets </w:t>
      </w:r>
      <w:r w:rsidR="00825F95">
        <w:rPr>
          <w:rFonts w:cstheme="minorHAnsi"/>
          <w:sz w:val="24"/>
          <w:szCs w:val="24"/>
        </w:rPr>
        <w:t xml:space="preserve">given the </w:t>
      </w:r>
      <w:r w:rsidR="00762FF2">
        <w:rPr>
          <w:rFonts w:cstheme="minorHAnsi"/>
          <w:sz w:val="24"/>
          <w:szCs w:val="24"/>
        </w:rPr>
        <w:t xml:space="preserve">high </w:t>
      </w:r>
      <w:r w:rsidR="00825F95">
        <w:rPr>
          <w:rFonts w:cstheme="minorHAnsi"/>
          <w:sz w:val="24"/>
          <w:szCs w:val="24"/>
        </w:rPr>
        <w:t xml:space="preserve">possibility of market change as illustrated above. </w:t>
      </w:r>
      <w:r>
        <w:rPr>
          <w:rFonts w:cstheme="minorHAnsi"/>
          <w:sz w:val="24"/>
          <w:szCs w:val="24"/>
        </w:rPr>
        <w:t xml:space="preserve">  </w:t>
      </w:r>
    </w:p>
    <w:p w14:paraId="696DAA06" w14:textId="77777777" w:rsidR="009F52DA" w:rsidRPr="009F52DA" w:rsidRDefault="009F52DA" w:rsidP="009F52DA">
      <w:pPr>
        <w:pStyle w:val="ListParagraph"/>
        <w:rPr>
          <w:rFonts w:cstheme="minorHAnsi"/>
          <w:sz w:val="24"/>
          <w:szCs w:val="24"/>
        </w:rPr>
      </w:pPr>
    </w:p>
    <w:p w14:paraId="718FABC1" w14:textId="2A53B003" w:rsidR="00675DF9" w:rsidRPr="00561253" w:rsidRDefault="00825F95" w:rsidP="00561253">
      <w:pPr>
        <w:pStyle w:val="ListParagraph"/>
        <w:numPr>
          <w:ilvl w:val="0"/>
          <w:numId w:val="1"/>
        </w:numPr>
        <w:ind w:left="567" w:hanging="567"/>
        <w:rPr>
          <w:rFonts w:cstheme="minorHAnsi"/>
          <w:sz w:val="24"/>
          <w:szCs w:val="24"/>
        </w:rPr>
      </w:pPr>
      <w:r>
        <w:rPr>
          <w:rFonts w:cstheme="minorHAnsi"/>
          <w:sz w:val="24"/>
          <w:szCs w:val="24"/>
        </w:rPr>
        <w:t>Furthermore, t</w:t>
      </w:r>
      <w:r w:rsidR="000B5C91" w:rsidRPr="0054572E">
        <w:rPr>
          <w:rFonts w:cstheme="minorHAnsi"/>
          <w:sz w:val="24"/>
          <w:szCs w:val="24"/>
        </w:rPr>
        <w:t>he grains and cereals industry has reinforced</w:t>
      </w:r>
      <w:r w:rsidR="00350DD2">
        <w:rPr>
          <w:rFonts w:cstheme="minorHAnsi"/>
          <w:sz w:val="24"/>
          <w:szCs w:val="24"/>
        </w:rPr>
        <w:t>,</w:t>
      </w:r>
      <w:r w:rsidR="000B5C91" w:rsidRPr="0054572E">
        <w:rPr>
          <w:rFonts w:cstheme="minorHAnsi"/>
          <w:sz w:val="24"/>
          <w:szCs w:val="24"/>
        </w:rPr>
        <w:t xml:space="preserve"> through consultations </w:t>
      </w:r>
      <w:r w:rsidR="00C13F5B">
        <w:rPr>
          <w:rFonts w:cstheme="minorHAnsi"/>
          <w:sz w:val="24"/>
          <w:szCs w:val="24"/>
        </w:rPr>
        <w:t>on</w:t>
      </w:r>
      <w:r w:rsidR="00C13F5B" w:rsidRPr="0054572E">
        <w:rPr>
          <w:rFonts w:cstheme="minorHAnsi"/>
          <w:sz w:val="24"/>
          <w:szCs w:val="24"/>
        </w:rPr>
        <w:t xml:space="preserve"> </w:t>
      </w:r>
      <w:r w:rsidR="000B5C91" w:rsidRPr="0054572E">
        <w:rPr>
          <w:rFonts w:cstheme="minorHAnsi"/>
          <w:sz w:val="24"/>
          <w:szCs w:val="24"/>
        </w:rPr>
        <w:t xml:space="preserve">the AU-UK FTA, that liberalising markets and removing trade distortions in the global trade system is of crucial importance to both Australian grain farmers and the Australian </w:t>
      </w:r>
      <w:proofErr w:type="gramStart"/>
      <w:r w:rsidR="000B5C91" w:rsidRPr="0054572E">
        <w:rPr>
          <w:rFonts w:cstheme="minorHAnsi"/>
          <w:sz w:val="24"/>
          <w:szCs w:val="24"/>
        </w:rPr>
        <w:t>economy as a whole</w:t>
      </w:r>
      <w:proofErr w:type="gramEnd"/>
      <w:r w:rsidR="000B5C91" w:rsidRPr="0054572E">
        <w:rPr>
          <w:rFonts w:cstheme="minorHAnsi"/>
          <w:sz w:val="24"/>
          <w:szCs w:val="24"/>
        </w:rPr>
        <w:t xml:space="preserve">. </w:t>
      </w:r>
      <w:proofErr w:type="spellStart"/>
      <w:r w:rsidR="000B5C91" w:rsidRPr="0054572E">
        <w:rPr>
          <w:rFonts w:cstheme="minorHAnsi"/>
          <w:sz w:val="24"/>
          <w:szCs w:val="24"/>
        </w:rPr>
        <w:t>GrainGrowers</w:t>
      </w:r>
      <w:proofErr w:type="spellEnd"/>
      <w:r w:rsidR="000B5C91" w:rsidRPr="0054572E">
        <w:rPr>
          <w:rFonts w:cstheme="minorHAnsi"/>
          <w:sz w:val="24"/>
          <w:szCs w:val="24"/>
        </w:rPr>
        <w:t xml:space="preserve">, a grain farmer representative </w:t>
      </w:r>
      <w:r w:rsidR="00350DD2">
        <w:rPr>
          <w:rFonts w:cstheme="minorHAnsi"/>
          <w:sz w:val="24"/>
          <w:szCs w:val="24"/>
        </w:rPr>
        <w:t>group</w:t>
      </w:r>
      <w:r w:rsidR="000B5C91" w:rsidRPr="0054572E">
        <w:rPr>
          <w:rFonts w:cstheme="minorHAnsi"/>
          <w:sz w:val="24"/>
          <w:szCs w:val="24"/>
        </w:rPr>
        <w:t xml:space="preserve">, </w:t>
      </w:r>
      <w:r w:rsidR="00350DD2">
        <w:rPr>
          <w:rFonts w:cstheme="minorHAnsi"/>
          <w:sz w:val="24"/>
          <w:szCs w:val="24"/>
        </w:rPr>
        <w:t xml:space="preserve">has commented that </w:t>
      </w:r>
      <w:r w:rsidR="000B5C91" w:rsidRPr="0054572E">
        <w:rPr>
          <w:rFonts w:cstheme="minorHAnsi"/>
          <w:sz w:val="24"/>
          <w:szCs w:val="24"/>
        </w:rPr>
        <w:t xml:space="preserve">development and implementation of positive international trade </w:t>
      </w:r>
      <w:r w:rsidR="000B5C91" w:rsidRPr="0054572E">
        <w:rPr>
          <w:rFonts w:cstheme="minorHAnsi"/>
          <w:sz w:val="24"/>
          <w:szCs w:val="24"/>
        </w:rPr>
        <w:lastRenderedPageBreak/>
        <w:t>and market access outcomes for the Australian grains industry and its customers</w:t>
      </w:r>
      <w:r w:rsidR="00350DD2">
        <w:rPr>
          <w:rFonts w:cstheme="minorHAnsi"/>
          <w:sz w:val="24"/>
          <w:szCs w:val="24"/>
        </w:rPr>
        <w:t xml:space="preserve"> is a </w:t>
      </w:r>
      <w:r w:rsidR="00D9446B">
        <w:rPr>
          <w:rFonts w:cstheme="minorHAnsi"/>
          <w:sz w:val="24"/>
          <w:szCs w:val="24"/>
        </w:rPr>
        <w:t>priority</w:t>
      </w:r>
      <w:r w:rsidR="000B5C91" w:rsidRPr="0054572E">
        <w:rPr>
          <w:rFonts w:cstheme="minorHAnsi"/>
          <w:sz w:val="24"/>
          <w:szCs w:val="24"/>
        </w:rPr>
        <w:t>.</w:t>
      </w:r>
      <w:r w:rsidR="0036643F" w:rsidRPr="0054572E">
        <w:rPr>
          <w:rFonts w:cstheme="minorHAnsi"/>
          <w:sz w:val="24"/>
          <w:szCs w:val="24"/>
        </w:rPr>
        <w:t xml:space="preserve"> </w:t>
      </w:r>
    </w:p>
    <w:p w14:paraId="15D073C7" w14:textId="77777777" w:rsidR="00BA60E2" w:rsidRPr="0054572E" w:rsidRDefault="00BA60E2" w:rsidP="00BA60E2">
      <w:pPr>
        <w:rPr>
          <w:rFonts w:cstheme="minorHAnsi"/>
          <w:b/>
          <w:bCs/>
          <w:i/>
          <w:iCs/>
          <w:sz w:val="24"/>
          <w:szCs w:val="24"/>
        </w:rPr>
      </w:pPr>
      <w:r w:rsidRPr="0054572E">
        <w:rPr>
          <w:rFonts w:cstheme="minorHAnsi"/>
          <w:b/>
          <w:bCs/>
          <w:i/>
          <w:iCs/>
          <w:sz w:val="24"/>
          <w:szCs w:val="24"/>
        </w:rPr>
        <w:t xml:space="preserve">Processed foods </w:t>
      </w:r>
    </w:p>
    <w:p w14:paraId="78F6481F" w14:textId="498EDAAB" w:rsidR="00BA60E2" w:rsidRPr="0054572E" w:rsidRDefault="007947E3" w:rsidP="00206944">
      <w:pPr>
        <w:pStyle w:val="ListParagraph"/>
        <w:numPr>
          <w:ilvl w:val="0"/>
          <w:numId w:val="1"/>
        </w:numPr>
        <w:ind w:left="567" w:hanging="567"/>
        <w:rPr>
          <w:rFonts w:cstheme="minorHAnsi"/>
          <w:sz w:val="24"/>
          <w:szCs w:val="24"/>
        </w:rPr>
      </w:pPr>
      <w:r>
        <w:rPr>
          <w:sz w:val="24"/>
          <w:szCs w:val="24"/>
        </w:rPr>
        <w:t>UK t</w:t>
      </w:r>
      <w:r w:rsidR="00BA60E2" w:rsidRPr="0054572E">
        <w:rPr>
          <w:sz w:val="24"/>
          <w:szCs w:val="24"/>
        </w:rPr>
        <w:t>ariffs</w:t>
      </w:r>
      <w:r w:rsidR="00BA60E2" w:rsidRPr="0054572E">
        <w:rPr>
          <w:rFonts w:cstheme="minorHAnsi"/>
          <w:sz w:val="24"/>
          <w:szCs w:val="24"/>
        </w:rPr>
        <w:t xml:space="preserve"> on most </w:t>
      </w:r>
      <w:r>
        <w:rPr>
          <w:rFonts w:cstheme="minorHAnsi"/>
          <w:sz w:val="24"/>
          <w:szCs w:val="24"/>
        </w:rPr>
        <w:t xml:space="preserve">Australian </w:t>
      </w:r>
      <w:r w:rsidR="00BA60E2" w:rsidRPr="0054572E">
        <w:rPr>
          <w:rFonts w:cstheme="minorHAnsi"/>
          <w:sz w:val="24"/>
          <w:szCs w:val="24"/>
        </w:rPr>
        <w:t>processed food</w:t>
      </w:r>
      <w:r>
        <w:rPr>
          <w:rFonts w:cstheme="minorHAnsi"/>
          <w:sz w:val="24"/>
          <w:szCs w:val="24"/>
        </w:rPr>
        <w:t xml:space="preserve"> export</w:t>
      </w:r>
      <w:r w:rsidR="00BA60E2" w:rsidRPr="0054572E">
        <w:rPr>
          <w:rFonts w:cstheme="minorHAnsi"/>
          <w:sz w:val="24"/>
          <w:szCs w:val="24"/>
        </w:rPr>
        <w:t xml:space="preserve">s will be eliminated on entry into force of the agreement. Key outcomes include the </w:t>
      </w:r>
      <w:r w:rsidR="00762FF2">
        <w:rPr>
          <w:rFonts w:cstheme="minorHAnsi"/>
          <w:sz w:val="24"/>
          <w:szCs w:val="24"/>
        </w:rPr>
        <w:t xml:space="preserve">following </w:t>
      </w:r>
      <w:r w:rsidR="00BA60E2" w:rsidRPr="0054572E">
        <w:rPr>
          <w:rFonts w:cstheme="minorHAnsi"/>
          <w:sz w:val="24"/>
          <w:szCs w:val="24"/>
        </w:rPr>
        <w:t xml:space="preserve">high tariffs </w:t>
      </w:r>
      <w:r w:rsidR="00762FF2">
        <w:rPr>
          <w:rFonts w:cstheme="minorHAnsi"/>
          <w:sz w:val="24"/>
          <w:szCs w:val="24"/>
        </w:rPr>
        <w:t>being removed</w:t>
      </w:r>
      <w:r w:rsidR="00BA60E2" w:rsidRPr="0054572E">
        <w:rPr>
          <w:rFonts w:cstheme="minorHAnsi"/>
          <w:sz w:val="24"/>
          <w:szCs w:val="24"/>
        </w:rPr>
        <w:t xml:space="preserve">: </w:t>
      </w:r>
    </w:p>
    <w:p w14:paraId="1B39BB42" w14:textId="48597B99" w:rsidR="00BA60E2" w:rsidRPr="0054572E" w:rsidRDefault="00BA60E2" w:rsidP="00BA60E2">
      <w:pPr>
        <w:pStyle w:val="ListParagraph"/>
        <w:numPr>
          <w:ilvl w:val="0"/>
          <w:numId w:val="32"/>
        </w:numPr>
        <w:spacing w:line="256" w:lineRule="auto"/>
        <w:rPr>
          <w:rFonts w:cstheme="minorHAnsi"/>
          <w:sz w:val="24"/>
          <w:szCs w:val="24"/>
        </w:rPr>
      </w:pPr>
      <w:r w:rsidRPr="0054572E">
        <w:rPr>
          <w:rFonts w:cstheme="minorHAnsi"/>
          <w:sz w:val="24"/>
          <w:szCs w:val="24"/>
        </w:rPr>
        <w:t>biscuits (</w:t>
      </w:r>
      <w:r w:rsidR="0083201A" w:rsidRPr="0054572E">
        <w:rPr>
          <w:rFonts w:cstheme="minorHAnsi"/>
          <w:sz w:val="24"/>
          <w:szCs w:val="24"/>
        </w:rPr>
        <w:t>eight</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breakfast cereals (</w:t>
      </w:r>
      <w:r w:rsidR="0083201A" w:rsidRPr="0054572E">
        <w:rPr>
          <w:rFonts w:cstheme="minorHAnsi"/>
          <w:sz w:val="24"/>
          <w:szCs w:val="24"/>
        </w:rPr>
        <w:t>eight</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xml:space="preserve"> and a range between </w:t>
      </w:r>
      <w:r w:rsidR="0083201A" w:rsidRPr="0054572E">
        <w:rPr>
          <w:rFonts w:cstheme="minorHAnsi"/>
          <w:sz w:val="24"/>
          <w:szCs w:val="24"/>
        </w:rPr>
        <w:t>two</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xml:space="preserve"> + 16 GBP/100kg and </w:t>
      </w:r>
      <w:r w:rsidR="0083201A" w:rsidRPr="0054572E">
        <w:rPr>
          <w:rFonts w:cstheme="minorHAnsi"/>
          <w:sz w:val="24"/>
          <w:szCs w:val="24"/>
        </w:rPr>
        <w:t>four</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xml:space="preserve"> + 38 GBP/100kg), chocolate (</w:t>
      </w:r>
      <w:r w:rsidR="00C13F5B">
        <w:rPr>
          <w:rFonts w:cstheme="minorHAnsi"/>
          <w:sz w:val="24"/>
          <w:szCs w:val="24"/>
        </w:rPr>
        <w:t>eight</w:t>
      </w:r>
      <w:r w:rsidRPr="0054572E">
        <w:rPr>
          <w:rFonts w:cstheme="minorHAnsi"/>
          <w:sz w:val="24"/>
          <w:szCs w:val="24"/>
        </w:rPr>
        <w:t>-14</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xml:space="preserve">), and pasta (a range from </w:t>
      </w:r>
      <w:r w:rsidR="0083201A" w:rsidRPr="0054572E">
        <w:rPr>
          <w:rFonts w:cstheme="minorHAnsi"/>
          <w:sz w:val="24"/>
          <w:szCs w:val="24"/>
        </w:rPr>
        <w:t>eight</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xml:space="preserve"> to 45 GBP/100kg)</w:t>
      </w:r>
    </w:p>
    <w:p w14:paraId="10D19F55" w14:textId="4AE94D65" w:rsidR="00BA60E2" w:rsidRPr="0054572E" w:rsidRDefault="00BA60E2" w:rsidP="00BA60E2">
      <w:pPr>
        <w:pStyle w:val="ListParagraph"/>
        <w:numPr>
          <w:ilvl w:val="0"/>
          <w:numId w:val="32"/>
        </w:numPr>
        <w:spacing w:line="256" w:lineRule="auto"/>
        <w:rPr>
          <w:rFonts w:cstheme="minorHAnsi"/>
          <w:sz w:val="24"/>
          <w:szCs w:val="24"/>
        </w:rPr>
      </w:pPr>
      <w:r w:rsidRPr="0054572E">
        <w:rPr>
          <w:rFonts w:cstheme="minorHAnsi"/>
          <w:sz w:val="24"/>
          <w:szCs w:val="24"/>
        </w:rPr>
        <w:t>confectionary (</w:t>
      </w:r>
      <w:r w:rsidR="0083201A" w:rsidRPr="0054572E">
        <w:rPr>
          <w:rFonts w:cstheme="minorHAnsi"/>
          <w:sz w:val="24"/>
          <w:szCs w:val="24"/>
        </w:rPr>
        <w:t>six</w:t>
      </w:r>
      <w:r w:rsidRPr="0054572E">
        <w:rPr>
          <w:rFonts w:cstheme="minorHAnsi"/>
          <w:sz w:val="24"/>
          <w:szCs w:val="24"/>
        </w:rPr>
        <w:t>-12</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and food supplements (</w:t>
      </w:r>
      <w:r w:rsidR="0083201A" w:rsidRPr="0054572E">
        <w:rPr>
          <w:rFonts w:cstheme="minorHAnsi"/>
          <w:sz w:val="24"/>
          <w:szCs w:val="24"/>
        </w:rPr>
        <w:t>eight</w:t>
      </w:r>
      <w:r w:rsidRPr="0054572E">
        <w:rPr>
          <w:rFonts w:cstheme="minorHAnsi"/>
          <w:sz w:val="24"/>
          <w:szCs w:val="24"/>
        </w:rPr>
        <w:t>-12</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rFonts w:cstheme="minorHAnsi"/>
          <w:sz w:val="24"/>
          <w:szCs w:val="24"/>
        </w:rPr>
        <w:t>) and</w:t>
      </w:r>
    </w:p>
    <w:p w14:paraId="1C8C5222" w14:textId="04CAD252" w:rsidR="0026275F" w:rsidRPr="0054572E" w:rsidRDefault="00BA60E2" w:rsidP="00BA60E2">
      <w:pPr>
        <w:pStyle w:val="ListParagraph"/>
        <w:numPr>
          <w:ilvl w:val="0"/>
          <w:numId w:val="32"/>
        </w:numPr>
        <w:spacing w:line="256" w:lineRule="auto"/>
        <w:rPr>
          <w:rFonts w:cstheme="minorHAnsi"/>
          <w:sz w:val="24"/>
          <w:szCs w:val="24"/>
        </w:rPr>
      </w:pPr>
      <w:r w:rsidRPr="0054572E">
        <w:rPr>
          <w:rFonts w:cstheme="minorHAnsi"/>
          <w:sz w:val="24"/>
          <w:szCs w:val="24"/>
          <w:lang w:val="en-GB"/>
        </w:rPr>
        <w:t xml:space="preserve">olive oil (102-112 GBP/100kg). </w:t>
      </w:r>
    </w:p>
    <w:p w14:paraId="77920A59" w14:textId="77777777" w:rsidR="00675DF9" w:rsidRPr="006D2B5B" w:rsidRDefault="00675DF9" w:rsidP="0054572E">
      <w:pPr>
        <w:pStyle w:val="ListParagraph"/>
        <w:ind w:left="567"/>
        <w:rPr>
          <w:rFonts w:eastAsia="Times New Roman"/>
          <w:sz w:val="24"/>
          <w:szCs w:val="24"/>
        </w:rPr>
      </w:pPr>
    </w:p>
    <w:p w14:paraId="208B54DE" w14:textId="6B1E2EBD" w:rsidR="00FD2748" w:rsidRDefault="00A5057D" w:rsidP="00FD2748">
      <w:pPr>
        <w:pStyle w:val="ListParagraph"/>
        <w:numPr>
          <w:ilvl w:val="0"/>
          <w:numId w:val="1"/>
        </w:numPr>
        <w:ind w:left="567" w:hanging="567"/>
        <w:rPr>
          <w:rFonts w:eastAsia="Times New Roman"/>
          <w:sz w:val="24"/>
          <w:szCs w:val="24"/>
        </w:rPr>
      </w:pPr>
      <w:r>
        <w:rPr>
          <w:rFonts w:eastAsia="Times New Roman"/>
          <w:sz w:val="24"/>
          <w:szCs w:val="24"/>
        </w:rPr>
        <w:t xml:space="preserve">Removal of these tariffs will assist in </w:t>
      </w:r>
      <w:r w:rsidR="00762FF2">
        <w:rPr>
          <w:rFonts w:eastAsia="Times New Roman"/>
          <w:sz w:val="24"/>
          <w:szCs w:val="24"/>
        </w:rPr>
        <w:t>improving</w:t>
      </w:r>
      <w:r>
        <w:rPr>
          <w:rFonts w:eastAsia="Times New Roman"/>
          <w:sz w:val="24"/>
          <w:szCs w:val="24"/>
        </w:rPr>
        <w:t xml:space="preserve"> </w:t>
      </w:r>
      <w:r w:rsidR="00762FF2">
        <w:rPr>
          <w:rFonts w:eastAsia="Times New Roman"/>
          <w:sz w:val="24"/>
          <w:szCs w:val="24"/>
        </w:rPr>
        <w:t xml:space="preserve">export potential </w:t>
      </w:r>
      <w:r w:rsidR="00881D47">
        <w:rPr>
          <w:rFonts w:eastAsia="Times New Roman"/>
          <w:sz w:val="24"/>
          <w:szCs w:val="24"/>
        </w:rPr>
        <w:t>for</w:t>
      </w:r>
      <w:r w:rsidR="00762FF2">
        <w:rPr>
          <w:rFonts w:eastAsia="Times New Roman"/>
          <w:sz w:val="24"/>
          <w:szCs w:val="24"/>
        </w:rPr>
        <w:t xml:space="preserve"> Australian processed food companies. It will also </w:t>
      </w:r>
      <w:r>
        <w:rPr>
          <w:rFonts w:eastAsia="Times New Roman"/>
          <w:sz w:val="24"/>
          <w:szCs w:val="24"/>
        </w:rPr>
        <w:t xml:space="preserve">support the competitiveness of Australia’s processed foods in the UK. This provides options for Australia’s processed food exporters and </w:t>
      </w:r>
      <w:bookmarkStart w:id="25" w:name="_Hlk83297492"/>
      <w:r>
        <w:rPr>
          <w:rFonts w:eastAsia="Times New Roman"/>
          <w:sz w:val="24"/>
          <w:szCs w:val="24"/>
        </w:rPr>
        <w:t>reduces the concentration risk of supplying to a single market or region.</w:t>
      </w:r>
      <w:r w:rsidR="007560E5">
        <w:rPr>
          <w:rFonts w:eastAsia="Times New Roman"/>
          <w:sz w:val="24"/>
          <w:szCs w:val="24"/>
        </w:rPr>
        <w:t xml:space="preserve"> </w:t>
      </w:r>
      <w:bookmarkEnd w:id="25"/>
      <w:r w:rsidR="007560E5">
        <w:rPr>
          <w:rFonts w:eastAsia="Times New Roman"/>
          <w:sz w:val="24"/>
          <w:szCs w:val="24"/>
        </w:rPr>
        <w:t xml:space="preserve">This has been reported as an issue in the past including </w:t>
      </w:r>
      <w:r w:rsidR="00C13F5B">
        <w:rPr>
          <w:rFonts w:eastAsia="Times New Roman"/>
          <w:sz w:val="24"/>
          <w:szCs w:val="24"/>
        </w:rPr>
        <w:t xml:space="preserve">in </w:t>
      </w:r>
      <w:r w:rsidR="007560E5">
        <w:rPr>
          <w:rFonts w:eastAsia="Times New Roman"/>
          <w:sz w:val="24"/>
          <w:szCs w:val="24"/>
        </w:rPr>
        <w:t>a</w:t>
      </w:r>
      <w:r w:rsidR="00E2769B" w:rsidRPr="006D2B5B">
        <w:rPr>
          <w:rFonts w:eastAsia="Times New Roman"/>
          <w:sz w:val="24"/>
          <w:szCs w:val="24"/>
        </w:rPr>
        <w:t xml:space="preserve"> Parliament of Australia publication entitled “The Future of the Australian Processed Food sector”</w:t>
      </w:r>
      <w:r w:rsidR="00762FF2">
        <w:rPr>
          <w:rStyle w:val="FootnoteReference"/>
          <w:rFonts w:eastAsia="Times New Roman"/>
          <w:sz w:val="24"/>
          <w:szCs w:val="24"/>
        </w:rPr>
        <w:footnoteReference w:id="66"/>
      </w:r>
      <w:r w:rsidR="007560E5">
        <w:rPr>
          <w:rFonts w:eastAsia="Times New Roman"/>
          <w:sz w:val="24"/>
          <w:szCs w:val="24"/>
        </w:rPr>
        <w:t>.</w:t>
      </w:r>
      <w:r w:rsidR="00762FF2">
        <w:rPr>
          <w:rFonts w:eastAsia="Times New Roman"/>
          <w:sz w:val="24"/>
          <w:szCs w:val="24"/>
        </w:rPr>
        <w:t xml:space="preserve"> </w:t>
      </w:r>
      <w:r w:rsidR="00C13F5B">
        <w:rPr>
          <w:rFonts w:eastAsia="Times New Roman"/>
          <w:sz w:val="24"/>
          <w:szCs w:val="24"/>
        </w:rPr>
        <w:t>This publication</w:t>
      </w:r>
      <w:r w:rsidR="007560E5">
        <w:rPr>
          <w:rFonts w:eastAsia="Times New Roman"/>
          <w:sz w:val="24"/>
          <w:szCs w:val="24"/>
        </w:rPr>
        <w:t xml:space="preserve"> </w:t>
      </w:r>
      <w:r w:rsidR="00762FF2">
        <w:rPr>
          <w:rFonts w:eastAsia="Times New Roman"/>
          <w:sz w:val="24"/>
          <w:szCs w:val="24"/>
        </w:rPr>
        <w:t xml:space="preserve">suggests that </w:t>
      </w:r>
      <w:proofErr w:type="gramStart"/>
      <w:r w:rsidR="00762FF2">
        <w:rPr>
          <w:rFonts w:eastAsia="Times New Roman"/>
          <w:sz w:val="24"/>
          <w:szCs w:val="24"/>
        </w:rPr>
        <w:t>in order for</w:t>
      </w:r>
      <w:proofErr w:type="gramEnd"/>
      <w:r w:rsidR="00762FF2">
        <w:rPr>
          <w:rFonts w:eastAsia="Times New Roman"/>
          <w:sz w:val="24"/>
          <w:szCs w:val="24"/>
        </w:rPr>
        <w:t xml:space="preserve"> the sector to flourish, it must become more internationally competitive</w:t>
      </w:r>
      <w:r w:rsidR="007560E5">
        <w:rPr>
          <w:rFonts w:eastAsia="Times New Roman"/>
          <w:sz w:val="24"/>
          <w:szCs w:val="24"/>
        </w:rPr>
        <w:t xml:space="preserve"> in a variety of markets</w:t>
      </w:r>
      <w:r w:rsidR="00762FF2">
        <w:rPr>
          <w:rFonts w:eastAsia="Times New Roman"/>
          <w:sz w:val="24"/>
          <w:szCs w:val="24"/>
        </w:rPr>
        <w:t xml:space="preserve">. </w:t>
      </w:r>
    </w:p>
    <w:p w14:paraId="6816DA17" w14:textId="77777777" w:rsidR="00FD2748" w:rsidRDefault="00FD2748" w:rsidP="00FD2748">
      <w:pPr>
        <w:pStyle w:val="ListParagraph"/>
        <w:ind w:left="567"/>
        <w:rPr>
          <w:rFonts w:eastAsia="Times New Roman"/>
          <w:sz w:val="24"/>
          <w:szCs w:val="24"/>
        </w:rPr>
      </w:pPr>
    </w:p>
    <w:p w14:paraId="0F6A2F1B" w14:textId="790059CF" w:rsidR="00415E91" w:rsidRPr="00A47044" w:rsidRDefault="00762FF2" w:rsidP="00A47044">
      <w:pPr>
        <w:pStyle w:val="ListParagraph"/>
        <w:numPr>
          <w:ilvl w:val="0"/>
          <w:numId w:val="1"/>
        </w:numPr>
        <w:ind w:left="567" w:hanging="567"/>
        <w:rPr>
          <w:sz w:val="24"/>
          <w:szCs w:val="24"/>
        </w:rPr>
      </w:pPr>
      <w:r>
        <w:rPr>
          <w:rFonts w:eastAsia="Times New Roman"/>
          <w:sz w:val="24"/>
          <w:szCs w:val="24"/>
        </w:rPr>
        <w:t xml:space="preserve">The </w:t>
      </w:r>
      <w:r w:rsidR="00836431">
        <w:rPr>
          <w:rFonts w:eastAsia="Times New Roman"/>
          <w:sz w:val="24"/>
          <w:szCs w:val="24"/>
        </w:rPr>
        <w:t xml:space="preserve">proposed </w:t>
      </w:r>
      <w:r>
        <w:rPr>
          <w:rFonts w:eastAsia="Times New Roman"/>
          <w:sz w:val="24"/>
          <w:szCs w:val="24"/>
        </w:rPr>
        <w:t>AU-UK FTA outcomes</w:t>
      </w:r>
      <w:r w:rsidR="00FD2748">
        <w:rPr>
          <w:rFonts w:eastAsia="Times New Roman"/>
          <w:sz w:val="24"/>
          <w:szCs w:val="24"/>
        </w:rPr>
        <w:t>,</w:t>
      </w:r>
      <w:r>
        <w:rPr>
          <w:rFonts w:eastAsia="Times New Roman"/>
          <w:sz w:val="24"/>
          <w:szCs w:val="24"/>
        </w:rPr>
        <w:t xml:space="preserve"> removing tariffs on </w:t>
      </w:r>
      <w:r w:rsidR="00FD2748">
        <w:rPr>
          <w:rFonts w:eastAsia="Times New Roman"/>
          <w:sz w:val="24"/>
          <w:szCs w:val="24"/>
        </w:rPr>
        <w:t xml:space="preserve">processed foods relevant to Australia, contributes to fulfilling that recommendation. </w:t>
      </w:r>
      <w:r w:rsidR="00C13F5B">
        <w:rPr>
          <w:rFonts w:eastAsia="Times New Roman"/>
          <w:sz w:val="24"/>
          <w:szCs w:val="24"/>
        </w:rPr>
        <w:t>It is consistent with recommendations by</w:t>
      </w:r>
      <w:r>
        <w:rPr>
          <w:rFonts w:eastAsia="Times New Roman"/>
          <w:sz w:val="24"/>
          <w:szCs w:val="24"/>
        </w:rPr>
        <w:t xml:space="preserve"> a Senate Inquiry into Australia’s food processing sector</w:t>
      </w:r>
      <w:r>
        <w:rPr>
          <w:rStyle w:val="FootnoteReference"/>
          <w:rFonts w:eastAsia="Times New Roman"/>
          <w:sz w:val="24"/>
          <w:szCs w:val="24"/>
        </w:rPr>
        <w:footnoteReference w:id="67"/>
      </w:r>
      <w:r>
        <w:rPr>
          <w:rFonts w:eastAsia="Times New Roman"/>
          <w:sz w:val="24"/>
          <w:szCs w:val="24"/>
        </w:rPr>
        <w:t xml:space="preserve"> </w:t>
      </w:r>
      <w:r w:rsidR="00C13F5B">
        <w:rPr>
          <w:rFonts w:eastAsia="Times New Roman"/>
          <w:sz w:val="24"/>
          <w:szCs w:val="24"/>
        </w:rPr>
        <w:t xml:space="preserve">including </w:t>
      </w:r>
      <w:r w:rsidR="007560E5">
        <w:rPr>
          <w:rFonts w:eastAsia="Times New Roman"/>
          <w:sz w:val="24"/>
          <w:szCs w:val="24"/>
        </w:rPr>
        <w:t>resolution of</w:t>
      </w:r>
      <w:r w:rsidR="00FD2748" w:rsidRPr="00FD2748">
        <w:rPr>
          <w:rFonts w:eastAsia="Times New Roman"/>
          <w:sz w:val="24"/>
          <w:szCs w:val="24"/>
        </w:rPr>
        <w:t xml:space="preserve"> factors that inhibit </w:t>
      </w:r>
      <w:r w:rsidR="00FD2748" w:rsidRPr="00FD2748">
        <w:rPr>
          <w:sz w:val="24"/>
          <w:szCs w:val="24"/>
        </w:rPr>
        <w:t xml:space="preserve">export market access, </w:t>
      </w:r>
      <w:proofErr w:type="gramStart"/>
      <w:r w:rsidR="00FD2748" w:rsidRPr="00FD2748">
        <w:rPr>
          <w:sz w:val="24"/>
          <w:szCs w:val="24"/>
        </w:rPr>
        <w:t>growth</w:t>
      </w:r>
      <w:proofErr w:type="gramEnd"/>
      <w:r w:rsidR="00FD2748" w:rsidRPr="00FD2748">
        <w:rPr>
          <w:sz w:val="24"/>
          <w:szCs w:val="24"/>
        </w:rPr>
        <w:t xml:space="preserve"> and development</w:t>
      </w:r>
      <w:r w:rsidR="00FD2748">
        <w:rPr>
          <w:sz w:val="24"/>
          <w:szCs w:val="24"/>
        </w:rPr>
        <w:t xml:space="preserve"> </w:t>
      </w:r>
      <w:r w:rsidR="007560E5">
        <w:rPr>
          <w:sz w:val="24"/>
          <w:szCs w:val="24"/>
        </w:rPr>
        <w:t>a</w:t>
      </w:r>
      <w:r w:rsidR="00FD2748">
        <w:rPr>
          <w:sz w:val="24"/>
          <w:szCs w:val="24"/>
        </w:rPr>
        <w:t xml:space="preserve">nd that </w:t>
      </w:r>
      <w:r w:rsidR="00FD2748" w:rsidRPr="00FD2748">
        <w:rPr>
          <w:sz w:val="24"/>
          <w:szCs w:val="24"/>
        </w:rPr>
        <w:t>the government continue to lobby for the reduction of tariff, non-tariff barriers and subsidies in export destinations</w:t>
      </w:r>
      <w:r w:rsidR="00FD2748">
        <w:rPr>
          <w:sz w:val="24"/>
          <w:szCs w:val="24"/>
        </w:rPr>
        <w:t>.</w:t>
      </w:r>
    </w:p>
    <w:p w14:paraId="63E37F2F" w14:textId="227FD147" w:rsidR="00BA60E2" w:rsidRPr="00F6614E" w:rsidRDefault="00BA60E2" w:rsidP="00BA60E2">
      <w:pPr>
        <w:rPr>
          <w:rFonts w:cstheme="minorHAnsi"/>
          <w:b/>
          <w:bCs/>
          <w:i/>
          <w:iCs/>
          <w:sz w:val="24"/>
          <w:szCs w:val="24"/>
        </w:rPr>
      </w:pPr>
      <w:r w:rsidRPr="00F6614E">
        <w:rPr>
          <w:rFonts w:cstheme="minorHAnsi"/>
          <w:b/>
          <w:bCs/>
          <w:i/>
          <w:iCs/>
          <w:sz w:val="24"/>
          <w:szCs w:val="24"/>
        </w:rPr>
        <w:t>Industrial products</w:t>
      </w:r>
    </w:p>
    <w:p w14:paraId="308EFB1D" w14:textId="76413D69" w:rsidR="00E031FB" w:rsidRDefault="00BA60E2" w:rsidP="00206944">
      <w:pPr>
        <w:pStyle w:val="ListParagraph"/>
        <w:numPr>
          <w:ilvl w:val="0"/>
          <w:numId w:val="1"/>
        </w:numPr>
        <w:ind w:left="567" w:hanging="567"/>
        <w:rPr>
          <w:sz w:val="24"/>
          <w:szCs w:val="24"/>
        </w:rPr>
      </w:pPr>
      <w:r w:rsidRPr="009421ED">
        <w:rPr>
          <w:sz w:val="24"/>
          <w:szCs w:val="24"/>
        </w:rPr>
        <w:t xml:space="preserve">Under the </w:t>
      </w:r>
      <w:r w:rsidR="0083201A">
        <w:rPr>
          <w:sz w:val="24"/>
          <w:szCs w:val="24"/>
        </w:rPr>
        <w:t xml:space="preserve">proposed </w:t>
      </w:r>
      <w:r w:rsidRPr="009421ED">
        <w:rPr>
          <w:sz w:val="24"/>
          <w:szCs w:val="24"/>
        </w:rPr>
        <w:t>A</w:t>
      </w:r>
      <w:r w:rsidR="00B0441F">
        <w:rPr>
          <w:sz w:val="24"/>
          <w:szCs w:val="24"/>
        </w:rPr>
        <w:t>U</w:t>
      </w:r>
      <w:r w:rsidRPr="009421ED">
        <w:rPr>
          <w:sz w:val="24"/>
          <w:szCs w:val="24"/>
        </w:rPr>
        <w:t xml:space="preserve">-UK FTA, the UK will immediately eliminate its tariffs on all Australian origin </w:t>
      </w:r>
      <w:r w:rsidRPr="0054572E">
        <w:rPr>
          <w:sz w:val="24"/>
          <w:szCs w:val="24"/>
        </w:rPr>
        <w:t>industrial goods, except ammonia and aluminium</w:t>
      </w:r>
      <w:r w:rsidR="00836431">
        <w:rPr>
          <w:sz w:val="24"/>
          <w:szCs w:val="24"/>
        </w:rPr>
        <w:t>,</w:t>
      </w:r>
      <w:r w:rsidRPr="0054572E">
        <w:rPr>
          <w:sz w:val="24"/>
          <w:szCs w:val="24"/>
        </w:rPr>
        <w:t xml:space="preserve"> </w:t>
      </w:r>
      <w:r w:rsidR="006129CE" w:rsidRPr="0054572E">
        <w:rPr>
          <w:sz w:val="24"/>
          <w:szCs w:val="24"/>
        </w:rPr>
        <w:t xml:space="preserve">where </w:t>
      </w:r>
      <w:r w:rsidRPr="0054572E">
        <w:rPr>
          <w:sz w:val="24"/>
          <w:szCs w:val="24"/>
        </w:rPr>
        <w:t xml:space="preserve">tariffs of up to </w:t>
      </w:r>
      <w:r w:rsidR="0083201A" w:rsidRPr="0054572E">
        <w:rPr>
          <w:sz w:val="24"/>
          <w:szCs w:val="24"/>
        </w:rPr>
        <w:t>six</w:t>
      </w:r>
      <w:r w:rsidR="00B0441F" w:rsidRPr="0054572E">
        <w:rPr>
          <w:rFonts w:cstheme="minorHAnsi"/>
          <w:sz w:val="24"/>
          <w:szCs w:val="24"/>
        </w:rPr>
        <w:t xml:space="preserve"> per</w:t>
      </w:r>
      <w:r w:rsidR="0083201A" w:rsidRPr="0054572E">
        <w:rPr>
          <w:rFonts w:cstheme="minorHAnsi"/>
          <w:sz w:val="24"/>
          <w:szCs w:val="24"/>
        </w:rPr>
        <w:t xml:space="preserve"> </w:t>
      </w:r>
      <w:r w:rsidR="00B0441F" w:rsidRPr="0054572E">
        <w:rPr>
          <w:rFonts w:cstheme="minorHAnsi"/>
          <w:sz w:val="24"/>
          <w:szCs w:val="24"/>
        </w:rPr>
        <w:t>cent</w:t>
      </w:r>
      <w:r w:rsidRPr="0054572E">
        <w:rPr>
          <w:sz w:val="24"/>
          <w:szCs w:val="24"/>
        </w:rPr>
        <w:t xml:space="preserve"> will be removed in year </w:t>
      </w:r>
      <w:r w:rsidR="0083201A" w:rsidRPr="0054572E">
        <w:rPr>
          <w:sz w:val="24"/>
          <w:szCs w:val="24"/>
        </w:rPr>
        <w:t>four</w:t>
      </w:r>
      <w:r w:rsidRPr="0054572E">
        <w:rPr>
          <w:sz w:val="24"/>
          <w:szCs w:val="24"/>
        </w:rPr>
        <w:t xml:space="preserve">. </w:t>
      </w:r>
    </w:p>
    <w:p w14:paraId="72ABCDCB" w14:textId="77777777" w:rsidR="00E031FB" w:rsidRDefault="00E031FB" w:rsidP="00E031FB">
      <w:pPr>
        <w:pStyle w:val="ListParagraph"/>
        <w:ind w:left="567"/>
        <w:rPr>
          <w:sz w:val="24"/>
          <w:szCs w:val="24"/>
        </w:rPr>
      </w:pPr>
    </w:p>
    <w:p w14:paraId="3970E901" w14:textId="70C397C0" w:rsidR="005675A2" w:rsidRPr="00561253" w:rsidRDefault="00BA60E2" w:rsidP="00561253">
      <w:pPr>
        <w:pStyle w:val="ListParagraph"/>
        <w:numPr>
          <w:ilvl w:val="0"/>
          <w:numId w:val="1"/>
        </w:numPr>
        <w:ind w:left="567" w:hanging="567"/>
        <w:rPr>
          <w:sz w:val="24"/>
          <w:szCs w:val="24"/>
        </w:rPr>
      </w:pPr>
      <w:r w:rsidRPr="0054572E">
        <w:rPr>
          <w:sz w:val="24"/>
          <w:szCs w:val="24"/>
        </w:rPr>
        <w:t>This</w:t>
      </w:r>
      <w:r w:rsidR="005675A2">
        <w:rPr>
          <w:sz w:val="24"/>
          <w:szCs w:val="24"/>
        </w:rPr>
        <w:t xml:space="preserve"> is predicted to lead to a</w:t>
      </w:r>
      <w:r w:rsidRPr="0054572E">
        <w:rPr>
          <w:sz w:val="24"/>
          <w:szCs w:val="24"/>
        </w:rPr>
        <w:t xml:space="preserve"> duty saving of </w:t>
      </w:r>
      <w:r w:rsidR="00B0441F" w:rsidRPr="0054572E">
        <w:rPr>
          <w:sz w:val="24"/>
          <w:szCs w:val="24"/>
        </w:rPr>
        <w:t>A</w:t>
      </w:r>
      <w:r w:rsidRPr="0054572E">
        <w:rPr>
          <w:sz w:val="24"/>
          <w:szCs w:val="24"/>
        </w:rPr>
        <w:t>$14 million per year on existing Australian exports</w:t>
      </w:r>
      <w:r w:rsidR="005675A2">
        <w:rPr>
          <w:sz w:val="24"/>
          <w:szCs w:val="24"/>
        </w:rPr>
        <w:t xml:space="preserve"> to the UK</w:t>
      </w:r>
      <w:r w:rsidRPr="0054572E">
        <w:rPr>
          <w:sz w:val="24"/>
          <w:szCs w:val="24"/>
        </w:rPr>
        <w:t>, including on vehicle parts, clothing, electrical machinery, plastic products, and electrical lighting.</w:t>
      </w:r>
      <w:r w:rsidR="00836431">
        <w:rPr>
          <w:sz w:val="24"/>
          <w:szCs w:val="24"/>
        </w:rPr>
        <w:t xml:space="preserve"> This saving will likely have a positive impact on </w:t>
      </w:r>
      <w:r w:rsidR="005675A2">
        <w:rPr>
          <w:sz w:val="24"/>
          <w:szCs w:val="24"/>
        </w:rPr>
        <w:t xml:space="preserve">Australia’s industrial goods exports as it will open the market for new growth and increased income for industrial goods exporters. </w:t>
      </w:r>
      <w:r w:rsidR="000D63D3">
        <w:rPr>
          <w:sz w:val="24"/>
          <w:szCs w:val="24"/>
        </w:rPr>
        <w:t xml:space="preserve">The case of complementary trade on vehicle parts from Australia and vehicle exports from the UK to Australia is likely to have an overall positive cyclical effect. </w:t>
      </w:r>
    </w:p>
    <w:p w14:paraId="65D0989C" w14:textId="753DB3F4" w:rsidR="003E5450" w:rsidRDefault="003E5450" w:rsidP="003E5450">
      <w:pPr>
        <w:pStyle w:val="Heading2"/>
      </w:pPr>
      <w:bookmarkStart w:id="26" w:name="_Hlk84428124"/>
      <w:bookmarkStart w:id="27" w:name="_Toc88748496"/>
      <w:r w:rsidRPr="00E127BF">
        <w:lastRenderedPageBreak/>
        <w:t>Key market access outcomes for the UK</w:t>
      </w:r>
      <w:bookmarkEnd w:id="27"/>
    </w:p>
    <w:p w14:paraId="5B2D8AE1" w14:textId="77777777" w:rsidR="00E127BF" w:rsidRPr="00E127BF" w:rsidRDefault="00E127BF" w:rsidP="00E127BF"/>
    <w:p w14:paraId="4504A22C" w14:textId="31BAB1F9" w:rsidR="00CE5992" w:rsidRDefault="00CE5992" w:rsidP="00CE5992">
      <w:pPr>
        <w:pStyle w:val="ListParagraph"/>
        <w:numPr>
          <w:ilvl w:val="0"/>
          <w:numId w:val="1"/>
        </w:numPr>
        <w:ind w:left="567" w:hanging="567"/>
        <w:rPr>
          <w:sz w:val="24"/>
          <w:szCs w:val="24"/>
        </w:rPr>
      </w:pPr>
      <w:r w:rsidRPr="0054572E">
        <w:rPr>
          <w:sz w:val="24"/>
          <w:szCs w:val="24"/>
        </w:rPr>
        <w:t>Australia’s merchandise imports from the UK were worth</w:t>
      </w:r>
      <w:r>
        <w:rPr>
          <w:sz w:val="24"/>
          <w:szCs w:val="24"/>
        </w:rPr>
        <w:t>,</w:t>
      </w:r>
      <w:r w:rsidRPr="00CC7799">
        <w:rPr>
          <w:sz w:val="24"/>
          <w:szCs w:val="24"/>
        </w:rPr>
        <w:t xml:space="preserve"> </w:t>
      </w:r>
      <w:r w:rsidRPr="0054572E">
        <w:rPr>
          <w:sz w:val="24"/>
          <w:szCs w:val="24"/>
        </w:rPr>
        <w:t>on average</w:t>
      </w:r>
      <w:r>
        <w:rPr>
          <w:sz w:val="24"/>
          <w:szCs w:val="24"/>
        </w:rPr>
        <w:t>,</w:t>
      </w:r>
      <w:r w:rsidRPr="0054572E">
        <w:rPr>
          <w:sz w:val="24"/>
          <w:szCs w:val="24"/>
        </w:rPr>
        <w:t xml:space="preserve"> A$7.1 billion </w:t>
      </w:r>
      <w:r>
        <w:rPr>
          <w:sz w:val="24"/>
          <w:szCs w:val="24"/>
        </w:rPr>
        <w:t xml:space="preserve">per annum </w:t>
      </w:r>
      <w:r w:rsidRPr="0054572E">
        <w:rPr>
          <w:sz w:val="24"/>
          <w:szCs w:val="24"/>
        </w:rPr>
        <w:t>over the period 2017 to 2019.</w:t>
      </w:r>
      <w:r w:rsidRPr="0054572E">
        <w:rPr>
          <w:rStyle w:val="FootnoteReference"/>
          <w:sz w:val="24"/>
          <w:szCs w:val="24"/>
        </w:rPr>
        <w:footnoteReference w:id="68"/>
      </w:r>
      <w:r w:rsidRPr="0054572E">
        <w:rPr>
          <w:sz w:val="24"/>
          <w:szCs w:val="24"/>
        </w:rPr>
        <w:t xml:space="preserve"> </w:t>
      </w:r>
      <w:r>
        <w:rPr>
          <w:sz w:val="24"/>
          <w:szCs w:val="24"/>
        </w:rPr>
        <w:t xml:space="preserve">Under existing arrangements, </w:t>
      </w:r>
      <w:r w:rsidRPr="002A3C2F">
        <w:rPr>
          <w:sz w:val="24"/>
          <w:szCs w:val="24"/>
        </w:rPr>
        <w:t>42</w:t>
      </w:r>
      <w:r>
        <w:rPr>
          <w:sz w:val="24"/>
          <w:szCs w:val="24"/>
        </w:rPr>
        <w:t xml:space="preserve"> per cent of UK imports entered Australia duty free, while the remaining 58 per cent</w:t>
      </w:r>
      <w:r w:rsidRPr="0054572E">
        <w:rPr>
          <w:sz w:val="24"/>
          <w:szCs w:val="24"/>
        </w:rPr>
        <w:t>,</w:t>
      </w:r>
      <w:r>
        <w:rPr>
          <w:sz w:val="24"/>
          <w:szCs w:val="24"/>
        </w:rPr>
        <w:t xml:space="preserve"> or</w:t>
      </w:r>
      <w:r w:rsidRPr="0054572E">
        <w:rPr>
          <w:sz w:val="24"/>
          <w:szCs w:val="24"/>
        </w:rPr>
        <w:t xml:space="preserve"> A$</w:t>
      </w:r>
      <w:r>
        <w:rPr>
          <w:sz w:val="24"/>
          <w:szCs w:val="24"/>
        </w:rPr>
        <w:t>4.1</w:t>
      </w:r>
      <w:r w:rsidRPr="0054572E">
        <w:rPr>
          <w:sz w:val="24"/>
          <w:szCs w:val="24"/>
        </w:rPr>
        <w:t xml:space="preserve"> billion</w:t>
      </w:r>
      <w:r>
        <w:rPr>
          <w:sz w:val="24"/>
          <w:szCs w:val="24"/>
        </w:rPr>
        <w:t>,</w:t>
      </w:r>
      <w:r w:rsidRPr="0054572E">
        <w:rPr>
          <w:sz w:val="24"/>
          <w:szCs w:val="24"/>
        </w:rPr>
        <w:t xml:space="preserve"> </w:t>
      </w:r>
      <w:r>
        <w:rPr>
          <w:sz w:val="24"/>
          <w:szCs w:val="24"/>
        </w:rPr>
        <w:t>were</w:t>
      </w:r>
      <w:r w:rsidRPr="0054572E">
        <w:rPr>
          <w:sz w:val="24"/>
          <w:szCs w:val="24"/>
        </w:rPr>
        <w:t xml:space="preserve"> subject to MFN import duties</w:t>
      </w:r>
      <w:r>
        <w:rPr>
          <w:sz w:val="24"/>
          <w:szCs w:val="24"/>
        </w:rPr>
        <w:t xml:space="preserve"> not exceeding 5 per cent</w:t>
      </w:r>
      <w:r w:rsidRPr="0054572E">
        <w:rPr>
          <w:sz w:val="24"/>
          <w:szCs w:val="24"/>
        </w:rPr>
        <w:t xml:space="preserve">, including cars, whisky, confectionery, </w:t>
      </w:r>
      <w:proofErr w:type="gramStart"/>
      <w:r w:rsidRPr="0054572E">
        <w:rPr>
          <w:sz w:val="24"/>
          <w:szCs w:val="24"/>
        </w:rPr>
        <w:t>biscuits</w:t>
      </w:r>
      <w:proofErr w:type="gramEnd"/>
      <w:r w:rsidRPr="003C101E">
        <w:rPr>
          <w:sz w:val="24"/>
          <w:szCs w:val="24"/>
        </w:rPr>
        <w:t xml:space="preserve"> and cosmetics.</w:t>
      </w:r>
      <w:r>
        <w:rPr>
          <w:sz w:val="24"/>
          <w:szCs w:val="24"/>
        </w:rPr>
        <w:t xml:space="preserve"> Cars (passenger vehicles as per </w:t>
      </w:r>
      <w:r w:rsidRPr="002A3C2F">
        <w:rPr>
          <w:b/>
          <w:bCs/>
          <w:sz w:val="24"/>
          <w:szCs w:val="24"/>
          <w:u w:val="single"/>
        </w:rPr>
        <w:t>Table 1</w:t>
      </w:r>
      <w:r w:rsidR="00D96FCD">
        <w:rPr>
          <w:b/>
          <w:bCs/>
          <w:sz w:val="24"/>
          <w:szCs w:val="24"/>
          <w:u w:val="single"/>
        </w:rPr>
        <w:t>1</w:t>
      </w:r>
      <w:r>
        <w:rPr>
          <w:sz w:val="24"/>
          <w:szCs w:val="24"/>
        </w:rPr>
        <w:t>) made up by far the largest share of imports from the UK subject to import duties.</w:t>
      </w:r>
    </w:p>
    <w:p w14:paraId="3448B159" w14:textId="77777777" w:rsidR="00CE5992" w:rsidRDefault="00CE5992" w:rsidP="00CE5992">
      <w:pPr>
        <w:pStyle w:val="ListParagraph"/>
        <w:ind w:left="567"/>
        <w:rPr>
          <w:sz w:val="24"/>
          <w:szCs w:val="24"/>
        </w:rPr>
      </w:pPr>
    </w:p>
    <w:p w14:paraId="41E28732" w14:textId="6D4DB531" w:rsidR="00CE5992" w:rsidRDefault="00CE5992" w:rsidP="00CE5992">
      <w:pPr>
        <w:pStyle w:val="ListParagraph"/>
        <w:numPr>
          <w:ilvl w:val="0"/>
          <w:numId w:val="1"/>
        </w:numPr>
        <w:ind w:left="567" w:hanging="567"/>
        <w:rPr>
          <w:sz w:val="24"/>
          <w:szCs w:val="24"/>
        </w:rPr>
      </w:pPr>
      <w:r>
        <w:rPr>
          <w:sz w:val="24"/>
          <w:szCs w:val="24"/>
        </w:rPr>
        <w:t>O</w:t>
      </w:r>
      <w:r w:rsidRPr="000D63D3">
        <w:rPr>
          <w:sz w:val="24"/>
          <w:szCs w:val="24"/>
        </w:rPr>
        <w:t>n entry into force</w:t>
      </w:r>
      <w:r>
        <w:rPr>
          <w:sz w:val="24"/>
          <w:szCs w:val="24"/>
        </w:rPr>
        <w:t xml:space="preserve"> of the FTA, </w:t>
      </w:r>
      <w:r w:rsidRPr="000D63D3">
        <w:rPr>
          <w:sz w:val="24"/>
          <w:szCs w:val="24"/>
        </w:rPr>
        <w:t xml:space="preserve">98 per cent of </w:t>
      </w:r>
      <w:r>
        <w:rPr>
          <w:sz w:val="24"/>
          <w:szCs w:val="24"/>
        </w:rPr>
        <w:t xml:space="preserve">Australian merchandise imports from the UK </w:t>
      </w:r>
      <w:r w:rsidRPr="000D63D3">
        <w:rPr>
          <w:sz w:val="24"/>
          <w:szCs w:val="24"/>
        </w:rPr>
        <w:t xml:space="preserve">will </w:t>
      </w:r>
      <w:r>
        <w:rPr>
          <w:sz w:val="24"/>
          <w:szCs w:val="24"/>
        </w:rPr>
        <w:t xml:space="preserve">be permitted to </w:t>
      </w:r>
      <w:r w:rsidRPr="000D63D3">
        <w:rPr>
          <w:sz w:val="24"/>
          <w:szCs w:val="24"/>
        </w:rPr>
        <w:t>enter Australia duty-free.</w:t>
      </w:r>
      <w:r w:rsidRPr="0054572E">
        <w:rPr>
          <w:sz w:val="24"/>
          <w:szCs w:val="24"/>
        </w:rPr>
        <w:t xml:space="preserve"> </w:t>
      </w:r>
      <w:r w:rsidRPr="003C101E">
        <w:rPr>
          <w:sz w:val="24"/>
          <w:szCs w:val="24"/>
        </w:rPr>
        <w:t xml:space="preserve">Tariffs on all remaining </w:t>
      </w:r>
      <w:r>
        <w:rPr>
          <w:sz w:val="24"/>
          <w:szCs w:val="24"/>
        </w:rPr>
        <w:t>imports from the UK</w:t>
      </w:r>
      <w:r w:rsidRPr="003C101E">
        <w:rPr>
          <w:sz w:val="24"/>
          <w:szCs w:val="24"/>
        </w:rPr>
        <w:t xml:space="preserve"> </w:t>
      </w:r>
      <w:r>
        <w:rPr>
          <w:sz w:val="24"/>
          <w:szCs w:val="24"/>
        </w:rPr>
        <w:t xml:space="preserve">(steel and dairy) </w:t>
      </w:r>
      <w:r w:rsidRPr="003C101E">
        <w:rPr>
          <w:sz w:val="24"/>
          <w:szCs w:val="24"/>
        </w:rPr>
        <w:t xml:space="preserve">will be eliminated </w:t>
      </w:r>
      <w:r>
        <w:rPr>
          <w:sz w:val="24"/>
          <w:szCs w:val="24"/>
        </w:rPr>
        <w:t>within</w:t>
      </w:r>
      <w:r w:rsidRPr="003C101E">
        <w:rPr>
          <w:sz w:val="24"/>
          <w:szCs w:val="24"/>
        </w:rPr>
        <w:t xml:space="preserve"> five years. </w:t>
      </w:r>
      <w:r w:rsidRPr="00E3574B">
        <w:rPr>
          <w:b/>
          <w:bCs/>
          <w:sz w:val="24"/>
          <w:szCs w:val="24"/>
          <w:u w:val="single"/>
        </w:rPr>
        <w:t xml:space="preserve">Tables </w:t>
      </w:r>
      <w:r w:rsidR="00D96FCD">
        <w:rPr>
          <w:b/>
          <w:bCs/>
          <w:sz w:val="24"/>
          <w:szCs w:val="24"/>
          <w:u w:val="single"/>
        </w:rPr>
        <w:t>10</w:t>
      </w:r>
      <w:r w:rsidRPr="00E3574B">
        <w:rPr>
          <w:b/>
          <w:bCs/>
          <w:sz w:val="24"/>
          <w:szCs w:val="24"/>
          <w:u w:val="single"/>
        </w:rPr>
        <w:t xml:space="preserve"> and </w:t>
      </w:r>
      <w:r>
        <w:rPr>
          <w:b/>
          <w:bCs/>
          <w:sz w:val="24"/>
          <w:szCs w:val="24"/>
          <w:u w:val="single"/>
        </w:rPr>
        <w:t>1</w:t>
      </w:r>
      <w:r w:rsidR="00D96FCD">
        <w:rPr>
          <w:b/>
          <w:bCs/>
          <w:sz w:val="24"/>
          <w:szCs w:val="24"/>
          <w:u w:val="single"/>
        </w:rPr>
        <w:t>1</w:t>
      </w:r>
      <w:r w:rsidRPr="003C101E">
        <w:rPr>
          <w:sz w:val="24"/>
          <w:szCs w:val="24"/>
        </w:rPr>
        <w:t xml:space="preserve"> summarise the market access outcomes Australia will grant the UK under</w:t>
      </w:r>
      <w:r>
        <w:rPr>
          <w:sz w:val="24"/>
          <w:szCs w:val="24"/>
        </w:rPr>
        <w:t xml:space="preserve"> the</w:t>
      </w:r>
      <w:r w:rsidRPr="003C101E">
        <w:rPr>
          <w:sz w:val="24"/>
          <w:szCs w:val="24"/>
        </w:rPr>
        <w:t xml:space="preserve"> </w:t>
      </w:r>
      <w:r>
        <w:rPr>
          <w:sz w:val="24"/>
          <w:szCs w:val="24"/>
        </w:rPr>
        <w:t xml:space="preserve">proposed </w:t>
      </w:r>
      <w:r w:rsidRPr="003C101E">
        <w:rPr>
          <w:sz w:val="24"/>
          <w:szCs w:val="24"/>
        </w:rPr>
        <w:t>AU-UK FTA.</w:t>
      </w:r>
    </w:p>
    <w:p w14:paraId="3733F4A0" w14:textId="77777777" w:rsidR="00CE5992" w:rsidRPr="00CE5992" w:rsidRDefault="00CE5992" w:rsidP="00CE5992">
      <w:pPr>
        <w:pStyle w:val="ListParagraph"/>
        <w:rPr>
          <w:sz w:val="24"/>
          <w:szCs w:val="24"/>
        </w:rPr>
      </w:pPr>
    </w:p>
    <w:p w14:paraId="1E62880E" w14:textId="33DC6D17" w:rsidR="00CE5992" w:rsidRDefault="00CE5992" w:rsidP="00CE5992">
      <w:pPr>
        <w:pStyle w:val="ListParagraph"/>
        <w:numPr>
          <w:ilvl w:val="0"/>
          <w:numId w:val="1"/>
        </w:numPr>
        <w:ind w:left="567" w:hanging="567"/>
        <w:rPr>
          <w:sz w:val="24"/>
          <w:szCs w:val="24"/>
        </w:rPr>
      </w:pPr>
      <w:r w:rsidRPr="00CE5992">
        <w:rPr>
          <w:sz w:val="24"/>
          <w:szCs w:val="24"/>
        </w:rPr>
        <w:t xml:space="preserve">Australian consumers will benefit from increased competition, greater </w:t>
      </w:r>
      <w:proofErr w:type="gramStart"/>
      <w:r w:rsidRPr="00CE5992">
        <w:rPr>
          <w:sz w:val="24"/>
          <w:szCs w:val="24"/>
        </w:rPr>
        <w:t>choice</w:t>
      </w:r>
      <w:proofErr w:type="gramEnd"/>
      <w:r w:rsidRPr="00CE5992">
        <w:rPr>
          <w:sz w:val="24"/>
          <w:szCs w:val="24"/>
        </w:rPr>
        <w:t xml:space="preserve"> and lower prices as a result of this tariff elimination. While the removal of tariffs on Australian merchandise imports will result in reductions in tariff revenue, this will likely be offset, over time, by the resultant effects of increased economic activity.</w:t>
      </w:r>
    </w:p>
    <w:p w14:paraId="2114F4E2" w14:textId="77777777" w:rsidR="00CE5992" w:rsidRPr="00CE5992" w:rsidRDefault="00CE5992" w:rsidP="00CE5992">
      <w:pPr>
        <w:pStyle w:val="ListParagraph"/>
        <w:rPr>
          <w:sz w:val="24"/>
          <w:szCs w:val="24"/>
        </w:rPr>
      </w:pPr>
    </w:p>
    <w:p w14:paraId="2110F635" w14:textId="54F61237" w:rsidR="00CE5992" w:rsidRDefault="00CE5992" w:rsidP="00CE5992">
      <w:pPr>
        <w:pStyle w:val="ListParagraph"/>
        <w:numPr>
          <w:ilvl w:val="0"/>
          <w:numId w:val="1"/>
        </w:numPr>
        <w:ind w:left="567" w:hanging="567"/>
        <w:rPr>
          <w:sz w:val="24"/>
          <w:szCs w:val="24"/>
        </w:rPr>
      </w:pPr>
      <w:r w:rsidRPr="00CE5992">
        <w:rPr>
          <w:sz w:val="24"/>
          <w:szCs w:val="24"/>
        </w:rPr>
        <w:t>The competitive impacts on Australian businesses of the reduction in tariffs on imports from the UK are expected to be marginal. Firstly, tariffs are low and Australian producers benefit from natural protection because of the cost of transporting items from the UK to Australia. Secondly, Australia already provides duty free access on these products to our other FTA partners, including North Asian and South East Asian countries, and the United States. Australian producers already operate in a competitive marketplace and the chief change from the FTA is to allow UK producers to compete on a level playing field in that marketplace. Key imports from the UK also constitute inputs into Australian production processes, such as construction machinery, so the small reductions in tariffs may also benefit Australian businesses where such costs are passed on.</w:t>
      </w:r>
    </w:p>
    <w:p w14:paraId="616D4A95" w14:textId="77777777" w:rsidR="00CE5992" w:rsidRPr="00CE5992" w:rsidRDefault="00CE5992" w:rsidP="00CE5992">
      <w:pPr>
        <w:pStyle w:val="ListParagraph"/>
        <w:rPr>
          <w:sz w:val="24"/>
          <w:szCs w:val="24"/>
        </w:rPr>
      </w:pPr>
    </w:p>
    <w:p w14:paraId="5851306D" w14:textId="77B9F121" w:rsidR="00CE5992" w:rsidRDefault="00CE5992" w:rsidP="00CE5992">
      <w:pPr>
        <w:pStyle w:val="ListParagraph"/>
        <w:numPr>
          <w:ilvl w:val="0"/>
          <w:numId w:val="1"/>
        </w:numPr>
        <w:ind w:left="567" w:hanging="567"/>
        <w:rPr>
          <w:sz w:val="24"/>
          <w:szCs w:val="24"/>
        </w:rPr>
      </w:pPr>
      <w:r>
        <w:rPr>
          <w:sz w:val="24"/>
          <w:szCs w:val="24"/>
        </w:rPr>
        <w:t>P</w:t>
      </w:r>
      <w:r w:rsidRPr="00B0560D">
        <w:rPr>
          <w:sz w:val="24"/>
          <w:szCs w:val="24"/>
        </w:rPr>
        <w:t>assenger vehicle imports have the highest import value and would therefore, in theory, have the biggest impact on local industry</w:t>
      </w:r>
      <w:r>
        <w:rPr>
          <w:sz w:val="24"/>
          <w:szCs w:val="24"/>
        </w:rPr>
        <w:t xml:space="preserve">. As Australia no longer participates in large scale passenger </w:t>
      </w:r>
      <w:r w:rsidRPr="00B0560D">
        <w:rPr>
          <w:sz w:val="24"/>
          <w:szCs w:val="24"/>
        </w:rPr>
        <w:t>vehicle manufacturing</w:t>
      </w:r>
      <w:r>
        <w:rPr>
          <w:sz w:val="24"/>
          <w:szCs w:val="24"/>
        </w:rPr>
        <w:t>, this will not impact local producers</w:t>
      </w:r>
      <w:r w:rsidRPr="00B0560D">
        <w:rPr>
          <w:sz w:val="24"/>
          <w:szCs w:val="24"/>
        </w:rPr>
        <w:t xml:space="preserve">. The tariff removal will likely have a positive impact on Australian consumers </w:t>
      </w:r>
      <w:r>
        <w:rPr>
          <w:sz w:val="24"/>
          <w:szCs w:val="24"/>
        </w:rPr>
        <w:t>and businesses if passed on by importers</w:t>
      </w:r>
      <w:r w:rsidRPr="00B0560D">
        <w:rPr>
          <w:sz w:val="24"/>
          <w:szCs w:val="24"/>
        </w:rPr>
        <w:t xml:space="preserve">. </w:t>
      </w:r>
    </w:p>
    <w:p w14:paraId="7F5A1906" w14:textId="77777777" w:rsidR="00CE5992" w:rsidRPr="00CE5992" w:rsidRDefault="00CE5992" w:rsidP="00CE5992">
      <w:pPr>
        <w:pStyle w:val="ListParagraph"/>
        <w:rPr>
          <w:sz w:val="24"/>
          <w:szCs w:val="24"/>
        </w:rPr>
      </w:pPr>
    </w:p>
    <w:p w14:paraId="7DFCE377" w14:textId="156004A4" w:rsidR="00CE5992" w:rsidRDefault="00CE5992" w:rsidP="00CE5992">
      <w:pPr>
        <w:pStyle w:val="ListParagraph"/>
        <w:numPr>
          <w:ilvl w:val="0"/>
          <w:numId w:val="1"/>
        </w:numPr>
        <w:ind w:left="567" w:hanging="567"/>
        <w:rPr>
          <w:sz w:val="24"/>
          <w:szCs w:val="24"/>
        </w:rPr>
      </w:pPr>
      <w:r>
        <w:rPr>
          <w:sz w:val="24"/>
          <w:szCs w:val="24"/>
        </w:rPr>
        <w:t xml:space="preserve">The removal of the 5 per cent tariff on whisky is likely to have a minimal impact on the whisky industry in Australia. As evidenced in </w:t>
      </w:r>
      <w:r w:rsidR="00D96FCD">
        <w:rPr>
          <w:b/>
          <w:bCs/>
          <w:sz w:val="24"/>
          <w:szCs w:val="24"/>
          <w:u w:val="single"/>
        </w:rPr>
        <w:t>Table</w:t>
      </w:r>
      <w:r w:rsidRPr="003E6901">
        <w:rPr>
          <w:b/>
          <w:bCs/>
          <w:sz w:val="24"/>
          <w:szCs w:val="24"/>
          <w:u w:val="single"/>
        </w:rPr>
        <w:t xml:space="preserve"> </w:t>
      </w:r>
      <w:r>
        <w:rPr>
          <w:b/>
          <w:bCs/>
          <w:sz w:val="24"/>
          <w:szCs w:val="24"/>
          <w:u w:val="single"/>
        </w:rPr>
        <w:t>9</w:t>
      </w:r>
      <w:r>
        <w:rPr>
          <w:sz w:val="24"/>
          <w:szCs w:val="24"/>
        </w:rPr>
        <w:t xml:space="preserve">, Australia is already a top 10 export destination for Scotch whisky meaning that Australian distilleries are already </w:t>
      </w:r>
      <w:r>
        <w:rPr>
          <w:sz w:val="24"/>
          <w:szCs w:val="24"/>
        </w:rPr>
        <w:lastRenderedPageBreak/>
        <w:t>competing and yet have a steady growth trajectory. A study from Deloitte</w:t>
      </w:r>
      <w:r>
        <w:rPr>
          <w:rStyle w:val="FootnoteReference"/>
          <w:sz w:val="24"/>
          <w:szCs w:val="24"/>
        </w:rPr>
        <w:footnoteReference w:id="69"/>
      </w:r>
      <w:r>
        <w:rPr>
          <w:sz w:val="24"/>
          <w:szCs w:val="24"/>
        </w:rPr>
        <w:t xml:space="preserve"> noted that there has been a distinct Australian consumer trend toward premium spirits such as whisky in recent decades. Australia’s whisky industry has responded to this. In 2015, there were reportedly </w:t>
      </w:r>
      <w:r w:rsidRPr="005A4A91">
        <w:rPr>
          <w:sz w:val="24"/>
          <w:szCs w:val="24"/>
        </w:rPr>
        <w:t xml:space="preserve">around 30 whisky distilleries across Australia, of which 11 </w:t>
      </w:r>
      <w:proofErr w:type="gramStart"/>
      <w:r>
        <w:rPr>
          <w:sz w:val="24"/>
          <w:szCs w:val="24"/>
        </w:rPr>
        <w:t>we</w:t>
      </w:r>
      <w:r w:rsidRPr="005A4A91">
        <w:rPr>
          <w:sz w:val="24"/>
          <w:szCs w:val="24"/>
        </w:rPr>
        <w:t>re located in</w:t>
      </w:r>
      <w:proofErr w:type="gramEnd"/>
      <w:r w:rsidRPr="005A4A91">
        <w:rPr>
          <w:sz w:val="24"/>
          <w:szCs w:val="24"/>
        </w:rPr>
        <w:t xml:space="preserve"> Tasmania.</w:t>
      </w:r>
      <w:r>
        <w:rPr>
          <w:rStyle w:val="FootnoteReference"/>
          <w:sz w:val="24"/>
          <w:szCs w:val="24"/>
        </w:rPr>
        <w:footnoteReference w:id="70"/>
      </w:r>
      <w:r>
        <w:rPr>
          <w:sz w:val="24"/>
          <w:szCs w:val="24"/>
        </w:rPr>
        <w:t xml:space="preserve"> In 2021, there are estimated to be 333 distilleries spread across NSW, ACT, South Australia, Victoria, Queensland, Western Australia and Tasmania producing not just whisky but gin, vodka, rum and other spirits, indicating that it is a strong and diversified domestic industry that Australian consumers support.</w:t>
      </w:r>
      <w:r>
        <w:rPr>
          <w:rStyle w:val="FootnoteReference"/>
          <w:sz w:val="24"/>
          <w:szCs w:val="24"/>
        </w:rPr>
        <w:footnoteReference w:id="71"/>
      </w:r>
      <w:r>
        <w:rPr>
          <w:sz w:val="24"/>
          <w:szCs w:val="24"/>
        </w:rPr>
        <w:t xml:space="preserve"> </w:t>
      </w:r>
    </w:p>
    <w:p w14:paraId="5D387DB5" w14:textId="462E5A26" w:rsidR="00CE5992" w:rsidRPr="00CE5992" w:rsidRDefault="00D96FCD" w:rsidP="00CE5992">
      <w:pPr>
        <w:rPr>
          <w:sz w:val="24"/>
          <w:szCs w:val="24"/>
        </w:rPr>
      </w:pPr>
      <w:r>
        <w:rPr>
          <w:b/>
          <w:bCs/>
          <w:sz w:val="24"/>
          <w:szCs w:val="24"/>
          <w:u w:val="single"/>
        </w:rPr>
        <w:t>Table</w:t>
      </w:r>
      <w:r w:rsidR="00CE5992" w:rsidRPr="00CE5992">
        <w:rPr>
          <w:b/>
          <w:bCs/>
          <w:sz w:val="24"/>
          <w:szCs w:val="24"/>
          <w:u w:val="single"/>
        </w:rPr>
        <w:t xml:space="preserve"> 9</w:t>
      </w:r>
      <w:r w:rsidR="00CE5992" w:rsidRPr="00CE5992">
        <w:rPr>
          <w:sz w:val="24"/>
          <w:szCs w:val="24"/>
        </w:rPr>
        <w:t>: Largest export destinations for Scotch whisky in 2020</w:t>
      </w:r>
      <w:r w:rsidR="00CE5992">
        <w:rPr>
          <w:rStyle w:val="FootnoteReference"/>
          <w:sz w:val="24"/>
          <w:szCs w:val="24"/>
        </w:rPr>
        <w:footnoteReference w:id="72"/>
      </w:r>
    </w:p>
    <w:p w14:paraId="327EDF1B" w14:textId="6B393E99" w:rsidR="00CE5992" w:rsidRDefault="00CE5992" w:rsidP="00CE5992">
      <w:pPr>
        <w:pStyle w:val="ListParagraph"/>
        <w:ind w:left="360"/>
        <w:rPr>
          <w:sz w:val="24"/>
          <w:szCs w:val="24"/>
        </w:rPr>
      </w:pPr>
      <w:r>
        <w:rPr>
          <w:noProof/>
        </w:rPr>
        <w:drawing>
          <wp:inline distT="0" distB="0" distL="0" distR="0" wp14:anchorId="4E31D237" wp14:editId="685A57A1">
            <wp:extent cx="5731510" cy="3023870"/>
            <wp:effectExtent l="0" t="0" r="254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023870"/>
                    </a:xfrm>
                    <a:prstGeom prst="rect">
                      <a:avLst/>
                    </a:prstGeom>
                  </pic:spPr>
                </pic:pic>
              </a:graphicData>
            </a:graphic>
          </wp:inline>
        </w:drawing>
      </w:r>
    </w:p>
    <w:p w14:paraId="4F5F1561" w14:textId="5B7A9E22" w:rsidR="00881D47" w:rsidRPr="00881D47" w:rsidRDefault="00881D47" w:rsidP="00881D47">
      <w:pPr>
        <w:rPr>
          <w:b/>
          <w:bCs/>
          <w:sz w:val="24"/>
          <w:szCs w:val="24"/>
        </w:rPr>
      </w:pPr>
      <w:r w:rsidRPr="00881D47">
        <w:rPr>
          <w:b/>
          <w:bCs/>
          <w:sz w:val="24"/>
          <w:szCs w:val="24"/>
          <w:u w:val="single"/>
        </w:rPr>
        <w:t xml:space="preserve">Table </w:t>
      </w:r>
      <w:r w:rsidR="00D96FCD">
        <w:rPr>
          <w:b/>
          <w:bCs/>
          <w:sz w:val="24"/>
          <w:szCs w:val="24"/>
          <w:u w:val="single"/>
        </w:rPr>
        <w:t>10</w:t>
      </w:r>
      <w:r w:rsidRPr="00881D47">
        <w:rPr>
          <w:b/>
          <w:bCs/>
          <w:sz w:val="24"/>
          <w:szCs w:val="24"/>
        </w:rPr>
        <w:t>: Elimination schedule of Australian tariffs on imports of UK goods</w:t>
      </w:r>
    </w:p>
    <w:tbl>
      <w:tblPr>
        <w:tblStyle w:val="TableGrid"/>
        <w:tblW w:w="0" w:type="auto"/>
        <w:tblInd w:w="-147" w:type="dxa"/>
        <w:tblLook w:val="04A0" w:firstRow="1" w:lastRow="0" w:firstColumn="1" w:lastColumn="0" w:noHBand="0" w:noVBand="1"/>
      </w:tblPr>
      <w:tblGrid>
        <w:gridCol w:w="2977"/>
        <w:gridCol w:w="851"/>
        <w:gridCol w:w="850"/>
        <w:gridCol w:w="1276"/>
        <w:gridCol w:w="992"/>
        <w:gridCol w:w="931"/>
        <w:gridCol w:w="1286"/>
      </w:tblGrid>
      <w:tr w:rsidR="00881D47" w14:paraId="5994CF42" w14:textId="77777777" w:rsidTr="00192530">
        <w:tc>
          <w:tcPr>
            <w:tcW w:w="29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C3FD69" w14:textId="77777777" w:rsidR="00881D47" w:rsidRDefault="00881D47" w:rsidP="00192530">
            <w:pPr>
              <w:jc w:val="center"/>
              <w:rPr>
                <w:b/>
                <w:bCs/>
              </w:rPr>
            </w:pPr>
            <w:r>
              <w:rPr>
                <w:b/>
                <w:bCs/>
              </w:rPr>
              <w:t>Outcome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2DD7073" w14:textId="77777777" w:rsidR="00881D47" w:rsidRDefault="00881D47" w:rsidP="00192530">
            <w:pPr>
              <w:jc w:val="center"/>
              <w:rPr>
                <w:b/>
                <w:bCs/>
              </w:rPr>
            </w:pPr>
            <w:r>
              <w:rPr>
                <w:b/>
                <w:bCs/>
              </w:rPr>
              <w:t>Tariff lines</w:t>
            </w:r>
          </w:p>
        </w:tc>
        <w:tc>
          <w:tcPr>
            <w:tcW w:w="320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2FB44E" w14:textId="77777777" w:rsidR="00881D47" w:rsidRDefault="00881D47" w:rsidP="00192530">
            <w:pPr>
              <w:jc w:val="center"/>
              <w:rPr>
                <w:b/>
                <w:bCs/>
              </w:rPr>
            </w:pPr>
            <w:r>
              <w:rPr>
                <w:b/>
                <w:bCs/>
              </w:rPr>
              <w:t>Australian imports from the UK</w:t>
            </w:r>
          </w:p>
          <w:p w14:paraId="65250DF1" w14:textId="77777777" w:rsidR="00881D47" w:rsidRDefault="00881D47" w:rsidP="00192530">
            <w:pPr>
              <w:jc w:val="center"/>
              <w:rPr>
                <w:b/>
                <w:bCs/>
              </w:rPr>
            </w:pPr>
            <w:r>
              <w:rPr>
                <w:b/>
                <w:bCs/>
              </w:rPr>
              <w:t>(average 2017-19)</w:t>
            </w:r>
          </w:p>
        </w:tc>
      </w:tr>
      <w:tr w:rsidR="00881D47" w14:paraId="5DA7E805" w14:textId="77777777" w:rsidTr="00192530">
        <w:tc>
          <w:tcPr>
            <w:tcW w:w="0" w:type="auto"/>
            <w:vMerge/>
            <w:tcBorders>
              <w:top w:val="single" w:sz="4" w:space="0" w:color="auto"/>
              <w:left w:val="single" w:sz="4" w:space="0" w:color="auto"/>
              <w:bottom w:val="single" w:sz="4" w:space="0" w:color="auto"/>
              <w:right w:val="single" w:sz="4" w:space="0" w:color="auto"/>
            </w:tcBorders>
            <w:vAlign w:val="center"/>
            <w:hideMark/>
          </w:tcPr>
          <w:p w14:paraId="3CE008B8" w14:textId="77777777" w:rsidR="00881D47" w:rsidRDefault="00881D47" w:rsidP="00192530">
            <w:pPr>
              <w:rPr>
                <w:b/>
                <w:bCs/>
              </w:rPr>
            </w:pPr>
          </w:p>
        </w:tc>
        <w:tc>
          <w:tcPr>
            <w:tcW w:w="85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BB4A57" w14:textId="77777777" w:rsidR="00881D47" w:rsidRDefault="00881D47" w:rsidP="00192530">
            <w:pPr>
              <w:jc w:val="center"/>
              <w:rPr>
                <w:b/>
                <w:bCs/>
              </w:rPr>
            </w:pPr>
            <w:r>
              <w:rPr>
                <w:b/>
                <w:bCs/>
              </w:rPr>
              <w:t>No.</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1FE118" w14:textId="77777777" w:rsidR="00881D47" w:rsidRDefault="00881D47" w:rsidP="00192530">
            <w:pPr>
              <w:jc w:val="center"/>
              <w:rPr>
                <w:b/>
                <w:bCs/>
              </w:rPr>
            </w:pPr>
            <w:r>
              <w:rPr>
                <w:b/>
                <w:bCs/>
              </w:rPr>
              <w:t>% of total</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0B285D" w14:textId="77777777" w:rsidR="00881D47" w:rsidRDefault="00881D47" w:rsidP="00192530">
            <w:pPr>
              <w:jc w:val="center"/>
              <w:rPr>
                <w:b/>
                <w:bCs/>
              </w:rPr>
            </w:pPr>
            <w:r>
              <w:rPr>
                <w:b/>
                <w:bCs/>
              </w:rPr>
              <w:t>Cumulative total (%)</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185F09" w14:textId="77777777" w:rsidR="00881D47" w:rsidRDefault="00881D47" w:rsidP="00192530">
            <w:pPr>
              <w:jc w:val="center"/>
              <w:rPr>
                <w:b/>
                <w:bCs/>
              </w:rPr>
            </w:pPr>
            <w:r>
              <w:rPr>
                <w:b/>
                <w:bCs/>
              </w:rPr>
              <w:t>AUD (million)</w:t>
            </w:r>
          </w:p>
        </w:tc>
        <w:tc>
          <w:tcPr>
            <w:tcW w:w="93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02C1A6" w14:textId="77777777" w:rsidR="00881D47" w:rsidRDefault="00881D47" w:rsidP="00192530">
            <w:pPr>
              <w:jc w:val="center"/>
              <w:rPr>
                <w:b/>
                <w:bCs/>
              </w:rPr>
            </w:pPr>
            <w:r>
              <w:rPr>
                <w:b/>
                <w:bCs/>
              </w:rPr>
              <w:t>% of total</w:t>
            </w:r>
          </w:p>
        </w:tc>
        <w:tc>
          <w:tcPr>
            <w:tcW w:w="128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CBCDEE" w14:textId="77777777" w:rsidR="00881D47" w:rsidRDefault="00881D47" w:rsidP="00192530">
            <w:pPr>
              <w:jc w:val="center"/>
              <w:rPr>
                <w:b/>
                <w:bCs/>
              </w:rPr>
            </w:pPr>
            <w:r>
              <w:rPr>
                <w:b/>
                <w:bCs/>
              </w:rPr>
              <w:t>Cumulative total (%)</w:t>
            </w:r>
          </w:p>
        </w:tc>
      </w:tr>
      <w:tr w:rsidR="00881D47" w14:paraId="6E201B44" w14:textId="77777777" w:rsidTr="00192530">
        <w:tc>
          <w:tcPr>
            <w:tcW w:w="2977" w:type="dxa"/>
            <w:tcBorders>
              <w:top w:val="single" w:sz="4" w:space="0" w:color="auto"/>
              <w:left w:val="single" w:sz="4" w:space="0" w:color="auto"/>
              <w:bottom w:val="single" w:sz="4" w:space="0" w:color="auto"/>
              <w:right w:val="single" w:sz="4" w:space="0" w:color="auto"/>
            </w:tcBorders>
            <w:hideMark/>
          </w:tcPr>
          <w:p w14:paraId="0D7CE960" w14:textId="77777777" w:rsidR="00881D47" w:rsidRDefault="00881D47" w:rsidP="00192530">
            <w:r>
              <w:t>Zero at EIF</w:t>
            </w:r>
          </w:p>
        </w:tc>
        <w:tc>
          <w:tcPr>
            <w:tcW w:w="851" w:type="dxa"/>
            <w:tcBorders>
              <w:top w:val="single" w:sz="4" w:space="0" w:color="auto"/>
              <w:left w:val="single" w:sz="4" w:space="0" w:color="auto"/>
              <w:bottom w:val="single" w:sz="4" w:space="0" w:color="auto"/>
              <w:right w:val="single" w:sz="4" w:space="0" w:color="auto"/>
            </w:tcBorders>
            <w:hideMark/>
          </w:tcPr>
          <w:p w14:paraId="0C11CE63" w14:textId="77777777" w:rsidR="00881D47" w:rsidRDefault="00881D47" w:rsidP="00192530">
            <w:pPr>
              <w:jc w:val="right"/>
            </w:pPr>
            <w:r>
              <w:t>6,342</w:t>
            </w:r>
          </w:p>
        </w:tc>
        <w:tc>
          <w:tcPr>
            <w:tcW w:w="850" w:type="dxa"/>
            <w:tcBorders>
              <w:top w:val="single" w:sz="4" w:space="0" w:color="auto"/>
              <w:left w:val="single" w:sz="4" w:space="0" w:color="auto"/>
              <w:bottom w:val="single" w:sz="4" w:space="0" w:color="auto"/>
              <w:right w:val="single" w:sz="4" w:space="0" w:color="auto"/>
            </w:tcBorders>
            <w:hideMark/>
          </w:tcPr>
          <w:p w14:paraId="22275C85" w14:textId="77777777" w:rsidR="00881D47" w:rsidRDefault="00881D47" w:rsidP="00192530">
            <w:pPr>
              <w:jc w:val="right"/>
            </w:pPr>
            <w:r>
              <w:t>97.9</w:t>
            </w:r>
          </w:p>
        </w:tc>
        <w:tc>
          <w:tcPr>
            <w:tcW w:w="1276" w:type="dxa"/>
            <w:tcBorders>
              <w:top w:val="single" w:sz="4" w:space="0" w:color="auto"/>
              <w:left w:val="single" w:sz="4" w:space="0" w:color="auto"/>
              <w:bottom w:val="single" w:sz="4" w:space="0" w:color="auto"/>
              <w:right w:val="single" w:sz="4" w:space="0" w:color="auto"/>
            </w:tcBorders>
            <w:hideMark/>
          </w:tcPr>
          <w:p w14:paraId="5B1528C4" w14:textId="77777777" w:rsidR="00881D47" w:rsidRDefault="00881D47" w:rsidP="00192530">
            <w:pPr>
              <w:jc w:val="right"/>
            </w:pPr>
            <w:r>
              <w:t>97.9</w:t>
            </w:r>
          </w:p>
        </w:tc>
        <w:tc>
          <w:tcPr>
            <w:tcW w:w="992" w:type="dxa"/>
            <w:tcBorders>
              <w:top w:val="single" w:sz="4" w:space="0" w:color="auto"/>
              <w:left w:val="single" w:sz="4" w:space="0" w:color="auto"/>
              <w:bottom w:val="single" w:sz="4" w:space="0" w:color="auto"/>
              <w:right w:val="single" w:sz="4" w:space="0" w:color="auto"/>
            </w:tcBorders>
            <w:hideMark/>
          </w:tcPr>
          <w:p w14:paraId="55C9C7DC" w14:textId="77777777" w:rsidR="00881D47" w:rsidRDefault="00881D47" w:rsidP="00192530">
            <w:pPr>
              <w:jc w:val="right"/>
            </w:pPr>
            <w:r>
              <w:t>6,908</w:t>
            </w:r>
          </w:p>
        </w:tc>
        <w:tc>
          <w:tcPr>
            <w:tcW w:w="931" w:type="dxa"/>
            <w:tcBorders>
              <w:top w:val="single" w:sz="4" w:space="0" w:color="auto"/>
              <w:left w:val="single" w:sz="4" w:space="0" w:color="auto"/>
              <w:bottom w:val="single" w:sz="4" w:space="0" w:color="auto"/>
              <w:right w:val="single" w:sz="4" w:space="0" w:color="auto"/>
            </w:tcBorders>
            <w:hideMark/>
          </w:tcPr>
          <w:p w14:paraId="390528E6" w14:textId="77777777" w:rsidR="00881D47" w:rsidRDefault="00881D47" w:rsidP="00192530">
            <w:pPr>
              <w:jc w:val="right"/>
            </w:pPr>
            <w:r>
              <w:t>97.8</w:t>
            </w:r>
          </w:p>
        </w:tc>
        <w:tc>
          <w:tcPr>
            <w:tcW w:w="1286" w:type="dxa"/>
            <w:tcBorders>
              <w:top w:val="single" w:sz="4" w:space="0" w:color="auto"/>
              <w:left w:val="single" w:sz="4" w:space="0" w:color="auto"/>
              <w:bottom w:val="single" w:sz="4" w:space="0" w:color="auto"/>
              <w:right w:val="single" w:sz="4" w:space="0" w:color="auto"/>
            </w:tcBorders>
            <w:hideMark/>
          </w:tcPr>
          <w:p w14:paraId="15FEE190" w14:textId="77777777" w:rsidR="00881D47" w:rsidRDefault="00881D47" w:rsidP="00192530">
            <w:pPr>
              <w:jc w:val="right"/>
            </w:pPr>
            <w:r>
              <w:t>97.8</w:t>
            </w:r>
          </w:p>
        </w:tc>
      </w:tr>
      <w:tr w:rsidR="00881D47" w14:paraId="5779031F" w14:textId="77777777" w:rsidTr="00192530">
        <w:tc>
          <w:tcPr>
            <w:tcW w:w="2977" w:type="dxa"/>
            <w:tcBorders>
              <w:top w:val="single" w:sz="4" w:space="0" w:color="auto"/>
              <w:left w:val="single" w:sz="4" w:space="0" w:color="auto"/>
              <w:bottom w:val="single" w:sz="4" w:space="0" w:color="auto"/>
              <w:right w:val="single" w:sz="4" w:space="0" w:color="auto"/>
            </w:tcBorders>
            <w:hideMark/>
          </w:tcPr>
          <w:p w14:paraId="60C2E441" w14:textId="77777777" w:rsidR="00881D47" w:rsidRDefault="00881D47" w:rsidP="00192530">
            <w:pPr>
              <w:ind w:left="306"/>
              <w:rPr>
                <w:i/>
                <w:iCs/>
              </w:rPr>
            </w:pPr>
            <w:r>
              <w:rPr>
                <w:i/>
                <w:iCs/>
              </w:rPr>
              <w:t>MFN 0</w:t>
            </w:r>
          </w:p>
        </w:tc>
        <w:tc>
          <w:tcPr>
            <w:tcW w:w="851" w:type="dxa"/>
            <w:tcBorders>
              <w:top w:val="single" w:sz="4" w:space="0" w:color="auto"/>
              <w:left w:val="single" w:sz="4" w:space="0" w:color="auto"/>
              <w:bottom w:val="single" w:sz="4" w:space="0" w:color="auto"/>
              <w:right w:val="single" w:sz="4" w:space="0" w:color="auto"/>
            </w:tcBorders>
            <w:hideMark/>
          </w:tcPr>
          <w:p w14:paraId="2FBB88D3" w14:textId="77777777" w:rsidR="00881D47" w:rsidRDefault="00881D47" w:rsidP="00192530">
            <w:pPr>
              <w:jc w:val="right"/>
              <w:rPr>
                <w:i/>
                <w:iCs/>
              </w:rPr>
            </w:pPr>
            <w:r>
              <w:rPr>
                <w:i/>
                <w:iCs/>
              </w:rPr>
              <w:t>3,201</w:t>
            </w:r>
          </w:p>
        </w:tc>
        <w:tc>
          <w:tcPr>
            <w:tcW w:w="850" w:type="dxa"/>
            <w:tcBorders>
              <w:top w:val="single" w:sz="4" w:space="0" w:color="auto"/>
              <w:left w:val="single" w:sz="4" w:space="0" w:color="auto"/>
              <w:bottom w:val="single" w:sz="4" w:space="0" w:color="auto"/>
              <w:right w:val="single" w:sz="4" w:space="0" w:color="auto"/>
            </w:tcBorders>
            <w:hideMark/>
          </w:tcPr>
          <w:p w14:paraId="487CE01E" w14:textId="77777777" w:rsidR="00881D47" w:rsidRDefault="00881D47" w:rsidP="00192530">
            <w:pPr>
              <w:jc w:val="right"/>
              <w:rPr>
                <w:i/>
                <w:iCs/>
              </w:rPr>
            </w:pPr>
            <w:r>
              <w:rPr>
                <w:i/>
                <w:iCs/>
              </w:rPr>
              <w:t>49.4</w:t>
            </w:r>
          </w:p>
        </w:tc>
        <w:tc>
          <w:tcPr>
            <w:tcW w:w="1276" w:type="dxa"/>
            <w:tcBorders>
              <w:top w:val="single" w:sz="4" w:space="0" w:color="auto"/>
              <w:left w:val="single" w:sz="4" w:space="0" w:color="auto"/>
              <w:bottom w:val="single" w:sz="4" w:space="0" w:color="auto"/>
              <w:right w:val="single" w:sz="4" w:space="0" w:color="auto"/>
            </w:tcBorders>
            <w:hideMark/>
          </w:tcPr>
          <w:p w14:paraId="79AEB417" w14:textId="77777777" w:rsidR="00881D47" w:rsidRDefault="00881D47" w:rsidP="00192530">
            <w:pPr>
              <w:jc w:val="right"/>
              <w:rPr>
                <w:i/>
                <w:iCs/>
              </w:rPr>
            </w:pPr>
            <w:r>
              <w:rPr>
                <w:i/>
                <w:iCs/>
              </w:rPr>
              <w:t>..</w:t>
            </w:r>
          </w:p>
        </w:tc>
        <w:tc>
          <w:tcPr>
            <w:tcW w:w="992" w:type="dxa"/>
            <w:tcBorders>
              <w:top w:val="single" w:sz="4" w:space="0" w:color="auto"/>
              <w:left w:val="single" w:sz="4" w:space="0" w:color="auto"/>
              <w:bottom w:val="single" w:sz="4" w:space="0" w:color="auto"/>
              <w:right w:val="single" w:sz="4" w:space="0" w:color="auto"/>
            </w:tcBorders>
            <w:hideMark/>
          </w:tcPr>
          <w:p w14:paraId="3E3FC45A" w14:textId="77777777" w:rsidR="00881D47" w:rsidRDefault="00881D47" w:rsidP="00192530">
            <w:pPr>
              <w:jc w:val="right"/>
              <w:rPr>
                <w:i/>
                <w:iCs/>
              </w:rPr>
            </w:pPr>
            <w:r>
              <w:rPr>
                <w:i/>
                <w:iCs/>
              </w:rPr>
              <w:t>2,970</w:t>
            </w:r>
          </w:p>
        </w:tc>
        <w:tc>
          <w:tcPr>
            <w:tcW w:w="931" w:type="dxa"/>
            <w:tcBorders>
              <w:top w:val="single" w:sz="4" w:space="0" w:color="auto"/>
              <w:left w:val="single" w:sz="4" w:space="0" w:color="auto"/>
              <w:bottom w:val="single" w:sz="4" w:space="0" w:color="auto"/>
              <w:right w:val="single" w:sz="4" w:space="0" w:color="auto"/>
            </w:tcBorders>
            <w:hideMark/>
          </w:tcPr>
          <w:p w14:paraId="2F5C7D0C" w14:textId="77777777" w:rsidR="00881D47" w:rsidRDefault="00881D47" w:rsidP="00192530">
            <w:pPr>
              <w:jc w:val="right"/>
              <w:rPr>
                <w:i/>
                <w:iCs/>
              </w:rPr>
            </w:pPr>
            <w:r>
              <w:rPr>
                <w:i/>
                <w:iCs/>
              </w:rPr>
              <w:t>42.0</w:t>
            </w:r>
          </w:p>
        </w:tc>
        <w:tc>
          <w:tcPr>
            <w:tcW w:w="1286" w:type="dxa"/>
            <w:tcBorders>
              <w:top w:val="single" w:sz="4" w:space="0" w:color="auto"/>
              <w:left w:val="single" w:sz="4" w:space="0" w:color="auto"/>
              <w:bottom w:val="single" w:sz="4" w:space="0" w:color="auto"/>
              <w:right w:val="single" w:sz="4" w:space="0" w:color="auto"/>
            </w:tcBorders>
            <w:hideMark/>
          </w:tcPr>
          <w:p w14:paraId="0A3612B9" w14:textId="77777777" w:rsidR="00881D47" w:rsidRDefault="00881D47" w:rsidP="00192530">
            <w:pPr>
              <w:jc w:val="right"/>
              <w:rPr>
                <w:i/>
                <w:iCs/>
              </w:rPr>
            </w:pPr>
            <w:r>
              <w:rPr>
                <w:i/>
                <w:iCs/>
              </w:rPr>
              <w:t>..</w:t>
            </w:r>
          </w:p>
        </w:tc>
      </w:tr>
      <w:tr w:rsidR="00881D47" w14:paraId="41559313" w14:textId="77777777" w:rsidTr="00192530">
        <w:tc>
          <w:tcPr>
            <w:tcW w:w="2977" w:type="dxa"/>
            <w:tcBorders>
              <w:top w:val="single" w:sz="4" w:space="0" w:color="auto"/>
              <w:left w:val="single" w:sz="4" w:space="0" w:color="auto"/>
              <w:bottom w:val="single" w:sz="4" w:space="0" w:color="auto"/>
              <w:right w:val="single" w:sz="4" w:space="0" w:color="auto"/>
            </w:tcBorders>
            <w:hideMark/>
          </w:tcPr>
          <w:p w14:paraId="587993C7" w14:textId="77777777" w:rsidR="00881D47" w:rsidRDefault="00881D47" w:rsidP="00192530">
            <w:pPr>
              <w:ind w:left="306"/>
              <w:rPr>
                <w:i/>
                <w:iCs/>
              </w:rPr>
            </w:pPr>
            <w:r>
              <w:rPr>
                <w:i/>
                <w:iCs/>
              </w:rPr>
              <w:t>Tariffs eliminated on EIF</w:t>
            </w:r>
          </w:p>
        </w:tc>
        <w:tc>
          <w:tcPr>
            <w:tcW w:w="851" w:type="dxa"/>
            <w:tcBorders>
              <w:top w:val="single" w:sz="4" w:space="0" w:color="auto"/>
              <w:left w:val="single" w:sz="4" w:space="0" w:color="auto"/>
              <w:bottom w:val="single" w:sz="4" w:space="0" w:color="auto"/>
              <w:right w:val="single" w:sz="4" w:space="0" w:color="auto"/>
            </w:tcBorders>
            <w:hideMark/>
          </w:tcPr>
          <w:p w14:paraId="4B271920" w14:textId="77777777" w:rsidR="00881D47" w:rsidRDefault="00881D47" w:rsidP="00192530">
            <w:pPr>
              <w:jc w:val="right"/>
              <w:rPr>
                <w:i/>
                <w:iCs/>
              </w:rPr>
            </w:pPr>
            <w:r>
              <w:rPr>
                <w:i/>
                <w:iCs/>
              </w:rPr>
              <w:t>3,141</w:t>
            </w:r>
          </w:p>
        </w:tc>
        <w:tc>
          <w:tcPr>
            <w:tcW w:w="850" w:type="dxa"/>
            <w:tcBorders>
              <w:top w:val="single" w:sz="4" w:space="0" w:color="auto"/>
              <w:left w:val="single" w:sz="4" w:space="0" w:color="auto"/>
              <w:bottom w:val="single" w:sz="4" w:space="0" w:color="auto"/>
              <w:right w:val="single" w:sz="4" w:space="0" w:color="auto"/>
            </w:tcBorders>
            <w:hideMark/>
          </w:tcPr>
          <w:p w14:paraId="35FBC6AE" w14:textId="77777777" w:rsidR="00881D47" w:rsidRDefault="00881D47" w:rsidP="00192530">
            <w:pPr>
              <w:jc w:val="right"/>
              <w:rPr>
                <w:i/>
                <w:iCs/>
              </w:rPr>
            </w:pPr>
            <w:r>
              <w:rPr>
                <w:i/>
                <w:iCs/>
              </w:rPr>
              <w:t>48.5</w:t>
            </w:r>
          </w:p>
        </w:tc>
        <w:tc>
          <w:tcPr>
            <w:tcW w:w="1276" w:type="dxa"/>
            <w:tcBorders>
              <w:top w:val="single" w:sz="4" w:space="0" w:color="auto"/>
              <w:left w:val="single" w:sz="4" w:space="0" w:color="auto"/>
              <w:bottom w:val="single" w:sz="4" w:space="0" w:color="auto"/>
              <w:right w:val="single" w:sz="4" w:space="0" w:color="auto"/>
            </w:tcBorders>
            <w:hideMark/>
          </w:tcPr>
          <w:p w14:paraId="1701C3D3" w14:textId="77777777" w:rsidR="00881D47" w:rsidRDefault="00881D47" w:rsidP="00192530">
            <w:pPr>
              <w:jc w:val="right"/>
              <w:rPr>
                <w:i/>
                <w:iCs/>
              </w:rPr>
            </w:pPr>
            <w:r>
              <w:rPr>
                <w:i/>
                <w:iCs/>
              </w:rPr>
              <w:t>..</w:t>
            </w:r>
          </w:p>
        </w:tc>
        <w:tc>
          <w:tcPr>
            <w:tcW w:w="992" w:type="dxa"/>
            <w:tcBorders>
              <w:top w:val="single" w:sz="4" w:space="0" w:color="auto"/>
              <w:left w:val="single" w:sz="4" w:space="0" w:color="auto"/>
              <w:bottom w:val="single" w:sz="4" w:space="0" w:color="auto"/>
              <w:right w:val="single" w:sz="4" w:space="0" w:color="auto"/>
            </w:tcBorders>
            <w:hideMark/>
          </w:tcPr>
          <w:p w14:paraId="39C23B7C" w14:textId="77777777" w:rsidR="00881D47" w:rsidRDefault="00881D47" w:rsidP="00192530">
            <w:pPr>
              <w:jc w:val="right"/>
              <w:rPr>
                <w:i/>
                <w:iCs/>
              </w:rPr>
            </w:pPr>
            <w:r>
              <w:rPr>
                <w:i/>
                <w:iCs/>
              </w:rPr>
              <w:t>3,938</w:t>
            </w:r>
          </w:p>
        </w:tc>
        <w:tc>
          <w:tcPr>
            <w:tcW w:w="931" w:type="dxa"/>
            <w:tcBorders>
              <w:top w:val="single" w:sz="4" w:space="0" w:color="auto"/>
              <w:left w:val="single" w:sz="4" w:space="0" w:color="auto"/>
              <w:bottom w:val="single" w:sz="4" w:space="0" w:color="auto"/>
              <w:right w:val="single" w:sz="4" w:space="0" w:color="auto"/>
            </w:tcBorders>
            <w:hideMark/>
          </w:tcPr>
          <w:p w14:paraId="6B70E8F9" w14:textId="77777777" w:rsidR="00881D47" w:rsidRDefault="00881D47" w:rsidP="00192530">
            <w:pPr>
              <w:jc w:val="right"/>
              <w:rPr>
                <w:i/>
                <w:iCs/>
              </w:rPr>
            </w:pPr>
            <w:r>
              <w:rPr>
                <w:i/>
                <w:iCs/>
              </w:rPr>
              <w:t>55.7</w:t>
            </w:r>
          </w:p>
        </w:tc>
        <w:tc>
          <w:tcPr>
            <w:tcW w:w="1286" w:type="dxa"/>
            <w:tcBorders>
              <w:top w:val="single" w:sz="4" w:space="0" w:color="auto"/>
              <w:left w:val="single" w:sz="4" w:space="0" w:color="auto"/>
              <w:bottom w:val="single" w:sz="4" w:space="0" w:color="auto"/>
              <w:right w:val="single" w:sz="4" w:space="0" w:color="auto"/>
            </w:tcBorders>
            <w:hideMark/>
          </w:tcPr>
          <w:p w14:paraId="65A68BFF" w14:textId="77777777" w:rsidR="00881D47" w:rsidRDefault="00881D47" w:rsidP="00192530">
            <w:pPr>
              <w:jc w:val="right"/>
              <w:rPr>
                <w:i/>
                <w:iCs/>
              </w:rPr>
            </w:pPr>
            <w:r>
              <w:rPr>
                <w:i/>
                <w:iCs/>
              </w:rPr>
              <w:t>..</w:t>
            </w:r>
          </w:p>
        </w:tc>
      </w:tr>
      <w:tr w:rsidR="00881D47" w14:paraId="6EBE0672" w14:textId="77777777" w:rsidTr="00192530">
        <w:tc>
          <w:tcPr>
            <w:tcW w:w="2977" w:type="dxa"/>
            <w:tcBorders>
              <w:top w:val="single" w:sz="4" w:space="0" w:color="auto"/>
              <w:left w:val="single" w:sz="4" w:space="0" w:color="auto"/>
              <w:bottom w:val="single" w:sz="4" w:space="0" w:color="auto"/>
              <w:right w:val="single" w:sz="4" w:space="0" w:color="auto"/>
            </w:tcBorders>
            <w:hideMark/>
          </w:tcPr>
          <w:p w14:paraId="0AF806CA" w14:textId="77777777" w:rsidR="00881D47" w:rsidRDefault="00881D47" w:rsidP="00192530">
            <w:r>
              <w:t>5-year phasing</w:t>
            </w:r>
          </w:p>
        </w:tc>
        <w:tc>
          <w:tcPr>
            <w:tcW w:w="851" w:type="dxa"/>
            <w:tcBorders>
              <w:top w:val="single" w:sz="4" w:space="0" w:color="auto"/>
              <w:left w:val="single" w:sz="4" w:space="0" w:color="auto"/>
              <w:bottom w:val="single" w:sz="4" w:space="0" w:color="auto"/>
              <w:right w:val="single" w:sz="4" w:space="0" w:color="auto"/>
            </w:tcBorders>
            <w:hideMark/>
          </w:tcPr>
          <w:p w14:paraId="6829206A" w14:textId="77777777" w:rsidR="00881D47" w:rsidRDefault="00881D47" w:rsidP="00192530">
            <w:pPr>
              <w:jc w:val="right"/>
            </w:pPr>
            <w:r>
              <w:t>44</w:t>
            </w:r>
          </w:p>
        </w:tc>
        <w:tc>
          <w:tcPr>
            <w:tcW w:w="850" w:type="dxa"/>
            <w:tcBorders>
              <w:top w:val="single" w:sz="4" w:space="0" w:color="auto"/>
              <w:left w:val="single" w:sz="4" w:space="0" w:color="auto"/>
              <w:bottom w:val="single" w:sz="4" w:space="0" w:color="auto"/>
              <w:right w:val="single" w:sz="4" w:space="0" w:color="auto"/>
            </w:tcBorders>
            <w:hideMark/>
          </w:tcPr>
          <w:p w14:paraId="0CCD62B8" w14:textId="77777777" w:rsidR="00881D47" w:rsidRDefault="00881D47" w:rsidP="00192530">
            <w:pPr>
              <w:jc w:val="right"/>
            </w:pPr>
            <w:r>
              <w:t>0.7</w:t>
            </w:r>
          </w:p>
        </w:tc>
        <w:tc>
          <w:tcPr>
            <w:tcW w:w="1276" w:type="dxa"/>
            <w:tcBorders>
              <w:top w:val="single" w:sz="4" w:space="0" w:color="auto"/>
              <w:left w:val="single" w:sz="4" w:space="0" w:color="auto"/>
              <w:bottom w:val="single" w:sz="4" w:space="0" w:color="auto"/>
              <w:right w:val="single" w:sz="4" w:space="0" w:color="auto"/>
            </w:tcBorders>
            <w:hideMark/>
          </w:tcPr>
          <w:p w14:paraId="3E50E903" w14:textId="77777777" w:rsidR="00881D47" w:rsidRDefault="00881D47" w:rsidP="00192530">
            <w:pPr>
              <w:jc w:val="right"/>
            </w:pPr>
            <w:r>
              <w:t>98.5</w:t>
            </w:r>
          </w:p>
        </w:tc>
        <w:tc>
          <w:tcPr>
            <w:tcW w:w="992" w:type="dxa"/>
            <w:tcBorders>
              <w:top w:val="single" w:sz="4" w:space="0" w:color="auto"/>
              <w:left w:val="single" w:sz="4" w:space="0" w:color="auto"/>
              <w:bottom w:val="single" w:sz="4" w:space="0" w:color="auto"/>
              <w:right w:val="single" w:sz="4" w:space="0" w:color="auto"/>
            </w:tcBorders>
            <w:hideMark/>
          </w:tcPr>
          <w:p w14:paraId="4107EC76" w14:textId="77777777" w:rsidR="00881D47" w:rsidRDefault="00881D47" w:rsidP="00192530">
            <w:pPr>
              <w:jc w:val="right"/>
            </w:pPr>
            <w:r>
              <w:t>137</w:t>
            </w:r>
          </w:p>
        </w:tc>
        <w:tc>
          <w:tcPr>
            <w:tcW w:w="931" w:type="dxa"/>
            <w:tcBorders>
              <w:top w:val="single" w:sz="4" w:space="0" w:color="auto"/>
              <w:left w:val="single" w:sz="4" w:space="0" w:color="auto"/>
              <w:bottom w:val="single" w:sz="4" w:space="0" w:color="auto"/>
              <w:right w:val="single" w:sz="4" w:space="0" w:color="auto"/>
            </w:tcBorders>
            <w:hideMark/>
          </w:tcPr>
          <w:p w14:paraId="68073292" w14:textId="77777777" w:rsidR="00881D47" w:rsidRDefault="00881D47" w:rsidP="00192530">
            <w:pPr>
              <w:jc w:val="right"/>
            </w:pPr>
            <w:r>
              <w:t>1.9</w:t>
            </w:r>
          </w:p>
        </w:tc>
        <w:tc>
          <w:tcPr>
            <w:tcW w:w="1286" w:type="dxa"/>
            <w:tcBorders>
              <w:top w:val="single" w:sz="4" w:space="0" w:color="auto"/>
              <w:left w:val="single" w:sz="4" w:space="0" w:color="auto"/>
              <w:bottom w:val="single" w:sz="4" w:space="0" w:color="auto"/>
              <w:right w:val="single" w:sz="4" w:space="0" w:color="auto"/>
            </w:tcBorders>
            <w:hideMark/>
          </w:tcPr>
          <w:p w14:paraId="772C04B8" w14:textId="77777777" w:rsidR="00881D47" w:rsidRDefault="00881D47" w:rsidP="00192530">
            <w:pPr>
              <w:jc w:val="right"/>
            </w:pPr>
            <w:r>
              <w:t>99.7</w:t>
            </w:r>
          </w:p>
        </w:tc>
      </w:tr>
      <w:tr w:rsidR="00881D47" w14:paraId="53E891AA" w14:textId="77777777" w:rsidTr="00192530">
        <w:tc>
          <w:tcPr>
            <w:tcW w:w="2977" w:type="dxa"/>
            <w:tcBorders>
              <w:top w:val="single" w:sz="4" w:space="0" w:color="auto"/>
              <w:left w:val="single" w:sz="4" w:space="0" w:color="auto"/>
              <w:bottom w:val="single" w:sz="4" w:space="0" w:color="auto"/>
              <w:right w:val="single" w:sz="4" w:space="0" w:color="auto"/>
            </w:tcBorders>
            <w:hideMark/>
          </w:tcPr>
          <w:p w14:paraId="0B0A2A25" w14:textId="77777777" w:rsidR="00881D47" w:rsidRDefault="00881D47" w:rsidP="00192530">
            <w:r>
              <w:t>Cheese, 6-year phasing (*)</w:t>
            </w:r>
          </w:p>
        </w:tc>
        <w:tc>
          <w:tcPr>
            <w:tcW w:w="851" w:type="dxa"/>
            <w:tcBorders>
              <w:top w:val="single" w:sz="4" w:space="0" w:color="auto"/>
              <w:left w:val="single" w:sz="4" w:space="0" w:color="auto"/>
              <w:bottom w:val="single" w:sz="4" w:space="0" w:color="auto"/>
              <w:right w:val="single" w:sz="4" w:space="0" w:color="auto"/>
            </w:tcBorders>
            <w:hideMark/>
          </w:tcPr>
          <w:p w14:paraId="1FFF821E" w14:textId="77777777" w:rsidR="00881D47" w:rsidRDefault="00881D47" w:rsidP="00192530">
            <w:pPr>
              <w:jc w:val="right"/>
            </w:pPr>
            <w:r>
              <w:t>5</w:t>
            </w:r>
          </w:p>
        </w:tc>
        <w:tc>
          <w:tcPr>
            <w:tcW w:w="850" w:type="dxa"/>
            <w:tcBorders>
              <w:top w:val="single" w:sz="4" w:space="0" w:color="auto"/>
              <w:left w:val="single" w:sz="4" w:space="0" w:color="auto"/>
              <w:bottom w:val="single" w:sz="4" w:space="0" w:color="auto"/>
              <w:right w:val="single" w:sz="4" w:space="0" w:color="auto"/>
            </w:tcBorders>
            <w:hideMark/>
          </w:tcPr>
          <w:p w14:paraId="282F86FA" w14:textId="77777777" w:rsidR="00881D47" w:rsidRDefault="00881D47" w:rsidP="00192530">
            <w:pPr>
              <w:jc w:val="right"/>
            </w:pPr>
            <w:r>
              <w:t>0.1</w:t>
            </w:r>
          </w:p>
        </w:tc>
        <w:tc>
          <w:tcPr>
            <w:tcW w:w="1276" w:type="dxa"/>
            <w:tcBorders>
              <w:top w:val="single" w:sz="4" w:space="0" w:color="auto"/>
              <w:left w:val="single" w:sz="4" w:space="0" w:color="auto"/>
              <w:bottom w:val="single" w:sz="4" w:space="0" w:color="auto"/>
              <w:right w:val="single" w:sz="4" w:space="0" w:color="auto"/>
            </w:tcBorders>
            <w:hideMark/>
          </w:tcPr>
          <w:p w14:paraId="4259E2A3" w14:textId="77777777" w:rsidR="00881D47" w:rsidRDefault="00881D47" w:rsidP="00192530">
            <w:pPr>
              <w:jc w:val="right"/>
            </w:pPr>
            <w:r>
              <w:t>98.6</w:t>
            </w:r>
          </w:p>
        </w:tc>
        <w:tc>
          <w:tcPr>
            <w:tcW w:w="992" w:type="dxa"/>
            <w:tcBorders>
              <w:top w:val="single" w:sz="4" w:space="0" w:color="auto"/>
              <w:left w:val="single" w:sz="4" w:space="0" w:color="auto"/>
              <w:bottom w:val="single" w:sz="4" w:space="0" w:color="auto"/>
              <w:right w:val="single" w:sz="4" w:space="0" w:color="auto"/>
            </w:tcBorders>
            <w:hideMark/>
          </w:tcPr>
          <w:p w14:paraId="0D585B70" w14:textId="77777777" w:rsidR="00881D47" w:rsidRDefault="00881D47" w:rsidP="00192530">
            <w:pPr>
              <w:jc w:val="right"/>
            </w:pPr>
            <w:r>
              <w:t>11</w:t>
            </w:r>
          </w:p>
        </w:tc>
        <w:tc>
          <w:tcPr>
            <w:tcW w:w="931" w:type="dxa"/>
            <w:tcBorders>
              <w:top w:val="single" w:sz="4" w:space="0" w:color="auto"/>
              <w:left w:val="single" w:sz="4" w:space="0" w:color="auto"/>
              <w:bottom w:val="single" w:sz="4" w:space="0" w:color="auto"/>
              <w:right w:val="single" w:sz="4" w:space="0" w:color="auto"/>
            </w:tcBorders>
            <w:hideMark/>
          </w:tcPr>
          <w:p w14:paraId="11B89176" w14:textId="77777777" w:rsidR="00881D47" w:rsidRDefault="00881D47" w:rsidP="00192530">
            <w:pPr>
              <w:jc w:val="right"/>
            </w:pPr>
            <w:r>
              <w:t>0.2</w:t>
            </w:r>
          </w:p>
        </w:tc>
        <w:tc>
          <w:tcPr>
            <w:tcW w:w="1286" w:type="dxa"/>
            <w:tcBorders>
              <w:top w:val="single" w:sz="4" w:space="0" w:color="auto"/>
              <w:left w:val="single" w:sz="4" w:space="0" w:color="auto"/>
              <w:bottom w:val="single" w:sz="4" w:space="0" w:color="auto"/>
              <w:right w:val="single" w:sz="4" w:space="0" w:color="auto"/>
            </w:tcBorders>
            <w:hideMark/>
          </w:tcPr>
          <w:p w14:paraId="70B11110" w14:textId="77777777" w:rsidR="00881D47" w:rsidRDefault="00881D47" w:rsidP="00192530">
            <w:pPr>
              <w:jc w:val="right"/>
            </w:pPr>
            <w:r>
              <w:t>99.9</w:t>
            </w:r>
          </w:p>
        </w:tc>
      </w:tr>
      <w:tr w:rsidR="00881D47" w14:paraId="26596E3F" w14:textId="77777777" w:rsidTr="00192530">
        <w:tc>
          <w:tcPr>
            <w:tcW w:w="2977" w:type="dxa"/>
            <w:tcBorders>
              <w:top w:val="single" w:sz="4" w:space="0" w:color="auto"/>
              <w:left w:val="single" w:sz="4" w:space="0" w:color="auto"/>
              <w:bottom w:val="single" w:sz="4" w:space="0" w:color="auto"/>
              <w:right w:val="single" w:sz="4" w:space="0" w:color="auto"/>
            </w:tcBorders>
            <w:hideMark/>
          </w:tcPr>
          <w:p w14:paraId="1C291488" w14:textId="77777777" w:rsidR="00881D47" w:rsidRDefault="00881D47" w:rsidP="00192530">
            <w:r>
              <w:t>Steel, 5-year phasing (**)</w:t>
            </w:r>
          </w:p>
        </w:tc>
        <w:tc>
          <w:tcPr>
            <w:tcW w:w="851" w:type="dxa"/>
            <w:tcBorders>
              <w:top w:val="single" w:sz="4" w:space="0" w:color="auto"/>
              <w:left w:val="single" w:sz="4" w:space="0" w:color="auto"/>
              <w:bottom w:val="single" w:sz="4" w:space="0" w:color="auto"/>
              <w:right w:val="single" w:sz="4" w:space="0" w:color="auto"/>
            </w:tcBorders>
            <w:hideMark/>
          </w:tcPr>
          <w:p w14:paraId="6F055CDA" w14:textId="77777777" w:rsidR="00881D47" w:rsidRDefault="00881D47" w:rsidP="00192530">
            <w:pPr>
              <w:jc w:val="right"/>
            </w:pPr>
            <w:r>
              <w:t>89</w:t>
            </w:r>
          </w:p>
        </w:tc>
        <w:tc>
          <w:tcPr>
            <w:tcW w:w="850" w:type="dxa"/>
            <w:tcBorders>
              <w:top w:val="single" w:sz="4" w:space="0" w:color="auto"/>
              <w:left w:val="single" w:sz="4" w:space="0" w:color="auto"/>
              <w:bottom w:val="single" w:sz="4" w:space="0" w:color="auto"/>
              <w:right w:val="single" w:sz="4" w:space="0" w:color="auto"/>
            </w:tcBorders>
            <w:hideMark/>
          </w:tcPr>
          <w:p w14:paraId="3BC800EB" w14:textId="77777777" w:rsidR="00881D47" w:rsidRDefault="00881D47" w:rsidP="00192530">
            <w:pPr>
              <w:jc w:val="right"/>
            </w:pPr>
            <w:r>
              <w:t>1.4</w:t>
            </w:r>
          </w:p>
        </w:tc>
        <w:tc>
          <w:tcPr>
            <w:tcW w:w="1276" w:type="dxa"/>
            <w:tcBorders>
              <w:top w:val="single" w:sz="4" w:space="0" w:color="auto"/>
              <w:left w:val="single" w:sz="4" w:space="0" w:color="auto"/>
              <w:bottom w:val="single" w:sz="4" w:space="0" w:color="auto"/>
              <w:right w:val="single" w:sz="4" w:space="0" w:color="auto"/>
            </w:tcBorders>
            <w:hideMark/>
          </w:tcPr>
          <w:p w14:paraId="02D81C9A" w14:textId="77777777" w:rsidR="00881D47" w:rsidRDefault="00881D47" w:rsidP="00192530">
            <w:pPr>
              <w:jc w:val="right"/>
            </w:pPr>
            <w:r>
              <w:t>100.0</w:t>
            </w:r>
          </w:p>
        </w:tc>
        <w:tc>
          <w:tcPr>
            <w:tcW w:w="992" w:type="dxa"/>
            <w:tcBorders>
              <w:top w:val="single" w:sz="4" w:space="0" w:color="auto"/>
              <w:left w:val="single" w:sz="4" w:space="0" w:color="auto"/>
              <w:bottom w:val="single" w:sz="4" w:space="0" w:color="auto"/>
              <w:right w:val="single" w:sz="4" w:space="0" w:color="auto"/>
            </w:tcBorders>
            <w:hideMark/>
          </w:tcPr>
          <w:p w14:paraId="37CE02A2" w14:textId="77777777" w:rsidR="00881D47" w:rsidRDefault="00881D47" w:rsidP="00192530">
            <w:pPr>
              <w:jc w:val="right"/>
            </w:pPr>
            <w:r>
              <w:t>9</w:t>
            </w:r>
          </w:p>
        </w:tc>
        <w:tc>
          <w:tcPr>
            <w:tcW w:w="931" w:type="dxa"/>
            <w:tcBorders>
              <w:top w:val="single" w:sz="4" w:space="0" w:color="auto"/>
              <w:left w:val="single" w:sz="4" w:space="0" w:color="auto"/>
              <w:bottom w:val="single" w:sz="4" w:space="0" w:color="auto"/>
              <w:right w:val="single" w:sz="4" w:space="0" w:color="auto"/>
            </w:tcBorders>
            <w:hideMark/>
          </w:tcPr>
          <w:p w14:paraId="7547CDA7" w14:textId="77777777" w:rsidR="00881D47" w:rsidRDefault="00881D47" w:rsidP="00192530">
            <w:pPr>
              <w:jc w:val="right"/>
            </w:pPr>
            <w:r>
              <w:t>0.1</w:t>
            </w:r>
          </w:p>
        </w:tc>
        <w:tc>
          <w:tcPr>
            <w:tcW w:w="1286" w:type="dxa"/>
            <w:tcBorders>
              <w:top w:val="single" w:sz="4" w:space="0" w:color="auto"/>
              <w:left w:val="single" w:sz="4" w:space="0" w:color="auto"/>
              <w:bottom w:val="single" w:sz="4" w:space="0" w:color="auto"/>
              <w:right w:val="single" w:sz="4" w:space="0" w:color="auto"/>
            </w:tcBorders>
            <w:hideMark/>
          </w:tcPr>
          <w:p w14:paraId="5EA9777A" w14:textId="77777777" w:rsidR="00881D47" w:rsidRDefault="00881D47" w:rsidP="00192530">
            <w:pPr>
              <w:jc w:val="right"/>
            </w:pPr>
            <w:r>
              <w:t>100.0</w:t>
            </w:r>
          </w:p>
        </w:tc>
      </w:tr>
      <w:tr w:rsidR="00881D47" w14:paraId="7FD69D1C" w14:textId="77777777" w:rsidTr="00192530">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72214" w14:textId="77777777" w:rsidR="00881D47" w:rsidRDefault="00881D47" w:rsidP="00192530">
            <w:pPr>
              <w:rPr>
                <w:b/>
                <w:bCs/>
              </w:rPr>
            </w:pPr>
            <w:r>
              <w:rPr>
                <w:b/>
                <w:bCs/>
              </w:rPr>
              <w:t>Total</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34622" w14:textId="77777777" w:rsidR="00881D47" w:rsidRDefault="00881D47" w:rsidP="00192530">
            <w:pPr>
              <w:jc w:val="right"/>
              <w:rPr>
                <w:b/>
                <w:bCs/>
              </w:rPr>
            </w:pPr>
            <w:r>
              <w:rPr>
                <w:b/>
                <w:bCs/>
              </w:rPr>
              <w:t>6,480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683A3" w14:textId="77777777" w:rsidR="00881D47" w:rsidRDefault="00881D47" w:rsidP="00192530">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4AC4D" w14:textId="77777777" w:rsidR="00881D47" w:rsidRDefault="00881D47" w:rsidP="00192530">
            <w:pPr>
              <w:jc w:val="right"/>
              <w:rPr>
                <w:b/>
                <w:bCs/>
              </w:rPr>
            </w:pPr>
            <w:r>
              <w:rPr>
                <w:b/>
                <w:bCs/>
              </w:rPr>
              <w:t>100.0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72E6A2" w14:textId="77777777" w:rsidR="00881D47" w:rsidRDefault="00881D47" w:rsidP="00192530">
            <w:pPr>
              <w:jc w:val="right"/>
              <w:rPr>
                <w:b/>
                <w:bCs/>
              </w:rPr>
            </w:pPr>
            <w:r>
              <w:rPr>
                <w:b/>
                <w:bCs/>
              </w:rPr>
              <w:t>7,065</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69477" w14:textId="77777777" w:rsidR="00881D47" w:rsidRDefault="00881D47" w:rsidP="00192530">
            <w:pPr>
              <w:jc w:val="right"/>
              <w:rPr>
                <w:b/>
                <w:bCs/>
              </w:rPr>
            </w:pPr>
            <w:r>
              <w:rPr>
                <w:b/>
                <w:bCs/>
              </w:rPr>
              <w:t>100.0</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A7B3D" w14:textId="77777777" w:rsidR="00881D47" w:rsidRDefault="00881D47" w:rsidP="00192530">
            <w:pPr>
              <w:jc w:val="right"/>
              <w:rPr>
                <w:b/>
                <w:bCs/>
              </w:rPr>
            </w:pPr>
            <w:r>
              <w:rPr>
                <w:b/>
                <w:bCs/>
              </w:rPr>
              <w:t>100.0</w:t>
            </w:r>
          </w:p>
        </w:tc>
      </w:tr>
      <w:tr w:rsidR="00881D47" w14:paraId="6859F15A" w14:textId="77777777" w:rsidTr="00192530">
        <w:tc>
          <w:tcPr>
            <w:tcW w:w="9163" w:type="dxa"/>
            <w:gridSpan w:val="7"/>
            <w:tcBorders>
              <w:top w:val="single" w:sz="4" w:space="0" w:color="auto"/>
              <w:left w:val="nil"/>
              <w:bottom w:val="nil"/>
              <w:right w:val="nil"/>
            </w:tcBorders>
            <w:hideMark/>
          </w:tcPr>
          <w:p w14:paraId="67564616" w14:textId="77777777" w:rsidR="00881D47" w:rsidRDefault="00881D47" w:rsidP="00192530">
            <w:pPr>
              <w:rPr>
                <w:sz w:val="18"/>
                <w:szCs w:val="18"/>
              </w:rPr>
            </w:pPr>
            <w:r>
              <w:rPr>
                <w:sz w:val="18"/>
                <w:szCs w:val="18"/>
              </w:rPr>
              <w:t>(*) Tariff phasing reciprocal on UK phasing for products under Headings 0405 and 0406</w:t>
            </w:r>
          </w:p>
          <w:p w14:paraId="73CBB133" w14:textId="77777777" w:rsidR="00881D47" w:rsidRDefault="00881D47" w:rsidP="00192530">
            <w:r>
              <w:rPr>
                <w:sz w:val="18"/>
                <w:szCs w:val="18"/>
              </w:rPr>
              <w:t>(**) Application of preferential tariff suspended while the UK maintains safeguards on Australian steel products under Chapters 72 or 73</w:t>
            </w:r>
          </w:p>
        </w:tc>
      </w:tr>
    </w:tbl>
    <w:p w14:paraId="5D8D0567" w14:textId="77777777" w:rsidR="00881D47" w:rsidRPr="00881D47" w:rsidRDefault="00881D47" w:rsidP="00881D47">
      <w:pPr>
        <w:pStyle w:val="ListParagraph"/>
        <w:ind w:left="360"/>
        <w:rPr>
          <w:highlight w:val="yellow"/>
        </w:rPr>
      </w:pPr>
    </w:p>
    <w:p w14:paraId="2DDFE42C" w14:textId="77777777" w:rsidR="00CE5992" w:rsidRDefault="00CE5992" w:rsidP="00881D47">
      <w:pPr>
        <w:rPr>
          <w:b/>
          <w:bCs/>
          <w:sz w:val="24"/>
          <w:szCs w:val="24"/>
          <w:u w:val="single"/>
        </w:rPr>
      </w:pPr>
    </w:p>
    <w:p w14:paraId="406B3DF6" w14:textId="77777777" w:rsidR="00CE5992" w:rsidRDefault="00CE5992" w:rsidP="00881D47">
      <w:pPr>
        <w:rPr>
          <w:b/>
          <w:bCs/>
          <w:sz w:val="24"/>
          <w:szCs w:val="24"/>
          <w:u w:val="single"/>
        </w:rPr>
      </w:pPr>
    </w:p>
    <w:p w14:paraId="21A9A176" w14:textId="77777777" w:rsidR="00CE5992" w:rsidRDefault="00CE5992" w:rsidP="00881D47">
      <w:pPr>
        <w:rPr>
          <w:b/>
          <w:bCs/>
          <w:sz w:val="24"/>
          <w:szCs w:val="24"/>
          <w:u w:val="single"/>
        </w:rPr>
      </w:pPr>
    </w:p>
    <w:p w14:paraId="061515FD" w14:textId="59372187" w:rsidR="00881D47" w:rsidRPr="00881D47" w:rsidRDefault="00881D47" w:rsidP="00881D47">
      <w:pPr>
        <w:rPr>
          <w:b/>
          <w:bCs/>
          <w:sz w:val="24"/>
          <w:szCs w:val="24"/>
        </w:rPr>
      </w:pPr>
      <w:r w:rsidRPr="00881D47">
        <w:rPr>
          <w:b/>
          <w:bCs/>
          <w:sz w:val="24"/>
          <w:szCs w:val="24"/>
          <w:u w:val="single"/>
        </w:rPr>
        <w:t xml:space="preserve">Table </w:t>
      </w:r>
      <w:r w:rsidR="00E00D9E">
        <w:rPr>
          <w:b/>
          <w:bCs/>
          <w:sz w:val="24"/>
          <w:szCs w:val="24"/>
          <w:u w:val="single"/>
        </w:rPr>
        <w:t>1</w:t>
      </w:r>
      <w:r w:rsidR="00D96FCD">
        <w:rPr>
          <w:b/>
          <w:bCs/>
          <w:sz w:val="24"/>
          <w:szCs w:val="24"/>
          <w:u w:val="single"/>
        </w:rPr>
        <w:t>1</w:t>
      </w:r>
      <w:r w:rsidRPr="00881D47">
        <w:rPr>
          <w:b/>
          <w:bCs/>
          <w:sz w:val="24"/>
          <w:szCs w:val="24"/>
        </w:rPr>
        <w:t>: Key goods market access outcomes for the UK</w:t>
      </w:r>
    </w:p>
    <w:tbl>
      <w:tblPr>
        <w:tblStyle w:val="TableGrid"/>
        <w:tblW w:w="0" w:type="auto"/>
        <w:tblInd w:w="0" w:type="dxa"/>
        <w:tblLook w:val="04A0" w:firstRow="1" w:lastRow="0" w:firstColumn="1" w:lastColumn="0" w:noHBand="0" w:noVBand="1"/>
      </w:tblPr>
      <w:tblGrid>
        <w:gridCol w:w="4815"/>
        <w:gridCol w:w="1701"/>
        <w:gridCol w:w="2500"/>
      </w:tblGrid>
      <w:tr w:rsidR="00881D47" w14:paraId="7A44D696" w14:textId="77777777" w:rsidTr="00192530">
        <w:tc>
          <w:tcPr>
            <w:tcW w:w="48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F94F04" w14:textId="77777777" w:rsidR="00881D47" w:rsidRDefault="00881D47" w:rsidP="00192530">
            <w:pPr>
              <w:jc w:val="center"/>
              <w:rPr>
                <w:b/>
                <w:bCs/>
              </w:rPr>
            </w:pPr>
            <w:r>
              <w:rPr>
                <w:b/>
                <w:bCs/>
              </w:rPr>
              <w:t>Product</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5950EE" w14:textId="77777777" w:rsidR="00881D47" w:rsidRDefault="00881D47" w:rsidP="00192530">
            <w:pPr>
              <w:jc w:val="center"/>
              <w:rPr>
                <w:b/>
                <w:bCs/>
              </w:rPr>
            </w:pPr>
            <w:r>
              <w:rPr>
                <w:b/>
                <w:bCs/>
              </w:rPr>
              <w:t>Australia’s MFN applied tariff (%)</w:t>
            </w:r>
          </w:p>
        </w:tc>
        <w:tc>
          <w:tcPr>
            <w:tcW w:w="2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827354" w14:textId="77777777" w:rsidR="00881D47" w:rsidRDefault="00881D47" w:rsidP="00192530">
            <w:pPr>
              <w:jc w:val="center"/>
              <w:rPr>
                <w:b/>
                <w:bCs/>
              </w:rPr>
            </w:pPr>
            <w:r>
              <w:rPr>
                <w:b/>
                <w:bCs/>
              </w:rPr>
              <w:t>Australian imports from the UK</w:t>
            </w:r>
          </w:p>
          <w:p w14:paraId="348F588D" w14:textId="77777777" w:rsidR="00881D47" w:rsidRDefault="00881D47" w:rsidP="00192530">
            <w:pPr>
              <w:jc w:val="center"/>
              <w:rPr>
                <w:b/>
                <w:bCs/>
              </w:rPr>
            </w:pPr>
            <w:r>
              <w:rPr>
                <w:b/>
                <w:bCs/>
              </w:rPr>
              <w:t xml:space="preserve">(A$ million, </w:t>
            </w:r>
            <w:proofErr w:type="spellStart"/>
            <w:r>
              <w:rPr>
                <w:b/>
                <w:bCs/>
              </w:rPr>
              <w:t>ave</w:t>
            </w:r>
            <w:proofErr w:type="spellEnd"/>
            <w:r>
              <w:rPr>
                <w:b/>
                <w:bCs/>
              </w:rPr>
              <w:t xml:space="preserve"> 2017-19)</w:t>
            </w:r>
          </w:p>
        </w:tc>
      </w:tr>
      <w:tr w:rsidR="00881D47" w14:paraId="20375253"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3DE92FA1" w14:textId="77777777" w:rsidR="00881D47" w:rsidRDefault="00881D47" w:rsidP="00192530">
            <w:r>
              <w:t>Passenger vehicles, incl. SUVs</w:t>
            </w:r>
          </w:p>
        </w:tc>
        <w:tc>
          <w:tcPr>
            <w:tcW w:w="1701" w:type="dxa"/>
            <w:tcBorders>
              <w:top w:val="single" w:sz="4" w:space="0" w:color="auto"/>
              <w:left w:val="single" w:sz="4" w:space="0" w:color="auto"/>
              <w:bottom w:val="single" w:sz="4" w:space="0" w:color="auto"/>
              <w:right w:val="single" w:sz="4" w:space="0" w:color="auto"/>
            </w:tcBorders>
            <w:hideMark/>
          </w:tcPr>
          <w:p w14:paraId="35D50623"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48592D9A" w14:textId="77777777" w:rsidR="00881D47" w:rsidRDefault="00881D47" w:rsidP="00192530">
            <w:pPr>
              <w:jc w:val="right"/>
            </w:pPr>
            <w:r>
              <w:t>1,193.1</w:t>
            </w:r>
          </w:p>
        </w:tc>
      </w:tr>
      <w:tr w:rsidR="00881D47" w14:paraId="3D51869F"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055E0AC7" w14:textId="77777777" w:rsidR="00881D47" w:rsidRDefault="00881D47" w:rsidP="00192530">
            <w:r>
              <w:t>Whiskies</w:t>
            </w:r>
          </w:p>
        </w:tc>
        <w:tc>
          <w:tcPr>
            <w:tcW w:w="1701" w:type="dxa"/>
            <w:tcBorders>
              <w:top w:val="single" w:sz="4" w:space="0" w:color="auto"/>
              <w:left w:val="single" w:sz="4" w:space="0" w:color="auto"/>
              <w:bottom w:val="single" w:sz="4" w:space="0" w:color="auto"/>
              <w:right w:val="single" w:sz="4" w:space="0" w:color="auto"/>
            </w:tcBorders>
            <w:hideMark/>
          </w:tcPr>
          <w:p w14:paraId="03D038DB"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6621E4C0" w14:textId="77777777" w:rsidR="00881D47" w:rsidRDefault="00881D47" w:rsidP="00192530">
            <w:pPr>
              <w:jc w:val="right"/>
            </w:pPr>
            <w:r>
              <w:t>296.8</w:t>
            </w:r>
          </w:p>
        </w:tc>
      </w:tr>
      <w:tr w:rsidR="00881D47" w14:paraId="6F4DFD91"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7BA658AD" w14:textId="77777777" w:rsidR="00881D47" w:rsidRDefault="00881D47" w:rsidP="00192530">
            <w:r>
              <w:t>Bread, pastry, cakes, biscuits, and other bakers' wares</w:t>
            </w:r>
          </w:p>
        </w:tc>
        <w:tc>
          <w:tcPr>
            <w:tcW w:w="1701" w:type="dxa"/>
            <w:tcBorders>
              <w:top w:val="single" w:sz="4" w:space="0" w:color="auto"/>
              <w:left w:val="single" w:sz="4" w:space="0" w:color="auto"/>
              <w:bottom w:val="single" w:sz="4" w:space="0" w:color="auto"/>
              <w:right w:val="single" w:sz="4" w:space="0" w:color="auto"/>
            </w:tcBorders>
            <w:hideMark/>
          </w:tcPr>
          <w:p w14:paraId="37A4D9A9"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4A3F0920" w14:textId="77777777" w:rsidR="00881D47" w:rsidRDefault="00881D47" w:rsidP="00192530">
            <w:pPr>
              <w:jc w:val="right"/>
            </w:pPr>
            <w:r>
              <w:t>94.0</w:t>
            </w:r>
          </w:p>
        </w:tc>
      </w:tr>
      <w:tr w:rsidR="00881D47" w14:paraId="13238BD6"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1E05A7ED" w14:textId="77777777" w:rsidR="00881D47" w:rsidRDefault="00881D47" w:rsidP="00192530">
            <w:r>
              <w:t>Dumpers designed for off-highway use</w:t>
            </w:r>
          </w:p>
        </w:tc>
        <w:tc>
          <w:tcPr>
            <w:tcW w:w="1701" w:type="dxa"/>
            <w:tcBorders>
              <w:top w:val="single" w:sz="4" w:space="0" w:color="auto"/>
              <w:left w:val="single" w:sz="4" w:space="0" w:color="auto"/>
              <w:bottom w:val="single" w:sz="4" w:space="0" w:color="auto"/>
              <w:right w:val="single" w:sz="4" w:space="0" w:color="auto"/>
            </w:tcBorders>
            <w:hideMark/>
          </w:tcPr>
          <w:p w14:paraId="5A07F980"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7EFB8B7F" w14:textId="77777777" w:rsidR="00881D47" w:rsidRDefault="00881D47" w:rsidP="00192530">
            <w:pPr>
              <w:jc w:val="right"/>
            </w:pPr>
            <w:r>
              <w:t>71.7</w:t>
            </w:r>
          </w:p>
        </w:tc>
      </w:tr>
      <w:tr w:rsidR="00881D47" w14:paraId="5B289811"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55B85E97" w14:textId="77777777" w:rsidR="00881D47" w:rsidRPr="004F0540" w:rsidRDefault="00881D47" w:rsidP="00192530">
            <w:r w:rsidRPr="004F0540">
              <w:rPr>
                <w:rFonts w:ascii="CIDFont+F1" w:hAnsi="CIDFont+F1" w:cs="CIDFont+F1"/>
              </w:rPr>
              <w:t>Other forklift self-propelled trucks</w:t>
            </w:r>
          </w:p>
        </w:tc>
        <w:tc>
          <w:tcPr>
            <w:tcW w:w="1701" w:type="dxa"/>
            <w:tcBorders>
              <w:top w:val="single" w:sz="4" w:space="0" w:color="auto"/>
              <w:left w:val="single" w:sz="4" w:space="0" w:color="auto"/>
              <w:bottom w:val="single" w:sz="4" w:space="0" w:color="auto"/>
              <w:right w:val="single" w:sz="4" w:space="0" w:color="auto"/>
            </w:tcBorders>
            <w:hideMark/>
          </w:tcPr>
          <w:p w14:paraId="1D11BC7F"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4C790E5B" w14:textId="77777777" w:rsidR="00881D47" w:rsidRDefault="00881D47" w:rsidP="00192530">
            <w:pPr>
              <w:jc w:val="right"/>
            </w:pPr>
            <w:r>
              <w:t>68.8</w:t>
            </w:r>
          </w:p>
        </w:tc>
      </w:tr>
      <w:tr w:rsidR="00881D47" w14:paraId="08A8D2F0"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3F5EAA4E" w14:textId="77777777" w:rsidR="00881D47" w:rsidRDefault="00881D47" w:rsidP="00192530">
            <w:r>
              <w:t>Other machines and mechanical appliances</w:t>
            </w:r>
          </w:p>
        </w:tc>
        <w:tc>
          <w:tcPr>
            <w:tcW w:w="1701" w:type="dxa"/>
            <w:tcBorders>
              <w:top w:val="single" w:sz="4" w:space="0" w:color="auto"/>
              <w:left w:val="single" w:sz="4" w:space="0" w:color="auto"/>
              <w:bottom w:val="single" w:sz="4" w:space="0" w:color="auto"/>
              <w:right w:val="single" w:sz="4" w:space="0" w:color="auto"/>
            </w:tcBorders>
            <w:hideMark/>
          </w:tcPr>
          <w:p w14:paraId="2DB83BEB"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0FDF6816" w14:textId="77777777" w:rsidR="00881D47" w:rsidRDefault="00881D47" w:rsidP="00192530">
            <w:pPr>
              <w:jc w:val="right"/>
            </w:pPr>
            <w:r>
              <w:t>65.7</w:t>
            </w:r>
          </w:p>
        </w:tc>
      </w:tr>
      <w:tr w:rsidR="00881D47" w14:paraId="7B81271F"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4FB0E47A" w14:textId="77777777" w:rsidR="00881D47" w:rsidRDefault="00881D47" w:rsidP="00192530">
            <w:r>
              <w:t>Self-propelled bulldozers</w:t>
            </w:r>
          </w:p>
        </w:tc>
        <w:tc>
          <w:tcPr>
            <w:tcW w:w="1701" w:type="dxa"/>
            <w:tcBorders>
              <w:top w:val="single" w:sz="4" w:space="0" w:color="auto"/>
              <w:left w:val="single" w:sz="4" w:space="0" w:color="auto"/>
              <w:bottom w:val="single" w:sz="4" w:space="0" w:color="auto"/>
              <w:right w:val="single" w:sz="4" w:space="0" w:color="auto"/>
            </w:tcBorders>
            <w:hideMark/>
          </w:tcPr>
          <w:p w14:paraId="503A0B5D"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5DD2CFF7" w14:textId="77777777" w:rsidR="00881D47" w:rsidRDefault="00881D47" w:rsidP="00192530">
            <w:pPr>
              <w:jc w:val="right"/>
            </w:pPr>
            <w:r>
              <w:t>62.5</w:t>
            </w:r>
          </w:p>
        </w:tc>
      </w:tr>
      <w:tr w:rsidR="00881D47" w14:paraId="27013801" w14:textId="77777777" w:rsidTr="00192530">
        <w:tc>
          <w:tcPr>
            <w:tcW w:w="4815" w:type="dxa"/>
            <w:tcBorders>
              <w:top w:val="single" w:sz="4" w:space="0" w:color="auto"/>
              <w:left w:val="single" w:sz="4" w:space="0" w:color="auto"/>
              <w:bottom w:val="single" w:sz="4" w:space="0" w:color="auto"/>
              <w:right w:val="single" w:sz="4" w:space="0" w:color="auto"/>
            </w:tcBorders>
            <w:hideMark/>
          </w:tcPr>
          <w:p w14:paraId="24C6BBC9" w14:textId="77777777" w:rsidR="00881D47" w:rsidRDefault="00881D47" w:rsidP="00192530">
            <w:r>
              <w:t>Crushing or grinding machines</w:t>
            </w:r>
          </w:p>
        </w:tc>
        <w:tc>
          <w:tcPr>
            <w:tcW w:w="1701" w:type="dxa"/>
            <w:tcBorders>
              <w:top w:val="single" w:sz="4" w:space="0" w:color="auto"/>
              <w:left w:val="single" w:sz="4" w:space="0" w:color="auto"/>
              <w:bottom w:val="single" w:sz="4" w:space="0" w:color="auto"/>
              <w:right w:val="single" w:sz="4" w:space="0" w:color="auto"/>
            </w:tcBorders>
            <w:hideMark/>
          </w:tcPr>
          <w:p w14:paraId="771EDAAB" w14:textId="77777777" w:rsidR="00881D47" w:rsidRDefault="00881D47" w:rsidP="00192530">
            <w:pPr>
              <w:jc w:val="center"/>
            </w:pPr>
            <w:r>
              <w:t>5.0%</w:t>
            </w:r>
          </w:p>
        </w:tc>
        <w:tc>
          <w:tcPr>
            <w:tcW w:w="2500" w:type="dxa"/>
            <w:tcBorders>
              <w:top w:val="single" w:sz="4" w:space="0" w:color="auto"/>
              <w:left w:val="single" w:sz="4" w:space="0" w:color="auto"/>
              <w:bottom w:val="single" w:sz="4" w:space="0" w:color="auto"/>
              <w:right w:val="single" w:sz="4" w:space="0" w:color="auto"/>
            </w:tcBorders>
            <w:hideMark/>
          </w:tcPr>
          <w:p w14:paraId="75B7CB5A" w14:textId="77777777" w:rsidR="00881D47" w:rsidRDefault="00881D47" w:rsidP="00192530">
            <w:pPr>
              <w:jc w:val="right"/>
            </w:pPr>
            <w:r>
              <w:t>50.9</w:t>
            </w:r>
          </w:p>
        </w:tc>
      </w:tr>
    </w:tbl>
    <w:p w14:paraId="385B52AF" w14:textId="7F81CF9B" w:rsidR="0026275F" w:rsidRDefault="0026275F" w:rsidP="0026275F">
      <w:pPr>
        <w:pStyle w:val="Heading2"/>
      </w:pPr>
    </w:p>
    <w:p w14:paraId="504C8104" w14:textId="406E9EA4" w:rsidR="00CE5992" w:rsidRDefault="00CE5992" w:rsidP="00CE5992">
      <w:pPr>
        <w:pStyle w:val="ListParagraph"/>
        <w:numPr>
          <w:ilvl w:val="0"/>
          <w:numId w:val="1"/>
        </w:numPr>
        <w:ind w:left="567" w:hanging="567"/>
        <w:rPr>
          <w:sz w:val="24"/>
          <w:szCs w:val="24"/>
        </w:rPr>
      </w:pPr>
      <w:r w:rsidRPr="00CF39F3">
        <w:rPr>
          <w:b/>
          <w:bCs/>
          <w:sz w:val="24"/>
          <w:szCs w:val="24"/>
          <w:u w:val="single"/>
        </w:rPr>
        <w:t>Table 1</w:t>
      </w:r>
      <w:r w:rsidR="00D96FCD">
        <w:rPr>
          <w:b/>
          <w:bCs/>
          <w:sz w:val="24"/>
          <w:szCs w:val="24"/>
          <w:u w:val="single"/>
        </w:rPr>
        <w:t>1</w:t>
      </w:r>
      <w:r>
        <w:rPr>
          <w:sz w:val="24"/>
          <w:szCs w:val="24"/>
        </w:rPr>
        <w:t xml:space="preserve"> indicates the third highest Australian import from the UK by value is in bread, pastry, </w:t>
      </w:r>
      <w:proofErr w:type="gramStart"/>
      <w:r>
        <w:rPr>
          <w:sz w:val="24"/>
          <w:szCs w:val="24"/>
        </w:rPr>
        <w:t>cakes</w:t>
      </w:r>
      <w:proofErr w:type="gramEnd"/>
      <w:r>
        <w:rPr>
          <w:sz w:val="24"/>
          <w:szCs w:val="24"/>
        </w:rPr>
        <w:t xml:space="preserve"> and biscuits. This is an increasingly international market</w:t>
      </w:r>
      <w:r w:rsidR="002C535D">
        <w:rPr>
          <w:sz w:val="24"/>
          <w:szCs w:val="24"/>
        </w:rPr>
        <w:t xml:space="preserve"> and</w:t>
      </w:r>
      <w:r>
        <w:rPr>
          <w:sz w:val="24"/>
          <w:szCs w:val="24"/>
        </w:rPr>
        <w:t xml:space="preserve"> Australian manufacturers of baked goods</w:t>
      </w:r>
      <w:r w:rsidR="002C535D">
        <w:rPr>
          <w:sz w:val="24"/>
          <w:szCs w:val="24"/>
        </w:rPr>
        <w:t>, which are spread across the country,</w:t>
      </w:r>
      <w:r>
        <w:rPr>
          <w:sz w:val="24"/>
          <w:szCs w:val="24"/>
        </w:rPr>
        <w:t xml:space="preserve"> are already competing domestically with famous UK baked goods such as </w:t>
      </w:r>
      <w:proofErr w:type="spellStart"/>
      <w:r>
        <w:rPr>
          <w:sz w:val="24"/>
          <w:szCs w:val="24"/>
        </w:rPr>
        <w:t>McVities</w:t>
      </w:r>
      <w:proofErr w:type="spellEnd"/>
      <w:r>
        <w:rPr>
          <w:sz w:val="24"/>
          <w:szCs w:val="24"/>
        </w:rPr>
        <w:t xml:space="preserve"> and </w:t>
      </w:r>
      <w:proofErr w:type="spellStart"/>
      <w:r>
        <w:rPr>
          <w:sz w:val="24"/>
          <w:szCs w:val="24"/>
        </w:rPr>
        <w:t>Nairns</w:t>
      </w:r>
      <w:proofErr w:type="spellEnd"/>
      <w:r>
        <w:rPr>
          <w:sz w:val="24"/>
          <w:szCs w:val="24"/>
        </w:rPr>
        <w:t>. These are common on Australian supermarket shelves. It is important to note that the reduction in Australian tariffs on UK products of 5 per cent will be matched by a reduction in complex UK tariffs ranging up to 16 per cent plus 26 GBP per 100kg on Australian exports of these products to the much larger UK market.</w:t>
      </w:r>
    </w:p>
    <w:p w14:paraId="1A774260" w14:textId="77777777" w:rsidR="00CE5992" w:rsidRDefault="00CE5992" w:rsidP="00CE5992">
      <w:pPr>
        <w:pStyle w:val="ListParagraph"/>
        <w:ind w:left="567"/>
        <w:rPr>
          <w:sz w:val="24"/>
          <w:szCs w:val="24"/>
        </w:rPr>
      </w:pPr>
    </w:p>
    <w:p w14:paraId="1EB729A0" w14:textId="23F7189C" w:rsidR="00CE5992" w:rsidRDefault="00CE5992" w:rsidP="00CE5992">
      <w:pPr>
        <w:pStyle w:val="ListParagraph"/>
        <w:numPr>
          <w:ilvl w:val="0"/>
          <w:numId w:val="1"/>
        </w:numPr>
        <w:ind w:left="567" w:hanging="567"/>
        <w:rPr>
          <w:sz w:val="24"/>
          <w:szCs w:val="24"/>
        </w:rPr>
      </w:pPr>
      <w:r w:rsidRPr="005F7266">
        <w:rPr>
          <w:sz w:val="24"/>
          <w:szCs w:val="24"/>
        </w:rPr>
        <w:t xml:space="preserve">Australian baked goods producers have indicated they see the balance of outcomes in their favour. </w:t>
      </w:r>
      <w:proofErr w:type="spellStart"/>
      <w:r w:rsidRPr="005F7266">
        <w:rPr>
          <w:sz w:val="24"/>
          <w:szCs w:val="24"/>
        </w:rPr>
        <w:t>Arnotts</w:t>
      </w:r>
      <w:proofErr w:type="spellEnd"/>
      <w:r w:rsidRPr="005F7266">
        <w:rPr>
          <w:sz w:val="24"/>
          <w:szCs w:val="24"/>
        </w:rPr>
        <w:t xml:space="preserve"> Group is a major employer in the baked goods industry and has already indicated its support of the proposed AU-UK FTA, citing the potential growth in local manufacturing </w:t>
      </w:r>
      <w:proofErr w:type="gramStart"/>
      <w:r w:rsidRPr="005F7266">
        <w:rPr>
          <w:sz w:val="24"/>
          <w:szCs w:val="24"/>
        </w:rPr>
        <w:t>as a result of</w:t>
      </w:r>
      <w:proofErr w:type="gramEnd"/>
      <w:r w:rsidRPr="005F7266">
        <w:rPr>
          <w:sz w:val="24"/>
          <w:szCs w:val="24"/>
        </w:rPr>
        <w:t xml:space="preserve"> lowering tariffs.</w:t>
      </w:r>
      <w:r>
        <w:rPr>
          <w:rStyle w:val="FootnoteReference"/>
          <w:sz w:val="24"/>
          <w:szCs w:val="24"/>
        </w:rPr>
        <w:footnoteReference w:id="73"/>
      </w:r>
      <w:r>
        <w:rPr>
          <w:sz w:val="24"/>
          <w:szCs w:val="24"/>
        </w:rPr>
        <w:t xml:space="preserve"> Other key Australian producers are increasingly integrated into global supply chains. </w:t>
      </w:r>
    </w:p>
    <w:p w14:paraId="64249C5F" w14:textId="77777777" w:rsidR="00CE5992" w:rsidRPr="00CE5992" w:rsidRDefault="00CE5992" w:rsidP="00CE5992">
      <w:pPr>
        <w:pStyle w:val="ListParagraph"/>
        <w:rPr>
          <w:sz w:val="24"/>
          <w:szCs w:val="24"/>
        </w:rPr>
      </w:pPr>
    </w:p>
    <w:p w14:paraId="5977CDF2" w14:textId="0B0EEABF" w:rsidR="00CE5992" w:rsidRPr="00CE5992" w:rsidRDefault="00CE5992" w:rsidP="00CE5992">
      <w:pPr>
        <w:pStyle w:val="ListParagraph"/>
        <w:numPr>
          <w:ilvl w:val="0"/>
          <w:numId w:val="1"/>
        </w:numPr>
        <w:ind w:left="567" w:hanging="567"/>
        <w:rPr>
          <w:sz w:val="24"/>
          <w:szCs w:val="24"/>
        </w:rPr>
      </w:pPr>
      <w:r w:rsidRPr="00A80F09">
        <w:rPr>
          <w:sz w:val="24"/>
          <w:szCs w:val="24"/>
        </w:rPr>
        <w:t xml:space="preserve">An extensive stakeholder consultation process was undertaken for the </w:t>
      </w:r>
      <w:r>
        <w:rPr>
          <w:sz w:val="24"/>
          <w:szCs w:val="24"/>
        </w:rPr>
        <w:t xml:space="preserve">proposed AU-UK FTA </w:t>
      </w:r>
      <w:r w:rsidRPr="00A80F09">
        <w:rPr>
          <w:sz w:val="24"/>
          <w:szCs w:val="24"/>
        </w:rPr>
        <w:t xml:space="preserve">negotiations, as detailed in </w:t>
      </w:r>
      <w:r>
        <w:rPr>
          <w:sz w:val="24"/>
          <w:szCs w:val="24"/>
        </w:rPr>
        <w:t>the ‘Who did you consult and how did you incorporate their feedback’ section of this RIS</w:t>
      </w:r>
      <w:r w:rsidRPr="00A80F09">
        <w:rPr>
          <w:sz w:val="24"/>
          <w:szCs w:val="24"/>
        </w:rPr>
        <w:t>, with feedback incorporated into negotiating positions. Industry groups and businesses did not raise specific concerns over increased competition consequent on the removal of Australian tariffs on UK imports, although some sectors, such as the steel industry, considered that it was important that tariffs and other protection be eliminated on a reciprocal basis.</w:t>
      </w:r>
    </w:p>
    <w:p w14:paraId="2EF06550" w14:textId="77777777" w:rsidR="00CE5992" w:rsidRDefault="00CE5992" w:rsidP="00CE5992">
      <w:pPr>
        <w:pStyle w:val="ListParagraph"/>
        <w:ind w:left="567"/>
        <w:rPr>
          <w:sz w:val="24"/>
          <w:szCs w:val="24"/>
        </w:rPr>
      </w:pPr>
    </w:p>
    <w:p w14:paraId="3BA12C8B" w14:textId="0C803EA8" w:rsidR="00647998" w:rsidRPr="003C101E" w:rsidRDefault="00647998" w:rsidP="00206944">
      <w:pPr>
        <w:pStyle w:val="ListParagraph"/>
        <w:numPr>
          <w:ilvl w:val="0"/>
          <w:numId w:val="1"/>
        </w:numPr>
        <w:ind w:left="567" w:hanging="567"/>
        <w:rPr>
          <w:sz w:val="24"/>
          <w:szCs w:val="24"/>
        </w:rPr>
      </w:pPr>
      <w:r>
        <w:rPr>
          <w:sz w:val="24"/>
          <w:szCs w:val="24"/>
        </w:rPr>
        <w:t xml:space="preserve">The </w:t>
      </w:r>
      <w:r w:rsidRPr="00F6614E">
        <w:rPr>
          <w:sz w:val="24"/>
          <w:szCs w:val="24"/>
          <w:u w:val="single"/>
        </w:rPr>
        <w:t>Regulatory Burden Estimate</w:t>
      </w:r>
      <w:r>
        <w:rPr>
          <w:sz w:val="24"/>
          <w:szCs w:val="24"/>
        </w:rPr>
        <w:t xml:space="preserve"> is at </w:t>
      </w:r>
      <w:r w:rsidRPr="00647998">
        <w:rPr>
          <w:b/>
          <w:bCs/>
          <w:sz w:val="24"/>
          <w:szCs w:val="24"/>
          <w:u w:val="single"/>
        </w:rPr>
        <w:t>Attachment B</w:t>
      </w:r>
      <w:r>
        <w:rPr>
          <w:sz w:val="24"/>
          <w:szCs w:val="24"/>
        </w:rPr>
        <w:t>.</w:t>
      </w:r>
    </w:p>
    <w:bookmarkEnd w:id="26"/>
    <w:p w14:paraId="015DA7D4" w14:textId="565059E2" w:rsidR="00881D47" w:rsidRDefault="00881D47" w:rsidP="00647998"/>
    <w:p w14:paraId="63950B4A" w14:textId="67DF0E11" w:rsidR="00CE5992" w:rsidRDefault="00CE5992" w:rsidP="00647998"/>
    <w:p w14:paraId="732B8980" w14:textId="47E3EBEB" w:rsidR="00CE5992" w:rsidRDefault="00CE5992" w:rsidP="00647998"/>
    <w:p w14:paraId="0DDE6C2B" w14:textId="77777777" w:rsidR="00CE5992" w:rsidRPr="00647998" w:rsidRDefault="00CE5992" w:rsidP="00647998"/>
    <w:p w14:paraId="291A75B5" w14:textId="18287E6D" w:rsidR="00383183" w:rsidRDefault="00B0441F" w:rsidP="0026275F">
      <w:pPr>
        <w:pStyle w:val="Heading2"/>
      </w:pPr>
      <w:bookmarkStart w:id="28" w:name="_Toc88748497"/>
      <w:r>
        <w:lastRenderedPageBreak/>
        <w:t xml:space="preserve">The impact </w:t>
      </w:r>
      <w:r w:rsidR="00EA24A8">
        <w:t>of</w:t>
      </w:r>
      <w:r>
        <w:t xml:space="preserve"> </w:t>
      </w:r>
      <w:r w:rsidR="0026275F">
        <w:t xml:space="preserve">key </w:t>
      </w:r>
      <w:r w:rsidR="003E5450">
        <w:t>g</w:t>
      </w:r>
      <w:r w:rsidR="002062F7">
        <w:t xml:space="preserve">oods </w:t>
      </w:r>
      <w:r w:rsidR="003E5450">
        <w:t>c</w:t>
      </w:r>
      <w:r>
        <w:t>hapter outcomes</w:t>
      </w:r>
      <w:bookmarkEnd w:id="28"/>
      <w:r w:rsidR="0026275F">
        <w:t xml:space="preserve"> </w:t>
      </w:r>
    </w:p>
    <w:p w14:paraId="35E796BB" w14:textId="77777777" w:rsidR="00EA24A8" w:rsidRDefault="00EA24A8" w:rsidP="00465B5C">
      <w:pPr>
        <w:rPr>
          <w:b/>
          <w:bCs/>
          <w:i/>
          <w:iCs/>
          <w:sz w:val="24"/>
          <w:szCs w:val="24"/>
        </w:rPr>
      </w:pPr>
    </w:p>
    <w:p w14:paraId="2F40A145" w14:textId="5CA0F71D" w:rsidR="00465B5C" w:rsidRPr="000158BC" w:rsidRDefault="000158BC" w:rsidP="00465B5C">
      <w:pPr>
        <w:rPr>
          <w:b/>
          <w:bCs/>
          <w:i/>
          <w:iCs/>
          <w:sz w:val="24"/>
          <w:szCs w:val="24"/>
        </w:rPr>
      </w:pPr>
      <w:r>
        <w:rPr>
          <w:b/>
          <w:bCs/>
          <w:i/>
          <w:iCs/>
          <w:sz w:val="24"/>
          <w:szCs w:val="24"/>
        </w:rPr>
        <w:t>Impact</w:t>
      </w:r>
      <w:r w:rsidR="00465B5C" w:rsidRPr="000158BC">
        <w:rPr>
          <w:b/>
          <w:bCs/>
          <w:i/>
          <w:iCs/>
          <w:sz w:val="24"/>
          <w:szCs w:val="24"/>
        </w:rPr>
        <w:t xml:space="preserve"> on </w:t>
      </w:r>
      <w:r w:rsidR="00647998">
        <w:rPr>
          <w:b/>
          <w:bCs/>
          <w:i/>
          <w:iCs/>
          <w:sz w:val="24"/>
          <w:szCs w:val="24"/>
        </w:rPr>
        <w:t>r</w:t>
      </w:r>
      <w:r w:rsidR="00465B5C" w:rsidRPr="000158BC">
        <w:rPr>
          <w:b/>
          <w:bCs/>
          <w:i/>
          <w:iCs/>
          <w:sz w:val="24"/>
          <w:szCs w:val="24"/>
        </w:rPr>
        <w:t xml:space="preserve">ules of </w:t>
      </w:r>
      <w:r w:rsidR="00647998">
        <w:rPr>
          <w:b/>
          <w:bCs/>
          <w:i/>
          <w:iCs/>
          <w:sz w:val="24"/>
          <w:szCs w:val="24"/>
        </w:rPr>
        <w:t>o</w:t>
      </w:r>
      <w:r w:rsidR="00465B5C" w:rsidRPr="000158BC">
        <w:rPr>
          <w:b/>
          <w:bCs/>
          <w:i/>
          <w:iCs/>
          <w:sz w:val="24"/>
          <w:szCs w:val="24"/>
        </w:rPr>
        <w:t>rigin procedures</w:t>
      </w:r>
    </w:p>
    <w:p w14:paraId="39A61099" w14:textId="77777777" w:rsidR="000158BC" w:rsidRDefault="00465B5C" w:rsidP="00206944">
      <w:pPr>
        <w:pStyle w:val="ListParagraph"/>
        <w:numPr>
          <w:ilvl w:val="0"/>
          <w:numId w:val="1"/>
        </w:numPr>
        <w:ind w:left="567" w:hanging="567"/>
        <w:rPr>
          <w:sz w:val="24"/>
          <w:szCs w:val="24"/>
        </w:rPr>
      </w:pPr>
      <w:r w:rsidRPr="00465B5C">
        <w:rPr>
          <w:sz w:val="24"/>
          <w:szCs w:val="24"/>
        </w:rPr>
        <w:t xml:space="preserve">The Chapter on Rules of Origin </w:t>
      </w:r>
      <w:bookmarkStart w:id="29" w:name="_Hlk83381299"/>
      <w:r w:rsidRPr="00465B5C">
        <w:rPr>
          <w:sz w:val="24"/>
          <w:szCs w:val="24"/>
        </w:rPr>
        <w:t xml:space="preserve">specifies the rules under which goods imported from a Party are considered eligible for preferential tariff treatment. </w:t>
      </w:r>
      <w:r w:rsidR="000158BC">
        <w:rPr>
          <w:sz w:val="24"/>
          <w:szCs w:val="24"/>
        </w:rPr>
        <w:t>It</w:t>
      </w:r>
      <w:r w:rsidRPr="00465B5C">
        <w:rPr>
          <w:sz w:val="24"/>
          <w:szCs w:val="24"/>
        </w:rPr>
        <w:t xml:space="preserve"> include</w:t>
      </w:r>
      <w:r w:rsidR="000158BC">
        <w:rPr>
          <w:sz w:val="24"/>
          <w:szCs w:val="24"/>
        </w:rPr>
        <w:t>s</w:t>
      </w:r>
      <w:r w:rsidRPr="00465B5C">
        <w:rPr>
          <w:sz w:val="24"/>
          <w:szCs w:val="24"/>
        </w:rPr>
        <w:t xml:space="preserve"> liberal rules of origin that will facilitate market access and reflect modern production processes and existing and future global value chains.  </w:t>
      </w:r>
      <w:bookmarkEnd w:id="29"/>
    </w:p>
    <w:p w14:paraId="12F8A5FF" w14:textId="77777777" w:rsidR="000158BC" w:rsidRDefault="000158BC" w:rsidP="000158BC">
      <w:pPr>
        <w:pStyle w:val="ListParagraph"/>
        <w:ind w:left="360"/>
        <w:rPr>
          <w:sz w:val="24"/>
          <w:szCs w:val="24"/>
        </w:rPr>
      </w:pPr>
    </w:p>
    <w:p w14:paraId="5EFDB190" w14:textId="1D8245F3" w:rsidR="00092A96" w:rsidRPr="009421ED" w:rsidRDefault="00645DA2" w:rsidP="00206944">
      <w:pPr>
        <w:pStyle w:val="ListParagraph"/>
        <w:numPr>
          <w:ilvl w:val="0"/>
          <w:numId w:val="1"/>
        </w:numPr>
        <w:ind w:left="567" w:hanging="567"/>
        <w:rPr>
          <w:sz w:val="24"/>
          <w:szCs w:val="24"/>
        </w:rPr>
      </w:pPr>
      <w:r>
        <w:rPr>
          <w:sz w:val="24"/>
          <w:szCs w:val="24"/>
        </w:rPr>
        <w:t>L</w:t>
      </w:r>
      <w:r w:rsidR="00465B5C" w:rsidRPr="00465B5C">
        <w:rPr>
          <w:sz w:val="24"/>
          <w:szCs w:val="24"/>
        </w:rPr>
        <w:t xml:space="preserve">iberal </w:t>
      </w:r>
      <w:r>
        <w:rPr>
          <w:sz w:val="24"/>
          <w:szCs w:val="24"/>
        </w:rPr>
        <w:t>P</w:t>
      </w:r>
      <w:r w:rsidR="00465B5C" w:rsidRPr="00465B5C">
        <w:rPr>
          <w:sz w:val="24"/>
          <w:szCs w:val="24"/>
        </w:rPr>
        <w:t xml:space="preserve">roduct </w:t>
      </w:r>
      <w:r>
        <w:rPr>
          <w:sz w:val="24"/>
          <w:szCs w:val="24"/>
        </w:rPr>
        <w:t>S</w:t>
      </w:r>
      <w:r w:rsidR="00465B5C" w:rsidRPr="00465B5C">
        <w:rPr>
          <w:sz w:val="24"/>
          <w:szCs w:val="24"/>
        </w:rPr>
        <w:t xml:space="preserve">pecific </w:t>
      </w:r>
      <w:r>
        <w:rPr>
          <w:sz w:val="24"/>
          <w:szCs w:val="24"/>
        </w:rPr>
        <w:t>R</w:t>
      </w:r>
      <w:r w:rsidR="00465B5C" w:rsidRPr="00465B5C">
        <w:rPr>
          <w:sz w:val="24"/>
          <w:szCs w:val="24"/>
        </w:rPr>
        <w:t xml:space="preserve">ules (PSRs) are designed to support Australian and UK economic and production interests. The efficient and low-cost processes to prove originating status of goods will reduce the amount of paperwork at the border for traders and </w:t>
      </w:r>
      <w:r w:rsidR="007902E0">
        <w:rPr>
          <w:sz w:val="24"/>
          <w:szCs w:val="24"/>
        </w:rPr>
        <w:t>c</w:t>
      </w:r>
      <w:r w:rsidR="00465B5C" w:rsidRPr="00465B5C">
        <w:rPr>
          <w:sz w:val="24"/>
          <w:szCs w:val="24"/>
        </w:rPr>
        <w:t xml:space="preserve">ustoms authorities. These </w:t>
      </w:r>
      <w:r w:rsidR="00B0441F">
        <w:rPr>
          <w:sz w:val="24"/>
          <w:szCs w:val="24"/>
        </w:rPr>
        <w:t xml:space="preserve">improved </w:t>
      </w:r>
      <w:r w:rsidR="00465B5C" w:rsidRPr="00465B5C">
        <w:rPr>
          <w:sz w:val="24"/>
          <w:szCs w:val="24"/>
        </w:rPr>
        <w:t xml:space="preserve">procedures allow for </w:t>
      </w:r>
      <w:r>
        <w:rPr>
          <w:sz w:val="24"/>
          <w:szCs w:val="24"/>
        </w:rPr>
        <w:t>D</w:t>
      </w:r>
      <w:r w:rsidR="00465B5C" w:rsidRPr="00465B5C">
        <w:rPr>
          <w:sz w:val="24"/>
          <w:szCs w:val="24"/>
        </w:rPr>
        <w:t xml:space="preserve">eclarations of </w:t>
      </w:r>
      <w:r>
        <w:rPr>
          <w:sz w:val="24"/>
          <w:szCs w:val="24"/>
        </w:rPr>
        <w:t>O</w:t>
      </w:r>
      <w:r w:rsidR="00465B5C" w:rsidRPr="00465B5C">
        <w:rPr>
          <w:sz w:val="24"/>
          <w:szCs w:val="24"/>
        </w:rPr>
        <w:t>rigin (DOO) to be either self-declared by the producer or exporter or completed by an authorised issuing body. Importers w</w:t>
      </w:r>
      <w:r w:rsidR="000158BC">
        <w:rPr>
          <w:sz w:val="24"/>
          <w:szCs w:val="24"/>
        </w:rPr>
        <w:t>ill</w:t>
      </w:r>
      <w:r w:rsidR="00465B5C" w:rsidRPr="00465B5C">
        <w:rPr>
          <w:sz w:val="24"/>
          <w:szCs w:val="24"/>
        </w:rPr>
        <w:t xml:space="preserve"> also be able make a claim for preferential tariff treatment without the need for a DOO based on ‘importers knowledge’.</w:t>
      </w:r>
    </w:p>
    <w:p w14:paraId="1EB017E1" w14:textId="16505122" w:rsidR="000158BC" w:rsidRPr="000158BC" w:rsidRDefault="000158BC" w:rsidP="000158BC">
      <w:pPr>
        <w:rPr>
          <w:b/>
          <w:bCs/>
          <w:i/>
          <w:iCs/>
          <w:sz w:val="24"/>
          <w:szCs w:val="24"/>
        </w:rPr>
      </w:pPr>
      <w:r w:rsidRPr="000158BC">
        <w:rPr>
          <w:b/>
          <w:bCs/>
          <w:i/>
          <w:iCs/>
          <w:sz w:val="24"/>
          <w:szCs w:val="24"/>
        </w:rPr>
        <w:t xml:space="preserve">Impact on </w:t>
      </w:r>
      <w:r w:rsidR="00647998">
        <w:rPr>
          <w:b/>
          <w:bCs/>
          <w:i/>
          <w:iCs/>
          <w:sz w:val="24"/>
          <w:szCs w:val="24"/>
        </w:rPr>
        <w:t>c</w:t>
      </w:r>
      <w:r w:rsidRPr="000158BC">
        <w:rPr>
          <w:b/>
          <w:bCs/>
          <w:i/>
          <w:iCs/>
          <w:sz w:val="24"/>
          <w:szCs w:val="24"/>
        </w:rPr>
        <w:t xml:space="preserve">ustoms </w:t>
      </w:r>
      <w:r w:rsidR="00647998">
        <w:rPr>
          <w:b/>
          <w:bCs/>
          <w:i/>
          <w:iCs/>
          <w:sz w:val="24"/>
          <w:szCs w:val="24"/>
        </w:rPr>
        <w:t>p</w:t>
      </w:r>
      <w:r w:rsidRPr="000158BC">
        <w:rPr>
          <w:b/>
          <w:bCs/>
          <w:i/>
          <w:iCs/>
          <w:sz w:val="24"/>
          <w:szCs w:val="24"/>
        </w:rPr>
        <w:t xml:space="preserve">rocedures </w:t>
      </w:r>
    </w:p>
    <w:p w14:paraId="4DB12D19" w14:textId="22322C64" w:rsidR="000158BC" w:rsidRDefault="00465B5C" w:rsidP="00206944">
      <w:pPr>
        <w:pStyle w:val="ListParagraph"/>
        <w:numPr>
          <w:ilvl w:val="0"/>
          <w:numId w:val="1"/>
        </w:numPr>
        <w:ind w:left="567" w:hanging="567"/>
        <w:rPr>
          <w:sz w:val="24"/>
          <w:szCs w:val="24"/>
        </w:rPr>
      </w:pPr>
      <w:r w:rsidRPr="00465B5C">
        <w:rPr>
          <w:sz w:val="24"/>
          <w:szCs w:val="24"/>
        </w:rPr>
        <w:t xml:space="preserve">The Chapter on Customs Procedures and Trade Facilitation (CPTF) </w:t>
      </w:r>
      <w:bookmarkStart w:id="30" w:name="_Hlk83381496"/>
      <w:r w:rsidRPr="00465B5C">
        <w:rPr>
          <w:sz w:val="24"/>
          <w:szCs w:val="24"/>
        </w:rPr>
        <w:t>makes</w:t>
      </w:r>
      <w:r w:rsidR="000158BC">
        <w:rPr>
          <w:sz w:val="24"/>
          <w:szCs w:val="24"/>
        </w:rPr>
        <w:t xml:space="preserve"> </w:t>
      </w:r>
      <w:r w:rsidRPr="00465B5C">
        <w:rPr>
          <w:sz w:val="24"/>
          <w:szCs w:val="24"/>
        </w:rPr>
        <w:t>commitments for efficient and transparent customs procedures to facilitate increased bilateral trade.</w:t>
      </w:r>
      <w:bookmarkEnd w:id="30"/>
      <w:r w:rsidRPr="00465B5C">
        <w:rPr>
          <w:sz w:val="24"/>
          <w:szCs w:val="24"/>
        </w:rPr>
        <w:t xml:space="preserve"> The </w:t>
      </w:r>
      <w:r w:rsidR="00B0441F">
        <w:rPr>
          <w:sz w:val="24"/>
          <w:szCs w:val="24"/>
        </w:rPr>
        <w:t>C</w:t>
      </w:r>
      <w:r w:rsidRPr="00465B5C">
        <w:rPr>
          <w:sz w:val="24"/>
          <w:szCs w:val="24"/>
        </w:rPr>
        <w:t>hapter builds on the commitments both Parties have agreed to in the WT</w:t>
      </w:r>
      <w:r w:rsidR="000158BC">
        <w:rPr>
          <w:sz w:val="24"/>
          <w:szCs w:val="24"/>
        </w:rPr>
        <w:t>O</w:t>
      </w:r>
      <w:r w:rsidRPr="00465B5C">
        <w:rPr>
          <w:sz w:val="24"/>
          <w:szCs w:val="24"/>
        </w:rPr>
        <w:t xml:space="preserve"> Trade Facilitation Agreement. It </w:t>
      </w:r>
      <w:bookmarkStart w:id="31" w:name="_Hlk83381541"/>
      <w:r w:rsidRPr="00465B5C">
        <w:rPr>
          <w:sz w:val="24"/>
          <w:szCs w:val="24"/>
        </w:rPr>
        <w:t xml:space="preserve">provides greater certainty, </w:t>
      </w:r>
      <w:proofErr w:type="gramStart"/>
      <w:r w:rsidRPr="00465B5C">
        <w:rPr>
          <w:sz w:val="24"/>
          <w:szCs w:val="24"/>
        </w:rPr>
        <w:t>transparency</w:t>
      </w:r>
      <w:proofErr w:type="gramEnd"/>
      <w:r w:rsidRPr="00465B5C">
        <w:rPr>
          <w:sz w:val="24"/>
          <w:szCs w:val="24"/>
        </w:rPr>
        <w:t xml:space="preserve"> and predictability for Australian traders with commitments for goods to be released within 48 hours from customs and within </w:t>
      </w:r>
      <w:r w:rsidR="0083201A">
        <w:rPr>
          <w:sz w:val="24"/>
          <w:szCs w:val="24"/>
        </w:rPr>
        <w:t>six</w:t>
      </w:r>
      <w:r w:rsidRPr="00465B5C">
        <w:rPr>
          <w:sz w:val="24"/>
          <w:szCs w:val="24"/>
        </w:rPr>
        <w:t xml:space="preserve"> hours for both perishable goods and expedited shipments. </w:t>
      </w:r>
      <w:bookmarkEnd w:id="31"/>
    </w:p>
    <w:p w14:paraId="4B3338D7" w14:textId="77777777" w:rsidR="000158BC" w:rsidRDefault="000158BC" w:rsidP="000158BC">
      <w:pPr>
        <w:pStyle w:val="ListParagraph"/>
        <w:ind w:left="360"/>
        <w:rPr>
          <w:sz w:val="24"/>
          <w:szCs w:val="24"/>
        </w:rPr>
      </w:pPr>
    </w:p>
    <w:p w14:paraId="158E742E" w14:textId="2D8B6CA1" w:rsidR="007C3278" w:rsidRPr="0026275F" w:rsidRDefault="00465B5C" w:rsidP="00206944">
      <w:pPr>
        <w:pStyle w:val="ListParagraph"/>
        <w:numPr>
          <w:ilvl w:val="0"/>
          <w:numId w:val="1"/>
        </w:numPr>
        <w:ind w:left="567" w:hanging="567"/>
        <w:rPr>
          <w:sz w:val="24"/>
          <w:szCs w:val="24"/>
        </w:rPr>
      </w:pPr>
      <w:r w:rsidRPr="00465B5C">
        <w:rPr>
          <w:sz w:val="24"/>
          <w:szCs w:val="24"/>
        </w:rPr>
        <w:t xml:space="preserve">This </w:t>
      </w:r>
      <w:r w:rsidR="000158BC">
        <w:rPr>
          <w:sz w:val="24"/>
          <w:szCs w:val="24"/>
        </w:rPr>
        <w:t xml:space="preserve">provides </w:t>
      </w:r>
      <w:r w:rsidRPr="00465B5C">
        <w:rPr>
          <w:sz w:val="24"/>
          <w:szCs w:val="24"/>
        </w:rPr>
        <w:t xml:space="preserve">greater predictability for Australian traders on how their goods will be treated through clear timeframes for the issuance of </w:t>
      </w:r>
      <w:r w:rsidR="00F528DA">
        <w:rPr>
          <w:sz w:val="24"/>
          <w:szCs w:val="24"/>
        </w:rPr>
        <w:t>a</w:t>
      </w:r>
      <w:r w:rsidRPr="00465B5C">
        <w:rPr>
          <w:sz w:val="24"/>
          <w:szCs w:val="24"/>
        </w:rPr>
        <w:t xml:space="preserve">dvance </w:t>
      </w:r>
      <w:r w:rsidR="00F528DA">
        <w:rPr>
          <w:sz w:val="24"/>
          <w:szCs w:val="24"/>
        </w:rPr>
        <w:t>r</w:t>
      </w:r>
      <w:r w:rsidRPr="00465B5C">
        <w:rPr>
          <w:sz w:val="24"/>
          <w:szCs w:val="24"/>
        </w:rPr>
        <w:t xml:space="preserve">ulings on tariff classification and on whether their good is originating. </w:t>
      </w:r>
    </w:p>
    <w:p w14:paraId="563330A0" w14:textId="79DDB431" w:rsidR="00906B8D" w:rsidRPr="00906B8D" w:rsidRDefault="000158BC" w:rsidP="00906B8D">
      <w:pPr>
        <w:rPr>
          <w:b/>
          <w:bCs/>
          <w:sz w:val="24"/>
          <w:szCs w:val="24"/>
        </w:rPr>
      </w:pPr>
      <w:r>
        <w:rPr>
          <w:b/>
          <w:bCs/>
          <w:sz w:val="24"/>
          <w:szCs w:val="24"/>
        </w:rPr>
        <w:t>Impact</w:t>
      </w:r>
      <w:r w:rsidR="00906B8D">
        <w:rPr>
          <w:b/>
          <w:bCs/>
          <w:sz w:val="24"/>
          <w:szCs w:val="24"/>
        </w:rPr>
        <w:t xml:space="preserve"> on sanitary and phytosanitary (SPS) rules</w:t>
      </w:r>
    </w:p>
    <w:p w14:paraId="6B8A4F3F" w14:textId="54003ACF" w:rsidR="00906B8D" w:rsidRPr="00906B8D" w:rsidRDefault="00906B8D" w:rsidP="00206944">
      <w:pPr>
        <w:pStyle w:val="ListParagraph"/>
        <w:numPr>
          <w:ilvl w:val="0"/>
          <w:numId w:val="1"/>
        </w:numPr>
        <w:ind w:left="567" w:hanging="567"/>
        <w:rPr>
          <w:sz w:val="24"/>
          <w:szCs w:val="24"/>
        </w:rPr>
      </w:pPr>
      <w:r w:rsidRPr="00906B8D">
        <w:rPr>
          <w:sz w:val="24"/>
          <w:szCs w:val="24"/>
        </w:rPr>
        <w:t>The SPS Chapter</w:t>
      </w:r>
      <w:r>
        <w:rPr>
          <w:sz w:val="24"/>
          <w:szCs w:val="24"/>
        </w:rPr>
        <w:t xml:space="preserve"> </w:t>
      </w:r>
      <w:bookmarkStart w:id="32" w:name="_Hlk83381644"/>
      <w:r>
        <w:rPr>
          <w:sz w:val="24"/>
          <w:szCs w:val="24"/>
        </w:rPr>
        <w:t>is designed to help facilitate trade. It</w:t>
      </w:r>
      <w:r w:rsidRPr="00906B8D">
        <w:rPr>
          <w:sz w:val="24"/>
          <w:szCs w:val="24"/>
        </w:rPr>
        <w:t xml:space="preserve"> reaffirms the Parties’ commitments in the WTO SPS Agreement</w:t>
      </w:r>
      <w:r w:rsidR="006B6B02">
        <w:rPr>
          <w:sz w:val="24"/>
          <w:szCs w:val="24"/>
        </w:rPr>
        <w:t>,</w:t>
      </w:r>
      <w:r>
        <w:rPr>
          <w:sz w:val="24"/>
          <w:szCs w:val="24"/>
        </w:rPr>
        <w:t xml:space="preserve"> </w:t>
      </w:r>
      <w:r w:rsidR="000D7621">
        <w:rPr>
          <w:sz w:val="24"/>
          <w:szCs w:val="24"/>
        </w:rPr>
        <w:t>and includes detailed</w:t>
      </w:r>
      <w:r>
        <w:rPr>
          <w:sz w:val="24"/>
          <w:szCs w:val="24"/>
        </w:rPr>
        <w:t xml:space="preserve"> </w:t>
      </w:r>
      <w:r w:rsidRPr="00906B8D">
        <w:rPr>
          <w:sz w:val="24"/>
          <w:szCs w:val="24"/>
        </w:rPr>
        <w:t xml:space="preserve">commitments on regionalisation, </w:t>
      </w:r>
      <w:proofErr w:type="gramStart"/>
      <w:r w:rsidRPr="00906B8D">
        <w:rPr>
          <w:sz w:val="24"/>
          <w:szCs w:val="24"/>
        </w:rPr>
        <w:t>equivalence</w:t>
      </w:r>
      <w:proofErr w:type="gramEnd"/>
      <w:r w:rsidRPr="00906B8D">
        <w:rPr>
          <w:sz w:val="24"/>
          <w:szCs w:val="24"/>
        </w:rPr>
        <w:t xml:space="preserve"> and verification. </w:t>
      </w:r>
      <w:r w:rsidR="006B6B02">
        <w:rPr>
          <w:sz w:val="24"/>
          <w:szCs w:val="24"/>
        </w:rPr>
        <w:t xml:space="preserve">It </w:t>
      </w:r>
      <w:r w:rsidR="000D7621">
        <w:rPr>
          <w:sz w:val="24"/>
          <w:szCs w:val="24"/>
        </w:rPr>
        <w:t>preserves</w:t>
      </w:r>
      <w:r w:rsidR="006B6B02">
        <w:rPr>
          <w:sz w:val="24"/>
          <w:szCs w:val="24"/>
        </w:rPr>
        <w:t xml:space="preserve"> </w:t>
      </w:r>
      <w:r w:rsidRPr="00906B8D">
        <w:rPr>
          <w:sz w:val="24"/>
          <w:szCs w:val="24"/>
        </w:rPr>
        <w:t xml:space="preserve">Australia’s right to continue to implement a robust, science-based biosecurity regime. </w:t>
      </w:r>
      <w:bookmarkEnd w:id="32"/>
    </w:p>
    <w:p w14:paraId="340F0F8F" w14:textId="693F0855" w:rsidR="00906B8D" w:rsidRPr="006B6B02" w:rsidRDefault="000158BC" w:rsidP="00906B8D">
      <w:pPr>
        <w:rPr>
          <w:b/>
          <w:bCs/>
          <w:sz w:val="24"/>
          <w:szCs w:val="24"/>
        </w:rPr>
      </w:pPr>
      <w:r>
        <w:rPr>
          <w:b/>
          <w:bCs/>
          <w:sz w:val="24"/>
          <w:szCs w:val="24"/>
        </w:rPr>
        <w:t>Impact</w:t>
      </w:r>
      <w:r w:rsidR="00906B8D" w:rsidRPr="00906B8D">
        <w:rPr>
          <w:b/>
          <w:bCs/>
          <w:sz w:val="24"/>
          <w:szCs w:val="24"/>
        </w:rPr>
        <w:t xml:space="preserve"> on technical barriers to trade</w:t>
      </w:r>
      <w:r w:rsidR="00436195">
        <w:rPr>
          <w:b/>
          <w:bCs/>
          <w:sz w:val="24"/>
          <w:szCs w:val="24"/>
        </w:rPr>
        <w:t xml:space="preserve"> (TBT)</w:t>
      </w:r>
    </w:p>
    <w:p w14:paraId="034FE1B9" w14:textId="7DEE3F87" w:rsidR="00811BA9" w:rsidRPr="00811BA9" w:rsidRDefault="00906B8D" w:rsidP="00206944">
      <w:pPr>
        <w:pStyle w:val="ListParagraph"/>
        <w:numPr>
          <w:ilvl w:val="0"/>
          <w:numId w:val="1"/>
        </w:numPr>
        <w:ind w:left="567" w:hanging="567"/>
      </w:pPr>
      <w:r w:rsidRPr="00906B8D">
        <w:rPr>
          <w:sz w:val="24"/>
          <w:szCs w:val="24"/>
        </w:rPr>
        <w:t xml:space="preserve">The TBT Chapter </w:t>
      </w:r>
      <w:bookmarkStart w:id="33" w:name="_Hlk83381773"/>
      <w:r w:rsidR="006B6B02" w:rsidRPr="00906B8D">
        <w:rPr>
          <w:sz w:val="24"/>
          <w:szCs w:val="24"/>
        </w:rPr>
        <w:t>builds on the close institutional relationships between Australia and the UK</w:t>
      </w:r>
      <w:r w:rsidR="00436195">
        <w:rPr>
          <w:sz w:val="24"/>
          <w:szCs w:val="24"/>
        </w:rPr>
        <w:t xml:space="preserve"> by </w:t>
      </w:r>
      <w:r w:rsidR="006B6B02" w:rsidRPr="00906B8D">
        <w:rPr>
          <w:sz w:val="24"/>
          <w:szCs w:val="24"/>
        </w:rPr>
        <w:t>increas</w:t>
      </w:r>
      <w:r w:rsidR="00436195">
        <w:rPr>
          <w:sz w:val="24"/>
          <w:szCs w:val="24"/>
        </w:rPr>
        <w:t>ing</w:t>
      </w:r>
      <w:r w:rsidR="006B6B02" w:rsidRPr="00906B8D">
        <w:rPr>
          <w:sz w:val="24"/>
          <w:szCs w:val="24"/>
        </w:rPr>
        <w:t xml:space="preserve"> cooperation and information exchange. </w:t>
      </w:r>
      <w:r w:rsidR="00684886">
        <w:rPr>
          <w:sz w:val="24"/>
          <w:szCs w:val="24"/>
        </w:rPr>
        <w:t>It</w:t>
      </w:r>
      <w:r w:rsidR="00684886" w:rsidRPr="00906B8D">
        <w:rPr>
          <w:sz w:val="24"/>
          <w:szCs w:val="24"/>
        </w:rPr>
        <w:t xml:space="preserve"> includes commitments </w:t>
      </w:r>
      <w:r w:rsidR="00684886">
        <w:rPr>
          <w:sz w:val="24"/>
          <w:szCs w:val="24"/>
        </w:rPr>
        <w:t xml:space="preserve">on </w:t>
      </w:r>
      <w:r w:rsidR="00684886" w:rsidRPr="00906B8D">
        <w:rPr>
          <w:sz w:val="24"/>
          <w:szCs w:val="24"/>
        </w:rPr>
        <w:t>conformity assessment, international standards and technical regulations</w:t>
      </w:r>
      <w:r w:rsidR="00684886">
        <w:rPr>
          <w:sz w:val="24"/>
          <w:szCs w:val="24"/>
        </w:rPr>
        <w:t xml:space="preserve"> that build on the WTO TBT Agreement </w:t>
      </w:r>
      <w:r w:rsidR="00684886" w:rsidRPr="00684886">
        <w:rPr>
          <w:sz w:val="24"/>
          <w:szCs w:val="24"/>
        </w:rPr>
        <w:t>to further facilitate trade and enhance transparency. The chapter includes a cosmetics annex, with information sharing requirements and commitments on animal testing.</w:t>
      </w:r>
      <w:bookmarkEnd w:id="33"/>
    </w:p>
    <w:p w14:paraId="397BE837" w14:textId="77777777" w:rsidR="00811BA9" w:rsidRDefault="00811BA9" w:rsidP="00811BA9">
      <w:pPr>
        <w:pStyle w:val="ListParagraph"/>
      </w:pPr>
    </w:p>
    <w:p w14:paraId="3C8293D8" w14:textId="1DC3BFE4" w:rsidR="008859A7" w:rsidRPr="0083201A" w:rsidRDefault="00811BA9" w:rsidP="00206944">
      <w:pPr>
        <w:pStyle w:val="ListParagraph"/>
        <w:numPr>
          <w:ilvl w:val="0"/>
          <w:numId w:val="1"/>
        </w:numPr>
        <w:ind w:left="567" w:hanging="567"/>
        <w:rPr>
          <w:sz w:val="24"/>
          <w:szCs w:val="24"/>
        </w:rPr>
      </w:pPr>
      <w:r w:rsidRPr="008859A7">
        <w:rPr>
          <w:sz w:val="24"/>
          <w:szCs w:val="24"/>
        </w:rPr>
        <w:t xml:space="preserve">The </w:t>
      </w:r>
      <w:r w:rsidR="0083201A">
        <w:rPr>
          <w:sz w:val="24"/>
          <w:szCs w:val="24"/>
        </w:rPr>
        <w:t>proposed AU-</w:t>
      </w:r>
      <w:r w:rsidRPr="008859A7">
        <w:rPr>
          <w:sz w:val="24"/>
          <w:szCs w:val="24"/>
        </w:rPr>
        <w:t>UK FTA will also address conte</w:t>
      </w:r>
      <w:r w:rsidRPr="00415E91">
        <w:rPr>
          <w:sz w:val="24"/>
          <w:szCs w:val="24"/>
        </w:rPr>
        <w:t>mporary issues such as animal welfare and combatting antimicrobial resistance</w:t>
      </w:r>
      <w:r w:rsidRPr="008859A7">
        <w:rPr>
          <w:sz w:val="24"/>
          <w:szCs w:val="24"/>
        </w:rPr>
        <w:t xml:space="preserve"> which have not previously been addressed in Australian FTAs. </w:t>
      </w:r>
      <w:r w:rsidR="0083201A">
        <w:rPr>
          <w:sz w:val="24"/>
          <w:szCs w:val="24"/>
        </w:rPr>
        <w:t>I</w:t>
      </w:r>
      <w:r w:rsidR="00436195">
        <w:rPr>
          <w:sz w:val="24"/>
          <w:szCs w:val="24"/>
        </w:rPr>
        <w:t>mpacts</w:t>
      </w:r>
      <w:r w:rsidRPr="008859A7">
        <w:rPr>
          <w:sz w:val="24"/>
          <w:szCs w:val="24"/>
        </w:rPr>
        <w:t xml:space="preserve"> include: </w:t>
      </w:r>
    </w:p>
    <w:p w14:paraId="2D5FC432" w14:textId="3B207406" w:rsidR="00811BA9" w:rsidRPr="008859A7" w:rsidRDefault="00811BA9" w:rsidP="008859A7">
      <w:pPr>
        <w:pStyle w:val="ListParagraph"/>
        <w:numPr>
          <w:ilvl w:val="0"/>
          <w:numId w:val="37"/>
        </w:numPr>
        <w:rPr>
          <w:sz w:val="24"/>
          <w:szCs w:val="24"/>
        </w:rPr>
      </w:pPr>
      <w:r w:rsidRPr="008859A7">
        <w:rPr>
          <w:sz w:val="24"/>
          <w:szCs w:val="24"/>
        </w:rPr>
        <w:lastRenderedPageBreak/>
        <w:t xml:space="preserve">promoting enhanced cooperation, </w:t>
      </w:r>
      <w:proofErr w:type="gramStart"/>
      <w:r w:rsidRPr="008859A7">
        <w:rPr>
          <w:sz w:val="24"/>
          <w:szCs w:val="24"/>
        </w:rPr>
        <w:t>consultation</w:t>
      </w:r>
      <w:proofErr w:type="gramEnd"/>
      <w:r w:rsidRPr="008859A7">
        <w:rPr>
          <w:sz w:val="24"/>
          <w:szCs w:val="24"/>
        </w:rPr>
        <w:t xml:space="preserve"> and information exchange on animal welfare issues of mutual interest, including through a Joint Working Group</w:t>
      </w:r>
    </w:p>
    <w:p w14:paraId="4DF677D9" w14:textId="670FEA03" w:rsidR="00811BA9" w:rsidRPr="008859A7" w:rsidRDefault="00811BA9" w:rsidP="008859A7">
      <w:pPr>
        <w:pStyle w:val="ListParagraph"/>
        <w:numPr>
          <w:ilvl w:val="0"/>
          <w:numId w:val="37"/>
        </w:numPr>
        <w:rPr>
          <w:sz w:val="24"/>
          <w:szCs w:val="24"/>
        </w:rPr>
      </w:pPr>
      <w:r w:rsidRPr="008859A7">
        <w:rPr>
          <w:sz w:val="24"/>
          <w:szCs w:val="24"/>
        </w:rPr>
        <w:t xml:space="preserve">recognising each Party’s right to establish its own policies and priorities for the protection of animal welfare and to adopt or modify its laws, </w:t>
      </w:r>
      <w:proofErr w:type="gramStart"/>
      <w:r w:rsidRPr="008859A7">
        <w:rPr>
          <w:sz w:val="24"/>
          <w:szCs w:val="24"/>
        </w:rPr>
        <w:t>regulations</w:t>
      </w:r>
      <w:proofErr w:type="gramEnd"/>
      <w:r w:rsidRPr="008859A7">
        <w:rPr>
          <w:sz w:val="24"/>
          <w:szCs w:val="24"/>
        </w:rPr>
        <w:t xml:space="preserve"> and policies, while also recognising that it is inappropriate to encourage bilateral trade by weakening or reducing animal welfare protections, and that the Parties should endeavour to continue to improve such protections</w:t>
      </w:r>
    </w:p>
    <w:p w14:paraId="036096D4" w14:textId="68915B24" w:rsidR="00811BA9" w:rsidRPr="008859A7" w:rsidRDefault="00811BA9" w:rsidP="008859A7">
      <w:pPr>
        <w:pStyle w:val="ListParagraph"/>
        <w:numPr>
          <w:ilvl w:val="0"/>
          <w:numId w:val="37"/>
        </w:numPr>
        <w:rPr>
          <w:sz w:val="24"/>
          <w:szCs w:val="24"/>
        </w:rPr>
      </w:pPr>
      <w:r w:rsidRPr="008859A7">
        <w:rPr>
          <w:sz w:val="24"/>
          <w:szCs w:val="24"/>
        </w:rPr>
        <w:t xml:space="preserve">recognising the serious global threat to human and animal health posed by antimicrobial resistance and promoting enhanced bilateral cooperation in international </w:t>
      </w:r>
      <w:r w:rsidR="00436195">
        <w:rPr>
          <w:sz w:val="24"/>
          <w:szCs w:val="24"/>
        </w:rPr>
        <w:t>fora</w:t>
      </w:r>
      <w:r w:rsidRPr="008859A7">
        <w:rPr>
          <w:sz w:val="24"/>
          <w:szCs w:val="24"/>
        </w:rPr>
        <w:t xml:space="preserve"> </w:t>
      </w:r>
    </w:p>
    <w:p w14:paraId="40D4BB8A" w14:textId="0205A1AA" w:rsidR="00906B8D" w:rsidRPr="003E5FFB" w:rsidRDefault="00811BA9" w:rsidP="003E5FFB">
      <w:pPr>
        <w:pStyle w:val="ListParagraph"/>
        <w:numPr>
          <w:ilvl w:val="0"/>
          <w:numId w:val="37"/>
        </w:numPr>
        <w:rPr>
          <w:sz w:val="24"/>
          <w:szCs w:val="24"/>
        </w:rPr>
      </w:pPr>
      <w:r w:rsidRPr="008859A7">
        <w:rPr>
          <w:sz w:val="24"/>
          <w:szCs w:val="24"/>
        </w:rPr>
        <w:t xml:space="preserve">agreeing to facilitate the exchange of information, expertise, and experiences in the field of combatting antimicrobial resistance, and </w:t>
      </w:r>
      <w:r w:rsidR="00702C68" w:rsidRPr="008859A7">
        <w:rPr>
          <w:sz w:val="24"/>
          <w:szCs w:val="24"/>
        </w:rPr>
        <w:t>identifying</w:t>
      </w:r>
      <w:r w:rsidRPr="008859A7">
        <w:rPr>
          <w:sz w:val="24"/>
          <w:szCs w:val="24"/>
        </w:rPr>
        <w:t xml:space="preserve"> common views, interests, </w:t>
      </w:r>
      <w:proofErr w:type="gramStart"/>
      <w:r w:rsidRPr="008859A7">
        <w:rPr>
          <w:sz w:val="24"/>
          <w:szCs w:val="24"/>
        </w:rPr>
        <w:t>priorities</w:t>
      </w:r>
      <w:proofErr w:type="gramEnd"/>
      <w:r w:rsidRPr="008859A7">
        <w:rPr>
          <w:sz w:val="24"/>
          <w:szCs w:val="24"/>
        </w:rPr>
        <w:t xml:space="preserve"> and policies in this area.</w:t>
      </w:r>
    </w:p>
    <w:p w14:paraId="39543220" w14:textId="77777777" w:rsidR="00A84D8D" w:rsidRPr="00A84D8D" w:rsidRDefault="00A84D8D" w:rsidP="00A84D8D"/>
    <w:p w14:paraId="3953A5C4" w14:textId="52FF7BD0" w:rsidR="00465B5C" w:rsidRPr="00A510F8" w:rsidRDefault="002062F7" w:rsidP="00465B5C">
      <w:pPr>
        <w:pStyle w:val="Heading2"/>
      </w:pPr>
      <w:bookmarkStart w:id="34" w:name="_Toc88748498"/>
      <w:r>
        <w:t xml:space="preserve">The impact of key </w:t>
      </w:r>
      <w:r w:rsidR="003E5450">
        <w:t>s</w:t>
      </w:r>
      <w:r>
        <w:t xml:space="preserve">ervices </w:t>
      </w:r>
      <w:r w:rsidR="00F907C7">
        <w:t xml:space="preserve">chapter </w:t>
      </w:r>
      <w:r>
        <w:t>outcomes</w:t>
      </w:r>
      <w:bookmarkEnd w:id="34"/>
    </w:p>
    <w:p w14:paraId="05CB75A1" w14:textId="77777777" w:rsidR="006B6B02" w:rsidRDefault="006B6B02" w:rsidP="006B6B02">
      <w:pPr>
        <w:pStyle w:val="ListParagraph"/>
      </w:pPr>
    </w:p>
    <w:p w14:paraId="0F5ABDE9" w14:textId="74470B7A" w:rsidR="00465B5C" w:rsidRPr="00270320" w:rsidRDefault="00465B5C" w:rsidP="00270320">
      <w:pPr>
        <w:pStyle w:val="ListParagraph"/>
        <w:numPr>
          <w:ilvl w:val="0"/>
          <w:numId w:val="1"/>
        </w:numPr>
        <w:ind w:left="567" w:hanging="567"/>
        <w:rPr>
          <w:sz w:val="24"/>
          <w:szCs w:val="24"/>
        </w:rPr>
      </w:pPr>
      <w:r w:rsidRPr="00243894">
        <w:rPr>
          <w:sz w:val="24"/>
          <w:szCs w:val="24"/>
        </w:rPr>
        <w:t xml:space="preserve">The </w:t>
      </w:r>
      <w:r>
        <w:rPr>
          <w:sz w:val="24"/>
          <w:szCs w:val="24"/>
        </w:rPr>
        <w:t>Australia</w:t>
      </w:r>
      <w:r w:rsidR="0083201A">
        <w:rPr>
          <w:sz w:val="24"/>
          <w:szCs w:val="24"/>
        </w:rPr>
        <w:t>-UK</w:t>
      </w:r>
      <w:r w:rsidRPr="00243894">
        <w:rPr>
          <w:sz w:val="24"/>
          <w:szCs w:val="24"/>
        </w:rPr>
        <w:t xml:space="preserve"> </w:t>
      </w:r>
      <w:r>
        <w:rPr>
          <w:sz w:val="24"/>
          <w:szCs w:val="24"/>
        </w:rPr>
        <w:t>services</w:t>
      </w:r>
      <w:r w:rsidR="001F1097">
        <w:rPr>
          <w:sz w:val="24"/>
          <w:szCs w:val="24"/>
        </w:rPr>
        <w:t xml:space="preserve"> </w:t>
      </w:r>
      <w:r w:rsidRPr="00243894">
        <w:rPr>
          <w:sz w:val="24"/>
          <w:szCs w:val="24"/>
        </w:rPr>
        <w:t>relationship</w:t>
      </w:r>
      <w:r>
        <w:rPr>
          <w:sz w:val="24"/>
          <w:szCs w:val="24"/>
        </w:rPr>
        <w:t xml:space="preserve"> is already strong,</w:t>
      </w:r>
      <w:r w:rsidRPr="00243894">
        <w:rPr>
          <w:sz w:val="24"/>
          <w:szCs w:val="24"/>
        </w:rPr>
        <w:t xml:space="preserve"> as evidenced in</w:t>
      </w:r>
      <w:r w:rsidR="0083201A">
        <w:rPr>
          <w:sz w:val="24"/>
          <w:szCs w:val="24"/>
        </w:rPr>
        <w:t xml:space="preserve"> tables</w:t>
      </w:r>
      <w:r>
        <w:rPr>
          <w:sz w:val="24"/>
          <w:szCs w:val="24"/>
        </w:rPr>
        <w:t xml:space="preserve"> </w:t>
      </w:r>
      <w:r w:rsidR="006B52D1">
        <w:rPr>
          <w:sz w:val="24"/>
          <w:szCs w:val="24"/>
        </w:rPr>
        <w:t>11-</w:t>
      </w:r>
      <w:r w:rsidR="00012793">
        <w:rPr>
          <w:sz w:val="24"/>
          <w:szCs w:val="24"/>
        </w:rPr>
        <w:t>1</w:t>
      </w:r>
      <w:r w:rsidR="006B52D1">
        <w:rPr>
          <w:sz w:val="24"/>
          <w:szCs w:val="24"/>
        </w:rPr>
        <w:t>5</w:t>
      </w:r>
      <w:r w:rsidR="006B1A10">
        <w:rPr>
          <w:sz w:val="24"/>
          <w:szCs w:val="24"/>
        </w:rPr>
        <w:t xml:space="preserve">. </w:t>
      </w:r>
      <w:r w:rsidR="00B9513C" w:rsidRPr="00B9513C">
        <w:rPr>
          <w:sz w:val="24"/>
          <w:szCs w:val="24"/>
        </w:rPr>
        <w:t>UK services exports to Australia are growing at over 10</w:t>
      </w:r>
      <w:r w:rsidR="00B9513C">
        <w:rPr>
          <w:sz w:val="24"/>
          <w:szCs w:val="24"/>
        </w:rPr>
        <w:t xml:space="preserve"> per cent</w:t>
      </w:r>
      <w:r w:rsidR="00B9513C" w:rsidRPr="00B9513C">
        <w:rPr>
          <w:sz w:val="24"/>
          <w:szCs w:val="24"/>
        </w:rPr>
        <w:t xml:space="preserve"> per year</w:t>
      </w:r>
      <w:r w:rsidR="00B9513C">
        <w:rPr>
          <w:sz w:val="24"/>
          <w:szCs w:val="24"/>
        </w:rPr>
        <w:t>.</w:t>
      </w:r>
      <w:r w:rsidR="00B9513C">
        <w:rPr>
          <w:rStyle w:val="FootnoteReference"/>
          <w:sz w:val="24"/>
          <w:szCs w:val="24"/>
        </w:rPr>
        <w:footnoteReference w:id="74"/>
      </w:r>
      <w:r w:rsidR="00B9513C">
        <w:rPr>
          <w:sz w:val="24"/>
          <w:szCs w:val="24"/>
        </w:rPr>
        <w:t xml:space="preserve"> </w:t>
      </w:r>
      <w:bookmarkStart w:id="35" w:name="_Hlk83302398"/>
      <w:r w:rsidRPr="00270320">
        <w:rPr>
          <w:sz w:val="24"/>
          <w:szCs w:val="24"/>
        </w:rPr>
        <w:t xml:space="preserve">The </w:t>
      </w:r>
      <w:r w:rsidR="0083201A" w:rsidRPr="00270320">
        <w:rPr>
          <w:sz w:val="24"/>
          <w:szCs w:val="24"/>
        </w:rPr>
        <w:t xml:space="preserve">proposed </w:t>
      </w:r>
      <w:r w:rsidRPr="00270320">
        <w:rPr>
          <w:sz w:val="24"/>
          <w:szCs w:val="24"/>
        </w:rPr>
        <w:t xml:space="preserve">AU-UK FTA will serve to </w:t>
      </w:r>
      <w:r w:rsidR="00B3413F" w:rsidRPr="00270320">
        <w:rPr>
          <w:sz w:val="24"/>
          <w:szCs w:val="24"/>
        </w:rPr>
        <w:t>reinforce and impr</w:t>
      </w:r>
      <w:r w:rsidRPr="00270320">
        <w:rPr>
          <w:sz w:val="24"/>
          <w:szCs w:val="24"/>
        </w:rPr>
        <w:t xml:space="preserve">ove this </w:t>
      </w:r>
      <w:r w:rsidR="006B1A10" w:rsidRPr="00270320">
        <w:rPr>
          <w:sz w:val="24"/>
          <w:szCs w:val="24"/>
        </w:rPr>
        <w:t>already strong relationship</w:t>
      </w:r>
      <w:r w:rsidR="00270320">
        <w:rPr>
          <w:sz w:val="24"/>
          <w:szCs w:val="24"/>
        </w:rPr>
        <w:t xml:space="preserve"> by expanding opportunities for Australian businesses and consumers.</w:t>
      </w:r>
      <w:r w:rsidR="006B1A10" w:rsidRPr="00270320">
        <w:rPr>
          <w:sz w:val="24"/>
          <w:szCs w:val="24"/>
        </w:rPr>
        <w:t xml:space="preserve"> </w:t>
      </w:r>
      <w:r w:rsidR="00270320">
        <w:rPr>
          <w:sz w:val="24"/>
          <w:szCs w:val="24"/>
        </w:rPr>
        <w:t xml:space="preserve">This comes </w:t>
      </w:r>
      <w:r w:rsidRPr="00270320">
        <w:rPr>
          <w:sz w:val="24"/>
          <w:szCs w:val="24"/>
        </w:rPr>
        <w:t xml:space="preserve">at a time when Australia and the UK are looking for a multi-faceted COVID-19 economic recovery package, which includes expanding and improving upon existing export markets.  </w:t>
      </w:r>
      <w:bookmarkEnd w:id="35"/>
    </w:p>
    <w:p w14:paraId="27ADDF01" w14:textId="58590A55" w:rsidR="00A510F8" w:rsidRPr="00A510F8" w:rsidRDefault="007C420B" w:rsidP="00A510F8">
      <w:pPr>
        <w:rPr>
          <w:b/>
          <w:bCs/>
          <w:i/>
          <w:iCs/>
          <w:sz w:val="24"/>
          <w:szCs w:val="24"/>
        </w:rPr>
      </w:pPr>
      <w:r>
        <w:rPr>
          <w:b/>
          <w:bCs/>
          <w:i/>
          <w:iCs/>
          <w:sz w:val="24"/>
          <w:szCs w:val="24"/>
        </w:rPr>
        <w:t>Impact on cross-border trade in services</w:t>
      </w:r>
    </w:p>
    <w:p w14:paraId="636BEFAA" w14:textId="1AB36656" w:rsidR="00A510F8" w:rsidRDefault="00A510F8" w:rsidP="00206944">
      <w:pPr>
        <w:pStyle w:val="ListParagraph"/>
        <w:numPr>
          <w:ilvl w:val="0"/>
          <w:numId w:val="1"/>
        </w:numPr>
        <w:ind w:left="567" w:hanging="567"/>
        <w:rPr>
          <w:sz w:val="24"/>
          <w:szCs w:val="24"/>
        </w:rPr>
      </w:pPr>
      <w:bookmarkStart w:id="36" w:name="_Hlk83300583"/>
      <w:r w:rsidRPr="00A510F8">
        <w:rPr>
          <w:sz w:val="24"/>
          <w:szCs w:val="24"/>
        </w:rPr>
        <w:t xml:space="preserve">The </w:t>
      </w:r>
      <w:r w:rsidR="00A17872">
        <w:rPr>
          <w:sz w:val="24"/>
          <w:szCs w:val="24"/>
        </w:rPr>
        <w:t xml:space="preserve">proposed </w:t>
      </w:r>
      <w:r w:rsidR="00F7366F">
        <w:rPr>
          <w:sz w:val="24"/>
          <w:szCs w:val="24"/>
        </w:rPr>
        <w:t xml:space="preserve">AU-UK </w:t>
      </w:r>
      <w:r w:rsidR="00A17872">
        <w:rPr>
          <w:sz w:val="24"/>
          <w:szCs w:val="24"/>
        </w:rPr>
        <w:t>FTA</w:t>
      </w:r>
      <w:r w:rsidRPr="00A510F8">
        <w:rPr>
          <w:sz w:val="24"/>
          <w:szCs w:val="24"/>
        </w:rPr>
        <w:t xml:space="preserve"> will not create additional or substantively modify existing obligations for businesses, community organisations or individuals that relate to the import or export of services. The </w:t>
      </w:r>
      <w:r w:rsidR="00436195">
        <w:rPr>
          <w:sz w:val="24"/>
          <w:szCs w:val="24"/>
        </w:rPr>
        <w:t>a</w:t>
      </w:r>
      <w:r w:rsidRPr="00A510F8">
        <w:rPr>
          <w:sz w:val="24"/>
          <w:szCs w:val="24"/>
        </w:rPr>
        <w:t>greement will instead impose obligations on the Australian</w:t>
      </w:r>
      <w:r w:rsidR="004E35E0">
        <w:rPr>
          <w:sz w:val="24"/>
          <w:szCs w:val="24"/>
        </w:rPr>
        <w:t xml:space="preserve"> </w:t>
      </w:r>
      <w:r w:rsidRPr="00A510F8">
        <w:rPr>
          <w:sz w:val="24"/>
          <w:szCs w:val="24"/>
        </w:rPr>
        <w:t>and UK Government</w:t>
      </w:r>
      <w:r w:rsidR="004E35E0">
        <w:rPr>
          <w:sz w:val="24"/>
          <w:szCs w:val="24"/>
        </w:rPr>
        <w:t>s</w:t>
      </w:r>
      <w:r w:rsidRPr="00A510F8">
        <w:rPr>
          <w:sz w:val="24"/>
          <w:szCs w:val="24"/>
        </w:rPr>
        <w:t xml:space="preserve"> to ‘lock-in’ and not adversely modify existing regulation in particular services sectors.</w:t>
      </w:r>
    </w:p>
    <w:bookmarkEnd w:id="36"/>
    <w:p w14:paraId="413DD2D5" w14:textId="77777777" w:rsidR="00A510F8" w:rsidRDefault="00A510F8" w:rsidP="00A510F8">
      <w:pPr>
        <w:pStyle w:val="ListParagraph"/>
        <w:ind w:left="360"/>
        <w:rPr>
          <w:sz w:val="24"/>
          <w:szCs w:val="24"/>
        </w:rPr>
      </w:pPr>
    </w:p>
    <w:p w14:paraId="420FF804" w14:textId="15129989" w:rsidR="00A510F8" w:rsidRDefault="00A510F8" w:rsidP="00206944">
      <w:pPr>
        <w:pStyle w:val="ListParagraph"/>
        <w:numPr>
          <w:ilvl w:val="0"/>
          <w:numId w:val="1"/>
        </w:numPr>
        <w:ind w:left="567" w:hanging="567"/>
        <w:rPr>
          <w:sz w:val="24"/>
          <w:szCs w:val="24"/>
        </w:rPr>
      </w:pPr>
      <w:bookmarkStart w:id="37" w:name="_Hlk83381920"/>
      <w:r w:rsidRPr="00A510F8">
        <w:rPr>
          <w:sz w:val="24"/>
          <w:szCs w:val="24"/>
        </w:rPr>
        <w:t xml:space="preserve">The Cross-Border Trade in Services Chapter </w:t>
      </w:r>
      <w:bookmarkStart w:id="38" w:name="_Hlk83203449"/>
      <w:r w:rsidRPr="00A510F8">
        <w:rPr>
          <w:sz w:val="24"/>
          <w:szCs w:val="24"/>
        </w:rPr>
        <w:t xml:space="preserve">will establish rules for the supply of services between the parties, including obligations to provide access to foreign service suppliers (market access), to treat local and foreign suppliers equally </w:t>
      </w:r>
      <w:bookmarkEnd w:id="38"/>
      <w:r w:rsidRPr="00A510F8">
        <w:rPr>
          <w:sz w:val="24"/>
          <w:szCs w:val="24"/>
        </w:rPr>
        <w:t>(national treatment) and to treat service suppliers of the other Part</w:t>
      </w:r>
      <w:r w:rsidR="00453D9E">
        <w:rPr>
          <w:sz w:val="24"/>
          <w:szCs w:val="24"/>
        </w:rPr>
        <w:t>y</w:t>
      </w:r>
      <w:r w:rsidRPr="00A510F8">
        <w:rPr>
          <w:sz w:val="24"/>
          <w:szCs w:val="24"/>
        </w:rPr>
        <w:t xml:space="preserve"> at least as well as suppliers of any non-Party (most-favoured nation</w:t>
      </w:r>
      <w:r w:rsidR="008E2512">
        <w:rPr>
          <w:sz w:val="24"/>
          <w:szCs w:val="24"/>
        </w:rPr>
        <w:t xml:space="preserve"> (MFN)</w:t>
      </w:r>
      <w:r w:rsidRPr="00A510F8">
        <w:rPr>
          <w:sz w:val="24"/>
          <w:szCs w:val="24"/>
        </w:rPr>
        <w:t xml:space="preserve">). This Chapter also includes local presence, payments and transfers, and recognition provisions broadly in line with our previous FTAs. The Chapter incorporates two annexes which will establish commitments by both parties specific to express delivery services and international maritime transport services. </w:t>
      </w:r>
    </w:p>
    <w:bookmarkEnd w:id="37"/>
    <w:p w14:paraId="46BA50FA" w14:textId="77777777" w:rsidR="005C3496" w:rsidRPr="005C3496" w:rsidRDefault="005C3496" w:rsidP="005C3496">
      <w:pPr>
        <w:pStyle w:val="ListParagraph"/>
        <w:rPr>
          <w:sz w:val="24"/>
          <w:szCs w:val="24"/>
        </w:rPr>
      </w:pPr>
    </w:p>
    <w:p w14:paraId="51543D99" w14:textId="77777777" w:rsidR="001F1097" w:rsidRDefault="00A510F8" w:rsidP="00724623">
      <w:pPr>
        <w:pStyle w:val="ListParagraph"/>
        <w:numPr>
          <w:ilvl w:val="0"/>
          <w:numId w:val="1"/>
        </w:numPr>
        <w:ind w:left="567" w:hanging="567"/>
        <w:rPr>
          <w:sz w:val="24"/>
          <w:szCs w:val="24"/>
        </w:rPr>
      </w:pPr>
      <w:bookmarkStart w:id="39" w:name="_Hlk83203545"/>
      <w:bookmarkStart w:id="40" w:name="_Hlk83303526"/>
      <w:r w:rsidRPr="005C3496">
        <w:rPr>
          <w:sz w:val="24"/>
          <w:szCs w:val="24"/>
        </w:rPr>
        <w:lastRenderedPageBreak/>
        <w:t xml:space="preserve">Australia and the UK will make commitments on impartiality, </w:t>
      </w:r>
      <w:proofErr w:type="gramStart"/>
      <w:r w:rsidRPr="005C3496">
        <w:rPr>
          <w:sz w:val="24"/>
          <w:szCs w:val="24"/>
        </w:rPr>
        <w:t>transparency</w:t>
      </w:r>
      <w:proofErr w:type="gramEnd"/>
      <w:r w:rsidRPr="005C3496">
        <w:rPr>
          <w:sz w:val="24"/>
          <w:szCs w:val="24"/>
        </w:rPr>
        <w:t xml:space="preserve"> and responsiveness of competent authorities to ensure that their requirements, procedures, and technical standards do not constitute unnecessary barriers to trade across the whole economy</w:t>
      </w:r>
      <w:bookmarkEnd w:id="39"/>
      <w:r w:rsidRPr="005C3496">
        <w:rPr>
          <w:sz w:val="24"/>
          <w:szCs w:val="24"/>
        </w:rPr>
        <w:t xml:space="preserve">, except on sensitive matters where we have scheduled limitations against the reservable disciplines. </w:t>
      </w:r>
    </w:p>
    <w:bookmarkEnd w:id="40"/>
    <w:p w14:paraId="27CBFE96" w14:textId="77777777" w:rsidR="001F1097" w:rsidRPr="001F1097" w:rsidRDefault="001F1097" w:rsidP="001F1097">
      <w:pPr>
        <w:pStyle w:val="ListParagraph"/>
        <w:rPr>
          <w:sz w:val="24"/>
          <w:szCs w:val="24"/>
        </w:rPr>
      </w:pPr>
    </w:p>
    <w:p w14:paraId="2D5F6B7E" w14:textId="761778C5" w:rsidR="00F7366F" w:rsidRPr="00A84D8D" w:rsidRDefault="001F1097" w:rsidP="00724623">
      <w:pPr>
        <w:pStyle w:val="ListParagraph"/>
        <w:numPr>
          <w:ilvl w:val="0"/>
          <w:numId w:val="1"/>
        </w:numPr>
        <w:ind w:left="567" w:hanging="567"/>
        <w:rPr>
          <w:sz w:val="24"/>
          <w:szCs w:val="24"/>
        </w:rPr>
      </w:pPr>
      <w:proofErr w:type="gramStart"/>
      <w:r>
        <w:rPr>
          <w:sz w:val="24"/>
          <w:szCs w:val="24"/>
        </w:rPr>
        <w:t>All of</w:t>
      </w:r>
      <w:proofErr w:type="gramEnd"/>
      <w:r>
        <w:rPr>
          <w:sz w:val="24"/>
          <w:szCs w:val="24"/>
        </w:rPr>
        <w:t xml:space="preserve"> t</w:t>
      </w:r>
      <w:r w:rsidR="00A510F8" w:rsidRPr="005C3496">
        <w:rPr>
          <w:sz w:val="24"/>
          <w:szCs w:val="24"/>
        </w:rPr>
        <w:t>hese commitments are consistent with the</w:t>
      </w:r>
      <w:r w:rsidR="005C3496">
        <w:rPr>
          <w:sz w:val="24"/>
          <w:szCs w:val="24"/>
        </w:rPr>
        <w:t xml:space="preserve"> </w:t>
      </w:r>
      <w:r w:rsidR="00A510F8" w:rsidRPr="005C3496">
        <w:rPr>
          <w:sz w:val="24"/>
          <w:szCs w:val="24"/>
        </w:rPr>
        <w:t>regulatory practice that exists across Australia’s jurisdictions.</w:t>
      </w:r>
    </w:p>
    <w:p w14:paraId="3C54C96C" w14:textId="28465609" w:rsidR="00724623" w:rsidRPr="00724623" w:rsidRDefault="00724623" w:rsidP="00724623">
      <w:pPr>
        <w:rPr>
          <w:b/>
          <w:bCs/>
          <w:i/>
          <w:iCs/>
          <w:sz w:val="24"/>
          <w:szCs w:val="24"/>
        </w:rPr>
      </w:pPr>
      <w:r w:rsidRPr="00724623">
        <w:rPr>
          <w:b/>
          <w:bCs/>
          <w:i/>
          <w:iCs/>
          <w:sz w:val="24"/>
          <w:szCs w:val="24"/>
        </w:rPr>
        <w:t>Impact on financial services</w:t>
      </w:r>
    </w:p>
    <w:p w14:paraId="3F57174F" w14:textId="24CF15BC" w:rsidR="00420C33" w:rsidRDefault="00420C33" w:rsidP="00420C33">
      <w:pPr>
        <w:pStyle w:val="ListParagraph"/>
        <w:numPr>
          <w:ilvl w:val="0"/>
          <w:numId w:val="1"/>
        </w:numPr>
        <w:ind w:left="567" w:hanging="567"/>
        <w:rPr>
          <w:sz w:val="24"/>
          <w:szCs w:val="24"/>
        </w:rPr>
      </w:pPr>
      <w:r>
        <w:rPr>
          <w:sz w:val="24"/>
          <w:szCs w:val="24"/>
        </w:rPr>
        <w:t xml:space="preserve">Australia’s strengths in the financial services sector </w:t>
      </w:r>
      <w:r w:rsidR="00E127BF">
        <w:rPr>
          <w:sz w:val="24"/>
          <w:szCs w:val="24"/>
        </w:rPr>
        <w:t>complement</w:t>
      </w:r>
      <w:r>
        <w:rPr>
          <w:sz w:val="24"/>
          <w:szCs w:val="24"/>
        </w:rPr>
        <w:t xml:space="preserve"> those of the UK. </w:t>
      </w:r>
      <w:r w:rsidR="00B9513C" w:rsidRPr="00115909">
        <w:rPr>
          <w:sz w:val="24"/>
          <w:szCs w:val="24"/>
        </w:rPr>
        <w:t xml:space="preserve">Financial services </w:t>
      </w:r>
      <w:proofErr w:type="gramStart"/>
      <w:r w:rsidR="00B9513C" w:rsidRPr="00115909">
        <w:rPr>
          <w:sz w:val="24"/>
          <w:szCs w:val="24"/>
        </w:rPr>
        <w:t>is</w:t>
      </w:r>
      <w:proofErr w:type="gramEnd"/>
      <w:r w:rsidR="00B9513C" w:rsidRPr="00115909">
        <w:rPr>
          <w:sz w:val="24"/>
          <w:szCs w:val="24"/>
        </w:rPr>
        <w:t xml:space="preserve"> one of the fastest growing UK services export</w:t>
      </w:r>
      <w:r w:rsidR="00115909">
        <w:rPr>
          <w:sz w:val="24"/>
          <w:szCs w:val="24"/>
        </w:rPr>
        <w:t>s</w:t>
      </w:r>
      <w:r w:rsidR="00B9513C" w:rsidRPr="00115909">
        <w:rPr>
          <w:sz w:val="24"/>
          <w:szCs w:val="24"/>
        </w:rPr>
        <w:t xml:space="preserve"> to Australia, growing at over 10 per cent per year from 2009-10 to 2019-20.</w:t>
      </w:r>
      <w:r w:rsidR="00115909" w:rsidRPr="00115909">
        <w:rPr>
          <w:rStyle w:val="FootnoteReference"/>
          <w:sz w:val="24"/>
          <w:szCs w:val="24"/>
        </w:rPr>
        <w:footnoteReference w:id="75"/>
      </w:r>
      <w:r w:rsidR="00B9513C" w:rsidRPr="00B9513C">
        <w:rPr>
          <w:sz w:val="24"/>
          <w:szCs w:val="24"/>
        </w:rPr>
        <w:t xml:space="preserve"> This </w:t>
      </w:r>
      <w:r w:rsidR="00761D97">
        <w:rPr>
          <w:sz w:val="24"/>
          <w:szCs w:val="24"/>
        </w:rPr>
        <w:t>i</w:t>
      </w:r>
      <w:r w:rsidR="00B9513C" w:rsidRPr="00B9513C">
        <w:rPr>
          <w:sz w:val="24"/>
          <w:szCs w:val="24"/>
        </w:rPr>
        <w:t>s approximately three times the pace of average services-export growth in the UK</w:t>
      </w:r>
      <w:r w:rsidR="00761D97">
        <w:rPr>
          <w:sz w:val="24"/>
          <w:szCs w:val="24"/>
        </w:rPr>
        <w:t xml:space="preserve"> and</w:t>
      </w:r>
      <w:r w:rsidR="00B9513C" w:rsidRPr="00B9513C">
        <w:rPr>
          <w:sz w:val="24"/>
          <w:szCs w:val="24"/>
        </w:rPr>
        <w:t xml:space="preserve"> signals exceptional future growth opportunities for UK entrepreneurs</w:t>
      </w:r>
      <w:r w:rsidR="00761D97">
        <w:rPr>
          <w:sz w:val="24"/>
          <w:szCs w:val="24"/>
        </w:rPr>
        <w:t xml:space="preserve"> into Australia, expanding </w:t>
      </w:r>
      <w:r w:rsidR="0072718D">
        <w:rPr>
          <w:sz w:val="24"/>
          <w:szCs w:val="24"/>
        </w:rPr>
        <w:t>Australia’s</w:t>
      </w:r>
      <w:r w:rsidR="00761D97">
        <w:rPr>
          <w:sz w:val="24"/>
          <w:szCs w:val="24"/>
        </w:rPr>
        <w:t xml:space="preserve"> innovation potential</w:t>
      </w:r>
      <w:r w:rsidR="0072718D">
        <w:rPr>
          <w:sz w:val="24"/>
          <w:szCs w:val="24"/>
        </w:rPr>
        <w:t xml:space="preserve"> through increased competition and benefiting consumers through greater choice</w:t>
      </w:r>
      <w:r w:rsidR="00B9513C" w:rsidRPr="00B9513C">
        <w:rPr>
          <w:sz w:val="24"/>
          <w:szCs w:val="24"/>
        </w:rPr>
        <w:t>.</w:t>
      </w:r>
      <w:r w:rsidR="00761D97">
        <w:rPr>
          <w:sz w:val="24"/>
          <w:szCs w:val="24"/>
        </w:rPr>
        <w:t xml:space="preserve"> </w:t>
      </w:r>
      <w:r>
        <w:rPr>
          <w:sz w:val="24"/>
          <w:szCs w:val="24"/>
        </w:rPr>
        <w:t xml:space="preserve">The proposed </w:t>
      </w:r>
      <w:r w:rsidR="0072718D">
        <w:rPr>
          <w:sz w:val="24"/>
          <w:szCs w:val="24"/>
        </w:rPr>
        <w:t xml:space="preserve">AU-UK </w:t>
      </w:r>
      <w:r>
        <w:rPr>
          <w:sz w:val="24"/>
          <w:szCs w:val="24"/>
        </w:rPr>
        <w:t xml:space="preserve">FTA </w:t>
      </w:r>
      <w:r w:rsidR="0072718D">
        <w:rPr>
          <w:sz w:val="24"/>
          <w:szCs w:val="24"/>
        </w:rPr>
        <w:t>o</w:t>
      </w:r>
      <w:r>
        <w:rPr>
          <w:sz w:val="24"/>
          <w:szCs w:val="24"/>
        </w:rPr>
        <w:t xml:space="preserve">ffers great potential </w:t>
      </w:r>
      <w:r w:rsidR="00761D97">
        <w:rPr>
          <w:sz w:val="24"/>
          <w:szCs w:val="24"/>
        </w:rPr>
        <w:t>to build on this</w:t>
      </w:r>
      <w:r>
        <w:rPr>
          <w:sz w:val="24"/>
          <w:szCs w:val="24"/>
        </w:rPr>
        <w:t xml:space="preserve"> growth</w:t>
      </w:r>
      <w:r w:rsidR="00761D97">
        <w:rPr>
          <w:sz w:val="24"/>
          <w:szCs w:val="24"/>
        </w:rPr>
        <w:t xml:space="preserve"> further as well as increased opport</w:t>
      </w:r>
      <w:r>
        <w:rPr>
          <w:sz w:val="24"/>
          <w:szCs w:val="24"/>
        </w:rPr>
        <w:t xml:space="preserve">unities for exports into the UK. </w:t>
      </w:r>
    </w:p>
    <w:p w14:paraId="0B25F91C" w14:textId="77777777" w:rsidR="00420C33" w:rsidRDefault="00420C33" w:rsidP="00420C33">
      <w:pPr>
        <w:pStyle w:val="ListParagraph"/>
        <w:ind w:left="360"/>
        <w:rPr>
          <w:sz w:val="24"/>
          <w:szCs w:val="24"/>
        </w:rPr>
      </w:pPr>
    </w:p>
    <w:p w14:paraId="4AD25E9E" w14:textId="7417D6B6" w:rsidR="00420C33" w:rsidRDefault="00420C33" w:rsidP="00420C33">
      <w:pPr>
        <w:pStyle w:val="ListParagraph"/>
        <w:numPr>
          <w:ilvl w:val="0"/>
          <w:numId w:val="1"/>
        </w:numPr>
        <w:ind w:left="567" w:hanging="567"/>
        <w:rPr>
          <w:sz w:val="24"/>
          <w:szCs w:val="24"/>
        </w:rPr>
      </w:pPr>
      <w:r>
        <w:rPr>
          <w:sz w:val="24"/>
          <w:szCs w:val="24"/>
        </w:rPr>
        <w:t xml:space="preserve">The proposed AU-UK FTA will include a chapter with </w:t>
      </w:r>
      <w:bookmarkStart w:id="41" w:name="_Hlk83382027"/>
      <w:r>
        <w:rPr>
          <w:sz w:val="24"/>
          <w:szCs w:val="24"/>
        </w:rPr>
        <w:t xml:space="preserve">specific rules on financial services that build on existing </w:t>
      </w:r>
      <w:r w:rsidR="0072718D">
        <w:rPr>
          <w:sz w:val="24"/>
          <w:szCs w:val="24"/>
        </w:rPr>
        <w:t xml:space="preserve">commitments in the </w:t>
      </w:r>
      <w:r w:rsidRPr="00420C33">
        <w:rPr>
          <w:sz w:val="24"/>
          <w:szCs w:val="24"/>
        </w:rPr>
        <w:t xml:space="preserve">Comprehensive and Progressive Agreement for Trans-Pacific Partnership </w:t>
      </w:r>
      <w:r>
        <w:rPr>
          <w:sz w:val="24"/>
          <w:szCs w:val="24"/>
        </w:rPr>
        <w:t xml:space="preserve">(CPTPP) and Australia-Hong Kong FTA, giving financial service suppliers greater certainty and transparency regarding the rules that will apply to them when providing services to UK clients. </w:t>
      </w:r>
    </w:p>
    <w:p w14:paraId="0384BD20" w14:textId="77777777" w:rsidR="00420C33" w:rsidRDefault="00420C33" w:rsidP="00420C33">
      <w:pPr>
        <w:pStyle w:val="ListParagraph"/>
        <w:rPr>
          <w:sz w:val="24"/>
          <w:szCs w:val="24"/>
        </w:rPr>
      </w:pPr>
    </w:p>
    <w:p w14:paraId="1658336B" w14:textId="77777777" w:rsidR="00420C33" w:rsidRDefault="00420C33" w:rsidP="00420C33">
      <w:pPr>
        <w:pStyle w:val="ListParagraph"/>
        <w:numPr>
          <w:ilvl w:val="0"/>
          <w:numId w:val="1"/>
        </w:numPr>
        <w:ind w:left="567" w:hanging="567"/>
        <w:rPr>
          <w:sz w:val="24"/>
          <w:szCs w:val="24"/>
        </w:rPr>
      </w:pPr>
      <w:r>
        <w:rPr>
          <w:sz w:val="24"/>
          <w:szCs w:val="24"/>
        </w:rPr>
        <w:t>The Financial Services Chapter will include obligations to provide access to foreign service suppliers (market access) and to treat local and foreign suppliers equally (national treatment), along with obligations regarding local presence, payment and clearing systems, data flows and localisation and back-office functions broadly in line with our previous FTAs.</w:t>
      </w:r>
      <w:bookmarkEnd w:id="41"/>
      <w:r>
        <w:rPr>
          <w:sz w:val="24"/>
          <w:szCs w:val="24"/>
        </w:rPr>
        <w:t xml:space="preserve"> </w:t>
      </w:r>
    </w:p>
    <w:p w14:paraId="50B94B97" w14:textId="77777777" w:rsidR="00420C33" w:rsidRDefault="00420C33" w:rsidP="00420C33">
      <w:pPr>
        <w:pStyle w:val="ListParagraph"/>
        <w:ind w:left="360"/>
        <w:rPr>
          <w:sz w:val="24"/>
          <w:szCs w:val="24"/>
        </w:rPr>
      </w:pPr>
    </w:p>
    <w:p w14:paraId="6F95B0C7" w14:textId="03F041A2" w:rsidR="00420C33" w:rsidRDefault="00420C33" w:rsidP="00420C33">
      <w:pPr>
        <w:pStyle w:val="ListParagraph"/>
        <w:numPr>
          <w:ilvl w:val="0"/>
          <w:numId w:val="1"/>
        </w:numPr>
        <w:ind w:left="567" w:hanging="567"/>
        <w:rPr>
          <w:sz w:val="24"/>
          <w:szCs w:val="24"/>
        </w:rPr>
      </w:pPr>
      <w:r>
        <w:rPr>
          <w:sz w:val="24"/>
          <w:szCs w:val="24"/>
        </w:rPr>
        <w:t xml:space="preserve">The Financial Services Chapter will help to </w:t>
      </w:r>
      <w:r w:rsidR="001F1097">
        <w:rPr>
          <w:sz w:val="24"/>
          <w:szCs w:val="24"/>
        </w:rPr>
        <w:t xml:space="preserve">fast track the </w:t>
      </w:r>
      <w:r>
        <w:rPr>
          <w:sz w:val="24"/>
          <w:szCs w:val="24"/>
        </w:rPr>
        <w:t xml:space="preserve">regulatory </w:t>
      </w:r>
      <w:r w:rsidR="001F1097">
        <w:rPr>
          <w:sz w:val="24"/>
          <w:szCs w:val="24"/>
        </w:rPr>
        <w:t>process</w:t>
      </w:r>
      <w:r>
        <w:rPr>
          <w:sz w:val="24"/>
          <w:szCs w:val="24"/>
        </w:rPr>
        <w:t xml:space="preserve"> Australian financial services firms currently face when operating in the UK. For example, the Chapter includes provisions that promote transparency in the authorisation procedures necessary to supply financial services and improves access to self-regulatory organisations, where access is necessary to supply a financial service in the UK. </w:t>
      </w:r>
    </w:p>
    <w:p w14:paraId="5CABA2B9" w14:textId="77777777" w:rsidR="00420C33" w:rsidRDefault="00420C33" w:rsidP="00420C33">
      <w:pPr>
        <w:pStyle w:val="ListParagraph"/>
        <w:ind w:left="360"/>
        <w:rPr>
          <w:sz w:val="24"/>
          <w:szCs w:val="24"/>
        </w:rPr>
      </w:pPr>
    </w:p>
    <w:p w14:paraId="3F8E8AB8" w14:textId="77777777" w:rsidR="00420C33" w:rsidRDefault="00420C33" w:rsidP="00420C33">
      <w:pPr>
        <w:pStyle w:val="ListParagraph"/>
        <w:numPr>
          <w:ilvl w:val="0"/>
          <w:numId w:val="1"/>
        </w:numPr>
        <w:ind w:left="567" w:hanging="567"/>
        <w:rPr>
          <w:sz w:val="24"/>
          <w:szCs w:val="24"/>
        </w:rPr>
      </w:pPr>
      <w:r>
        <w:rPr>
          <w:sz w:val="24"/>
          <w:szCs w:val="24"/>
        </w:rPr>
        <w:t xml:space="preserve">Financial technology (FinTech) services continue to develop rapidly in both Australia and the UK. Provisions on innovative financial services will enable new financial services or financial services delivered via new technologies to be supplied in each other’s territory, subject to domestic regulatory requirements. </w:t>
      </w:r>
    </w:p>
    <w:p w14:paraId="5A6C83D1" w14:textId="77777777" w:rsidR="00420C33" w:rsidRDefault="00420C33" w:rsidP="00420C33">
      <w:pPr>
        <w:pStyle w:val="ListParagraph"/>
        <w:ind w:left="567"/>
        <w:rPr>
          <w:sz w:val="24"/>
          <w:szCs w:val="24"/>
        </w:rPr>
      </w:pPr>
    </w:p>
    <w:p w14:paraId="1009D400" w14:textId="77777777" w:rsidR="00420C33" w:rsidRDefault="00420C33" w:rsidP="00420C33">
      <w:pPr>
        <w:pStyle w:val="ListParagraph"/>
        <w:numPr>
          <w:ilvl w:val="0"/>
          <w:numId w:val="1"/>
        </w:numPr>
        <w:ind w:left="567" w:hanging="567"/>
        <w:rPr>
          <w:sz w:val="24"/>
          <w:szCs w:val="24"/>
        </w:rPr>
      </w:pPr>
      <w:r>
        <w:rPr>
          <w:sz w:val="24"/>
          <w:szCs w:val="24"/>
        </w:rPr>
        <w:t>A dedicated sectoral Regulatory Cooperation Annex will further enhance the relationship between our financial services regulators, promote financial stability, fair and competitive markets and will enable increased cooperation on emerging issues in the sector. A sustainable finance provision will set out an inclusive list of environmental considerations financial service suppliers may consider as part of their business model.</w:t>
      </w:r>
    </w:p>
    <w:p w14:paraId="6416CD21" w14:textId="77777777" w:rsidR="00420C33" w:rsidRDefault="00420C33" w:rsidP="00420C33">
      <w:pPr>
        <w:pStyle w:val="ListParagraph"/>
        <w:rPr>
          <w:sz w:val="24"/>
          <w:szCs w:val="24"/>
        </w:rPr>
      </w:pPr>
    </w:p>
    <w:p w14:paraId="59C84F9E" w14:textId="6F69C409" w:rsidR="00420C33" w:rsidRDefault="00420C33" w:rsidP="00420C33">
      <w:pPr>
        <w:pStyle w:val="ListParagraph"/>
        <w:numPr>
          <w:ilvl w:val="0"/>
          <w:numId w:val="1"/>
        </w:numPr>
        <w:ind w:left="567" w:hanging="567"/>
        <w:rPr>
          <w:sz w:val="24"/>
          <w:szCs w:val="24"/>
        </w:rPr>
      </w:pPr>
      <w:r>
        <w:rPr>
          <w:sz w:val="24"/>
          <w:szCs w:val="24"/>
        </w:rPr>
        <w:t>Both the UK and Australia will make high</w:t>
      </w:r>
      <w:r w:rsidR="000230A6">
        <w:rPr>
          <w:sz w:val="24"/>
          <w:szCs w:val="24"/>
        </w:rPr>
        <w:t>-</w:t>
      </w:r>
      <w:r>
        <w:rPr>
          <w:sz w:val="24"/>
          <w:szCs w:val="24"/>
        </w:rPr>
        <w:t>quality negative list financial services commitments in the FTA, including at the State and Territory level. Commitments against ratchet will capture any future liberalisation in the sectors committed</w:t>
      </w:r>
      <w:r w:rsidR="000230A6">
        <w:rPr>
          <w:sz w:val="24"/>
          <w:szCs w:val="24"/>
        </w:rPr>
        <w:t xml:space="preserve"> thus future-proofing the FTA</w:t>
      </w:r>
      <w:r>
        <w:rPr>
          <w:sz w:val="24"/>
          <w:szCs w:val="24"/>
        </w:rPr>
        <w:t>. The UK and Australia will also make ne</w:t>
      </w:r>
      <w:r w:rsidR="000230A6">
        <w:rPr>
          <w:sz w:val="24"/>
          <w:szCs w:val="24"/>
        </w:rPr>
        <w:t>w</w:t>
      </w:r>
      <w:r>
        <w:rPr>
          <w:sz w:val="24"/>
          <w:szCs w:val="24"/>
        </w:rPr>
        <w:t xml:space="preserve"> cross-border market access commitments in the insurance sector, including in credit and suretyship, land vehicles, fire and natural forces and general liability sectors as well as commitments in the portfolio management services. These commitments will expand opportunities for suppliers to provide cross-border financial services into Australia and into the UK.</w:t>
      </w:r>
    </w:p>
    <w:p w14:paraId="644E66D8" w14:textId="004B9E17" w:rsidR="00826464" w:rsidRPr="00F7366F" w:rsidRDefault="00826464" w:rsidP="00F7366F">
      <w:pPr>
        <w:rPr>
          <w:b/>
          <w:bCs/>
          <w:i/>
          <w:iCs/>
          <w:sz w:val="24"/>
          <w:szCs w:val="24"/>
        </w:rPr>
      </w:pPr>
      <w:r w:rsidRPr="003F7FED">
        <w:rPr>
          <w:b/>
          <w:bCs/>
          <w:i/>
          <w:iCs/>
          <w:sz w:val="24"/>
          <w:szCs w:val="24"/>
        </w:rPr>
        <w:t>Impact on telecommunications services</w:t>
      </w:r>
    </w:p>
    <w:p w14:paraId="52B11F9F" w14:textId="5AA39FA3" w:rsidR="00D734B6" w:rsidRPr="00D734B6" w:rsidRDefault="00D734B6" w:rsidP="00206944">
      <w:pPr>
        <w:pStyle w:val="ListParagraph"/>
        <w:numPr>
          <w:ilvl w:val="0"/>
          <w:numId w:val="1"/>
        </w:numPr>
        <w:ind w:left="567" w:hanging="567"/>
        <w:rPr>
          <w:sz w:val="24"/>
          <w:szCs w:val="24"/>
        </w:rPr>
      </w:pPr>
      <w:r w:rsidRPr="00D734B6">
        <w:rPr>
          <w:sz w:val="24"/>
          <w:szCs w:val="24"/>
        </w:rPr>
        <w:t xml:space="preserve">Australia and the UK have agreed to </w:t>
      </w:r>
      <w:r>
        <w:rPr>
          <w:sz w:val="24"/>
          <w:szCs w:val="24"/>
        </w:rPr>
        <w:t xml:space="preserve">‘lock-in’ rules that </w:t>
      </w:r>
      <w:r w:rsidRPr="00D734B6">
        <w:rPr>
          <w:sz w:val="24"/>
          <w:szCs w:val="24"/>
        </w:rPr>
        <w:t>ensure service suppliers of both countries have access to and use of public telecommunications networks or services</w:t>
      </w:r>
      <w:r>
        <w:rPr>
          <w:sz w:val="24"/>
          <w:szCs w:val="24"/>
        </w:rPr>
        <w:t>. The commitment includes access that is timely and on</w:t>
      </w:r>
      <w:r w:rsidRPr="00D734B6">
        <w:rPr>
          <w:sz w:val="24"/>
          <w:szCs w:val="24"/>
        </w:rPr>
        <w:t xml:space="preserve"> reasonable, </w:t>
      </w:r>
      <w:proofErr w:type="gramStart"/>
      <w:r w:rsidRPr="00D734B6">
        <w:rPr>
          <w:sz w:val="24"/>
          <w:szCs w:val="24"/>
        </w:rPr>
        <w:t>transparent</w:t>
      </w:r>
      <w:proofErr w:type="gramEnd"/>
      <w:r w:rsidRPr="00D734B6">
        <w:rPr>
          <w:sz w:val="24"/>
          <w:szCs w:val="24"/>
        </w:rPr>
        <w:t xml:space="preserve"> and non-discriminatory terms and conditions. </w:t>
      </w:r>
      <w:r>
        <w:rPr>
          <w:sz w:val="24"/>
          <w:szCs w:val="24"/>
        </w:rPr>
        <w:t xml:space="preserve">Other commitments in the telecommunications chapter improve the position for </w:t>
      </w:r>
      <w:r w:rsidR="00153E03">
        <w:rPr>
          <w:sz w:val="24"/>
          <w:szCs w:val="24"/>
        </w:rPr>
        <w:t xml:space="preserve">new market entrants as they provide </w:t>
      </w:r>
      <w:r w:rsidRPr="00D734B6">
        <w:rPr>
          <w:sz w:val="24"/>
          <w:szCs w:val="24"/>
        </w:rPr>
        <w:t>competitive safeguards and approaches to regulation that prevent anti-competitive practices including through ensuring non-discriminatory treatment.</w:t>
      </w:r>
      <w:r>
        <w:rPr>
          <w:sz w:val="24"/>
          <w:szCs w:val="24"/>
        </w:rPr>
        <w:t xml:space="preserve"> </w:t>
      </w:r>
      <w:r w:rsidR="000230A6">
        <w:rPr>
          <w:sz w:val="24"/>
          <w:szCs w:val="24"/>
        </w:rPr>
        <w:t>This is an improvement on the status quo as it provides new market entrants from both countries with a guarantee of the conditions that will be in place when they enter each other</w:t>
      </w:r>
      <w:r w:rsidR="000F518B">
        <w:rPr>
          <w:sz w:val="24"/>
          <w:szCs w:val="24"/>
        </w:rPr>
        <w:t>’</w:t>
      </w:r>
      <w:r w:rsidR="000230A6">
        <w:rPr>
          <w:sz w:val="24"/>
          <w:szCs w:val="24"/>
        </w:rPr>
        <w:t xml:space="preserve">s market and access </w:t>
      </w:r>
      <w:r w:rsidR="000F518B">
        <w:rPr>
          <w:sz w:val="24"/>
          <w:szCs w:val="24"/>
        </w:rPr>
        <w:t xml:space="preserve">to </w:t>
      </w:r>
      <w:r w:rsidR="000230A6">
        <w:rPr>
          <w:sz w:val="24"/>
          <w:szCs w:val="24"/>
        </w:rPr>
        <w:t xml:space="preserve">this information in one location. </w:t>
      </w:r>
    </w:p>
    <w:p w14:paraId="7016FCE3" w14:textId="77777777" w:rsidR="00D734B6" w:rsidRDefault="00D734B6" w:rsidP="00D734B6">
      <w:pPr>
        <w:pStyle w:val="ListParagraph"/>
        <w:ind w:left="360"/>
        <w:rPr>
          <w:sz w:val="24"/>
          <w:szCs w:val="24"/>
        </w:rPr>
      </w:pPr>
    </w:p>
    <w:p w14:paraId="39708884" w14:textId="6A6C7BCC" w:rsidR="005A19C1" w:rsidRPr="00B86050" w:rsidRDefault="00D734B6" w:rsidP="00B86050">
      <w:pPr>
        <w:pStyle w:val="ListParagraph"/>
        <w:numPr>
          <w:ilvl w:val="0"/>
          <w:numId w:val="1"/>
        </w:numPr>
        <w:ind w:left="567" w:hanging="567"/>
        <w:rPr>
          <w:sz w:val="24"/>
          <w:szCs w:val="24"/>
        </w:rPr>
      </w:pPr>
      <w:r>
        <w:rPr>
          <w:sz w:val="24"/>
          <w:szCs w:val="24"/>
        </w:rPr>
        <w:t>In addition,</w:t>
      </w:r>
      <w:r w:rsidRPr="00D734B6">
        <w:rPr>
          <w:sz w:val="24"/>
          <w:szCs w:val="24"/>
        </w:rPr>
        <w:t xml:space="preserve"> </w:t>
      </w:r>
      <w:r w:rsidR="006B1A10">
        <w:rPr>
          <w:sz w:val="24"/>
          <w:szCs w:val="24"/>
        </w:rPr>
        <w:t xml:space="preserve">the chapter includes </w:t>
      </w:r>
      <w:r w:rsidRPr="00D734B6">
        <w:rPr>
          <w:sz w:val="24"/>
          <w:szCs w:val="24"/>
        </w:rPr>
        <w:t>provisions that promote transparent and reasonable international mobile roaming</w:t>
      </w:r>
      <w:r w:rsidR="00EF6A53">
        <w:rPr>
          <w:sz w:val="24"/>
          <w:szCs w:val="24"/>
        </w:rPr>
        <w:t xml:space="preserve"> (IMR)</w:t>
      </w:r>
      <w:r w:rsidRPr="00D734B6">
        <w:rPr>
          <w:sz w:val="24"/>
          <w:szCs w:val="24"/>
        </w:rPr>
        <w:t xml:space="preserve"> rates</w:t>
      </w:r>
      <w:r w:rsidR="00AA014E">
        <w:rPr>
          <w:sz w:val="24"/>
          <w:szCs w:val="24"/>
        </w:rPr>
        <w:t xml:space="preserve"> and provisions that</w:t>
      </w:r>
      <w:r w:rsidRPr="00D734B6">
        <w:rPr>
          <w:sz w:val="24"/>
          <w:szCs w:val="24"/>
        </w:rPr>
        <w:t xml:space="preserve"> </w:t>
      </w:r>
      <w:r w:rsidR="00153E03">
        <w:rPr>
          <w:sz w:val="24"/>
          <w:szCs w:val="24"/>
        </w:rPr>
        <w:t xml:space="preserve">provide </w:t>
      </w:r>
      <w:r w:rsidRPr="00D734B6">
        <w:rPr>
          <w:sz w:val="24"/>
          <w:szCs w:val="24"/>
        </w:rPr>
        <w:t xml:space="preserve">steps to ensure that retail rates and alternatives to roaming are easily accessible for consumers and businesses. </w:t>
      </w:r>
      <w:r w:rsidR="00AA014E">
        <w:rPr>
          <w:sz w:val="24"/>
          <w:szCs w:val="24"/>
        </w:rPr>
        <w:t xml:space="preserve">These provisions </w:t>
      </w:r>
      <w:r w:rsidR="00AA014E" w:rsidRPr="00AA014E">
        <w:rPr>
          <w:sz w:val="24"/>
          <w:szCs w:val="24"/>
        </w:rPr>
        <w:t>do</w:t>
      </w:r>
      <w:r w:rsidR="00AA014E">
        <w:rPr>
          <w:sz w:val="24"/>
          <w:szCs w:val="24"/>
        </w:rPr>
        <w:t xml:space="preserve"> not</w:t>
      </w:r>
      <w:r w:rsidR="00AA014E" w:rsidRPr="00AA014E">
        <w:rPr>
          <w:sz w:val="24"/>
          <w:szCs w:val="24"/>
        </w:rPr>
        <w:t xml:space="preserve"> require Australia to change any of its existing settings and </w:t>
      </w:r>
      <w:r w:rsidR="00AA014E">
        <w:rPr>
          <w:sz w:val="24"/>
          <w:szCs w:val="24"/>
        </w:rPr>
        <w:t>are</w:t>
      </w:r>
      <w:r w:rsidR="00AA014E" w:rsidRPr="00AA014E">
        <w:rPr>
          <w:sz w:val="24"/>
          <w:szCs w:val="24"/>
        </w:rPr>
        <w:t xml:space="preserve"> unlikely to </w:t>
      </w:r>
      <w:r w:rsidR="00AA014E">
        <w:rPr>
          <w:sz w:val="24"/>
          <w:szCs w:val="24"/>
        </w:rPr>
        <w:t xml:space="preserve">significantly </w:t>
      </w:r>
      <w:r w:rsidR="00AA014E" w:rsidRPr="00AA014E">
        <w:rPr>
          <w:sz w:val="24"/>
          <w:szCs w:val="24"/>
        </w:rPr>
        <w:t xml:space="preserve">impact </w:t>
      </w:r>
      <w:r w:rsidR="00AA014E">
        <w:rPr>
          <w:sz w:val="24"/>
          <w:szCs w:val="24"/>
        </w:rPr>
        <w:t xml:space="preserve">mobile network operators </w:t>
      </w:r>
      <w:r w:rsidR="00AA014E" w:rsidRPr="00AA014E">
        <w:rPr>
          <w:sz w:val="24"/>
          <w:szCs w:val="24"/>
        </w:rPr>
        <w:t>or consumers</w:t>
      </w:r>
      <w:r w:rsidR="005A3F94">
        <w:rPr>
          <w:sz w:val="24"/>
          <w:szCs w:val="24"/>
        </w:rPr>
        <w:t xml:space="preserve"> in Australia</w:t>
      </w:r>
      <w:r w:rsidR="00AA014E" w:rsidRPr="00AA014E">
        <w:rPr>
          <w:sz w:val="24"/>
          <w:szCs w:val="24"/>
        </w:rPr>
        <w:t>.</w:t>
      </w:r>
      <w:r w:rsidR="00EF6A53">
        <w:rPr>
          <w:sz w:val="24"/>
          <w:szCs w:val="24"/>
        </w:rPr>
        <w:t xml:space="preserve"> </w:t>
      </w:r>
      <w:r w:rsidR="00D86199" w:rsidRPr="00EF6A53">
        <w:rPr>
          <w:sz w:val="24"/>
          <w:szCs w:val="24"/>
        </w:rPr>
        <w:t>T</w:t>
      </w:r>
      <w:r w:rsidR="005A3F94" w:rsidRPr="00EF6A53">
        <w:rPr>
          <w:sz w:val="24"/>
          <w:szCs w:val="24"/>
        </w:rPr>
        <w:t xml:space="preserve">he provisions </w:t>
      </w:r>
      <w:r w:rsidR="00D86199" w:rsidRPr="00EF6A53">
        <w:rPr>
          <w:sz w:val="24"/>
          <w:szCs w:val="24"/>
        </w:rPr>
        <w:t xml:space="preserve">are </w:t>
      </w:r>
      <w:r w:rsidR="005A3F94" w:rsidRPr="00EF6A53">
        <w:rPr>
          <w:sz w:val="24"/>
          <w:szCs w:val="24"/>
        </w:rPr>
        <w:t xml:space="preserve">consistent with </w:t>
      </w:r>
      <w:r w:rsidR="00AA014E" w:rsidRPr="00EF6A53">
        <w:rPr>
          <w:sz w:val="24"/>
          <w:szCs w:val="24"/>
        </w:rPr>
        <w:t xml:space="preserve">existing legal obligations on </w:t>
      </w:r>
      <w:r w:rsidR="005A3F94" w:rsidRPr="00EF6A53">
        <w:rPr>
          <w:sz w:val="24"/>
          <w:szCs w:val="24"/>
        </w:rPr>
        <w:t>mobile network operators</w:t>
      </w:r>
      <w:r w:rsidR="00AA014E" w:rsidRPr="00EF6A53">
        <w:rPr>
          <w:sz w:val="24"/>
          <w:szCs w:val="24"/>
        </w:rPr>
        <w:t xml:space="preserve"> in Australia</w:t>
      </w:r>
      <w:r w:rsidR="005A3F94" w:rsidRPr="00EF6A53">
        <w:rPr>
          <w:sz w:val="24"/>
          <w:szCs w:val="24"/>
        </w:rPr>
        <w:t xml:space="preserve">, </w:t>
      </w:r>
      <w:proofErr w:type="gramStart"/>
      <w:r w:rsidR="005A3F94" w:rsidRPr="00EF6A53">
        <w:rPr>
          <w:sz w:val="24"/>
          <w:szCs w:val="24"/>
        </w:rPr>
        <w:t>in particular</w:t>
      </w:r>
      <w:r w:rsidR="00AA014E" w:rsidRPr="00EF6A53">
        <w:rPr>
          <w:sz w:val="24"/>
          <w:szCs w:val="24"/>
        </w:rPr>
        <w:t xml:space="preserve"> regarding</w:t>
      </w:r>
      <w:proofErr w:type="gramEnd"/>
      <w:r w:rsidR="00AA014E" w:rsidRPr="00EF6A53">
        <w:rPr>
          <w:sz w:val="24"/>
          <w:szCs w:val="24"/>
        </w:rPr>
        <w:t xml:space="preserve"> transparency. </w:t>
      </w:r>
      <w:r w:rsidR="00EF6A53" w:rsidRPr="00EF6A53">
        <w:rPr>
          <w:sz w:val="24"/>
          <w:szCs w:val="24"/>
        </w:rPr>
        <w:t>This includes t</w:t>
      </w:r>
      <w:r w:rsidR="00AA014E" w:rsidRPr="00EF6A53">
        <w:rPr>
          <w:sz w:val="24"/>
          <w:szCs w:val="24"/>
        </w:rPr>
        <w:t xml:space="preserve">he Telecommunications Consumer Protection Code </w:t>
      </w:r>
      <w:r w:rsidR="00EF6A53" w:rsidRPr="00EF6A53">
        <w:rPr>
          <w:sz w:val="24"/>
          <w:szCs w:val="24"/>
        </w:rPr>
        <w:t>and</w:t>
      </w:r>
      <w:r w:rsidR="00AA014E" w:rsidRPr="00EF6A53">
        <w:rPr>
          <w:sz w:val="24"/>
          <w:szCs w:val="24"/>
        </w:rPr>
        <w:t xml:space="preserve"> the</w:t>
      </w:r>
      <w:r w:rsidR="00EF6A53" w:rsidRPr="00EF6A53">
        <w:rPr>
          <w:sz w:val="24"/>
          <w:szCs w:val="24"/>
        </w:rPr>
        <w:t xml:space="preserve"> </w:t>
      </w:r>
      <w:r w:rsidR="00AA014E" w:rsidRPr="00EF6A53">
        <w:rPr>
          <w:sz w:val="24"/>
          <w:szCs w:val="24"/>
        </w:rPr>
        <w:t>2019 IMR Determination</w:t>
      </w:r>
      <w:r w:rsidR="00EF6A53" w:rsidRPr="00EF6A53">
        <w:rPr>
          <w:sz w:val="24"/>
          <w:szCs w:val="24"/>
        </w:rPr>
        <w:t xml:space="preserve">. </w:t>
      </w:r>
    </w:p>
    <w:p w14:paraId="42E8F267" w14:textId="77777777" w:rsidR="004B3E31" w:rsidRPr="00886F06" w:rsidRDefault="004B3E31" w:rsidP="004B3E31">
      <w:pPr>
        <w:rPr>
          <w:b/>
          <w:bCs/>
          <w:i/>
          <w:iCs/>
          <w:sz w:val="24"/>
          <w:szCs w:val="24"/>
        </w:rPr>
      </w:pPr>
      <w:r w:rsidRPr="00886F06">
        <w:rPr>
          <w:b/>
          <w:bCs/>
          <w:i/>
          <w:iCs/>
          <w:sz w:val="24"/>
          <w:szCs w:val="24"/>
        </w:rPr>
        <w:t>Impact on professional services</w:t>
      </w:r>
    </w:p>
    <w:p w14:paraId="7DA83979" w14:textId="7054B441" w:rsidR="004B3E31" w:rsidRPr="00826464" w:rsidRDefault="00E127BF" w:rsidP="00206944">
      <w:pPr>
        <w:pStyle w:val="ListParagraph"/>
        <w:numPr>
          <w:ilvl w:val="0"/>
          <w:numId w:val="1"/>
        </w:numPr>
        <w:ind w:left="567" w:hanging="567"/>
        <w:rPr>
          <w:sz w:val="24"/>
          <w:szCs w:val="24"/>
        </w:rPr>
      </w:pPr>
      <w:r>
        <w:rPr>
          <w:sz w:val="24"/>
          <w:szCs w:val="24"/>
        </w:rPr>
        <w:t>As well as services market access commitments, t</w:t>
      </w:r>
      <w:r w:rsidR="004B3E31" w:rsidRPr="00886F06">
        <w:rPr>
          <w:sz w:val="24"/>
          <w:szCs w:val="24"/>
        </w:rPr>
        <w:t>he agreement provides a practical best</w:t>
      </w:r>
      <w:r>
        <w:rPr>
          <w:sz w:val="24"/>
          <w:szCs w:val="24"/>
        </w:rPr>
        <w:t>-</w:t>
      </w:r>
      <w:r w:rsidR="004B3E31" w:rsidRPr="00886F06">
        <w:rPr>
          <w:sz w:val="24"/>
          <w:szCs w:val="24"/>
        </w:rPr>
        <w:t xml:space="preserve">practice framework </w:t>
      </w:r>
      <w:r w:rsidR="0033000E">
        <w:rPr>
          <w:sz w:val="24"/>
          <w:szCs w:val="24"/>
        </w:rPr>
        <w:t xml:space="preserve">for professional bodies to draw on when working with their counterparts </w:t>
      </w:r>
      <w:r w:rsidR="004B3E31" w:rsidRPr="00886F06">
        <w:rPr>
          <w:sz w:val="24"/>
          <w:szCs w:val="24"/>
        </w:rPr>
        <w:t xml:space="preserve">to improve the two-way movement of professionals. </w:t>
      </w:r>
      <w:r w:rsidR="0033000E">
        <w:rPr>
          <w:sz w:val="24"/>
          <w:szCs w:val="24"/>
        </w:rPr>
        <w:t>Current b</w:t>
      </w:r>
      <w:r w:rsidR="004B3E31" w:rsidRPr="00886F06">
        <w:rPr>
          <w:sz w:val="24"/>
          <w:szCs w:val="24"/>
        </w:rPr>
        <w:t xml:space="preserve">ehind the border barriers, particularly licensing and registration requirements and </w:t>
      </w:r>
      <w:r w:rsidR="002062F7" w:rsidRPr="00886F06">
        <w:rPr>
          <w:sz w:val="24"/>
          <w:szCs w:val="24"/>
        </w:rPr>
        <w:t>process</w:t>
      </w:r>
      <w:r w:rsidR="002062F7">
        <w:rPr>
          <w:sz w:val="24"/>
          <w:szCs w:val="24"/>
        </w:rPr>
        <w:t>es</w:t>
      </w:r>
      <w:r w:rsidR="004B3E31">
        <w:rPr>
          <w:sz w:val="24"/>
          <w:szCs w:val="24"/>
        </w:rPr>
        <w:t>,</w:t>
      </w:r>
      <w:r w:rsidR="004B3E31" w:rsidRPr="00886F06">
        <w:rPr>
          <w:sz w:val="24"/>
          <w:szCs w:val="24"/>
        </w:rPr>
        <w:t xml:space="preserve"> </w:t>
      </w:r>
      <w:r w:rsidR="0033000E">
        <w:rPr>
          <w:sz w:val="24"/>
          <w:szCs w:val="24"/>
        </w:rPr>
        <w:t xml:space="preserve">can </w:t>
      </w:r>
      <w:r w:rsidR="004B3E31" w:rsidRPr="00886F06">
        <w:rPr>
          <w:sz w:val="24"/>
          <w:szCs w:val="24"/>
        </w:rPr>
        <w:t>impose barriers for professional service</w:t>
      </w:r>
      <w:r w:rsidR="004B3E31">
        <w:rPr>
          <w:sz w:val="24"/>
          <w:szCs w:val="24"/>
        </w:rPr>
        <w:t xml:space="preserve"> </w:t>
      </w:r>
      <w:r w:rsidR="004B3E31" w:rsidRPr="00886F06">
        <w:rPr>
          <w:sz w:val="24"/>
          <w:szCs w:val="24"/>
        </w:rPr>
        <w:t>providers. Th</w:t>
      </w:r>
      <w:r w:rsidR="004B3E31">
        <w:rPr>
          <w:sz w:val="24"/>
          <w:szCs w:val="24"/>
        </w:rPr>
        <w:t>e proposed</w:t>
      </w:r>
      <w:r w:rsidR="002062F7">
        <w:rPr>
          <w:sz w:val="24"/>
          <w:szCs w:val="24"/>
        </w:rPr>
        <w:t xml:space="preserve"> </w:t>
      </w:r>
      <w:r w:rsidR="004B3E31" w:rsidRPr="00886F06">
        <w:rPr>
          <w:sz w:val="24"/>
          <w:szCs w:val="24"/>
        </w:rPr>
        <w:t xml:space="preserve">agreement will </w:t>
      </w:r>
      <w:r w:rsidR="004B3E31" w:rsidRPr="00886F06">
        <w:rPr>
          <w:sz w:val="24"/>
          <w:szCs w:val="24"/>
        </w:rPr>
        <w:lastRenderedPageBreak/>
        <w:t>provide a practical framework</w:t>
      </w:r>
      <w:r w:rsidR="0033000E">
        <w:rPr>
          <w:sz w:val="24"/>
          <w:szCs w:val="24"/>
        </w:rPr>
        <w:t xml:space="preserve"> for</w:t>
      </w:r>
      <w:r w:rsidR="004B3E31" w:rsidRPr="00886F06">
        <w:rPr>
          <w:sz w:val="24"/>
          <w:szCs w:val="24"/>
        </w:rPr>
        <w:t xml:space="preserve"> </w:t>
      </w:r>
      <w:r w:rsidR="0033000E" w:rsidRPr="00886F06">
        <w:rPr>
          <w:sz w:val="24"/>
          <w:szCs w:val="24"/>
        </w:rPr>
        <w:t>professional services regulatory and accreditation bodies</w:t>
      </w:r>
      <w:r w:rsidR="0033000E">
        <w:rPr>
          <w:sz w:val="24"/>
          <w:szCs w:val="24"/>
        </w:rPr>
        <w:t xml:space="preserve"> to use</w:t>
      </w:r>
      <w:r w:rsidR="0033000E" w:rsidRPr="00886F06">
        <w:rPr>
          <w:sz w:val="24"/>
          <w:szCs w:val="24"/>
        </w:rPr>
        <w:t xml:space="preserve"> </w:t>
      </w:r>
      <w:r w:rsidR="004B3E31">
        <w:rPr>
          <w:sz w:val="24"/>
          <w:szCs w:val="24"/>
        </w:rPr>
        <w:t>to reduce or eliminate</w:t>
      </w:r>
      <w:r w:rsidR="004B3E31" w:rsidRPr="00886F06">
        <w:rPr>
          <w:sz w:val="24"/>
          <w:szCs w:val="24"/>
        </w:rPr>
        <w:t xml:space="preserve"> </w:t>
      </w:r>
      <w:r w:rsidR="004B3E31">
        <w:rPr>
          <w:sz w:val="24"/>
          <w:szCs w:val="24"/>
        </w:rPr>
        <w:t>these</w:t>
      </w:r>
      <w:r w:rsidR="004B3E31" w:rsidRPr="00886F06">
        <w:rPr>
          <w:sz w:val="24"/>
          <w:szCs w:val="24"/>
        </w:rPr>
        <w:t xml:space="preserve"> barriers through direct collaboration </w:t>
      </w:r>
      <w:r w:rsidR="0033000E">
        <w:rPr>
          <w:sz w:val="24"/>
          <w:szCs w:val="24"/>
        </w:rPr>
        <w:t>with their counterpart</w:t>
      </w:r>
      <w:r w:rsidR="000F518B">
        <w:rPr>
          <w:sz w:val="24"/>
          <w:szCs w:val="24"/>
        </w:rPr>
        <w:t>s</w:t>
      </w:r>
      <w:r w:rsidR="0033000E">
        <w:rPr>
          <w:sz w:val="24"/>
          <w:szCs w:val="24"/>
        </w:rPr>
        <w:t xml:space="preserve">. </w:t>
      </w:r>
      <w:r w:rsidR="004B3E31" w:rsidRPr="00886F06">
        <w:rPr>
          <w:sz w:val="24"/>
          <w:szCs w:val="24"/>
        </w:rPr>
        <w:t xml:space="preserve"> </w:t>
      </w:r>
    </w:p>
    <w:p w14:paraId="25401899" w14:textId="77777777" w:rsidR="00F3029C" w:rsidRDefault="00F3029C" w:rsidP="00F3029C">
      <w:pPr>
        <w:pStyle w:val="Heading2"/>
      </w:pPr>
      <w:bookmarkStart w:id="42" w:name="_Toc88748499"/>
      <w:r>
        <w:t>The impact of key services and investment market access outcomes</w:t>
      </w:r>
      <w:bookmarkEnd w:id="42"/>
    </w:p>
    <w:p w14:paraId="26FC6BA4" w14:textId="77777777" w:rsidR="00F3029C" w:rsidRDefault="00F3029C" w:rsidP="00F3029C"/>
    <w:p w14:paraId="3CBA460C" w14:textId="57D62CE6" w:rsidR="00F3029C" w:rsidRPr="00F3029C" w:rsidRDefault="00F3029C" w:rsidP="00F3029C">
      <w:pPr>
        <w:rPr>
          <w:b/>
          <w:bCs/>
          <w:i/>
          <w:iCs/>
          <w:sz w:val="24"/>
          <w:szCs w:val="24"/>
        </w:rPr>
      </w:pPr>
      <w:r w:rsidRPr="00F3029C">
        <w:rPr>
          <w:b/>
          <w:bCs/>
          <w:i/>
          <w:iCs/>
          <w:sz w:val="24"/>
          <w:szCs w:val="24"/>
        </w:rPr>
        <w:t>Effect on the cross-border import and export of services</w:t>
      </w:r>
    </w:p>
    <w:p w14:paraId="511E2189" w14:textId="7409837D" w:rsidR="00F3029C" w:rsidRPr="00F3029C" w:rsidRDefault="00F3029C" w:rsidP="00F3029C">
      <w:pPr>
        <w:pStyle w:val="ListParagraph"/>
        <w:numPr>
          <w:ilvl w:val="0"/>
          <w:numId w:val="1"/>
        </w:numPr>
        <w:ind w:left="567" w:hanging="567"/>
        <w:rPr>
          <w:sz w:val="24"/>
          <w:szCs w:val="24"/>
        </w:rPr>
      </w:pPr>
      <w:r w:rsidRPr="00F3029C">
        <w:rPr>
          <w:sz w:val="24"/>
          <w:szCs w:val="24"/>
        </w:rPr>
        <w:t>Australia</w:t>
      </w:r>
      <w:bookmarkStart w:id="43" w:name="_Hlk83300672"/>
      <w:r w:rsidR="00E127BF">
        <w:rPr>
          <w:sz w:val="24"/>
          <w:szCs w:val="24"/>
        </w:rPr>
        <w:t xml:space="preserve">’s </w:t>
      </w:r>
      <w:r w:rsidRPr="00F3029C">
        <w:rPr>
          <w:sz w:val="24"/>
          <w:szCs w:val="24"/>
        </w:rPr>
        <w:t>high-quality, negative list services commitments in the agreement exceed the commitments we made to the UK under the WTO General Agreement on Trade in Services (GATS) but are broadly consistent with Australia’s commitments for the central level of government in our modern FTAs.</w:t>
      </w:r>
      <w:bookmarkEnd w:id="43"/>
    </w:p>
    <w:p w14:paraId="0BF9632F" w14:textId="77777777" w:rsidR="00F3029C" w:rsidRPr="00F3029C" w:rsidRDefault="00F3029C" w:rsidP="00F3029C">
      <w:pPr>
        <w:pStyle w:val="ListParagraph"/>
        <w:ind w:left="360"/>
        <w:rPr>
          <w:sz w:val="24"/>
          <w:szCs w:val="24"/>
        </w:rPr>
      </w:pPr>
      <w:r w:rsidRPr="00F3029C">
        <w:rPr>
          <w:sz w:val="24"/>
          <w:szCs w:val="24"/>
        </w:rPr>
        <w:t xml:space="preserve"> </w:t>
      </w:r>
    </w:p>
    <w:p w14:paraId="795EB074" w14:textId="64F57102" w:rsidR="00F3029C" w:rsidRPr="00F3029C" w:rsidRDefault="00F3029C" w:rsidP="00F3029C">
      <w:pPr>
        <w:pStyle w:val="ListParagraph"/>
        <w:numPr>
          <w:ilvl w:val="0"/>
          <w:numId w:val="1"/>
        </w:numPr>
        <w:ind w:left="567" w:hanging="567"/>
        <w:rPr>
          <w:sz w:val="24"/>
          <w:szCs w:val="24"/>
        </w:rPr>
      </w:pPr>
      <w:r w:rsidRPr="00F3029C">
        <w:rPr>
          <w:sz w:val="24"/>
          <w:szCs w:val="24"/>
        </w:rPr>
        <w:t xml:space="preserve">Our State and Territory commitments against the Market Access discipline </w:t>
      </w:r>
      <w:r w:rsidR="00E127BF">
        <w:rPr>
          <w:sz w:val="24"/>
          <w:szCs w:val="24"/>
        </w:rPr>
        <w:t>are</w:t>
      </w:r>
      <w:r w:rsidRPr="00F3029C">
        <w:rPr>
          <w:sz w:val="24"/>
          <w:szCs w:val="24"/>
        </w:rPr>
        <w:t xml:space="preserve"> listed through individual entries across both Annex I (which covers existing measures) and Annex II (which provides policy space for future and existing measures) for the first time. This approach reflects regulatory practice across the States and Territories and does not represent a shift in existing obligations for businesses, community organisations or individuals that relate to the import or export of services.</w:t>
      </w:r>
    </w:p>
    <w:p w14:paraId="1815A94A" w14:textId="77777777" w:rsidR="00F3029C" w:rsidRPr="00F3029C" w:rsidRDefault="00F3029C" w:rsidP="00F3029C">
      <w:pPr>
        <w:pStyle w:val="ListParagraph"/>
        <w:ind w:left="567"/>
        <w:rPr>
          <w:sz w:val="24"/>
          <w:szCs w:val="24"/>
        </w:rPr>
      </w:pPr>
    </w:p>
    <w:p w14:paraId="1BA5E0A7" w14:textId="56BFD32F" w:rsidR="00F3029C" w:rsidRPr="00F3029C" w:rsidRDefault="00F3029C" w:rsidP="00F3029C">
      <w:pPr>
        <w:pStyle w:val="ListParagraph"/>
        <w:numPr>
          <w:ilvl w:val="0"/>
          <w:numId w:val="1"/>
        </w:numPr>
        <w:ind w:left="567" w:hanging="567"/>
        <w:rPr>
          <w:sz w:val="24"/>
          <w:szCs w:val="24"/>
        </w:rPr>
      </w:pPr>
      <w:r w:rsidRPr="00F3029C">
        <w:rPr>
          <w:sz w:val="24"/>
          <w:szCs w:val="24"/>
        </w:rPr>
        <w:t xml:space="preserve">The UK’s services market access commitments represent improvements beyond GATS in sectors of key commercial interest for Australian business, including business, communication and broadcasting, </w:t>
      </w:r>
      <w:proofErr w:type="gramStart"/>
      <w:r w:rsidRPr="00F3029C">
        <w:rPr>
          <w:sz w:val="24"/>
          <w:szCs w:val="24"/>
        </w:rPr>
        <w:t>construction</w:t>
      </w:r>
      <w:proofErr w:type="gramEnd"/>
      <w:r w:rsidRPr="00F3029C">
        <w:rPr>
          <w:sz w:val="24"/>
          <w:szCs w:val="24"/>
        </w:rPr>
        <w:t xml:space="preserve"> and related engineering, environmental, tourism and travel related, and transport services. </w:t>
      </w:r>
    </w:p>
    <w:p w14:paraId="45A82F0C" w14:textId="77777777" w:rsidR="00F3029C" w:rsidRPr="00F3029C" w:rsidRDefault="00F3029C" w:rsidP="00F3029C">
      <w:pPr>
        <w:pStyle w:val="ListParagraph"/>
        <w:ind w:left="567"/>
        <w:rPr>
          <w:sz w:val="24"/>
          <w:szCs w:val="24"/>
        </w:rPr>
      </w:pPr>
    </w:p>
    <w:p w14:paraId="6021CB08" w14:textId="77777777" w:rsidR="00F3029C" w:rsidRPr="00F3029C" w:rsidRDefault="00F3029C" w:rsidP="00F3029C">
      <w:pPr>
        <w:pStyle w:val="ListParagraph"/>
        <w:numPr>
          <w:ilvl w:val="0"/>
          <w:numId w:val="1"/>
        </w:numPr>
        <w:ind w:left="567" w:hanging="567"/>
        <w:rPr>
          <w:sz w:val="24"/>
          <w:szCs w:val="24"/>
        </w:rPr>
      </w:pPr>
      <w:r w:rsidRPr="00F3029C">
        <w:rPr>
          <w:sz w:val="24"/>
          <w:szCs w:val="24"/>
        </w:rPr>
        <w:t>The UK has agreed to lock-in and not adversely modify existing regulatory practice across most services sectors, subject to some limited reservations. Commitments against MFN and ratchet, which protects Australia's competitive position if the UK extends more beneficial treatment to another party, will also capture any future liberalisation in these sectors and pass on to Australian service suppliers the benefits of the UK’s future FTAs.</w:t>
      </w:r>
    </w:p>
    <w:p w14:paraId="0B76CC6C" w14:textId="79AA4CB3" w:rsidR="00F3029C" w:rsidRPr="00F863A4" w:rsidRDefault="00F3029C" w:rsidP="00F3029C">
      <w:pPr>
        <w:rPr>
          <w:b/>
          <w:bCs/>
          <w:i/>
          <w:iCs/>
          <w:sz w:val="24"/>
          <w:szCs w:val="24"/>
        </w:rPr>
      </w:pPr>
      <w:r w:rsidRPr="00F863A4">
        <w:rPr>
          <w:b/>
          <w:bCs/>
          <w:i/>
          <w:iCs/>
          <w:sz w:val="24"/>
          <w:szCs w:val="24"/>
        </w:rPr>
        <w:t>Effect on inbound and outbound investment across all sectors</w:t>
      </w:r>
    </w:p>
    <w:p w14:paraId="7FDA79A7" w14:textId="36FD3BA9" w:rsidR="00F3029C" w:rsidRDefault="00F3029C" w:rsidP="00F3029C">
      <w:pPr>
        <w:pStyle w:val="ListParagraph"/>
        <w:numPr>
          <w:ilvl w:val="0"/>
          <w:numId w:val="1"/>
        </w:numPr>
        <w:ind w:left="567" w:hanging="567"/>
        <w:rPr>
          <w:sz w:val="24"/>
          <w:szCs w:val="24"/>
        </w:rPr>
      </w:pPr>
      <w:bookmarkStart w:id="44" w:name="_Hlk82522853"/>
      <w:r>
        <w:rPr>
          <w:sz w:val="24"/>
          <w:szCs w:val="24"/>
        </w:rPr>
        <w:t xml:space="preserve">As with services, the commitments outlined above are made subject to existing law, </w:t>
      </w:r>
      <w:proofErr w:type="gramStart"/>
      <w:r>
        <w:rPr>
          <w:sz w:val="24"/>
          <w:szCs w:val="24"/>
        </w:rPr>
        <w:t>regulation</w:t>
      </w:r>
      <w:proofErr w:type="gramEnd"/>
      <w:r>
        <w:rPr>
          <w:sz w:val="24"/>
          <w:szCs w:val="24"/>
        </w:rPr>
        <w:t xml:space="preserve"> and policy. The AU-UK FTA will not create additional or substantively modify existing obligations for businesses, community organisations or individuals that relate to investment. The agreement will instead impose obligations on the Australian and UK Governments, including to ‘lock-in’ current levels of liberalisation and not modify existing regulation in particular economic sectors in a way that would lessen that level of liberalisation. Further improvements in liberalisation levels would be captured by the agreement Australia will make high-quality, negative list investment commitments which represent our most complete commitments in an FTA. </w:t>
      </w:r>
    </w:p>
    <w:p w14:paraId="7B79F426" w14:textId="77777777" w:rsidR="00F3029C" w:rsidRDefault="00F3029C" w:rsidP="00F3029C">
      <w:pPr>
        <w:pStyle w:val="ListParagraph"/>
        <w:ind w:left="360"/>
        <w:rPr>
          <w:sz w:val="24"/>
          <w:szCs w:val="24"/>
        </w:rPr>
      </w:pPr>
    </w:p>
    <w:p w14:paraId="10985902" w14:textId="2B66332E" w:rsidR="00F3029C" w:rsidRDefault="00F3029C" w:rsidP="00F3029C">
      <w:pPr>
        <w:pStyle w:val="ListParagraph"/>
        <w:numPr>
          <w:ilvl w:val="0"/>
          <w:numId w:val="1"/>
        </w:numPr>
        <w:ind w:left="567" w:hanging="567"/>
        <w:rPr>
          <w:sz w:val="24"/>
          <w:szCs w:val="24"/>
        </w:rPr>
      </w:pPr>
      <w:r>
        <w:rPr>
          <w:sz w:val="24"/>
          <w:szCs w:val="24"/>
        </w:rPr>
        <w:t xml:space="preserve">For the first time in an FTA, our State and Territory commitments against the investment market access rule, as well as against national treatment, MFN, and the rules on senior managers and boards of directors will be listed through entries across </w:t>
      </w:r>
      <w:r>
        <w:rPr>
          <w:sz w:val="24"/>
          <w:szCs w:val="24"/>
        </w:rPr>
        <w:lastRenderedPageBreak/>
        <w:t>both Annex I (which exempts listed existing measures) and Annex II (which provides policy space for future and existing measures</w:t>
      </w:r>
      <w:r w:rsidR="00821F47">
        <w:rPr>
          <w:sz w:val="24"/>
          <w:szCs w:val="24"/>
        </w:rPr>
        <w:t>)</w:t>
      </w:r>
      <w:r>
        <w:rPr>
          <w:sz w:val="24"/>
          <w:szCs w:val="24"/>
        </w:rPr>
        <w:t xml:space="preserve">. This approach reflects current regulatory practice across the States and Territories and does not represent a shift in existing obligations for businesses, community organisations or individuals that relate to the investment.  </w:t>
      </w:r>
    </w:p>
    <w:p w14:paraId="3F9B574D" w14:textId="77777777" w:rsidR="00F3029C" w:rsidRDefault="00F3029C" w:rsidP="00F3029C">
      <w:pPr>
        <w:pStyle w:val="ListParagraph"/>
        <w:ind w:left="360"/>
        <w:rPr>
          <w:sz w:val="24"/>
          <w:szCs w:val="24"/>
        </w:rPr>
      </w:pPr>
    </w:p>
    <w:p w14:paraId="4570F9F1" w14:textId="77777777" w:rsidR="00F3029C" w:rsidRDefault="00F3029C" w:rsidP="00F3029C">
      <w:pPr>
        <w:pStyle w:val="ListParagraph"/>
        <w:numPr>
          <w:ilvl w:val="0"/>
          <w:numId w:val="1"/>
        </w:numPr>
        <w:ind w:left="567" w:hanging="567"/>
        <w:rPr>
          <w:sz w:val="24"/>
          <w:szCs w:val="24"/>
        </w:rPr>
      </w:pPr>
      <w:r>
        <w:rPr>
          <w:sz w:val="24"/>
          <w:szCs w:val="24"/>
        </w:rPr>
        <w:t xml:space="preserve">The approach adopted in the agreement, as outlined above, </w:t>
      </w:r>
      <w:bookmarkStart w:id="45" w:name="_Hlk83203660"/>
      <w:r>
        <w:rPr>
          <w:sz w:val="24"/>
          <w:szCs w:val="24"/>
        </w:rPr>
        <w:t>provides transparency about the treatment investors can expect</w:t>
      </w:r>
      <w:bookmarkEnd w:id="45"/>
      <w:r>
        <w:rPr>
          <w:sz w:val="24"/>
          <w:szCs w:val="24"/>
        </w:rPr>
        <w:t>, and a guarantee that favourable treatment will be maintained outside those areas where Governments have reserved their future freedom of action.</w:t>
      </w:r>
    </w:p>
    <w:bookmarkEnd w:id="44"/>
    <w:p w14:paraId="1A316BA5" w14:textId="77777777" w:rsidR="00F3029C" w:rsidRDefault="00F3029C" w:rsidP="00F3029C">
      <w:pPr>
        <w:pStyle w:val="ListParagraph"/>
        <w:rPr>
          <w:sz w:val="24"/>
          <w:szCs w:val="24"/>
        </w:rPr>
      </w:pPr>
    </w:p>
    <w:p w14:paraId="74FB4B4A" w14:textId="1F2A53D4" w:rsidR="00F3029C" w:rsidRDefault="00F3029C" w:rsidP="00F3029C">
      <w:pPr>
        <w:pStyle w:val="ListParagraph"/>
        <w:numPr>
          <w:ilvl w:val="0"/>
          <w:numId w:val="1"/>
        </w:numPr>
        <w:ind w:left="567" w:hanging="567"/>
        <w:rPr>
          <w:sz w:val="24"/>
          <w:szCs w:val="24"/>
        </w:rPr>
      </w:pPr>
      <w:bookmarkStart w:id="46" w:name="_Hlk83203767"/>
      <w:bookmarkStart w:id="47" w:name="_Hlk82523686"/>
      <w:r>
        <w:rPr>
          <w:sz w:val="24"/>
          <w:szCs w:val="24"/>
        </w:rPr>
        <w:t>Australia screens certain foreign investments to balance the need to welcome foreign investment against the need to reassure the community that the national interest is being protected by identifying and managing risks. The agreement includes provisions to preserve this balance, but to reduce unnecessary costs that may inhibit investment from the UK and the benefit it can bring to the Australian economy, both direct and indirect</w:t>
      </w:r>
      <w:bookmarkEnd w:id="46"/>
      <w:r>
        <w:rPr>
          <w:sz w:val="24"/>
          <w:szCs w:val="24"/>
        </w:rPr>
        <w:t xml:space="preserve">. On one hand, the agreement maintains Australia’s Foreign Investment Framework (Framework) and excludes recourse to the dispute settlement mechanism on decisions and requirements under the Framework, ensuring the government retains its discretion to review potentially sensitive foreign investment proposals, on national interest and national security grounds. On the other, the agreement proposes to apply national interest screening of less sensitive acquisitions by UK non-government investors at the same threshold at which it screens </w:t>
      </w:r>
      <w:proofErr w:type="gramStart"/>
      <w:r>
        <w:rPr>
          <w:sz w:val="24"/>
          <w:szCs w:val="24"/>
        </w:rPr>
        <w:t>less</w:t>
      </w:r>
      <w:proofErr w:type="gramEnd"/>
      <w:r>
        <w:rPr>
          <w:sz w:val="24"/>
          <w:szCs w:val="24"/>
        </w:rPr>
        <w:t xml:space="preserve"> sensitive acquisitions by agreement partner investors from CPTPP countries, that is at </w:t>
      </w:r>
      <w:r w:rsidR="00F863A4">
        <w:rPr>
          <w:sz w:val="24"/>
          <w:szCs w:val="24"/>
        </w:rPr>
        <w:t>A</w:t>
      </w:r>
      <w:r>
        <w:rPr>
          <w:sz w:val="24"/>
          <w:szCs w:val="24"/>
        </w:rPr>
        <w:t xml:space="preserve">$1.216 billion (indexed), rather than </w:t>
      </w:r>
      <w:r w:rsidR="00F863A4">
        <w:rPr>
          <w:sz w:val="24"/>
          <w:szCs w:val="24"/>
        </w:rPr>
        <w:t>A</w:t>
      </w:r>
      <w:r>
        <w:rPr>
          <w:sz w:val="24"/>
          <w:szCs w:val="24"/>
        </w:rPr>
        <w:t xml:space="preserve">$281 million.  </w:t>
      </w:r>
    </w:p>
    <w:p w14:paraId="6784587B" w14:textId="77777777" w:rsidR="00F3029C" w:rsidRDefault="00F3029C" w:rsidP="00F3029C">
      <w:pPr>
        <w:pStyle w:val="ListParagraph"/>
        <w:ind w:left="360"/>
        <w:rPr>
          <w:sz w:val="24"/>
          <w:szCs w:val="24"/>
        </w:rPr>
      </w:pPr>
    </w:p>
    <w:p w14:paraId="5B435799" w14:textId="77777777" w:rsidR="00F3029C" w:rsidRDefault="00F3029C" w:rsidP="00F3029C">
      <w:pPr>
        <w:pStyle w:val="ListParagraph"/>
        <w:numPr>
          <w:ilvl w:val="0"/>
          <w:numId w:val="1"/>
        </w:numPr>
        <w:ind w:left="567" w:hanging="567"/>
        <w:rPr>
          <w:sz w:val="24"/>
          <w:szCs w:val="24"/>
        </w:rPr>
      </w:pPr>
      <w:r>
        <w:rPr>
          <w:sz w:val="24"/>
          <w:szCs w:val="24"/>
        </w:rPr>
        <w:t xml:space="preserve">This increased screening threshold value is expected to have positive effects on UK investor interest in Australia, serving to promote investment beyond the effects anticipated through the other commitments outlined above. It is one of the investment-enhancing potential features of the proposed agreement that were highlighted by stakeholders of both Parties. Acquisitions by UK investors which qualify for the higher screening threshold will incur reduced cost compared to the pre-existing situation. Such costs include fees for screening, but also the cost of preparing applications, of the time required to secure approval, and of compliance with any conditions. Such reduction in the cost of undertaking </w:t>
      </w:r>
      <w:proofErr w:type="gramStart"/>
      <w:r>
        <w:rPr>
          <w:sz w:val="24"/>
          <w:szCs w:val="24"/>
        </w:rPr>
        <w:t>less</w:t>
      </w:r>
      <w:proofErr w:type="gramEnd"/>
      <w:r>
        <w:rPr>
          <w:sz w:val="24"/>
          <w:szCs w:val="24"/>
        </w:rPr>
        <w:t xml:space="preserve"> sensitive investments should decrease the cost of capital in Australia, at a time when foreign capital is expected to make an important contribution to our COVID recovery.  </w:t>
      </w:r>
    </w:p>
    <w:p w14:paraId="41847E85" w14:textId="77777777" w:rsidR="00F3029C" w:rsidRDefault="00F3029C" w:rsidP="00F3029C">
      <w:pPr>
        <w:pStyle w:val="ListParagraph"/>
        <w:ind w:left="360"/>
        <w:rPr>
          <w:sz w:val="24"/>
          <w:szCs w:val="24"/>
        </w:rPr>
      </w:pPr>
    </w:p>
    <w:p w14:paraId="12F68A69" w14:textId="77777777" w:rsidR="00F3029C" w:rsidRDefault="00F3029C" w:rsidP="00F3029C">
      <w:pPr>
        <w:pStyle w:val="ListParagraph"/>
        <w:numPr>
          <w:ilvl w:val="0"/>
          <w:numId w:val="1"/>
        </w:numPr>
        <w:ind w:left="567" w:hanging="567"/>
        <w:rPr>
          <w:sz w:val="24"/>
          <w:szCs w:val="24"/>
        </w:rPr>
      </w:pPr>
      <w:r>
        <w:rPr>
          <w:sz w:val="24"/>
          <w:szCs w:val="24"/>
        </w:rPr>
        <w:t xml:space="preserve">A reduction in the screening of UK investors’ acquisitions of less sensitive businesses would be expected to reduce the revenue obtained through application fees. At the same time, however, this reduction will also allow Australia to </w:t>
      </w:r>
      <w:proofErr w:type="gramStart"/>
      <w:r>
        <w:rPr>
          <w:sz w:val="24"/>
          <w:szCs w:val="24"/>
        </w:rPr>
        <w:t>more efficiently focus resources</w:t>
      </w:r>
      <w:proofErr w:type="gramEnd"/>
      <w:r>
        <w:rPr>
          <w:sz w:val="24"/>
          <w:szCs w:val="24"/>
        </w:rPr>
        <w:t xml:space="preserve"> on the screening of acquisitions that warrant the higher level of scrutiny, whether by UK investors or others. This is because there would be no change in </w:t>
      </w:r>
      <w:r>
        <w:rPr>
          <w:sz w:val="24"/>
          <w:szCs w:val="24"/>
        </w:rPr>
        <w:lastRenderedPageBreak/>
        <w:t xml:space="preserve">screening thresholds for sensitive businesses, such as media, telecommunications, </w:t>
      </w:r>
      <w:proofErr w:type="gramStart"/>
      <w:r>
        <w:rPr>
          <w:sz w:val="24"/>
          <w:szCs w:val="24"/>
        </w:rPr>
        <w:t>transport</w:t>
      </w:r>
      <w:proofErr w:type="gramEnd"/>
      <w:r>
        <w:rPr>
          <w:sz w:val="24"/>
          <w:szCs w:val="24"/>
        </w:rPr>
        <w:t xml:space="preserve"> and defence-related industries, or on grounds of national security. </w:t>
      </w:r>
    </w:p>
    <w:p w14:paraId="1728ACAC" w14:textId="77777777" w:rsidR="00F3029C" w:rsidRDefault="00F3029C" w:rsidP="00F3029C">
      <w:pPr>
        <w:pStyle w:val="ListParagraph"/>
        <w:ind w:left="360"/>
        <w:rPr>
          <w:sz w:val="24"/>
          <w:szCs w:val="24"/>
        </w:rPr>
      </w:pPr>
    </w:p>
    <w:p w14:paraId="0E7503C0" w14:textId="77777777" w:rsidR="00F3029C" w:rsidRPr="00EC5942" w:rsidRDefault="00F3029C" w:rsidP="00F3029C">
      <w:pPr>
        <w:pStyle w:val="ListParagraph"/>
        <w:numPr>
          <w:ilvl w:val="0"/>
          <w:numId w:val="1"/>
        </w:numPr>
        <w:ind w:left="567" w:hanging="567"/>
        <w:rPr>
          <w:sz w:val="24"/>
          <w:szCs w:val="24"/>
        </w:rPr>
      </w:pPr>
      <w:bookmarkStart w:id="48" w:name="_Hlk83300873"/>
      <w:r>
        <w:rPr>
          <w:sz w:val="24"/>
          <w:szCs w:val="24"/>
        </w:rPr>
        <w:t xml:space="preserve">While </w:t>
      </w:r>
      <w:bookmarkStart w:id="49" w:name="_Hlk83203803"/>
      <w:r>
        <w:rPr>
          <w:sz w:val="24"/>
          <w:szCs w:val="24"/>
        </w:rPr>
        <w:t>the UK is already a significant investor in Australia, with the third highest stock of foreign direct investment (A$123.5 billion in 2020)</w:t>
      </w:r>
      <w:bookmarkEnd w:id="49"/>
      <w:r>
        <w:rPr>
          <w:sz w:val="24"/>
          <w:szCs w:val="24"/>
        </w:rPr>
        <w:t>, the beneficial effect of preferential Foreign Investment Review Board screening thresholds, combined with added certainty through the commitments Australia has made, could result in even higher levels of UK investment across the Australian economy.</w:t>
      </w:r>
    </w:p>
    <w:bookmarkEnd w:id="47"/>
    <w:bookmarkEnd w:id="48"/>
    <w:p w14:paraId="3A1D983E" w14:textId="77777777" w:rsidR="00F3029C" w:rsidRDefault="00F3029C" w:rsidP="00F3029C">
      <w:pPr>
        <w:pStyle w:val="ListParagraph"/>
        <w:rPr>
          <w:sz w:val="24"/>
          <w:szCs w:val="24"/>
        </w:rPr>
      </w:pPr>
    </w:p>
    <w:p w14:paraId="678D0EE4" w14:textId="523027F3" w:rsidR="00F3029C" w:rsidRPr="00F3029C" w:rsidRDefault="00F3029C" w:rsidP="00F3029C">
      <w:pPr>
        <w:pStyle w:val="ListParagraph"/>
        <w:numPr>
          <w:ilvl w:val="0"/>
          <w:numId w:val="1"/>
        </w:numPr>
        <w:ind w:left="567" w:hanging="567"/>
        <w:rPr>
          <w:sz w:val="24"/>
          <w:szCs w:val="24"/>
        </w:rPr>
      </w:pPr>
      <w:r>
        <w:rPr>
          <w:sz w:val="24"/>
          <w:szCs w:val="24"/>
        </w:rPr>
        <w:t xml:space="preserve">The agreement extends the investment protections Australia has provided to other trade and investment partners to the UK on a reciprocal basis. These include a requirement to accord UK investors a minimum standard of treatment and an obligation not to expropriate investments without compensation, in accordance with principles of customary international law. Both Parties must also allow investors to make transfers relating to their investments. These provisions are complemented by modern safeguards regarding the State’s right to regulate. These features of Australia’s practice in relation to substantive investment protection provisions have been welcomed by stakeholders, including in responding to a call for submissions on the reform of Australia’s Bilateral Investment Treaties. In the course of this consultation, stakeholders called for Australia to update those treaties to reflect the more modern practice embodied in the agreement’s investment protection provisions, which better preserve the balance between protecting investors’ interests and encouraging investment on one </w:t>
      </w:r>
      <w:proofErr w:type="gramStart"/>
      <w:r>
        <w:rPr>
          <w:sz w:val="24"/>
          <w:szCs w:val="24"/>
        </w:rPr>
        <w:t>hand, and</w:t>
      </w:r>
      <w:proofErr w:type="gramEnd"/>
      <w:r>
        <w:rPr>
          <w:sz w:val="24"/>
          <w:szCs w:val="24"/>
        </w:rPr>
        <w:t xml:space="preserve"> preserving the government’s legitimate right to regulate on the other.  </w:t>
      </w:r>
    </w:p>
    <w:p w14:paraId="36329EB7" w14:textId="5FE0307F" w:rsidR="00F3029C" w:rsidRDefault="00F3029C" w:rsidP="00F3029C">
      <w:pPr>
        <w:pStyle w:val="Heading2"/>
      </w:pPr>
      <w:bookmarkStart w:id="50" w:name="_Toc88748500"/>
      <w:r>
        <w:t>The impact of key investment chapter outcomes</w:t>
      </w:r>
      <w:bookmarkEnd w:id="50"/>
    </w:p>
    <w:p w14:paraId="4EFF9325" w14:textId="77777777" w:rsidR="00F3029C" w:rsidRPr="00826464" w:rsidRDefault="00F3029C" w:rsidP="00F3029C">
      <w:pPr>
        <w:rPr>
          <w:b/>
          <w:bCs/>
          <w:i/>
          <w:iCs/>
          <w:sz w:val="24"/>
          <w:szCs w:val="24"/>
        </w:rPr>
      </w:pPr>
    </w:p>
    <w:p w14:paraId="3DBCC2EA" w14:textId="283F1929" w:rsidR="00F3029C" w:rsidRDefault="00F3029C" w:rsidP="00F3029C">
      <w:pPr>
        <w:pStyle w:val="ListParagraph"/>
        <w:numPr>
          <w:ilvl w:val="0"/>
          <w:numId w:val="1"/>
        </w:numPr>
        <w:ind w:left="567" w:hanging="567"/>
        <w:rPr>
          <w:sz w:val="24"/>
          <w:szCs w:val="24"/>
        </w:rPr>
      </w:pPr>
      <w:r>
        <w:rPr>
          <w:sz w:val="24"/>
          <w:szCs w:val="24"/>
        </w:rPr>
        <w:t>The investment outcomes in the agreement support an existing strong investment partnership and establish a foundation to maintain and grow that relationship.</w:t>
      </w:r>
      <w:r w:rsidR="00C15DC7">
        <w:rPr>
          <w:sz w:val="24"/>
          <w:szCs w:val="24"/>
        </w:rPr>
        <w:t xml:space="preserve"> </w:t>
      </w:r>
      <w:r w:rsidR="00C15DC7" w:rsidRPr="00C15DC7">
        <w:rPr>
          <w:sz w:val="24"/>
          <w:szCs w:val="24"/>
        </w:rPr>
        <w:t>The strength of this investment relationship shows mutual confidence in each other’s economy and commercial potential.</w:t>
      </w:r>
      <w:r>
        <w:rPr>
          <w:sz w:val="24"/>
          <w:szCs w:val="24"/>
        </w:rPr>
        <w:t xml:space="preserve"> The proposed AU-UK FTA provides </w:t>
      </w:r>
      <w:bookmarkStart w:id="51" w:name="_Hlk83300929"/>
      <w:r>
        <w:rPr>
          <w:sz w:val="24"/>
          <w:szCs w:val="24"/>
        </w:rPr>
        <w:t xml:space="preserve">high levels of guaranteed access to each other’s investment markets, high levels of investment protections and significant transparency regarding treatment for investors in each other’s markets.  </w:t>
      </w:r>
      <w:bookmarkEnd w:id="51"/>
    </w:p>
    <w:p w14:paraId="0D8E67FF" w14:textId="77777777" w:rsidR="00F3029C" w:rsidRDefault="00F3029C" w:rsidP="00F3029C">
      <w:pPr>
        <w:pStyle w:val="ListParagraph"/>
        <w:ind w:left="360"/>
        <w:rPr>
          <w:sz w:val="24"/>
          <w:szCs w:val="24"/>
        </w:rPr>
      </w:pPr>
    </w:p>
    <w:p w14:paraId="2B386513" w14:textId="42CCB580" w:rsidR="00F3029C" w:rsidRDefault="00F3029C" w:rsidP="00F3029C">
      <w:pPr>
        <w:pStyle w:val="ListParagraph"/>
        <w:numPr>
          <w:ilvl w:val="0"/>
          <w:numId w:val="1"/>
        </w:numPr>
        <w:ind w:left="567" w:hanging="567"/>
        <w:rPr>
          <w:sz w:val="24"/>
          <w:szCs w:val="24"/>
        </w:rPr>
      </w:pPr>
      <w:r>
        <w:rPr>
          <w:sz w:val="24"/>
          <w:szCs w:val="24"/>
        </w:rPr>
        <w:t xml:space="preserve">The certainty these elements bring to the Australia-UK investment relationship can encourage investment and support future investment growth by reinforcing Australia and </w:t>
      </w:r>
      <w:r w:rsidR="00821F47">
        <w:rPr>
          <w:sz w:val="24"/>
          <w:szCs w:val="24"/>
        </w:rPr>
        <w:t xml:space="preserve">the </w:t>
      </w:r>
      <w:r>
        <w:rPr>
          <w:sz w:val="24"/>
          <w:szCs w:val="24"/>
        </w:rPr>
        <w:t xml:space="preserve">UK’s reputation as attractive investment destinations. Importantly, the investment chapter includes portfolio as well as direct investment, a first for UK FTA practice which is significant given the substantial stake of Australian funds managers in the UK.  </w:t>
      </w:r>
    </w:p>
    <w:p w14:paraId="2D8A4FA9" w14:textId="77777777" w:rsidR="00F3029C" w:rsidRDefault="00F3029C" w:rsidP="00F3029C">
      <w:pPr>
        <w:pStyle w:val="ListParagraph"/>
        <w:ind w:left="360"/>
        <w:rPr>
          <w:sz w:val="24"/>
          <w:szCs w:val="24"/>
        </w:rPr>
      </w:pPr>
    </w:p>
    <w:p w14:paraId="2E1EE45B" w14:textId="77777777" w:rsidR="00F3029C" w:rsidRDefault="00F3029C" w:rsidP="00F3029C">
      <w:pPr>
        <w:pStyle w:val="ListParagraph"/>
        <w:numPr>
          <w:ilvl w:val="0"/>
          <w:numId w:val="1"/>
        </w:numPr>
        <w:ind w:left="567" w:hanging="567"/>
        <w:rPr>
          <w:sz w:val="24"/>
          <w:szCs w:val="24"/>
        </w:rPr>
      </w:pPr>
      <w:r>
        <w:rPr>
          <w:sz w:val="24"/>
          <w:szCs w:val="24"/>
        </w:rPr>
        <w:t xml:space="preserve">As with cross-border service supply, </w:t>
      </w:r>
      <w:bookmarkStart w:id="52" w:name="_Hlk83301041"/>
      <w:r>
        <w:rPr>
          <w:sz w:val="24"/>
          <w:szCs w:val="24"/>
        </w:rPr>
        <w:t xml:space="preserve">Australia and the UK make </w:t>
      </w:r>
      <w:bookmarkStart w:id="53" w:name="_Hlk83302081"/>
      <w:r>
        <w:rPr>
          <w:sz w:val="24"/>
          <w:szCs w:val="24"/>
        </w:rPr>
        <w:t xml:space="preserve">commitments to investors of the other Party to regulate them as favourably as Australian investors and </w:t>
      </w:r>
      <w:r>
        <w:rPr>
          <w:sz w:val="24"/>
          <w:szCs w:val="24"/>
        </w:rPr>
        <w:lastRenderedPageBreak/>
        <w:t xml:space="preserve">those of other countries (national treatment and MFN), guaranteeing best treatment to each other’s investors.  </w:t>
      </w:r>
      <w:bookmarkEnd w:id="52"/>
      <w:bookmarkEnd w:id="53"/>
    </w:p>
    <w:p w14:paraId="722B485A" w14:textId="77777777" w:rsidR="00F3029C" w:rsidRDefault="00F3029C" w:rsidP="00F3029C">
      <w:pPr>
        <w:pStyle w:val="ListParagraph"/>
        <w:ind w:left="360"/>
        <w:rPr>
          <w:sz w:val="24"/>
          <w:szCs w:val="24"/>
        </w:rPr>
      </w:pPr>
    </w:p>
    <w:p w14:paraId="0183A7F9" w14:textId="77777777" w:rsidR="00F3029C" w:rsidRDefault="00F3029C" w:rsidP="00F3029C">
      <w:pPr>
        <w:pStyle w:val="ListParagraph"/>
        <w:numPr>
          <w:ilvl w:val="0"/>
          <w:numId w:val="1"/>
        </w:numPr>
        <w:ind w:left="567" w:hanging="567"/>
        <w:rPr>
          <w:sz w:val="24"/>
          <w:szCs w:val="24"/>
        </w:rPr>
      </w:pPr>
      <w:r>
        <w:rPr>
          <w:sz w:val="24"/>
          <w:szCs w:val="24"/>
        </w:rPr>
        <w:t xml:space="preserve">Commitments not to introduce new regulation that may distort investment decisions and discourage investment are also included. These include affirmation of Australia’s existing commitments not to impose economic performance requirements as a condition of investment, including technology transfer. While such requirements are intended to secure the spill over benefits of foreign investment to the economy, they may in fact discourage the investment that would otherwise generate such benefits.  Australia and the UK may continue to provide incentives to invest in return for commitments that do not restrict or distort trade in goods. </w:t>
      </w:r>
    </w:p>
    <w:p w14:paraId="32CFB7ED" w14:textId="77777777" w:rsidR="00F3029C" w:rsidRDefault="00F3029C" w:rsidP="00F3029C">
      <w:pPr>
        <w:pStyle w:val="ListParagraph"/>
        <w:rPr>
          <w:sz w:val="24"/>
          <w:szCs w:val="24"/>
        </w:rPr>
      </w:pPr>
    </w:p>
    <w:p w14:paraId="65CFC8FA" w14:textId="1C797929" w:rsidR="00F3029C" w:rsidRPr="00B74969" w:rsidRDefault="00F3029C" w:rsidP="00F3029C">
      <w:pPr>
        <w:pStyle w:val="ListParagraph"/>
        <w:numPr>
          <w:ilvl w:val="0"/>
          <w:numId w:val="1"/>
        </w:numPr>
        <w:ind w:left="567" w:hanging="567"/>
        <w:rPr>
          <w:sz w:val="24"/>
          <w:szCs w:val="24"/>
        </w:rPr>
      </w:pPr>
      <w:r w:rsidRPr="00B74969">
        <w:rPr>
          <w:sz w:val="24"/>
          <w:szCs w:val="24"/>
        </w:rPr>
        <w:t xml:space="preserve">Australia has agreed to match the treatment the UK provides Australian investors in this regard in certain additional areas, where imposing such requirements may unjustifiably inhibit investment and cause net loss to the economy. These are requirements not to require an investor to conduct a specified value of research and development or to headquarter an enterprise in Australia.  As with existing performance requirement commitments, accepted means of encouraging positive spill overs - for instance the provision of tax incentives to encourage research and development – are not affected by these rules. Australia and the UK have also agreed to clarify their commitment not to restrict, </w:t>
      </w:r>
      <w:proofErr w:type="gramStart"/>
      <w:r w:rsidRPr="00B74969">
        <w:rPr>
          <w:sz w:val="24"/>
          <w:szCs w:val="24"/>
        </w:rPr>
        <w:t>on the basis of</w:t>
      </w:r>
      <w:proofErr w:type="gramEnd"/>
      <w:r w:rsidRPr="00B74969">
        <w:rPr>
          <w:sz w:val="24"/>
          <w:szCs w:val="24"/>
        </w:rPr>
        <w:t xml:space="preserve"> nationality or residency, the choices each other’s enterprises make when employing senior managers or appointing </w:t>
      </w:r>
      <w:r w:rsidR="00821F47">
        <w:rPr>
          <w:sz w:val="24"/>
          <w:szCs w:val="24"/>
        </w:rPr>
        <w:t>d</w:t>
      </w:r>
      <w:r w:rsidRPr="00B74969">
        <w:rPr>
          <w:sz w:val="24"/>
          <w:szCs w:val="24"/>
        </w:rPr>
        <w:t xml:space="preserve">irectors. </w:t>
      </w:r>
    </w:p>
    <w:p w14:paraId="6F5E07E8" w14:textId="77777777" w:rsidR="00F3029C" w:rsidRPr="00B74969" w:rsidRDefault="00F3029C" w:rsidP="00F3029C">
      <w:pPr>
        <w:pStyle w:val="ListParagraph"/>
        <w:rPr>
          <w:sz w:val="24"/>
          <w:szCs w:val="24"/>
        </w:rPr>
      </w:pPr>
    </w:p>
    <w:p w14:paraId="056232CA" w14:textId="77777777" w:rsidR="00F3029C" w:rsidRPr="00B74969" w:rsidRDefault="00F3029C" w:rsidP="00F3029C">
      <w:pPr>
        <w:pStyle w:val="ListParagraph"/>
        <w:numPr>
          <w:ilvl w:val="0"/>
          <w:numId w:val="1"/>
        </w:numPr>
        <w:ind w:left="567" w:hanging="567"/>
        <w:rPr>
          <w:sz w:val="24"/>
          <w:szCs w:val="24"/>
        </w:rPr>
      </w:pPr>
      <w:bookmarkStart w:id="54" w:name="_Hlk83301117"/>
      <w:r w:rsidRPr="00B74969">
        <w:rPr>
          <w:sz w:val="24"/>
          <w:szCs w:val="24"/>
        </w:rPr>
        <w:t xml:space="preserve">This clarification increases certainty for investors </w:t>
      </w:r>
      <w:bookmarkEnd w:id="54"/>
      <w:r w:rsidRPr="00B74969">
        <w:rPr>
          <w:sz w:val="24"/>
          <w:szCs w:val="24"/>
        </w:rPr>
        <w:t xml:space="preserve">and can lead to economic benefit where enterprises are free to retain the most appropriate managers and board members. At the same time, Australia’s existing measures on the residency and nationality of such personnel, for instance under the Corporations Act, or for iconic companies like Qantas, are preserved.     </w:t>
      </w:r>
    </w:p>
    <w:p w14:paraId="23432B41" w14:textId="77777777" w:rsidR="00F3029C" w:rsidRDefault="00F3029C" w:rsidP="00F3029C">
      <w:pPr>
        <w:pStyle w:val="ListParagraph"/>
        <w:rPr>
          <w:sz w:val="24"/>
          <w:szCs w:val="24"/>
        </w:rPr>
      </w:pPr>
    </w:p>
    <w:p w14:paraId="7637496D" w14:textId="53D04A51" w:rsidR="00F3029C" w:rsidRDefault="00F3029C" w:rsidP="00F3029C">
      <w:pPr>
        <w:pStyle w:val="ListParagraph"/>
        <w:numPr>
          <w:ilvl w:val="0"/>
          <w:numId w:val="1"/>
        </w:numPr>
        <w:ind w:left="567" w:hanging="567"/>
        <w:rPr>
          <w:sz w:val="24"/>
          <w:szCs w:val="24"/>
        </w:rPr>
      </w:pPr>
      <w:r>
        <w:rPr>
          <w:sz w:val="24"/>
          <w:szCs w:val="24"/>
        </w:rPr>
        <w:t xml:space="preserve">The proposed AU-UK FTA includes commitments not to introduce certain quantitative restrictions on access to the market for enterprises of the other party, such as limits on the number of enterprises in a sector. This is a longstanding commitment in relation to investors in the supply of services with its origin in the WTO. It will now extend to the benefit of Australian or UK investors across the whole economy.  </w:t>
      </w:r>
    </w:p>
    <w:p w14:paraId="7E67BD4A" w14:textId="77777777" w:rsidR="00F3029C" w:rsidRPr="00F3029C" w:rsidRDefault="00F3029C" w:rsidP="00F3029C">
      <w:pPr>
        <w:pStyle w:val="ListParagraph"/>
        <w:rPr>
          <w:sz w:val="24"/>
          <w:szCs w:val="24"/>
        </w:rPr>
      </w:pPr>
    </w:p>
    <w:p w14:paraId="582EA0BE" w14:textId="03459AEF" w:rsidR="00881D47" w:rsidRPr="005A19C1" w:rsidRDefault="00F3029C" w:rsidP="00881D47">
      <w:pPr>
        <w:pStyle w:val="ListParagraph"/>
        <w:numPr>
          <w:ilvl w:val="0"/>
          <w:numId w:val="1"/>
        </w:numPr>
        <w:ind w:left="567" w:hanging="567"/>
        <w:rPr>
          <w:sz w:val="24"/>
          <w:szCs w:val="24"/>
        </w:rPr>
      </w:pPr>
      <w:r w:rsidRPr="00F3029C">
        <w:rPr>
          <w:sz w:val="24"/>
          <w:szCs w:val="24"/>
        </w:rPr>
        <w:t xml:space="preserve"> The agreement will not include an Investor</w:t>
      </w:r>
      <w:r w:rsidR="00E127BF">
        <w:rPr>
          <w:sz w:val="24"/>
          <w:szCs w:val="24"/>
        </w:rPr>
        <w:t>-</w:t>
      </w:r>
      <w:r w:rsidRPr="00F3029C">
        <w:rPr>
          <w:sz w:val="24"/>
          <w:szCs w:val="24"/>
        </w:rPr>
        <w:t xml:space="preserve">State Dispute </w:t>
      </w:r>
      <w:r w:rsidR="00821F47">
        <w:rPr>
          <w:sz w:val="24"/>
          <w:szCs w:val="24"/>
        </w:rPr>
        <w:t xml:space="preserve">Settlement </w:t>
      </w:r>
      <w:r w:rsidRPr="00F3029C">
        <w:rPr>
          <w:sz w:val="24"/>
          <w:szCs w:val="24"/>
        </w:rPr>
        <w:t xml:space="preserve">Mechanism.  </w:t>
      </w:r>
    </w:p>
    <w:p w14:paraId="5055591B" w14:textId="4C0A5B19" w:rsidR="004B3E31" w:rsidRDefault="002062F7" w:rsidP="002062F7">
      <w:pPr>
        <w:pStyle w:val="Heading2"/>
      </w:pPr>
      <w:bookmarkStart w:id="55" w:name="_Toc88748501"/>
      <w:r>
        <w:t>The i</w:t>
      </w:r>
      <w:r w:rsidR="004B3E31" w:rsidRPr="00CF2AC5">
        <w:t>mpact o</w:t>
      </w:r>
      <w:r>
        <w:t>f</w:t>
      </w:r>
      <w:r w:rsidR="004B3E31" w:rsidRPr="00CF2AC5">
        <w:t xml:space="preserve"> </w:t>
      </w:r>
      <w:r w:rsidR="003E5450">
        <w:t xml:space="preserve">key </w:t>
      </w:r>
      <w:r w:rsidR="004B3E31" w:rsidRPr="00CF2AC5">
        <w:t>mobility</w:t>
      </w:r>
      <w:r>
        <w:t xml:space="preserve"> outcomes</w:t>
      </w:r>
      <w:bookmarkEnd w:id="55"/>
    </w:p>
    <w:p w14:paraId="36D92825" w14:textId="77777777" w:rsidR="002062F7" w:rsidRPr="00CF2AC5" w:rsidRDefault="002062F7" w:rsidP="004B3E31">
      <w:pPr>
        <w:rPr>
          <w:b/>
          <w:bCs/>
          <w:i/>
          <w:iCs/>
          <w:sz w:val="24"/>
          <w:szCs w:val="24"/>
        </w:rPr>
      </w:pPr>
    </w:p>
    <w:p w14:paraId="75485026" w14:textId="20DBE652" w:rsidR="004B3E31" w:rsidRDefault="004B3E31" w:rsidP="00206944">
      <w:pPr>
        <w:pStyle w:val="ListParagraph"/>
        <w:numPr>
          <w:ilvl w:val="0"/>
          <w:numId w:val="1"/>
        </w:numPr>
        <w:ind w:left="567" w:hanging="567"/>
        <w:rPr>
          <w:sz w:val="24"/>
          <w:szCs w:val="24"/>
        </w:rPr>
      </w:pPr>
      <w:r w:rsidRPr="00E37D50">
        <w:rPr>
          <w:sz w:val="24"/>
          <w:szCs w:val="24"/>
        </w:rPr>
        <w:t>Australia</w:t>
      </w:r>
      <w:r>
        <w:rPr>
          <w:sz w:val="24"/>
          <w:szCs w:val="24"/>
        </w:rPr>
        <w:t xml:space="preserve"> and </w:t>
      </w:r>
      <w:r w:rsidR="00E127BF">
        <w:rPr>
          <w:sz w:val="24"/>
          <w:szCs w:val="24"/>
        </w:rPr>
        <w:t xml:space="preserve">the </w:t>
      </w:r>
      <w:r w:rsidRPr="00E37D50">
        <w:rPr>
          <w:sz w:val="24"/>
          <w:szCs w:val="24"/>
        </w:rPr>
        <w:t>UK</w:t>
      </w:r>
      <w:r>
        <w:rPr>
          <w:sz w:val="24"/>
          <w:szCs w:val="24"/>
        </w:rPr>
        <w:t>’s</w:t>
      </w:r>
      <w:r w:rsidR="002062F7">
        <w:rPr>
          <w:sz w:val="24"/>
          <w:szCs w:val="24"/>
        </w:rPr>
        <w:t xml:space="preserve"> </w:t>
      </w:r>
      <w:r>
        <w:rPr>
          <w:sz w:val="24"/>
          <w:szCs w:val="24"/>
        </w:rPr>
        <w:t xml:space="preserve">historical </w:t>
      </w:r>
      <w:r w:rsidR="00E127BF">
        <w:rPr>
          <w:sz w:val="24"/>
          <w:szCs w:val="24"/>
        </w:rPr>
        <w:t>connections</w:t>
      </w:r>
      <w:r>
        <w:rPr>
          <w:sz w:val="24"/>
          <w:szCs w:val="24"/>
        </w:rPr>
        <w:t xml:space="preserve"> and high-level of cooperation across </w:t>
      </w:r>
      <w:r w:rsidR="00E127BF">
        <w:rPr>
          <w:sz w:val="24"/>
          <w:szCs w:val="24"/>
        </w:rPr>
        <w:t>many</w:t>
      </w:r>
      <w:r>
        <w:rPr>
          <w:sz w:val="24"/>
          <w:szCs w:val="24"/>
        </w:rPr>
        <w:t xml:space="preserve"> sectors mean</w:t>
      </w:r>
      <w:r w:rsidR="00E127BF">
        <w:rPr>
          <w:sz w:val="24"/>
          <w:szCs w:val="24"/>
        </w:rPr>
        <w:t>s</w:t>
      </w:r>
      <w:r>
        <w:rPr>
          <w:sz w:val="24"/>
          <w:szCs w:val="24"/>
        </w:rPr>
        <w:t xml:space="preserve"> there are already </w:t>
      </w:r>
      <w:r w:rsidR="005675A2">
        <w:rPr>
          <w:sz w:val="24"/>
          <w:szCs w:val="24"/>
        </w:rPr>
        <w:t>significant</w:t>
      </w:r>
      <w:r>
        <w:rPr>
          <w:sz w:val="24"/>
          <w:szCs w:val="24"/>
        </w:rPr>
        <w:t xml:space="preserve"> levels of mobility between the two countries. In 2019/20, personal travel</w:t>
      </w:r>
      <w:r w:rsidR="005675A2">
        <w:rPr>
          <w:sz w:val="24"/>
          <w:szCs w:val="24"/>
        </w:rPr>
        <w:t xml:space="preserve">, measured as a </w:t>
      </w:r>
      <w:r>
        <w:rPr>
          <w:sz w:val="24"/>
          <w:szCs w:val="24"/>
        </w:rPr>
        <w:t>services export to the UK</w:t>
      </w:r>
      <w:r w:rsidR="005675A2">
        <w:rPr>
          <w:sz w:val="24"/>
          <w:szCs w:val="24"/>
        </w:rPr>
        <w:t>, was</w:t>
      </w:r>
      <w:r>
        <w:rPr>
          <w:sz w:val="24"/>
          <w:szCs w:val="24"/>
        </w:rPr>
        <w:t xml:space="preserve"> valued at A$1.4 billion </w:t>
      </w:r>
      <w:r w:rsidR="005675A2">
        <w:rPr>
          <w:sz w:val="24"/>
          <w:szCs w:val="24"/>
        </w:rPr>
        <w:t>and</w:t>
      </w:r>
      <w:r>
        <w:rPr>
          <w:sz w:val="24"/>
          <w:szCs w:val="24"/>
        </w:rPr>
        <w:t xml:space="preserve"> professional, </w:t>
      </w:r>
      <w:proofErr w:type="gramStart"/>
      <w:r>
        <w:rPr>
          <w:sz w:val="24"/>
          <w:szCs w:val="24"/>
        </w:rPr>
        <w:t>technical</w:t>
      </w:r>
      <w:proofErr w:type="gramEnd"/>
      <w:r>
        <w:rPr>
          <w:sz w:val="24"/>
          <w:szCs w:val="24"/>
        </w:rPr>
        <w:t xml:space="preserve"> and other business travel </w:t>
      </w:r>
      <w:r w:rsidR="005675A2">
        <w:rPr>
          <w:sz w:val="24"/>
          <w:szCs w:val="24"/>
        </w:rPr>
        <w:t xml:space="preserve">was </w:t>
      </w:r>
      <w:r>
        <w:rPr>
          <w:sz w:val="24"/>
          <w:szCs w:val="24"/>
        </w:rPr>
        <w:lastRenderedPageBreak/>
        <w:t>valued at A$1.3 billion. In 2019/20, personal travel</w:t>
      </w:r>
      <w:r w:rsidR="005675A2">
        <w:rPr>
          <w:sz w:val="24"/>
          <w:szCs w:val="24"/>
        </w:rPr>
        <w:t xml:space="preserve">, measured as a </w:t>
      </w:r>
      <w:proofErr w:type="gramStart"/>
      <w:r>
        <w:rPr>
          <w:sz w:val="24"/>
          <w:szCs w:val="24"/>
        </w:rPr>
        <w:t>services</w:t>
      </w:r>
      <w:proofErr w:type="gramEnd"/>
      <w:r>
        <w:rPr>
          <w:sz w:val="24"/>
          <w:szCs w:val="24"/>
        </w:rPr>
        <w:t xml:space="preserve"> import from the UK, </w:t>
      </w:r>
      <w:r w:rsidR="005675A2">
        <w:rPr>
          <w:sz w:val="24"/>
          <w:szCs w:val="24"/>
        </w:rPr>
        <w:t xml:space="preserve">was </w:t>
      </w:r>
      <w:r>
        <w:rPr>
          <w:sz w:val="24"/>
          <w:szCs w:val="24"/>
        </w:rPr>
        <w:t xml:space="preserve">valued at A$2.9 billion </w:t>
      </w:r>
      <w:r w:rsidR="005675A2">
        <w:rPr>
          <w:sz w:val="24"/>
          <w:szCs w:val="24"/>
        </w:rPr>
        <w:t>and</w:t>
      </w:r>
      <w:r>
        <w:rPr>
          <w:sz w:val="24"/>
          <w:szCs w:val="24"/>
        </w:rPr>
        <w:t xml:space="preserve"> professional, technical and other business travel </w:t>
      </w:r>
      <w:r w:rsidR="005675A2">
        <w:rPr>
          <w:sz w:val="24"/>
          <w:szCs w:val="24"/>
        </w:rPr>
        <w:t xml:space="preserve">was </w:t>
      </w:r>
      <w:r>
        <w:rPr>
          <w:sz w:val="24"/>
          <w:szCs w:val="24"/>
        </w:rPr>
        <w:t>valued at A$1.5 billion</w:t>
      </w:r>
      <w:r>
        <w:rPr>
          <w:rStyle w:val="FootnoteReference"/>
          <w:sz w:val="24"/>
          <w:szCs w:val="24"/>
        </w:rPr>
        <w:footnoteReference w:id="76"/>
      </w:r>
      <w:r>
        <w:rPr>
          <w:sz w:val="24"/>
          <w:szCs w:val="24"/>
        </w:rPr>
        <w:t xml:space="preserve">. This data points to the </w:t>
      </w:r>
      <w:r w:rsidR="00E127BF">
        <w:rPr>
          <w:sz w:val="24"/>
          <w:szCs w:val="24"/>
        </w:rPr>
        <w:t>value</w:t>
      </w:r>
      <w:r>
        <w:rPr>
          <w:sz w:val="24"/>
          <w:szCs w:val="24"/>
        </w:rPr>
        <w:t xml:space="preserve"> of strong mobility outcomes to continue to grow </w:t>
      </w:r>
      <w:r w:rsidR="005675A2">
        <w:rPr>
          <w:sz w:val="24"/>
          <w:szCs w:val="24"/>
        </w:rPr>
        <w:t>these people-to-people links</w:t>
      </w:r>
      <w:r>
        <w:rPr>
          <w:sz w:val="24"/>
          <w:szCs w:val="24"/>
        </w:rPr>
        <w:t xml:space="preserve"> between the UK and Australia.</w:t>
      </w:r>
    </w:p>
    <w:p w14:paraId="7237BEDB" w14:textId="77777777" w:rsidR="004B3E31" w:rsidRPr="00E37D50" w:rsidRDefault="004B3E31" w:rsidP="004B3E31">
      <w:pPr>
        <w:pStyle w:val="ListParagraph"/>
        <w:ind w:left="360"/>
        <w:rPr>
          <w:sz w:val="24"/>
          <w:szCs w:val="24"/>
        </w:rPr>
      </w:pPr>
    </w:p>
    <w:p w14:paraId="5FA1DDE7" w14:textId="290FF29D" w:rsidR="004B3E31" w:rsidRPr="00417820" w:rsidRDefault="008E0622" w:rsidP="00206944">
      <w:pPr>
        <w:pStyle w:val="ListParagraph"/>
        <w:numPr>
          <w:ilvl w:val="0"/>
          <w:numId w:val="1"/>
        </w:numPr>
        <w:ind w:left="567" w:hanging="567"/>
        <w:rPr>
          <w:b/>
          <w:bCs/>
          <w:sz w:val="24"/>
          <w:szCs w:val="24"/>
        </w:rPr>
      </w:pPr>
      <w:r>
        <w:rPr>
          <w:sz w:val="24"/>
          <w:szCs w:val="24"/>
        </w:rPr>
        <w:t>In the year ending June 2021, t</w:t>
      </w:r>
      <w:r w:rsidR="004B3E31" w:rsidRPr="00243894">
        <w:rPr>
          <w:sz w:val="24"/>
          <w:szCs w:val="24"/>
        </w:rPr>
        <w:t xml:space="preserve">he UK </w:t>
      </w:r>
      <w:r>
        <w:rPr>
          <w:sz w:val="24"/>
          <w:szCs w:val="24"/>
        </w:rPr>
        <w:t>was</w:t>
      </w:r>
      <w:r w:rsidR="004B3E31">
        <w:rPr>
          <w:sz w:val="24"/>
          <w:szCs w:val="24"/>
        </w:rPr>
        <w:t xml:space="preserve"> </w:t>
      </w:r>
      <w:r w:rsidR="004B3E31" w:rsidRPr="00243894">
        <w:rPr>
          <w:sz w:val="24"/>
          <w:szCs w:val="24"/>
        </w:rPr>
        <w:t>Australia’s 3</w:t>
      </w:r>
      <w:r w:rsidR="004B3E31" w:rsidRPr="00243894">
        <w:rPr>
          <w:sz w:val="24"/>
          <w:szCs w:val="24"/>
          <w:vertAlign w:val="superscript"/>
        </w:rPr>
        <w:t>rd</w:t>
      </w:r>
      <w:r w:rsidR="004B3E31" w:rsidRPr="00243894">
        <w:rPr>
          <w:sz w:val="24"/>
          <w:szCs w:val="24"/>
        </w:rPr>
        <w:t xml:space="preserve"> largest market by short-term visitor arrivals. </w:t>
      </w:r>
      <w:r w:rsidR="004B3E31">
        <w:rPr>
          <w:sz w:val="24"/>
          <w:szCs w:val="24"/>
        </w:rPr>
        <w:t>More recently, b</w:t>
      </w:r>
      <w:r w:rsidR="004B3E31" w:rsidRPr="00243894">
        <w:rPr>
          <w:sz w:val="24"/>
          <w:szCs w:val="24"/>
        </w:rPr>
        <w:t xml:space="preserve">order closures </w:t>
      </w:r>
      <w:proofErr w:type="gramStart"/>
      <w:r w:rsidR="004B3E31" w:rsidRPr="00243894">
        <w:rPr>
          <w:sz w:val="24"/>
          <w:szCs w:val="24"/>
        </w:rPr>
        <w:t>as a result of</w:t>
      </w:r>
      <w:proofErr w:type="gramEnd"/>
      <w:r w:rsidR="004B3E31" w:rsidRPr="00243894">
        <w:rPr>
          <w:sz w:val="24"/>
          <w:szCs w:val="24"/>
        </w:rPr>
        <w:t xml:space="preserve"> COVID-19 ha</w:t>
      </w:r>
      <w:r w:rsidR="004B3E31">
        <w:rPr>
          <w:sz w:val="24"/>
          <w:szCs w:val="24"/>
        </w:rPr>
        <w:t>ve</w:t>
      </w:r>
      <w:r w:rsidR="004B3E31" w:rsidRPr="00243894">
        <w:rPr>
          <w:sz w:val="24"/>
          <w:szCs w:val="24"/>
        </w:rPr>
        <w:t xml:space="preserve"> had a</w:t>
      </w:r>
      <w:r w:rsidR="004B3E31">
        <w:rPr>
          <w:sz w:val="24"/>
          <w:szCs w:val="24"/>
        </w:rPr>
        <w:t xml:space="preserve">n </w:t>
      </w:r>
      <w:r w:rsidR="004B3E31" w:rsidRPr="00243894">
        <w:rPr>
          <w:sz w:val="24"/>
          <w:szCs w:val="24"/>
        </w:rPr>
        <w:t>impact on short</w:t>
      </w:r>
      <w:r w:rsidR="004B3E31">
        <w:rPr>
          <w:sz w:val="24"/>
          <w:szCs w:val="24"/>
        </w:rPr>
        <w:t>-</w:t>
      </w:r>
      <w:r w:rsidR="004B3E31" w:rsidRPr="00243894">
        <w:rPr>
          <w:sz w:val="24"/>
          <w:szCs w:val="24"/>
        </w:rPr>
        <w:t xml:space="preserve">term visitor arrivals. In the year ending </w:t>
      </w:r>
      <w:r>
        <w:rPr>
          <w:sz w:val="24"/>
          <w:szCs w:val="24"/>
        </w:rPr>
        <w:t>June</w:t>
      </w:r>
      <w:r w:rsidR="004B3E31" w:rsidRPr="00243894">
        <w:rPr>
          <w:sz w:val="24"/>
          <w:szCs w:val="24"/>
        </w:rPr>
        <w:t xml:space="preserve"> 2021, there were only </w:t>
      </w:r>
      <w:r w:rsidR="007D29B4">
        <w:rPr>
          <w:sz w:val="24"/>
          <w:szCs w:val="24"/>
        </w:rPr>
        <w:t>8,100</w:t>
      </w:r>
      <w:r w:rsidR="004B3E31" w:rsidRPr="00243894">
        <w:rPr>
          <w:sz w:val="24"/>
          <w:szCs w:val="24"/>
        </w:rPr>
        <w:t xml:space="preserve"> short-term visitors from the UK to Australia, a decrease of 9</w:t>
      </w:r>
      <w:r w:rsidR="007D29B4">
        <w:rPr>
          <w:sz w:val="24"/>
          <w:szCs w:val="24"/>
        </w:rPr>
        <w:t>8.6</w:t>
      </w:r>
      <w:r w:rsidR="004B3E31" w:rsidRPr="00243894">
        <w:rPr>
          <w:sz w:val="24"/>
          <w:szCs w:val="24"/>
        </w:rPr>
        <w:t xml:space="preserve"> per</w:t>
      </w:r>
      <w:r w:rsidR="007D29B4">
        <w:rPr>
          <w:sz w:val="24"/>
          <w:szCs w:val="24"/>
        </w:rPr>
        <w:t xml:space="preserve"> </w:t>
      </w:r>
      <w:r w:rsidR="004B3E31" w:rsidRPr="00243894">
        <w:rPr>
          <w:sz w:val="24"/>
          <w:szCs w:val="24"/>
        </w:rPr>
        <w:t>cent on the previous year</w:t>
      </w:r>
      <w:r w:rsidR="004B3E31">
        <w:rPr>
          <w:sz w:val="24"/>
          <w:szCs w:val="24"/>
        </w:rPr>
        <w:t xml:space="preserve"> and representing</w:t>
      </w:r>
      <w:r w:rsidR="004B3E31" w:rsidRPr="00961EB9">
        <w:rPr>
          <w:sz w:val="24"/>
          <w:szCs w:val="24"/>
        </w:rPr>
        <w:t xml:space="preserve"> a </w:t>
      </w:r>
      <w:r w:rsidR="007D29B4">
        <w:rPr>
          <w:sz w:val="24"/>
          <w:szCs w:val="24"/>
        </w:rPr>
        <w:t>5.38</w:t>
      </w:r>
      <w:r w:rsidR="004B3E31" w:rsidRPr="00961EB9">
        <w:rPr>
          <w:sz w:val="24"/>
          <w:szCs w:val="24"/>
        </w:rPr>
        <w:t xml:space="preserve"> per</w:t>
      </w:r>
      <w:r w:rsidR="004B3E31">
        <w:rPr>
          <w:sz w:val="24"/>
          <w:szCs w:val="24"/>
        </w:rPr>
        <w:t xml:space="preserve"> </w:t>
      </w:r>
      <w:r w:rsidR="004B3E31" w:rsidRPr="00961EB9">
        <w:rPr>
          <w:sz w:val="24"/>
          <w:szCs w:val="24"/>
        </w:rPr>
        <w:t xml:space="preserve">cent share of </w:t>
      </w:r>
      <w:r w:rsidR="004B3E31">
        <w:rPr>
          <w:sz w:val="24"/>
          <w:szCs w:val="24"/>
        </w:rPr>
        <w:t>the market</w:t>
      </w:r>
      <w:r w:rsidR="004B3E31" w:rsidRPr="00243894">
        <w:rPr>
          <w:sz w:val="24"/>
          <w:szCs w:val="24"/>
        </w:rPr>
        <w:t xml:space="preserve">. </w:t>
      </w:r>
      <w:r w:rsidR="004B3E31">
        <w:rPr>
          <w:sz w:val="24"/>
          <w:szCs w:val="24"/>
        </w:rPr>
        <w:t xml:space="preserve">By contrast, in the year ending </w:t>
      </w:r>
      <w:r w:rsidR="007D29B4">
        <w:rPr>
          <w:sz w:val="24"/>
          <w:szCs w:val="24"/>
        </w:rPr>
        <w:t xml:space="preserve">June </w:t>
      </w:r>
      <w:r w:rsidR="004B3E31">
        <w:rPr>
          <w:sz w:val="24"/>
          <w:szCs w:val="24"/>
        </w:rPr>
        <w:t xml:space="preserve">2020, there were </w:t>
      </w:r>
      <w:r w:rsidR="007D29B4">
        <w:rPr>
          <w:sz w:val="24"/>
          <w:szCs w:val="24"/>
        </w:rPr>
        <w:t>562,3</w:t>
      </w:r>
      <w:r w:rsidR="004B3E31">
        <w:rPr>
          <w:sz w:val="24"/>
          <w:szCs w:val="24"/>
        </w:rPr>
        <w:t>00 visitor arrivals from the UK, representing a 7.8 per cent share of the market.</w:t>
      </w:r>
      <w:r w:rsidR="004B3E31">
        <w:rPr>
          <w:rStyle w:val="FootnoteReference"/>
          <w:sz w:val="24"/>
          <w:szCs w:val="24"/>
        </w:rPr>
        <w:footnoteReference w:id="77"/>
      </w:r>
    </w:p>
    <w:p w14:paraId="0AD52A2E" w14:textId="77777777" w:rsidR="00417820" w:rsidRPr="00417820" w:rsidRDefault="00417820" w:rsidP="00417820">
      <w:pPr>
        <w:pStyle w:val="ListParagraph"/>
        <w:rPr>
          <w:b/>
          <w:bCs/>
          <w:sz w:val="24"/>
          <w:szCs w:val="24"/>
        </w:rPr>
      </w:pPr>
    </w:p>
    <w:p w14:paraId="0BF09FA0" w14:textId="0B031A07" w:rsidR="00417820" w:rsidRPr="000A06C3" w:rsidRDefault="00417820" w:rsidP="00417820">
      <w:pPr>
        <w:pStyle w:val="ListParagraph"/>
        <w:numPr>
          <w:ilvl w:val="0"/>
          <w:numId w:val="1"/>
        </w:numPr>
        <w:ind w:left="567" w:hanging="567"/>
        <w:rPr>
          <w:b/>
          <w:bCs/>
          <w:sz w:val="24"/>
          <w:szCs w:val="24"/>
        </w:rPr>
      </w:pPr>
      <w:r w:rsidRPr="00961EB9">
        <w:rPr>
          <w:sz w:val="24"/>
          <w:szCs w:val="24"/>
        </w:rPr>
        <w:t xml:space="preserve">Equally, the UK is Australia’s </w:t>
      </w:r>
      <w:r>
        <w:rPr>
          <w:sz w:val="24"/>
          <w:szCs w:val="24"/>
        </w:rPr>
        <w:t>3rd</w:t>
      </w:r>
      <w:r w:rsidRPr="00961EB9">
        <w:rPr>
          <w:sz w:val="24"/>
          <w:szCs w:val="24"/>
        </w:rPr>
        <w:t xml:space="preserve"> </w:t>
      </w:r>
      <w:r>
        <w:rPr>
          <w:sz w:val="24"/>
          <w:szCs w:val="24"/>
        </w:rPr>
        <w:t>highest</w:t>
      </w:r>
      <w:r w:rsidRPr="00961EB9">
        <w:rPr>
          <w:sz w:val="24"/>
          <w:szCs w:val="24"/>
        </w:rPr>
        <w:t xml:space="preserve"> </w:t>
      </w:r>
      <w:r>
        <w:rPr>
          <w:sz w:val="24"/>
          <w:szCs w:val="24"/>
        </w:rPr>
        <w:t>source for</w:t>
      </w:r>
      <w:r w:rsidRPr="00961EB9">
        <w:rPr>
          <w:sz w:val="24"/>
          <w:szCs w:val="24"/>
        </w:rPr>
        <w:t xml:space="preserve"> short-term resident return</w:t>
      </w:r>
      <w:r>
        <w:rPr>
          <w:sz w:val="24"/>
          <w:szCs w:val="24"/>
        </w:rPr>
        <w:t>s</w:t>
      </w:r>
      <w:r w:rsidRPr="00961EB9">
        <w:rPr>
          <w:sz w:val="24"/>
          <w:szCs w:val="24"/>
        </w:rPr>
        <w:t xml:space="preserve">. In the year ending </w:t>
      </w:r>
      <w:r>
        <w:rPr>
          <w:sz w:val="24"/>
          <w:szCs w:val="24"/>
        </w:rPr>
        <w:t>June</w:t>
      </w:r>
      <w:r w:rsidRPr="00961EB9">
        <w:rPr>
          <w:sz w:val="24"/>
          <w:szCs w:val="24"/>
        </w:rPr>
        <w:t xml:space="preserve"> 2021, 1</w:t>
      </w:r>
      <w:r>
        <w:rPr>
          <w:sz w:val="24"/>
          <w:szCs w:val="24"/>
        </w:rPr>
        <w:t>0,4</w:t>
      </w:r>
      <w:r w:rsidRPr="00961EB9">
        <w:rPr>
          <w:sz w:val="24"/>
          <w:szCs w:val="24"/>
        </w:rPr>
        <w:t xml:space="preserve">00 Australian residents returned from the UK following a short-term visit, </w:t>
      </w:r>
      <w:r>
        <w:rPr>
          <w:sz w:val="24"/>
          <w:szCs w:val="24"/>
        </w:rPr>
        <w:t>representing</w:t>
      </w:r>
      <w:r w:rsidRPr="00961EB9">
        <w:rPr>
          <w:sz w:val="24"/>
          <w:szCs w:val="24"/>
        </w:rPr>
        <w:t xml:space="preserve"> </w:t>
      </w:r>
      <w:r>
        <w:rPr>
          <w:sz w:val="24"/>
          <w:szCs w:val="24"/>
        </w:rPr>
        <w:t>4.6</w:t>
      </w:r>
      <w:r w:rsidRPr="00961EB9">
        <w:rPr>
          <w:sz w:val="24"/>
          <w:szCs w:val="24"/>
        </w:rPr>
        <w:t xml:space="preserve"> per cent of the resident return intake. In the year ending March 2020</w:t>
      </w:r>
      <w:r>
        <w:rPr>
          <w:sz w:val="24"/>
          <w:szCs w:val="24"/>
        </w:rPr>
        <w:t>,</w:t>
      </w:r>
      <w:r w:rsidRPr="00961EB9">
        <w:rPr>
          <w:sz w:val="24"/>
          <w:szCs w:val="24"/>
        </w:rPr>
        <w:t xml:space="preserve"> </w:t>
      </w:r>
      <w:r>
        <w:rPr>
          <w:sz w:val="24"/>
          <w:szCs w:val="24"/>
        </w:rPr>
        <w:t>528,0</w:t>
      </w:r>
      <w:r w:rsidRPr="00961EB9">
        <w:rPr>
          <w:sz w:val="24"/>
          <w:szCs w:val="24"/>
        </w:rPr>
        <w:t xml:space="preserve">00 </w:t>
      </w:r>
      <w:r>
        <w:rPr>
          <w:sz w:val="24"/>
          <w:szCs w:val="24"/>
        </w:rPr>
        <w:t xml:space="preserve">Australian residents returned from the UK </w:t>
      </w:r>
      <w:r w:rsidRPr="00961EB9">
        <w:rPr>
          <w:sz w:val="24"/>
          <w:szCs w:val="24"/>
        </w:rPr>
        <w:t>(</w:t>
      </w:r>
      <w:r>
        <w:rPr>
          <w:sz w:val="24"/>
          <w:szCs w:val="24"/>
        </w:rPr>
        <w:t>occupying a</w:t>
      </w:r>
      <w:r w:rsidRPr="00961EB9">
        <w:rPr>
          <w:sz w:val="24"/>
          <w:szCs w:val="24"/>
        </w:rPr>
        <w:t xml:space="preserve"> 6.0 per</w:t>
      </w:r>
      <w:r>
        <w:rPr>
          <w:sz w:val="24"/>
          <w:szCs w:val="24"/>
        </w:rPr>
        <w:t xml:space="preserve"> </w:t>
      </w:r>
      <w:r w:rsidRPr="00961EB9">
        <w:rPr>
          <w:sz w:val="24"/>
          <w:szCs w:val="24"/>
        </w:rPr>
        <w:t>cent share of total)</w:t>
      </w:r>
      <w:r>
        <w:rPr>
          <w:sz w:val="24"/>
          <w:szCs w:val="24"/>
        </w:rPr>
        <w:t>.</w:t>
      </w:r>
      <w:r>
        <w:rPr>
          <w:rStyle w:val="FootnoteReference"/>
          <w:sz w:val="24"/>
          <w:szCs w:val="24"/>
        </w:rPr>
        <w:footnoteReference w:id="78"/>
      </w:r>
      <w:r w:rsidRPr="000A06C3">
        <w:rPr>
          <w:sz w:val="24"/>
          <w:szCs w:val="24"/>
        </w:rPr>
        <w:t xml:space="preserve"> </w:t>
      </w:r>
      <w:r>
        <w:rPr>
          <w:sz w:val="24"/>
          <w:szCs w:val="24"/>
        </w:rPr>
        <w:t>This data</w:t>
      </w:r>
      <w:r w:rsidR="00506DAF">
        <w:rPr>
          <w:sz w:val="24"/>
          <w:szCs w:val="24"/>
        </w:rPr>
        <w:t xml:space="preserve">, also detailed in </w:t>
      </w:r>
      <w:r w:rsidR="00506DAF" w:rsidRPr="00506DAF">
        <w:rPr>
          <w:b/>
          <w:bCs/>
          <w:sz w:val="24"/>
          <w:szCs w:val="24"/>
          <w:u w:val="single"/>
        </w:rPr>
        <w:t xml:space="preserve">Tables </w:t>
      </w:r>
      <w:r w:rsidR="002A72E9">
        <w:rPr>
          <w:b/>
          <w:bCs/>
          <w:sz w:val="24"/>
          <w:szCs w:val="24"/>
          <w:u w:val="single"/>
        </w:rPr>
        <w:t>1</w:t>
      </w:r>
      <w:r w:rsidR="005111EB">
        <w:rPr>
          <w:b/>
          <w:bCs/>
          <w:sz w:val="24"/>
          <w:szCs w:val="24"/>
          <w:u w:val="single"/>
        </w:rPr>
        <w:t>2</w:t>
      </w:r>
      <w:r w:rsidR="00506DAF" w:rsidRPr="00506DAF">
        <w:rPr>
          <w:b/>
          <w:bCs/>
          <w:sz w:val="24"/>
          <w:szCs w:val="24"/>
          <w:u w:val="single"/>
        </w:rPr>
        <w:t xml:space="preserve"> and 1</w:t>
      </w:r>
      <w:r w:rsidR="005111EB">
        <w:rPr>
          <w:b/>
          <w:bCs/>
          <w:sz w:val="24"/>
          <w:szCs w:val="24"/>
          <w:u w:val="single"/>
        </w:rPr>
        <w:t>3</w:t>
      </w:r>
      <w:r w:rsidR="00506DAF">
        <w:rPr>
          <w:sz w:val="24"/>
          <w:szCs w:val="24"/>
        </w:rPr>
        <w:t xml:space="preserve"> below,</w:t>
      </w:r>
      <w:r>
        <w:rPr>
          <w:sz w:val="24"/>
          <w:szCs w:val="24"/>
        </w:rPr>
        <w:t xml:space="preserve"> indicate that movement of natural persons between our two countries is relatively balanced.</w:t>
      </w:r>
    </w:p>
    <w:p w14:paraId="29287745" w14:textId="77777777" w:rsidR="00417820" w:rsidRPr="000A06C3" w:rsidRDefault="00417820" w:rsidP="00417820">
      <w:pPr>
        <w:pStyle w:val="ListParagraph"/>
        <w:ind w:left="360"/>
        <w:rPr>
          <w:b/>
          <w:bCs/>
          <w:sz w:val="24"/>
          <w:szCs w:val="24"/>
        </w:rPr>
      </w:pPr>
    </w:p>
    <w:p w14:paraId="10746A1C" w14:textId="55698F4C" w:rsidR="00417820" w:rsidRPr="00E1113B" w:rsidRDefault="00417820" w:rsidP="00E1113B">
      <w:pPr>
        <w:pStyle w:val="ListParagraph"/>
        <w:numPr>
          <w:ilvl w:val="0"/>
          <w:numId w:val="1"/>
        </w:numPr>
        <w:ind w:left="567" w:hanging="567"/>
        <w:rPr>
          <w:sz w:val="24"/>
          <w:szCs w:val="24"/>
        </w:rPr>
      </w:pPr>
      <w:bookmarkStart w:id="56" w:name="_Hlk83303647"/>
      <w:r w:rsidRPr="00E1113B">
        <w:rPr>
          <w:rFonts w:ascii="Calibri" w:hAnsi="Calibri" w:cs="Calibri"/>
          <w:sz w:val="24"/>
          <w:szCs w:val="24"/>
        </w:rPr>
        <w:t xml:space="preserve">To support </w:t>
      </w:r>
      <w:r w:rsidRPr="00E1113B">
        <w:rPr>
          <w:sz w:val="24"/>
          <w:szCs w:val="24"/>
        </w:rPr>
        <w:t>growth</w:t>
      </w:r>
      <w:r w:rsidRPr="00E1113B">
        <w:rPr>
          <w:rFonts w:ascii="Calibri" w:hAnsi="Calibri" w:cs="Calibri"/>
          <w:sz w:val="24"/>
          <w:szCs w:val="24"/>
        </w:rPr>
        <w:t xml:space="preserve"> in </w:t>
      </w:r>
      <w:r w:rsidR="00E127BF">
        <w:rPr>
          <w:rFonts w:ascii="Calibri" w:hAnsi="Calibri" w:cs="Calibri"/>
          <w:sz w:val="24"/>
          <w:szCs w:val="24"/>
        </w:rPr>
        <w:t>mobility</w:t>
      </w:r>
      <w:r w:rsidRPr="00E1113B">
        <w:rPr>
          <w:rFonts w:ascii="Calibri" w:hAnsi="Calibri" w:cs="Calibri"/>
          <w:sz w:val="24"/>
          <w:szCs w:val="24"/>
        </w:rPr>
        <w:t xml:space="preserve">, the Chapter on Temporary Entry for </w:t>
      </w:r>
      <w:proofErr w:type="gramStart"/>
      <w:r w:rsidRPr="00E1113B">
        <w:rPr>
          <w:rFonts w:ascii="Calibri" w:hAnsi="Calibri" w:cs="Calibri"/>
          <w:sz w:val="24"/>
          <w:szCs w:val="24"/>
        </w:rPr>
        <w:t>Business Persons</w:t>
      </w:r>
      <w:proofErr w:type="gramEnd"/>
      <w:r w:rsidRPr="00E1113B">
        <w:rPr>
          <w:rFonts w:ascii="Calibri" w:hAnsi="Calibri" w:cs="Calibri"/>
          <w:sz w:val="24"/>
          <w:szCs w:val="24"/>
        </w:rPr>
        <w:t xml:space="preserve"> </w:t>
      </w:r>
      <w:r w:rsidRPr="00E1113B">
        <w:rPr>
          <w:sz w:val="24"/>
          <w:szCs w:val="24"/>
        </w:rPr>
        <w:t>include</w:t>
      </w:r>
      <w:r w:rsidR="00E4302E">
        <w:rPr>
          <w:sz w:val="24"/>
          <w:szCs w:val="24"/>
        </w:rPr>
        <w:t>s</w:t>
      </w:r>
      <w:r w:rsidRPr="00E1113B">
        <w:rPr>
          <w:sz w:val="24"/>
          <w:szCs w:val="24"/>
        </w:rPr>
        <w:t xml:space="preserve"> provisions that enhance opportunities for business travel and encourage people to travel and work in each other's territory. These provisions</w:t>
      </w:r>
      <w:r w:rsidRPr="00E1113B">
        <w:rPr>
          <w:rFonts w:ascii="Calibri" w:hAnsi="Calibri" w:cs="Calibri"/>
          <w:sz w:val="24"/>
          <w:szCs w:val="24"/>
        </w:rPr>
        <w:t xml:space="preserve"> provide certainty on visa pathways for businesses and professionals working across our countries.</w:t>
      </w:r>
      <w:r w:rsidRPr="00E1113B">
        <w:rPr>
          <w:sz w:val="24"/>
          <w:szCs w:val="24"/>
        </w:rPr>
        <w:t xml:space="preserve"> </w:t>
      </w:r>
      <w:r w:rsidR="00E1113B">
        <w:rPr>
          <w:sz w:val="24"/>
          <w:szCs w:val="24"/>
        </w:rPr>
        <w:t>The commitments</w:t>
      </w:r>
      <w:r w:rsidR="00E1113B" w:rsidRPr="00E1113B">
        <w:rPr>
          <w:sz w:val="24"/>
          <w:szCs w:val="24"/>
        </w:rPr>
        <w:t xml:space="preserve"> provide improved access for a range of Australian and </w:t>
      </w:r>
      <w:r w:rsidR="00E1113B">
        <w:rPr>
          <w:sz w:val="24"/>
          <w:szCs w:val="24"/>
        </w:rPr>
        <w:t>UK</w:t>
      </w:r>
      <w:r w:rsidR="00E1113B" w:rsidRPr="00E1113B">
        <w:rPr>
          <w:sz w:val="24"/>
          <w:szCs w:val="24"/>
        </w:rPr>
        <w:t xml:space="preserve"> skilled service providers, </w:t>
      </w:r>
      <w:proofErr w:type="gramStart"/>
      <w:r w:rsidR="00E1113B" w:rsidRPr="00E1113B">
        <w:rPr>
          <w:sz w:val="24"/>
          <w:szCs w:val="24"/>
        </w:rPr>
        <w:t>investors</w:t>
      </w:r>
      <w:proofErr w:type="gramEnd"/>
      <w:r w:rsidR="00E1113B" w:rsidRPr="00E1113B">
        <w:rPr>
          <w:sz w:val="24"/>
          <w:szCs w:val="24"/>
        </w:rPr>
        <w:t xml:space="preserve"> and business visitors, supporting investment and providing business with greater certainty.</w:t>
      </w:r>
      <w:r w:rsidR="003648B6">
        <w:rPr>
          <w:sz w:val="24"/>
          <w:szCs w:val="24"/>
        </w:rPr>
        <w:t xml:space="preserve"> </w:t>
      </w:r>
      <w:r w:rsidR="003648B6" w:rsidRPr="003648B6">
        <w:rPr>
          <w:sz w:val="24"/>
          <w:szCs w:val="24"/>
        </w:rPr>
        <w:t xml:space="preserve">These commitments build upon those made by both countries in the WTO.  </w:t>
      </w:r>
      <w:r w:rsidR="00E1113B" w:rsidRPr="00E1113B">
        <w:rPr>
          <w:sz w:val="24"/>
          <w:szCs w:val="24"/>
        </w:rPr>
        <w:t xml:space="preserve">  </w:t>
      </w:r>
    </w:p>
    <w:bookmarkEnd w:id="56"/>
    <w:p w14:paraId="5D17780E" w14:textId="77777777" w:rsidR="00417820" w:rsidRPr="000A06C3" w:rsidRDefault="00417820" w:rsidP="00417820">
      <w:pPr>
        <w:pStyle w:val="ListParagraph"/>
        <w:rPr>
          <w:sz w:val="24"/>
          <w:szCs w:val="24"/>
        </w:rPr>
      </w:pPr>
    </w:p>
    <w:p w14:paraId="6865A0A7" w14:textId="4DAB3AB7" w:rsidR="00417820" w:rsidRPr="00A8673A" w:rsidRDefault="00417820" w:rsidP="00417820">
      <w:pPr>
        <w:pStyle w:val="ListParagraph"/>
        <w:numPr>
          <w:ilvl w:val="0"/>
          <w:numId w:val="1"/>
        </w:numPr>
        <w:ind w:left="567" w:hanging="567"/>
        <w:rPr>
          <w:b/>
          <w:bCs/>
          <w:sz w:val="24"/>
          <w:szCs w:val="24"/>
        </w:rPr>
      </w:pPr>
      <w:r>
        <w:rPr>
          <w:sz w:val="24"/>
          <w:szCs w:val="24"/>
        </w:rPr>
        <w:t xml:space="preserve">The UK and Australia make commitments which specify the conditions for entry and temporary stay, including length of stay, for each category of </w:t>
      </w:r>
      <w:proofErr w:type="gramStart"/>
      <w:r>
        <w:rPr>
          <w:sz w:val="24"/>
          <w:szCs w:val="24"/>
        </w:rPr>
        <w:t>business persons</w:t>
      </w:r>
      <w:proofErr w:type="gramEnd"/>
      <w:r>
        <w:rPr>
          <w:sz w:val="24"/>
          <w:szCs w:val="24"/>
        </w:rPr>
        <w:t xml:space="preserve"> </w:t>
      </w:r>
      <w:r w:rsidR="00697917">
        <w:rPr>
          <w:sz w:val="24"/>
          <w:szCs w:val="24"/>
        </w:rPr>
        <w:t xml:space="preserve">identified. For Australia, the categories include </w:t>
      </w:r>
      <w:r w:rsidR="00697917" w:rsidRPr="00697917">
        <w:rPr>
          <w:sz w:val="24"/>
          <w:szCs w:val="24"/>
        </w:rPr>
        <w:t xml:space="preserve">business visitors, installers and servicers, intra-corporate transferees, independent </w:t>
      </w:r>
      <w:proofErr w:type="gramStart"/>
      <w:r w:rsidR="00697917" w:rsidRPr="00697917">
        <w:rPr>
          <w:sz w:val="24"/>
          <w:szCs w:val="24"/>
        </w:rPr>
        <w:t>executives</w:t>
      </w:r>
      <w:proofErr w:type="gramEnd"/>
      <w:r w:rsidR="00697917" w:rsidRPr="00697917">
        <w:rPr>
          <w:sz w:val="24"/>
          <w:szCs w:val="24"/>
        </w:rPr>
        <w:t xml:space="preserve"> and contractual service suppliers. For the UK, the categories include business visitors for establishment purposes, short term business visitors, investors, contractual service suppliers, independent </w:t>
      </w:r>
      <w:proofErr w:type="gramStart"/>
      <w:r w:rsidR="00697917" w:rsidRPr="00697917">
        <w:rPr>
          <w:sz w:val="24"/>
          <w:szCs w:val="24"/>
        </w:rPr>
        <w:t>professionals</w:t>
      </w:r>
      <w:proofErr w:type="gramEnd"/>
      <w:r w:rsidR="00697917" w:rsidRPr="00697917">
        <w:rPr>
          <w:sz w:val="24"/>
          <w:szCs w:val="24"/>
        </w:rPr>
        <w:t xml:space="preserve"> and intra-corporate transferees.</w:t>
      </w:r>
    </w:p>
    <w:p w14:paraId="1DD11244" w14:textId="77777777" w:rsidR="00417820" w:rsidRPr="00A8673A" w:rsidRDefault="00417820" w:rsidP="00417820">
      <w:pPr>
        <w:pStyle w:val="ListParagraph"/>
        <w:rPr>
          <w:b/>
          <w:bCs/>
          <w:sz w:val="24"/>
          <w:szCs w:val="24"/>
        </w:rPr>
      </w:pPr>
    </w:p>
    <w:p w14:paraId="78B68E3F" w14:textId="06C208A4" w:rsidR="00417820" w:rsidRDefault="00417820" w:rsidP="00417820">
      <w:pPr>
        <w:pStyle w:val="ListParagraph"/>
        <w:numPr>
          <w:ilvl w:val="0"/>
          <w:numId w:val="1"/>
        </w:numPr>
        <w:ind w:left="567" w:hanging="567"/>
        <w:rPr>
          <w:rFonts w:ascii="Times New Roman" w:hAnsi="Times New Roman"/>
          <w:sz w:val="24"/>
          <w:szCs w:val="24"/>
          <w:lang w:eastAsia="en-AU"/>
        </w:rPr>
      </w:pPr>
      <w:r>
        <w:rPr>
          <w:rFonts w:ascii="Calibri" w:hAnsi="Calibri" w:cs="Calibri"/>
          <w:sz w:val="24"/>
          <w:szCs w:val="24"/>
        </w:rPr>
        <w:lastRenderedPageBreak/>
        <w:t xml:space="preserve">The FTA </w:t>
      </w:r>
      <w:r w:rsidR="005675A2">
        <w:rPr>
          <w:rFonts w:ascii="Calibri" w:hAnsi="Calibri" w:cs="Calibri"/>
          <w:sz w:val="24"/>
          <w:szCs w:val="24"/>
        </w:rPr>
        <w:t xml:space="preserve">also </w:t>
      </w:r>
      <w:r>
        <w:rPr>
          <w:rFonts w:ascii="Calibri" w:hAnsi="Calibri" w:cs="Calibri"/>
          <w:sz w:val="24"/>
          <w:szCs w:val="24"/>
        </w:rPr>
        <w:t>include</w:t>
      </w:r>
      <w:r w:rsidR="00E4302E">
        <w:rPr>
          <w:rFonts w:ascii="Calibri" w:hAnsi="Calibri" w:cs="Calibri"/>
          <w:sz w:val="24"/>
          <w:szCs w:val="24"/>
        </w:rPr>
        <w:t>s</w:t>
      </w:r>
      <w:r>
        <w:rPr>
          <w:rFonts w:ascii="Calibri" w:hAnsi="Calibri" w:cs="Calibri"/>
          <w:sz w:val="24"/>
          <w:szCs w:val="24"/>
        </w:rPr>
        <w:t xml:space="preserve"> reciprocal commitments to waive requirements for economic needs testing on businesses wanting to employ an Australian in the UK, or a UK </w:t>
      </w:r>
      <w:r w:rsidRPr="00206944">
        <w:rPr>
          <w:sz w:val="24"/>
          <w:szCs w:val="24"/>
        </w:rPr>
        <w:t>national</w:t>
      </w:r>
      <w:r>
        <w:rPr>
          <w:rFonts w:ascii="Calibri" w:hAnsi="Calibri" w:cs="Calibri"/>
          <w:sz w:val="24"/>
          <w:szCs w:val="24"/>
        </w:rPr>
        <w:t xml:space="preserve"> in Australia</w:t>
      </w:r>
      <w:r w:rsidR="00697917">
        <w:rPr>
          <w:rFonts w:ascii="Calibri" w:hAnsi="Calibri" w:cs="Calibri"/>
          <w:sz w:val="24"/>
          <w:szCs w:val="24"/>
        </w:rPr>
        <w:t xml:space="preserve">, for the categories of </w:t>
      </w:r>
      <w:proofErr w:type="gramStart"/>
      <w:r w:rsidR="00697917">
        <w:rPr>
          <w:rFonts w:ascii="Calibri" w:hAnsi="Calibri" w:cs="Calibri"/>
          <w:sz w:val="24"/>
          <w:szCs w:val="24"/>
        </w:rPr>
        <w:t>business person</w:t>
      </w:r>
      <w:proofErr w:type="gramEnd"/>
      <w:r w:rsidR="00697917">
        <w:rPr>
          <w:rFonts w:ascii="Calibri" w:hAnsi="Calibri" w:cs="Calibri"/>
          <w:sz w:val="24"/>
          <w:szCs w:val="24"/>
        </w:rPr>
        <w:t xml:space="preserve"> identified in the FTA</w:t>
      </w:r>
      <w:r>
        <w:rPr>
          <w:rFonts w:ascii="Calibri" w:hAnsi="Calibri" w:cs="Calibri"/>
          <w:sz w:val="24"/>
          <w:szCs w:val="24"/>
        </w:rPr>
        <w:t xml:space="preserve">. </w:t>
      </w:r>
      <w:r w:rsidRPr="00A8673A">
        <w:rPr>
          <w:rFonts w:ascii="Calibri" w:hAnsi="Calibri" w:cs="Calibri"/>
          <w:sz w:val="24"/>
          <w:szCs w:val="24"/>
        </w:rPr>
        <w:t xml:space="preserve">This will reduce red tape for Australian companies and bring treatment of UK nationals in Australia to the same level enjoyed by nationals of other FTA partner countries. It also provides certainty around short-term entry of service suppliers across a range of sectors, subject to entrants meeting necessary skills and experience requirements, and having contracts to supply </w:t>
      </w:r>
      <w:r w:rsidR="00697917">
        <w:rPr>
          <w:rFonts w:ascii="Calibri" w:hAnsi="Calibri" w:cs="Calibri"/>
          <w:sz w:val="24"/>
          <w:szCs w:val="24"/>
        </w:rPr>
        <w:t>a</w:t>
      </w:r>
      <w:r w:rsidRPr="00A8673A">
        <w:rPr>
          <w:rFonts w:ascii="Calibri" w:hAnsi="Calibri" w:cs="Calibri"/>
          <w:sz w:val="24"/>
          <w:szCs w:val="24"/>
        </w:rPr>
        <w:t xml:space="preserve"> service in place.</w:t>
      </w:r>
      <w:r w:rsidRPr="00A8673A">
        <w:rPr>
          <w:rFonts w:ascii="Times New Roman" w:hAnsi="Times New Roman"/>
          <w:sz w:val="24"/>
          <w:szCs w:val="24"/>
          <w:lang w:eastAsia="en-AU"/>
        </w:rPr>
        <w:t xml:space="preserve"> </w:t>
      </w:r>
    </w:p>
    <w:p w14:paraId="0E7BF509" w14:textId="77777777" w:rsidR="00417820" w:rsidRPr="00A8673A" w:rsidRDefault="00417820" w:rsidP="00417820">
      <w:pPr>
        <w:pStyle w:val="ListParagraph"/>
        <w:rPr>
          <w:rFonts w:ascii="Times New Roman" w:hAnsi="Times New Roman"/>
          <w:sz w:val="24"/>
          <w:szCs w:val="24"/>
          <w:lang w:eastAsia="en-AU"/>
        </w:rPr>
      </w:pPr>
    </w:p>
    <w:p w14:paraId="41ACED93" w14:textId="2A985300" w:rsidR="00697917" w:rsidRPr="005111EB" w:rsidRDefault="00697917" w:rsidP="005111EB">
      <w:pPr>
        <w:pStyle w:val="ListParagraph"/>
        <w:numPr>
          <w:ilvl w:val="0"/>
          <w:numId w:val="1"/>
        </w:numPr>
        <w:ind w:left="567" w:hanging="567"/>
        <w:rPr>
          <w:rFonts w:ascii="Calibri" w:hAnsi="Calibri" w:cs="Calibri"/>
          <w:sz w:val="24"/>
          <w:szCs w:val="24"/>
        </w:rPr>
      </w:pPr>
      <w:r>
        <w:rPr>
          <w:rFonts w:ascii="Calibri" w:hAnsi="Calibri" w:cs="Calibri"/>
          <w:sz w:val="24"/>
          <w:szCs w:val="24"/>
        </w:rPr>
        <w:t xml:space="preserve">The </w:t>
      </w:r>
      <w:r w:rsidRPr="00206944">
        <w:rPr>
          <w:sz w:val="24"/>
          <w:szCs w:val="24"/>
        </w:rPr>
        <w:t>Chapter</w:t>
      </w:r>
      <w:r>
        <w:rPr>
          <w:rFonts w:ascii="Calibri" w:hAnsi="Calibri" w:cs="Calibri"/>
          <w:sz w:val="24"/>
          <w:szCs w:val="24"/>
        </w:rPr>
        <w:t xml:space="preserve"> on Temporary Entry for </w:t>
      </w:r>
      <w:proofErr w:type="gramStart"/>
      <w:r>
        <w:rPr>
          <w:rFonts w:ascii="Calibri" w:hAnsi="Calibri" w:cs="Calibri"/>
          <w:sz w:val="24"/>
          <w:szCs w:val="24"/>
        </w:rPr>
        <w:t>Business Persons</w:t>
      </w:r>
      <w:proofErr w:type="gramEnd"/>
      <w:r>
        <w:rPr>
          <w:rFonts w:ascii="Calibri" w:hAnsi="Calibri" w:cs="Calibri"/>
          <w:sz w:val="24"/>
          <w:szCs w:val="24"/>
        </w:rPr>
        <w:t xml:space="preserve"> includes provisions that provide certainty around application procedures, transparency regarding provision of information and dispute settlement procedures.</w:t>
      </w:r>
      <w:r w:rsidR="005111EB">
        <w:rPr>
          <w:rFonts w:ascii="Calibri" w:hAnsi="Calibri" w:cs="Calibri"/>
          <w:sz w:val="24"/>
          <w:szCs w:val="24"/>
        </w:rPr>
        <w:t xml:space="preserve"> </w:t>
      </w:r>
      <w:r w:rsidRPr="005111EB">
        <w:rPr>
          <w:sz w:val="24"/>
          <w:szCs w:val="24"/>
        </w:rPr>
        <w:t xml:space="preserve">Commitments alongside the FTA go further to encompass a broader demographic, foster stronger mobility outcomes, skills </w:t>
      </w:r>
      <w:proofErr w:type="gramStart"/>
      <w:r w:rsidRPr="005111EB">
        <w:rPr>
          <w:sz w:val="24"/>
          <w:szCs w:val="24"/>
        </w:rPr>
        <w:t>transfer</w:t>
      </w:r>
      <w:proofErr w:type="gramEnd"/>
      <w:r w:rsidRPr="005111EB">
        <w:rPr>
          <w:sz w:val="24"/>
          <w:szCs w:val="24"/>
        </w:rPr>
        <w:t xml:space="preserve"> and mutual economic gain. A side letter to the FTA sets out future improvements to Australian and UK Working Holiday and Youth Mobility programs, to allow participation up to the age of 35 and for three years, without specified work requirements. In a Joint Declaration, </w:t>
      </w:r>
      <w:proofErr w:type="gramStart"/>
      <w:r w:rsidRPr="005111EB">
        <w:rPr>
          <w:sz w:val="24"/>
          <w:szCs w:val="24"/>
        </w:rPr>
        <w:t>Australia</w:t>
      </w:r>
      <w:proofErr w:type="gramEnd"/>
      <w:r w:rsidRPr="005111EB">
        <w:rPr>
          <w:sz w:val="24"/>
          <w:szCs w:val="24"/>
        </w:rPr>
        <w:t xml:space="preserve"> and the UK detail extensive mobility pathways available for citizens to work in agriculture and agribusiness in each country. Australia </w:t>
      </w:r>
      <w:r w:rsidR="00A4533B">
        <w:rPr>
          <w:sz w:val="24"/>
          <w:szCs w:val="24"/>
        </w:rPr>
        <w:t xml:space="preserve">also </w:t>
      </w:r>
      <w:r w:rsidRPr="005111EB">
        <w:rPr>
          <w:sz w:val="24"/>
          <w:szCs w:val="24"/>
        </w:rPr>
        <w:t>establishes an Innovation and Early Career Skills Development Pilot to pioneer, subject to numerical limits, streamlined mobility opportunities for UK citizens. The results of the pilot will be considered in a review, including the possibility of implementation on a reciprocal basis.</w:t>
      </w:r>
    </w:p>
    <w:p w14:paraId="222304BC" w14:textId="77777777" w:rsidR="00697917" w:rsidRPr="00506DAF" w:rsidRDefault="00697917" w:rsidP="00697917">
      <w:pPr>
        <w:pStyle w:val="ListParagraph"/>
        <w:rPr>
          <w:rFonts w:ascii="Calibri" w:hAnsi="Calibri" w:cs="Calibri"/>
          <w:sz w:val="24"/>
          <w:szCs w:val="24"/>
        </w:rPr>
      </w:pPr>
    </w:p>
    <w:p w14:paraId="34795C17" w14:textId="7C0BE928" w:rsidR="00697917" w:rsidRDefault="00697917" w:rsidP="00697917">
      <w:pPr>
        <w:pStyle w:val="ListParagraph"/>
        <w:numPr>
          <w:ilvl w:val="0"/>
          <w:numId w:val="1"/>
        </w:numPr>
        <w:ind w:left="567" w:hanging="567"/>
        <w:rPr>
          <w:rFonts w:ascii="Calibri" w:hAnsi="Calibri" w:cs="Calibri"/>
          <w:sz w:val="24"/>
          <w:szCs w:val="24"/>
        </w:rPr>
      </w:pPr>
      <w:r w:rsidRPr="00506DAF">
        <w:rPr>
          <w:rFonts w:ascii="Calibri" w:hAnsi="Calibri" w:cs="Calibri"/>
          <w:sz w:val="24"/>
          <w:szCs w:val="24"/>
        </w:rPr>
        <w:t>As mobility between the two countries is already high</w:t>
      </w:r>
      <w:r>
        <w:rPr>
          <w:rFonts w:ascii="Calibri" w:hAnsi="Calibri" w:cs="Calibri"/>
          <w:sz w:val="24"/>
          <w:szCs w:val="24"/>
        </w:rPr>
        <w:t>,</w:t>
      </w:r>
      <w:r w:rsidRPr="00506DAF">
        <w:rPr>
          <w:rFonts w:ascii="Calibri" w:hAnsi="Calibri" w:cs="Calibri"/>
          <w:sz w:val="24"/>
          <w:szCs w:val="24"/>
        </w:rPr>
        <w:t xml:space="preserve"> the mobility outcomes are designed to </w:t>
      </w:r>
      <w:r>
        <w:rPr>
          <w:rFonts w:ascii="Calibri" w:hAnsi="Calibri" w:cs="Calibri"/>
          <w:sz w:val="24"/>
          <w:szCs w:val="24"/>
        </w:rPr>
        <w:t xml:space="preserve">reinforce existing arrangements and give certainty to business. As a result of the FTA, Australians will gain access to the UK equivalent to that provided to EU citizens, </w:t>
      </w:r>
      <w:r w:rsidR="00A4533B">
        <w:rPr>
          <w:rFonts w:ascii="Calibri" w:hAnsi="Calibri" w:cs="Calibri"/>
          <w:sz w:val="24"/>
          <w:szCs w:val="24"/>
        </w:rPr>
        <w:t xml:space="preserve">excluding the Republic of Ireland, </w:t>
      </w:r>
      <w:r>
        <w:rPr>
          <w:rFonts w:ascii="Calibri" w:hAnsi="Calibri" w:cs="Calibri"/>
          <w:sz w:val="24"/>
          <w:szCs w:val="24"/>
        </w:rPr>
        <w:t xml:space="preserve">and the UK access to Australia better than any of our trading partners excluding New Zealand. These settings are designed to support a bounce-back in two-way mobility once international borders re-open. </w:t>
      </w:r>
    </w:p>
    <w:p w14:paraId="2ECEB63F" w14:textId="77777777" w:rsidR="00697917" w:rsidRPr="00B443A1" w:rsidRDefault="00697917" w:rsidP="00697917">
      <w:pPr>
        <w:pStyle w:val="ListParagraph"/>
        <w:rPr>
          <w:rFonts w:ascii="Calibri" w:hAnsi="Calibri" w:cs="Calibri"/>
          <w:sz w:val="24"/>
          <w:szCs w:val="24"/>
        </w:rPr>
      </w:pPr>
    </w:p>
    <w:p w14:paraId="4B326B33" w14:textId="3982A136" w:rsidR="00697917" w:rsidRPr="00E1539E" w:rsidRDefault="00697917" w:rsidP="00697917">
      <w:pPr>
        <w:pStyle w:val="ListParagraph"/>
        <w:numPr>
          <w:ilvl w:val="0"/>
          <w:numId w:val="1"/>
        </w:numPr>
        <w:ind w:left="567" w:hanging="567"/>
        <w:rPr>
          <w:rFonts w:ascii="Calibri" w:hAnsi="Calibri" w:cs="Calibri"/>
          <w:sz w:val="24"/>
          <w:szCs w:val="24"/>
        </w:rPr>
      </w:pPr>
      <w:r w:rsidRPr="00506DAF">
        <w:rPr>
          <w:rFonts w:ascii="Calibri" w:hAnsi="Calibri" w:cs="Calibri"/>
          <w:sz w:val="24"/>
          <w:szCs w:val="24"/>
        </w:rPr>
        <w:t>Th</w:t>
      </w:r>
      <w:r>
        <w:rPr>
          <w:rFonts w:ascii="Calibri" w:hAnsi="Calibri" w:cs="Calibri"/>
          <w:sz w:val="24"/>
          <w:szCs w:val="24"/>
        </w:rPr>
        <w:t xml:space="preserve">e net benefit for Australia in the mobility commitments includes greater certainty </w:t>
      </w:r>
      <w:r w:rsidR="007656B6">
        <w:rPr>
          <w:rFonts w:ascii="Calibri" w:hAnsi="Calibri" w:cs="Calibri"/>
          <w:sz w:val="24"/>
          <w:szCs w:val="24"/>
        </w:rPr>
        <w:t xml:space="preserve">on </w:t>
      </w:r>
      <w:r>
        <w:rPr>
          <w:rFonts w:ascii="Calibri" w:hAnsi="Calibri" w:cs="Calibri"/>
          <w:sz w:val="24"/>
          <w:szCs w:val="24"/>
        </w:rPr>
        <w:t>mobility pathways, reduced red tape through the removal of labour market testing, and new mobility pathways for Australian Contractual Service Suppliers and Independent Professionals to the UK. Other benefits include streamlined access for UK citizens under Australia’s pilot, and the likelihood of stronger youth mobility flows following the enhancements agreed to those programs.</w:t>
      </w:r>
      <w:r w:rsidRPr="00506DAF">
        <w:rPr>
          <w:rFonts w:ascii="Calibri" w:hAnsi="Calibri" w:cs="Calibri"/>
          <w:sz w:val="24"/>
          <w:szCs w:val="24"/>
        </w:rPr>
        <w:t xml:space="preserve"> </w:t>
      </w:r>
      <w:r>
        <w:rPr>
          <w:rFonts w:ascii="Calibri" w:hAnsi="Calibri" w:cs="Calibri"/>
          <w:sz w:val="24"/>
          <w:szCs w:val="24"/>
        </w:rPr>
        <w:t xml:space="preserve">These increased opportunities are designed </w:t>
      </w:r>
      <w:r w:rsidRPr="00F60CF3">
        <w:rPr>
          <w:rFonts w:ascii="Calibri" w:hAnsi="Calibri" w:cs="Calibri"/>
          <w:sz w:val="24"/>
          <w:szCs w:val="24"/>
        </w:rPr>
        <w:t>to build even stronger people-to people links and improve collaboration and skills transfer between our countries</w:t>
      </w:r>
      <w:r>
        <w:rPr>
          <w:rFonts w:ascii="Calibri" w:hAnsi="Calibri" w:cs="Calibri"/>
          <w:sz w:val="24"/>
          <w:szCs w:val="24"/>
        </w:rPr>
        <w:t xml:space="preserve"> for many years to come</w:t>
      </w:r>
      <w:r w:rsidRPr="00F60CF3">
        <w:rPr>
          <w:rFonts w:ascii="Calibri" w:hAnsi="Calibri" w:cs="Calibri"/>
          <w:sz w:val="24"/>
          <w:szCs w:val="24"/>
        </w:rPr>
        <w:t>.</w:t>
      </w:r>
      <w:r>
        <w:rPr>
          <w:rFonts w:ascii="Calibri" w:hAnsi="Calibri" w:cs="Calibri"/>
          <w:sz w:val="24"/>
          <w:szCs w:val="24"/>
        </w:rPr>
        <w:t xml:space="preserve"> Without these arrangements, mobility between the UK and Australia will likely trend in the same way, once borders re-open, but with these arrangements, the enhanced certainty and increased opportunities are more likely to increase mobility and professional collaboration between our countries.</w:t>
      </w:r>
    </w:p>
    <w:p w14:paraId="51C2FD32" w14:textId="77777777" w:rsidR="008E0622" w:rsidRDefault="008E0622" w:rsidP="008E0622">
      <w:pPr>
        <w:rPr>
          <w:b/>
          <w:bCs/>
          <w:sz w:val="24"/>
          <w:szCs w:val="24"/>
        </w:rPr>
        <w:sectPr w:rsidR="008E0622">
          <w:pgSz w:w="11906" w:h="16838"/>
          <w:pgMar w:top="1440" w:right="1440" w:bottom="1440" w:left="1440" w:header="708" w:footer="708" w:gutter="0"/>
          <w:cols w:space="708"/>
          <w:docGrid w:linePitch="360"/>
        </w:sectPr>
      </w:pPr>
    </w:p>
    <w:p w14:paraId="473A63F1" w14:textId="50D72859" w:rsidR="00F32C76" w:rsidRDefault="00F32C76" w:rsidP="00F32C76">
      <w:pPr>
        <w:rPr>
          <w:b/>
          <w:bCs/>
          <w:sz w:val="24"/>
          <w:szCs w:val="24"/>
        </w:rPr>
      </w:pPr>
      <w:r w:rsidRPr="00F32C76">
        <w:rPr>
          <w:b/>
          <w:bCs/>
          <w:sz w:val="24"/>
          <w:szCs w:val="24"/>
          <w:u w:val="single"/>
        </w:rPr>
        <w:lastRenderedPageBreak/>
        <w:t>Table 1</w:t>
      </w:r>
      <w:r w:rsidR="005111EB">
        <w:rPr>
          <w:b/>
          <w:bCs/>
          <w:sz w:val="24"/>
          <w:szCs w:val="24"/>
          <w:u w:val="single"/>
        </w:rPr>
        <w:t>2</w:t>
      </w:r>
      <w:r>
        <w:rPr>
          <w:b/>
          <w:bCs/>
          <w:sz w:val="24"/>
          <w:szCs w:val="24"/>
        </w:rPr>
        <w:t xml:space="preserve">: Short term visitor arrivals number of </w:t>
      </w:r>
    </w:p>
    <w:p w14:paraId="5B145868" w14:textId="3AE6E70B" w:rsidR="007A2D7B" w:rsidRDefault="00F32C76" w:rsidP="00F32C76">
      <w:pPr>
        <w:rPr>
          <w:b/>
          <w:bCs/>
          <w:sz w:val="24"/>
          <w:szCs w:val="24"/>
        </w:rPr>
      </w:pPr>
      <w:r>
        <w:rPr>
          <w:b/>
          <w:bCs/>
          <w:sz w:val="24"/>
          <w:szCs w:val="24"/>
        </w:rPr>
        <w:t>movements</w:t>
      </w:r>
    </w:p>
    <w:p w14:paraId="194FF0C2" w14:textId="3B88FB29" w:rsidR="00F32C76" w:rsidRDefault="00F32C76" w:rsidP="00F32C76">
      <w:pPr>
        <w:rPr>
          <w:b/>
          <w:bCs/>
          <w:sz w:val="24"/>
          <w:szCs w:val="24"/>
        </w:rPr>
      </w:pPr>
      <w:r>
        <w:rPr>
          <w:b/>
          <w:bCs/>
          <w:sz w:val="24"/>
          <w:szCs w:val="24"/>
        </w:rPr>
        <w:t>Source: Office of the Chief Economist</w:t>
      </w:r>
    </w:p>
    <w:p w14:paraId="10B42982" w14:textId="29C6917F" w:rsidR="007A2D7B" w:rsidRPr="00F32C76" w:rsidRDefault="00F32C76" w:rsidP="00F32C76">
      <w:pPr>
        <w:rPr>
          <w:rFonts w:ascii="Calibri" w:hAnsi="Calibri" w:cs="Calibri"/>
          <w:color w:val="000000"/>
          <w:sz w:val="18"/>
          <w:szCs w:val="18"/>
          <w:lang w:eastAsia="en-AU"/>
        </w:rPr>
      </w:pPr>
      <w:r w:rsidRPr="00F32C76">
        <w:rPr>
          <w:rFonts w:ascii="Calibri" w:hAnsi="Calibri" w:cs="Calibri"/>
          <w:color w:val="000000"/>
          <w:sz w:val="18"/>
          <w:szCs w:val="18"/>
          <w:lang w:eastAsia="en-AU"/>
        </w:rPr>
        <w:t>Based on Home Affairs – Overseas Arrivals and Departures data</w:t>
      </w:r>
    </w:p>
    <w:tbl>
      <w:tblPr>
        <w:tblW w:w="51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ayout w:type="fixed"/>
        <w:tblLook w:val="04A0" w:firstRow="1" w:lastRow="0" w:firstColumn="1" w:lastColumn="0" w:noHBand="0" w:noVBand="1"/>
      </w:tblPr>
      <w:tblGrid>
        <w:gridCol w:w="451"/>
        <w:gridCol w:w="92"/>
        <w:gridCol w:w="882"/>
        <w:gridCol w:w="994"/>
        <w:gridCol w:w="991"/>
        <w:gridCol w:w="991"/>
        <w:gridCol w:w="1002"/>
        <w:gridCol w:w="988"/>
        <w:gridCol w:w="991"/>
        <w:gridCol w:w="109"/>
        <w:gridCol w:w="896"/>
        <w:gridCol w:w="46"/>
        <w:gridCol w:w="922"/>
        <w:gridCol w:w="859"/>
        <w:gridCol w:w="581"/>
        <w:gridCol w:w="836"/>
        <w:gridCol w:w="999"/>
        <w:gridCol w:w="14"/>
        <w:gridCol w:w="696"/>
        <w:gridCol w:w="17"/>
        <w:gridCol w:w="959"/>
      </w:tblGrid>
      <w:tr w:rsidR="00A55C09" w:rsidRPr="008E0622" w14:paraId="7E6088D5" w14:textId="77777777" w:rsidTr="00F32C76">
        <w:trPr>
          <w:trHeight w:val="576"/>
        </w:trPr>
        <w:tc>
          <w:tcPr>
            <w:tcW w:w="190" w:type="pct"/>
            <w:gridSpan w:val="2"/>
            <w:shd w:val="clear" w:color="auto" w:fill="B4C6E7" w:themeFill="accent1" w:themeFillTint="66"/>
            <w:noWrap/>
            <w:vAlign w:val="bottom"/>
            <w:hideMark/>
          </w:tcPr>
          <w:p w14:paraId="6AA90923" w14:textId="77777777" w:rsidR="007A2D7B" w:rsidRPr="008E0622" w:rsidRDefault="007A2D7B" w:rsidP="0058166F">
            <w:pPr>
              <w:rPr>
                <w:rFonts w:ascii="Calibri" w:hAnsi="Calibri" w:cs="Calibri"/>
                <w:b/>
                <w:bCs/>
                <w:color w:val="FFFFFF"/>
                <w:lang w:eastAsia="en-AU"/>
              </w:rPr>
            </w:pPr>
            <w:r w:rsidRPr="008E0622">
              <w:rPr>
                <w:rFonts w:ascii="Calibri" w:hAnsi="Calibri" w:cs="Calibri"/>
                <w:b/>
                <w:bCs/>
                <w:color w:val="FFFFFF"/>
                <w:lang w:eastAsia="en-AU"/>
              </w:rPr>
              <w:t> </w:t>
            </w:r>
          </w:p>
        </w:tc>
        <w:tc>
          <w:tcPr>
            <w:tcW w:w="3377" w:type="pct"/>
            <w:gridSpan w:val="12"/>
            <w:shd w:val="clear" w:color="auto" w:fill="B4C6E7" w:themeFill="accent1" w:themeFillTint="66"/>
            <w:noWrap/>
            <w:vAlign w:val="bottom"/>
            <w:hideMark/>
          </w:tcPr>
          <w:p w14:paraId="71D0644B" w14:textId="77777777" w:rsidR="007A2D7B" w:rsidRPr="008E0622" w:rsidRDefault="007A2D7B" w:rsidP="0058166F">
            <w:pPr>
              <w:jc w:val="center"/>
              <w:rPr>
                <w:rFonts w:ascii="Calibri" w:hAnsi="Calibri" w:cs="Calibri"/>
                <w:b/>
                <w:bCs/>
                <w:color w:val="FFFFFF"/>
                <w:lang w:eastAsia="en-AU"/>
              </w:rPr>
            </w:pPr>
            <w:r w:rsidRPr="008E0622">
              <w:rPr>
                <w:rFonts w:ascii="Calibri" w:hAnsi="Calibri" w:cs="Calibri"/>
                <w:b/>
                <w:bCs/>
                <w:color w:val="FFFFFF"/>
                <w:lang w:eastAsia="en-AU"/>
              </w:rPr>
              <w:t>Year ended June</w:t>
            </w:r>
          </w:p>
        </w:tc>
        <w:tc>
          <w:tcPr>
            <w:tcW w:w="495" w:type="pct"/>
            <w:gridSpan w:val="2"/>
            <w:shd w:val="clear" w:color="auto" w:fill="B4C6E7" w:themeFill="accent1" w:themeFillTint="66"/>
            <w:vAlign w:val="bottom"/>
            <w:hideMark/>
          </w:tcPr>
          <w:p w14:paraId="62A4969E" w14:textId="77777777" w:rsidR="007A2D7B" w:rsidRPr="008E0622" w:rsidRDefault="007A2D7B" w:rsidP="0058166F">
            <w:pPr>
              <w:jc w:val="center"/>
              <w:rPr>
                <w:rFonts w:ascii="Calibri" w:hAnsi="Calibri" w:cs="Calibri"/>
                <w:b/>
                <w:bCs/>
                <w:color w:val="FFFFFF"/>
                <w:lang w:eastAsia="en-AU"/>
              </w:rPr>
            </w:pPr>
            <w:r w:rsidRPr="008E0622">
              <w:rPr>
                <w:rFonts w:ascii="Calibri" w:hAnsi="Calibri" w:cs="Calibri"/>
                <w:b/>
                <w:bCs/>
                <w:color w:val="FFFFFF"/>
                <w:lang w:eastAsia="en-AU"/>
              </w:rPr>
              <w:t>Year ended</w:t>
            </w:r>
            <w:r w:rsidRPr="008E0622">
              <w:rPr>
                <w:rFonts w:ascii="Calibri" w:hAnsi="Calibri" w:cs="Calibri"/>
                <w:b/>
                <w:bCs/>
                <w:color w:val="FFFFFF"/>
                <w:lang w:eastAsia="en-AU"/>
              </w:rPr>
              <w:br/>
              <w:t>Jun-2021</w:t>
            </w:r>
          </w:p>
        </w:tc>
        <w:tc>
          <w:tcPr>
            <w:tcW w:w="603" w:type="pct"/>
            <w:gridSpan w:val="4"/>
            <w:shd w:val="clear" w:color="auto" w:fill="B4C6E7" w:themeFill="accent1" w:themeFillTint="66"/>
            <w:vAlign w:val="bottom"/>
            <w:hideMark/>
          </w:tcPr>
          <w:p w14:paraId="5F331186" w14:textId="77777777" w:rsidR="007A2D7B" w:rsidRPr="008E0622" w:rsidRDefault="007A2D7B" w:rsidP="0058166F">
            <w:pPr>
              <w:jc w:val="center"/>
              <w:rPr>
                <w:rFonts w:ascii="Calibri" w:hAnsi="Calibri" w:cs="Calibri"/>
                <w:b/>
                <w:bCs/>
                <w:color w:val="FFFFFF"/>
                <w:lang w:eastAsia="en-AU"/>
              </w:rPr>
            </w:pPr>
            <w:r w:rsidRPr="008E0622">
              <w:rPr>
                <w:rFonts w:ascii="Calibri" w:hAnsi="Calibri" w:cs="Calibri"/>
                <w:b/>
                <w:bCs/>
                <w:color w:val="FFFFFF"/>
                <w:lang w:eastAsia="en-AU"/>
              </w:rPr>
              <w:t>Growth</w:t>
            </w:r>
            <w:r w:rsidRPr="008E0622">
              <w:rPr>
                <w:rFonts w:ascii="Calibri" w:hAnsi="Calibri" w:cs="Calibri"/>
                <w:b/>
                <w:bCs/>
                <w:color w:val="FFFFFF"/>
                <w:lang w:eastAsia="en-AU"/>
              </w:rPr>
              <w:br/>
              <w:t>Year ended Jun</w:t>
            </w:r>
            <w:r>
              <w:rPr>
                <w:rFonts w:ascii="Calibri" w:hAnsi="Calibri" w:cs="Calibri"/>
                <w:b/>
                <w:bCs/>
                <w:color w:val="FFFFFF"/>
                <w:lang w:eastAsia="en-AU"/>
              </w:rPr>
              <w:t>e</w:t>
            </w:r>
          </w:p>
        </w:tc>
        <w:tc>
          <w:tcPr>
            <w:tcW w:w="336" w:type="pct"/>
            <w:shd w:val="clear" w:color="auto" w:fill="B4C6E7" w:themeFill="accent1" w:themeFillTint="66"/>
            <w:vAlign w:val="bottom"/>
            <w:hideMark/>
          </w:tcPr>
          <w:p w14:paraId="4534319F"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Trend growth</w:t>
            </w:r>
          </w:p>
        </w:tc>
      </w:tr>
      <w:tr w:rsidR="00A55C09" w:rsidRPr="008E0622" w14:paraId="6EE3413B" w14:textId="77777777" w:rsidTr="00F32C76">
        <w:trPr>
          <w:trHeight w:val="285"/>
        </w:trPr>
        <w:tc>
          <w:tcPr>
            <w:tcW w:w="190" w:type="pct"/>
            <w:gridSpan w:val="2"/>
            <w:shd w:val="clear" w:color="auto" w:fill="B4C6E7" w:themeFill="accent1" w:themeFillTint="66"/>
            <w:noWrap/>
            <w:vAlign w:val="bottom"/>
            <w:hideMark/>
          </w:tcPr>
          <w:p w14:paraId="586E5F0B" w14:textId="77777777" w:rsidR="007A2D7B" w:rsidRPr="008E0622" w:rsidRDefault="007A2D7B" w:rsidP="0058166F">
            <w:pPr>
              <w:rPr>
                <w:rFonts w:ascii="Calibri" w:hAnsi="Calibri" w:cs="Calibri"/>
                <w:b/>
                <w:bCs/>
                <w:color w:val="FFFFFF"/>
                <w:lang w:eastAsia="en-AU"/>
              </w:rPr>
            </w:pPr>
          </w:p>
        </w:tc>
        <w:tc>
          <w:tcPr>
            <w:tcW w:w="308" w:type="pct"/>
            <w:shd w:val="clear" w:color="auto" w:fill="B4C6E7" w:themeFill="accent1" w:themeFillTint="66"/>
            <w:noWrap/>
            <w:vAlign w:val="bottom"/>
            <w:hideMark/>
          </w:tcPr>
          <w:p w14:paraId="1D411904"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2012</w:t>
            </w:r>
          </w:p>
        </w:tc>
        <w:tc>
          <w:tcPr>
            <w:tcW w:w="347" w:type="pct"/>
            <w:shd w:val="clear" w:color="auto" w:fill="B4C6E7" w:themeFill="accent1" w:themeFillTint="66"/>
            <w:noWrap/>
            <w:vAlign w:val="bottom"/>
            <w:hideMark/>
          </w:tcPr>
          <w:p w14:paraId="65697722"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2013</w:t>
            </w:r>
          </w:p>
        </w:tc>
        <w:tc>
          <w:tcPr>
            <w:tcW w:w="346" w:type="pct"/>
            <w:shd w:val="clear" w:color="auto" w:fill="B4C6E7" w:themeFill="accent1" w:themeFillTint="66"/>
            <w:noWrap/>
            <w:vAlign w:val="bottom"/>
            <w:hideMark/>
          </w:tcPr>
          <w:p w14:paraId="1A0C3489"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2014</w:t>
            </w:r>
          </w:p>
        </w:tc>
        <w:tc>
          <w:tcPr>
            <w:tcW w:w="346" w:type="pct"/>
            <w:shd w:val="clear" w:color="auto" w:fill="B4C6E7" w:themeFill="accent1" w:themeFillTint="66"/>
            <w:noWrap/>
            <w:vAlign w:val="bottom"/>
            <w:hideMark/>
          </w:tcPr>
          <w:p w14:paraId="614835CC"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2015</w:t>
            </w:r>
          </w:p>
        </w:tc>
        <w:tc>
          <w:tcPr>
            <w:tcW w:w="350" w:type="pct"/>
            <w:shd w:val="clear" w:color="auto" w:fill="B4C6E7" w:themeFill="accent1" w:themeFillTint="66"/>
            <w:noWrap/>
            <w:vAlign w:val="bottom"/>
            <w:hideMark/>
          </w:tcPr>
          <w:p w14:paraId="2A44BEA2"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2016</w:t>
            </w:r>
          </w:p>
        </w:tc>
        <w:tc>
          <w:tcPr>
            <w:tcW w:w="345" w:type="pct"/>
            <w:shd w:val="clear" w:color="auto" w:fill="B4C6E7" w:themeFill="accent1" w:themeFillTint="66"/>
            <w:noWrap/>
            <w:vAlign w:val="bottom"/>
            <w:hideMark/>
          </w:tcPr>
          <w:p w14:paraId="2A52196E"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2017</w:t>
            </w:r>
          </w:p>
        </w:tc>
        <w:tc>
          <w:tcPr>
            <w:tcW w:w="384" w:type="pct"/>
            <w:gridSpan w:val="2"/>
            <w:shd w:val="clear" w:color="auto" w:fill="B4C6E7" w:themeFill="accent1" w:themeFillTint="66"/>
            <w:noWrap/>
            <w:vAlign w:val="bottom"/>
            <w:hideMark/>
          </w:tcPr>
          <w:p w14:paraId="2AA65CDD"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2018</w:t>
            </w:r>
          </w:p>
        </w:tc>
        <w:tc>
          <w:tcPr>
            <w:tcW w:w="329" w:type="pct"/>
            <w:gridSpan w:val="2"/>
            <w:shd w:val="clear" w:color="auto" w:fill="B4C6E7" w:themeFill="accent1" w:themeFillTint="66"/>
            <w:noWrap/>
            <w:vAlign w:val="bottom"/>
            <w:hideMark/>
          </w:tcPr>
          <w:p w14:paraId="4B456433"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2019</w:t>
            </w:r>
          </w:p>
        </w:tc>
        <w:tc>
          <w:tcPr>
            <w:tcW w:w="322" w:type="pct"/>
            <w:shd w:val="clear" w:color="auto" w:fill="B4C6E7" w:themeFill="accent1" w:themeFillTint="66"/>
            <w:noWrap/>
            <w:vAlign w:val="bottom"/>
            <w:hideMark/>
          </w:tcPr>
          <w:p w14:paraId="4021D12B"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2020</w:t>
            </w:r>
          </w:p>
        </w:tc>
        <w:tc>
          <w:tcPr>
            <w:tcW w:w="299" w:type="pct"/>
            <w:shd w:val="clear" w:color="auto" w:fill="B4C6E7" w:themeFill="accent1" w:themeFillTint="66"/>
            <w:noWrap/>
            <w:vAlign w:val="bottom"/>
            <w:hideMark/>
          </w:tcPr>
          <w:p w14:paraId="6C6233E3"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2021</w:t>
            </w:r>
          </w:p>
        </w:tc>
        <w:tc>
          <w:tcPr>
            <w:tcW w:w="203" w:type="pct"/>
            <w:shd w:val="clear" w:color="auto" w:fill="B4C6E7" w:themeFill="accent1" w:themeFillTint="66"/>
            <w:noWrap/>
            <w:vAlign w:val="bottom"/>
            <w:hideMark/>
          </w:tcPr>
          <w:p w14:paraId="0E6D806E"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 </w:t>
            </w:r>
          </w:p>
        </w:tc>
        <w:tc>
          <w:tcPr>
            <w:tcW w:w="292" w:type="pct"/>
            <w:shd w:val="clear" w:color="auto" w:fill="B4C6E7" w:themeFill="accent1" w:themeFillTint="66"/>
            <w:noWrap/>
            <w:vAlign w:val="bottom"/>
            <w:hideMark/>
          </w:tcPr>
          <w:p w14:paraId="19E4C445"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 </w:t>
            </w:r>
          </w:p>
        </w:tc>
        <w:tc>
          <w:tcPr>
            <w:tcW w:w="603" w:type="pct"/>
            <w:gridSpan w:val="4"/>
            <w:shd w:val="clear" w:color="auto" w:fill="B4C6E7" w:themeFill="accent1" w:themeFillTint="66"/>
            <w:noWrap/>
            <w:vAlign w:val="bottom"/>
            <w:hideMark/>
          </w:tcPr>
          <w:p w14:paraId="784A4967" w14:textId="77777777" w:rsidR="007A2D7B" w:rsidRPr="008E0622" w:rsidRDefault="007A2D7B" w:rsidP="0058166F">
            <w:pPr>
              <w:jc w:val="center"/>
              <w:rPr>
                <w:rFonts w:ascii="Calibri" w:hAnsi="Calibri" w:cs="Calibri"/>
                <w:b/>
                <w:bCs/>
                <w:color w:val="FFFFFF"/>
                <w:lang w:eastAsia="en-AU"/>
              </w:rPr>
            </w:pPr>
            <w:r w:rsidRPr="008E0622">
              <w:rPr>
                <w:rFonts w:ascii="Calibri" w:hAnsi="Calibri" w:cs="Calibri"/>
                <w:b/>
                <w:bCs/>
                <w:color w:val="FFFFFF"/>
                <w:lang w:eastAsia="en-AU"/>
              </w:rPr>
              <w:t>2020 to 2021</w:t>
            </w:r>
          </w:p>
        </w:tc>
        <w:tc>
          <w:tcPr>
            <w:tcW w:w="336" w:type="pct"/>
            <w:shd w:val="clear" w:color="auto" w:fill="B4C6E7" w:themeFill="accent1" w:themeFillTint="66"/>
            <w:noWrap/>
            <w:vAlign w:val="bottom"/>
            <w:hideMark/>
          </w:tcPr>
          <w:p w14:paraId="54EEF96A"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5 years</w:t>
            </w:r>
          </w:p>
        </w:tc>
      </w:tr>
      <w:tr w:rsidR="00A55C09" w:rsidRPr="008E0622" w14:paraId="08C8C192" w14:textId="77777777" w:rsidTr="00F32C76">
        <w:trPr>
          <w:trHeight w:val="285"/>
        </w:trPr>
        <w:tc>
          <w:tcPr>
            <w:tcW w:w="190" w:type="pct"/>
            <w:gridSpan w:val="2"/>
            <w:shd w:val="clear" w:color="auto" w:fill="B4C6E7" w:themeFill="accent1" w:themeFillTint="66"/>
            <w:noWrap/>
            <w:vAlign w:val="bottom"/>
            <w:hideMark/>
          </w:tcPr>
          <w:p w14:paraId="1F4A5997" w14:textId="77777777" w:rsidR="007A2D7B" w:rsidRPr="008E0622" w:rsidRDefault="007A2D7B" w:rsidP="0058166F">
            <w:pPr>
              <w:rPr>
                <w:rFonts w:ascii="Calibri" w:hAnsi="Calibri" w:cs="Calibri"/>
                <w:b/>
                <w:bCs/>
                <w:color w:val="FFFFFF"/>
                <w:lang w:eastAsia="en-AU"/>
              </w:rPr>
            </w:pPr>
            <w:r w:rsidRPr="008E0622">
              <w:rPr>
                <w:rFonts w:ascii="Calibri" w:hAnsi="Calibri" w:cs="Calibri"/>
                <w:b/>
                <w:bCs/>
                <w:color w:val="FFFFFF"/>
                <w:lang w:eastAsia="en-AU"/>
              </w:rPr>
              <w:t> </w:t>
            </w:r>
          </w:p>
        </w:tc>
        <w:tc>
          <w:tcPr>
            <w:tcW w:w="308" w:type="pct"/>
            <w:shd w:val="clear" w:color="auto" w:fill="B4C6E7" w:themeFill="accent1" w:themeFillTint="66"/>
            <w:noWrap/>
            <w:vAlign w:val="bottom"/>
            <w:hideMark/>
          </w:tcPr>
          <w:p w14:paraId="025BB1BA"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47" w:type="pct"/>
            <w:shd w:val="clear" w:color="auto" w:fill="B4C6E7" w:themeFill="accent1" w:themeFillTint="66"/>
            <w:noWrap/>
            <w:vAlign w:val="bottom"/>
            <w:hideMark/>
          </w:tcPr>
          <w:p w14:paraId="12BDE512"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46" w:type="pct"/>
            <w:shd w:val="clear" w:color="auto" w:fill="B4C6E7" w:themeFill="accent1" w:themeFillTint="66"/>
            <w:noWrap/>
            <w:vAlign w:val="bottom"/>
            <w:hideMark/>
          </w:tcPr>
          <w:p w14:paraId="1A09955F"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46" w:type="pct"/>
            <w:shd w:val="clear" w:color="auto" w:fill="B4C6E7" w:themeFill="accent1" w:themeFillTint="66"/>
            <w:noWrap/>
            <w:vAlign w:val="bottom"/>
            <w:hideMark/>
          </w:tcPr>
          <w:p w14:paraId="7CB41FF8"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50" w:type="pct"/>
            <w:shd w:val="clear" w:color="auto" w:fill="B4C6E7" w:themeFill="accent1" w:themeFillTint="66"/>
            <w:noWrap/>
            <w:vAlign w:val="bottom"/>
            <w:hideMark/>
          </w:tcPr>
          <w:p w14:paraId="253B71B8"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45" w:type="pct"/>
            <w:shd w:val="clear" w:color="auto" w:fill="B4C6E7" w:themeFill="accent1" w:themeFillTint="66"/>
            <w:noWrap/>
            <w:vAlign w:val="bottom"/>
            <w:hideMark/>
          </w:tcPr>
          <w:p w14:paraId="748666CC"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84" w:type="pct"/>
            <w:gridSpan w:val="2"/>
            <w:shd w:val="clear" w:color="auto" w:fill="B4C6E7" w:themeFill="accent1" w:themeFillTint="66"/>
            <w:noWrap/>
            <w:vAlign w:val="bottom"/>
            <w:hideMark/>
          </w:tcPr>
          <w:p w14:paraId="6322A0D6"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29" w:type="pct"/>
            <w:gridSpan w:val="2"/>
            <w:shd w:val="clear" w:color="auto" w:fill="B4C6E7" w:themeFill="accent1" w:themeFillTint="66"/>
            <w:noWrap/>
            <w:vAlign w:val="bottom"/>
            <w:hideMark/>
          </w:tcPr>
          <w:p w14:paraId="42810DFB"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322" w:type="pct"/>
            <w:shd w:val="clear" w:color="auto" w:fill="B4C6E7" w:themeFill="accent1" w:themeFillTint="66"/>
            <w:noWrap/>
            <w:vAlign w:val="bottom"/>
            <w:hideMark/>
          </w:tcPr>
          <w:p w14:paraId="6C0220A9"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299" w:type="pct"/>
            <w:shd w:val="clear" w:color="auto" w:fill="B4C6E7" w:themeFill="accent1" w:themeFillTint="66"/>
            <w:noWrap/>
            <w:vAlign w:val="bottom"/>
            <w:hideMark/>
          </w:tcPr>
          <w:p w14:paraId="28ABE25D"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203" w:type="pct"/>
            <w:shd w:val="clear" w:color="auto" w:fill="B4C6E7" w:themeFill="accent1" w:themeFillTint="66"/>
            <w:noWrap/>
            <w:vAlign w:val="bottom"/>
            <w:hideMark/>
          </w:tcPr>
          <w:p w14:paraId="6517E412"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Rank</w:t>
            </w:r>
          </w:p>
        </w:tc>
        <w:tc>
          <w:tcPr>
            <w:tcW w:w="292" w:type="pct"/>
            <w:shd w:val="clear" w:color="auto" w:fill="B4C6E7" w:themeFill="accent1" w:themeFillTint="66"/>
            <w:noWrap/>
            <w:vAlign w:val="bottom"/>
            <w:hideMark/>
          </w:tcPr>
          <w:p w14:paraId="60958205"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 share</w:t>
            </w:r>
          </w:p>
        </w:tc>
        <w:tc>
          <w:tcPr>
            <w:tcW w:w="354" w:type="pct"/>
            <w:gridSpan w:val="2"/>
            <w:shd w:val="clear" w:color="auto" w:fill="B4C6E7" w:themeFill="accent1" w:themeFillTint="66"/>
            <w:noWrap/>
            <w:vAlign w:val="bottom"/>
            <w:hideMark/>
          </w:tcPr>
          <w:p w14:paraId="62A9E0D7"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No.</w:t>
            </w:r>
          </w:p>
        </w:tc>
        <w:tc>
          <w:tcPr>
            <w:tcW w:w="249" w:type="pct"/>
            <w:gridSpan w:val="2"/>
            <w:shd w:val="clear" w:color="auto" w:fill="B4C6E7" w:themeFill="accent1" w:themeFillTint="66"/>
            <w:noWrap/>
            <w:vAlign w:val="bottom"/>
            <w:hideMark/>
          </w:tcPr>
          <w:p w14:paraId="2A238EF2"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w:t>
            </w:r>
          </w:p>
        </w:tc>
        <w:tc>
          <w:tcPr>
            <w:tcW w:w="336" w:type="pct"/>
            <w:shd w:val="clear" w:color="auto" w:fill="B4C6E7" w:themeFill="accent1" w:themeFillTint="66"/>
            <w:noWrap/>
            <w:vAlign w:val="bottom"/>
            <w:hideMark/>
          </w:tcPr>
          <w:p w14:paraId="312F908A" w14:textId="77777777" w:rsidR="007A2D7B" w:rsidRPr="008E0622" w:rsidRDefault="007A2D7B" w:rsidP="0058166F">
            <w:pPr>
              <w:jc w:val="right"/>
              <w:rPr>
                <w:rFonts w:ascii="Calibri" w:hAnsi="Calibri" w:cs="Calibri"/>
                <w:b/>
                <w:bCs/>
                <w:color w:val="FFFFFF"/>
                <w:lang w:eastAsia="en-AU"/>
              </w:rPr>
            </w:pPr>
            <w:r w:rsidRPr="008E0622">
              <w:rPr>
                <w:rFonts w:ascii="Calibri" w:hAnsi="Calibri" w:cs="Calibri"/>
                <w:b/>
                <w:bCs/>
                <w:color w:val="FFFFFF"/>
                <w:lang w:eastAsia="en-AU"/>
              </w:rPr>
              <w:t>%</w:t>
            </w:r>
          </w:p>
        </w:tc>
      </w:tr>
      <w:tr w:rsidR="00A55C09" w:rsidRPr="008E0622" w14:paraId="12D33A71" w14:textId="77777777" w:rsidTr="00F32C76">
        <w:trPr>
          <w:trHeight w:val="263"/>
        </w:trPr>
        <w:tc>
          <w:tcPr>
            <w:tcW w:w="190" w:type="pct"/>
            <w:gridSpan w:val="2"/>
            <w:shd w:val="clear" w:color="auto" w:fill="B4C6E7" w:themeFill="accent1" w:themeFillTint="66"/>
            <w:noWrap/>
            <w:vAlign w:val="bottom"/>
            <w:hideMark/>
          </w:tcPr>
          <w:p w14:paraId="18B6C3CD" w14:textId="77777777" w:rsidR="007A2D7B" w:rsidRPr="008E0622" w:rsidRDefault="007A2D7B" w:rsidP="0058166F">
            <w:pPr>
              <w:rPr>
                <w:rFonts w:ascii="Calibri" w:hAnsi="Calibri" w:cs="Calibri"/>
                <w:color w:val="000000"/>
                <w:sz w:val="20"/>
                <w:szCs w:val="20"/>
                <w:lang w:eastAsia="en-AU"/>
              </w:rPr>
            </w:pPr>
            <w:r w:rsidRPr="008E0622">
              <w:rPr>
                <w:rFonts w:ascii="Calibri" w:hAnsi="Calibri" w:cs="Calibri"/>
                <w:color w:val="000000"/>
                <w:sz w:val="20"/>
                <w:szCs w:val="20"/>
                <w:lang w:eastAsia="en-AU"/>
              </w:rPr>
              <w:t>U</w:t>
            </w:r>
            <w:r>
              <w:rPr>
                <w:rFonts w:ascii="Calibri" w:hAnsi="Calibri" w:cs="Calibri"/>
                <w:color w:val="000000"/>
                <w:sz w:val="20"/>
                <w:szCs w:val="20"/>
                <w:lang w:eastAsia="en-AU"/>
              </w:rPr>
              <w:t>K</w:t>
            </w:r>
          </w:p>
        </w:tc>
        <w:tc>
          <w:tcPr>
            <w:tcW w:w="308" w:type="pct"/>
            <w:shd w:val="clear" w:color="auto" w:fill="B4C6E7" w:themeFill="accent1" w:themeFillTint="66"/>
            <w:noWrap/>
            <w:vAlign w:val="bottom"/>
            <w:hideMark/>
          </w:tcPr>
          <w:p w14:paraId="36824712"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626,700</w:t>
            </w:r>
          </w:p>
        </w:tc>
        <w:tc>
          <w:tcPr>
            <w:tcW w:w="347" w:type="pct"/>
            <w:shd w:val="clear" w:color="auto" w:fill="B4C6E7" w:themeFill="accent1" w:themeFillTint="66"/>
            <w:noWrap/>
            <w:vAlign w:val="bottom"/>
            <w:hideMark/>
          </w:tcPr>
          <w:p w14:paraId="3EED4ED6"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637,900</w:t>
            </w:r>
          </w:p>
        </w:tc>
        <w:tc>
          <w:tcPr>
            <w:tcW w:w="346" w:type="pct"/>
            <w:shd w:val="clear" w:color="auto" w:fill="B4C6E7" w:themeFill="accent1" w:themeFillTint="66"/>
            <w:noWrap/>
            <w:vAlign w:val="bottom"/>
            <w:hideMark/>
          </w:tcPr>
          <w:p w14:paraId="30F644A8"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671,200</w:t>
            </w:r>
          </w:p>
        </w:tc>
        <w:tc>
          <w:tcPr>
            <w:tcW w:w="346" w:type="pct"/>
            <w:shd w:val="clear" w:color="auto" w:fill="B4C6E7" w:themeFill="accent1" w:themeFillTint="66"/>
            <w:noWrap/>
            <w:vAlign w:val="bottom"/>
            <w:hideMark/>
          </w:tcPr>
          <w:p w14:paraId="72B49D7F"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667,100</w:t>
            </w:r>
          </w:p>
        </w:tc>
        <w:tc>
          <w:tcPr>
            <w:tcW w:w="350" w:type="pct"/>
            <w:shd w:val="clear" w:color="auto" w:fill="B4C6E7" w:themeFill="accent1" w:themeFillTint="66"/>
            <w:noWrap/>
            <w:vAlign w:val="bottom"/>
            <w:hideMark/>
          </w:tcPr>
          <w:p w14:paraId="160B0162"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703,700</w:t>
            </w:r>
          </w:p>
        </w:tc>
        <w:tc>
          <w:tcPr>
            <w:tcW w:w="345" w:type="pct"/>
            <w:shd w:val="clear" w:color="auto" w:fill="B4C6E7" w:themeFill="accent1" w:themeFillTint="66"/>
            <w:noWrap/>
            <w:vAlign w:val="bottom"/>
            <w:hideMark/>
          </w:tcPr>
          <w:p w14:paraId="3F40C3F9"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726,400</w:t>
            </w:r>
          </w:p>
        </w:tc>
        <w:tc>
          <w:tcPr>
            <w:tcW w:w="384" w:type="pct"/>
            <w:gridSpan w:val="2"/>
            <w:shd w:val="clear" w:color="auto" w:fill="B4C6E7" w:themeFill="accent1" w:themeFillTint="66"/>
            <w:noWrap/>
            <w:vAlign w:val="bottom"/>
            <w:hideMark/>
          </w:tcPr>
          <w:p w14:paraId="32AB0A37"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742,600</w:t>
            </w:r>
          </w:p>
        </w:tc>
        <w:tc>
          <w:tcPr>
            <w:tcW w:w="329" w:type="pct"/>
            <w:gridSpan w:val="2"/>
            <w:shd w:val="clear" w:color="auto" w:fill="B4C6E7" w:themeFill="accent1" w:themeFillTint="66"/>
            <w:noWrap/>
            <w:vAlign w:val="bottom"/>
            <w:hideMark/>
          </w:tcPr>
          <w:p w14:paraId="66B3A2E4"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718,600</w:t>
            </w:r>
          </w:p>
        </w:tc>
        <w:tc>
          <w:tcPr>
            <w:tcW w:w="322" w:type="pct"/>
            <w:shd w:val="clear" w:color="auto" w:fill="B4C6E7" w:themeFill="accent1" w:themeFillTint="66"/>
            <w:noWrap/>
            <w:vAlign w:val="bottom"/>
            <w:hideMark/>
          </w:tcPr>
          <w:p w14:paraId="147CE68A"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562,300</w:t>
            </w:r>
          </w:p>
        </w:tc>
        <w:tc>
          <w:tcPr>
            <w:tcW w:w="299" w:type="pct"/>
            <w:shd w:val="clear" w:color="auto" w:fill="B4C6E7" w:themeFill="accent1" w:themeFillTint="66"/>
            <w:noWrap/>
            <w:vAlign w:val="bottom"/>
            <w:hideMark/>
          </w:tcPr>
          <w:p w14:paraId="16A4EA37"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8,100</w:t>
            </w:r>
          </w:p>
        </w:tc>
        <w:tc>
          <w:tcPr>
            <w:tcW w:w="203" w:type="pct"/>
            <w:shd w:val="clear" w:color="auto" w:fill="B4C6E7" w:themeFill="accent1" w:themeFillTint="66"/>
            <w:noWrap/>
            <w:vAlign w:val="bottom"/>
            <w:hideMark/>
          </w:tcPr>
          <w:p w14:paraId="4FBA0EA8" w14:textId="77777777" w:rsidR="007A2D7B" w:rsidRPr="008E0622" w:rsidRDefault="007A2D7B" w:rsidP="0058166F">
            <w:pPr>
              <w:jc w:val="right"/>
              <w:rPr>
                <w:rFonts w:ascii="Calibri" w:hAnsi="Calibri" w:cs="Calibri"/>
                <w:color w:val="000000"/>
                <w:sz w:val="20"/>
                <w:szCs w:val="20"/>
                <w:lang w:eastAsia="en-AU"/>
              </w:rPr>
            </w:pPr>
            <w:r w:rsidRPr="008E0622">
              <w:rPr>
                <w:rFonts w:ascii="Calibri" w:hAnsi="Calibri" w:cs="Calibri"/>
                <w:color w:val="000000"/>
                <w:sz w:val="20"/>
                <w:szCs w:val="20"/>
                <w:lang w:eastAsia="en-AU"/>
              </w:rPr>
              <w:t>3</w:t>
            </w:r>
          </w:p>
        </w:tc>
        <w:tc>
          <w:tcPr>
            <w:tcW w:w="292" w:type="pct"/>
            <w:shd w:val="clear" w:color="auto" w:fill="B4C6E7" w:themeFill="accent1" w:themeFillTint="66"/>
            <w:noWrap/>
            <w:vAlign w:val="bottom"/>
            <w:hideMark/>
          </w:tcPr>
          <w:p w14:paraId="2FD1123B" w14:textId="77777777" w:rsidR="007A2D7B" w:rsidRPr="008E0622" w:rsidRDefault="007A2D7B" w:rsidP="0058166F">
            <w:pPr>
              <w:jc w:val="right"/>
              <w:rPr>
                <w:rFonts w:ascii="Calibri" w:hAnsi="Calibri" w:cs="Calibri"/>
                <w:color w:val="333399"/>
                <w:sz w:val="20"/>
                <w:szCs w:val="20"/>
                <w:lang w:eastAsia="en-AU"/>
              </w:rPr>
            </w:pPr>
            <w:r w:rsidRPr="008E0622">
              <w:rPr>
                <w:rFonts w:ascii="Calibri" w:hAnsi="Calibri" w:cs="Calibri"/>
                <w:color w:val="333399"/>
                <w:sz w:val="20"/>
                <w:szCs w:val="20"/>
                <w:lang w:eastAsia="en-AU"/>
              </w:rPr>
              <w:t>5.38</w:t>
            </w:r>
          </w:p>
        </w:tc>
        <w:tc>
          <w:tcPr>
            <w:tcW w:w="354" w:type="pct"/>
            <w:gridSpan w:val="2"/>
            <w:shd w:val="clear" w:color="auto" w:fill="B4C6E7" w:themeFill="accent1" w:themeFillTint="66"/>
            <w:noWrap/>
            <w:vAlign w:val="bottom"/>
            <w:hideMark/>
          </w:tcPr>
          <w:p w14:paraId="02B53B0D" w14:textId="77777777" w:rsidR="007A2D7B" w:rsidRPr="008E0622" w:rsidRDefault="007A2D7B" w:rsidP="0058166F">
            <w:pPr>
              <w:jc w:val="right"/>
              <w:rPr>
                <w:rFonts w:ascii="Calibri" w:hAnsi="Calibri" w:cs="Calibri"/>
                <w:color w:val="0000FF"/>
                <w:sz w:val="20"/>
                <w:szCs w:val="20"/>
                <w:lang w:eastAsia="en-AU"/>
              </w:rPr>
            </w:pPr>
            <w:r w:rsidRPr="008E0622">
              <w:rPr>
                <w:rFonts w:ascii="Calibri" w:hAnsi="Calibri" w:cs="Calibri"/>
                <w:color w:val="FF0000"/>
                <w:sz w:val="20"/>
                <w:szCs w:val="20"/>
                <w:lang w:eastAsia="en-AU"/>
              </w:rPr>
              <w:t>-554,200</w:t>
            </w:r>
          </w:p>
        </w:tc>
        <w:tc>
          <w:tcPr>
            <w:tcW w:w="249" w:type="pct"/>
            <w:gridSpan w:val="2"/>
            <w:shd w:val="clear" w:color="auto" w:fill="B4C6E7" w:themeFill="accent1" w:themeFillTint="66"/>
            <w:noWrap/>
            <w:vAlign w:val="bottom"/>
            <w:hideMark/>
          </w:tcPr>
          <w:p w14:paraId="7DA71E7C" w14:textId="77777777" w:rsidR="007A2D7B" w:rsidRPr="008E0622" w:rsidRDefault="007A2D7B" w:rsidP="0058166F">
            <w:pPr>
              <w:jc w:val="right"/>
              <w:rPr>
                <w:rFonts w:ascii="Calibri" w:hAnsi="Calibri" w:cs="Calibri"/>
                <w:i/>
                <w:iCs/>
                <w:color w:val="0000FF"/>
                <w:sz w:val="20"/>
                <w:szCs w:val="20"/>
                <w:lang w:eastAsia="en-AU"/>
              </w:rPr>
            </w:pPr>
            <w:r w:rsidRPr="008E0622">
              <w:rPr>
                <w:rFonts w:ascii="Calibri" w:hAnsi="Calibri" w:cs="Calibri"/>
                <w:i/>
                <w:iCs/>
                <w:color w:val="FF0000"/>
                <w:sz w:val="20"/>
                <w:szCs w:val="20"/>
                <w:lang w:eastAsia="en-AU"/>
              </w:rPr>
              <w:t>-98.6</w:t>
            </w:r>
          </w:p>
        </w:tc>
        <w:tc>
          <w:tcPr>
            <w:tcW w:w="336" w:type="pct"/>
            <w:shd w:val="clear" w:color="auto" w:fill="B4C6E7" w:themeFill="accent1" w:themeFillTint="66"/>
            <w:noWrap/>
            <w:vAlign w:val="bottom"/>
            <w:hideMark/>
          </w:tcPr>
          <w:p w14:paraId="0F49872B" w14:textId="77777777" w:rsidR="007A2D7B" w:rsidRPr="008E0622" w:rsidRDefault="007A2D7B" w:rsidP="0058166F">
            <w:pPr>
              <w:jc w:val="right"/>
              <w:rPr>
                <w:rFonts w:ascii="Calibri" w:hAnsi="Calibri" w:cs="Calibri"/>
                <w:i/>
                <w:iCs/>
                <w:color w:val="0000FF"/>
                <w:sz w:val="20"/>
                <w:szCs w:val="20"/>
                <w:lang w:eastAsia="en-AU"/>
              </w:rPr>
            </w:pPr>
            <w:r w:rsidRPr="008E0622">
              <w:rPr>
                <w:rFonts w:ascii="Calibri" w:hAnsi="Calibri" w:cs="Calibri"/>
                <w:i/>
                <w:iCs/>
                <w:color w:val="FF0000"/>
                <w:sz w:val="20"/>
                <w:szCs w:val="20"/>
                <w:lang w:eastAsia="en-AU"/>
              </w:rPr>
              <w:t>-48.3</w:t>
            </w:r>
          </w:p>
        </w:tc>
      </w:tr>
      <w:tr w:rsidR="007A2D7B" w:rsidRPr="00234E29" w14:paraId="499EF012" w14:textId="77777777" w:rsidTr="00F32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4"/>
          <w:wAfter w:w="3113" w:type="pct"/>
          <w:trHeight w:val="540"/>
        </w:trPr>
        <w:tc>
          <w:tcPr>
            <w:tcW w:w="1887" w:type="pct"/>
            <w:gridSpan w:val="7"/>
            <w:tcBorders>
              <w:top w:val="nil"/>
              <w:left w:val="nil"/>
              <w:bottom w:val="nil"/>
              <w:right w:val="nil"/>
            </w:tcBorders>
            <w:shd w:val="clear" w:color="auto" w:fill="auto"/>
            <w:noWrap/>
            <w:vAlign w:val="center"/>
            <w:hideMark/>
          </w:tcPr>
          <w:p w14:paraId="4C75AEE8" w14:textId="77777777" w:rsidR="007A2D7B" w:rsidRDefault="007A2D7B" w:rsidP="0058166F">
            <w:pPr>
              <w:rPr>
                <w:rFonts w:ascii="Calibri" w:hAnsi="Calibri" w:cs="Calibri"/>
                <w:b/>
                <w:bCs/>
                <w:color w:val="FFFFFF"/>
                <w:sz w:val="24"/>
                <w:szCs w:val="24"/>
                <w:lang w:eastAsia="en-AU"/>
              </w:rPr>
            </w:pPr>
          </w:p>
          <w:p w14:paraId="0A80E15B" w14:textId="00B17BB6" w:rsidR="002154D7" w:rsidRPr="00FE7977" w:rsidRDefault="007A2D7B" w:rsidP="0058166F">
            <w:pPr>
              <w:rPr>
                <w:b/>
                <w:bCs/>
                <w:sz w:val="24"/>
                <w:szCs w:val="24"/>
                <w:u w:val="single"/>
              </w:rPr>
            </w:pPr>
            <w:r w:rsidRPr="00FE7977">
              <w:rPr>
                <w:rFonts w:ascii="Calibri" w:hAnsi="Calibri" w:cs="Calibri"/>
                <w:b/>
                <w:bCs/>
                <w:sz w:val="24"/>
                <w:szCs w:val="24"/>
                <w:u w:val="single"/>
                <w:lang w:eastAsia="en-AU"/>
              </w:rPr>
              <w:t>Table 1</w:t>
            </w:r>
            <w:r w:rsidR="005111EB">
              <w:rPr>
                <w:rFonts w:ascii="Calibri" w:hAnsi="Calibri" w:cs="Calibri"/>
                <w:b/>
                <w:bCs/>
                <w:sz w:val="24"/>
                <w:szCs w:val="24"/>
                <w:u w:val="single"/>
                <w:lang w:eastAsia="en-AU"/>
              </w:rPr>
              <w:t>3</w:t>
            </w:r>
            <w:r w:rsidRPr="00FE7977">
              <w:rPr>
                <w:rFonts w:ascii="Calibri" w:hAnsi="Calibri" w:cs="Calibri"/>
                <w:b/>
                <w:bCs/>
                <w:sz w:val="24"/>
                <w:szCs w:val="24"/>
                <w:lang w:eastAsia="en-AU"/>
              </w:rPr>
              <w:t>: Short-term resident returns number of</w:t>
            </w:r>
            <w:r w:rsidR="00F32C76">
              <w:rPr>
                <w:rFonts w:ascii="Calibri" w:hAnsi="Calibri" w:cs="Calibri"/>
                <w:b/>
                <w:bCs/>
                <w:sz w:val="24"/>
                <w:szCs w:val="24"/>
                <w:lang w:eastAsia="en-AU"/>
              </w:rPr>
              <w:t xml:space="preserve"> </w:t>
            </w:r>
            <w:r w:rsidRPr="00FE7977">
              <w:rPr>
                <w:rFonts w:ascii="Calibri" w:hAnsi="Calibri" w:cs="Calibri"/>
                <w:b/>
                <w:bCs/>
                <w:sz w:val="24"/>
                <w:szCs w:val="24"/>
                <w:lang w:eastAsia="en-AU"/>
              </w:rPr>
              <w:t>movements</w:t>
            </w:r>
            <w:r w:rsidRPr="00FE7977">
              <w:rPr>
                <w:b/>
                <w:bCs/>
                <w:sz w:val="24"/>
                <w:szCs w:val="24"/>
                <w:u w:val="single"/>
              </w:rPr>
              <w:t xml:space="preserve"> </w:t>
            </w:r>
          </w:p>
          <w:p w14:paraId="59C3DA6A" w14:textId="19EBEA1C" w:rsidR="007A2D7B" w:rsidRPr="00234E29" w:rsidRDefault="007A2D7B" w:rsidP="0058166F">
            <w:pPr>
              <w:rPr>
                <w:rFonts w:ascii="Calibri" w:hAnsi="Calibri" w:cs="Calibri"/>
                <w:b/>
                <w:bCs/>
                <w:color w:val="FFFFFF"/>
                <w:sz w:val="24"/>
                <w:szCs w:val="24"/>
                <w:lang w:eastAsia="en-AU"/>
              </w:rPr>
            </w:pPr>
            <w:r w:rsidRPr="00234E29">
              <w:rPr>
                <w:b/>
                <w:bCs/>
                <w:sz w:val="24"/>
                <w:szCs w:val="24"/>
              </w:rPr>
              <w:t>Source: Office of the Chief Economist</w:t>
            </w:r>
          </w:p>
        </w:tc>
      </w:tr>
      <w:tr w:rsidR="007A2D7B" w:rsidRPr="00234E29" w14:paraId="734FE93C" w14:textId="77777777" w:rsidTr="00F32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4"/>
          <w:wAfter w:w="3113" w:type="pct"/>
          <w:trHeight w:val="263"/>
        </w:trPr>
        <w:tc>
          <w:tcPr>
            <w:tcW w:w="1887" w:type="pct"/>
            <w:gridSpan w:val="7"/>
            <w:tcBorders>
              <w:top w:val="nil"/>
              <w:left w:val="nil"/>
              <w:bottom w:val="nil"/>
              <w:right w:val="nil"/>
            </w:tcBorders>
            <w:shd w:val="clear" w:color="auto" w:fill="auto"/>
            <w:noWrap/>
            <w:vAlign w:val="bottom"/>
            <w:hideMark/>
          </w:tcPr>
          <w:p w14:paraId="716CBB07" w14:textId="77777777" w:rsidR="007A2D7B" w:rsidRPr="00234E29" w:rsidRDefault="007A2D7B" w:rsidP="0058166F">
            <w:pPr>
              <w:rPr>
                <w:rFonts w:ascii="Calibri" w:hAnsi="Calibri" w:cs="Calibri"/>
                <w:color w:val="000000"/>
                <w:sz w:val="18"/>
                <w:szCs w:val="18"/>
                <w:lang w:eastAsia="en-AU"/>
              </w:rPr>
            </w:pPr>
            <w:r w:rsidRPr="00234E29">
              <w:rPr>
                <w:rFonts w:ascii="Calibri" w:hAnsi="Calibri" w:cs="Calibri"/>
                <w:color w:val="000000"/>
                <w:sz w:val="18"/>
                <w:szCs w:val="18"/>
                <w:lang w:eastAsia="en-AU"/>
              </w:rPr>
              <w:t>Based on Home Affairs - Overseas Arrivals and Departures data</w:t>
            </w:r>
          </w:p>
        </w:tc>
      </w:tr>
      <w:tr w:rsidR="00A55C09" w:rsidRPr="00234E29" w14:paraId="61EB709F" w14:textId="77777777" w:rsidTr="00F32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94C8DDA" w14:textId="77777777" w:rsidR="007A2D7B" w:rsidRPr="00234E29" w:rsidRDefault="007A2D7B" w:rsidP="0058166F">
            <w:pPr>
              <w:rPr>
                <w:rFonts w:ascii="Calibri" w:hAnsi="Calibri" w:cs="Calibri"/>
                <w:b/>
                <w:bCs/>
                <w:color w:val="FFFFFF"/>
                <w:lang w:eastAsia="en-AU"/>
              </w:rPr>
            </w:pPr>
            <w:r w:rsidRPr="00234E29">
              <w:rPr>
                <w:rFonts w:ascii="Calibri" w:hAnsi="Calibri" w:cs="Calibri"/>
                <w:b/>
                <w:bCs/>
                <w:color w:val="FFFFFF"/>
                <w:lang w:eastAsia="en-AU"/>
              </w:rPr>
              <w:t> </w:t>
            </w:r>
          </w:p>
        </w:tc>
        <w:tc>
          <w:tcPr>
            <w:tcW w:w="3409" w:type="pct"/>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8EAE91F" w14:textId="77777777" w:rsidR="007A2D7B" w:rsidRPr="00234E29" w:rsidRDefault="007A2D7B" w:rsidP="0058166F">
            <w:pPr>
              <w:jc w:val="center"/>
              <w:rPr>
                <w:rFonts w:ascii="Calibri" w:hAnsi="Calibri" w:cs="Calibri"/>
                <w:b/>
                <w:bCs/>
                <w:color w:val="FFFFFF"/>
                <w:lang w:eastAsia="en-AU"/>
              </w:rPr>
            </w:pPr>
            <w:r w:rsidRPr="00234E29">
              <w:rPr>
                <w:rFonts w:ascii="Calibri" w:hAnsi="Calibri" w:cs="Calibri"/>
                <w:b/>
                <w:bCs/>
                <w:color w:val="FFFFFF"/>
                <w:lang w:eastAsia="en-AU"/>
              </w:rPr>
              <w:t>Year ended June</w:t>
            </w:r>
          </w:p>
        </w:tc>
        <w:tc>
          <w:tcPr>
            <w:tcW w:w="49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36FE06BB" w14:textId="77777777" w:rsidR="007A2D7B" w:rsidRPr="00234E29" w:rsidRDefault="007A2D7B" w:rsidP="0058166F">
            <w:pPr>
              <w:jc w:val="center"/>
              <w:rPr>
                <w:rFonts w:ascii="Calibri" w:hAnsi="Calibri" w:cs="Calibri"/>
                <w:b/>
                <w:bCs/>
                <w:color w:val="FFFFFF"/>
                <w:lang w:eastAsia="en-AU"/>
              </w:rPr>
            </w:pPr>
            <w:r w:rsidRPr="00234E29">
              <w:rPr>
                <w:rFonts w:ascii="Calibri" w:hAnsi="Calibri" w:cs="Calibri"/>
                <w:b/>
                <w:bCs/>
                <w:color w:val="FFFFFF"/>
                <w:lang w:eastAsia="en-AU"/>
              </w:rPr>
              <w:t>Year ended</w:t>
            </w:r>
            <w:r w:rsidRPr="00234E29">
              <w:rPr>
                <w:rFonts w:ascii="Calibri" w:hAnsi="Calibri" w:cs="Calibri"/>
                <w:b/>
                <w:bCs/>
                <w:color w:val="FFFFFF"/>
                <w:lang w:eastAsia="en-AU"/>
              </w:rPr>
              <w:br/>
              <w:t>Jun-2021</w:t>
            </w:r>
          </w:p>
        </w:tc>
        <w:tc>
          <w:tcPr>
            <w:tcW w:w="597"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4A54FDD0" w14:textId="77777777" w:rsidR="007A2D7B" w:rsidRPr="00234E29" w:rsidRDefault="007A2D7B" w:rsidP="0058166F">
            <w:pPr>
              <w:jc w:val="center"/>
              <w:rPr>
                <w:rFonts w:ascii="Calibri" w:hAnsi="Calibri" w:cs="Calibri"/>
                <w:b/>
                <w:bCs/>
                <w:color w:val="FFFFFF"/>
                <w:lang w:eastAsia="en-AU"/>
              </w:rPr>
            </w:pPr>
            <w:r w:rsidRPr="00234E29">
              <w:rPr>
                <w:rFonts w:ascii="Calibri" w:hAnsi="Calibri" w:cs="Calibri"/>
                <w:b/>
                <w:bCs/>
                <w:color w:val="FFFFFF"/>
                <w:lang w:eastAsia="en-AU"/>
              </w:rPr>
              <w:t>Growth</w:t>
            </w:r>
            <w:r w:rsidRPr="00234E29">
              <w:rPr>
                <w:rFonts w:ascii="Calibri" w:hAnsi="Calibri" w:cs="Calibri"/>
                <w:b/>
                <w:bCs/>
                <w:color w:val="FFFFFF"/>
                <w:lang w:eastAsia="en-AU"/>
              </w:rPr>
              <w:br/>
              <w:t>Year ended Jun</w:t>
            </w:r>
          </w:p>
        </w:tc>
        <w:tc>
          <w:tcPr>
            <w:tcW w:w="34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3999F226"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Trend growth</w:t>
            </w:r>
          </w:p>
        </w:tc>
      </w:tr>
      <w:tr w:rsidR="00700974" w:rsidRPr="00234E29" w14:paraId="08BCB1B4" w14:textId="77777777" w:rsidTr="00F32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04C7548" w14:textId="77777777" w:rsidR="007A2D7B" w:rsidRPr="00234E29" w:rsidRDefault="007A2D7B" w:rsidP="0058166F">
            <w:pPr>
              <w:rPr>
                <w:rFonts w:ascii="Calibri" w:hAnsi="Calibri" w:cs="Calibri"/>
                <w:b/>
                <w:bCs/>
                <w:color w:val="FFFFFF"/>
                <w:lang w:eastAsia="en-AU"/>
              </w:rPr>
            </w:pPr>
          </w:p>
        </w:tc>
        <w:tc>
          <w:tcPr>
            <w:tcW w:w="3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03C05C0"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2012</w:t>
            </w:r>
          </w:p>
        </w:tc>
        <w:tc>
          <w:tcPr>
            <w:tcW w:w="34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9B5723E"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2013</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0EC5FAF"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2014</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71F8807"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2015</w:t>
            </w:r>
          </w:p>
        </w:tc>
        <w:tc>
          <w:tcPr>
            <w:tcW w:w="3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FB24B02"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2016</w:t>
            </w:r>
          </w:p>
        </w:tc>
        <w:tc>
          <w:tcPr>
            <w:tcW w:w="3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5F47D18"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2017</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F6FD4D1"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2018</w:t>
            </w:r>
          </w:p>
        </w:tc>
        <w:tc>
          <w:tcPr>
            <w:tcW w:w="35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0441A42"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2019</w:t>
            </w:r>
          </w:p>
        </w:tc>
        <w:tc>
          <w:tcPr>
            <w:tcW w:w="33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FB048FD"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2020</w:t>
            </w:r>
          </w:p>
        </w:tc>
        <w:tc>
          <w:tcPr>
            <w:tcW w:w="2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8ED0B39"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2021</w:t>
            </w:r>
          </w:p>
        </w:tc>
        <w:tc>
          <w:tcPr>
            <w:tcW w:w="20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8D4402F"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 </w:t>
            </w:r>
          </w:p>
        </w:tc>
        <w:tc>
          <w:tcPr>
            <w:tcW w:w="2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1AF0092"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 </w:t>
            </w:r>
          </w:p>
        </w:tc>
        <w:tc>
          <w:tcPr>
            <w:tcW w:w="597"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1B5D567" w14:textId="77777777" w:rsidR="007A2D7B" w:rsidRPr="00234E29" w:rsidRDefault="007A2D7B" w:rsidP="0058166F">
            <w:pPr>
              <w:jc w:val="center"/>
              <w:rPr>
                <w:rFonts w:ascii="Calibri" w:hAnsi="Calibri" w:cs="Calibri"/>
                <w:b/>
                <w:bCs/>
                <w:color w:val="FFFFFF"/>
                <w:lang w:eastAsia="en-AU"/>
              </w:rPr>
            </w:pPr>
            <w:r w:rsidRPr="00234E29">
              <w:rPr>
                <w:rFonts w:ascii="Calibri" w:hAnsi="Calibri" w:cs="Calibri"/>
                <w:b/>
                <w:bCs/>
                <w:color w:val="FFFFFF"/>
                <w:lang w:eastAsia="en-AU"/>
              </w:rPr>
              <w:t>2020 to 2021</w:t>
            </w:r>
          </w:p>
        </w:tc>
        <w:tc>
          <w:tcPr>
            <w:tcW w:w="34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7C8ADB5"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5 years</w:t>
            </w:r>
          </w:p>
        </w:tc>
      </w:tr>
      <w:tr w:rsidR="00A55C09" w:rsidRPr="00234E29" w14:paraId="18A36B8C" w14:textId="77777777" w:rsidTr="00F32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9F9FBAA" w14:textId="77777777" w:rsidR="007A2D7B" w:rsidRPr="00234E29" w:rsidRDefault="007A2D7B" w:rsidP="0058166F">
            <w:pPr>
              <w:rPr>
                <w:rFonts w:ascii="Calibri" w:hAnsi="Calibri" w:cs="Calibri"/>
                <w:b/>
                <w:bCs/>
                <w:color w:val="FFFFFF"/>
                <w:lang w:eastAsia="en-AU"/>
              </w:rPr>
            </w:pPr>
            <w:r w:rsidRPr="00234E29">
              <w:rPr>
                <w:rFonts w:ascii="Calibri" w:hAnsi="Calibri" w:cs="Calibri"/>
                <w:b/>
                <w:bCs/>
                <w:color w:val="FFFFFF"/>
                <w:lang w:eastAsia="en-AU"/>
              </w:rPr>
              <w:t> </w:t>
            </w:r>
          </w:p>
        </w:tc>
        <w:tc>
          <w:tcPr>
            <w:tcW w:w="3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6388838"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4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1CE8F8F"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C6611CE"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2C5CFCC"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9C19548"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288D2A2"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60564C6"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5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7F7C430"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33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72E517C"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2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6F8D90A"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20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3AB2A0E"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Rank</w:t>
            </w:r>
          </w:p>
        </w:tc>
        <w:tc>
          <w:tcPr>
            <w:tcW w:w="2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8791142"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 share</w:t>
            </w:r>
          </w:p>
        </w:tc>
        <w:tc>
          <w:tcPr>
            <w:tcW w:w="34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797F754"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No.</w:t>
            </w:r>
          </w:p>
        </w:tc>
        <w:tc>
          <w:tcPr>
            <w:tcW w:w="24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BF83000"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w:t>
            </w:r>
          </w:p>
        </w:tc>
        <w:tc>
          <w:tcPr>
            <w:tcW w:w="34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B564BB6" w14:textId="77777777" w:rsidR="007A2D7B" w:rsidRPr="00234E29" w:rsidRDefault="007A2D7B" w:rsidP="0058166F">
            <w:pPr>
              <w:jc w:val="right"/>
              <w:rPr>
                <w:rFonts w:ascii="Calibri" w:hAnsi="Calibri" w:cs="Calibri"/>
                <w:b/>
                <w:bCs/>
                <w:color w:val="FFFFFF"/>
                <w:lang w:eastAsia="en-AU"/>
              </w:rPr>
            </w:pPr>
            <w:r w:rsidRPr="00234E29">
              <w:rPr>
                <w:rFonts w:ascii="Calibri" w:hAnsi="Calibri" w:cs="Calibri"/>
                <w:b/>
                <w:bCs/>
                <w:color w:val="FFFFFF"/>
                <w:lang w:eastAsia="en-AU"/>
              </w:rPr>
              <w:t>%</w:t>
            </w:r>
          </w:p>
        </w:tc>
      </w:tr>
      <w:tr w:rsidR="00A55C09" w:rsidRPr="00234E29" w14:paraId="75CEA490" w14:textId="77777777" w:rsidTr="00F32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06198F3" w14:textId="77777777" w:rsidR="007A2D7B" w:rsidRPr="00234E29" w:rsidRDefault="007A2D7B" w:rsidP="0058166F">
            <w:pPr>
              <w:rPr>
                <w:rFonts w:ascii="Calibri" w:hAnsi="Calibri" w:cs="Calibri"/>
                <w:color w:val="000000"/>
                <w:sz w:val="20"/>
                <w:szCs w:val="20"/>
                <w:lang w:eastAsia="en-AU"/>
              </w:rPr>
            </w:pPr>
            <w:r w:rsidRPr="00234E29">
              <w:rPr>
                <w:rFonts w:ascii="Calibri" w:hAnsi="Calibri" w:cs="Calibri"/>
                <w:color w:val="000000"/>
                <w:sz w:val="20"/>
                <w:szCs w:val="20"/>
                <w:lang w:eastAsia="en-AU"/>
              </w:rPr>
              <w:t>UK</w:t>
            </w:r>
          </w:p>
        </w:tc>
        <w:tc>
          <w:tcPr>
            <w:tcW w:w="3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B3579DE"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532,800</w:t>
            </w:r>
          </w:p>
        </w:tc>
        <w:tc>
          <w:tcPr>
            <w:tcW w:w="34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D912073"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526,500</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396BDB6"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564,300</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8F8B21A"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570,900</w:t>
            </w:r>
          </w:p>
        </w:tc>
        <w:tc>
          <w:tcPr>
            <w:tcW w:w="3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7D5781F"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600,600</w:t>
            </w:r>
          </w:p>
        </w:tc>
        <w:tc>
          <w:tcPr>
            <w:tcW w:w="3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36E0D96"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610,900</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00C028A"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643,900</w:t>
            </w:r>
          </w:p>
        </w:tc>
        <w:tc>
          <w:tcPr>
            <w:tcW w:w="35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7CA5A2D"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667,800</w:t>
            </w:r>
          </w:p>
        </w:tc>
        <w:tc>
          <w:tcPr>
            <w:tcW w:w="33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8F23582"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528,000</w:t>
            </w:r>
          </w:p>
        </w:tc>
        <w:tc>
          <w:tcPr>
            <w:tcW w:w="2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EFB88CE"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10,400</w:t>
            </w:r>
          </w:p>
        </w:tc>
        <w:tc>
          <w:tcPr>
            <w:tcW w:w="20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2BC12BD" w14:textId="77777777" w:rsidR="007A2D7B" w:rsidRPr="00234E29" w:rsidRDefault="007A2D7B" w:rsidP="0058166F">
            <w:pPr>
              <w:jc w:val="right"/>
              <w:rPr>
                <w:rFonts w:ascii="Calibri" w:hAnsi="Calibri" w:cs="Calibri"/>
                <w:color w:val="000000"/>
                <w:sz w:val="20"/>
                <w:szCs w:val="20"/>
                <w:lang w:eastAsia="en-AU"/>
              </w:rPr>
            </w:pPr>
            <w:r w:rsidRPr="00234E29">
              <w:rPr>
                <w:rFonts w:ascii="Calibri" w:hAnsi="Calibri" w:cs="Calibri"/>
                <w:color w:val="000000"/>
                <w:sz w:val="20"/>
                <w:szCs w:val="20"/>
                <w:lang w:eastAsia="en-AU"/>
              </w:rPr>
              <w:t>3</w:t>
            </w:r>
          </w:p>
        </w:tc>
        <w:tc>
          <w:tcPr>
            <w:tcW w:w="2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427B692" w14:textId="77777777" w:rsidR="007A2D7B" w:rsidRPr="00234E29" w:rsidRDefault="007A2D7B" w:rsidP="0058166F">
            <w:pPr>
              <w:jc w:val="right"/>
              <w:rPr>
                <w:rFonts w:ascii="Calibri" w:hAnsi="Calibri" w:cs="Calibri"/>
                <w:color w:val="333399"/>
                <w:sz w:val="20"/>
                <w:szCs w:val="20"/>
                <w:lang w:eastAsia="en-AU"/>
              </w:rPr>
            </w:pPr>
            <w:r w:rsidRPr="00234E29">
              <w:rPr>
                <w:rFonts w:ascii="Calibri" w:hAnsi="Calibri" w:cs="Calibri"/>
                <w:color w:val="333399"/>
                <w:sz w:val="20"/>
                <w:szCs w:val="20"/>
                <w:lang w:eastAsia="en-AU"/>
              </w:rPr>
              <w:t>4.66</w:t>
            </w:r>
          </w:p>
        </w:tc>
        <w:tc>
          <w:tcPr>
            <w:tcW w:w="34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293FE0A" w14:textId="77777777" w:rsidR="007A2D7B" w:rsidRPr="00234E29" w:rsidRDefault="007A2D7B" w:rsidP="0058166F">
            <w:pPr>
              <w:jc w:val="right"/>
              <w:rPr>
                <w:rFonts w:ascii="Calibri" w:hAnsi="Calibri" w:cs="Calibri"/>
                <w:color w:val="0000FF"/>
                <w:sz w:val="20"/>
                <w:szCs w:val="20"/>
                <w:lang w:eastAsia="en-AU"/>
              </w:rPr>
            </w:pPr>
            <w:r w:rsidRPr="00234E29">
              <w:rPr>
                <w:rFonts w:ascii="Calibri" w:hAnsi="Calibri" w:cs="Calibri"/>
                <w:color w:val="FF0000"/>
                <w:sz w:val="20"/>
                <w:szCs w:val="20"/>
                <w:lang w:eastAsia="en-AU"/>
              </w:rPr>
              <w:t>-517,600</w:t>
            </w:r>
          </w:p>
        </w:tc>
        <w:tc>
          <w:tcPr>
            <w:tcW w:w="24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285C143" w14:textId="77777777" w:rsidR="007A2D7B" w:rsidRPr="00234E29" w:rsidRDefault="007A2D7B" w:rsidP="0058166F">
            <w:pPr>
              <w:jc w:val="right"/>
              <w:rPr>
                <w:rFonts w:ascii="Calibri" w:hAnsi="Calibri" w:cs="Calibri"/>
                <w:i/>
                <w:iCs/>
                <w:color w:val="0000FF"/>
                <w:sz w:val="20"/>
                <w:szCs w:val="20"/>
                <w:lang w:eastAsia="en-AU"/>
              </w:rPr>
            </w:pPr>
            <w:r w:rsidRPr="00234E29">
              <w:rPr>
                <w:rFonts w:ascii="Calibri" w:hAnsi="Calibri" w:cs="Calibri"/>
                <w:i/>
                <w:iCs/>
                <w:color w:val="FF0000"/>
                <w:sz w:val="20"/>
                <w:szCs w:val="20"/>
                <w:lang w:eastAsia="en-AU"/>
              </w:rPr>
              <w:t>-98.0</w:t>
            </w:r>
          </w:p>
        </w:tc>
        <w:tc>
          <w:tcPr>
            <w:tcW w:w="34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0541C4E" w14:textId="77777777" w:rsidR="007A2D7B" w:rsidRPr="00234E29" w:rsidRDefault="007A2D7B" w:rsidP="0058166F">
            <w:pPr>
              <w:jc w:val="right"/>
              <w:rPr>
                <w:rFonts w:ascii="Calibri" w:hAnsi="Calibri" w:cs="Calibri"/>
                <w:i/>
                <w:iCs/>
                <w:color w:val="0000FF"/>
                <w:sz w:val="20"/>
                <w:szCs w:val="20"/>
                <w:lang w:eastAsia="en-AU"/>
              </w:rPr>
            </w:pPr>
            <w:r w:rsidRPr="00234E29">
              <w:rPr>
                <w:rFonts w:ascii="Calibri" w:hAnsi="Calibri" w:cs="Calibri"/>
                <w:i/>
                <w:iCs/>
                <w:color w:val="FF0000"/>
                <w:sz w:val="20"/>
                <w:szCs w:val="20"/>
                <w:lang w:eastAsia="en-AU"/>
              </w:rPr>
              <w:t>-44.6</w:t>
            </w:r>
          </w:p>
        </w:tc>
      </w:tr>
    </w:tbl>
    <w:p w14:paraId="6BD78695" w14:textId="77777777" w:rsidR="00234E29" w:rsidRPr="005111EB" w:rsidRDefault="00234E29" w:rsidP="005111EB">
      <w:pPr>
        <w:rPr>
          <w:sz w:val="24"/>
          <w:szCs w:val="24"/>
        </w:rPr>
        <w:sectPr w:rsidR="00234E29" w:rsidRPr="005111EB" w:rsidSect="008E0622">
          <w:pgSz w:w="16838" w:h="11906" w:orient="landscape"/>
          <w:pgMar w:top="1440" w:right="1440" w:bottom="1440" w:left="1440" w:header="708" w:footer="708" w:gutter="0"/>
          <w:cols w:space="708"/>
          <w:docGrid w:linePitch="360"/>
        </w:sectPr>
      </w:pPr>
    </w:p>
    <w:p w14:paraId="1A290AE3" w14:textId="150B22A6" w:rsidR="004B3E31" w:rsidRDefault="002062F7" w:rsidP="002062F7">
      <w:pPr>
        <w:pStyle w:val="Heading2"/>
      </w:pPr>
      <w:bookmarkStart w:id="57" w:name="_Toc88748502"/>
      <w:r>
        <w:lastRenderedPageBreak/>
        <w:t>The impact of</w:t>
      </w:r>
      <w:r w:rsidR="003E5450">
        <w:t xml:space="preserve"> key</w:t>
      </w:r>
      <w:r w:rsidR="004B3E31">
        <w:t xml:space="preserve"> d</w:t>
      </w:r>
      <w:r w:rsidR="004B3E31" w:rsidRPr="00F377AA">
        <w:t>igital trade</w:t>
      </w:r>
      <w:r>
        <w:t xml:space="preserve"> outcomes</w:t>
      </w:r>
      <w:bookmarkEnd w:id="57"/>
    </w:p>
    <w:p w14:paraId="79EB6450" w14:textId="77777777" w:rsidR="002062F7" w:rsidRPr="00F377AA" w:rsidRDefault="002062F7" w:rsidP="004B3E31">
      <w:pPr>
        <w:rPr>
          <w:b/>
          <w:bCs/>
          <w:i/>
          <w:iCs/>
          <w:sz w:val="24"/>
          <w:szCs w:val="24"/>
        </w:rPr>
      </w:pPr>
    </w:p>
    <w:p w14:paraId="33936FE5" w14:textId="7F224089" w:rsidR="004B3E31" w:rsidRDefault="004B3E31" w:rsidP="00206944">
      <w:pPr>
        <w:pStyle w:val="ListParagraph"/>
        <w:numPr>
          <w:ilvl w:val="0"/>
          <w:numId w:val="1"/>
        </w:numPr>
        <w:ind w:left="567" w:hanging="567"/>
        <w:rPr>
          <w:sz w:val="24"/>
          <w:szCs w:val="24"/>
        </w:rPr>
      </w:pPr>
      <w:r w:rsidRPr="00F377AA">
        <w:rPr>
          <w:sz w:val="24"/>
          <w:szCs w:val="24"/>
        </w:rPr>
        <w:t>The A</w:t>
      </w:r>
      <w:r>
        <w:rPr>
          <w:sz w:val="24"/>
          <w:szCs w:val="24"/>
        </w:rPr>
        <w:t>U</w:t>
      </w:r>
      <w:r w:rsidRPr="00F377AA">
        <w:rPr>
          <w:sz w:val="24"/>
          <w:szCs w:val="24"/>
        </w:rPr>
        <w:t xml:space="preserve">-UK FTA helps to facilitate digital trade, </w:t>
      </w:r>
      <w:r w:rsidR="00417820">
        <w:rPr>
          <w:sz w:val="24"/>
          <w:szCs w:val="24"/>
        </w:rPr>
        <w:t xml:space="preserve">enabling Australian consumers and businesses to take advantage of new opportunities in </w:t>
      </w:r>
      <w:r w:rsidRPr="00F377AA">
        <w:rPr>
          <w:sz w:val="24"/>
          <w:szCs w:val="24"/>
        </w:rPr>
        <w:t xml:space="preserve">the growing global digital economy. The agreement contains rules to enable the free flow of data across borders and prevent unjustified data localisation requirements, whilst ensuring appropriate protections for data privacy and legitimate public policy objectives. These data rules will assist businesses operating in both countries by facilitating access to data and increasing their competitiveness in local and international markets. </w:t>
      </w:r>
    </w:p>
    <w:p w14:paraId="3A387E55" w14:textId="77777777" w:rsidR="004B3E31" w:rsidRDefault="004B3E31" w:rsidP="004B3E31">
      <w:pPr>
        <w:pStyle w:val="ListParagraph"/>
        <w:ind w:left="360"/>
        <w:rPr>
          <w:sz w:val="24"/>
          <w:szCs w:val="24"/>
        </w:rPr>
      </w:pPr>
    </w:p>
    <w:p w14:paraId="24534A10" w14:textId="0A6D6535" w:rsidR="004B3E31" w:rsidRDefault="004B3E31" w:rsidP="00206944">
      <w:pPr>
        <w:pStyle w:val="ListParagraph"/>
        <w:numPr>
          <w:ilvl w:val="0"/>
          <w:numId w:val="1"/>
        </w:numPr>
        <w:ind w:left="567" w:hanging="567"/>
        <w:rPr>
          <w:sz w:val="24"/>
          <w:szCs w:val="24"/>
        </w:rPr>
      </w:pPr>
      <w:r w:rsidRPr="00F377AA">
        <w:rPr>
          <w:sz w:val="24"/>
          <w:szCs w:val="24"/>
        </w:rPr>
        <w:t>Competition and innovation will also be strengthened through rules protecting source code and ICT products that use cryptography from un</w:t>
      </w:r>
      <w:r w:rsidR="00417820">
        <w:rPr>
          <w:sz w:val="24"/>
          <w:szCs w:val="24"/>
        </w:rPr>
        <w:t>justified</w:t>
      </w:r>
      <w:r w:rsidRPr="00F377AA">
        <w:rPr>
          <w:sz w:val="24"/>
          <w:szCs w:val="24"/>
        </w:rPr>
        <w:t xml:space="preserve"> disclosure requirements, subject to legitimate scrutiny by appropriate authorities. </w:t>
      </w:r>
    </w:p>
    <w:p w14:paraId="2A4D10B8" w14:textId="77777777" w:rsidR="004B3E31" w:rsidRDefault="004B3E31" w:rsidP="004B3E31">
      <w:pPr>
        <w:pStyle w:val="ListParagraph"/>
        <w:ind w:left="360"/>
        <w:rPr>
          <w:sz w:val="24"/>
          <w:szCs w:val="24"/>
        </w:rPr>
      </w:pPr>
    </w:p>
    <w:p w14:paraId="69873291" w14:textId="77777777" w:rsidR="004B3E31" w:rsidRDefault="004B3E31" w:rsidP="00206944">
      <w:pPr>
        <w:pStyle w:val="ListParagraph"/>
        <w:numPr>
          <w:ilvl w:val="0"/>
          <w:numId w:val="1"/>
        </w:numPr>
        <w:ind w:left="567" w:hanging="567"/>
        <w:rPr>
          <w:sz w:val="24"/>
          <w:szCs w:val="24"/>
        </w:rPr>
      </w:pPr>
      <w:r w:rsidRPr="00F377AA">
        <w:rPr>
          <w:sz w:val="24"/>
          <w:szCs w:val="24"/>
        </w:rPr>
        <w:t xml:space="preserve">Barriers to digital trade will also be reduced through commitments to recognise electronic contracts and methods of electronic authentication, including electronic signatures, except in specific circumstances, and to ensure domestic regulations are consistent with model international laws. Improved efficiency through paperless trading will be enabled by a commitment to facilitate electronic trade administration documents. To support SMEs engaged in digital trade, Australia </w:t>
      </w:r>
      <w:r>
        <w:rPr>
          <w:sz w:val="24"/>
          <w:szCs w:val="24"/>
        </w:rPr>
        <w:t xml:space="preserve">and the UK </w:t>
      </w:r>
      <w:r w:rsidRPr="00F377AA">
        <w:rPr>
          <w:sz w:val="24"/>
          <w:szCs w:val="24"/>
        </w:rPr>
        <w:t>ha</w:t>
      </w:r>
      <w:r>
        <w:rPr>
          <w:sz w:val="24"/>
          <w:szCs w:val="24"/>
        </w:rPr>
        <w:t>ve</w:t>
      </w:r>
      <w:r w:rsidRPr="00F377AA">
        <w:rPr>
          <w:sz w:val="24"/>
          <w:szCs w:val="24"/>
        </w:rPr>
        <w:t xml:space="preserve"> committed to establish interoperable electronic invoicing frameworks, which will increase efficiency and accuracy of commercial transactions.</w:t>
      </w:r>
    </w:p>
    <w:p w14:paraId="02ABC8B6" w14:textId="77777777" w:rsidR="004B3E31" w:rsidRPr="00F377AA" w:rsidRDefault="004B3E31" w:rsidP="004B3E31">
      <w:pPr>
        <w:pStyle w:val="ListParagraph"/>
        <w:rPr>
          <w:sz w:val="24"/>
          <w:szCs w:val="24"/>
        </w:rPr>
      </w:pPr>
    </w:p>
    <w:p w14:paraId="133F8E0A" w14:textId="77777777" w:rsidR="004B3E31" w:rsidRDefault="004B3E31" w:rsidP="00206944">
      <w:pPr>
        <w:pStyle w:val="ListParagraph"/>
        <w:numPr>
          <w:ilvl w:val="0"/>
          <w:numId w:val="1"/>
        </w:numPr>
        <w:ind w:left="567" w:hanging="567"/>
        <w:rPr>
          <w:sz w:val="24"/>
          <w:szCs w:val="24"/>
        </w:rPr>
      </w:pPr>
      <w:r w:rsidRPr="00F377AA">
        <w:rPr>
          <w:sz w:val="24"/>
          <w:szCs w:val="24"/>
        </w:rPr>
        <w:t xml:space="preserve">The agreement seeks to enhance certainty and trust for businesses and consumers engaged in digital trade through a commitment to protect against misleading, </w:t>
      </w:r>
      <w:proofErr w:type="gramStart"/>
      <w:r w:rsidRPr="00F377AA">
        <w:rPr>
          <w:sz w:val="24"/>
          <w:szCs w:val="24"/>
        </w:rPr>
        <w:t>deceptive</w:t>
      </w:r>
      <w:proofErr w:type="gramEnd"/>
      <w:r w:rsidRPr="00F377AA">
        <w:rPr>
          <w:sz w:val="24"/>
          <w:szCs w:val="24"/>
        </w:rPr>
        <w:t xml:space="preserve"> and fraudulent commercial practices online. Other commitments require Parties to minimise unsolicited commercial electronic messages (spam), and to encourage interoperability and cooperation on personal information protection.</w:t>
      </w:r>
    </w:p>
    <w:p w14:paraId="0838D7A7" w14:textId="77777777" w:rsidR="004B3E31" w:rsidRPr="00F377AA" w:rsidRDefault="004B3E31" w:rsidP="004B3E31">
      <w:pPr>
        <w:pStyle w:val="ListParagraph"/>
        <w:rPr>
          <w:sz w:val="24"/>
          <w:szCs w:val="24"/>
        </w:rPr>
      </w:pPr>
    </w:p>
    <w:p w14:paraId="76F642E6" w14:textId="45525465" w:rsidR="00F32C76" w:rsidRDefault="004B3E31" w:rsidP="002062F7">
      <w:pPr>
        <w:pStyle w:val="ListParagraph"/>
        <w:numPr>
          <w:ilvl w:val="0"/>
          <w:numId w:val="1"/>
        </w:numPr>
        <w:ind w:left="567" w:hanging="567"/>
        <w:rPr>
          <w:sz w:val="24"/>
          <w:szCs w:val="24"/>
        </w:rPr>
      </w:pPr>
      <w:r w:rsidRPr="00F377AA">
        <w:rPr>
          <w:sz w:val="24"/>
          <w:szCs w:val="24"/>
        </w:rPr>
        <w:t xml:space="preserve">The agreement also provides Australia with a framework for cooperation with the UK on important digital issues that have an impact on trade, including cybersecurity, data innovation, digital identity, women’s economic empowerment and international standards. </w:t>
      </w:r>
      <w:proofErr w:type="gramStart"/>
      <w:r w:rsidRPr="00F377AA">
        <w:rPr>
          <w:sz w:val="24"/>
          <w:szCs w:val="24"/>
        </w:rPr>
        <w:t>In order to</w:t>
      </w:r>
      <w:proofErr w:type="gramEnd"/>
      <w:r w:rsidRPr="00F377AA">
        <w:rPr>
          <w:sz w:val="24"/>
          <w:szCs w:val="24"/>
        </w:rPr>
        <w:t xml:space="preserve"> encourage the use of government information for economic, social and research benefit, the agreement also commits Australia and the UK to endeavour to improve the accessibility of publicly available, anonymised government information.</w:t>
      </w:r>
    </w:p>
    <w:p w14:paraId="516AFAA0" w14:textId="77777777" w:rsidR="009D641D" w:rsidRPr="009D641D" w:rsidRDefault="009D641D" w:rsidP="009D641D">
      <w:pPr>
        <w:pStyle w:val="ListParagraph"/>
        <w:rPr>
          <w:sz w:val="24"/>
          <w:szCs w:val="24"/>
        </w:rPr>
      </w:pPr>
    </w:p>
    <w:p w14:paraId="027C8867" w14:textId="7D8637BD" w:rsidR="009D641D" w:rsidRDefault="009D641D" w:rsidP="009D641D">
      <w:pPr>
        <w:rPr>
          <w:sz w:val="24"/>
          <w:szCs w:val="24"/>
        </w:rPr>
      </w:pPr>
    </w:p>
    <w:p w14:paraId="21154DF1" w14:textId="2CDFB91F" w:rsidR="009D641D" w:rsidRDefault="009D641D" w:rsidP="009D641D">
      <w:pPr>
        <w:rPr>
          <w:sz w:val="24"/>
          <w:szCs w:val="24"/>
        </w:rPr>
      </w:pPr>
    </w:p>
    <w:p w14:paraId="1DCDA27F" w14:textId="4246709C" w:rsidR="009D641D" w:rsidRDefault="009D641D" w:rsidP="009D641D">
      <w:pPr>
        <w:rPr>
          <w:sz w:val="24"/>
          <w:szCs w:val="24"/>
        </w:rPr>
      </w:pPr>
    </w:p>
    <w:p w14:paraId="235AD9F4" w14:textId="41B6CF9D" w:rsidR="009D641D" w:rsidRDefault="009D641D" w:rsidP="009D641D">
      <w:pPr>
        <w:rPr>
          <w:sz w:val="24"/>
          <w:szCs w:val="24"/>
        </w:rPr>
      </w:pPr>
    </w:p>
    <w:p w14:paraId="1D477EBF" w14:textId="77777777" w:rsidR="005111EB" w:rsidRPr="009D641D" w:rsidRDefault="005111EB" w:rsidP="009D641D">
      <w:pPr>
        <w:rPr>
          <w:sz w:val="24"/>
          <w:szCs w:val="24"/>
        </w:rPr>
      </w:pPr>
    </w:p>
    <w:p w14:paraId="6396D6F1" w14:textId="3C6B2EFC" w:rsidR="004B3E31" w:rsidRDefault="002062F7" w:rsidP="002062F7">
      <w:pPr>
        <w:pStyle w:val="Heading2"/>
      </w:pPr>
      <w:bookmarkStart w:id="58" w:name="_Toc88748503"/>
      <w:r>
        <w:lastRenderedPageBreak/>
        <w:t xml:space="preserve">The impact of </w:t>
      </w:r>
      <w:r w:rsidR="003E5450">
        <w:t xml:space="preserve">key </w:t>
      </w:r>
      <w:r>
        <w:t>i</w:t>
      </w:r>
      <w:r w:rsidR="004B3E31">
        <w:t xml:space="preserve">ntellectual </w:t>
      </w:r>
      <w:r>
        <w:t>p</w:t>
      </w:r>
      <w:r w:rsidR="004B3E31">
        <w:t>roperty</w:t>
      </w:r>
      <w:r>
        <w:t xml:space="preserve"> outcomes</w:t>
      </w:r>
      <w:bookmarkEnd w:id="58"/>
    </w:p>
    <w:p w14:paraId="50B43748" w14:textId="77777777" w:rsidR="002062F7" w:rsidRDefault="002062F7" w:rsidP="004B3E31">
      <w:pPr>
        <w:rPr>
          <w:b/>
          <w:bCs/>
          <w:i/>
          <w:iCs/>
          <w:sz w:val="24"/>
          <w:szCs w:val="24"/>
        </w:rPr>
      </w:pPr>
    </w:p>
    <w:p w14:paraId="2CC0CCEB" w14:textId="45772A0D" w:rsidR="004B3E31" w:rsidRPr="00383183" w:rsidRDefault="00761D97" w:rsidP="00206944">
      <w:pPr>
        <w:pStyle w:val="ListParagraph"/>
        <w:numPr>
          <w:ilvl w:val="0"/>
          <w:numId w:val="1"/>
        </w:numPr>
        <w:ind w:left="567" w:hanging="567"/>
        <w:rPr>
          <w:sz w:val="24"/>
          <w:szCs w:val="24"/>
        </w:rPr>
      </w:pPr>
      <w:r w:rsidRPr="00115909">
        <w:rPr>
          <w:sz w:val="24"/>
          <w:szCs w:val="24"/>
        </w:rPr>
        <w:t>One of the fastest growing UK exports to Australia is in intellectual property (IP) such as music and entertainment, growing by over 10 per cent per year from 2009-10 to 2019-20.</w:t>
      </w:r>
      <w:r w:rsidR="00115909" w:rsidRPr="00115909">
        <w:rPr>
          <w:rStyle w:val="FootnoteReference"/>
          <w:sz w:val="24"/>
          <w:szCs w:val="24"/>
        </w:rPr>
        <w:footnoteReference w:id="79"/>
      </w:r>
      <w:r w:rsidR="007169F7" w:rsidRPr="00115909">
        <w:rPr>
          <w:sz w:val="24"/>
          <w:szCs w:val="24"/>
        </w:rPr>
        <w:t xml:space="preserve"> The UK is also a keen importer of Australian services. Imports of IP – including licensing fees for software and commercial brands – have almost tripled over the past decade.</w:t>
      </w:r>
      <w:r w:rsidR="00115909" w:rsidRPr="00115909">
        <w:rPr>
          <w:rStyle w:val="FootnoteReference"/>
          <w:sz w:val="24"/>
          <w:szCs w:val="24"/>
        </w:rPr>
        <w:footnoteReference w:id="80"/>
      </w:r>
      <w:r w:rsidRPr="00115909">
        <w:rPr>
          <w:sz w:val="24"/>
          <w:szCs w:val="24"/>
        </w:rPr>
        <w:t xml:space="preserve"> </w:t>
      </w:r>
      <w:bookmarkStart w:id="59" w:name="_Hlk83380848"/>
      <w:r w:rsidR="004B3E31" w:rsidRPr="00115909">
        <w:rPr>
          <w:sz w:val="24"/>
          <w:szCs w:val="24"/>
        </w:rPr>
        <w:t>The</w:t>
      </w:r>
      <w:r w:rsidR="004B3E31" w:rsidRPr="00383183">
        <w:rPr>
          <w:sz w:val="24"/>
          <w:szCs w:val="24"/>
        </w:rPr>
        <w:t xml:space="preserve"> </w:t>
      </w:r>
      <w:r w:rsidR="008F6B2D">
        <w:rPr>
          <w:sz w:val="24"/>
          <w:szCs w:val="24"/>
        </w:rPr>
        <w:t>IP</w:t>
      </w:r>
      <w:r w:rsidR="004B3E31" w:rsidRPr="00383183">
        <w:rPr>
          <w:sz w:val="24"/>
          <w:szCs w:val="24"/>
        </w:rPr>
        <w:t xml:space="preserve"> chapter recognises that Australia and the UK have high standards of protection for IP rights and robust legal systems underpinning these rights. The chapter reflects Australia’s core interests in ensuring IP settings are balanced, </w:t>
      </w:r>
      <w:proofErr w:type="gramStart"/>
      <w:r w:rsidR="004B3E31" w:rsidRPr="00383183">
        <w:rPr>
          <w:sz w:val="24"/>
          <w:szCs w:val="24"/>
        </w:rPr>
        <w:t>proportionate</w:t>
      </w:r>
      <w:proofErr w:type="gramEnd"/>
      <w:r w:rsidR="004B3E31" w:rsidRPr="00383183">
        <w:rPr>
          <w:sz w:val="24"/>
          <w:szCs w:val="24"/>
        </w:rPr>
        <w:t xml:space="preserve"> and transparent. This is key for Australian businesses – both those who own or use IP rights, and those who operate alongside them and need to understand the scope of their freedom to operate without infringing an IP right. </w:t>
      </w:r>
      <w:bookmarkEnd w:id="59"/>
    </w:p>
    <w:p w14:paraId="7B822663" w14:textId="77777777" w:rsidR="004B3E31" w:rsidRPr="00383183" w:rsidRDefault="004B3E31" w:rsidP="004B3E31">
      <w:pPr>
        <w:pStyle w:val="ListParagraph"/>
        <w:ind w:left="360"/>
        <w:rPr>
          <w:sz w:val="24"/>
          <w:szCs w:val="24"/>
        </w:rPr>
      </w:pPr>
    </w:p>
    <w:p w14:paraId="4B07AE0F" w14:textId="77777777" w:rsidR="004B3E31" w:rsidRPr="00383183" w:rsidRDefault="004B3E31" w:rsidP="00206944">
      <w:pPr>
        <w:pStyle w:val="ListParagraph"/>
        <w:numPr>
          <w:ilvl w:val="0"/>
          <w:numId w:val="1"/>
        </w:numPr>
        <w:ind w:left="567" w:hanging="567"/>
        <w:rPr>
          <w:sz w:val="24"/>
          <w:szCs w:val="24"/>
        </w:rPr>
      </w:pPr>
      <w:r w:rsidRPr="00383183">
        <w:rPr>
          <w:sz w:val="24"/>
          <w:szCs w:val="24"/>
        </w:rPr>
        <w:t>Australia’s existing IP settings strike an effective balance between the interests of IP rights holders, consumers and third parties</w:t>
      </w:r>
      <w:r>
        <w:rPr>
          <w:sz w:val="24"/>
          <w:szCs w:val="24"/>
        </w:rPr>
        <w:t xml:space="preserve">. </w:t>
      </w:r>
      <w:proofErr w:type="gramStart"/>
      <w:r>
        <w:rPr>
          <w:sz w:val="24"/>
          <w:szCs w:val="24"/>
        </w:rPr>
        <w:t>T</w:t>
      </w:r>
      <w:r w:rsidRPr="00383183">
        <w:rPr>
          <w:sz w:val="24"/>
          <w:szCs w:val="24"/>
        </w:rPr>
        <w:t>he vast majority of</w:t>
      </w:r>
      <w:proofErr w:type="gramEnd"/>
      <w:r w:rsidRPr="00383183">
        <w:rPr>
          <w:sz w:val="24"/>
          <w:szCs w:val="24"/>
        </w:rPr>
        <w:t xml:space="preserve"> the chapter is consistent with Australia’s existing FTA obligations and IP settings. In relation to the online enforcement of IP, the text is more specific than previous </w:t>
      </w:r>
      <w:proofErr w:type="gramStart"/>
      <w:r w:rsidRPr="00383183">
        <w:rPr>
          <w:sz w:val="24"/>
          <w:szCs w:val="24"/>
        </w:rPr>
        <w:t>FTAs</w:t>
      </w:r>
      <w:proofErr w:type="gramEnd"/>
      <w:r w:rsidRPr="00383183">
        <w:rPr>
          <w:sz w:val="24"/>
          <w:szCs w:val="24"/>
        </w:rPr>
        <w:t xml:space="preserve"> but the commitments are within </w:t>
      </w:r>
      <w:r>
        <w:rPr>
          <w:sz w:val="24"/>
          <w:szCs w:val="24"/>
        </w:rPr>
        <w:t xml:space="preserve">Australia’s </w:t>
      </w:r>
      <w:r w:rsidRPr="00383183">
        <w:rPr>
          <w:sz w:val="24"/>
          <w:szCs w:val="24"/>
        </w:rPr>
        <w:t>current IP settings. The chapter does not require any immediate regulatory changes, however, there are commitments to work towards the implementation of two reforms.</w:t>
      </w:r>
    </w:p>
    <w:p w14:paraId="00AD464D" w14:textId="77777777" w:rsidR="004B3E31" w:rsidRPr="00383183" w:rsidRDefault="004B3E31" w:rsidP="004B3E31">
      <w:pPr>
        <w:pStyle w:val="ListParagraph"/>
        <w:ind w:left="360"/>
        <w:rPr>
          <w:sz w:val="24"/>
          <w:szCs w:val="24"/>
        </w:rPr>
      </w:pPr>
    </w:p>
    <w:p w14:paraId="126EAB14" w14:textId="77777777" w:rsidR="004B3E31" w:rsidRPr="00383183" w:rsidRDefault="004B3E31" w:rsidP="00206944">
      <w:pPr>
        <w:pStyle w:val="ListParagraph"/>
        <w:numPr>
          <w:ilvl w:val="0"/>
          <w:numId w:val="1"/>
        </w:numPr>
        <w:ind w:left="567" w:hanging="567"/>
        <w:rPr>
          <w:sz w:val="24"/>
          <w:szCs w:val="24"/>
        </w:rPr>
      </w:pPr>
      <w:r w:rsidRPr="00383183">
        <w:rPr>
          <w:sz w:val="24"/>
          <w:szCs w:val="24"/>
        </w:rPr>
        <w:t>Australia will make all reasonable efforts to become a party to the Hague Agreement Concerning the International Registration of Industrial Designs (the Hague Agreement), which makes it easier for designers to file their application for design protection in other countries. The most significant regulatory change that would result from joining this agreement is increasing Australia’s maximum term of design protection from 10</w:t>
      </w:r>
      <w:r>
        <w:rPr>
          <w:sz w:val="24"/>
          <w:szCs w:val="24"/>
        </w:rPr>
        <w:t xml:space="preserve"> to 15</w:t>
      </w:r>
      <w:r w:rsidRPr="00383183">
        <w:rPr>
          <w:sz w:val="24"/>
          <w:szCs w:val="24"/>
        </w:rPr>
        <w:t xml:space="preserve"> years. </w:t>
      </w:r>
    </w:p>
    <w:p w14:paraId="3AA5CD19" w14:textId="77777777" w:rsidR="004B3E31" w:rsidRPr="00383183" w:rsidRDefault="004B3E31" w:rsidP="004B3E31">
      <w:pPr>
        <w:pStyle w:val="ListParagraph"/>
        <w:ind w:left="360"/>
        <w:rPr>
          <w:sz w:val="24"/>
          <w:szCs w:val="24"/>
        </w:rPr>
      </w:pPr>
    </w:p>
    <w:p w14:paraId="0A6C357B" w14:textId="61C783AF" w:rsidR="00561253" w:rsidRPr="00F32C76" w:rsidRDefault="004B3E31" w:rsidP="004B3E31">
      <w:pPr>
        <w:pStyle w:val="ListParagraph"/>
        <w:numPr>
          <w:ilvl w:val="0"/>
          <w:numId w:val="1"/>
        </w:numPr>
        <w:ind w:left="567" w:hanging="567"/>
        <w:rPr>
          <w:sz w:val="24"/>
          <w:szCs w:val="24"/>
        </w:rPr>
      </w:pPr>
      <w:r w:rsidRPr="00383183">
        <w:rPr>
          <w:sz w:val="24"/>
          <w:szCs w:val="24"/>
        </w:rPr>
        <w:t xml:space="preserve">An economic cost-benefit analysis of joining the Hague Agreement (PWC, </w:t>
      </w:r>
      <w:proofErr w:type="gramStart"/>
      <w:r w:rsidRPr="00383183">
        <w:rPr>
          <w:i/>
          <w:iCs/>
          <w:sz w:val="24"/>
          <w:szCs w:val="24"/>
        </w:rPr>
        <w:t>Updated</w:t>
      </w:r>
      <w:proofErr w:type="gramEnd"/>
      <w:r w:rsidRPr="00383183">
        <w:rPr>
          <w:i/>
          <w:iCs/>
          <w:sz w:val="24"/>
          <w:szCs w:val="24"/>
        </w:rPr>
        <w:t xml:space="preserve"> economic analysis of estimated impacts of Australia acceding to the Hague Agreement for designs</w:t>
      </w:r>
      <w:r w:rsidRPr="00383183">
        <w:rPr>
          <w:sz w:val="24"/>
          <w:szCs w:val="24"/>
        </w:rPr>
        <w:t xml:space="preserve">) concluded that there is likely to be a net present value cost to the Australian economy of between </w:t>
      </w:r>
      <w:r>
        <w:rPr>
          <w:sz w:val="24"/>
          <w:szCs w:val="24"/>
        </w:rPr>
        <w:t>A</w:t>
      </w:r>
      <w:r w:rsidRPr="00383183">
        <w:rPr>
          <w:sz w:val="24"/>
          <w:szCs w:val="24"/>
        </w:rPr>
        <w:t xml:space="preserve">$44.3 million and </w:t>
      </w:r>
      <w:r>
        <w:rPr>
          <w:sz w:val="24"/>
          <w:szCs w:val="24"/>
        </w:rPr>
        <w:t>A</w:t>
      </w:r>
      <w:r w:rsidRPr="00383183">
        <w:rPr>
          <w:sz w:val="24"/>
          <w:szCs w:val="24"/>
        </w:rPr>
        <w:t xml:space="preserve">$48.7 million over 16 years. The highest impact is on consumers, with an estimated likely net present value cost of </w:t>
      </w:r>
      <w:r>
        <w:rPr>
          <w:sz w:val="24"/>
          <w:szCs w:val="24"/>
        </w:rPr>
        <w:t>A</w:t>
      </w:r>
      <w:r w:rsidRPr="00383183">
        <w:rPr>
          <w:sz w:val="24"/>
          <w:szCs w:val="24"/>
        </w:rPr>
        <w:t xml:space="preserve">$45.4 million to </w:t>
      </w:r>
      <w:r>
        <w:rPr>
          <w:sz w:val="24"/>
          <w:szCs w:val="24"/>
        </w:rPr>
        <w:t>A</w:t>
      </w:r>
      <w:r w:rsidRPr="00383183">
        <w:rPr>
          <w:sz w:val="24"/>
          <w:szCs w:val="24"/>
        </w:rPr>
        <w:t xml:space="preserve">$46.1 million over 16 years, </w:t>
      </w:r>
      <w:proofErr w:type="gramStart"/>
      <w:r w:rsidRPr="00383183">
        <w:rPr>
          <w:sz w:val="24"/>
          <w:szCs w:val="24"/>
        </w:rPr>
        <w:t>as a result of</w:t>
      </w:r>
      <w:proofErr w:type="gramEnd"/>
      <w:r w:rsidRPr="00383183">
        <w:rPr>
          <w:sz w:val="24"/>
          <w:szCs w:val="24"/>
        </w:rPr>
        <w:t xml:space="preserve"> the extended term of protection. However, the report also found that Australian designers would benefit immediately from Australia joining the agreement, and that benefits should increase over time, particularly as more of Australia’s trading partners also join. To illustrate this, the report analysed the costs and benefits with both the current membership of the agreement plus China (</w:t>
      </w:r>
      <w:r>
        <w:rPr>
          <w:sz w:val="24"/>
          <w:szCs w:val="24"/>
        </w:rPr>
        <w:t>which</w:t>
      </w:r>
      <w:r w:rsidRPr="00383183">
        <w:rPr>
          <w:sz w:val="24"/>
          <w:szCs w:val="24"/>
        </w:rPr>
        <w:t xml:space="preserve"> has started the process to join but is not yet a member – Case A) and with the addition of New Zealand (Case B) – see </w:t>
      </w:r>
      <w:r w:rsidRPr="002A72E9">
        <w:rPr>
          <w:b/>
          <w:bCs/>
          <w:sz w:val="24"/>
          <w:szCs w:val="24"/>
          <w:u w:val="single"/>
        </w:rPr>
        <w:t xml:space="preserve">Table </w:t>
      </w:r>
      <w:r w:rsidR="002A72E9" w:rsidRPr="002A72E9">
        <w:rPr>
          <w:b/>
          <w:bCs/>
          <w:sz w:val="24"/>
          <w:szCs w:val="24"/>
          <w:u w:val="single"/>
        </w:rPr>
        <w:t>1</w:t>
      </w:r>
      <w:r w:rsidR="005111EB">
        <w:rPr>
          <w:b/>
          <w:bCs/>
          <w:sz w:val="24"/>
          <w:szCs w:val="24"/>
          <w:u w:val="single"/>
        </w:rPr>
        <w:t>4</w:t>
      </w:r>
      <w:r w:rsidRPr="00782EB4">
        <w:rPr>
          <w:sz w:val="24"/>
          <w:szCs w:val="24"/>
        </w:rPr>
        <w:t>.</w:t>
      </w:r>
    </w:p>
    <w:p w14:paraId="30C6A30D" w14:textId="18545E71" w:rsidR="00280C07" w:rsidRPr="007C3278" w:rsidRDefault="00280C07" w:rsidP="00280C07">
      <w:pPr>
        <w:rPr>
          <w:b/>
          <w:bCs/>
          <w:sz w:val="24"/>
          <w:szCs w:val="24"/>
          <w:lang w:eastAsia="en-AU"/>
        </w:rPr>
      </w:pPr>
      <w:r w:rsidRPr="00280C07">
        <w:rPr>
          <w:b/>
          <w:bCs/>
          <w:sz w:val="24"/>
          <w:szCs w:val="24"/>
          <w:u w:val="single"/>
          <w:lang w:eastAsia="en-AU"/>
        </w:rPr>
        <w:lastRenderedPageBreak/>
        <w:t>Table 1</w:t>
      </w:r>
      <w:r w:rsidR="005111EB">
        <w:rPr>
          <w:b/>
          <w:bCs/>
          <w:sz w:val="24"/>
          <w:szCs w:val="24"/>
          <w:u w:val="single"/>
          <w:lang w:eastAsia="en-AU"/>
        </w:rPr>
        <w:t>4</w:t>
      </w:r>
      <w:r>
        <w:rPr>
          <w:b/>
          <w:bCs/>
          <w:sz w:val="24"/>
          <w:szCs w:val="24"/>
          <w:lang w:eastAsia="en-AU"/>
        </w:rPr>
        <w:t xml:space="preserve">: </w:t>
      </w:r>
      <w:r w:rsidRPr="00383183">
        <w:rPr>
          <w:b/>
          <w:bCs/>
          <w:sz w:val="24"/>
          <w:szCs w:val="24"/>
          <w:lang w:eastAsia="en-AU"/>
        </w:rPr>
        <w:t xml:space="preserve">Net economic cost/benefit in each Case ($million, 16year present value, </w:t>
      </w:r>
      <w:r>
        <w:rPr>
          <w:b/>
          <w:bCs/>
          <w:sz w:val="24"/>
          <w:szCs w:val="24"/>
          <w:lang w:eastAsia="en-AU"/>
        </w:rPr>
        <w:t>seven per cent</w:t>
      </w:r>
      <w:r w:rsidRPr="00383183">
        <w:rPr>
          <w:b/>
          <w:bCs/>
          <w:sz w:val="24"/>
          <w:szCs w:val="24"/>
          <w:lang w:eastAsia="en-AU"/>
        </w:rPr>
        <w:t xml:space="preserve"> discount rate)</w:t>
      </w:r>
    </w:p>
    <w:tbl>
      <w:tblPr>
        <w:tblStyle w:val="TableGrid"/>
        <w:tblW w:w="10490" w:type="dxa"/>
        <w:tblInd w:w="-572" w:type="dxa"/>
        <w:tblLook w:val="04A0" w:firstRow="1" w:lastRow="0" w:firstColumn="1" w:lastColumn="0" w:noHBand="0" w:noVBand="1"/>
      </w:tblPr>
      <w:tblGrid>
        <w:gridCol w:w="1097"/>
        <w:gridCol w:w="876"/>
        <w:gridCol w:w="925"/>
        <w:gridCol w:w="1075"/>
        <w:gridCol w:w="1039"/>
        <w:gridCol w:w="832"/>
        <w:gridCol w:w="876"/>
        <w:gridCol w:w="925"/>
        <w:gridCol w:w="1075"/>
        <w:gridCol w:w="1039"/>
        <w:gridCol w:w="731"/>
      </w:tblGrid>
      <w:tr w:rsidR="00280C07" w14:paraId="6B3B36AA" w14:textId="77777777" w:rsidTr="00192530">
        <w:tc>
          <w:tcPr>
            <w:tcW w:w="109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4F69EF55" w14:textId="77777777" w:rsidR="00280C07" w:rsidRDefault="00280C07" w:rsidP="00192530">
            <w:pPr>
              <w:rPr>
                <w:b/>
                <w:bCs/>
                <w:sz w:val="20"/>
                <w:szCs w:val="20"/>
              </w:rPr>
            </w:pPr>
            <w:r>
              <w:rPr>
                <w:b/>
                <w:bCs/>
                <w:sz w:val="20"/>
                <w:szCs w:val="20"/>
              </w:rPr>
              <w:t>Scenario</w:t>
            </w:r>
          </w:p>
        </w:tc>
        <w:tc>
          <w:tcPr>
            <w:tcW w:w="474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0F5FE7" w14:textId="77777777" w:rsidR="00280C07" w:rsidRDefault="00280C07" w:rsidP="00192530">
            <w:pPr>
              <w:jc w:val="center"/>
              <w:rPr>
                <w:b/>
                <w:bCs/>
                <w:sz w:val="24"/>
                <w:szCs w:val="24"/>
              </w:rPr>
            </w:pPr>
            <w:r>
              <w:rPr>
                <w:b/>
                <w:bCs/>
                <w:sz w:val="24"/>
                <w:szCs w:val="24"/>
              </w:rPr>
              <w:t>Case A</w:t>
            </w:r>
          </w:p>
        </w:tc>
        <w:tc>
          <w:tcPr>
            <w:tcW w:w="4646"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DEFA76" w14:textId="77777777" w:rsidR="00280C07" w:rsidRDefault="00280C07" w:rsidP="00192530">
            <w:pPr>
              <w:jc w:val="center"/>
              <w:rPr>
                <w:b/>
                <w:bCs/>
                <w:sz w:val="24"/>
                <w:szCs w:val="24"/>
              </w:rPr>
            </w:pPr>
            <w:r>
              <w:rPr>
                <w:b/>
                <w:bCs/>
                <w:sz w:val="24"/>
                <w:szCs w:val="24"/>
              </w:rPr>
              <w:t>Case B</w:t>
            </w:r>
          </w:p>
        </w:tc>
      </w:tr>
      <w:tr w:rsidR="00280C07" w14:paraId="371E3C3D" w14:textId="77777777" w:rsidTr="00192530">
        <w:tc>
          <w:tcPr>
            <w:tcW w:w="0" w:type="auto"/>
            <w:vMerge/>
            <w:tcBorders>
              <w:top w:val="single" w:sz="4" w:space="0" w:color="auto"/>
              <w:left w:val="single" w:sz="4" w:space="0" w:color="auto"/>
              <w:bottom w:val="single" w:sz="4" w:space="0" w:color="auto"/>
              <w:right w:val="single" w:sz="4" w:space="0" w:color="auto"/>
            </w:tcBorders>
            <w:vAlign w:val="center"/>
            <w:hideMark/>
          </w:tcPr>
          <w:p w14:paraId="59AD01A1" w14:textId="77777777" w:rsidR="00280C07" w:rsidRDefault="00280C07" w:rsidP="00192530">
            <w:pPr>
              <w:rPr>
                <w:rFonts w:ascii="Calibri" w:hAnsi="Calibri" w:cs="Calibri"/>
                <w:b/>
                <w:bCs/>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2470A7" w14:textId="77777777" w:rsidR="00280C07" w:rsidRDefault="00280C07" w:rsidP="00192530">
            <w:pPr>
              <w:rPr>
                <w:sz w:val="16"/>
                <w:szCs w:val="16"/>
              </w:rPr>
            </w:pPr>
            <w:r>
              <w:rPr>
                <w:sz w:val="16"/>
                <w:szCs w:val="16"/>
              </w:rPr>
              <w:t>Australian designers</w:t>
            </w:r>
          </w:p>
        </w:tc>
        <w:tc>
          <w:tcPr>
            <w:tcW w:w="92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029779" w14:textId="77777777" w:rsidR="00280C07" w:rsidRDefault="00280C07" w:rsidP="00192530">
            <w:pPr>
              <w:rPr>
                <w:sz w:val="16"/>
                <w:szCs w:val="16"/>
              </w:rPr>
            </w:pPr>
            <w:r>
              <w:rPr>
                <w:sz w:val="16"/>
                <w:szCs w:val="16"/>
              </w:rPr>
              <w:t>Australian consumers</w:t>
            </w:r>
          </w:p>
        </w:tc>
        <w:tc>
          <w:tcPr>
            <w:tcW w:w="10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79F0DF" w14:textId="77777777" w:rsidR="00280C07" w:rsidRDefault="00280C07" w:rsidP="00192530">
            <w:pPr>
              <w:rPr>
                <w:sz w:val="16"/>
                <w:szCs w:val="16"/>
              </w:rPr>
            </w:pPr>
            <w:r>
              <w:rPr>
                <w:sz w:val="16"/>
                <w:szCs w:val="16"/>
              </w:rPr>
              <w:t>Australian IP professionals</w:t>
            </w:r>
          </w:p>
        </w:tc>
        <w:tc>
          <w:tcPr>
            <w:tcW w:w="103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1A74C6" w14:textId="77777777" w:rsidR="00280C07" w:rsidRDefault="00280C07" w:rsidP="00192530">
            <w:pPr>
              <w:rPr>
                <w:sz w:val="16"/>
                <w:szCs w:val="16"/>
              </w:rPr>
            </w:pPr>
            <w:r>
              <w:rPr>
                <w:sz w:val="16"/>
                <w:szCs w:val="16"/>
              </w:rPr>
              <w:t>Australian Government</w:t>
            </w:r>
          </w:p>
        </w:tc>
        <w:tc>
          <w:tcPr>
            <w:tcW w:w="83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FEC0FE" w14:textId="77777777" w:rsidR="00280C07" w:rsidRDefault="00280C07" w:rsidP="00192530">
            <w:pPr>
              <w:rPr>
                <w:b/>
                <w:bCs/>
                <w:sz w:val="16"/>
                <w:szCs w:val="16"/>
              </w:rPr>
            </w:pPr>
            <w:r>
              <w:rPr>
                <w:b/>
                <w:bCs/>
                <w:sz w:val="16"/>
                <w:szCs w:val="16"/>
              </w:rPr>
              <w:t>Total</w:t>
            </w:r>
          </w:p>
        </w:tc>
        <w:tc>
          <w:tcPr>
            <w:tcW w:w="8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3ED427" w14:textId="77777777" w:rsidR="00280C07" w:rsidRDefault="00280C07" w:rsidP="00192530">
            <w:pPr>
              <w:rPr>
                <w:sz w:val="16"/>
                <w:szCs w:val="16"/>
              </w:rPr>
            </w:pPr>
            <w:r>
              <w:rPr>
                <w:sz w:val="16"/>
                <w:szCs w:val="16"/>
              </w:rPr>
              <w:t>Australian designers</w:t>
            </w:r>
          </w:p>
        </w:tc>
        <w:tc>
          <w:tcPr>
            <w:tcW w:w="92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5D83A8" w14:textId="77777777" w:rsidR="00280C07" w:rsidRDefault="00280C07" w:rsidP="00192530">
            <w:pPr>
              <w:rPr>
                <w:sz w:val="16"/>
                <w:szCs w:val="16"/>
              </w:rPr>
            </w:pPr>
            <w:r>
              <w:rPr>
                <w:sz w:val="16"/>
                <w:szCs w:val="16"/>
              </w:rPr>
              <w:t>Australian consumers</w:t>
            </w:r>
          </w:p>
        </w:tc>
        <w:tc>
          <w:tcPr>
            <w:tcW w:w="10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90934E" w14:textId="77777777" w:rsidR="00280C07" w:rsidRDefault="00280C07" w:rsidP="00192530">
            <w:pPr>
              <w:rPr>
                <w:sz w:val="16"/>
                <w:szCs w:val="16"/>
              </w:rPr>
            </w:pPr>
            <w:r>
              <w:rPr>
                <w:sz w:val="16"/>
                <w:szCs w:val="16"/>
              </w:rPr>
              <w:t>Australian IP professionals</w:t>
            </w:r>
          </w:p>
        </w:tc>
        <w:tc>
          <w:tcPr>
            <w:tcW w:w="103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6FF7EB" w14:textId="77777777" w:rsidR="00280C07" w:rsidRDefault="00280C07" w:rsidP="00192530">
            <w:pPr>
              <w:rPr>
                <w:sz w:val="16"/>
                <w:szCs w:val="16"/>
              </w:rPr>
            </w:pPr>
            <w:r>
              <w:rPr>
                <w:sz w:val="16"/>
                <w:szCs w:val="16"/>
              </w:rPr>
              <w:t>Australian Government</w:t>
            </w:r>
          </w:p>
        </w:tc>
        <w:tc>
          <w:tcPr>
            <w:tcW w:w="73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86D175" w14:textId="77777777" w:rsidR="00280C07" w:rsidRDefault="00280C07" w:rsidP="00192530">
            <w:pPr>
              <w:rPr>
                <w:b/>
                <w:bCs/>
                <w:sz w:val="16"/>
                <w:szCs w:val="16"/>
              </w:rPr>
            </w:pPr>
            <w:r>
              <w:rPr>
                <w:b/>
                <w:bCs/>
                <w:sz w:val="16"/>
                <w:szCs w:val="16"/>
              </w:rPr>
              <w:t>Total</w:t>
            </w:r>
          </w:p>
        </w:tc>
      </w:tr>
      <w:tr w:rsidR="00280C07" w14:paraId="1129766D" w14:textId="77777777" w:rsidTr="00192530">
        <w:tc>
          <w:tcPr>
            <w:tcW w:w="1097" w:type="dxa"/>
            <w:tcBorders>
              <w:top w:val="single" w:sz="4" w:space="0" w:color="auto"/>
              <w:left w:val="single" w:sz="4" w:space="0" w:color="auto"/>
              <w:bottom w:val="single" w:sz="4" w:space="0" w:color="auto"/>
              <w:right w:val="single" w:sz="4" w:space="0" w:color="auto"/>
            </w:tcBorders>
            <w:hideMark/>
          </w:tcPr>
          <w:p w14:paraId="1DF9B59F" w14:textId="77777777" w:rsidR="00280C07" w:rsidRDefault="00280C07" w:rsidP="00192530">
            <w:pPr>
              <w:rPr>
                <w:sz w:val="16"/>
                <w:szCs w:val="16"/>
              </w:rPr>
            </w:pPr>
            <w:r>
              <w:rPr>
                <w:rFonts w:ascii="Arial" w:hAnsi="Arial"/>
                <w:b/>
                <w:bCs/>
                <w:color w:val="000000"/>
                <w:sz w:val="16"/>
                <w:szCs w:val="16"/>
                <w:lang w:eastAsia="en-AU"/>
              </w:rPr>
              <w:t>Central (most likely)</w:t>
            </w:r>
          </w:p>
        </w:tc>
        <w:tc>
          <w:tcPr>
            <w:tcW w:w="876" w:type="dxa"/>
            <w:tcBorders>
              <w:top w:val="single" w:sz="4" w:space="0" w:color="auto"/>
              <w:left w:val="single" w:sz="4" w:space="0" w:color="auto"/>
              <w:bottom w:val="single" w:sz="4" w:space="0" w:color="auto"/>
              <w:right w:val="single" w:sz="4" w:space="0" w:color="auto"/>
            </w:tcBorders>
            <w:vAlign w:val="center"/>
            <w:hideMark/>
          </w:tcPr>
          <w:p w14:paraId="0FB956DA" w14:textId="77777777" w:rsidR="00280C07" w:rsidRDefault="00280C07" w:rsidP="00192530">
            <w:pPr>
              <w:rPr>
                <w:sz w:val="16"/>
                <w:szCs w:val="16"/>
              </w:rPr>
            </w:pPr>
            <w:r>
              <w:rPr>
                <w:rFonts w:ascii="Arial" w:hAnsi="Arial"/>
                <w:color w:val="000000"/>
                <w:sz w:val="16"/>
                <w:szCs w:val="16"/>
                <w:lang w:eastAsia="en-AU"/>
              </w:rPr>
              <w:t>8.00</w:t>
            </w:r>
          </w:p>
        </w:tc>
        <w:tc>
          <w:tcPr>
            <w:tcW w:w="925" w:type="dxa"/>
            <w:tcBorders>
              <w:top w:val="single" w:sz="4" w:space="0" w:color="auto"/>
              <w:left w:val="single" w:sz="4" w:space="0" w:color="auto"/>
              <w:bottom w:val="single" w:sz="4" w:space="0" w:color="auto"/>
              <w:right w:val="single" w:sz="4" w:space="0" w:color="auto"/>
            </w:tcBorders>
            <w:vAlign w:val="center"/>
            <w:hideMark/>
          </w:tcPr>
          <w:p w14:paraId="5445A49D" w14:textId="77777777" w:rsidR="00280C07" w:rsidRDefault="00280C07" w:rsidP="00192530">
            <w:pPr>
              <w:rPr>
                <w:sz w:val="16"/>
                <w:szCs w:val="16"/>
              </w:rPr>
            </w:pPr>
            <w:r>
              <w:rPr>
                <w:rFonts w:ascii="Arial" w:hAnsi="Arial"/>
                <w:color w:val="000000"/>
                <w:sz w:val="16"/>
                <w:szCs w:val="16"/>
                <w:lang w:eastAsia="en-AU"/>
              </w:rPr>
              <w:t>-45.38</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EC8F673" w14:textId="77777777" w:rsidR="00280C07" w:rsidRDefault="00280C07" w:rsidP="00192530">
            <w:pPr>
              <w:rPr>
                <w:sz w:val="16"/>
                <w:szCs w:val="16"/>
              </w:rPr>
            </w:pPr>
            <w:r>
              <w:rPr>
                <w:rFonts w:ascii="Arial" w:hAnsi="Arial"/>
                <w:color w:val="000000"/>
                <w:sz w:val="16"/>
                <w:szCs w:val="16"/>
                <w:lang w:eastAsia="en-AU"/>
              </w:rPr>
              <w:t>-8.35</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EA36455" w14:textId="77777777" w:rsidR="00280C07" w:rsidRDefault="00280C07" w:rsidP="00192530">
            <w:pPr>
              <w:rPr>
                <w:sz w:val="16"/>
                <w:szCs w:val="16"/>
              </w:rPr>
            </w:pPr>
            <w:r>
              <w:rPr>
                <w:rFonts w:ascii="Arial" w:hAnsi="Arial"/>
                <w:color w:val="000000"/>
                <w:sz w:val="16"/>
                <w:szCs w:val="16"/>
                <w:lang w:eastAsia="en-AU"/>
              </w:rPr>
              <w:t>-2.96</w:t>
            </w:r>
          </w:p>
        </w:tc>
        <w:tc>
          <w:tcPr>
            <w:tcW w:w="832" w:type="dxa"/>
            <w:tcBorders>
              <w:top w:val="single" w:sz="4" w:space="0" w:color="auto"/>
              <w:left w:val="single" w:sz="4" w:space="0" w:color="auto"/>
              <w:bottom w:val="single" w:sz="4" w:space="0" w:color="auto"/>
              <w:right w:val="single" w:sz="4" w:space="0" w:color="auto"/>
            </w:tcBorders>
            <w:vAlign w:val="center"/>
            <w:hideMark/>
          </w:tcPr>
          <w:p w14:paraId="6D4CE073" w14:textId="77777777" w:rsidR="00280C07" w:rsidRDefault="00280C07" w:rsidP="00192530">
            <w:pPr>
              <w:rPr>
                <w:sz w:val="16"/>
                <w:szCs w:val="16"/>
              </w:rPr>
            </w:pPr>
            <w:r>
              <w:rPr>
                <w:rFonts w:ascii="Arial" w:hAnsi="Arial"/>
                <w:b/>
                <w:bCs/>
                <w:color w:val="000000"/>
                <w:sz w:val="16"/>
                <w:szCs w:val="16"/>
                <w:lang w:eastAsia="en-AU"/>
              </w:rPr>
              <w:t>-48.68</w:t>
            </w:r>
          </w:p>
        </w:tc>
        <w:tc>
          <w:tcPr>
            <w:tcW w:w="876" w:type="dxa"/>
            <w:tcBorders>
              <w:top w:val="single" w:sz="4" w:space="0" w:color="auto"/>
              <w:left w:val="single" w:sz="4" w:space="0" w:color="auto"/>
              <w:bottom w:val="single" w:sz="4" w:space="0" w:color="auto"/>
              <w:right w:val="single" w:sz="4" w:space="0" w:color="auto"/>
            </w:tcBorders>
            <w:vAlign w:val="center"/>
            <w:hideMark/>
          </w:tcPr>
          <w:p w14:paraId="394B983C" w14:textId="77777777" w:rsidR="00280C07" w:rsidRDefault="00280C07" w:rsidP="00192530">
            <w:pPr>
              <w:rPr>
                <w:sz w:val="16"/>
                <w:szCs w:val="16"/>
              </w:rPr>
            </w:pPr>
            <w:r>
              <w:rPr>
                <w:rFonts w:ascii="Arial" w:hAnsi="Arial"/>
                <w:color w:val="000000"/>
                <w:sz w:val="16"/>
                <w:szCs w:val="16"/>
                <w:lang w:eastAsia="en-AU"/>
              </w:rPr>
              <w:t>15.79</w:t>
            </w:r>
          </w:p>
        </w:tc>
        <w:tc>
          <w:tcPr>
            <w:tcW w:w="925" w:type="dxa"/>
            <w:tcBorders>
              <w:top w:val="single" w:sz="4" w:space="0" w:color="auto"/>
              <w:left w:val="single" w:sz="4" w:space="0" w:color="auto"/>
              <w:bottom w:val="single" w:sz="4" w:space="0" w:color="auto"/>
              <w:right w:val="single" w:sz="4" w:space="0" w:color="auto"/>
            </w:tcBorders>
            <w:vAlign w:val="center"/>
            <w:hideMark/>
          </w:tcPr>
          <w:p w14:paraId="241C0466" w14:textId="77777777" w:rsidR="00280C07" w:rsidRDefault="00280C07" w:rsidP="00192530">
            <w:pPr>
              <w:rPr>
                <w:sz w:val="16"/>
                <w:szCs w:val="16"/>
              </w:rPr>
            </w:pPr>
            <w:r>
              <w:rPr>
                <w:rFonts w:ascii="Arial" w:hAnsi="Arial"/>
                <w:color w:val="000000"/>
                <w:sz w:val="16"/>
                <w:szCs w:val="16"/>
                <w:lang w:eastAsia="en-AU"/>
              </w:rPr>
              <w:t>-46.12</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1E18549" w14:textId="77777777" w:rsidR="00280C07" w:rsidRDefault="00280C07" w:rsidP="00192530">
            <w:pPr>
              <w:rPr>
                <w:sz w:val="16"/>
                <w:szCs w:val="16"/>
              </w:rPr>
            </w:pPr>
            <w:r>
              <w:rPr>
                <w:rFonts w:ascii="Arial" w:hAnsi="Arial"/>
                <w:color w:val="000000"/>
                <w:sz w:val="16"/>
                <w:szCs w:val="16"/>
                <w:lang w:eastAsia="en-AU"/>
              </w:rPr>
              <w:t>-11.01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3C31F42" w14:textId="77777777" w:rsidR="00280C07" w:rsidRDefault="00280C07" w:rsidP="00192530">
            <w:pPr>
              <w:rPr>
                <w:sz w:val="16"/>
                <w:szCs w:val="16"/>
              </w:rPr>
            </w:pPr>
            <w:r>
              <w:rPr>
                <w:rFonts w:ascii="Arial" w:hAnsi="Arial"/>
                <w:color w:val="000000"/>
                <w:sz w:val="16"/>
                <w:szCs w:val="16"/>
                <w:lang w:eastAsia="en-AU"/>
              </w:rPr>
              <w:t>-2.96</w:t>
            </w:r>
          </w:p>
        </w:tc>
        <w:tc>
          <w:tcPr>
            <w:tcW w:w="731" w:type="dxa"/>
            <w:tcBorders>
              <w:top w:val="single" w:sz="4" w:space="0" w:color="auto"/>
              <w:left w:val="single" w:sz="4" w:space="0" w:color="auto"/>
              <w:bottom w:val="single" w:sz="4" w:space="0" w:color="auto"/>
              <w:right w:val="single" w:sz="4" w:space="0" w:color="auto"/>
            </w:tcBorders>
            <w:vAlign w:val="center"/>
            <w:hideMark/>
          </w:tcPr>
          <w:p w14:paraId="0F92E35F" w14:textId="77777777" w:rsidR="00280C07" w:rsidRDefault="00280C07" w:rsidP="00192530">
            <w:pPr>
              <w:rPr>
                <w:sz w:val="16"/>
                <w:szCs w:val="16"/>
              </w:rPr>
            </w:pPr>
            <w:r>
              <w:rPr>
                <w:rFonts w:ascii="Arial" w:hAnsi="Arial"/>
                <w:b/>
                <w:bCs/>
                <w:color w:val="000000"/>
                <w:sz w:val="16"/>
                <w:szCs w:val="16"/>
                <w:lang w:eastAsia="en-AU"/>
              </w:rPr>
              <w:t>-44.30</w:t>
            </w:r>
          </w:p>
        </w:tc>
      </w:tr>
      <w:tr w:rsidR="00280C07" w14:paraId="4E95C30D" w14:textId="77777777" w:rsidTr="00192530">
        <w:tc>
          <w:tcPr>
            <w:tcW w:w="1097" w:type="dxa"/>
            <w:tcBorders>
              <w:top w:val="single" w:sz="4" w:space="0" w:color="auto"/>
              <w:left w:val="single" w:sz="4" w:space="0" w:color="auto"/>
              <w:bottom w:val="single" w:sz="4" w:space="0" w:color="auto"/>
              <w:right w:val="single" w:sz="4" w:space="0" w:color="auto"/>
            </w:tcBorders>
            <w:hideMark/>
          </w:tcPr>
          <w:p w14:paraId="7EB0EEF0" w14:textId="77777777" w:rsidR="00280C07" w:rsidRDefault="00280C07" w:rsidP="00192530">
            <w:pPr>
              <w:rPr>
                <w:sz w:val="16"/>
                <w:szCs w:val="16"/>
              </w:rPr>
            </w:pPr>
            <w:r>
              <w:rPr>
                <w:rFonts w:ascii="Arial" w:hAnsi="Arial"/>
                <w:b/>
                <w:bCs/>
                <w:color w:val="000000"/>
                <w:sz w:val="16"/>
                <w:szCs w:val="16"/>
                <w:lang w:eastAsia="en-AU"/>
              </w:rPr>
              <w:t>Optimistic (high benefits, low costs)</w:t>
            </w:r>
          </w:p>
        </w:tc>
        <w:tc>
          <w:tcPr>
            <w:tcW w:w="876" w:type="dxa"/>
            <w:tcBorders>
              <w:top w:val="single" w:sz="4" w:space="0" w:color="auto"/>
              <w:left w:val="single" w:sz="4" w:space="0" w:color="auto"/>
              <w:bottom w:val="single" w:sz="4" w:space="0" w:color="auto"/>
              <w:right w:val="single" w:sz="4" w:space="0" w:color="auto"/>
            </w:tcBorders>
            <w:vAlign w:val="center"/>
            <w:hideMark/>
          </w:tcPr>
          <w:p w14:paraId="64CB67FE" w14:textId="77777777" w:rsidR="00280C07" w:rsidRDefault="00280C07" w:rsidP="00192530">
            <w:pPr>
              <w:rPr>
                <w:sz w:val="16"/>
                <w:szCs w:val="16"/>
              </w:rPr>
            </w:pPr>
            <w:r>
              <w:rPr>
                <w:rFonts w:ascii="Arial" w:hAnsi="Arial"/>
                <w:color w:val="000000"/>
                <w:sz w:val="16"/>
                <w:szCs w:val="16"/>
                <w:lang w:eastAsia="en-AU"/>
              </w:rPr>
              <w:t>41.62</w:t>
            </w:r>
          </w:p>
        </w:tc>
        <w:tc>
          <w:tcPr>
            <w:tcW w:w="925" w:type="dxa"/>
            <w:tcBorders>
              <w:top w:val="single" w:sz="4" w:space="0" w:color="auto"/>
              <w:left w:val="single" w:sz="4" w:space="0" w:color="auto"/>
              <w:bottom w:val="single" w:sz="4" w:space="0" w:color="auto"/>
              <w:right w:val="single" w:sz="4" w:space="0" w:color="auto"/>
            </w:tcBorders>
            <w:vAlign w:val="center"/>
            <w:hideMark/>
          </w:tcPr>
          <w:p w14:paraId="6A617062" w14:textId="77777777" w:rsidR="00280C07" w:rsidRDefault="00280C07" w:rsidP="00192530">
            <w:pPr>
              <w:rPr>
                <w:sz w:val="16"/>
                <w:szCs w:val="16"/>
              </w:rPr>
            </w:pPr>
            <w:r>
              <w:rPr>
                <w:rFonts w:ascii="Arial" w:hAnsi="Arial"/>
                <w:color w:val="000000"/>
                <w:sz w:val="16"/>
                <w:szCs w:val="16"/>
                <w:lang w:eastAsia="en-AU"/>
              </w:rPr>
              <w:t>-18.76</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7215C22" w14:textId="77777777" w:rsidR="00280C07" w:rsidRDefault="00280C07" w:rsidP="00192530">
            <w:pPr>
              <w:rPr>
                <w:sz w:val="16"/>
                <w:szCs w:val="16"/>
              </w:rPr>
            </w:pPr>
            <w:r>
              <w:rPr>
                <w:rFonts w:ascii="Arial" w:hAnsi="Arial"/>
                <w:color w:val="000000"/>
                <w:sz w:val="16"/>
                <w:szCs w:val="16"/>
                <w:lang w:eastAsia="en-AU"/>
              </w:rPr>
              <w:t>0.38</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5D859D9" w14:textId="77777777" w:rsidR="00280C07" w:rsidRDefault="00280C07" w:rsidP="00192530">
            <w:pPr>
              <w:rPr>
                <w:sz w:val="16"/>
                <w:szCs w:val="16"/>
              </w:rPr>
            </w:pPr>
            <w:r>
              <w:rPr>
                <w:rFonts w:ascii="Arial" w:hAnsi="Arial"/>
                <w:color w:val="000000"/>
                <w:sz w:val="16"/>
                <w:szCs w:val="16"/>
                <w:lang w:eastAsia="en-AU"/>
              </w:rPr>
              <w:t>-2.33</w:t>
            </w:r>
          </w:p>
        </w:tc>
        <w:tc>
          <w:tcPr>
            <w:tcW w:w="832" w:type="dxa"/>
            <w:tcBorders>
              <w:top w:val="single" w:sz="4" w:space="0" w:color="auto"/>
              <w:left w:val="single" w:sz="4" w:space="0" w:color="auto"/>
              <w:bottom w:val="single" w:sz="4" w:space="0" w:color="auto"/>
              <w:right w:val="single" w:sz="4" w:space="0" w:color="auto"/>
            </w:tcBorders>
            <w:vAlign w:val="center"/>
            <w:hideMark/>
          </w:tcPr>
          <w:p w14:paraId="27FB96FA" w14:textId="77777777" w:rsidR="00280C07" w:rsidRDefault="00280C07" w:rsidP="00192530">
            <w:pPr>
              <w:rPr>
                <w:sz w:val="16"/>
                <w:szCs w:val="16"/>
              </w:rPr>
            </w:pPr>
            <w:r>
              <w:rPr>
                <w:rFonts w:ascii="Arial" w:hAnsi="Arial"/>
                <w:b/>
                <w:bCs/>
                <w:color w:val="000000"/>
                <w:sz w:val="16"/>
                <w:szCs w:val="16"/>
                <w:lang w:eastAsia="en-AU"/>
              </w:rPr>
              <w:t>20.90</w:t>
            </w:r>
          </w:p>
        </w:tc>
        <w:tc>
          <w:tcPr>
            <w:tcW w:w="876" w:type="dxa"/>
            <w:tcBorders>
              <w:top w:val="single" w:sz="4" w:space="0" w:color="auto"/>
              <w:left w:val="single" w:sz="4" w:space="0" w:color="auto"/>
              <w:bottom w:val="single" w:sz="4" w:space="0" w:color="auto"/>
              <w:right w:val="single" w:sz="4" w:space="0" w:color="auto"/>
            </w:tcBorders>
            <w:vAlign w:val="center"/>
            <w:hideMark/>
          </w:tcPr>
          <w:p w14:paraId="79DBB0AF" w14:textId="77777777" w:rsidR="00280C07" w:rsidRDefault="00280C07" w:rsidP="00192530">
            <w:pPr>
              <w:rPr>
                <w:sz w:val="16"/>
                <w:szCs w:val="16"/>
              </w:rPr>
            </w:pPr>
            <w:r>
              <w:rPr>
                <w:rFonts w:ascii="Arial" w:hAnsi="Arial"/>
                <w:color w:val="000000"/>
                <w:sz w:val="16"/>
                <w:szCs w:val="16"/>
                <w:lang w:eastAsia="en-AU"/>
              </w:rPr>
              <w:t>48.60</w:t>
            </w:r>
          </w:p>
        </w:tc>
        <w:tc>
          <w:tcPr>
            <w:tcW w:w="925" w:type="dxa"/>
            <w:tcBorders>
              <w:top w:val="single" w:sz="4" w:space="0" w:color="auto"/>
              <w:left w:val="single" w:sz="4" w:space="0" w:color="auto"/>
              <w:bottom w:val="single" w:sz="4" w:space="0" w:color="auto"/>
              <w:right w:val="single" w:sz="4" w:space="0" w:color="auto"/>
            </w:tcBorders>
            <w:vAlign w:val="center"/>
            <w:hideMark/>
          </w:tcPr>
          <w:p w14:paraId="7C162ECB" w14:textId="77777777" w:rsidR="00280C07" w:rsidRDefault="00280C07" w:rsidP="00192530">
            <w:pPr>
              <w:rPr>
                <w:sz w:val="16"/>
                <w:szCs w:val="16"/>
              </w:rPr>
            </w:pPr>
            <w:r>
              <w:rPr>
                <w:rFonts w:ascii="Arial" w:hAnsi="Arial"/>
                <w:color w:val="000000"/>
                <w:sz w:val="16"/>
                <w:szCs w:val="16"/>
                <w:lang w:eastAsia="en-AU"/>
              </w:rPr>
              <w:t>-18.76</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A0E2072" w14:textId="77777777" w:rsidR="00280C07" w:rsidRDefault="00280C07" w:rsidP="00192530">
            <w:pPr>
              <w:rPr>
                <w:sz w:val="16"/>
                <w:szCs w:val="16"/>
              </w:rPr>
            </w:pPr>
            <w:r>
              <w:rPr>
                <w:rFonts w:ascii="Arial" w:hAnsi="Arial"/>
                <w:color w:val="000000"/>
                <w:sz w:val="16"/>
                <w:szCs w:val="16"/>
                <w:lang w:eastAsia="en-AU"/>
              </w:rPr>
              <w:t>0.38</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AFFBB9D" w14:textId="77777777" w:rsidR="00280C07" w:rsidRDefault="00280C07" w:rsidP="00192530">
            <w:pPr>
              <w:rPr>
                <w:sz w:val="16"/>
                <w:szCs w:val="16"/>
              </w:rPr>
            </w:pPr>
            <w:r>
              <w:rPr>
                <w:rFonts w:ascii="Arial" w:hAnsi="Arial"/>
                <w:color w:val="000000"/>
                <w:sz w:val="16"/>
                <w:szCs w:val="16"/>
                <w:lang w:eastAsia="en-AU"/>
              </w:rPr>
              <w:t>-2.33</w:t>
            </w:r>
          </w:p>
        </w:tc>
        <w:tc>
          <w:tcPr>
            <w:tcW w:w="731" w:type="dxa"/>
            <w:tcBorders>
              <w:top w:val="single" w:sz="4" w:space="0" w:color="auto"/>
              <w:left w:val="single" w:sz="4" w:space="0" w:color="auto"/>
              <w:bottom w:val="single" w:sz="4" w:space="0" w:color="auto"/>
              <w:right w:val="single" w:sz="4" w:space="0" w:color="auto"/>
            </w:tcBorders>
            <w:vAlign w:val="center"/>
            <w:hideMark/>
          </w:tcPr>
          <w:p w14:paraId="0FCD35CD" w14:textId="77777777" w:rsidR="00280C07" w:rsidRDefault="00280C07" w:rsidP="00192530">
            <w:pPr>
              <w:rPr>
                <w:sz w:val="16"/>
                <w:szCs w:val="16"/>
              </w:rPr>
            </w:pPr>
            <w:r>
              <w:rPr>
                <w:rFonts w:ascii="Arial" w:hAnsi="Arial"/>
                <w:b/>
                <w:bCs/>
                <w:color w:val="000000"/>
                <w:sz w:val="16"/>
                <w:szCs w:val="16"/>
                <w:lang w:eastAsia="en-AU"/>
              </w:rPr>
              <w:t>27.88</w:t>
            </w:r>
          </w:p>
        </w:tc>
      </w:tr>
      <w:tr w:rsidR="00280C07" w14:paraId="79170171" w14:textId="77777777" w:rsidTr="00192530">
        <w:tc>
          <w:tcPr>
            <w:tcW w:w="1097" w:type="dxa"/>
            <w:tcBorders>
              <w:top w:val="single" w:sz="4" w:space="0" w:color="auto"/>
              <w:left w:val="single" w:sz="4" w:space="0" w:color="auto"/>
              <w:bottom w:val="single" w:sz="4" w:space="0" w:color="auto"/>
              <w:right w:val="single" w:sz="4" w:space="0" w:color="auto"/>
            </w:tcBorders>
            <w:hideMark/>
          </w:tcPr>
          <w:p w14:paraId="6268B1CC" w14:textId="77777777" w:rsidR="00280C07" w:rsidRDefault="00280C07" w:rsidP="00192530">
            <w:pPr>
              <w:rPr>
                <w:sz w:val="16"/>
                <w:szCs w:val="16"/>
              </w:rPr>
            </w:pPr>
            <w:r>
              <w:rPr>
                <w:rFonts w:ascii="Arial" w:hAnsi="Arial"/>
                <w:b/>
                <w:bCs/>
                <w:color w:val="000000"/>
                <w:sz w:val="16"/>
                <w:szCs w:val="16"/>
                <w:lang w:eastAsia="en-AU"/>
              </w:rPr>
              <w:t>Pessimistic (low benefits, high costs)</w:t>
            </w:r>
          </w:p>
        </w:tc>
        <w:tc>
          <w:tcPr>
            <w:tcW w:w="876" w:type="dxa"/>
            <w:tcBorders>
              <w:top w:val="single" w:sz="4" w:space="0" w:color="auto"/>
              <w:left w:val="single" w:sz="4" w:space="0" w:color="auto"/>
              <w:bottom w:val="single" w:sz="4" w:space="0" w:color="auto"/>
              <w:right w:val="single" w:sz="4" w:space="0" w:color="auto"/>
            </w:tcBorders>
            <w:vAlign w:val="center"/>
            <w:hideMark/>
          </w:tcPr>
          <w:p w14:paraId="6579C469" w14:textId="77777777" w:rsidR="00280C07" w:rsidRDefault="00280C07" w:rsidP="00192530">
            <w:pPr>
              <w:rPr>
                <w:sz w:val="16"/>
                <w:szCs w:val="16"/>
              </w:rPr>
            </w:pPr>
            <w:r>
              <w:rPr>
                <w:rFonts w:ascii="Arial" w:hAnsi="Arial"/>
                <w:color w:val="000000"/>
                <w:sz w:val="16"/>
                <w:szCs w:val="16"/>
                <w:lang w:eastAsia="en-AU"/>
              </w:rPr>
              <w:t>2.92</w:t>
            </w:r>
          </w:p>
        </w:tc>
        <w:tc>
          <w:tcPr>
            <w:tcW w:w="925" w:type="dxa"/>
            <w:tcBorders>
              <w:top w:val="single" w:sz="4" w:space="0" w:color="auto"/>
              <w:left w:val="single" w:sz="4" w:space="0" w:color="auto"/>
              <w:bottom w:val="single" w:sz="4" w:space="0" w:color="auto"/>
              <w:right w:val="single" w:sz="4" w:space="0" w:color="auto"/>
            </w:tcBorders>
            <w:vAlign w:val="center"/>
            <w:hideMark/>
          </w:tcPr>
          <w:p w14:paraId="0B70E02A" w14:textId="77777777" w:rsidR="00280C07" w:rsidRDefault="00280C07" w:rsidP="00192530">
            <w:pPr>
              <w:rPr>
                <w:sz w:val="16"/>
                <w:szCs w:val="16"/>
              </w:rPr>
            </w:pPr>
            <w:r>
              <w:rPr>
                <w:rFonts w:ascii="Arial" w:hAnsi="Arial"/>
                <w:color w:val="000000"/>
                <w:sz w:val="16"/>
                <w:szCs w:val="16"/>
                <w:lang w:eastAsia="en-AU"/>
              </w:rPr>
              <w:t>-82.89</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45473F1" w14:textId="77777777" w:rsidR="00280C07" w:rsidRDefault="00280C07" w:rsidP="00192530">
            <w:pPr>
              <w:rPr>
                <w:sz w:val="16"/>
                <w:szCs w:val="16"/>
              </w:rPr>
            </w:pPr>
            <w:r>
              <w:rPr>
                <w:rFonts w:ascii="Arial" w:hAnsi="Arial"/>
                <w:color w:val="000000"/>
                <w:sz w:val="16"/>
                <w:szCs w:val="16"/>
                <w:lang w:eastAsia="en-AU"/>
              </w:rPr>
              <w:t>-35.74</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6F09F5F" w14:textId="77777777" w:rsidR="00280C07" w:rsidRDefault="00280C07" w:rsidP="00192530">
            <w:pPr>
              <w:rPr>
                <w:sz w:val="16"/>
                <w:szCs w:val="16"/>
              </w:rPr>
            </w:pPr>
            <w:r>
              <w:rPr>
                <w:rFonts w:ascii="Arial" w:hAnsi="Arial"/>
                <w:color w:val="000000"/>
                <w:sz w:val="16"/>
                <w:szCs w:val="16"/>
                <w:lang w:eastAsia="en-AU"/>
              </w:rPr>
              <w:t>-3.58</w:t>
            </w:r>
          </w:p>
        </w:tc>
        <w:tc>
          <w:tcPr>
            <w:tcW w:w="832" w:type="dxa"/>
            <w:tcBorders>
              <w:top w:val="single" w:sz="4" w:space="0" w:color="auto"/>
              <w:left w:val="single" w:sz="4" w:space="0" w:color="auto"/>
              <w:bottom w:val="single" w:sz="4" w:space="0" w:color="auto"/>
              <w:right w:val="single" w:sz="4" w:space="0" w:color="auto"/>
            </w:tcBorders>
            <w:vAlign w:val="center"/>
            <w:hideMark/>
          </w:tcPr>
          <w:p w14:paraId="481EC98A" w14:textId="77777777" w:rsidR="00280C07" w:rsidRDefault="00280C07" w:rsidP="00192530">
            <w:pPr>
              <w:rPr>
                <w:sz w:val="16"/>
                <w:szCs w:val="16"/>
              </w:rPr>
            </w:pPr>
            <w:r>
              <w:rPr>
                <w:rFonts w:ascii="Arial" w:hAnsi="Arial"/>
                <w:b/>
                <w:bCs/>
                <w:color w:val="000000"/>
                <w:sz w:val="16"/>
                <w:szCs w:val="16"/>
                <w:lang w:eastAsia="en-AU"/>
              </w:rPr>
              <w:t>-119.29</w:t>
            </w:r>
          </w:p>
        </w:tc>
        <w:tc>
          <w:tcPr>
            <w:tcW w:w="876" w:type="dxa"/>
            <w:tcBorders>
              <w:top w:val="single" w:sz="4" w:space="0" w:color="auto"/>
              <w:left w:val="single" w:sz="4" w:space="0" w:color="auto"/>
              <w:bottom w:val="single" w:sz="4" w:space="0" w:color="auto"/>
              <w:right w:val="single" w:sz="4" w:space="0" w:color="auto"/>
            </w:tcBorders>
            <w:vAlign w:val="center"/>
            <w:hideMark/>
          </w:tcPr>
          <w:p w14:paraId="60269EA7" w14:textId="77777777" w:rsidR="00280C07" w:rsidRDefault="00280C07" w:rsidP="00192530">
            <w:pPr>
              <w:rPr>
                <w:sz w:val="16"/>
                <w:szCs w:val="16"/>
              </w:rPr>
            </w:pPr>
            <w:r>
              <w:rPr>
                <w:rFonts w:ascii="Arial" w:hAnsi="Arial"/>
                <w:color w:val="000000"/>
                <w:sz w:val="16"/>
                <w:szCs w:val="16"/>
                <w:lang w:eastAsia="en-AU"/>
              </w:rPr>
              <w:t>3.64</w:t>
            </w:r>
          </w:p>
        </w:tc>
        <w:tc>
          <w:tcPr>
            <w:tcW w:w="925" w:type="dxa"/>
            <w:tcBorders>
              <w:top w:val="single" w:sz="4" w:space="0" w:color="auto"/>
              <w:left w:val="single" w:sz="4" w:space="0" w:color="auto"/>
              <w:bottom w:val="single" w:sz="4" w:space="0" w:color="auto"/>
              <w:right w:val="single" w:sz="4" w:space="0" w:color="auto"/>
            </w:tcBorders>
            <w:vAlign w:val="center"/>
            <w:hideMark/>
          </w:tcPr>
          <w:p w14:paraId="44A15F9C" w14:textId="77777777" w:rsidR="00280C07" w:rsidRDefault="00280C07" w:rsidP="00192530">
            <w:pPr>
              <w:rPr>
                <w:sz w:val="16"/>
                <w:szCs w:val="16"/>
              </w:rPr>
            </w:pPr>
            <w:r>
              <w:rPr>
                <w:rFonts w:ascii="Arial" w:hAnsi="Arial"/>
                <w:color w:val="000000"/>
                <w:sz w:val="16"/>
                <w:szCs w:val="16"/>
                <w:lang w:eastAsia="en-AU"/>
              </w:rPr>
              <w:t>-82.89</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DDDAF92" w14:textId="77777777" w:rsidR="00280C07" w:rsidRDefault="00280C07" w:rsidP="00192530">
            <w:pPr>
              <w:rPr>
                <w:sz w:val="16"/>
                <w:szCs w:val="16"/>
              </w:rPr>
            </w:pPr>
            <w:r>
              <w:rPr>
                <w:rFonts w:ascii="Arial" w:hAnsi="Arial"/>
                <w:color w:val="000000"/>
                <w:sz w:val="16"/>
                <w:szCs w:val="16"/>
                <w:lang w:eastAsia="en-AU"/>
              </w:rPr>
              <w:t>-22.40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CA57451" w14:textId="77777777" w:rsidR="00280C07" w:rsidRDefault="00280C07" w:rsidP="00192530">
            <w:pPr>
              <w:rPr>
                <w:sz w:val="16"/>
                <w:szCs w:val="16"/>
              </w:rPr>
            </w:pPr>
            <w:r>
              <w:rPr>
                <w:rFonts w:ascii="Arial" w:hAnsi="Arial"/>
                <w:color w:val="000000"/>
                <w:sz w:val="16"/>
                <w:szCs w:val="16"/>
                <w:lang w:eastAsia="en-AU"/>
              </w:rPr>
              <w:t>-3.58</w:t>
            </w:r>
          </w:p>
        </w:tc>
        <w:tc>
          <w:tcPr>
            <w:tcW w:w="731" w:type="dxa"/>
            <w:tcBorders>
              <w:top w:val="single" w:sz="4" w:space="0" w:color="auto"/>
              <w:left w:val="single" w:sz="4" w:space="0" w:color="auto"/>
              <w:bottom w:val="single" w:sz="4" w:space="0" w:color="auto"/>
              <w:right w:val="single" w:sz="4" w:space="0" w:color="auto"/>
            </w:tcBorders>
            <w:vAlign w:val="center"/>
            <w:hideMark/>
          </w:tcPr>
          <w:p w14:paraId="326C2011" w14:textId="77777777" w:rsidR="00280C07" w:rsidRDefault="00280C07" w:rsidP="00192530">
            <w:pPr>
              <w:rPr>
                <w:sz w:val="16"/>
                <w:szCs w:val="16"/>
              </w:rPr>
            </w:pPr>
            <w:r>
              <w:rPr>
                <w:rFonts w:ascii="Arial" w:hAnsi="Arial"/>
                <w:b/>
                <w:bCs/>
                <w:color w:val="000000"/>
                <w:sz w:val="16"/>
                <w:szCs w:val="16"/>
                <w:lang w:eastAsia="en-AU"/>
              </w:rPr>
              <w:t>-105.24</w:t>
            </w:r>
          </w:p>
        </w:tc>
      </w:tr>
    </w:tbl>
    <w:p w14:paraId="029F4105" w14:textId="77777777" w:rsidR="00280C07" w:rsidRPr="00D054AA" w:rsidRDefault="00280C07" w:rsidP="00280C07">
      <w:pPr>
        <w:pStyle w:val="ListParagraph"/>
        <w:ind w:left="360"/>
        <w:rPr>
          <w:rFonts w:ascii="Calibri" w:hAnsi="Calibri" w:cs="Calibri"/>
          <w:sz w:val="16"/>
          <w:szCs w:val="16"/>
        </w:rPr>
      </w:pPr>
      <w:r w:rsidRPr="00D054AA">
        <w:rPr>
          <w:sz w:val="16"/>
          <w:szCs w:val="16"/>
        </w:rPr>
        <w:t xml:space="preserve">Source: PWC, </w:t>
      </w:r>
      <w:proofErr w:type="gramStart"/>
      <w:r w:rsidRPr="00D054AA">
        <w:rPr>
          <w:i/>
          <w:iCs/>
          <w:sz w:val="16"/>
          <w:szCs w:val="16"/>
        </w:rPr>
        <w:t>Updated</w:t>
      </w:r>
      <w:proofErr w:type="gramEnd"/>
      <w:r w:rsidRPr="00D054AA">
        <w:rPr>
          <w:i/>
          <w:iCs/>
          <w:sz w:val="16"/>
          <w:szCs w:val="16"/>
        </w:rPr>
        <w:t xml:space="preserve"> economic analysis of estimated impacts of Australia acceding to the Hague Agreement for designs</w:t>
      </w:r>
    </w:p>
    <w:p w14:paraId="5553C242" w14:textId="77777777" w:rsidR="004B3E31" w:rsidRPr="00383183" w:rsidRDefault="004B3E31" w:rsidP="004B3E31">
      <w:pPr>
        <w:pStyle w:val="ListParagraph"/>
        <w:ind w:left="360"/>
        <w:rPr>
          <w:sz w:val="24"/>
          <w:szCs w:val="24"/>
        </w:rPr>
      </w:pPr>
    </w:p>
    <w:p w14:paraId="09504B86" w14:textId="77777777" w:rsidR="004B3E31" w:rsidRPr="00383183" w:rsidRDefault="004B3E31" w:rsidP="00206944">
      <w:pPr>
        <w:pStyle w:val="ListParagraph"/>
        <w:numPr>
          <w:ilvl w:val="0"/>
          <w:numId w:val="1"/>
        </w:numPr>
        <w:ind w:left="567" w:hanging="567"/>
        <w:rPr>
          <w:sz w:val="24"/>
          <w:szCs w:val="24"/>
        </w:rPr>
      </w:pPr>
      <w:r w:rsidRPr="00383183">
        <w:rPr>
          <w:sz w:val="24"/>
          <w:szCs w:val="24"/>
        </w:rPr>
        <w:t xml:space="preserve">Australia and the UK have also agreed to commence discussions on enabling reciprocal access to their respective Artist Resale Royalty (ARR) schemes, which ensure artists receive a portion of the sale price when their work is resold through an art market professional such as an auction house or art dealer. Australian artists cannot currently access the UK’s ARR scheme, so this agreement will allow them an additional source of income. </w:t>
      </w:r>
    </w:p>
    <w:p w14:paraId="686E1C95" w14:textId="77777777" w:rsidR="004B3E31" w:rsidRPr="00383183" w:rsidRDefault="004B3E31" w:rsidP="004B3E31">
      <w:pPr>
        <w:pStyle w:val="ListParagraph"/>
        <w:ind w:left="360"/>
        <w:rPr>
          <w:sz w:val="24"/>
          <w:szCs w:val="24"/>
        </w:rPr>
      </w:pPr>
    </w:p>
    <w:p w14:paraId="634B7637" w14:textId="68F015AF" w:rsidR="004B3E31" w:rsidRDefault="004B3E31" w:rsidP="00206944">
      <w:pPr>
        <w:pStyle w:val="ListParagraph"/>
        <w:numPr>
          <w:ilvl w:val="0"/>
          <w:numId w:val="1"/>
        </w:numPr>
        <w:ind w:left="567" w:hanging="567"/>
        <w:rPr>
          <w:sz w:val="24"/>
          <w:szCs w:val="24"/>
        </w:rPr>
      </w:pPr>
      <w:r w:rsidRPr="00383183">
        <w:rPr>
          <w:sz w:val="24"/>
          <w:szCs w:val="24"/>
        </w:rPr>
        <w:t>The Copyright Agency Ltd administers Australia’s ARR scheme and collected data in 2012 on the resale of Australian works in the UK (</w:t>
      </w:r>
      <w:r w:rsidRPr="002A72E9">
        <w:rPr>
          <w:b/>
          <w:bCs/>
          <w:sz w:val="24"/>
          <w:szCs w:val="24"/>
          <w:u w:val="single"/>
        </w:rPr>
        <w:t>Table 1</w:t>
      </w:r>
      <w:r w:rsidR="005111EB">
        <w:rPr>
          <w:b/>
          <w:bCs/>
          <w:sz w:val="24"/>
          <w:szCs w:val="24"/>
          <w:u w:val="single"/>
        </w:rPr>
        <w:t>5</w:t>
      </w:r>
      <w:r w:rsidRPr="00383183">
        <w:rPr>
          <w:sz w:val="24"/>
          <w:szCs w:val="24"/>
        </w:rPr>
        <w:t xml:space="preserve">). Using this data, the average sale amount can be calculated as US$15,716, which converts to </w:t>
      </w:r>
      <w:r>
        <w:rPr>
          <w:sz w:val="24"/>
          <w:szCs w:val="24"/>
        </w:rPr>
        <w:t>A</w:t>
      </w:r>
      <w:r w:rsidRPr="00383183">
        <w:rPr>
          <w:sz w:val="24"/>
          <w:szCs w:val="24"/>
        </w:rPr>
        <w:t>$22,316 (assuming a conversion rate of AU/US</w:t>
      </w:r>
      <w:r>
        <w:rPr>
          <w:sz w:val="24"/>
          <w:szCs w:val="24"/>
        </w:rPr>
        <w:t xml:space="preserve"> </w:t>
      </w:r>
      <w:r w:rsidRPr="00383183">
        <w:rPr>
          <w:sz w:val="24"/>
          <w:szCs w:val="24"/>
        </w:rPr>
        <w:t>0.70). The UK’s ARR scheme uses a sliding scale to calculate the royalty payable from each sale. Sales between</w:t>
      </w:r>
      <w:r w:rsidR="007A2D7B">
        <w:rPr>
          <w:sz w:val="24"/>
          <w:szCs w:val="24"/>
        </w:rPr>
        <w:t xml:space="preserve"> the sterling equivalent of</w:t>
      </w:r>
      <w:r w:rsidRPr="00383183">
        <w:rPr>
          <w:sz w:val="24"/>
          <w:szCs w:val="24"/>
        </w:rPr>
        <w:t xml:space="preserve"> €1,000 and €50,000 receive a </w:t>
      </w:r>
      <w:r>
        <w:rPr>
          <w:sz w:val="24"/>
          <w:szCs w:val="24"/>
        </w:rPr>
        <w:t xml:space="preserve">four per cent </w:t>
      </w:r>
      <w:r w:rsidRPr="00383183">
        <w:rPr>
          <w:sz w:val="24"/>
          <w:szCs w:val="24"/>
        </w:rPr>
        <w:t xml:space="preserve">royalty, so the royalty paid on the average sale would be around </w:t>
      </w:r>
      <w:r>
        <w:rPr>
          <w:sz w:val="24"/>
          <w:szCs w:val="24"/>
        </w:rPr>
        <w:t>A</w:t>
      </w:r>
      <w:r w:rsidRPr="00383183">
        <w:rPr>
          <w:sz w:val="24"/>
          <w:szCs w:val="24"/>
        </w:rPr>
        <w:t>$892.</w:t>
      </w:r>
    </w:p>
    <w:p w14:paraId="61030002" w14:textId="77777777" w:rsidR="004B3E31" w:rsidRPr="00EA24A8" w:rsidRDefault="004B3E31" w:rsidP="004B3E31">
      <w:pPr>
        <w:rPr>
          <w:sz w:val="24"/>
          <w:szCs w:val="24"/>
        </w:rPr>
      </w:pPr>
    </w:p>
    <w:p w14:paraId="0DE12752" w14:textId="648B6710" w:rsidR="00280C07" w:rsidRPr="007C3278" w:rsidRDefault="00280C07" w:rsidP="00280C07">
      <w:pPr>
        <w:jc w:val="both"/>
        <w:rPr>
          <w:b/>
          <w:bCs/>
          <w:sz w:val="24"/>
          <w:szCs w:val="24"/>
          <w:lang w:eastAsia="en-AU"/>
        </w:rPr>
      </w:pPr>
      <w:r w:rsidRPr="00280C07">
        <w:rPr>
          <w:b/>
          <w:bCs/>
          <w:sz w:val="24"/>
          <w:szCs w:val="24"/>
          <w:u w:val="single"/>
          <w:lang w:eastAsia="en-AU"/>
        </w:rPr>
        <w:t>Table 1</w:t>
      </w:r>
      <w:r w:rsidR="005111EB">
        <w:rPr>
          <w:b/>
          <w:bCs/>
          <w:sz w:val="24"/>
          <w:szCs w:val="24"/>
          <w:u w:val="single"/>
          <w:lang w:eastAsia="en-AU"/>
        </w:rPr>
        <w:t>5</w:t>
      </w:r>
      <w:r>
        <w:rPr>
          <w:b/>
          <w:bCs/>
          <w:sz w:val="24"/>
          <w:szCs w:val="24"/>
          <w:lang w:eastAsia="en-AU"/>
        </w:rPr>
        <w:t xml:space="preserve">: </w:t>
      </w:r>
      <w:r w:rsidRPr="00383183">
        <w:rPr>
          <w:b/>
          <w:bCs/>
          <w:sz w:val="24"/>
          <w:szCs w:val="24"/>
          <w:lang w:eastAsia="en-AU"/>
        </w:rPr>
        <w:t>Resales in the UK of Australian works</w:t>
      </w:r>
    </w:p>
    <w:tbl>
      <w:tblPr>
        <w:tblStyle w:val="TableGrid"/>
        <w:tblW w:w="0" w:type="auto"/>
        <w:tblInd w:w="0" w:type="dxa"/>
        <w:tblLook w:val="04A0" w:firstRow="1" w:lastRow="0" w:firstColumn="1" w:lastColumn="0" w:noHBand="0" w:noVBand="1"/>
      </w:tblPr>
      <w:tblGrid>
        <w:gridCol w:w="1127"/>
        <w:gridCol w:w="705"/>
        <w:gridCol w:w="1127"/>
        <w:gridCol w:w="706"/>
        <w:gridCol w:w="976"/>
        <w:gridCol w:w="707"/>
        <w:gridCol w:w="1127"/>
        <w:gridCol w:w="707"/>
        <w:gridCol w:w="1127"/>
        <w:gridCol w:w="707"/>
      </w:tblGrid>
      <w:tr w:rsidR="00280C07" w14:paraId="2F4C5FED" w14:textId="77777777" w:rsidTr="00192530">
        <w:tc>
          <w:tcPr>
            <w:tcW w:w="183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AE3382" w14:textId="77777777" w:rsidR="00280C07" w:rsidRDefault="00280C07" w:rsidP="00192530">
            <w:pPr>
              <w:jc w:val="center"/>
              <w:rPr>
                <w:b/>
                <w:bCs/>
                <w:sz w:val="20"/>
                <w:szCs w:val="20"/>
              </w:rPr>
            </w:pPr>
            <w:r>
              <w:rPr>
                <w:b/>
                <w:bCs/>
                <w:sz w:val="20"/>
                <w:szCs w:val="20"/>
              </w:rPr>
              <w:t>2007</w:t>
            </w:r>
          </w:p>
        </w:tc>
        <w:tc>
          <w:tcPr>
            <w:tcW w:w="183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FAB6F9" w14:textId="77777777" w:rsidR="00280C07" w:rsidRDefault="00280C07" w:rsidP="00192530">
            <w:pPr>
              <w:jc w:val="center"/>
              <w:rPr>
                <w:b/>
                <w:bCs/>
                <w:sz w:val="20"/>
                <w:szCs w:val="20"/>
              </w:rPr>
            </w:pPr>
            <w:r>
              <w:rPr>
                <w:b/>
                <w:bCs/>
                <w:sz w:val="20"/>
                <w:szCs w:val="20"/>
              </w:rPr>
              <w:t>2008</w:t>
            </w:r>
          </w:p>
        </w:tc>
        <w:tc>
          <w:tcPr>
            <w:tcW w:w="168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4A69DD" w14:textId="77777777" w:rsidR="00280C07" w:rsidRDefault="00280C07" w:rsidP="00192530">
            <w:pPr>
              <w:jc w:val="center"/>
              <w:rPr>
                <w:b/>
                <w:bCs/>
                <w:sz w:val="20"/>
                <w:szCs w:val="20"/>
              </w:rPr>
            </w:pPr>
            <w:r>
              <w:rPr>
                <w:b/>
                <w:bCs/>
                <w:sz w:val="20"/>
                <w:szCs w:val="20"/>
              </w:rPr>
              <w:t>2009</w:t>
            </w:r>
          </w:p>
        </w:tc>
        <w:tc>
          <w:tcPr>
            <w:tcW w:w="18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CC2359" w14:textId="77777777" w:rsidR="00280C07" w:rsidRDefault="00280C07" w:rsidP="00192530">
            <w:pPr>
              <w:jc w:val="center"/>
              <w:rPr>
                <w:b/>
                <w:bCs/>
                <w:sz w:val="20"/>
                <w:szCs w:val="20"/>
              </w:rPr>
            </w:pPr>
            <w:r>
              <w:rPr>
                <w:b/>
                <w:bCs/>
                <w:sz w:val="20"/>
                <w:szCs w:val="20"/>
              </w:rPr>
              <w:t>2010</w:t>
            </w:r>
          </w:p>
        </w:tc>
        <w:tc>
          <w:tcPr>
            <w:tcW w:w="18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74BB91" w14:textId="77777777" w:rsidR="00280C07" w:rsidRDefault="00280C07" w:rsidP="00192530">
            <w:pPr>
              <w:jc w:val="center"/>
              <w:rPr>
                <w:b/>
                <w:bCs/>
                <w:sz w:val="20"/>
                <w:szCs w:val="20"/>
              </w:rPr>
            </w:pPr>
            <w:r>
              <w:rPr>
                <w:b/>
                <w:bCs/>
                <w:sz w:val="20"/>
                <w:szCs w:val="20"/>
              </w:rPr>
              <w:t>2011</w:t>
            </w:r>
          </w:p>
        </w:tc>
      </w:tr>
      <w:tr w:rsidR="00280C07" w14:paraId="2924264E" w14:textId="77777777" w:rsidTr="00192530">
        <w:tc>
          <w:tcPr>
            <w:tcW w:w="112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08CE0F" w14:textId="77777777" w:rsidR="00280C07" w:rsidRDefault="00280C07" w:rsidP="00192530">
            <w:pPr>
              <w:jc w:val="center"/>
              <w:rPr>
                <w:b/>
                <w:bCs/>
                <w:sz w:val="20"/>
                <w:szCs w:val="20"/>
              </w:rPr>
            </w:pPr>
            <w:r>
              <w:rPr>
                <w:b/>
                <w:bCs/>
                <w:sz w:val="20"/>
                <w:szCs w:val="20"/>
              </w:rPr>
              <w:t>USD</w:t>
            </w:r>
          </w:p>
        </w:tc>
        <w:tc>
          <w:tcPr>
            <w:tcW w:w="7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D5C974" w14:textId="77777777" w:rsidR="00280C07" w:rsidRDefault="00280C07" w:rsidP="00192530">
            <w:pPr>
              <w:jc w:val="center"/>
              <w:rPr>
                <w:b/>
                <w:bCs/>
                <w:sz w:val="20"/>
                <w:szCs w:val="20"/>
              </w:rPr>
            </w:pPr>
            <w:r>
              <w:rPr>
                <w:b/>
                <w:bCs/>
                <w:sz w:val="20"/>
                <w:szCs w:val="20"/>
              </w:rPr>
              <w:t>Lots</w:t>
            </w:r>
          </w:p>
        </w:tc>
        <w:tc>
          <w:tcPr>
            <w:tcW w:w="112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9E1CDE" w14:textId="77777777" w:rsidR="00280C07" w:rsidRDefault="00280C07" w:rsidP="00192530">
            <w:pPr>
              <w:jc w:val="center"/>
              <w:rPr>
                <w:b/>
                <w:bCs/>
                <w:sz w:val="20"/>
                <w:szCs w:val="20"/>
              </w:rPr>
            </w:pPr>
            <w:r>
              <w:rPr>
                <w:b/>
                <w:bCs/>
                <w:sz w:val="20"/>
                <w:szCs w:val="20"/>
              </w:rPr>
              <w:t>USD</w:t>
            </w:r>
          </w:p>
        </w:tc>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C62D31" w14:textId="77777777" w:rsidR="00280C07" w:rsidRDefault="00280C07" w:rsidP="00192530">
            <w:pPr>
              <w:jc w:val="center"/>
              <w:rPr>
                <w:b/>
                <w:bCs/>
                <w:sz w:val="20"/>
                <w:szCs w:val="20"/>
              </w:rPr>
            </w:pPr>
            <w:r>
              <w:rPr>
                <w:b/>
                <w:bCs/>
                <w:sz w:val="20"/>
                <w:szCs w:val="20"/>
              </w:rPr>
              <w:t>Lots</w:t>
            </w:r>
          </w:p>
        </w:tc>
        <w:tc>
          <w:tcPr>
            <w:tcW w:w="9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C081A6" w14:textId="77777777" w:rsidR="00280C07" w:rsidRDefault="00280C07" w:rsidP="00192530">
            <w:pPr>
              <w:jc w:val="center"/>
              <w:rPr>
                <w:b/>
                <w:bCs/>
                <w:sz w:val="20"/>
                <w:szCs w:val="20"/>
              </w:rPr>
            </w:pPr>
            <w:r>
              <w:rPr>
                <w:b/>
                <w:bCs/>
                <w:sz w:val="20"/>
                <w:szCs w:val="20"/>
              </w:rPr>
              <w:t>USD</w:t>
            </w:r>
          </w:p>
        </w:tc>
        <w:tc>
          <w:tcPr>
            <w:tcW w:w="7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3AA23C" w14:textId="77777777" w:rsidR="00280C07" w:rsidRDefault="00280C07" w:rsidP="00192530">
            <w:pPr>
              <w:jc w:val="center"/>
              <w:rPr>
                <w:b/>
                <w:bCs/>
                <w:sz w:val="20"/>
                <w:szCs w:val="20"/>
              </w:rPr>
            </w:pPr>
            <w:r>
              <w:rPr>
                <w:b/>
                <w:bCs/>
                <w:sz w:val="20"/>
                <w:szCs w:val="20"/>
              </w:rPr>
              <w:t>Lots</w:t>
            </w:r>
          </w:p>
        </w:tc>
        <w:tc>
          <w:tcPr>
            <w:tcW w:w="112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6EA4F8" w14:textId="77777777" w:rsidR="00280C07" w:rsidRDefault="00280C07" w:rsidP="00192530">
            <w:pPr>
              <w:jc w:val="center"/>
              <w:rPr>
                <w:b/>
                <w:bCs/>
                <w:sz w:val="20"/>
                <w:szCs w:val="20"/>
              </w:rPr>
            </w:pPr>
            <w:r>
              <w:rPr>
                <w:b/>
                <w:bCs/>
                <w:sz w:val="20"/>
                <w:szCs w:val="20"/>
              </w:rPr>
              <w:t>USD</w:t>
            </w:r>
          </w:p>
        </w:tc>
        <w:tc>
          <w:tcPr>
            <w:tcW w:w="7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BBC1BF" w14:textId="77777777" w:rsidR="00280C07" w:rsidRDefault="00280C07" w:rsidP="00192530">
            <w:pPr>
              <w:jc w:val="center"/>
              <w:rPr>
                <w:b/>
                <w:bCs/>
                <w:sz w:val="20"/>
                <w:szCs w:val="20"/>
              </w:rPr>
            </w:pPr>
            <w:r>
              <w:rPr>
                <w:b/>
                <w:bCs/>
                <w:sz w:val="20"/>
                <w:szCs w:val="20"/>
              </w:rPr>
              <w:t>Lots</w:t>
            </w:r>
          </w:p>
        </w:tc>
        <w:tc>
          <w:tcPr>
            <w:tcW w:w="112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047568" w14:textId="77777777" w:rsidR="00280C07" w:rsidRDefault="00280C07" w:rsidP="00192530">
            <w:pPr>
              <w:jc w:val="center"/>
              <w:rPr>
                <w:b/>
                <w:bCs/>
                <w:sz w:val="20"/>
                <w:szCs w:val="20"/>
              </w:rPr>
            </w:pPr>
            <w:r>
              <w:rPr>
                <w:b/>
                <w:bCs/>
                <w:sz w:val="20"/>
                <w:szCs w:val="20"/>
              </w:rPr>
              <w:t>USD</w:t>
            </w:r>
          </w:p>
        </w:tc>
        <w:tc>
          <w:tcPr>
            <w:tcW w:w="7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18F964" w14:textId="77777777" w:rsidR="00280C07" w:rsidRDefault="00280C07" w:rsidP="00192530">
            <w:pPr>
              <w:jc w:val="center"/>
              <w:rPr>
                <w:b/>
                <w:bCs/>
                <w:sz w:val="20"/>
                <w:szCs w:val="20"/>
              </w:rPr>
            </w:pPr>
            <w:r>
              <w:rPr>
                <w:b/>
                <w:bCs/>
                <w:sz w:val="20"/>
                <w:szCs w:val="20"/>
              </w:rPr>
              <w:t>Lots</w:t>
            </w:r>
          </w:p>
        </w:tc>
      </w:tr>
      <w:tr w:rsidR="00280C07" w14:paraId="2E1A7C31" w14:textId="77777777" w:rsidTr="00192530">
        <w:tc>
          <w:tcPr>
            <w:tcW w:w="1127" w:type="dxa"/>
            <w:tcBorders>
              <w:top w:val="single" w:sz="4" w:space="0" w:color="auto"/>
              <w:left w:val="single" w:sz="4" w:space="0" w:color="auto"/>
              <w:bottom w:val="single" w:sz="4" w:space="0" w:color="auto"/>
              <w:right w:val="single" w:sz="4" w:space="0" w:color="auto"/>
            </w:tcBorders>
            <w:hideMark/>
          </w:tcPr>
          <w:p w14:paraId="6ADE41EB" w14:textId="77777777" w:rsidR="00280C07" w:rsidRDefault="00280C07" w:rsidP="00192530">
            <w:pPr>
              <w:rPr>
                <w:sz w:val="20"/>
                <w:szCs w:val="20"/>
              </w:rPr>
            </w:pPr>
            <w:r>
              <w:rPr>
                <w:sz w:val="20"/>
                <w:szCs w:val="20"/>
              </w:rPr>
              <w:t>$5,377,923</w:t>
            </w:r>
          </w:p>
        </w:tc>
        <w:tc>
          <w:tcPr>
            <w:tcW w:w="705" w:type="dxa"/>
            <w:tcBorders>
              <w:top w:val="single" w:sz="4" w:space="0" w:color="auto"/>
              <w:left w:val="single" w:sz="4" w:space="0" w:color="auto"/>
              <w:bottom w:val="single" w:sz="4" w:space="0" w:color="auto"/>
              <w:right w:val="single" w:sz="4" w:space="0" w:color="auto"/>
            </w:tcBorders>
            <w:hideMark/>
          </w:tcPr>
          <w:p w14:paraId="6B93CE6D" w14:textId="77777777" w:rsidR="00280C07" w:rsidRDefault="00280C07" w:rsidP="00192530">
            <w:pPr>
              <w:rPr>
                <w:sz w:val="20"/>
                <w:szCs w:val="20"/>
              </w:rPr>
            </w:pPr>
            <w:r>
              <w:rPr>
                <w:rFonts w:cstheme="minorHAnsi"/>
                <w:sz w:val="20"/>
                <w:szCs w:val="20"/>
                <w:lang w:eastAsia="en-AU"/>
              </w:rPr>
              <w:t>141</w:t>
            </w:r>
          </w:p>
        </w:tc>
        <w:tc>
          <w:tcPr>
            <w:tcW w:w="1127" w:type="dxa"/>
            <w:tcBorders>
              <w:top w:val="single" w:sz="4" w:space="0" w:color="auto"/>
              <w:left w:val="single" w:sz="4" w:space="0" w:color="auto"/>
              <w:bottom w:val="single" w:sz="4" w:space="0" w:color="auto"/>
              <w:right w:val="single" w:sz="4" w:space="0" w:color="auto"/>
            </w:tcBorders>
            <w:hideMark/>
          </w:tcPr>
          <w:p w14:paraId="206327C2" w14:textId="77777777" w:rsidR="00280C07" w:rsidRDefault="00280C07" w:rsidP="00192530">
            <w:pPr>
              <w:rPr>
                <w:sz w:val="20"/>
                <w:szCs w:val="20"/>
              </w:rPr>
            </w:pPr>
            <w:r>
              <w:rPr>
                <w:sz w:val="20"/>
                <w:szCs w:val="20"/>
              </w:rPr>
              <w:t>$1,152,609</w:t>
            </w:r>
          </w:p>
        </w:tc>
        <w:tc>
          <w:tcPr>
            <w:tcW w:w="706" w:type="dxa"/>
            <w:tcBorders>
              <w:top w:val="single" w:sz="4" w:space="0" w:color="auto"/>
              <w:left w:val="single" w:sz="4" w:space="0" w:color="auto"/>
              <w:bottom w:val="single" w:sz="4" w:space="0" w:color="auto"/>
              <w:right w:val="single" w:sz="4" w:space="0" w:color="auto"/>
            </w:tcBorders>
            <w:hideMark/>
          </w:tcPr>
          <w:p w14:paraId="16F8F035" w14:textId="77777777" w:rsidR="00280C07" w:rsidRDefault="00280C07" w:rsidP="00192530">
            <w:pPr>
              <w:rPr>
                <w:sz w:val="20"/>
                <w:szCs w:val="20"/>
              </w:rPr>
            </w:pPr>
            <w:r>
              <w:rPr>
                <w:rFonts w:cstheme="minorHAnsi"/>
                <w:sz w:val="20"/>
                <w:szCs w:val="20"/>
                <w:lang w:eastAsia="en-AU"/>
              </w:rPr>
              <w:t>239</w:t>
            </w:r>
          </w:p>
        </w:tc>
        <w:tc>
          <w:tcPr>
            <w:tcW w:w="976" w:type="dxa"/>
            <w:tcBorders>
              <w:top w:val="single" w:sz="4" w:space="0" w:color="auto"/>
              <w:left w:val="single" w:sz="4" w:space="0" w:color="auto"/>
              <w:bottom w:val="single" w:sz="4" w:space="0" w:color="auto"/>
              <w:right w:val="single" w:sz="4" w:space="0" w:color="auto"/>
            </w:tcBorders>
            <w:hideMark/>
          </w:tcPr>
          <w:p w14:paraId="6723D39B" w14:textId="77777777" w:rsidR="00280C07" w:rsidRDefault="00280C07" w:rsidP="00192530">
            <w:pPr>
              <w:rPr>
                <w:sz w:val="20"/>
                <w:szCs w:val="20"/>
              </w:rPr>
            </w:pPr>
            <w:r>
              <w:rPr>
                <w:sz w:val="20"/>
                <w:szCs w:val="20"/>
              </w:rPr>
              <w:t>$391,373</w:t>
            </w:r>
          </w:p>
        </w:tc>
        <w:tc>
          <w:tcPr>
            <w:tcW w:w="707" w:type="dxa"/>
            <w:tcBorders>
              <w:top w:val="single" w:sz="4" w:space="0" w:color="auto"/>
              <w:left w:val="single" w:sz="4" w:space="0" w:color="auto"/>
              <w:bottom w:val="single" w:sz="4" w:space="0" w:color="auto"/>
              <w:right w:val="single" w:sz="4" w:space="0" w:color="auto"/>
            </w:tcBorders>
            <w:hideMark/>
          </w:tcPr>
          <w:p w14:paraId="6479BD8B" w14:textId="77777777" w:rsidR="00280C07" w:rsidRDefault="00280C07" w:rsidP="00192530">
            <w:pPr>
              <w:rPr>
                <w:sz w:val="20"/>
                <w:szCs w:val="20"/>
              </w:rPr>
            </w:pPr>
            <w:r>
              <w:rPr>
                <w:rFonts w:cstheme="minorHAnsi"/>
                <w:sz w:val="20"/>
                <w:szCs w:val="20"/>
                <w:lang w:eastAsia="en-AU"/>
              </w:rPr>
              <w:t>84</w:t>
            </w:r>
          </w:p>
        </w:tc>
        <w:tc>
          <w:tcPr>
            <w:tcW w:w="1127" w:type="dxa"/>
            <w:tcBorders>
              <w:top w:val="single" w:sz="4" w:space="0" w:color="auto"/>
              <w:left w:val="single" w:sz="4" w:space="0" w:color="auto"/>
              <w:bottom w:val="single" w:sz="4" w:space="0" w:color="auto"/>
              <w:right w:val="single" w:sz="4" w:space="0" w:color="auto"/>
            </w:tcBorders>
            <w:hideMark/>
          </w:tcPr>
          <w:p w14:paraId="2D696E57" w14:textId="77777777" w:rsidR="00280C07" w:rsidRDefault="00280C07" w:rsidP="00192530">
            <w:pPr>
              <w:rPr>
                <w:sz w:val="20"/>
                <w:szCs w:val="20"/>
              </w:rPr>
            </w:pPr>
            <w:r>
              <w:rPr>
                <w:sz w:val="20"/>
                <w:szCs w:val="20"/>
              </w:rPr>
              <w:t>$1,067,531</w:t>
            </w:r>
          </w:p>
        </w:tc>
        <w:tc>
          <w:tcPr>
            <w:tcW w:w="707" w:type="dxa"/>
            <w:tcBorders>
              <w:top w:val="single" w:sz="4" w:space="0" w:color="auto"/>
              <w:left w:val="single" w:sz="4" w:space="0" w:color="auto"/>
              <w:bottom w:val="single" w:sz="4" w:space="0" w:color="auto"/>
              <w:right w:val="single" w:sz="4" w:space="0" w:color="auto"/>
            </w:tcBorders>
            <w:hideMark/>
          </w:tcPr>
          <w:p w14:paraId="40BAC836" w14:textId="77777777" w:rsidR="00280C07" w:rsidRDefault="00280C07" w:rsidP="00192530">
            <w:pPr>
              <w:rPr>
                <w:sz w:val="20"/>
                <w:szCs w:val="20"/>
              </w:rPr>
            </w:pPr>
            <w:r>
              <w:rPr>
                <w:rFonts w:cstheme="minorHAnsi"/>
                <w:sz w:val="20"/>
                <w:szCs w:val="20"/>
                <w:lang w:eastAsia="en-AU"/>
              </w:rPr>
              <w:t>118</w:t>
            </w:r>
          </w:p>
        </w:tc>
        <w:tc>
          <w:tcPr>
            <w:tcW w:w="1127" w:type="dxa"/>
            <w:tcBorders>
              <w:top w:val="single" w:sz="4" w:space="0" w:color="auto"/>
              <w:left w:val="single" w:sz="4" w:space="0" w:color="auto"/>
              <w:bottom w:val="single" w:sz="4" w:space="0" w:color="auto"/>
              <w:right w:val="single" w:sz="4" w:space="0" w:color="auto"/>
            </w:tcBorders>
            <w:hideMark/>
          </w:tcPr>
          <w:p w14:paraId="589F99D4" w14:textId="77777777" w:rsidR="00280C07" w:rsidRDefault="00280C07" w:rsidP="00192530">
            <w:pPr>
              <w:rPr>
                <w:sz w:val="20"/>
                <w:szCs w:val="20"/>
              </w:rPr>
            </w:pPr>
            <w:r>
              <w:rPr>
                <w:sz w:val="20"/>
                <w:szCs w:val="20"/>
              </w:rPr>
              <w:t>$3,216,249</w:t>
            </w:r>
          </w:p>
        </w:tc>
        <w:tc>
          <w:tcPr>
            <w:tcW w:w="707" w:type="dxa"/>
            <w:tcBorders>
              <w:top w:val="single" w:sz="4" w:space="0" w:color="auto"/>
              <w:left w:val="single" w:sz="4" w:space="0" w:color="auto"/>
              <w:bottom w:val="single" w:sz="4" w:space="0" w:color="auto"/>
              <w:right w:val="single" w:sz="4" w:space="0" w:color="auto"/>
            </w:tcBorders>
            <w:hideMark/>
          </w:tcPr>
          <w:p w14:paraId="7DDD4E87" w14:textId="77777777" w:rsidR="00280C07" w:rsidRDefault="00280C07" w:rsidP="00192530">
            <w:pPr>
              <w:rPr>
                <w:sz w:val="20"/>
                <w:szCs w:val="20"/>
              </w:rPr>
            </w:pPr>
            <w:r>
              <w:rPr>
                <w:rFonts w:cstheme="minorHAnsi"/>
                <w:sz w:val="20"/>
                <w:szCs w:val="20"/>
                <w:lang w:eastAsia="en-AU"/>
              </w:rPr>
              <w:t>131</w:t>
            </w:r>
          </w:p>
        </w:tc>
      </w:tr>
    </w:tbl>
    <w:p w14:paraId="491B340C" w14:textId="77777777" w:rsidR="00280C07" w:rsidRPr="00D054AA" w:rsidRDefault="00280C07" w:rsidP="00280C07">
      <w:pPr>
        <w:pStyle w:val="ListParagraph"/>
        <w:ind w:left="360"/>
        <w:rPr>
          <w:rFonts w:ascii="Calibri" w:hAnsi="Calibri" w:cs="Calibri"/>
          <w:sz w:val="16"/>
          <w:szCs w:val="16"/>
        </w:rPr>
      </w:pPr>
      <w:r w:rsidRPr="00D054AA">
        <w:rPr>
          <w:sz w:val="16"/>
          <w:szCs w:val="16"/>
        </w:rPr>
        <w:t>Source: The Copyright Agency Ltd</w:t>
      </w:r>
    </w:p>
    <w:p w14:paraId="720E87C8" w14:textId="77777777" w:rsidR="004B3E31" w:rsidRPr="00383183" w:rsidRDefault="004B3E31" w:rsidP="004B3E31">
      <w:pPr>
        <w:pStyle w:val="ListParagraph"/>
        <w:ind w:left="360"/>
        <w:rPr>
          <w:sz w:val="24"/>
          <w:szCs w:val="24"/>
        </w:rPr>
      </w:pPr>
    </w:p>
    <w:p w14:paraId="327BEA3C" w14:textId="28A8E302" w:rsidR="004B3E31" w:rsidRDefault="004B3E31" w:rsidP="00206944">
      <w:pPr>
        <w:pStyle w:val="ListParagraph"/>
        <w:numPr>
          <w:ilvl w:val="0"/>
          <w:numId w:val="1"/>
        </w:numPr>
        <w:ind w:left="567" w:hanging="567"/>
      </w:pPr>
      <w:r>
        <w:rPr>
          <w:color w:val="000000"/>
          <w:sz w:val="24"/>
          <w:szCs w:val="24"/>
        </w:rPr>
        <w:t xml:space="preserve">There will be a small additional administrative cost on art market professionals, mostly </w:t>
      </w:r>
      <w:r w:rsidRPr="00206944">
        <w:rPr>
          <w:sz w:val="24"/>
          <w:szCs w:val="24"/>
        </w:rPr>
        <w:t>auction</w:t>
      </w:r>
      <w:r>
        <w:rPr>
          <w:color w:val="000000"/>
          <w:sz w:val="24"/>
          <w:szCs w:val="24"/>
        </w:rPr>
        <w:t xml:space="preserve"> houses. These entities already have an obligation under the </w:t>
      </w:r>
      <w:r>
        <w:rPr>
          <w:i/>
          <w:iCs/>
          <w:sz w:val="24"/>
          <w:szCs w:val="24"/>
        </w:rPr>
        <w:t xml:space="preserve">Resale Royalty Right for Visual Artists Act 2009 </w:t>
      </w:r>
      <w:r>
        <w:rPr>
          <w:sz w:val="24"/>
          <w:szCs w:val="24"/>
        </w:rPr>
        <w:t>to report all resales over A$1,000, so the reciprocal arrangement will not change this administrative cost. However, t</w:t>
      </w:r>
      <w:r>
        <w:rPr>
          <w:color w:val="000000"/>
          <w:sz w:val="24"/>
          <w:szCs w:val="24"/>
        </w:rPr>
        <w:t>here will be additional administration in relation to collecting and remitting royalties from resales of works by UK artists. These organisations have already built the necessary processes into their systems for the purposes of the ARR. According to the Copyright Agency Ltd, between 2007 and 2011 there were 16 sales of work</w:t>
      </w:r>
      <w:r w:rsidR="008F6B2D">
        <w:rPr>
          <w:color w:val="000000"/>
          <w:sz w:val="24"/>
          <w:szCs w:val="24"/>
        </w:rPr>
        <w:t>s</w:t>
      </w:r>
      <w:r>
        <w:rPr>
          <w:color w:val="000000"/>
          <w:sz w:val="24"/>
          <w:szCs w:val="24"/>
        </w:rPr>
        <w:t xml:space="preserve"> by UK artists in Australia, meaning the impact of this change is expected to be small. </w:t>
      </w:r>
    </w:p>
    <w:p w14:paraId="56D5CCE6" w14:textId="77777777" w:rsidR="004B3E31" w:rsidRPr="00383183" w:rsidRDefault="004B3E31" w:rsidP="004B3E31">
      <w:pPr>
        <w:pStyle w:val="ListParagraph"/>
        <w:ind w:left="360"/>
        <w:rPr>
          <w:sz w:val="24"/>
          <w:szCs w:val="24"/>
        </w:rPr>
      </w:pPr>
    </w:p>
    <w:p w14:paraId="632269DF" w14:textId="6CC33F23" w:rsidR="004B3E31" w:rsidRPr="00383183" w:rsidRDefault="004B3E31" w:rsidP="00206944">
      <w:pPr>
        <w:pStyle w:val="ListParagraph"/>
        <w:numPr>
          <w:ilvl w:val="0"/>
          <w:numId w:val="1"/>
        </w:numPr>
        <w:ind w:left="567" w:hanging="567"/>
        <w:rPr>
          <w:sz w:val="24"/>
          <w:szCs w:val="24"/>
        </w:rPr>
      </w:pPr>
      <w:r w:rsidRPr="00383183">
        <w:rPr>
          <w:sz w:val="24"/>
          <w:szCs w:val="24"/>
        </w:rPr>
        <w:lastRenderedPageBreak/>
        <w:t>The details of the reciprocal arrangement will be determined in consultation with key stakeholders</w:t>
      </w:r>
      <w:r w:rsidR="008F6B2D">
        <w:rPr>
          <w:sz w:val="24"/>
          <w:szCs w:val="24"/>
        </w:rPr>
        <w:t>.</w:t>
      </w:r>
      <w:r w:rsidRPr="00383183">
        <w:rPr>
          <w:sz w:val="24"/>
          <w:szCs w:val="24"/>
        </w:rPr>
        <w:t xml:space="preserve"> </w:t>
      </w:r>
      <w:r w:rsidR="008F6B2D">
        <w:rPr>
          <w:sz w:val="24"/>
          <w:szCs w:val="24"/>
        </w:rPr>
        <w:t>A</w:t>
      </w:r>
      <w:r w:rsidRPr="00383183">
        <w:rPr>
          <w:sz w:val="24"/>
          <w:szCs w:val="24"/>
        </w:rPr>
        <w:t xml:space="preserve">mendments to the </w:t>
      </w:r>
      <w:r w:rsidRPr="00383183">
        <w:rPr>
          <w:i/>
          <w:iCs/>
          <w:sz w:val="24"/>
          <w:szCs w:val="24"/>
        </w:rPr>
        <w:t>Resale Royalty Right for Visual Artists Act 2009</w:t>
      </w:r>
      <w:r w:rsidRPr="00383183">
        <w:rPr>
          <w:sz w:val="24"/>
          <w:szCs w:val="24"/>
        </w:rPr>
        <w:t xml:space="preserve"> and/or </w:t>
      </w:r>
      <w:r w:rsidRPr="00383183">
        <w:rPr>
          <w:i/>
          <w:iCs/>
          <w:sz w:val="24"/>
          <w:szCs w:val="24"/>
        </w:rPr>
        <w:t>Resale Royalty Right for Visual Artists Regulations 2021</w:t>
      </w:r>
      <w:r w:rsidRPr="00383183">
        <w:rPr>
          <w:sz w:val="24"/>
          <w:szCs w:val="24"/>
        </w:rPr>
        <w:t xml:space="preserve"> will be needed to implement the arrangement.</w:t>
      </w:r>
    </w:p>
    <w:p w14:paraId="3A447371" w14:textId="77777777" w:rsidR="004B3E31" w:rsidRPr="00383183" w:rsidRDefault="004B3E31" w:rsidP="004B3E31">
      <w:pPr>
        <w:pStyle w:val="ListParagraph"/>
        <w:ind w:left="360"/>
        <w:rPr>
          <w:sz w:val="24"/>
          <w:szCs w:val="24"/>
        </w:rPr>
      </w:pPr>
    </w:p>
    <w:p w14:paraId="6F0D9150" w14:textId="77777777" w:rsidR="004B3E31" w:rsidRDefault="004B3E31" w:rsidP="00206944">
      <w:pPr>
        <w:pStyle w:val="ListParagraph"/>
        <w:numPr>
          <w:ilvl w:val="0"/>
          <w:numId w:val="1"/>
        </w:numPr>
        <w:ind w:left="567" w:hanging="567"/>
        <w:rPr>
          <w:sz w:val="24"/>
          <w:szCs w:val="24"/>
        </w:rPr>
      </w:pPr>
      <w:r w:rsidRPr="00383183">
        <w:rPr>
          <w:sz w:val="24"/>
          <w:szCs w:val="24"/>
        </w:rPr>
        <w:t xml:space="preserve">There is also a third commitment that will potentially result in changes to the protection of Geographical Indications (GIs) in Australia. The UK sought changes to Australia’s system of protection for GIs. Australia and the UK agreed to review the current GIs provisions in the </w:t>
      </w:r>
      <w:r>
        <w:rPr>
          <w:sz w:val="24"/>
          <w:szCs w:val="24"/>
        </w:rPr>
        <w:t xml:space="preserve">proposed </w:t>
      </w:r>
      <w:r w:rsidRPr="00383183">
        <w:rPr>
          <w:sz w:val="24"/>
          <w:szCs w:val="24"/>
        </w:rPr>
        <w:t>AU-UK</w:t>
      </w:r>
      <w:r>
        <w:rPr>
          <w:sz w:val="24"/>
          <w:szCs w:val="24"/>
        </w:rPr>
        <w:t xml:space="preserve"> </w:t>
      </w:r>
      <w:r w:rsidRPr="00383183">
        <w:rPr>
          <w:sz w:val="24"/>
          <w:szCs w:val="24"/>
        </w:rPr>
        <w:t xml:space="preserve">FTA if Australia makes changes to the GIs system following an international agreement with a third party. </w:t>
      </w:r>
    </w:p>
    <w:p w14:paraId="768C8D0A" w14:textId="77777777" w:rsidR="004B3E31" w:rsidRPr="0083201A" w:rsidRDefault="004B3E31" w:rsidP="004B3E31">
      <w:pPr>
        <w:pStyle w:val="ListParagraph"/>
        <w:rPr>
          <w:sz w:val="24"/>
          <w:szCs w:val="24"/>
        </w:rPr>
      </w:pPr>
    </w:p>
    <w:p w14:paraId="090BB6E4" w14:textId="77777777" w:rsidR="004B3E31" w:rsidRPr="0083201A" w:rsidRDefault="004B3E31" w:rsidP="00206944">
      <w:pPr>
        <w:pStyle w:val="ListParagraph"/>
        <w:numPr>
          <w:ilvl w:val="0"/>
          <w:numId w:val="1"/>
        </w:numPr>
        <w:ind w:left="567" w:hanging="567"/>
        <w:rPr>
          <w:sz w:val="24"/>
          <w:szCs w:val="24"/>
        </w:rPr>
      </w:pPr>
      <w:r w:rsidRPr="00383183">
        <w:rPr>
          <w:sz w:val="24"/>
          <w:szCs w:val="24"/>
        </w:rPr>
        <w:t xml:space="preserve">This is intended to allow the UK the same treatment on GIs as the third party. If no such changes to Australia’s GIs system are introduced within two years after entry into force of the </w:t>
      </w:r>
      <w:r>
        <w:rPr>
          <w:sz w:val="24"/>
          <w:szCs w:val="24"/>
        </w:rPr>
        <w:t xml:space="preserve">proposed </w:t>
      </w:r>
      <w:r w:rsidRPr="00383183">
        <w:rPr>
          <w:sz w:val="24"/>
          <w:szCs w:val="24"/>
        </w:rPr>
        <w:t>AU-UK</w:t>
      </w:r>
      <w:r>
        <w:rPr>
          <w:sz w:val="24"/>
          <w:szCs w:val="24"/>
        </w:rPr>
        <w:t xml:space="preserve"> </w:t>
      </w:r>
      <w:r w:rsidRPr="00383183">
        <w:rPr>
          <w:sz w:val="24"/>
          <w:szCs w:val="24"/>
        </w:rPr>
        <w:t xml:space="preserve">FTA, the GIs provisions in the agreement will be reviewed by Australia and the UK. Any new GIs system that would require changes to relevant IP legislation would be assessed through the normal parliamentary processes. </w:t>
      </w:r>
    </w:p>
    <w:p w14:paraId="17197092" w14:textId="77777777" w:rsidR="007C3278" w:rsidRDefault="007C3278" w:rsidP="00826464">
      <w:pPr>
        <w:rPr>
          <w:b/>
          <w:bCs/>
          <w:i/>
          <w:iCs/>
          <w:sz w:val="24"/>
          <w:szCs w:val="24"/>
        </w:rPr>
      </w:pPr>
    </w:p>
    <w:p w14:paraId="283677D0" w14:textId="39CE4C5C" w:rsidR="00826464" w:rsidRDefault="00904734" w:rsidP="00904734">
      <w:pPr>
        <w:pStyle w:val="Heading2"/>
      </w:pPr>
      <w:bookmarkStart w:id="60" w:name="_Toc88748504"/>
      <w:r>
        <w:t xml:space="preserve">The impact of </w:t>
      </w:r>
      <w:r w:rsidR="003E5450">
        <w:t xml:space="preserve">key </w:t>
      </w:r>
      <w:r>
        <w:t>g</w:t>
      </w:r>
      <w:r w:rsidR="00826464" w:rsidRPr="00CD5815">
        <w:t>overnment procurement</w:t>
      </w:r>
      <w:r>
        <w:t xml:space="preserve"> outcomes</w:t>
      </w:r>
      <w:bookmarkEnd w:id="60"/>
    </w:p>
    <w:p w14:paraId="375759B5" w14:textId="77777777" w:rsidR="00904734" w:rsidRPr="00CD5815" w:rsidRDefault="00904734" w:rsidP="00826464">
      <w:pPr>
        <w:rPr>
          <w:b/>
          <w:bCs/>
          <w:i/>
          <w:iCs/>
          <w:sz w:val="24"/>
          <w:szCs w:val="24"/>
        </w:rPr>
      </w:pPr>
    </w:p>
    <w:p w14:paraId="4C9F1EC2" w14:textId="25DD86B6" w:rsidR="00826464" w:rsidRDefault="00826464" w:rsidP="00206944">
      <w:pPr>
        <w:pStyle w:val="ListParagraph"/>
        <w:numPr>
          <w:ilvl w:val="0"/>
          <w:numId w:val="1"/>
        </w:numPr>
        <w:ind w:left="567" w:hanging="567"/>
        <w:rPr>
          <w:sz w:val="24"/>
          <w:szCs w:val="24"/>
        </w:rPr>
      </w:pPr>
      <w:r w:rsidRPr="00CD5815">
        <w:rPr>
          <w:sz w:val="24"/>
          <w:szCs w:val="24"/>
        </w:rPr>
        <w:t xml:space="preserve">The </w:t>
      </w:r>
      <w:r>
        <w:rPr>
          <w:sz w:val="24"/>
          <w:szCs w:val="24"/>
        </w:rPr>
        <w:t xml:space="preserve">proposed </w:t>
      </w:r>
      <w:r w:rsidR="007C3278">
        <w:rPr>
          <w:sz w:val="24"/>
          <w:szCs w:val="24"/>
        </w:rPr>
        <w:t xml:space="preserve">AU-UK </w:t>
      </w:r>
      <w:r w:rsidRPr="00CD5815">
        <w:rPr>
          <w:sz w:val="24"/>
          <w:szCs w:val="24"/>
        </w:rPr>
        <w:t>FTA provide</w:t>
      </w:r>
      <w:r>
        <w:rPr>
          <w:sz w:val="24"/>
          <w:szCs w:val="24"/>
        </w:rPr>
        <w:t>s</w:t>
      </w:r>
      <w:r w:rsidRPr="00CD5815">
        <w:rPr>
          <w:sz w:val="24"/>
          <w:szCs w:val="24"/>
        </w:rPr>
        <w:t xml:space="preserve"> legally binding rules and access for Australian goods, </w:t>
      </w:r>
      <w:proofErr w:type="gramStart"/>
      <w:r w:rsidRPr="00CD5815">
        <w:rPr>
          <w:sz w:val="24"/>
          <w:szCs w:val="24"/>
        </w:rPr>
        <w:t>services</w:t>
      </w:r>
      <w:proofErr w:type="gramEnd"/>
      <w:r w:rsidRPr="00CD5815">
        <w:rPr>
          <w:sz w:val="24"/>
          <w:szCs w:val="24"/>
        </w:rPr>
        <w:t xml:space="preserve"> and construction suppliers of all sizes – including SMEs and Indigenous-owned businesses – to the government procurement market of the UK, worth an estimated half-a-trillion dollars annually. </w:t>
      </w:r>
    </w:p>
    <w:p w14:paraId="0F6BDB29" w14:textId="77777777" w:rsidR="00826464" w:rsidRDefault="00826464" w:rsidP="00826464">
      <w:pPr>
        <w:pStyle w:val="ListParagraph"/>
        <w:ind w:left="360"/>
        <w:rPr>
          <w:sz w:val="24"/>
          <w:szCs w:val="24"/>
        </w:rPr>
      </w:pPr>
    </w:p>
    <w:p w14:paraId="37C36FD7" w14:textId="6FEB37D7" w:rsidR="00826464" w:rsidRPr="00CD5815" w:rsidRDefault="00987E46" w:rsidP="00206944">
      <w:pPr>
        <w:pStyle w:val="ListParagraph"/>
        <w:numPr>
          <w:ilvl w:val="0"/>
          <w:numId w:val="1"/>
        </w:numPr>
        <w:ind w:left="567" w:hanging="567"/>
        <w:rPr>
          <w:sz w:val="24"/>
          <w:szCs w:val="24"/>
        </w:rPr>
      </w:pPr>
      <w:r>
        <w:rPr>
          <w:sz w:val="24"/>
          <w:szCs w:val="24"/>
        </w:rPr>
        <w:t xml:space="preserve"> The chapter on Government Procu</w:t>
      </w:r>
      <w:r w:rsidR="00904734">
        <w:rPr>
          <w:sz w:val="24"/>
          <w:szCs w:val="24"/>
        </w:rPr>
        <w:t>r</w:t>
      </w:r>
      <w:r>
        <w:rPr>
          <w:sz w:val="24"/>
          <w:szCs w:val="24"/>
        </w:rPr>
        <w:t>ement includes</w:t>
      </w:r>
      <w:r w:rsidR="00826464">
        <w:rPr>
          <w:sz w:val="24"/>
          <w:szCs w:val="24"/>
        </w:rPr>
        <w:t xml:space="preserve"> commitments </w:t>
      </w:r>
      <w:r>
        <w:rPr>
          <w:sz w:val="24"/>
          <w:szCs w:val="24"/>
        </w:rPr>
        <w:t xml:space="preserve">that </w:t>
      </w:r>
      <w:r w:rsidR="00826464" w:rsidRPr="00CD5815">
        <w:rPr>
          <w:sz w:val="24"/>
          <w:szCs w:val="24"/>
        </w:rPr>
        <w:t>go beyond the benefits Australia already receives under its membership of the WTO Agreement on Government Procurement</w:t>
      </w:r>
      <w:r w:rsidR="00712D25">
        <w:rPr>
          <w:sz w:val="24"/>
          <w:szCs w:val="24"/>
        </w:rPr>
        <w:t xml:space="preserve"> (GPA)</w:t>
      </w:r>
      <w:r w:rsidR="00826464" w:rsidRPr="00CD5815">
        <w:rPr>
          <w:sz w:val="24"/>
          <w:szCs w:val="24"/>
        </w:rPr>
        <w:t xml:space="preserve">, creating </w:t>
      </w:r>
      <w:r w:rsidR="00826464">
        <w:rPr>
          <w:sz w:val="24"/>
          <w:szCs w:val="24"/>
        </w:rPr>
        <w:t xml:space="preserve">more </w:t>
      </w:r>
      <w:r w:rsidR="00826464" w:rsidRPr="00CD5815">
        <w:rPr>
          <w:sz w:val="24"/>
          <w:szCs w:val="24"/>
        </w:rPr>
        <w:t>opportunities for our industries to secure more contracts in the UK – which in turn will support more Australian jobs.</w:t>
      </w:r>
    </w:p>
    <w:p w14:paraId="5FA64A91" w14:textId="77777777" w:rsidR="00826464" w:rsidRPr="00CD5815" w:rsidRDefault="00826464" w:rsidP="00826464">
      <w:pPr>
        <w:pStyle w:val="ListParagraph"/>
        <w:ind w:left="360"/>
        <w:rPr>
          <w:sz w:val="24"/>
          <w:szCs w:val="24"/>
        </w:rPr>
      </w:pPr>
    </w:p>
    <w:p w14:paraId="0987971D" w14:textId="561BA37D" w:rsidR="00826464" w:rsidRDefault="00826464" w:rsidP="00206944">
      <w:pPr>
        <w:pStyle w:val="ListParagraph"/>
        <w:numPr>
          <w:ilvl w:val="0"/>
          <w:numId w:val="1"/>
        </w:numPr>
        <w:ind w:left="567" w:hanging="567"/>
        <w:rPr>
          <w:sz w:val="24"/>
          <w:szCs w:val="24"/>
        </w:rPr>
      </w:pPr>
      <w:r w:rsidRPr="00CD5815">
        <w:rPr>
          <w:sz w:val="24"/>
          <w:szCs w:val="24"/>
        </w:rPr>
        <w:t>Australian businesses will have the guaranteed right to bid for UK government procurement opportunities in a wide variety of goods and construction services, including public works concession contracts, at the national and sub-national levels. They will also have the guaranteed right to tender for a greater range of services contracts</w:t>
      </w:r>
      <w:r w:rsidR="00712D25">
        <w:rPr>
          <w:sz w:val="24"/>
          <w:szCs w:val="24"/>
        </w:rPr>
        <w:t xml:space="preserve"> than the UK currently offers under the WTO GPA.</w:t>
      </w:r>
      <w:r w:rsidRPr="00CD5815">
        <w:rPr>
          <w:sz w:val="24"/>
          <w:szCs w:val="24"/>
        </w:rPr>
        <w:t xml:space="preserve"> Some of these services will be subject to the UK’s national treatment regime, with differing monetary thresholds. </w:t>
      </w:r>
    </w:p>
    <w:p w14:paraId="31BCDF5F" w14:textId="77777777" w:rsidR="00826464" w:rsidRPr="00CD5815" w:rsidRDefault="00826464" w:rsidP="00826464">
      <w:pPr>
        <w:pStyle w:val="ListParagraph"/>
        <w:rPr>
          <w:sz w:val="24"/>
          <w:szCs w:val="24"/>
        </w:rPr>
      </w:pPr>
    </w:p>
    <w:p w14:paraId="35D1FCF4" w14:textId="37ADC1B8" w:rsidR="00826464" w:rsidRPr="00664F1D" w:rsidRDefault="00826464" w:rsidP="00206944">
      <w:pPr>
        <w:pStyle w:val="ListParagraph"/>
        <w:numPr>
          <w:ilvl w:val="0"/>
          <w:numId w:val="1"/>
        </w:numPr>
        <w:ind w:left="567" w:hanging="567"/>
        <w:rPr>
          <w:sz w:val="24"/>
          <w:szCs w:val="24"/>
        </w:rPr>
      </w:pPr>
      <w:r w:rsidRPr="00CD5815">
        <w:rPr>
          <w:sz w:val="24"/>
          <w:szCs w:val="24"/>
        </w:rPr>
        <w:t xml:space="preserve">Australia has maintained its standard exceptions in priority public policy areas, such as SME and Indigenous procurement, the protection of essential security, health and welfare </w:t>
      </w:r>
      <w:r w:rsidRPr="00664F1D">
        <w:rPr>
          <w:sz w:val="24"/>
          <w:szCs w:val="24"/>
        </w:rPr>
        <w:t>services, and other specific exceptions requested by State and Territory Governments. These exceptions are consistent with Australia’s existing trade agreements, and the commitments made will not require any substantive changes to Australia’s existing government procurement policies and systems.</w:t>
      </w:r>
    </w:p>
    <w:p w14:paraId="6A91A9DF" w14:textId="604D0634" w:rsidR="00664F1D" w:rsidRDefault="00904734" w:rsidP="00904734">
      <w:pPr>
        <w:pStyle w:val="Heading2"/>
      </w:pPr>
      <w:bookmarkStart w:id="61" w:name="_Toc88748505"/>
      <w:r>
        <w:lastRenderedPageBreak/>
        <w:t>The im</w:t>
      </w:r>
      <w:r w:rsidR="00842F7C">
        <w:t>pact o</w:t>
      </w:r>
      <w:r>
        <w:t>f</w:t>
      </w:r>
      <w:r w:rsidR="00842F7C">
        <w:t xml:space="preserve"> </w:t>
      </w:r>
      <w:r w:rsidR="003E5450">
        <w:t xml:space="preserve">key </w:t>
      </w:r>
      <w:r w:rsidR="00664F1D" w:rsidRPr="00664F1D">
        <w:t xml:space="preserve">State-owned Enterprises and Designated Monopolies (SOEs) </w:t>
      </w:r>
      <w:r>
        <w:t>outcomes</w:t>
      </w:r>
      <w:bookmarkEnd w:id="61"/>
    </w:p>
    <w:p w14:paraId="0210D531" w14:textId="77777777" w:rsidR="00904734" w:rsidRPr="00664F1D" w:rsidRDefault="00904734" w:rsidP="00664F1D">
      <w:pPr>
        <w:rPr>
          <w:b/>
          <w:bCs/>
          <w:i/>
          <w:iCs/>
          <w:sz w:val="24"/>
          <w:szCs w:val="24"/>
        </w:rPr>
      </w:pPr>
    </w:p>
    <w:p w14:paraId="712EB2EA" w14:textId="79C7EA21" w:rsidR="00664F1D" w:rsidRDefault="00664F1D" w:rsidP="00206944">
      <w:pPr>
        <w:pStyle w:val="ListParagraph"/>
        <w:numPr>
          <w:ilvl w:val="0"/>
          <w:numId w:val="1"/>
        </w:numPr>
        <w:ind w:left="567" w:hanging="567"/>
        <w:rPr>
          <w:sz w:val="24"/>
          <w:szCs w:val="24"/>
        </w:rPr>
      </w:pPr>
      <w:r w:rsidRPr="00664F1D">
        <w:rPr>
          <w:sz w:val="24"/>
          <w:szCs w:val="24"/>
        </w:rPr>
        <w:t xml:space="preserve">Australian exporters, investors and consumers will benefit from increased certainty through rules aimed at providing for open and fair competition between </w:t>
      </w:r>
      <w:r w:rsidR="00E16047" w:rsidRPr="00664F1D">
        <w:rPr>
          <w:sz w:val="24"/>
          <w:szCs w:val="24"/>
        </w:rPr>
        <w:t>commercially oriented</w:t>
      </w:r>
      <w:r w:rsidRPr="00664F1D">
        <w:rPr>
          <w:sz w:val="24"/>
          <w:szCs w:val="24"/>
        </w:rPr>
        <w:t xml:space="preserve"> SOEs and private businesses. Australia and the UK will also work together to improve rules on SOEs in global trade, including cooperating in international fora </w:t>
      </w:r>
      <w:r w:rsidR="00FF5B7D">
        <w:rPr>
          <w:sz w:val="24"/>
          <w:szCs w:val="24"/>
        </w:rPr>
        <w:t>such as</w:t>
      </w:r>
      <w:r w:rsidR="00FF5B7D" w:rsidRPr="00664F1D">
        <w:rPr>
          <w:sz w:val="24"/>
          <w:szCs w:val="24"/>
        </w:rPr>
        <w:t xml:space="preserve"> </w:t>
      </w:r>
      <w:r w:rsidRPr="00664F1D">
        <w:rPr>
          <w:sz w:val="24"/>
          <w:szCs w:val="24"/>
        </w:rPr>
        <w:t xml:space="preserve">the WTO and the OECD.  This is in recognition of the importance of the development of transparent, </w:t>
      </w:r>
      <w:proofErr w:type="gramStart"/>
      <w:r w:rsidRPr="00664F1D">
        <w:rPr>
          <w:sz w:val="24"/>
          <w:szCs w:val="24"/>
        </w:rPr>
        <w:t>robust</w:t>
      </w:r>
      <w:proofErr w:type="gramEnd"/>
      <w:r w:rsidRPr="00664F1D">
        <w:rPr>
          <w:sz w:val="24"/>
          <w:szCs w:val="24"/>
        </w:rPr>
        <w:t xml:space="preserve"> and effective international trade rules to ensure open and fair competition between state-owned and privately-owned enterprises in global trade.  </w:t>
      </w:r>
    </w:p>
    <w:p w14:paraId="50FFE7AF" w14:textId="77777777" w:rsidR="00B63D24" w:rsidRDefault="00B63D24" w:rsidP="00394820">
      <w:pPr>
        <w:pStyle w:val="ListParagraph"/>
        <w:ind w:left="360"/>
        <w:rPr>
          <w:sz w:val="24"/>
          <w:szCs w:val="24"/>
        </w:rPr>
      </w:pPr>
    </w:p>
    <w:p w14:paraId="379BAD8B" w14:textId="6872B026" w:rsidR="00F165EE" w:rsidRDefault="00B47AEF" w:rsidP="00E91F4C">
      <w:pPr>
        <w:pStyle w:val="Heading1"/>
      </w:pPr>
      <w:bookmarkStart w:id="62" w:name="_Toc88748506"/>
      <w:r>
        <w:t xml:space="preserve">WHO </w:t>
      </w:r>
      <w:r w:rsidR="007020A9">
        <w:t>DID</w:t>
      </w:r>
      <w:r>
        <w:t xml:space="preserve"> YOU CONSULT AND HOW </w:t>
      </w:r>
      <w:r w:rsidR="007020A9">
        <w:t>DID YOU INCORPORATE THEIR FEEDBACK</w:t>
      </w:r>
      <w:r>
        <w:t>?</w:t>
      </w:r>
      <w:bookmarkEnd w:id="62"/>
    </w:p>
    <w:p w14:paraId="2BC4C83E" w14:textId="77777777" w:rsidR="00E91F4C" w:rsidRPr="00E91F4C" w:rsidRDefault="00E91F4C" w:rsidP="00E91F4C">
      <w:pPr>
        <w:rPr>
          <w:sz w:val="24"/>
          <w:szCs w:val="24"/>
        </w:rPr>
      </w:pPr>
    </w:p>
    <w:p w14:paraId="4BC298C2" w14:textId="36445D5C" w:rsidR="00EC41B5" w:rsidRDefault="00EC41B5" w:rsidP="00206944">
      <w:pPr>
        <w:pStyle w:val="ListParagraph"/>
        <w:numPr>
          <w:ilvl w:val="0"/>
          <w:numId w:val="1"/>
        </w:numPr>
        <w:ind w:left="567" w:hanging="567"/>
        <w:rPr>
          <w:sz w:val="24"/>
          <w:szCs w:val="24"/>
        </w:rPr>
      </w:pPr>
      <w:r w:rsidRPr="00D33884">
        <w:rPr>
          <w:sz w:val="24"/>
          <w:szCs w:val="24"/>
        </w:rPr>
        <w:t>DFAT is committed to transparency and maintain</w:t>
      </w:r>
      <w:r w:rsidR="004A4C1B">
        <w:rPr>
          <w:sz w:val="24"/>
          <w:szCs w:val="24"/>
        </w:rPr>
        <w:t>s</w:t>
      </w:r>
      <w:r w:rsidRPr="00D33884">
        <w:rPr>
          <w:sz w:val="24"/>
          <w:szCs w:val="24"/>
        </w:rPr>
        <w:t xml:space="preserve"> a highly consultative approach throughout trade negotiations. We lead Australia’s whole-of-government negotiations and our positions rely on input provided by stakeholders. Stakeholders are invited to express their views throughout the negotiations in public meetings, industry specific consultations, or written submissions. </w:t>
      </w:r>
      <w:r w:rsidR="004E48EC">
        <w:rPr>
          <w:sz w:val="24"/>
          <w:szCs w:val="24"/>
        </w:rPr>
        <w:t>Feedback is fed directly to the leads of the relevant chapter or market access negotiation and forms part of the negotiation strategy for the Australian negotiating team.</w:t>
      </w:r>
    </w:p>
    <w:p w14:paraId="56FC1152" w14:textId="239EB394" w:rsidR="00FA3E16" w:rsidRPr="007C3278" w:rsidRDefault="00FA3E16" w:rsidP="00FA3E16">
      <w:pPr>
        <w:pStyle w:val="Heading2"/>
      </w:pPr>
      <w:bookmarkStart w:id="63" w:name="_Toc88748507"/>
      <w:r w:rsidRPr="00F80EC1">
        <w:t>The stakeholder engagement process in the AU-UK FTA negotiations</w:t>
      </w:r>
      <w:bookmarkEnd w:id="63"/>
    </w:p>
    <w:p w14:paraId="1F315E31" w14:textId="77777777" w:rsidR="00FA3E16" w:rsidRDefault="00FA3E16" w:rsidP="00FA3E16">
      <w:pPr>
        <w:pStyle w:val="ListParagraph"/>
        <w:ind w:left="360"/>
        <w:rPr>
          <w:sz w:val="24"/>
          <w:szCs w:val="24"/>
        </w:rPr>
      </w:pPr>
    </w:p>
    <w:p w14:paraId="43F74AC1" w14:textId="1D121CF8" w:rsidR="00FA3E16" w:rsidRPr="000101D2" w:rsidRDefault="00FA3E16" w:rsidP="00FA3E16">
      <w:pPr>
        <w:pStyle w:val="ListParagraph"/>
        <w:numPr>
          <w:ilvl w:val="0"/>
          <w:numId w:val="1"/>
        </w:numPr>
        <w:ind w:left="567" w:hanging="567"/>
        <w:rPr>
          <w:sz w:val="24"/>
          <w:szCs w:val="24"/>
        </w:rPr>
      </w:pPr>
      <w:bookmarkStart w:id="64" w:name="_Hlk83303858"/>
      <w:r w:rsidRPr="000101D2">
        <w:rPr>
          <w:sz w:val="24"/>
          <w:szCs w:val="24"/>
        </w:rPr>
        <w:t>At the conclusion of every negotiating round, the Australian and UK negotiating teams participate in briefings hosted by the Australia-UK and Australia-British Chambers of Commerce to discuss outcomes from the rounds, respond to questions and invite further input to the negotiation process</w:t>
      </w:r>
      <w:bookmarkEnd w:id="64"/>
      <w:r w:rsidRPr="000101D2">
        <w:rPr>
          <w:sz w:val="24"/>
          <w:szCs w:val="24"/>
        </w:rPr>
        <w:t xml:space="preserve">. </w:t>
      </w:r>
      <w:r>
        <w:rPr>
          <w:sz w:val="24"/>
          <w:szCs w:val="24"/>
        </w:rPr>
        <w:t>Some of these briefings have been held jointly</w:t>
      </w:r>
      <w:r w:rsidR="00F9488A">
        <w:rPr>
          <w:sz w:val="24"/>
          <w:szCs w:val="24"/>
        </w:rPr>
        <w:t xml:space="preserve"> with the UK</w:t>
      </w:r>
      <w:r>
        <w:rPr>
          <w:sz w:val="24"/>
          <w:szCs w:val="24"/>
        </w:rPr>
        <w:t>.</w:t>
      </w:r>
    </w:p>
    <w:p w14:paraId="00FB9680" w14:textId="77777777" w:rsidR="00FA3E16" w:rsidRPr="000101D2" w:rsidRDefault="00FA3E16" w:rsidP="00FA3E16">
      <w:pPr>
        <w:pStyle w:val="ListParagraph"/>
        <w:ind w:left="360"/>
        <w:rPr>
          <w:sz w:val="24"/>
          <w:szCs w:val="24"/>
        </w:rPr>
      </w:pPr>
    </w:p>
    <w:p w14:paraId="4EC94B72" w14:textId="2E89CC16" w:rsidR="00FA3E16" w:rsidRPr="000101D2" w:rsidRDefault="00FA3E16" w:rsidP="00FA3E16">
      <w:pPr>
        <w:pStyle w:val="ListParagraph"/>
        <w:numPr>
          <w:ilvl w:val="0"/>
          <w:numId w:val="1"/>
        </w:numPr>
        <w:ind w:left="567" w:hanging="567"/>
        <w:rPr>
          <w:sz w:val="24"/>
          <w:szCs w:val="24"/>
        </w:rPr>
      </w:pPr>
      <w:r w:rsidRPr="000101D2">
        <w:rPr>
          <w:sz w:val="24"/>
          <w:szCs w:val="24"/>
        </w:rPr>
        <w:t>The Australian negotiating team also holds stakeholder consultations at the conclusion of every round for other Australian stakeholders, including worker representatives such as trade unions and other entities</w:t>
      </w:r>
      <w:r>
        <w:rPr>
          <w:sz w:val="24"/>
          <w:szCs w:val="24"/>
        </w:rPr>
        <w:t xml:space="preserve"> such as </w:t>
      </w:r>
      <w:r w:rsidR="00F9488A">
        <w:rPr>
          <w:sz w:val="24"/>
          <w:szCs w:val="24"/>
        </w:rPr>
        <w:t>p</w:t>
      </w:r>
      <w:r>
        <w:rPr>
          <w:sz w:val="24"/>
          <w:szCs w:val="24"/>
        </w:rPr>
        <w:t xml:space="preserve">eak </w:t>
      </w:r>
      <w:r w:rsidR="00F9488A">
        <w:rPr>
          <w:sz w:val="24"/>
          <w:szCs w:val="24"/>
        </w:rPr>
        <w:t>b</w:t>
      </w:r>
      <w:r>
        <w:rPr>
          <w:sz w:val="24"/>
          <w:szCs w:val="24"/>
        </w:rPr>
        <w:t>odies</w:t>
      </w:r>
      <w:r w:rsidRPr="000101D2">
        <w:rPr>
          <w:sz w:val="24"/>
          <w:szCs w:val="24"/>
        </w:rPr>
        <w:t xml:space="preserve"> as requested. These consultations are key to nuancing our negotiating positions and making sure we are getting the right outcomes for Australians to diversify our trade and drive an export-led recovery.</w:t>
      </w:r>
    </w:p>
    <w:p w14:paraId="1B602EEE" w14:textId="77777777" w:rsidR="00FA3E16" w:rsidRPr="000101D2" w:rsidRDefault="00FA3E16" w:rsidP="00FA3E16">
      <w:pPr>
        <w:pStyle w:val="ListParagraph"/>
        <w:ind w:left="360"/>
        <w:rPr>
          <w:sz w:val="24"/>
          <w:szCs w:val="24"/>
        </w:rPr>
      </w:pPr>
    </w:p>
    <w:p w14:paraId="77BE6417" w14:textId="7E03983B" w:rsidR="00FA3E16" w:rsidRPr="00F32C76" w:rsidRDefault="00FA3E16" w:rsidP="00FA3E16">
      <w:pPr>
        <w:pStyle w:val="ListParagraph"/>
        <w:numPr>
          <w:ilvl w:val="0"/>
          <w:numId w:val="1"/>
        </w:numPr>
        <w:ind w:left="567" w:hanging="567"/>
        <w:rPr>
          <w:sz w:val="24"/>
          <w:szCs w:val="24"/>
        </w:rPr>
      </w:pPr>
      <w:bookmarkStart w:id="65" w:name="_Hlk83822458"/>
      <w:r w:rsidRPr="000101D2">
        <w:rPr>
          <w:sz w:val="24"/>
          <w:szCs w:val="24"/>
        </w:rPr>
        <w:t xml:space="preserve">The Government also convenes meetings of the Ministerial Advisory Council on </w:t>
      </w:r>
      <w:r>
        <w:rPr>
          <w:sz w:val="24"/>
          <w:szCs w:val="24"/>
        </w:rPr>
        <w:t xml:space="preserve">all </w:t>
      </w:r>
      <w:r w:rsidRPr="000101D2">
        <w:rPr>
          <w:sz w:val="24"/>
          <w:szCs w:val="24"/>
        </w:rPr>
        <w:t xml:space="preserve">Free Trade Agreement </w:t>
      </w:r>
      <w:r>
        <w:rPr>
          <w:sz w:val="24"/>
          <w:szCs w:val="24"/>
        </w:rPr>
        <w:t>n</w:t>
      </w:r>
      <w:r w:rsidRPr="000101D2">
        <w:rPr>
          <w:sz w:val="24"/>
          <w:szCs w:val="24"/>
        </w:rPr>
        <w:t>egotiations. Participants in these meetings include representatives from peak industry bodies and civil society.</w:t>
      </w:r>
      <w:r>
        <w:rPr>
          <w:sz w:val="24"/>
          <w:szCs w:val="24"/>
        </w:rPr>
        <w:t xml:space="preserve"> The AU-UK FTA has been discussed many times in this forum in the last 12 months. </w:t>
      </w:r>
      <w:bookmarkEnd w:id="65"/>
    </w:p>
    <w:p w14:paraId="517F03DD" w14:textId="10683A97" w:rsidR="00D33884" w:rsidRPr="00E91F4C" w:rsidRDefault="00E91F4C" w:rsidP="00E91F4C">
      <w:pPr>
        <w:pStyle w:val="Heading2"/>
        <w:rPr>
          <w:sz w:val="24"/>
          <w:szCs w:val="24"/>
        </w:rPr>
      </w:pPr>
      <w:bookmarkStart w:id="66" w:name="_Toc88748508"/>
      <w:r>
        <w:lastRenderedPageBreak/>
        <w:t>Business, Industry and Civil Society</w:t>
      </w:r>
      <w:bookmarkEnd w:id="66"/>
    </w:p>
    <w:p w14:paraId="781C2702" w14:textId="688DB071" w:rsidR="00D83477" w:rsidRDefault="00D33884" w:rsidP="00270F80">
      <w:pPr>
        <w:pStyle w:val="ListParagraph"/>
        <w:numPr>
          <w:ilvl w:val="0"/>
          <w:numId w:val="1"/>
        </w:numPr>
        <w:ind w:left="567" w:hanging="567"/>
        <w:rPr>
          <w:sz w:val="24"/>
          <w:szCs w:val="24"/>
        </w:rPr>
      </w:pPr>
      <w:bookmarkStart w:id="67" w:name="_Hlk83303787"/>
      <w:r w:rsidRPr="006A52ED">
        <w:rPr>
          <w:sz w:val="24"/>
          <w:szCs w:val="24"/>
        </w:rPr>
        <w:t xml:space="preserve">In the last 12 months alone, DFAT has communicated with </w:t>
      </w:r>
      <w:r w:rsidR="00FE1AE8">
        <w:rPr>
          <w:sz w:val="24"/>
          <w:szCs w:val="24"/>
        </w:rPr>
        <w:t xml:space="preserve">at least </w:t>
      </w:r>
      <w:r w:rsidR="000352F4" w:rsidRPr="006A52ED">
        <w:rPr>
          <w:sz w:val="24"/>
          <w:szCs w:val="24"/>
        </w:rPr>
        <w:t>140</w:t>
      </w:r>
      <w:r w:rsidR="002A7FA5" w:rsidRPr="006A52ED">
        <w:rPr>
          <w:sz w:val="24"/>
          <w:szCs w:val="24"/>
        </w:rPr>
        <w:t xml:space="preserve"> organisations</w:t>
      </w:r>
      <w:r w:rsidR="002A72E9">
        <w:rPr>
          <w:sz w:val="24"/>
          <w:szCs w:val="24"/>
        </w:rPr>
        <w:t xml:space="preserve"> and participated in over 250 meetings</w:t>
      </w:r>
      <w:r w:rsidR="002A7FA5" w:rsidRPr="006A52ED">
        <w:rPr>
          <w:sz w:val="24"/>
          <w:szCs w:val="24"/>
        </w:rPr>
        <w:t xml:space="preserve"> regarding the AU-UK FTA neg</w:t>
      </w:r>
      <w:r w:rsidR="002A72E9">
        <w:rPr>
          <w:sz w:val="24"/>
          <w:szCs w:val="24"/>
        </w:rPr>
        <w:t>otiations</w:t>
      </w:r>
      <w:r w:rsidR="002A7FA5" w:rsidRPr="006A52ED">
        <w:rPr>
          <w:sz w:val="24"/>
          <w:szCs w:val="24"/>
        </w:rPr>
        <w:t>.</w:t>
      </w:r>
      <w:r w:rsidR="00D83477" w:rsidRPr="006A52ED">
        <w:rPr>
          <w:sz w:val="24"/>
          <w:szCs w:val="24"/>
        </w:rPr>
        <w:t xml:space="preserve"> </w:t>
      </w:r>
      <w:bookmarkEnd w:id="67"/>
      <w:r w:rsidR="006A52ED" w:rsidRPr="006A52ED">
        <w:rPr>
          <w:sz w:val="24"/>
          <w:szCs w:val="24"/>
        </w:rPr>
        <w:t>The</w:t>
      </w:r>
      <w:r w:rsidR="002A72E9">
        <w:rPr>
          <w:sz w:val="24"/>
          <w:szCs w:val="24"/>
        </w:rPr>
        <w:t xml:space="preserve"> organisations</w:t>
      </w:r>
      <w:r w:rsidR="006A52ED" w:rsidRPr="006A52ED">
        <w:rPr>
          <w:sz w:val="24"/>
          <w:szCs w:val="24"/>
        </w:rPr>
        <w:t xml:space="preserve"> are listed in the table below</w:t>
      </w:r>
      <w:r w:rsidR="002A72E9">
        <w:rPr>
          <w:sz w:val="24"/>
          <w:szCs w:val="24"/>
        </w:rPr>
        <w:t>.</w:t>
      </w:r>
      <w:r w:rsidR="006A52ED" w:rsidRPr="006A52ED">
        <w:rPr>
          <w:sz w:val="24"/>
          <w:szCs w:val="24"/>
        </w:rPr>
        <w:t xml:space="preserve"> </w:t>
      </w:r>
      <w:r w:rsidR="002A72E9">
        <w:rPr>
          <w:sz w:val="24"/>
          <w:szCs w:val="24"/>
        </w:rPr>
        <w:t>They</w:t>
      </w:r>
      <w:r w:rsidR="006A52ED" w:rsidRPr="006A52ED">
        <w:rPr>
          <w:sz w:val="24"/>
          <w:szCs w:val="24"/>
        </w:rPr>
        <w:t xml:space="preserve"> </w:t>
      </w:r>
      <w:r w:rsidR="00D83477" w:rsidRPr="006A52ED">
        <w:rPr>
          <w:sz w:val="24"/>
          <w:szCs w:val="24"/>
        </w:rPr>
        <w:t>include private organisations, individuals, consumer groups and peak bodies</w:t>
      </w:r>
      <w:r w:rsidR="006A52ED" w:rsidRPr="006A52ED">
        <w:rPr>
          <w:sz w:val="24"/>
          <w:szCs w:val="24"/>
        </w:rPr>
        <w:t>.</w:t>
      </w:r>
      <w:r w:rsidR="000352F4" w:rsidRPr="006A52ED">
        <w:rPr>
          <w:sz w:val="24"/>
          <w:szCs w:val="24"/>
        </w:rPr>
        <w:t xml:space="preserve"> </w:t>
      </w:r>
    </w:p>
    <w:p w14:paraId="3A0A8717" w14:textId="3E62AC84" w:rsidR="006A52ED" w:rsidRDefault="006A52ED" w:rsidP="006A52ED">
      <w:pPr>
        <w:rPr>
          <w:sz w:val="24"/>
          <w:szCs w:val="24"/>
        </w:rPr>
      </w:pPr>
    </w:p>
    <w:tbl>
      <w:tblPr>
        <w:tblStyle w:val="TableGrid"/>
        <w:tblW w:w="0" w:type="auto"/>
        <w:tblInd w:w="720" w:type="dxa"/>
        <w:tblLook w:val="04A0" w:firstRow="1" w:lastRow="0" w:firstColumn="1" w:lastColumn="0" w:noHBand="0" w:noVBand="1"/>
      </w:tblPr>
      <w:tblGrid>
        <w:gridCol w:w="4211"/>
        <w:gridCol w:w="4085"/>
      </w:tblGrid>
      <w:tr w:rsidR="006A52ED" w14:paraId="04F68B5C" w14:textId="77777777" w:rsidTr="00270F80">
        <w:tc>
          <w:tcPr>
            <w:tcW w:w="4211" w:type="dxa"/>
          </w:tcPr>
          <w:p w14:paraId="75021631" w14:textId="6C91DED4" w:rsidR="006A52ED" w:rsidRPr="00052AE1" w:rsidRDefault="006A52ED" w:rsidP="00270F80">
            <w:pPr>
              <w:pStyle w:val="ListParagraph"/>
              <w:numPr>
                <w:ilvl w:val="0"/>
                <w:numId w:val="38"/>
              </w:numPr>
              <w:rPr>
                <w:sz w:val="24"/>
                <w:szCs w:val="24"/>
              </w:rPr>
            </w:pPr>
            <w:bookmarkStart w:id="68" w:name="_Hlk83815355"/>
            <w:r w:rsidRPr="00052AE1">
              <w:rPr>
                <w:sz w:val="24"/>
                <w:szCs w:val="24"/>
              </w:rPr>
              <w:t xml:space="preserve">Accolade Wines </w:t>
            </w:r>
          </w:p>
          <w:p w14:paraId="6C1A5999" w14:textId="77777777" w:rsidR="006A52ED" w:rsidRDefault="006A52ED" w:rsidP="00270F80">
            <w:pPr>
              <w:pStyle w:val="ListParagraph"/>
              <w:ind w:left="0"/>
              <w:rPr>
                <w:sz w:val="24"/>
                <w:szCs w:val="24"/>
              </w:rPr>
            </w:pPr>
          </w:p>
        </w:tc>
        <w:tc>
          <w:tcPr>
            <w:tcW w:w="4085" w:type="dxa"/>
          </w:tcPr>
          <w:p w14:paraId="49EC2FE7" w14:textId="77777777" w:rsidR="006A52ED" w:rsidRDefault="006A52ED" w:rsidP="00270F80">
            <w:pPr>
              <w:pStyle w:val="ListParagraph"/>
              <w:numPr>
                <w:ilvl w:val="0"/>
                <w:numId w:val="38"/>
              </w:numPr>
              <w:rPr>
                <w:sz w:val="24"/>
                <w:szCs w:val="24"/>
              </w:rPr>
            </w:pPr>
            <w:r w:rsidRPr="00F37FBB">
              <w:rPr>
                <w:sz w:val="24"/>
                <w:szCs w:val="24"/>
              </w:rPr>
              <w:t>Accord</w:t>
            </w:r>
          </w:p>
        </w:tc>
      </w:tr>
      <w:tr w:rsidR="006A52ED" w14:paraId="1BAE0304" w14:textId="77777777" w:rsidTr="00270F80">
        <w:tc>
          <w:tcPr>
            <w:tcW w:w="4211" w:type="dxa"/>
          </w:tcPr>
          <w:p w14:paraId="014D051E" w14:textId="636768CB" w:rsidR="006A52ED" w:rsidRPr="00052AE1" w:rsidRDefault="00CB0568" w:rsidP="00270F80">
            <w:pPr>
              <w:pStyle w:val="ListParagraph"/>
              <w:numPr>
                <w:ilvl w:val="0"/>
                <w:numId w:val="38"/>
              </w:numPr>
              <w:rPr>
                <w:sz w:val="24"/>
                <w:szCs w:val="24"/>
              </w:rPr>
            </w:pPr>
            <w:r>
              <w:rPr>
                <w:sz w:val="24"/>
                <w:szCs w:val="24"/>
              </w:rPr>
              <w:t>ANZ</w:t>
            </w:r>
          </w:p>
        </w:tc>
        <w:tc>
          <w:tcPr>
            <w:tcW w:w="4085" w:type="dxa"/>
          </w:tcPr>
          <w:p w14:paraId="02CA0853" w14:textId="2220E7C0" w:rsidR="006A52ED" w:rsidRPr="00F37FBB" w:rsidRDefault="00CB0568" w:rsidP="00270F80">
            <w:pPr>
              <w:pStyle w:val="ListParagraph"/>
              <w:numPr>
                <w:ilvl w:val="0"/>
                <w:numId w:val="38"/>
              </w:numPr>
              <w:rPr>
                <w:sz w:val="24"/>
                <w:szCs w:val="24"/>
              </w:rPr>
            </w:pPr>
            <w:r>
              <w:rPr>
                <w:sz w:val="24"/>
                <w:szCs w:val="24"/>
              </w:rPr>
              <w:t>Apple and Pear Australia</w:t>
            </w:r>
          </w:p>
        </w:tc>
      </w:tr>
      <w:tr w:rsidR="006A52ED" w14:paraId="1BDA3C76" w14:textId="77777777" w:rsidTr="00270F80">
        <w:tc>
          <w:tcPr>
            <w:tcW w:w="4211" w:type="dxa"/>
          </w:tcPr>
          <w:p w14:paraId="7DB66B87" w14:textId="7AAE52C3" w:rsidR="006A52ED" w:rsidRDefault="00CD53E0" w:rsidP="00270F80">
            <w:pPr>
              <w:pStyle w:val="ListParagraph"/>
              <w:numPr>
                <w:ilvl w:val="0"/>
                <w:numId w:val="38"/>
              </w:numPr>
              <w:rPr>
                <w:sz w:val="24"/>
                <w:szCs w:val="24"/>
              </w:rPr>
            </w:pPr>
            <w:r w:rsidRPr="00F37FBB">
              <w:rPr>
                <w:sz w:val="24"/>
                <w:szCs w:val="24"/>
              </w:rPr>
              <w:t>Architects Accreditation Council of Australia (AACA)</w:t>
            </w:r>
            <w:r w:rsidRPr="00FD32E5">
              <w:rPr>
                <w:sz w:val="24"/>
                <w:szCs w:val="24"/>
              </w:rPr>
              <w:t xml:space="preserve"> </w:t>
            </w:r>
          </w:p>
        </w:tc>
        <w:tc>
          <w:tcPr>
            <w:tcW w:w="4085" w:type="dxa"/>
          </w:tcPr>
          <w:p w14:paraId="5A481F00" w14:textId="18C5281A" w:rsidR="006A52ED" w:rsidRDefault="00CD53E0" w:rsidP="00270F80">
            <w:pPr>
              <w:pStyle w:val="ListParagraph"/>
              <w:numPr>
                <w:ilvl w:val="0"/>
                <w:numId w:val="38"/>
              </w:numPr>
              <w:rPr>
                <w:sz w:val="24"/>
                <w:szCs w:val="24"/>
              </w:rPr>
            </w:pPr>
            <w:r w:rsidRPr="0095034D">
              <w:rPr>
                <w:sz w:val="24"/>
                <w:szCs w:val="24"/>
              </w:rPr>
              <w:t>Association of Consulting Architects Australia</w:t>
            </w:r>
            <w:r w:rsidRPr="00323FD8">
              <w:rPr>
                <w:sz w:val="24"/>
                <w:szCs w:val="24"/>
              </w:rPr>
              <w:t xml:space="preserve"> </w:t>
            </w:r>
          </w:p>
        </w:tc>
      </w:tr>
      <w:tr w:rsidR="00CD53E0" w14:paraId="601C7FB3" w14:textId="77777777" w:rsidTr="00270F80">
        <w:tc>
          <w:tcPr>
            <w:tcW w:w="4211" w:type="dxa"/>
          </w:tcPr>
          <w:p w14:paraId="5B3AED9F" w14:textId="1014871C" w:rsidR="00CD53E0" w:rsidRPr="00F37FBB" w:rsidRDefault="00CD53E0" w:rsidP="00270F80">
            <w:pPr>
              <w:pStyle w:val="ListParagraph"/>
              <w:numPr>
                <w:ilvl w:val="0"/>
                <w:numId w:val="38"/>
              </w:numPr>
              <w:rPr>
                <w:sz w:val="24"/>
                <w:szCs w:val="24"/>
              </w:rPr>
            </w:pPr>
            <w:r w:rsidRPr="00444EC4">
              <w:rPr>
                <w:sz w:val="24"/>
                <w:szCs w:val="24"/>
              </w:rPr>
              <w:t>Association of International Seafood Professionals</w:t>
            </w:r>
          </w:p>
        </w:tc>
        <w:tc>
          <w:tcPr>
            <w:tcW w:w="4085" w:type="dxa"/>
          </w:tcPr>
          <w:p w14:paraId="7EBAD223" w14:textId="30972E63" w:rsidR="00CD53E0" w:rsidRPr="0095034D" w:rsidRDefault="00CD53E0" w:rsidP="00270F80">
            <w:pPr>
              <w:pStyle w:val="ListParagraph"/>
              <w:numPr>
                <w:ilvl w:val="0"/>
                <w:numId w:val="38"/>
              </w:numPr>
              <w:rPr>
                <w:sz w:val="24"/>
                <w:szCs w:val="24"/>
              </w:rPr>
            </w:pPr>
            <w:r w:rsidRPr="004153A4">
              <w:rPr>
                <w:sz w:val="24"/>
                <w:szCs w:val="24"/>
              </w:rPr>
              <w:t>Australian Aluminium Council</w:t>
            </w:r>
          </w:p>
        </w:tc>
      </w:tr>
      <w:tr w:rsidR="006A52ED" w14:paraId="10F8F95F" w14:textId="77777777" w:rsidTr="00270F80">
        <w:tc>
          <w:tcPr>
            <w:tcW w:w="4211" w:type="dxa"/>
          </w:tcPr>
          <w:p w14:paraId="1E4E3F34" w14:textId="55E43F6C" w:rsidR="006A52ED" w:rsidRPr="00F37FBB" w:rsidRDefault="00CD53E0" w:rsidP="00270F80">
            <w:pPr>
              <w:pStyle w:val="ListParagraph"/>
              <w:numPr>
                <w:ilvl w:val="0"/>
                <w:numId w:val="38"/>
              </w:numPr>
              <w:rPr>
                <w:sz w:val="24"/>
                <w:szCs w:val="24"/>
              </w:rPr>
            </w:pPr>
            <w:r w:rsidRPr="00323FD8">
              <w:rPr>
                <w:sz w:val="24"/>
                <w:szCs w:val="24"/>
              </w:rPr>
              <w:t>Australian Automotive Aftermarket Association</w:t>
            </w:r>
            <w:r w:rsidRPr="00FD32E5">
              <w:rPr>
                <w:sz w:val="24"/>
                <w:szCs w:val="24"/>
              </w:rPr>
              <w:t xml:space="preserve"> </w:t>
            </w:r>
          </w:p>
        </w:tc>
        <w:tc>
          <w:tcPr>
            <w:tcW w:w="4085" w:type="dxa"/>
          </w:tcPr>
          <w:p w14:paraId="3ADB7A8B" w14:textId="7C214B17" w:rsidR="006A52ED" w:rsidRDefault="00CD53E0" w:rsidP="00270F80">
            <w:pPr>
              <w:pStyle w:val="ListParagraph"/>
              <w:numPr>
                <w:ilvl w:val="0"/>
                <w:numId w:val="38"/>
              </w:numPr>
              <w:rPr>
                <w:sz w:val="24"/>
                <w:szCs w:val="24"/>
              </w:rPr>
            </w:pPr>
            <w:r w:rsidRPr="00FD32E5">
              <w:rPr>
                <w:sz w:val="24"/>
                <w:szCs w:val="24"/>
              </w:rPr>
              <w:t>Australia Chamber of Commerce and Industry (ACCI)</w:t>
            </w:r>
            <w:r>
              <w:rPr>
                <w:sz w:val="24"/>
                <w:szCs w:val="24"/>
              </w:rPr>
              <w:t xml:space="preserve"> </w:t>
            </w:r>
          </w:p>
        </w:tc>
      </w:tr>
      <w:tr w:rsidR="00CD53E0" w14:paraId="06308490" w14:textId="77777777" w:rsidTr="00270F80">
        <w:tc>
          <w:tcPr>
            <w:tcW w:w="4211" w:type="dxa"/>
          </w:tcPr>
          <w:p w14:paraId="0CE82DA0" w14:textId="6E816E61" w:rsidR="00CD53E0" w:rsidRPr="00323FD8" w:rsidRDefault="00CD53E0" w:rsidP="00270F80">
            <w:pPr>
              <w:pStyle w:val="ListParagraph"/>
              <w:numPr>
                <w:ilvl w:val="0"/>
                <w:numId w:val="38"/>
              </w:numPr>
              <w:rPr>
                <w:sz w:val="24"/>
                <w:szCs w:val="24"/>
              </w:rPr>
            </w:pPr>
            <w:r w:rsidRPr="00444EC4">
              <w:rPr>
                <w:sz w:val="24"/>
                <w:szCs w:val="24"/>
              </w:rPr>
              <w:t>Australian Banking Association</w:t>
            </w:r>
          </w:p>
        </w:tc>
        <w:tc>
          <w:tcPr>
            <w:tcW w:w="4085" w:type="dxa"/>
          </w:tcPr>
          <w:p w14:paraId="422AFCC9" w14:textId="32802278" w:rsidR="00CD53E0" w:rsidRPr="00FD32E5" w:rsidRDefault="00CD53E0" w:rsidP="00270F80">
            <w:pPr>
              <w:pStyle w:val="ListParagraph"/>
              <w:numPr>
                <w:ilvl w:val="0"/>
                <w:numId w:val="38"/>
              </w:numPr>
              <w:rPr>
                <w:sz w:val="24"/>
                <w:szCs w:val="24"/>
              </w:rPr>
            </w:pPr>
            <w:r w:rsidRPr="004153A4">
              <w:rPr>
                <w:sz w:val="24"/>
                <w:szCs w:val="24"/>
              </w:rPr>
              <w:t>Australian Beverages Council</w:t>
            </w:r>
          </w:p>
        </w:tc>
      </w:tr>
      <w:tr w:rsidR="00CD53E0" w14:paraId="37DE09F9" w14:textId="77777777" w:rsidTr="00270F80">
        <w:tc>
          <w:tcPr>
            <w:tcW w:w="4211" w:type="dxa"/>
          </w:tcPr>
          <w:p w14:paraId="04ADB04B" w14:textId="2A859886" w:rsidR="00CD53E0" w:rsidRPr="00444EC4" w:rsidRDefault="00CD53E0" w:rsidP="00270F80">
            <w:pPr>
              <w:pStyle w:val="ListParagraph"/>
              <w:numPr>
                <w:ilvl w:val="0"/>
                <w:numId w:val="38"/>
              </w:numPr>
              <w:rPr>
                <w:sz w:val="24"/>
                <w:szCs w:val="24"/>
              </w:rPr>
            </w:pPr>
            <w:r w:rsidRPr="00444EC4">
              <w:rPr>
                <w:sz w:val="24"/>
                <w:szCs w:val="24"/>
              </w:rPr>
              <w:t>Australian British Chamber of Commerce</w:t>
            </w:r>
          </w:p>
        </w:tc>
        <w:tc>
          <w:tcPr>
            <w:tcW w:w="4085" w:type="dxa"/>
          </w:tcPr>
          <w:p w14:paraId="1650E140" w14:textId="622E74D2" w:rsidR="00CD53E0" w:rsidRPr="004153A4" w:rsidRDefault="00CD53E0" w:rsidP="00270F80">
            <w:pPr>
              <w:pStyle w:val="ListParagraph"/>
              <w:numPr>
                <w:ilvl w:val="0"/>
                <w:numId w:val="38"/>
              </w:numPr>
              <w:rPr>
                <w:sz w:val="24"/>
                <w:szCs w:val="24"/>
              </w:rPr>
            </w:pPr>
            <w:r w:rsidRPr="007F74CD">
              <w:rPr>
                <w:sz w:val="24"/>
                <w:szCs w:val="24"/>
              </w:rPr>
              <w:t>Australian Council of Professions</w:t>
            </w:r>
          </w:p>
        </w:tc>
      </w:tr>
      <w:tr w:rsidR="00CD53E0" w14:paraId="60076D47" w14:textId="77777777" w:rsidTr="00270F80">
        <w:tc>
          <w:tcPr>
            <w:tcW w:w="4211" w:type="dxa"/>
          </w:tcPr>
          <w:p w14:paraId="40C3EDE8" w14:textId="0B9159CB" w:rsidR="00CD53E0" w:rsidRPr="00FD32E5" w:rsidRDefault="00CD53E0" w:rsidP="00270F80">
            <w:pPr>
              <w:pStyle w:val="ListParagraph"/>
              <w:numPr>
                <w:ilvl w:val="0"/>
                <w:numId w:val="38"/>
              </w:numPr>
              <w:rPr>
                <w:sz w:val="24"/>
                <w:szCs w:val="24"/>
              </w:rPr>
            </w:pPr>
            <w:r w:rsidRPr="008B0390">
              <w:rPr>
                <w:sz w:val="24"/>
                <w:szCs w:val="24"/>
              </w:rPr>
              <w:t>Australian Council of Wool Exporters</w:t>
            </w:r>
            <w:r w:rsidRPr="007F74CD">
              <w:rPr>
                <w:sz w:val="24"/>
                <w:szCs w:val="24"/>
              </w:rPr>
              <w:t xml:space="preserve"> </w:t>
            </w:r>
          </w:p>
        </w:tc>
        <w:tc>
          <w:tcPr>
            <w:tcW w:w="4085" w:type="dxa"/>
          </w:tcPr>
          <w:p w14:paraId="378AB9D2" w14:textId="572FFA19" w:rsidR="00CD53E0" w:rsidRPr="007F74CD" w:rsidRDefault="00CD53E0" w:rsidP="00270F80">
            <w:pPr>
              <w:pStyle w:val="ListParagraph"/>
              <w:numPr>
                <w:ilvl w:val="0"/>
                <w:numId w:val="38"/>
              </w:numPr>
              <w:rPr>
                <w:sz w:val="24"/>
                <w:szCs w:val="24"/>
              </w:rPr>
            </w:pPr>
            <w:r w:rsidRPr="00444EC4">
              <w:rPr>
                <w:sz w:val="24"/>
                <w:szCs w:val="24"/>
              </w:rPr>
              <w:t>Australian Digital Alliance</w:t>
            </w:r>
          </w:p>
        </w:tc>
      </w:tr>
      <w:tr w:rsidR="00CD53E0" w14:paraId="1AA78107" w14:textId="77777777" w:rsidTr="00270F80">
        <w:tc>
          <w:tcPr>
            <w:tcW w:w="4211" w:type="dxa"/>
          </w:tcPr>
          <w:p w14:paraId="1D3F8A57" w14:textId="3557D133" w:rsidR="00CD53E0" w:rsidRPr="008B0390" w:rsidRDefault="00CD53E0" w:rsidP="00270F80">
            <w:pPr>
              <w:pStyle w:val="ListParagraph"/>
              <w:numPr>
                <w:ilvl w:val="0"/>
                <w:numId w:val="38"/>
              </w:numPr>
              <w:rPr>
                <w:sz w:val="24"/>
                <w:szCs w:val="24"/>
              </w:rPr>
            </w:pPr>
            <w:r>
              <w:rPr>
                <w:sz w:val="24"/>
                <w:szCs w:val="24"/>
              </w:rPr>
              <w:t>Australian Distillers Association</w:t>
            </w:r>
          </w:p>
        </w:tc>
        <w:tc>
          <w:tcPr>
            <w:tcW w:w="4085" w:type="dxa"/>
          </w:tcPr>
          <w:p w14:paraId="29AADB30" w14:textId="68C0CB4C" w:rsidR="00CD53E0" w:rsidRDefault="00CD53E0" w:rsidP="00270F80">
            <w:pPr>
              <w:pStyle w:val="ListParagraph"/>
              <w:numPr>
                <w:ilvl w:val="0"/>
                <w:numId w:val="38"/>
              </w:numPr>
              <w:rPr>
                <w:sz w:val="24"/>
                <w:szCs w:val="24"/>
              </w:rPr>
            </w:pPr>
            <w:r w:rsidRPr="00E479D4">
              <w:rPr>
                <w:sz w:val="24"/>
                <w:szCs w:val="24"/>
              </w:rPr>
              <w:t>Australian Fair Trade and Investment Network (AFTINET)</w:t>
            </w:r>
          </w:p>
        </w:tc>
      </w:tr>
      <w:tr w:rsidR="00CD53E0" w14:paraId="77022C29" w14:textId="77777777" w:rsidTr="00270F80">
        <w:tc>
          <w:tcPr>
            <w:tcW w:w="4211" w:type="dxa"/>
          </w:tcPr>
          <w:p w14:paraId="11882738" w14:textId="46304939" w:rsidR="00CD53E0" w:rsidRDefault="00CD53E0" w:rsidP="00270F80">
            <w:pPr>
              <w:pStyle w:val="ListParagraph"/>
              <w:numPr>
                <w:ilvl w:val="0"/>
                <w:numId w:val="38"/>
              </w:numPr>
              <w:rPr>
                <w:sz w:val="24"/>
                <w:szCs w:val="24"/>
              </w:rPr>
            </w:pPr>
            <w:r w:rsidRPr="00323FD8">
              <w:rPr>
                <w:sz w:val="24"/>
                <w:szCs w:val="24"/>
              </w:rPr>
              <w:t>Australian Food and Grocery Council</w:t>
            </w:r>
          </w:p>
        </w:tc>
        <w:tc>
          <w:tcPr>
            <w:tcW w:w="4085" w:type="dxa"/>
          </w:tcPr>
          <w:p w14:paraId="2F55509C" w14:textId="23088855" w:rsidR="00CD53E0" w:rsidRPr="00E479D4" w:rsidRDefault="00CD53E0" w:rsidP="00270F80">
            <w:pPr>
              <w:pStyle w:val="ListParagraph"/>
              <w:numPr>
                <w:ilvl w:val="0"/>
                <w:numId w:val="38"/>
              </w:numPr>
              <w:rPr>
                <w:sz w:val="24"/>
                <w:szCs w:val="24"/>
              </w:rPr>
            </w:pPr>
            <w:r w:rsidRPr="00323FD8">
              <w:rPr>
                <w:sz w:val="24"/>
                <w:szCs w:val="24"/>
              </w:rPr>
              <w:t>Australian Fresh Produce Alliance</w:t>
            </w:r>
          </w:p>
        </w:tc>
      </w:tr>
      <w:tr w:rsidR="00CD53E0" w14:paraId="5E25A763" w14:textId="77777777" w:rsidTr="00270F80">
        <w:tc>
          <w:tcPr>
            <w:tcW w:w="4211" w:type="dxa"/>
          </w:tcPr>
          <w:p w14:paraId="0AA1A6C9" w14:textId="1AC4E330" w:rsidR="00CD53E0" w:rsidRDefault="00CD53E0" w:rsidP="00270F80">
            <w:pPr>
              <w:pStyle w:val="ListParagraph"/>
              <w:numPr>
                <w:ilvl w:val="0"/>
                <w:numId w:val="38"/>
              </w:numPr>
              <w:rPr>
                <w:sz w:val="24"/>
                <w:szCs w:val="24"/>
              </w:rPr>
            </w:pPr>
            <w:r w:rsidRPr="00323FD8">
              <w:rPr>
                <w:sz w:val="24"/>
                <w:szCs w:val="24"/>
              </w:rPr>
              <w:t>Australian Grain Exporters Association (AGEA)</w:t>
            </w:r>
          </w:p>
        </w:tc>
        <w:tc>
          <w:tcPr>
            <w:tcW w:w="4085" w:type="dxa"/>
          </w:tcPr>
          <w:p w14:paraId="768818A0" w14:textId="5BA50521" w:rsidR="00CD53E0" w:rsidRPr="00323FD8" w:rsidRDefault="00CD53E0" w:rsidP="00270F80">
            <w:pPr>
              <w:pStyle w:val="ListParagraph"/>
              <w:numPr>
                <w:ilvl w:val="0"/>
                <w:numId w:val="38"/>
              </w:numPr>
              <w:rPr>
                <w:sz w:val="24"/>
                <w:szCs w:val="24"/>
              </w:rPr>
            </w:pPr>
            <w:r>
              <w:rPr>
                <w:sz w:val="24"/>
                <w:szCs w:val="24"/>
              </w:rPr>
              <w:t>Australian Grape and Wine</w:t>
            </w:r>
          </w:p>
        </w:tc>
      </w:tr>
      <w:tr w:rsidR="006A52ED" w14:paraId="4F764A6C" w14:textId="77777777" w:rsidTr="00270F80">
        <w:tc>
          <w:tcPr>
            <w:tcW w:w="4211" w:type="dxa"/>
          </w:tcPr>
          <w:p w14:paraId="3A8360F1" w14:textId="766830F6" w:rsidR="006A52ED" w:rsidRPr="00F37FBB" w:rsidRDefault="00CD53E0" w:rsidP="00270F80">
            <w:pPr>
              <w:pStyle w:val="ListParagraph"/>
              <w:numPr>
                <w:ilvl w:val="0"/>
                <w:numId w:val="38"/>
              </w:numPr>
              <w:rPr>
                <w:sz w:val="24"/>
                <w:szCs w:val="24"/>
              </w:rPr>
            </w:pPr>
            <w:r w:rsidRPr="00444EC4">
              <w:rPr>
                <w:sz w:val="24"/>
                <w:szCs w:val="24"/>
              </w:rPr>
              <w:t>Australian Health Practitioner Regulation Agency (AHPRA)</w:t>
            </w:r>
          </w:p>
        </w:tc>
        <w:tc>
          <w:tcPr>
            <w:tcW w:w="4085" w:type="dxa"/>
          </w:tcPr>
          <w:p w14:paraId="5D2AD690" w14:textId="07BDB656" w:rsidR="006A52ED" w:rsidRPr="00444EC4" w:rsidRDefault="00CD53E0" w:rsidP="00270F80">
            <w:pPr>
              <w:pStyle w:val="ListParagraph"/>
              <w:numPr>
                <w:ilvl w:val="0"/>
                <w:numId w:val="38"/>
              </w:numPr>
              <w:rPr>
                <w:sz w:val="24"/>
                <w:szCs w:val="24"/>
              </w:rPr>
            </w:pPr>
            <w:r w:rsidRPr="00FD32E5">
              <w:rPr>
                <w:sz w:val="24"/>
                <w:szCs w:val="24"/>
              </w:rPr>
              <w:t xml:space="preserve">Australian </w:t>
            </w:r>
            <w:proofErr w:type="gramStart"/>
            <w:r w:rsidRPr="00FD32E5">
              <w:rPr>
                <w:sz w:val="24"/>
                <w:szCs w:val="24"/>
              </w:rPr>
              <w:t>Honey</w:t>
            </w:r>
            <w:r>
              <w:rPr>
                <w:sz w:val="24"/>
                <w:szCs w:val="24"/>
              </w:rPr>
              <w:t xml:space="preserve"> </w:t>
            </w:r>
            <w:r w:rsidRPr="00FD32E5">
              <w:rPr>
                <w:sz w:val="24"/>
                <w:szCs w:val="24"/>
              </w:rPr>
              <w:t>Bee</w:t>
            </w:r>
            <w:proofErr w:type="gramEnd"/>
            <w:r w:rsidRPr="00FD32E5">
              <w:rPr>
                <w:sz w:val="24"/>
                <w:szCs w:val="24"/>
              </w:rPr>
              <w:t xml:space="preserve"> Industry Council</w:t>
            </w:r>
          </w:p>
        </w:tc>
      </w:tr>
      <w:tr w:rsidR="00CD53E0" w14:paraId="2DF773BB" w14:textId="77777777" w:rsidTr="00270F80">
        <w:tc>
          <w:tcPr>
            <w:tcW w:w="4211" w:type="dxa"/>
          </w:tcPr>
          <w:p w14:paraId="12802096" w14:textId="19D75039" w:rsidR="00CD53E0" w:rsidRPr="00444EC4" w:rsidRDefault="00CD53E0" w:rsidP="00270F80">
            <w:pPr>
              <w:pStyle w:val="ListParagraph"/>
              <w:numPr>
                <w:ilvl w:val="0"/>
                <w:numId w:val="38"/>
              </w:numPr>
              <w:rPr>
                <w:sz w:val="24"/>
                <w:szCs w:val="24"/>
              </w:rPr>
            </w:pPr>
            <w:r w:rsidRPr="00323FD8">
              <w:rPr>
                <w:sz w:val="24"/>
                <w:szCs w:val="24"/>
              </w:rPr>
              <w:t>Australian Horticultural Exporters' Association</w:t>
            </w:r>
          </w:p>
        </w:tc>
        <w:tc>
          <w:tcPr>
            <w:tcW w:w="4085" w:type="dxa"/>
          </w:tcPr>
          <w:p w14:paraId="586ECE91" w14:textId="6460F5A0" w:rsidR="00CD53E0" w:rsidRPr="00FD32E5" w:rsidRDefault="00CD53E0" w:rsidP="00270F80">
            <w:pPr>
              <w:pStyle w:val="ListParagraph"/>
              <w:numPr>
                <w:ilvl w:val="0"/>
                <w:numId w:val="38"/>
              </w:numPr>
              <w:rPr>
                <w:sz w:val="24"/>
                <w:szCs w:val="24"/>
              </w:rPr>
            </w:pPr>
            <w:r w:rsidRPr="00FD32E5">
              <w:rPr>
                <w:sz w:val="24"/>
                <w:szCs w:val="24"/>
              </w:rPr>
              <w:t>Australian Industry Group</w:t>
            </w:r>
          </w:p>
        </w:tc>
      </w:tr>
      <w:tr w:rsidR="006A52ED" w14:paraId="228E2248" w14:textId="77777777" w:rsidTr="00270F80">
        <w:tc>
          <w:tcPr>
            <w:tcW w:w="4211" w:type="dxa"/>
          </w:tcPr>
          <w:p w14:paraId="0811F199" w14:textId="4FAFE52D" w:rsidR="006A52ED" w:rsidRPr="00444EC4" w:rsidRDefault="00CD53E0" w:rsidP="00270F80">
            <w:pPr>
              <w:pStyle w:val="ListParagraph"/>
              <w:numPr>
                <w:ilvl w:val="0"/>
                <w:numId w:val="38"/>
              </w:numPr>
              <w:rPr>
                <w:sz w:val="24"/>
                <w:szCs w:val="24"/>
              </w:rPr>
            </w:pPr>
            <w:r w:rsidRPr="0095034D">
              <w:rPr>
                <w:sz w:val="24"/>
                <w:szCs w:val="24"/>
              </w:rPr>
              <w:t>Australian Institute of Architects</w:t>
            </w:r>
          </w:p>
        </w:tc>
        <w:tc>
          <w:tcPr>
            <w:tcW w:w="4085" w:type="dxa"/>
          </w:tcPr>
          <w:p w14:paraId="336E1E53" w14:textId="3E49F46A" w:rsidR="006A52ED" w:rsidRPr="007F74CD" w:rsidRDefault="00CD53E0" w:rsidP="00270F80">
            <w:pPr>
              <w:pStyle w:val="ListParagraph"/>
              <w:numPr>
                <w:ilvl w:val="0"/>
                <w:numId w:val="38"/>
              </w:numPr>
              <w:rPr>
                <w:sz w:val="24"/>
                <w:szCs w:val="24"/>
              </w:rPr>
            </w:pPr>
            <w:r w:rsidRPr="0095034D">
              <w:rPr>
                <w:sz w:val="24"/>
                <w:szCs w:val="24"/>
              </w:rPr>
              <w:t>Australian Institute of Quantity Surveyors</w:t>
            </w:r>
          </w:p>
        </w:tc>
      </w:tr>
      <w:tr w:rsidR="006A52ED" w14:paraId="333F4675" w14:textId="77777777" w:rsidTr="00CD53E0">
        <w:trPr>
          <w:trHeight w:val="256"/>
        </w:trPr>
        <w:tc>
          <w:tcPr>
            <w:tcW w:w="4211" w:type="dxa"/>
          </w:tcPr>
          <w:p w14:paraId="41C5EC9D" w14:textId="0CABCB46" w:rsidR="006A52ED" w:rsidRPr="0095034D" w:rsidRDefault="00CD53E0" w:rsidP="00270F80">
            <w:pPr>
              <w:pStyle w:val="ListParagraph"/>
              <w:numPr>
                <w:ilvl w:val="0"/>
                <w:numId w:val="38"/>
              </w:numPr>
              <w:rPr>
                <w:sz w:val="24"/>
                <w:szCs w:val="24"/>
              </w:rPr>
            </w:pPr>
            <w:r w:rsidRPr="00323FD8">
              <w:rPr>
                <w:sz w:val="24"/>
                <w:szCs w:val="24"/>
              </w:rPr>
              <w:t>Australian Livestock Exporters' Council</w:t>
            </w:r>
          </w:p>
        </w:tc>
        <w:tc>
          <w:tcPr>
            <w:tcW w:w="4085" w:type="dxa"/>
          </w:tcPr>
          <w:p w14:paraId="61130F4F" w14:textId="00EE8963" w:rsidR="006A52ED" w:rsidRPr="0095034D" w:rsidRDefault="00CD53E0" w:rsidP="00270F80">
            <w:pPr>
              <w:pStyle w:val="ListParagraph"/>
              <w:numPr>
                <w:ilvl w:val="0"/>
                <w:numId w:val="38"/>
              </w:numPr>
              <w:rPr>
                <w:sz w:val="24"/>
                <w:szCs w:val="24"/>
              </w:rPr>
            </w:pPr>
            <w:r w:rsidRPr="00323FD8">
              <w:rPr>
                <w:sz w:val="24"/>
                <w:szCs w:val="24"/>
              </w:rPr>
              <w:t>Australian Meat Industry Council</w:t>
            </w:r>
          </w:p>
        </w:tc>
      </w:tr>
      <w:tr w:rsidR="00CD53E0" w14:paraId="2A52DD86" w14:textId="77777777" w:rsidTr="00CD53E0">
        <w:trPr>
          <w:trHeight w:val="256"/>
        </w:trPr>
        <w:tc>
          <w:tcPr>
            <w:tcW w:w="4211" w:type="dxa"/>
          </w:tcPr>
          <w:p w14:paraId="7EF86CB8" w14:textId="52443C75" w:rsidR="00CD53E0" w:rsidRPr="00323FD8" w:rsidRDefault="00CD53E0" w:rsidP="00270F80">
            <w:pPr>
              <w:pStyle w:val="ListParagraph"/>
              <w:numPr>
                <w:ilvl w:val="0"/>
                <w:numId w:val="38"/>
              </w:numPr>
              <w:rPr>
                <w:sz w:val="24"/>
                <w:szCs w:val="24"/>
              </w:rPr>
            </w:pPr>
            <w:r w:rsidRPr="004153A4">
              <w:rPr>
                <w:sz w:val="24"/>
                <w:szCs w:val="24"/>
              </w:rPr>
              <w:t>Australian Mobile Telecommunications Association (AMTA)</w:t>
            </w:r>
          </w:p>
        </w:tc>
        <w:tc>
          <w:tcPr>
            <w:tcW w:w="4085" w:type="dxa"/>
          </w:tcPr>
          <w:p w14:paraId="1B6FC7DB" w14:textId="18ABF682" w:rsidR="00CD53E0" w:rsidRPr="00323FD8" w:rsidRDefault="00CD53E0" w:rsidP="00270F80">
            <w:pPr>
              <w:pStyle w:val="ListParagraph"/>
              <w:numPr>
                <w:ilvl w:val="0"/>
                <w:numId w:val="38"/>
              </w:numPr>
              <w:rPr>
                <w:sz w:val="24"/>
                <w:szCs w:val="24"/>
              </w:rPr>
            </w:pPr>
            <w:r w:rsidRPr="00323FD8">
              <w:rPr>
                <w:sz w:val="24"/>
                <w:szCs w:val="24"/>
              </w:rPr>
              <w:t>Australian Nut Industry Council</w:t>
            </w:r>
          </w:p>
        </w:tc>
      </w:tr>
      <w:tr w:rsidR="00CD53E0" w14:paraId="0EABFF34" w14:textId="77777777" w:rsidTr="00CD53E0">
        <w:trPr>
          <w:trHeight w:val="256"/>
        </w:trPr>
        <w:tc>
          <w:tcPr>
            <w:tcW w:w="4211" w:type="dxa"/>
          </w:tcPr>
          <w:p w14:paraId="02C48F7B" w14:textId="63B910F2" w:rsidR="00CD53E0" w:rsidRPr="004153A4" w:rsidRDefault="00CD53E0" w:rsidP="00270F80">
            <w:pPr>
              <w:pStyle w:val="ListParagraph"/>
              <w:numPr>
                <w:ilvl w:val="0"/>
                <w:numId w:val="38"/>
              </w:numPr>
              <w:rPr>
                <w:sz w:val="24"/>
                <w:szCs w:val="24"/>
              </w:rPr>
            </w:pPr>
            <w:r w:rsidRPr="00E479D4">
              <w:rPr>
                <w:sz w:val="24"/>
                <w:szCs w:val="24"/>
              </w:rPr>
              <w:t>Australian Olive Association</w:t>
            </w:r>
          </w:p>
        </w:tc>
        <w:tc>
          <w:tcPr>
            <w:tcW w:w="4085" w:type="dxa"/>
          </w:tcPr>
          <w:p w14:paraId="49C110BD" w14:textId="44562725" w:rsidR="00CD53E0" w:rsidRPr="00323FD8" w:rsidRDefault="00CD53E0" w:rsidP="00270F80">
            <w:pPr>
              <w:pStyle w:val="ListParagraph"/>
              <w:numPr>
                <w:ilvl w:val="0"/>
                <w:numId w:val="38"/>
              </w:numPr>
              <w:rPr>
                <w:sz w:val="24"/>
                <w:szCs w:val="24"/>
              </w:rPr>
            </w:pPr>
            <w:r w:rsidRPr="00323FD8">
              <w:rPr>
                <w:sz w:val="24"/>
                <w:szCs w:val="24"/>
              </w:rPr>
              <w:t>Australian Petroleum Production and Exploration Association</w:t>
            </w:r>
          </w:p>
        </w:tc>
      </w:tr>
      <w:tr w:rsidR="00CD53E0" w14:paraId="3B1D5A98" w14:textId="77777777" w:rsidTr="00CD53E0">
        <w:trPr>
          <w:trHeight w:val="256"/>
        </w:trPr>
        <w:tc>
          <w:tcPr>
            <w:tcW w:w="4211" w:type="dxa"/>
          </w:tcPr>
          <w:p w14:paraId="07B0D607" w14:textId="7C13E2E1" w:rsidR="00CD53E0" w:rsidRPr="00E479D4" w:rsidRDefault="00CD53E0" w:rsidP="00270F80">
            <w:pPr>
              <w:pStyle w:val="ListParagraph"/>
              <w:numPr>
                <w:ilvl w:val="0"/>
                <w:numId w:val="38"/>
              </w:numPr>
              <w:rPr>
                <w:sz w:val="24"/>
                <w:szCs w:val="24"/>
              </w:rPr>
            </w:pPr>
            <w:r w:rsidRPr="00323FD8">
              <w:rPr>
                <w:sz w:val="24"/>
                <w:szCs w:val="24"/>
              </w:rPr>
              <w:lastRenderedPageBreak/>
              <w:t>Australian Pork</w:t>
            </w:r>
          </w:p>
        </w:tc>
        <w:tc>
          <w:tcPr>
            <w:tcW w:w="4085" w:type="dxa"/>
          </w:tcPr>
          <w:p w14:paraId="260F7C39" w14:textId="43E1A9B9" w:rsidR="00CD53E0" w:rsidRPr="00323FD8" w:rsidRDefault="00CD53E0" w:rsidP="00270F80">
            <w:pPr>
              <w:pStyle w:val="ListParagraph"/>
              <w:numPr>
                <w:ilvl w:val="0"/>
                <w:numId w:val="38"/>
              </w:numPr>
              <w:rPr>
                <w:sz w:val="24"/>
                <w:szCs w:val="24"/>
              </w:rPr>
            </w:pPr>
            <w:r w:rsidRPr="00E479D4">
              <w:rPr>
                <w:sz w:val="24"/>
                <w:szCs w:val="24"/>
              </w:rPr>
              <w:t>Australian Red Meat Industry / Meat &amp; Livestock Australia</w:t>
            </w:r>
          </w:p>
        </w:tc>
      </w:tr>
      <w:tr w:rsidR="00CD53E0" w14:paraId="28F8D929" w14:textId="77777777" w:rsidTr="00CD53E0">
        <w:trPr>
          <w:trHeight w:val="256"/>
        </w:trPr>
        <w:tc>
          <w:tcPr>
            <w:tcW w:w="4211" w:type="dxa"/>
          </w:tcPr>
          <w:p w14:paraId="209EEAAA" w14:textId="32DCB212" w:rsidR="00CD53E0" w:rsidRPr="00E479D4" w:rsidRDefault="00CD53E0" w:rsidP="00270F80">
            <w:pPr>
              <w:pStyle w:val="ListParagraph"/>
              <w:numPr>
                <w:ilvl w:val="0"/>
                <w:numId w:val="38"/>
              </w:numPr>
              <w:rPr>
                <w:sz w:val="24"/>
                <w:szCs w:val="24"/>
              </w:rPr>
            </w:pPr>
            <w:r w:rsidRPr="008B0390">
              <w:rPr>
                <w:sz w:val="24"/>
                <w:szCs w:val="24"/>
              </w:rPr>
              <w:t>Australian Seafood Industry</w:t>
            </w:r>
          </w:p>
        </w:tc>
        <w:tc>
          <w:tcPr>
            <w:tcW w:w="4085" w:type="dxa"/>
          </w:tcPr>
          <w:p w14:paraId="0B9D34A2" w14:textId="59D509C3" w:rsidR="00CD53E0" w:rsidRPr="00323FD8" w:rsidRDefault="00CD53E0" w:rsidP="00270F80">
            <w:pPr>
              <w:pStyle w:val="ListParagraph"/>
              <w:numPr>
                <w:ilvl w:val="0"/>
                <w:numId w:val="38"/>
              </w:numPr>
              <w:rPr>
                <w:sz w:val="24"/>
                <w:szCs w:val="24"/>
              </w:rPr>
            </w:pPr>
            <w:r w:rsidRPr="00E479D4">
              <w:rPr>
                <w:sz w:val="24"/>
                <w:szCs w:val="24"/>
              </w:rPr>
              <w:t>Australian Services Roundtable</w:t>
            </w:r>
          </w:p>
        </w:tc>
      </w:tr>
      <w:tr w:rsidR="006A52ED" w14:paraId="597FA425" w14:textId="77777777" w:rsidTr="00270F80">
        <w:tc>
          <w:tcPr>
            <w:tcW w:w="4211" w:type="dxa"/>
          </w:tcPr>
          <w:p w14:paraId="665260D2" w14:textId="3E5D661E" w:rsidR="006A52ED" w:rsidRPr="00E479D4" w:rsidRDefault="00F17EC4" w:rsidP="00270F80">
            <w:pPr>
              <w:pStyle w:val="ListParagraph"/>
              <w:numPr>
                <w:ilvl w:val="0"/>
                <w:numId w:val="38"/>
              </w:numPr>
              <w:rPr>
                <w:sz w:val="24"/>
                <w:szCs w:val="24"/>
              </w:rPr>
            </w:pPr>
            <w:r w:rsidRPr="008B0390">
              <w:rPr>
                <w:sz w:val="24"/>
                <w:szCs w:val="24"/>
              </w:rPr>
              <w:t>Australian Sugar Milling Council</w:t>
            </w:r>
          </w:p>
        </w:tc>
        <w:tc>
          <w:tcPr>
            <w:tcW w:w="4085" w:type="dxa"/>
          </w:tcPr>
          <w:p w14:paraId="01594A2F" w14:textId="547C21C0" w:rsidR="006A52ED" w:rsidRPr="00E479D4" w:rsidRDefault="00F17EC4" w:rsidP="00270F80">
            <w:pPr>
              <w:pStyle w:val="ListParagraph"/>
              <w:numPr>
                <w:ilvl w:val="0"/>
                <w:numId w:val="38"/>
              </w:numPr>
              <w:rPr>
                <w:sz w:val="24"/>
                <w:szCs w:val="24"/>
              </w:rPr>
            </w:pPr>
            <w:r w:rsidRPr="00FD32E5">
              <w:rPr>
                <w:sz w:val="24"/>
                <w:szCs w:val="24"/>
              </w:rPr>
              <w:t>Australian Wool Innovation Limited</w:t>
            </w:r>
          </w:p>
        </w:tc>
      </w:tr>
      <w:tr w:rsidR="006A52ED" w14:paraId="4735DFCB" w14:textId="77777777" w:rsidTr="00270F80">
        <w:tc>
          <w:tcPr>
            <w:tcW w:w="4211" w:type="dxa"/>
          </w:tcPr>
          <w:p w14:paraId="4FEB479C" w14:textId="2F1F2D0E" w:rsidR="006A52ED" w:rsidRPr="00E479D4" w:rsidRDefault="00F17EC4" w:rsidP="00270F80">
            <w:pPr>
              <w:pStyle w:val="ListParagraph"/>
              <w:numPr>
                <w:ilvl w:val="0"/>
                <w:numId w:val="38"/>
              </w:numPr>
              <w:rPr>
                <w:sz w:val="24"/>
                <w:szCs w:val="24"/>
              </w:rPr>
            </w:pPr>
            <w:r w:rsidRPr="004153A4">
              <w:rPr>
                <w:sz w:val="24"/>
                <w:szCs w:val="24"/>
              </w:rPr>
              <w:t>Australasian Veterinary Boards Council</w:t>
            </w:r>
            <w:r w:rsidRPr="00323FD8">
              <w:rPr>
                <w:sz w:val="24"/>
                <w:szCs w:val="24"/>
              </w:rPr>
              <w:t xml:space="preserve"> </w:t>
            </w:r>
          </w:p>
        </w:tc>
        <w:tc>
          <w:tcPr>
            <w:tcW w:w="4085" w:type="dxa"/>
          </w:tcPr>
          <w:p w14:paraId="10271AA5" w14:textId="5A102E8D" w:rsidR="006A52ED" w:rsidRPr="00E479D4" w:rsidRDefault="00F17EC4" w:rsidP="00270F80">
            <w:pPr>
              <w:pStyle w:val="ListParagraph"/>
              <w:numPr>
                <w:ilvl w:val="0"/>
                <w:numId w:val="38"/>
              </w:numPr>
              <w:rPr>
                <w:sz w:val="24"/>
                <w:szCs w:val="24"/>
              </w:rPr>
            </w:pPr>
            <w:r w:rsidRPr="00323FD8">
              <w:rPr>
                <w:sz w:val="24"/>
                <w:szCs w:val="24"/>
              </w:rPr>
              <w:t>AUSVEG</w:t>
            </w:r>
          </w:p>
        </w:tc>
      </w:tr>
      <w:tr w:rsidR="006A52ED" w14:paraId="0A74C1DB" w14:textId="77777777" w:rsidTr="00270F80">
        <w:tc>
          <w:tcPr>
            <w:tcW w:w="4211" w:type="dxa"/>
          </w:tcPr>
          <w:p w14:paraId="78D73CE5" w14:textId="1E93C131" w:rsidR="006A52ED" w:rsidRPr="00F37FBB" w:rsidRDefault="00F17EC4" w:rsidP="00270F80">
            <w:pPr>
              <w:pStyle w:val="ListParagraph"/>
              <w:numPr>
                <w:ilvl w:val="0"/>
                <w:numId w:val="38"/>
              </w:numPr>
              <w:rPr>
                <w:sz w:val="24"/>
                <w:szCs w:val="24"/>
              </w:rPr>
            </w:pPr>
            <w:r w:rsidRPr="00E479D4">
              <w:rPr>
                <w:sz w:val="24"/>
                <w:szCs w:val="24"/>
              </w:rPr>
              <w:t>Australia-UK Contractor’s Group</w:t>
            </w:r>
          </w:p>
        </w:tc>
        <w:tc>
          <w:tcPr>
            <w:tcW w:w="4085" w:type="dxa"/>
          </w:tcPr>
          <w:p w14:paraId="74480856" w14:textId="3EC760D8" w:rsidR="006A52ED" w:rsidRDefault="00F17EC4" w:rsidP="00270F80">
            <w:pPr>
              <w:pStyle w:val="ListParagraph"/>
              <w:numPr>
                <w:ilvl w:val="0"/>
                <w:numId w:val="38"/>
              </w:numPr>
              <w:rPr>
                <w:sz w:val="24"/>
                <w:szCs w:val="24"/>
              </w:rPr>
            </w:pPr>
            <w:r w:rsidRPr="00E479D4">
              <w:rPr>
                <w:sz w:val="24"/>
                <w:szCs w:val="24"/>
              </w:rPr>
              <w:t>Australia-United Kingdom Chamber of Commerce</w:t>
            </w:r>
          </w:p>
        </w:tc>
      </w:tr>
      <w:tr w:rsidR="006A52ED" w14:paraId="187A94C4" w14:textId="77777777" w:rsidTr="00270F80">
        <w:tc>
          <w:tcPr>
            <w:tcW w:w="4211" w:type="dxa"/>
          </w:tcPr>
          <w:p w14:paraId="3C3DB6B7" w14:textId="5554B550" w:rsidR="006A52ED" w:rsidRPr="00E479D4" w:rsidRDefault="00F17EC4" w:rsidP="00270F80">
            <w:pPr>
              <w:pStyle w:val="ListParagraph"/>
              <w:numPr>
                <w:ilvl w:val="0"/>
                <w:numId w:val="38"/>
              </w:numPr>
              <w:rPr>
                <w:sz w:val="24"/>
                <w:szCs w:val="24"/>
              </w:rPr>
            </w:pPr>
            <w:r w:rsidRPr="00E479D4">
              <w:rPr>
                <w:sz w:val="24"/>
                <w:szCs w:val="24"/>
              </w:rPr>
              <w:t>Bathurst Regional Council</w:t>
            </w:r>
          </w:p>
        </w:tc>
        <w:tc>
          <w:tcPr>
            <w:tcW w:w="4085" w:type="dxa"/>
          </w:tcPr>
          <w:p w14:paraId="26976140" w14:textId="11E947CC" w:rsidR="006A52ED" w:rsidRPr="00E479D4" w:rsidRDefault="00F17EC4" w:rsidP="00270F80">
            <w:pPr>
              <w:pStyle w:val="ListParagraph"/>
              <w:numPr>
                <w:ilvl w:val="0"/>
                <w:numId w:val="38"/>
              </w:numPr>
              <w:rPr>
                <w:sz w:val="24"/>
                <w:szCs w:val="24"/>
              </w:rPr>
            </w:pPr>
            <w:r w:rsidRPr="00E479D4">
              <w:rPr>
                <w:sz w:val="24"/>
                <w:szCs w:val="24"/>
              </w:rPr>
              <w:t>Boundary Bend Olives</w:t>
            </w:r>
          </w:p>
        </w:tc>
      </w:tr>
      <w:tr w:rsidR="006A52ED" w14:paraId="5EC7B583" w14:textId="77777777" w:rsidTr="00270F80">
        <w:tc>
          <w:tcPr>
            <w:tcW w:w="4211" w:type="dxa"/>
          </w:tcPr>
          <w:p w14:paraId="31A9E5BE" w14:textId="769CAEDA" w:rsidR="006A52ED" w:rsidRPr="00F37FBB" w:rsidRDefault="00F17EC4" w:rsidP="00270F80">
            <w:pPr>
              <w:pStyle w:val="ListParagraph"/>
              <w:numPr>
                <w:ilvl w:val="0"/>
                <w:numId w:val="38"/>
              </w:numPr>
              <w:rPr>
                <w:sz w:val="24"/>
                <w:szCs w:val="24"/>
              </w:rPr>
            </w:pPr>
            <w:r w:rsidRPr="00E479D4">
              <w:rPr>
                <w:sz w:val="24"/>
                <w:szCs w:val="24"/>
              </w:rPr>
              <w:t>British Pensions in Australia Inc</w:t>
            </w:r>
          </w:p>
        </w:tc>
        <w:tc>
          <w:tcPr>
            <w:tcW w:w="4085" w:type="dxa"/>
          </w:tcPr>
          <w:p w14:paraId="5DDF68E3" w14:textId="37D91CB1" w:rsidR="006A52ED" w:rsidRDefault="00F17EC4" w:rsidP="00270F80">
            <w:pPr>
              <w:pStyle w:val="ListParagraph"/>
              <w:numPr>
                <w:ilvl w:val="0"/>
                <w:numId w:val="38"/>
              </w:numPr>
              <w:rPr>
                <w:sz w:val="24"/>
                <w:szCs w:val="24"/>
              </w:rPr>
            </w:pPr>
            <w:r>
              <w:rPr>
                <w:sz w:val="24"/>
                <w:szCs w:val="24"/>
              </w:rPr>
              <w:t>Business Council of Australia</w:t>
            </w:r>
          </w:p>
        </w:tc>
      </w:tr>
      <w:tr w:rsidR="006A52ED" w14:paraId="01CE044A" w14:textId="77777777" w:rsidTr="00270F80">
        <w:tc>
          <w:tcPr>
            <w:tcW w:w="4211" w:type="dxa"/>
          </w:tcPr>
          <w:p w14:paraId="2E8B55C2" w14:textId="4E44E034" w:rsidR="006A52ED" w:rsidRPr="00F37FBB" w:rsidRDefault="00F17EC4" w:rsidP="00270F80">
            <w:pPr>
              <w:pStyle w:val="ListParagraph"/>
              <w:numPr>
                <w:ilvl w:val="0"/>
                <w:numId w:val="38"/>
              </w:numPr>
              <w:rPr>
                <w:sz w:val="24"/>
                <w:szCs w:val="24"/>
              </w:rPr>
            </w:pPr>
            <w:r w:rsidRPr="00FD32E5">
              <w:rPr>
                <w:sz w:val="24"/>
                <w:szCs w:val="24"/>
              </w:rPr>
              <w:t>Business Council for Sustainable Development</w:t>
            </w:r>
          </w:p>
        </w:tc>
        <w:tc>
          <w:tcPr>
            <w:tcW w:w="4085" w:type="dxa"/>
          </w:tcPr>
          <w:p w14:paraId="3265ADEC" w14:textId="1A607376" w:rsidR="006A52ED" w:rsidRDefault="00F17EC4" w:rsidP="00270F80">
            <w:pPr>
              <w:pStyle w:val="ListParagraph"/>
              <w:numPr>
                <w:ilvl w:val="0"/>
                <w:numId w:val="38"/>
              </w:numPr>
              <w:rPr>
                <w:sz w:val="24"/>
                <w:szCs w:val="24"/>
              </w:rPr>
            </w:pPr>
            <w:r w:rsidRPr="00E479D4">
              <w:rPr>
                <w:sz w:val="24"/>
                <w:szCs w:val="24"/>
              </w:rPr>
              <w:t>BSA</w:t>
            </w:r>
            <w:r>
              <w:rPr>
                <w:sz w:val="24"/>
                <w:szCs w:val="24"/>
              </w:rPr>
              <w:t xml:space="preserve">, </w:t>
            </w:r>
            <w:r w:rsidRPr="00E479D4">
              <w:rPr>
                <w:sz w:val="24"/>
                <w:szCs w:val="24"/>
              </w:rPr>
              <w:t>The Software Alliance</w:t>
            </w:r>
          </w:p>
        </w:tc>
      </w:tr>
      <w:tr w:rsidR="006A52ED" w14:paraId="4C6C1C38" w14:textId="77777777" w:rsidTr="00270F80">
        <w:tc>
          <w:tcPr>
            <w:tcW w:w="4211" w:type="dxa"/>
          </w:tcPr>
          <w:p w14:paraId="57873E48" w14:textId="38DC7B70" w:rsidR="006A52ED" w:rsidRPr="00E479D4" w:rsidRDefault="00F17EC4" w:rsidP="00270F80">
            <w:pPr>
              <w:pStyle w:val="ListParagraph"/>
              <w:numPr>
                <w:ilvl w:val="0"/>
                <w:numId w:val="38"/>
              </w:numPr>
              <w:rPr>
                <w:sz w:val="24"/>
                <w:szCs w:val="24"/>
              </w:rPr>
            </w:pPr>
            <w:r>
              <w:rPr>
                <w:sz w:val="24"/>
                <w:szCs w:val="24"/>
              </w:rPr>
              <w:t>Canegrowers</w:t>
            </w:r>
          </w:p>
        </w:tc>
        <w:tc>
          <w:tcPr>
            <w:tcW w:w="4085" w:type="dxa"/>
          </w:tcPr>
          <w:p w14:paraId="7A6D4139" w14:textId="6375003D" w:rsidR="006A52ED" w:rsidRPr="00E479D4" w:rsidRDefault="00F17EC4" w:rsidP="00270F80">
            <w:pPr>
              <w:pStyle w:val="ListParagraph"/>
              <w:numPr>
                <w:ilvl w:val="0"/>
                <w:numId w:val="38"/>
              </w:numPr>
              <w:rPr>
                <w:sz w:val="24"/>
                <w:szCs w:val="24"/>
              </w:rPr>
            </w:pPr>
            <w:r w:rsidRPr="00E479D4">
              <w:rPr>
                <w:sz w:val="24"/>
                <w:szCs w:val="24"/>
              </w:rPr>
              <w:t>CANZUK International</w:t>
            </w:r>
          </w:p>
        </w:tc>
      </w:tr>
      <w:tr w:rsidR="006A52ED" w14:paraId="1048956A" w14:textId="77777777" w:rsidTr="00270F80">
        <w:tc>
          <w:tcPr>
            <w:tcW w:w="4211" w:type="dxa"/>
          </w:tcPr>
          <w:p w14:paraId="6A837B90" w14:textId="5033779C" w:rsidR="006A52ED" w:rsidRPr="00F37FBB" w:rsidRDefault="00F17EC4" w:rsidP="00270F80">
            <w:pPr>
              <w:pStyle w:val="ListParagraph"/>
              <w:numPr>
                <w:ilvl w:val="0"/>
                <w:numId w:val="38"/>
              </w:numPr>
              <w:rPr>
                <w:sz w:val="24"/>
                <w:szCs w:val="24"/>
              </w:rPr>
            </w:pPr>
            <w:r w:rsidRPr="00E479D4">
              <w:rPr>
                <w:sz w:val="24"/>
                <w:szCs w:val="24"/>
              </w:rPr>
              <w:t>Chartered Accountants Australia &amp; New Zealand (CAANZ)</w:t>
            </w:r>
          </w:p>
        </w:tc>
        <w:tc>
          <w:tcPr>
            <w:tcW w:w="4085" w:type="dxa"/>
          </w:tcPr>
          <w:p w14:paraId="512840BE" w14:textId="40975A46" w:rsidR="006A52ED" w:rsidRDefault="00F17EC4" w:rsidP="00270F80">
            <w:pPr>
              <w:pStyle w:val="ListParagraph"/>
              <w:numPr>
                <w:ilvl w:val="0"/>
                <w:numId w:val="38"/>
              </w:numPr>
              <w:rPr>
                <w:sz w:val="24"/>
                <w:szCs w:val="24"/>
              </w:rPr>
            </w:pPr>
            <w:r>
              <w:rPr>
                <w:sz w:val="24"/>
                <w:szCs w:val="24"/>
              </w:rPr>
              <w:t>Chemistry Australia</w:t>
            </w:r>
          </w:p>
        </w:tc>
      </w:tr>
      <w:tr w:rsidR="006A52ED" w14:paraId="329E68D0" w14:textId="77777777" w:rsidTr="00270F80">
        <w:tc>
          <w:tcPr>
            <w:tcW w:w="4211" w:type="dxa"/>
          </w:tcPr>
          <w:p w14:paraId="4B98B58F" w14:textId="77777777" w:rsidR="006A52ED" w:rsidRPr="00E479D4" w:rsidRDefault="006A52ED" w:rsidP="00270F80">
            <w:pPr>
              <w:pStyle w:val="ListParagraph"/>
              <w:numPr>
                <w:ilvl w:val="0"/>
                <w:numId w:val="38"/>
              </w:numPr>
              <w:rPr>
                <w:sz w:val="24"/>
                <w:szCs w:val="24"/>
              </w:rPr>
            </w:pPr>
            <w:r w:rsidRPr="00323FD8">
              <w:rPr>
                <w:sz w:val="24"/>
                <w:szCs w:val="24"/>
              </w:rPr>
              <w:t>Citrus Australia</w:t>
            </w:r>
          </w:p>
        </w:tc>
        <w:tc>
          <w:tcPr>
            <w:tcW w:w="4085" w:type="dxa"/>
          </w:tcPr>
          <w:p w14:paraId="3C7A15AD" w14:textId="5FC65C12" w:rsidR="006A52ED" w:rsidRPr="00E479D4" w:rsidRDefault="00F17EC4" w:rsidP="00270F80">
            <w:pPr>
              <w:pStyle w:val="ListParagraph"/>
              <w:numPr>
                <w:ilvl w:val="0"/>
                <w:numId w:val="38"/>
              </w:numPr>
              <w:rPr>
                <w:sz w:val="24"/>
                <w:szCs w:val="24"/>
              </w:rPr>
            </w:pPr>
            <w:r w:rsidRPr="006F4B97">
              <w:rPr>
                <w:sz w:val="24"/>
                <w:szCs w:val="24"/>
              </w:rPr>
              <w:t>Civil Liberties Australia</w:t>
            </w:r>
          </w:p>
        </w:tc>
      </w:tr>
      <w:tr w:rsidR="006A52ED" w14:paraId="7BCF7514" w14:textId="77777777" w:rsidTr="00270F80">
        <w:tc>
          <w:tcPr>
            <w:tcW w:w="4211" w:type="dxa"/>
          </w:tcPr>
          <w:p w14:paraId="0227BAAC" w14:textId="063F9ACD" w:rsidR="006A52ED" w:rsidRPr="00F37FBB" w:rsidRDefault="00F17EC4" w:rsidP="00270F80">
            <w:pPr>
              <w:pStyle w:val="ListParagraph"/>
              <w:numPr>
                <w:ilvl w:val="0"/>
                <w:numId w:val="38"/>
              </w:numPr>
              <w:rPr>
                <w:sz w:val="24"/>
                <w:szCs w:val="24"/>
              </w:rPr>
            </w:pPr>
            <w:r w:rsidRPr="004153A4">
              <w:rPr>
                <w:sz w:val="24"/>
                <w:szCs w:val="24"/>
              </w:rPr>
              <w:t>Communications Alliance</w:t>
            </w:r>
          </w:p>
        </w:tc>
        <w:tc>
          <w:tcPr>
            <w:tcW w:w="4085" w:type="dxa"/>
          </w:tcPr>
          <w:p w14:paraId="49311A6C" w14:textId="2E245703" w:rsidR="006A52ED" w:rsidRDefault="00F17EC4" w:rsidP="00270F80">
            <w:pPr>
              <w:pStyle w:val="ListParagraph"/>
              <w:numPr>
                <w:ilvl w:val="0"/>
                <w:numId w:val="38"/>
              </w:numPr>
              <w:rPr>
                <w:sz w:val="24"/>
                <w:szCs w:val="24"/>
              </w:rPr>
            </w:pPr>
            <w:proofErr w:type="spellStart"/>
            <w:r w:rsidRPr="006F4B97">
              <w:rPr>
                <w:sz w:val="24"/>
                <w:szCs w:val="24"/>
              </w:rPr>
              <w:t>Competere</w:t>
            </w:r>
            <w:proofErr w:type="spellEnd"/>
          </w:p>
        </w:tc>
      </w:tr>
      <w:tr w:rsidR="006A52ED" w14:paraId="64A5470D" w14:textId="77777777" w:rsidTr="00270F80">
        <w:tc>
          <w:tcPr>
            <w:tcW w:w="4211" w:type="dxa"/>
          </w:tcPr>
          <w:p w14:paraId="60CB7AEC" w14:textId="15CEDA19" w:rsidR="006A52ED" w:rsidRPr="00E479D4" w:rsidRDefault="00F17EC4" w:rsidP="00270F80">
            <w:pPr>
              <w:pStyle w:val="ListParagraph"/>
              <w:numPr>
                <w:ilvl w:val="0"/>
                <w:numId w:val="38"/>
              </w:numPr>
              <w:rPr>
                <w:sz w:val="24"/>
                <w:szCs w:val="24"/>
              </w:rPr>
            </w:pPr>
            <w:r w:rsidRPr="006F4B97">
              <w:rPr>
                <w:sz w:val="24"/>
                <w:szCs w:val="24"/>
              </w:rPr>
              <w:t>Complementary Medicines Australia</w:t>
            </w:r>
          </w:p>
        </w:tc>
        <w:tc>
          <w:tcPr>
            <w:tcW w:w="4085" w:type="dxa"/>
          </w:tcPr>
          <w:p w14:paraId="793796E8" w14:textId="53C84E52" w:rsidR="006A52ED" w:rsidRPr="006F4B97" w:rsidRDefault="00F17EC4" w:rsidP="00270F80">
            <w:pPr>
              <w:pStyle w:val="ListParagraph"/>
              <w:numPr>
                <w:ilvl w:val="0"/>
                <w:numId w:val="38"/>
              </w:numPr>
              <w:rPr>
                <w:sz w:val="24"/>
                <w:szCs w:val="24"/>
              </w:rPr>
            </w:pPr>
            <w:r w:rsidRPr="006F4B97">
              <w:rPr>
                <w:sz w:val="24"/>
                <w:szCs w:val="24"/>
              </w:rPr>
              <w:t>Conference of Asia Pacific Express Carriers (CAPEC)</w:t>
            </w:r>
          </w:p>
        </w:tc>
      </w:tr>
      <w:tr w:rsidR="006A52ED" w14:paraId="4EBB8464" w14:textId="77777777" w:rsidTr="00270F80">
        <w:tc>
          <w:tcPr>
            <w:tcW w:w="4211" w:type="dxa"/>
          </w:tcPr>
          <w:p w14:paraId="33A3B8D5" w14:textId="53C7509F" w:rsidR="006A52ED" w:rsidRPr="00F37FBB" w:rsidRDefault="00F17EC4" w:rsidP="00270F80">
            <w:pPr>
              <w:pStyle w:val="ListParagraph"/>
              <w:numPr>
                <w:ilvl w:val="0"/>
                <w:numId w:val="38"/>
              </w:numPr>
              <w:rPr>
                <w:sz w:val="24"/>
                <w:szCs w:val="24"/>
              </w:rPr>
            </w:pPr>
            <w:r w:rsidRPr="007F74CD">
              <w:rPr>
                <w:sz w:val="24"/>
                <w:szCs w:val="24"/>
              </w:rPr>
              <w:t>Consult Australia</w:t>
            </w:r>
          </w:p>
        </w:tc>
        <w:tc>
          <w:tcPr>
            <w:tcW w:w="4085" w:type="dxa"/>
          </w:tcPr>
          <w:p w14:paraId="2AF68791" w14:textId="4BA92CD3" w:rsidR="006A52ED" w:rsidRDefault="00F17EC4" w:rsidP="00270F80">
            <w:pPr>
              <w:pStyle w:val="ListParagraph"/>
              <w:numPr>
                <w:ilvl w:val="0"/>
                <w:numId w:val="38"/>
              </w:numPr>
              <w:rPr>
                <w:sz w:val="24"/>
                <w:szCs w:val="24"/>
              </w:rPr>
            </w:pPr>
            <w:r w:rsidRPr="005F3A56">
              <w:rPr>
                <w:sz w:val="24"/>
                <w:szCs w:val="24"/>
              </w:rPr>
              <w:t>Consumer’s Federation of Australia</w:t>
            </w:r>
          </w:p>
        </w:tc>
      </w:tr>
      <w:tr w:rsidR="00556F99" w14:paraId="5E7CF4A0" w14:textId="77777777" w:rsidTr="00270F80">
        <w:tc>
          <w:tcPr>
            <w:tcW w:w="4211" w:type="dxa"/>
          </w:tcPr>
          <w:p w14:paraId="4F20335C" w14:textId="7AC18F7D" w:rsidR="00556F99" w:rsidRPr="007F74CD" w:rsidRDefault="00556F99" w:rsidP="00270F80">
            <w:pPr>
              <w:pStyle w:val="ListParagraph"/>
              <w:numPr>
                <w:ilvl w:val="0"/>
                <w:numId w:val="38"/>
              </w:numPr>
              <w:rPr>
                <w:sz w:val="24"/>
                <w:szCs w:val="24"/>
              </w:rPr>
            </w:pPr>
            <w:r w:rsidRPr="005F3A56">
              <w:rPr>
                <w:sz w:val="24"/>
                <w:szCs w:val="24"/>
              </w:rPr>
              <w:t>Council of Small Business Australia</w:t>
            </w:r>
          </w:p>
        </w:tc>
        <w:tc>
          <w:tcPr>
            <w:tcW w:w="4085" w:type="dxa"/>
          </w:tcPr>
          <w:p w14:paraId="215F423D" w14:textId="47C766C8" w:rsidR="00556F99" w:rsidRPr="005F3A56" w:rsidRDefault="00CB0568" w:rsidP="00270F80">
            <w:pPr>
              <w:pStyle w:val="ListParagraph"/>
              <w:numPr>
                <w:ilvl w:val="0"/>
                <w:numId w:val="38"/>
              </w:numPr>
              <w:rPr>
                <w:sz w:val="24"/>
                <w:szCs w:val="24"/>
              </w:rPr>
            </w:pPr>
            <w:r w:rsidRPr="006F4B97">
              <w:rPr>
                <w:sz w:val="24"/>
                <w:szCs w:val="24"/>
              </w:rPr>
              <w:t>CPA Australia</w:t>
            </w:r>
          </w:p>
        </w:tc>
      </w:tr>
      <w:tr w:rsidR="006A52ED" w14:paraId="74590FC6" w14:textId="77777777" w:rsidTr="00270F80">
        <w:tc>
          <w:tcPr>
            <w:tcW w:w="4211" w:type="dxa"/>
          </w:tcPr>
          <w:p w14:paraId="0AD2CB72" w14:textId="5C66567F" w:rsidR="006A52ED" w:rsidRPr="006F4B97" w:rsidRDefault="00CB0568" w:rsidP="00270F80">
            <w:pPr>
              <w:pStyle w:val="ListParagraph"/>
              <w:numPr>
                <w:ilvl w:val="0"/>
                <w:numId w:val="38"/>
              </w:numPr>
              <w:rPr>
                <w:sz w:val="24"/>
                <w:szCs w:val="24"/>
              </w:rPr>
            </w:pPr>
            <w:r w:rsidRPr="00323FD8">
              <w:rPr>
                <w:sz w:val="24"/>
                <w:szCs w:val="24"/>
              </w:rPr>
              <w:t>Customs Brokers and Forwarders Council of Australia</w:t>
            </w:r>
          </w:p>
        </w:tc>
        <w:tc>
          <w:tcPr>
            <w:tcW w:w="4085" w:type="dxa"/>
          </w:tcPr>
          <w:p w14:paraId="53D38318" w14:textId="64C15DB9" w:rsidR="006A52ED" w:rsidRPr="006F4B97" w:rsidRDefault="00CB0568" w:rsidP="00270F80">
            <w:pPr>
              <w:pStyle w:val="ListParagraph"/>
              <w:numPr>
                <w:ilvl w:val="0"/>
                <w:numId w:val="38"/>
              </w:numPr>
              <w:rPr>
                <w:sz w:val="24"/>
                <w:szCs w:val="24"/>
              </w:rPr>
            </w:pPr>
            <w:r w:rsidRPr="00323FD8">
              <w:rPr>
                <w:sz w:val="24"/>
                <w:szCs w:val="24"/>
              </w:rPr>
              <w:t>Dairy Australia</w:t>
            </w:r>
          </w:p>
        </w:tc>
      </w:tr>
      <w:tr w:rsidR="006A52ED" w14:paraId="52000418" w14:textId="77777777" w:rsidTr="00270F80">
        <w:tc>
          <w:tcPr>
            <w:tcW w:w="4211" w:type="dxa"/>
          </w:tcPr>
          <w:p w14:paraId="17BF19E4" w14:textId="56D6BED5" w:rsidR="006A52ED" w:rsidRPr="00F37FBB" w:rsidRDefault="00CB0568" w:rsidP="00270F80">
            <w:pPr>
              <w:pStyle w:val="ListParagraph"/>
              <w:numPr>
                <w:ilvl w:val="0"/>
                <w:numId w:val="38"/>
              </w:numPr>
              <w:rPr>
                <w:sz w:val="24"/>
                <w:szCs w:val="24"/>
              </w:rPr>
            </w:pPr>
            <w:r w:rsidRPr="0095034D">
              <w:rPr>
                <w:sz w:val="24"/>
                <w:szCs w:val="24"/>
              </w:rPr>
              <w:t>Design Institute of Australia</w:t>
            </w:r>
          </w:p>
        </w:tc>
        <w:tc>
          <w:tcPr>
            <w:tcW w:w="4085" w:type="dxa"/>
          </w:tcPr>
          <w:p w14:paraId="1950F627" w14:textId="2CB40003" w:rsidR="006A52ED" w:rsidRDefault="00CB0568" w:rsidP="00270F80">
            <w:pPr>
              <w:pStyle w:val="ListParagraph"/>
              <w:numPr>
                <w:ilvl w:val="0"/>
                <w:numId w:val="38"/>
              </w:numPr>
              <w:rPr>
                <w:sz w:val="24"/>
                <w:szCs w:val="24"/>
              </w:rPr>
            </w:pPr>
            <w:r w:rsidRPr="006F4B97">
              <w:rPr>
                <w:sz w:val="24"/>
                <w:szCs w:val="24"/>
              </w:rPr>
              <w:t>Direct Selling Australia</w:t>
            </w:r>
          </w:p>
        </w:tc>
      </w:tr>
      <w:tr w:rsidR="006A52ED" w14:paraId="39EF4B66" w14:textId="77777777" w:rsidTr="00270F80">
        <w:tc>
          <w:tcPr>
            <w:tcW w:w="4211" w:type="dxa"/>
          </w:tcPr>
          <w:p w14:paraId="65A9E2F6" w14:textId="17657897" w:rsidR="006A52ED" w:rsidRPr="006F4B97" w:rsidRDefault="00CB0568" w:rsidP="00270F80">
            <w:pPr>
              <w:pStyle w:val="ListParagraph"/>
              <w:numPr>
                <w:ilvl w:val="0"/>
                <w:numId w:val="38"/>
              </w:numPr>
              <w:rPr>
                <w:sz w:val="24"/>
                <w:szCs w:val="24"/>
              </w:rPr>
            </w:pPr>
            <w:r w:rsidRPr="004153A4">
              <w:rPr>
                <w:sz w:val="24"/>
                <w:szCs w:val="24"/>
              </w:rPr>
              <w:t>Distilled Spirits Industry of Australia</w:t>
            </w:r>
          </w:p>
        </w:tc>
        <w:tc>
          <w:tcPr>
            <w:tcW w:w="4085" w:type="dxa"/>
          </w:tcPr>
          <w:p w14:paraId="4174D3D4" w14:textId="1673A12D" w:rsidR="006A52ED" w:rsidRPr="006F4B97" w:rsidRDefault="00CB0568" w:rsidP="00270F80">
            <w:pPr>
              <w:pStyle w:val="ListParagraph"/>
              <w:numPr>
                <w:ilvl w:val="0"/>
                <w:numId w:val="38"/>
              </w:numPr>
              <w:rPr>
                <w:sz w:val="24"/>
                <w:szCs w:val="24"/>
              </w:rPr>
            </w:pPr>
            <w:r w:rsidRPr="006F4B97">
              <w:rPr>
                <w:sz w:val="24"/>
                <w:szCs w:val="24"/>
              </w:rPr>
              <w:t>Electronic Frontiers Australia (EFA)</w:t>
            </w:r>
          </w:p>
        </w:tc>
      </w:tr>
      <w:tr w:rsidR="006A52ED" w14:paraId="31FCDFE2" w14:textId="77777777" w:rsidTr="00270F80">
        <w:tc>
          <w:tcPr>
            <w:tcW w:w="4211" w:type="dxa"/>
          </w:tcPr>
          <w:p w14:paraId="2C2C6AA9" w14:textId="6147A15A" w:rsidR="006A52ED" w:rsidRPr="006F4B97" w:rsidRDefault="00CB0568" w:rsidP="00270F80">
            <w:pPr>
              <w:pStyle w:val="ListParagraph"/>
              <w:numPr>
                <w:ilvl w:val="0"/>
                <w:numId w:val="38"/>
              </w:numPr>
              <w:rPr>
                <w:sz w:val="24"/>
                <w:szCs w:val="24"/>
              </w:rPr>
            </w:pPr>
            <w:r w:rsidRPr="006F4B97">
              <w:rPr>
                <w:sz w:val="24"/>
                <w:szCs w:val="24"/>
              </w:rPr>
              <w:t>Engineers Australia</w:t>
            </w:r>
          </w:p>
        </w:tc>
        <w:tc>
          <w:tcPr>
            <w:tcW w:w="4085" w:type="dxa"/>
          </w:tcPr>
          <w:p w14:paraId="3F04B0BC" w14:textId="0AF31849" w:rsidR="006A52ED" w:rsidRPr="006F4B97" w:rsidRDefault="00CB0568" w:rsidP="00270F80">
            <w:pPr>
              <w:pStyle w:val="ListParagraph"/>
              <w:numPr>
                <w:ilvl w:val="0"/>
                <w:numId w:val="38"/>
              </w:numPr>
              <w:rPr>
                <w:sz w:val="24"/>
                <w:szCs w:val="24"/>
              </w:rPr>
            </w:pPr>
            <w:r w:rsidRPr="005F3A56">
              <w:rPr>
                <w:sz w:val="24"/>
                <w:szCs w:val="24"/>
              </w:rPr>
              <w:t>European Australian Business Council (EABC)</w:t>
            </w:r>
          </w:p>
        </w:tc>
      </w:tr>
      <w:tr w:rsidR="006A52ED" w14:paraId="1FB95610" w14:textId="77777777" w:rsidTr="00270F80">
        <w:tc>
          <w:tcPr>
            <w:tcW w:w="4211" w:type="dxa"/>
          </w:tcPr>
          <w:p w14:paraId="4D25B4CC" w14:textId="6B26FEEB" w:rsidR="006A52ED" w:rsidRPr="00F37FBB" w:rsidRDefault="00CB0568" w:rsidP="00270F80">
            <w:pPr>
              <w:pStyle w:val="ListParagraph"/>
              <w:numPr>
                <w:ilvl w:val="0"/>
                <w:numId w:val="38"/>
              </w:numPr>
              <w:rPr>
                <w:sz w:val="24"/>
                <w:szCs w:val="24"/>
              </w:rPr>
            </w:pPr>
            <w:r w:rsidRPr="005F3A56">
              <w:rPr>
                <w:sz w:val="24"/>
                <w:szCs w:val="24"/>
              </w:rPr>
              <w:t>Export Council of Australia</w:t>
            </w:r>
          </w:p>
        </w:tc>
        <w:tc>
          <w:tcPr>
            <w:tcW w:w="4085" w:type="dxa"/>
          </w:tcPr>
          <w:p w14:paraId="3A95CBD4" w14:textId="181628EE" w:rsidR="006A52ED" w:rsidRDefault="00CB0568" w:rsidP="00270F80">
            <w:pPr>
              <w:pStyle w:val="ListParagraph"/>
              <w:numPr>
                <w:ilvl w:val="0"/>
                <w:numId w:val="38"/>
              </w:numPr>
              <w:rPr>
                <w:sz w:val="24"/>
                <w:szCs w:val="24"/>
              </w:rPr>
            </w:pPr>
            <w:r w:rsidRPr="004153A4">
              <w:rPr>
                <w:sz w:val="24"/>
                <w:szCs w:val="24"/>
              </w:rPr>
              <w:t>Federal Chamber of Automotive Industries</w:t>
            </w:r>
          </w:p>
        </w:tc>
      </w:tr>
      <w:tr w:rsidR="006A52ED" w14:paraId="0E9F93CB" w14:textId="77777777" w:rsidTr="00270F80">
        <w:tc>
          <w:tcPr>
            <w:tcW w:w="4211" w:type="dxa"/>
          </w:tcPr>
          <w:p w14:paraId="242779AF" w14:textId="7B83B8AA" w:rsidR="006A52ED" w:rsidRPr="00F37FBB" w:rsidRDefault="00CB0568" w:rsidP="00270F80">
            <w:pPr>
              <w:pStyle w:val="ListParagraph"/>
              <w:numPr>
                <w:ilvl w:val="0"/>
                <w:numId w:val="38"/>
              </w:numPr>
              <w:rPr>
                <w:sz w:val="24"/>
                <w:szCs w:val="24"/>
              </w:rPr>
            </w:pPr>
            <w:proofErr w:type="spellStart"/>
            <w:r w:rsidRPr="006F4B97">
              <w:rPr>
                <w:sz w:val="24"/>
                <w:szCs w:val="24"/>
              </w:rPr>
              <w:t>Femeconomy</w:t>
            </w:r>
            <w:proofErr w:type="spellEnd"/>
          </w:p>
        </w:tc>
        <w:tc>
          <w:tcPr>
            <w:tcW w:w="4085" w:type="dxa"/>
          </w:tcPr>
          <w:p w14:paraId="1973E832" w14:textId="62793F2D" w:rsidR="006A52ED" w:rsidRDefault="00CB0568" w:rsidP="00270F80">
            <w:pPr>
              <w:pStyle w:val="ListParagraph"/>
              <w:numPr>
                <w:ilvl w:val="0"/>
                <w:numId w:val="38"/>
              </w:numPr>
              <w:rPr>
                <w:sz w:val="24"/>
                <w:szCs w:val="24"/>
              </w:rPr>
            </w:pPr>
            <w:r w:rsidRPr="00323FD8">
              <w:rPr>
                <w:sz w:val="24"/>
                <w:szCs w:val="24"/>
              </w:rPr>
              <w:t>Food and Beverage Importer Association</w:t>
            </w:r>
          </w:p>
        </w:tc>
      </w:tr>
      <w:tr w:rsidR="006A52ED" w14:paraId="27881292" w14:textId="77777777" w:rsidTr="00270F80">
        <w:tc>
          <w:tcPr>
            <w:tcW w:w="4211" w:type="dxa"/>
          </w:tcPr>
          <w:p w14:paraId="1AF58D1E" w14:textId="0768D341" w:rsidR="006A52ED" w:rsidRPr="006F4B97" w:rsidRDefault="00CB0568" w:rsidP="00270F80">
            <w:pPr>
              <w:pStyle w:val="ListParagraph"/>
              <w:numPr>
                <w:ilvl w:val="0"/>
                <w:numId w:val="38"/>
              </w:numPr>
              <w:rPr>
                <w:sz w:val="24"/>
                <w:szCs w:val="24"/>
              </w:rPr>
            </w:pPr>
            <w:r>
              <w:rPr>
                <w:sz w:val="24"/>
                <w:szCs w:val="24"/>
              </w:rPr>
              <w:t>Financial Services Council</w:t>
            </w:r>
          </w:p>
        </w:tc>
        <w:tc>
          <w:tcPr>
            <w:tcW w:w="4085" w:type="dxa"/>
          </w:tcPr>
          <w:p w14:paraId="59337E7B" w14:textId="3CD4A326" w:rsidR="006A52ED" w:rsidRPr="006F4B97" w:rsidRDefault="00CB0568" w:rsidP="00270F80">
            <w:pPr>
              <w:pStyle w:val="ListParagraph"/>
              <w:numPr>
                <w:ilvl w:val="0"/>
                <w:numId w:val="38"/>
              </w:numPr>
              <w:rPr>
                <w:sz w:val="24"/>
                <w:szCs w:val="24"/>
              </w:rPr>
            </w:pPr>
            <w:r w:rsidRPr="006F4B97">
              <w:rPr>
                <w:sz w:val="24"/>
                <w:szCs w:val="24"/>
              </w:rPr>
              <w:t>Fintech Australia</w:t>
            </w:r>
          </w:p>
        </w:tc>
      </w:tr>
      <w:tr w:rsidR="006A52ED" w14:paraId="59B91F2A" w14:textId="77777777" w:rsidTr="00270F80">
        <w:tc>
          <w:tcPr>
            <w:tcW w:w="4211" w:type="dxa"/>
          </w:tcPr>
          <w:p w14:paraId="2A3D355F" w14:textId="32861390" w:rsidR="006A52ED" w:rsidRPr="006F4B97" w:rsidRDefault="00CB0568" w:rsidP="00270F80">
            <w:pPr>
              <w:pStyle w:val="ListParagraph"/>
              <w:numPr>
                <w:ilvl w:val="0"/>
                <w:numId w:val="38"/>
              </w:numPr>
              <w:rPr>
                <w:sz w:val="24"/>
                <w:szCs w:val="24"/>
              </w:rPr>
            </w:pPr>
            <w:r w:rsidRPr="006F4B97">
              <w:rPr>
                <w:sz w:val="24"/>
                <w:szCs w:val="24"/>
              </w:rPr>
              <w:t>Fisheries Research and Development Corporation (FRDC)</w:t>
            </w:r>
          </w:p>
        </w:tc>
        <w:tc>
          <w:tcPr>
            <w:tcW w:w="4085" w:type="dxa"/>
          </w:tcPr>
          <w:p w14:paraId="0935382F" w14:textId="15B96089" w:rsidR="006A52ED" w:rsidRPr="006F4B97" w:rsidRDefault="00CB0568" w:rsidP="00270F80">
            <w:pPr>
              <w:pStyle w:val="ListParagraph"/>
              <w:numPr>
                <w:ilvl w:val="0"/>
                <w:numId w:val="38"/>
              </w:numPr>
              <w:rPr>
                <w:sz w:val="24"/>
                <w:szCs w:val="24"/>
              </w:rPr>
            </w:pPr>
            <w:r w:rsidRPr="006F4B97">
              <w:rPr>
                <w:sz w:val="24"/>
                <w:szCs w:val="24"/>
              </w:rPr>
              <w:t>Food Frontier</w:t>
            </w:r>
          </w:p>
        </w:tc>
      </w:tr>
      <w:tr w:rsidR="006A52ED" w14:paraId="2ECC1DC7" w14:textId="77777777" w:rsidTr="00270F80">
        <w:tc>
          <w:tcPr>
            <w:tcW w:w="4211" w:type="dxa"/>
          </w:tcPr>
          <w:p w14:paraId="22E3323F" w14:textId="44E25A2C" w:rsidR="006A52ED" w:rsidRPr="006F4B97" w:rsidRDefault="00CB0568" w:rsidP="00270F80">
            <w:pPr>
              <w:pStyle w:val="ListParagraph"/>
              <w:numPr>
                <w:ilvl w:val="0"/>
                <w:numId w:val="38"/>
              </w:numPr>
              <w:rPr>
                <w:sz w:val="24"/>
                <w:szCs w:val="24"/>
              </w:rPr>
            </w:pPr>
            <w:r w:rsidRPr="006F4B97">
              <w:rPr>
                <w:sz w:val="24"/>
                <w:szCs w:val="24"/>
              </w:rPr>
              <w:lastRenderedPageBreak/>
              <w:t>Freight &amp; Trade Alliance</w:t>
            </w:r>
          </w:p>
        </w:tc>
        <w:tc>
          <w:tcPr>
            <w:tcW w:w="4085" w:type="dxa"/>
          </w:tcPr>
          <w:p w14:paraId="010B6FC9" w14:textId="5A567523" w:rsidR="006A52ED" w:rsidRPr="006F4B97" w:rsidRDefault="00CB0568" w:rsidP="00270F80">
            <w:pPr>
              <w:pStyle w:val="ListParagraph"/>
              <w:numPr>
                <w:ilvl w:val="0"/>
                <w:numId w:val="38"/>
              </w:numPr>
              <w:rPr>
                <w:sz w:val="24"/>
                <w:szCs w:val="24"/>
              </w:rPr>
            </w:pPr>
            <w:proofErr w:type="spellStart"/>
            <w:r w:rsidRPr="0095034D">
              <w:rPr>
                <w:sz w:val="24"/>
                <w:szCs w:val="24"/>
              </w:rPr>
              <w:t>Futurefund</w:t>
            </w:r>
            <w:proofErr w:type="spellEnd"/>
          </w:p>
        </w:tc>
      </w:tr>
      <w:tr w:rsidR="006A52ED" w14:paraId="4727264E" w14:textId="77777777" w:rsidTr="00270F80">
        <w:tc>
          <w:tcPr>
            <w:tcW w:w="4211" w:type="dxa"/>
          </w:tcPr>
          <w:p w14:paraId="679F3821" w14:textId="10EE64BC" w:rsidR="006A52ED" w:rsidRPr="00F37FBB" w:rsidRDefault="00CB0568" w:rsidP="00270F80">
            <w:pPr>
              <w:pStyle w:val="ListParagraph"/>
              <w:numPr>
                <w:ilvl w:val="0"/>
                <w:numId w:val="38"/>
              </w:numPr>
              <w:rPr>
                <w:sz w:val="24"/>
                <w:szCs w:val="24"/>
              </w:rPr>
            </w:pPr>
            <w:r w:rsidRPr="006F4B97">
              <w:rPr>
                <w:sz w:val="24"/>
                <w:szCs w:val="24"/>
              </w:rPr>
              <w:t>Geraldton Fishermen’s Co-operative</w:t>
            </w:r>
          </w:p>
        </w:tc>
        <w:tc>
          <w:tcPr>
            <w:tcW w:w="4085" w:type="dxa"/>
          </w:tcPr>
          <w:p w14:paraId="6239315A" w14:textId="5F57B2BA" w:rsidR="006A52ED" w:rsidRDefault="00CB0568" w:rsidP="00270F80">
            <w:pPr>
              <w:pStyle w:val="ListParagraph"/>
              <w:numPr>
                <w:ilvl w:val="0"/>
                <w:numId w:val="38"/>
              </w:numPr>
              <w:rPr>
                <w:sz w:val="24"/>
                <w:szCs w:val="24"/>
              </w:rPr>
            </w:pPr>
            <w:r w:rsidRPr="006F4B97">
              <w:rPr>
                <w:sz w:val="24"/>
                <w:szCs w:val="24"/>
              </w:rPr>
              <w:t>GlaxoSmithKline (GSK)</w:t>
            </w:r>
          </w:p>
        </w:tc>
      </w:tr>
      <w:tr w:rsidR="006A52ED" w14:paraId="7DA68CC6" w14:textId="77777777" w:rsidTr="00270F80">
        <w:tc>
          <w:tcPr>
            <w:tcW w:w="4211" w:type="dxa"/>
          </w:tcPr>
          <w:p w14:paraId="43F56BA8" w14:textId="0866035D" w:rsidR="006A52ED" w:rsidRPr="00F37FBB" w:rsidRDefault="00CB0568" w:rsidP="00270F80">
            <w:pPr>
              <w:pStyle w:val="ListParagraph"/>
              <w:numPr>
                <w:ilvl w:val="0"/>
                <w:numId w:val="38"/>
              </w:numPr>
              <w:rPr>
                <w:sz w:val="24"/>
                <w:szCs w:val="24"/>
              </w:rPr>
            </w:pPr>
            <w:r w:rsidRPr="005F3A56">
              <w:rPr>
                <w:sz w:val="24"/>
                <w:szCs w:val="24"/>
              </w:rPr>
              <w:t>Global Trade Professionals Alliance</w:t>
            </w:r>
          </w:p>
        </w:tc>
        <w:tc>
          <w:tcPr>
            <w:tcW w:w="4085" w:type="dxa"/>
          </w:tcPr>
          <w:p w14:paraId="392FE665" w14:textId="424D34A1" w:rsidR="006A52ED" w:rsidRDefault="00CB0568" w:rsidP="00270F80">
            <w:pPr>
              <w:pStyle w:val="ListParagraph"/>
              <w:numPr>
                <w:ilvl w:val="0"/>
                <w:numId w:val="38"/>
              </w:numPr>
              <w:rPr>
                <w:sz w:val="24"/>
                <w:szCs w:val="24"/>
              </w:rPr>
            </w:pPr>
            <w:r>
              <w:rPr>
                <w:sz w:val="24"/>
                <w:szCs w:val="24"/>
              </w:rPr>
              <w:t>Grain Growers Australia</w:t>
            </w:r>
          </w:p>
        </w:tc>
      </w:tr>
      <w:tr w:rsidR="006A52ED" w14:paraId="57B1966A" w14:textId="77777777" w:rsidTr="00270F80">
        <w:tc>
          <w:tcPr>
            <w:tcW w:w="4211" w:type="dxa"/>
          </w:tcPr>
          <w:p w14:paraId="79739132" w14:textId="7131D34D" w:rsidR="006A52ED" w:rsidRPr="006F4B97" w:rsidRDefault="00CB0568" w:rsidP="00270F80">
            <w:pPr>
              <w:pStyle w:val="ListParagraph"/>
              <w:numPr>
                <w:ilvl w:val="0"/>
                <w:numId w:val="38"/>
              </w:numPr>
              <w:rPr>
                <w:sz w:val="24"/>
                <w:szCs w:val="24"/>
              </w:rPr>
            </w:pPr>
            <w:r w:rsidRPr="00323FD8">
              <w:rPr>
                <w:sz w:val="24"/>
                <w:szCs w:val="24"/>
              </w:rPr>
              <w:t>Grains Industry Market Access Forum</w:t>
            </w:r>
          </w:p>
        </w:tc>
        <w:tc>
          <w:tcPr>
            <w:tcW w:w="4085" w:type="dxa"/>
          </w:tcPr>
          <w:p w14:paraId="61962260" w14:textId="6562D6C5" w:rsidR="006A52ED" w:rsidRPr="006F4B97" w:rsidRDefault="00CB0568" w:rsidP="00270F80">
            <w:pPr>
              <w:pStyle w:val="ListParagraph"/>
              <w:numPr>
                <w:ilvl w:val="0"/>
                <w:numId w:val="38"/>
              </w:numPr>
              <w:rPr>
                <w:sz w:val="24"/>
                <w:szCs w:val="24"/>
              </w:rPr>
            </w:pPr>
            <w:r w:rsidRPr="00323FD8">
              <w:rPr>
                <w:sz w:val="24"/>
                <w:szCs w:val="24"/>
              </w:rPr>
              <w:t>Grains Research and Development Corporation</w:t>
            </w:r>
          </w:p>
        </w:tc>
      </w:tr>
      <w:tr w:rsidR="006A52ED" w14:paraId="0A07E45E" w14:textId="77777777" w:rsidTr="00270F80">
        <w:tc>
          <w:tcPr>
            <w:tcW w:w="4211" w:type="dxa"/>
          </w:tcPr>
          <w:p w14:paraId="52E43CAB" w14:textId="1647F7EF" w:rsidR="006A52ED" w:rsidRPr="00323FD8" w:rsidRDefault="00CB0568" w:rsidP="00270F80">
            <w:pPr>
              <w:pStyle w:val="ListParagraph"/>
              <w:numPr>
                <w:ilvl w:val="0"/>
                <w:numId w:val="38"/>
              </w:numPr>
              <w:rPr>
                <w:sz w:val="24"/>
                <w:szCs w:val="24"/>
              </w:rPr>
            </w:pPr>
            <w:r w:rsidRPr="00776767">
              <w:rPr>
                <w:sz w:val="24"/>
                <w:szCs w:val="24"/>
              </w:rPr>
              <w:t>Herbalife Nutrition</w:t>
            </w:r>
          </w:p>
        </w:tc>
        <w:tc>
          <w:tcPr>
            <w:tcW w:w="4085" w:type="dxa"/>
          </w:tcPr>
          <w:p w14:paraId="18F855FF" w14:textId="45355C30" w:rsidR="006A52ED" w:rsidRPr="00323FD8" w:rsidRDefault="00CB0568" w:rsidP="00270F80">
            <w:pPr>
              <w:pStyle w:val="ListParagraph"/>
              <w:numPr>
                <w:ilvl w:val="0"/>
                <w:numId w:val="38"/>
              </w:numPr>
              <w:rPr>
                <w:sz w:val="24"/>
                <w:szCs w:val="24"/>
              </w:rPr>
            </w:pPr>
            <w:r w:rsidRPr="005F3A56">
              <w:rPr>
                <w:sz w:val="24"/>
                <w:szCs w:val="24"/>
              </w:rPr>
              <w:t>Indigenous Network for Investment, Trade &amp; Export (IGNITE)</w:t>
            </w:r>
          </w:p>
        </w:tc>
      </w:tr>
      <w:tr w:rsidR="006A52ED" w14:paraId="3B5F6FA6" w14:textId="77777777" w:rsidTr="00270F80">
        <w:tc>
          <w:tcPr>
            <w:tcW w:w="4211" w:type="dxa"/>
          </w:tcPr>
          <w:p w14:paraId="6BD09D9F" w14:textId="72F96A85" w:rsidR="006A52ED" w:rsidRPr="00F37FBB" w:rsidRDefault="00CB0568" w:rsidP="00270F80">
            <w:pPr>
              <w:pStyle w:val="ListParagraph"/>
              <w:numPr>
                <w:ilvl w:val="0"/>
                <w:numId w:val="38"/>
              </w:numPr>
              <w:rPr>
                <w:sz w:val="24"/>
                <w:szCs w:val="24"/>
              </w:rPr>
            </w:pPr>
            <w:r w:rsidRPr="00776767">
              <w:rPr>
                <w:sz w:val="24"/>
                <w:szCs w:val="24"/>
              </w:rPr>
              <w:t>Institute of Public Accountants (IPA)</w:t>
            </w:r>
          </w:p>
        </w:tc>
        <w:tc>
          <w:tcPr>
            <w:tcW w:w="4085" w:type="dxa"/>
          </w:tcPr>
          <w:p w14:paraId="3D3BD4CC" w14:textId="0D1DCE99" w:rsidR="006A52ED" w:rsidRDefault="00CB0568" w:rsidP="00270F80">
            <w:pPr>
              <w:pStyle w:val="ListParagraph"/>
              <w:numPr>
                <w:ilvl w:val="0"/>
                <w:numId w:val="38"/>
              </w:numPr>
              <w:rPr>
                <w:sz w:val="24"/>
                <w:szCs w:val="24"/>
              </w:rPr>
            </w:pPr>
            <w:r>
              <w:rPr>
                <w:sz w:val="24"/>
                <w:szCs w:val="24"/>
              </w:rPr>
              <w:t>Insurance Council of Australia</w:t>
            </w:r>
          </w:p>
        </w:tc>
      </w:tr>
      <w:tr w:rsidR="006A52ED" w14:paraId="2A980289" w14:textId="77777777" w:rsidTr="00270F80">
        <w:tc>
          <w:tcPr>
            <w:tcW w:w="4211" w:type="dxa"/>
          </w:tcPr>
          <w:p w14:paraId="574B0F77" w14:textId="1696FA13" w:rsidR="006A52ED" w:rsidRPr="00F37FBB" w:rsidRDefault="00CB0568" w:rsidP="00270F80">
            <w:pPr>
              <w:pStyle w:val="ListParagraph"/>
              <w:numPr>
                <w:ilvl w:val="0"/>
                <w:numId w:val="38"/>
              </w:numPr>
              <w:rPr>
                <w:sz w:val="24"/>
                <w:szCs w:val="24"/>
              </w:rPr>
            </w:pPr>
            <w:r w:rsidRPr="00776767">
              <w:rPr>
                <w:sz w:val="24"/>
                <w:szCs w:val="24"/>
              </w:rPr>
              <w:t>International Chamber of Commerce Australia</w:t>
            </w:r>
          </w:p>
        </w:tc>
        <w:tc>
          <w:tcPr>
            <w:tcW w:w="4085" w:type="dxa"/>
          </w:tcPr>
          <w:p w14:paraId="759D321A" w14:textId="335BD5C7" w:rsidR="006A52ED" w:rsidRDefault="00CB0568" w:rsidP="00270F80">
            <w:pPr>
              <w:pStyle w:val="ListParagraph"/>
              <w:numPr>
                <w:ilvl w:val="0"/>
                <w:numId w:val="38"/>
              </w:numPr>
              <w:rPr>
                <w:sz w:val="24"/>
                <w:szCs w:val="24"/>
              </w:rPr>
            </w:pPr>
            <w:r w:rsidRPr="00776767">
              <w:rPr>
                <w:sz w:val="24"/>
                <w:szCs w:val="24"/>
              </w:rPr>
              <w:t>International Education Association of Australia</w:t>
            </w:r>
          </w:p>
        </w:tc>
      </w:tr>
      <w:tr w:rsidR="006A52ED" w14:paraId="6406665B" w14:textId="77777777" w:rsidTr="00270F80">
        <w:tc>
          <w:tcPr>
            <w:tcW w:w="4211" w:type="dxa"/>
          </w:tcPr>
          <w:p w14:paraId="24A61B9C" w14:textId="347E4179" w:rsidR="006A52ED" w:rsidRPr="00F37FBB" w:rsidRDefault="008F4DE3" w:rsidP="00270F80">
            <w:pPr>
              <w:pStyle w:val="ListParagraph"/>
              <w:numPr>
                <w:ilvl w:val="0"/>
                <w:numId w:val="38"/>
              </w:numPr>
              <w:rPr>
                <w:sz w:val="24"/>
                <w:szCs w:val="24"/>
              </w:rPr>
            </w:pPr>
            <w:r w:rsidRPr="00776767">
              <w:rPr>
                <w:sz w:val="24"/>
                <w:szCs w:val="24"/>
              </w:rPr>
              <w:t>IP Federation</w:t>
            </w:r>
          </w:p>
        </w:tc>
        <w:tc>
          <w:tcPr>
            <w:tcW w:w="4085" w:type="dxa"/>
          </w:tcPr>
          <w:p w14:paraId="137E0159" w14:textId="5B2408DF" w:rsidR="006A52ED" w:rsidRDefault="008F4DE3" w:rsidP="00270F80">
            <w:pPr>
              <w:pStyle w:val="ListParagraph"/>
              <w:numPr>
                <w:ilvl w:val="0"/>
                <w:numId w:val="38"/>
              </w:numPr>
              <w:rPr>
                <w:sz w:val="24"/>
                <w:szCs w:val="24"/>
              </w:rPr>
            </w:pPr>
            <w:r w:rsidRPr="00776767">
              <w:rPr>
                <w:sz w:val="24"/>
                <w:szCs w:val="24"/>
              </w:rPr>
              <w:t>Joint Accounting Bodies</w:t>
            </w:r>
          </w:p>
        </w:tc>
      </w:tr>
      <w:tr w:rsidR="006A52ED" w14:paraId="2772146E" w14:textId="77777777" w:rsidTr="00270F80">
        <w:tc>
          <w:tcPr>
            <w:tcW w:w="4211" w:type="dxa"/>
          </w:tcPr>
          <w:p w14:paraId="6491A5A5" w14:textId="7C537F96" w:rsidR="006A52ED" w:rsidRPr="00E479D4" w:rsidRDefault="008F4DE3" w:rsidP="00270F80">
            <w:pPr>
              <w:pStyle w:val="ListParagraph"/>
              <w:numPr>
                <w:ilvl w:val="0"/>
                <w:numId w:val="38"/>
              </w:numPr>
              <w:rPr>
                <w:sz w:val="24"/>
                <w:szCs w:val="24"/>
              </w:rPr>
            </w:pPr>
            <w:r w:rsidRPr="00776767">
              <w:rPr>
                <w:sz w:val="24"/>
                <w:szCs w:val="24"/>
              </w:rPr>
              <w:t>Just Biodiesel</w:t>
            </w:r>
          </w:p>
        </w:tc>
        <w:tc>
          <w:tcPr>
            <w:tcW w:w="4085" w:type="dxa"/>
          </w:tcPr>
          <w:p w14:paraId="428C9D0F" w14:textId="1C6162FC" w:rsidR="006A52ED" w:rsidRDefault="008F4DE3" w:rsidP="00270F80">
            <w:pPr>
              <w:pStyle w:val="ListParagraph"/>
              <w:numPr>
                <w:ilvl w:val="0"/>
                <w:numId w:val="38"/>
              </w:numPr>
              <w:rPr>
                <w:sz w:val="24"/>
                <w:szCs w:val="24"/>
              </w:rPr>
            </w:pPr>
            <w:r w:rsidRPr="00776767">
              <w:rPr>
                <w:sz w:val="24"/>
                <w:szCs w:val="24"/>
              </w:rPr>
              <w:t>Law Council of Australia</w:t>
            </w:r>
          </w:p>
        </w:tc>
      </w:tr>
      <w:tr w:rsidR="006A52ED" w14:paraId="1F09C189" w14:textId="77777777" w:rsidTr="00270F80">
        <w:tc>
          <w:tcPr>
            <w:tcW w:w="4211" w:type="dxa"/>
          </w:tcPr>
          <w:p w14:paraId="5E867A7A" w14:textId="1A9ADE9F" w:rsidR="006A52ED" w:rsidRPr="00E479D4" w:rsidRDefault="008F4DE3" w:rsidP="00270F80">
            <w:pPr>
              <w:pStyle w:val="ListParagraph"/>
              <w:numPr>
                <w:ilvl w:val="0"/>
                <w:numId w:val="38"/>
              </w:numPr>
              <w:rPr>
                <w:sz w:val="24"/>
                <w:szCs w:val="24"/>
              </w:rPr>
            </w:pPr>
            <w:r>
              <w:rPr>
                <w:sz w:val="24"/>
                <w:szCs w:val="24"/>
              </w:rPr>
              <w:t>Macquarie Group</w:t>
            </w:r>
          </w:p>
        </w:tc>
        <w:tc>
          <w:tcPr>
            <w:tcW w:w="4085" w:type="dxa"/>
          </w:tcPr>
          <w:p w14:paraId="68159533" w14:textId="74C4298B" w:rsidR="006A52ED" w:rsidRDefault="008F4DE3" w:rsidP="00270F80">
            <w:pPr>
              <w:pStyle w:val="ListParagraph"/>
              <w:numPr>
                <w:ilvl w:val="0"/>
                <w:numId w:val="38"/>
              </w:numPr>
              <w:rPr>
                <w:sz w:val="24"/>
                <w:szCs w:val="24"/>
              </w:rPr>
            </w:pPr>
            <w:r>
              <w:rPr>
                <w:sz w:val="24"/>
                <w:szCs w:val="24"/>
              </w:rPr>
              <w:t>Meat and Livestock Australia</w:t>
            </w:r>
          </w:p>
        </w:tc>
      </w:tr>
      <w:tr w:rsidR="006A52ED" w14:paraId="1847A4E6" w14:textId="77777777" w:rsidTr="00270F80">
        <w:tc>
          <w:tcPr>
            <w:tcW w:w="4211" w:type="dxa"/>
          </w:tcPr>
          <w:p w14:paraId="54526FD9" w14:textId="00B42267" w:rsidR="006A52ED" w:rsidRPr="00776767" w:rsidRDefault="008F4DE3" w:rsidP="00270F80">
            <w:pPr>
              <w:pStyle w:val="ListParagraph"/>
              <w:numPr>
                <w:ilvl w:val="0"/>
                <w:numId w:val="38"/>
              </w:numPr>
              <w:rPr>
                <w:sz w:val="24"/>
                <w:szCs w:val="24"/>
              </w:rPr>
            </w:pPr>
            <w:r>
              <w:rPr>
                <w:sz w:val="24"/>
                <w:szCs w:val="24"/>
              </w:rPr>
              <w:t>Medicines Australia</w:t>
            </w:r>
          </w:p>
        </w:tc>
        <w:tc>
          <w:tcPr>
            <w:tcW w:w="4085" w:type="dxa"/>
          </w:tcPr>
          <w:p w14:paraId="7999B1D1" w14:textId="66074D3B" w:rsidR="006A52ED" w:rsidRPr="00776767" w:rsidRDefault="008F4DE3" w:rsidP="00270F80">
            <w:pPr>
              <w:pStyle w:val="ListParagraph"/>
              <w:numPr>
                <w:ilvl w:val="0"/>
                <w:numId w:val="38"/>
              </w:numPr>
              <w:rPr>
                <w:sz w:val="24"/>
                <w:szCs w:val="24"/>
              </w:rPr>
            </w:pPr>
            <w:r>
              <w:rPr>
                <w:sz w:val="24"/>
                <w:szCs w:val="24"/>
              </w:rPr>
              <w:t>Minerals Council of Australia</w:t>
            </w:r>
          </w:p>
        </w:tc>
      </w:tr>
      <w:tr w:rsidR="006A52ED" w14:paraId="760C3EDB" w14:textId="77777777" w:rsidTr="00270F80">
        <w:tc>
          <w:tcPr>
            <w:tcW w:w="4211" w:type="dxa"/>
          </w:tcPr>
          <w:p w14:paraId="0F8DDCB5" w14:textId="77112DA3" w:rsidR="006A52ED" w:rsidRDefault="008F4DE3" w:rsidP="00270F80">
            <w:pPr>
              <w:pStyle w:val="ListParagraph"/>
              <w:numPr>
                <w:ilvl w:val="0"/>
                <w:numId w:val="38"/>
              </w:numPr>
              <w:rPr>
                <w:sz w:val="24"/>
                <w:szCs w:val="24"/>
              </w:rPr>
            </w:pPr>
            <w:r w:rsidRPr="00776767">
              <w:rPr>
                <w:sz w:val="24"/>
                <w:szCs w:val="24"/>
              </w:rPr>
              <w:t>Music Rights Australia</w:t>
            </w:r>
          </w:p>
        </w:tc>
        <w:tc>
          <w:tcPr>
            <w:tcW w:w="4085" w:type="dxa"/>
          </w:tcPr>
          <w:p w14:paraId="5058B45D" w14:textId="2B13ECD6" w:rsidR="006A52ED" w:rsidRPr="00776767" w:rsidRDefault="008F4DE3" w:rsidP="00270F80">
            <w:pPr>
              <w:pStyle w:val="ListParagraph"/>
              <w:numPr>
                <w:ilvl w:val="0"/>
                <w:numId w:val="38"/>
              </w:numPr>
              <w:rPr>
                <w:sz w:val="24"/>
                <w:szCs w:val="24"/>
              </w:rPr>
            </w:pPr>
            <w:r w:rsidRPr="00A45232">
              <w:rPr>
                <w:sz w:val="24"/>
                <w:szCs w:val="24"/>
              </w:rPr>
              <w:t>Mutual recognition of professional medical qualifications</w:t>
            </w:r>
          </w:p>
        </w:tc>
      </w:tr>
      <w:tr w:rsidR="006A52ED" w14:paraId="397F2E5D" w14:textId="77777777" w:rsidTr="00270F80">
        <w:tc>
          <w:tcPr>
            <w:tcW w:w="4211" w:type="dxa"/>
          </w:tcPr>
          <w:p w14:paraId="4ED4470D" w14:textId="2399BBF4" w:rsidR="006A52ED" w:rsidRPr="00E479D4" w:rsidRDefault="008F4DE3" w:rsidP="00270F80">
            <w:pPr>
              <w:pStyle w:val="ListParagraph"/>
              <w:numPr>
                <w:ilvl w:val="0"/>
                <w:numId w:val="38"/>
              </w:numPr>
              <w:rPr>
                <w:sz w:val="24"/>
                <w:szCs w:val="24"/>
              </w:rPr>
            </w:pPr>
            <w:r>
              <w:rPr>
                <w:sz w:val="24"/>
                <w:szCs w:val="24"/>
              </w:rPr>
              <w:t>NAB</w:t>
            </w:r>
          </w:p>
        </w:tc>
        <w:tc>
          <w:tcPr>
            <w:tcW w:w="4085" w:type="dxa"/>
          </w:tcPr>
          <w:p w14:paraId="40B6A25A" w14:textId="2D26D86F" w:rsidR="006A52ED" w:rsidRDefault="006A52ED" w:rsidP="00270F80">
            <w:pPr>
              <w:pStyle w:val="ListParagraph"/>
              <w:numPr>
                <w:ilvl w:val="0"/>
                <w:numId w:val="38"/>
              </w:numPr>
              <w:rPr>
                <w:sz w:val="24"/>
                <w:szCs w:val="24"/>
              </w:rPr>
            </w:pPr>
            <w:r w:rsidRPr="00A45232">
              <w:rPr>
                <w:sz w:val="24"/>
                <w:szCs w:val="24"/>
              </w:rPr>
              <w:t xml:space="preserve">National Farmers Federation </w:t>
            </w:r>
          </w:p>
        </w:tc>
      </w:tr>
      <w:tr w:rsidR="006A52ED" w14:paraId="60DA2065" w14:textId="77777777" w:rsidTr="00270F80">
        <w:tc>
          <w:tcPr>
            <w:tcW w:w="4211" w:type="dxa"/>
          </w:tcPr>
          <w:p w14:paraId="5F226D31" w14:textId="1E50D0E7" w:rsidR="006A52ED" w:rsidRPr="00A45232" w:rsidRDefault="008F4DE3" w:rsidP="00270F80">
            <w:pPr>
              <w:pStyle w:val="ListParagraph"/>
              <w:numPr>
                <w:ilvl w:val="0"/>
                <w:numId w:val="38"/>
              </w:numPr>
              <w:rPr>
                <w:sz w:val="24"/>
                <w:szCs w:val="24"/>
              </w:rPr>
            </w:pPr>
            <w:r w:rsidRPr="00A45232">
              <w:rPr>
                <w:sz w:val="24"/>
                <w:szCs w:val="24"/>
              </w:rPr>
              <w:t>Nerada Tea</w:t>
            </w:r>
          </w:p>
        </w:tc>
        <w:tc>
          <w:tcPr>
            <w:tcW w:w="4085" w:type="dxa"/>
          </w:tcPr>
          <w:p w14:paraId="46C3CE9C" w14:textId="4820DF69" w:rsidR="006A52ED" w:rsidRPr="00A45232" w:rsidRDefault="00556F99" w:rsidP="00270F80">
            <w:pPr>
              <w:pStyle w:val="ListParagraph"/>
              <w:numPr>
                <w:ilvl w:val="0"/>
                <w:numId w:val="38"/>
              </w:numPr>
              <w:rPr>
                <w:sz w:val="24"/>
                <w:szCs w:val="24"/>
              </w:rPr>
            </w:pPr>
            <w:r w:rsidRPr="005F3A56">
              <w:rPr>
                <w:sz w:val="24"/>
                <w:szCs w:val="24"/>
              </w:rPr>
              <w:t>New South Wales Business Chamber</w:t>
            </w:r>
          </w:p>
        </w:tc>
      </w:tr>
      <w:tr w:rsidR="00556F99" w14:paraId="3D80A0B0" w14:textId="77777777" w:rsidTr="00270F80">
        <w:tc>
          <w:tcPr>
            <w:tcW w:w="4211" w:type="dxa"/>
          </w:tcPr>
          <w:p w14:paraId="7A0E8974" w14:textId="09777DC7" w:rsidR="00556F99" w:rsidRPr="00A45232" w:rsidRDefault="00556F99" w:rsidP="00270F80">
            <w:pPr>
              <w:pStyle w:val="ListParagraph"/>
              <w:numPr>
                <w:ilvl w:val="0"/>
                <w:numId w:val="38"/>
              </w:numPr>
              <w:rPr>
                <w:sz w:val="24"/>
                <w:szCs w:val="24"/>
              </w:rPr>
            </w:pPr>
            <w:r>
              <w:rPr>
                <w:sz w:val="24"/>
                <w:szCs w:val="24"/>
              </w:rPr>
              <w:t>Optus</w:t>
            </w:r>
          </w:p>
        </w:tc>
        <w:tc>
          <w:tcPr>
            <w:tcW w:w="4085" w:type="dxa"/>
          </w:tcPr>
          <w:p w14:paraId="1ABC1BBB" w14:textId="2ADEE2CD" w:rsidR="00556F99" w:rsidRDefault="00CB0568" w:rsidP="00270F80">
            <w:pPr>
              <w:pStyle w:val="ListParagraph"/>
              <w:numPr>
                <w:ilvl w:val="0"/>
                <w:numId w:val="38"/>
              </w:numPr>
              <w:rPr>
                <w:sz w:val="24"/>
                <w:szCs w:val="24"/>
              </w:rPr>
            </w:pPr>
            <w:r w:rsidRPr="00A45232">
              <w:rPr>
                <w:sz w:val="24"/>
                <w:szCs w:val="24"/>
              </w:rPr>
              <w:t>Ports Australia</w:t>
            </w:r>
          </w:p>
        </w:tc>
      </w:tr>
      <w:tr w:rsidR="006A52ED" w14:paraId="12815126" w14:textId="77777777" w:rsidTr="00270F80">
        <w:tc>
          <w:tcPr>
            <w:tcW w:w="4211" w:type="dxa"/>
          </w:tcPr>
          <w:p w14:paraId="2B19A7D9" w14:textId="7122D338" w:rsidR="006A52ED" w:rsidRPr="00E479D4" w:rsidRDefault="00CB0568" w:rsidP="00270F80">
            <w:pPr>
              <w:pStyle w:val="ListParagraph"/>
              <w:numPr>
                <w:ilvl w:val="0"/>
                <w:numId w:val="38"/>
              </w:numPr>
              <w:rPr>
                <w:sz w:val="24"/>
                <w:szCs w:val="24"/>
              </w:rPr>
            </w:pPr>
            <w:proofErr w:type="spellStart"/>
            <w:r w:rsidRPr="00A45232">
              <w:rPr>
                <w:sz w:val="24"/>
                <w:szCs w:val="24"/>
              </w:rPr>
              <w:t>RegTech</w:t>
            </w:r>
            <w:proofErr w:type="spellEnd"/>
            <w:r w:rsidRPr="00A45232">
              <w:rPr>
                <w:sz w:val="24"/>
                <w:szCs w:val="24"/>
              </w:rPr>
              <w:t xml:space="preserve"> Association</w:t>
            </w:r>
          </w:p>
        </w:tc>
        <w:tc>
          <w:tcPr>
            <w:tcW w:w="4085" w:type="dxa"/>
          </w:tcPr>
          <w:p w14:paraId="1248EB8E" w14:textId="7C9036AC" w:rsidR="006A52ED" w:rsidRDefault="00CB0568" w:rsidP="00270F80">
            <w:pPr>
              <w:pStyle w:val="ListParagraph"/>
              <w:numPr>
                <w:ilvl w:val="0"/>
                <w:numId w:val="38"/>
              </w:numPr>
              <w:rPr>
                <w:sz w:val="24"/>
                <w:szCs w:val="24"/>
              </w:rPr>
            </w:pPr>
            <w:r w:rsidRPr="00A45232">
              <w:rPr>
                <w:sz w:val="24"/>
                <w:szCs w:val="24"/>
              </w:rPr>
              <w:t>RSPCA</w:t>
            </w:r>
          </w:p>
        </w:tc>
      </w:tr>
      <w:tr w:rsidR="006A52ED" w14:paraId="33C735C9" w14:textId="77777777" w:rsidTr="00270F80">
        <w:tc>
          <w:tcPr>
            <w:tcW w:w="4211" w:type="dxa"/>
          </w:tcPr>
          <w:p w14:paraId="0612D8E1" w14:textId="1844233F" w:rsidR="006A52ED" w:rsidRPr="00E479D4" w:rsidRDefault="00CB0568" w:rsidP="00270F80">
            <w:pPr>
              <w:pStyle w:val="ListParagraph"/>
              <w:numPr>
                <w:ilvl w:val="0"/>
                <w:numId w:val="38"/>
              </w:numPr>
              <w:rPr>
                <w:sz w:val="24"/>
                <w:szCs w:val="24"/>
              </w:rPr>
            </w:pPr>
            <w:proofErr w:type="spellStart"/>
            <w:r>
              <w:rPr>
                <w:sz w:val="24"/>
                <w:szCs w:val="24"/>
              </w:rPr>
              <w:t>Scotchmans</w:t>
            </w:r>
            <w:proofErr w:type="spellEnd"/>
            <w:r>
              <w:rPr>
                <w:sz w:val="24"/>
                <w:szCs w:val="24"/>
              </w:rPr>
              <w:t xml:space="preserve"> Hill</w:t>
            </w:r>
          </w:p>
        </w:tc>
        <w:tc>
          <w:tcPr>
            <w:tcW w:w="4085" w:type="dxa"/>
          </w:tcPr>
          <w:p w14:paraId="1C16DA73" w14:textId="2F4C5CC5" w:rsidR="006A52ED" w:rsidRDefault="00CB0568" w:rsidP="00270F80">
            <w:pPr>
              <w:pStyle w:val="ListParagraph"/>
              <w:numPr>
                <w:ilvl w:val="0"/>
                <w:numId w:val="38"/>
              </w:numPr>
              <w:rPr>
                <w:sz w:val="24"/>
                <w:szCs w:val="24"/>
              </w:rPr>
            </w:pPr>
            <w:r>
              <w:rPr>
                <w:sz w:val="24"/>
                <w:szCs w:val="24"/>
              </w:rPr>
              <w:t>Seafood Industry Australia</w:t>
            </w:r>
          </w:p>
        </w:tc>
      </w:tr>
      <w:tr w:rsidR="006A52ED" w14:paraId="674C8180" w14:textId="77777777" w:rsidTr="00270F80">
        <w:tc>
          <w:tcPr>
            <w:tcW w:w="4211" w:type="dxa"/>
          </w:tcPr>
          <w:p w14:paraId="7C6728D9" w14:textId="6EEC5664" w:rsidR="006A52ED" w:rsidRPr="00E479D4" w:rsidRDefault="00CB0568" w:rsidP="00270F80">
            <w:pPr>
              <w:pStyle w:val="ListParagraph"/>
              <w:numPr>
                <w:ilvl w:val="0"/>
                <w:numId w:val="38"/>
              </w:numPr>
              <w:rPr>
                <w:sz w:val="24"/>
                <w:szCs w:val="24"/>
              </w:rPr>
            </w:pPr>
            <w:r w:rsidRPr="00A45232">
              <w:rPr>
                <w:sz w:val="24"/>
                <w:szCs w:val="24"/>
              </w:rPr>
              <w:t>Sheep Producers Australia</w:t>
            </w:r>
          </w:p>
        </w:tc>
        <w:tc>
          <w:tcPr>
            <w:tcW w:w="4085" w:type="dxa"/>
          </w:tcPr>
          <w:p w14:paraId="1C96FBF4" w14:textId="1D6648CF" w:rsidR="006A52ED" w:rsidRDefault="00CB0568" w:rsidP="00270F80">
            <w:pPr>
              <w:pStyle w:val="ListParagraph"/>
              <w:numPr>
                <w:ilvl w:val="0"/>
                <w:numId w:val="38"/>
              </w:numPr>
              <w:rPr>
                <w:sz w:val="24"/>
                <w:szCs w:val="24"/>
              </w:rPr>
            </w:pPr>
            <w:r w:rsidRPr="00A45232">
              <w:rPr>
                <w:sz w:val="24"/>
                <w:szCs w:val="24"/>
              </w:rPr>
              <w:t>South Australian Wine Industry Association</w:t>
            </w:r>
          </w:p>
        </w:tc>
      </w:tr>
      <w:tr w:rsidR="006A52ED" w14:paraId="57911231" w14:textId="77777777" w:rsidTr="00270F80">
        <w:tc>
          <w:tcPr>
            <w:tcW w:w="4211" w:type="dxa"/>
          </w:tcPr>
          <w:p w14:paraId="7D10FEBC" w14:textId="7C170E72" w:rsidR="006A52ED" w:rsidRPr="00A45232" w:rsidRDefault="00CB0568" w:rsidP="00270F80">
            <w:pPr>
              <w:pStyle w:val="ListParagraph"/>
              <w:numPr>
                <w:ilvl w:val="0"/>
                <w:numId w:val="38"/>
              </w:numPr>
              <w:rPr>
                <w:sz w:val="24"/>
                <w:szCs w:val="24"/>
              </w:rPr>
            </w:pPr>
            <w:r w:rsidRPr="00A45232">
              <w:rPr>
                <w:sz w:val="24"/>
                <w:szCs w:val="24"/>
              </w:rPr>
              <w:t>Speech Pathology Australia</w:t>
            </w:r>
          </w:p>
        </w:tc>
        <w:tc>
          <w:tcPr>
            <w:tcW w:w="4085" w:type="dxa"/>
          </w:tcPr>
          <w:p w14:paraId="10098070" w14:textId="11924AF3" w:rsidR="006A52ED" w:rsidRPr="00A45232" w:rsidRDefault="00CB0568" w:rsidP="00270F80">
            <w:pPr>
              <w:pStyle w:val="ListParagraph"/>
              <w:numPr>
                <w:ilvl w:val="0"/>
                <w:numId w:val="38"/>
              </w:numPr>
              <w:rPr>
                <w:sz w:val="24"/>
                <w:szCs w:val="24"/>
              </w:rPr>
            </w:pPr>
            <w:r>
              <w:rPr>
                <w:sz w:val="24"/>
                <w:szCs w:val="24"/>
              </w:rPr>
              <w:t>Spirits &amp; Cocktails Australia</w:t>
            </w:r>
          </w:p>
        </w:tc>
      </w:tr>
      <w:tr w:rsidR="006A52ED" w14:paraId="6945141B" w14:textId="77777777" w:rsidTr="00270F80">
        <w:tc>
          <w:tcPr>
            <w:tcW w:w="4211" w:type="dxa"/>
          </w:tcPr>
          <w:p w14:paraId="7373C2E8" w14:textId="1D175E78" w:rsidR="006A52ED" w:rsidRPr="00E479D4" w:rsidRDefault="00CB0568" w:rsidP="00270F80">
            <w:pPr>
              <w:pStyle w:val="ListParagraph"/>
              <w:numPr>
                <w:ilvl w:val="0"/>
                <w:numId w:val="38"/>
              </w:numPr>
              <w:rPr>
                <w:sz w:val="24"/>
                <w:szCs w:val="24"/>
              </w:rPr>
            </w:pPr>
            <w:r>
              <w:rPr>
                <w:sz w:val="24"/>
                <w:szCs w:val="24"/>
              </w:rPr>
              <w:t>Standards Australia</w:t>
            </w:r>
          </w:p>
        </w:tc>
        <w:tc>
          <w:tcPr>
            <w:tcW w:w="4085" w:type="dxa"/>
          </w:tcPr>
          <w:p w14:paraId="3B0927B5" w14:textId="13734D60" w:rsidR="006A52ED" w:rsidRDefault="00CB0568" w:rsidP="00270F80">
            <w:pPr>
              <w:pStyle w:val="ListParagraph"/>
              <w:numPr>
                <w:ilvl w:val="0"/>
                <w:numId w:val="38"/>
              </w:numPr>
              <w:rPr>
                <w:sz w:val="24"/>
                <w:szCs w:val="24"/>
              </w:rPr>
            </w:pPr>
            <w:r>
              <w:rPr>
                <w:sz w:val="24"/>
                <w:szCs w:val="24"/>
              </w:rPr>
              <w:t>Steel Association</w:t>
            </w:r>
          </w:p>
        </w:tc>
      </w:tr>
      <w:tr w:rsidR="006A52ED" w14:paraId="5CD0C5F5" w14:textId="77777777" w:rsidTr="00270F80">
        <w:tc>
          <w:tcPr>
            <w:tcW w:w="4211" w:type="dxa"/>
          </w:tcPr>
          <w:p w14:paraId="1A214958" w14:textId="55290075" w:rsidR="006A52ED" w:rsidRPr="00A45232" w:rsidRDefault="00CB0568" w:rsidP="00270F80">
            <w:pPr>
              <w:pStyle w:val="ListParagraph"/>
              <w:numPr>
                <w:ilvl w:val="0"/>
                <w:numId w:val="38"/>
              </w:numPr>
              <w:rPr>
                <w:sz w:val="24"/>
                <w:szCs w:val="24"/>
              </w:rPr>
            </w:pPr>
            <w:proofErr w:type="spellStart"/>
            <w:r w:rsidRPr="00A45232">
              <w:rPr>
                <w:sz w:val="24"/>
                <w:szCs w:val="24"/>
              </w:rPr>
              <w:t>SunRice</w:t>
            </w:r>
            <w:proofErr w:type="spellEnd"/>
            <w:r w:rsidRPr="00A45232">
              <w:rPr>
                <w:sz w:val="24"/>
                <w:szCs w:val="24"/>
              </w:rPr>
              <w:t xml:space="preserve"> Group</w:t>
            </w:r>
          </w:p>
        </w:tc>
        <w:tc>
          <w:tcPr>
            <w:tcW w:w="4085" w:type="dxa"/>
          </w:tcPr>
          <w:p w14:paraId="0A078046" w14:textId="0F898291" w:rsidR="006A52ED" w:rsidRPr="00A45232" w:rsidRDefault="00CB0568" w:rsidP="00270F80">
            <w:pPr>
              <w:pStyle w:val="ListParagraph"/>
              <w:numPr>
                <w:ilvl w:val="0"/>
                <w:numId w:val="38"/>
              </w:numPr>
              <w:rPr>
                <w:sz w:val="24"/>
                <w:szCs w:val="24"/>
              </w:rPr>
            </w:pPr>
            <w:r>
              <w:rPr>
                <w:sz w:val="24"/>
                <w:szCs w:val="24"/>
              </w:rPr>
              <w:t>Supply Nation</w:t>
            </w:r>
          </w:p>
        </w:tc>
      </w:tr>
      <w:tr w:rsidR="006A52ED" w14:paraId="7E71F91B" w14:textId="77777777" w:rsidTr="00270F80">
        <w:tc>
          <w:tcPr>
            <w:tcW w:w="4211" w:type="dxa"/>
          </w:tcPr>
          <w:p w14:paraId="5047419D" w14:textId="317CCFEF" w:rsidR="006A52ED" w:rsidRPr="00E479D4" w:rsidRDefault="00CB0568" w:rsidP="00270F80">
            <w:pPr>
              <w:pStyle w:val="ListParagraph"/>
              <w:numPr>
                <w:ilvl w:val="0"/>
                <w:numId w:val="38"/>
              </w:numPr>
              <w:rPr>
                <w:sz w:val="24"/>
                <w:szCs w:val="24"/>
              </w:rPr>
            </w:pPr>
            <w:proofErr w:type="spellStart"/>
            <w:r w:rsidRPr="00A45232">
              <w:rPr>
                <w:sz w:val="24"/>
                <w:szCs w:val="24"/>
              </w:rPr>
              <w:t>Swisse</w:t>
            </w:r>
            <w:proofErr w:type="spellEnd"/>
            <w:r w:rsidRPr="00A45232">
              <w:rPr>
                <w:sz w:val="24"/>
                <w:szCs w:val="24"/>
              </w:rPr>
              <w:t xml:space="preserve"> Wellness</w:t>
            </w:r>
          </w:p>
        </w:tc>
        <w:tc>
          <w:tcPr>
            <w:tcW w:w="4085" w:type="dxa"/>
          </w:tcPr>
          <w:p w14:paraId="58ACF64E" w14:textId="4FFB8A83" w:rsidR="006A52ED" w:rsidRDefault="00CB0568" w:rsidP="00270F80">
            <w:pPr>
              <w:pStyle w:val="ListParagraph"/>
              <w:numPr>
                <w:ilvl w:val="0"/>
                <w:numId w:val="38"/>
              </w:numPr>
              <w:rPr>
                <w:sz w:val="24"/>
                <w:szCs w:val="24"/>
              </w:rPr>
            </w:pPr>
            <w:r w:rsidRPr="00A45232">
              <w:rPr>
                <w:sz w:val="24"/>
                <w:szCs w:val="24"/>
              </w:rPr>
              <w:t>Tasmanian Salmon Growers Association</w:t>
            </w:r>
          </w:p>
        </w:tc>
      </w:tr>
      <w:tr w:rsidR="006A52ED" w14:paraId="2E3FBA61" w14:textId="77777777" w:rsidTr="00270F80">
        <w:tc>
          <w:tcPr>
            <w:tcW w:w="4211" w:type="dxa"/>
          </w:tcPr>
          <w:p w14:paraId="756E7ACA" w14:textId="41ECBE60" w:rsidR="006A52ED" w:rsidRPr="00E479D4" w:rsidRDefault="00CB0568" w:rsidP="00270F80">
            <w:pPr>
              <w:pStyle w:val="ListParagraph"/>
              <w:numPr>
                <w:ilvl w:val="0"/>
                <w:numId w:val="38"/>
              </w:numPr>
              <w:rPr>
                <w:sz w:val="24"/>
                <w:szCs w:val="24"/>
              </w:rPr>
            </w:pPr>
            <w:r w:rsidRPr="004153A4">
              <w:rPr>
                <w:sz w:val="24"/>
                <w:szCs w:val="24"/>
              </w:rPr>
              <w:lastRenderedPageBreak/>
              <w:t>Telstra</w:t>
            </w:r>
          </w:p>
        </w:tc>
        <w:tc>
          <w:tcPr>
            <w:tcW w:w="4085" w:type="dxa"/>
          </w:tcPr>
          <w:p w14:paraId="2A698C7F" w14:textId="50F3B1E0" w:rsidR="006A52ED" w:rsidRDefault="00CB0568" w:rsidP="00270F80">
            <w:pPr>
              <w:pStyle w:val="ListParagraph"/>
              <w:numPr>
                <w:ilvl w:val="0"/>
                <w:numId w:val="38"/>
              </w:numPr>
              <w:rPr>
                <w:sz w:val="24"/>
                <w:szCs w:val="24"/>
              </w:rPr>
            </w:pPr>
            <w:r>
              <w:rPr>
                <w:sz w:val="24"/>
                <w:szCs w:val="24"/>
              </w:rPr>
              <w:t xml:space="preserve">The </w:t>
            </w:r>
            <w:r w:rsidRPr="00A45232">
              <w:rPr>
                <w:sz w:val="24"/>
                <w:szCs w:val="24"/>
              </w:rPr>
              <w:t>Australasian Mechanical Copyright Owners Society</w:t>
            </w:r>
          </w:p>
        </w:tc>
      </w:tr>
      <w:tr w:rsidR="00556F99" w14:paraId="156D2815" w14:textId="77777777" w:rsidTr="00270F80">
        <w:tc>
          <w:tcPr>
            <w:tcW w:w="4211" w:type="dxa"/>
          </w:tcPr>
          <w:p w14:paraId="7C437024" w14:textId="7FE87D29" w:rsidR="00556F99" w:rsidRPr="00A45232" w:rsidRDefault="00CB0568" w:rsidP="00270F80">
            <w:pPr>
              <w:pStyle w:val="ListParagraph"/>
              <w:numPr>
                <w:ilvl w:val="0"/>
                <w:numId w:val="38"/>
              </w:numPr>
              <w:rPr>
                <w:sz w:val="24"/>
                <w:szCs w:val="24"/>
              </w:rPr>
            </w:pPr>
            <w:r w:rsidRPr="00A45232">
              <w:rPr>
                <w:sz w:val="24"/>
                <w:szCs w:val="24"/>
              </w:rPr>
              <w:t>The Australasian Performing Right Association Limited</w:t>
            </w:r>
          </w:p>
        </w:tc>
        <w:tc>
          <w:tcPr>
            <w:tcW w:w="4085" w:type="dxa"/>
          </w:tcPr>
          <w:p w14:paraId="42320EC3" w14:textId="0AC996B7" w:rsidR="00556F99" w:rsidRDefault="00CB0568" w:rsidP="00270F80">
            <w:pPr>
              <w:pStyle w:val="ListParagraph"/>
              <w:numPr>
                <w:ilvl w:val="0"/>
                <w:numId w:val="38"/>
              </w:numPr>
              <w:rPr>
                <w:sz w:val="24"/>
                <w:szCs w:val="24"/>
              </w:rPr>
            </w:pPr>
            <w:r w:rsidRPr="00A45232">
              <w:rPr>
                <w:sz w:val="24"/>
                <w:szCs w:val="24"/>
              </w:rPr>
              <w:t>The Global Data Alliance</w:t>
            </w:r>
          </w:p>
        </w:tc>
      </w:tr>
      <w:tr w:rsidR="006A52ED" w14:paraId="5165AE65" w14:textId="77777777" w:rsidTr="00270F80">
        <w:tc>
          <w:tcPr>
            <w:tcW w:w="4211" w:type="dxa"/>
          </w:tcPr>
          <w:p w14:paraId="75E59C16" w14:textId="77777777" w:rsidR="006A52ED" w:rsidRPr="00E479D4" w:rsidRDefault="006A52ED" w:rsidP="00270F80">
            <w:pPr>
              <w:pStyle w:val="ListParagraph"/>
              <w:numPr>
                <w:ilvl w:val="0"/>
                <w:numId w:val="38"/>
              </w:numPr>
              <w:rPr>
                <w:sz w:val="24"/>
                <w:szCs w:val="24"/>
              </w:rPr>
            </w:pPr>
            <w:proofErr w:type="spellStart"/>
            <w:r w:rsidRPr="00A45232">
              <w:rPr>
                <w:sz w:val="24"/>
                <w:szCs w:val="24"/>
              </w:rPr>
              <w:t>TradeWindow</w:t>
            </w:r>
            <w:proofErr w:type="spellEnd"/>
          </w:p>
        </w:tc>
        <w:tc>
          <w:tcPr>
            <w:tcW w:w="4085" w:type="dxa"/>
          </w:tcPr>
          <w:p w14:paraId="04A1E1F2" w14:textId="77777777" w:rsidR="006A52ED" w:rsidRDefault="006A52ED" w:rsidP="00270F80">
            <w:pPr>
              <w:pStyle w:val="ListParagraph"/>
              <w:numPr>
                <w:ilvl w:val="0"/>
                <w:numId w:val="38"/>
              </w:numPr>
              <w:rPr>
                <w:sz w:val="24"/>
                <w:szCs w:val="24"/>
              </w:rPr>
            </w:pPr>
            <w:r w:rsidRPr="00A45232">
              <w:rPr>
                <w:sz w:val="24"/>
                <w:szCs w:val="24"/>
              </w:rPr>
              <w:t>Treasury Wine Estates</w:t>
            </w:r>
          </w:p>
        </w:tc>
      </w:tr>
      <w:tr w:rsidR="006A52ED" w14:paraId="38AAD155" w14:textId="77777777" w:rsidTr="00270F80">
        <w:tc>
          <w:tcPr>
            <w:tcW w:w="4211" w:type="dxa"/>
          </w:tcPr>
          <w:p w14:paraId="44E03C59" w14:textId="77777777" w:rsidR="006A52ED" w:rsidRPr="00E479D4" w:rsidRDefault="006A52ED" w:rsidP="00270F80">
            <w:pPr>
              <w:pStyle w:val="ListParagraph"/>
              <w:numPr>
                <w:ilvl w:val="0"/>
                <w:numId w:val="38"/>
              </w:numPr>
              <w:rPr>
                <w:sz w:val="24"/>
                <w:szCs w:val="24"/>
              </w:rPr>
            </w:pPr>
            <w:proofErr w:type="spellStart"/>
            <w:r w:rsidRPr="00A45232">
              <w:rPr>
                <w:sz w:val="24"/>
                <w:szCs w:val="24"/>
              </w:rPr>
              <w:t>Trisco</w:t>
            </w:r>
            <w:proofErr w:type="spellEnd"/>
            <w:r w:rsidRPr="00A45232">
              <w:rPr>
                <w:sz w:val="24"/>
                <w:szCs w:val="24"/>
              </w:rPr>
              <w:t xml:space="preserve"> Foods</w:t>
            </w:r>
          </w:p>
        </w:tc>
        <w:tc>
          <w:tcPr>
            <w:tcW w:w="4085" w:type="dxa"/>
          </w:tcPr>
          <w:p w14:paraId="6977EC22" w14:textId="77777777" w:rsidR="006A52ED" w:rsidRDefault="006A52ED" w:rsidP="00270F80">
            <w:pPr>
              <w:pStyle w:val="ListParagraph"/>
              <w:numPr>
                <w:ilvl w:val="0"/>
                <w:numId w:val="38"/>
              </w:numPr>
              <w:rPr>
                <w:sz w:val="24"/>
                <w:szCs w:val="24"/>
              </w:rPr>
            </w:pPr>
            <w:r w:rsidRPr="00A45232">
              <w:rPr>
                <w:sz w:val="24"/>
                <w:szCs w:val="24"/>
              </w:rPr>
              <w:t>Universities Australia</w:t>
            </w:r>
          </w:p>
        </w:tc>
      </w:tr>
      <w:tr w:rsidR="006A52ED" w14:paraId="32CAD9A8" w14:textId="77777777" w:rsidTr="00270F80">
        <w:tc>
          <w:tcPr>
            <w:tcW w:w="4211" w:type="dxa"/>
          </w:tcPr>
          <w:p w14:paraId="0C2D82D3" w14:textId="77777777" w:rsidR="006A52ED" w:rsidRPr="00E479D4" w:rsidRDefault="006A52ED" w:rsidP="00270F80">
            <w:pPr>
              <w:pStyle w:val="ListParagraph"/>
              <w:numPr>
                <w:ilvl w:val="0"/>
                <w:numId w:val="38"/>
              </w:numPr>
              <w:rPr>
                <w:sz w:val="24"/>
                <w:szCs w:val="24"/>
              </w:rPr>
            </w:pPr>
            <w:r w:rsidRPr="00A45232">
              <w:rPr>
                <w:sz w:val="24"/>
                <w:szCs w:val="24"/>
              </w:rPr>
              <w:t>University of Melbourne</w:t>
            </w:r>
          </w:p>
        </w:tc>
        <w:tc>
          <w:tcPr>
            <w:tcW w:w="4085" w:type="dxa"/>
          </w:tcPr>
          <w:p w14:paraId="49007D11" w14:textId="48F78ED0" w:rsidR="006A52ED" w:rsidRDefault="00556F99" w:rsidP="00270F80">
            <w:pPr>
              <w:pStyle w:val="ListParagraph"/>
              <w:numPr>
                <w:ilvl w:val="0"/>
                <w:numId w:val="38"/>
              </w:numPr>
              <w:rPr>
                <w:sz w:val="24"/>
                <w:szCs w:val="24"/>
              </w:rPr>
            </w:pPr>
            <w:r w:rsidRPr="004153A4">
              <w:rPr>
                <w:sz w:val="24"/>
                <w:szCs w:val="24"/>
              </w:rPr>
              <w:t>Victorian Automotive Chamber of Commerce</w:t>
            </w:r>
            <w:r>
              <w:rPr>
                <w:sz w:val="24"/>
                <w:szCs w:val="24"/>
              </w:rPr>
              <w:t xml:space="preserve"> </w:t>
            </w:r>
          </w:p>
        </w:tc>
      </w:tr>
      <w:tr w:rsidR="006A52ED" w14:paraId="6A7EE378" w14:textId="77777777" w:rsidTr="00270F80">
        <w:tc>
          <w:tcPr>
            <w:tcW w:w="4211" w:type="dxa"/>
          </w:tcPr>
          <w:p w14:paraId="2B0CCBC3" w14:textId="5C2E9D6C" w:rsidR="006A52ED" w:rsidRPr="00A45232" w:rsidRDefault="00556F99" w:rsidP="00270F80">
            <w:pPr>
              <w:pStyle w:val="ListParagraph"/>
              <w:numPr>
                <w:ilvl w:val="0"/>
                <w:numId w:val="38"/>
              </w:numPr>
              <w:rPr>
                <w:sz w:val="24"/>
                <w:szCs w:val="24"/>
              </w:rPr>
            </w:pPr>
            <w:r>
              <w:rPr>
                <w:sz w:val="24"/>
                <w:szCs w:val="24"/>
              </w:rPr>
              <w:t>Vodafone TPG</w:t>
            </w:r>
          </w:p>
        </w:tc>
        <w:tc>
          <w:tcPr>
            <w:tcW w:w="4085" w:type="dxa"/>
          </w:tcPr>
          <w:p w14:paraId="24F1C77E" w14:textId="77777777" w:rsidR="006A52ED" w:rsidRDefault="006A52ED" w:rsidP="00270F80">
            <w:pPr>
              <w:pStyle w:val="ListParagraph"/>
              <w:numPr>
                <w:ilvl w:val="0"/>
                <w:numId w:val="38"/>
              </w:numPr>
              <w:rPr>
                <w:sz w:val="24"/>
                <w:szCs w:val="24"/>
              </w:rPr>
            </w:pPr>
            <w:r>
              <w:rPr>
                <w:sz w:val="24"/>
                <w:szCs w:val="24"/>
              </w:rPr>
              <w:t>Westpac</w:t>
            </w:r>
          </w:p>
        </w:tc>
      </w:tr>
      <w:tr w:rsidR="006A52ED" w14:paraId="6C6B1591" w14:textId="77777777" w:rsidTr="00270F80">
        <w:tc>
          <w:tcPr>
            <w:tcW w:w="4211" w:type="dxa"/>
          </w:tcPr>
          <w:p w14:paraId="20E9635D" w14:textId="0296DA6E" w:rsidR="006A52ED" w:rsidRPr="00A45232" w:rsidRDefault="00556F99" w:rsidP="00270F80">
            <w:pPr>
              <w:pStyle w:val="ListParagraph"/>
              <w:numPr>
                <w:ilvl w:val="0"/>
                <w:numId w:val="38"/>
              </w:numPr>
              <w:rPr>
                <w:sz w:val="24"/>
                <w:szCs w:val="24"/>
              </w:rPr>
            </w:pPr>
            <w:r w:rsidRPr="00A45232">
              <w:rPr>
                <w:sz w:val="24"/>
                <w:szCs w:val="24"/>
              </w:rPr>
              <w:t>Wine Australia</w:t>
            </w:r>
          </w:p>
        </w:tc>
        <w:tc>
          <w:tcPr>
            <w:tcW w:w="4085" w:type="dxa"/>
          </w:tcPr>
          <w:p w14:paraId="3495A86C" w14:textId="0C2856CE" w:rsidR="006A52ED" w:rsidRPr="00A45232" w:rsidRDefault="00556F99" w:rsidP="00270F80">
            <w:pPr>
              <w:pStyle w:val="ListParagraph"/>
              <w:numPr>
                <w:ilvl w:val="0"/>
                <w:numId w:val="38"/>
              </w:numPr>
              <w:rPr>
                <w:sz w:val="24"/>
                <w:szCs w:val="24"/>
              </w:rPr>
            </w:pPr>
            <w:r w:rsidRPr="00A45232">
              <w:rPr>
                <w:sz w:val="24"/>
                <w:szCs w:val="24"/>
              </w:rPr>
              <w:t>Will Studd Cheeses</w:t>
            </w:r>
          </w:p>
        </w:tc>
      </w:tr>
      <w:tr w:rsidR="006A52ED" w14:paraId="562CF4E1" w14:textId="77777777" w:rsidTr="00270F80">
        <w:tc>
          <w:tcPr>
            <w:tcW w:w="4211" w:type="dxa"/>
          </w:tcPr>
          <w:p w14:paraId="63274FD0" w14:textId="77777777" w:rsidR="006A52ED" w:rsidRPr="00E479D4" w:rsidRDefault="006A52ED" w:rsidP="00270F80">
            <w:pPr>
              <w:pStyle w:val="ListParagraph"/>
              <w:numPr>
                <w:ilvl w:val="0"/>
                <w:numId w:val="38"/>
              </w:numPr>
              <w:rPr>
                <w:sz w:val="24"/>
                <w:szCs w:val="24"/>
              </w:rPr>
            </w:pPr>
            <w:r w:rsidRPr="00A45232">
              <w:rPr>
                <w:sz w:val="24"/>
                <w:szCs w:val="24"/>
              </w:rPr>
              <w:t>Wool Producers Australia</w:t>
            </w:r>
          </w:p>
        </w:tc>
        <w:tc>
          <w:tcPr>
            <w:tcW w:w="4085" w:type="dxa"/>
          </w:tcPr>
          <w:p w14:paraId="762DCD61" w14:textId="77777777" w:rsidR="006A52ED" w:rsidRDefault="006A52ED" w:rsidP="00270F80">
            <w:pPr>
              <w:pStyle w:val="ListParagraph"/>
              <w:numPr>
                <w:ilvl w:val="0"/>
                <w:numId w:val="38"/>
              </w:numPr>
              <w:rPr>
                <w:sz w:val="24"/>
                <w:szCs w:val="24"/>
              </w:rPr>
            </w:pPr>
            <w:r w:rsidRPr="00A45232">
              <w:rPr>
                <w:sz w:val="24"/>
                <w:szCs w:val="24"/>
              </w:rPr>
              <w:t>World Animal Protection</w:t>
            </w:r>
          </w:p>
        </w:tc>
      </w:tr>
      <w:bookmarkEnd w:id="68"/>
    </w:tbl>
    <w:p w14:paraId="6A8114A6" w14:textId="77777777" w:rsidR="006A52ED" w:rsidRPr="006A52ED" w:rsidRDefault="006A52ED" w:rsidP="006A52ED">
      <w:pPr>
        <w:rPr>
          <w:sz w:val="24"/>
          <w:szCs w:val="24"/>
        </w:rPr>
      </w:pPr>
    </w:p>
    <w:p w14:paraId="61F36538" w14:textId="452231DA" w:rsidR="00D33884" w:rsidRDefault="002A7FA5" w:rsidP="00206944">
      <w:pPr>
        <w:pStyle w:val="ListParagraph"/>
        <w:numPr>
          <w:ilvl w:val="0"/>
          <w:numId w:val="1"/>
        </w:numPr>
        <w:ind w:left="567" w:hanging="567"/>
        <w:rPr>
          <w:sz w:val="24"/>
          <w:szCs w:val="24"/>
        </w:rPr>
      </w:pPr>
      <w:bookmarkStart w:id="69" w:name="_Hlk83303929"/>
      <w:r>
        <w:rPr>
          <w:sz w:val="24"/>
          <w:szCs w:val="24"/>
        </w:rPr>
        <w:t xml:space="preserve">DFAT also received </w:t>
      </w:r>
      <w:r w:rsidR="002C3631">
        <w:rPr>
          <w:sz w:val="24"/>
          <w:szCs w:val="24"/>
        </w:rPr>
        <w:t>over 70</w:t>
      </w:r>
      <w:r>
        <w:rPr>
          <w:sz w:val="24"/>
          <w:szCs w:val="24"/>
        </w:rPr>
        <w:t xml:space="preserve"> </w:t>
      </w:r>
      <w:r w:rsidR="00D83477">
        <w:rPr>
          <w:sz w:val="24"/>
          <w:szCs w:val="24"/>
        </w:rPr>
        <w:t>separate</w:t>
      </w:r>
      <w:r>
        <w:rPr>
          <w:sz w:val="24"/>
          <w:szCs w:val="24"/>
        </w:rPr>
        <w:t xml:space="preserve"> </w:t>
      </w:r>
      <w:r w:rsidR="002A72E9">
        <w:rPr>
          <w:sz w:val="24"/>
          <w:szCs w:val="24"/>
        </w:rPr>
        <w:t xml:space="preserve">formal </w:t>
      </w:r>
      <w:r>
        <w:rPr>
          <w:sz w:val="24"/>
          <w:szCs w:val="24"/>
        </w:rPr>
        <w:t xml:space="preserve">submissions from organisations and individuals regarding the </w:t>
      </w:r>
      <w:r w:rsidR="007C3278">
        <w:rPr>
          <w:sz w:val="24"/>
          <w:szCs w:val="24"/>
        </w:rPr>
        <w:t xml:space="preserve">proposed </w:t>
      </w:r>
      <w:r>
        <w:rPr>
          <w:sz w:val="24"/>
          <w:szCs w:val="24"/>
        </w:rPr>
        <w:t xml:space="preserve">AU-UK FTA negotiations. </w:t>
      </w:r>
      <w:bookmarkEnd w:id="69"/>
      <w:r w:rsidR="005821FD">
        <w:rPr>
          <w:sz w:val="24"/>
          <w:szCs w:val="24"/>
        </w:rPr>
        <w:t xml:space="preserve">Public submissions can be viewed on the </w:t>
      </w:r>
      <w:proofErr w:type="gramStart"/>
      <w:r w:rsidR="005821FD">
        <w:rPr>
          <w:sz w:val="24"/>
          <w:szCs w:val="24"/>
        </w:rPr>
        <w:t>submissions</w:t>
      </w:r>
      <w:proofErr w:type="gramEnd"/>
      <w:r w:rsidR="005821FD">
        <w:rPr>
          <w:sz w:val="24"/>
          <w:szCs w:val="24"/>
        </w:rPr>
        <w:t xml:space="preserve"> </w:t>
      </w:r>
      <w:r w:rsidR="002A72E9">
        <w:rPr>
          <w:sz w:val="24"/>
          <w:szCs w:val="24"/>
        </w:rPr>
        <w:t>web</w:t>
      </w:r>
      <w:r w:rsidR="005821FD">
        <w:rPr>
          <w:sz w:val="24"/>
          <w:szCs w:val="24"/>
        </w:rPr>
        <w:t xml:space="preserve">page on the DFAT website </w:t>
      </w:r>
      <w:hyperlink r:id="rId23" w:history="1">
        <w:r w:rsidR="005821FD" w:rsidRPr="005821FD">
          <w:rPr>
            <w:rStyle w:val="Hyperlink"/>
            <w:sz w:val="24"/>
            <w:szCs w:val="24"/>
          </w:rPr>
          <w:t>here</w:t>
        </w:r>
      </w:hyperlink>
      <w:r w:rsidR="005821FD">
        <w:rPr>
          <w:sz w:val="24"/>
          <w:szCs w:val="24"/>
        </w:rPr>
        <w:t xml:space="preserve">. </w:t>
      </w:r>
    </w:p>
    <w:p w14:paraId="1E790C0D" w14:textId="77777777" w:rsidR="002A7FA5" w:rsidRPr="002A7FA5" w:rsidRDefault="002A7FA5" w:rsidP="002A7FA5">
      <w:pPr>
        <w:pStyle w:val="ListParagraph"/>
        <w:rPr>
          <w:sz w:val="24"/>
          <w:szCs w:val="24"/>
        </w:rPr>
      </w:pPr>
    </w:p>
    <w:p w14:paraId="680D4EBE" w14:textId="3BB50AEC" w:rsidR="002A7FA5" w:rsidRPr="00AD69B1" w:rsidRDefault="002A7FA5" w:rsidP="00206944">
      <w:pPr>
        <w:pStyle w:val="ListParagraph"/>
        <w:numPr>
          <w:ilvl w:val="0"/>
          <w:numId w:val="1"/>
        </w:numPr>
        <w:ind w:left="567" w:hanging="567"/>
        <w:rPr>
          <w:sz w:val="24"/>
          <w:szCs w:val="24"/>
        </w:rPr>
      </w:pPr>
      <w:r>
        <w:rPr>
          <w:sz w:val="24"/>
          <w:szCs w:val="24"/>
        </w:rPr>
        <w:t xml:space="preserve">Regarding </w:t>
      </w:r>
      <w:r w:rsidRPr="00F165EE">
        <w:rPr>
          <w:b/>
          <w:bCs/>
          <w:sz w:val="24"/>
          <w:szCs w:val="24"/>
        </w:rPr>
        <w:t>goods exports</w:t>
      </w:r>
      <w:r>
        <w:rPr>
          <w:sz w:val="24"/>
          <w:szCs w:val="24"/>
        </w:rPr>
        <w:t>,</w:t>
      </w:r>
      <w:r w:rsidR="00F165EE">
        <w:rPr>
          <w:sz w:val="24"/>
          <w:szCs w:val="24"/>
        </w:rPr>
        <w:t xml:space="preserve"> </w:t>
      </w:r>
      <w:r>
        <w:rPr>
          <w:sz w:val="24"/>
          <w:szCs w:val="24"/>
        </w:rPr>
        <w:t>stakeholder</w:t>
      </w:r>
      <w:r w:rsidR="00F165EE">
        <w:rPr>
          <w:sz w:val="24"/>
          <w:szCs w:val="24"/>
        </w:rPr>
        <w:t xml:space="preserve"> views</w:t>
      </w:r>
      <w:r w:rsidR="00BC4288">
        <w:rPr>
          <w:sz w:val="24"/>
          <w:szCs w:val="24"/>
        </w:rPr>
        <w:t>, compiled from meetings and submissions,</w:t>
      </w:r>
      <w:r w:rsidR="00F165EE">
        <w:rPr>
          <w:sz w:val="24"/>
          <w:szCs w:val="24"/>
        </w:rPr>
        <w:t xml:space="preserve"> </w:t>
      </w:r>
      <w:r w:rsidR="002C3631">
        <w:rPr>
          <w:sz w:val="24"/>
          <w:szCs w:val="24"/>
        </w:rPr>
        <w:t>are</w:t>
      </w:r>
      <w:r w:rsidR="00F165EE">
        <w:rPr>
          <w:sz w:val="24"/>
          <w:szCs w:val="24"/>
        </w:rPr>
        <w:t xml:space="preserve"> </w:t>
      </w:r>
      <w:r w:rsidR="00B73A67">
        <w:rPr>
          <w:sz w:val="24"/>
          <w:szCs w:val="24"/>
        </w:rPr>
        <w:t xml:space="preserve">summarised </w:t>
      </w:r>
      <w:r w:rsidR="00F165EE">
        <w:rPr>
          <w:sz w:val="24"/>
          <w:szCs w:val="24"/>
        </w:rPr>
        <w:t>as follows:</w:t>
      </w:r>
    </w:p>
    <w:p w14:paraId="4107716D" w14:textId="065FF30D" w:rsidR="00541AA3" w:rsidRDefault="00B73A67" w:rsidP="002A7FA5">
      <w:pPr>
        <w:pStyle w:val="ListParagraph"/>
        <w:numPr>
          <w:ilvl w:val="1"/>
          <w:numId w:val="1"/>
        </w:numPr>
        <w:rPr>
          <w:sz w:val="24"/>
          <w:szCs w:val="24"/>
        </w:rPr>
      </w:pPr>
      <w:bookmarkStart w:id="70" w:name="_Hlk83823440"/>
      <w:r>
        <w:rPr>
          <w:sz w:val="24"/>
          <w:szCs w:val="24"/>
        </w:rPr>
        <w:t>s</w:t>
      </w:r>
      <w:r w:rsidR="007B10A7" w:rsidRPr="007B10A7">
        <w:rPr>
          <w:sz w:val="24"/>
          <w:szCs w:val="24"/>
        </w:rPr>
        <w:t xml:space="preserve">ecure the complete removal of tariffs, </w:t>
      </w:r>
      <w:proofErr w:type="gramStart"/>
      <w:r w:rsidR="007B10A7" w:rsidRPr="007B10A7">
        <w:rPr>
          <w:sz w:val="24"/>
          <w:szCs w:val="24"/>
        </w:rPr>
        <w:t>quotas</w:t>
      </w:r>
      <w:proofErr w:type="gramEnd"/>
      <w:r w:rsidR="007B10A7" w:rsidRPr="007B10A7">
        <w:rPr>
          <w:sz w:val="24"/>
          <w:szCs w:val="24"/>
        </w:rPr>
        <w:t xml:space="preserve"> and other barriers immediately after entry into force</w:t>
      </w:r>
      <w:r w:rsidR="00BC4288" w:rsidRPr="00BC4288">
        <w:rPr>
          <w:sz w:val="24"/>
          <w:szCs w:val="24"/>
        </w:rPr>
        <w:t xml:space="preserve"> </w:t>
      </w:r>
      <w:r w:rsidR="00BC4288" w:rsidRPr="007B10A7">
        <w:rPr>
          <w:sz w:val="24"/>
          <w:szCs w:val="24"/>
        </w:rPr>
        <w:t>between Australia and the UK</w:t>
      </w:r>
    </w:p>
    <w:bookmarkEnd w:id="70"/>
    <w:p w14:paraId="3A69F7BC" w14:textId="7E784991" w:rsidR="007B10A7" w:rsidRDefault="00B73A67" w:rsidP="00541AA3">
      <w:pPr>
        <w:pStyle w:val="ListParagraph"/>
        <w:numPr>
          <w:ilvl w:val="2"/>
          <w:numId w:val="1"/>
        </w:numPr>
        <w:rPr>
          <w:sz w:val="24"/>
          <w:szCs w:val="24"/>
        </w:rPr>
      </w:pPr>
      <w:r>
        <w:rPr>
          <w:sz w:val="24"/>
          <w:szCs w:val="24"/>
        </w:rPr>
        <w:t>p</w:t>
      </w:r>
      <w:r w:rsidR="00BC4288">
        <w:rPr>
          <w:sz w:val="24"/>
          <w:szCs w:val="24"/>
        </w:rPr>
        <w:t xml:space="preserve">articularly </w:t>
      </w:r>
      <w:r w:rsidR="00F165EE">
        <w:rPr>
          <w:sz w:val="24"/>
          <w:szCs w:val="24"/>
        </w:rPr>
        <w:t>for</w:t>
      </w:r>
      <w:r w:rsidR="00541AA3" w:rsidRPr="00541AA3">
        <w:rPr>
          <w:sz w:val="24"/>
          <w:szCs w:val="24"/>
        </w:rPr>
        <w:t xml:space="preserve"> key </w:t>
      </w:r>
      <w:r w:rsidR="00A57D63">
        <w:rPr>
          <w:sz w:val="24"/>
          <w:szCs w:val="24"/>
        </w:rPr>
        <w:t>Australian</w:t>
      </w:r>
      <w:r w:rsidR="00A57D63" w:rsidRPr="00541AA3">
        <w:rPr>
          <w:sz w:val="24"/>
          <w:szCs w:val="24"/>
        </w:rPr>
        <w:t xml:space="preserve"> </w:t>
      </w:r>
      <w:r w:rsidR="00541AA3" w:rsidRPr="00541AA3">
        <w:rPr>
          <w:sz w:val="24"/>
          <w:szCs w:val="24"/>
        </w:rPr>
        <w:t xml:space="preserve">exports such as wine, spirits, cane sugar, beef, </w:t>
      </w:r>
      <w:r w:rsidR="00F165EE">
        <w:rPr>
          <w:sz w:val="24"/>
          <w:szCs w:val="24"/>
        </w:rPr>
        <w:t xml:space="preserve">rice, </w:t>
      </w:r>
      <w:r w:rsidR="00541AA3" w:rsidRPr="00541AA3">
        <w:rPr>
          <w:sz w:val="24"/>
          <w:szCs w:val="24"/>
        </w:rPr>
        <w:t xml:space="preserve">sheep-meat, </w:t>
      </w:r>
      <w:r w:rsidR="002C3631">
        <w:rPr>
          <w:sz w:val="24"/>
          <w:szCs w:val="24"/>
        </w:rPr>
        <w:t xml:space="preserve">dairy, </w:t>
      </w:r>
      <w:r w:rsidR="00F165EE">
        <w:rPr>
          <w:sz w:val="24"/>
          <w:szCs w:val="24"/>
        </w:rPr>
        <w:t>olive oil, nuts,</w:t>
      </w:r>
      <w:r w:rsidR="00541AA3" w:rsidRPr="00541AA3">
        <w:rPr>
          <w:sz w:val="24"/>
          <w:szCs w:val="24"/>
        </w:rPr>
        <w:t xml:space="preserve"> </w:t>
      </w:r>
      <w:proofErr w:type="gramStart"/>
      <w:r w:rsidR="00541AA3" w:rsidRPr="00541AA3">
        <w:rPr>
          <w:sz w:val="24"/>
          <w:szCs w:val="24"/>
        </w:rPr>
        <w:t>grain</w:t>
      </w:r>
      <w:r w:rsidR="00BC4288">
        <w:rPr>
          <w:sz w:val="24"/>
          <w:szCs w:val="24"/>
        </w:rPr>
        <w:t>s</w:t>
      </w:r>
      <w:proofErr w:type="gramEnd"/>
      <w:r w:rsidR="00541AA3" w:rsidRPr="00541AA3">
        <w:rPr>
          <w:sz w:val="24"/>
          <w:szCs w:val="24"/>
        </w:rPr>
        <w:t xml:space="preserve"> and oilseed (wheat)</w:t>
      </w:r>
      <w:r w:rsidR="007B10A7" w:rsidRPr="007B10A7">
        <w:rPr>
          <w:sz w:val="24"/>
          <w:szCs w:val="24"/>
        </w:rPr>
        <w:t xml:space="preserve"> </w:t>
      </w:r>
    </w:p>
    <w:p w14:paraId="41294A1F" w14:textId="67AB37DC" w:rsidR="002A7FA5" w:rsidRDefault="00B73A67" w:rsidP="002A7FA5">
      <w:pPr>
        <w:pStyle w:val="ListParagraph"/>
        <w:numPr>
          <w:ilvl w:val="1"/>
          <w:numId w:val="1"/>
        </w:numPr>
        <w:rPr>
          <w:sz w:val="24"/>
          <w:szCs w:val="24"/>
        </w:rPr>
      </w:pPr>
      <w:r>
        <w:rPr>
          <w:sz w:val="24"/>
          <w:szCs w:val="24"/>
        </w:rPr>
        <w:t>i</w:t>
      </w:r>
      <w:r w:rsidR="00BC4288">
        <w:rPr>
          <w:sz w:val="24"/>
          <w:szCs w:val="24"/>
        </w:rPr>
        <w:t xml:space="preserve">mprove the settings that enable </w:t>
      </w:r>
      <w:r w:rsidR="002A7FA5" w:rsidRPr="002A7FA5">
        <w:rPr>
          <w:sz w:val="24"/>
          <w:szCs w:val="24"/>
        </w:rPr>
        <w:t>export</w:t>
      </w:r>
      <w:r w:rsidR="00BC4288">
        <w:rPr>
          <w:sz w:val="24"/>
          <w:szCs w:val="24"/>
        </w:rPr>
        <w:t xml:space="preserve"> of</w:t>
      </w:r>
      <w:r w:rsidR="002A7FA5" w:rsidRPr="002A7FA5">
        <w:rPr>
          <w:sz w:val="24"/>
          <w:szCs w:val="24"/>
        </w:rPr>
        <w:t xml:space="preserve"> high-quality</w:t>
      </w:r>
      <w:r w:rsidR="00BC4288">
        <w:rPr>
          <w:sz w:val="24"/>
          <w:szCs w:val="24"/>
        </w:rPr>
        <w:t>,</w:t>
      </w:r>
      <w:r w:rsidR="002A7FA5" w:rsidRPr="002A7FA5">
        <w:rPr>
          <w:sz w:val="24"/>
          <w:szCs w:val="24"/>
        </w:rPr>
        <w:t xml:space="preserve"> sustainable </w:t>
      </w:r>
      <w:r w:rsidR="00BC4288">
        <w:rPr>
          <w:sz w:val="24"/>
          <w:szCs w:val="24"/>
        </w:rPr>
        <w:t xml:space="preserve">Australian </w:t>
      </w:r>
      <w:r w:rsidR="002A7FA5" w:rsidRPr="002A7FA5">
        <w:rPr>
          <w:sz w:val="24"/>
          <w:szCs w:val="24"/>
        </w:rPr>
        <w:t>products to UK customers</w:t>
      </w:r>
    </w:p>
    <w:p w14:paraId="68A4D827" w14:textId="2E8ADA40" w:rsidR="00541AA3" w:rsidRDefault="00B73A67" w:rsidP="002A7FA5">
      <w:pPr>
        <w:pStyle w:val="ListParagraph"/>
        <w:numPr>
          <w:ilvl w:val="1"/>
          <w:numId w:val="1"/>
        </w:numPr>
        <w:rPr>
          <w:sz w:val="24"/>
          <w:szCs w:val="24"/>
        </w:rPr>
      </w:pPr>
      <w:r>
        <w:rPr>
          <w:sz w:val="24"/>
          <w:szCs w:val="24"/>
        </w:rPr>
        <w:t>i</w:t>
      </w:r>
      <w:r w:rsidR="00BC4288">
        <w:rPr>
          <w:sz w:val="24"/>
          <w:szCs w:val="24"/>
        </w:rPr>
        <w:t>mprove regulatory</w:t>
      </w:r>
      <w:r w:rsidR="00541AA3" w:rsidRPr="00541AA3">
        <w:rPr>
          <w:sz w:val="24"/>
          <w:szCs w:val="24"/>
        </w:rPr>
        <w:t xml:space="preserve"> harmonisation in the mutual recognition of goods export standards</w:t>
      </w:r>
    </w:p>
    <w:p w14:paraId="55F1389B" w14:textId="1FE38F3C" w:rsidR="00AD69B1" w:rsidRDefault="00AD69B1" w:rsidP="002A7FA5">
      <w:pPr>
        <w:pStyle w:val="ListParagraph"/>
        <w:numPr>
          <w:ilvl w:val="1"/>
          <w:numId w:val="1"/>
        </w:numPr>
        <w:rPr>
          <w:sz w:val="24"/>
          <w:szCs w:val="24"/>
        </w:rPr>
      </w:pPr>
      <w:r w:rsidRPr="00AD69B1">
        <w:rPr>
          <w:sz w:val="24"/>
          <w:szCs w:val="24"/>
        </w:rPr>
        <w:t xml:space="preserve">seek modern customs and trade facilitation provisions and streamlined </w:t>
      </w:r>
      <w:r w:rsidR="00BC4288">
        <w:rPr>
          <w:sz w:val="24"/>
          <w:szCs w:val="24"/>
        </w:rPr>
        <w:t>rules of origin</w:t>
      </w:r>
    </w:p>
    <w:p w14:paraId="2E8075A9" w14:textId="77FABD4C" w:rsidR="002A7FA5" w:rsidRDefault="002A7FA5" w:rsidP="002A7FA5">
      <w:pPr>
        <w:pStyle w:val="ListParagraph"/>
        <w:numPr>
          <w:ilvl w:val="1"/>
          <w:numId w:val="1"/>
        </w:numPr>
        <w:rPr>
          <w:sz w:val="24"/>
          <w:szCs w:val="24"/>
        </w:rPr>
      </w:pPr>
      <w:r w:rsidRPr="002A7FA5">
        <w:rPr>
          <w:sz w:val="24"/>
          <w:szCs w:val="24"/>
        </w:rPr>
        <w:t xml:space="preserve">free trade for </w:t>
      </w:r>
      <w:r w:rsidR="00BC4288">
        <w:rPr>
          <w:sz w:val="24"/>
          <w:szCs w:val="24"/>
        </w:rPr>
        <w:t xml:space="preserve">manufacturing </w:t>
      </w:r>
      <w:r w:rsidRPr="002A7FA5">
        <w:rPr>
          <w:sz w:val="24"/>
          <w:szCs w:val="24"/>
        </w:rPr>
        <w:t>products as well as</w:t>
      </w:r>
      <w:r>
        <w:rPr>
          <w:sz w:val="24"/>
          <w:szCs w:val="24"/>
        </w:rPr>
        <w:t xml:space="preserve"> reducing regulatory requirements</w:t>
      </w:r>
      <w:r w:rsidRPr="002A7FA5">
        <w:rPr>
          <w:sz w:val="24"/>
          <w:szCs w:val="24"/>
        </w:rPr>
        <w:t xml:space="preserve"> for raw materials in commercial use</w:t>
      </w:r>
    </w:p>
    <w:p w14:paraId="3E430EE8" w14:textId="693CF7E8" w:rsidR="00DE02EC" w:rsidRPr="00DE02EC" w:rsidRDefault="00B73A67" w:rsidP="00DE02EC">
      <w:pPr>
        <w:pStyle w:val="ListParagraph"/>
        <w:numPr>
          <w:ilvl w:val="1"/>
          <w:numId w:val="1"/>
        </w:numPr>
        <w:rPr>
          <w:sz w:val="24"/>
          <w:szCs w:val="24"/>
        </w:rPr>
      </w:pPr>
      <w:r>
        <w:rPr>
          <w:sz w:val="24"/>
          <w:szCs w:val="24"/>
        </w:rPr>
        <w:t>t</w:t>
      </w:r>
      <w:r w:rsidR="00DE02EC" w:rsidRPr="00DE02EC">
        <w:rPr>
          <w:sz w:val="24"/>
          <w:szCs w:val="24"/>
        </w:rPr>
        <w:t xml:space="preserve">ariff free </w:t>
      </w:r>
      <w:r w:rsidR="00BC4288">
        <w:rPr>
          <w:sz w:val="24"/>
          <w:szCs w:val="24"/>
        </w:rPr>
        <w:t>access for</w:t>
      </w:r>
      <w:r w:rsidR="00DE02EC" w:rsidRPr="00DE02EC">
        <w:rPr>
          <w:sz w:val="24"/>
          <w:szCs w:val="24"/>
        </w:rPr>
        <w:t xml:space="preserve"> Australian Extra Virgin Olive Oil in the U</w:t>
      </w:r>
      <w:r w:rsidR="00BC4288">
        <w:rPr>
          <w:sz w:val="24"/>
          <w:szCs w:val="24"/>
        </w:rPr>
        <w:t>K</w:t>
      </w:r>
    </w:p>
    <w:p w14:paraId="0042658F" w14:textId="62FF5D50" w:rsidR="00DE02EC" w:rsidRDefault="00B73A67" w:rsidP="00DE02EC">
      <w:pPr>
        <w:pStyle w:val="ListParagraph"/>
        <w:numPr>
          <w:ilvl w:val="1"/>
          <w:numId w:val="1"/>
        </w:numPr>
        <w:rPr>
          <w:sz w:val="24"/>
          <w:szCs w:val="24"/>
        </w:rPr>
      </w:pPr>
      <w:r>
        <w:rPr>
          <w:sz w:val="24"/>
          <w:szCs w:val="24"/>
        </w:rPr>
        <w:t>a</w:t>
      </w:r>
      <w:r w:rsidR="00BC4288">
        <w:rPr>
          <w:sz w:val="24"/>
          <w:szCs w:val="24"/>
        </w:rPr>
        <w:t>s t</w:t>
      </w:r>
      <w:r w:rsidR="00DE02EC" w:rsidRPr="00DE02EC">
        <w:rPr>
          <w:sz w:val="24"/>
          <w:szCs w:val="24"/>
        </w:rPr>
        <w:t xml:space="preserve">he UK is Australia's number one export destination </w:t>
      </w:r>
      <w:r w:rsidR="00DE02EC">
        <w:rPr>
          <w:sz w:val="24"/>
          <w:szCs w:val="24"/>
        </w:rPr>
        <w:t xml:space="preserve">for wine </w:t>
      </w:r>
      <w:r w:rsidR="00DE02EC" w:rsidRPr="00DE02EC">
        <w:rPr>
          <w:sz w:val="24"/>
          <w:szCs w:val="24"/>
        </w:rPr>
        <w:t>by volume (219 million litres in the 12 months ending March 2020</w:t>
      </w:r>
      <w:r w:rsidR="00BC4288">
        <w:rPr>
          <w:sz w:val="24"/>
          <w:szCs w:val="24"/>
        </w:rPr>
        <w:t>),</w:t>
      </w:r>
      <w:r w:rsidR="00DE02EC" w:rsidRPr="00DE02EC">
        <w:rPr>
          <w:sz w:val="24"/>
          <w:szCs w:val="24"/>
        </w:rPr>
        <w:t xml:space="preserve"> the elimination of tariffs on all imported Australian wine into the UK </w:t>
      </w:r>
      <w:r w:rsidR="00BC4288">
        <w:rPr>
          <w:sz w:val="24"/>
          <w:szCs w:val="24"/>
        </w:rPr>
        <w:t xml:space="preserve">is crucial. At present, </w:t>
      </w:r>
      <w:r w:rsidR="00DE02EC" w:rsidRPr="00DE02EC">
        <w:rPr>
          <w:sz w:val="24"/>
          <w:szCs w:val="24"/>
        </w:rPr>
        <w:t>all</w:t>
      </w:r>
      <w:r w:rsidR="00BC4288">
        <w:rPr>
          <w:sz w:val="24"/>
          <w:szCs w:val="24"/>
        </w:rPr>
        <w:t xml:space="preserve"> Australian wine is</w:t>
      </w:r>
      <w:r w:rsidR="00DE02EC" w:rsidRPr="00DE02EC">
        <w:rPr>
          <w:sz w:val="24"/>
          <w:szCs w:val="24"/>
        </w:rPr>
        <w:t xml:space="preserve"> subject to </w:t>
      </w:r>
      <w:r w:rsidR="00BC4288">
        <w:rPr>
          <w:sz w:val="24"/>
          <w:szCs w:val="24"/>
        </w:rPr>
        <w:t xml:space="preserve">trade restrictive </w:t>
      </w:r>
      <w:r w:rsidR="00DE02EC" w:rsidRPr="00DE02EC">
        <w:rPr>
          <w:sz w:val="24"/>
          <w:szCs w:val="24"/>
        </w:rPr>
        <w:t>import duties</w:t>
      </w:r>
    </w:p>
    <w:p w14:paraId="6A99323C" w14:textId="352BF441" w:rsidR="005821FD" w:rsidRDefault="005821FD" w:rsidP="005821FD">
      <w:pPr>
        <w:pStyle w:val="ListParagraph"/>
        <w:numPr>
          <w:ilvl w:val="1"/>
          <w:numId w:val="1"/>
        </w:numPr>
        <w:rPr>
          <w:sz w:val="24"/>
          <w:szCs w:val="24"/>
        </w:rPr>
      </w:pPr>
      <w:r w:rsidRPr="00DE02EC">
        <w:rPr>
          <w:sz w:val="24"/>
          <w:szCs w:val="24"/>
        </w:rPr>
        <w:t xml:space="preserve">elimination or reduction of non-tariff barriers, such as </w:t>
      </w:r>
      <w:r w:rsidRPr="00646B33">
        <w:rPr>
          <w:sz w:val="24"/>
          <w:szCs w:val="24"/>
        </w:rPr>
        <w:t>the VI-1 export certificate</w:t>
      </w:r>
      <w:r>
        <w:rPr>
          <w:sz w:val="24"/>
          <w:szCs w:val="24"/>
        </w:rPr>
        <w:t>, for wine</w:t>
      </w:r>
    </w:p>
    <w:p w14:paraId="1229217C" w14:textId="72463DFF" w:rsidR="005821FD" w:rsidRPr="00DE02EC" w:rsidRDefault="005821FD" w:rsidP="005821FD">
      <w:pPr>
        <w:pStyle w:val="ListParagraph"/>
        <w:numPr>
          <w:ilvl w:val="1"/>
          <w:numId w:val="1"/>
        </w:numPr>
        <w:rPr>
          <w:sz w:val="24"/>
          <w:szCs w:val="24"/>
        </w:rPr>
      </w:pPr>
      <w:r>
        <w:rPr>
          <w:sz w:val="24"/>
          <w:szCs w:val="24"/>
        </w:rPr>
        <w:t>a</w:t>
      </w:r>
      <w:r w:rsidRPr="00DE02EC">
        <w:rPr>
          <w:sz w:val="24"/>
          <w:szCs w:val="24"/>
        </w:rPr>
        <w:t xml:space="preserve"> streamlined process for </w:t>
      </w:r>
      <w:r>
        <w:rPr>
          <w:sz w:val="24"/>
          <w:szCs w:val="24"/>
        </w:rPr>
        <w:t>recognising ne</w:t>
      </w:r>
      <w:r w:rsidRPr="00DE02EC">
        <w:rPr>
          <w:sz w:val="24"/>
          <w:szCs w:val="24"/>
        </w:rPr>
        <w:t>w winemaking</w:t>
      </w:r>
      <w:r>
        <w:rPr>
          <w:sz w:val="24"/>
          <w:szCs w:val="24"/>
        </w:rPr>
        <w:t xml:space="preserve"> practices</w:t>
      </w:r>
      <w:r w:rsidRPr="00DE02EC">
        <w:rPr>
          <w:sz w:val="24"/>
          <w:szCs w:val="24"/>
        </w:rPr>
        <w:t xml:space="preserve"> to replace the</w:t>
      </w:r>
      <w:r>
        <w:rPr>
          <w:sz w:val="24"/>
          <w:szCs w:val="24"/>
        </w:rPr>
        <w:t xml:space="preserve"> current</w:t>
      </w:r>
      <w:r w:rsidRPr="00DE02EC">
        <w:rPr>
          <w:sz w:val="24"/>
          <w:szCs w:val="24"/>
        </w:rPr>
        <w:t xml:space="preserve"> lengthy process</w:t>
      </w:r>
      <w:r>
        <w:rPr>
          <w:sz w:val="24"/>
          <w:szCs w:val="24"/>
        </w:rPr>
        <w:t xml:space="preserve">, as well as allowing in market processing in the UK (carbonation, sweetening, blending) </w:t>
      </w:r>
    </w:p>
    <w:p w14:paraId="58BEF863" w14:textId="77777777" w:rsidR="005821FD" w:rsidRPr="005E1B67" w:rsidRDefault="005821FD" w:rsidP="005821FD">
      <w:pPr>
        <w:pStyle w:val="ListParagraph"/>
        <w:numPr>
          <w:ilvl w:val="1"/>
          <w:numId w:val="1"/>
        </w:numPr>
        <w:rPr>
          <w:sz w:val="24"/>
          <w:szCs w:val="24"/>
        </w:rPr>
      </w:pPr>
      <w:r>
        <w:rPr>
          <w:sz w:val="24"/>
          <w:szCs w:val="24"/>
        </w:rPr>
        <w:lastRenderedPageBreak/>
        <w:t>t</w:t>
      </w:r>
      <w:r w:rsidRPr="005E1B67">
        <w:rPr>
          <w:sz w:val="24"/>
          <w:szCs w:val="24"/>
        </w:rPr>
        <w:t xml:space="preserve">hat the FTA include references to animal welfare and </w:t>
      </w:r>
      <w:proofErr w:type="gramStart"/>
      <w:r w:rsidRPr="005E1B67">
        <w:rPr>
          <w:sz w:val="24"/>
          <w:szCs w:val="24"/>
        </w:rPr>
        <w:t>take into account</w:t>
      </w:r>
      <w:proofErr w:type="gramEnd"/>
      <w:r w:rsidRPr="005E1B67">
        <w:rPr>
          <w:sz w:val="24"/>
          <w:szCs w:val="24"/>
        </w:rPr>
        <w:t xml:space="preserve"> the strong link between welfare standards and trade. </w:t>
      </w:r>
    </w:p>
    <w:p w14:paraId="21212AD9" w14:textId="77777777" w:rsidR="00BC4288" w:rsidRPr="00DB66D8" w:rsidRDefault="00BC4288" w:rsidP="00BC4288">
      <w:pPr>
        <w:pStyle w:val="ListParagraph"/>
        <w:ind w:left="1080"/>
        <w:rPr>
          <w:sz w:val="24"/>
          <w:szCs w:val="24"/>
        </w:rPr>
      </w:pPr>
    </w:p>
    <w:p w14:paraId="08CDABE1" w14:textId="0BC55E6B" w:rsidR="00221035" w:rsidRDefault="00C27E35" w:rsidP="002D4F58">
      <w:pPr>
        <w:pStyle w:val="ListParagraph"/>
        <w:numPr>
          <w:ilvl w:val="0"/>
          <w:numId w:val="1"/>
        </w:numPr>
        <w:ind w:left="567" w:hanging="567"/>
        <w:rPr>
          <w:sz w:val="24"/>
          <w:szCs w:val="24"/>
        </w:rPr>
      </w:pPr>
      <w:r>
        <w:rPr>
          <w:sz w:val="24"/>
          <w:szCs w:val="24"/>
        </w:rPr>
        <w:t>Many of these</w:t>
      </w:r>
      <w:r w:rsidR="00F165EE" w:rsidRPr="00F165EE">
        <w:rPr>
          <w:sz w:val="24"/>
          <w:szCs w:val="24"/>
        </w:rPr>
        <w:t xml:space="preserve"> views have been incorporated into the agreement </w:t>
      </w:r>
      <w:r w:rsidR="00F165EE">
        <w:rPr>
          <w:sz w:val="24"/>
          <w:szCs w:val="24"/>
        </w:rPr>
        <w:t>through</w:t>
      </w:r>
      <w:r w:rsidR="00BC4288">
        <w:rPr>
          <w:sz w:val="24"/>
          <w:szCs w:val="24"/>
        </w:rPr>
        <w:t xml:space="preserve"> commitments in tariff reductions </w:t>
      </w:r>
      <w:r w:rsidR="00CC612D">
        <w:rPr>
          <w:sz w:val="24"/>
          <w:szCs w:val="24"/>
        </w:rPr>
        <w:t xml:space="preserve">by </w:t>
      </w:r>
      <w:r w:rsidR="00221035">
        <w:rPr>
          <w:sz w:val="24"/>
          <w:szCs w:val="24"/>
        </w:rPr>
        <w:t>Australia and the UK</w:t>
      </w:r>
      <w:r w:rsidR="00775245">
        <w:rPr>
          <w:sz w:val="24"/>
          <w:szCs w:val="24"/>
        </w:rPr>
        <w:t xml:space="preserve"> </w:t>
      </w:r>
      <w:r>
        <w:rPr>
          <w:sz w:val="24"/>
          <w:szCs w:val="24"/>
        </w:rPr>
        <w:t>–</w:t>
      </w:r>
      <w:r w:rsidR="00775245">
        <w:rPr>
          <w:sz w:val="24"/>
          <w:szCs w:val="24"/>
        </w:rPr>
        <w:t xml:space="preserve"> </w:t>
      </w:r>
      <w:r w:rsidR="00221035">
        <w:rPr>
          <w:sz w:val="24"/>
          <w:szCs w:val="24"/>
        </w:rPr>
        <w:t>key</w:t>
      </w:r>
      <w:r>
        <w:rPr>
          <w:sz w:val="24"/>
          <w:szCs w:val="24"/>
        </w:rPr>
        <w:t xml:space="preserve"> </w:t>
      </w:r>
      <w:r w:rsidR="00221035">
        <w:rPr>
          <w:sz w:val="24"/>
          <w:szCs w:val="24"/>
        </w:rPr>
        <w:t xml:space="preserve">outcomes are outlined in </w:t>
      </w:r>
      <w:r w:rsidR="00221035" w:rsidRPr="00221035">
        <w:rPr>
          <w:b/>
          <w:bCs/>
          <w:sz w:val="24"/>
          <w:szCs w:val="24"/>
          <w:u w:val="single"/>
        </w:rPr>
        <w:t>Attachment A – Agreement in Principle</w:t>
      </w:r>
      <w:r w:rsidR="00221035">
        <w:rPr>
          <w:sz w:val="24"/>
          <w:szCs w:val="24"/>
        </w:rPr>
        <w:t xml:space="preserve"> –</w:t>
      </w:r>
      <w:r w:rsidR="00BC4288">
        <w:rPr>
          <w:sz w:val="24"/>
          <w:szCs w:val="24"/>
        </w:rPr>
        <w:t xml:space="preserve"> and</w:t>
      </w:r>
      <w:r w:rsidR="00221035">
        <w:rPr>
          <w:sz w:val="24"/>
          <w:szCs w:val="24"/>
        </w:rPr>
        <w:t xml:space="preserve"> through </w:t>
      </w:r>
      <w:r w:rsidR="00BC4288">
        <w:rPr>
          <w:sz w:val="24"/>
          <w:szCs w:val="24"/>
        </w:rPr>
        <w:t xml:space="preserve">commitments </w:t>
      </w:r>
      <w:r w:rsidR="002C3631">
        <w:rPr>
          <w:sz w:val="24"/>
          <w:szCs w:val="24"/>
        </w:rPr>
        <w:t xml:space="preserve">in chapter text </w:t>
      </w:r>
      <w:r w:rsidR="00BC4288">
        <w:rPr>
          <w:sz w:val="24"/>
          <w:szCs w:val="24"/>
        </w:rPr>
        <w:t>in</w:t>
      </w:r>
      <w:r w:rsidR="002C3631">
        <w:rPr>
          <w:sz w:val="24"/>
          <w:szCs w:val="24"/>
        </w:rPr>
        <w:t>cluding</w:t>
      </w:r>
      <w:r w:rsidR="00BC4288">
        <w:rPr>
          <w:sz w:val="24"/>
          <w:szCs w:val="24"/>
        </w:rPr>
        <w:t xml:space="preserve"> the Trade in Goods, Customs Procedures</w:t>
      </w:r>
      <w:r w:rsidR="00221035">
        <w:rPr>
          <w:sz w:val="24"/>
          <w:szCs w:val="24"/>
        </w:rPr>
        <w:t xml:space="preserve"> and Trade Facilitation</w:t>
      </w:r>
      <w:r w:rsidR="00BC4288">
        <w:rPr>
          <w:sz w:val="24"/>
          <w:szCs w:val="24"/>
        </w:rPr>
        <w:t xml:space="preserve"> and Rules of Origin </w:t>
      </w:r>
      <w:r w:rsidR="00221035">
        <w:rPr>
          <w:sz w:val="24"/>
          <w:szCs w:val="24"/>
        </w:rPr>
        <w:t>C</w:t>
      </w:r>
      <w:r w:rsidR="00BC4288">
        <w:rPr>
          <w:sz w:val="24"/>
          <w:szCs w:val="24"/>
        </w:rPr>
        <w:t>hapters</w:t>
      </w:r>
      <w:r w:rsidR="002C3631">
        <w:rPr>
          <w:sz w:val="24"/>
          <w:szCs w:val="24"/>
        </w:rPr>
        <w:t xml:space="preserve">, which are explained in detail in </w:t>
      </w:r>
      <w:r w:rsidR="002C3631" w:rsidRPr="00924E1B">
        <w:rPr>
          <w:sz w:val="24"/>
          <w:szCs w:val="24"/>
        </w:rPr>
        <w:t xml:space="preserve">the </w:t>
      </w:r>
      <w:r w:rsidR="002C3631" w:rsidRPr="00924E1B">
        <w:rPr>
          <w:b/>
          <w:bCs/>
          <w:sz w:val="24"/>
          <w:szCs w:val="24"/>
          <w:u w:val="single"/>
        </w:rPr>
        <w:t xml:space="preserve">Benefits </w:t>
      </w:r>
      <w:r w:rsidR="00924E1B" w:rsidRPr="00924E1B">
        <w:rPr>
          <w:b/>
          <w:bCs/>
          <w:sz w:val="24"/>
          <w:szCs w:val="24"/>
          <w:u w:val="single"/>
        </w:rPr>
        <w:t>and Impact Analysis</w:t>
      </w:r>
      <w:r w:rsidR="00924E1B">
        <w:rPr>
          <w:sz w:val="24"/>
          <w:szCs w:val="24"/>
        </w:rPr>
        <w:t xml:space="preserve"> section of this RIS.</w:t>
      </w:r>
      <w:r w:rsidR="00221035">
        <w:rPr>
          <w:sz w:val="24"/>
          <w:szCs w:val="24"/>
        </w:rPr>
        <w:t xml:space="preserve"> </w:t>
      </w:r>
    </w:p>
    <w:p w14:paraId="6EF3715C" w14:textId="77777777" w:rsidR="002D4F58" w:rsidRPr="00E1539E" w:rsidRDefault="002D4F58" w:rsidP="00E1539E">
      <w:pPr>
        <w:rPr>
          <w:sz w:val="24"/>
          <w:szCs w:val="24"/>
        </w:rPr>
      </w:pPr>
    </w:p>
    <w:p w14:paraId="3ADCD33B" w14:textId="746EF70C" w:rsidR="002D4F58" w:rsidRDefault="008A2D03" w:rsidP="002D4F58">
      <w:pPr>
        <w:pStyle w:val="ListParagraph"/>
        <w:numPr>
          <w:ilvl w:val="0"/>
          <w:numId w:val="1"/>
        </w:numPr>
        <w:ind w:left="567" w:hanging="567"/>
        <w:rPr>
          <w:sz w:val="24"/>
          <w:szCs w:val="24"/>
        </w:rPr>
      </w:pPr>
      <w:bookmarkStart w:id="71" w:name="_Hlk83823567"/>
      <w:r>
        <w:rPr>
          <w:sz w:val="24"/>
          <w:szCs w:val="24"/>
        </w:rPr>
        <w:t>T</w:t>
      </w:r>
      <w:r w:rsidR="002D4F58">
        <w:rPr>
          <w:sz w:val="24"/>
          <w:szCs w:val="24"/>
        </w:rPr>
        <w:t xml:space="preserve">he announcement of the outcomes </w:t>
      </w:r>
      <w:r>
        <w:rPr>
          <w:sz w:val="24"/>
          <w:szCs w:val="24"/>
        </w:rPr>
        <w:t>in</w:t>
      </w:r>
      <w:r w:rsidR="002D4F58">
        <w:rPr>
          <w:sz w:val="24"/>
          <w:szCs w:val="24"/>
        </w:rPr>
        <w:t xml:space="preserve"> the Agreement in Principle (</w:t>
      </w:r>
      <w:proofErr w:type="spellStart"/>
      <w:r w:rsidR="002D4F58">
        <w:rPr>
          <w:sz w:val="24"/>
          <w:szCs w:val="24"/>
        </w:rPr>
        <w:t>AiP</w:t>
      </w:r>
      <w:proofErr w:type="spellEnd"/>
      <w:r w:rsidR="002D4F58">
        <w:rPr>
          <w:sz w:val="24"/>
          <w:szCs w:val="24"/>
        </w:rPr>
        <w:t>) th</w:t>
      </w:r>
      <w:r>
        <w:rPr>
          <w:sz w:val="24"/>
          <w:szCs w:val="24"/>
        </w:rPr>
        <w:t>at are part of the</w:t>
      </w:r>
      <w:r w:rsidR="002D4F58">
        <w:rPr>
          <w:sz w:val="24"/>
          <w:szCs w:val="24"/>
        </w:rPr>
        <w:t xml:space="preserve"> proposed AU-UK FTA </w:t>
      </w:r>
      <w:r>
        <w:rPr>
          <w:sz w:val="24"/>
          <w:szCs w:val="24"/>
        </w:rPr>
        <w:t xml:space="preserve">resulted </w:t>
      </w:r>
      <w:r w:rsidR="00CC612D">
        <w:rPr>
          <w:sz w:val="24"/>
          <w:szCs w:val="24"/>
        </w:rPr>
        <w:t xml:space="preserve">in </w:t>
      </w:r>
      <w:r w:rsidR="00092244">
        <w:rPr>
          <w:sz w:val="24"/>
          <w:szCs w:val="24"/>
        </w:rPr>
        <w:t xml:space="preserve">positive </w:t>
      </w:r>
      <w:r>
        <w:rPr>
          <w:sz w:val="24"/>
          <w:szCs w:val="24"/>
        </w:rPr>
        <w:t>stakeholder reactions</w:t>
      </w:r>
      <w:r w:rsidR="00092244">
        <w:rPr>
          <w:sz w:val="24"/>
          <w:szCs w:val="24"/>
        </w:rPr>
        <w:t xml:space="preserve">. </w:t>
      </w:r>
      <w:bookmarkEnd w:id="71"/>
      <w:r w:rsidR="00092244">
        <w:rPr>
          <w:sz w:val="24"/>
          <w:szCs w:val="24"/>
        </w:rPr>
        <w:t>Examples include</w:t>
      </w:r>
      <w:r w:rsidR="002D4F58">
        <w:rPr>
          <w:sz w:val="24"/>
          <w:szCs w:val="24"/>
        </w:rPr>
        <w:t xml:space="preserve">: </w:t>
      </w:r>
    </w:p>
    <w:p w14:paraId="44A05114" w14:textId="77777777" w:rsidR="002D4F58" w:rsidRPr="002D4F58" w:rsidRDefault="002D4F58" w:rsidP="002D4F58">
      <w:pPr>
        <w:pStyle w:val="ListParagraph"/>
        <w:rPr>
          <w:sz w:val="24"/>
          <w:szCs w:val="24"/>
        </w:rPr>
      </w:pPr>
    </w:p>
    <w:p w14:paraId="4604DA77" w14:textId="433DDB4D" w:rsidR="002D4F58" w:rsidRDefault="002D4F58" w:rsidP="002D4F58">
      <w:pPr>
        <w:pStyle w:val="ListParagraph"/>
        <w:numPr>
          <w:ilvl w:val="1"/>
          <w:numId w:val="1"/>
        </w:numPr>
        <w:rPr>
          <w:sz w:val="24"/>
          <w:szCs w:val="24"/>
        </w:rPr>
      </w:pPr>
      <w:r w:rsidRPr="00E2375F">
        <w:rPr>
          <w:sz w:val="24"/>
          <w:szCs w:val="24"/>
        </w:rPr>
        <w:t xml:space="preserve">The Business Council of Australia </w:t>
      </w:r>
      <w:r w:rsidRPr="009421ED">
        <w:rPr>
          <w:rFonts w:cstheme="minorHAnsi"/>
          <w:sz w:val="24"/>
          <w:szCs w:val="24"/>
        </w:rPr>
        <w:t xml:space="preserve">welcomed the announcement of the </w:t>
      </w:r>
      <w:r>
        <w:rPr>
          <w:rFonts w:cstheme="minorHAnsi"/>
          <w:sz w:val="24"/>
          <w:szCs w:val="24"/>
        </w:rPr>
        <w:t xml:space="preserve">outcomes in AIP for the proposed </w:t>
      </w:r>
      <w:r w:rsidRPr="009421ED">
        <w:rPr>
          <w:rFonts w:cstheme="minorHAnsi"/>
          <w:sz w:val="24"/>
          <w:szCs w:val="24"/>
        </w:rPr>
        <w:t>A</w:t>
      </w:r>
      <w:r>
        <w:rPr>
          <w:rFonts w:cstheme="minorHAnsi"/>
          <w:sz w:val="24"/>
          <w:szCs w:val="24"/>
        </w:rPr>
        <w:t>U</w:t>
      </w:r>
      <w:r w:rsidRPr="009421ED">
        <w:rPr>
          <w:rFonts w:cstheme="minorHAnsi"/>
          <w:sz w:val="24"/>
          <w:szCs w:val="24"/>
        </w:rPr>
        <w:t>-UK</w:t>
      </w:r>
      <w:r>
        <w:rPr>
          <w:rFonts w:cstheme="minorHAnsi"/>
          <w:sz w:val="24"/>
          <w:szCs w:val="24"/>
        </w:rPr>
        <w:t xml:space="preserve"> </w:t>
      </w:r>
      <w:r w:rsidRPr="009421ED">
        <w:rPr>
          <w:rFonts w:cstheme="minorHAnsi"/>
          <w:sz w:val="24"/>
          <w:szCs w:val="24"/>
        </w:rPr>
        <w:t xml:space="preserve">FTA, </w:t>
      </w:r>
      <w:r w:rsidRPr="00E2375F">
        <w:rPr>
          <w:sz w:val="24"/>
          <w:szCs w:val="24"/>
        </w:rPr>
        <w:t>describing it as a “record setting deal …” that paved “the way for more ambitious trade outcomes in our region and globally.”</w:t>
      </w:r>
      <w:r w:rsidRPr="00012793">
        <w:rPr>
          <w:vertAlign w:val="superscript"/>
        </w:rPr>
        <w:footnoteReference w:id="81"/>
      </w:r>
    </w:p>
    <w:p w14:paraId="2E28814A" w14:textId="4F91E84D" w:rsidR="002D4F58" w:rsidRDefault="002D4F58" w:rsidP="002D4F58">
      <w:pPr>
        <w:pStyle w:val="ListParagraph"/>
        <w:numPr>
          <w:ilvl w:val="1"/>
          <w:numId w:val="1"/>
        </w:numPr>
        <w:rPr>
          <w:sz w:val="24"/>
          <w:szCs w:val="24"/>
        </w:rPr>
      </w:pPr>
      <w:r w:rsidRPr="00D06256">
        <w:rPr>
          <w:sz w:val="24"/>
          <w:szCs w:val="24"/>
        </w:rPr>
        <w:t xml:space="preserve">The National Farmers’ Federation assessed </w:t>
      </w:r>
      <w:r w:rsidRPr="009421ED">
        <w:rPr>
          <w:rFonts w:cstheme="minorHAnsi"/>
          <w:sz w:val="24"/>
          <w:szCs w:val="24"/>
        </w:rPr>
        <w:t xml:space="preserve">the announcement of the </w:t>
      </w:r>
      <w:r>
        <w:rPr>
          <w:rFonts w:cstheme="minorHAnsi"/>
          <w:sz w:val="24"/>
          <w:szCs w:val="24"/>
        </w:rPr>
        <w:t xml:space="preserve">outcomes in AIP for the proposed </w:t>
      </w:r>
      <w:r w:rsidRPr="009421ED">
        <w:rPr>
          <w:rFonts w:cstheme="minorHAnsi"/>
          <w:sz w:val="24"/>
          <w:szCs w:val="24"/>
        </w:rPr>
        <w:t>A</w:t>
      </w:r>
      <w:r>
        <w:rPr>
          <w:rFonts w:cstheme="minorHAnsi"/>
          <w:sz w:val="24"/>
          <w:szCs w:val="24"/>
        </w:rPr>
        <w:t>U</w:t>
      </w:r>
      <w:r w:rsidRPr="009421ED">
        <w:rPr>
          <w:rFonts w:cstheme="minorHAnsi"/>
          <w:sz w:val="24"/>
          <w:szCs w:val="24"/>
        </w:rPr>
        <w:t>-UK</w:t>
      </w:r>
      <w:r>
        <w:rPr>
          <w:rFonts w:cstheme="minorHAnsi"/>
          <w:sz w:val="24"/>
          <w:szCs w:val="24"/>
        </w:rPr>
        <w:t xml:space="preserve"> </w:t>
      </w:r>
      <w:r w:rsidRPr="009421ED">
        <w:rPr>
          <w:rFonts w:cstheme="minorHAnsi"/>
          <w:sz w:val="24"/>
          <w:szCs w:val="24"/>
        </w:rPr>
        <w:t>FTA</w:t>
      </w:r>
      <w:r>
        <w:rPr>
          <w:sz w:val="24"/>
          <w:szCs w:val="24"/>
        </w:rPr>
        <w:t xml:space="preserve"> </w:t>
      </w:r>
      <w:r w:rsidRPr="00D06256">
        <w:rPr>
          <w:sz w:val="24"/>
          <w:szCs w:val="24"/>
        </w:rPr>
        <w:t>as a “significant leap forward in Australia’s market access</w:t>
      </w:r>
      <w:r>
        <w:rPr>
          <w:sz w:val="24"/>
          <w:szCs w:val="24"/>
        </w:rPr>
        <w:t>.</w:t>
      </w:r>
      <w:r w:rsidRPr="00D06256">
        <w:rPr>
          <w:sz w:val="24"/>
          <w:szCs w:val="24"/>
        </w:rPr>
        <w:t>”</w:t>
      </w:r>
      <w:r w:rsidRPr="00864C7F">
        <w:rPr>
          <w:sz w:val="24"/>
          <w:szCs w:val="24"/>
          <w:vertAlign w:val="superscript"/>
        </w:rPr>
        <w:footnoteReference w:id="82"/>
      </w:r>
    </w:p>
    <w:p w14:paraId="6B868C38" w14:textId="77777777" w:rsidR="002D4F58" w:rsidRPr="002D4F58" w:rsidRDefault="002D4F58" w:rsidP="002D4F58">
      <w:pPr>
        <w:pStyle w:val="ListParagraph"/>
        <w:numPr>
          <w:ilvl w:val="1"/>
          <w:numId w:val="1"/>
        </w:numPr>
        <w:rPr>
          <w:sz w:val="24"/>
          <w:szCs w:val="24"/>
        </w:rPr>
      </w:pPr>
      <w:r w:rsidRPr="002D4F58">
        <w:rPr>
          <w:sz w:val="24"/>
          <w:szCs w:val="24"/>
        </w:rPr>
        <w:t xml:space="preserve">Meat and Livestock Australia has warmly welcomed </w:t>
      </w:r>
      <w:r w:rsidRPr="002D4F58">
        <w:rPr>
          <w:rFonts w:cstheme="minorHAnsi"/>
          <w:sz w:val="24"/>
          <w:szCs w:val="24"/>
        </w:rPr>
        <w:t>the announcement of the outcomes in AIP for the proposed AU-UK FTA</w:t>
      </w:r>
      <w:r w:rsidRPr="002D4F58">
        <w:rPr>
          <w:sz w:val="24"/>
          <w:szCs w:val="24"/>
        </w:rPr>
        <w:t>, stating the outcomes enhance ‘…the long-term partnership between the British meat trade, British consumers and the Australian red meat industry’.</w:t>
      </w:r>
      <w:r w:rsidRPr="00283731">
        <w:rPr>
          <w:vertAlign w:val="superscript"/>
        </w:rPr>
        <w:footnoteReference w:id="83"/>
      </w:r>
      <w:r w:rsidRPr="002D4F58">
        <w:rPr>
          <w:sz w:val="24"/>
          <w:szCs w:val="24"/>
        </w:rPr>
        <w:t xml:space="preserve"> </w:t>
      </w:r>
    </w:p>
    <w:p w14:paraId="29742C88" w14:textId="6DE3D07D" w:rsidR="002D4F58" w:rsidRPr="00FC0BDB" w:rsidRDefault="002D4F58" w:rsidP="002D4F58">
      <w:pPr>
        <w:pStyle w:val="ListParagraph"/>
        <w:numPr>
          <w:ilvl w:val="1"/>
          <w:numId w:val="1"/>
        </w:numPr>
        <w:rPr>
          <w:sz w:val="24"/>
          <w:szCs w:val="24"/>
        </w:rPr>
      </w:pPr>
      <w:r>
        <w:rPr>
          <w:rFonts w:cstheme="minorHAnsi"/>
          <w:sz w:val="24"/>
          <w:szCs w:val="24"/>
        </w:rPr>
        <w:t xml:space="preserve">Regarding </w:t>
      </w:r>
      <w:r w:rsidRPr="009421ED">
        <w:rPr>
          <w:rFonts w:cstheme="minorHAnsi"/>
          <w:sz w:val="24"/>
          <w:szCs w:val="24"/>
        </w:rPr>
        <w:t xml:space="preserve">the announcement of the </w:t>
      </w:r>
      <w:r>
        <w:rPr>
          <w:rFonts w:cstheme="minorHAnsi"/>
          <w:sz w:val="24"/>
          <w:szCs w:val="24"/>
        </w:rPr>
        <w:t xml:space="preserve">outcomes in AIP for the proposed </w:t>
      </w:r>
      <w:r w:rsidRPr="009421ED">
        <w:rPr>
          <w:rFonts w:cstheme="minorHAnsi"/>
          <w:sz w:val="24"/>
          <w:szCs w:val="24"/>
        </w:rPr>
        <w:t>A</w:t>
      </w:r>
      <w:r>
        <w:rPr>
          <w:rFonts w:cstheme="minorHAnsi"/>
          <w:sz w:val="24"/>
          <w:szCs w:val="24"/>
        </w:rPr>
        <w:t>U</w:t>
      </w:r>
      <w:r w:rsidRPr="009421ED">
        <w:rPr>
          <w:rFonts w:cstheme="minorHAnsi"/>
          <w:sz w:val="24"/>
          <w:szCs w:val="24"/>
        </w:rPr>
        <w:t>-UK</w:t>
      </w:r>
      <w:r>
        <w:rPr>
          <w:rFonts w:cstheme="minorHAnsi"/>
          <w:sz w:val="24"/>
          <w:szCs w:val="24"/>
        </w:rPr>
        <w:t xml:space="preserve"> </w:t>
      </w:r>
      <w:r w:rsidRPr="009421ED">
        <w:rPr>
          <w:rFonts w:cstheme="minorHAnsi"/>
          <w:sz w:val="24"/>
          <w:szCs w:val="24"/>
        </w:rPr>
        <w:t>FTA</w:t>
      </w:r>
      <w:r>
        <w:rPr>
          <w:sz w:val="24"/>
          <w:szCs w:val="24"/>
        </w:rPr>
        <w:t>,</w:t>
      </w:r>
      <w:r w:rsidRPr="009421ED">
        <w:rPr>
          <w:rFonts w:cstheme="minorHAnsi"/>
          <w:sz w:val="24"/>
          <w:szCs w:val="24"/>
        </w:rPr>
        <w:t xml:space="preserve"> </w:t>
      </w:r>
      <w:r w:rsidR="00CC612D">
        <w:rPr>
          <w:rFonts w:cstheme="minorHAnsi"/>
          <w:sz w:val="24"/>
          <w:szCs w:val="24"/>
        </w:rPr>
        <w:t>p</w:t>
      </w:r>
      <w:r w:rsidRPr="009421ED">
        <w:rPr>
          <w:rFonts w:cstheme="minorHAnsi"/>
          <w:sz w:val="24"/>
          <w:szCs w:val="24"/>
        </w:rPr>
        <w:t>eak industry group Canegrowers said immediate and substantial up-front tariff-free access was a ‘significant boost’ and would ‘deliver a positive economic benefit’.</w:t>
      </w:r>
      <w:r w:rsidRPr="009421ED">
        <w:rPr>
          <w:rStyle w:val="FootnoteReference"/>
          <w:rFonts w:cstheme="minorHAnsi"/>
          <w:sz w:val="24"/>
          <w:szCs w:val="24"/>
        </w:rPr>
        <w:footnoteReference w:id="84"/>
      </w:r>
    </w:p>
    <w:p w14:paraId="14F533AB" w14:textId="0382FF44" w:rsidR="00FC0BDB" w:rsidRPr="00FC0BDB" w:rsidRDefault="00FC0BDB" w:rsidP="00FC0BDB">
      <w:pPr>
        <w:pStyle w:val="ListParagraph"/>
        <w:numPr>
          <w:ilvl w:val="1"/>
          <w:numId w:val="1"/>
        </w:numPr>
        <w:rPr>
          <w:sz w:val="24"/>
          <w:szCs w:val="24"/>
        </w:rPr>
      </w:pPr>
      <w:r w:rsidRPr="00FC0BDB">
        <w:rPr>
          <w:rFonts w:cstheme="minorHAnsi"/>
          <w:sz w:val="24"/>
          <w:szCs w:val="24"/>
        </w:rPr>
        <w:t xml:space="preserve">The Australian Dairy Industry Council (ADIC) welcomed the announcement of the </w:t>
      </w:r>
      <w:r w:rsidRPr="00FC0BDB">
        <w:rPr>
          <w:sz w:val="24"/>
          <w:szCs w:val="24"/>
        </w:rPr>
        <w:t>outcomes</w:t>
      </w:r>
      <w:r w:rsidRPr="00FC0BDB">
        <w:rPr>
          <w:rFonts w:cstheme="minorHAnsi"/>
          <w:sz w:val="24"/>
          <w:szCs w:val="24"/>
        </w:rPr>
        <w:t xml:space="preserve"> in AIP for the proposed AU-UK FTA, observing the agreement positioned Australian dairy manufacturers to ‘…actively explore market opportunities that they would previously have never considered possible’.</w:t>
      </w:r>
      <w:r w:rsidRPr="009421ED">
        <w:rPr>
          <w:rStyle w:val="FootnoteReference"/>
          <w:rFonts w:cstheme="minorHAnsi"/>
          <w:sz w:val="24"/>
          <w:szCs w:val="24"/>
        </w:rPr>
        <w:footnoteReference w:id="85"/>
      </w:r>
      <w:r w:rsidRPr="00FC0BDB">
        <w:rPr>
          <w:rFonts w:cstheme="minorHAnsi"/>
          <w:sz w:val="24"/>
          <w:szCs w:val="24"/>
        </w:rPr>
        <w:t xml:space="preserve"> </w:t>
      </w:r>
    </w:p>
    <w:p w14:paraId="359EF24B" w14:textId="4D8001E3" w:rsidR="00FC0BDB" w:rsidRPr="000265BC" w:rsidRDefault="00FC0BDB" w:rsidP="00FC0BDB">
      <w:pPr>
        <w:pStyle w:val="ListParagraph"/>
        <w:numPr>
          <w:ilvl w:val="1"/>
          <w:numId w:val="1"/>
        </w:numPr>
        <w:rPr>
          <w:sz w:val="24"/>
          <w:szCs w:val="24"/>
        </w:rPr>
      </w:pPr>
      <w:proofErr w:type="spellStart"/>
      <w:r w:rsidRPr="00FC0BDB">
        <w:rPr>
          <w:rFonts w:cstheme="minorHAnsi"/>
          <w:sz w:val="24"/>
          <w:szCs w:val="24"/>
        </w:rPr>
        <w:t>SunRice</w:t>
      </w:r>
      <w:proofErr w:type="spellEnd"/>
      <w:r w:rsidRPr="00FC0BDB">
        <w:rPr>
          <w:rFonts w:cstheme="minorHAnsi"/>
          <w:sz w:val="24"/>
          <w:szCs w:val="24"/>
        </w:rPr>
        <w:t xml:space="preserve"> Group has strongly supported the increased market access announced as part of the </w:t>
      </w:r>
      <w:r w:rsidRPr="00FC0BDB">
        <w:rPr>
          <w:sz w:val="24"/>
          <w:szCs w:val="24"/>
        </w:rPr>
        <w:t>outcomes</w:t>
      </w:r>
      <w:r w:rsidRPr="00FC0BDB">
        <w:rPr>
          <w:rFonts w:cstheme="minorHAnsi"/>
          <w:sz w:val="24"/>
          <w:szCs w:val="24"/>
        </w:rPr>
        <w:t xml:space="preserve"> in AIP for the proposed AU-UK FTA, stating it reflected </w:t>
      </w:r>
      <w:r w:rsidRPr="00FC0BDB">
        <w:rPr>
          <w:rFonts w:cstheme="minorHAnsi"/>
          <w:sz w:val="24"/>
          <w:szCs w:val="24"/>
        </w:rPr>
        <w:lastRenderedPageBreak/>
        <w:t>the ‘most significant market access outcome for Australian rice exports in any of the recent FTAs that the Government has delivered’.</w:t>
      </w:r>
      <w:r w:rsidRPr="009421ED">
        <w:rPr>
          <w:rStyle w:val="FootnoteReference"/>
          <w:rFonts w:cstheme="minorHAnsi"/>
          <w:sz w:val="24"/>
          <w:szCs w:val="24"/>
        </w:rPr>
        <w:footnoteReference w:id="86"/>
      </w:r>
    </w:p>
    <w:p w14:paraId="2F9F7BC3" w14:textId="77777777" w:rsidR="00AF7F21" w:rsidRPr="00536489" w:rsidRDefault="00AF7F21" w:rsidP="00536489">
      <w:pPr>
        <w:rPr>
          <w:sz w:val="24"/>
          <w:szCs w:val="24"/>
        </w:rPr>
      </w:pPr>
    </w:p>
    <w:p w14:paraId="0260E5C3" w14:textId="5530A475" w:rsidR="00A67D7C" w:rsidRPr="00F078B9" w:rsidRDefault="00A67D7C" w:rsidP="00F078B9">
      <w:pPr>
        <w:pStyle w:val="ListParagraph"/>
        <w:numPr>
          <w:ilvl w:val="0"/>
          <w:numId w:val="1"/>
        </w:numPr>
        <w:ind w:left="567" w:hanging="567"/>
        <w:rPr>
          <w:sz w:val="24"/>
          <w:szCs w:val="24"/>
        </w:rPr>
      </w:pPr>
      <w:bookmarkStart w:id="72" w:name="_Hlk80024807"/>
      <w:r w:rsidRPr="00720E04">
        <w:rPr>
          <w:b/>
          <w:bCs/>
          <w:sz w:val="24"/>
          <w:szCs w:val="24"/>
        </w:rPr>
        <w:t>F</w:t>
      </w:r>
      <w:r w:rsidRPr="007469C3">
        <w:rPr>
          <w:b/>
          <w:bCs/>
          <w:sz w:val="24"/>
          <w:szCs w:val="24"/>
        </w:rPr>
        <w:t xml:space="preserve">inancial </w:t>
      </w:r>
      <w:r w:rsidRPr="00206944">
        <w:rPr>
          <w:sz w:val="24"/>
          <w:szCs w:val="24"/>
        </w:rPr>
        <w:t>services</w:t>
      </w:r>
      <w:r>
        <w:rPr>
          <w:b/>
          <w:bCs/>
          <w:sz w:val="24"/>
          <w:szCs w:val="24"/>
        </w:rPr>
        <w:t xml:space="preserve"> </w:t>
      </w:r>
      <w:r>
        <w:rPr>
          <w:sz w:val="24"/>
          <w:szCs w:val="24"/>
        </w:rPr>
        <w:t>stakeholder views, compiled from meetings and submissions,</w:t>
      </w:r>
      <w:r w:rsidR="00F078B9">
        <w:rPr>
          <w:sz w:val="24"/>
          <w:szCs w:val="24"/>
        </w:rPr>
        <w:t xml:space="preserve"> include </w:t>
      </w:r>
      <w:r w:rsidRPr="00F078B9">
        <w:rPr>
          <w:sz w:val="24"/>
          <w:szCs w:val="24"/>
        </w:rPr>
        <w:t>requests that the FTA streamline regulatory requirements in the services sector including the mutual recognition of digital document authorisation for financial services (</w:t>
      </w:r>
      <w:proofErr w:type="spellStart"/>
      <w:proofErr w:type="gramStart"/>
      <w:r w:rsidRPr="00F078B9">
        <w:rPr>
          <w:sz w:val="24"/>
          <w:szCs w:val="24"/>
        </w:rPr>
        <w:t>eg</w:t>
      </w:r>
      <w:proofErr w:type="spellEnd"/>
      <w:proofErr w:type="gramEnd"/>
      <w:r w:rsidRPr="00F078B9">
        <w:rPr>
          <w:sz w:val="24"/>
          <w:szCs w:val="24"/>
        </w:rPr>
        <w:t xml:space="preserve"> a financial services "passport").</w:t>
      </w:r>
    </w:p>
    <w:p w14:paraId="5A5B0C88" w14:textId="77777777" w:rsidR="00A67D7C" w:rsidRDefault="00A67D7C" w:rsidP="00A67D7C">
      <w:pPr>
        <w:pStyle w:val="ListParagraph"/>
        <w:ind w:left="1080"/>
        <w:rPr>
          <w:sz w:val="24"/>
          <w:szCs w:val="24"/>
        </w:rPr>
      </w:pPr>
    </w:p>
    <w:p w14:paraId="71FC9B11" w14:textId="77777777" w:rsidR="00A67D7C" w:rsidRPr="005B780E" w:rsidRDefault="00A67D7C" w:rsidP="00A67D7C">
      <w:pPr>
        <w:pStyle w:val="ListParagraph"/>
        <w:numPr>
          <w:ilvl w:val="0"/>
          <w:numId w:val="1"/>
        </w:numPr>
        <w:ind w:left="567" w:hanging="567"/>
        <w:rPr>
          <w:sz w:val="24"/>
          <w:szCs w:val="24"/>
        </w:rPr>
      </w:pPr>
      <w:r>
        <w:rPr>
          <w:sz w:val="24"/>
          <w:szCs w:val="24"/>
        </w:rPr>
        <w:t>T</w:t>
      </w:r>
      <w:r w:rsidRPr="00F165EE">
        <w:rPr>
          <w:sz w:val="24"/>
          <w:szCs w:val="24"/>
        </w:rPr>
        <w:t xml:space="preserve">hese views have been incorporated into the agreement </w:t>
      </w:r>
      <w:r>
        <w:rPr>
          <w:sz w:val="24"/>
          <w:szCs w:val="24"/>
        </w:rPr>
        <w:t xml:space="preserve">through a </w:t>
      </w:r>
      <w:r w:rsidRPr="000035A5">
        <w:rPr>
          <w:sz w:val="24"/>
          <w:szCs w:val="24"/>
        </w:rPr>
        <w:t>financial services</w:t>
      </w:r>
      <w:r>
        <w:rPr>
          <w:sz w:val="24"/>
          <w:szCs w:val="24"/>
        </w:rPr>
        <w:t xml:space="preserve"> chapter that</w:t>
      </w:r>
      <w:r w:rsidRPr="000035A5">
        <w:rPr>
          <w:sz w:val="24"/>
          <w:szCs w:val="24"/>
        </w:rPr>
        <w:t xml:space="preserve"> </w:t>
      </w:r>
      <w:r>
        <w:rPr>
          <w:sz w:val="24"/>
          <w:szCs w:val="24"/>
        </w:rPr>
        <w:t xml:space="preserve">streamlines regulatory requirements and </w:t>
      </w:r>
      <w:r w:rsidRPr="000035A5">
        <w:rPr>
          <w:sz w:val="24"/>
          <w:szCs w:val="24"/>
        </w:rPr>
        <w:t>address</w:t>
      </w:r>
      <w:r>
        <w:rPr>
          <w:sz w:val="24"/>
          <w:szCs w:val="24"/>
        </w:rPr>
        <w:t>es</w:t>
      </w:r>
      <w:r w:rsidRPr="000035A5">
        <w:rPr>
          <w:sz w:val="24"/>
          <w:szCs w:val="24"/>
        </w:rPr>
        <w:t xml:space="preserve"> behind the border barriers to financial services trade</w:t>
      </w:r>
      <w:r>
        <w:rPr>
          <w:sz w:val="24"/>
          <w:szCs w:val="24"/>
        </w:rPr>
        <w:t>.</w:t>
      </w:r>
      <w:r w:rsidRPr="000035A5">
        <w:rPr>
          <w:sz w:val="24"/>
          <w:szCs w:val="24"/>
        </w:rPr>
        <w:t xml:space="preserve"> </w:t>
      </w:r>
      <w:r>
        <w:rPr>
          <w:sz w:val="24"/>
          <w:szCs w:val="24"/>
        </w:rPr>
        <w:t>F</w:t>
      </w:r>
      <w:r w:rsidRPr="005B780E">
        <w:rPr>
          <w:sz w:val="24"/>
          <w:szCs w:val="24"/>
        </w:rPr>
        <w:t>inancial service suppliers from the UK and Australia will have increased opportunities to provide financial services into the UK market, including for example the provision of financial services that utilise new technology or are delivered via new methods.</w:t>
      </w:r>
    </w:p>
    <w:p w14:paraId="02D5CDF8" w14:textId="77777777" w:rsidR="00A67D7C" w:rsidRPr="000035A5" w:rsidRDefault="00A67D7C" w:rsidP="00A67D7C">
      <w:pPr>
        <w:pStyle w:val="ListParagraph"/>
        <w:ind w:left="360"/>
        <w:rPr>
          <w:sz w:val="24"/>
          <w:szCs w:val="24"/>
        </w:rPr>
      </w:pPr>
    </w:p>
    <w:p w14:paraId="5F4B610F" w14:textId="11B332F2" w:rsidR="00A67D7C" w:rsidRPr="0011206F" w:rsidRDefault="00A67D7C" w:rsidP="00A67D7C">
      <w:pPr>
        <w:pStyle w:val="ListParagraph"/>
        <w:numPr>
          <w:ilvl w:val="0"/>
          <w:numId w:val="1"/>
        </w:numPr>
        <w:ind w:left="567" w:hanging="567"/>
        <w:rPr>
          <w:sz w:val="24"/>
          <w:szCs w:val="24"/>
        </w:rPr>
      </w:pPr>
      <w:r w:rsidRPr="000035A5">
        <w:rPr>
          <w:sz w:val="24"/>
          <w:szCs w:val="24"/>
        </w:rPr>
        <w:t xml:space="preserve">Australia and the UK have also agreed to enhance regulatory cooperation in financial services, including commitments to cooperate on emerging issues and commitments to work towards and develop dialogues on regulatory deference. The </w:t>
      </w:r>
      <w:r>
        <w:rPr>
          <w:sz w:val="24"/>
          <w:szCs w:val="24"/>
        </w:rPr>
        <w:t xml:space="preserve">proposed AU-UK </w:t>
      </w:r>
      <w:r w:rsidRPr="000035A5">
        <w:rPr>
          <w:sz w:val="24"/>
          <w:szCs w:val="24"/>
        </w:rPr>
        <w:t>FTA also includes specific obligations on transparency relating to financial services regulations, and rules allowing business to transfer information across borders.</w:t>
      </w:r>
      <w:bookmarkEnd w:id="72"/>
    </w:p>
    <w:p w14:paraId="6044E710" w14:textId="77777777" w:rsidR="006377CB" w:rsidRPr="006377CB" w:rsidRDefault="006377CB" w:rsidP="006377CB">
      <w:pPr>
        <w:pStyle w:val="ListParagraph"/>
        <w:ind w:left="360"/>
        <w:rPr>
          <w:sz w:val="24"/>
          <w:szCs w:val="24"/>
        </w:rPr>
      </w:pPr>
    </w:p>
    <w:p w14:paraId="06744E56" w14:textId="6E478CC1" w:rsidR="004A3466" w:rsidRDefault="00720E04" w:rsidP="00206944">
      <w:pPr>
        <w:pStyle w:val="ListParagraph"/>
        <w:numPr>
          <w:ilvl w:val="0"/>
          <w:numId w:val="1"/>
        </w:numPr>
        <w:ind w:left="567" w:hanging="567"/>
        <w:rPr>
          <w:sz w:val="24"/>
          <w:szCs w:val="24"/>
        </w:rPr>
      </w:pPr>
      <w:r w:rsidRPr="00720E04">
        <w:rPr>
          <w:b/>
          <w:bCs/>
          <w:sz w:val="24"/>
          <w:szCs w:val="24"/>
        </w:rPr>
        <w:t>P</w:t>
      </w:r>
      <w:r w:rsidR="00E72F19" w:rsidRPr="007469C3">
        <w:rPr>
          <w:b/>
          <w:bCs/>
          <w:sz w:val="24"/>
          <w:szCs w:val="24"/>
        </w:rPr>
        <w:t xml:space="preserve">rofessional </w:t>
      </w:r>
      <w:r w:rsidR="00E72F19" w:rsidRPr="00206944">
        <w:rPr>
          <w:sz w:val="24"/>
          <w:szCs w:val="24"/>
        </w:rPr>
        <w:t>services</w:t>
      </w:r>
      <w:r>
        <w:rPr>
          <w:b/>
          <w:bCs/>
          <w:sz w:val="24"/>
          <w:szCs w:val="24"/>
        </w:rPr>
        <w:t xml:space="preserve"> </w:t>
      </w:r>
      <w:r>
        <w:rPr>
          <w:sz w:val="24"/>
          <w:szCs w:val="24"/>
        </w:rPr>
        <w:t>stakeholder views, compiled from meetings and submissions, are summarised as follows:</w:t>
      </w:r>
    </w:p>
    <w:p w14:paraId="26DEB3C2" w14:textId="222B94B8" w:rsidR="00E72F19" w:rsidRDefault="00D40372" w:rsidP="00E72F19">
      <w:pPr>
        <w:pStyle w:val="ListParagraph"/>
        <w:numPr>
          <w:ilvl w:val="1"/>
          <w:numId w:val="1"/>
        </w:numPr>
        <w:rPr>
          <w:sz w:val="24"/>
          <w:szCs w:val="24"/>
        </w:rPr>
      </w:pPr>
      <w:r>
        <w:rPr>
          <w:sz w:val="24"/>
          <w:szCs w:val="24"/>
        </w:rPr>
        <w:t>D</w:t>
      </w:r>
      <w:r w:rsidR="00A536D9" w:rsidRPr="00A536D9">
        <w:rPr>
          <w:sz w:val="24"/>
          <w:szCs w:val="24"/>
        </w:rPr>
        <w:t xml:space="preserve">evelop a framework for the mutual recognition of professional </w:t>
      </w:r>
      <w:r w:rsidR="008A2D03">
        <w:rPr>
          <w:sz w:val="24"/>
          <w:szCs w:val="24"/>
        </w:rPr>
        <w:t xml:space="preserve">qualifications, </w:t>
      </w:r>
      <w:r w:rsidR="00A536D9" w:rsidRPr="00A536D9">
        <w:rPr>
          <w:sz w:val="24"/>
          <w:szCs w:val="24"/>
        </w:rPr>
        <w:t xml:space="preserve">licensing, </w:t>
      </w:r>
      <w:proofErr w:type="gramStart"/>
      <w:r w:rsidR="00A536D9" w:rsidRPr="00A536D9">
        <w:rPr>
          <w:sz w:val="24"/>
          <w:szCs w:val="24"/>
        </w:rPr>
        <w:t>registration</w:t>
      </w:r>
      <w:proofErr w:type="gramEnd"/>
      <w:r w:rsidR="00A536D9" w:rsidRPr="00A536D9">
        <w:rPr>
          <w:sz w:val="24"/>
          <w:szCs w:val="24"/>
        </w:rPr>
        <w:t xml:space="preserve"> and authorisations</w:t>
      </w:r>
      <w:r w:rsidR="00F078B9">
        <w:rPr>
          <w:sz w:val="24"/>
          <w:szCs w:val="24"/>
        </w:rPr>
        <w:t>; and</w:t>
      </w:r>
    </w:p>
    <w:p w14:paraId="5C3664D5" w14:textId="47E56459" w:rsidR="008A2D03" w:rsidRDefault="008A2D03" w:rsidP="008A2D03">
      <w:pPr>
        <w:pStyle w:val="ListParagraph"/>
        <w:numPr>
          <w:ilvl w:val="1"/>
          <w:numId w:val="1"/>
        </w:numPr>
        <w:spacing w:line="256" w:lineRule="auto"/>
        <w:rPr>
          <w:sz w:val="24"/>
          <w:szCs w:val="24"/>
        </w:rPr>
      </w:pPr>
      <w:r>
        <w:rPr>
          <w:sz w:val="24"/>
          <w:szCs w:val="24"/>
        </w:rPr>
        <w:t xml:space="preserve">Professions, including from the accountancy, architecture, engineering, health (doctors, medical specialists, dentists, radiologists), and legal sectors have called for the agreement to provide for improved recognition of the right to practise and the reduction of time and costs in gaining a right to practise, including, non-burdensome visa conditions for independent service providers and intra-corporate transferees. </w:t>
      </w:r>
    </w:p>
    <w:p w14:paraId="49C06EDB" w14:textId="77777777" w:rsidR="00F165EE" w:rsidRPr="00A536D9" w:rsidRDefault="00F165EE" w:rsidP="00F165EE">
      <w:pPr>
        <w:pStyle w:val="ListParagraph"/>
        <w:ind w:left="1080"/>
        <w:rPr>
          <w:sz w:val="24"/>
          <w:szCs w:val="24"/>
        </w:rPr>
      </w:pPr>
    </w:p>
    <w:p w14:paraId="2D4F0841" w14:textId="57C23FB3" w:rsidR="00E72F19" w:rsidRDefault="00F165EE" w:rsidP="00206944">
      <w:pPr>
        <w:pStyle w:val="ListParagraph"/>
        <w:numPr>
          <w:ilvl w:val="0"/>
          <w:numId w:val="1"/>
        </w:numPr>
        <w:ind w:left="567" w:hanging="567"/>
        <w:rPr>
          <w:sz w:val="24"/>
          <w:szCs w:val="24"/>
        </w:rPr>
      </w:pPr>
      <w:r>
        <w:rPr>
          <w:sz w:val="24"/>
          <w:szCs w:val="24"/>
        </w:rPr>
        <w:t>T</w:t>
      </w:r>
      <w:r w:rsidRPr="00F165EE">
        <w:rPr>
          <w:sz w:val="24"/>
          <w:szCs w:val="24"/>
        </w:rPr>
        <w:t xml:space="preserve">hese views have been incorporated into the agreement </w:t>
      </w:r>
      <w:r>
        <w:rPr>
          <w:sz w:val="24"/>
          <w:szCs w:val="24"/>
        </w:rPr>
        <w:t xml:space="preserve">through </w:t>
      </w:r>
      <w:r w:rsidR="00924E1B">
        <w:rPr>
          <w:sz w:val="24"/>
          <w:szCs w:val="24"/>
        </w:rPr>
        <w:t xml:space="preserve">the </w:t>
      </w:r>
      <w:r w:rsidR="00F078B9">
        <w:rPr>
          <w:sz w:val="24"/>
          <w:szCs w:val="24"/>
        </w:rPr>
        <w:t>P</w:t>
      </w:r>
      <w:r w:rsidR="00924E1B">
        <w:rPr>
          <w:sz w:val="24"/>
          <w:szCs w:val="24"/>
        </w:rPr>
        <w:t xml:space="preserve">rofessional </w:t>
      </w:r>
      <w:r w:rsidR="00F078B9">
        <w:rPr>
          <w:sz w:val="24"/>
          <w:szCs w:val="24"/>
        </w:rPr>
        <w:t>S</w:t>
      </w:r>
      <w:r w:rsidR="00924E1B">
        <w:rPr>
          <w:sz w:val="24"/>
          <w:szCs w:val="24"/>
        </w:rPr>
        <w:t xml:space="preserve">ervices Chapter. </w:t>
      </w:r>
      <w:bookmarkStart w:id="73" w:name="_Hlk83823893"/>
      <w:r w:rsidR="00924E1B" w:rsidRPr="00924E1B">
        <w:rPr>
          <w:sz w:val="24"/>
          <w:szCs w:val="24"/>
        </w:rPr>
        <w:t>Australia and the UK have agreed to establish a best practice framework to improve the two-way movement of professionals</w:t>
      </w:r>
      <w:r w:rsidR="008A2D03" w:rsidRPr="008A2D03">
        <w:rPr>
          <w:sz w:val="24"/>
          <w:szCs w:val="24"/>
        </w:rPr>
        <w:t xml:space="preserve"> </w:t>
      </w:r>
      <w:r w:rsidR="008A2D03">
        <w:rPr>
          <w:sz w:val="24"/>
          <w:szCs w:val="24"/>
        </w:rPr>
        <w:t xml:space="preserve">and professional services. This includes provisions to support mutual recognition of professional qualifications; and promote transparent qualification recognition, </w:t>
      </w:r>
      <w:proofErr w:type="gramStart"/>
      <w:r w:rsidR="008A2D03">
        <w:rPr>
          <w:sz w:val="24"/>
          <w:szCs w:val="24"/>
        </w:rPr>
        <w:t>licensing</w:t>
      </w:r>
      <w:proofErr w:type="gramEnd"/>
      <w:r w:rsidR="008A2D03">
        <w:rPr>
          <w:sz w:val="24"/>
          <w:szCs w:val="24"/>
        </w:rPr>
        <w:t xml:space="preserve"> and registration process</w:t>
      </w:r>
      <w:r w:rsidR="00395CD2">
        <w:rPr>
          <w:sz w:val="24"/>
          <w:szCs w:val="24"/>
        </w:rPr>
        <w:t>e</w:t>
      </w:r>
      <w:r w:rsidR="008A2D03">
        <w:rPr>
          <w:sz w:val="24"/>
          <w:szCs w:val="24"/>
        </w:rPr>
        <w:t>s, as well as a work program for peak bodies to engage to further streamline and guarantee easier access for professionals between Australia and the UK.</w:t>
      </w:r>
      <w:bookmarkEnd w:id="73"/>
    </w:p>
    <w:p w14:paraId="052C2450" w14:textId="77777777" w:rsidR="00543F22" w:rsidRDefault="00543F22" w:rsidP="00543F22">
      <w:pPr>
        <w:pStyle w:val="ListParagraph"/>
        <w:ind w:left="567"/>
        <w:rPr>
          <w:sz w:val="24"/>
          <w:szCs w:val="24"/>
        </w:rPr>
      </w:pPr>
    </w:p>
    <w:p w14:paraId="4D39C23B" w14:textId="0CED0E93" w:rsidR="00432230" w:rsidRDefault="00543F22" w:rsidP="00206944">
      <w:pPr>
        <w:pStyle w:val="ListParagraph"/>
        <w:numPr>
          <w:ilvl w:val="0"/>
          <w:numId w:val="1"/>
        </w:numPr>
        <w:ind w:left="567" w:hanging="567"/>
        <w:rPr>
          <w:sz w:val="24"/>
          <w:szCs w:val="24"/>
        </w:rPr>
      </w:pPr>
      <w:r w:rsidRPr="00543F22">
        <w:rPr>
          <w:b/>
          <w:bCs/>
          <w:sz w:val="24"/>
          <w:szCs w:val="24"/>
        </w:rPr>
        <w:t>Telecommunications</w:t>
      </w:r>
      <w:r>
        <w:rPr>
          <w:sz w:val="24"/>
          <w:szCs w:val="24"/>
        </w:rPr>
        <w:t xml:space="preserve"> stakeholders</w:t>
      </w:r>
      <w:r w:rsidR="00B35252">
        <w:rPr>
          <w:sz w:val="24"/>
          <w:szCs w:val="24"/>
        </w:rPr>
        <w:t xml:space="preserve"> have been consulted throughout the negotiation</w:t>
      </w:r>
      <w:r w:rsidR="00F078B9">
        <w:rPr>
          <w:sz w:val="24"/>
          <w:szCs w:val="24"/>
        </w:rPr>
        <w:t>s</w:t>
      </w:r>
      <w:r w:rsidR="00B35252">
        <w:rPr>
          <w:sz w:val="24"/>
          <w:szCs w:val="24"/>
        </w:rPr>
        <w:t xml:space="preserve">. There have been </w:t>
      </w:r>
      <w:proofErr w:type="gramStart"/>
      <w:r w:rsidR="00B35252">
        <w:rPr>
          <w:sz w:val="24"/>
          <w:szCs w:val="24"/>
        </w:rPr>
        <w:t>a number of</w:t>
      </w:r>
      <w:proofErr w:type="gramEnd"/>
      <w:r w:rsidR="00B35252">
        <w:rPr>
          <w:sz w:val="24"/>
          <w:szCs w:val="24"/>
        </w:rPr>
        <w:t xml:space="preserve"> joint consultations with Government and </w:t>
      </w:r>
      <w:r w:rsidR="00EE5EE0">
        <w:rPr>
          <w:sz w:val="24"/>
          <w:szCs w:val="24"/>
        </w:rPr>
        <w:t xml:space="preserve">Australian </w:t>
      </w:r>
      <w:r w:rsidR="00B35252">
        <w:rPr>
          <w:sz w:val="24"/>
          <w:szCs w:val="24"/>
        </w:rPr>
        <w:t>industry</w:t>
      </w:r>
      <w:r w:rsidR="00432230">
        <w:rPr>
          <w:sz w:val="24"/>
          <w:szCs w:val="24"/>
        </w:rPr>
        <w:t xml:space="preserve"> on issues in the telecommunications chapter including international mobile roaming (IMR), international submarine cable systems and licensing and authorisation</w:t>
      </w:r>
      <w:r w:rsidR="00C27E35">
        <w:rPr>
          <w:sz w:val="24"/>
          <w:szCs w:val="24"/>
        </w:rPr>
        <w:t xml:space="preserve"> processes</w:t>
      </w:r>
      <w:r w:rsidR="00B35252">
        <w:rPr>
          <w:sz w:val="24"/>
          <w:szCs w:val="24"/>
        </w:rPr>
        <w:t xml:space="preserve">. </w:t>
      </w:r>
    </w:p>
    <w:p w14:paraId="3BDD364A" w14:textId="77777777" w:rsidR="00432230" w:rsidRPr="00432230" w:rsidRDefault="00432230" w:rsidP="00432230">
      <w:pPr>
        <w:pStyle w:val="ListParagraph"/>
        <w:rPr>
          <w:sz w:val="24"/>
          <w:szCs w:val="24"/>
        </w:rPr>
      </w:pPr>
    </w:p>
    <w:p w14:paraId="639DE054" w14:textId="0525AD2E" w:rsidR="00F078B9" w:rsidRDefault="00B35252" w:rsidP="00206944">
      <w:pPr>
        <w:pStyle w:val="ListParagraph"/>
        <w:numPr>
          <w:ilvl w:val="0"/>
          <w:numId w:val="1"/>
        </w:numPr>
        <w:ind w:left="567" w:hanging="567"/>
        <w:rPr>
          <w:sz w:val="24"/>
          <w:szCs w:val="24"/>
        </w:rPr>
      </w:pPr>
      <w:r>
        <w:rPr>
          <w:sz w:val="24"/>
          <w:szCs w:val="24"/>
        </w:rPr>
        <w:t>Due to a particular focus</w:t>
      </w:r>
      <w:r w:rsidR="00176538">
        <w:rPr>
          <w:sz w:val="24"/>
          <w:szCs w:val="24"/>
        </w:rPr>
        <w:t xml:space="preserve"> </w:t>
      </w:r>
      <w:r w:rsidR="00395CD2">
        <w:rPr>
          <w:sz w:val="24"/>
          <w:szCs w:val="24"/>
        </w:rPr>
        <w:t xml:space="preserve">by </w:t>
      </w:r>
      <w:r w:rsidR="00176538">
        <w:rPr>
          <w:sz w:val="24"/>
          <w:szCs w:val="24"/>
        </w:rPr>
        <w:t>the UK</w:t>
      </w:r>
      <w:r>
        <w:rPr>
          <w:sz w:val="24"/>
          <w:szCs w:val="24"/>
        </w:rPr>
        <w:t xml:space="preserve"> on international mobile roaming</w:t>
      </w:r>
      <w:r w:rsidR="00C27E35">
        <w:rPr>
          <w:sz w:val="24"/>
          <w:szCs w:val="24"/>
        </w:rPr>
        <w:t xml:space="preserve"> and divergent text</w:t>
      </w:r>
      <w:r w:rsidR="00176538">
        <w:rPr>
          <w:sz w:val="24"/>
          <w:szCs w:val="24"/>
        </w:rPr>
        <w:t>,</w:t>
      </w:r>
      <w:r>
        <w:rPr>
          <w:sz w:val="24"/>
          <w:szCs w:val="24"/>
        </w:rPr>
        <w:t xml:space="preserve"> DFAT </w:t>
      </w:r>
      <w:r w:rsidR="00176538">
        <w:rPr>
          <w:sz w:val="24"/>
          <w:szCs w:val="24"/>
        </w:rPr>
        <w:t xml:space="preserve">held </w:t>
      </w:r>
      <w:proofErr w:type="gramStart"/>
      <w:r w:rsidR="00176538">
        <w:rPr>
          <w:sz w:val="24"/>
          <w:szCs w:val="24"/>
        </w:rPr>
        <w:t>a number of</w:t>
      </w:r>
      <w:proofErr w:type="gramEnd"/>
      <w:r w:rsidR="00176538">
        <w:rPr>
          <w:sz w:val="24"/>
          <w:szCs w:val="24"/>
        </w:rPr>
        <w:t xml:space="preserve"> stakeholder consultations with </w:t>
      </w:r>
      <w:r w:rsidRPr="00B35252">
        <w:rPr>
          <w:sz w:val="24"/>
          <w:szCs w:val="24"/>
        </w:rPr>
        <w:t xml:space="preserve">Australian mobile </w:t>
      </w:r>
      <w:r w:rsidR="00176538">
        <w:rPr>
          <w:sz w:val="24"/>
          <w:szCs w:val="24"/>
        </w:rPr>
        <w:t>network</w:t>
      </w:r>
      <w:r w:rsidRPr="00B35252">
        <w:rPr>
          <w:sz w:val="24"/>
          <w:szCs w:val="24"/>
        </w:rPr>
        <w:t xml:space="preserve"> </w:t>
      </w:r>
      <w:r w:rsidR="00176538">
        <w:rPr>
          <w:sz w:val="24"/>
          <w:szCs w:val="24"/>
        </w:rPr>
        <w:t>operators</w:t>
      </w:r>
      <w:r w:rsidRPr="00B35252">
        <w:rPr>
          <w:sz w:val="24"/>
          <w:szCs w:val="24"/>
        </w:rPr>
        <w:t xml:space="preserve"> and relevant regulators to inform</w:t>
      </w:r>
      <w:r>
        <w:rPr>
          <w:sz w:val="24"/>
          <w:szCs w:val="24"/>
        </w:rPr>
        <w:t xml:space="preserve"> the </w:t>
      </w:r>
      <w:r w:rsidRPr="00B35252">
        <w:rPr>
          <w:sz w:val="24"/>
          <w:szCs w:val="24"/>
        </w:rPr>
        <w:t>negotiations</w:t>
      </w:r>
      <w:r w:rsidR="00C27E35">
        <w:rPr>
          <w:sz w:val="24"/>
          <w:szCs w:val="24"/>
        </w:rPr>
        <w:t xml:space="preserve"> </w:t>
      </w:r>
      <w:r w:rsidR="00F078B9">
        <w:rPr>
          <w:sz w:val="24"/>
          <w:szCs w:val="24"/>
        </w:rPr>
        <w:t xml:space="preserve">and </w:t>
      </w:r>
      <w:r w:rsidR="00C27E35">
        <w:rPr>
          <w:sz w:val="24"/>
          <w:szCs w:val="24"/>
        </w:rPr>
        <w:t>to find a pathway forward</w:t>
      </w:r>
      <w:r w:rsidR="00176538">
        <w:rPr>
          <w:sz w:val="24"/>
          <w:szCs w:val="24"/>
        </w:rPr>
        <w:t xml:space="preserve">. </w:t>
      </w:r>
    </w:p>
    <w:p w14:paraId="3AB3E8A2" w14:textId="77777777" w:rsidR="00F078B9" w:rsidRPr="00F078B9" w:rsidRDefault="00F078B9" w:rsidP="00F078B9">
      <w:pPr>
        <w:pStyle w:val="ListParagraph"/>
        <w:rPr>
          <w:sz w:val="24"/>
          <w:szCs w:val="24"/>
        </w:rPr>
      </w:pPr>
    </w:p>
    <w:p w14:paraId="6B06AA20" w14:textId="00980F6B" w:rsidR="00F165EE" w:rsidRPr="00F078B9" w:rsidRDefault="00176538" w:rsidP="00F078B9">
      <w:pPr>
        <w:pStyle w:val="ListParagraph"/>
        <w:numPr>
          <w:ilvl w:val="0"/>
          <w:numId w:val="1"/>
        </w:numPr>
        <w:ind w:left="567" w:hanging="567"/>
        <w:rPr>
          <w:sz w:val="24"/>
          <w:szCs w:val="24"/>
        </w:rPr>
      </w:pPr>
      <w:r>
        <w:rPr>
          <w:sz w:val="24"/>
          <w:szCs w:val="24"/>
        </w:rPr>
        <w:t xml:space="preserve">We also held an </w:t>
      </w:r>
      <w:r w:rsidRPr="00176538">
        <w:rPr>
          <w:sz w:val="24"/>
          <w:szCs w:val="24"/>
        </w:rPr>
        <w:t>AU</w:t>
      </w:r>
      <w:r>
        <w:rPr>
          <w:sz w:val="24"/>
          <w:szCs w:val="24"/>
        </w:rPr>
        <w:t>-UK</w:t>
      </w:r>
      <w:r w:rsidRPr="00176538">
        <w:rPr>
          <w:sz w:val="24"/>
          <w:szCs w:val="24"/>
        </w:rPr>
        <w:t xml:space="preserve"> Telecom</w:t>
      </w:r>
      <w:r>
        <w:rPr>
          <w:sz w:val="24"/>
          <w:szCs w:val="24"/>
        </w:rPr>
        <w:t>munications</w:t>
      </w:r>
      <w:r w:rsidRPr="00176538">
        <w:rPr>
          <w:sz w:val="24"/>
          <w:szCs w:val="24"/>
        </w:rPr>
        <w:t xml:space="preserve"> Regulators and Industry IMR Roundtable</w:t>
      </w:r>
      <w:r>
        <w:rPr>
          <w:sz w:val="24"/>
          <w:szCs w:val="24"/>
        </w:rPr>
        <w:t xml:space="preserve"> in December 2020 where both </w:t>
      </w:r>
      <w:r w:rsidR="00EE5EE0">
        <w:rPr>
          <w:sz w:val="24"/>
          <w:szCs w:val="24"/>
        </w:rPr>
        <w:t xml:space="preserve">the </w:t>
      </w:r>
      <w:r>
        <w:rPr>
          <w:sz w:val="24"/>
          <w:szCs w:val="24"/>
        </w:rPr>
        <w:t>UK and Australia</w:t>
      </w:r>
      <w:r w:rsidR="007B7CC6">
        <w:rPr>
          <w:sz w:val="24"/>
          <w:szCs w:val="24"/>
        </w:rPr>
        <w:t>n</w:t>
      </w:r>
      <w:r w:rsidR="00C27E35">
        <w:rPr>
          <w:sz w:val="24"/>
          <w:szCs w:val="24"/>
        </w:rPr>
        <w:t xml:space="preserve"> negotiators,</w:t>
      </w:r>
      <w:r w:rsidR="007B7CC6">
        <w:rPr>
          <w:sz w:val="24"/>
          <w:szCs w:val="24"/>
        </w:rPr>
        <w:t xml:space="preserve"> regulators</w:t>
      </w:r>
      <w:r>
        <w:rPr>
          <w:sz w:val="24"/>
          <w:szCs w:val="24"/>
        </w:rPr>
        <w:t xml:space="preserve"> </w:t>
      </w:r>
      <w:r w:rsidR="007B7CC6">
        <w:rPr>
          <w:sz w:val="24"/>
          <w:szCs w:val="24"/>
        </w:rPr>
        <w:t xml:space="preserve">and industry </w:t>
      </w:r>
      <w:r>
        <w:rPr>
          <w:sz w:val="24"/>
          <w:szCs w:val="24"/>
        </w:rPr>
        <w:t xml:space="preserve">shared </w:t>
      </w:r>
      <w:r w:rsidR="00432230">
        <w:rPr>
          <w:sz w:val="24"/>
          <w:szCs w:val="24"/>
        </w:rPr>
        <w:t xml:space="preserve">information regarding </w:t>
      </w:r>
      <w:r>
        <w:rPr>
          <w:sz w:val="24"/>
          <w:szCs w:val="24"/>
        </w:rPr>
        <w:t>systems</w:t>
      </w:r>
      <w:r w:rsidR="00C27E35">
        <w:rPr>
          <w:sz w:val="24"/>
          <w:szCs w:val="24"/>
        </w:rPr>
        <w:t xml:space="preserve"> and processes</w:t>
      </w:r>
      <w:r>
        <w:rPr>
          <w:sz w:val="24"/>
          <w:szCs w:val="24"/>
        </w:rPr>
        <w:t xml:space="preserve"> and industry indicate</w:t>
      </w:r>
      <w:r w:rsidR="00EE5EE0">
        <w:rPr>
          <w:sz w:val="24"/>
          <w:szCs w:val="24"/>
        </w:rPr>
        <w:t>d</w:t>
      </w:r>
      <w:r>
        <w:rPr>
          <w:sz w:val="24"/>
          <w:szCs w:val="24"/>
        </w:rPr>
        <w:t xml:space="preserve"> </w:t>
      </w:r>
      <w:r w:rsidR="00EE5EE0">
        <w:rPr>
          <w:sz w:val="24"/>
          <w:szCs w:val="24"/>
        </w:rPr>
        <w:t xml:space="preserve">its </w:t>
      </w:r>
      <w:r w:rsidR="00C27E35">
        <w:rPr>
          <w:sz w:val="24"/>
          <w:szCs w:val="24"/>
        </w:rPr>
        <w:t xml:space="preserve">commercial </w:t>
      </w:r>
      <w:r w:rsidR="00EE5EE0">
        <w:rPr>
          <w:sz w:val="24"/>
          <w:szCs w:val="24"/>
        </w:rPr>
        <w:t>priorities</w:t>
      </w:r>
      <w:r>
        <w:rPr>
          <w:sz w:val="24"/>
          <w:szCs w:val="24"/>
        </w:rPr>
        <w:t xml:space="preserve">. </w:t>
      </w:r>
      <w:r w:rsidR="00EE5EE0" w:rsidRPr="00F078B9">
        <w:rPr>
          <w:sz w:val="24"/>
          <w:szCs w:val="24"/>
        </w:rPr>
        <w:t>With the benefit of this exchange of objective information about our respective systems</w:t>
      </w:r>
      <w:r w:rsidR="00432230" w:rsidRPr="00F078B9">
        <w:rPr>
          <w:sz w:val="24"/>
          <w:szCs w:val="24"/>
        </w:rPr>
        <w:t>, we were able to</w:t>
      </w:r>
      <w:r w:rsidR="00EE5EE0" w:rsidRPr="00F078B9">
        <w:rPr>
          <w:sz w:val="24"/>
          <w:szCs w:val="24"/>
        </w:rPr>
        <w:t xml:space="preserve"> explore what we c</w:t>
      </w:r>
      <w:r w:rsidR="00432230" w:rsidRPr="00F078B9">
        <w:rPr>
          <w:sz w:val="24"/>
          <w:szCs w:val="24"/>
        </w:rPr>
        <w:t>ould</w:t>
      </w:r>
      <w:r w:rsidR="00EE5EE0" w:rsidRPr="00F078B9">
        <w:rPr>
          <w:sz w:val="24"/>
          <w:szCs w:val="24"/>
        </w:rPr>
        <w:t xml:space="preserve"> do in cooperation </w:t>
      </w:r>
      <w:r w:rsidR="00432230" w:rsidRPr="00F078B9">
        <w:rPr>
          <w:sz w:val="24"/>
          <w:szCs w:val="24"/>
        </w:rPr>
        <w:t>and</w:t>
      </w:r>
      <w:r w:rsidR="00EE5EE0" w:rsidRPr="00F078B9">
        <w:rPr>
          <w:sz w:val="24"/>
          <w:szCs w:val="24"/>
        </w:rPr>
        <w:t xml:space="preserve"> collaboration regarding IMR</w:t>
      </w:r>
      <w:r w:rsidR="00C27E35" w:rsidRPr="00F078B9">
        <w:rPr>
          <w:sz w:val="24"/>
          <w:szCs w:val="24"/>
        </w:rPr>
        <w:t xml:space="preserve"> and</w:t>
      </w:r>
      <w:r w:rsidR="00EE5EE0" w:rsidRPr="00F078B9">
        <w:rPr>
          <w:sz w:val="24"/>
          <w:szCs w:val="24"/>
        </w:rPr>
        <w:t xml:space="preserve"> </w:t>
      </w:r>
      <w:r w:rsidRPr="00F078B9">
        <w:rPr>
          <w:sz w:val="24"/>
          <w:szCs w:val="24"/>
        </w:rPr>
        <w:t>negotiat</w:t>
      </w:r>
      <w:r w:rsidR="007B7CC6" w:rsidRPr="00F078B9">
        <w:rPr>
          <w:sz w:val="24"/>
          <w:szCs w:val="24"/>
        </w:rPr>
        <w:t>o</w:t>
      </w:r>
      <w:r w:rsidR="00EE5EE0" w:rsidRPr="00F078B9">
        <w:rPr>
          <w:sz w:val="24"/>
          <w:szCs w:val="24"/>
        </w:rPr>
        <w:t>r</w:t>
      </w:r>
      <w:r w:rsidR="007B7CC6" w:rsidRPr="00F078B9">
        <w:rPr>
          <w:sz w:val="24"/>
          <w:szCs w:val="24"/>
        </w:rPr>
        <w:t>s</w:t>
      </w:r>
      <w:r w:rsidR="00EE5EE0" w:rsidRPr="00F078B9">
        <w:rPr>
          <w:sz w:val="24"/>
          <w:szCs w:val="24"/>
        </w:rPr>
        <w:t xml:space="preserve"> were able to close the IMR article. </w:t>
      </w:r>
      <w:r w:rsidR="00F078B9" w:rsidRPr="00F078B9">
        <w:rPr>
          <w:sz w:val="24"/>
          <w:szCs w:val="24"/>
        </w:rPr>
        <w:t>The result</w:t>
      </w:r>
      <w:r w:rsidR="00EE5EE0" w:rsidRPr="00F078B9">
        <w:rPr>
          <w:sz w:val="24"/>
          <w:szCs w:val="24"/>
        </w:rPr>
        <w:t>, consistent with our</w:t>
      </w:r>
      <w:r w:rsidR="00432230" w:rsidRPr="00F078B9">
        <w:rPr>
          <w:sz w:val="24"/>
          <w:szCs w:val="24"/>
        </w:rPr>
        <w:t xml:space="preserve"> recent</w:t>
      </w:r>
      <w:r w:rsidR="00EE5EE0" w:rsidRPr="00F078B9">
        <w:rPr>
          <w:sz w:val="24"/>
          <w:szCs w:val="24"/>
        </w:rPr>
        <w:t xml:space="preserve"> FTA practice, </w:t>
      </w:r>
      <w:r w:rsidR="00432230" w:rsidRPr="00F078B9">
        <w:rPr>
          <w:sz w:val="24"/>
          <w:szCs w:val="24"/>
        </w:rPr>
        <w:t xml:space="preserve">is a forward-looking IMR article that </w:t>
      </w:r>
      <w:r w:rsidR="00EE5EE0" w:rsidRPr="00F078B9">
        <w:rPr>
          <w:sz w:val="24"/>
          <w:szCs w:val="24"/>
        </w:rPr>
        <w:t xml:space="preserve">is </w:t>
      </w:r>
      <w:r w:rsidR="007B7CC6" w:rsidRPr="00F078B9">
        <w:rPr>
          <w:sz w:val="24"/>
          <w:szCs w:val="24"/>
        </w:rPr>
        <w:t>based</w:t>
      </w:r>
      <w:r w:rsidRPr="00F078B9">
        <w:rPr>
          <w:sz w:val="24"/>
          <w:szCs w:val="24"/>
        </w:rPr>
        <w:t xml:space="preserve"> on industr</w:t>
      </w:r>
      <w:r w:rsidR="00C27E35" w:rsidRPr="00F078B9">
        <w:rPr>
          <w:sz w:val="24"/>
          <w:szCs w:val="24"/>
        </w:rPr>
        <w:t>y</w:t>
      </w:r>
      <w:r w:rsidRPr="00F078B9">
        <w:rPr>
          <w:sz w:val="24"/>
          <w:szCs w:val="24"/>
        </w:rPr>
        <w:t xml:space="preserve"> preference and </w:t>
      </w:r>
      <w:r w:rsidR="00C27E35" w:rsidRPr="00F078B9">
        <w:rPr>
          <w:sz w:val="24"/>
          <w:szCs w:val="24"/>
        </w:rPr>
        <w:t>is consistent with our domestic system.</w:t>
      </w:r>
    </w:p>
    <w:p w14:paraId="26F85556" w14:textId="77777777" w:rsidR="00C27E35" w:rsidRPr="00C27E35" w:rsidRDefault="00C27E35" w:rsidP="00C27E35">
      <w:pPr>
        <w:rPr>
          <w:sz w:val="24"/>
          <w:szCs w:val="24"/>
        </w:rPr>
      </w:pPr>
    </w:p>
    <w:p w14:paraId="5CFDA948" w14:textId="283CD1F9" w:rsidR="00DA0723" w:rsidRDefault="00DA0723" w:rsidP="00DA0723">
      <w:pPr>
        <w:pStyle w:val="ListParagraph"/>
        <w:numPr>
          <w:ilvl w:val="0"/>
          <w:numId w:val="1"/>
        </w:numPr>
        <w:ind w:left="567" w:hanging="567"/>
        <w:rPr>
          <w:sz w:val="24"/>
          <w:szCs w:val="24"/>
        </w:rPr>
      </w:pPr>
      <w:r>
        <w:rPr>
          <w:sz w:val="24"/>
          <w:szCs w:val="24"/>
        </w:rPr>
        <w:t xml:space="preserve">Regarding </w:t>
      </w:r>
      <w:r w:rsidR="00367884">
        <w:rPr>
          <w:b/>
          <w:bCs/>
          <w:sz w:val="24"/>
          <w:szCs w:val="24"/>
        </w:rPr>
        <w:t>Temporary Entry</w:t>
      </w:r>
      <w:r>
        <w:rPr>
          <w:sz w:val="24"/>
          <w:szCs w:val="24"/>
        </w:rPr>
        <w:t>, stakeholders requested the following:</w:t>
      </w:r>
    </w:p>
    <w:p w14:paraId="0A5427A5" w14:textId="0786E18F" w:rsidR="00DA0723" w:rsidRDefault="00DA0723" w:rsidP="00DA0723">
      <w:pPr>
        <w:pStyle w:val="ListParagraph"/>
        <w:numPr>
          <w:ilvl w:val="1"/>
          <w:numId w:val="1"/>
        </w:numPr>
        <w:rPr>
          <w:sz w:val="24"/>
          <w:szCs w:val="24"/>
        </w:rPr>
      </w:pPr>
      <w:r w:rsidRPr="004A3466">
        <w:rPr>
          <w:sz w:val="24"/>
          <w:szCs w:val="24"/>
        </w:rPr>
        <w:t xml:space="preserve">ambitious </w:t>
      </w:r>
      <w:r w:rsidR="00367884">
        <w:rPr>
          <w:sz w:val="24"/>
          <w:szCs w:val="24"/>
        </w:rPr>
        <w:t>temporary entry</w:t>
      </w:r>
      <w:r w:rsidRPr="004A3466">
        <w:rPr>
          <w:sz w:val="24"/>
          <w:szCs w:val="24"/>
        </w:rPr>
        <w:t xml:space="preserve"> commitments that allow for greater movement of </w:t>
      </w:r>
      <w:r>
        <w:rPr>
          <w:sz w:val="24"/>
          <w:szCs w:val="24"/>
        </w:rPr>
        <w:t xml:space="preserve">people between Australia and </w:t>
      </w:r>
      <w:r w:rsidR="00395CD2">
        <w:rPr>
          <w:sz w:val="24"/>
          <w:szCs w:val="24"/>
        </w:rPr>
        <w:t xml:space="preserve">the </w:t>
      </w:r>
      <w:r>
        <w:rPr>
          <w:sz w:val="24"/>
          <w:szCs w:val="24"/>
        </w:rPr>
        <w:t xml:space="preserve">UK, and of </w:t>
      </w:r>
      <w:r w:rsidRPr="004A3466">
        <w:rPr>
          <w:sz w:val="24"/>
          <w:szCs w:val="24"/>
        </w:rPr>
        <w:t>depend</w:t>
      </w:r>
      <w:r w:rsidR="00395CD2">
        <w:rPr>
          <w:sz w:val="24"/>
          <w:szCs w:val="24"/>
        </w:rPr>
        <w:t>a</w:t>
      </w:r>
      <w:r w:rsidRPr="004A3466">
        <w:rPr>
          <w:sz w:val="24"/>
          <w:szCs w:val="24"/>
        </w:rPr>
        <w:t>nts, intr</w:t>
      </w:r>
      <w:r>
        <w:rPr>
          <w:sz w:val="24"/>
          <w:szCs w:val="24"/>
        </w:rPr>
        <w:t>a-</w:t>
      </w:r>
      <w:r w:rsidRPr="004A3466">
        <w:rPr>
          <w:sz w:val="24"/>
          <w:szCs w:val="24"/>
        </w:rPr>
        <w:t xml:space="preserve">corporate </w:t>
      </w:r>
      <w:r w:rsidR="00395CD2" w:rsidRPr="004A3466">
        <w:rPr>
          <w:sz w:val="24"/>
          <w:szCs w:val="24"/>
        </w:rPr>
        <w:t>transfer</w:t>
      </w:r>
      <w:r w:rsidR="00395CD2">
        <w:rPr>
          <w:sz w:val="24"/>
          <w:szCs w:val="24"/>
        </w:rPr>
        <w:t>ees</w:t>
      </w:r>
      <w:r w:rsidRPr="004A3466">
        <w:rPr>
          <w:sz w:val="24"/>
          <w:szCs w:val="24"/>
        </w:rPr>
        <w:t>, contract</w:t>
      </w:r>
      <w:r>
        <w:rPr>
          <w:sz w:val="24"/>
          <w:szCs w:val="24"/>
        </w:rPr>
        <w:t>ual</w:t>
      </w:r>
      <w:r w:rsidRPr="004A3466">
        <w:rPr>
          <w:sz w:val="24"/>
          <w:szCs w:val="24"/>
        </w:rPr>
        <w:t xml:space="preserve"> service suppliers, </w:t>
      </w:r>
      <w:r w:rsidR="00395CD2">
        <w:rPr>
          <w:sz w:val="24"/>
          <w:szCs w:val="24"/>
        </w:rPr>
        <w:t xml:space="preserve">and </w:t>
      </w:r>
      <w:r w:rsidRPr="004A3466">
        <w:rPr>
          <w:sz w:val="24"/>
          <w:szCs w:val="24"/>
        </w:rPr>
        <w:t>investors between the two countries</w:t>
      </w:r>
    </w:p>
    <w:p w14:paraId="59819B6A" w14:textId="0721AFEA" w:rsidR="00DA0723" w:rsidRPr="005E1B67" w:rsidRDefault="00DA0723" w:rsidP="00DA0723">
      <w:pPr>
        <w:pStyle w:val="ListParagraph"/>
        <w:numPr>
          <w:ilvl w:val="1"/>
          <w:numId w:val="1"/>
        </w:numPr>
        <w:rPr>
          <w:sz w:val="24"/>
          <w:szCs w:val="24"/>
        </w:rPr>
      </w:pPr>
      <w:r w:rsidRPr="005E1B67">
        <w:rPr>
          <w:sz w:val="24"/>
          <w:szCs w:val="24"/>
        </w:rPr>
        <w:t>easier access to skilled work visas</w:t>
      </w:r>
      <w:r>
        <w:rPr>
          <w:sz w:val="24"/>
          <w:szCs w:val="24"/>
        </w:rPr>
        <w:t xml:space="preserve"> t</w:t>
      </w:r>
      <w:r w:rsidRPr="005E1B67">
        <w:rPr>
          <w:sz w:val="24"/>
          <w:szCs w:val="24"/>
        </w:rPr>
        <w:t xml:space="preserve">o address the shortage of skilled workers </w:t>
      </w:r>
      <w:r>
        <w:rPr>
          <w:sz w:val="24"/>
          <w:szCs w:val="24"/>
        </w:rPr>
        <w:t xml:space="preserve">including agricultural workers </w:t>
      </w:r>
      <w:r w:rsidRPr="005E1B67">
        <w:rPr>
          <w:sz w:val="24"/>
          <w:szCs w:val="24"/>
        </w:rPr>
        <w:t>in Australia</w:t>
      </w:r>
    </w:p>
    <w:p w14:paraId="5C340D5E" w14:textId="32665529" w:rsidR="00DA0723" w:rsidRPr="00EC41B5" w:rsidRDefault="00DA0723" w:rsidP="00DA0723">
      <w:pPr>
        <w:pStyle w:val="ListParagraph"/>
        <w:numPr>
          <w:ilvl w:val="1"/>
          <w:numId w:val="1"/>
        </w:numPr>
        <w:rPr>
          <w:sz w:val="24"/>
          <w:szCs w:val="24"/>
        </w:rPr>
      </w:pPr>
      <w:r w:rsidRPr="00EC41B5">
        <w:rPr>
          <w:sz w:val="24"/>
          <w:szCs w:val="24"/>
        </w:rPr>
        <w:t xml:space="preserve">current visa holders to </w:t>
      </w:r>
      <w:r>
        <w:rPr>
          <w:sz w:val="24"/>
          <w:szCs w:val="24"/>
        </w:rPr>
        <w:t xml:space="preserve">be able to </w:t>
      </w:r>
      <w:r w:rsidRPr="00EC41B5">
        <w:rPr>
          <w:sz w:val="24"/>
          <w:szCs w:val="24"/>
        </w:rPr>
        <w:t>switch or extend visas in-country and options for short-term visas to be extended beyond their initial term in both countries</w:t>
      </w:r>
      <w:r>
        <w:rPr>
          <w:sz w:val="24"/>
          <w:szCs w:val="24"/>
        </w:rPr>
        <w:t>, to foster</w:t>
      </w:r>
      <w:r w:rsidRPr="00EC41B5">
        <w:rPr>
          <w:sz w:val="24"/>
          <w:szCs w:val="24"/>
        </w:rPr>
        <w:t xml:space="preserve"> greater mobility of talent </w:t>
      </w:r>
    </w:p>
    <w:p w14:paraId="53F1C383" w14:textId="77777777" w:rsidR="00DA0723" w:rsidRPr="00A536D9" w:rsidRDefault="00DA0723" w:rsidP="00DA0723">
      <w:pPr>
        <w:pStyle w:val="ListParagraph"/>
        <w:numPr>
          <w:ilvl w:val="1"/>
          <w:numId w:val="1"/>
        </w:numPr>
        <w:rPr>
          <w:sz w:val="24"/>
          <w:szCs w:val="24"/>
        </w:rPr>
      </w:pPr>
      <w:r>
        <w:rPr>
          <w:sz w:val="24"/>
          <w:szCs w:val="24"/>
        </w:rPr>
        <w:t>address o</w:t>
      </w:r>
      <w:r w:rsidRPr="00A536D9">
        <w:rPr>
          <w:sz w:val="24"/>
          <w:szCs w:val="24"/>
        </w:rPr>
        <w:t xml:space="preserve">ngoing revisions to visa programs and labour market testing </w:t>
      </w:r>
      <w:r>
        <w:rPr>
          <w:sz w:val="24"/>
          <w:szCs w:val="24"/>
        </w:rPr>
        <w:t>that</w:t>
      </w:r>
      <w:r w:rsidRPr="00A536D9">
        <w:rPr>
          <w:sz w:val="24"/>
          <w:szCs w:val="24"/>
        </w:rPr>
        <w:t xml:space="preserve"> creat</w:t>
      </w:r>
      <w:r>
        <w:rPr>
          <w:sz w:val="24"/>
          <w:szCs w:val="24"/>
        </w:rPr>
        <w:t>e</w:t>
      </w:r>
      <w:r w:rsidRPr="00A536D9">
        <w:rPr>
          <w:sz w:val="24"/>
          <w:szCs w:val="24"/>
        </w:rPr>
        <w:t xml:space="preserve"> barriers for attracting sector expertise to Australia; FTA should allow for greater mobility of skilled workers</w:t>
      </w:r>
    </w:p>
    <w:p w14:paraId="7CE655CC" w14:textId="77777777" w:rsidR="00DA0723" w:rsidRDefault="00DA0723" w:rsidP="00DA0723">
      <w:pPr>
        <w:pStyle w:val="ListParagraph"/>
        <w:numPr>
          <w:ilvl w:val="1"/>
          <w:numId w:val="1"/>
        </w:numPr>
        <w:rPr>
          <w:sz w:val="24"/>
          <w:szCs w:val="24"/>
        </w:rPr>
      </w:pPr>
      <w:r w:rsidRPr="00A536D9">
        <w:rPr>
          <w:sz w:val="24"/>
          <w:szCs w:val="24"/>
        </w:rPr>
        <w:t>an “E3” type visa for Australian professionals in the UK with reciprocal offerings for UK professionals, which would facilitate temporary entry for speciality occupations.</w:t>
      </w:r>
    </w:p>
    <w:p w14:paraId="2B7671D1" w14:textId="77777777" w:rsidR="00DA0723" w:rsidRDefault="00DA0723" w:rsidP="00DA0723">
      <w:pPr>
        <w:pStyle w:val="ListParagraph"/>
        <w:ind w:left="1080"/>
        <w:rPr>
          <w:sz w:val="24"/>
          <w:szCs w:val="24"/>
        </w:rPr>
      </w:pPr>
    </w:p>
    <w:p w14:paraId="5E2A2D3D" w14:textId="4B7C1ABC" w:rsidR="00837896" w:rsidRDefault="00837896" w:rsidP="00837896">
      <w:pPr>
        <w:pStyle w:val="ListParagraph"/>
        <w:numPr>
          <w:ilvl w:val="0"/>
          <w:numId w:val="1"/>
        </w:numPr>
        <w:ind w:left="567" w:hanging="567"/>
        <w:rPr>
          <w:sz w:val="24"/>
          <w:szCs w:val="24"/>
        </w:rPr>
      </w:pPr>
      <w:r>
        <w:rPr>
          <w:sz w:val="24"/>
          <w:szCs w:val="24"/>
        </w:rPr>
        <w:t xml:space="preserve">The requests of stakeholders are incorporated into the proposed FTA through the commitments made by the UK and Australia. These allow for greater movement of professionals in the categories that have been committed in addition to their dependants. The proposed FTA also includes waiving of labour market testing, which </w:t>
      </w:r>
      <w:r>
        <w:rPr>
          <w:sz w:val="24"/>
          <w:szCs w:val="24"/>
        </w:rPr>
        <w:lastRenderedPageBreak/>
        <w:t>has been requested by stakeholders in both countries, and new mobility pathways to the UK consistent with those it has extended to the EU following Brexit. Australia’s Innovation and Early Career Skills Development Pilot enables 1000 UK citizens rising to 2000 UK citizens to enter Australia to take up specified opportunities in a streamlined way, meeting requests of business, and reciprocates commitments the UK has made on in</w:t>
      </w:r>
      <w:r w:rsidR="00395CD2">
        <w:rPr>
          <w:sz w:val="24"/>
          <w:szCs w:val="24"/>
        </w:rPr>
        <w:t>tra-</w:t>
      </w:r>
      <w:r>
        <w:rPr>
          <w:sz w:val="24"/>
          <w:szCs w:val="24"/>
        </w:rPr>
        <w:t>corporate grad</w:t>
      </w:r>
      <w:r w:rsidR="00395CD2">
        <w:rPr>
          <w:sz w:val="24"/>
          <w:szCs w:val="24"/>
        </w:rPr>
        <w:t>u</w:t>
      </w:r>
      <w:r>
        <w:rPr>
          <w:sz w:val="24"/>
          <w:szCs w:val="24"/>
        </w:rPr>
        <w:t>ate trainees and specialists across all economic sectors in the FTA. A review will see the program assessed in its second year of operation and recommendations made on future implementation, including potentially by the UK.</w:t>
      </w:r>
    </w:p>
    <w:p w14:paraId="13165488" w14:textId="77777777" w:rsidR="00837896" w:rsidRDefault="00837896" w:rsidP="00837896">
      <w:pPr>
        <w:pStyle w:val="ListParagraph"/>
        <w:ind w:left="360"/>
        <w:rPr>
          <w:sz w:val="24"/>
          <w:szCs w:val="24"/>
        </w:rPr>
      </w:pPr>
    </w:p>
    <w:p w14:paraId="5AB590F0" w14:textId="77777777" w:rsidR="00837896" w:rsidRDefault="00837896" w:rsidP="00837896">
      <w:pPr>
        <w:pStyle w:val="ListParagraph"/>
        <w:numPr>
          <w:ilvl w:val="0"/>
          <w:numId w:val="1"/>
        </w:numPr>
        <w:ind w:left="567" w:hanging="567"/>
        <w:rPr>
          <w:sz w:val="24"/>
          <w:szCs w:val="24"/>
        </w:rPr>
      </w:pPr>
      <w:r>
        <w:rPr>
          <w:sz w:val="24"/>
          <w:szCs w:val="24"/>
        </w:rPr>
        <w:t>Stakeholder</w:t>
      </w:r>
      <w:r w:rsidRPr="00011D19">
        <w:rPr>
          <w:sz w:val="24"/>
          <w:szCs w:val="24"/>
        </w:rPr>
        <w:t xml:space="preserve"> views have </w:t>
      </w:r>
      <w:r>
        <w:rPr>
          <w:sz w:val="24"/>
          <w:szCs w:val="24"/>
        </w:rPr>
        <w:t xml:space="preserve">also </w:t>
      </w:r>
      <w:r w:rsidRPr="00011D19">
        <w:rPr>
          <w:sz w:val="24"/>
          <w:szCs w:val="24"/>
        </w:rPr>
        <w:t>been incorporated into the agreement through commitments that will result in changes to existing Youth Mobility Schemes</w:t>
      </w:r>
      <w:r>
        <w:rPr>
          <w:sz w:val="24"/>
          <w:szCs w:val="24"/>
        </w:rPr>
        <w:t xml:space="preserve"> in both countries</w:t>
      </w:r>
      <w:r w:rsidRPr="00011D19">
        <w:rPr>
          <w:sz w:val="24"/>
          <w:szCs w:val="24"/>
        </w:rPr>
        <w:t xml:space="preserve">. These changes include making </w:t>
      </w:r>
      <w:r>
        <w:rPr>
          <w:sz w:val="24"/>
          <w:szCs w:val="24"/>
        </w:rPr>
        <w:t>such schemes</w:t>
      </w:r>
      <w:r w:rsidRPr="00011D19">
        <w:rPr>
          <w:sz w:val="24"/>
          <w:szCs w:val="24"/>
        </w:rPr>
        <w:t xml:space="preserve"> available to nationals no older than 35 for a total stay of up to 3 years, without having to undertake specified work including regional work, for example on a farm. </w:t>
      </w:r>
    </w:p>
    <w:p w14:paraId="552EDF93" w14:textId="77777777" w:rsidR="00DA0723" w:rsidRPr="00050880" w:rsidRDefault="00DA0723" w:rsidP="00DA0723">
      <w:pPr>
        <w:pStyle w:val="ListParagraph"/>
        <w:rPr>
          <w:sz w:val="24"/>
          <w:szCs w:val="24"/>
        </w:rPr>
      </w:pPr>
    </w:p>
    <w:p w14:paraId="0243E718" w14:textId="77777777" w:rsidR="00DA0723" w:rsidRPr="00CB5E7D" w:rsidRDefault="00DA0723" w:rsidP="00DA0723">
      <w:pPr>
        <w:pStyle w:val="ListParagraph"/>
        <w:numPr>
          <w:ilvl w:val="0"/>
          <w:numId w:val="1"/>
        </w:numPr>
        <w:ind w:left="567" w:hanging="567"/>
        <w:rPr>
          <w:sz w:val="24"/>
          <w:szCs w:val="24"/>
        </w:rPr>
      </w:pPr>
      <w:r>
        <w:rPr>
          <w:sz w:val="24"/>
          <w:szCs w:val="24"/>
        </w:rPr>
        <w:t xml:space="preserve">The commitments made regarding the movement of natural persons are consistent with Australia’s existing visa framework and Australia’s migration policy as they support an open, </w:t>
      </w:r>
      <w:proofErr w:type="gramStart"/>
      <w:r>
        <w:rPr>
          <w:sz w:val="24"/>
          <w:szCs w:val="24"/>
        </w:rPr>
        <w:t>prosperous</w:t>
      </w:r>
      <w:proofErr w:type="gramEnd"/>
      <w:r>
        <w:rPr>
          <w:sz w:val="24"/>
          <w:szCs w:val="24"/>
        </w:rPr>
        <w:t xml:space="preserve"> and united Australia. This is consistent with the Key Performance Indicators defined in the Department of Home Affairs Annual Report 2019/20</w:t>
      </w:r>
      <w:r>
        <w:rPr>
          <w:rStyle w:val="FootnoteReference"/>
          <w:sz w:val="24"/>
          <w:szCs w:val="24"/>
        </w:rPr>
        <w:footnoteReference w:id="87"/>
      </w:r>
      <w:r>
        <w:rPr>
          <w:sz w:val="24"/>
          <w:szCs w:val="24"/>
        </w:rPr>
        <w:t xml:space="preserve"> </w:t>
      </w:r>
    </w:p>
    <w:p w14:paraId="703F1F83" w14:textId="77777777" w:rsidR="00DA0723" w:rsidRPr="00DA0723" w:rsidRDefault="00DA0723" w:rsidP="00DA0723">
      <w:pPr>
        <w:pStyle w:val="ListParagraph"/>
        <w:ind w:left="567"/>
        <w:rPr>
          <w:sz w:val="24"/>
          <w:szCs w:val="24"/>
        </w:rPr>
      </w:pPr>
    </w:p>
    <w:p w14:paraId="72A91F98" w14:textId="77777777" w:rsidR="007E27E7" w:rsidRDefault="00DA0723" w:rsidP="007E27E7">
      <w:pPr>
        <w:pStyle w:val="ListParagraph"/>
        <w:numPr>
          <w:ilvl w:val="0"/>
          <w:numId w:val="1"/>
        </w:numPr>
        <w:ind w:left="567" w:hanging="567"/>
        <w:rPr>
          <w:sz w:val="24"/>
          <w:szCs w:val="24"/>
        </w:rPr>
      </w:pPr>
      <w:r w:rsidRPr="00DA0723">
        <w:rPr>
          <w:b/>
          <w:bCs/>
          <w:sz w:val="24"/>
          <w:szCs w:val="24"/>
        </w:rPr>
        <w:t xml:space="preserve">Investment </w:t>
      </w:r>
      <w:r w:rsidR="007E27E7">
        <w:rPr>
          <w:sz w:val="24"/>
          <w:szCs w:val="24"/>
        </w:rPr>
        <w:t xml:space="preserve">stakeholder views, compiled from meetings and submissions, are summarised as follows: </w:t>
      </w:r>
    </w:p>
    <w:p w14:paraId="5D2DF48A" w14:textId="28CEBF3C" w:rsidR="007E27E7" w:rsidRDefault="007E27E7" w:rsidP="007E27E7">
      <w:pPr>
        <w:pStyle w:val="ListParagraph"/>
        <w:numPr>
          <w:ilvl w:val="1"/>
          <w:numId w:val="29"/>
        </w:numPr>
        <w:spacing w:after="0" w:line="252" w:lineRule="auto"/>
        <w:rPr>
          <w:sz w:val="24"/>
          <w:szCs w:val="24"/>
        </w:rPr>
      </w:pPr>
      <w:r>
        <w:rPr>
          <w:sz w:val="24"/>
          <w:szCs w:val="24"/>
        </w:rPr>
        <w:t xml:space="preserve">the agreement should support and encourage a strong bilateral investment relationship through </w:t>
      </w:r>
      <w:r w:rsidR="00FE7977">
        <w:rPr>
          <w:sz w:val="24"/>
          <w:szCs w:val="24"/>
        </w:rPr>
        <w:t>up-to-date</w:t>
      </w:r>
      <w:r>
        <w:rPr>
          <w:sz w:val="24"/>
          <w:szCs w:val="24"/>
        </w:rPr>
        <w:t xml:space="preserve"> investment protections and liberalisation commitments</w:t>
      </w:r>
    </w:p>
    <w:p w14:paraId="470B48BF" w14:textId="0B6CF199" w:rsidR="007E27E7" w:rsidRDefault="007E27E7" w:rsidP="007E27E7">
      <w:pPr>
        <w:pStyle w:val="ListParagraph"/>
        <w:numPr>
          <w:ilvl w:val="1"/>
          <w:numId w:val="29"/>
        </w:numPr>
        <w:spacing w:after="0" w:line="252" w:lineRule="auto"/>
        <w:rPr>
          <w:sz w:val="24"/>
          <w:szCs w:val="24"/>
        </w:rPr>
      </w:pPr>
      <w:r>
        <w:rPr>
          <w:sz w:val="24"/>
          <w:szCs w:val="24"/>
        </w:rPr>
        <w:t xml:space="preserve">the importance of the Australia-UK investment relationship warrants Australia extending higher preferential screening thresholds to UK investors to encourage investment </w:t>
      </w:r>
    </w:p>
    <w:p w14:paraId="16F28F78" w14:textId="77777777" w:rsidR="007E27E7" w:rsidRDefault="007E27E7" w:rsidP="007E27E7">
      <w:pPr>
        <w:pStyle w:val="ListParagraph"/>
        <w:numPr>
          <w:ilvl w:val="1"/>
          <w:numId w:val="29"/>
        </w:numPr>
        <w:spacing w:after="0" w:line="252" w:lineRule="auto"/>
        <w:rPr>
          <w:sz w:val="24"/>
          <w:szCs w:val="24"/>
        </w:rPr>
      </w:pPr>
      <w:r>
        <w:rPr>
          <w:sz w:val="24"/>
          <w:szCs w:val="24"/>
        </w:rPr>
        <w:t>requests that the investment chapter not include an ISDS mechanism.</w:t>
      </w:r>
    </w:p>
    <w:p w14:paraId="7276BE64" w14:textId="77777777" w:rsidR="007E27E7" w:rsidRDefault="007E27E7" w:rsidP="007E27E7">
      <w:pPr>
        <w:pStyle w:val="ListParagraph"/>
        <w:rPr>
          <w:b/>
          <w:bCs/>
          <w:sz w:val="24"/>
          <w:szCs w:val="24"/>
        </w:rPr>
      </w:pPr>
    </w:p>
    <w:p w14:paraId="581EF512" w14:textId="77777777" w:rsidR="007E27E7" w:rsidRPr="007E27E7" w:rsidRDefault="007E27E7" w:rsidP="007E27E7">
      <w:pPr>
        <w:pStyle w:val="ListParagraph"/>
        <w:numPr>
          <w:ilvl w:val="0"/>
          <w:numId w:val="1"/>
        </w:numPr>
        <w:ind w:left="567" w:hanging="567"/>
        <w:rPr>
          <w:rFonts w:cstheme="minorHAnsi"/>
          <w:sz w:val="24"/>
          <w:szCs w:val="24"/>
        </w:rPr>
      </w:pPr>
      <w:r w:rsidRPr="007E27E7">
        <w:rPr>
          <w:rFonts w:cstheme="minorHAnsi"/>
          <w:sz w:val="24"/>
          <w:szCs w:val="24"/>
        </w:rPr>
        <w:t xml:space="preserve">These views have been reflected in the agreement through the investment chapter and the Parties’ schedules. Australia and the UK have agreed to a best practice suite of </w:t>
      </w:r>
      <w:r w:rsidRPr="007E27E7">
        <w:rPr>
          <w:rFonts w:cstheme="minorHAnsi"/>
          <w:color w:val="313131"/>
          <w:sz w:val="24"/>
          <w:szCs w:val="24"/>
          <w:shd w:val="clear" w:color="auto" w:fill="FFFFFF"/>
        </w:rPr>
        <w:t xml:space="preserve">investment commitments that will underpin the already strong investment relationship between our two countries. Commitments will cover all investment, portfolio and FDI and include ambitious market access commitments. Investors will get fair treatment and protection from expropriation of assets, while the right of states to regulate in the public interest will be preserved. </w:t>
      </w:r>
    </w:p>
    <w:p w14:paraId="15314E7B" w14:textId="77777777" w:rsidR="007E27E7" w:rsidRPr="007E27E7" w:rsidRDefault="007E27E7" w:rsidP="007E27E7">
      <w:pPr>
        <w:pStyle w:val="ListParagraph"/>
        <w:ind w:left="567"/>
        <w:rPr>
          <w:rFonts w:cstheme="minorHAnsi"/>
          <w:sz w:val="24"/>
          <w:szCs w:val="24"/>
        </w:rPr>
      </w:pPr>
    </w:p>
    <w:p w14:paraId="5072ED53" w14:textId="36AC9087" w:rsidR="007E27E7" w:rsidRPr="007E27E7" w:rsidRDefault="007E27E7" w:rsidP="007E27E7">
      <w:pPr>
        <w:pStyle w:val="ListParagraph"/>
        <w:numPr>
          <w:ilvl w:val="0"/>
          <w:numId w:val="1"/>
        </w:numPr>
        <w:ind w:left="567" w:hanging="567"/>
        <w:rPr>
          <w:rFonts w:cstheme="minorHAnsi"/>
          <w:sz w:val="24"/>
          <w:szCs w:val="24"/>
        </w:rPr>
      </w:pPr>
      <w:r w:rsidRPr="007E27E7">
        <w:rPr>
          <w:rFonts w:cstheme="minorHAnsi"/>
          <w:color w:val="313131"/>
          <w:sz w:val="24"/>
          <w:szCs w:val="24"/>
          <w:shd w:val="clear" w:color="auto" w:fill="FFFFFF"/>
        </w:rPr>
        <w:t xml:space="preserve">The agreement will not include an Investor-State Dispute Settlement mechanism. The deal also includes higher investment screening thresholds for UK investors in Australia, </w:t>
      </w:r>
      <w:r w:rsidRPr="007E27E7">
        <w:rPr>
          <w:rFonts w:cstheme="minorHAnsi"/>
          <w:color w:val="313131"/>
          <w:sz w:val="24"/>
          <w:szCs w:val="24"/>
          <w:shd w:val="clear" w:color="auto" w:fill="FFFFFF"/>
        </w:rPr>
        <w:lastRenderedPageBreak/>
        <w:t>meaning fewer UK investments are subject to review by the Foreign Investment Review Board.</w:t>
      </w:r>
    </w:p>
    <w:p w14:paraId="28093EF9" w14:textId="77777777" w:rsidR="00DA0723" w:rsidRPr="007E27E7" w:rsidRDefault="00DA0723" w:rsidP="007E27E7">
      <w:pPr>
        <w:rPr>
          <w:b/>
          <w:bCs/>
          <w:sz w:val="24"/>
          <w:szCs w:val="24"/>
        </w:rPr>
      </w:pPr>
    </w:p>
    <w:p w14:paraId="0C1E48F8" w14:textId="562F6FA9" w:rsidR="00DA0723" w:rsidRDefault="00DA0723" w:rsidP="00DA0723">
      <w:pPr>
        <w:pStyle w:val="ListParagraph"/>
        <w:numPr>
          <w:ilvl w:val="0"/>
          <w:numId w:val="1"/>
        </w:numPr>
        <w:ind w:left="567" w:hanging="567"/>
        <w:rPr>
          <w:sz w:val="24"/>
          <w:szCs w:val="24"/>
        </w:rPr>
      </w:pPr>
      <w:r w:rsidRPr="00720E04">
        <w:rPr>
          <w:b/>
          <w:bCs/>
          <w:sz w:val="24"/>
          <w:szCs w:val="24"/>
        </w:rPr>
        <w:t>D</w:t>
      </w:r>
      <w:r w:rsidRPr="00F165EE">
        <w:rPr>
          <w:b/>
          <w:bCs/>
          <w:sz w:val="24"/>
          <w:szCs w:val="24"/>
        </w:rPr>
        <w:t>igital trade</w:t>
      </w:r>
      <w:r w:rsidRPr="00720E04">
        <w:rPr>
          <w:sz w:val="24"/>
          <w:szCs w:val="24"/>
        </w:rPr>
        <w:t xml:space="preserve"> </w:t>
      </w:r>
      <w:r>
        <w:rPr>
          <w:sz w:val="24"/>
          <w:szCs w:val="24"/>
        </w:rPr>
        <w:t>stakeholder views, compiled from meetings and submissions, are summarised as follows:</w:t>
      </w:r>
    </w:p>
    <w:p w14:paraId="00E211B6" w14:textId="731A8A7E" w:rsidR="00DA0723" w:rsidRDefault="007404B8" w:rsidP="00DA0723">
      <w:pPr>
        <w:pStyle w:val="ListParagraph"/>
        <w:numPr>
          <w:ilvl w:val="1"/>
          <w:numId w:val="1"/>
        </w:numPr>
        <w:spacing w:after="0" w:line="252" w:lineRule="auto"/>
        <w:rPr>
          <w:sz w:val="24"/>
          <w:szCs w:val="24"/>
        </w:rPr>
      </w:pPr>
      <w:r>
        <w:rPr>
          <w:sz w:val="24"/>
          <w:szCs w:val="24"/>
        </w:rPr>
        <w:t>t</w:t>
      </w:r>
      <w:r w:rsidR="00DA0723">
        <w:rPr>
          <w:sz w:val="24"/>
          <w:szCs w:val="24"/>
        </w:rPr>
        <w:t>hat the Australia-Singapore DEA digital trade commitments act “as a minimum starting point” that maximise opportunities to enhance the bilateral digital trade landscape, including adequacy arrangements to maximise cross-border data flows and no data localisation requirements.</w:t>
      </w:r>
    </w:p>
    <w:p w14:paraId="7BCE2EC2" w14:textId="77777777" w:rsidR="00DA0723" w:rsidRPr="00B67894" w:rsidRDefault="00DA0723" w:rsidP="00DA0723">
      <w:pPr>
        <w:pStyle w:val="ListParagraph"/>
        <w:numPr>
          <w:ilvl w:val="1"/>
          <w:numId w:val="1"/>
        </w:numPr>
        <w:spacing w:after="0" w:line="252" w:lineRule="auto"/>
        <w:rPr>
          <w:sz w:val="24"/>
          <w:szCs w:val="24"/>
        </w:rPr>
      </w:pPr>
      <w:r>
        <w:rPr>
          <w:sz w:val="24"/>
          <w:szCs w:val="24"/>
        </w:rPr>
        <w:t xml:space="preserve">calls for ambitious digital trade provisions </w:t>
      </w:r>
      <w:r w:rsidRPr="00B67894">
        <w:rPr>
          <w:sz w:val="24"/>
          <w:szCs w:val="24"/>
        </w:rPr>
        <w:t>including the mutual recognition of privacy</w:t>
      </w:r>
      <w:r>
        <w:rPr>
          <w:sz w:val="24"/>
          <w:szCs w:val="24"/>
        </w:rPr>
        <w:t xml:space="preserve"> regimes, </w:t>
      </w:r>
      <w:r w:rsidRPr="00B67894">
        <w:rPr>
          <w:sz w:val="24"/>
          <w:szCs w:val="24"/>
        </w:rPr>
        <w:t xml:space="preserve">online </w:t>
      </w:r>
      <w:proofErr w:type="gramStart"/>
      <w:r w:rsidRPr="00B67894">
        <w:rPr>
          <w:sz w:val="24"/>
          <w:szCs w:val="24"/>
        </w:rPr>
        <w:t>services</w:t>
      </w:r>
      <w:proofErr w:type="gramEnd"/>
      <w:r>
        <w:rPr>
          <w:sz w:val="24"/>
          <w:szCs w:val="24"/>
        </w:rPr>
        <w:t xml:space="preserve"> and </w:t>
      </w:r>
      <w:r w:rsidRPr="00B67894">
        <w:rPr>
          <w:sz w:val="24"/>
          <w:szCs w:val="24"/>
        </w:rPr>
        <w:t>e-authentication</w:t>
      </w:r>
    </w:p>
    <w:p w14:paraId="2FE4B8CC" w14:textId="5C3FE8B3" w:rsidR="00DA0723" w:rsidRPr="00B67894" w:rsidRDefault="00DA0723" w:rsidP="00DA0723">
      <w:pPr>
        <w:pStyle w:val="ListParagraph"/>
        <w:numPr>
          <w:ilvl w:val="1"/>
          <w:numId w:val="1"/>
        </w:numPr>
        <w:spacing w:after="0" w:line="252" w:lineRule="auto"/>
        <w:rPr>
          <w:sz w:val="24"/>
          <w:szCs w:val="24"/>
        </w:rPr>
      </w:pPr>
      <w:r w:rsidRPr="00B67894">
        <w:rPr>
          <w:sz w:val="24"/>
          <w:szCs w:val="24"/>
        </w:rPr>
        <w:t>updating IP protection: copyright; trade secrets; government use of legal software</w:t>
      </w:r>
    </w:p>
    <w:p w14:paraId="749233E9" w14:textId="77777777" w:rsidR="00DA0723" w:rsidRPr="00B67894" w:rsidRDefault="00DA0723" w:rsidP="00DA0723">
      <w:pPr>
        <w:pStyle w:val="ListParagraph"/>
        <w:numPr>
          <w:ilvl w:val="1"/>
          <w:numId w:val="1"/>
        </w:numPr>
        <w:spacing w:after="0" w:line="252" w:lineRule="auto"/>
        <w:rPr>
          <w:sz w:val="24"/>
          <w:szCs w:val="24"/>
        </w:rPr>
      </w:pPr>
      <w:r w:rsidRPr="00B67894">
        <w:rPr>
          <w:sz w:val="24"/>
          <w:szCs w:val="24"/>
        </w:rPr>
        <w:t xml:space="preserve">promoting trust and security: encryption; international standards; cyber-security; SOEs; no forced tech transfer; AI; open government data; no customs duties; open digital architecture and tech choice  </w:t>
      </w:r>
    </w:p>
    <w:p w14:paraId="27DE6EA0" w14:textId="77777777" w:rsidR="00DA0723" w:rsidRPr="00D40372" w:rsidRDefault="00DA0723" w:rsidP="00DA0723">
      <w:pPr>
        <w:pStyle w:val="ListParagraph"/>
        <w:numPr>
          <w:ilvl w:val="1"/>
          <w:numId w:val="1"/>
        </w:numPr>
        <w:spacing w:after="0" w:line="252" w:lineRule="auto"/>
        <w:rPr>
          <w:sz w:val="24"/>
          <w:szCs w:val="24"/>
        </w:rPr>
      </w:pPr>
      <w:r>
        <w:rPr>
          <w:sz w:val="24"/>
          <w:szCs w:val="24"/>
        </w:rPr>
        <w:t>e</w:t>
      </w:r>
      <w:r w:rsidRPr="00B67894">
        <w:rPr>
          <w:sz w:val="24"/>
          <w:szCs w:val="24"/>
        </w:rPr>
        <w:t>ncourage the FTA to increase the ability to knowledge share, bilaterally advance technologies and share information on best practice digital regulation to advance the sector</w:t>
      </w:r>
      <w:r>
        <w:rPr>
          <w:sz w:val="24"/>
          <w:szCs w:val="24"/>
        </w:rPr>
        <w:t>.</w:t>
      </w:r>
      <w:r w:rsidRPr="00D40372">
        <w:rPr>
          <w:sz w:val="24"/>
          <w:szCs w:val="24"/>
        </w:rPr>
        <w:t> </w:t>
      </w:r>
    </w:p>
    <w:p w14:paraId="1B46C911" w14:textId="77777777" w:rsidR="00DA0723" w:rsidRPr="009E52FA" w:rsidRDefault="00DA0723" w:rsidP="00DA0723">
      <w:pPr>
        <w:pStyle w:val="ListParagraph"/>
        <w:spacing w:line="252" w:lineRule="auto"/>
        <w:ind w:left="360"/>
      </w:pPr>
      <w:r w:rsidRPr="009E52FA">
        <w:rPr>
          <w:sz w:val="24"/>
          <w:szCs w:val="24"/>
        </w:rPr>
        <w:t> </w:t>
      </w:r>
    </w:p>
    <w:p w14:paraId="059C5BF5" w14:textId="77777777" w:rsidR="00DA0723" w:rsidRDefault="00DA0723" w:rsidP="00DA0723">
      <w:pPr>
        <w:pStyle w:val="ListParagraph"/>
        <w:numPr>
          <w:ilvl w:val="0"/>
          <w:numId w:val="1"/>
        </w:numPr>
        <w:ind w:left="567" w:hanging="567"/>
        <w:rPr>
          <w:sz w:val="24"/>
          <w:szCs w:val="24"/>
        </w:rPr>
      </w:pPr>
      <w:r w:rsidRPr="009E52FA">
        <w:rPr>
          <w:sz w:val="24"/>
          <w:szCs w:val="24"/>
        </w:rPr>
        <w:t xml:space="preserve">In a rapidly evolving area like digital trade, stakeholder feedback plays a critical role in determining Australia’s trade policy priorities, identifying barriers to entry in international markets and ensuring that our trade rules are fit-for-purpose in a digitalising global economy. Importantly, this feedback enables the design of rules which not only facilitate trade and support business in accessing global digital markets, but also ensure the protection of Australian consumers participating in digital trade. </w:t>
      </w:r>
    </w:p>
    <w:p w14:paraId="5A80841E" w14:textId="77777777" w:rsidR="00DA0723" w:rsidRPr="00D40372" w:rsidRDefault="00DA0723" w:rsidP="00DA0723">
      <w:pPr>
        <w:pStyle w:val="ListParagraph"/>
        <w:rPr>
          <w:sz w:val="24"/>
          <w:szCs w:val="24"/>
        </w:rPr>
      </w:pPr>
    </w:p>
    <w:p w14:paraId="0F5962FF" w14:textId="141DF4A5" w:rsidR="00DA0723" w:rsidRPr="009E52FA" w:rsidRDefault="00DA0723" w:rsidP="00DA0723">
      <w:pPr>
        <w:pStyle w:val="ListParagraph"/>
        <w:numPr>
          <w:ilvl w:val="0"/>
          <w:numId w:val="1"/>
        </w:numPr>
        <w:ind w:left="567" w:hanging="567"/>
        <w:rPr>
          <w:sz w:val="24"/>
          <w:szCs w:val="24"/>
        </w:rPr>
      </w:pPr>
      <w:r w:rsidRPr="009E52FA">
        <w:rPr>
          <w:sz w:val="24"/>
          <w:szCs w:val="24"/>
        </w:rPr>
        <w:t>Key stakeholder priorities reflected in the agreement include rules to facilitate the cross-border movement of data, rules to limit forced tech transfer and enable business to leverage digital technologies in goods and services trade, and rules to promote trust in the online environment, including through the protection of consumers and personal data.</w:t>
      </w:r>
    </w:p>
    <w:p w14:paraId="324D2FCC" w14:textId="77777777" w:rsidR="00DA0723" w:rsidRDefault="00DA0723" w:rsidP="00DA0723">
      <w:pPr>
        <w:pStyle w:val="ListParagraph"/>
        <w:ind w:left="567"/>
        <w:rPr>
          <w:b/>
          <w:bCs/>
          <w:sz w:val="24"/>
          <w:szCs w:val="24"/>
        </w:rPr>
      </w:pPr>
    </w:p>
    <w:p w14:paraId="62BF791E" w14:textId="77777777" w:rsidR="00DA0723" w:rsidRDefault="00DA0723" w:rsidP="00DA0723">
      <w:pPr>
        <w:pStyle w:val="ListParagraph"/>
        <w:numPr>
          <w:ilvl w:val="0"/>
          <w:numId w:val="1"/>
        </w:numPr>
        <w:ind w:left="567" w:hanging="567"/>
        <w:rPr>
          <w:sz w:val="24"/>
          <w:szCs w:val="24"/>
        </w:rPr>
      </w:pPr>
      <w:r>
        <w:rPr>
          <w:sz w:val="24"/>
          <w:szCs w:val="24"/>
        </w:rPr>
        <w:t xml:space="preserve">Regarding </w:t>
      </w:r>
      <w:r w:rsidRPr="00F165EE">
        <w:rPr>
          <w:b/>
          <w:bCs/>
          <w:sz w:val="24"/>
          <w:szCs w:val="24"/>
        </w:rPr>
        <w:t>intellectual property</w:t>
      </w:r>
      <w:r>
        <w:rPr>
          <w:sz w:val="24"/>
          <w:szCs w:val="24"/>
        </w:rPr>
        <w:t>, stakeholders requested the following:</w:t>
      </w:r>
    </w:p>
    <w:p w14:paraId="66965B26" w14:textId="1ACF0EA5" w:rsidR="00DA0723" w:rsidRDefault="007404B8" w:rsidP="00DA0723">
      <w:pPr>
        <w:pStyle w:val="ListParagraph"/>
        <w:numPr>
          <w:ilvl w:val="1"/>
          <w:numId w:val="1"/>
        </w:numPr>
        <w:spacing w:line="256" w:lineRule="auto"/>
        <w:rPr>
          <w:sz w:val="24"/>
          <w:szCs w:val="24"/>
        </w:rPr>
      </w:pPr>
      <w:r>
        <w:rPr>
          <w:sz w:val="24"/>
          <w:szCs w:val="24"/>
        </w:rPr>
        <w:t>n</w:t>
      </w:r>
      <w:r w:rsidR="00DA0723">
        <w:rPr>
          <w:sz w:val="24"/>
          <w:szCs w:val="24"/>
        </w:rPr>
        <w:t xml:space="preserve">o changes to Australia’s safe harbour arrangements for copyright and confirmation that both Australia and the UK's copyright settings facilitate the legitimate use of creative works, and fairly compensate rightsholders </w:t>
      </w:r>
    </w:p>
    <w:p w14:paraId="3133A62F" w14:textId="635AFF91" w:rsidR="00DA0723" w:rsidRDefault="007404B8" w:rsidP="00DA0723">
      <w:pPr>
        <w:pStyle w:val="ListParagraph"/>
        <w:numPr>
          <w:ilvl w:val="1"/>
          <w:numId w:val="1"/>
        </w:numPr>
        <w:spacing w:line="256" w:lineRule="auto"/>
        <w:rPr>
          <w:sz w:val="24"/>
          <w:szCs w:val="24"/>
        </w:rPr>
      </w:pPr>
      <w:r>
        <w:rPr>
          <w:sz w:val="24"/>
          <w:szCs w:val="24"/>
        </w:rPr>
        <w:t>n</w:t>
      </w:r>
      <w:r w:rsidR="00DA0723">
        <w:rPr>
          <w:sz w:val="24"/>
          <w:szCs w:val="24"/>
        </w:rPr>
        <w:t>o changes to our IP settings that would impact on pharmaceuticals</w:t>
      </w:r>
    </w:p>
    <w:p w14:paraId="257B29B3" w14:textId="77777777" w:rsidR="00DA0723" w:rsidRDefault="00DA0723" w:rsidP="00DA0723">
      <w:pPr>
        <w:pStyle w:val="ListParagraph"/>
        <w:numPr>
          <w:ilvl w:val="1"/>
          <w:numId w:val="1"/>
        </w:numPr>
        <w:spacing w:line="256" w:lineRule="auto"/>
        <w:rPr>
          <w:sz w:val="24"/>
          <w:szCs w:val="24"/>
        </w:rPr>
      </w:pPr>
      <w:r>
        <w:rPr>
          <w:sz w:val="24"/>
          <w:szCs w:val="24"/>
        </w:rPr>
        <w:t>FTA outcomes which support the enforcement of IP rights online, and transparency in the collective management of copyrights to the benefit of artists.</w:t>
      </w:r>
    </w:p>
    <w:p w14:paraId="00FB7C97" w14:textId="77777777" w:rsidR="00DA0723" w:rsidRDefault="00DA0723" w:rsidP="00DA0723">
      <w:pPr>
        <w:pStyle w:val="ListParagraph"/>
        <w:ind w:left="1080"/>
        <w:rPr>
          <w:sz w:val="24"/>
          <w:szCs w:val="24"/>
        </w:rPr>
      </w:pPr>
    </w:p>
    <w:p w14:paraId="4AE7680C" w14:textId="77777777" w:rsidR="00DA0723" w:rsidRPr="00E814F0" w:rsidRDefault="00DA0723" w:rsidP="00DA0723">
      <w:pPr>
        <w:pStyle w:val="ListParagraph"/>
        <w:numPr>
          <w:ilvl w:val="0"/>
          <w:numId w:val="1"/>
        </w:numPr>
        <w:ind w:left="567" w:hanging="567"/>
        <w:rPr>
          <w:sz w:val="24"/>
          <w:szCs w:val="24"/>
        </w:rPr>
      </w:pPr>
      <w:r w:rsidRPr="00E814F0">
        <w:rPr>
          <w:sz w:val="24"/>
          <w:szCs w:val="24"/>
        </w:rPr>
        <w:t>These views have been incorporated into the agreement through Australia and the UK agree</w:t>
      </w:r>
      <w:r>
        <w:rPr>
          <w:sz w:val="24"/>
          <w:szCs w:val="24"/>
        </w:rPr>
        <w:t>ing</w:t>
      </w:r>
      <w:r w:rsidRPr="00E814F0">
        <w:rPr>
          <w:sz w:val="24"/>
          <w:szCs w:val="24"/>
        </w:rPr>
        <w:t xml:space="preserve"> to </w:t>
      </w:r>
      <w:r>
        <w:rPr>
          <w:sz w:val="24"/>
          <w:szCs w:val="24"/>
        </w:rPr>
        <w:t>p</w:t>
      </w:r>
      <w:r w:rsidRPr="00E814F0">
        <w:rPr>
          <w:sz w:val="24"/>
          <w:szCs w:val="24"/>
        </w:rPr>
        <w:t>rovisions</w:t>
      </w:r>
      <w:r>
        <w:rPr>
          <w:sz w:val="24"/>
          <w:szCs w:val="24"/>
        </w:rPr>
        <w:t xml:space="preserve"> that do not change Australian or UK existing copyright settings </w:t>
      </w:r>
      <w:r>
        <w:rPr>
          <w:sz w:val="24"/>
          <w:szCs w:val="24"/>
        </w:rPr>
        <w:lastRenderedPageBreak/>
        <w:t xml:space="preserve">and the inclusion of provisions relating to the online enforcement of IP rights. IP provisions will not require regulatory changes and will not affect the price of medicines in either country </w:t>
      </w:r>
      <w:proofErr w:type="gramStart"/>
      <w:r>
        <w:rPr>
          <w:sz w:val="24"/>
          <w:szCs w:val="24"/>
        </w:rPr>
        <w:t>nor</w:t>
      </w:r>
      <w:proofErr w:type="gramEnd"/>
      <w:r>
        <w:rPr>
          <w:sz w:val="24"/>
          <w:szCs w:val="24"/>
        </w:rPr>
        <w:t xml:space="preserve"> have an impact on our IP settings on pharmaceuticals.</w:t>
      </w:r>
    </w:p>
    <w:p w14:paraId="4AA0F4E1" w14:textId="77777777" w:rsidR="007E27E7" w:rsidRDefault="007E27E7" w:rsidP="007E27E7">
      <w:pPr>
        <w:pStyle w:val="ListParagraph"/>
        <w:ind w:left="567"/>
        <w:rPr>
          <w:b/>
          <w:bCs/>
          <w:sz w:val="24"/>
          <w:szCs w:val="24"/>
        </w:rPr>
      </w:pPr>
    </w:p>
    <w:p w14:paraId="7D786100" w14:textId="6B4B8101" w:rsidR="00E72F19" w:rsidRPr="00B063F3" w:rsidRDefault="00720E04" w:rsidP="00206944">
      <w:pPr>
        <w:pStyle w:val="ListParagraph"/>
        <w:numPr>
          <w:ilvl w:val="0"/>
          <w:numId w:val="1"/>
        </w:numPr>
        <w:ind w:left="567" w:hanging="567"/>
        <w:rPr>
          <w:b/>
          <w:bCs/>
          <w:sz w:val="24"/>
          <w:szCs w:val="24"/>
        </w:rPr>
      </w:pPr>
      <w:r w:rsidRPr="00720E04">
        <w:rPr>
          <w:b/>
          <w:bCs/>
          <w:sz w:val="24"/>
          <w:szCs w:val="24"/>
        </w:rPr>
        <w:t>G</w:t>
      </w:r>
      <w:r w:rsidR="00E72F19" w:rsidRPr="00B063F3">
        <w:rPr>
          <w:b/>
          <w:bCs/>
          <w:sz w:val="24"/>
          <w:szCs w:val="24"/>
        </w:rPr>
        <w:t>overnment procurement</w:t>
      </w:r>
      <w:r>
        <w:rPr>
          <w:b/>
          <w:bCs/>
          <w:sz w:val="24"/>
          <w:szCs w:val="24"/>
        </w:rPr>
        <w:t xml:space="preserve"> </w:t>
      </w:r>
      <w:r>
        <w:rPr>
          <w:sz w:val="24"/>
          <w:szCs w:val="24"/>
        </w:rPr>
        <w:t>stakeholder views, compiled from meetings and submissions, are summarised as follows:</w:t>
      </w:r>
    </w:p>
    <w:p w14:paraId="1A516DFF" w14:textId="5C2D308F" w:rsidR="00E72F19" w:rsidRPr="00B063F3" w:rsidRDefault="00E72F19" w:rsidP="00E72F19">
      <w:pPr>
        <w:pStyle w:val="ListParagraph"/>
        <w:numPr>
          <w:ilvl w:val="1"/>
          <w:numId w:val="1"/>
        </w:numPr>
        <w:rPr>
          <w:sz w:val="24"/>
          <w:szCs w:val="24"/>
        </w:rPr>
      </w:pPr>
      <w:r w:rsidRPr="00B063F3">
        <w:rPr>
          <w:sz w:val="24"/>
          <w:szCs w:val="24"/>
        </w:rPr>
        <w:t xml:space="preserve">to aim for full and comprehensive access to GP opportunities in the UK, </w:t>
      </w:r>
      <w:r w:rsidR="00E63A30">
        <w:rPr>
          <w:sz w:val="24"/>
          <w:szCs w:val="24"/>
        </w:rPr>
        <w:t>noting</w:t>
      </w:r>
      <w:r w:rsidRPr="00B063F3">
        <w:rPr>
          <w:sz w:val="24"/>
          <w:szCs w:val="24"/>
        </w:rPr>
        <w:t xml:space="preserve"> that “Australia must remain open to comprehensive access from the UK”</w:t>
      </w:r>
    </w:p>
    <w:p w14:paraId="1100AB61" w14:textId="2C97A624" w:rsidR="008322E7" w:rsidRPr="00B063F3" w:rsidRDefault="00B063F3" w:rsidP="008322E7">
      <w:pPr>
        <w:pStyle w:val="ListParagraph"/>
        <w:numPr>
          <w:ilvl w:val="1"/>
          <w:numId w:val="1"/>
        </w:numPr>
        <w:rPr>
          <w:sz w:val="24"/>
          <w:szCs w:val="24"/>
        </w:rPr>
      </w:pPr>
      <w:r>
        <w:rPr>
          <w:sz w:val="24"/>
          <w:szCs w:val="24"/>
        </w:rPr>
        <w:t>m</w:t>
      </w:r>
      <w:r w:rsidR="00E72F19" w:rsidRPr="00B063F3">
        <w:rPr>
          <w:sz w:val="24"/>
          <w:szCs w:val="24"/>
        </w:rPr>
        <w:t xml:space="preserve">aintain existing government procurement exceptions for SMEs, indigenous </w:t>
      </w:r>
      <w:proofErr w:type="gramStart"/>
      <w:r w:rsidR="00E72F19" w:rsidRPr="00B063F3">
        <w:rPr>
          <w:sz w:val="24"/>
          <w:szCs w:val="24"/>
        </w:rPr>
        <w:t>enterprises</w:t>
      </w:r>
      <w:proofErr w:type="gramEnd"/>
      <w:r w:rsidR="00E72F19" w:rsidRPr="00B063F3">
        <w:rPr>
          <w:sz w:val="24"/>
          <w:szCs w:val="24"/>
        </w:rPr>
        <w:t xml:space="preserve"> and local government</w:t>
      </w:r>
      <w:r w:rsidR="00F165EE" w:rsidRPr="00B063F3">
        <w:rPr>
          <w:sz w:val="24"/>
          <w:szCs w:val="24"/>
        </w:rPr>
        <w:t>.</w:t>
      </w:r>
    </w:p>
    <w:p w14:paraId="6A3BFE5A" w14:textId="77777777" w:rsidR="008322E7" w:rsidRDefault="008322E7" w:rsidP="008322E7">
      <w:pPr>
        <w:pStyle w:val="ListParagraph"/>
        <w:ind w:left="1080"/>
        <w:rPr>
          <w:sz w:val="24"/>
          <w:szCs w:val="24"/>
        </w:rPr>
      </w:pPr>
    </w:p>
    <w:p w14:paraId="7A318E31" w14:textId="41159658" w:rsidR="00F165EE" w:rsidRDefault="00F165EE" w:rsidP="00206944">
      <w:pPr>
        <w:pStyle w:val="ListParagraph"/>
        <w:numPr>
          <w:ilvl w:val="0"/>
          <w:numId w:val="1"/>
        </w:numPr>
        <w:ind w:left="567" w:hanging="567"/>
        <w:rPr>
          <w:sz w:val="24"/>
          <w:szCs w:val="24"/>
        </w:rPr>
      </w:pPr>
      <w:r w:rsidRPr="008322E7">
        <w:rPr>
          <w:sz w:val="24"/>
          <w:szCs w:val="24"/>
        </w:rPr>
        <w:t xml:space="preserve">These views have been </w:t>
      </w:r>
      <w:r w:rsidR="00B063F3">
        <w:rPr>
          <w:rFonts w:eastAsia="Times New Roman"/>
          <w:sz w:val="24"/>
          <w:szCs w:val="24"/>
        </w:rPr>
        <w:t xml:space="preserve">factored into Australia’s market access negotiations. Businesses will, </w:t>
      </w:r>
      <w:r w:rsidR="00B063F3" w:rsidRPr="00206944">
        <w:rPr>
          <w:sz w:val="24"/>
          <w:szCs w:val="24"/>
        </w:rPr>
        <w:t>on</w:t>
      </w:r>
      <w:r w:rsidR="00B063F3">
        <w:rPr>
          <w:rFonts w:eastAsia="Times New Roman"/>
          <w:sz w:val="24"/>
          <w:szCs w:val="24"/>
        </w:rPr>
        <w:t xml:space="preserve"> entry into force of the FTA, have new bound market access to goods, </w:t>
      </w:r>
      <w:proofErr w:type="gramStart"/>
      <w:r w:rsidR="00B063F3">
        <w:rPr>
          <w:rFonts w:eastAsia="Times New Roman"/>
          <w:sz w:val="24"/>
          <w:szCs w:val="24"/>
        </w:rPr>
        <w:t>services</w:t>
      </w:r>
      <w:proofErr w:type="gramEnd"/>
      <w:r w:rsidR="00B063F3">
        <w:rPr>
          <w:rFonts w:eastAsia="Times New Roman"/>
          <w:sz w:val="24"/>
          <w:szCs w:val="24"/>
        </w:rPr>
        <w:t xml:space="preserve"> and construction opportunities across both countries’ lucrative government procurement markets – at both the national and regional levels of government (for Australia, the latter being our </w:t>
      </w:r>
      <w:r w:rsidR="007404B8">
        <w:rPr>
          <w:rFonts w:eastAsia="Times New Roman"/>
          <w:sz w:val="24"/>
          <w:szCs w:val="24"/>
        </w:rPr>
        <w:t>s</w:t>
      </w:r>
      <w:r w:rsidR="00B063F3">
        <w:rPr>
          <w:rFonts w:eastAsia="Times New Roman"/>
          <w:sz w:val="24"/>
          <w:szCs w:val="24"/>
        </w:rPr>
        <w:t xml:space="preserve">tate and </w:t>
      </w:r>
      <w:r w:rsidR="007404B8">
        <w:rPr>
          <w:rFonts w:eastAsia="Times New Roman"/>
          <w:sz w:val="24"/>
          <w:szCs w:val="24"/>
        </w:rPr>
        <w:t>t</w:t>
      </w:r>
      <w:r w:rsidR="00B063F3">
        <w:rPr>
          <w:rFonts w:eastAsia="Times New Roman"/>
          <w:sz w:val="24"/>
          <w:szCs w:val="24"/>
        </w:rPr>
        <w:t xml:space="preserve">erritory </w:t>
      </w:r>
      <w:r w:rsidR="007404B8">
        <w:rPr>
          <w:rFonts w:eastAsia="Times New Roman"/>
          <w:sz w:val="24"/>
          <w:szCs w:val="24"/>
        </w:rPr>
        <w:t>g</w:t>
      </w:r>
      <w:r w:rsidR="00B063F3">
        <w:rPr>
          <w:rFonts w:eastAsia="Times New Roman"/>
          <w:sz w:val="24"/>
          <w:szCs w:val="24"/>
        </w:rPr>
        <w:t xml:space="preserve">overnments). The effect of these outcomes is to create new opportunities for suppliers of all sizes to secure competitive contracts – including SMEs and Indigenous-owned businesses – </w:t>
      </w:r>
      <w:r w:rsidR="007404B8">
        <w:rPr>
          <w:rFonts w:eastAsia="Times New Roman"/>
          <w:sz w:val="24"/>
          <w:szCs w:val="24"/>
        </w:rPr>
        <w:t xml:space="preserve">thereby </w:t>
      </w:r>
      <w:r w:rsidR="00B063F3">
        <w:rPr>
          <w:rFonts w:eastAsia="Times New Roman"/>
          <w:sz w:val="24"/>
          <w:szCs w:val="24"/>
        </w:rPr>
        <w:t>supporting jobs in Australia and the UK.</w:t>
      </w:r>
    </w:p>
    <w:p w14:paraId="3E411BC5" w14:textId="77777777" w:rsidR="00536489" w:rsidRDefault="00536489" w:rsidP="00536489">
      <w:pPr>
        <w:pStyle w:val="ListParagraph"/>
        <w:ind w:left="360"/>
        <w:rPr>
          <w:sz w:val="24"/>
          <w:szCs w:val="24"/>
        </w:rPr>
      </w:pPr>
    </w:p>
    <w:p w14:paraId="5DAADE03" w14:textId="0A39E071" w:rsidR="00536489" w:rsidRPr="008322E7" w:rsidRDefault="00720E04" w:rsidP="00206944">
      <w:pPr>
        <w:pStyle w:val="ListParagraph"/>
        <w:numPr>
          <w:ilvl w:val="0"/>
          <w:numId w:val="1"/>
        </w:numPr>
        <w:ind w:left="567" w:hanging="567"/>
        <w:rPr>
          <w:sz w:val="24"/>
          <w:szCs w:val="24"/>
        </w:rPr>
      </w:pPr>
      <w:r>
        <w:rPr>
          <w:sz w:val="24"/>
          <w:szCs w:val="24"/>
        </w:rPr>
        <w:t>These views have been</w:t>
      </w:r>
      <w:r w:rsidR="00536489" w:rsidRPr="00536489">
        <w:rPr>
          <w:sz w:val="24"/>
          <w:szCs w:val="24"/>
        </w:rPr>
        <w:t xml:space="preserve"> </w:t>
      </w:r>
      <w:r>
        <w:rPr>
          <w:rFonts w:eastAsia="Times New Roman"/>
          <w:sz w:val="24"/>
          <w:szCs w:val="24"/>
        </w:rPr>
        <w:t xml:space="preserve">incorporated into the agreement by guaranteeing that existing GPA/FTA exceptions are preserved for measures that benefit SMEs and Indigenous Australians. Australia has also excluded local government procurement from the scope of its market access offer to the UK, instead agreeing to a side letter whereby if Australia were to offer local government procurement to another trading partner in future, it would </w:t>
      </w:r>
      <w:proofErr w:type="gramStart"/>
      <w:r>
        <w:rPr>
          <w:rFonts w:eastAsia="Times New Roman"/>
          <w:sz w:val="24"/>
          <w:szCs w:val="24"/>
        </w:rPr>
        <w:t xml:space="preserve">enter </w:t>
      </w:r>
      <w:r w:rsidR="007404B8">
        <w:rPr>
          <w:rFonts w:eastAsia="Times New Roman"/>
          <w:sz w:val="24"/>
          <w:szCs w:val="24"/>
        </w:rPr>
        <w:t>into</w:t>
      </w:r>
      <w:proofErr w:type="gramEnd"/>
      <w:r w:rsidR="007404B8">
        <w:rPr>
          <w:rFonts w:eastAsia="Times New Roman"/>
          <w:sz w:val="24"/>
          <w:szCs w:val="24"/>
        </w:rPr>
        <w:t xml:space="preserve"> </w:t>
      </w:r>
      <w:r>
        <w:rPr>
          <w:rFonts w:eastAsia="Times New Roman"/>
          <w:sz w:val="24"/>
          <w:szCs w:val="24"/>
        </w:rPr>
        <w:t>negotiations with the UK on a similar basis.</w:t>
      </w:r>
    </w:p>
    <w:p w14:paraId="053C1ECE" w14:textId="77777777" w:rsidR="00541AA3" w:rsidRPr="009C7CFC" w:rsidRDefault="00541AA3" w:rsidP="009C7CFC">
      <w:pPr>
        <w:rPr>
          <w:sz w:val="24"/>
          <w:szCs w:val="24"/>
        </w:rPr>
      </w:pPr>
    </w:p>
    <w:p w14:paraId="64AD2B68" w14:textId="2D8D7759" w:rsidR="00E91F4C" w:rsidRPr="00D01918" w:rsidRDefault="0011206F" w:rsidP="0011206F">
      <w:pPr>
        <w:rPr>
          <w:b/>
          <w:bCs/>
          <w:sz w:val="24"/>
          <w:szCs w:val="24"/>
        </w:rPr>
      </w:pPr>
      <w:r w:rsidRPr="00D01918">
        <w:rPr>
          <w:b/>
          <w:bCs/>
          <w:sz w:val="24"/>
          <w:szCs w:val="24"/>
        </w:rPr>
        <w:t>Australian Government agencies</w:t>
      </w:r>
    </w:p>
    <w:p w14:paraId="27286DDF" w14:textId="77777777" w:rsidR="00D01918" w:rsidRDefault="00D01918" w:rsidP="0011206F"/>
    <w:p w14:paraId="0605DBA0" w14:textId="1E46B476" w:rsidR="0011206F" w:rsidRPr="00D01918" w:rsidRDefault="00D01918" w:rsidP="00D01918">
      <w:pPr>
        <w:pStyle w:val="ListParagraph"/>
        <w:numPr>
          <w:ilvl w:val="0"/>
          <w:numId w:val="1"/>
        </w:numPr>
        <w:ind w:left="567" w:hanging="567"/>
        <w:rPr>
          <w:sz w:val="24"/>
          <w:szCs w:val="24"/>
        </w:rPr>
      </w:pPr>
      <w:bookmarkStart w:id="74" w:name="_Hlk83303975"/>
      <w:r w:rsidRPr="00D01918">
        <w:rPr>
          <w:sz w:val="24"/>
          <w:szCs w:val="24"/>
        </w:rPr>
        <w:t xml:space="preserve">Australian Government departments </w:t>
      </w:r>
      <w:r>
        <w:rPr>
          <w:sz w:val="24"/>
          <w:szCs w:val="24"/>
        </w:rPr>
        <w:t>we</w:t>
      </w:r>
      <w:r w:rsidRPr="00D01918">
        <w:rPr>
          <w:sz w:val="24"/>
          <w:szCs w:val="24"/>
        </w:rPr>
        <w:t>re extensively consulted throughout</w:t>
      </w:r>
      <w:r>
        <w:rPr>
          <w:sz w:val="24"/>
          <w:szCs w:val="24"/>
        </w:rPr>
        <w:t xml:space="preserve"> the AU-UK FTA</w:t>
      </w:r>
      <w:r w:rsidRPr="00D01918">
        <w:rPr>
          <w:sz w:val="24"/>
          <w:szCs w:val="24"/>
        </w:rPr>
        <w:t xml:space="preserve"> negotiations via regular inter-departmental committee meetings, updates on the status of negotiations, as well as participation of relevant agencies in negotiations. </w:t>
      </w:r>
    </w:p>
    <w:bookmarkEnd w:id="74"/>
    <w:p w14:paraId="073B2C03" w14:textId="77777777" w:rsidR="0011206F" w:rsidRDefault="0011206F" w:rsidP="00F80EC1">
      <w:pPr>
        <w:rPr>
          <w:sz w:val="24"/>
          <w:szCs w:val="24"/>
        </w:rPr>
      </w:pPr>
    </w:p>
    <w:p w14:paraId="2F199B87" w14:textId="44041C04" w:rsidR="0011206F" w:rsidRDefault="0011206F" w:rsidP="00EE233B">
      <w:pPr>
        <w:pStyle w:val="Heading2"/>
      </w:pPr>
      <w:bookmarkStart w:id="75" w:name="_Toc88748509"/>
      <w:r>
        <w:t xml:space="preserve">State and </w:t>
      </w:r>
      <w:r w:rsidR="00343E01">
        <w:t>t</w:t>
      </w:r>
      <w:r>
        <w:t>erritory governments</w:t>
      </w:r>
      <w:bookmarkEnd w:id="75"/>
    </w:p>
    <w:p w14:paraId="4718419A" w14:textId="1CE527C4" w:rsidR="005710E2" w:rsidRDefault="006A52ED" w:rsidP="006A52ED">
      <w:pPr>
        <w:pStyle w:val="ListParagraph"/>
        <w:numPr>
          <w:ilvl w:val="0"/>
          <w:numId w:val="29"/>
        </w:numPr>
        <w:spacing w:line="256" w:lineRule="auto"/>
        <w:ind w:left="567" w:hanging="567"/>
        <w:rPr>
          <w:sz w:val="24"/>
          <w:szCs w:val="24"/>
        </w:rPr>
      </w:pPr>
      <w:bookmarkStart w:id="76" w:name="_Hlk83304007"/>
      <w:r>
        <w:rPr>
          <w:sz w:val="24"/>
          <w:szCs w:val="24"/>
        </w:rPr>
        <w:t xml:space="preserve">State and </w:t>
      </w:r>
      <w:r w:rsidR="00343E01">
        <w:rPr>
          <w:sz w:val="24"/>
          <w:szCs w:val="24"/>
        </w:rPr>
        <w:t>t</w:t>
      </w:r>
      <w:r>
        <w:rPr>
          <w:sz w:val="24"/>
          <w:szCs w:val="24"/>
        </w:rPr>
        <w:t xml:space="preserve">erritory governments have been consulted throughout the negotiations. </w:t>
      </w:r>
      <w:bookmarkStart w:id="77" w:name="_Hlk83825210"/>
      <w:bookmarkEnd w:id="76"/>
      <w:r>
        <w:rPr>
          <w:sz w:val="24"/>
          <w:szCs w:val="24"/>
        </w:rPr>
        <w:t>These consultations have been undertaken jointly with the consultations for the Australia-European Union Free Trade Agreement (A-EU FTA) negotiations, as many of the issues relevant to states and territories were common to both negotiations. Consultations took place with all states and territories through formal updates prior to negotiating rounds, as well as with individual jurisdictions</w:t>
      </w:r>
      <w:r w:rsidR="00D7797A">
        <w:rPr>
          <w:sz w:val="24"/>
          <w:szCs w:val="24"/>
        </w:rPr>
        <w:t>.</w:t>
      </w:r>
      <w:r>
        <w:rPr>
          <w:sz w:val="24"/>
          <w:szCs w:val="24"/>
        </w:rPr>
        <w:t xml:space="preserve"> </w:t>
      </w:r>
    </w:p>
    <w:p w14:paraId="06204AAD" w14:textId="77777777" w:rsidR="005710E2" w:rsidRDefault="005710E2" w:rsidP="005710E2">
      <w:pPr>
        <w:pStyle w:val="ListParagraph"/>
        <w:spacing w:line="256" w:lineRule="auto"/>
        <w:ind w:left="567"/>
        <w:rPr>
          <w:sz w:val="24"/>
          <w:szCs w:val="24"/>
        </w:rPr>
      </w:pPr>
    </w:p>
    <w:p w14:paraId="5CB1676D" w14:textId="5EF7AB35" w:rsidR="006A52ED" w:rsidRDefault="006A52ED" w:rsidP="006A52ED">
      <w:pPr>
        <w:pStyle w:val="ListParagraph"/>
        <w:numPr>
          <w:ilvl w:val="0"/>
          <w:numId w:val="29"/>
        </w:numPr>
        <w:spacing w:line="256" w:lineRule="auto"/>
        <w:ind w:left="567" w:hanging="567"/>
        <w:rPr>
          <w:sz w:val="24"/>
          <w:szCs w:val="24"/>
        </w:rPr>
      </w:pPr>
      <w:r>
        <w:rPr>
          <w:sz w:val="24"/>
          <w:szCs w:val="24"/>
        </w:rPr>
        <w:t xml:space="preserve">A substantial body of work involved the UK (and EU) request that, for the first time, </w:t>
      </w:r>
      <w:bookmarkStart w:id="78" w:name="_Hlk83304057"/>
      <w:r>
        <w:rPr>
          <w:sz w:val="24"/>
          <w:szCs w:val="24"/>
        </w:rPr>
        <w:t xml:space="preserve">states and territories undertake a Market Access commitment in services and </w:t>
      </w:r>
      <w:r>
        <w:rPr>
          <w:sz w:val="24"/>
          <w:szCs w:val="24"/>
        </w:rPr>
        <w:lastRenderedPageBreak/>
        <w:t>investment, scheduled on a negative list basis</w:t>
      </w:r>
      <w:bookmarkEnd w:id="78"/>
      <w:r>
        <w:rPr>
          <w:sz w:val="24"/>
          <w:szCs w:val="24"/>
        </w:rPr>
        <w:t xml:space="preserve">. </w:t>
      </w:r>
      <w:bookmarkStart w:id="79" w:name="_Hlk83304034"/>
      <w:r>
        <w:rPr>
          <w:sz w:val="24"/>
          <w:szCs w:val="24"/>
        </w:rPr>
        <w:t>An extensive technical consultation which commenced in June 2019 involved an assessment of each jurisdiction’s measures and policy sensitivities</w:t>
      </w:r>
      <w:bookmarkEnd w:id="79"/>
      <w:r w:rsidR="00D7797A">
        <w:rPr>
          <w:sz w:val="24"/>
          <w:szCs w:val="24"/>
        </w:rPr>
        <w:t>.</w:t>
      </w:r>
      <w:r>
        <w:rPr>
          <w:sz w:val="24"/>
          <w:szCs w:val="24"/>
        </w:rPr>
        <w:t xml:space="preserve"> </w:t>
      </w:r>
      <w:r w:rsidR="00D7797A">
        <w:rPr>
          <w:sz w:val="24"/>
          <w:szCs w:val="24"/>
        </w:rPr>
        <w:t>A</w:t>
      </w:r>
      <w:r>
        <w:rPr>
          <w:sz w:val="24"/>
          <w:szCs w:val="24"/>
        </w:rPr>
        <w:t>ll jurisdictions agreed to a set of Market Access Non-Confirming Measures (Annex I and Annex II) by 20 September 2021.</w:t>
      </w:r>
    </w:p>
    <w:bookmarkEnd w:id="77"/>
    <w:p w14:paraId="1CD9B1E4" w14:textId="77777777" w:rsidR="006A52ED" w:rsidRDefault="006A52ED" w:rsidP="006A52ED">
      <w:pPr>
        <w:pStyle w:val="ListParagraph"/>
        <w:ind w:left="567"/>
        <w:rPr>
          <w:sz w:val="24"/>
          <w:szCs w:val="24"/>
        </w:rPr>
      </w:pPr>
    </w:p>
    <w:p w14:paraId="668A43E1" w14:textId="7435870E" w:rsidR="006A52ED" w:rsidRDefault="006A52ED" w:rsidP="006A52ED">
      <w:pPr>
        <w:pStyle w:val="ListParagraph"/>
        <w:numPr>
          <w:ilvl w:val="0"/>
          <w:numId w:val="29"/>
        </w:numPr>
        <w:spacing w:line="256" w:lineRule="auto"/>
        <w:ind w:left="567" w:hanging="567"/>
        <w:rPr>
          <w:sz w:val="24"/>
          <w:szCs w:val="24"/>
        </w:rPr>
      </w:pPr>
      <w:proofErr w:type="gramStart"/>
      <w:r>
        <w:rPr>
          <w:sz w:val="24"/>
          <w:szCs w:val="24"/>
        </w:rPr>
        <w:t>In order to</w:t>
      </w:r>
      <w:proofErr w:type="gramEnd"/>
      <w:r>
        <w:rPr>
          <w:sz w:val="24"/>
          <w:szCs w:val="24"/>
        </w:rPr>
        <w:t xml:space="preserve"> prepare its government procurement market access offer to the UK, the Australian Government consulted closely with state and territory governments and asked them to confirm any additional procuring entities they could commit to cover under the FTA beyond those they already cover under the WTO Agreement on Government Procurement. Consultations took place over a period of two years, beginning under the </w:t>
      </w:r>
      <w:r w:rsidR="005710E2">
        <w:rPr>
          <w:sz w:val="24"/>
          <w:szCs w:val="24"/>
        </w:rPr>
        <w:t>A-EU F</w:t>
      </w:r>
      <w:r>
        <w:rPr>
          <w:sz w:val="24"/>
          <w:szCs w:val="24"/>
        </w:rPr>
        <w:t>TA negotiations, with states and territories agreeing to cover more than 30 additional entities.</w:t>
      </w:r>
    </w:p>
    <w:p w14:paraId="615AF696" w14:textId="77777777" w:rsidR="006A52ED" w:rsidRDefault="006A52ED" w:rsidP="006A52ED">
      <w:pPr>
        <w:pStyle w:val="ListParagraph"/>
        <w:ind w:left="567"/>
        <w:rPr>
          <w:sz w:val="24"/>
          <w:szCs w:val="24"/>
        </w:rPr>
      </w:pPr>
    </w:p>
    <w:p w14:paraId="21703F08" w14:textId="6A341ED6" w:rsidR="005710E2" w:rsidRDefault="006A52ED" w:rsidP="006A52ED">
      <w:pPr>
        <w:pStyle w:val="ListParagraph"/>
        <w:numPr>
          <w:ilvl w:val="0"/>
          <w:numId w:val="29"/>
        </w:numPr>
        <w:spacing w:line="256" w:lineRule="auto"/>
        <w:ind w:left="567" w:hanging="567"/>
        <w:rPr>
          <w:sz w:val="24"/>
          <w:szCs w:val="24"/>
        </w:rPr>
      </w:pPr>
      <w:bookmarkStart w:id="80" w:name="_Hlk83030846"/>
      <w:r>
        <w:rPr>
          <w:sz w:val="24"/>
          <w:szCs w:val="24"/>
        </w:rPr>
        <w:t>The Minister for Trade, Tourism and Investment corresponded with state and territory counterparts prior to the conclusion of the AU-UK Agreement in Principle (in June</w:t>
      </w:r>
      <w:r w:rsidR="00D7797A">
        <w:rPr>
          <w:sz w:val="24"/>
          <w:szCs w:val="24"/>
        </w:rPr>
        <w:t xml:space="preserve"> 2021</w:t>
      </w:r>
      <w:r>
        <w:rPr>
          <w:sz w:val="24"/>
          <w:szCs w:val="24"/>
        </w:rPr>
        <w:t xml:space="preserve">), with each jurisdiction providing agreement to AIP. The </w:t>
      </w:r>
      <w:r w:rsidR="005710E2">
        <w:rPr>
          <w:sz w:val="24"/>
          <w:szCs w:val="24"/>
        </w:rPr>
        <w:t xml:space="preserve">Australian </w:t>
      </w:r>
      <w:r>
        <w:rPr>
          <w:sz w:val="24"/>
          <w:szCs w:val="24"/>
        </w:rPr>
        <w:t>Chief Negotiator</w:t>
      </w:r>
      <w:r w:rsidR="005710E2">
        <w:rPr>
          <w:sz w:val="24"/>
          <w:szCs w:val="24"/>
        </w:rPr>
        <w:t xml:space="preserve"> for the AU-UK FTA</w:t>
      </w:r>
      <w:r>
        <w:rPr>
          <w:sz w:val="24"/>
          <w:szCs w:val="24"/>
        </w:rPr>
        <w:t xml:space="preserve"> wrote to the head of state and territory agencies which maintain the </w:t>
      </w:r>
      <w:r w:rsidR="005710E2">
        <w:rPr>
          <w:sz w:val="24"/>
          <w:szCs w:val="24"/>
        </w:rPr>
        <w:t>Standing Committee on Treaties (</w:t>
      </w:r>
      <w:r>
        <w:rPr>
          <w:sz w:val="24"/>
          <w:szCs w:val="24"/>
        </w:rPr>
        <w:t>SCOT</w:t>
      </w:r>
      <w:r w:rsidR="005710E2">
        <w:rPr>
          <w:sz w:val="24"/>
          <w:szCs w:val="24"/>
        </w:rPr>
        <w:t>)</w:t>
      </w:r>
      <w:r>
        <w:rPr>
          <w:sz w:val="24"/>
          <w:szCs w:val="24"/>
        </w:rPr>
        <w:t xml:space="preserve"> contact point in September </w:t>
      </w:r>
      <w:r w:rsidR="00D7797A">
        <w:rPr>
          <w:sz w:val="24"/>
          <w:szCs w:val="24"/>
        </w:rPr>
        <w:t xml:space="preserve">2021 </w:t>
      </w:r>
      <w:r>
        <w:rPr>
          <w:sz w:val="24"/>
          <w:szCs w:val="24"/>
        </w:rPr>
        <w:t xml:space="preserve">to provide an update on efforts to conclude the negotiations. This correspondence outlined how state and territory interests would be addressed in the </w:t>
      </w:r>
      <w:r w:rsidR="005710E2">
        <w:rPr>
          <w:sz w:val="24"/>
          <w:szCs w:val="24"/>
        </w:rPr>
        <w:t xml:space="preserve">proposed </w:t>
      </w:r>
      <w:r>
        <w:rPr>
          <w:sz w:val="24"/>
          <w:szCs w:val="24"/>
        </w:rPr>
        <w:t>A</w:t>
      </w:r>
      <w:r w:rsidR="005710E2">
        <w:rPr>
          <w:sz w:val="24"/>
          <w:szCs w:val="24"/>
        </w:rPr>
        <w:t>U-</w:t>
      </w:r>
      <w:r>
        <w:rPr>
          <w:sz w:val="24"/>
          <w:szCs w:val="24"/>
        </w:rPr>
        <w:t>UK</w:t>
      </w:r>
      <w:r w:rsidR="005710E2">
        <w:rPr>
          <w:sz w:val="24"/>
          <w:szCs w:val="24"/>
        </w:rPr>
        <w:t xml:space="preserve"> </w:t>
      </w:r>
      <w:r>
        <w:rPr>
          <w:sz w:val="24"/>
          <w:szCs w:val="24"/>
        </w:rPr>
        <w:t xml:space="preserve">FTA, including in relation to Market Access (services and investment), an ongoing work agenda on Performance Requirements (Investment) and Government Procurement commitments. </w:t>
      </w:r>
    </w:p>
    <w:bookmarkEnd w:id="80"/>
    <w:p w14:paraId="6A2EDF7C" w14:textId="77777777" w:rsidR="005710E2" w:rsidRPr="005710E2" w:rsidRDefault="005710E2" w:rsidP="005710E2">
      <w:pPr>
        <w:pStyle w:val="ListParagraph"/>
        <w:rPr>
          <w:sz w:val="24"/>
          <w:szCs w:val="24"/>
        </w:rPr>
      </w:pPr>
    </w:p>
    <w:p w14:paraId="79B2CF40" w14:textId="4B655F3B" w:rsidR="006A52ED" w:rsidRDefault="006A52ED" w:rsidP="006A52ED">
      <w:pPr>
        <w:pStyle w:val="ListParagraph"/>
        <w:numPr>
          <w:ilvl w:val="0"/>
          <w:numId w:val="29"/>
        </w:numPr>
        <w:spacing w:line="256" w:lineRule="auto"/>
        <w:ind w:left="567" w:hanging="567"/>
        <w:rPr>
          <w:sz w:val="24"/>
          <w:szCs w:val="24"/>
        </w:rPr>
      </w:pPr>
      <w:r>
        <w:rPr>
          <w:sz w:val="24"/>
          <w:szCs w:val="24"/>
        </w:rPr>
        <w:t>States and territories were also consulted in the development of agreement text which went beyond previous FTA practice, particularly an International Maritime Services Annex, and higher ambition commitments on Domestic Regulation</w:t>
      </w:r>
      <w:r w:rsidR="005710E2">
        <w:rPr>
          <w:sz w:val="24"/>
          <w:szCs w:val="24"/>
        </w:rPr>
        <w:t>. The commitments are consistent with Australia’s domestic system</w:t>
      </w:r>
      <w:r w:rsidR="00D7797A">
        <w:rPr>
          <w:sz w:val="24"/>
          <w:szCs w:val="24"/>
        </w:rPr>
        <w:t xml:space="preserve"> but the specific listing of them in the FTA went beyond current FTA practice.</w:t>
      </w:r>
    </w:p>
    <w:p w14:paraId="5FD857D0" w14:textId="77777777" w:rsidR="005A7FBF" w:rsidRDefault="005A7FBF" w:rsidP="006A52ED">
      <w:pPr>
        <w:pStyle w:val="ListParagraph"/>
        <w:ind w:left="567"/>
        <w:rPr>
          <w:sz w:val="24"/>
          <w:szCs w:val="24"/>
        </w:rPr>
      </w:pPr>
    </w:p>
    <w:p w14:paraId="28B50A51" w14:textId="33ADFE34" w:rsidR="00B47AEF" w:rsidRDefault="00B47AEF" w:rsidP="00963EEA">
      <w:pPr>
        <w:pStyle w:val="Heading1"/>
      </w:pPr>
      <w:bookmarkStart w:id="81" w:name="_Toc88748510"/>
      <w:r>
        <w:t>WHAT IS THE BEST OPTION FROM THOSE YOU HAVE CONSIDERED?</w:t>
      </w:r>
      <w:bookmarkEnd w:id="81"/>
    </w:p>
    <w:p w14:paraId="6EBAC3F2" w14:textId="77777777" w:rsidR="00F31A60" w:rsidRPr="002F21A4" w:rsidRDefault="00F31A60" w:rsidP="00F31A60">
      <w:pPr>
        <w:rPr>
          <w:sz w:val="24"/>
          <w:szCs w:val="24"/>
        </w:rPr>
      </w:pPr>
    </w:p>
    <w:p w14:paraId="5FD5BB10" w14:textId="559BC4B2" w:rsidR="002F21A4" w:rsidRPr="00684158" w:rsidRDefault="00E968CA" w:rsidP="00206944">
      <w:pPr>
        <w:pStyle w:val="ListParagraph"/>
        <w:numPr>
          <w:ilvl w:val="0"/>
          <w:numId w:val="1"/>
        </w:numPr>
        <w:ind w:left="567" w:hanging="567"/>
        <w:rPr>
          <w:sz w:val="24"/>
          <w:szCs w:val="24"/>
        </w:rPr>
      </w:pPr>
      <w:bookmarkStart w:id="82" w:name="_Hlk83304107"/>
      <w:r>
        <w:rPr>
          <w:sz w:val="24"/>
          <w:szCs w:val="24"/>
        </w:rPr>
        <w:t xml:space="preserve">Signing the proposed AU-UK FTA </w:t>
      </w:r>
      <w:r w:rsidR="00F31A60" w:rsidRPr="002F21A4">
        <w:rPr>
          <w:sz w:val="24"/>
          <w:szCs w:val="24"/>
        </w:rPr>
        <w:t xml:space="preserve">is the best option </w:t>
      </w:r>
      <w:r w:rsidR="000F3218">
        <w:rPr>
          <w:sz w:val="24"/>
          <w:szCs w:val="24"/>
        </w:rPr>
        <w:t>when compared to not signing the AU-UK FTA</w:t>
      </w:r>
      <w:r w:rsidR="003A5F45">
        <w:rPr>
          <w:sz w:val="24"/>
          <w:szCs w:val="24"/>
        </w:rPr>
        <w:t xml:space="preserve"> as it will </w:t>
      </w:r>
      <w:r w:rsidR="00F31A60" w:rsidRPr="003A5F45">
        <w:rPr>
          <w:sz w:val="24"/>
          <w:szCs w:val="24"/>
        </w:rPr>
        <w:t>provide for preferential market access</w:t>
      </w:r>
      <w:r w:rsidR="000F3218" w:rsidRPr="003A5F45">
        <w:rPr>
          <w:sz w:val="24"/>
          <w:szCs w:val="24"/>
        </w:rPr>
        <w:t xml:space="preserve"> </w:t>
      </w:r>
      <w:r w:rsidR="00692C9E">
        <w:rPr>
          <w:sz w:val="24"/>
          <w:szCs w:val="24"/>
        </w:rPr>
        <w:t>for</w:t>
      </w:r>
      <w:r w:rsidR="000F3218" w:rsidRPr="003A5F45">
        <w:rPr>
          <w:sz w:val="24"/>
          <w:szCs w:val="24"/>
        </w:rPr>
        <w:t xml:space="preserve"> important </w:t>
      </w:r>
      <w:r w:rsidR="00692C9E">
        <w:rPr>
          <w:sz w:val="24"/>
          <w:szCs w:val="24"/>
        </w:rPr>
        <w:t xml:space="preserve">exports and improve certainty for exporters and importers, service suppliers and investors across </w:t>
      </w:r>
      <w:r w:rsidR="00D7797A">
        <w:rPr>
          <w:sz w:val="24"/>
          <w:szCs w:val="24"/>
        </w:rPr>
        <w:t xml:space="preserve">the </w:t>
      </w:r>
      <w:r w:rsidR="0021195D">
        <w:rPr>
          <w:sz w:val="24"/>
          <w:szCs w:val="24"/>
        </w:rPr>
        <w:t xml:space="preserve">whole </w:t>
      </w:r>
      <w:r w:rsidR="00D7797A">
        <w:rPr>
          <w:sz w:val="24"/>
          <w:szCs w:val="24"/>
        </w:rPr>
        <w:t>economy</w:t>
      </w:r>
      <w:r w:rsidR="00692C9E">
        <w:rPr>
          <w:sz w:val="24"/>
          <w:szCs w:val="24"/>
        </w:rPr>
        <w:t xml:space="preserve">. </w:t>
      </w:r>
      <w:r w:rsidR="000F3218" w:rsidRPr="00684158">
        <w:rPr>
          <w:sz w:val="24"/>
          <w:szCs w:val="24"/>
        </w:rPr>
        <w:t xml:space="preserve">If </w:t>
      </w:r>
      <w:r w:rsidR="007C3278">
        <w:rPr>
          <w:sz w:val="24"/>
          <w:szCs w:val="24"/>
        </w:rPr>
        <w:t xml:space="preserve">the </w:t>
      </w:r>
      <w:r w:rsidR="00D7797A">
        <w:rPr>
          <w:sz w:val="24"/>
          <w:szCs w:val="24"/>
        </w:rPr>
        <w:t>G</w:t>
      </w:r>
      <w:r w:rsidR="007C3278">
        <w:rPr>
          <w:sz w:val="24"/>
          <w:szCs w:val="24"/>
        </w:rPr>
        <w:t xml:space="preserve">overnment </w:t>
      </w:r>
      <w:r w:rsidR="000F3218" w:rsidRPr="00684158">
        <w:rPr>
          <w:sz w:val="24"/>
          <w:szCs w:val="24"/>
        </w:rPr>
        <w:t>do</w:t>
      </w:r>
      <w:r w:rsidR="007C3278">
        <w:rPr>
          <w:sz w:val="24"/>
          <w:szCs w:val="24"/>
        </w:rPr>
        <w:t>es</w:t>
      </w:r>
      <w:r w:rsidR="000F3218" w:rsidRPr="00684158">
        <w:rPr>
          <w:sz w:val="24"/>
          <w:szCs w:val="24"/>
        </w:rPr>
        <w:t xml:space="preserve"> not sign the AU-UK FTA,</w:t>
      </w:r>
      <w:r w:rsidR="00F31A60" w:rsidRPr="00684158">
        <w:rPr>
          <w:sz w:val="24"/>
          <w:szCs w:val="24"/>
        </w:rPr>
        <w:t xml:space="preserve"> Australian exporters</w:t>
      </w:r>
      <w:r w:rsidR="00692C9E">
        <w:rPr>
          <w:sz w:val="24"/>
          <w:szCs w:val="24"/>
        </w:rPr>
        <w:t xml:space="preserve"> and importers, service suppliers and investors</w:t>
      </w:r>
      <w:r w:rsidR="000F3218" w:rsidRPr="00684158">
        <w:rPr>
          <w:sz w:val="24"/>
          <w:szCs w:val="24"/>
        </w:rPr>
        <w:t xml:space="preserve"> will be </w:t>
      </w:r>
      <w:r w:rsidR="00F31A60" w:rsidRPr="00684158">
        <w:rPr>
          <w:sz w:val="24"/>
          <w:szCs w:val="24"/>
        </w:rPr>
        <w:t xml:space="preserve">at a competitive </w:t>
      </w:r>
      <w:r w:rsidR="000F3218" w:rsidRPr="00684158">
        <w:rPr>
          <w:sz w:val="24"/>
          <w:szCs w:val="24"/>
        </w:rPr>
        <w:t>dis</w:t>
      </w:r>
      <w:r w:rsidR="00F31A60" w:rsidRPr="00684158">
        <w:rPr>
          <w:sz w:val="24"/>
          <w:szCs w:val="24"/>
        </w:rPr>
        <w:t>advantage</w:t>
      </w:r>
      <w:r w:rsidR="007C3278">
        <w:rPr>
          <w:sz w:val="24"/>
          <w:szCs w:val="24"/>
        </w:rPr>
        <w:t xml:space="preserve"> relative to other trading partners</w:t>
      </w:r>
      <w:bookmarkEnd w:id="82"/>
      <w:r w:rsidR="00F31A60" w:rsidRPr="00684158">
        <w:rPr>
          <w:sz w:val="24"/>
          <w:szCs w:val="24"/>
        </w:rPr>
        <w:t>.</w:t>
      </w:r>
    </w:p>
    <w:p w14:paraId="25A59A8F" w14:textId="77777777" w:rsidR="008A314E" w:rsidRPr="008A314E" w:rsidRDefault="008A314E" w:rsidP="008A314E">
      <w:pPr>
        <w:pStyle w:val="ListParagraph"/>
        <w:rPr>
          <w:sz w:val="24"/>
          <w:szCs w:val="24"/>
        </w:rPr>
      </w:pPr>
    </w:p>
    <w:p w14:paraId="07A26414" w14:textId="4ECA6B2E" w:rsidR="008A314E" w:rsidRPr="00684158" w:rsidRDefault="00692C9E" w:rsidP="00206944">
      <w:pPr>
        <w:pStyle w:val="ListParagraph"/>
        <w:numPr>
          <w:ilvl w:val="0"/>
          <w:numId w:val="1"/>
        </w:numPr>
        <w:ind w:left="567" w:hanging="567"/>
        <w:rPr>
          <w:sz w:val="24"/>
          <w:szCs w:val="24"/>
        </w:rPr>
      </w:pPr>
      <w:r>
        <w:rPr>
          <w:sz w:val="24"/>
          <w:szCs w:val="24"/>
        </w:rPr>
        <w:t>One of t</w:t>
      </w:r>
      <w:r w:rsidR="008A314E">
        <w:rPr>
          <w:sz w:val="24"/>
          <w:szCs w:val="24"/>
        </w:rPr>
        <w:t>he advantage</w:t>
      </w:r>
      <w:r>
        <w:rPr>
          <w:sz w:val="24"/>
          <w:szCs w:val="24"/>
        </w:rPr>
        <w:t>s</w:t>
      </w:r>
      <w:r w:rsidR="008A314E">
        <w:rPr>
          <w:sz w:val="24"/>
          <w:szCs w:val="24"/>
        </w:rPr>
        <w:t xml:space="preserve"> </w:t>
      </w:r>
      <w:r>
        <w:rPr>
          <w:sz w:val="24"/>
          <w:szCs w:val="24"/>
        </w:rPr>
        <w:t xml:space="preserve">in signing the </w:t>
      </w:r>
      <w:r w:rsidR="007C3278">
        <w:rPr>
          <w:sz w:val="24"/>
          <w:szCs w:val="24"/>
        </w:rPr>
        <w:t xml:space="preserve">proposed </w:t>
      </w:r>
      <w:r>
        <w:rPr>
          <w:sz w:val="24"/>
          <w:szCs w:val="24"/>
        </w:rPr>
        <w:t>AU-UK FTA for</w:t>
      </w:r>
      <w:r w:rsidR="008A314E">
        <w:rPr>
          <w:sz w:val="24"/>
          <w:szCs w:val="24"/>
        </w:rPr>
        <w:t xml:space="preserve"> service</w:t>
      </w:r>
      <w:r>
        <w:rPr>
          <w:sz w:val="24"/>
          <w:szCs w:val="24"/>
        </w:rPr>
        <w:t xml:space="preserve"> suppliers</w:t>
      </w:r>
      <w:r w:rsidR="008A314E">
        <w:rPr>
          <w:sz w:val="24"/>
          <w:szCs w:val="24"/>
        </w:rPr>
        <w:t xml:space="preserve"> and invest</w:t>
      </w:r>
      <w:r>
        <w:rPr>
          <w:sz w:val="24"/>
          <w:szCs w:val="24"/>
        </w:rPr>
        <w:t>ors</w:t>
      </w:r>
      <w:r w:rsidR="008A314E">
        <w:rPr>
          <w:sz w:val="24"/>
          <w:szCs w:val="24"/>
        </w:rPr>
        <w:t xml:space="preserve"> </w:t>
      </w:r>
      <w:r w:rsidR="00684158">
        <w:rPr>
          <w:sz w:val="24"/>
          <w:szCs w:val="24"/>
        </w:rPr>
        <w:t>is</w:t>
      </w:r>
      <w:r w:rsidR="008A314E">
        <w:rPr>
          <w:sz w:val="24"/>
          <w:szCs w:val="24"/>
        </w:rPr>
        <w:t xml:space="preserve"> that the agreement ‘locks-in’ </w:t>
      </w:r>
      <w:r w:rsidR="008A314E" w:rsidRPr="008A314E">
        <w:rPr>
          <w:sz w:val="24"/>
          <w:szCs w:val="24"/>
        </w:rPr>
        <w:t xml:space="preserve">non-discriminatory provisions, ensuring that </w:t>
      </w:r>
      <w:r w:rsidR="008A314E">
        <w:rPr>
          <w:sz w:val="24"/>
          <w:szCs w:val="24"/>
        </w:rPr>
        <w:t>neither the UK nor Australia</w:t>
      </w:r>
      <w:r w:rsidR="008A314E" w:rsidRPr="008A314E">
        <w:rPr>
          <w:sz w:val="24"/>
          <w:szCs w:val="24"/>
        </w:rPr>
        <w:t xml:space="preserve"> can discriminate in favour of its own service suppliers and investors</w:t>
      </w:r>
      <w:r w:rsidR="008A314E">
        <w:rPr>
          <w:sz w:val="24"/>
          <w:szCs w:val="24"/>
        </w:rPr>
        <w:t>.</w:t>
      </w:r>
      <w:r w:rsidR="008A314E" w:rsidRPr="008A314E">
        <w:rPr>
          <w:sz w:val="24"/>
          <w:szCs w:val="24"/>
        </w:rPr>
        <w:t xml:space="preserve"> </w:t>
      </w:r>
      <w:r w:rsidR="008A314E" w:rsidRPr="00684158">
        <w:rPr>
          <w:sz w:val="24"/>
          <w:szCs w:val="24"/>
        </w:rPr>
        <w:t xml:space="preserve">The agreement is also </w:t>
      </w:r>
      <w:r w:rsidR="00D7797A" w:rsidRPr="00684158">
        <w:rPr>
          <w:sz w:val="24"/>
          <w:szCs w:val="24"/>
        </w:rPr>
        <w:t>future</w:t>
      </w:r>
      <w:r w:rsidR="00D7797A">
        <w:rPr>
          <w:sz w:val="24"/>
          <w:szCs w:val="24"/>
        </w:rPr>
        <w:t xml:space="preserve"> proofing</w:t>
      </w:r>
      <w:r w:rsidR="008A314E" w:rsidRPr="00684158">
        <w:rPr>
          <w:sz w:val="24"/>
          <w:szCs w:val="24"/>
        </w:rPr>
        <w:t xml:space="preserve"> </w:t>
      </w:r>
      <w:r>
        <w:rPr>
          <w:sz w:val="24"/>
          <w:szCs w:val="24"/>
        </w:rPr>
        <w:t>through the</w:t>
      </w:r>
      <w:r w:rsidR="008A314E" w:rsidRPr="00684158">
        <w:rPr>
          <w:sz w:val="24"/>
          <w:szCs w:val="24"/>
        </w:rPr>
        <w:t xml:space="preserve"> </w:t>
      </w:r>
      <w:r>
        <w:rPr>
          <w:sz w:val="24"/>
          <w:szCs w:val="24"/>
        </w:rPr>
        <w:t>MFN</w:t>
      </w:r>
      <w:r w:rsidR="008A314E" w:rsidRPr="00684158">
        <w:rPr>
          <w:sz w:val="24"/>
          <w:szCs w:val="24"/>
        </w:rPr>
        <w:t xml:space="preserve"> </w:t>
      </w:r>
      <w:r>
        <w:rPr>
          <w:sz w:val="24"/>
          <w:szCs w:val="24"/>
        </w:rPr>
        <w:t xml:space="preserve">and ratchet </w:t>
      </w:r>
      <w:r w:rsidR="008A314E" w:rsidRPr="00684158">
        <w:rPr>
          <w:sz w:val="24"/>
          <w:szCs w:val="24"/>
        </w:rPr>
        <w:lastRenderedPageBreak/>
        <w:t>provision</w:t>
      </w:r>
      <w:r>
        <w:rPr>
          <w:sz w:val="24"/>
          <w:szCs w:val="24"/>
        </w:rPr>
        <w:t>s</w:t>
      </w:r>
      <w:r w:rsidR="008A314E" w:rsidRPr="00684158">
        <w:rPr>
          <w:sz w:val="24"/>
          <w:szCs w:val="24"/>
        </w:rPr>
        <w:t xml:space="preserve"> </w:t>
      </w:r>
      <w:r>
        <w:rPr>
          <w:sz w:val="24"/>
          <w:szCs w:val="24"/>
        </w:rPr>
        <w:t>that</w:t>
      </w:r>
      <w:r w:rsidR="008A314E" w:rsidRPr="00684158">
        <w:rPr>
          <w:sz w:val="24"/>
          <w:szCs w:val="24"/>
        </w:rPr>
        <w:t xml:space="preserve"> ensure that the benefits of the UK’s future free trade agreements will flow through to Australian service suppliers and investors</w:t>
      </w:r>
      <w:r>
        <w:rPr>
          <w:sz w:val="24"/>
          <w:szCs w:val="24"/>
        </w:rPr>
        <w:t xml:space="preserve"> and that Australia and the UK can</w:t>
      </w:r>
      <w:r w:rsidRPr="00A510F8">
        <w:rPr>
          <w:sz w:val="24"/>
          <w:szCs w:val="24"/>
        </w:rPr>
        <w:t>not adversely modify existing regulation in particular services sectors.</w:t>
      </w:r>
    </w:p>
    <w:p w14:paraId="7BE5F534" w14:textId="77777777" w:rsidR="008A314E" w:rsidRPr="008A314E" w:rsidRDefault="008A314E" w:rsidP="008A314E">
      <w:pPr>
        <w:pStyle w:val="ListParagraph"/>
        <w:rPr>
          <w:sz w:val="24"/>
          <w:szCs w:val="24"/>
        </w:rPr>
      </w:pPr>
    </w:p>
    <w:p w14:paraId="6C76DBE1" w14:textId="049A2025" w:rsidR="00684158" w:rsidRDefault="008A314E" w:rsidP="00206944">
      <w:pPr>
        <w:pStyle w:val="ListParagraph"/>
        <w:numPr>
          <w:ilvl w:val="0"/>
          <w:numId w:val="1"/>
        </w:numPr>
        <w:ind w:left="567" w:hanging="567"/>
        <w:rPr>
          <w:sz w:val="24"/>
          <w:szCs w:val="24"/>
        </w:rPr>
      </w:pPr>
      <w:r w:rsidRPr="008A314E">
        <w:rPr>
          <w:sz w:val="24"/>
          <w:szCs w:val="24"/>
        </w:rPr>
        <w:t xml:space="preserve">The agreement will also include a liberal approach to services and investment market access going beyond the UK and Australia’s respective best precedents. </w:t>
      </w:r>
      <w:r w:rsidRPr="00684158">
        <w:rPr>
          <w:sz w:val="24"/>
          <w:szCs w:val="24"/>
        </w:rPr>
        <w:t xml:space="preserve">The </w:t>
      </w:r>
      <w:r w:rsidR="007C3278">
        <w:rPr>
          <w:sz w:val="24"/>
          <w:szCs w:val="24"/>
        </w:rPr>
        <w:t xml:space="preserve">proposed </w:t>
      </w:r>
      <w:r w:rsidRPr="00684158">
        <w:rPr>
          <w:sz w:val="24"/>
          <w:szCs w:val="24"/>
        </w:rPr>
        <w:t xml:space="preserve">AU-UK FTA </w:t>
      </w:r>
      <w:r w:rsidR="00692C9E">
        <w:rPr>
          <w:sz w:val="24"/>
          <w:szCs w:val="24"/>
        </w:rPr>
        <w:t xml:space="preserve">strikes the right balance in </w:t>
      </w:r>
      <w:r w:rsidRPr="00684158">
        <w:rPr>
          <w:sz w:val="24"/>
          <w:szCs w:val="24"/>
        </w:rPr>
        <w:t>includ</w:t>
      </w:r>
      <w:r w:rsidR="00692C9E">
        <w:rPr>
          <w:sz w:val="24"/>
          <w:szCs w:val="24"/>
        </w:rPr>
        <w:t>ing</w:t>
      </w:r>
      <w:r w:rsidRPr="00684158">
        <w:rPr>
          <w:sz w:val="24"/>
          <w:szCs w:val="24"/>
        </w:rPr>
        <w:t xml:space="preserve"> commitments that reflect the high-quality regulatory approaches of both </w:t>
      </w:r>
      <w:r w:rsidR="00692C9E">
        <w:rPr>
          <w:sz w:val="24"/>
          <w:szCs w:val="24"/>
        </w:rPr>
        <w:t>G</w:t>
      </w:r>
      <w:r w:rsidRPr="00684158">
        <w:rPr>
          <w:sz w:val="24"/>
          <w:szCs w:val="24"/>
        </w:rPr>
        <w:t xml:space="preserve">overnments, while preserving </w:t>
      </w:r>
      <w:r w:rsidR="00692C9E">
        <w:rPr>
          <w:sz w:val="24"/>
          <w:szCs w:val="24"/>
        </w:rPr>
        <w:t>G</w:t>
      </w:r>
      <w:r w:rsidRPr="00684158">
        <w:rPr>
          <w:sz w:val="24"/>
          <w:szCs w:val="24"/>
        </w:rPr>
        <w:t xml:space="preserve">overnments’ ability to regulate in the public interest. This includes commitments to impartiality, </w:t>
      </w:r>
      <w:proofErr w:type="gramStart"/>
      <w:r w:rsidRPr="00684158">
        <w:rPr>
          <w:sz w:val="24"/>
          <w:szCs w:val="24"/>
        </w:rPr>
        <w:t>transparency</w:t>
      </w:r>
      <w:proofErr w:type="gramEnd"/>
      <w:r w:rsidRPr="00684158">
        <w:rPr>
          <w:sz w:val="24"/>
          <w:szCs w:val="24"/>
        </w:rPr>
        <w:t xml:space="preserve"> and responsiveness by regulators, ensuring that their requirements, procedures, and technical standards do not constitute unnecessary barriers to trade across the whole economy.</w:t>
      </w:r>
    </w:p>
    <w:p w14:paraId="3ABC94AA" w14:textId="77777777" w:rsidR="00684158" w:rsidRPr="00684158" w:rsidRDefault="00684158" w:rsidP="00684158">
      <w:pPr>
        <w:pStyle w:val="ListParagraph"/>
        <w:rPr>
          <w:sz w:val="24"/>
          <w:szCs w:val="24"/>
        </w:rPr>
      </w:pPr>
    </w:p>
    <w:p w14:paraId="27E06AA3" w14:textId="5EC93043" w:rsidR="00684158" w:rsidRPr="00684158" w:rsidRDefault="00684158" w:rsidP="00206944">
      <w:pPr>
        <w:pStyle w:val="ListParagraph"/>
        <w:numPr>
          <w:ilvl w:val="0"/>
          <w:numId w:val="1"/>
        </w:numPr>
        <w:ind w:left="567" w:hanging="567"/>
        <w:rPr>
          <w:sz w:val="24"/>
          <w:szCs w:val="24"/>
        </w:rPr>
      </w:pPr>
      <w:r w:rsidRPr="00684158">
        <w:rPr>
          <w:sz w:val="24"/>
          <w:szCs w:val="24"/>
        </w:rPr>
        <w:t>The proposed AU-UK FTA will underpin further opportunities for services and investment. Commitments on access for services suppliers and investors will be substantially enhanced from existing positions under th</w:t>
      </w:r>
      <w:r w:rsidR="00692C9E">
        <w:rPr>
          <w:sz w:val="24"/>
          <w:szCs w:val="24"/>
        </w:rPr>
        <w:t xml:space="preserve">e </w:t>
      </w:r>
      <w:r w:rsidRPr="00684158">
        <w:rPr>
          <w:sz w:val="24"/>
          <w:szCs w:val="24"/>
        </w:rPr>
        <w:t xml:space="preserve">GATS in the WTO, guaranteeing access for our service suppliers to the UK market. Commitments will cover all investment, portfolio and FDI and ambitious market access commitments matching the best the UK has made. Investors will get guarantees of market access, fair </w:t>
      </w:r>
      <w:proofErr w:type="gramStart"/>
      <w:r w:rsidRPr="00684158">
        <w:rPr>
          <w:sz w:val="24"/>
          <w:szCs w:val="24"/>
        </w:rPr>
        <w:t>treatment</w:t>
      </w:r>
      <w:proofErr w:type="gramEnd"/>
      <w:r w:rsidRPr="00684158">
        <w:rPr>
          <w:sz w:val="24"/>
          <w:szCs w:val="24"/>
        </w:rPr>
        <w:t xml:space="preserve"> and protection from expropriation of assets, while the agreement preserves the right of states to regulate in the public interest, including Australia’s right to screen investment in the national interest. </w:t>
      </w:r>
    </w:p>
    <w:p w14:paraId="6767C5C1" w14:textId="77777777" w:rsidR="00684158" w:rsidRPr="006955A8" w:rsidRDefault="00684158" w:rsidP="00684158">
      <w:pPr>
        <w:pStyle w:val="ListParagraph"/>
        <w:ind w:left="360"/>
        <w:rPr>
          <w:sz w:val="24"/>
          <w:szCs w:val="24"/>
        </w:rPr>
      </w:pPr>
    </w:p>
    <w:p w14:paraId="6A54A9D0" w14:textId="67754140" w:rsidR="0021195D" w:rsidRDefault="00684158" w:rsidP="00206944">
      <w:pPr>
        <w:pStyle w:val="ListParagraph"/>
        <w:numPr>
          <w:ilvl w:val="0"/>
          <w:numId w:val="1"/>
        </w:numPr>
        <w:ind w:left="567" w:hanging="567"/>
        <w:rPr>
          <w:sz w:val="24"/>
          <w:szCs w:val="24"/>
        </w:rPr>
      </w:pPr>
      <w:r w:rsidRPr="006955A8">
        <w:rPr>
          <w:sz w:val="24"/>
          <w:szCs w:val="24"/>
        </w:rPr>
        <w:t xml:space="preserve">An FTA with the UK will benefit Australian businesses and consumers by increasing access to competitively priced goods, new technologies and innovative practices. Our future prosperity </w:t>
      </w:r>
      <w:r>
        <w:rPr>
          <w:sz w:val="24"/>
          <w:szCs w:val="24"/>
        </w:rPr>
        <w:t>depends up</w:t>
      </w:r>
      <w:r w:rsidRPr="006955A8">
        <w:rPr>
          <w:sz w:val="24"/>
          <w:szCs w:val="24"/>
        </w:rPr>
        <w:t xml:space="preserve">on our economy staying competitive and on Australian businesses continuing to innovate and </w:t>
      </w:r>
      <w:r w:rsidR="007D2867">
        <w:rPr>
          <w:sz w:val="24"/>
          <w:szCs w:val="24"/>
        </w:rPr>
        <w:t>succeed in</w:t>
      </w:r>
      <w:r w:rsidR="007D2867" w:rsidRPr="006955A8">
        <w:rPr>
          <w:sz w:val="24"/>
          <w:szCs w:val="24"/>
        </w:rPr>
        <w:t xml:space="preserve"> </w:t>
      </w:r>
      <w:r w:rsidRPr="006955A8">
        <w:rPr>
          <w:sz w:val="24"/>
          <w:szCs w:val="24"/>
        </w:rPr>
        <w:t>new markets.</w:t>
      </w:r>
      <w:r>
        <w:rPr>
          <w:sz w:val="24"/>
          <w:szCs w:val="24"/>
        </w:rPr>
        <w:t xml:space="preserve"> </w:t>
      </w:r>
    </w:p>
    <w:p w14:paraId="4D037305" w14:textId="77777777" w:rsidR="0021195D" w:rsidRPr="0021195D" w:rsidRDefault="0021195D" w:rsidP="0021195D">
      <w:pPr>
        <w:pStyle w:val="ListParagraph"/>
        <w:rPr>
          <w:sz w:val="24"/>
          <w:szCs w:val="24"/>
        </w:rPr>
      </w:pPr>
    </w:p>
    <w:p w14:paraId="067667AC" w14:textId="28D0DE7F" w:rsidR="000F3218" w:rsidRPr="00BE4A8A" w:rsidRDefault="00684158" w:rsidP="00206944">
      <w:pPr>
        <w:pStyle w:val="ListParagraph"/>
        <w:numPr>
          <w:ilvl w:val="0"/>
          <w:numId w:val="1"/>
        </w:numPr>
        <w:ind w:left="567" w:hanging="567"/>
        <w:rPr>
          <w:sz w:val="24"/>
          <w:szCs w:val="24"/>
        </w:rPr>
      </w:pPr>
      <w:r w:rsidRPr="00BE4A8A">
        <w:rPr>
          <w:sz w:val="24"/>
          <w:szCs w:val="24"/>
        </w:rPr>
        <w:t>The</w:t>
      </w:r>
      <w:r w:rsidR="007C3278">
        <w:rPr>
          <w:sz w:val="24"/>
          <w:szCs w:val="24"/>
        </w:rPr>
        <w:t xml:space="preserve"> </w:t>
      </w:r>
      <w:r w:rsidR="00692C9E" w:rsidRPr="00BE4A8A">
        <w:rPr>
          <w:sz w:val="24"/>
          <w:szCs w:val="24"/>
        </w:rPr>
        <w:t xml:space="preserve">commitments on </w:t>
      </w:r>
      <w:r w:rsidR="0021195D">
        <w:rPr>
          <w:sz w:val="24"/>
          <w:szCs w:val="24"/>
        </w:rPr>
        <w:t xml:space="preserve">confirmation of </w:t>
      </w:r>
      <w:r w:rsidRPr="00BE4A8A">
        <w:rPr>
          <w:sz w:val="24"/>
          <w:szCs w:val="24"/>
        </w:rPr>
        <w:t xml:space="preserve">visa pathways </w:t>
      </w:r>
      <w:r w:rsidR="0021195D">
        <w:rPr>
          <w:sz w:val="24"/>
          <w:szCs w:val="24"/>
        </w:rPr>
        <w:t xml:space="preserve">available </w:t>
      </w:r>
      <w:r w:rsidRPr="00BE4A8A">
        <w:rPr>
          <w:sz w:val="24"/>
          <w:szCs w:val="24"/>
        </w:rPr>
        <w:t>for</w:t>
      </w:r>
      <w:r w:rsidR="0021195D">
        <w:rPr>
          <w:sz w:val="24"/>
          <w:szCs w:val="24"/>
        </w:rPr>
        <w:t xml:space="preserve"> the</w:t>
      </w:r>
      <w:r w:rsidRPr="00BE4A8A">
        <w:rPr>
          <w:sz w:val="24"/>
          <w:szCs w:val="24"/>
        </w:rPr>
        <w:t xml:space="preserve"> temporary movement of skilled workers in both directions, ensur</w:t>
      </w:r>
      <w:r w:rsidR="0021195D">
        <w:rPr>
          <w:sz w:val="24"/>
          <w:szCs w:val="24"/>
        </w:rPr>
        <w:t>e that</w:t>
      </w:r>
      <w:r w:rsidRPr="00BE4A8A">
        <w:rPr>
          <w:sz w:val="24"/>
          <w:szCs w:val="24"/>
        </w:rPr>
        <w:t xml:space="preserve"> businesses </w:t>
      </w:r>
      <w:r w:rsidR="00692C9E" w:rsidRPr="00BE4A8A">
        <w:rPr>
          <w:sz w:val="24"/>
          <w:szCs w:val="24"/>
        </w:rPr>
        <w:t xml:space="preserve">in both countries </w:t>
      </w:r>
      <w:r w:rsidRPr="00BE4A8A">
        <w:rPr>
          <w:sz w:val="24"/>
          <w:szCs w:val="24"/>
        </w:rPr>
        <w:t xml:space="preserve">have access to skills and talent from the </w:t>
      </w:r>
      <w:r w:rsidR="00692C9E" w:rsidRPr="00BE4A8A">
        <w:rPr>
          <w:sz w:val="24"/>
          <w:szCs w:val="24"/>
        </w:rPr>
        <w:t xml:space="preserve">other country </w:t>
      </w:r>
      <w:r w:rsidRPr="00BE4A8A">
        <w:rPr>
          <w:sz w:val="24"/>
          <w:szCs w:val="24"/>
        </w:rPr>
        <w:t xml:space="preserve">and that Australian nationals </w:t>
      </w:r>
      <w:proofErr w:type="gramStart"/>
      <w:r w:rsidRPr="00BE4A8A">
        <w:rPr>
          <w:sz w:val="24"/>
          <w:szCs w:val="24"/>
        </w:rPr>
        <w:t>have the opportunity to</w:t>
      </w:r>
      <w:proofErr w:type="gramEnd"/>
      <w:r w:rsidRPr="00BE4A8A">
        <w:rPr>
          <w:sz w:val="24"/>
          <w:szCs w:val="24"/>
        </w:rPr>
        <w:t xml:space="preserve"> pursue career opportunities in the UK</w:t>
      </w:r>
      <w:r w:rsidR="00692C9E" w:rsidRPr="00BE4A8A">
        <w:rPr>
          <w:sz w:val="24"/>
          <w:szCs w:val="24"/>
        </w:rPr>
        <w:t xml:space="preserve"> and vice versa</w:t>
      </w:r>
      <w:r w:rsidRPr="00BE4A8A">
        <w:rPr>
          <w:sz w:val="24"/>
          <w:szCs w:val="24"/>
        </w:rPr>
        <w:t xml:space="preserve">. </w:t>
      </w:r>
      <w:r w:rsidR="0021195D">
        <w:rPr>
          <w:sz w:val="24"/>
          <w:szCs w:val="24"/>
        </w:rPr>
        <w:t>There will not be the same level of assurance without the AU-UK FTA.</w:t>
      </w:r>
    </w:p>
    <w:p w14:paraId="7D705D65" w14:textId="74B79E6A" w:rsidR="00F459C9" w:rsidRPr="00F459C9" w:rsidRDefault="00F459C9" w:rsidP="00F459C9">
      <w:pPr>
        <w:pStyle w:val="Heading1"/>
      </w:pPr>
      <w:bookmarkStart w:id="83" w:name="_Toc88748511"/>
      <w:r>
        <w:t>HOW WILL YOU IMPLEMENT AND EVALUATE YOUR CHOSEN OPTION?</w:t>
      </w:r>
      <w:bookmarkEnd w:id="83"/>
    </w:p>
    <w:p w14:paraId="64D08BEC" w14:textId="2F94C6FC" w:rsidR="00963EEA" w:rsidRDefault="00963EEA" w:rsidP="00963EEA"/>
    <w:p w14:paraId="5A0AD18B" w14:textId="5315FDB2" w:rsidR="00F31A60" w:rsidRPr="005D307C" w:rsidRDefault="00924252" w:rsidP="00206944">
      <w:pPr>
        <w:pStyle w:val="ListParagraph"/>
        <w:numPr>
          <w:ilvl w:val="0"/>
          <w:numId w:val="1"/>
        </w:numPr>
        <w:ind w:left="567" w:hanging="567"/>
        <w:rPr>
          <w:sz w:val="24"/>
          <w:szCs w:val="24"/>
        </w:rPr>
      </w:pPr>
      <w:r w:rsidRPr="005D307C">
        <w:rPr>
          <w:sz w:val="24"/>
          <w:szCs w:val="24"/>
        </w:rPr>
        <w:t>In line with Australia’s treaty making processes, once agreed, the text of the AU-UK FTA will be tabled in Parliament. The Joint Standing Committee on Treaties (JSCOT) will then conduct an inquiry into the FTA and report back to the Parliament. Following consideration by the JSCOT, Parliament will consider any legislation or amendments to existing legislation that may be necessary to implement the agreement prior to treaty action being taken.</w:t>
      </w:r>
    </w:p>
    <w:p w14:paraId="4F4CF3ED" w14:textId="77777777" w:rsidR="00924252" w:rsidRPr="005D307C" w:rsidRDefault="00924252" w:rsidP="00924252">
      <w:pPr>
        <w:pStyle w:val="ListParagraph"/>
        <w:ind w:left="360"/>
        <w:rPr>
          <w:sz w:val="24"/>
          <w:szCs w:val="24"/>
        </w:rPr>
      </w:pPr>
    </w:p>
    <w:p w14:paraId="4C483BE9" w14:textId="3FCB0C4F" w:rsidR="00924252" w:rsidRPr="005D307C" w:rsidRDefault="00924252" w:rsidP="00206944">
      <w:pPr>
        <w:pStyle w:val="ListParagraph"/>
        <w:numPr>
          <w:ilvl w:val="0"/>
          <w:numId w:val="1"/>
        </w:numPr>
        <w:ind w:left="567" w:hanging="567"/>
        <w:rPr>
          <w:sz w:val="24"/>
          <w:szCs w:val="24"/>
        </w:rPr>
      </w:pPr>
      <w:r w:rsidRPr="005D307C">
        <w:rPr>
          <w:sz w:val="24"/>
          <w:szCs w:val="24"/>
        </w:rPr>
        <w:lastRenderedPageBreak/>
        <w:t xml:space="preserve">Engagement with stakeholders will continue after the conclusion of AU-UK FTA negotiations to raise awareness of the FTA and its </w:t>
      </w:r>
      <w:r w:rsidR="005D307C" w:rsidRPr="005D307C">
        <w:rPr>
          <w:sz w:val="24"/>
          <w:szCs w:val="24"/>
        </w:rPr>
        <w:t>provisions and</w:t>
      </w:r>
      <w:r w:rsidRPr="005D307C">
        <w:rPr>
          <w:sz w:val="24"/>
          <w:szCs w:val="24"/>
        </w:rPr>
        <w:t xml:space="preserve"> ensure that businesses and consumers are well placed to access the benefits of the agreement.</w:t>
      </w:r>
      <w:r w:rsidR="0021195D">
        <w:rPr>
          <w:sz w:val="24"/>
          <w:szCs w:val="24"/>
        </w:rPr>
        <w:t xml:space="preserve"> </w:t>
      </w:r>
      <w:r w:rsidRPr="005D307C">
        <w:rPr>
          <w:sz w:val="24"/>
          <w:szCs w:val="24"/>
        </w:rPr>
        <w:t xml:space="preserve">DFAT and Austrade will undertake proactive advocacy to lift awareness and uptake of </w:t>
      </w:r>
      <w:r w:rsidR="00EB0B80" w:rsidRPr="005D307C">
        <w:rPr>
          <w:sz w:val="24"/>
          <w:szCs w:val="24"/>
        </w:rPr>
        <w:t>the AU-UK FTA</w:t>
      </w:r>
      <w:r w:rsidR="0021195D">
        <w:rPr>
          <w:sz w:val="24"/>
          <w:szCs w:val="24"/>
        </w:rPr>
        <w:t xml:space="preserve"> benefits</w:t>
      </w:r>
      <w:r w:rsidRPr="005D307C">
        <w:rPr>
          <w:sz w:val="24"/>
          <w:szCs w:val="24"/>
        </w:rPr>
        <w:t xml:space="preserve"> </w:t>
      </w:r>
      <w:r w:rsidR="0021195D">
        <w:rPr>
          <w:sz w:val="24"/>
          <w:szCs w:val="24"/>
        </w:rPr>
        <w:t>from</w:t>
      </w:r>
      <w:r w:rsidRPr="005D307C">
        <w:rPr>
          <w:sz w:val="24"/>
          <w:szCs w:val="24"/>
        </w:rPr>
        <w:t xml:space="preserve"> Australian business.</w:t>
      </w:r>
    </w:p>
    <w:p w14:paraId="04245E2C" w14:textId="77777777" w:rsidR="00EB0B80" w:rsidRPr="005D307C" w:rsidRDefault="00EB0B80" w:rsidP="00EB0B80">
      <w:pPr>
        <w:pStyle w:val="ListParagraph"/>
        <w:rPr>
          <w:sz w:val="24"/>
          <w:szCs w:val="24"/>
        </w:rPr>
      </w:pPr>
    </w:p>
    <w:p w14:paraId="3B944960" w14:textId="3DCF2F54" w:rsidR="00EB0B80" w:rsidRPr="00BE4A8A" w:rsidRDefault="00EB0B80" w:rsidP="00206944">
      <w:pPr>
        <w:pStyle w:val="ListParagraph"/>
        <w:numPr>
          <w:ilvl w:val="0"/>
          <w:numId w:val="1"/>
        </w:numPr>
        <w:ind w:left="567" w:hanging="567"/>
        <w:rPr>
          <w:sz w:val="24"/>
          <w:szCs w:val="24"/>
        </w:rPr>
      </w:pPr>
      <w:r w:rsidRPr="005D307C">
        <w:rPr>
          <w:sz w:val="24"/>
          <w:szCs w:val="24"/>
        </w:rPr>
        <w:t xml:space="preserve">Following signing of the </w:t>
      </w:r>
      <w:r w:rsidR="007C3278">
        <w:rPr>
          <w:sz w:val="24"/>
          <w:szCs w:val="24"/>
        </w:rPr>
        <w:t xml:space="preserve">proposed </w:t>
      </w:r>
      <w:r w:rsidRPr="005D307C">
        <w:rPr>
          <w:sz w:val="24"/>
          <w:szCs w:val="24"/>
        </w:rPr>
        <w:t xml:space="preserve">AU-UK FTA, DFAT will publish dedicated </w:t>
      </w:r>
      <w:r w:rsidR="00124C97" w:rsidRPr="005D307C">
        <w:rPr>
          <w:sz w:val="24"/>
          <w:szCs w:val="24"/>
        </w:rPr>
        <w:t>AU-UK FTA</w:t>
      </w:r>
      <w:r w:rsidRPr="005D307C">
        <w:rPr>
          <w:sz w:val="24"/>
          <w:szCs w:val="24"/>
        </w:rPr>
        <w:t xml:space="preserve"> webpages offering a range of practical resources that will help Australian importers and exporters take advantage of the </w:t>
      </w:r>
      <w:r w:rsidR="00124C97" w:rsidRPr="005D307C">
        <w:rPr>
          <w:sz w:val="24"/>
          <w:szCs w:val="24"/>
        </w:rPr>
        <w:t>FTA</w:t>
      </w:r>
      <w:r w:rsidR="0021195D">
        <w:rPr>
          <w:sz w:val="24"/>
          <w:szCs w:val="24"/>
        </w:rPr>
        <w:t xml:space="preserve">. These </w:t>
      </w:r>
      <w:r w:rsidRPr="005D307C">
        <w:rPr>
          <w:sz w:val="24"/>
          <w:szCs w:val="24"/>
        </w:rPr>
        <w:t>will include:</w:t>
      </w:r>
    </w:p>
    <w:p w14:paraId="1871E802" w14:textId="046A4679" w:rsidR="00EB0B80" w:rsidRPr="005D307C" w:rsidRDefault="00EB0B80" w:rsidP="00EB0B80">
      <w:pPr>
        <w:pStyle w:val="ListParagraph"/>
        <w:numPr>
          <w:ilvl w:val="1"/>
          <w:numId w:val="1"/>
        </w:numPr>
        <w:rPr>
          <w:sz w:val="24"/>
          <w:szCs w:val="24"/>
        </w:rPr>
      </w:pPr>
      <w:r w:rsidRPr="005D307C">
        <w:rPr>
          <w:sz w:val="24"/>
          <w:szCs w:val="24"/>
        </w:rPr>
        <w:t>the full text of the AU-UK FTA agreement, plus side letters/initiatives and tariff schedules</w:t>
      </w:r>
    </w:p>
    <w:p w14:paraId="4D65EC2D" w14:textId="11879398" w:rsidR="00EB0B80" w:rsidRPr="005D307C" w:rsidRDefault="00EB0B80" w:rsidP="00EB0B80">
      <w:pPr>
        <w:pStyle w:val="ListParagraph"/>
        <w:numPr>
          <w:ilvl w:val="1"/>
          <w:numId w:val="1"/>
        </w:numPr>
        <w:rPr>
          <w:sz w:val="24"/>
          <w:szCs w:val="24"/>
        </w:rPr>
      </w:pPr>
      <w:r w:rsidRPr="005D307C">
        <w:rPr>
          <w:sz w:val="24"/>
          <w:szCs w:val="24"/>
        </w:rPr>
        <w:t>outcomes documents, background documents and chapter summaries that provide plain-English descriptions relating to elements of the AU-UK FTA</w:t>
      </w:r>
    </w:p>
    <w:p w14:paraId="441EC088" w14:textId="1DFC3412" w:rsidR="00EB0B80" w:rsidRDefault="00EB0B80" w:rsidP="00BE4A8A">
      <w:pPr>
        <w:pStyle w:val="ListParagraph"/>
        <w:numPr>
          <w:ilvl w:val="1"/>
          <w:numId w:val="1"/>
        </w:numPr>
        <w:rPr>
          <w:sz w:val="24"/>
          <w:szCs w:val="24"/>
        </w:rPr>
      </w:pPr>
      <w:r w:rsidRPr="005D307C">
        <w:rPr>
          <w:sz w:val="24"/>
          <w:szCs w:val="24"/>
        </w:rPr>
        <w:t xml:space="preserve">a news section that provides updates </w:t>
      </w:r>
      <w:r w:rsidR="001B1480">
        <w:rPr>
          <w:sz w:val="24"/>
          <w:szCs w:val="24"/>
        </w:rPr>
        <w:t xml:space="preserve">on </w:t>
      </w:r>
      <w:r w:rsidRPr="005D307C">
        <w:rPr>
          <w:sz w:val="24"/>
          <w:szCs w:val="24"/>
        </w:rPr>
        <w:t>developments relating to the AU-UK FTA and</w:t>
      </w:r>
      <w:r w:rsidR="00BE4A8A">
        <w:rPr>
          <w:sz w:val="24"/>
          <w:szCs w:val="24"/>
        </w:rPr>
        <w:t xml:space="preserve"> </w:t>
      </w:r>
      <w:r w:rsidR="00124C97" w:rsidRPr="00BE4A8A">
        <w:rPr>
          <w:sz w:val="24"/>
          <w:szCs w:val="24"/>
        </w:rPr>
        <w:t>f</w:t>
      </w:r>
      <w:r w:rsidRPr="00BE4A8A">
        <w:rPr>
          <w:sz w:val="24"/>
          <w:szCs w:val="24"/>
        </w:rPr>
        <w:t>requently asked questions.</w:t>
      </w:r>
    </w:p>
    <w:p w14:paraId="23D1D9B5" w14:textId="77777777" w:rsidR="00421309" w:rsidRDefault="00421309" w:rsidP="00421309">
      <w:pPr>
        <w:pStyle w:val="ListParagraph"/>
        <w:ind w:left="1080"/>
        <w:rPr>
          <w:sz w:val="24"/>
          <w:szCs w:val="24"/>
        </w:rPr>
      </w:pPr>
    </w:p>
    <w:p w14:paraId="089BA25D" w14:textId="25CF466E" w:rsidR="00421309" w:rsidRPr="00421309" w:rsidRDefault="00421309" w:rsidP="00421309">
      <w:pPr>
        <w:pStyle w:val="ListParagraph"/>
        <w:numPr>
          <w:ilvl w:val="0"/>
          <w:numId w:val="1"/>
        </w:numPr>
        <w:ind w:left="567" w:hanging="567"/>
      </w:pPr>
      <w:r>
        <w:rPr>
          <w:sz w:val="24"/>
          <w:szCs w:val="24"/>
        </w:rPr>
        <w:t>DFAT will also publish additional resources for importers and exporters which will include a guide for business wanting to use the AU-UK FTA to export and import goods, including information about complying with origin documentation requirements.</w:t>
      </w:r>
    </w:p>
    <w:p w14:paraId="7B06BFA7" w14:textId="77777777" w:rsidR="00C70415" w:rsidRPr="005D307C" w:rsidRDefault="00C70415" w:rsidP="00C70415">
      <w:pPr>
        <w:pStyle w:val="ListParagraph"/>
        <w:ind w:left="1080"/>
        <w:rPr>
          <w:sz w:val="24"/>
          <w:szCs w:val="24"/>
        </w:rPr>
      </w:pPr>
    </w:p>
    <w:p w14:paraId="1875E19B" w14:textId="24BA0CCF" w:rsidR="00C70415" w:rsidRDefault="00C70415" w:rsidP="00206944">
      <w:pPr>
        <w:pStyle w:val="ListParagraph"/>
        <w:numPr>
          <w:ilvl w:val="0"/>
          <w:numId w:val="1"/>
        </w:numPr>
        <w:ind w:left="567" w:hanging="567"/>
        <w:rPr>
          <w:sz w:val="24"/>
          <w:szCs w:val="24"/>
        </w:rPr>
      </w:pPr>
      <w:r w:rsidRPr="005D307C">
        <w:rPr>
          <w:sz w:val="24"/>
          <w:szCs w:val="24"/>
        </w:rPr>
        <w:t xml:space="preserve">DFAT’s social media accounts (such as Twitter, Facebook and the DFAT blog) </w:t>
      </w:r>
      <w:r w:rsidR="00421309">
        <w:rPr>
          <w:sz w:val="24"/>
          <w:szCs w:val="24"/>
        </w:rPr>
        <w:t>will be</w:t>
      </w:r>
      <w:r w:rsidRPr="005D307C">
        <w:rPr>
          <w:sz w:val="24"/>
          <w:szCs w:val="24"/>
        </w:rPr>
        <w:t xml:space="preserve"> platforms for promoting increased understanding and utilisation of the AU-UK FTA. Once the agreement has entered into force, DFAT will use social media posts </w:t>
      </w:r>
      <w:r w:rsidR="00B237FE">
        <w:rPr>
          <w:sz w:val="24"/>
          <w:szCs w:val="24"/>
        </w:rPr>
        <w:t xml:space="preserve">to </w:t>
      </w:r>
      <w:r w:rsidRPr="005D307C">
        <w:rPr>
          <w:sz w:val="24"/>
          <w:szCs w:val="24"/>
        </w:rPr>
        <w:t>draw tariff outcomes and other benefits of the AU-UK FTA to the attention of the wider public.</w:t>
      </w:r>
      <w:r w:rsidR="00EB0B80" w:rsidRPr="005D307C">
        <w:rPr>
          <w:sz w:val="24"/>
          <w:szCs w:val="24"/>
        </w:rPr>
        <w:tab/>
      </w:r>
    </w:p>
    <w:p w14:paraId="4C45C858" w14:textId="77777777" w:rsidR="00206944" w:rsidRPr="00BE4A8A" w:rsidRDefault="00206944" w:rsidP="00206944">
      <w:pPr>
        <w:pStyle w:val="ListParagraph"/>
        <w:ind w:left="567"/>
        <w:rPr>
          <w:sz w:val="24"/>
          <w:szCs w:val="24"/>
        </w:rPr>
      </w:pPr>
    </w:p>
    <w:p w14:paraId="7E8197B0" w14:textId="386056FC" w:rsidR="00F459C9" w:rsidRPr="00206944" w:rsidRDefault="00F459C9" w:rsidP="00206944">
      <w:pPr>
        <w:pStyle w:val="ListParagraph"/>
        <w:numPr>
          <w:ilvl w:val="0"/>
          <w:numId w:val="1"/>
        </w:numPr>
        <w:ind w:left="567" w:hanging="567"/>
        <w:rPr>
          <w:sz w:val="24"/>
          <w:szCs w:val="24"/>
        </w:rPr>
      </w:pPr>
      <w:bookmarkStart w:id="84" w:name="_Hlk83304491"/>
      <w:r w:rsidRPr="00206944">
        <w:rPr>
          <w:sz w:val="24"/>
          <w:szCs w:val="24"/>
        </w:rPr>
        <w:t xml:space="preserve">The proposed AU-UK FTA includes legal and institutional provisions that establish the administrative provisions necessary for its operation and review. This includes the processes by which the agreement will enter into force, and provisions detailing how the agreement may be subsequently amended or </w:t>
      </w:r>
      <w:r w:rsidR="00D01918" w:rsidRPr="00206944">
        <w:rPr>
          <w:sz w:val="24"/>
          <w:szCs w:val="24"/>
        </w:rPr>
        <w:t>terminated and</w:t>
      </w:r>
      <w:r w:rsidRPr="00206944">
        <w:rPr>
          <w:sz w:val="24"/>
          <w:szCs w:val="24"/>
        </w:rPr>
        <w:t xml:space="preserve"> co-exist with existing treaties between the UK and Australia. </w:t>
      </w:r>
    </w:p>
    <w:bookmarkEnd w:id="84"/>
    <w:p w14:paraId="5F253ADA" w14:textId="77777777" w:rsidR="00BE4A8A" w:rsidRPr="00206944" w:rsidRDefault="00BE4A8A" w:rsidP="00BE4A8A">
      <w:pPr>
        <w:pStyle w:val="Default"/>
        <w:ind w:left="360"/>
        <w:rPr>
          <w:rFonts w:asciiTheme="minorHAnsi" w:hAnsiTheme="minorHAnsi" w:cstheme="minorBidi"/>
          <w:color w:val="auto"/>
          <w:lang w:eastAsia="en-US"/>
        </w:rPr>
      </w:pPr>
    </w:p>
    <w:p w14:paraId="084DE984" w14:textId="6FF4789D" w:rsidR="00CE6C3D" w:rsidRDefault="00270320" w:rsidP="00206944">
      <w:pPr>
        <w:pStyle w:val="ListParagraph"/>
        <w:numPr>
          <w:ilvl w:val="0"/>
          <w:numId w:val="1"/>
        </w:numPr>
        <w:ind w:left="567" w:hanging="567"/>
        <w:rPr>
          <w:sz w:val="24"/>
          <w:szCs w:val="24"/>
        </w:rPr>
      </w:pPr>
      <w:bookmarkStart w:id="85" w:name="_Hlk83304524"/>
      <w:r>
        <w:rPr>
          <w:sz w:val="24"/>
          <w:szCs w:val="24"/>
        </w:rPr>
        <w:t>The agreement</w:t>
      </w:r>
      <w:r w:rsidRPr="00270320">
        <w:rPr>
          <w:sz w:val="24"/>
          <w:szCs w:val="24"/>
        </w:rPr>
        <w:t xml:space="preserve"> includes a structure of regular </w:t>
      </w:r>
      <w:r>
        <w:rPr>
          <w:sz w:val="24"/>
          <w:szCs w:val="24"/>
        </w:rPr>
        <w:t xml:space="preserve">committee </w:t>
      </w:r>
      <w:r w:rsidRPr="00270320">
        <w:rPr>
          <w:sz w:val="24"/>
          <w:szCs w:val="24"/>
        </w:rPr>
        <w:t xml:space="preserve">meetings intended to create an ongoing dialogue between Australia and </w:t>
      </w:r>
      <w:r>
        <w:rPr>
          <w:sz w:val="24"/>
          <w:szCs w:val="24"/>
        </w:rPr>
        <w:t>the UK</w:t>
      </w:r>
      <w:r w:rsidRPr="00270320">
        <w:rPr>
          <w:sz w:val="24"/>
          <w:szCs w:val="24"/>
        </w:rPr>
        <w:t xml:space="preserve"> and a built-in agenda of reviews, which provide avenues to address issues and increase two-way trade opportunities. </w:t>
      </w:r>
      <w:r w:rsidR="004E57F7" w:rsidRPr="00206944">
        <w:rPr>
          <w:sz w:val="24"/>
          <w:szCs w:val="24"/>
        </w:rPr>
        <w:t>The</w:t>
      </w:r>
      <w:r w:rsidR="00350F9A" w:rsidRPr="00206944">
        <w:rPr>
          <w:sz w:val="24"/>
          <w:szCs w:val="24"/>
        </w:rPr>
        <w:t>se</w:t>
      </w:r>
      <w:r w:rsidR="004E57F7" w:rsidRPr="00206944">
        <w:rPr>
          <w:sz w:val="24"/>
          <w:szCs w:val="24"/>
        </w:rPr>
        <w:t xml:space="preserve"> mechanisms ensure that the agreement remains living and relevant to the </w:t>
      </w:r>
      <w:r w:rsidR="007C3278" w:rsidRPr="00206944">
        <w:rPr>
          <w:sz w:val="24"/>
          <w:szCs w:val="24"/>
        </w:rPr>
        <w:t>bilateral</w:t>
      </w:r>
      <w:r w:rsidR="004E57F7" w:rsidRPr="00206944">
        <w:rPr>
          <w:sz w:val="24"/>
          <w:szCs w:val="24"/>
        </w:rPr>
        <w:t xml:space="preserve"> trading relationship. </w:t>
      </w:r>
    </w:p>
    <w:p w14:paraId="30042659" w14:textId="77777777" w:rsidR="00CE6C3D" w:rsidRPr="00CE6C3D" w:rsidRDefault="00CE6C3D" w:rsidP="00CE6C3D">
      <w:pPr>
        <w:pStyle w:val="ListParagraph"/>
        <w:rPr>
          <w:sz w:val="24"/>
          <w:szCs w:val="24"/>
        </w:rPr>
      </w:pPr>
    </w:p>
    <w:p w14:paraId="753D303A" w14:textId="10C40E02" w:rsidR="00906B8D" w:rsidRPr="00F54DA6" w:rsidRDefault="00F54DA6" w:rsidP="00F54DA6">
      <w:pPr>
        <w:pStyle w:val="ListParagraph"/>
        <w:numPr>
          <w:ilvl w:val="0"/>
          <w:numId w:val="1"/>
        </w:numPr>
        <w:ind w:left="567" w:hanging="567"/>
        <w:rPr>
          <w:sz w:val="24"/>
          <w:szCs w:val="24"/>
        </w:rPr>
      </w:pPr>
      <w:r>
        <w:rPr>
          <w:sz w:val="24"/>
          <w:szCs w:val="24"/>
        </w:rPr>
        <w:t>The committees and working groups are designed</w:t>
      </w:r>
      <w:r w:rsidR="00906B8D" w:rsidRPr="00CE6C3D">
        <w:rPr>
          <w:sz w:val="24"/>
          <w:szCs w:val="24"/>
        </w:rPr>
        <w:t xml:space="preserve"> to monitor implementation and enable technical consultation provisions </w:t>
      </w:r>
      <w:r>
        <w:rPr>
          <w:sz w:val="24"/>
          <w:szCs w:val="24"/>
        </w:rPr>
        <w:t xml:space="preserve">in </w:t>
      </w:r>
      <w:r w:rsidR="0021195D">
        <w:rPr>
          <w:sz w:val="24"/>
          <w:szCs w:val="24"/>
        </w:rPr>
        <w:t>relevant</w:t>
      </w:r>
      <w:r>
        <w:rPr>
          <w:sz w:val="24"/>
          <w:szCs w:val="24"/>
        </w:rPr>
        <w:t xml:space="preserve"> </w:t>
      </w:r>
      <w:r w:rsidR="001B1480">
        <w:rPr>
          <w:sz w:val="24"/>
          <w:szCs w:val="24"/>
        </w:rPr>
        <w:t>c</w:t>
      </w:r>
      <w:r>
        <w:rPr>
          <w:sz w:val="24"/>
          <w:szCs w:val="24"/>
        </w:rPr>
        <w:t>hapters</w:t>
      </w:r>
      <w:r w:rsidR="001B1480">
        <w:rPr>
          <w:sz w:val="24"/>
          <w:szCs w:val="24"/>
        </w:rPr>
        <w:t xml:space="preserve"> of the Agreement</w:t>
      </w:r>
      <w:r>
        <w:rPr>
          <w:sz w:val="24"/>
          <w:szCs w:val="24"/>
        </w:rPr>
        <w:t xml:space="preserve">. </w:t>
      </w:r>
      <w:bookmarkEnd w:id="85"/>
      <w:r>
        <w:rPr>
          <w:sz w:val="24"/>
          <w:szCs w:val="24"/>
        </w:rPr>
        <w:t xml:space="preserve">The Committee architecture in the proposed AU-UK FTA is provided below. </w:t>
      </w:r>
    </w:p>
    <w:tbl>
      <w:tblPr>
        <w:tblW w:w="0" w:type="auto"/>
        <w:tblInd w:w="805" w:type="dxa"/>
        <w:tblLook w:val="04A0" w:firstRow="1" w:lastRow="0" w:firstColumn="1" w:lastColumn="0" w:noHBand="0" w:noVBand="1"/>
      </w:tblPr>
      <w:tblGrid>
        <w:gridCol w:w="6749"/>
      </w:tblGrid>
      <w:tr w:rsidR="007944BF" w:rsidRPr="004E60D0" w14:paraId="6055D478" w14:textId="77777777" w:rsidTr="00F54DA6">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4FB814" w14:textId="540463A1" w:rsidR="007944BF" w:rsidRPr="007944BF" w:rsidRDefault="007944BF" w:rsidP="007944BF">
            <w:pPr>
              <w:jc w:val="center"/>
              <w:rPr>
                <w:rFonts w:ascii="Calibri" w:hAnsi="Calibri" w:cs="Calibri"/>
                <w:b/>
                <w:bCs/>
                <w:color w:val="000000"/>
                <w:lang w:eastAsia="en-AU"/>
              </w:rPr>
            </w:pPr>
            <w:bookmarkStart w:id="86" w:name="_Hlk82452066"/>
            <w:r w:rsidRPr="007944BF">
              <w:rPr>
                <w:rFonts w:ascii="Calibri" w:hAnsi="Calibri" w:cs="Calibri"/>
                <w:b/>
                <w:bCs/>
                <w:color w:val="000000"/>
                <w:lang w:eastAsia="en-AU"/>
              </w:rPr>
              <w:lastRenderedPageBreak/>
              <w:t>COMMITTEE ARCHITECTURE IN THE AU-UK FTA</w:t>
            </w:r>
          </w:p>
        </w:tc>
      </w:tr>
      <w:tr w:rsidR="004E60D0" w:rsidRPr="004E60D0" w14:paraId="708B346A" w14:textId="77777777" w:rsidTr="00F54DA6">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2FC9FCC" w14:textId="04FB053F" w:rsidR="004E60D0" w:rsidRPr="004E60D0" w:rsidRDefault="004E60D0" w:rsidP="004E60D0">
            <w:pPr>
              <w:rPr>
                <w:rFonts w:ascii="Calibri" w:hAnsi="Calibri" w:cs="Calibri"/>
                <w:color w:val="000000"/>
                <w:lang w:eastAsia="en-AU"/>
              </w:rPr>
            </w:pPr>
            <w:r>
              <w:rPr>
                <w:rFonts w:ascii="Calibri" w:hAnsi="Calibri" w:cs="Calibri"/>
                <w:color w:val="000000"/>
                <w:lang w:eastAsia="en-AU"/>
              </w:rPr>
              <w:t>J</w:t>
            </w:r>
            <w:r w:rsidRPr="004E60D0">
              <w:rPr>
                <w:rFonts w:ascii="Calibri" w:hAnsi="Calibri" w:cs="Calibri"/>
                <w:color w:val="000000"/>
                <w:lang w:eastAsia="en-AU"/>
              </w:rPr>
              <w:t>oint Committee</w:t>
            </w:r>
          </w:p>
        </w:tc>
      </w:tr>
      <w:tr w:rsidR="004E60D0" w:rsidRPr="004E60D0" w14:paraId="2D2702C3"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66C883" w14:textId="107E9724" w:rsidR="004E60D0" w:rsidRPr="004E60D0" w:rsidRDefault="003D3348" w:rsidP="004E60D0">
            <w:pPr>
              <w:rPr>
                <w:rFonts w:ascii="Calibri" w:hAnsi="Calibri" w:cs="Calibri"/>
                <w:color w:val="000000"/>
                <w:lang w:eastAsia="en-AU"/>
              </w:rPr>
            </w:pPr>
            <w:r w:rsidRPr="003D3348">
              <w:rPr>
                <w:rFonts w:ascii="Calibri" w:hAnsi="Calibri" w:cs="Calibri"/>
                <w:color w:val="000000"/>
                <w:lang w:eastAsia="en-AU"/>
              </w:rPr>
              <w:t xml:space="preserve">Services, Investment, Financial Services and Digital Trade </w:t>
            </w:r>
            <w:r w:rsidR="005F57D2">
              <w:rPr>
                <w:rFonts w:ascii="Calibri" w:hAnsi="Calibri" w:cs="Calibri"/>
                <w:color w:val="000000"/>
                <w:lang w:eastAsia="en-AU"/>
              </w:rPr>
              <w:t>S</w:t>
            </w:r>
            <w:r w:rsidR="002B3884">
              <w:rPr>
                <w:rFonts w:ascii="Calibri" w:hAnsi="Calibri" w:cs="Calibri"/>
                <w:color w:val="000000"/>
                <w:lang w:eastAsia="en-AU"/>
              </w:rPr>
              <w:t>ub-</w:t>
            </w:r>
            <w:r w:rsidR="005F57D2">
              <w:rPr>
                <w:rFonts w:ascii="Calibri" w:hAnsi="Calibri" w:cs="Calibri"/>
                <w:color w:val="000000"/>
                <w:lang w:eastAsia="en-AU"/>
              </w:rPr>
              <w:t>C</w:t>
            </w:r>
            <w:r w:rsidRPr="003D3348">
              <w:rPr>
                <w:rFonts w:ascii="Calibri" w:hAnsi="Calibri" w:cs="Calibri"/>
                <w:color w:val="000000"/>
                <w:lang w:eastAsia="en-AU"/>
              </w:rPr>
              <w:t>ommittee</w:t>
            </w:r>
          </w:p>
        </w:tc>
      </w:tr>
      <w:tr w:rsidR="004E60D0" w:rsidRPr="004E60D0" w14:paraId="675AB09E"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504459" w14:textId="77777777" w:rsidR="004E60D0" w:rsidRPr="004E60D0" w:rsidRDefault="004E60D0" w:rsidP="004E60D0">
            <w:pPr>
              <w:rPr>
                <w:rFonts w:ascii="Calibri" w:hAnsi="Calibri" w:cs="Calibri"/>
                <w:color w:val="000000"/>
                <w:lang w:eastAsia="en-AU"/>
              </w:rPr>
            </w:pPr>
            <w:bookmarkStart w:id="87" w:name="_Hlk82453183"/>
            <w:r w:rsidRPr="004E60D0">
              <w:rPr>
                <w:rFonts w:ascii="Calibri" w:hAnsi="Calibri" w:cs="Calibri"/>
                <w:color w:val="000000"/>
                <w:lang w:eastAsia="en-AU"/>
              </w:rPr>
              <w:t>Joint Financial Regulatory Forum</w:t>
            </w:r>
            <w:bookmarkEnd w:id="87"/>
          </w:p>
        </w:tc>
      </w:tr>
      <w:tr w:rsidR="004E60D0" w:rsidRPr="004E60D0" w14:paraId="7E937CBF"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6284F5" w14:textId="31F01B2C"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Professional Services Working Group</w:t>
            </w:r>
          </w:p>
        </w:tc>
      </w:tr>
      <w:tr w:rsidR="004E60D0" w:rsidRPr="004E60D0" w14:paraId="702EA66C"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25B21B" w14:textId="77777777"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Committee on Intellectual Property Rights</w:t>
            </w:r>
          </w:p>
        </w:tc>
      </w:tr>
      <w:tr w:rsidR="004E60D0" w:rsidRPr="004E60D0" w14:paraId="28EB82EB"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B37DBC" w14:textId="77777777"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Committee on Trade in Goods</w:t>
            </w:r>
          </w:p>
        </w:tc>
      </w:tr>
      <w:tr w:rsidR="004E60D0" w:rsidRPr="004E60D0" w14:paraId="1A75D97E"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0A413E" w14:textId="3E9FB975" w:rsidR="004E60D0" w:rsidRPr="004E60D0" w:rsidRDefault="009F5F7B" w:rsidP="004E60D0">
            <w:pPr>
              <w:rPr>
                <w:rFonts w:ascii="Calibri" w:hAnsi="Calibri" w:cs="Calibri"/>
                <w:color w:val="000000"/>
                <w:lang w:eastAsia="en-AU"/>
              </w:rPr>
            </w:pPr>
            <w:r w:rsidRPr="009F5F7B">
              <w:rPr>
                <w:rFonts w:ascii="Calibri" w:hAnsi="Calibri" w:cs="Calibri"/>
                <w:color w:val="000000"/>
                <w:lang w:eastAsia="en-AU"/>
              </w:rPr>
              <w:t>Working Group on Rules of Origin and Customs and Trade Facilitation</w:t>
            </w:r>
          </w:p>
        </w:tc>
      </w:tr>
      <w:tr w:rsidR="004E60D0" w:rsidRPr="004E60D0" w14:paraId="5602188E"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2574E4" w14:textId="77777777"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SPS Committee</w:t>
            </w:r>
          </w:p>
        </w:tc>
      </w:tr>
      <w:tr w:rsidR="004E60D0" w:rsidRPr="004E60D0" w14:paraId="06FECBA6"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74F59A" w14:textId="77777777"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Joint Working Group on Animal Welfare</w:t>
            </w:r>
          </w:p>
        </w:tc>
      </w:tr>
      <w:tr w:rsidR="004E60D0" w:rsidRPr="004E60D0" w14:paraId="183F6EF9"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D74358" w14:textId="77777777"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 xml:space="preserve">TBT Committee </w:t>
            </w:r>
          </w:p>
        </w:tc>
      </w:tr>
      <w:tr w:rsidR="004E60D0" w:rsidRPr="004E60D0" w14:paraId="268889A8"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51FDF6" w14:textId="412FD9E2" w:rsidR="004E60D0" w:rsidRPr="004E60D0" w:rsidRDefault="004E60D0" w:rsidP="004E60D0">
            <w:pPr>
              <w:rPr>
                <w:rFonts w:ascii="Calibri" w:hAnsi="Calibri" w:cs="Calibri"/>
                <w:color w:val="000000"/>
                <w:lang w:eastAsia="en-AU"/>
              </w:rPr>
            </w:pPr>
            <w:r w:rsidRPr="004E60D0">
              <w:rPr>
                <w:rFonts w:ascii="Calibri" w:hAnsi="Calibri" w:cs="Calibri"/>
                <w:color w:val="000000"/>
                <w:lang w:eastAsia="en-AU"/>
              </w:rPr>
              <w:t xml:space="preserve">Environment </w:t>
            </w:r>
            <w:r w:rsidR="005F57D2">
              <w:rPr>
                <w:rFonts w:ascii="Calibri" w:hAnsi="Calibri" w:cs="Calibri"/>
                <w:color w:val="000000"/>
                <w:lang w:eastAsia="en-AU"/>
              </w:rPr>
              <w:t>Working Group</w:t>
            </w:r>
          </w:p>
        </w:tc>
      </w:tr>
      <w:tr w:rsidR="004E60D0" w:rsidRPr="004E60D0" w14:paraId="5C5732E6"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F67799" w14:textId="3DFFAAD2" w:rsidR="004E60D0" w:rsidRPr="004E60D0" w:rsidRDefault="000D27AF" w:rsidP="004E60D0">
            <w:pPr>
              <w:rPr>
                <w:rFonts w:ascii="Calibri" w:hAnsi="Calibri" w:cs="Calibri"/>
                <w:color w:val="000000"/>
                <w:lang w:eastAsia="en-AU"/>
              </w:rPr>
            </w:pPr>
            <w:r>
              <w:rPr>
                <w:rFonts w:ascii="Calibri" w:hAnsi="Calibri" w:cs="Calibri"/>
                <w:color w:val="000000"/>
                <w:lang w:eastAsia="en-AU"/>
              </w:rPr>
              <w:t>Strategic Innovation Dialogue</w:t>
            </w:r>
          </w:p>
        </w:tc>
      </w:tr>
      <w:tr w:rsidR="004E60D0" w:rsidRPr="004E60D0" w14:paraId="6FEFAD03"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342EAE" w14:textId="4787F5C9" w:rsidR="004E60D0" w:rsidRPr="004E60D0" w:rsidRDefault="000D27AF" w:rsidP="004E60D0">
            <w:pPr>
              <w:rPr>
                <w:rFonts w:ascii="Calibri" w:hAnsi="Calibri" w:cs="Calibri"/>
                <w:color w:val="000000"/>
                <w:lang w:eastAsia="en-AU"/>
              </w:rPr>
            </w:pPr>
            <w:r>
              <w:rPr>
                <w:rFonts w:ascii="Calibri" w:hAnsi="Calibri" w:cs="Calibri"/>
                <w:color w:val="000000"/>
                <w:lang w:eastAsia="en-AU"/>
              </w:rPr>
              <w:t xml:space="preserve">Committee on Cooperation </w:t>
            </w:r>
          </w:p>
        </w:tc>
      </w:tr>
      <w:tr w:rsidR="004E60D0" w:rsidRPr="004E60D0" w14:paraId="56A42E9D" w14:textId="77777777" w:rsidTr="00F54DA6">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CD4A31" w14:textId="0BB28E9E" w:rsidR="004E60D0" w:rsidRPr="004E60D0" w:rsidRDefault="005F57D2" w:rsidP="004E60D0">
            <w:pPr>
              <w:rPr>
                <w:rFonts w:ascii="Calibri" w:hAnsi="Calibri" w:cs="Calibri"/>
                <w:lang w:eastAsia="en-AU"/>
              </w:rPr>
            </w:pPr>
            <w:r>
              <w:rPr>
                <w:rFonts w:ascii="Calibri" w:hAnsi="Calibri" w:cs="Calibri"/>
                <w:lang w:eastAsia="en-AU"/>
              </w:rPr>
              <w:t>Gender Equality Dialogue</w:t>
            </w:r>
          </w:p>
        </w:tc>
      </w:tr>
      <w:bookmarkEnd w:id="86"/>
    </w:tbl>
    <w:p w14:paraId="3262827C" w14:textId="59F4FE3C" w:rsidR="009F5F7B" w:rsidRDefault="009F5F7B">
      <w:pPr>
        <w:spacing w:after="160" w:line="259" w:lineRule="auto"/>
        <w:rPr>
          <w:rFonts w:asciiTheme="majorHAnsi" w:eastAsiaTheme="majorEastAsia" w:hAnsiTheme="majorHAnsi" w:cstheme="majorBidi"/>
          <w:color w:val="2F5496" w:themeColor="accent1" w:themeShade="BF"/>
          <w:sz w:val="32"/>
          <w:szCs w:val="32"/>
        </w:rPr>
      </w:pPr>
    </w:p>
    <w:p w14:paraId="26CA243B" w14:textId="77777777" w:rsidR="005A7FBF" w:rsidRDefault="005A7FBF">
      <w:pPr>
        <w:spacing w:after="160" w:line="259" w:lineRule="auto"/>
        <w:rPr>
          <w:rFonts w:asciiTheme="majorHAnsi" w:eastAsiaTheme="majorEastAsia" w:hAnsiTheme="majorHAnsi" w:cstheme="majorBidi"/>
          <w:color w:val="2F5496" w:themeColor="accent1" w:themeShade="BF"/>
          <w:sz w:val="32"/>
          <w:szCs w:val="32"/>
        </w:rPr>
      </w:pPr>
    </w:p>
    <w:p w14:paraId="351CE96E" w14:textId="77777777" w:rsidR="005A19C1" w:rsidRDefault="005A19C1">
      <w:pPr>
        <w:spacing w:after="160" w:line="259" w:lineRule="auto"/>
        <w:rPr>
          <w:rFonts w:asciiTheme="majorHAnsi" w:eastAsiaTheme="majorEastAsia" w:hAnsiTheme="majorHAnsi" w:cstheme="majorBidi"/>
          <w:color w:val="2F5496" w:themeColor="accent1" w:themeShade="BF"/>
          <w:sz w:val="32"/>
          <w:szCs w:val="32"/>
          <w:u w:val="single"/>
        </w:rPr>
      </w:pPr>
      <w:r>
        <w:rPr>
          <w:u w:val="single"/>
        </w:rPr>
        <w:br w:type="page"/>
      </w:r>
    </w:p>
    <w:p w14:paraId="2C50D6DA" w14:textId="32D87568" w:rsidR="00963EEA" w:rsidRDefault="00F2585C" w:rsidP="00F2585C">
      <w:pPr>
        <w:pStyle w:val="Heading1"/>
      </w:pPr>
      <w:bookmarkStart w:id="88" w:name="_Toc88748512"/>
      <w:r w:rsidRPr="005A7FBF">
        <w:rPr>
          <w:u w:val="single"/>
        </w:rPr>
        <w:lastRenderedPageBreak/>
        <w:t xml:space="preserve">ATTACHMENT </w:t>
      </w:r>
      <w:r w:rsidR="002B4062" w:rsidRPr="005A7FBF">
        <w:rPr>
          <w:u w:val="single"/>
        </w:rPr>
        <w:t>A</w:t>
      </w:r>
      <w:r>
        <w:t>: AU-UK FTA NEGOTIATIONS – AGREEMENT IN PRINCIPLE</w:t>
      </w:r>
      <w:bookmarkEnd w:id="88"/>
    </w:p>
    <w:p w14:paraId="03C81CE2" w14:textId="2F08C260" w:rsidR="00667D72" w:rsidRDefault="00667D72" w:rsidP="00667D72"/>
    <w:p w14:paraId="19849C8C" w14:textId="49A9E17C" w:rsidR="00667D72" w:rsidRPr="002C36D8" w:rsidRDefault="00667D72" w:rsidP="00667D72">
      <w:pPr>
        <w:spacing w:line="256" w:lineRule="auto"/>
        <w:rPr>
          <w:rFonts w:cstheme="minorHAnsi"/>
          <w:bCs/>
          <w:iCs/>
          <w:sz w:val="24"/>
          <w:szCs w:val="24"/>
          <w:u w:val="single"/>
        </w:rPr>
      </w:pPr>
      <w:bookmarkStart w:id="89" w:name="_Hlk74644613"/>
      <w:r w:rsidRPr="00667D72">
        <w:rPr>
          <w:rFonts w:cstheme="minorHAnsi"/>
          <w:b/>
          <w:bCs/>
          <w:iCs/>
          <w:sz w:val="24"/>
          <w:szCs w:val="24"/>
          <w:u w:val="single"/>
        </w:rPr>
        <w:t xml:space="preserve">FTA Negotiations: </w:t>
      </w:r>
      <w:r w:rsidR="00924252" w:rsidRPr="00924252">
        <w:rPr>
          <w:rFonts w:cstheme="minorHAnsi"/>
          <w:iCs/>
          <w:sz w:val="24"/>
          <w:szCs w:val="24"/>
          <w:u w:val="single"/>
        </w:rPr>
        <w:t>A</w:t>
      </w:r>
      <w:r w:rsidRPr="00667D72">
        <w:rPr>
          <w:rFonts w:cstheme="minorHAnsi"/>
          <w:bCs/>
          <w:iCs/>
          <w:sz w:val="24"/>
          <w:szCs w:val="24"/>
          <w:u w:val="single"/>
        </w:rPr>
        <w:t xml:space="preserve">greement in principle </w:t>
      </w:r>
      <w:bookmarkEnd w:id="89"/>
    </w:p>
    <w:p w14:paraId="0F765804" w14:textId="77777777" w:rsidR="00667D72" w:rsidRPr="00667D72" w:rsidRDefault="00667D72" w:rsidP="00667D72">
      <w:pPr>
        <w:spacing w:line="256" w:lineRule="auto"/>
        <w:rPr>
          <w:rFonts w:cstheme="minorHAnsi"/>
          <w:b/>
          <w:sz w:val="24"/>
          <w:szCs w:val="24"/>
        </w:rPr>
      </w:pPr>
      <w:r w:rsidRPr="00667D72">
        <w:rPr>
          <w:rFonts w:cstheme="minorHAnsi"/>
          <w:b/>
          <w:sz w:val="24"/>
          <w:szCs w:val="24"/>
        </w:rPr>
        <w:t>GOODS</w:t>
      </w:r>
    </w:p>
    <w:p w14:paraId="141625CA" w14:textId="233ED29F" w:rsidR="00667D72" w:rsidRPr="00667D72" w:rsidRDefault="00667D72" w:rsidP="00667D72">
      <w:pPr>
        <w:spacing w:line="256" w:lineRule="auto"/>
        <w:rPr>
          <w:rFonts w:cstheme="minorHAnsi"/>
          <w:color w:val="000000" w:themeColor="text1"/>
          <w:sz w:val="24"/>
          <w:szCs w:val="24"/>
        </w:rPr>
      </w:pPr>
      <w:r w:rsidRPr="00667D72">
        <w:rPr>
          <w:rFonts w:cstheme="minorHAnsi"/>
          <w:b/>
          <w:bCs/>
          <w:color w:val="000000" w:themeColor="text1"/>
          <w:sz w:val="24"/>
          <w:szCs w:val="24"/>
        </w:rPr>
        <w:t>Trade in Goods [Note, see also Goods Market Access]</w:t>
      </w:r>
    </w:p>
    <w:p w14:paraId="16929479" w14:textId="4C2E6B91" w:rsidR="00667D72" w:rsidRPr="002C36D8" w:rsidRDefault="00667D72" w:rsidP="00667D72">
      <w:pPr>
        <w:rPr>
          <w:rFonts w:cstheme="minorHAnsi"/>
          <w:color w:val="000000" w:themeColor="text1"/>
          <w:sz w:val="24"/>
          <w:szCs w:val="24"/>
        </w:rPr>
      </w:pPr>
      <w:r w:rsidRPr="00667D72">
        <w:rPr>
          <w:rFonts w:cstheme="minorHAnsi"/>
          <w:i/>
          <w:iCs/>
          <w:color w:val="000000" w:themeColor="text1"/>
          <w:sz w:val="24"/>
          <w:szCs w:val="24"/>
        </w:rPr>
        <w:t xml:space="preserve">Australia and the UK commit to establishing mechanisms that will provide for the liberalisation of tariffs on each other’s goods and that will address non-tariff barriers to trade between our two countries. Australia and the UK will commit to providing the most liberal possible treatment for goods of interest to both countries, while </w:t>
      </w:r>
      <w:proofErr w:type="gramStart"/>
      <w:r w:rsidRPr="00667D72">
        <w:rPr>
          <w:rFonts w:cstheme="minorHAnsi"/>
          <w:i/>
          <w:iCs/>
          <w:color w:val="000000" w:themeColor="text1"/>
          <w:sz w:val="24"/>
          <w:szCs w:val="24"/>
        </w:rPr>
        <w:t>taking into account</w:t>
      </w:r>
      <w:proofErr w:type="gramEnd"/>
      <w:r w:rsidRPr="00667D72">
        <w:rPr>
          <w:rFonts w:cstheme="minorHAnsi"/>
          <w:i/>
          <w:iCs/>
          <w:color w:val="000000" w:themeColor="text1"/>
          <w:sz w:val="24"/>
          <w:szCs w:val="24"/>
        </w:rPr>
        <w:t xml:space="preserve"> product sensitivities. </w:t>
      </w:r>
    </w:p>
    <w:p w14:paraId="1056A487" w14:textId="77777777" w:rsidR="00667D72" w:rsidRPr="00667D72" w:rsidRDefault="00667D72" w:rsidP="00667D72">
      <w:pPr>
        <w:rPr>
          <w:rFonts w:cstheme="minorHAnsi"/>
          <w:color w:val="000000" w:themeColor="text1"/>
          <w:sz w:val="24"/>
          <w:szCs w:val="24"/>
        </w:rPr>
      </w:pPr>
      <w:r w:rsidRPr="00667D72">
        <w:rPr>
          <w:rFonts w:cstheme="minorHAnsi"/>
          <w:color w:val="000000" w:themeColor="text1"/>
          <w:sz w:val="24"/>
          <w:szCs w:val="24"/>
        </w:rPr>
        <w:t>Commitments in the Trade in Goods Chapter will include:</w:t>
      </w:r>
    </w:p>
    <w:p w14:paraId="66F275DB" w14:textId="77777777" w:rsidR="00667D72" w:rsidRPr="00667D72" w:rsidRDefault="00667D72" w:rsidP="00667D72">
      <w:pPr>
        <w:pStyle w:val="ListParagraph"/>
        <w:numPr>
          <w:ilvl w:val="0"/>
          <w:numId w:val="25"/>
        </w:numPr>
        <w:spacing w:line="252" w:lineRule="auto"/>
        <w:rPr>
          <w:rFonts w:eastAsiaTheme="minorEastAsia" w:cstheme="minorHAnsi"/>
          <w:color w:val="000000" w:themeColor="text1"/>
          <w:sz w:val="24"/>
          <w:szCs w:val="24"/>
        </w:rPr>
      </w:pPr>
      <w:r w:rsidRPr="00667D72">
        <w:rPr>
          <w:rFonts w:cstheme="minorHAnsi"/>
          <w:color w:val="000000" w:themeColor="text1"/>
          <w:sz w:val="24"/>
          <w:szCs w:val="24"/>
        </w:rPr>
        <w:t>A commitment for the UK and Australia to eliminate customs duties on originating goods of the other country in accordance with the tariff elimination schedules [to be finalised].</w:t>
      </w:r>
    </w:p>
    <w:p w14:paraId="7EA02FD7" w14:textId="77777777" w:rsidR="00667D72" w:rsidRPr="00667D72" w:rsidRDefault="00667D72" w:rsidP="00667D72">
      <w:pPr>
        <w:pStyle w:val="ListParagraph"/>
        <w:numPr>
          <w:ilvl w:val="0"/>
          <w:numId w:val="25"/>
        </w:numPr>
        <w:spacing w:line="252" w:lineRule="auto"/>
        <w:rPr>
          <w:rFonts w:eastAsiaTheme="minorEastAsia" w:cstheme="minorHAnsi"/>
          <w:color w:val="000000" w:themeColor="text1"/>
          <w:sz w:val="24"/>
          <w:szCs w:val="24"/>
        </w:rPr>
      </w:pPr>
      <w:r w:rsidRPr="00667D72">
        <w:rPr>
          <w:rFonts w:cstheme="minorHAnsi"/>
          <w:color w:val="000000" w:themeColor="text1"/>
          <w:sz w:val="24"/>
          <w:szCs w:val="24"/>
        </w:rPr>
        <w:t>A commitment on technical consultations on non-tariff measures at the request of either the UK or Australia.</w:t>
      </w:r>
    </w:p>
    <w:p w14:paraId="625850C7" w14:textId="77777777" w:rsidR="00667D72" w:rsidRPr="00667D72" w:rsidRDefault="00667D72" w:rsidP="00667D72">
      <w:pPr>
        <w:pStyle w:val="ListParagraph"/>
        <w:numPr>
          <w:ilvl w:val="0"/>
          <w:numId w:val="25"/>
        </w:numPr>
        <w:spacing w:line="252" w:lineRule="auto"/>
        <w:rPr>
          <w:rFonts w:eastAsiaTheme="minorEastAsia" w:cstheme="minorHAnsi"/>
          <w:color w:val="000000" w:themeColor="text1"/>
          <w:sz w:val="24"/>
          <w:szCs w:val="24"/>
        </w:rPr>
      </w:pPr>
      <w:r w:rsidRPr="00667D72">
        <w:rPr>
          <w:rFonts w:cstheme="minorHAnsi"/>
          <w:color w:val="000000" w:themeColor="text1"/>
          <w:sz w:val="24"/>
          <w:szCs w:val="24"/>
        </w:rPr>
        <w:t>Establish a Committee on Trade in Goods.</w:t>
      </w:r>
    </w:p>
    <w:p w14:paraId="711FBDED" w14:textId="77777777" w:rsidR="00667D72" w:rsidRPr="00667D72" w:rsidRDefault="00667D72" w:rsidP="00667D72">
      <w:pPr>
        <w:pStyle w:val="ListParagraph"/>
        <w:numPr>
          <w:ilvl w:val="0"/>
          <w:numId w:val="25"/>
        </w:numPr>
        <w:spacing w:line="252" w:lineRule="auto"/>
        <w:rPr>
          <w:rFonts w:eastAsiaTheme="minorEastAsia" w:cstheme="minorHAnsi"/>
          <w:color w:val="000000" w:themeColor="text1"/>
          <w:sz w:val="24"/>
          <w:szCs w:val="24"/>
        </w:rPr>
      </w:pPr>
      <w:r w:rsidRPr="00667D72">
        <w:rPr>
          <w:rFonts w:cstheme="minorHAnsi"/>
          <w:color w:val="000000" w:themeColor="text1"/>
          <w:sz w:val="24"/>
          <w:szCs w:val="24"/>
        </w:rPr>
        <w:t>Australia and the UK will share tariff preference utilisation data.</w:t>
      </w:r>
    </w:p>
    <w:p w14:paraId="739C4B18" w14:textId="6C1B5672" w:rsidR="00667D72" w:rsidRPr="00667D72" w:rsidRDefault="00667D72" w:rsidP="00667D72">
      <w:pPr>
        <w:spacing w:line="254" w:lineRule="auto"/>
        <w:rPr>
          <w:rFonts w:cstheme="minorHAnsi"/>
          <w:b/>
          <w:sz w:val="24"/>
          <w:szCs w:val="24"/>
        </w:rPr>
      </w:pPr>
      <w:r w:rsidRPr="00667D72">
        <w:rPr>
          <w:rFonts w:cstheme="minorHAnsi"/>
          <w:b/>
          <w:sz w:val="24"/>
          <w:szCs w:val="24"/>
        </w:rPr>
        <w:t>Goods Market Access</w:t>
      </w:r>
    </w:p>
    <w:p w14:paraId="00CF993F" w14:textId="51240BCE" w:rsidR="00667D72" w:rsidRPr="002C36D8" w:rsidRDefault="00667D72" w:rsidP="00667D72">
      <w:pPr>
        <w:spacing w:line="256" w:lineRule="auto"/>
        <w:rPr>
          <w:rFonts w:cstheme="minorHAnsi"/>
          <w:i/>
          <w:sz w:val="24"/>
          <w:szCs w:val="24"/>
        </w:rPr>
      </w:pPr>
      <w:r w:rsidRPr="00667D72">
        <w:rPr>
          <w:rFonts w:cstheme="minorHAnsi"/>
          <w:i/>
          <w:sz w:val="24"/>
          <w:szCs w:val="24"/>
        </w:rPr>
        <w:t xml:space="preserve">Australia and the UK commit to the liberalisation of tariffs on trade in goods between our two countries, while </w:t>
      </w:r>
      <w:proofErr w:type="gramStart"/>
      <w:r w:rsidRPr="00667D72">
        <w:rPr>
          <w:rFonts w:cstheme="minorHAnsi"/>
          <w:i/>
          <w:sz w:val="24"/>
          <w:szCs w:val="24"/>
        </w:rPr>
        <w:t>taking into account</w:t>
      </w:r>
      <w:proofErr w:type="gramEnd"/>
      <w:r w:rsidRPr="00667D72">
        <w:rPr>
          <w:rFonts w:cstheme="minorHAnsi"/>
          <w:i/>
          <w:sz w:val="24"/>
          <w:szCs w:val="24"/>
        </w:rPr>
        <w:t xml:space="preserve"> product sensitivities.</w:t>
      </w:r>
    </w:p>
    <w:p w14:paraId="4A328DCB" w14:textId="5DB57495" w:rsidR="00667D72" w:rsidRPr="002C36D8" w:rsidRDefault="00667D72" w:rsidP="00667D72">
      <w:pPr>
        <w:spacing w:line="256" w:lineRule="auto"/>
        <w:rPr>
          <w:rFonts w:cstheme="minorHAnsi"/>
          <w:sz w:val="24"/>
          <w:szCs w:val="24"/>
        </w:rPr>
      </w:pPr>
      <w:r w:rsidRPr="00667D72">
        <w:rPr>
          <w:rFonts w:cstheme="minorHAnsi"/>
          <w:sz w:val="24"/>
          <w:szCs w:val="24"/>
        </w:rPr>
        <w:t>Commitments will include:</w:t>
      </w:r>
    </w:p>
    <w:p w14:paraId="10768209" w14:textId="77777777" w:rsidR="00667D72" w:rsidRPr="00667D72" w:rsidRDefault="00667D72" w:rsidP="00667D72">
      <w:pPr>
        <w:pStyle w:val="paragraph"/>
        <w:numPr>
          <w:ilvl w:val="0"/>
          <w:numId w:val="5"/>
        </w:numPr>
        <w:spacing w:before="0" w:beforeAutospacing="0" w:after="0" w:afterAutospacing="0"/>
        <w:rPr>
          <w:rFonts w:asciiTheme="minorHAnsi" w:eastAsiaTheme="minorEastAsia" w:hAnsiTheme="minorHAnsi" w:cstheme="minorHAnsi"/>
        </w:rPr>
      </w:pPr>
      <w:r w:rsidRPr="00667D72">
        <w:rPr>
          <w:rFonts w:asciiTheme="minorHAnsi" w:hAnsiTheme="minorHAnsi" w:cstheme="minorHAnsi"/>
          <w:lang w:val="en-US"/>
        </w:rPr>
        <w:t>Full </w:t>
      </w:r>
      <w:r w:rsidRPr="00667D72">
        <w:rPr>
          <w:rFonts w:asciiTheme="minorHAnsi" w:hAnsiTheme="minorHAnsi" w:cstheme="minorHAnsi"/>
        </w:rPr>
        <w:t>liberalisation of UK originating goods entering Australia.</w:t>
      </w:r>
    </w:p>
    <w:p w14:paraId="2D674C37" w14:textId="77777777" w:rsidR="00667D72" w:rsidRPr="00667D72" w:rsidRDefault="00667D72" w:rsidP="00667D72">
      <w:pPr>
        <w:pStyle w:val="paragraph"/>
        <w:numPr>
          <w:ilvl w:val="0"/>
          <w:numId w:val="5"/>
        </w:numPr>
        <w:spacing w:before="0" w:beforeAutospacing="0" w:after="0" w:afterAutospacing="0"/>
        <w:rPr>
          <w:rFonts w:asciiTheme="minorHAnsi" w:eastAsiaTheme="minorEastAsia" w:hAnsiTheme="minorHAnsi" w:cstheme="minorHAnsi"/>
        </w:rPr>
      </w:pPr>
      <w:r w:rsidRPr="00667D72">
        <w:rPr>
          <w:rFonts w:asciiTheme="minorHAnsi" w:hAnsiTheme="minorHAnsi" w:cstheme="minorHAnsi"/>
        </w:rPr>
        <w:t>Full liberalisation of Australian originating goods entering UK, while taking account of UK product sensitivities. This includes but is not limited to:</w:t>
      </w:r>
    </w:p>
    <w:p w14:paraId="6EE3B59D" w14:textId="77777777" w:rsidR="00667D72" w:rsidRPr="00667D72" w:rsidRDefault="00667D72" w:rsidP="00667D72">
      <w:pPr>
        <w:pStyle w:val="paragraph"/>
        <w:numPr>
          <w:ilvl w:val="1"/>
          <w:numId w:val="5"/>
        </w:numPr>
        <w:spacing w:before="0" w:beforeAutospacing="0" w:after="0" w:afterAutospacing="0"/>
        <w:rPr>
          <w:rFonts w:asciiTheme="minorHAnsi" w:eastAsiaTheme="minorEastAsia" w:hAnsiTheme="minorHAnsi" w:cstheme="minorHAnsi"/>
          <w:strike/>
          <w:lang w:val="en-AU"/>
        </w:rPr>
      </w:pPr>
      <w:r w:rsidRPr="00667D72">
        <w:rPr>
          <w:rFonts w:asciiTheme="minorHAnsi" w:hAnsiTheme="minorHAnsi" w:cstheme="minorHAnsi"/>
          <w:lang w:val="en-AU"/>
        </w:rPr>
        <w:t xml:space="preserve">Increasing TRQ volumes on beef over 10 years, with access to a duty-free transitional quota of 35,000 tonnes on EIF, rising in equal instalments to 110,000 tonnes in year 10.  In the subsequent 5 years (year 11-15 after entry into force) a product specific safeguard will be applied on beef imports exceeding a further volume threshold rising in equal instalments to 170,000 tonnes, levying a safeguard duty of 20% for the rest of the calendar year. Out of quota tariffs will remain at MFN until year 10 and then be eliminated. </w:t>
      </w:r>
    </w:p>
    <w:p w14:paraId="30BB4DDC" w14:textId="4C6C6735" w:rsidR="00667D72" w:rsidRPr="00667D72" w:rsidRDefault="00667D72" w:rsidP="00667D72">
      <w:pPr>
        <w:pStyle w:val="paragraph"/>
        <w:numPr>
          <w:ilvl w:val="1"/>
          <w:numId w:val="5"/>
        </w:numPr>
        <w:spacing w:before="0" w:beforeAutospacing="0" w:after="0" w:afterAutospacing="0"/>
        <w:rPr>
          <w:rFonts w:asciiTheme="minorHAnsi" w:eastAsiaTheme="minorEastAsia" w:hAnsiTheme="minorHAnsi" w:cstheme="minorHAnsi"/>
          <w:strike/>
          <w:lang w:val="en-AU"/>
        </w:rPr>
      </w:pPr>
      <w:r w:rsidRPr="00667D72">
        <w:rPr>
          <w:rFonts w:asciiTheme="minorHAnsi" w:hAnsiTheme="minorHAnsi" w:cstheme="minorHAnsi"/>
          <w:lang w:val="en-AU"/>
        </w:rPr>
        <w:t>Increasing TRQ volumes on sheep</w:t>
      </w:r>
      <w:r w:rsidR="006534D9">
        <w:rPr>
          <w:rFonts w:asciiTheme="minorHAnsi" w:hAnsiTheme="minorHAnsi" w:cstheme="minorHAnsi"/>
          <w:lang w:val="en-AU"/>
        </w:rPr>
        <w:t xml:space="preserve"> </w:t>
      </w:r>
      <w:r w:rsidRPr="00667D72">
        <w:rPr>
          <w:rFonts w:asciiTheme="minorHAnsi" w:hAnsiTheme="minorHAnsi" w:cstheme="minorHAnsi"/>
          <w:lang w:val="en-AU"/>
        </w:rPr>
        <w:t>meat over 10 years, with a duty-free transitional quota of 25,000 tonnes on EIF rising in equal instalments to 75,000 tonnes in year 10. In the subsequent 5 years (year 11-15 after entry into force) a product specific safeguard will be applied on sheep</w:t>
      </w:r>
      <w:r w:rsidR="006534D9">
        <w:rPr>
          <w:rFonts w:asciiTheme="minorHAnsi" w:hAnsiTheme="minorHAnsi" w:cstheme="minorHAnsi"/>
          <w:lang w:val="en-AU"/>
        </w:rPr>
        <w:t xml:space="preserve"> </w:t>
      </w:r>
      <w:r w:rsidRPr="00667D72">
        <w:rPr>
          <w:rFonts w:asciiTheme="minorHAnsi" w:hAnsiTheme="minorHAnsi" w:cstheme="minorHAnsi"/>
          <w:lang w:val="en-AU"/>
        </w:rPr>
        <w:t xml:space="preserve">meat imports exceeding a further volume threshold rising in equal instalments to 125,000 tonnes, levying a safeguard duty of 20% for the rest of the calendar year.  Out of quota tariffs will remain at MFN until year 10 and then be eliminated. </w:t>
      </w:r>
    </w:p>
    <w:p w14:paraId="1CA6B449" w14:textId="77777777" w:rsidR="00667D72" w:rsidRPr="00667D72" w:rsidRDefault="00667D72" w:rsidP="00667D72">
      <w:pPr>
        <w:pStyle w:val="paragraph"/>
        <w:numPr>
          <w:ilvl w:val="1"/>
          <w:numId w:val="5"/>
        </w:numPr>
        <w:spacing w:before="0" w:beforeAutospacing="0" w:after="0" w:afterAutospacing="0"/>
        <w:rPr>
          <w:rFonts w:asciiTheme="minorHAnsi" w:eastAsiaTheme="minorEastAsia" w:hAnsiTheme="minorHAnsi" w:cstheme="minorHAnsi"/>
          <w:strike/>
          <w:lang w:val="en-AU"/>
        </w:rPr>
      </w:pPr>
      <w:r w:rsidRPr="00667D72">
        <w:rPr>
          <w:rFonts w:asciiTheme="minorHAnsi" w:hAnsiTheme="minorHAnsi" w:cstheme="minorHAnsi"/>
          <w:lang w:val="en-AU"/>
        </w:rPr>
        <w:t>Tariffs on sugar will be eliminated in equal instalments over 8 years with a duty-free quota of 80,000kt tonnes on EIF rising in equal instalments to 220,000 at year 8.</w:t>
      </w:r>
    </w:p>
    <w:p w14:paraId="425F134F" w14:textId="77777777" w:rsidR="00667D72" w:rsidRPr="00667D72" w:rsidRDefault="00667D72" w:rsidP="00667D72">
      <w:pPr>
        <w:pStyle w:val="paragraph"/>
        <w:numPr>
          <w:ilvl w:val="1"/>
          <w:numId w:val="5"/>
        </w:numPr>
        <w:spacing w:before="0" w:beforeAutospacing="0" w:after="0" w:afterAutospacing="0"/>
        <w:rPr>
          <w:rFonts w:asciiTheme="minorHAnsi" w:eastAsiaTheme="minorEastAsia" w:hAnsiTheme="minorHAnsi" w:cstheme="minorHAnsi"/>
          <w:strike/>
          <w:lang w:val="en-AU"/>
        </w:rPr>
      </w:pPr>
      <w:r w:rsidRPr="00667D72">
        <w:rPr>
          <w:rFonts w:asciiTheme="minorHAnsi" w:hAnsiTheme="minorHAnsi" w:cstheme="minorHAnsi"/>
          <w:lang w:val="en-AU"/>
        </w:rPr>
        <w:t xml:space="preserve">Tariffs on dairy will be eliminated in equal instalments over 5 years.  There will be a duty-free transitional quota for cheese of 24,000 tonnes rising in equal </w:t>
      </w:r>
      <w:r w:rsidRPr="00667D72">
        <w:rPr>
          <w:rFonts w:asciiTheme="minorHAnsi" w:hAnsiTheme="minorHAnsi" w:cstheme="minorHAnsi"/>
          <w:lang w:val="en-AU"/>
        </w:rPr>
        <w:lastRenderedPageBreak/>
        <w:t xml:space="preserve">instalments to 48,000 tonnes in year 5. There will be a duty-free transitional quota for non-cheese dairy of 20,000 tonnes. There will be a further duty-free transitional quota for butter of 5,500 tonnes rising to 11,500 tonnes in year five. </w:t>
      </w:r>
    </w:p>
    <w:p w14:paraId="54749FC8" w14:textId="77777777" w:rsidR="00667D72" w:rsidRPr="00667D72" w:rsidRDefault="00667D72" w:rsidP="00667D72">
      <w:pPr>
        <w:pStyle w:val="paragraph"/>
        <w:numPr>
          <w:ilvl w:val="1"/>
          <w:numId w:val="5"/>
        </w:numPr>
        <w:spacing w:before="0" w:beforeAutospacing="0" w:after="0" w:afterAutospacing="0"/>
        <w:rPr>
          <w:rFonts w:asciiTheme="minorHAnsi" w:eastAsiaTheme="minorEastAsia" w:hAnsiTheme="minorHAnsi" w:cstheme="minorHAnsi"/>
          <w:strike/>
          <w:lang w:val="en-AU"/>
        </w:rPr>
      </w:pPr>
      <w:r w:rsidRPr="00667D72">
        <w:rPr>
          <w:rFonts w:asciiTheme="minorHAnsi" w:hAnsiTheme="minorHAnsi" w:cstheme="minorHAnsi"/>
          <w:lang w:val="en-AU"/>
        </w:rPr>
        <w:t xml:space="preserve">There will be a permanent duty-free quota of 1,000 tonnes per year for long-grain milled rice, with tariff elimination on EIF for short and medium-grain milled rice.  </w:t>
      </w:r>
    </w:p>
    <w:p w14:paraId="19228C95" w14:textId="77777777" w:rsidR="00667D72" w:rsidRPr="00667D72" w:rsidRDefault="00667D72" w:rsidP="00667D72">
      <w:pPr>
        <w:pStyle w:val="paragraph"/>
        <w:numPr>
          <w:ilvl w:val="1"/>
          <w:numId w:val="5"/>
        </w:numPr>
        <w:spacing w:before="0" w:beforeAutospacing="0" w:after="0" w:afterAutospacing="0"/>
        <w:rPr>
          <w:rFonts w:asciiTheme="minorHAnsi" w:hAnsiTheme="minorHAnsi" w:cstheme="minorHAnsi"/>
        </w:rPr>
      </w:pPr>
      <w:r w:rsidRPr="00667D72">
        <w:rPr>
          <w:rFonts w:asciiTheme="minorHAnsi" w:hAnsiTheme="minorHAnsi" w:cstheme="minorHAnsi"/>
        </w:rPr>
        <w:t>Transitional quotas will be single quotas for the products indicated above, with no additional conditions.  Transitional quotas will be managed by the Australian Government on the same basis as Australia’s country-specific quota access under the WTO.</w:t>
      </w:r>
    </w:p>
    <w:p w14:paraId="5D77EA32" w14:textId="77777777" w:rsidR="00667D72" w:rsidRPr="00667D72" w:rsidRDefault="00667D72" w:rsidP="00667D72">
      <w:pPr>
        <w:pStyle w:val="paragraph"/>
        <w:numPr>
          <w:ilvl w:val="1"/>
          <w:numId w:val="5"/>
        </w:numPr>
        <w:spacing w:before="0" w:beforeAutospacing="0" w:after="0" w:afterAutospacing="0"/>
        <w:rPr>
          <w:rFonts w:asciiTheme="minorHAnsi" w:eastAsiaTheme="minorEastAsia" w:hAnsiTheme="minorHAnsi" w:cstheme="minorHAnsi"/>
          <w:strike/>
          <w:lang w:val="en-AU"/>
        </w:rPr>
      </w:pPr>
      <w:r w:rsidRPr="00667D72">
        <w:rPr>
          <w:rFonts w:asciiTheme="minorHAnsi" w:hAnsiTheme="minorHAnsi" w:cstheme="minorHAnsi"/>
        </w:rPr>
        <w:t>Neither side will seek additional access or faster tariff reduction through the UK’s accession to CPTPP.</w:t>
      </w:r>
    </w:p>
    <w:p w14:paraId="5C607799" w14:textId="77777777" w:rsidR="00667D72" w:rsidRPr="00667D72" w:rsidRDefault="00667D72" w:rsidP="00667D72">
      <w:pPr>
        <w:pStyle w:val="paragraph"/>
        <w:numPr>
          <w:ilvl w:val="0"/>
          <w:numId w:val="5"/>
        </w:numPr>
        <w:spacing w:before="0" w:beforeAutospacing="0" w:after="0" w:afterAutospacing="0"/>
        <w:rPr>
          <w:rFonts w:asciiTheme="minorHAnsi" w:hAnsiTheme="minorHAnsi" w:cstheme="minorHAnsi"/>
        </w:rPr>
      </w:pPr>
      <w:r w:rsidRPr="00667D72">
        <w:rPr>
          <w:rFonts w:asciiTheme="minorHAnsi" w:hAnsiTheme="minorHAnsi" w:cstheme="minorHAnsi"/>
        </w:rPr>
        <w:t xml:space="preserve">Both sides formalise their agreement on splits of TRQs at the WTO and Australia withdraws its objections to the UK’s goods schedule (including AMS) </w:t>
      </w:r>
      <w:proofErr w:type="gramStart"/>
      <w:r w:rsidRPr="00667D72">
        <w:rPr>
          <w:rFonts w:asciiTheme="minorHAnsi" w:hAnsiTheme="minorHAnsi" w:cstheme="minorHAnsi"/>
        </w:rPr>
        <w:t>in order to</w:t>
      </w:r>
      <w:proofErr w:type="gramEnd"/>
      <w:r w:rsidRPr="00667D72">
        <w:rPr>
          <w:rFonts w:asciiTheme="minorHAnsi" w:hAnsiTheme="minorHAnsi" w:cstheme="minorHAnsi"/>
        </w:rPr>
        <w:t xml:space="preserve"> provide certainty to traders in both countries.</w:t>
      </w:r>
    </w:p>
    <w:p w14:paraId="52525778" w14:textId="4054A80B" w:rsidR="00667D72" w:rsidRPr="002C36D8" w:rsidRDefault="00667D72" w:rsidP="00667D72">
      <w:pPr>
        <w:pStyle w:val="paragraph"/>
        <w:numPr>
          <w:ilvl w:val="0"/>
          <w:numId w:val="5"/>
        </w:numPr>
        <w:spacing w:before="0" w:beforeAutospacing="0" w:after="0" w:afterAutospacing="0"/>
        <w:rPr>
          <w:rFonts w:asciiTheme="minorHAnsi" w:hAnsiTheme="minorHAnsi" w:cstheme="minorHAnsi"/>
        </w:rPr>
      </w:pPr>
      <w:r w:rsidRPr="00667D72">
        <w:rPr>
          <w:rFonts w:asciiTheme="minorHAnsi" w:hAnsiTheme="minorHAnsi" w:cstheme="minorHAnsi"/>
        </w:rPr>
        <w:t>General bilateral safeguard mechanism for all goods to provide a safety net for industry if they face serious injury from increased imports as a direct consequence of the FTA.</w:t>
      </w:r>
    </w:p>
    <w:p w14:paraId="707D51E7" w14:textId="77777777" w:rsidR="002C36D8" w:rsidRDefault="002C36D8" w:rsidP="00667D72">
      <w:pPr>
        <w:spacing w:line="254" w:lineRule="auto"/>
        <w:rPr>
          <w:rFonts w:cstheme="minorHAnsi"/>
          <w:b/>
          <w:sz w:val="24"/>
          <w:szCs w:val="24"/>
        </w:rPr>
      </w:pPr>
    </w:p>
    <w:p w14:paraId="3BF285B7" w14:textId="0ABF85D1" w:rsidR="00667D72" w:rsidRPr="00667D72" w:rsidRDefault="00667D72" w:rsidP="00667D72">
      <w:pPr>
        <w:spacing w:line="254" w:lineRule="auto"/>
        <w:rPr>
          <w:rFonts w:cstheme="minorHAnsi"/>
          <w:b/>
          <w:sz w:val="24"/>
          <w:szCs w:val="24"/>
        </w:rPr>
      </w:pPr>
      <w:r w:rsidRPr="00667D72">
        <w:rPr>
          <w:rFonts w:cstheme="minorHAnsi"/>
          <w:b/>
          <w:sz w:val="24"/>
          <w:szCs w:val="24"/>
        </w:rPr>
        <w:t>Trade Remedies</w:t>
      </w:r>
    </w:p>
    <w:p w14:paraId="481F3FF9" w14:textId="39285730" w:rsidR="00667D72" w:rsidRPr="00667D72" w:rsidRDefault="00667D72" w:rsidP="00667D72">
      <w:pPr>
        <w:spacing w:line="256" w:lineRule="auto"/>
        <w:rPr>
          <w:rFonts w:cstheme="minorHAnsi"/>
          <w:i/>
          <w:sz w:val="24"/>
          <w:szCs w:val="24"/>
        </w:rPr>
      </w:pPr>
      <w:r w:rsidRPr="00667D72">
        <w:rPr>
          <w:rFonts w:cstheme="minorHAnsi"/>
          <w:i/>
          <w:sz w:val="24"/>
          <w:szCs w:val="24"/>
        </w:rPr>
        <w:t>Australia and the UK commit to including a chapter on Trade Remedies that will affirm both countries’ rights and obligations under the WTO framework, including safeguards. This ensures Australian and UK businesses can seek protection from unfair trading practices or unforeseen surges in imports</w:t>
      </w:r>
    </w:p>
    <w:p w14:paraId="71E61F5A" w14:textId="77777777" w:rsidR="00667D72" w:rsidRPr="00667D72" w:rsidRDefault="00667D72" w:rsidP="00667D72">
      <w:pPr>
        <w:pStyle w:val="ListParagraph"/>
        <w:numPr>
          <w:ilvl w:val="0"/>
          <w:numId w:val="5"/>
        </w:numPr>
        <w:spacing w:line="252" w:lineRule="auto"/>
        <w:rPr>
          <w:rFonts w:eastAsia="Calibri" w:cstheme="minorHAnsi"/>
          <w:sz w:val="24"/>
          <w:szCs w:val="24"/>
        </w:rPr>
      </w:pPr>
      <w:r w:rsidRPr="00667D72">
        <w:rPr>
          <w:rFonts w:cstheme="minorHAnsi"/>
          <w:sz w:val="24"/>
          <w:szCs w:val="24"/>
          <w:lang w:val="en-US"/>
        </w:rPr>
        <w:t>Affirmation of rights and obligations under the WTO Agreements on Safeguards, Anti-Dumping and Subsidies and Countervailing Measures.</w:t>
      </w:r>
    </w:p>
    <w:p w14:paraId="244DAF1E" w14:textId="77777777" w:rsidR="00667D72" w:rsidRPr="00667D72" w:rsidRDefault="00667D72" w:rsidP="00667D72">
      <w:pPr>
        <w:pStyle w:val="ListParagraph"/>
        <w:numPr>
          <w:ilvl w:val="0"/>
          <w:numId w:val="5"/>
        </w:numPr>
        <w:spacing w:line="252" w:lineRule="auto"/>
        <w:rPr>
          <w:rStyle w:val="normaltextrun"/>
          <w:rFonts w:eastAsia="Calibri" w:cstheme="minorHAnsi"/>
          <w:sz w:val="24"/>
          <w:szCs w:val="24"/>
        </w:rPr>
      </w:pPr>
      <w:r w:rsidRPr="00667D72">
        <w:rPr>
          <w:rStyle w:val="normaltextrun"/>
          <w:rFonts w:eastAsia="Calibri" w:cstheme="minorHAnsi"/>
          <w:color w:val="000000"/>
          <w:sz w:val="24"/>
          <w:szCs w:val="24"/>
          <w:bdr w:val="none" w:sz="0" w:space="0" w:color="auto" w:frame="1"/>
        </w:rPr>
        <w:t xml:space="preserve">Application of the “lesser duty rule” consistent with the WTO Agreement </w:t>
      </w:r>
      <w:r w:rsidRPr="00667D72">
        <w:rPr>
          <w:rStyle w:val="normaltextrun"/>
          <w:rFonts w:eastAsia="Calibri" w:cstheme="minorHAnsi"/>
          <w:sz w:val="24"/>
          <w:szCs w:val="24"/>
          <w:bdr w:val="none" w:sz="0" w:space="0" w:color="auto" w:frame="1"/>
        </w:rPr>
        <w:t xml:space="preserve">when imposing anti-dumping and countervailing duties. </w:t>
      </w:r>
    </w:p>
    <w:p w14:paraId="5343C945" w14:textId="77777777" w:rsidR="00667D72" w:rsidRPr="00667D72" w:rsidRDefault="00667D72" w:rsidP="00667D72">
      <w:pPr>
        <w:spacing w:line="256" w:lineRule="auto"/>
        <w:rPr>
          <w:rFonts w:cstheme="minorHAnsi"/>
          <w:b/>
          <w:sz w:val="24"/>
          <w:szCs w:val="24"/>
        </w:rPr>
      </w:pPr>
      <w:r w:rsidRPr="00667D72">
        <w:rPr>
          <w:rFonts w:cstheme="minorHAnsi"/>
          <w:b/>
          <w:sz w:val="24"/>
          <w:szCs w:val="24"/>
        </w:rPr>
        <w:t>Rules of Origin</w:t>
      </w:r>
    </w:p>
    <w:p w14:paraId="47AFE790" w14:textId="2A2BCDC7" w:rsidR="00667D72" w:rsidRPr="00667D72" w:rsidRDefault="00667D72" w:rsidP="00667D72">
      <w:pPr>
        <w:rPr>
          <w:rFonts w:cstheme="minorHAnsi"/>
          <w:i/>
          <w:sz w:val="24"/>
          <w:szCs w:val="24"/>
        </w:rPr>
      </w:pPr>
      <w:r w:rsidRPr="00667D72">
        <w:rPr>
          <w:rFonts w:cstheme="minorHAnsi"/>
          <w:i/>
          <w:sz w:val="24"/>
          <w:szCs w:val="24"/>
        </w:rPr>
        <w:t xml:space="preserve">Australia and the UK </w:t>
      </w:r>
      <w:r w:rsidRPr="00667D72">
        <w:rPr>
          <w:rFonts w:cstheme="minorHAnsi"/>
          <w:i/>
          <w:iCs/>
          <w:sz w:val="24"/>
          <w:szCs w:val="24"/>
        </w:rPr>
        <w:t>commit</w:t>
      </w:r>
      <w:r w:rsidRPr="00667D72" w:rsidDel="00835DC7">
        <w:rPr>
          <w:rFonts w:cstheme="minorHAnsi"/>
          <w:i/>
          <w:iCs/>
          <w:sz w:val="24"/>
          <w:szCs w:val="24"/>
        </w:rPr>
        <w:t xml:space="preserve"> </w:t>
      </w:r>
      <w:r w:rsidRPr="00667D72">
        <w:rPr>
          <w:rFonts w:cstheme="minorHAnsi"/>
          <w:i/>
          <w:iCs/>
          <w:sz w:val="24"/>
          <w:szCs w:val="24"/>
        </w:rPr>
        <w:t>to</w:t>
      </w:r>
      <w:r w:rsidRPr="00667D72">
        <w:rPr>
          <w:rFonts w:cstheme="minorHAnsi"/>
          <w:i/>
          <w:sz w:val="24"/>
          <w:szCs w:val="24"/>
        </w:rPr>
        <w:t xml:space="preserve"> Rules of Origin (</w:t>
      </w:r>
      <w:proofErr w:type="spellStart"/>
      <w:r w:rsidRPr="00667D72">
        <w:rPr>
          <w:rFonts w:cstheme="minorHAnsi"/>
          <w:i/>
          <w:sz w:val="24"/>
          <w:szCs w:val="24"/>
        </w:rPr>
        <w:t>RoO</w:t>
      </w:r>
      <w:proofErr w:type="spellEnd"/>
      <w:r w:rsidRPr="00667D72">
        <w:rPr>
          <w:rFonts w:cstheme="minorHAnsi"/>
          <w:i/>
          <w:sz w:val="24"/>
          <w:szCs w:val="24"/>
        </w:rPr>
        <w:t xml:space="preserve">) that will facilitate market access and reflect modern production processes, and existing and future global value chains. Commitments will boost efficiency, reduce </w:t>
      </w:r>
      <w:proofErr w:type="gramStart"/>
      <w:r w:rsidRPr="00667D72">
        <w:rPr>
          <w:rFonts w:cstheme="minorHAnsi"/>
          <w:i/>
          <w:sz w:val="24"/>
          <w:szCs w:val="24"/>
        </w:rPr>
        <w:t>costs</w:t>
      </w:r>
      <w:proofErr w:type="gramEnd"/>
      <w:r w:rsidRPr="00667D72">
        <w:rPr>
          <w:rFonts w:cstheme="minorHAnsi"/>
          <w:i/>
          <w:sz w:val="24"/>
          <w:szCs w:val="24"/>
        </w:rPr>
        <w:t xml:space="preserve"> and cut </w:t>
      </w:r>
      <w:r w:rsidRPr="00667D72">
        <w:rPr>
          <w:rFonts w:cstheme="minorHAnsi"/>
          <w:i/>
          <w:iCs/>
          <w:sz w:val="24"/>
          <w:szCs w:val="24"/>
        </w:rPr>
        <w:t>red tape</w:t>
      </w:r>
      <w:r w:rsidRPr="00667D72">
        <w:rPr>
          <w:rFonts w:cstheme="minorHAnsi"/>
          <w:i/>
          <w:sz w:val="24"/>
          <w:szCs w:val="24"/>
        </w:rPr>
        <w:t xml:space="preserve"> by making it simpler for traders and customs authorities to prove the originating status of goods. They will include rules for specific products that support each country’s economic and production interests. </w:t>
      </w:r>
    </w:p>
    <w:p w14:paraId="42536105" w14:textId="77777777" w:rsidR="00667D72" w:rsidRPr="00667D72" w:rsidRDefault="00667D72" w:rsidP="00667D72">
      <w:pPr>
        <w:rPr>
          <w:rFonts w:cstheme="minorHAnsi"/>
          <w:sz w:val="24"/>
          <w:szCs w:val="24"/>
        </w:rPr>
      </w:pPr>
      <w:r w:rsidRPr="00667D72">
        <w:rPr>
          <w:rFonts w:cstheme="minorHAnsi"/>
          <w:sz w:val="24"/>
          <w:szCs w:val="24"/>
        </w:rPr>
        <w:t>Commitments in the Rules of Origin Chapter will include:</w:t>
      </w:r>
    </w:p>
    <w:p w14:paraId="13BDD143" w14:textId="77777777" w:rsidR="00667D72" w:rsidRPr="00667D72" w:rsidRDefault="00667D72" w:rsidP="00667D72">
      <w:pPr>
        <w:numPr>
          <w:ilvl w:val="0"/>
          <w:numId w:val="3"/>
        </w:numPr>
        <w:ind w:left="434"/>
        <w:contextualSpacing/>
        <w:rPr>
          <w:rFonts w:cstheme="minorHAnsi"/>
          <w:sz w:val="24"/>
          <w:szCs w:val="24"/>
        </w:rPr>
      </w:pPr>
      <w:r w:rsidRPr="00667D72">
        <w:rPr>
          <w:rFonts w:cstheme="minorHAnsi"/>
          <w:sz w:val="24"/>
          <w:szCs w:val="24"/>
        </w:rPr>
        <w:t xml:space="preserve">Efficient and low-cost processes to prove originating status of goods, reducing the amount of paperwork at the border for traders and Customs authorities. </w:t>
      </w:r>
    </w:p>
    <w:p w14:paraId="7411C603" w14:textId="77777777" w:rsidR="00667D72" w:rsidRPr="00667D72" w:rsidRDefault="00667D72" w:rsidP="00667D72">
      <w:pPr>
        <w:numPr>
          <w:ilvl w:val="0"/>
          <w:numId w:val="3"/>
        </w:numPr>
        <w:ind w:left="434"/>
        <w:contextualSpacing/>
        <w:rPr>
          <w:rFonts w:cstheme="minorHAnsi"/>
          <w:sz w:val="24"/>
          <w:szCs w:val="24"/>
        </w:rPr>
      </w:pPr>
      <w:r w:rsidRPr="00667D72">
        <w:rPr>
          <w:rFonts w:cstheme="minorHAnsi"/>
          <w:sz w:val="24"/>
          <w:szCs w:val="24"/>
        </w:rPr>
        <w:t xml:space="preserve">Product Specific Rules (PSRs) which enable traders to make fair use of the reduced tariffs [ongoing]. </w:t>
      </w:r>
    </w:p>
    <w:p w14:paraId="68E656A6" w14:textId="77777777" w:rsidR="00667D72" w:rsidRPr="00667D72" w:rsidRDefault="00667D72" w:rsidP="00667D72">
      <w:pPr>
        <w:pStyle w:val="ListParagraph"/>
        <w:numPr>
          <w:ilvl w:val="0"/>
          <w:numId w:val="3"/>
        </w:numPr>
        <w:spacing w:after="0" w:line="240" w:lineRule="auto"/>
        <w:ind w:left="434"/>
        <w:rPr>
          <w:rFonts w:cstheme="minorHAnsi"/>
          <w:sz w:val="24"/>
          <w:szCs w:val="24"/>
        </w:rPr>
      </w:pPr>
      <w:r w:rsidRPr="00667D72">
        <w:rPr>
          <w:rFonts w:cstheme="minorHAnsi"/>
          <w:sz w:val="24"/>
          <w:szCs w:val="24"/>
        </w:rPr>
        <w:t xml:space="preserve">No requirement for verification visits by the importing country to ascertain if goods being imported into its territory are originating.   </w:t>
      </w:r>
    </w:p>
    <w:p w14:paraId="67971E5B" w14:textId="77777777" w:rsidR="00667D72" w:rsidRPr="00667D72" w:rsidRDefault="00667D72" w:rsidP="00667D72">
      <w:pPr>
        <w:numPr>
          <w:ilvl w:val="0"/>
          <w:numId w:val="3"/>
        </w:numPr>
        <w:ind w:left="434"/>
        <w:contextualSpacing/>
        <w:rPr>
          <w:rStyle w:val="normaltextrun"/>
          <w:rFonts w:cstheme="minorHAnsi"/>
          <w:sz w:val="24"/>
          <w:szCs w:val="24"/>
        </w:rPr>
      </w:pPr>
      <w:r w:rsidRPr="00667D72">
        <w:rPr>
          <w:rStyle w:val="normaltextrun"/>
          <w:rFonts w:cstheme="minorHAnsi"/>
          <w:sz w:val="24"/>
          <w:szCs w:val="24"/>
        </w:rPr>
        <w:t>Low value threshold for declarations of origin that allows for Australia to use the value of AUD 1000.</w:t>
      </w:r>
    </w:p>
    <w:p w14:paraId="2B747329" w14:textId="77777777" w:rsidR="00667D72" w:rsidRPr="00667D72" w:rsidRDefault="00667D72" w:rsidP="00667D72">
      <w:pPr>
        <w:numPr>
          <w:ilvl w:val="0"/>
          <w:numId w:val="3"/>
        </w:numPr>
        <w:ind w:left="434"/>
        <w:contextualSpacing/>
        <w:rPr>
          <w:rFonts w:cstheme="minorHAnsi"/>
          <w:sz w:val="24"/>
          <w:szCs w:val="24"/>
        </w:rPr>
      </w:pPr>
      <w:r w:rsidRPr="00667D72">
        <w:rPr>
          <w:rFonts w:cstheme="minorHAnsi"/>
          <w:sz w:val="24"/>
          <w:szCs w:val="24"/>
        </w:rPr>
        <w:t>PSRs which respect UK sensitivities in agricultural sectors such as fisheries and dairy, and do not include Regional Value Content (RVC) rules for agricultural goods</w:t>
      </w:r>
      <w:r w:rsidRPr="00667D72">
        <w:rPr>
          <w:rFonts w:cstheme="minorHAnsi"/>
          <w:b/>
          <w:sz w:val="24"/>
          <w:szCs w:val="24"/>
        </w:rPr>
        <w:t xml:space="preserve">. </w:t>
      </w:r>
      <w:r w:rsidRPr="00667D72">
        <w:rPr>
          <w:rFonts w:cstheme="minorHAnsi"/>
          <w:sz w:val="24"/>
          <w:szCs w:val="24"/>
        </w:rPr>
        <w:t>PSRs which enable UK automotive exports, including an RVC of 25% for cars.</w:t>
      </w:r>
    </w:p>
    <w:p w14:paraId="2D72A72A" w14:textId="77777777" w:rsidR="00667D72" w:rsidRPr="00667D72" w:rsidRDefault="00667D72" w:rsidP="00667D72">
      <w:pPr>
        <w:ind w:left="434"/>
        <w:contextualSpacing/>
        <w:rPr>
          <w:rFonts w:cstheme="minorHAnsi"/>
          <w:sz w:val="24"/>
          <w:szCs w:val="24"/>
        </w:rPr>
      </w:pPr>
    </w:p>
    <w:p w14:paraId="2283C3BC" w14:textId="77777777" w:rsidR="00667D72" w:rsidRPr="00667D72" w:rsidRDefault="00667D72" w:rsidP="00667D72">
      <w:pPr>
        <w:spacing w:line="256" w:lineRule="auto"/>
        <w:rPr>
          <w:rFonts w:cstheme="minorHAnsi"/>
          <w:b/>
          <w:sz w:val="24"/>
          <w:szCs w:val="24"/>
        </w:rPr>
      </w:pPr>
      <w:bookmarkStart w:id="90" w:name="_Hlk73378856"/>
      <w:r w:rsidRPr="00667D72">
        <w:rPr>
          <w:rFonts w:cstheme="minorHAnsi"/>
          <w:b/>
          <w:sz w:val="24"/>
          <w:szCs w:val="24"/>
        </w:rPr>
        <w:lastRenderedPageBreak/>
        <w:t>Customs Procedures and Trade Facilitation</w:t>
      </w:r>
    </w:p>
    <w:p w14:paraId="6C3A258A" w14:textId="162D8455" w:rsidR="00667D72" w:rsidRPr="00667D72" w:rsidRDefault="00667D72" w:rsidP="00667D72">
      <w:pPr>
        <w:rPr>
          <w:rFonts w:cstheme="minorHAnsi"/>
          <w:i/>
          <w:sz w:val="24"/>
          <w:szCs w:val="24"/>
        </w:rPr>
      </w:pPr>
      <w:r w:rsidRPr="00667D72">
        <w:rPr>
          <w:rFonts w:cstheme="minorHAnsi"/>
          <w:i/>
          <w:sz w:val="24"/>
          <w:szCs w:val="24"/>
        </w:rPr>
        <w:t>Australia and the UK commit to facilitating increased bilateral trade and efficient and transparent customs procedures, while also allowing the UK and Australia to maintain effective customs control. Goods will be released from customs within clear timeframes to provide certainty in the supply chain and reduce costs. Paperwork will be simpler, with more information available electronically. Our systems will boost confidence in the way we trade together, ensuring transparency and predictability at, and away from, the border.</w:t>
      </w:r>
    </w:p>
    <w:p w14:paraId="0DBF22A3" w14:textId="77777777" w:rsidR="00667D72" w:rsidRPr="00667D72" w:rsidRDefault="00667D72" w:rsidP="00667D72">
      <w:pPr>
        <w:rPr>
          <w:rFonts w:cstheme="minorHAnsi"/>
          <w:sz w:val="24"/>
          <w:szCs w:val="24"/>
        </w:rPr>
      </w:pPr>
      <w:r w:rsidRPr="00667D72">
        <w:rPr>
          <w:rFonts w:cstheme="minorHAnsi"/>
          <w:sz w:val="24"/>
          <w:szCs w:val="24"/>
        </w:rPr>
        <w:t>Commitments in the Customs Procedures and Trade Facilitation Chapter will include:</w:t>
      </w:r>
    </w:p>
    <w:p w14:paraId="78A0724C"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Goods to be released within 48 hours of arrival at customs where possible to provide certainty in the supply chain and reduce costs.</w:t>
      </w:r>
    </w:p>
    <w:p w14:paraId="3E4DB875"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Simplified paperwork requirements and a commitment to release shipments within 6 hours where possible for expedited shipments (for example fast-track parcels).</w:t>
      </w:r>
    </w:p>
    <w:p w14:paraId="46AA3B3E"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Release of perishable goods within 6 hours where possible to prevent avoidable loss or deterioration of perishable goods.</w:t>
      </w:r>
    </w:p>
    <w:p w14:paraId="0BAF9218"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Time period of 90 days for issuing advance rulings to traders.</w:t>
      </w:r>
    </w:p>
    <w:p w14:paraId="69844AA7"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Commitment not to require the use of customs brokers for import and export procedures.</w:t>
      </w:r>
    </w:p>
    <w:p w14:paraId="1330E1C1"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Detail concerning customs procedures to be made easily accessible to traders, including electronically, with review mechanisms available to traders for customs authority decisions.</w:t>
      </w:r>
    </w:p>
    <w:p w14:paraId="555170F8"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Commitment setting out how the UK and Australia may consider further simplification of customs procedures to benefit traders.</w:t>
      </w:r>
    </w:p>
    <w:p w14:paraId="3067BB5A" w14:textId="77777777" w:rsidR="00667D72" w:rsidRPr="00667D72" w:rsidRDefault="00667D72" w:rsidP="00667D72">
      <w:pPr>
        <w:numPr>
          <w:ilvl w:val="0"/>
          <w:numId w:val="2"/>
        </w:numPr>
        <w:spacing w:line="252" w:lineRule="auto"/>
        <w:contextualSpacing/>
        <w:rPr>
          <w:rFonts w:cstheme="minorHAnsi"/>
          <w:sz w:val="24"/>
          <w:szCs w:val="24"/>
        </w:rPr>
      </w:pPr>
      <w:r w:rsidRPr="00667D72">
        <w:rPr>
          <w:rFonts w:cstheme="minorHAnsi"/>
          <w:sz w:val="24"/>
          <w:szCs w:val="24"/>
        </w:rPr>
        <w:t xml:space="preserve">A separate bilateral instrument to be negotiated on Cooperation and Mutual Administrative Assistance in Customs Matters (CMAA) intended to be completed to the same timeframe as the FTA (by Autumn 2021) to support and strengthen customs cooperation. </w:t>
      </w:r>
    </w:p>
    <w:p w14:paraId="168B3CB2" w14:textId="77777777" w:rsidR="00667D72" w:rsidRPr="00667D72" w:rsidRDefault="00667D72" w:rsidP="00667D72">
      <w:pPr>
        <w:spacing w:line="252" w:lineRule="auto"/>
        <w:ind w:left="360"/>
        <w:contextualSpacing/>
        <w:rPr>
          <w:rFonts w:cstheme="minorHAnsi"/>
          <w:sz w:val="24"/>
          <w:szCs w:val="24"/>
        </w:rPr>
      </w:pPr>
    </w:p>
    <w:bookmarkEnd w:id="90"/>
    <w:p w14:paraId="76A439B3" w14:textId="77777777" w:rsidR="00667D72" w:rsidRPr="00667D72" w:rsidRDefault="00667D72" w:rsidP="00667D72">
      <w:pPr>
        <w:spacing w:line="254" w:lineRule="auto"/>
        <w:rPr>
          <w:rFonts w:cstheme="minorHAnsi"/>
          <w:b/>
          <w:sz w:val="24"/>
          <w:szCs w:val="24"/>
        </w:rPr>
      </w:pPr>
      <w:r w:rsidRPr="00667D72">
        <w:rPr>
          <w:rFonts w:cstheme="minorHAnsi"/>
          <w:b/>
          <w:sz w:val="24"/>
          <w:szCs w:val="24"/>
        </w:rPr>
        <w:t>Sanitary and Phytosanitary Measures</w:t>
      </w:r>
    </w:p>
    <w:p w14:paraId="15467B58" w14:textId="77777777" w:rsidR="00667D72" w:rsidRPr="00667D72" w:rsidRDefault="00667D72" w:rsidP="00667D72">
      <w:pPr>
        <w:spacing w:line="252" w:lineRule="auto"/>
        <w:rPr>
          <w:rFonts w:cstheme="minorHAnsi"/>
          <w:i/>
          <w:sz w:val="24"/>
          <w:szCs w:val="24"/>
        </w:rPr>
      </w:pPr>
      <w:r w:rsidRPr="00667D72">
        <w:rPr>
          <w:rFonts w:cstheme="minorHAnsi"/>
          <w:i/>
          <w:sz w:val="24"/>
          <w:szCs w:val="24"/>
        </w:rPr>
        <w:t xml:space="preserve">Australia and the UK will commit to provisions </w:t>
      </w:r>
      <w:r w:rsidRPr="00667D72">
        <w:rPr>
          <w:rFonts w:cstheme="minorHAnsi"/>
          <w:i/>
          <w:iCs/>
          <w:sz w:val="24"/>
          <w:szCs w:val="24"/>
        </w:rPr>
        <w:t xml:space="preserve">that </w:t>
      </w:r>
      <w:r w:rsidRPr="00667D72">
        <w:rPr>
          <w:rFonts w:cstheme="minorHAnsi"/>
          <w:i/>
          <w:sz w:val="24"/>
          <w:szCs w:val="24"/>
        </w:rPr>
        <w:t>facilitate</w:t>
      </w:r>
      <w:r w:rsidRPr="00667D72">
        <w:rPr>
          <w:rFonts w:cstheme="minorHAnsi"/>
          <w:i/>
          <w:iCs/>
          <w:sz w:val="24"/>
          <w:szCs w:val="24"/>
        </w:rPr>
        <w:t xml:space="preserve"> </w:t>
      </w:r>
      <w:r w:rsidRPr="00667D72">
        <w:rPr>
          <w:rFonts w:cstheme="minorHAnsi"/>
          <w:i/>
          <w:sz w:val="24"/>
          <w:szCs w:val="24"/>
        </w:rPr>
        <w:t>trade while ensuring protection of human, animal and plant life and health.</w:t>
      </w:r>
      <w:r w:rsidRPr="00667D72">
        <w:rPr>
          <w:rFonts w:cstheme="minorHAnsi"/>
          <w:sz w:val="24"/>
          <w:szCs w:val="24"/>
        </w:rPr>
        <w:t xml:space="preserve">  </w:t>
      </w:r>
      <w:r w:rsidRPr="00667D72">
        <w:rPr>
          <w:rFonts w:cstheme="minorHAnsi"/>
          <w:i/>
          <w:sz w:val="24"/>
          <w:szCs w:val="24"/>
        </w:rPr>
        <w:t xml:space="preserve">Imports will still have to meet the same respective UK and Australian food safety and biosecurity standards. Both the UK and Australia agree the importance of independent SPS regimes. </w:t>
      </w:r>
    </w:p>
    <w:p w14:paraId="4BF6A76D" w14:textId="77777777" w:rsidR="00667D72" w:rsidRPr="00667D72" w:rsidRDefault="00667D72" w:rsidP="00667D72">
      <w:pPr>
        <w:spacing w:line="252" w:lineRule="auto"/>
        <w:rPr>
          <w:rFonts w:cstheme="minorHAnsi"/>
          <w:sz w:val="24"/>
          <w:szCs w:val="24"/>
        </w:rPr>
      </w:pPr>
    </w:p>
    <w:p w14:paraId="5081CCE0" w14:textId="77777777" w:rsidR="00667D72" w:rsidRPr="00667D72" w:rsidRDefault="00667D72" w:rsidP="00667D72">
      <w:pPr>
        <w:spacing w:line="252" w:lineRule="auto"/>
        <w:rPr>
          <w:rFonts w:cstheme="minorHAnsi"/>
          <w:sz w:val="24"/>
          <w:szCs w:val="24"/>
        </w:rPr>
      </w:pPr>
      <w:r w:rsidRPr="00667D72">
        <w:rPr>
          <w:rFonts w:cstheme="minorHAnsi"/>
          <w:sz w:val="24"/>
          <w:szCs w:val="24"/>
        </w:rPr>
        <w:t>The SPS chapter will include trade facilitative provisions that build on WTO commitments relating to human, animal and plant life and health including:</w:t>
      </w:r>
    </w:p>
    <w:p w14:paraId="1E9D83C5" w14:textId="77777777" w:rsidR="00667D72" w:rsidRPr="00667D72" w:rsidRDefault="00667D72" w:rsidP="00667D72">
      <w:pPr>
        <w:numPr>
          <w:ilvl w:val="0"/>
          <w:numId w:val="5"/>
        </w:numPr>
        <w:spacing w:line="252" w:lineRule="auto"/>
        <w:contextualSpacing/>
        <w:rPr>
          <w:rFonts w:eastAsiaTheme="minorEastAsia" w:cstheme="minorHAnsi"/>
          <w:sz w:val="24"/>
          <w:szCs w:val="24"/>
        </w:rPr>
      </w:pPr>
      <w:bookmarkStart w:id="91" w:name="_Hlk74508586"/>
      <w:bookmarkStart w:id="92" w:name="_Hlk74207842"/>
      <w:r w:rsidRPr="00667D72">
        <w:rPr>
          <w:rFonts w:cstheme="minorHAnsi"/>
          <w:sz w:val="24"/>
          <w:szCs w:val="24"/>
        </w:rPr>
        <w:t>Recognition of the principle of equivalence of SPS measures where they achieve the other country’s appropriate level of protection</w:t>
      </w:r>
      <w:bookmarkEnd w:id="91"/>
      <w:r w:rsidRPr="00667D72">
        <w:rPr>
          <w:rFonts w:cstheme="minorHAnsi"/>
          <w:sz w:val="24"/>
          <w:szCs w:val="24"/>
        </w:rPr>
        <w:t>.</w:t>
      </w:r>
    </w:p>
    <w:p w14:paraId="1BD4E09B" w14:textId="77777777" w:rsidR="00667D72" w:rsidRPr="00667D72" w:rsidRDefault="00667D72" w:rsidP="00667D72">
      <w:pPr>
        <w:numPr>
          <w:ilvl w:val="0"/>
          <w:numId w:val="5"/>
        </w:numPr>
        <w:spacing w:line="252" w:lineRule="auto"/>
        <w:contextualSpacing/>
        <w:rPr>
          <w:rFonts w:eastAsiaTheme="minorEastAsia" w:cstheme="minorHAnsi"/>
          <w:sz w:val="24"/>
          <w:szCs w:val="24"/>
        </w:rPr>
      </w:pPr>
      <w:r w:rsidRPr="00667D72">
        <w:rPr>
          <w:rFonts w:cstheme="minorHAnsi"/>
          <w:sz w:val="24"/>
          <w:szCs w:val="24"/>
        </w:rPr>
        <w:t>Processes regarding the recognition of regional conditions (regionalisation) to build cooperation and promote confidence in the procedures followed by the UK and Australia</w:t>
      </w:r>
      <w:r w:rsidRPr="00667D72" w:rsidDel="00F55AE4">
        <w:rPr>
          <w:rFonts w:cstheme="minorHAnsi"/>
          <w:sz w:val="24"/>
          <w:szCs w:val="24"/>
        </w:rPr>
        <w:t>.</w:t>
      </w:r>
      <w:r w:rsidRPr="00667D72">
        <w:rPr>
          <w:rFonts w:cstheme="minorHAnsi"/>
          <w:sz w:val="24"/>
          <w:szCs w:val="24"/>
        </w:rPr>
        <w:t xml:space="preserve"> Ensure the UK and Australia can </w:t>
      </w:r>
      <w:proofErr w:type="gramStart"/>
      <w:r w:rsidRPr="00667D72">
        <w:rPr>
          <w:rFonts w:cstheme="minorHAnsi"/>
          <w:sz w:val="24"/>
          <w:szCs w:val="24"/>
        </w:rPr>
        <w:t>take into account</w:t>
      </w:r>
      <w:proofErr w:type="gramEnd"/>
      <w:r w:rsidRPr="00667D72">
        <w:rPr>
          <w:rFonts w:cstheme="minorHAnsi"/>
          <w:sz w:val="24"/>
          <w:szCs w:val="24"/>
        </w:rPr>
        <w:t xml:space="preserve"> the pest and disease status of areas from which goods may be sourced in setting biosecurity measures and apply all concepts of regional conditions, as appropriate, to trade between them, to facilitate trade.</w:t>
      </w:r>
    </w:p>
    <w:bookmarkEnd w:id="92"/>
    <w:p w14:paraId="50B94B16" w14:textId="77777777" w:rsidR="00667D72" w:rsidRPr="00667D72" w:rsidRDefault="00667D72" w:rsidP="00667D72">
      <w:pPr>
        <w:numPr>
          <w:ilvl w:val="0"/>
          <w:numId w:val="5"/>
        </w:numPr>
        <w:spacing w:line="252" w:lineRule="auto"/>
        <w:contextualSpacing/>
        <w:rPr>
          <w:rFonts w:cstheme="minorHAnsi"/>
          <w:sz w:val="24"/>
          <w:szCs w:val="24"/>
        </w:rPr>
      </w:pPr>
      <w:r w:rsidRPr="00667D72">
        <w:rPr>
          <w:rFonts w:cstheme="minorHAnsi"/>
          <w:sz w:val="24"/>
          <w:szCs w:val="24"/>
        </w:rPr>
        <w:t>Recognition of the importance of ensuring that respective SPS measures are based on scientific principles.</w:t>
      </w:r>
    </w:p>
    <w:p w14:paraId="6F826E58" w14:textId="77777777" w:rsidR="00667D72" w:rsidRPr="00667D72" w:rsidRDefault="00667D72" w:rsidP="00667D72">
      <w:pPr>
        <w:numPr>
          <w:ilvl w:val="0"/>
          <w:numId w:val="5"/>
        </w:numPr>
        <w:spacing w:line="252" w:lineRule="auto"/>
        <w:contextualSpacing/>
        <w:rPr>
          <w:rFonts w:cstheme="minorHAnsi"/>
          <w:sz w:val="24"/>
          <w:szCs w:val="24"/>
        </w:rPr>
      </w:pPr>
      <w:r w:rsidRPr="00667D72">
        <w:rPr>
          <w:rFonts w:cstheme="minorHAnsi"/>
          <w:sz w:val="24"/>
          <w:szCs w:val="24"/>
        </w:rPr>
        <w:lastRenderedPageBreak/>
        <w:t xml:space="preserve">Provisions on transparency and information exchange to facilitate understanding of each other’s system. </w:t>
      </w:r>
    </w:p>
    <w:p w14:paraId="79D020A0" w14:textId="77777777" w:rsidR="00667D72" w:rsidRPr="00667D72" w:rsidRDefault="00667D72" w:rsidP="00667D72">
      <w:pPr>
        <w:numPr>
          <w:ilvl w:val="0"/>
          <w:numId w:val="5"/>
        </w:numPr>
        <w:spacing w:line="252" w:lineRule="auto"/>
        <w:contextualSpacing/>
        <w:rPr>
          <w:rFonts w:cstheme="minorHAnsi"/>
          <w:sz w:val="24"/>
          <w:szCs w:val="24"/>
        </w:rPr>
      </w:pPr>
      <w:r w:rsidRPr="00667D72">
        <w:rPr>
          <w:rFonts w:cstheme="minorHAnsi"/>
          <w:sz w:val="24"/>
          <w:szCs w:val="24"/>
        </w:rPr>
        <w:t>Provisions on verification and certification, to facilitate trade through carrying out verifications and agreeing certification requirements.</w:t>
      </w:r>
    </w:p>
    <w:p w14:paraId="4080814D" w14:textId="77777777" w:rsidR="00667D72" w:rsidRPr="00667D72" w:rsidRDefault="00667D72" w:rsidP="00667D72">
      <w:pPr>
        <w:numPr>
          <w:ilvl w:val="0"/>
          <w:numId w:val="5"/>
        </w:numPr>
        <w:spacing w:line="252" w:lineRule="auto"/>
        <w:contextualSpacing/>
        <w:rPr>
          <w:rFonts w:cstheme="minorHAnsi"/>
          <w:sz w:val="24"/>
          <w:szCs w:val="24"/>
        </w:rPr>
      </w:pPr>
      <w:r w:rsidRPr="00667D72">
        <w:rPr>
          <w:rFonts w:cstheme="minorHAnsi"/>
          <w:sz w:val="24"/>
          <w:szCs w:val="24"/>
        </w:rPr>
        <w:t>Establishment of an SPS Committee to monitor the implementation of the chapter and technical consultation provisions for any specific trade concerns regarding SPS measures.</w:t>
      </w:r>
    </w:p>
    <w:p w14:paraId="1CED4576" w14:textId="77777777" w:rsidR="00667D72" w:rsidRPr="00667D72" w:rsidRDefault="00667D72" w:rsidP="00667D72">
      <w:pPr>
        <w:spacing w:line="252" w:lineRule="auto"/>
        <w:ind w:left="360"/>
        <w:contextualSpacing/>
        <w:rPr>
          <w:rFonts w:cstheme="minorHAnsi"/>
          <w:sz w:val="24"/>
          <w:szCs w:val="24"/>
          <w:lang w:val="en-US"/>
        </w:rPr>
      </w:pPr>
    </w:p>
    <w:p w14:paraId="5533A568" w14:textId="6E680625" w:rsidR="00667D72" w:rsidRPr="00667D72" w:rsidRDefault="00667D72" w:rsidP="002C36D8">
      <w:pPr>
        <w:spacing w:line="252" w:lineRule="auto"/>
        <w:rPr>
          <w:rFonts w:cstheme="minorHAnsi"/>
          <w:sz w:val="24"/>
          <w:szCs w:val="24"/>
        </w:rPr>
      </w:pPr>
      <w:r w:rsidRPr="00667D72">
        <w:rPr>
          <w:rFonts w:cstheme="minorHAnsi"/>
          <w:b/>
          <w:sz w:val="24"/>
          <w:szCs w:val="24"/>
        </w:rPr>
        <w:t>Animal Welfare and Antimicrobial Resistance (AMR)</w:t>
      </w:r>
    </w:p>
    <w:p w14:paraId="395D6C3C" w14:textId="77777777" w:rsidR="00667D72" w:rsidRPr="00667D72" w:rsidRDefault="00667D72" w:rsidP="00667D72">
      <w:pPr>
        <w:numPr>
          <w:ilvl w:val="0"/>
          <w:numId w:val="23"/>
        </w:numPr>
        <w:spacing w:line="231" w:lineRule="atLeast"/>
        <w:ind w:left="360"/>
        <w:rPr>
          <w:rFonts w:cstheme="minorHAnsi"/>
          <w:sz w:val="24"/>
          <w:szCs w:val="24"/>
        </w:rPr>
      </w:pPr>
      <w:r w:rsidRPr="00667D72">
        <w:rPr>
          <w:rFonts w:cstheme="minorHAnsi"/>
          <w:sz w:val="24"/>
          <w:szCs w:val="24"/>
        </w:rPr>
        <w:t>Provisions in a standalone chapter which will cover commitments including:  </w:t>
      </w:r>
    </w:p>
    <w:p w14:paraId="500E1163" w14:textId="77777777" w:rsidR="00667D72" w:rsidRPr="00667D72" w:rsidRDefault="00667D72" w:rsidP="00667D72">
      <w:pPr>
        <w:spacing w:line="231" w:lineRule="atLeast"/>
        <w:ind w:left="731" w:hanging="360"/>
        <w:rPr>
          <w:rFonts w:cstheme="minorHAnsi"/>
          <w:sz w:val="24"/>
          <w:szCs w:val="24"/>
        </w:rPr>
      </w:pPr>
      <w:r w:rsidRPr="00667D72">
        <w:rPr>
          <w:rFonts w:cstheme="minorHAnsi"/>
          <w:sz w:val="24"/>
          <w:szCs w:val="24"/>
        </w:rPr>
        <w:t>o   Provisions that affirm Australia and the UK’s right to regulate on animal welfare and the right of each of Australia and the UK to establish its own policies and priorities for the protection of animal welfare</w:t>
      </w:r>
    </w:p>
    <w:p w14:paraId="46BDE9C4" w14:textId="77777777" w:rsidR="00667D72" w:rsidRPr="00667D72" w:rsidRDefault="00667D72" w:rsidP="00667D72">
      <w:pPr>
        <w:spacing w:line="231" w:lineRule="atLeast"/>
        <w:ind w:left="731" w:hanging="360"/>
        <w:rPr>
          <w:rFonts w:cstheme="minorHAnsi"/>
          <w:sz w:val="24"/>
          <w:szCs w:val="24"/>
        </w:rPr>
      </w:pPr>
      <w:r w:rsidRPr="00667D72">
        <w:rPr>
          <w:rFonts w:cstheme="minorHAnsi"/>
          <w:sz w:val="24"/>
          <w:szCs w:val="24"/>
        </w:rPr>
        <w:t>o   Provisions committing Australia and the UK to cooperate in relevant international fora on areas of mutual interest, including to promote development of the best possible animal welfare practices</w:t>
      </w:r>
    </w:p>
    <w:p w14:paraId="7EBDE622" w14:textId="77777777" w:rsidR="00667D72" w:rsidRPr="00667D72" w:rsidRDefault="00667D72" w:rsidP="00667D72">
      <w:pPr>
        <w:spacing w:line="231" w:lineRule="atLeast"/>
        <w:ind w:left="731" w:hanging="360"/>
        <w:rPr>
          <w:rFonts w:cstheme="minorHAnsi"/>
          <w:sz w:val="24"/>
          <w:szCs w:val="24"/>
        </w:rPr>
      </w:pPr>
      <w:r w:rsidRPr="00667D72">
        <w:rPr>
          <w:rFonts w:cstheme="minorHAnsi"/>
          <w:sz w:val="24"/>
          <w:szCs w:val="24"/>
        </w:rPr>
        <w:t>o   An Animal Welfare Working Group to provide a forum for ongoing cooperation and initiatives in areas of mutual interest, review of animal welfare developments and to promote high animal welfare practices </w:t>
      </w:r>
    </w:p>
    <w:p w14:paraId="56328FB3" w14:textId="77777777" w:rsidR="00667D72" w:rsidRPr="00667D72" w:rsidRDefault="00667D72" w:rsidP="00667D72">
      <w:pPr>
        <w:spacing w:line="231" w:lineRule="atLeast"/>
        <w:ind w:left="731" w:hanging="360"/>
        <w:rPr>
          <w:rFonts w:cstheme="minorHAnsi"/>
          <w:sz w:val="24"/>
          <w:szCs w:val="24"/>
        </w:rPr>
      </w:pPr>
      <w:r w:rsidRPr="00667D72">
        <w:rPr>
          <w:rFonts w:cstheme="minorHAnsi"/>
          <w:sz w:val="24"/>
          <w:szCs w:val="24"/>
        </w:rPr>
        <w:t>o   Appropriate provisions around non-derogation from respective levels of animal welfare protections for the purpose of encouraging trade and investment between the UK and Australia</w:t>
      </w:r>
    </w:p>
    <w:p w14:paraId="6CBFAEDA" w14:textId="77777777" w:rsidR="00667D72" w:rsidRPr="00667D72" w:rsidRDefault="00667D72" w:rsidP="00667D72">
      <w:pPr>
        <w:pStyle w:val="ListParagraph"/>
        <w:numPr>
          <w:ilvl w:val="0"/>
          <w:numId w:val="24"/>
        </w:numPr>
        <w:spacing w:after="0" w:line="231" w:lineRule="atLeast"/>
        <w:rPr>
          <w:rFonts w:cstheme="minorHAnsi"/>
          <w:sz w:val="24"/>
          <w:szCs w:val="24"/>
        </w:rPr>
      </w:pPr>
      <w:r w:rsidRPr="00667D72">
        <w:rPr>
          <w:rFonts w:cstheme="minorHAnsi"/>
          <w:sz w:val="24"/>
          <w:szCs w:val="24"/>
        </w:rPr>
        <w:t>Appropriate provisions recognising the importance of high levels of animal welfare protection and non-regression</w:t>
      </w:r>
    </w:p>
    <w:p w14:paraId="10A3BF75" w14:textId="77777777" w:rsidR="00667D72" w:rsidRPr="00667D72" w:rsidRDefault="00667D72" w:rsidP="00667D72">
      <w:pPr>
        <w:pStyle w:val="ListParagraph"/>
        <w:numPr>
          <w:ilvl w:val="0"/>
          <w:numId w:val="24"/>
        </w:numPr>
        <w:spacing w:after="0" w:line="231" w:lineRule="atLeast"/>
        <w:rPr>
          <w:rFonts w:cstheme="minorHAnsi"/>
          <w:sz w:val="24"/>
          <w:szCs w:val="24"/>
        </w:rPr>
      </w:pPr>
      <w:r w:rsidRPr="00667D72">
        <w:rPr>
          <w:rFonts w:cstheme="minorHAnsi"/>
          <w:sz w:val="24"/>
          <w:szCs w:val="24"/>
        </w:rPr>
        <w:t>Appropriate provisions on cooperation on combatting antimicrobial resistance including bilaterally and in relevant international fora on areas of mutual interest.</w:t>
      </w:r>
    </w:p>
    <w:p w14:paraId="3AECA77E" w14:textId="77777777" w:rsidR="009B51CE" w:rsidRPr="00667D72" w:rsidRDefault="009B51CE" w:rsidP="00667D72">
      <w:pPr>
        <w:spacing w:line="254" w:lineRule="auto"/>
        <w:contextualSpacing/>
        <w:rPr>
          <w:rFonts w:cstheme="minorHAnsi"/>
          <w:color w:val="FF0000"/>
          <w:sz w:val="24"/>
          <w:szCs w:val="24"/>
        </w:rPr>
      </w:pPr>
    </w:p>
    <w:p w14:paraId="470D3AAC" w14:textId="5FABD4DD" w:rsidR="00667D72" w:rsidRPr="00667D72" w:rsidRDefault="00667D72" w:rsidP="00667D72">
      <w:pPr>
        <w:textAlignment w:val="baseline"/>
        <w:rPr>
          <w:rFonts w:cstheme="minorHAnsi"/>
          <w:b/>
          <w:sz w:val="24"/>
          <w:szCs w:val="24"/>
        </w:rPr>
      </w:pPr>
      <w:r w:rsidRPr="00667D72">
        <w:rPr>
          <w:rFonts w:cstheme="minorHAnsi"/>
          <w:b/>
          <w:sz w:val="24"/>
          <w:szCs w:val="24"/>
        </w:rPr>
        <w:t>Technical Barriers to Trade</w:t>
      </w:r>
    </w:p>
    <w:p w14:paraId="04C8A657" w14:textId="20ABC8C8" w:rsidR="00667D72" w:rsidRPr="002C36D8" w:rsidRDefault="00667D72" w:rsidP="00667D72">
      <w:pPr>
        <w:textAlignment w:val="baseline"/>
        <w:rPr>
          <w:rFonts w:cstheme="minorHAnsi"/>
          <w:sz w:val="24"/>
          <w:szCs w:val="24"/>
        </w:rPr>
      </w:pPr>
      <w:r w:rsidRPr="00667D72">
        <w:rPr>
          <w:rFonts w:cstheme="minorHAnsi"/>
          <w:i/>
          <w:sz w:val="24"/>
          <w:szCs w:val="24"/>
        </w:rPr>
        <w:t xml:space="preserve">Australia and the UK commit to provisions that will be aimed at ensuring that technical barriers to trade are non-discriminatory and do not create unnecessary obstacles to trade, while preserving each country’s ability to take measures to fulfil legitimate objectives, including for the protection of health, </w:t>
      </w:r>
      <w:proofErr w:type="gramStart"/>
      <w:r w:rsidRPr="00667D72">
        <w:rPr>
          <w:rFonts w:cstheme="minorHAnsi"/>
          <w:i/>
          <w:sz w:val="24"/>
          <w:szCs w:val="24"/>
        </w:rPr>
        <w:t>safety</w:t>
      </w:r>
      <w:proofErr w:type="gramEnd"/>
      <w:r w:rsidRPr="00667D72">
        <w:rPr>
          <w:rFonts w:cstheme="minorHAnsi"/>
          <w:i/>
          <w:sz w:val="24"/>
          <w:szCs w:val="24"/>
        </w:rPr>
        <w:t xml:space="preserve"> and the environment. The commitments in the agreement will result in</w:t>
      </w:r>
      <w:r w:rsidRPr="00667D72" w:rsidDel="00603E32">
        <w:rPr>
          <w:rFonts w:cstheme="minorHAnsi"/>
          <w:i/>
          <w:sz w:val="24"/>
          <w:szCs w:val="24"/>
        </w:rPr>
        <w:t xml:space="preserve"> </w:t>
      </w:r>
      <w:r w:rsidRPr="00667D72">
        <w:rPr>
          <w:rFonts w:cstheme="minorHAnsi"/>
          <w:i/>
          <w:sz w:val="24"/>
          <w:szCs w:val="24"/>
        </w:rPr>
        <w:t xml:space="preserve">increased cooperation regarding technical regulations, </w:t>
      </w:r>
      <w:proofErr w:type="gramStart"/>
      <w:r w:rsidRPr="00667D72">
        <w:rPr>
          <w:rFonts w:cstheme="minorHAnsi"/>
          <w:i/>
          <w:sz w:val="24"/>
          <w:szCs w:val="24"/>
        </w:rPr>
        <w:t>standards</w:t>
      </w:r>
      <w:proofErr w:type="gramEnd"/>
      <w:r w:rsidRPr="00667D72">
        <w:rPr>
          <w:rFonts w:cstheme="minorHAnsi"/>
          <w:i/>
          <w:sz w:val="24"/>
          <w:szCs w:val="24"/>
        </w:rPr>
        <w:t xml:space="preserve"> and conformity assessments</w:t>
      </w:r>
      <w:r w:rsidRPr="00667D72">
        <w:rPr>
          <w:rFonts w:cstheme="minorHAnsi"/>
          <w:i/>
          <w:color w:val="4472C4" w:themeColor="accent1"/>
          <w:sz w:val="24"/>
          <w:szCs w:val="24"/>
        </w:rPr>
        <w:t xml:space="preserve">. </w:t>
      </w:r>
    </w:p>
    <w:p w14:paraId="20A20B75" w14:textId="77777777" w:rsidR="00667D72" w:rsidRPr="00667D72" w:rsidRDefault="00667D72" w:rsidP="00667D72">
      <w:pPr>
        <w:pStyle w:val="ListParagraph"/>
        <w:numPr>
          <w:ilvl w:val="0"/>
          <w:numId w:val="5"/>
        </w:numPr>
        <w:spacing w:line="252" w:lineRule="auto"/>
        <w:rPr>
          <w:rFonts w:cstheme="minorHAnsi"/>
          <w:color w:val="000000" w:themeColor="text1"/>
          <w:sz w:val="24"/>
          <w:szCs w:val="24"/>
        </w:rPr>
      </w:pPr>
      <w:r w:rsidRPr="00667D72">
        <w:rPr>
          <w:rFonts w:cstheme="minorHAnsi"/>
          <w:color w:val="000000" w:themeColor="text1"/>
          <w:sz w:val="24"/>
          <w:szCs w:val="24"/>
        </w:rPr>
        <w:t>Provisions that build on the WTO TBT Agreement and the close institutional relationships already in place between Australia and the UK, through increased cooperation regarding technical regulations, standards, and conformity assessments.</w:t>
      </w:r>
    </w:p>
    <w:p w14:paraId="039E55A8" w14:textId="77777777" w:rsidR="00667D72" w:rsidRPr="00667D72" w:rsidRDefault="00667D72" w:rsidP="00667D72">
      <w:pPr>
        <w:pStyle w:val="ListParagraph"/>
        <w:numPr>
          <w:ilvl w:val="0"/>
          <w:numId w:val="5"/>
        </w:numPr>
        <w:spacing w:line="252" w:lineRule="auto"/>
        <w:rPr>
          <w:rFonts w:cstheme="minorHAnsi"/>
          <w:color w:val="000000" w:themeColor="text1"/>
          <w:sz w:val="24"/>
          <w:szCs w:val="24"/>
        </w:rPr>
      </w:pPr>
      <w:r w:rsidRPr="00667D72">
        <w:rPr>
          <w:rFonts w:cstheme="minorHAnsi"/>
          <w:color w:val="000000" w:themeColor="text1"/>
          <w:sz w:val="24"/>
          <w:szCs w:val="24"/>
        </w:rPr>
        <w:t xml:space="preserve">Provisions on transparency and information exchange to facilitate understanding of each other’s systems. </w:t>
      </w:r>
    </w:p>
    <w:p w14:paraId="6C48D2D0" w14:textId="77777777" w:rsidR="00667D72" w:rsidRPr="00667D72" w:rsidRDefault="00667D72" w:rsidP="00667D72">
      <w:pPr>
        <w:pStyle w:val="ListParagraph"/>
        <w:numPr>
          <w:ilvl w:val="0"/>
          <w:numId w:val="5"/>
        </w:numPr>
        <w:spacing w:line="252" w:lineRule="auto"/>
        <w:rPr>
          <w:rFonts w:cstheme="minorHAnsi"/>
          <w:color w:val="000000" w:themeColor="text1"/>
          <w:sz w:val="24"/>
          <w:szCs w:val="24"/>
        </w:rPr>
      </w:pPr>
      <w:r w:rsidRPr="00667D72">
        <w:rPr>
          <w:rFonts w:cstheme="minorHAnsi"/>
          <w:color w:val="000000" w:themeColor="text1"/>
          <w:sz w:val="24"/>
          <w:szCs w:val="24"/>
        </w:rPr>
        <w:t>Establishment of a TBT Committee to monitor the implementation of the chapter and with the authority to establish specific working groups.</w:t>
      </w:r>
    </w:p>
    <w:p w14:paraId="40CC6C06" w14:textId="77777777" w:rsidR="00667D72" w:rsidRPr="00667D72" w:rsidRDefault="00667D72" w:rsidP="00667D72">
      <w:pPr>
        <w:pStyle w:val="ListParagraph"/>
        <w:numPr>
          <w:ilvl w:val="0"/>
          <w:numId w:val="5"/>
        </w:numPr>
        <w:spacing w:line="252" w:lineRule="auto"/>
        <w:rPr>
          <w:rFonts w:cstheme="minorHAnsi"/>
          <w:color w:val="000000" w:themeColor="text1"/>
          <w:sz w:val="24"/>
          <w:szCs w:val="24"/>
        </w:rPr>
      </w:pPr>
      <w:r w:rsidRPr="00667D72">
        <w:rPr>
          <w:rFonts w:cstheme="minorHAnsi"/>
          <w:color w:val="000000" w:themeColor="text1"/>
          <w:sz w:val="24"/>
          <w:szCs w:val="24"/>
        </w:rPr>
        <w:t xml:space="preserve">Process to </w:t>
      </w:r>
      <w:proofErr w:type="gramStart"/>
      <w:r w:rsidRPr="00667D72">
        <w:rPr>
          <w:rFonts w:cstheme="minorHAnsi"/>
          <w:color w:val="000000" w:themeColor="text1"/>
          <w:sz w:val="24"/>
          <w:szCs w:val="24"/>
        </w:rPr>
        <w:t>give positive consideration to</w:t>
      </w:r>
      <w:proofErr w:type="gramEnd"/>
      <w:r w:rsidRPr="00667D72">
        <w:rPr>
          <w:rFonts w:cstheme="minorHAnsi"/>
          <w:color w:val="000000" w:themeColor="text1"/>
          <w:sz w:val="24"/>
          <w:szCs w:val="24"/>
        </w:rPr>
        <w:t xml:space="preserve"> acceptance of technical regulations where they are found to be equivalent. </w:t>
      </w:r>
    </w:p>
    <w:p w14:paraId="7D5902C2" w14:textId="77777777" w:rsidR="00667D72" w:rsidRPr="00667D72" w:rsidRDefault="00667D72" w:rsidP="00667D72">
      <w:pPr>
        <w:pStyle w:val="ListParagraph"/>
        <w:numPr>
          <w:ilvl w:val="0"/>
          <w:numId w:val="5"/>
        </w:numPr>
        <w:spacing w:line="252" w:lineRule="auto"/>
        <w:rPr>
          <w:rFonts w:cstheme="minorHAnsi"/>
          <w:color w:val="000000" w:themeColor="text1"/>
          <w:sz w:val="24"/>
          <w:szCs w:val="24"/>
        </w:rPr>
      </w:pPr>
      <w:r w:rsidRPr="00667D72">
        <w:rPr>
          <w:rFonts w:cstheme="minorHAnsi"/>
          <w:color w:val="000000" w:themeColor="text1"/>
          <w:sz w:val="24"/>
          <w:szCs w:val="24"/>
        </w:rPr>
        <w:t>Commitment on international standards and to encourage respective standards bodies to cooperate.</w:t>
      </w:r>
    </w:p>
    <w:p w14:paraId="5ACBD1D9" w14:textId="77777777" w:rsidR="00667D72" w:rsidRPr="00667D72" w:rsidRDefault="00667D72" w:rsidP="00667D72">
      <w:pPr>
        <w:pStyle w:val="ListParagraph"/>
        <w:numPr>
          <w:ilvl w:val="0"/>
          <w:numId w:val="5"/>
        </w:numPr>
        <w:spacing w:line="252" w:lineRule="auto"/>
        <w:rPr>
          <w:rFonts w:cstheme="minorHAnsi"/>
          <w:sz w:val="24"/>
          <w:szCs w:val="24"/>
          <w:lang w:eastAsia="en-AU"/>
        </w:rPr>
      </w:pPr>
      <w:r w:rsidRPr="00667D72">
        <w:rPr>
          <w:rFonts w:cstheme="minorHAnsi"/>
          <w:sz w:val="24"/>
          <w:szCs w:val="24"/>
        </w:rPr>
        <w:lastRenderedPageBreak/>
        <w:t>Ongoing discussion of outcomes to address technical barriers to trade in specific sectors that do not constrain public policy making, create new non-tariff barriers or create additional regulatory burdens.</w:t>
      </w:r>
      <w:r w:rsidRPr="00667D72">
        <w:rPr>
          <w:rFonts w:cstheme="minorHAnsi"/>
          <w:sz w:val="24"/>
          <w:szCs w:val="24"/>
          <w:shd w:val="clear" w:color="auto" w:fill="FFFFFF"/>
        </w:rPr>
        <w:t xml:space="preserve"> This includes continued discussions on UK annex proposals on spirits, cosmetics, medicines, and medical devices, and Australian proposals on wine and organics. Australia and UK commit to use best endeavours to secure agreement in Australia to the UK proposal for a whisky definition in a form enforceable by domestic authorities and to implement in the UK Australia’s proposals under the Wine Agreement, both taking account of consultation requirements.</w:t>
      </w:r>
    </w:p>
    <w:p w14:paraId="583E57F5" w14:textId="77777777" w:rsidR="00667D72" w:rsidRPr="00667D72" w:rsidRDefault="00667D72" w:rsidP="00667D72">
      <w:pPr>
        <w:spacing w:line="252" w:lineRule="auto"/>
        <w:rPr>
          <w:rFonts w:cstheme="minorHAnsi"/>
          <w:b/>
          <w:sz w:val="24"/>
          <w:szCs w:val="24"/>
        </w:rPr>
      </w:pPr>
    </w:p>
    <w:p w14:paraId="6AC141F2" w14:textId="77777777" w:rsidR="00667D72" w:rsidRPr="00667D72" w:rsidRDefault="00667D72" w:rsidP="00667D72">
      <w:pPr>
        <w:spacing w:line="252" w:lineRule="auto"/>
        <w:rPr>
          <w:rFonts w:cstheme="minorHAnsi"/>
          <w:b/>
          <w:sz w:val="24"/>
          <w:szCs w:val="24"/>
        </w:rPr>
      </w:pPr>
      <w:r w:rsidRPr="00667D72">
        <w:rPr>
          <w:rFonts w:cstheme="minorHAnsi"/>
          <w:b/>
          <w:sz w:val="24"/>
          <w:szCs w:val="24"/>
        </w:rPr>
        <w:t>SERVICES</w:t>
      </w:r>
    </w:p>
    <w:p w14:paraId="462A7737" w14:textId="5C21A8C4" w:rsidR="00667D72" w:rsidRPr="002C36D8" w:rsidRDefault="00667D72" w:rsidP="00667D72">
      <w:pPr>
        <w:spacing w:line="256" w:lineRule="auto"/>
        <w:rPr>
          <w:rFonts w:cstheme="minorHAnsi"/>
          <w:i/>
          <w:sz w:val="24"/>
          <w:szCs w:val="24"/>
        </w:rPr>
      </w:pPr>
      <w:r w:rsidRPr="00667D72">
        <w:rPr>
          <w:rFonts w:cstheme="minorHAnsi"/>
          <w:i/>
          <w:sz w:val="24"/>
          <w:szCs w:val="24"/>
        </w:rPr>
        <w:t xml:space="preserve">Australia and the UK </w:t>
      </w:r>
      <w:r w:rsidRPr="00667D72">
        <w:rPr>
          <w:rFonts w:cstheme="minorHAnsi"/>
          <w:i/>
          <w:iCs/>
          <w:sz w:val="24"/>
          <w:szCs w:val="24"/>
        </w:rPr>
        <w:t>commit</w:t>
      </w:r>
      <w:r w:rsidRPr="00667D72">
        <w:rPr>
          <w:rFonts w:cstheme="minorHAnsi"/>
          <w:i/>
          <w:sz w:val="24"/>
          <w:szCs w:val="24"/>
        </w:rPr>
        <w:t xml:space="preserve"> to liberalising services in a manner that strengthens existing bilateral trade, deepens market </w:t>
      </w:r>
      <w:proofErr w:type="gramStart"/>
      <w:r w:rsidRPr="00667D72">
        <w:rPr>
          <w:rFonts w:cstheme="minorHAnsi"/>
          <w:i/>
          <w:sz w:val="24"/>
          <w:szCs w:val="24"/>
        </w:rPr>
        <w:t>access</w:t>
      </w:r>
      <w:proofErr w:type="gramEnd"/>
      <w:r w:rsidRPr="00667D72">
        <w:rPr>
          <w:rFonts w:cstheme="minorHAnsi"/>
          <w:i/>
          <w:sz w:val="24"/>
          <w:szCs w:val="24"/>
        </w:rPr>
        <w:t xml:space="preserve"> and makes it easier for services companies to trade and for professionals to operate in each other’s economies. </w:t>
      </w:r>
      <w:r w:rsidRPr="00667D72">
        <w:rPr>
          <w:rFonts w:cstheme="minorHAnsi"/>
          <w:i/>
          <w:iCs/>
          <w:sz w:val="24"/>
          <w:szCs w:val="24"/>
        </w:rPr>
        <w:t>The UK and Australia will commit to</w:t>
      </w:r>
      <w:r w:rsidRPr="00667D72">
        <w:rPr>
          <w:rFonts w:cstheme="minorHAnsi"/>
          <w:i/>
          <w:sz w:val="24"/>
          <w:szCs w:val="24"/>
        </w:rPr>
        <w:t xml:space="preserve"> high standard rules for all services sectors, including cross border trade in services, professional services, financial services, maritime and delivery services, and telecommunications. This will include full market access to the other market for all UK and Australian service suppliers, including ensuring commitments on services extend to Australian and UK-flagged vessels, except for some specific reservations.</w:t>
      </w:r>
      <w:r w:rsidRPr="00667D72" w:rsidDel="001A61F7">
        <w:rPr>
          <w:rFonts w:cstheme="minorHAnsi"/>
          <w:i/>
          <w:sz w:val="24"/>
          <w:szCs w:val="24"/>
        </w:rPr>
        <w:t xml:space="preserve"> </w:t>
      </w:r>
      <w:r w:rsidRPr="00667D72">
        <w:rPr>
          <w:rFonts w:cstheme="minorHAnsi"/>
          <w:i/>
          <w:sz w:val="24"/>
          <w:szCs w:val="24"/>
        </w:rPr>
        <w:t>The UK and Australia will also</w:t>
      </w:r>
      <w:r w:rsidRPr="00667D72" w:rsidDel="001A61F7">
        <w:rPr>
          <w:rFonts w:cstheme="minorHAnsi"/>
          <w:i/>
          <w:sz w:val="24"/>
          <w:szCs w:val="24"/>
        </w:rPr>
        <w:t xml:space="preserve"> </w:t>
      </w:r>
      <w:r w:rsidRPr="00667D72">
        <w:rPr>
          <w:rFonts w:cstheme="minorHAnsi"/>
          <w:i/>
          <w:sz w:val="24"/>
          <w:szCs w:val="24"/>
        </w:rPr>
        <w:t xml:space="preserve">commit to Maritime Transport Services and Express Delivery Annexes, a Financial Services Regulatory Co-Operation Annex, and commitments that UK </w:t>
      </w:r>
      <w:r w:rsidRPr="00667D72">
        <w:rPr>
          <w:rFonts w:eastAsia="Calibri" w:cstheme="minorHAnsi"/>
          <w:i/>
          <w:sz w:val="24"/>
          <w:szCs w:val="24"/>
        </w:rPr>
        <w:t xml:space="preserve">and Australian lawyers can practise in the other country’s territory using their original qualifications and title. On Telecommunications, Australia and the UK commit to </w:t>
      </w:r>
      <w:r w:rsidRPr="00667D72">
        <w:rPr>
          <w:rFonts w:cstheme="minorHAnsi"/>
          <w:i/>
          <w:sz w:val="24"/>
          <w:szCs w:val="24"/>
        </w:rPr>
        <w:t xml:space="preserve">access for Australian and UK service suppliers to public telecommunications networks and services in the other country on a non-discriminatory basis. </w:t>
      </w:r>
    </w:p>
    <w:p w14:paraId="662C42A2" w14:textId="77777777" w:rsidR="00667D72" w:rsidRPr="00667D72" w:rsidRDefault="00667D72" w:rsidP="00667D72">
      <w:pPr>
        <w:rPr>
          <w:rFonts w:cstheme="minorHAnsi"/>
          <w:sz w:val="24"/>
          <w:szCs w:val="24"/>
        </w:rPr>
      </w:pPr>
      <w:r w:rsidRPr="00667D72">
        <w:rPr>
          <w:rFonts w:cstheme="minorHAnsi"/>
          <w:sz w:val="24"/>
          <w:szCs w:val="24"/>
        </w:rPr>
        <w:t>Commitments in the Services Chapter will include:</w:t>
      </w:r>
    </w:p>
    <w:p w14:paraId="4B052FE5" w14:textId="77777777" w:rsidR="00667D72" w:rsidRPr="00667D72" w:rsidRDefault="00667D72" w:rsidP="00667D72">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Highly liberal approach to trade in services, including full market access for service suppliers from the other country at central and regional level, except where specific reservations [once regional consultations are complete] are noted in a schedule (</w:t>
      </w:r>
      <w:proofErr w:type="gramStart"/>
      <w:r w:rsidRPr="00667D72">
        <w:rPr>
          <w:rStyle w:val="normaltextrun"/>
          <w:rFonts w:eastAsia="Calibri" w:cstheme="minorHAnsi"/>
          <w:sz w:val="24"/>
          <w:szCs w:val="24"/>
          <w:bdr w:val="none" w:sz="0" w:space="0" w:color="auto" w:frame="1"/>
        </w:rPr>
        <w:t>i.e.</w:t>
      </w:r>
      <w:proofErr w:type="gramEnd"/>
      <w:r w:rsidRPr="00667D72">
        <w:rPr>
          <w:rStyle w:val="normaltextrun"/>
          <w:rFonts w:eastAsia="Calibri" w:cstheme="minorHAnsi"/>
          <w:sz w:val="24"/>
          <w:szCs w:val="24"/>
          <w:bdr w:val="none" w:sz="0" w:space="0" w:color="auto" w:frame="1"/>
        </w:rPr>
        <w:t xml:space="preserve"> using the “negative listing” approach).</w:t>
      </w:r>
    </w:p>
    <w:p w14:paraId="210B4560" w14:textId="77777777" w:rsidR="00667D72" w:rsidRPr="00667D72" w:rsidRDefault="00667D72" w:rsidP="00667D72">
      <w:pPr>
        <w:pStyle w:val="ListParagraph"/>
        <w:numPr>
          <w:ilvl w:val="0"/>
          <w:numId w:val="5"/>
        </w:numPr>
        <w:spacing w:after="0" w:line="240" w:lineRule="auto"/>
        <w:rPr>
          <w:rFonts w:cstheme="minorHAnsi"/>
          <w:sz w:val="24"/>
          <w:szCs w:val="24"/>
        </w:rPr>
      </w:pPr>
      <w:r w:rsidRPr="00667D72">
        <w:rPr>
          <w:rFonts w:cstheme="minorHAnsi"/>
          <w:sz w:val="24"/>
          <w:szCs w:val="24"/>
        </w:rPr>
        <w:t xml:space="preserve">Services market access liberalisation going beyond the UK and Australia’s respective best precedent to be finalised through a request and revised offer process. </w:t>
      </w:r>
    </w:p>
    <w:p w14:paraId="48713DE7" w14:textId="77777777" w:rsidR="00667D72" w:rsidRPr="00667D72" w:rsidRDefault="00667D72" w:rsidP="00667D72">
      <w:pPr>
        <w:pStyle w:val="ListParagraph"/>
        <w:numPr>
          <w:ilvl w:val="0"/>
          <w:numId w:val="5"/>
        </w:numPr>
        <w:spacing w:line="252" w:lineRule="auto"/>
        <w:rPr>
          <w:rFonts w:cstheme="minorHAnsi"/>
          <w:color w:val="000000"/>
          <w:sz w:val="24"/>
          <w:szCs w:val="24"/>
        </w:rPr>
      </w:pPr>
      <w:r w:rsidRPr="00667D72">
        <w:rPr>
          <w:rStyle w:val="normaltextrun"/>
          <w:rFonts w:eastAsia="Calibri" w:cstheme="minorHAnsi"/>
          <w:color w:val="000000"/>
          <w:sz w:val="24"/>
          <w:szCs w:val="24"/>
          <w:bdr w:val="none" w:sz="0" w:space="0" w:color="auto" w:frame="1"/>
        </w:rPr>
        <w:t xml:space="preserve">Professional services provisions, which will deliver long term benefits for UK and Australian professionals who want to work in each other’s territory and have their qualifications recognised without facing unnecessary cost and bureaucracy, primarily through collaboration between UK and Australian accreditation and regulatory bodies aimed at facilitating qualification recognition. </w:t>
      </w:r>
    </w:p>
    <w:p w14:paraId="3B60B271" w14:textId="77777777" w:rsidR="00667D72" w:rsidRPr="00667D72" w:rsidRDefault="00667D72" w:rsidP="00667D72">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 xml:space="preserve">Legal services provisions which will both guarantee that UK and Australian lawyers can advise clients and provide arbitration, mediation and conciliation services in the other country’s territory using their original qualifications and title, as well as establish and drive collaboration between regulators with the aim of addressing remaining barriers to </w:t>
      </w:r>
      <w:r w:rsidRPr="00667D72" w:rsidDel="00EE30BD">
        <w:rPr>
          <w:rStyle w:val="normaltextrun"/>
          <w:rFonts w:eastAsia="Calibri" w:cstheme="minorHAnsi"/>
          <w:sz w:val="24"/>
          <w:szCs w:val="24"/>
          <w:bdr w:val="none" w:sz="0" w:space="0" w:color="auto" w:frame="1"/>
        </w:rPr>
        <w:t>practise as a local lawyer in the other country’s territory</w:t>
      </w:r>
      <w:r w:rsidRPr="00667D72">
        <w:rPr>
          <w:rStyle w:val="normaltextrun"/>
          <w:rFonts w:eastAsia="Calibri" w:cstheme="minorHAnsi"/>
          <w:sz w:val="24"/>
          <w:szCs w:val="24"/>
        </w:rPr>
        <w:t>.</w:t>
      </w:r>
    </w:p>
    <w:p w14:paraId="07AA65A2" w14:textId="77777777" w:rsidR="00667D72" w:rsidRPr="00667D72" w:rsidRDefault="00667D72" w:rsidP="00667D72">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 xml:space="preserve">Coverage of UK/Australia-flagged vessels in the services chapter, allowing these to benefit from guaranteed market access and non-discriminatory treatment when operating in Australia/UK and an International Maritime Transport Annex which ensures </w:t>
      </w:r>
      <w:r w:rsidRPr="00667D72">
        <w:rPr>
          <w:rStyle w:val="normaltextrun"/>
          <w:rFonts w:eastAsia="Calibri" w:cstheme="minorHAnsi"/>
          <w:sz w:val="24"/>
          <w:szCs w:val="24"/>
          <w:bdr w:val="none" w:sz="0" w:space="0" w:color="auto" w:frame="1"/>
        </w:rPr>
        <w:lastRenderedPageBreak/>
        <w:t>that UK/Australian shipping companies, vessels and service suppliers have non-discriminatory access to ports and port services, can move empty containers freely and provide feeder services between ports, consistent with each country’s cabotage regimes</w:t>
      </w:r>
      <w:r w:rsidRPr="00667D72">
        <w:rPr>
          <w:rStyle w:val="normaltextrun"/>
          <w:rFonts w:eastAsia="Calibri" w:cstheme="minorHAnsi"/>
          <w:sz w:val="24"/>
          <w:szCs w:val="24"/>
        </w:rPr>
        <w:t>.</w:t>
      </w:r>
    </w:p>
    <w:p w14:paraId="2F099D64" w14:textId="77777777" w:rsidR="00667D72" w:rsidRPr="00667D72" w:rsidRDefault="00667D72" w:rsidP="00667D72">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 xml:space="preserve">An Express Delivery Services Annex that ensures a level-playing field for express delivery operators </w:t>
      </w:r>
      <w:r w:rsidRPr="00667D72" w:rsidDel="002F6378">
        <w:rPr>
          <w:rStyle w:val="normaltextrun"/>
          <w:rFonts w:eastAsia="Calibri" w:cstheme="minorHAnsi"/>
          <w:sz w:val="24"/>
          <w:szCs w:val="24"/>
          <w:bdr w:val="none" w:sz="0" w:space="0" w:color="auto" w:frame="1"/>
        </w:rPr>
        <w:t xml:space="preserve">by ensuring postal </w:t>
      </w:r>
      <w:r w:rsidRPr="00667D72">
        <w:rPr>
          <w:rStyle w:val="normaltextrun"/>
          <w:rFonts w:eastAsia="Calibri" w:cstheme="minorHAnsi"/>
          <w:sz w:val="24"/>
          <w:szCs w:val="24"/>
          <w:bdr w:val="none" w:sz="0" w:space="0" w:color="auto" w:frame="1"/>
        </w:rPr>
        <w:t>monopolies do not engage in market distorting practices, while allowing the UK and Australia to maintain their universal service obligations.</w:t>
      </w:r>
    </w:p>
    <w:p w14:paraId="1EE7DF3F" w14:textId="77777777" w:rsidR="00667D72" w:rsidRPr="00667D72" w:rsidRDefault="00667D72" w:rsidP="00667D72">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“MFN provisions” which ensure that if UK/Australia provide more generous access to their services markets for other countries, this will be extended to Australia/UK too</w:t>
      </w:r>
      <w:r w:rsidRPr="00667D72">
        <w:rPr>
          <w:rStyle w:val="normaltextrun"/>
          <w:rFonts w:eastAsia="Calibri" w:cstheme="minorHAnsi"/>
          <w:sz w:val="24"/>
          <w:szCs w:val="24"/>
        </w:rPr>
        <w:t>.</w:t>
      </w:r>
    </w:p>
    <w:p w14:paraId="406C262A" w14:textId="77777777" w:rsidR="00667D72" w:rsidRPr="00667D72" w:rsidRDefault="00667D72" w:rsidP="00667D72">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 xml:space="preserve">Commitments to impartiality, </w:t>
      </w:r>
      <w:proofErr w:type="gramStart"/>
      <w:r w:rsidRPr="00667D72">
        <w:rPr>
          <w:rStyle w:val="normaltextrun"/>
          <w:rFonts w:eastAsia="Calibri" w:cstheme="minorHAnsi"/>
          <w:sz w:val="24"/>
          <w:szCs w:val="24"/>
          <w:bdr w:val="none" w:sz="0" w:space="0" w:color="auto" w:frame="1"/>
        </w:rPr>
        <w:t>transparency</w:t>
      </w:r>
      <w:proofErr w:type="gramEnd"/>
      <w:r w:rsidRPr="00667D72">
        <w:rPr>
          <w:rStyle w:val="normaltextrun"/>
          <w:rFonts w:eastAsia="Calibri" w:cstheme="minorHAnsi"/>
          <w:sz w:val="24"/>
          <w:szCs w:val="24"/>
          <w:bdr w:val="none" w:sz="0" w:space="0" w:color="auto" w:frame="1"/>
        </w:rPr>
        <w:t xml:space="preserve"> and responsiveness by Australian and UK competent authorities, ensuring that their requirements, procedures, and technical standards do not constitute unnecessary barriers to trade across the whole economy. </w:t>
      </w:r>
    </w:p>
    <w:p w14:paraId="1000EE88" w14:textId="77777777" w:rsidR="00667D72" w:rsidRPr="00667D72" w:rsidRDefault="00667D72" w:rsidP="00667D72">
      <w:pPr>
        <w:pStyle w:val="ListParagraph"/>
        <w:numPr>
          <w:ilvl w:val="0"/>
          <w:numId w:val="5"/>
        </w:numPr>
        <w:spacing w:line="252" w:lineRule="auto"/>
        <w:rPr>
          <w:rStyle w:val="normaltextrun"/>
          <w:rFonts w:cstheme="minorHAnsi"/>
          <w:sz w:val="24"/>
          <w:szCs w:val="24"/>
        </w:rPr>
      </w:pPr>
      <w:r w:rsidRPr="00667D72">
        <w:rPr>
          <w:rStyle w:val="normaltextrun"/>
          <w:rFonts w:eastAsia="Calibri" w:cstheme="minorHAnsi"/>
          <w:sz w:val="24"/>
          <w:szCs w:val="24"/>
          <w:bdr w:val="none" w:sz="0" w:space="0" w:color="auto" w:frame="1"/>
        </w:rPr>
        <w:t>Non-discrimination provisions, ensuring that UK/Australia cannot discriminate in favour of its own service suppliers.</w:t>
      </w:r>
    </w:p>
    <w:p w14:paraId="248966B9" w14:textId="093ABD87" w:rsidR="00667D72" w:rsidRPr="002C36D8" w:rsidRDefault="00667D72" w:rsidP="002C36D8">
      <w:pPr>
        <w:pStyle w:val="ListParagraph"/>
        <w:numPr>
          <w:ilvl w:val="0"/>
          <w:numId w:val="5"/>
        </w:numPr>
        <w:spacing w:line="252" w:lineRule="auto"/>
        <w:rPr>
          <w:rFonts w:cstheme="minorHAnsi"/>
          <w:sz w:val="24"/>
          <w:szCs w:val="24"/>
        </w:rPr>
      </w:pPr>
      <w:r w:rsidRPr="00667D72">
        <w:rPr>
          <w:rStyle w:val="normaltextrun"/>
          <w:rFonts w:eastAsia="Calibri" w:cstheme="minorHAnsi"/>
          <w:sz w:val="24"/>
          <w:szCs w:val="24"/>
          <w:bdr w:val="none" w:sz="0" w:space="0" w:color="auto" w:frame="1"/>
        </w:rPr>
        <w:t>Coverage of the services disciplines where services are supplied by the presence of a national of UK/Australia in the other country.</w:t>
      </w:r>
      <w:bookmarkStart w:id="93" w:name="_Hlk74039814"/>
    </w:p>
    <w:p w14:paraId="34636DDB" w14:textId="57AB9705" w:rsidR="00667D72" w:rsidRPr="00667D72" w:rsidRDefault="00667D72" w:rsidP="00667D72">
      <w:pPr>
        <w:spacing w:line="256" w:lineRule="auto"/>
        <w:rPr>
          <w:rFonts w:cstheme="minorHAnsi"/>
          <w:b/>
          <w:sz w:val="24"/>
          <w:szCs w:val="24"/>
        </w:rPr>
      </w:pPr>
      <w:r w:rsidRPr="00667D72">
        <w:rPr>
          <w:rFonts w:cstheme="minorHAnsi"/>
          <w:b/>
          <w:sz w:val="24"/>
          <w:szCs w:val="24"/>
        </w:rPr>
        <w:t>Financial Services</w:t>
      </w:r>
    </w:p>
    <w:p w14:paraId="657A4C43" w14:textId="77777777" w:rsidR="00667D72" w:rsidRPr="00667D72" w:rsidRDefault="00667D72" w:rsidP="00667D72">
      <w:pPr>
        <w:rPr>
          <w:rFonts w:cstheme="minorHAnsi"/>
          <w:b/>
          <w:sz w:val="24"/>
          <w:szCs w:val="24"/>
        </w:rPr>
      </w:pPr>
      <w:r w:rsidRPr="00667D72">
        <w:rPr>
          <w:rFonts w:cstheme="minorHAnsi"/>
          <w:sz w:val="24"/>
          <w:szCs w:val="24"/>
        </w:rPr>
        <w:t>Commitments in the Financial Services Chapter will include:</w:t>
      </w:r>
    </w:p>
    <w:p w14:paraId="1FCCA126" w14:textId="77777777" w:rsidR="00667D72" w:rsidRPr="00667D72" w:rsidRDefault="00667D72" w:rsidP="00667D72">
      <w:pPr>
        <w:pStyle w:val="ListParagraph"/>
        <w:numPr>
          <w:ilvl w:val="0"/>
          <w:numId w:val="7"/>
        </w:numPr>
        <w:spacing w:line="252" w:lineRule="auto"/>
        <w:rPr>
          <w:rFonts w:cstheme="minorHAnsi"/>
          <w:sz w:val="24"/>
          <w:szCs w:val="24"/>
        </w:rPr>
      </w:pPr>
      <w:r w:rsidRPr="00667D72">
        <w:rPr>
          <w:rFonts w:cstheme="minorHAnsi"/>
          <w:sz w:val="24"/>
          <w:szCs w:val="24"/>
        </w:rPr>
        <w:t>Ambitious provisions that strengthen our trading relationship, address behind-the-border barriers to financial services trade and expand opportunities for cross-border trade provision of financial services.</w:t>
      </w:r>
    </w:p>
    <w:p w14:paraId="084EFD7C" w14:textId="77777777" w:rsidR="00667D72" w:rsidRPr="00667D72" w:rsidRDefault="00667D72" w:rsidP="00667D72">
      <w:pPr>
        <w:pStyle w:val="ListParagraph"/>
        <w:numPr>
          <w:ilvl w:val="0"/>
          <w:numId w:val="7"/>
        </w:numPr>
        <w:spacing w:line="252" w:lineRule="auto"/>
        <w:rPr>
          <w:rFonts w:cstheme="minorHAnsi"/>
          <w:sz w:val="24"/>
          <w:szCs w:val="24"/>
        </w:rPr>
      </w:pPr>
      <w:r w:rsidRPr="00667D72">
        <w:rPr>
          <w:rFonts w:cstheme="minorHAnsi"/>
          <w:sz w:val="24"/>
          <w:szCs w:val="24"/>
        </w:rPr>
        <w:t>Commitment ensuring Australia and the UK recognise the importance of allowing financial service suppliers to offshore their back-office functions and avoid the imposition of arbitrary requirements on the performance of those functions.</w:t>
      </w:r>
    </w:p>
    <w:p w14:paraId="595F26E2" w14:textId="77777777" w:rsidR="00667D72" w:rsidRPr="00667D72" w:rsidRDefault="00667D72" w:rsidP="00667D72">
      <w:pPr>
        <w:pStyle w:val="ListParagraph"/>
        <w:numPr>
          <w:ilvl w:val="0"/>
          <w:numId w:val="7"/>
        </w:numPr>
        <w:spacing w:line="252" w:lineRule="auto"/>
        <w:rPr>
          <w:rFonts w:cstheme="minorHAnsi"/>
          <w:sz w:val="24"/>
          <w:szCs w:val="24"/>
        </w:rPr>
      </w:pPr>
      <w:r w:rsidRPr="00667D72">
        <w:rPr>
          <w:rFonts w:cstheme="minorHAnsi"/>
          <w:sz w:val="24"/>
          <w:szCs w:val="24"/>
        </w:rPr>
        <w:t>Commitments on the provision of new financial services.</w:t>
      </w:r>
    </w:p>
    <w:p w14:paraId="326385B8" w14:textId="77777777" w:rsidR="00667D72" w:rsidRPr="00667D72" w:rsidRDefault="00667D72" w:rsidP="00667D72">
      <w:pPr>
        <w:pStyle w:val="ListParagraph"/>
        <w:numPr>
          <w:ilvl w:val="0"/>
          <w:numId w:val="7"/>
        </w:numPr>
        <w:spacing w:line="252" w:lineRule="auto"/>
        <w:rPr>
          <w:rFonts w:cstheme="minorHAnsi"/>
          <w:sz w:val="24"/>
          <w:szCs w:val="24"/>
        </w:rPr>
      </w:pPr>
      <w:r w:rsidRPr="00667D72">
        <w:rPr>
          <w:rFonts w:cstheme="minorHAnsi"/>
          <w:sz w:val="24"/>
          <w:szCs w:val="24"/>
        </w:rPr>
        <w:t>Provisions which recognise the importance of transparency in facilitating the ability of financial service suppliers to gain access and operate in each other’s markets.</w:t>
      </w:r>
    </w:p>
    <w:p w14:paraId="2F0DA09D" w14:textId="77777777" w:rsidR="00667D72" w:rsidRPr="00667D72" w:rsidRDefault="00667D72" w:rsidP="00667D72">
      <w:pPr>
        <w:pStyle w:val="ListParagraph"/>
        <w:numPr>
          <w:ilvl w:val="0"/>
          <w:numId w:val="7"/>
        </w:numPr>
        <w:spacing w:line="252" w:lineRule="auto"/>
        <w:rPr>
          <w:rFonts w:cstheme="minorHAnsi"/>
          <w:sz w:val="24"/>
          <w:szCs w:val="24"/>
        </w:rPr>
      </w:pPr>
      <w:r w:rsidRPr="00667D72">
        <w:rPr>
          <w:rFonts w:cstheme="minorHAnsi"/>
          <w:sz w:val="24"/>
          <w:szCs w:val="24"/>
        </w:rPr>
        <w:t>A financial services regulatory cooperation annex which includes</w:t>
      </w:r>
    </w:p>
    <w:p w14:paraId="38D7666D" w14:textId="77777777" w:rsidR="00667D72" w:rsidRPr="00667D72" w:rsidRDefault="00667D72" w:rsidP="00667D72">
      <w:pPr>
        <w:pStyle w:val="ListParagraph"/>
        <w:numPr>
          <w:ilvl w:val="0"/>
          <w:numId w:val="11"/>
        </w:numPr>
        <w:spacing w:line="252" w:lineRule="auto"/>
        <w:ind w:left="1572"/>
        <w:rPr>
          <w:rFonts w:cstheme="minorHAnsi"/>
          <w:sz w:val="24"/>
          <w:szCs w:val="24"/>
        </w:rPr>
      </w:pPr>
      <w:r w:rsidRPr="00667D72">
        <w:rPr>
          <w:rFonts w:cstheme="minorHAnsi"/>
          <w:sz w:val="24"/>
          <w:szCs w:val="24"/>
        </w:rPr>
        <w:t>commitments to provide a foundation for further enhancing the regulatory cooperation relationship between the UK and Australia</w:t>
      </w:r>
    </w:p>
    <w:p w14:paraId="3A8130B3" w14:textId="77777777" w:rsidR="00667D72" w:rsidRPr="00667D72" w:rsidRDefault="00667D72" w:rsidP="00667D72">
      <w:pPr>
        <w:pStyle w:val="ListParagraph"/>
        <w:numPr>
          <w:ilvl w:val="0"/>
          <w:numId w:val="11"/>
        </w:numPr>
        <w:spacing w:line="252" w:lineRule="auto"/>
        <w:ind w:left="1572"/>
        <w:rPr>
          <w:rFonts w:cstheme="minorHAnsi"/>
          <w:sz w:val="24"/>
          <w:szCs w:val="24"/>
        </w:rPr>
      </w:pPr>
      <w:r w:rsidRPr="00667D72">
        <w:rPr>
          <w:rFonts w:cstheme="minorHAnsi"/>
          <w:sz w:val="24"/>
          <w:szCs w:val="24"/>
        </w:rPr>
        <w:t>commitments on emerging issues</w:t>
      </w:r>
    </w:p>
    <w:p w14:paraId="7B772865" w14:textId="0E5BCAC9" w:rsidR="00667D72" w:rsidRPr="002C36D8" w:rsidRDefault="00667D72" w:rsidP="00667D72">
      <w:pPr>
        <w:pStyle w:val="ListParagraph"/>
        <w:numPr>
          <w:ilvl w:val="0"/>
          <w:numId w:val="11"/>
        </w:numPr>
        <w:spacing w:line="252" w:lineRule="auto"/>
        <w:ind w:left="1572"/>
        <w:rPr>
          <w:rFonts w:cstheme="minorHAnsi"/>
          <w:sz w:val="24"/>
          <w:szCs w:val="24"/>
        </w:rPr>
      </w:pPr>
      <w:r w:rsidRPr="00667D72">
        <w:rPr>
          <w:rFonts w:cstheme="minorHAnsi"/>
          <w:sz w:val="24"/>
          <w:szCs w:val="24"/>
        </w:rPr>
        <w:t>commitments on working towards and developing dialogues on mutual compatibility and regulatory deference.</w:t>
      </w:r>
      <w:bookmarkEnd w:id="93"/>
    </w:p>
    <w:p w14:paraId="2555AC52" w14:textId="77777777" w:rsidR="00667D72" w:rsidRPr="00667D72" w:rsidRDefault="00667D72" w:rsidP="00667D72">
      <w:pPr>
        <w:spacing w:line="256" w:lineRule="auto"/>
        <w:rPr>
          <w:rFonts w:cstheme="minorHAnsi"/>
          <w:b/>
          <w:sz w:val="24"/>
          <w:szCs w:val="24"/>
        </w:rPr>
      </w:pPr>
      <w:r w:rsidRPr="00667D72">
        <w:rPr>
          <w:rFonts w:cstheme="minorHAnsi"/>
          <w:b/>
          <w:sz w:val="24"/>
          <w:szCs w:val="24"/>
        </w:rPr>
        <w:t>Telecommunications</w:t>
      </w:r>
    </w:p>
    <w:p w14:paraId="62C0828E" w14:textId="77777777" w:rsidR="00667D72" w:rsidRPr="00667D72" w:rsidRDefault="00667D72" w:rsidP="00667D72">
      <w:pPr>
        <w:rPr>
          <w:rFonts w:cstheme="minorHAnsi"/>
          <w:sz w:val="24"/>
          <w:szCs w:val="24"/>
        </w:rPr>
      </w:pPr>
      <w:r w:rsidRPr="00667D72">
        <w:rPr>
          <w:rFonts w:cstheme="minorHAnsi"/>
          <w:sz w:val="24"/>
          <w:szCs w:val="24"/>
        </w:rPr>
        <w:t>Commitments in the Telecoms Chapter will include:</w:t>
      </w:r>
    </w:p>
    <w:p w14:paraId="0E5D6758" w14:textId="77777777" w:rsidR="00667D72" w:rsidRPr="00667D72" w:rsidRDefault="00667D72" w:rsidP="00667D72">
      <w:pPr>
        <w:pStyle w:val="ListParagraph"/>
        <w:numPr>
          <w:ilvl w:val="0"/>
          <w:numId w:val="6"/>
        </w:numPr>
        <w:spacing w:line="252" w:lineRule="auto"/>
        <w:rPr>
          <w:rFonts w:cstheme="minorHAnsi"/>
          <w:sz w:val="24"/>
          <w:szCs w:val="24"/>
        </w:rPr>
      </w:pPr>
      <w:r w:rsidRPr="00667D72">
        <w:rPr>
          <w:rFonts w:cstheme="minorHAnsi"/>
          <w:sz w:val="24"/>
          <w:szCs w:val="24"/>
        </w:rPr>
        <w:t>A commitment to promote competition in our telecommunications markets through adopting and maintaining competitive safeguards and approaches to regulation that prevent anti-competitive practices including through ensuring non-discriminatory treatment.</w:t>
      </w:r>
    </w:p>
    <w:p w14:paraId="305241B5" w14:textId="77777777" w:rsidR="00667D72" w:rsidRPr="00667D72" w:rsidRDefault="00667D72" w:rsidP="00667D72">
      <w:pPr>
        <w:pStyle w:val="ListParagraph"/>
        <w:numPr>
          <w:ilvl w:val="0"/>
          <w:numId w:val="6"/>
        </w:numPr>
        <w:spacing w:line="252" w:lineRule="auto"/>
        <w:rPr>
          <w:rFonts w:cstheme="minorHAnsi"/>
          <w:sz w:val="24"/>
          <w:szCs w:val="24"/>
        </w:rPr>
      </w:pPr>
      <w:r w:rsidRPr="00667D72">
        <w:rPr>
          <w:rFonts w:cstheme="minorHAnsi"/>
          <w:sz w:val="24"/>
          <w:szCs w:val="24"/>
        </w:rPr>
        <w:t xml:space="preserve">A commitment to ensure that service suppliers of both countries have access to and use of any public telecommunications network or service on a timely basis and on reasonable, </w:t>
      </w:r>
      <w:proofErr w:type="gramStart"/>
      <w:r w:rsidRPr="00667D72">
        <w:rPr>
          <w:rFonts w:cstheme="minorHAnsi"/>
          <w:sz w:val="24"/>
          <w:szCs w:val="24"/>
        </w:rPr>
        <w:t>transparent</w:t>
      </w:r>
      <w:proofErr w:type="gramEnd"/>
      <w:r w:rsidRPr="00667D72">
        <w:rPr>
          <w:rFonts w:cstheme="minorHAnsi"/>
          <w:sz w:val="24"/>
          <w:szCs w:val="24"/>
        </w:rPr>
        <w:t xml:space="preserve"> and non-discriminatory terms and conditions.</w:t>
      </w:r>
    </w:p>
    <w:p w14:paraId="5EAF9312" w14:textId="77777777" w:rsidR="00667D72" w:rsidRPr="00667D72" w:rsidRDefault="00667D72" w:rsidP="00667D72">
      <w:pPr>
        <w:pStyle w:val="ListParagraph"/>
        <w:numPr>
          <w:ilvl w:val="0"/>
          <w:numId w:val="6"/>
        </w:numPr>
        <w:spacing w:line="252" w:lineRule="auto"/>
        <w:rPr>
          <w:rFonts w:cstheme="minorHAnsi"/>
          <w:sz w:val="24"/>
          <w:szCs w:val="24"/>
        </w:rPr>
      </w:pPr>
      <w:r w:rsidRPr="00667D72">
        <w:rPr>
          <w:rFonts w:cstheme="minorHAnsi"/>
          <w:sz w:val="24"/>
          <w:szCs w:val="24"/>
        </w:rPr>
        <w:lastRenderedPageBreak/>
        <w:t>Provisions that ensure the independence of telecommunications regulatory authorities, ensuring that suppliers are independent from our regulators – including through commitments on impartiality and transparency.</w:t>
      </w:r>
    </w:p>
    <w:p w14:paraId="10A9FCF9" w14:textId="77777777" w:rsidR="00667D72" w:rsidRPr="00667D72" w:rsidRDefault="00667D72" w:rsidP="00667D72">
      <w:pPr>
        <w:pStyle w:val="ListParagraph"/>
        <w:numPr>
          <w:ilvl w:val="0"/>
          <w:numId w:val="6"/>
        </w:numPr>
        <w:spacing w:line="252" w:lineRule="auto"/>
        <w:rPr>
          <w:rFonts w:eastAsiaTheme="minorEastAsia" w:cstheme="minorHAnsi"/>
          <w:sz w:val="24"/>
          <w:szCs w:val="24"/>
        </w:rPr>
      </w:pPr>
      <w:r w:rsidRPr="00667D72">
        <w:rPr>
          <w:rFonts w:cstheme="minorHAnsi"/>
          <w:sz w:val="24"/>
          <w:szCs w:val="24"/>
        </w:rPr>
        <w:t xml:space="preserve">A commitment that any authorisation or licensing requirement will be transparent, while also recognising a country’s ability to allow telecoms services and networks to operate without prior authorisation.  </w:t>
      </w:r>
    </w:p>
    <w:p w14:paraId="645A915B" w14:textId="77777777" w:rsidR="00667D72" w:rsidRPr="00667D72" w:rsidRDefault="00667D72" w:rsidP="00667D72">
      <w:pPr>
        <w:pStyle w:val="ListParagraph"/>
        <w:numPr>
          <w:ilvl w:val="0"/>
          <w:numId w:val="6"/>
        </w:numPr>
        <w:spacing w:line="252" w:lineRule="auto"/>
        <w:rPr>
          <w:rFonts w:eastAsiaTheme="minorEastAsia" w:cstheme="minorHAnsi"/>
          <w:sz w:val="24"/>
          <w:szCs w:val="24"/>
        </w:rPr>
      </w:pPr>
      <w:r w:rsidRPr="00667D72">
        <w:rPr>
          <w:rFonts w:cstheme="minorHAnsi"/>
          <w:sz w:val="24"/>
          <w:szCs w:val="24"/>
        </w:rPr>
        <w:t xml:space="preserve">Promotion of transparent and reasonable international mobile roaming rates, and steps to ensure that retail rates and alternatives to roaming are easily accessible for consumers and businesses. </w:t>
      </w:r>
    </w:p>
    <w:p w14:paraId="0187330B" w14:textId="77777777" w:rsidR="00667D72" w:rsidRPr="00667D72" w:rsidRDefault="00667D72" w:rsidP="00667D72">
      <w:pPr>
        <w:pStyle w:val="ListParagraph"/>
        <w:numPr>
          <w:ilvl w:val="0"/>
          <w:numId w:val="6"/>
        </w:numPr>
        <w:spacing w:line="252" w:lineRule="auto"/>
        <w:rPr>
          <w:rFonts w:eastAsiaTheme="minorEastAsia" w:cstheme="minorHAnsi"/>
          <w:sz w:val="24"/>
          <w:szCs w:val="24"/>
        </w:rPr>
      </w:pPr>
      <w:r w:rsidRPr="00667D72">
        <w:rPr>
          <w:rFonts w:cstheme="minorHAnsi"/>
          <w:sz w:val="24"/>
          <w:szCs w:val="24"/>
        </w:rPr>
        <w:t>A commitment to a strategic dialogue and partnership on security and diversification in the telecommunications sector, including on infrastructure and technologies.</w:t>
      </w:r>
    </w:p>
    <w:p w14:paraId="3ABDDE73" w14:textId="77777777" w:rsidR="00667D72" w:rsidRPr="00667D72" w:rsidRDefault="00667D72" w:rsidP="00667D72">
      <w:pPr>
        <w:spacing w:line="252" w:lineRule="auto"/>
        <w:rPr>
          <w:rFonts w:cstheme="minorHAnsi"/>
          <w:b/>
          <w:bCs/>
          <w:sz w:val="24"/>
          <w:szCs w:val="24"/>
        </w:rPr>
      </w:pPr>
      <w:r w:rsidRPr="00667D72">
        <w:rPr>
          <w:rFonts w:cstheme="minorHAnsi"/>
          <w:b/>
          <w:bCs/>
          <w:sz w:val="24"/>
          <w:szCs w:val="24"/>
        </w:rPr>
        <w:t xml:space="preserve">MOBILITY </w:t>
      </w:r>
    </w:p>
    <w:p w14:paraId="597D014B" w14:textId="48D42F3F" w:rsidR="00667D72" w:rsidRPr="002C36D8" w:rsidRDefault="00667D72" w:rsidP="00667D72">
      <w:pPr>
        <w:spacing w:line="252" w:lineRule="auto"/>
        <w:rPr>
          <w:rFonts w:cstheme="minorHAnsi"/>
          <w:i/>
          <w:iCs/>
          <w:color w:val="0070C0"/>
          <w:sz w:val="24"/>
          <w:szCs w:val="24"/>
        </w:rPr>
      </w:pPr>
      <w:r w:rsidRPr="00667D72">
        <w:rPr>
          <w:rFonts w:cstheme="minorHAnsi"/>
          <w:i/>
          <w:iCs/>
          <w:sz w:val="24"/>
          <w:szCs w:val="24"/>
        </w:rPr>
        <w:t xml:space="preserve">Australia and the UK commit to provisions on temporary entry that will support economic recovery, enhance opportunities for business travel, and encourage people to travel and work in each other’s territory, </w:t>
      </w:r>
      <w:proofErr w:type="gramStart"/>
      <w:r w:rsidRPr="00667D72">
        <w:rPr>
          <w:rFonts w:cstheme="minorHAnsi"/>
          <w:i/>
          <w:iCs/>
          <w:sz w:val="24"/>
          <w:szCs w:val="24"/>
        </w:rPr>
        <w:t>on the basis of</w:t>
      </w:r>
      <w:proofErr w:type="gramEnd"/>
      <w:r w:rsidRPr="00667D72">
        <w:rPr>
          <w:rFonts w:cstheme="minorHAnsi"/>
          <w:i/>
          <w:iCs/>
          <w:sz w:val="24"/>
          <w:szCs w:val="24"/>
        </w:rPr>
        <w:t xml:space="preserve"> reciprocity. </w:t>
      </w:r>
    </w:p>
    <w:p w14:paraId="2BA77CB4" w14:textId="77777777" w:rsidR="00667D72" w:rsidRPr="00667D72" w:rsidRDefault="00667D72" w:rsidP="00667D72">
      <w:pPr>
        <w:rPr>
          <w:rFonts w:cstheme="minorHAnsi"/>
          <w:sz w:val="24"/>
          <w:szCs w:val="24"/>
        </w:rPr>
      </w:pPr>
      <w:r w:rsidRPr="00667D72">
        <w:rPr>
          <w:rFonts w:cstheme="minorHAnsi"/>
          <w:sz w:val="24"/>
          <w:szCs w:val="24"/>
        </w:rPr>
        <w:t>Commitments in the Mobility Chapter will include:</w:t>
      </w:r>
    </w:p>
    <w:p w14:paraId="5367D2CA" w14:textId="77777777" w:rsidR="00667D72" w:rsidRPr="00667D72" w:rsidRDefault="00667D72" w:rsidP="00667D72">
      <w:pPr>
        <w:spacing w:line="252" w:lineRule="auto"/>
        <w:rPr>
          <w:rFonts w:cstheme="minorHAnsi"/>
          <w:sz w:val="24"/>
          <w:szCs w:val="24"/>
        </w:rPr>
      </w:pPr>
    </w:p>
    <w:p w14:paraId="510E8193" w14:textId="77777777" w:rsidR="00667D72" w:rsidRPr="00667D72" w:rsidRDefault="00667D72" w:rsidP="00667D72">
      <w:pPr>
        <w:pStyle w:val="ListParagraph"/>
        <w:numPr>
          <w:ilvl w:val="0"/>
          <w:numId w:val="7"/>
        </w:numPr>
        <w:spacing w:line="252" w:lineRule="auto"/>
        <w:ind w:left="360"/>
        <w:rPr>
          <w:rFonts w:cstheme="minorHAnsi"/>
          <w:sz w:val="24"/>
          <w:szCs w:val="24"/>
        </w:rPr>
      </w:pPr>
      <w:r w:rsidRPr="00667D72">
        <w:rPr>
          <w:rFonts w:cstheme="minorHAnsi"/>
          <w:sz w:val="24"/>
          <w:szCs w:val="24"/>
        </w:rPr>
        <w:t>Companies to sponsor visas committed in the FTA without first having to prove that a national of the country in question could not be hired to do the job, through the reciprocal removal of economic needs tests.</w:t>
      </w:r>
    </w:p>
    <w:p w14:paraId="348DB759" w14:textId="77777777" w:rsidR="00667D72" w:rsidRPr="00667D72" w:rsidRDefault="00667D72" w:rsidP="00667D72">
      <w:pPr>
        <w:pStyle w:val="ListParagraph"/>
        <w:numPr>
          <w:ilvl w:val="0"/>
          <w:numId w:val="7"/>
        </w:numPr>
        <w:spacing w:after="0" w:line="252" w:lineRule="auto"/>
        <w:ind w:left="357" w:hanging="357"/>
        <w:rPr>
          <w:rFonts w:cstheme="minorHAnsi"/>
          <w:sz w:val="24"/>
          <w:szCs w:val="24"/>
        </w:rPr>
      </w:pPr>
      <w:r w:rsidRPr="00667D72">
        <w:rPr>
          <w:rFonts w:cstheme="minorHAnsi"/>
          <w:sz w:val="24"/>
          <w:szCs w:val="24"/>
        </w:rPr>
        <w:t xml:space="preserve">Australia and the UK to provide balanced guarantees that are broadly reciprocal to maintain visa pathways for service suppliers for a substantial number of sectors - through the binding of these sectors in the FTA. </w:t>
      </w:r>
    </w:p>
    <w:p w14:paraId="3BBFAE18" w14:textId="77777777" w:rsidR="00667D72" w:rsidRPr="00667D72" w:rsidRDefault="00667D72" w:rsidP="00667D72">
      <w:pPr>
        <w:pStyle w:val="ListParagraph"/>
        <w:spacing w:line="252" w:lineRule="auto"/>
        <w:ind w:left="357"/>
        <w:rPr>
          <w:rFonts w:cstheme="minorHAnsi"/>
          <w:sz w:val="24"/>
          <w:szCs w:val="24"/>
        </w:rPr>
      </w:pPr>
    </w:p>
    <w:p w14:paraId="4386A39D" w14:textId="77777777" w:rsidR="00667D72" w:rsidRPr="00667D72" w:rsidRDefault="00667D72" w:rsidP="00667D72">
      <w:pPr>
        <w:rPr>
          <w:rFonts w:cstheme="minorHAnsi"/>
          <w:sz w:val="24"/>
          <w:szCs w:val="24"/>
        </w:rPr>
      </w:pPr>
      <w:r w:rsidRPr="00667D72">
        <w:rPr>
          <w:rFonts w:cstheme="minorHAnsi"/>
          <w:sz w:val="24"/>
          <w:szCs w:val="24"/>
        </w:rPr>
        <w:t>A wider range of side initiatives alongside the FTA encompassing broader demographics than Business Mobility including: </w:t>
      </w:r>
    </w:p>
    <w:p w14:paraId="1F3F9029" w14:textId="77777777" w:rsidR="00667D72" w:rsidRPr="00667D72" w:rsidRDefault="00667D72" w:rsidP="00667D72">
      <w:pPr>
        <w:pStyle w:val="ListParagraph"/>
        <w:spacing w:line="252" w:lineRule="auto"/>
        <w:ind w:left="357"/>
        <w:rPr>
          <w:rFonts w:cstheme="minorHAnsi"/>
          <w:sz w:val="24"/>
          <w:szCs w:val="24"/>
        </w:rPr>
      </w:pPr>
    </w:p>
    <w:p w14:paraId="648A2B5E" w14:textId="77777777" w:rsidR="00667D72" w:rsidRPr="00667D72" w:rsidRDefault="00667D72" w:rsidP="00667D72">
      <w:pPr>
        <w:pStyle w:val="ListParagraph"/>
        <w:numPr>
          <w:ilvl w:val="0"/>
          <w:numId w:val="7"/>
        </w:numPr>
        <w:spacing w:line="252" w:lineRule="auto"/>
        <w:ind w:left="360"/>
        <w:rPr>
          <w:rFonts w:cstheme="minorHAnsi"/>
          <w:sz w:val="24"/>
          <w:szCs w:val="24"/>
        </w:rPr>
      </w:pPr>
      <w:r w:rsidRPr="00667D72">
        <w:rPr>
          <w:rFonts w:cstheme="minorHAnsi"/>
          <w:sz w:val="24"/>
          <w:szCs w:val="24"/>
        </w:rPr>
        <w:t xml:space="preserve">The UK and Australia will make unprecedented changes to their Youth Mobility Schemes, making them available to nationals no older than 35 for a total stay of up to 3 years, without having to undertake specified work including regional work, for example on a farm. In line </w:t>
      </w:r>
      <w:proofErr w:type="gramStart"/>
      <w:r w:rsidRPr="00667D72">
        <w:rPr>
          <w:rFonts w:cstheme="minorHAnsi"/>
          <w:sz w:val="24"/>
          <w:szCs w:val="24"/>
        </w:rPr>
        <w:t>with  each</w:t>
      </w:r>
      <w:proofErr w:type="gramEnd"/>
      <w:r w:rsidRPr="00667D72">
        <w:rPr>
          <w:rFonts w:cstheme="minorHAnsi"/>
          <w:sz w:val="24"/>
          <w:szCs w:val="24"/>
        </w:rPr>
        <w:t xml:space="preserve"> country’s respective immigration system, the parties will further explore opportunities to enhance the ability for citizens to live, work and travel in each country. </w:t>
      </w:r>
    </w:p>
    <w:p w14:paraId="23AE9103" w14:textId="77777777" w:rsidR="00667D72" w:rsidRPr="00667D72" w:rsidRDefault="00667D72" w:rsidP="00667D72">
      <w:pPr>
        <w:pStyle w:val="ListParagraph"/>
        <w:numPr>
          <w:ilvl w:val="0"/>
          <w:numId w:val="7"/>
        </w:numPr>
        <w:spacing w:line="252" w:lineRule="auto"/>
        <w:ind w:left="360"/>
        <w:rPr>
          <w:rFonts w:cstheme="minorHAnsi"/>
          <w:sz w:val="24"/>
          <w:szCs w:val="24"/>
        </w:rPr>
      </w:pPr>
      <w:r w:rsidRPr="00667D72">
        <w:rPr>
          <w:rFonts w:cstheme="minorHAnsi"/>
          <w:sz w:val="24"/>
          <w:szCs w:val="24"/>
        </w:rPr>
        <w:t>Agricultural work – the UK and Australia will ensure we can further support agriculture and agribusiness, by outlining visa pathways to facilitate mobility for those involved in agricultural work.</w:t>
      </w:r>
    </w:p>
    <w:p w14:paraId="7AFDEE16" w14:textId="77777777" w:rsidR="00667D72" w:rsidRPr="00667D72" w:rsidRDefault="00667D72" w:rsidP="00667D72">
      <w:pPr>
        <w:pStyle w:val="ListParagraph"/>
        <w:numPr>
          <w:ilvl w:val="0"/>
          <w:numId w:val="7"/>
        </w:numPr>
        <w:spacing w:line="252" w:lineRule="auto"/>
        <w:ind w:left="360"/>
        <w:rPr>
          <w:rFonts w:cstheme="minorHAnsi"/>
          <w:sz w:val="24"/>
          <w:szCs w:val="24"/>
        </w:rPr>
      </w:pPr>
      <w:r w:rsidRPr="00667D72">
        <w:rPr>
          <w:rFonts w:cstheme="minorHAnsi"/>
          <w:sz w:val="24"/>
          <w:szCs w:val="24"/>
        </w:rPr>
        <w:t>Innovation and Early Careers Skills Exchange – the UK and Australia will jointly explore dedicated visa requirements, in line with our respective systems, to further enable workplace exchanges which facilitate early career mobility for those involved in innovation across industry, culture and the arts.</w:t>
      </w:r>
    </w:p>
    <w:p w14:paraId="77DF2403" w14:textId="6040E0AD" w:rsidR="00667D72" w:rsidRPr="002C36D8" w:rsidRDefault="00667D72" w:rsidP="00667D72">
      <w:pPr>
        <w:pStyle w:val="ListParagraph"/>
        <w:numPr>
          <w:ilvl w:val="0"/>
          <w:numId w:val="7"/>
        </w:numPr>
        <w:spacing w:line="252" w:lineRule="auto"/>
        <w:ind w:left="360"/>
        <w:rPr>
          <w:rFonts w:cstheme="minorHAnsi"/>
          <w:sz w:val="24"/>
          <w:szCs w:val="24"/>
        </w:rPr>
      </w:pPr>
      <w:r w:rsidRPr="00667D72">
        <w:rPr>
          <w:rFonts w:cstheme="minorHAnsi"/>
          <w:sz w:val="24"/>
          <w:szCs w:val="24"/>
        </w:rPr>
        <w:t>These changes will be made within 5 years to allow for a smooth adjustment in respective systems.</w:t>
      </w:r>
    </w:p>
    <w:p w14:paraId="46758D49" w14:textId="77777777" w:rsidR="00667D72" w:rsidRPr="00667D72" w:rsidRDefault="00667D72" w:rsidP="00667D72">
      <w:pPr>
        <w:keepNext/>
        <w:spacing w:line="256" w:lineRule="auto"/>
        <w:rPr>
          <w:rFonts w:cstheme="minorHAnsi"/>
          <w:b/>
          <w:sz w:val="24"/>
          <w:szCs w:val="24"/>
        </w:rPr>
      </w:pPr>
      <w:r w:rsidRPr="00667D72">
        <w:rPr>
          <w:rFonts w:cstheme="minorHAnsi"/>
          <w:b/>
          <w:sz w:val="24"/>
          <w:szCs w:val="24"/>
        </w:rPr>
        <w:lastRenderedPageBreak/>
        <w:t>Investment</w:t>
      </w:r>
    </w:p>
    <w:p w14:paraId="26BA0FA6" w14:textId="77777777" w:rsidR="00667D72" w:rsidRPr="00667D72" w:rsidRDefault="00667D72" w:rsidP="00667D72">
      <w:pPr>
        <w:spacing w:line="252" w:lineRule="auto"/>
        <w:contextualSpacing/>
        <w:rPr>
          <w:rFonts w:cstheme="minorHAnsi"/>
          <w:sz w:val="24"/>
          <w:szCs w:val="24"/>
        </w:rPr>
      </w:pPr>
      <w:r w:rsidRPr="00667D72">
        <w:rPr>
          <w:rFonts w:cstheme="minorHAnsi"/>
          <w:i/>
          <w:sz w:val="24"/>
          <w:szCs w:val="24"/>
        </w:rPr>
        <w:t xml:space="preserve">Australia and the UK </w:t>
      </w:r>
      <w:r w:rsidRPr="00667D72">
        <w:rPr>
          <w:rFonts w:cstheme="minorHAnsi"/>
          <w:i/>
          <w:iCs/>
          <w:sz w:val="24"/>
          <w:szCs w:val="24"/>
        </w:rPr>
        <w:t>commit to</w:t>
      </w:r>
      <w:r w:rsidRPr="00667D72">
        <w:rPr>
          <w:rFonts w:cstheme="minorHAnsi"/>
          <w:i/>
          <w:sz w:val="24"/>
          <w:szCs w:val="24"/>
        </w:rPr>
        <w:t xml:space="preserve"> investment commitments that will underpin the already strong investment relationship between our two countries</w:t>
      </w:r>
      <w:r w:rsidRPr="00667D72">
        <w:rPr>
          <w:rFonts w:cstheme="minorHAnsi"/>
          <w:i/>
          <w:iCs/>
          <w:sz w:val="24"/>
          <w:szCs w:val="24"/>
        </w:rPr>
        <w:t xml:space="preserve"> </w:t>
      </w:r>
      <w:r w:rsidRPr="00667D72">
        <w:rPr>
          <w:rFonts w:cstheme="minorHAnsi"/>
          <w:i/>
          <w:sz w:val="24"/>
          <w:szCs w:val="24"/>
        </w:rPr>
        <w:t>and boost the recovery from COVID-19. Commitments will cover all investment, portfolio and FDI</w:t>
      </w:r>
      <w:r w:rsidRPr="00667D72" w:rsidDel="00051751">
        <w:rPr>
          <w:rFonts w:cstheme="minorHAnsi"/>
          <w:i/>
          <w:sz w:val="24"/>
          <w:szCs w:val="24"/>
        </w:rPr>
        <w:t xml:space="preserve"> and </w:t>
      </w:r>
      <w:r w:rsidRPr="00667D72">
        <w:rPr>
          <w:rFonts w:cstheme="minorHAnsi"/>
          <w:i/>
          <w:sz w:val="24"/>
          <w:szCs w:val="24"/>
        </w:rPr>
        <w:t>ambitious</w:t>
      </w:r>
      <w:r w:rsidRPr="00667D72" w:rsidDel="00051751">
        <w:rPr>
          <w:rFonts w:cstheme="minorHAnsi"/>
          <w:i/>
          <w:sz w:val="24"/>
          <w:szCs w:val="24"/>
        </w:rPr>
        <w:t xml:space="preserve"> </w:t>
      </w:r>
      <w:r w:rsidRPr="00667D72">
        <w:rPr>
          <w:rFonts w:cstheme="minorHAnsi"/>
          <w:i/>
          <w:sz w:val="24"/>
          <w:szCs w:val="24"/>
        </w:rPr>
        <w:t>market access commitments. Investors will get fair treatment and protection from expropriation of assets, while the right of states to regulate in the public interest will be preserved. The agreement will not include an Investor-State Dispute Settlement mechanism. The deal also includes higher investment screening thresholds for UK investors in Australia, meaning fewer UK investments are subject to review by the Foreign Investment Review Board.</w:t>
      </w:r>
      <w:r w:rsidRPr="00667D72">
        <w:rPr>
          <w:rFonts w:cstheme="minorHAnsi"/>
          <w:sz w:val="24"/>
          <w:szCs w:val="24"/>
        </w:rPr>
        <w:t xml:space="preserve"> </w:t>
      </w:r>
    </w:p>
    <w:p w14:paraId="4AF71CE2" w14:textId="77777777" w:rsidR="00667D72" w:rsidRPr="00667D72" w:rsidRDefault="00667D72" w:rsidP="00667D72">
      <w:pPr>
        <w:spacing w:line="252" w:lineRule="auto"/>
        <w:contextualSpacing/>
        <w:rPr>
          <w:rFonts w:cstheme="minorHAnsi"/>
          <w:i/>
          <w:strike/>
          <w:sz w:val="24"/>
          <w:szCs w:val="24"/>
        </w:rPr>
      </w:pPr>
    </w:p>
    <w:p w14:paraId="051BF22E" w14:textId="77777777" w:rsidR="00667D72" w:rsidRPr="00667D72" w:rsidRDefault="00667D72" w:rsidP="00667D72">
      <w:pPr>
        <w:rPr>
          <w:rFonts w:cstheme="minorHAnsi"/>
          <w:sz w:val="24"/>
          <w:szCs w:val="24"/>
        </w:rPr>
      </w:pPr>
      <w:r w:rsidRPr="00667D72">
        <w:rPr>
          <w:rFonts w:cstheme="minorHAnsi"/>
          <w:sz w:val="24"/>
          <w:szCs w:val="24"/>
        </w:rPr>
        <w:t>Commitments in the Investment Chapter will include:</w:t>
      </w:r>
    </w:p>
    <w:p w14:paraId="1C268DA7" w14:textId="77777777" w:rsidR="00667D72" w:rsidRPr="00667D72" w:rsidRDefault="00667D72" w:rsidP="00667D72">
      <w:pPr>
        <w:pStyle w:val="ListParagraph"/>
        <w:numPr>
          <w:ilvl w:val="0"/>
          <w:numId w:val="16"/>
        </w:numPr>
        <w:spacing w:after="0" w:line="240" w:lineRule="auto"/>
        <w:rPr>
          <w:rFonts w:cstheme="minorHAnsi"/>
          <w:sz w:val="24"/>
          <w:szCs w:val="24"/>
        </w:rPr>
      </w:pPr>
      <w:r w:rsidRPr="00667D72">
        <w:rPr>
          <w:rFonts w:cstheme="minorHAnsi"/>
          <w:sz w:val="24"/>
          <w:szCs w:val="24"/>
        </w:rPr>
        <w:t>Application of Market Access obligation (prohibition of certain quantitative restrictions on investment) at Central and regional level, except where specific reservations [once regional consultations are complete] are noted in a schedule across the whole economy, using the "negative listing" approaches.</w:t>
      </w:r>
    </w:p>
    <w:p w14:paraId="0E150953" w14:textId="77777777" w:rsidR="00667D72" w:rsidRPr="00667D72" w:rsidRDefault="00667D72" w:rsidP="00667D72">
      <w:pPr>
        <w:pStyle w:val="ListParagraph"/>
        <w:numPr>
          <w:ilvl w:val="0"/>
          <w:numId w:val="16"/>
        </w:numPr>
        <w:spacing w:after="0" w:line="240" w:lineRule="auto"/>
        <w:rPr>
          <w:rFonts w:cstheme="minorHAnsi"/>
          <w:sz w:val="24"/>
          <w:szCs w:val="24"/>
        </w:rPr>
      </w:pPr>
      <w:bookmarkStart w:id="94" w:name="_Hlk74510325"/>
      <w:r w:rsidRPr="00667D72">
        <w:rPr>
          <w:rFonts w:cstheme="minorHAnsi"/>
          <w:sz w:val="24"/>
          <w:szCs w:val="24"/>
        </w:rPr>
        <w:t xml:space="preserve">A new commitment prohibiting all residency and nationality requirements for senior managers and boards of directors, with precise application to take account of the outcome of Australia’s consultations, which are seeking to narrow the policy space required as far as possible. </w:t>
      </w:r>
    </w:p>
    <w:bookmarkEnd w:id="94"/>
    <w:p w14:paraId="58137DD5"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Most Favoured Nation provisions (covering services and investment) which ensure that if UK or Australia provide more generous access for investment from other countries, this will also be extended to Australian and UK investors.</w:t>
      </w:r>
    </w:p>
    <w:p w14:paraId="7ECF358F"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 xml:space="preserve">Protection for UK and Australian investors, including from unfair or discriminatory treatment, or expropriation of assets without due compensation, reflecting the customary international standard of protection, on the CPTPP model. </w:t>
      </w:r>
    </w:p>
    <w:p w14:paraId="6E469F57"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 xml:space="preserve">A new provision confirming that economic sanctions are not impacted by the commitment to allow free transfers of funds by investors. </w:t>
      </w:r>
    </w:p>
    <w:p w14:paraId="265BB821"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The investment chapter will not include Investor-State Dispute Settlement.</w:t>
      </w:r>
    </w:p>
    <w:p w14:paraId="27B396A4"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 xml:space="preserve">Includes all Prohibition of Performance Requirements included in the CPTPP. </w:t>
      </w:r>
    </w:p>
    <w:p w14:paraId="2FA6E473"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Commitment to consult on the inclusion of additional PPRs (Prohibition of Performance Requirements) to minimise market distortions, potential barriers and bureaucracy faced by investors </w:t>
      </w:r>
    </w:p>
    <w:p w14:paraId="3096E592" w14:textId="77777777" w:rsidR="00667D72" w:rsidRPr="00667D72" w:rsidRDefault="00667D72" w:rsidP="00667D72">
      <w:pPr>
        <w:pStyle w:val="ListParagraph"/>
        <w:numPr>
          <w:ilvl w:val="0"/>
          <w:numId w:val="17"/>
        </w:numPr>
        <w:spacing w:line="252" w:lineRule="auto"/>
        <w:jc w:val="both"/>
        <w:rPr>
          <w:rFonts w:cstheme="minorHAnsi"/>
          <w:sz w:val="24"/>
          <w:szCs w:val="24"/>
        </w:rPr>
      </w:pPr>
      <w:proofErr w:type="gramStart"/>
      <w:r w:rsidRPr="00667D72">
        <w:rPr>
          <w:rFonts w:cstheme="minorHAnsi"/>
          <w:sz w:val="24"/>
          <w:szCs w:val="24"/>
        </w:rPr>
        <w:t>Headquarters</w:t>
      </w:r>
      <w:proofErr w:type="gramEnd"/>
      <w:r w:rsidRPr="00667D72">
        <w:rPr>
          <w:rFonts w:cstheme="minorHAnsi"/>
          <w:sz w:val="24"/>
          <w:szCs w:val="24"/>
        </w:rPr>
        <w:t> localisation requirements </w:t>
      </w:r>
    </w:p>
    <w:p w14:paraId="27F1EB0E" w14:textId="77777777" w:rsidR="00667D72" w:rsidRPr="00667D72" w:rsidRDefault="00667D72" w:rsidP="00667D72">
      <w:pPr>
        <w:pStyle w:val="ListParagraph"/>
        <w:numPr>
          <w:ilvl w:val="0"/>
          <w:numId w:val="17"/>
        </w:numPr>
        <w:spacing w:line="252" w:lineRule="auto"/>
        <w:jc w:val="both"/>
        <w:rPr>
          <w:rFonts w:cstheme="minorHAnsi"/>
          <w:sz w:val="24"/>
          <w:szCs w:val="24"/>
        </w:rPr>
      </w:pPr>
      <w:r w:rsidRPr="00667D72">
        <w:rPr>
          <w:rFonts w:cstheme="minorHAnsi"/>
          <w:sz w:val="24"/>
          <w:szCs w:val="24"/>
        </w:rPr>
        <w:t>Mandatory levels of research and development </w:t>
      </w:r>
    </w:p>
    <w:p w14:paraId="06D349D6" w14:textId="77777777" w:rsidR="00667D72" w:rsidRPr="00667D72" w:rsidRDefault="00667D72" w:rsidP="00667D72">
      <w:pPr>
        <w:pStyle w:val="ListParagraph"/>
        <w:numPr>
          <w:ilvl w:val="0"/>
          <w:numId w:val="17"/>
        </w:numPr>
        <w:spacing w:line="252" w:lineRule="auto"/>
        <w:jc w:val="both"/>
        <w:rPr>
          <w:rFonts w:cstheme="minorHAnsi"/>
          <w:sz w:val="24"/>
          <w:szCs w:val="24"/>
        </w:rPr>
      </w:pPr>
      <w:r w:rsidRPr="00667D72">
        <w:rPr>
          <w:rFonts w:cstheme="minorHAnsi"/>
          <w:sz w:val="24"/>
          <w:szCs w:val="24"/>
        </w:rPr>
        <w:t>Export restrictions</w:t>
      </w:r>
    </w:p>
    <w:p w14:paraId="72C450BC" w14:textId="77777777" w:rsidR="00667D72" w:rsidRPr="00667D72" w:rsidRDefault="00667D72" w:rsidP="00667D72">
      <w:pPr>
        <w:pStyle w:val="ListParagraph"/>
        <w:numPr>
          <w:ilvl w:val="0"/>
          <w:numId w:val="17"/>
        </w:numPr>
        <w:spacing w:line="252" w:lineRule="auto"/>
        <w:jc w:val="both"/>
        <w:rPr>
          <w:rFonts w:cstheme="minorHAnsi"/>
          <w:sz w:val="24"/>
          <w:szCs w:val="24"/>
        </w:rPr>
      </w:pPr>
      <w:r w:rsidRPr="00667D72">
        <w:rPr>
          <w:rFonts w:cstheme="minorHAnsi"/>
          <w:sz w:val="24"/>
          <w:szCs w:val="24"/>
        </w:rPr>
        <w:t>Local hiring requirements </w:t>
      </w:r>
    </w:p>
    <w:p w14:paraId="705A2CC3"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 xml:space="preserve">Protections applying to investment in Air services, and liberalisation applying except where explicitly noted in a schedule.   </w:t>
      </w:r>
    </w:p>
    <w:p w14:paraId="4E742768"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Investment screening thresholds raised to at least the level Australia gave the US and CPTPP countries.   </w:t>
      </w:r>
    </w:p>
    <w:p w14:paraId="59189047" w14:textId="77777777" w:rsidR="00667D72" w:rsidRPr="00667D72" w:rsidRDefault="00667D72" w:rsidP="00667D72">
      <w:pPr>
        <w:pStyle w:val="ListParagraph"/>
        <w:numPr>
          <w:ilvl w:val="0"/>
          <w:numId w:val="16"/>
        </w:numPr>
        <w:spacing w:line="252" w:lineRule="auto"/>
        <w:rPr>
          <w:rFonts w:cstheme="minorHAnsi"/>
          <w:sz w:val="24"/>
          <w:szCs w:val="24"/>
        </w:rPr>
      </w:pPr>
      <w:r w:rsidRPr="00667D72">
        <w:rPr>
          <w:rFonts w:cstheme="minorHAnsi"/>
          <w:sz w:val="24"/>
          <w:szCs w:val="24"/>
        </w:rPr>
        <w:t xml:space="preserve">Confirmation that the territorial scope of the “Whole of Economy” Market Access provision is the same as in the UK-Canada agreement </w:t>
      </w:r>
      <w:r w:rsidRPr="00667D72" w:rsidDel="00B162EC">
        <w:rPr>
          <w:rFonts w:cstheme="minorHAnsi"/>
          <w:sz w:val="24"/>
          <w:szCs w:val="24"/>
        </w:rPr>
        <w:t xml:space="preserve">through </w:t>
      </w:r>
      <w:r w:rsidRPr="00667D72">
        <w:rPr>
          <w:rFonts w:cstheme="minorHAnsi"/>
          <w:sz w:val="24"/>
          <w:szCs w:val="24"/>
        </w:rPr>
        <w:t>textual clarification, enabling incorporation of the outcomes of consultations.</w:t>
      </w:r>
    </w:p>
    <w:p w14:paraId="1E63E948" w14:textId="77777777" w:rsidR="00667D72" w:rsidRPr="00667D72" w:rsidRDefault="00667D72" w:rsidP="00667D72">
      <w:pPr>
        <w:pStyle w:val="ListParagraph"/>
        <w:spacing w:line="252" w:lineRule="auto"/>
        <w:ind w:left="0"/>
        <w:rPr>
          <w:rFonts w:cstheme="minorHAnsi"/>
          <w:i/>
          <w:iCs/>
          <w:color w:val="0070C0"/>
          <w:sz w:val="24"/>
          <w:szCs w:val="24"/>
          <w:u w:val="single"/>
        </w:rPr>
      </w:pPr>
    </w:p>
    <w:p w14:paraId="79F941CD" w14:textId="77777777" w:rsidR="00667D72" w:rsidRPr="00667D72" w:rsidRDefault="00667D72" w:rsidP="00667D72">
      <w:pPr>
        <w:spacing w:line="252" w:lineRule="auto"/>
        <w:rPr>
          <w:rFonts w:cstheme="minorHAnsi"/>
          <w:b/>
          <w:sz w:val="24"/>
          <w:szCs w:val="24"/>
        </w:rPr>
      </w:pPr>
      <w:r w:rsidRPr="00667D72">
        <w:rPr>
          <w:rFonts w:cstheme="minorHAnsi"/>
          <w:b/>
          <w:sz w:val="24"/>
          <w:szCs w:val="24"/>
        </w:rPr>
        <w:lastRenderedPageBreak/>
        <w:t>Digital Trade</w:t>
      </w:r>
    </w:p>
    <w:p w14:paraId="3C4C6ABC" w14:textId="18EA619D" w:rsidR="00667D72" w:rsidRPr="00667D72" w:rsidRDefault="00667D72" w:rsidP="00667D72">
      <w:pPr>
        <w:spacing w:line="254" w:lineRule="auto"/>
        <w:rPr>
          <w:rFonts w:cstheme="minorHAnsi"/>
          <w:i/>
          <w:color w:val="000000" w:themeColor="text1"/>
          <w:sz w:val="24"/>
          <w:szCs w:val="24"/>
        </w:rPr>
      </w:pPr>
      <w:r w:rsidRPr="00667D72">
        <w:rPr>
          <w:rFonts w:cstheme="minorHAnsi"/>
          <w:i/>
          <w:color w:val="000000" w:themeColor="text1"/>
          <w:sz w:val="24"/>
          <w:szCs w:val="24"/>
        </w:rPr>
        <w:t>Australia and the United Kingdom commit to ambitious commitments that will increase opportunities for digital trade across all sectors of the economy, while also ensuring world-leading standards for personal data protection and for legitimate public policy objectives.</w:t>
      </w:r>
      <w:r w:rsidRPr="00667D72">
        <w:rPr>
          <w:rFonts w:cstheme="minorHAnsi"/>
          <w:i/>
          <w:sz w:val="24"/>
          <w:szCs w:val="24"/>
        </w:rPr>
        <w:t xml:space="preserve"> </w:t>
      </w:r>
      <w:r w:rsidRPr="00667D72">
        <w:rPr>
          <w:rFonts w:cstheme="minorHAnsi"/>
          <w:i/>
          <w:color w:val="000000" w:themeColor="text1"/>
          <w:sz w:val="24"/>
          <w:szCs w:val="24"/>
        </w:rPr>
        <w:t>These will include strong rules on data flows and the prohibition of unjustifiable data localisation requirements to create a more certain and secure online environment and support increased growth in digital trade between Australia and the United Kingdom. It</w:t>
      </w:r>
      <w:r w:rsidRPr="00667D72" w:rsidDel="00717A45">
        <w:rPr>
          <w:rFonts w:cstheme="minorHAnsi"/>
          <w:i/>
          <w:color w:val="000000" w:themeColor="text1"/>
          <w:sz w:val="24"/>
          <w:szCs w:val="24"/>
        </w:rPr>
        <w:t xml:space="preserve"> </w:t>
      </w:r>
      <w:r w:rsidRPr="00667D72">
        <w:rPr>
          <w:rFonts w:cstheme="minorHAnsi"/>
          <w:i/>
          <w:color w:val="000000" w:themeColor="text1"/>
          <w:sz w:val="24"/>
          <w:szCs w:val="24"/>
        </w:rPr>
        <w:t xml:space="preserve">will also include provisions to ensure the recognition of electronic contracts and signatures and legal frameworks on electronic transactions that facilitate e-commerce. </w:t>
      </w:r>
    </w:p>
    <w:p w14:paraId="5AA78CDB" w14:textId="77777777" w:rsidR="00667D72" w:rsidRPr="00667D72" w:rsidRDefault="00667D72" w:rsidP="00667D72">
      <w:pPr>
        <w:rPr>
          <w:rFonts w:cstheme="minorHAnsi"/>
          <w:sz w:val="24"/>
          <w:szCs w:val="24"/>
        </w:rPr>
      </w:pPr>
      <w:r w:rsidRPr="00667D72">
        <w:rPr>
          <w:rFonts w:cstheme="minorHAnsi"/>
          <w:sz w:val="24"/>
          <w:szCs w:val="24"/>
        </w:rPr>
        <w:t>Commitments in the Digital Trade Chapter will include:</w:t>
      </w:r>
    </w:p>
    <w:p w14:paraId="68D3903D" w14:textId="77777777" w:rsidR="00667D72" w:rsidRPr="00667D72" w:rsidRDefault="00667D72" w:rsidP="00667D72">
      <w:pPr>
        <w:pStyle w:val="ListParagraph"/>
        <w:numPr>
          <w:ilvl w:val="0"/>
          <w:numId w:val="7"/>
        </w:numPr>
        <w:spacing w:line="252" w:lineRule="auto"/>
        <w:ind w:left="426"/>
        <w:rPr>
          <w:rFonts w:cstheme="minorHAnsi"/>
          <w:sz w:val="24"/>
          <w:szCs w:val="24"/>
        </w:rPr>
      </w:pPr>
      <w:bookmarkStart w:id="95" w:name="_Hlk74306740"/>
      <w:r w:rsidRPr="00667D72">
        <w:rPr>
          <w:rFonts w:cstheme="minorHAnsi"/>
          <w:sz w:val="24"/>
          <w:szCs w:val="24"/>
          <w:lang w:val="en-US"/>
        </w:rPr>
        <w:t xml:space="preserve">Commitment to enable cross-border data flows and avoid unjustified data </w:t>
      </w:r>
      <w:proofErr w:type="spellStart"/>
      <w:r w:rsidRPr="00667D72">
        <w:rPr>
          <w:rFonts w:cstheme="minorHAnsi"/>
          <w:sz w:val="24"/>
          <w:szCs w:val="24"/>
          <w:lang w:val="en-US"/>
        </w:rPr>
        <w:t>localisation</w:t>
      </w:r>
      <w:proofErr w:type="spellEnd"/>
      <w:r w:rsidRPr="00667D72">
        <w:rPr>
          <w:rFonts w:cstheme="minorHAnsi"/>
          <w:sz w:val="24"/>
          <w:szCs w:val="24"/>
          <w:lang w:val="en-US"/>
        </w:rPr>
        <w:t xml:space="preserve"> commitments, whilst ensuring high standards of data protection. </w:t>
      </w:r>
    </w:p>
    <w:bookmarkEnd w:id="95"/>
    <w:p w14:paraId="17515678" w14:textId="77777777" w:rsidR="00667D72" w:rsidRPr="00667D72" w:rsidRDefault="00667D72" w:rsidP="00667D72">
      <w:pPr>
        <w:pStyle w:val="ListParagraph"/>
        <w:numPr>
          <w:ilvl w:val="0"/>
          <w:numId w:val="7"/>
        </w:numPr>
        <w:spacing w:line="252" w:lineRule="auto"/>
        <w:ind w:left="426"/>
        <w:rPr>
          <w:rFonts w:cstheme="minorHAnsi"/>
          <w:sz w:val="24"/>
          <w:szCs w:val="24"/>
        </w:rPr>
      </w:pPr>
      <w:r w:rsidRPr="00667D72">
        <w:rPr>
          <w:rFonts w:cstheme="minorHAnsi"/>
          <w:sz w:val="24"/>
          <w:szCs w:val="24"/>
        </w:rPr>
        <w:t>Commitment to open digital markets by establishing effective principles that allow businesses to operate fairly and competitively. Recognition that consumers benefit from equal treatment by internet service providers and commitment not to impost customs duties on electronic transactions.</w:t>
      </w:r>
    </w:p>
    <w:p w14:paraId="266EF90F" w14:textId="77777777" w:rsidR="00667D72" w:rsidRPr="00667D72" w:rsidRDefault="00667D72" w:rsidP="00667D72">
      <w:pPr>
        <w:pStyle w:val="ListParagraph"/>
        <w:numPr>
          <w:ilvl w:val="0"/>
          <w:numId w:val="7"/>
        </w:numPr>
        <w:spacing w:line="252" w:lineRule="auto"/>
        <w:ind w:left="426"/>
        <w:rPr>
          <w:rFonts w:cstheme="minorHAnsi"/>
          <w:sz w:val="24"/>
          <w:szCs w:val="24"/>
        </w:rPr>
      </w:pPr>
      <w:r w:rsidRPr="00667D72">
        <w:rPr>
          <w:rFonts w:cstheme="minorHAnsi"/>
          <w:sz w:val="24"/>
          <w:szCs w:val="24"/>
        </w:rPr>
        <w:t>Commitment to reduce barriers to digital trade by addressing restrictive practices such as requirements for paper-based trade administration documents and a commitment to accept electronic contracts, except in specific circumstances. These exceptions will be published on a single government website, providing clarity for businesses. The UK and Australia will aim to establish interoperable electronic invoicing frameworks and ensure that electronic transactions regulations are implemented in a manner consistent with international frameworks.</w:t>
      </w:r>
    </w:p>
    <w:p w14:paraId="0A558886" w14:textId="77777777" w:rsidR="00667D72" w:rsidRPr="00667D72" w:rsidRDefault="00667D72" w:rsidP="00667D72">
      <w:pPr>
        <w:pStyle w:val="ListParagraph"/>
        <w:numPr>
          <w:ilvl w:val="0"/>
          <w:numId w:val="7"/>
        </w:numPr>
        <w:spacing w:line="252" w:lineRule="auto"/>
        <w:ind w:left="426"/>
        <w:rPr>
          <w:rFonts w:cstheme="minorHAnsi"/>
          <w:sz w:val="24"/>
          <w:szCs w:val="24"/>
        </w:rPr>
      </w:pPr>
      <w:r w:rsidRPr="00667D72">
        <w:rPr>
          <w:rFonts w:cstheme="minorHAnsi"/>
          <w:sz w:val="24"/>
          <w:szCs w:val="24"/>
        </w:rPr>
        <w:t>Commitment to provide a safe trading environment for both consumers and businesses, through new and innovative ways to establish protections online, including improved enforcement and compliance provisions that support online consumer protection, personal information protection, and discourage unsolicited commercial electronic messages (spam). This includes commitments to cooperate in the development of a Digital Identities framework, and to help users identify themselves online.</w:t>
      </w:r>
    </w:p>
    <w:p w14:paraId="0E632884" w14:textId="77777777" w:rsidR="00667D72" w:rsidRPr="00667D72" w:rsidRDefault="00667D72" w:rsidP="00667D72">
      <w:pPr>
        <w:pStyle w:val="ListParagraph"/>
        <w:numPr>
          <w:ilvl w:val="0"/>
          <w:numId w:val="7"/>
        </w:numPr>
        <w:spacing w:line="252" w:lineRule="auto"/>
        <w:ind w:left="426"/>
        <w:rPr>
          <w:rFonts w:cstheme="minorHAnsi"/>
          <w:sz w:val="24"/>
          <w:szCs w:val="24"/>
        </w:rPr>
      </w:pPr>
      <w:r w:rsidRPr="00667D72">
        <w:rPr>
          <w:rFonts w:cstheme="minorHAnsi"/>
          <w:sz w:val="24"/>
          <w:szCs w:val="24"/>
        </w:rPr>
        <w:t>Commitments to improve the accessibility of publicly available, anonymised government information, for the purpose of economic, social and research benefit. </w:t>
      </w:r>
    </w:p>
    <w:p w14:paraId="0D160D66" w14:textId="77777777" w:rsidR="00667D72" w:rsidRPr="00667D72" w:rsidRDefault="00667D72" w:rsidP="00667D72">
      <w:pPr>
        <w:pStyle w:val="ListParagraph"/>
        <w:numPr>
          <w:ilvl w:val="0"/>
          <w:numId w:val="7"/>
        </w:numPr>
        <w:spacing w:line="252" w:lineRule="auto"/>
        <w:ind w:left="426"/>
        <w:rPr>
          <w:rFonts w:cstheme="minorHAnsi"/>
          <w:sz w:val="24"/>
          <w:szCs w:val="24"/>
        </w:rPr>
      </w:pPr>
      <w:r w:rsidRPr="00667D72">
        <w:rPr>
          <w:rFonts w:cstheme="minorHAnsi"/>
          <w:sz w:val="24"/>
          <w:szCs w:val="24"/>
        </w:rPr>
        <w:t>Provisions to protect innovation by preventing the forced tech transfer of Source C</w:t>
      </w:r>
      <w:r w:rsidRPr="00667D72">
        <w:rPr>
          <w:rFonts w:cstheme="minorHAnsi"/>
          <w:color w:val="000000" w:themeColor="text1"/>
          <w:sz w:val="24"/>
          <w:szCs w:val="24"/>
        </w:rPr>
        <w:t xml:space="preserve">ode </w:t>
      </w:r>
      <w:r w:rsidRPr="00667D72">
        <w:rPr>
          <w:rFonts w:eastAsia="Calibri" w:cstheme="minorHAnsi"/>
          <w:color w:val="000000" w:themeColor="text1"/>
          <w:sz w:val="24"/>
          <w:szCs w:val="24"/>
        </w:rPr>
        <w:t xml:space="preserve">and Encryption Keys, </w:t>
      </w:r>
      <w:r w:rsidRPr="00667D72">
        <w:rPr>
          <w:rFonts w:cstheme="minorHAnsi"/>
          <w:color w:val="000000" w:themeColor="text1"/>
          <w:sz w:val="24"/>
          <w:szCs w:val="24"/>
        </w:rPr>
        <w:t xml:space="preserve">subject to legitimate scrutiny by appropriate authorities. </w:t>
      </w:r>
    </w:p>
    <w:p w14:paraId="220CB36F" w14:textId="77777777" w:rsidR="00667D72" w:rsidRPr="00667D72" w:rsidRDefault="00667D72" w:rsidP="00667D72">
      <w:pPr>
        <w:pStyle w:val="ListParagraph"/>
        <w:numPr>
          <w:ilvl w:val="0"/>
          <w:numId w:val="7"/>
        </w:numPr>
        <w:spacing w:after="0" w:line="252" w:lineRule="auto"/>
        <w:ind w:left="425" w:hanging="357"/>
        <w:rPr>
          <w:rFonts w:cstheme="minorHAnsi"/>
          <w:sz w:val="24"/>
          <w:szCs w:val="24"/>
        </w:rPr>
      </w:pPr>
      <w:r w:rsidRPr="00667D72">
        <w:rPr>
          <w:rFonts w:cstheme="minorHAnsi"/>
          <w:sz w:val="24"/>
          <w:szCs w:val="24"/>
        </w:rPr>
        <w:t xml:space="preserve">Commitments to support ongoing cooperation on important digital trade issues, including data innovation and emerging technologies, as well as collaboration to improve opportunities for our innovative </w:t>
      </w:r>
      <w:proofErr w:type="spellStart"/>
      <w:r w:rsidRPr="00667D72">
        <w:rPr>
          <w:rFonts w:cstheme="minorHAnsi"/>
          <w:sz w:val="24"/>
          <w:szCs w:val="24"/>
        </w:rPr>
        <w:t>Regtech</w:t>
      </w:r>
      <w:proofErr w:type="spellEnd"/>
      <w:r w:rsidRPr="00667D72">
        <w:rPr>
          <w:rFonts w:cstheme="minorHAnsi"/>
          <w:sz w:val="24"/>
          <w:szCs w:val="24"/>
        </w:rPr>
        <w:t xml:space="preserve"> enterprises.  </w:t>
      </w:r>
    </w:p>
    <w:p w14:paraId="5C4C77B3" w14:textId="77777777" w:rsidR="00667D72" w:rsidRPr="00667D72" w:rsidRDefault="00667D72" w:rsidP="00667D72">
      <w:pPr>
        <w:pStyle w:val="ListParagraph"/>
        <w:numPr>
          <w:ilvl w:val="0"/>
          <w:numId w:val="7"/>
        </w:numPr>
        <w:spacing w:after="0" w:line="252" w:lineRule="auto"/>
        <w:ind w:left="425" w:hanging="357"/>
        <w:rPr>
          <w:rStyle w:val="CommentReference"/>
          <w:rFonts w:cstheme="minorHAnsi"/>
          <w:b/>
          <w:sz w:val="24"/>
          <w:szCs w:val="24"/>
        </w:rPr>
      </w:pPr>
      <w:r w:rsidRPr="00667D72">
        <w:rPr>
          <w:rFonts w:cstheme="minorHAnsi"/>
          <w:sz w:val="24"/>
          <w:szCs w:val="24"/>
          <w:lang w:val="en-US"/>
        </w:rPr>
        <w:t xml:space="preserve">Commitments to </w:t>
      </w:r>
      <w:proofErr w:type="spellStart"/>
      <w:r w:rsidRPr="00667D72">
        <w:rPr>
          <w:rFonts w:cstheme="minorHAnsi"/>
          <w:sz w:val="24"/>
          <w:szCs w:val="24"/>
          <w:lang w:val="en-US"/>
        </w:rPr>
        <w:t>bu</w:t>
      </w:r>
      <w:r w:rsidRPr="00667D72">
        <w:rPr>
          <w:rFonts w:cstheme="minorHAnsi"/>
          <w:sz w:val="24"/>
          <w:szCs w:val="24"/>
        </w:rPr>
        <w:t>ild</w:t>
      </w:r>
      <w:proofErr w:type="spellEnd"/>
      <w:r w:rsidRPr="00667D72">
        <w:rPr>
          <w:rFonts w:cstheme="minorHAnsi"/>
          <w:sz w:val="24"/>
          <w:szCs w:val="24"/>
        </w:rPr>
        <w:t xml:space="preserve"> capabilities and cooperate on evolving cybersecurity threats, </w:t>
      </w:r>
      <w:r w:rsidRPr="00667D72">
        <w:rPr>
          <w:rFonts w:cstheme="minorHAnsi"/>
          <w:sz w:val="24"/>
          <w:szCs w:val="24"/>
          <w:lang w:val="en-US"/>
        </w:rPr>
        <w:t>helping to shape global standards and effective regulations in digital trade.</w:t>
      </w:r>
    </w:p>
    <w:p w14:paraId="7C98E7B7" w14:textId="77777777" w:rsidR="00667D72" w:rsidRPr="00667D72" w:rsidRDefault="00667D72" w:rsidP="00667D72">
      <w:pPr>
        <w:pStyle w:val="ListParagraph"/>
        <w:spacing w:line="252" w:lineRule="auto"/>
        <w:ind w:left="425"/>
        <w:rPr>
          <w:rFonts w:cstheme="minorHAnsi"/>
          <w:b/>
          <w:sz w:val="24"/>
          <w:szCs w:val="24"/>
        </w:rPr>
      </w:pPr>
    </w:p>
    <w:p w14:paraId="10FE4195" w14:textId="77777777" w:rsidR="00667D72" w:rsidRPr="00667D72" w:rsidRDefault="00667D72" w:rsidP="00667D72">
      <w:pPr>
        <w:spacing w:line="254" w:lineRule="auto"/>
        <w:rPr>
          <w:rFonts w:cstheme="minorHAnsi"/>
          <w:sz w:val="24"/>
          <w:szCs w:val="24"/>
        </w:rPr>
      </w:pPr>
      <w:r w:rsidRPr="00667D72">
        <w:rPr>
          <w:rFonts w:cstheme="minorHAnsi"/>
          <w:b/>
          <w:sz w:val="24"/>
          <w:szCs w:val="24"/>
        </w:rPr>
        <w:t xml:space="preserve">Intellectual Property </w:t>
      </w:r>
    </w:p>
    <w:p w14:paraId="37B09288" w14:textId="6F7E7369" w:rsidR="00667D72" w:rsidRPr="00667D72" w:rsidRDefault="00667D72" w:rsidP="002C36D8">
      <w:pPr>
        <w:rPr>
          <w:rFonts w:cstheme="minorHAnsi"/>
          <w:i/>
          <w:sz w:val="24"/>
          <w:szCs w:val="24"/>
        </w:rPr>
      </w:pPr>
      <w:r w:rsidRPr="00667D72">
        <w:rPr>
          <w:rFonts w:cstheme="minorHAnsi"/>
          <w:i/>
          <w:sz w:val="24"/>
          <w:szCs w:val="24"/>
        </w:rPr>
        <w:t>Australia and the United Kingdom</w:t>
      </w:r>
      <w:r w:rsidRPr="00667D72" w:rsidDel="00EE2F3D">
        <w:rPr>
          <w:rFonts w:cstheme="minorHAnsi"/>
          <w:i/>
          <w:iCs/>
          <w:sz w:val="24"/>
          <w:szCs w:val="24"/>
        </w:rPr>
        <w:t xml:space="preserve"> </w:t>
      </w:r>
      <w:r w:rsidRPr="00667D72">
        <w:rPr>
          <w:rFonts w:cstheme="minorHAnsi"/>
          <w:i/>
          <w:iCs/>
          <w:sz w:val="24"/>
          <w:szCs w:val="24"/>
        </w:rPr>
        <w:t>will</w:t>
      </w:r>
      <w:r w:rsidRPr="00667D72" w:rsidDel="00EE2F3D">
        <w:rPr>
          <w:rFonts w:cstheme="minorHAnsi"/>
          <w:i/>
          <w:iCs/>
          <w:sz w:val="24"/>
          <w:szCs w:val="24"/>
        </w:rPr>
        <w:t xml:space="preserve"> </w:t>
      </w:r>
      <w:r w:rsidRPr="00667D72">
        <w:rPr>
          <w:rFonts w:cstheme="minorHAnsi"/>
          <w:i/>
          <w:iCs/>
          <w:sz w:val="24"/>
          <w:szCs w:val="24"/>
        </w:rPr>
        <w:t>commit to</w:t>
      </w:r>
      <w:r w:rsidRPr="00667D72">
        <w:rPr>
          <w:rFonts w:cstheme="minorHAnsi"/>
          <w:i/>
          <w:sz w:val="24"/>
          <w:szCs w:val="24"/>
        </w:rPr>
        <w:t xml:space="preserve"> ambitious intellectual property (IP) provisions that support our vibrant economies through adequate, </w:t>
      </w:r>
      <w:proofErr w:type="gramStart"/>
      <w:r w:rsidRPr="00667D72">
        <w:rPr>
          <w:rFonts w:cstheme="minorHAnsi"/>
          <w:i/>
          <w:sz w:val="24"/>
          <w:szCs w:val="24"/>
        </w:rPr>
        <w:t>effective</w:t>
      </w:r>
      <w:proofErr w:type="gramEnd"/>
      <w:r w:rsidRPr="00667D72">
        <w:rPr>
          <w:rFonts w:cstheme="minorHAnsi"/>
          <w:i/>
          <w:sz w:val="24"/>
          <w:szCs w:val="24"/>
        </w:rPr>
        <w:t xml:space="preserve"> and balanced protection and enforcement of IP rights and that encourage innovation and creativity. The agreement</w:t>
      </w:r>
      <w:r w:rsidRPr="00667D72">
        <w:rPr>
          <w:rFonts w:cstheme="minorHAnsi"/>
          <w:i/>
          <w:iCs/>
          <w:sz w:val="24"/>
          <w:szCs w:val="24"/>
        </w:rPr>
        <w:t xml:space="preserve"> will</w:t>
      </w:r>
      <w:r w:rsidRPr="00667D72">
        <w:rPr>
          <w:rFonts w:cstheme="minorHAnsi"/>
          <w:i/>
          <w:sz w:val="24"/>
          <w:szCs w:val="24"/>
        </w:rPr>
        <w:t xml:space="preserve"> include provisions on copyright, design rights, patents, </w:t>
      </w:r>
      <w:proofErr w:type="spellStart"/>
      <w:proofErr w:type="gramStart"/>
      <w:r w:rsidRPr="00667D72">
        <w:rPr>
          <w:rFonts w:cstheme="minorHAnsi"/>
          <w:i/>
          <w:sz w:val="24"/>
          <w:szCs w:val="24"/>
        </w:rPr>
        <w:t>trade marks</w:t>
      </w:r>
      <w:proofErr w:type="spellEnd"/>
      <w:proofErr w:type="gramEnd"/>
      <w:r w:rsidRPr="00667D72">
        <w:rPr>
          <w:rFonts w:cstheme="minorHAnsi"/>
          <w:i/>
          <w:sz w:val="24"/>
          <w:szCs w:val="24"/>
        </w:rPr>
        <w:t xml:space="preserve">, artists </w:t>
      </w:r>
      <w:r w:rsidRPr="00667D72">
        <w:rPr>
          <w:rFonts w:cstheme="minorHAnsi"/>
          <w:i/>
          <w:sz w:val="24"/>
          <w:szCs w:val="24"/>
        </w:rPr>
        <w:lastRenderedPageBreak/>
        <w:t xml:space="preserve">resale rights, trade secrets and test data. </w:t>
      </w:r>
      <w:r w:rsidRPr="00667D72">
        <w:rPr>
          <w:rFonts w:cstheme="minorHAnsi"/>
          <w:i/>
          <w:iCs/>
          <w:sz w:val="24"/>
          <w:szCs w:val="24"/>
        </w:rPr>
        <w:t>These commitments</w:t>
      </w:r>
      <w:r w:rsidRPr="00667D72">
        <w:rPr>
          <w:rFonts w:cstheme="minorHAnsi"/>
          <w:i/>
          <w:sz w:val="24"/>
          <w:szCs w:val="24"/>
        </w:rPr>
        <w:t xml:space="preserve"> will not lead to increased medicines prices in either country. </w:t>
      </w:r>
      <w:r w:rsidRPr="00667D72">
        <w:rPr>
          <w:rFonts w:cstheme="minorHAnsi"/>
          <w:i/>
          <w:iCs/>
          <w:sz w:val="24"/>
          <w:szCs w:val="24"/>
        </w:rPr>
        <w:t>The deal will also include a commitment that if Australia introduces bespoke GI schemes for spirits and agri-foods, the UK will be able to put forward GIs for potential protection subject to Australia’s legal procedures.</w:t>
      </w:r>
    </w:p>
    <w:p w14:paraId="0BF23E35" w14:textId="77777777" w:rsidR="00667D72" w:rsidRPr="00667D72" w:rsidRDefault="00667D72" w:rsidP="00667D72">
      <w:pPr>
        <w:rPr>
          <w:rFonts w:cstheme="minorHAnsi"/>
          <w:sz w:val="24"/>
          <w:szCs w:val="24"/>
        </w:rPr>
      </w:pPr>
      <w:r w:rsidRPr="00667D72">
        <w:rPr>
          <w:rFonts w:cstheme="minorHAnsi"/>
          <w:sz w:val="24"/>
          <w:szCs w:val="24"/>
        </w:rPr>
        <w:t>Commitments in the IP Chapter will include:</w:t>
      </w:r>
    </w:p>
    <w:p w14:paraId="67491FB7" w14:textId="77777777" w:rsidR="00667D72" w:rsidRPr="00667D72" w:rsidRDefault="00667D72" w:rsidP="00667D72">
      <w:pPr>
        <w:pStyle w:val="ListParagraph"/>
        <w:numPr>
          <w:ilvl w:val="0"/>
          <w:numId w:val="12"/>
        </w:numPr>
        <w:spacing w:after="0" w:line="254" w:lineRule="auto"/>
        <w:rPr>
          <w:rFonts w:cstheme="minorHAnsi"/>
          <w:sz w:val="24"/>
          <w:szCs w:val="24"/>
        </w:rPr>
      </w:pPr>
      <w:r w:rsidRPr="00667D72">
        <w:rPr>
          <w:rFonts w:cstheme="minorHAnsi"/>
          <w:sz w:val="24"/>
          <w:szCs w:val="24"/>
        </w:rPr>
        <w:t xml:space="preserve">Commitments in support of our vibrant creative sectors, including high standard provisions on copyright, </w:t>
      </w:r>
      <w:proofErr w:type="gramStart"/>
      <w:r w:rsidRPr="00667D72">
        <w:rPr>
          <w:rFonts w:cstheme="minorHAnsi"/>
          <w:sz w:val="24"/>
          <w:szCs w:val="24"/>
        </w:rPr>
        <w:t>designs</w:t>
      </w:r>
      <w:proofErr w:type="gramEnd"/>
      <w:r w:rsidRPr="00667D72">
        <w:rPr>
          <w:rFonts w:cstheme="minorHAnsi"/>
          <w:sz w:val="24"/>
          <w:szCs w:val="24"/>
        </w:rPr>
        <w:t xml:space="preserve"> and the enforcement of IP rights online. </w:t>
      </w:r>
    </w:p>
    <w:p w14:paraId="7B528C9D" w14:textId="77777777" w:rsidR="00667D72" w:rsidRPr="00667D72" w:rsidRDefault="00667D72" w:rsidP="00667D72">
      <w:pPr>
        <w:pStyle w:val="ListParagraph"/>
        <w:numPr>
          <w:ilvl w:val="0"/>
          <w:numId w:val="12"/>
        </w:numPr>
        <w:spacing w:after="0" w:line="254" w:lineRule="auto"/>
        <w:rPr>
          <w:rFonts w:cstheme="minorHAnsi"/>
          <w:sz w:val="24"/>
          <w:szCs w:val="24"/>
        </w:rPr>
      </w:pPr>
      <w:r w:rsidRPr="00667D72">
        <w:rPr>
          <w:rFonts w:cstheme="minorHAnsi"/>
          <w:sz w:val="24"/>
          <w:szCs w:val="24"/>
        </w:rPr>
        <w:t xml:space="preserve">Commitments underpinning the IP in our world-leading innovation sectors, including provisions on patents, trade secrets and test data. These provisions will not require regulatory changes and will not affect the price of medicines in either country. </w:t>
      </w:r>
    </w:p>
    <w:p w14:paraId="28E95AC6" w14:textId="77777777" w:rsidR="00667D72" w:rsidRPr="00667D72" w:rsidRDefault="00667D72" w:rsidP="00667D72">
      <w:pPr>
        <w:pStyle w:val="ListParagraph"/>
        <w:numPr>
          <w:ilvl w:val="0"/>
          <w:numId w:val="12"/>
        </w:numPr>
        <w:spacing w:after="0" w:line="254" w:lineRule="auto"/>
        <w:rPr>
          <w:rFonts w:cstheme="minorHAnsi"/>
          <w:sz w:val="24"/>
          <w:szCs w:val="24"/>
        </w:rPr>
      </w:pPr>
      <w:bookmarkStart w:id="96" w:name="_Hlk74644209"/>
      <w:r w:rsidRPr="00667D72">
        <w:rPr>
          <w:rFonts w:cstheme="minorHAnsi"/>
          <w:sz w:val="24"/>
          <w:szCs w:val="24"/>
        </w:rPr>
        <w:t>A commitment to discuss measures to ensure adequate remuneration for music performers and producers.</w:t>
      </w:r>
    </w:p>
    <w:bookmarkEnd w:id="96"/>
    <w:p w14:paraId="1B4C1B99" w14:textId="77777777" w:rsidR="00667D72" w:rsidRPr="00667D72" w:rsidRDefault="00667D72" w:rsidP="00667D72">
      <w:pPr>
        <w:pStyle w:val="ListParagraph"/>
        <w:numPr>
          <w:ilvl w:val="0"/>
          <w:numId w:val="12"/>
        </w:numPr>
        <w:spacing w:line="254" w:lineRule="auto"/>
        <w:jc w:val="both"/>
        <w:rPr>
          <w:rFonts w:cstheme="minorHAnsi"/>
          <w:sz w:val="24"/>
          <w:szCs w:val="24"/>
          <w:u w:val="single"/>
        </w:rPr>
      </w:pPr>
      <w:r w:rsidRPr="00667D72">
        <w:rPr>
          <w:rFonts w:eastAsiaTheme="minorEastAsia" w:cstheme="minorHAnsi"/>
          <w:sz w:val="24"/>
          <w:szCs w:val="24"/>
        </w:rPr>
        <w:t>A commitment for Australia to make all reasonable efforts to join the UK as a member of the multilateral Hague Agreement on Industrial Designs, to provide new benefits for designers in both countries.</w:t>
      </w:r>
    </w:p>
    <w:p w14:paraId="51CB82DD" w14:textId="77777777" w:rsidR="00667D72" w:rsidRPr="00667D72" w:rsidRDefault="00667D72" w:rsidP="00667D72">
      <w:pPr>
        <w:pStyle w:val="ListParagraph"/>
        <w:numPr>
          <w:ilvl w:val="0"/>
          <w:numId w:val="12"/>
        </w:numPr>
        <w:spacing w:line="254" w:lineRule="auto"/>
        <w:jc w:val="both"/>
        <w:rPr>
          <w:rFonts w:cstheme="minorHAnsi"/>
          <w:sz w:val="24"/>
          <w:szCs w:val="24"/>
        </w:rPr>
      </w:pPr>
      <w:r w:rsidRPr="00667D72">
        <w:rPr>
          <w:rFonts w:cstheme="minorHAnsi"/>
          <w:sz w:val="24"/>
          <w:szCs w:val="24"/>
        </w:rPr>
        <w:t>A commitment to begin a process which will result in reciprocal arrangements for artist resale royalties, to provide new income streams for our visual artists.</w:t>
      </w:r>
    </w:p>
    <w:p w14:paraId="076840AA" w14:textId="77777777" w:rsidR="00667D72" w:rsidRPr="00667D72" w:rsidRDefault="00667D72" w:rsidP="00667D72">
      <w:pPr>
        <w:pStyle w:val="ListParagraph"/>
        <w:numPr>
          <w:ilvl w:val="0"/>
          <w:numId w:val="12"/>
        </w:numPr>
        <w:spacing w:after="0" w:line="252" w:lineRule="auto"/>
        <w:rPr>
          <w:rFonts w:cstheme="minorHAnsi"/>
          <w:sz w:val="24"/>
          <w:szCs w:val="24"/>
          <w:u w:val="single"/>
        </w:rPr>
      </w:pPr>
      <w:r w:rsidRPr="00667D72">
        <w:rPr>
          <w:rFonts w:cstheme="minorHAnsi"/>
          <w:sz w:val="24"/>
          <w:szCs w:val="24"/>
        </w:rPr>
        <w:t>No other commitments to implement regulatory changes to IP settings for either the UK or Australia.</w:t>
      </w:r>
    </w:p>
    <w:p w14:paraId="45856E35" w14:textId="77777777" w:rsidR="00667D72" w:rsidRPr="00667D72" w:rsidRDefault="00667D72" w:rsidP="00667D72">
      <w:pPr>
        <w:pStyle w:val="ListParagraph"/>
        <w:numPr>
          <w:ilvl w:val="0"/>
          <w:numId w:val="12"/>
        </w:numPr>
        <w:spacing w:after="0" w:line="254" w:lineRule="auto"/>
        <w:rPr>
          <w:rFonts w:cstheme="minorHAnsi"/>
          <w:sz w:val="24"/>
          <w:szCs w:val="24"/>
          <w:u w:val="single"/>
        </w:rPr>
      </w:pPr>
      <w:r w:rsidRPr="00667D72">
        <w:rPr>
          <w:rFonts w:cstheme="minorHAnsi"/>
          <w:sz w:val="24"/>
          <w:szCs w:val="24"/>
        </w:rPr>
        <w:t xml:space="preserve">Commitments to protect our much-loved brands and </w:t>
      </w:r>
      <w:proofErr w:type="spellStart"/>
      <w:proofErr w:type="gramStart"/>
      <w:r w:rsidRPr="00667D72">
        <w:rPr>
          <w:rFonts w:cstheme="minorHAnsi"/>
          <w:sz w:val="24"/>
          <w:szCs w:val="24"/>
        </w:rPr>
        <w:t>trade marks</w:t>
      </w:r>
      <w:proofErr w:type="spellEnd"/>
      <w:proofErr w:type="gramEnd"/>
      <w:r w:rsidRPr="00667D72">
        <w:rPr>
          <w:rFonts w:cstheme="minorHAnsi"/>
          <w:sz w:val="24"/>
          <w:szCs w:val="24"/>
        </w:rPr>
        <w:t>. The deal will also include a commitment that if Australia</w:t>
      </w:r>
      <w:r w:rsidRPr="00667D72" w:rsidDel="00C17D18">
        <w:rPr>
          <w:rFonts w:cstheme="minorHAnsi"/>
          <w:sz w:val="24"/>
          <w:szCs w:val="24"/>
        </w:rPr>
        <w:t xml:space="preserve"> </w:t>
      </w:r>
      <w:r w:rsidRPr="00667D72">
        <w:rPr>
          <w:rFonts w:cstheme="minorHAnsi"/>
          <w:sz w:val="24"/>
          <w:szCs w:val="24"/>
        </w:rPr>
        <w:t xml:space="preserve">introduces bespoke Geographic Indication (GI) schemes for spirits and agri-foods, the UK will be able to put forward GIs for potential protection subject to Australia’s legal procedures. If such schemes are not introduced no later than two years after entry into force of the FTA, the GI provisions in the FTA will be reviewed by Australia and the UK. UK GIs that the UK intends to propose for protection may be named in a non-binding </w:t>
      </w:r>
      <w:proofErr w:type="spellStart"/>
      <w:r w:rsidRPr="00667D72">
        <w:rPr>
          <w:rFonts w:cstheme="minorHAnsi"/>
          <w:sz w:val="24"/>
          <w:szCs w:val="24"/>
        </w:rPr>
        <w:t>sideletter</w:t>
      </w:r>
      <w:proofErr w:type="spellEnd"/>
      <w:r w:rsidRPr="00667D72">
        <w:rPr>
          <w:rFonts w:cstheme="minorHAnsi"/>
          <w:sz w:val="24"/>
          <w:szCs w:val="24"/>
        </w:rPr>
        <w:t>.</w:t>
      </w:r>
    </w:p>
    <w:p w14:paraId="2AE1C6CA" w14:textId="77777777" w:rsidR="00667D72" w:rsidRPr="00667D72" w:rsidDel="00241638" w:rsidRDefault="00667D72" w:rsidP="00667D72">
      <w:pPr>
        <w:pStyle w:val="ListParagraph"/>
        <w:numPr>
          <w:ilvl w:val="0"/>
          <w:numId w:val="12"/>
        </w:numPr>
        <w:spacing w:after="0" w:line="254" w:lineRule="auto"/>
        <w:rPr>
          <w:rFonts w:cstheme="minorHAnsi"/>
          <w:sz w:val="24"/>
          <w:szCs w:val="24"/>
          <w:u w:val="single"/>
        </w:rPr>
      </w:pPr>
      <w:r w:rsidRPr="00667D72">
        <w:rPr>
          <w:rFonts w:cstheme="minorHAnsi"/>
          <w:sz w:val="24"/>
          <w:szCs w:val="24"/>
        </w:rPr>
        <w:t xml:space="preserve">Provisions on cooperation and working towards a multilateral outcome at the World Intellectual Property Organisation (WIPO) Intergovernmental Committee on genetic resources, traditional </w:t>
      </w:r>
      <w:proofErr w:type="gramStart"/>
      <w:r w:rsidRPr="00667D72">
        <w:rPr>
          <w:rFonts w:cstheme="minorHAnsi"/>
          <w:sz w:val="24"/>
          <w:szCs w:val="24"/>
        </w:rPr>
        <w:t>knowledge</w:t>
      </w:r>
      <w:proofErr w:type="gramEnd"/>
      <w:r w:rsidRPr="00667D72">
        <w:rPr>
          <w:rFonts w:cstheme="minorHAnsi"/>
          <w:sz w:val="24"/>
          <w:szCs w:val="24"/>
        </w:rPr>
        <w:t xml:space="preserve"> and traditional cultural expressions.</w:t>
      </w:r>
    </w:p>
    <w:p w14:paraId="3293FD90" w14:textId="77777777" w:rsidR="00667D72" w:rsidRPr="00667D72" w:rsidRDefault="00667D72" w:rsidP="00667D72">
      <w:pPr>
        <w:spacing w:line="256" w:lineRule="auto"/>
        <w:rPr>
          <w:rFonts w:cstheme="minorHAnsi"/>
          <w:sz w:val="24"/>
          <w:szCs w:val="24"/>
        </w:rPr>
      </w:pPr>
    </w:p>
    <w:p w14:paraId="72735068" w14:textId="77777777" w:rsidR="00667D72" w:rsidRPr="00667D72" w:rsidRDefault="00667D72" w:rsidP="00667D72">
      <w:pPr>
        <w:spacing w:line="256" w:lineRule="auto"/>
        <w:rPr>
          <w:rFonts w:cstheme="minorHAnsi"/>
          <w:b/>
          <w:sz w:val="24"/>
          <w:szCs w:val="24"/>
        </w:rPr>
      </w:pPr>
      <w:bookmarkStart w:id="97" w:name="_Hlk73378889"/>
      <w:r w:rsidRPr="00667D72">
        <w:rPr>
          <w:rFonts w:cstheme="minorHAnsi"/>
          <w:b/>
          <w:sz w:val="24"/>
          <w:szCs w:val="24"/>
        </w:rPr>
        <w:t>Government Procurement</w:t>
      </w:r>
    </w:p>
    <w:p w14:paraId="5E138B55" w14:textId="11B97D93" w:rsidR="00667D72" w:rsidRPr="002C36D8" w:rsidRDefault="00667D72" w:rsidP="00667D72">
      <w:pPr>
        <w:rPr>
          <w:rFonts w:cstheme="minorHAnsi"/>
          <w:i/>
          <w:sz w:val="24"/>
          <w:szCs w:val="24"/>
          <w:lang w:val="en-US"/>
        </w:rPr>
      </w:pPr>
      <w:r w:rsidRPr="00667D72">
        <w:rPr>
          <w:rFonts w:cstheme="minorHAnsi"/>
          <w:i/>
          <w:sz w:val="24"/>
          <w:szCs w:val="24"/>
        </w:rPr>
        <w:t xml:space="preserve">Australia and the UK will make commitments that maximise opportunities for our suppliers to participate in each other’s government procurement markets, and drive value-for-money outcomes. Commitments will go significantly beyond current WTO GPA baselines. The UK and Australia will also include </w:t>
      </w:r>
      <w:r w:rsidRPr="00667D72">
        <w:rPr>
          <w:rFonts w:cstheme="minorHAnsi"/>
          <w:i/>
          <w:sz w:val="24"/>
          <w:szCs w:val="24"/>
          <w:lang w:val="en-US"/>
        </w:rPr>
        <w:t xml:space="preserve">a precedent setting article requiring covered procurement notices to be published electronically, ensuring Australian and UK suppliers will always have access to the same information about procurement opportunities.  </w:t>
      </w:r>
    </w:p>
    <w:p w14:paraId="2ED5351D" w14:textId="77777777" w:rsidR="00667D72" w:rsidRPr="00667D72" w:rsidRDefault="00667D72" w:rsidP="00667D72">
      <w:pPr>
        <w:rPr>
          <w:rFonts w:cstheme="minorHAnsi"/>
          <w:sz w:val="24"/>
          <w:szCs w:val="24"/>
        </w:rPr>
      </w:pPr>
      <w:r w:rsidRPr="00667D72">
        <w:rPr>
          <w:rFonts w:cstheme="minorHAnsi"/>
          <w:sz w:val="24"/>
          <w:szCs w:val="24"/>
        </w:rPr>
        <w:t>Commitments in the Government Procurement Chapter will include:</w:t>
      </w:r>
    </w:p>
    <w:p w14:paraId="44636F54" w14:textId="77777777" w:rsidR="00667D72" w:rsidRPr="00667D72" w:rsidRDefault="00667D72" w:rsidP="00667D72">
      <w:pPr>
        <w:pStyle w:val="ListParagraph"/>
        <w:numPr>
          <w:ilvl w:val="0"/>
          <w:numId w:val="2"/>
        </w:numPr>
        <w:spacing w:line="252" w:lineRule="auto"/>
        <w:rPr>
          <w:rFonts w:cstheme="minorHAnsi"/>
          <w:sz w:val="24"/>
          <w:szCs w:val="24"/>
        </w:rPr>
      </w:pPr>
      <w:r w:rsidRPr="00667D72">
        <w:rPr>
          <w:rFonts w:cstheme="minorHAnsi"/>
          <w:sz w:val="24"/>
          <w:szCs w:val="24"/>
        </w:rPr>
        <w:t xml:space="preserve">New provisions on integrity in procurement practices.  </w:t>
      </w:r>
    </w:p>
    <w:p w14:paraId="35B2C288" w14:textId="77777777" w:rsidR="00667D72" w:rsidRPr="00667D72" w:rsidRDefault="00667D72" w:rsidP="00667D72">
      <w:pPr>
        <w:pStyle w:val="ListParagraph"/>
        <w:numPr>
          <w:ilvl w:val="0"/>
          <w:numId w:val="2"/>
        </w:numPr>
        <w:spacing w:line="252" w:lineRule="auto"/>
        <w:rPr>
          <w:rFonts w:cstheme="minorHAnsi"/>
          <w:sz w:val="24"/>
          <w:szCs w:val="24"/>
        </w:rPr>
      </w:pPr>
      <w:r w:rsidRPr="00667D72">
        <w:rPr>
          <w:rFonts w:cstheme="minorHAnsi"/>
          <w:sz w:val="24"/>
          <w:szCs w:val="24"/>
        </w:rPr>
        <w:t xml:space="preserve">A requirement for all notices related to procurement covered by the chapter to be accessible by electronic means, free of charge. </w:t>
      </w:r>
    </w:p>
    <w:p w14:paraId="25DDAD28" w14:textId="77777777" w:rsidR="00667D72" w:rsidRPr="00667D72" w:rsidRDefault="00667D72" w:rsidP="00667D72">
      <w:pPr>
        <w:pStyle w:val="ListParagraph"/>
        <w:numPr>
          <w:ilvl w:val="0"/>
          <w:numId w:val="2"/>
        </w:numPr>
        <w:spacing w:line="252" w:lineRule="auto"/>
        <w:rPr>
          <w:rFonts w:eastAsia="Calibri" w:cstheme="minorHAnsi"/>
          <w:sz w:val="24"/>
          <w:szCs w:val="24"/>
        </w:rPr>
      </w:pPr>
      <w:r w:rsidRPr="00667D72">
        <w:rPr>
          <w:rFonts w:cstheme="minorHAnsi"/>
          <w:sz w:val="24"/>
          <w:szCs w:val="24"/>
        </w:rPr>
        <w:t>Cooperation to promote the international liberalisation of government procurement markets, including sharing best practices, facilitating greater participation (including by SMEs), exchanging statistics and data, and sharing information about upcoming procurement opportunities of interest to suppliers from both countries.</w:t>
      </w:r>
    </w:p>
    <w:p w14:paraId="44489187" w14:textId="77777777" w:rsidR="00667D72" w:rsidRPr="00667D72" w:rsidRDefault="00667D72" w:rsidP="00667D72">
      <w:pPr>
        <w:pStyle w:val="ListParagraph"/>
        <w:numPr>
          <w:ilvl w:val="0"/>
          <w:numId w:val="2"/>
        </w:numPr>
        <w:spacing w:line="252" w:lineRule="auto"/>
        <w:rPr>
          <w:rFonts w:cstheme="minorHAnsi"/>
          <w:sz w:val="24"/>
          <w:szCs w:val="24"/>
        </w:rPr>
      </w:pPr>
      <w:r w:rsidRPr="00667D72">
        <w:rPr>
          <w:rFonts w:cstheme="minorHAnsi"/>
          <w:sz w:val="24"/>
          <w:szCs w:val="24"/>
        </w:rPr>
        <w:lastRenderedPageBreak/>
        <w:t xml:space="preserve">A side letter committing to negotiate local government/smaller administrative unit procurement coverage, should Australia agree to cover local government procurement in another trade agreement.  </w:t>
      </w:r>
    </w:p>
    <w:p w14:paraId="2F03B226" w14:textId="77777777" w:rsidR="00667D72" w:rsidRPr="00667D72" w:rsidRDefault="00667D72" w:rsidP="00667D72">
      <w:pPr>
        <w:pStyle w:val="ListParagraph"/>
        <w:numPr>
          <w:ilvl w:val="0"/>
          <w:numId w:val="2"/>
        </w:numPr>
        <w:spacing w:line="252" w:lineRule="auto"/>
        <w:rPr>
          <w:rFonts w:cstheme="minorHAnsi"/>
          <w:sz w:val="24"/>
          <w:szCs w:val="24"/>
        </w:rPr>
      </w:pPr>
      <w:r w:rsidRPr="00667D72">
        <w:rPr>
          <w:rFonts w:cstheme="minorHAnsi"/>
          <w:sz w:val="24"/>
          <w:szCs w:val="24"/>
        </w:rPr>
        <w:t xml:space="preserve">Precedent-setting offers, with final offers to be negotiated. </w:t>
      </w:r>
    </w:p>
    <w:p w14:paraId="3BD627EF" w14:textId="77777777" w:rsidR="00667D72" w:rsidRPr="00667D72" w:rsidRDefault="00667D72" w:rsidP="00667D72">
      <w:pPr>
        <w:pStyle w:val="ListParagraph"/>
        <w:spacing w:line="252" w:lineRule="auto"/>
        <w:rPr>
          <w:rFonts w:cstheme="minorHAnsi"/>
          <w:sz w:val="24"/>
          <w:szCs w:val="24"/>
        </w:rPr>
      </w:pPr>
    </w:p>
    <w:p w14:paraId="21C6C448" w14:textId="77777777" w:rsidR="00667D72" w:rsidRPr="00667D72" w:rsidRDefault="00667D72" w:rsidP="00667D72">
      <w:pPr>
        <w:spacing w:line="252" w:lineRule="auto"/>
        <w:rPr>
          <w:rFonts w:cstheme="minorHAnsi"/>
          <w:b/>
          <w:sz w:val="24"/>
          <w:szCs w:val="24"/>
        </w:rPr>
      </w:pPr>
      <w:r w:rsidRPr="00667D72">
        <w:rPr>
          <w:rFonts w:cstheme="minorHAnsi"/>
          <w:b/>
          <w:sz w:val="24"/>
          <w:szCs w:val="24"/>
        </w:rPr>
        <w:t>Competition</w:t>
      </w:r>
    </w:p>
    <w:p w14:paraId="72B6DAB7" w14:textId="5BE196A3" w:rsidR="00667D72" w:rsidRPr="00667D72" w:rsidRDefault="00667D72" w:rsidP="00667D72">
      <w:pPr>
        <w:textAlignment w:val="baseline"/>
        <w:rPr>
          <w:rFonts w:cstheme="minorHAnsi"/>
          <w:i/>
          <w:sz w:val="24"/>
          <w:szCs w:val="24"/>
        </w:rPr>
      </w:pPr>
      <w:r w:rsidRPr="00667D72">
        <w:rPr>
          <w:rFonts w:cstheme="minorHAnsi"/>
          <w:i/>
          <w:sz w:val="24"/>
          <w:szCs w:val="24"/>
        </w:rPr>
        <w:t xml:space="preserve">Australia and the UK commit to including provisions aimed at competition policy and consumer protection. </w:t>
      </w:r>
      <w:r w:rsidRPr="00667D72" w:rsidDel="00DC0DF6">
        <w:rPr>
          <w:rFonts w:cstheme="minorHAnsi"/>
          <w:i/>
          <w:sz w:val="24"/>
          <w:szCs w:val="24"/>
        </w:rPr>
        <w:t>This chapter</w:t>
      </w:r>
      <w:r w:rsidRPr="00667D72">
        <w:rPr>
          <w:rFonts w:cstheme="minorHAnsi"/>
          <w:i/>
          <w:sz w:val="24"/>
          <w:szCs w:val="24"/>
        </w:rPr>
        <w:t xml:space="preserve"> will provide for effective competition law and enforcement that will promote open and fair </w:t>
      </w:r>
      <w:proofErr w:type="gramStart"/>
      <w:r w:rsidRPr="00667D72">
        <w:rPr>
          <w:rFonts w:cstheme="minorHAnsi"/>
          <w:i/>
          <w:sz w:val="24"/>
          <w:szCs w:val="24"/>
        </w:rPr>
        <w:t>competition,</w:t>
      </w:r>
      <w:r w:rsidRPr="00667D72">
        <w:rPr>
          <w:rFonts w:eastAsia="Calibri" w:cstheme="minorHAnsi"/>
          <w:i/>
          <w:sz w:val="24"/>
          <w:szCs w:val="24"/>
        </w:rPr>
        <w:t xml:space="preserve"> and</w:t>
      </w:r>
      <w:proofErr w:type="gramEnd"/>
      <w:r w:rsidRPr="00667D72">
        <w:rPr>
          <w:rFonts w:eastAsia="Calibri" w:cstheme="minorHAnsi"/>
          <w:i/>
          <w:sz w:val="24"/>
          <w:szCs w:val="24"/>
        </w:rPr>
        <w:t xml:space="preserve"> promote cooperation between national competition authorities</w:t>
      </w:r>
      <w:r w:rsidRPr="00667D72">
        <w:rPr>
          <w:rFonts w:cstheme="minorHAnsi"/>
          <w:i/>
          <w:sz w:val="24"/>
          <w:szCs w:val="24"/>
        </w:rPr>
        <w:t>.</w:t>
      </w:r>
    </w:p>
    <w:p w14:paraId="6BF188E0" w14:textId="77777777" w:rsidR="00667D72" w:rsidRPr="00667D72" w:rsidRDefault="00667D72" w:rsidP="00667D72">
      <w:pPr>
        <w:rPr>
          <w:rFonts w:cstheme="minorHAnsi"/>
          <w:sz w:val="24"/>
          <w:szCs w:val="24"/>
        </w:rPr>
      </w:pPr>
      <w:r w:rsidRPr="00667D72">
        <w:rPr>
          <w:rFonts w:cstheme="minorHAnsi"/>
          <w:sz w:val="24"/>
          <w:szCs w:val="24"/>
        </w:rPr>
        <w:t>Commitments in the Competition Chapter will include:</w:t>
      </w:r>
    </w:p>
    <w:p w14:paraId="2C1CF6E2" w14:textId="77777777" w:rsidR="00667D72" w:rsidRPr="00667D72" w:rsidRDefault="00667D72" w:rsidP="00667D72">
      <w:pPr>
        <w:pStyle w:val="ListParagraph"/>
        <w:numPr>
          <w:ilvl w:val="0"/>
          <w:numId w:val="5"/>
        </w:numPr>
        <w:spacing w:after="0" w:line="252" w:lineRule="auto"/>
        <w:textAlignment w:val="baseline"/>
        <w:rPr>
          <w:rFonts w:cstheme="minorHAnsi"/>
          <w:strike/>
          <w:sz w:val="24"/>
          <w:szCs w:val="24"/>
        </w:rPr>
      </w:pPr>
      <w:r w:rsidRPr="00667D72">
        <w:rPr>
          <w:rFonts w:cstheme="minorHAnsi"/>
          <w:sz w:val="24"/>
          <w:szCs w:val="24"/>
        </w:rPr>
        <w:t>Provisions that maintain national competition laws that proscribe anti-competitive agreements, anti-competitive practices by entities that have substantial market power, address mergers with substantial anti-competitive effects,</w:t>
      </w:r>
      <w:r w:rsidRPr="00667D72">
        <w:rPr>
          <w:rFonts w:cstheme="minorHAnsi"/>
          <w:sz w:val="24"/>
          <w:szCs w:val="24"/>
          <w:lang w:eastAsia="en-AU"/>
        </w:rPr>
        <w:t xml:space="preserve"> and </w:t>
      </w:r>
      <w:r w:rsidRPr="00667D72">
        <w:rPr>
          <w:rFonts w:cstheme="minorHAnsi"/>
          <w:sz w:val="24"/>
          <w:szCs w:val="24"/>
        </w:rPr>
        <w:t>maintain a national competition authority.</w:t>
      </w:r>
    </w:p>
    <w:p w14:paraId="6E37F92A" w14:textId="77777777" w:rsidR="00667D72" w:rsidRPr="00667D72" w:rsidRDefault="00667D72" w:rsidP="00667D72">
      <w:pPr>
        <w:pStyle w:val="ListParagraph"/>
        <w:numPr>
          <w:ilvl w:val="0"/>
          <w:numId w:val="5"/>
        </w:numPr>
        <w:spacing w:after="0" w:line="252" w:lineRule="auto"/>
        <w:textAlignment w:val="baseline"/>
        <w:rPr>
          <w:rFonts w:cstheme="minorHAnsi"/>
          <w:sz w:val="24"/>
          <w:szCs w:val="24"/>
        </w:rPr>
      </w:pPr>
      <w:r w:rsidRPr="00667D72">
        <w:rPr>
          <w:rFonts w:cstheme="minorHAnsi"/>
          <w:sz w:val="24"/>
          <w:szCs w:val="24"/>
        </w:rPr>
        <w:t>Provisions on procedural fairness in the enforcement of Australia and the United Kingdom’s national competition law, including a reasonable opportunity to be legally represented.</w:t>
      </w:r>
    </w:p>
    <w:p w14:paraId="745EC1E2" w14:textId="77777777" w:rsidR="00667D72" w:rsidRPr="00667D72" w:rsidRDefault="00667D72" w:rsidP="00667D72">
      <w:pPr>
        <w:pStyle w:val="ListParagraph"/>
        <w:numPr>
          <w:ilvl w:val="0"/>
          <w:numId w:val="5"/>
        </w:numPr>
        <w:spacing w:after="0" w:line="252" w:lineRule="auto"/>
        <w:textAlignment w:val="baseline"/>
        <w:rPr>
          <w:rFonts w:cstheme="minorHAnsi"/>
          <w:sz w:val="24"/>
          <w:szCs w:val="24"/>
        </w:rPr>
      </w:pPr>
      <w:r w:rsidRPr="00667D72">
        <w:rPr>
          <w:rFonts w:cstheme="minorHAnsi"/>
          <w:sz w:val="24"/>
          <w:szCs w:val="24"/>
        </w:rPr>
        <w:t xml:space="preserve">Provisions that recognise the importance of consumer protection. </w:t>
      </w:r>
    </w:p>
    <w:p w14:paraId="7240DE3B" w14:textId="77777777" w:rsidR="00667D72" w:rsidRPr="00667D72" w:rsidRDefault="00667D72" w:rsidP="00667D72">
      <w:pPr>
        <w:pStyle w:val="ListParagraph"/>
        <w:numPr>
          <w:ilvl w:val="0"/>
          <w:numId w:val="5"/>
        </w:numPr>
        <w:spacing w:after="0" w:line="252" w:lineRule="auto"/>
        <w:rPr>
          <w:rFonts w:cstheme="minorHAnsi"/>
          <w:sz w:val="24"/>
          <w:szCs w:val="24"/>
        </w:rPr>
      </w:pPr>
      <w:r w:rsidRPr="00667D72">
        <w:rPr>
          <w:rFonts w:cstheme="minorHAnsi"/>
          <w:sz w:val="24"/>
          <w:szCs w:val="24"/>
        </w:rPr>
        <w:t>Provisions that recognise the importance of cooperation and coordination between Australia and the United Kingdom’s respective competition and consumer protection authorities to foster effective enforcement.</w:t>
      </w:r>
    </w:p>
    <w:p w14:paraId="3D9A6343" w14:textId="77777777" w:rsidR="00667D72" w:rsidRPr="00667D72" w:rsidRDefault="00667D72" w:rsidP="00667D72">
      <w:pPr>
        <w:spacing w:line="254" w:lineRule="auto"/>
        <w:rPr>
          <w:rFonts w:cstheme="minorHAnsi"/>
          <w:b/>
          <w:sz w:val="24"/>
          <w:szCs w:val="24"/>
        </w:rPr>
      </w:pPr>
    </w:p>
    <w:p w14:paraId="66DED57B" w14:textId="77777777" w:rsidR="00667D72" w:rsidRPr="00667D72" w:rsidRDefault="00667D72" w:rsidP="00667D72">
      <w:pPr>
        <w:spacing w:line="254" w:lineRule="auto"/>
        <w:rPr>
          <w:rFonts w:cstheme="minorHAnsi"/>
          <w:b/>
          <w:sz w:val="24"/>
          <w:szCs w:val="24"/>
        </w:rPr>
      </w:pPr>
      <w:r w:rsidRPr="00667D72">
        <w:rPr>
          <w:rFonts w:cstheme="minorHAnsi"/>
          <w:b/>
          <w:sz w:val="24"/>
          <w:szCs w:val="24"/>
        </w:rPr>
        <w:t>State-owned Enterprises and Designated Monopolies (SOEs)</w:t>
      </w:r>
    </w:p>
    <w:p w14:paraId="530A2A4D" w14:textId="5B9E1841" w:rsidR="00667D72" w:rsidRPr="00667D72" w:rsidRDefault="00667D72" w:rsidP="00667D72">
      <w:pPr>
        <w:textAlignment w:val="baseline"/>
        <w:rPr>
          <w:rFonts w:cstheme="minorHAnsi"/>
          <w:i/>
          <w:sz w:val="24"/>
          <w:szCs w:val="24"/>
        </w:rPr>
      </w:pPr>
      <w:r w:rsidRPr="00667D72">
        <w:rPr>
          <w:rFonts w:cstheme="minorHAnsi"/>
          <w:i/>
          <w:sz w:val="24"/>
          <w:szCs w:val="24"/>
        </w:rPr>
        <w:t xml:space="preserve">Australia and the UK </w:t>
      </w:r>
      <w:r w:rsidRPr="00667D72">
        <w:rPr>
          <w:rFonts w:cstheme="minorHAnsi"/>
          <w:i/>
          <w:iCs/>
          <w:sz w:val="24"/>
          <w:szCs w:val="24"/>
        </w:rPr>
        <w:t>commit to including</w:t>
      </w:r>
      <w:r w:rsidRPr="00667D72">
        <w:rPr>
          <w:rFonts w:cstheme="minorHAnsi"/>
          <w:i/>
          <w:sz w:val="24"/>
          <w:szCs w:val="24"/>
        </w:rPr>
        <w:t xml:space="preserve"> a chapter on SOEs that will provide rules aimed at ensuring fair treatment and will provide for cooperation in improving rules concerning SOEs in multilateral fora. </w:t>
      </w:r>
    </w:p>
    <w:p w14:paraId="4805A417" w14:textId="77777777" w:rsidR="00667D72" w:rsidRPr="00667D72" w:rsidRDefault="00667D72" w:rsidP="00667D72">
      <w:pPr>
        <w:rPr>
          <w:rFonts w:cstheme="minorHAnsi"/>
          <w:sz w:val="24"/>
          <w:szCs w:val="24"/>
        </w:rPr>
      </w:pPr>
      <w:r w:rsidRPr="00667D72">
        <w:rPr>
          <w:rFonts w:cstheme="minorHAnsi"/>
          <w:sz w:val="24"/>
          <w:szCs w:val="24"/>
        </w:rPr>
        <w:t>Commitments in the SOEs Chapter will include:</w:t>
      </w:r>
    </w:p>
    <w:p w14:paraId="1B74D136" w14:textId="77777777" w:rsidR="00667D72" w:rsidRPr="00667D72" w:rsidRDefault="00667D72" w:rsidP="00667D72">
      <w:pPr>
        <w:pStyle w:val="ListParagraph"/>
        <w:numPr>
          <w:ilvl w:val="0"/>
          <w:numId w:val="22"/>
        </w:numPr>
        <w:spacing w:after="0" w:line="240" w:lineRule="auto"/>
        <w:textAlignment w:val="baseline"/>
        <w:rPr>
          <w:rStyle w:val="normaltextrun"/>
          <w:rFonts w:eastAsia="Calibri" w:cstheme="minorHAnsi"/>
          <w:sz w:val="24"/>
          <w:szCs w:val="24"/>
        </w:rPr>
      </w:pPr>
      <w:r w:rsidRPr="00667D72">
        <w:rPr>
          <w:rFonts w:cstheme="minorHAnsi"/>
          <w:color w:val="000000" w:themeColor="text1"/>
          <w:sz w:val="24"/>
          <w:szCs w:val="24"/>
        </w:rPr>
        <w:t xml:space="preserve">Provisions that provide for open and fair competition between </w:t>
      </w:r>
      <w:proofErr w:type="gramStart"/>
      <w:r w:rsidRPr="00667D72">
        <w:rPr>
          <w:rFonts w:cstheme="minorHAnsi"/>
          <w:color w:val="000000" w:themeColor="text1"/>
          <w:sz w:val="24"/>
          <w:szCs w:val="24"/>
        </w:rPr>
        <w:t>commercially-oriented</w:t>
      </w:r>
      <w:proofErr w:type="gramEnd"/>
      <w:r w:rsidRPr="00667D72">
        <w:rPr>
          <w:rFonts w:cstheme="minorHAnsi"/>
          <w:color w:val="000000" w:themeColor="text1"/>
          <w:sz w:val="24"/>
          <w:szCs w:val="24"/>
        </w:rPr>
        <w:t xml:space="preserve"> SOEs and private businesses; </w:t>
      </w:r>
      <w:r w:rsidRPr="00667D72">
        <w:rPr>
          <w:rStyle w:val="normaltextrun"/>
          <w:rFonts w:eastAsia="Calibri" w:cstheme="minorHAnsi"/>
          <w:sz w:val="24"/>
          <w:szCs w:val="24"/>
        </w:rPr>
        <w:t>for example rules around non-commercial assistance to SOEs and non-discrimination.</w:t>
      </w:r>
    </w:p>
    <w:p w14:paraId="6B8AC9B3" w14:textId="77777777" w:rsidR="00667D72" w:rsidRPr="00667D72" w:rsidRDefault="00667D72" w:rsidP="00667D72">
      <w:pPr>
        <w:pStyle w:val="ListParagraph"/>
        <w:numPr>
          <w:ilvl w:val="0"/>
          <w:numId w:val="14"/>
        </w:numPr>
        <w:spacing w:before="100" w:beforeAutospacing="1" w:after="100" w:afterAutospacing="1" w:line="252" w:lineRule="auto"/>
        <w:ind w:left="426"/>
        <w:rPr>
          <w:rFonts w:cstheme="minorHAnsi"/>
          <w:sz w:val="24"/>
          <w:szCs w:val="24"/>
        </w:rPr>
      </w:pPr>
      <w:r w:rsidRPr="00667D72">
        <w:rPr>
          <w:rFonts w:cstheme="minorHAnsi"/>
          <w:color w:val="000000" w:themeColor="text1"/>
          <w:sz w:val="24"/>
          <w:szCs w:val="24"/>
        </w:rPr>
        <w:t>Provisions that ensure SOEs, particularly those providing public services, can continue to operate as they do now.</w:t>
      </w:r>
    </w:p>
    <w:p w14:paraId="4668C400" w14:textId="77777777" w:rsidR="00667D72" w:rsidRPr="00667D72" w:rsidRDefault="00667D72" w:rsidP="00667D72">
      <w:pPr>
        <w:pStyle w:val="ListParagraph"/>
        <w:numPr>
          <w:ilvl w:val="0"/>
          <w:numId w:val="14"/>
        </w:numPr>
        <w:spacing w:before="100" w:beforeAutospacing="1" w:after="100" w:afterAutospacing="1" w:line="252" w:lineRule="auto"/>
        <w:ind w:left="426"/>
        <w:rPr>
          <w:rFonts w:eastAsia="Calibri" w:cstheme="minorHAnsi"/>
          <w:sz w:val="24"/>
          <w:szCs w:val="24"/>
        </w:rPr>
      </w:pPr>
      <w:r w:rsidRPr="00667D72">
        <w:rPr>
          <w:rFonts w:cstheme="minorHAnsi"/>
          <w:color w:val="000000" w:themeColor="text1"/>
          <w:sz w:val="24"/>
          <w:szCs w:val="24"/>
        </w:rPr>
        <w:t>Commitment that the UK and Australia share information about their SOEs and cooperate, including at the multilateral level. </w:t>
      </w:r>
    </w:p>
    <w:p w14:paraId="3C340419" w14:textId="77777777" w:rsidR="00667D72" w:rsidRPr="00667D72" w:rsidRDefault="00667D72" w:rsidP="00667D72">
      <w:pPr>
        <w:spacing w:line="252" w:lineRule="auto"/>
        <w:rPr>
          <w:rFonts w:cstheme="minorHAnsi"/>
          <w:b/>
          <w:sz w:val="24"/>
          <w:szCs w:val="24"/>
        </w:rPr>
      </w:pPr>
      <w:r w:rsidRPr="00667D72">
        <w:rPr>
          <w:rFonts w:cstheme="minorHAnsi"/>
          <w:b/>
          <w:sz w:val="24"/>
          <w:szCs w:val="24"/>
        </w:rPr>
        <w:t>Labour</w:t>
      </w:r>
    </w:p>
    <w:p w14:paraId="0F925FE6" w14:textId="7D32499F" w:rsidR="00667D72" w:rsidRPr="002C36D8" w:rsidRDefault="00667D72" w:rsidP="00667D72">
      <w:pPr>
        <w:spacing w:line="252" w:lineRule="auto"/>
        <w:rPr>
          <w:rFonts w:cstheme="minorHAnsi"/>
          <w:sz w:val="24"/>
          <w:szCs w:val="24"/>
        </w:rPr>
      </w:pPr>
      <w:r w:rsidRPr="00667D72">
        <w:rPr>
          <w:rFonts w:cstheme="minorHAnsi"/>
          <w:i/>
          <w:sz w:val="24"/>
          <w:szCs w:val="24"/>
        </w:rPr>
        <w:t>Australia and the United Kingdom commit to a chapter on labour that will lock in high domestic protections for our workers, encourage good business practice and corporate responsibility, and advance our mutual ambition to tackle forced labour and modern slavery.</w:t>
      </w:r>
      <w:r w:rsidRPr="00667D72">
        <w:rPr>
          <w:rFonts w:cstheme="minorHAnsi"/>
          <w:sz w:val="24"/>
          <w:szCs w:val="24"/>
        </w:rPr>
        <w:t xml:space="preserve"> </w:t>
      </w:r>
    </w:p>
    <w:p w14:paraId="7D75BE70" w14:textId="77777777" w:rsidR="00667D72" w:rsidRPr="00667D72" w:rsidRDefault="00667D72" w:rsidP="00667D72">
      <w:pPr>
        <w:rPr>
          <w:rFonts w:cstheme="minorHAnsi"/>
          <w:sz w:val="24"/>
          <w:szCs w:val="24"/>
        </w:rPr>
      </w:pPr>
      <w:r w:rsidRPr="00667D72">
        <w:rPr>
          <w:rFonts w:cstheme="minorHAnsi"/>
          <w:sz w:val="24"/>
          <w:szCs w:val="24"/>
        </w:rPr>
        <w:t>Commitments in the Labour Chapter will include:</w:t>
      </w:r>
    </w:p>
    <w:p w14:paraId="2917BE42" w14:textId="77777777" w:rsidR="00667D72" w:rsidRPr="00667D72" w:rsidRDefault="00667D72" w:rsidP="00667D72">
      <w:pPr>
        <w:pStyle w:val="ListParagraph"/>
        <w:numPr>
          <w:ilvl w:val="0"/>
          <w:numId w:val="10"/>
        </w:numPr>
        <w:spacing w:after="0" w:line="254" w:lineRule="auto"/>
        <w:ind w:left="360"/>
        <w:rPr>
          <w:rFonts w:eastAsiaTheme="minorEastAsia" w:cstheme="minorHAnsi"/>
          <w:sz w:val="24"/>
          <w:szCs w:val="24"/>
        </w:rPr>
      </w:pPr>
      <w:r w:rsidRPr="00667D72">
        <w:rPr>
          <w:rFonts w:eastAsia="Calibri" w:cstheme="minorHAnsi"/>
          <w:sz w:val="24"/>
          <w:szCs w:val="24"/>
        </w:rPr>
        <w:t>Provisions that commit the UK and Australia to maintain and effectively enforce their domestic laws and labour standards.</w:t>
      </w:r>
    </w:p>
    <w:p w14:paraId="0EEAAF4A" w14:textId="77777777" w:rsidR="00667D72" w:rsidRPr="00667D72" w:rsidRDefault="00667D72" w:rsidP="00667D72">
      <w:pPr>
        <w:pStyle w:val="ListParagraph"/>
        <w:numPr>
          <w:ilvl w:val="0"/>
          <w:numId w:val="10"/>
        </w:numPr>
        <w:spacing w:after="0" w:line="254" w:lineRule="auto"/>
        <w:ind w:left="360"/>
        <w:rPr>
          <w:rFonts w:eastAsiaTheme="minorEastAsia" w:cstheme="minorHAnsi"/>
          <w:sz w:val="24"/>
          <w:szCs w:val="24"/>
        </w:rPr>
      </w:pPr>
      <w:bookmarkStart w:id="98" w:name="_Hlk74051229"/>
      <w:r w:rsidRPr="00667D72">
        <w:rPr>
          <w:rFonts w:cstheme="minorHAnsi"/>
          <w:sz w:val="24"/>
          <w:szCs w:val="24"/>
        </w:rPr>
        <w:lastRenderedPageBreak/>
        <w:t>Provision recognising the right to regulate of each country, which confirms each</w:t>
      </w:r>
      <w:r w:rsidRPr="00667D72" w:rsidDel="0006508B">
        <w:rPr>
          <w:rFonts w:cstheme="minorHAnsi"/>
          <w:sz w:val="24"/>
          <w:szCs w:val="24"/>
        </w:rPr>
        <w:t xml:space="preserve"> </w:t>
      </w:r>
      <w:r w:rsidRPr="00667D72">
        <w:rPr>
          <w:rFonts w:cstheme="minorHAnsi"/>
          <w:sz w:val="24"/>
          <w:szCs w:val="24"/>
        </w:rPr>
        <w:t>country to establish its own levels of domestic labour protection and its own priorities relating to labour, and to establish, adopt or modify its labour laws and policies accordingly.</w:t>
      </w:r>
      <w:bookmarkEnd w:id="98"/>
    </w:p>
    <w:p w14:paraId="5C535E08" w14:textId="77777777" w:rsidR="00667D72" w:rsidRPr="00667D72" w:rsidRDefault="00667D72" w:rsidP="00667D72">
      <w:pPr>
        <w:pStyle w:val="ListParagraph"/>
        <w:numPr>
          <w:ilvl w:val="0"/>
          <w:numId w:val="10"/>
        </w:numPr>
        <w:spacing w:after="0" w:line="254" w:lineRule="auto"/>
        <w:ind w:left="360"/>
        <w:rPr>
          <w:rFonts w:eastAsiaTheme="minorEastAsia" w:cstheme="minorHAnsi"/>
          <w:sz w:val="24"/>
          <w:szCs w:val="24"/>
        </w:rPr>
      </w:pPr>
      <w:r w:rsidRPr="00667D72">
        <w:rPr>
          <w:rFonts w:eastAsia="Calibri" w:cstheme="minorHAnsi"/>
          <w:sz w:val="24"/>
          <w:szCs w:val="24"/>
        </w:rPr>
        <w:t xml:space="preserve">Provision affirming obligations as members of the International Labour Organization (ILO), including those stated in the </w:t>
      </w:r>
      <w:r w:rsidRPr="00667D72">
        <w:rPr>
          <w:rFonts w:eastAsia="Calibri" w:cstheme="minorHAnsi"/>
          <w:color w:val="000000" w:themeColor="text1"/>
          <w:sz w:val="24"/>
          <w:szCs w:val="24"/>
        </w:rPr>
        <w:t xml:space="preserve">ILO </w:t>
      </w:r>
      <w:r w:rsidRPr="00667D72">
        <w:rPr>
          <w:rFonts w:eastAsia="Calibri" w:cstheme="minorHAnsi"/>
          <w:i/>
          <w:color w:val="000000" w:themeColor="text1"/>
          <w:sz w:val="24"/>
          <w:szCs w:val="24"/>
        </w:rPr>
        <w:t>Declaration on Fundamental Principles and Rights at Work and its Follow-up (1998)</w:t>
      </w:r>
      <w:r w:rsidRPr="00667D72">
        <w:rPr>
          <w:rFonts w:eastAsia="Calibri" w:cstheme="minorHAnsi"/>
          <w:sz w:val="24"/>
          <w:szCs w:val="24"/>
        </w:rPr>
        <w:t>.</w:t>
      </w:r>
    </w:p>
    <w:p w14:paraId="054B42EF" w14:textId="77777777" w:rsidR="00667D72" w:rsidRPr="00667D72" w:rsidRDefault="00667D72" w:rsidP="00667D72">
      <w:pPr>
        <w:pStyle w:val="ListParagraph"/>
        <w:numPr>
          <w:ilvl w:val="0"/>
          <w:numId w:val="10"/>
        </w:numPr>
        <w:spacing w:after="0" w:line="254" w:lineRule="auto"/>
        <w:ind w:left="360"/>
        <w:rPr>
          <w:rFonts w:eastAsiaTheme="minorEastAsia" w:cstheme="minorHAnsi"/>
          <w:color w:val="000000" w:themeColor="text1"/>
          <w:sz w:val="24"/>
          <w:szCs w:val="24"/>
        </w:rPr>
      </w:pPr>
      <w:r w:rsidRPr="00667D72">
        <w:rPr>
          <w:rFonts w:eastAsia="Calibri" w:cstheme="minorHAnsi"/>
          <w:sz w:val="24"/>
          <w:szCs w:val="24"/>
        </w:rPr>
        <w:t xml:space="preserve">All substantive commitments in the chapter to replicate the CPTPP formulation to the greatest extent possible, unless otherwise agreed by the UK and Australia.  </w:t>
      </w:r>
    </w:p>
    <w:p w14:paraId="33537F20" w14:textId="77777777" w:rsidR="00667D72" w:rsidRPr="00667D72" w:rsidRDefault="00667D72" w:rsidP="00667D72">
      <w:pPr>
        <w:pStyle w:val="ListParagraph"/>
        <w:numPr>
          <w:ilvl w:val="0"/>
          <w:numId w:val="10"/>
        </w:numPr>
        <w:spacing w:after="0" w:line="254" w:lineRule="auto"/>
        <w:ind w:left="360"/>
        <w:rPr>
          <w:rFonts w:eastAsiaTheme="minorEastAsia" w:cstheme="minorHAnsi"/>
          <w:color w:val="000000" w:themeColor="text1"/>
          <w:sz w:val="24"/>
          <w:szCs w:val="24"/>
        </w:rPr>
      </w:pPr>
      <w:r w:rsidRPr="00667D72">
        <w:rPr>
          <w:rFonts w:eastAsia="Calibri" w:cstheme="minorHAnsi"/>
          <w:sz w:val="24"/>
          <w:szCs w:val="24"/>
        </w:rPr>
        <w:t xml:space="preserve">New areas proposed by the UK that are not in the CPTPP Labour Chapter text to contain no new substantive commitments.  </w:t>
      </w:r>
    </w:p>
    <w:p w14:paraId="2540C039" w14:textId="77777777" w:rsidR="00667D72" w:rsidRPr="00667D72" w:rsidRDefault="00667D72" w:rsidP="00667D72">
      <w:pPr>
        <w:pStyle w:val="ListParagraph"/>
        <w:numPr>
          <w:ilvl w:val="0"/>
          <w:numId w:val="10"/>
        </w:numPr>
        <w:spacing w:after="0" w:line="254" w:lineRule="auto"/>
        <w:ind w:left="360"/>
        <w:rPr>
          <w:rFonts w:eastAsiaTheme="minorEastAsia" w:cstheme="minorHAnsi"/>
          <w:color w:val="000000" w:themeColor="text1"/>
          <w:sz w:val="24"/>
          <w:szCs w:val="24"/>
        </w:rPr>
      </w:pPr>
      <w:r w:rsidRPr="00667D72">
        <w:rPr>
          <w:rFonts w:eastAsia="Calibri" w:cstheme="minorHAnsi"/>
          <w:sz w:val="24"/>
          <w:szCs w:val="24"/>
        </w:rPr>
        <w:t xml:space="preserve">Replication of the CPTPP consultation and enforcement provisions with minor amendments to ensure alignment with the dispute settlement provisions of the whole FTA.  </w:t>
      </w:r>
    </w:p>
    <w:p w14:paraId="401B1D21" w14:textId="77777777" w:rsidR="00667D72" w:rsidRPr="00667D72" w:rsidRDefault="00667D72" w:rsidP="00667D72">
      <w:pPr>
        <w:pStyle w:val="ListParagraph"/>
        <w:numPr>
          <w:ilvl w:val="0"/>
          <w:numId w:val="10"/>
        </w:numPr>
        <w:spacing w:after="0" w:line="254" w:lineRule="auto"/>
        <w:ind w:left="360"/>
        <w:rPr>
          <w:rFonts w:eastAsia="Calibri" w:cstheme="minorHAnsi"/>
          <w:sz w:val="24"/>
          <w:szCs w:val="24"/>
        </w:rPr>
      </w:pPr>
      <w:r w:rsidRPr="00667D72">
        <w:rPr>
          <w:rFonts w:eastAsia="Calibri" w:cstheme="minorHAnsi"/>
          <w:sz w:val="24"/>
          <w:szCs w:val="24"/>
        </w:rPr>
        <w:t xml:space="preserve">Provision on tackling modern slavery in supply chains. </w:t>
      </w:r>
    </w:p>
    <w:bookmarkEnd w:id="97"/>
    <w:p w14:paraId="6B394D55" w14:textId="77777777" w:rsidR="00667D72" w:rsidRPr="00667D72" w:rsidRDefault="00667D72" w:rsidP="00667D72">
      <w:pPr>
        <w:pStyle w:val="ListParagraph"/>
        <w:spacing w:line="254" w:lineRule="auto"/>
        <w:rPr>
          <w:rFonts w:cstheme="minorHAnsi"/>
          <w:sz w:val="24"/>
          <w:szCs w:val="24"/>
        </w:rPr>
      </w:pPr>
    </w:p>
    <w:p w14:paraId="1058A7A0" w14:textId="77777777" w:rsidR="00667D72" w:rsidRPr="00667D72" w:rsidRDefault="00667D72" w:rsidP="00667D72">
      <w:pPr>
        <w:spacing w:line="254" w:lineRule="auto"/>
        <w:rPr>
          <w:rFonts w:cstheme="minorHAnsi"/>
          <w:b/>
          <w:sz w:val="24"/>
          <w:szCs w:val="24"/>
        </w:rPr>
      </w:pPr>
      <w:r w:rsidRPr="00667D72">
        <w:rPr>
          <w:rFonts w:cstheme="minorHAnsi"/>
          <w:b/>
          <w:sz w:val="24"/>
          <w:szCs w:val="24"/>
        </w:rPr>
        <w:t>Environment</w:t>
      </w:r>
    </w:p>
    <w:p w14:paraId="4983EF35" w14:textId="3E0E15FF" w:rsidR="00667D72" w:rsidRPr="002C36D8" w:rsidRDefault="00667D72" w:rsidP="002C36D8">
      <w:pPr>
        <w:rPr>
          <w:rFonts w:cstheme="minorHAnsi"/>
          <w:sz w:val="24"/>
          <w:szCs w:val="24"/>
        </w:rPr>
      </w:pPr>
      <w:r w:rsidRPr="00667D72">
        <w:rPr>
          <w:rFonts w:cstheme="minorHAnsi"/>
          <w:i/>
          <w:iCs/>
          <w:sz w:val="24"/>
          <w:szCs w:val="24"/>
        </w:rPr>
        <w:t>Australia and the United Kingdom commit to a chapter on trade and environment that will contain provisions affirming commitments under multilateral environmental agreements including the Paris Agreement, and to maintain and effectively enforce domestic environmental laws and policies across a broad range of issues. Both countries commit to undertaking cooperative activities, including those targeted at key technologies in the transition to a low carbon and climate resilient economy. The chapter will also contain provisions to encourage trade and investment in environmental goods and services that support shared environmental objectives.</w:t>
      </w:r>
    </w:p>
    <w:p w14:paraId="657C8EA8" w14:textId="77777777" w:rsidR="00667D72" w:rsidRPr="00667D72" w:rsidRDefault="00667D72" w:rsidP="00667D72">
      <w:pPr>
        <w:rPr>
          <w:rFonts w:cstheme="minorHAnsi"/>
          <w:sz w:val="24"/>
          <w:szCs w:val="24"/>
        </w:rPr>
      </w:pPr>
      <w:r w:rsidRPr="00667D72">
        <w:rPr>
          <w:rFonts w:cstheme="minorHAnsi"/>
          <w:sz w:val="24"/>
          <w:szCs w:val="24"/>
        </w:rPr>
        <w:t>Commitments in the Environment Chapter will include:</w:t>
      </w:r>
    </w:p>
    <w:p w14:paraId="7679AB07" w14:textId="77777777" w:rsidR="00667D72" w:rsidRPr="00667D72" w:rsidRDefault="00667D72" w:rsidP="00667D72">
      <w:pPr>
        <w:pStyle w:val="ListParagraph"/>
        <w:numPr>
          <w:ilvl w:val="0"/>
          <w:numId w:val="13"/>
        </w:numPr>
        <w:spacing w:after="0" w:line="254" w:lineRule="auto"/>
        <w:rPr>
          <w:rFonts w:eastAsiaTheme="minorEastAsia" w:cstheme="minorHAnsi"/>
          <w:sz w:val="24"/>
          <w:szCs w:val="24"/>
        </w:rPr>
      </w:pPr>
      <w:r w:rsidRPr="00667D72">
        <w:rPr>
          <w:rFonts w:eastAsia="Calibri" w:cstheme="minorHAnsi"/>
          <w:sz w:val="24"/>
          <w:szCs w:val="24"/>
        </w:rPr>
        <w:t>Provisions that commit the UK and Australia to maintain and effectively enforce their domestic environmental laws and policies.</w:t>
      </w:r>
    </w:p>
    <w:p w14:paraId="34A3303E" w14:textId="77777777" w:rsidR="00667D72" w:rsidRPr="00667D72" w:rsidRDefault="00667D72" w:rsidP="00667D72">
      <w:pPr>
        <w:pStyle w:val="ListParagraph"/>
        <w:numPr>
          <w:ilvl w:val="0"/>
          <w:numId w:val="13"/>
        </w:numPr>
        <w:spacing w:after="0" w:line="240" w:lineRule="auto"/>
        <w:rPr>
          <w:rFonts w:eastAsia="Calibri" w:cstheme="minorHAnsi"/>
          <w:sz w:val="24"/>
          <w:szCs w:val="24"/>
        </w:rPr>
      </w:pPr>
      <w:r w:rsidRPr="00667D72">
        <w:rPr>
          <w:rFonts w:eastAsia="Calibri" w:cstheme="minorHAnsi"/>
          <w:sz w:val="24"/>
          <w:szCs w:val="24"/>
        </w:rPr>
        <w:t>Provisions that affirm commitments under multilateral environmental agreements.</w:t>
      </w:r>
    </w:p>
    <w:p w14:paraId="737E885F" w14:textId="77777777" w:rsidR="00667D72" w:rsidRPr="00667D72" w:rsidRDefault="00667D72" w:rsidP="00667D72">
      <w:pPr>
        <w:pStyle w:val="ListParagraph"/>
        <w:numPr>
          <w:ilvl w:val="0"/>
          <w:numId w:val="13"/>
        </w:numPr>
        <w:spacing w:after="0" w:line="254" w:lineRule="auto"/>
        <w:rPr>
          <w:rFonts w:eastAsiaTheme="minorEastAsia" w:cstheme="minorHAnsi"/>
          <w:color w:val="000000" w:themeColor="text1"/>
          <w:sz w:val="24"/>
          <w:szCs w:val="24"/>
        </w:rPr>
      </w:pPr>
      <w:r w:rsidRPr="00667D72">
        <w:rPr>
          <w:rFonts w:eastAsia="Calibri" w:cstheme="minorHAnsi"/>
          <w:sz w:val="24"/>
          <w:szCs w:val="24"/>
        </w:rPr>
        <w:t>Provisions to encourage trade and investment in environmental goods and services which support shared environmental objectives.</w:t>
      </w:r>
    </w:p>
    <w:p w14:paraId="58429A26" w14:textId="77777777" w:rsidR="00667D72" w:rsidRPr="00667D72" w:rsidRDefault="00667D72" w:rsidP="00667D72">
      <w:pPr>
        <w:pStyle w:val="ListParagraph"/>
        <w:numPr>
          <w:ilvl w:val="0"/>
          <w:numId w:val="13"/>
        </w:numPr>
        <w:spacing w:after="0" w:line="252" w:lineRule="auto"/>
        <w:rPr>
          <w:rFonts w:cstheme="minorHAnsi"/>
          <w:sz w:val="24"/>
          <w:szCs w:val="24"/>
        </w:rPr>
      </w:pPr>
      <w:r w:rsidRPr="00667D72">
        <w:rPr>
          <w:rFonts w:cstheme="minorHAnsi"/>
          <w:sz w:val="24"/>
          <w:szCs w:val="24"/>
        </w:rPr>
        <w:t>Provision which affirms commitments by each country to tackle climate change, including under the Paris Agreement and acknowledges the role of global trade and investment in these efforts.</w:t>
      </w:r>
    </w:p>
    <w:p w14:paraId="0E20848A" w14:textId="77777777" w:rsidR="00667D72" w:rsidRPr="00667D72" w:rsidRDefault="00667D72" w:rsidP="00667D72">
      <w:pPr>
        <w:pStyle w:val="ListParagraph"/>
        <w:numPr>
          <w:ilvl w:val="0"/>
          <w:numId w:val="13"/>
        </w:numPr>
        <w:spacing w:after="0" w:line="252" w:lineRule="auto"/>
        <w:rPr>
          <w:rFonts w:cstheme="minorHAnsi"/>
          <w:sz w:val="24"/>
          <w:szCs w:val="24"/>
        </w:rPr>
      </w:pPr>
      <w:bookmarkStart w:id="99" w:name="_Hlk73968604"/>
      <w:r w:rsidRPr="00667D72">
        <w:rPr>
          <w:rFonts w:cstheme="minorHAnsi"/>
          <w:sz w:val="24"/>
          <w:szCs w:val="24"/>
        </w:rPr>
        <w:t xml:space="preserve">Provision recognising the right to regulate of each country, based on the language used in the CPTPP environment text with the addition of a reference to climate change, that confirms the right of each country to establish its own levels of domestic environmental protection and its own priorities relating to the environment, and the right to establish, adopt or modify its environmental laws and policies accordingly. </w:t>
      </w:r>
    </w:p>
    <w:bookmarkEnd w:id="99"/>
    <w:p w14:paraId="108968B8" w14:textId="77777777" w:rsidR="00667D72" w:rsidRPr="00667D72" w:rsidRDefault="00667D72" w:rsidP="00667D72">
      <w:pPr>
        <w:pStyle w:val="ListParagraph"/>
        <w:numPr>
          <w:ilvl w:val="0"/>
          <w:numId w:val="13"/>
        </w:numPr>
        <w:spacing w:after="0" w:line="252" w:lineRule="auto"/>
        <w:rPr>
          <w:rFonts w:cstheme="minorHAnsi"/>
          <w:color w:val="000000" w:themeColor="text1"/>
          <w:sz w:val="24"/>
          <w:szCs w:val="24"/>
        </w:rPr>
      </w:pPr>
      <w:r w:rsidRPr="00667D72">
        <w:rPr>
          <w:rFonts w:cstheme="minorHAnsi"/>
          <w:color w:val="000000" w:themeColor="text1"/>
          <w:sz w:val="24"/>
          <w:szCs w:val="24"/>
        </w:rPr>
        <w:t xml:space="preserve">Provisions that affirm commitments to combating illegal wildlife trade, conservation, marine </w:t>
      </w:r>
      <w:proofErr w:type="gramStart"/>
      <w:r w:rsidRPr="00667D72">
        <w:rPr>
          <w:rFonts w:cstheme="minorHAnsi"/>
          <w:color w:val="000000" w:themeColor="text1"/>
          <w:sz w:val="24"/>
          <w:szCs w:val="24"/>
        </w:rPr>
        <w:t>pollution</w:t>
      </w:r>
      <w:proofErr w:type="gramEnd"/>
      <w:r w:rsidRPr="00667D72">
        <w:rPr>
          <w:rFonts w:cstheme="minorHAnsi"/>
          <w:color w:val="000000" w:themeColor="text1"/>
          <w:sz w:val="24"/>
          <w:szCs w:val="24"/>
        </w:rPr>
        <w:t xml:space="preserve"> and protection of the Ozone Layer.</w:t>
      </w:r>
    </w:p>
    <w:p w14:paraId="0283125F" w14:textId="77777777" w:rsidR="00667D72" w:rsidRPr="00667D72" w:rsidRDefault="00667D72" w:rsidP="00667D72">
      <w:pPr>
        <w:pStyle w:val="ListParagraph"/>
        <w:numPr>
          <w:ilvl w:val="0"/>
          <w:numId w:val="13"/>
        </w:numPr>
        <w:spacing w:after="0" w:line="252" w:lineRule="auto"/>
        <w:rPr>
          <w:rFonts w:cstheme="minorHAnsi"/>
          <w:sz w:val="24"/>
          <w:szCs w:val="24"/>
        </w:rPr>
      </w:pPr>
      <w:r w:rsidRPr="00667D72">
        <w:rPr>
          <w:rFonts w:cstheme="minorHAnsi"/>
          <w:sz w:val="24"/>
          <w:szCs w:val="24"/>
        </w:rPr>
        <w:t>Provisions with commitments on several areas of environmental protection including fisheries, biodiversity, combatting illegal logging and wildlife trade and conservation.</w:t>
      </w:r>
    </w:p>
    <w:p w14:paraId="79646A79" w14:textId="77777777" w:rsidR="00667D72" w:rsidRPr="00667D72" w:rsidRDefault="00667D72" w:rsidP="00667D72">
      <w:pPr>
        <w:pStyle w:val="ListParagraph"/>
        <w:numPr>
          <w:ilvl w:val="0"/>
          <w:numId w:val="13"/>
        </w:numPr>
        <w:spacing w:after="0" w:line="252" w:lineRule="auto"/>
        <w:rPr>
          <w:rFonts w:cstheme="minorHAnsi"/>
          <w:sz w:val="24"/>
          <w:szCs w:val="24"/>
        </w:rPr>
      </w:pPr>
      <w:r w:rsidRPr="00667D72">
        <w:rPr>
          <w:rFonts w:cstheme="minorHAnsi"/>
          <w:sz w:val="24"/>
          <w:szCs w:val="24"/>
        </w:rPr>
        <w:t xml:space="preserve">Provisions that recognise the importance of, and to cooperate on, sustainable forestry management, circular economy, marine </w:t>
      </w:r>
      <w:proofErr w:type="gramStart"/>
      <w:r w:rsidRPr="00667D72">
        <w:rPr>
          <w:rFonts w:cstheme="minorHAnsi"/>
          <w:sz w:val="24"/>
          <w:szCs w:val="24"/>
        </w:rPr>
        <w:t>litter</w:t>
      </w:r>
      <w:proofErr w:type="gramEnd"/>
      <w:r w:rsidRPr="00667D72">
        <w:rPr>
          <w:rFonts w:cstheme="minorHAnsi"/>
          <w:sz w:val="24"/>
          <w:szCs w:val="24"/>
        </w:rPr>
        <w:t xml:space="preserve"> and air quality</w:t>
      </w:r>
    </w:p>
    <w:p w14:paraId="1C55AB5B" w14:textId="77777777" w:rsidR="00667D72" w:rsidRPr="00667D72" w:rsidRDefault="00667D72" w:rsidP="00667D72">
      <w:pPr>
        <w:pStyle w:val="ListParagraph"/>
        <w:numPr>
          <w:ilvl w:val="0"/>
          <w:numId w:val="13"/>
        </w:numPr>
        <w:spacing w:after="0" w:line="252" w:lineRule="auto"/>
        <w:rPr>
          <w:rFonts w:eastAsiaTheme="minorEastAsia" w:cstheme="minorHAnsi"/>
          <w:color w:val="000000" w:themeColor="text1"/>
          <w:sz w:val="24"/>
          <w:szCs w:val="24"/>
        </w:rPr>
      </w:pPr>
      <w:r w:rsidRPr="00667D72">
        <w:rPr>
          <w:rFonts w:eastAsia="Calibri" w:cstheme="minorHAnsi"/>
          <w:sz w:val="24"/>
          <w:szCs w:val="24"/>
        </w:rPr>
        <w:lastRenderedPageBreak/>
        <w:t xml:space="preserve">All substantive commitments in the chapter to replicate the CPTPP formulation to the greatest extent possible unless otherwise decided by the UK and Australia.  </w:t>
      </w:r>
    </w:p>
    <w:p w14:paraId="1D9B9528" w14:textId="77777777" w:rsidR="00667D72" w:rsidRPr="00667D72" w:rsidRDefault="00667D72" w:rsidP="00667D72">
      <w:pPr>
        <w:pStyle w:val="ListParagraph"/>
        <w:numPr>
          <w:ilvl w:val="0"/>
          <w:numId w:val="13"/>
        </w:numPr>
        <w:spacing w:after="0" w:line="252" w:lineRule="auto"/>
        <w:rPr>
          <w:rFonts w:eastAsiaTheme="minorEastAsia" w:cstheme="minorHAnsi"/>
          <w:color w:val="000000" w:themeColor="text1"/>
          <w:sz w:val="24"/>
          <w:szCs w:val="24"/>
        </w:rPr>
      </w:pPr>
      <w:r w:rsidRPr="00667D72">
        <w:rPr>
          <w:rFonts w:eastAsia="Calibri" w:cstheme="minorHAnsi"/>
          <w:sz w:val="24"/>
          <w:szCs w:val="24"/>
        </w:rPr>
        <w:t xml:space="preserve">New areas proposed by the UK that are not in the CPTPP environment text to contain no new substantive commitments. </w:t>
      </w:r>
    </w:p>
    <w:p w14:paraId="74B5E3DD" w14:textId="77777777" w:rsidR="00667D72" w:rsidRPr="00667D72" w:rsidRDefault="00667D72" w:rsidP="00667D72">
      <w:pPr>
        <w:pStyle w:val="ListParagraph"/>
        <w:numPr>
          <w:ilvl w:val="0"/>
          <w:numId w:val="13"/>
        </w:numPr>
        <w:spacing w:after="0" w:line="252" w:lineRule="auto"/>
        <w:rPr>
          <w:rFonts w:cstheme="minorHAnsi"/>
          <w:color w:val="000000" w:themeColor="text1"/>
          <w:sz w:val="24"/>
          <w:szCs w:val="24"/>
        </w:rPr>
      </w:pPr>
      <w:r w:rsidRPr="00667D72">
        <w:rPr>
          <w:rFonts w:eastAsia="Calibri" w:cstheme="minorHAnsi"/>
          <w:sz w:val="24"/>
          <w:szCs w:val="24"/>
        </w:rPr>
        <w:t xml:space="preserve">Replication of the CPTPP consultation and enforcement provisions with minor amendments, including to ensure alignment with the dispute settlement provisions of the whole agreement. </w:t>
      </w:r>
    </w:p>
    <w:p w14:paraId="00F3884E" w14:textId="77777777" w:rsidR="00667D72" w:rsidRPr="00667D72" w:rsidRDefault="00667D72" w:rsidP="00667D72">
      <w:pPr>
        <w:spacing w:line="254" w:lineRule="auto"/>
        <w:rPr>
          <w:rFonts w:cstheme="minorHAnsi"/>
          <w:b/>
          <w:sz w:val="24"/>
          <w:szCs w:val="24"/>
        </w:rPr>
      </w:pPr>
      <w:r w:rsidRPr="00667D72">
        <w:rPr>
          <w:rFonts w:cstheme="minorHAnsi"/>
          <w:sz w:val="24"/>
          <w:szCs w:val="24"/>
        </w:rPr>
        <w:br/>
      </w:r>
    </w:p>
    <w:p w14:paraId="19C0C4EC" w14:textId="77777777" w:rsidR="00667D72" w:rsidRPr="00667D72" w:rsidRDefault="00667D72" w:rsidP="00667D72">
      <w:pPr>
        <w:spacing w:line="254" w:lineRule="auto"/>
        <w:rPr>
          <w:rFonts w:cstheme="minorHAnsi"/>
          <w:b/>
          <w:sz w:val="24"/>
          <w:szCs w:val="24"/>
        </w:rPr>
      </w:pPr>
      <w:r w:rsidRPr="00667D72">
        <w:rPr>
          <w:rFonts w:cstheme="minorHAnsi"/>
          <w:b/>
          <w:sz w:val="24"/>
          <w:szCs w:val="24"/>
        </w:rPr>
        <w:t>SMEs</w:t>
      </w:r>
    </w:p>
    <w:p w14:paraId="638F20BF" w14:textId="43C09833" w:rsidR="00667D72" w:rsidRPr="00667D72" w:rsidRDefault="00667D72" w:rsidP="00667D72">
      <w:pPr>
        <w:spacing w:line="256" w:lineRule="auto"/>
        <w:rPr>
          <w:rFonts w:cstheme="minorHAnsi"/>
          <w:i/>
          <w:sz w:val="24"/>
          <w:szCs w:val="24"/>
        </w:rPr>
      </w:pPr>
      <w:r w:rsidRPr="00667D72">
        <w:rPr>
          <w:rFonts w:cstheme="minorHAnsi"/>
          <w:i/>
          <w:sz w:val="24"/>
          <w:szCs w:val="24"/>
        </w:rPr>
        <w:t xml:space="preserve">Australia and the UK commit to </w:t>
      </w:r>
      <w:r w:rsidRPr="00667D72">
        <w:rPr>
          <w:rFonts w:cstheme="minorHAnsi"/>
          <w:i/>
          <w:iCs/>
          <w:sz w:val="24"/>
          <w:szCs w:val="24"/>
        </w:rPr>
        <w:t>including</w:t>
      </w:r>
      <w:r w:rsidRPr="00667D72">
        <w:rPr>
          <w:rFonts w:cstheme="minorHAnsi"/>
          <w:i/>
          <w:sz w:val="24"/>
          <w:szCs w:val="24"/>
        </w:rPr>
        <w:t xml:space="preserve"> a chapter on SMEs which will affirm their critical role in the economies of the countries. The chapter</w:t>
      </w:r>
      <w:r w:rsidRPr="00667D72">
        <w:rPr>
          <w:rFonts w:cstheme="minorHAnsi"/>
          <w:i/>
          <w:iCs/>
          <w:sz w:val="24"/>
          <w:szCs w:val="24"/>
        </w:rPr>
        <w:t xml:space="preserve"> will</w:t>
      </w:r>
      <w:r w:rsidRPr="00667D72">
        <w:rPr>
          <w:rFonts w:cstheme="minorHAnsi"/>
          <w:i/>
          <w:sz w:val="24"/>
          <w:szCs w:val="24"/>
        </w:rPr>
        <w:t xml:space="preserve"> commit both the UK and Australia to publish information about the </w:t>
      </w:r>
      <w:proofErr w:type="gramStart"/>
      <w:r w:rsidRPr="00667D72">
        <w:rPr>
          <w:rFonts w:cstheme="minorHAnsi"/>
          <w:i/>
          <w:sz w:val="24"/>
          <w:szCs w:val="24"/>
        </w:rPr>
        <w:t>Agreement</w:t>
      </w:r>
      <w:proofErr w:type="gramEnd"/>
      <w:r w:rsidRPr="00667D72">
        <w:rPr>
          <w:rFonts w:cstheme="minorHAnsi"/>
          <w:i/>
          <w:sz w:val="24"/>
          <w:szCs w:val="24"/>
        </w:rPr>
        <w:t xml:space="preserve"> which is considered useful for SMEs, and include provisions that facilitate cooperation between the UK and Australia, including </w:t>
      </w:r>
      <w:r w:rsidRPr="00667D72" w:rsidDel="00904DF8">
        <w:rPr>
          <w:rFonts w:cstheme="minorHAnsi"/>
          <w:i/>
          <w:sz w:val="24"/>
          <w:szCs w:val="24"/>
        </w:rPr>
        <w:t xml:space="preserve">to </w:t>
      </w:r>
      <w:r w:rsidRPr="00667D72">
        <w:rPr>
          <w:rFonts w:cstheme="minorHAnsi"/>
          <w:i/>
          <w:sz w:val="24"/>
          <w:szCs w:val="24"/>
        </w:rPr>
        <w:t xml:space="preserve">identify ways to help SMEs take advantage of the FTA. </w:t>
      </w:r>
    </w:p>
    <w:p w14:paraId="04E82029" w14:textId="77777777" w:rsidR="00667D72" w:rsidRPr="00667D72" w:rsidRDefault="00667D72" w:rsidP="00667D72">
      <w:pPr>
        <w:rPr>
          <w:rFonts w:cstheme="minorHAnsi"/>
          <w:sz w:val="24"/>
          <w:szCs w:val="24"/>
        </w:rPr>
      </w:pPr>
      <w:r w:rsidRPr="00667D72">
        <w:rPr>
          <w:rFonts w:cstheme="minorHAnsi"/>
          <w:sz w:val="24"/>
          <w:szCs w:val="24"/>
        </w:rPr>
        <w:t>Commitments in the SME Chapter will include:</w:t>
      </w:r>
    </w:p>
    <w:p w14:paraId="58267BBE" w14:textId="77777777" w:rsidR="00667D72" w:rsidRPr="00667D72" w:rsidRDefault="00667D72" w:rsidP="00667D72">
      <w:pPr>
        <w:pStyle w:val="ListParagraph"/>
        <w:numPr>
          <w:ilvl w:val="0"/>
          <w:numId w:val="18"/>
        </w:numPr>
        <w:spacing w:after="0" w:line="240" w:lineRule="auto"/>
        <w:textAlignment w:val="baseline"/>
        <w:rPr>
          <w:rFonts w:eastAsiaTheme="minorEastAsia" w:cstheme="minorHAnsi"/>
          <w:sz w:val="24"/>
          <w:szCs w:val="24"/>
        </w:rPr>
      </w:pPr>
      <w:r w:rsidRPr="00667D72">
        <w:rPr>
          <w:rFonts w:eastAsia="Yu Mincho" w:cstheme="minorHAnsi"/>
          <w:sz w:val="24"/>
          <w:szCs w:val="24"/>
        </w:rPr>
        <w:t>Establishing</w:t>
      </w:r>
      <w:r w:rsidRPr="00667D72">
        <w:rPr>
          <w:rFonts w:cstheme="minorHAnsi"/>
          <w:sz w:val="24"/>
          <w:szCs w:val="24"/>
        </w:rPr>
        <w:t xml:space="preserve"> and maintaining a website of information for SMEs interested in trading, investing, or doing business with the other country.</w:t>
      </w:r>
    </w:p>
    <w:p w14:paraId="5766005D" w14:textId="77777777" w:rsidR="00667D72" w:rsidRPr="00667D72" w:rsidRDefault="00667D72" w:rsidP="00667D72">
      <w:pPr>
        <w:pStyle w:val="ListParagraph"/>
        <w:numPr>
          <w:ilvl w:val="0"/>
          <w:numId w:val="18"/>
        </w:numPr>
        <w:spacing w:after="0" w:line="240" w:lineRule="auto"/>
        <w:textAlignment w:val="baseline"/>
        <w:rPr>
          <w:rFonts w:eastAsiaTheme="minorEastAsia" w:cstheme="minorHAnsi"/>
          <w:sz w:val="24"/>
          <w:szCs w:val="24"/>
        </w:rPr>
      </w:pPr>
      <w:r w:rsidRPr="00667D72">
        <w:rPr>
          <w:rFonts w:eastAsia="Yu Mincho" w:cstheme="minorHAnsi"/>
          <w:sz w:val="24"/>
          <w:szCs w:val="24"/>
        </w:rPr>
        <w:t>Facilitating cooperation between the UK and Australia, such as through the exchange of information on programs to assist SMEs participation in global markets.</w:t>
      </w:r>
    </w:p>
    <w:p w14:paraId="7F28CF8A" w14:textId="77777777" w:rsidR="00667D72" w:rsidRPr="00667D72" w:rsidRDefault="00667D72" w:rsidP="00667D72">
      <w:pPr>
        <w:pStyle w:val="ListParagraph"/>
        <w:textAlignment w:val="baseline"/>
        <w:rPr>
          <w:rFonts w:eastAsiaTheme="minorEastAsia" w:cstheme="minorHAnsi"/>
          <w:sz w:val="24"/>
          <w:szCs w:val="24"/>
        </w:rPr>
      </w:pPr>
    </w:p>
    <w:p w14:paraId="5BAEE694" w14:textId="77777777" w:rsidR="00667D72" w:rsidRPr="00667D72" w:rsidRDefault="00667D72" w:rsidP="00667D72">
      <w:pPr>
        <w:spacing w:line="254" w:lineRule="auto"/>
        <w:rPr>
          <w:rFonts w:cstheme="minorHAnsi"/>
          <w:b/>
          <w:sz w:val="24"/>
          <w:szCs w:val="24"/>
        </w:rPr>
      </w:pPr>
      <w:bookmarkStart w:id="100" w:name="_Hlk73449085"/>
      <w:r w:rsidRPr="00667D72">
        <w:rPr>
          <w:rFonts w:cstheme="minorHAnsi"/>
          <w:b/>
          <w:sz w:val="24"/>
          <w:szCs w:val="24"/>
        </w:rPr>
        <w:t>Good Regulatory Practices</w:t>
      </w:r>
    </w:p>
    <w:bookmarkEnd w:id="100"/>
    <w:p w14:paraId="62EDCB9D" w14:textId="7932604B" w:rsidR="00667D72" w:rsidRPr="00667D72" w:rsidRDefault="00667D72" w:rsidP="00667D72">
      <w:pPr>
        <w:rPr>
          <w:rFonts w:cstheme="minorHAnsi"/>
          <w:i/>
          <w:sz w:val="24"/>
          <w:szCs w:val="24"/>
        </w:rPr>
      </w:pPr>
      <w:r w:rsidRPr="00667D72">
        <w:rPr>
          <w:rFonts w:cstheme="minorHAnsi"/>
          <w:i/>
          <w:sz w:val="24"/>
          <w:szCs w:val="24"/>
        </w:rPr>
        <w:t xml:space="preserve">Australia and the UK </w:t>
      </w:r>
      <w:r w:rsidRPr="00667D72">
        <w:rPr>
          <w:rFonts w:cstheme="minorHAnsi"/>
          <w:i/>
          <w:iCs/>
          <w:sz w:val="24"/>
          <w:szCs w:val="24"/>
        </w:rPr>
        <w:t xml:space="preserve">commit </w:t>
      </w:r>
      <w:r w:rsidRPr="00667D72">
        <w:rPr>
          <w:rFonts w:cstheme="minorHAnsi"/>
          <w:i/>
          <w:sz w:val="24"/>
          <w:szCs w:val="24"/>
        </w:rPr>
        <w:t xml:space="preserve">to </w:t>
      </w:r>
      <w:r w:rsidRPr="00667D72">
        <w:rPr>
          <w:rFonts w:cstheme="minorHAnsi"/>
          <w:i/>
          <w:iCs/>
          <w:sz w:val="24"/>
          <w:szCs w:val="24"/>
        </w:rPr>
        <w:t xml:space="preserve">including </w:t>
      </w:r>
      <w:r w:rsidRPr="00667D72">
        <w:rPr>
          <w:rFonts w:cstheme="minorHAnsi"/>
          <w:i/>
          <w:sz w:val="24"/>
          <w:szCs w:val="24"/>
        </w:rPr>
        <w:t xml:space="preserve">a chapter on GRP which </w:t>
      </w:r>
      <w:r w:rsidRPr="00667D72">
        <w:rPr>
          <w:rFonts w:cstheme="minorHAnsi"/>
          <w:i/>
          <w:iCs/>
          <w:sz w:val="24"/>
          <w:szCs w:val="24"/>
        </w:rPr>
        <w:t xml:space="preserve">will </w:t>
      </w:r>
      <w:r w:rsidRPr="00667D72">
        <w:rPr>
          <w:rFonts w:cstheme="minorHAnsi"/>
          <w:i/>
          <w:sz w:val="24"/>
          <w:szCs w:val="24"/>
        </w:rPr>
        <w:t xml:space="preserve">contain provisions that support a transparent and predictable regulatory environment for business. Commitments to make regulatory measures public in plain language and online will ensure they are accessible. </w:t>
      </w:r>
    </w:p>
    <w:p w14:paraId="57A92A5D" w14:textId="77777777" w:rsidR="00667D72" w:rsidRPr="00667D72" w:rsidRDefault="00667D72" w:rsidP="00667D72">
      <w:pPr>
        <w:rPr>
          <w:rFonts w:cstheme="minorHAnsi"/>
          <w:sz w:val="24"/>
          <w:szCs w:val="24"/>
        </w:rPr>
      </w:pPr>
      <w:r w:rsidRPr="00667D72">
        <w:rPr>
          <w:rFonts w:cstheme="minorHAnsi"/>
          <w:sz w:val="24"/>
          <w:szCs w:val="24"/>
        </w:rPr>
        <w:t>Commitments in the GRP Chapter will include:</w:t>
      </w:r>
    </w:p>
    <w:p w14:paraId="0FCB13F2" w14:textId="77777777" w:rsidR="00667D72" w:rsidRPr="00667D72" w:rsidRDefault="00667D72" w:rsidP="00667D72">
      <w:pPr>
        <w:pStyle w:val="ListParagraph"/>
        <w:numPr>
          <w:ilvl w:val="0"/>
          <w:numId w:val="19"/>
        </w:numPr>
        <w:spacing w:after="0" w:line="240" w:lineRule="auto"/>
        <w:textAlignment w:val="baseline"/>
        <w:rPr>
          <w:rFonts w:eastAsiaTheme="minorEastAsia" w:cstheme="minorHAnsi"/>
          <w:sz w:val="24"/>
          <w:szCs w:val="24"/>
        </w:rPr>
      </w:pPr>
      <w:r w:rsidRPr="00667D72">
        <w:rPr>
          <w:rFonts w:cstheme="minorHAnsi"/>
          <w:sz w:val="24"/>
          <w:szCs w:val="24"/>
        </w:rPr>
        <w:t>Provisions on consulting publicly and rigorously assessing information when designing new regulations.    </w:t>
      </w:r>
    </w:p>
    <w:p w14:paraId="7CC8DC70" w14:textId="77777777" w:rsidR="00667D72" w:rsidRPr="00667D72" w:rsidRDefault="00667D72" w:rsidP="00667D72">
      <w:pPr>
        <w:pStyle w:val="ListParagraph"/>
        <w:numPr>
          <w:ilvl w:val="0"/>
          <w:numId w:val="19"/>
        </w:numPr>
        <w:spacing w:after="0" w:line="240" w:lineRule="auto"/>
        <w:textAlignment w:val="baseline"/>
        <w:rPr>
          <w:rFonts w:eastAsiaTheme="minorEastAsia" w:cstheme="minorHAnsi"/>
          <w:sz w:val="24"/>
          <w:szCs w:val="24"/>
        </w:rPr>
      </w:pPr>
      <w:r w:rsidRPr="00667D72">
        <w:rPr>
          <w:rFonts w:cstheme="minorHAnsi"/>
          <w:sz w:val="24"/>
          <w:szCs w:val="24"/>
        </w:rPr>
        <w:t>Commitment to consider whether public policy objectives can be achieved more effectively when reviewing existing regulations</w:t>
      </w:r>
    </w:p>
    <w:p w14:paraId="40BDB75D" w14:textId="77777777" w:rsidR="00667D72" w:rsidRPr="00667D72" w:rsidRDefault="00667D72" w:rsidP="00667D72">
      <w:pPr>
        <w:pStyle w:val="ListParagraph"/>
        <w:numPr>
          <w:ilvl w:val="0"/>
          <w:numId w:val="19"/>
        </w:numPr>
        <w:spacing w:after="0" w:line="240" w:lineRule="auto"/>
        <w:textAlignment w:val="baseline"/>
        <w:rPr>
          <w:rFonts w:eastAsiaTheme="minorEastAsia" w:cstheme="minorHAnsi"/>
          <w:sz w:val="24"/>
          <w:szCs w:val="24"/>
        </w:rPr>
      </w:pPr>
      <w:r w:rsidRPr="00667D72">
        <w:rPr>
          <w:rFonts w:cstheme="minorHAnsi"/>
          <w:sz w:val="24"/>
          <w:szCs w:val="24"/>
        </w:rPr>
        <w:t xml:space="preserve">Provisions on publishing information online about regulations and how they are developed. </w:t>
      </w:r>
    </w:p>
    <w:p w14:paraId="49303C3B" w14:textId="77777777" w:rsidR="00667D72" w:rsidRPr="00667D72" w:rsidRDefault="00667D72" w:rsidP="00667D72">
      <w:pPr>
        <w:pStyle w:val="ListParagraph"/>
        <w:numPr>
          <w:ilvl w:val="0"/>
          <w:numId w:val="19"/>
        </w:numPr>
        <w:spacing w:after="0" w:line="240" w:lineRule="auto"/>
        <w:textAlignment w:val="baseline"/>
        <w:rPr>
          <w:rFonts w:eastAsiaTheme="minorEastAsia" w:cstheme="minorHAnsi"/>
          <w:sz w:val="24"/>
          <w:szCs w:val="24"/>
        </w:rPr>
      </w:pPr>
      <w:r w:rsidRPr="00667D72">
        <w:rPr>
          <w:rFonts w:cstheme="minorHAnsi"/>
          <w:sz w:val="24"/>
          <w:szCs w:val="24"/>
        </w:rPr>
        <w:t xml:space="preserve">Commitment to encourage regulatory authorities to communicate and cooperate on current and future regulation.        </w:t>
      </w:r>
    </w:p>
    <w:p w14:paraId="5A838E48" w14:textId="77777777" w:rsidR="00667D72" w:rsidRPr="00667D72" w:rsidRDefault="00667D72" w:rsidP="00667D72">
      <w:pPr>
        <w:rPr>
          <w:rFonts w:cstheme="minorHAnsi"/>
          <w:sz w:val="24"/>
          <w:szCs w:val="24"/>
        </w:rPr>
      </w:pPr>
    </w:p>
    <w:p w14:paraId="03F63AC0" w14:textId="77777777" w:rsidR="00667D72" w:rsidRPr="00667D72" w:rsidRDefault="00667D72" w:rsidP="00667D72">
      <w:pPr>
        <w:spacing w:line="254" w:lineRule="auto"/>
        <w:rPr>
          <w:rFonts w:cstheme="minorHAnsi"/>
          <w:b/>
          <w:sz w:val="24"/>
          <w:szCs w:val="24"/>
        </w:rPr>
      </w:pPr>
      <w:r w:rsidRPr="00667D72">
        <w:rPr>
          <w:rFonts w:cstheme="minorHAnsi"/>
          <w:b/>
          <w:sz w:val="24"/>
          <w:szCs w:val="24"/>
        </w:rPr>
        <w:t>Trade and Gender Equality</w:t>
      </w:r>
    </w:p>
    <w:p w14:paraId="49FA7BFF" w14:textId="606BFA09" w:rsidR="00667D72" w:rsidRPr="00667D72" w:rsidRDefault="00667D72" w:rsidP="00667D72">
      <w:pPr>
        <w:spacing w:line="256" w:lineRule="auto"/>
        <w:rPr>
          <w:rFonts w:cstheme="minorHAnsi"/>
          <w:i/>
          <w:sz w:val="24"/>
          <w:szCs w:val="24"/>
        </w:rPr>
      </w:pPr>
      <w:r w:rsidRPr="00667D72">
        <w:rPr>
          <w:rFonts w:cstheme="minorHAnsi"/>
          <w:i/>
          <w:sz w:val="24"/>
          <w:szCs w:val="24"/>
        </w:rPr>
        <w:t xml:space="preserve">Australia and the United Kingdom </w:t>
      </w:r>
      <w:r w:rsidRPr="00667D72">
        <w:rPr>
          <w:rFonts w:cstheme="minorHAnsi"/>
          <w:i/>
          <w:iCs/>
          <w:sz w:val="24"/>
          <w:szCs w:val="24"/>
        </w:rPr>
        <w:t>commit to including</w:t>
      </w:r>
      <w:r w:rsidRPr="00667D72">
        <w:rPr>
          <w:rFonts w:cstheme="minorHAnsi"/>
          <w:i/>
          <w:sz w:val="24"/>
          <w:szCs w:val="24"/>
        </w:rPr>
        <w:t xml:space="preserve"> a chapter on Trade</w:t>
      </w:r>
      <w:r w:rsidRPr="00667D72">
        <w:rPr>
          <w:rFonts w:cstheme="minorHAnsi"/>
          <w:i/>
          <w:color w:val="4472C4" w:themeColor="accent1"/>
          <w:sz w:val="24"/>
          <w:szCs w:val="24"/>
        </w:rPr>
        <w:t xml:space="preserve"> </w:t>
      </w:r>
      <w:r w:rsidRPr="00667D72">
        <w:rPr>
          <w:rFonts w:cstheme="minorHAnsi"/>
          <w:i/>
          <w:sz w:val="24"/>
          <w:szCs w:val="24"/>
        </w:rPr>
        <w:t xml:space="preserve">and Gender Equality that </w:t>
      </w:r>
      <w:r w:rsidRPr="00667D72">
        <w:rPr>
          <w:rFonts w:cstheme="minorHAnsi"/>
          <w:i/>
          <w:iCs/>
          <w:sz w:val="24"/>
          <w:szCs w:val="24"/>
        </w:rPr>
        <w:t xml:space="preserve">will </w:t>
      </w:r>
      <w:r w:rsidRPr="00667D72">
        <w:rPr>
          <w:rFonts w:cstheme="minorHAnsi"/>
          <w:i/>
          <w:sz w:val="24"/>
          <w:szCs w:val="24"/>
        </w:rPr>
        <w:t xml:space="preserve">contain provisions aimed at addressing barriers for women to access the benefits of trade and investment. This </w:t>
      </w:r>
      <w:r w:rsidRPr="00667D72">
        <w:rPr>
          <w:rFonts w:cstheme="minorHAnsi"/>
          <w:i/>
          <w:iCs/>
          <w:sz w:val="24"/>
          <w:szCs w:val="24"/>
        </w:rPr>
        <w:t>will include</w:t>
      </w:r>
      <w:r w:rsidRPr="00667D72">
        <w:rPr>
          <w:rFonts w:cstheme="minorHAnsi"/>
          <w:i/>
          <w:sz w:val="24"/>
          <w:szCs w:val="24"/>
        </w:rPr>
        <w:t xml:space="preserve"> provisions on co-operative activities on access to markets, business/leadership networks and finance, data collection, and a dialogue mechanism to work together to address barriers.  </w:t>
      </w:r>
    </w:p>
    <w:p w14:paraId="2973B79C" w14:textId="77777777" w:rsidR="00667D72" w:rsidRPr="00667D72" w:rsidRDefault="00667D72" w:rsidP="00667D72">
      <w:pPr>
        <w:rPr>
          <w:rFonts w:cstheme="minorHAnsi"/>
          <w:sz w:val="24"/>
          <w:szCs w:val="24"/>
        </w:rPr>
      </w:pPr>
      <w:r w:rsidRPr="00667D72">
        <w:rPr>
          <w:rFonts w:cstheme="minorHAnsi"/>
          <w:sz w:val="24"/>
          <w:szCs w:val="24"/>
        </w:rPr>
        <w:t>Commitments in the Trade and Gender Equality Chapter will include:</w:t>
      </w:r>
    </w:p>
    <w:p w14:paraId="5757AA92" w14:textId="77777777" w:rsidR="00667D72" w:rsidRPr="00667D72" w:rsidRDefault="00667D72" w:rsidP="00667D72">
      <w:pPr>
        <w:pStyle w:val="ListParagraph"/>
        <w:numPr>
          <w:ilvl w:val="0"/>
          <w:numId w:val="9"/>
        </w:numPr>
        <w:spacing w:after="0" w:line="254" w:lineRule="auto"/>
        <w:rPr>
          <w:rFonts w:eastAsiaTheme="minorEastAsia" w:cstheme="minorHAnsi"/>
          <w:color w:val="000000" w:themeColor="text1"/>
          <w:sz w:val="24"/>
          <w:szCs w:val="24"/>
        </w:rPr>
      </w:pPr>
      <w:r w:rsidRPr="00667D72">
        <w:rPr>
          <w:rFonts w:eastAsia="Calibri" w:cstheme="minorHAnsi"/>
          <w:sz w:val="24"/>
          <w:szCs w:val="24"/>
        </w:rPr>
        <w:t>Provisions on Co-operative activities that aim to address barriers for women in trade such as lack of access to markets, business/ leadership networks and finance.</w:t>
      </w:r>
    </w:p>
    <w:p w14:paraId="59378724" w14:textId="77777777" w:rsidR="00667D72" w:rsidRPr="00667D72" w:rsidRDefault="00667D72" w:rsidP="00667D72">
      <w:pPr>
        <w:pStyle w:val="ListParagraph"/>
        <w:numPr>
          <w:ilvl w:val="0"/>
          <w:numId w:val="9"/>
        </w:numPr>
        <w:spacing w:after="0" w:line="254" w:lineRule="auto"/>
        <w:rPr>
          <w:rFonts w:eastAsiaTheme="minorEastAsia" w:cstheme="minorHAnsi"/>
          <w:color w:val="000000" w:themeColor="text1"/>
          <w:sz w:val="24"/>
          <w:szCs w:val="24"/>
        </w:rPr>
      </w:pPr>
      <w:r w:rsidRPr="00667D72">
        <w:rPr>
          <w:rFonts w:eastAsia="Calibri" w:cstheme="minorHAnsi"/>
          <w:sz w:val="24"/>
          <w:szCs w:val="24"/>
        </w:rPr>
        <w:lastRenderedPageBreak/>
        <w:t xml:space="preserve">Provisions on exchange of information on approaches to data collection, analysis and monitoring of trade and gender equality. </w:t>
      </w:r>
    </w:p>
    <w:p w14:paraId="424863B1" w14:textId="77777777" w:rsidR="00667D72" w:rsidRPr="00667D72" w:rsidRDefault="00667D72" w:rsidP="00667D72">
      <w:pPr>
        <w:pStyle w:val="ListParagraph"/>
        <w:numPr>
          <w:ilvl w:val="0"/>
          <w:numId w:val="9"/>
        </w:numPr>
        <w:spacing w:after="0" w:line="254" w:lineRule="auto"/>
        <w:rPr>
          <w:rFonts w:eastAsiaTheme="minorEastAsia" w:cstheme="minorHAnsi"/>
          <w:color w:val="000000" w:themeColor="text1"/>
          <w:sz w:val="24"/>
          <w:szCs w:val="24"/>
        </w:rPr>
      </w:pPr>
      <w:r w:rsidRPr="00667D72">
        <w:rPr>
          <w:rFonts w:eastAsia="Calibri" w:cstheme="minorHAnsi"/>
          <w:sz w:val="24"/>
          <w:szCs w:val="24"/>
        </w:rPr>
        <w:t>A dialogue mechanism to support implementation.</w:t>
      </w:r>
    </w:p>
    <w:p w14:paraId="6E25618D" w14:textId="77777777" w:rsidR="00667D72" w:rsidRPr="00667D72" w:rsidRDefault="00667D72" w:rsidP="00667D72">
      <w:pPr>
        <w:spacing w:line="254" w:lineRule="auto"/>
        <w:rPr>
          <w:rFonts w:cstheme="minorHAnsi"/>
          <w:sz w:val="24"/>
          <w:szCs w:val="24"/>
        </w:rPr>
      </w:pPr>
    </w:p>
    <w:p w14:paraId="2B1C5FC6" w14:textId="77777777" w:rsidR="00667D72" w:rsidRPr="00667D72" w:rsidRDefault="00667D72" w:rsidP="00667D72">
      <w:pPr>
        <w:spacing w:line="254" w:lineRule="auto"/>
        <w:rPr>
          <w:rFonts w:cstheme="minorHAnsi"/>
          <w:b/>
          <w:sz w:val="24"/>
          <w:szCs w:val="24"/>
        </w:rPr>
      </w:pPr>
      <w:r w:rsidRPr="00667D72">
        <w:rPr>
          <w:rFonts w:cstheme="minorHAnsi"/>
          <w:b/>
          <w:sz w:val="24"/>
          <w:szCs w:val="24"/>
        </w:rPr>
        <w:t>Development</w:t>
      </w:r>
    </w:p>
    <w:p w14:paraId="761A7B5B" w14:textId="4812C9D3" w:rsidR="00667D72" w:rsidRPr="002C36D8" w:rsidRDefault="00667D72" w:rsidP="00667D72">
      <w:pPr>
        <w:spacing w:line="252" w:lineRule="auto"/>
        <w:rPr>
          <w:rFonts w:cstheme="minorHAnsi"/>
          <w:i/>
          <w:color w:val="0070C0"/>
          <w:sz w:val="24"/>
          <w:szCs w:val="24"/>
        </w:rPr>
      </w:pPr>
      <w:r w:rsidRPr="00667D72">
        <w:rPr>
          <w:rFonts w:cstheme="minorHAnsi"/>
          <w:i/>
          <w:sz w:val="24"/>
          <w:szCs w:val="24"/>
        </w:rPr>
        <w:t>Australia and the UK commit to including a chapter dedicated to development issues, a first for a bilateral FTA between two developed countries, that will include provisions relating to joint activities</w:t>
      </w:r>
      <w:r w:rsidRPr="00667D72">
        <w:rPr>
          <w:rFonts w:cstheme="minorHAnsi"/>
          <w:i/>
          <w:color w:val="0070C0"/>
          <w:sz w:val="24"/>
          <w:szCs w:val="24"/>
        </w:rPr>
        <w:t xml:space="preserve">. </w:t>
      </w:r>
    </w:p>
    <w:p w14:paraId="70FB4944" w14:textId="77777777" w:rsidR="00667D72" w:rsidRPr="00667D72" w:rsidRDefault="00667D72" w:rsidP="00667D72">
      <w:pPr>
        <w:rPr>
          <w:rFonts w:cstheme="minorHAnsi"/>
          <w:sz w:val="24"/>
          <w:szCs w:val="24"/>
        </w:rPr>
      </w:pPr>
      <w:r w:rsidRPr="00667D72">
        <w:rPr>
          <w:rFonts w:cstheme="minorHAnsi"/>
          <w:sz w:val="24"/>
          <w:szCs w:val="24"/>
        </w:rPr>
        <w:t>Commitments in the Development Chapter will include:</w:t>
      </w:r>
    </w:p>
    <w:p w14:paraId="7336B59A" w14:textId="77777777" w:rsidR="00667D72" w:rsidRPr="00667D72" w:rsidRDefault="00667D72" w:rsidP="00667D72">
      <w:pPr>
        <w:pStyle w:val="BodyText"/>
        <w:numPr>
          <w:ilvl w:val="0"/>
          <w:numId w:val="21"/>
        </w:numPr>
        <w:rPr>
          <w:rFonts w:asciiTheme="minorHAnsi" w:eastAsiaTheme="minorEastAsia" w:hAnsiTheme="minorHAnsi" w:cstheme="minorHAnsi"/>
        </w:rPr>
      </w:pPr>
      <w:r w:rsidRPr="00667D72">
        <w:rPr>
          <w:rFonts w:asciiTheme="minorHAnsi" w:hAnsiTheme="minorHAnsi" w:cstheme="minorHAnsi"/>
        </w:rPr>
        <w:t xml:space="preserve">Provisions </w:t>
      </w:r>
      <w:proofErr w:type="gramStart"/>
      <w:r w:rsidRPr="00667D72">
        <w:rPr>
          <w:rFonts w:asciiTheme="minorHAnsi" w:hAnsiTheme="minorHAnsi" w:cstheme="minorHAnsi"/>
        </w:rPr>
        <w:t>addressing:</w:t>
      </w:r>
      <w:proofErr w:type="gramEnd"/>
      <w:r w:rsidRPr="00667D72">
        <w:rPr>
          <w:rFonts w:asciiTheme="minorHAnsi" w:hAnsiTheme="minorHAnsi" w:cstheme="minorHAnsi"/>
        </w:rPr>
        <w:t xml:space="preserve"> bilateral cooperation that may encompass an exchange of information in relation to experiences, best practices, technical assistance and capacity building; and monitoring the FTA that each country will undertake in a way that does not create regulatory burdens. </w:t>
      </w:r>
    </w:p>
    <w:p w14:paraId="14E1D78C" w14:textId="77777777" w:rsidR="00667D72" w:rsidRPr="00667D72" w:rsidRDefault="00667D72" w:rsidP="00667D72">
      <w:pPr>
        <w:spacing w:line="252" w:lineRule="auto"/>
        <w:contextualSpacing/>
        <w:rPr>
          <w:rFonts w:cstheme="minorHAnsi"/>
          <w:sz w:val="24"/>
          <w:szCs w:val="24"/>
        </w:rPr>
      </w:pPr>
    </w:p>
    <w:p w14:paraId="3716E06A" w14:textId="77777777" w:rsidR="00667D72" w:rsidRPr="00667D72" w:rsidRDefault="00667D72" w:rsidP="00667D72">
      <w:pPr>
        <w:spacing w:line="252" w:lineRule="auto"/>
        <w:rPr>
          <w:rFonts w:cstheme="minorHAnsi"/>
          <w:b/>
          <w:sz w:val="24"/>
          <w:szCs w:val="24"/>
        </w:rPr>
      </w:pPr>
      <w:r w:rsidRPr="00667D72">
        <w:rPr>
          <w:rFonts w:cstheme="minorHAnsi"/>
          <w:b/>
          <w:sz w:val="24"/>
          <w:szCs w:val="24"/>
        </w:rPr>
        <w:t xml:space="preserve">Cross-cutting (General Provisions and Exceptions, Initial Provisions and General Definitions, Final Provisions) </w:t>
      </w:r>
    </w:p>
    <w:p w14:paraId="7B3E85B8" w14:textId="0ED2F581" w:rsidR="00667D72" w:rsidRPr="002C36D8" w:rsidRDefault="00667D72" w:rsidP="00667D72">
      <w:pPr>
        <w:rPr>
          <w:rFonts w:cstheme="minorHAnsi"/>
          <w:i/>
          <w:sz w:val="24"/>
          <w:szCs w:val="24"/>
        </w:rPr>
      </w:pPr>
      <w:r w:rsidRPr="00667D72">
        <w:rPr>
          <w:rFonts w:cstheme="minorHAnsi"/>
          <w:i/>
          <w:iCs/>
          <w:sz w:val="24"/>
          <w:szCs w:val="24"/>
        </w:rPr>
        <w:t>The United Kingdom and Australia commit to</w:t>
      </w:r>
      <w:r w:rsidRPr="00667D72">
        <w:rPr>
          <w:rFonts w:cstheme="minorHAnsi"/>
          <w:i/>
          <w:sz w:val="24"/>
          <w:szCs w:val="24"/>
        </w:rPr>
        <w:t xml:space="preserve"> general provisions and exceptions that </w:t>
      </w:r>
      <w:r w:rsidRPr="00667D72">
        <w:rPr>
          <w:rFonts w:cstheme="minorHAnsi"/>
          <w:i/>
          <w:iCs/>
          <w:sz w:val="24"/>
          <w:szCs w:val="24"/>
        </w:rPr>
        <w:t xml:space="preserve">will </w:t>
      </w:r>
      <w:r w:rsidRPr="00667D72">
        <w:rPr>
          <w:rFonts w:cstheme="minorHAnsi"/>
          <w:i/>
          <w:sz w:val="24"/>
          <w:szCs w:val="24"/>
          <w:lang w:val="en"/>
        </w:rPr>
        <w:t xml:space="preserve">support issues such as </w:t>
      </w:r>
      <w:r w:rsidRPr="00667D72">
        <w:rPr>
          <w:rFonts w:cstheme="minorHAnsi"/>
          <w:i/>
          <w:sz w:val="24"/>
          <w:szCs w:val="24"/>
        </w:rPr>
        <w:t xml:space="preserve">national security, public </w:t>
      </w:r>
      <w:proofErr w:type="gramStart"/>
      <w:r w:rsidRPr="00667D72">
        <w:rPr>
          <w:rFonts w:cstheme="minorHAnsi"/>
          <w:i/>
          <w:sz w:val="24"/>
          <w:szCs w:val="24"/>
        </w:rPr>
        <w:t>health</w:t>
      </w:r>
      <w:proofErr w:type="gramEnd"/>
      <w:r w:rsidRPr="00667D72">
        <w:rPr>
          <w:rFonts w:cstheme="minorHAnsi"/>
          <w:i/>
          <w:sz w:val="24"/>
          <w:szCs w:val="24"/>
        </w:rPr>
        <w:t xml:space="preserve"> and policy-making discretion in matters of taxation and macroeconomic management, consistent with international best practice in these areas. </w:t>
      </w:r>
    </w:p>
    <w:p w14:paraId="289CD8BC" w14:textId="77777777" w:rsidR="00667D72" w:rsidRPr="00667D72" w:rsidRDefault="00667D72" w:rsidP="00667D72">
      <w:pPr>
        <w:rPr>
          <w:rFonts w:cstheme="minorHAnsi"/>
          <w:sz w:val="24"/>
          <w:szCs w:val="24"/>
        </w:rPr>
      </w:pPr>
      <w:r w:rsidRPr="00667D72">
        <w:rPr>
          <w:rFonts w:cstheme="minorHAnsi"/>
          <w:sz w:val="24"/>
          <w:szCs w:val="24"/>
        </w:rPr>
        <w:t>Commitments in the Cross-cutting Chapters will include:</w:t>
      </w:r>
    </w:p>
    <w:p w14:paraId="24336590" w14:textId="77777777" w:rsidR="00667D72" w:rsidRPr="00667D72" w:rsidRDefault="00667D72" w:rsidP="00667D72">
      <w:pPr>
        <w:pStyle w:val="ListParagraph"/>
        <w:numPr>
          <w:ilvl w:val="0"/>
          <w:numId w:val="15"/>
        </w:numPr>
        <w:spacing w:line="252" w:lineRule="auto"/>
        <w:ind w:left="426"/>
        <w:jc w:val="both"/>
        <w:rPr>
          <w:rFonts w:cstheme="minorHAnsi"/>
          <w:color w:val="000000" w:themeColor="text1"/>
          <w:sz w:val="24"/>
          <w:szCs w:val="24"/>
        </w:rPr>
      </w:pPr>
      <w:r w:rsidRPr="00667D72">
        <w:rPr>
          <w:rFonts w:cstheme="minorHAnsi"/>
          <w:color w:val="000000" w:themeColor="text1"/>
          <w:sz w:val="24"/>
          <w:szCs w:val="24"/>
        </w:rPr>
        <w:t>National Security Exception, that sets out the parameters in which the UK and Australia can take national security related measures that would otherwise violate the terms of the FTA.</w:t>
      </w:r>
    </w:p>
    <w:p w14:paraId="62CC00CE" w14:textId="77777777" w:rsidR="00667D72" w:rsidRPr="00667D72" w:rsidRDefault="00667D72" w:rsidP="00667D72">
      <w:pPr>
        <w:pStyle w:val="ListParagraph"/>
        <w:numPr>
          <w:ilvl w:val="0"/>
          <w:numId w:val="15"/>
        </w:numPr>
        <w:spacing w:line="252" w:lineRule="auto"/>
        <w:ind w:left="426"/>
        <w:jc w:val="both"/>
        <w:rPr>
          <w:rFonts w:cstheme="minorHAnsi"/>
          <w:color w:val="000000" w:themeColor="text1"/>
          <w:sz w:val="24"/>
          <w:szCs w:val="24"/>
        </w:rPr>
      </w:pPr>
      <w:r w:rsidRPr="00667D72">
        <w:rPr>
          <w:rFonts w:cstheme="minorHAnsi"/>
          <w:sz w:val="24"/>
          <w:szCs w:val="24"/>
        </w:rPr>
        <w:t>A standalone provision recalling provisions across the FTA allowing parties to protect their respective public health systems, including the NHS and Medicare.</w:t>
      </w:r>
    </w:p>
    <w:p w14:paraId="4747C137" w14:textId="77777777" w:rsidR="00667D72" w:rsidRPr="00667D72" w:rsidRDefault="00667D72" w:rsidP="00667D72">
      <w:pPr>
        <w:pStyle w:val="ListParagraph"/>
        <w:numPr>
          <w:ilvl w:val="0"/>
          <w:numId w:val="15"/>
        </w:numPr>
        <w:spacing w:line="252" w:lineRule="auto"/>
        <w:ind w:left="426"/>
        <w:jc w:val="both"/>
        <w:rPr>
          <w:rFonts w:eastAsiaTheme="minorEastAsia" w:cstheme="minorHAnsi"/>
          <w:sz w:val="24"/>
          <w:szCs w:val="24"/>
        </w:rPr>
      </w:pPr>
      <w:r w:rsidRPr="00667D72">
        <w:rPr>
          <w:rFonts w:cstheme="minorHAnsi"/>
          <w:color w:val="000000" w:themeColor="text1"/>
          <w:sz w:val="24"/>
          <w:szCs w:val="24"/>
        </w:rPr>
        <w:t xml:space="preserve">Temporary Safeguard Measures Exception and Taxation Exception to permit policy-making </w:t>
      </w:r>
      <w:r w:rsidRPr="00667D72">
        <w:rPr>
          <w:rFonts w:cstheme="minorHAnsi"/>
          <w:sz w:val="24"/>
          <w:szCs w:val="24"/>
        </w:rPr>
        <w:t>discretion in matters of taxation and macroeconomic management, consistent with international best practice in these areas.</w:t>
      </w:r>
    </w:p>
    <w:p w14:paraId="26CC47C7" w14:textId="77777777" w:rsidR="00667D72" w:rsidRPr="00667D72" w:rsidRDefault="00667D72" w:rsidP="00667D72">
      <w:pPr>
        <w:pStyle w:val="ListParagraph"/>
        <w:numPr>
          <w:ilvl w:val="0"/>
          <w:numId w:val="15"/>
        </w:numPr>
        <w:spacing w:line="252" w:lineRule="auto"/>
        <w:ind w:left="426"/>
        <w:jc w:val="both"/>
        <w:rPr>
          <w:rFonts w:eastAsiaTheme="minorEastAsia" w:cstheme="minorHAnsi"/>
          <w:sz w:val="24"/>
          <w:szCs w:val="24"/>
        </w:rPr>
      </w:pPr>
      <w:r w:rsidRPr="00667D72">
        <w:rPr>
          <w:rFonts w:cstheme="minorHAnsi"/>
          <w:sz w:val="24"/>
          <w:szCs w:val="24"/>
        </w:rPr>
        <w:t xml:space="preserve">Ensuring that the UK-Australia FTA will </w:t>
      </w:r>
      <w:proofErr w:type="gramStart"/>
      <w:r w:rsidRPr="00667D72">
        <w:rPr>
          <w:rFonts w:cstheme="minorHAnsi"/>
          <w:sz w:val="24"/>
          <w:szCs w:val="24"/>
        </w:rPr>
        <w:t>take into account</w:t>
      </w:r>
      <w:proofErr w:type="gramEnd"/>
      <w:r w:rsidRPr="00667D72">
        <w:rPr>
          <w:rFonts w:cstheme="minorHAnsi"/>
          <w:sz w:val="24"/>
          <w:szCs w:val="24"/>
        </w:rPr>
        <w:t xml:space="preserve"> the effects of the Protocol on Ireland/Northern Ireland.</w:t>
      </w:r>
    </w:p>
    <w:p w14:paraId="05EA6D3F" w14:textId="77777777" w:rsidR="00667D72" w:rsidRPr="00667D72" w:rsidRDefault="00667D72" w:rsidP="00667D72">
      <w:pPr>
        <w:pStyle w:val="ListParagraph"/>
        <w:numPr>
          <w:ilvl w:val="0"/>
          <w:numId w:val="15"/>
        </w:numPr>
        <w:spacing w:line="252" w:lineRule="auto"/>
        <w:ind w:left="426"/>
        <w:jc w:val="both"/>
        <w:rPr>
          <w:rFonts w:cstheme="minorHAnsi"/>
          <w:sz w:val="24"/>
          <w:szCs w:val="24"/>
        </w:rPr>
      </w:pPr>
      <w:r w:rsidRPr="00667D72">
        <w:rPr>
          <w:rFonts w:cstheme="minorHAnsi"/>
          <w:sz w:val="24"/>
          <w:szCs w:val="24"/>
        </w:rPr>
        <w:t xml:space="preserve">Provisions to explain how the FTA will apply to the four constituent nations of the United Kingdom, the Crown Dependencies and Overseas Territories (including Gibraltar) including a mechanism for future extension. </w:t>
      </w:r>
    </w:p>
    <w:p w14:paraId="0D6DB619" w14:textId="77777777" w:rsidR="00667D72" w:rsidRPr="00667D72" w:rsidRDefault="00667D72" w:rsidP="00667D72">
      <w:pPr>
        <w:pStyle w:val="ListParagraph"/>
        <w:numPr>
          <w:ilvl w:val="0"/>
          <w:numId w:val="15"/>
        </w:numPr>
        <w:spacing w:line="252" w:lineRule="auto"/>
        <w:ind w:left="426"/>
        <w:jc w:val="both"/>
        <w:rPr>
          <w:rFonts w:cstheme="minorHAnsi"/>
          <w:sz w:val="24"/>
          <w:szCs w:val="24"/>
        </w:rPr>
      </w:pPr>
      <w:r w:rsidRPr="00667D72">
        <w:rPr>
          <w:rFonts w:cstheme="minorHAnsi"/>
          <w:sz w:val="24"/>
          <w:szCs w:val="24"/>
        </w:rPr>
        <w:t xml:space="preserve">Ensuring that the general exceptions apply to the whole of the investment chapter. </w:t>
      </w:r>
    </w:p>
    <w:p w14:paraId="44EF9700" w14:textId="77777777" w:rsidR="00667D72" w:rsidRPr="00667D72" w:rsidRDefault="00667D72" w:rsidP="00667D72">
      <w:pPr>
        <w:pStyle w:val="ListParagraph"/>
        <w:spacing w:line="252" w:lineRule="auto"/>
        <w:ind w:left="426"/>
        <w:jc w:val="both"/>
        <w:rPr>
          <w:rFonts w:cstheme="minorHAnsi"/>
          <w:sz w:val="24"/>
          <w:szCs w:val="24"/>
        </w:rPr>
      </w:pPr>
    </w:p>
    <w:p w14:paraId="3680C480" w14:textId="77777777" w:rsidR="00667D72" w:rsidRPr="00667D72" w:rsidRDefault="00667D72" w:rsidP="00667D72">
      <w:pPr>
        <w:spacing w:line="252" w:lineRule="auto"/>
        <w:rPr>
          <w:rFonts w:cstheme="minorHAnsi"/>
          <w:b/>
          <w:sz w:val="24"/>
          <w:szCs w:val="24"/>
        </w:rPr>
      </w:pPr>
      <w:r w:rsidRPr="00667D72">
        <w:rPr>
          <w:rFonts w:cstheme="minorHAnsi"/>
          <w:b/>
          <w:sz w:val="24"/>
          <w:szCs w:val="24"/>
        </w:rPr>
        <w:t>Transparency and anti-corruption provisions</w:t>
      </w:r>
    </w:p>
    <w:p w14:paraId="4D4AB7D5" w14:textId="1A4E2DE1" w:rsidR="00667D72" w:rsidRPr="002C36D8" w:rsidRDefault="00667D72" w:rsidP="00667D72">
      <w:pPr>
        <w:rPr>
          <w:rFonts w:cstheme="minorHAnsi"/>
          <w:sz w:val="24"/>
          <w:szCs w:val="24"/>
        </w:rPr>
      </w:pPr>
      <w:r w:rsidRPr="00667D72">
        <w:rPr>
          <w:rFonts w:cstheme="minorHAnsi"/>
          <w:i/>
          <w:sz w:val="24"/>
          <w:szCs w:val="24"/>
        </w:rPr>
        <w:t>Australia and the UK commit to best-practice transparency and anti-corruption provisions. The UK and Australia want to commit to the promotion of transparency in government decision-making and encourage the participation of the private sector and civil society in these pursuits. Both countries will outline their shared ambition to combat the distorting impact of bribery and corruption in trade and affirm their international obligations on bribery and corruption at the OECD and United Nations.</w:t>
      </w:r>
      <w:r w:rsidRPr="00667D72">
        <w:rPr>
          <w:rFonts w:cstheme="minorHAnsi"/>
          <w:sz w:val="24"/>
          <w:szCs w:val="24"/>
        </w:rPr>
        <w:t xml:space="preserve"> </w:t>
      </w:r>
    </w:p>
    <w:p w14:paraId="467B362D" w14:textId="77777777" w:rsidR="00667D72" w:rsidRPr="00667D72" w:rsidRDefault="00667D72" w:rsidP="00667D72">
      <w:pPr>
        <w:rPr>
          <w:rFonts w:cstheme="minorHAnsi"/>
          <w:iCs/>
          <w:sz w:val="24"/>
          <w:szCs w:val="24"/>
        </w:rPr>
      </w:pPr>
      <w:r w:rsidRPr="00667D72">
        <w:rPr>
          <w:rFonts w:cstheme="minorHAnsi"/>
          <w:iCs/>
          <w:sz w:val="24"/>
          <w:szCs w:val="24"/>
        </w:rPr>
        <w:t>Commitments will include:</w:t>
      </w:r>
    </w:p>
    <w:p w14:paraId="7FDA4757" w14:textId="77777777" w:rsidR="00667D72" w:rsidRPr="00667D72" w:rsidRDefault="00667D72" w:rsidP="00667D72">
      <w:pPr>
        <w:numPr>
          <w:ilvl w:val="0"/>
          <w:numId w:val="20"/>
        </w:numPr>
        <w:tabs>
          <w:tab w:val="num" w:pos="720"/>
        </w:tabs>
        <w:spacing w:line="256" w:lineRule="auto"/>
        <w:rPr>
          <w:rFonts w:cstheme="minorHAnsi"/>
          <w:bCs/>
          <w:sz w:val="24"/>
          <w:szCs w:val="24"/>
        </w:rPr>
      </w:pPr>
      <w:r w:rsidRPr="00667D72">
        <w:rPr>
          <w:rFonts w:cstheme="minorHAnsi"/>
          <w:bCs/>
          <w:sz w:val="24"/>
          <w:szCs w:val="24"/>
        </w:rPr>
        <w:lastRenderedPageBreak/>
        <w:t xml:space="preserve">The criminalisation of bribery including bookkeeping relating to bribery and corruption, </w:t>
      </w:r>
      <w:proofErr w:type="gramStart"/>
      <w:r w:rsidRPr="00667D72">
        <w:rPr>
          <w:rFonts w:cstheme="minorHAnsi"/>
          <w:bCs/>
          <w:sz w:val="24"/>
          <w:szCs w:val="24"/>
        </w:rPr>
        <w:t>enforcement</w:t>
      </w:r>
      <w:proofErr w:type="gramEnd"/>
      <w:r w:rsidRPr="00667D72">
        <w:rPr>
          <w:rFonts w:cstheme="minorHAnsi"/>
          <w:bCs/>
          <w:sz w:val="24"/>
          <w:szCs w:val="24"/>
        </w:rPr>
        <w:t xml:space="preserve"> and a reasonable statute of limitations regarding bribery and corruption offences.  </w:t>
      </w:r>
    </w:p>
    <w:p w14:paraId="73EFE37E" w14:textId="77777777" w:rsidR="00667D72" w:rsidRPr="00667D72" w:rsidRDefault="00667D72" w:rsidP="00667D72">
      <w:pPr>
        <w:numPr>
          <w:ilvl w:val="0"/>
          <w:numId w:val="20"/>
        </w:numPr>
        <w:tabs>
          <w:tab w:val="num" w:pos="720"/>
        </w:tabs>
        <w:spacing w:line="256" w:lineRule="auto"/>
        <w:rPr>
          <w:rFonts w:cstheme="minorHAnsi"/>
          <w:bCs/>
          <w:sz w:val="24"/>
          <w:szCs w:val="24"/>
        </w:rPr>
      </w:pPr>
      <w:r w:rsidRPr="00667D72">
        <w:rPr>
          <w:rFonts w:cstheme="minorHAnsi"/>
          <w:bCs/>
          <w:sz w:val="24"/>
          <w:szCs w:val="24"/>
        </w:rPr>
        <w:t xml:space="preserve">Promoting integrity among Public Officials for example through training and promoting transparency </w:t>
      </w:r>
      <w:r w:rsidRPr="00667D72">
        <w:rPr>
          <w:rFonts w:cstheme="minorHAnsi"/>
          <w:sz w:val="24"/>
          <w:szCs w:val="24"/>
        </w:rPr>
        <w:t>in the behaviour of public officials in the exercise of public functions</w:t>
      </w:r>
      <w:r w:rsidRPr="00667D72">
        <w:rPr>
          <w:rFonts w:cstheme="minorHAnsi"/>
          <w:bCs/>
          <w:sz w:val="24"/>
          <w:szCs w:val="24"/>
        </w:rPr>
        <w:t>.  </w:t>
      </w:r>
    </w:p>
    <w:p w14:paraId="54F74199" w14:textId="77777777" w:rsidR="00667D72" w:rsidRPr="00667D72" w:rsidRDefault="00667D72" w:rsidP="00667D72">
      <w:pPr>
        <w:numPr>
          <w:ilvl w:val="0"/>
          <w:numId w:val="20"/>
        </w:numPr>
        <w:tabs>
          <w:tab w:val="num" w:pos="720"/>
        </w:tabs>
        <w:spacing w:line="256" w:lineRule="auto"/>
        <w:rPr>
          <w:rFonts w:cstheme="minorHAnsi"/>
          <w:sz w:val="24"/>
          <w:szCs w:val="24"/>
        </w:rPr>
      </w:pPr>
      <w:r w:rsidRPr="00667D72">
        <w:rPr>
          <w:rFonts w:cstheme="minorHAnsi"/>
          <w:bCs/>
          <w:sz w:val="24"/>
          <w:szCs w:val="24"/>
        </w:rPr>
        <w:t xml:space="preserve">Encouraging the participation of the private sector and civil society for example through </w:t>
      </w:r>
      <w:r w:rsidRPr="00667D72">
        <w:rPr>
          <w:rFonts w:cstheme="minorHAnsi"/>
          <w:sz w:val="24"/>
          <w:szCs w:val="24"/>
        </w:rPr>
        <w:t>activities and public education programmes.</w:t>
      </w:r>
      <w:r w:rsidRPr="00667D72">
        <w:rPr>
          <w:rFonts w:cstheme="minorHAnsi"/>
          <w:sz w:val="24"/>
          <w:szCs w:val="24"/>
          <w:lang w:eastAsia="en-AU"/>
        </w:rPr>
        <w:t xml:space="preserve"> </w:t>
      </w:r>
    </w:p>
    <w:p w14:paraId="2C9C68EB" w14:textId="77777777" w:rsidR="00667D72" w:rsidRPr="00667D72" w:rsidRDefault="00667D72" w:rsidP="00667D72">
      <w:pPr>
        <w:numPr>
          <w:ilvl w:val="0"/>
          <w:numId w:val="20"/>
        </w:numPr>
        <w:tabs>
          <w:tab w:val="num" w:pos="720"/>
        </w:tabs>
        <w:spacing w:line="256" w:lineRule="auto"/>
        <w:rPr>
          <w:rFonts w:cstheme="minorHAnsi"/>
          <w:bCs/>
          <w:sz w:val="24"/>
          <w:szCs w:val="24"/>
        </w:rPr>
      </w:pPr>
      <w:r w:rsidRPr="00667D72">
        <w:rPr>
          <w:rFonts w:cstheme="minorHAnsi"/>
          <w:bCs/>
          <w:sz w:val="24"/>
          <w:szCs w:val="24"/>
        </w:rPr>
        <w:t>Addressing the harmful effects of facilitation payments; prohibiting the tax deductibility of bribes; whistleblowing.   </w:t>
      </w:r>
    </w:p>
    <w:p w14:paraId="0771CD27" w14:textId="77777777" w:rsidR="00667D72" w:rsidRPr="00667D72" w:rsidRDefault="00667D72" w:rsidP="00667D72">
      <w:pPr>
        <w:pStyle w:val="ListParagraph"/>
        <w:numPr>
          <w:ilvl w:val="0"/>
          <w:numId w:val="20"/>
        </w:numPr>
        <w:spacing w:after="0" w:line="252" w:lineRule="auto"/>
        <w:rPr>
          <w:rFonts w:eastAsia="Calibri" w:cstheme="minorHAnsi"/>
          <w:sz w:val="24"/>
          <w:szCs w:val="24"/>
        </w:rPr>
      </w:pPr>
      <w:r w:rsidRPr="00667D72">
        <w:rPr>
          <w:rFonts w:eastAsia="Calibri" w:cstheme="minorHAnsi"/>
          <w:sz w:val="24"/>
          <w:szCs w:val="24"/>
        </w:rPr>
        <w:t xml:space="preserve">Cooperative provisions on embezzlement and money laundering, and asset recovery. </w:t>
      </w:r>
    </w:p>
    <w:p w14:paraId="33D7F31D" w14:textId="77777777" w:rsidR="00667D72" w:rsidRPr="00667D72" w:rsidRDefault="00667D72" w:rsidP="00667D72">
      <w:pPr>
        <w:pStyle w:val="ListParagraph"/>
        <w:numPr>
          <w:ilvl w:val="0"/>
          <w:numId w:val="20"/>
        </w:numPr>
        <w:spacing w:after="0" w:line="252" w:lineRule="auto"/>
        <w:rPr>
          <w:rFonts w:eastAsia="Calibri" w:cstheme="minorHAnsi"/>
          <w:sz w:val="24"/>
          <w:szCs w:val="24"/>
        </w:rPr>
      </w:pPr>
      <w:bookmarkStart w:id="101" w:name="_Hlk74644556"/>
      <w:r w:rsidRPr="00667D72">
        <w:rPr>
          <w:rFonts w:eastAsia="Calibri" w:cstheme="minorHAnsi"/>
          <w:sz w:val="24"/>
          <w:szCs w:val="24"/>
        </w:rPr>
        <w:t>Provisions on the publication of information with respect to matters covered by the FTA, building upon both of our strong domestic processes that are already in place.</w:t>
      </w:r>
    </w:p>
    <w:bookmarkEnd w:id="101"/>
    <w:p w14:paraId="7E965DDF" w14:textId="77777777" w:rsidR="00667D72" w:rsidRPr="00667D72" w:rsidRDefault="00667D72" w:rsidP="00667D72">
      <w:pPr>
        <w:spacing w:line="256" w:lineRule="auto"/>
        <w:rPr>
          <w:rFonts w:cstheme="minorHAnsi"/>
          <w:b/>
          <w:strike/>
          <w:sz w:val="24"/>
          <w:szCs w:val="24"/>
        </w:rPr>
      </w:pPr>
    </w:p>
    <w:p w14:paraId="699C3902" w14:textId="77777777" w:rsidR="00667D72" w:rsidRPr="00667D72" w:rsidRDefault="00667D72" w:rsidP="00667D72">
      <w:pPr>
        <w:spacing w:line="252" w:lineRule="auto"/>
        <w:rPr>
          <w:rFonts w:cstheme="minorHAnsi"/>
          <w:b/>
          <w:sz w:val="24"/>
          <w:szCs w:val="24"/>
        </w:rPr>
      </w:pPr>
      <w:r w:rsidRPr="00667D72">
        <w:rPr>
          <w:rFonts w:cstheme="minorHAnsi"/>
          <w:b/>
          <w:sz w:val="24"/>
          <w:szCs w:val="24"/>
        </w:rPr>
        <w:t>Dispute settlement</w:t>
      </w:r>
    </w:p>
    <w:p w14:paraId="2DAC7FEF" w14:textId="6021D8C4" w:rsidR="00667D72" w:rsidRPr="00667D72" w:rsidRDefault="00667D72" w:rsidP="00667D72">
      <w:pPr>
        <w:spacing w:line="252" w:lineRule="auto"/>
        <w:rPr>
          <w:rFonts w:cstheme="minorHAnsi"/>
          <w:i/>
          <w:sz w:val="24"/>
          <w:szCs w:val="24"/>
        </w:rPr>
      </w:pPr>
      <w:r w:rsidRPr="00667D72">
        <w:rPr>
          <w:rFonts w:cstheme="minorHAnsi"/>
          <w:i/>
          <w:sz w:val="24"/>
          <w:szCs w:val="24"/>
        </w:rPr>
        <w:t>The UK and Australia commit to an effective and timely dispute settlement mechanism, that will provide a clear avenue and prompt progress to arbitration if required, boosting certainty and flexibility for Australian and UK traders.</w:t>
      </w:r>
    </w:p>
    <w:p w14:paraId="4DB4AF8B" w14:textId="77777777" w:rsidR="00667D72" w:rsidRPr="00667D72" w:rsidRDefault="00667D72" w:rsidP="00667D72">
      <w:pPr>
        <w:rPr>
          <w:rFonts w:cstheme="minorHAnsi"/>
          <w:iCs/>
          <w:sz w:val="24"/>
          <w:szCs w:val="24"/>
        </w:rPr>
      </w:pPr>
      <w:r w:rsidRPr="00667D72">
        <w:rPr>
          <w:rFonts w:cstheme="minorHAnsi"/>
          <w:iCs/>
          <w:sz w:val="24"/>
          <w:szCs w:val="24"/>
        </w:rPr>
        <w:t>Commitments will include:</w:t>
      </w:r>
    </w:p>
    <w:p w14:paraId="27BF386C" w14:textId="77777777" w:rsidR="00667D72" w:rsidRPr="00667D72" w:rsidRDefault="00667D72" w:rsidP="00667D72">
      <w:pPr>
        <w:pStyle w:val="ListParagraph"/>
        <w:numPr>
          <w:ilvl w:val="0"/>
          <w:numId w:val="8"/>
        </w:numPr>
        <w:spacing w:after="0" w:line="252" w:lineRule="auto"/>
        <w:rPr>
          <w:rFonts w:eastAsiaTheme="minorEastAsia" w:cstheme="minorHAnsi"/>
          <w:sz w:val="24"/>
          <w:szCs w:val="24"/>
        </w:rPr>
      </w:pPr>
      <w:r w:rsidRPr="00667D72">
        <w:rPr>
          <w:rFonts w:eastAsia="Calibri" w:cstheme="minorHAnsi"/>
          <w:sz w:val="24"/>
          <w:szCs w:val="24"/>
        </w:rPr>
        <w:t xml:space="preserve">Effective and timely dispute settlement mechanism, that effectively prevents forum shopping and allows prompt progress to arbitration if required, complemented by Rules of Procedure and Code of Conduct that provide certainty and flexibility. </w:t>
      </w:r>
    </w:p>
    <w:p w14:paraId="6DE4414D" w14:textId="77777777" w:rsidR="00667D72" w:rsidRPr="00667D72" w:rsidRDefault="00667D72" w:rsidP="00667D72">
      <w:pPr>
        <w:spacing w:line="252" w:lineRule="auto"/>
        <w:rPr>
          <w:rFonts w:cstheme="minorHAnsi"/>
          <w:b/>
          <w:sz w:val="24"/>
          <w:szCs w:val="24"/>
        </w:rPr>
      </w:pPr>
      <w:r w:rsidRPr="00667D72">
        <w:rPr>
          <w:rFonts w:cstheme="minorHAnsi"/>
          <w:sz w:val="24"/>
          <w:szCs w:val="24"/>
        </w:rPr>
        <w:br/>
      </w:r>
      <w:r w:rsidRPr="00667D72">
        <w:rPr>
          <w:rFonts w:cstheme="minorHAnsi"/>
          <w:b/>
          <w:sz w:val="24"/>
          <w:szCs w:val="24"/>
        </w:rPr>
        <w:t>Innovation</w:t>
      </w:r>
    </w:p>
    <w:p w14:paraId="615D6A4C" w14:textId="0F2AF0FC" w:rsidR="00667D72" w:rsidRPr="00667D72" w:rsidRDefault="00667D72" w:rsidP="00667D72">
      <w:pPr>
        <w:rPr>
          <w:rFonts w:cstheme="minorHAnsi"/>
          <w:i/>
          <w:sz w:val="24"/>
          <w:szCs w:val="24"/>
        </w:rPr>
      </w:pPr>
      <w:r w:rsidRPr="00667D72">
        <w:rPr>
          <w:rFonts w:cstheme="minorHAnsi"/>
          <w:i/>
          <w:sz w:val="24"/>
          <w:szCs w:val="24"/>
        </w:rPr>
        <w:t xml:space="preserve">Australia and the UK commit to including a world-first innovation chapter in the agreement. The chapter will provide a mechanism for the UK and Australia to discuss the impact of innovation on trade, </w:t>
      </w:r>
      <w:r w:rsidRPr="00667D72">
        <w:rPr>
          <w:rFonts w:cstheme="minorHAnsi"/>
          <w:i/>
          <w:color w:val="000000" w:themeColor="text1"/>
          <w:sz w:val="24"/>
          <w:szCs w:val="24"/>
        </w:rPr>
        <w:t>including regulatory approaches, commercialisation of new technologies, and supply chain resilience</w:t>
      </w:r>
      <w:r w:rsidRPr="00667D72">
        <w:rPr>
          <w:rFonts w:cstheme="minorHAnsi"/>
          <w:color w:val="000000" w:themeColor="text1"/>
          <w:sz w:val="24"/>
          <w:szCs w:val="24"/>
        </w:rPr>
        <w:t>,</w:t>
      </w:r>
      <w:r w:rsidRPr="00667D72">
        <w:rPr>
          <w:rFonts w:cstheme="minorHAnsi"/>
          <w:i/>
          <w:sz w:val="24"/>
          <w:szCs w:val="24"/>
        </w:rPr>
        <w:t xml:space="preserve"> and ensure that our FTA remains fit for purpose as our economies grow.</w:t>
      </w:r>
    </w:p>
    <w:p w14:paraId="57C3E2BD" w14:textId="77777777" w:rsidR="00667D72" w:rsidRPr="00667D72" w:rsidRDefault="00667D72" w:rsidP="00667D72">
      <w:pPr>
        <w:rPr>
          <w:rFonts w:cstheme="minorHAnsi"/>
          <w:iCs/>
          <w:sz w:val="24"/>
          <w:szCs w:val="24"/>
        </w:rPr>
      </w:pPr>
      <w:r w:rsidRPr="00667D72">
        <w:rPr>
          <w:rFonts w:cstheme="minorHAnsi"/>
          <w:iCs/>
          <w:sz w:val="24"/>
          <w:szCs w:val="24"/>
        </w:rPr>
        <w:t>Commitments will include:</w:t>
      </w:r>
    </w:p>
    <w:p w14:paraId="10DE538A" w14:textId="77777777" w:rsidR="00667D72" w:rsidRPr="00667D72" w:rsidRDefault="00667D72" w:rsidP="00667D72">
      <w:pPr>
        <w:pStyle w:val="ListParagraph"/>
        <w:numPr>
          <w:ilvl w:val="0"/>
          <w:numId w:val="4"/>
        </w:numPr>
        <w:spacing w:line="240" w:lineRule="auto"/>
        <w:ind w:left="447"/>
        <w:rPr>
          <w:rFonts w:eastAsiaTheme="minorEastAsia" w:cstheme="minorHAnsi"/>
          <w:sz w:val="24"/>
          <w:szCs w:val="24"/>
        </w:rPr>
      </w:pPr>
      <w:r w:rsidRPr="00667D72">
        <w:rPr>
          <w:rFonts w:cstheme="minorHAnsi"/>
          <w:sz w:val="24"/>
          <w:szCs w:val="24"/>
        </w:rPr>
        <w:t>Establishment of a Strategic Innovation Dialogue as a standing institution to support trade and economic growth through collaboration between the UK and Australia on innovation and associated trade matters, including regulatory approaches, commercialisation of new technologies, and supply chain resilience.</w:t>
      </w:r>
    </w:p>
    <w:p w14:paraId="3C3797AB" w14:textId="77777777" w:rsidR="00667D72" w:rsidRPr="00667D72" w:rsidRDefault="00667D72" w:rsidP="00667D72">
      <w:pPr>
        <w:pStyle w:val="ListParagraph"/>
        <w:numPr>
          <w:ilvl w:val="0"/>
          <w:numId w:val="4"/>
        </w:numPr>
        <w:spacing w:line="240" w:lineRule="auto"/>
        <w:ind w:left="447"/>
        <w:rPr>
          <w:rFonts w:eastAsiaTheme="minorEastAsia" w:cstheme="minorHAnsi"/>
          <w:sz w:val="24"/>
          <w:szCs w:val="24"/>
        </w:rPr>
      </w:pPr>
      <w:r w:rsidRPr="00667D72">
        <w:rPr>
          <w:rFonts w:cstheme="minorHAnsi"/>
          <w:sz w:val="24"/>
          <w:szCs w:val="24"/>
        </w:rPr>
        <w:t>Specific co-operation to encourage the development and adoption of emerging technologies and associated trade.</w:t>
      </w:r>
    </w:p>
    <w:p w14:paraId="2AF71F62" w14:textId="0519BABD" w:rsidR="00667D72" w:rsidRPr="002C36D8" w:rsidRDefault="00667D72" w:rsidP="002C36D8">
      <w:pPr>
        <w:pStyle w:val="ListParagraph"/>
        <w:numPr>
          <w:ilvl w:val="0"/>
          <w:numId w:val="4"/>
        </w:numPr>
        <w:spacing w:line="240" w:lineRule="auto"/>
        <w:ind w:left="447"/>
        <w:rPr>
          <w:rFonts w:cstheme="minorHAnsi"/>
          <w:sz w:val="24"/>
          <w:szCs w:val="24"/>
        </w:rPr>
      </w:pPr>
      <w:r w:rsidRPr="00667D72">
        <w:rPr>
          <w:rFonts w:cstheme="minorHAnsi"/>
          <w:sz w:val="24"/>
          <w:szCs w:val="24"/>
        </w:rPr>
        <w:t>Recognition of the importance of future-proofing the UK-Australia FTA, and commitment to taking developments in innovation into account when updating the FTA.</w:t>
      </w:r>
    </w:p>
    <w:p w14:paraId="657BBF67" w14:textId="27AF11C1" w:rsidR="00904734" w:rsidRDefault="00667D72" w:rsidP="00667D72">
      <w:pPr>
        <w:ind w:left="87"/>
        <w:rPr>
          <w:rFonts w:cstheme="minorHAnsi"/>
          <w:b/>
          <w:i/>
          <w:sz w:val="24"/>
          <w:szCs w:val="24"/>
        </w:rPr>
      </w:pPr>
      <w:r w:rsidRPr="00667D72">
        <w:rPr>
          <w:rFonts w:cstheme="minorHAnsi"/>
          <w:b/>
          <w:i/>
          <w:sz w:val="24"/>
          <w:szCs w:val="24"/>
        </w:rPr>
        <w:t xml:space="preserve">DISCLAIMER: this document reflects what the UK and Australian </w:t>
      </w:r>
      <w:r w:rsidRPr="00667D72">
        <w:rPr>
          <w:rFonts w:cstheme="minorHAnsi"/>
          <w:b/>
          <w:i/>
          <w:iCs/>
          <w:sz w:val="24"/>
          <w:szCs w:val="24"/>
        </w:rPr>
        <w:t xml:space="preserve">FTA </w:t>
      </w:r>
      <w:r w:rsidRPr="00667D72">
        <w:rPr>
          <w:rFonts w:cstheme="minorHAnsi"/>
          <w:b/>
          <w:i/>
          <w:sz w:val="24"/>
          <w:szCs w:val="24"/>
        </w:rPr>
        <w:t xml:space="preserve">negotiating teams have jointly decided as of 15 June 2021 should be included in the FTA </w:t>
      </w:r>
      <w:r w:rsidRPr="00667D72">
        <w:rPr>
          <w:rFonts w:cstheme="minorHAnsi"/>
          <w:b/>
          <w:i/>
          <w:iCs/>
          <w:sz w:val="24"/>
          <w:szCs w:val="24"/>
        </w:rPr>
        <w:t>once it is</w:t>
      </w:r>
      <w:r w:rsidRPr="00667D72">
        <w:rPr>
          <w:rFonts w:cstheme="minorHAnsi"/>
          <w:b/>
          <w:i/>
          <w:sz w:val="24"/>
          <w:szCs w:val="24"/>
        </w:rPr>
        <w:t xml:space="preserve"> finalised. It does not prejudge the outcome of the FTA negotiations or any further proposals for FTA commitments either the UK or Australia may make after this date. It is also not intended to create any treaty obligations.</w:t>
      </w:r>
    </w:p>
    <w:p w14:paraId="0248DDAD" w14:textId="77777777" w:rsidR="00904734" w:rsidRDefault="00904734">
      <w:pPr>
        <w:spacing w:after="160" w:line="259" w:lineRule="auto"/>
        <w:rPr>
          <w:rFonts w:cstheme="minorHAnsi"/>
          <w:b/>
          <w:i/>
          <w:sz w:val="24"/>
          <w:szCs w:val="24"/>
        </w:rPr>
      </w:pPr>
      <w:r>
        <w:rPr>
          <w:rFonts w:cstheme="minorHAnsi"/>
          <w:b/>
          <w:i/>
          <w:sz w:val="24"/>
          <w:szCs w:val="24"/>
        </w:rPr>
        <w:br w:type="page"/>
      </w:r>
    </w:p>
    <w:p w14:paraId="5601E6F8" w14:textId="610E8D0C" w:rsidR="00904734" w:rsidRPr="00904734" w:rsidRDefault="00904734" w:rsidP="00904734">
      <w:pPr>
        <w:pStyle w:val="Heading1"/>
        <w:rPr>
          <w:rFonts w:cstheme="minorHAnsi"/>
        </w:rPr>
      </w:pPr>
      <w:bookmarkStart w:id="102" w:name="_Toc88748513"/>
      <w:r w:rsidRPr="005A7FBF">
        <w:rPr>
          <w:rFonts w:cstheme="minorHAnsi"/>
          <w:u w:val="single"/>
        </w:rPr>
        <w:lastRenderedPageBreak/>
        <w:t>ATTACHMENT B</w:t>
      </w:r>
      <w:r w:rsidRPr="00904734">
        <w:rPr>
          <w:rFonts w:cstheme="minorHAnsi"/>
        </w:rPr>
        <w:t xml:space="preserve">: </w:t>
      </w:r>
      <w:r w:rsidRPr="00904734">
        <w:t>REGULATORY BURDEN</w:t>
      </w:r>
      <w:r w:rsidR="000D4691">
        <w:t xml:space="preserve"> ESTIMATE</w:t>
      </w:r>
      <w:bookmarkEnd w:id="102"/>
      <w:r w:rsidRPr="00904734">
        <w:t xml:space="preserve"> </w:t>
      </w:r>
    </w:p>
    <w:p w14:paraId="2206A1BF" w14:textId="77777777" w:rsidR="00904734"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The </w:t>
      </w:r>
      <w:r>
        <w:rPr>
          <w:sz w:val="24"/>
          <w:szCs w:val="24"/>
        </w:rPr>
        <w:t xml:space="preserve">proposed </w:t>
      </w:r>
      <w:r w:rsidRPr="00EC5207">
        <w:rPr>
          <w:sz w:val="24"/>
          <w:szCs w:val="24"/>
        </w:rPr>
        <w:t>AU-UK FTA provides rules for traders to access preferential tariff treatment over existing business-as-usual arrangements under the UK’s MFN tariffs. As this is the first FTA to cover trade between Australia and the UK</w:t>
      </w:r>
      <w:r>
        <w:rPr>
          <w:sz w:val="24"/>
          <w:szCs w:val="24"/>
        </w:rPr>
        <w:t>,</w:t>
      </w:r>
      <w:r w:rsidRPr="00EC5207">
        <w:rPr>
          <w:sz w:val="24"/>
          <w:szCs w:val="24"/>
        </w:rPr>
        <w:t xml:space="preserve"> the AU-UK FTA may result in a modest increase in ongoing business compliance costs for Australian exporters to the UK. </w:t>
      </w:r>
    </w:p>
    <w:p w14:paraId="7377D435" w14:textId="77777777" w:rsidR="00904734" w:rsidRPr="00454755"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454755">
        <w:rPr>
          <w:sz w:val="24"/>
          <w:szCs w:val="24"/>
        </w:rPr>
        <w:t xml:space="preserve">The origin documentation requirements under the rules of origin in the </w:t>
      </w:r>
      <w:r>
        <w:rPr>
          <w:sz w:val="24"/>
          <w:szCs w:val="24"/>
        </w:rPr>
        <w:t xml:space="preserve">proposed </w:t>
      </w:r>
      <w:r w:rsidRPr="00454755">
        <w:rPr>
          <w:sz w:val="24"/>
          <w:szCs w:val="24"/>
        </w:rPr>
        <w:t>AU-UK FTA are some of the easiest to meet, for both exporters and importers. Australian exporters and producers have the option to either</w:t>
      </w:r>
    </w:p>
    <w:p w14:paraId="5714DB74" w14:textId="77777777" w:rsidR="00904734" w:rsidRPr="00EC5207" w:rsidRDefault="00904734" w:rsidP="00904734">
      <w:pPr>
        <w:pStyle w:val="ListParagraph"/>
        <w:numPr>
          <w:ilvl w:val="1"/>
          <w:numId w:val="27"/>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complete a Declaration of Origin</w:t>
      </w:r>
    </w:p>
    <w:p w14:paraId="5633E80D" w14:textId="079261EF" w:rsidR="00904734" w:rsidRPr="00EC5207" w:rsidRDefault="00904734" w:rsidP="00904734">
      <w:pPr>
        <w:pStyle w:val="ListParagraph"/>
        <w:numPr>
          <w:ilvl w:val="1"/>
          <w:numId w:val="27"/>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provide sufficient information directly to UK importers to enable them to make a claim for preferences – known as </w:t>
      </w:r>
      <w:r w:rsidR="00CC192B">
        <w:rPr>
          <w:sz w:val="24"/>
          <w:szCs w:val="24"/>
        </w:rPr>
        <w:t xml:space="preserve">‘importer’s </w:t>
      </w:r>
      <w:r w:rsidRPr="00EC5207">
        <w:rPr>
          <w:sz w:val="24"/>
          <w:szCs w:val="24"/>
        </w:rPr>
        <w:t xml:space="preserve">knowledge’. </w:t>
      </w:r>
    </w:p>
    <w:p w14:paraId="205A1EAE" w14:textId="77777777"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While the costs of self-declaration are minimal, this requirement does create additional costs to businesses for complying with the </w:t>
      </w:r>
      <w:r>
        <w:rPr>
          <w:sz w:val="24"/>
          <w:szCs w:val="24"/>
        </w:rPr>
        <w:t>a</w:t>
      </w:r>
      <w:r w:rsidRPr="00EC5207">
        <w:rPr>
          <w:sz w:val="24"/>
          <w:szCs w:val="24"/>
        </w:rPr>
        <w:t xml:space="preserve">greement’s origin documentation requirements compared to making claims under the UK’s MFN tariffs.  </w:t>
      </w:r>
    </w:p>
    <w:p w14:paraId="3C57B887" w14:textId="77777777" w:rsidR="00904734" w:rsidRPr="00B63D24"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There is a level of uncertainty regarding the number of trade</w:t>
      </w:r>
      <w:r>
        <w:rPr>
          <w:sz w:val="24"/>
          <w:szCs w:val="24"/>
        </w:rPr>
        <w:t>r</w:t>
      </w:r>
      <w:r w:rsidRPr="00EC5207">
        <w:rPr>
          <w:sz w:val="24"/>
          <w:szCs w:val="24"/>
        </w:rPr>
        <w:t>s under the FTA and what origin method traders will utilise in respect of Australian exports to the UK. Accordingly, the estimates of the compliance and administrative costs are largely assumption</w:t>
      </w:r>
      <w:r>
        <w:rPr>
          <w:sz w:val="24"/>
          <w:szCs w:val="24"/>
        </w:rPr>
        <w:t>-</w:t>
      </w:r>
      <w:r w:rsidRPr="00EC5207">
        <w:rPr>
          <w:sz w:val="24"/>
          <w:szCs w:val="24"/>
        </w:rPr>
        <w:t>driven and should be interpreted as such. There is currently an average of 67,330 export transactions from Australia to the UK per year. Based on the available data, it is possible to gain an appreciation of the order of magnitude of these changes.</w:t>
      </w:r>
    </w:p>
    <w:p w14:paraId="0C4ED92E" w14:textId="77777777" w:rsidR="00904734" w:rsidRPr="00904734" w:rsidRDefault="00904734" w:rsidP="00904734">
      <w:pPr>
        <w:rPr>
          <w:rFonts w:cs="Arial"/>
          <w:b/>
          <w:bCs/>
          <w:sz w:val="24"/>
          <w:szCs w:val="24"/>
        </w:rPr>
      </w:pPr>
      <w:r w:rsidRPr="00904734">
        <w:rPr>
          <w:b/>
          <w:bCs/>
          <w:sz w:val="24"/>
          <w:szCs w:val="24"/>
        </w:rPr>
        <w:t>Declarations of Origin</w:t>
      </w:r>
    </w:p>
    <w:p w14:paraId="28D6DD48" w14:textId="5E720BA8" w:rsidR="00CC192B" w:rsidRPr="00CC192B" w:rsidRDefault="00CC192B" w:rsidP="00CC192B">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Pr>
          <w:sz w:val="24"/>
          <w:szCs w:val="24"/>
        </w:rPr>
        <w:t>To provide flexibility to exporters and producers, the preferential Declaration of Origin (DOO) can be either self-</w:t>
      </w:r>
      <w:proofErr w:type="gramStart"/>
      <w:r>
        <w:rPr>
          <w:sz w:val="24"/>
          <w:szCs w:val="24"/>
        </w:rPr>
        <w:t>declared, or</w:t>
      </w:r>
      <w:proofErr w:type="gramEnd"/>
      <w:r>
        <w:rPr>
          <w:sz w:val="24"/>
          <w:szCs w:val="24"/>
        </w:rPr>
        <w:t xml:space="preserve"> completed by an authorised representative such as an authorised issuing body (for example the Australian Chamber of Commerce and Industry or Australian Industry Group) on the exporter or producer’s behalf. While we do not expect the latter option to be widely utilised, it may be useful for traders, particularly when a non-preferential certification of origin signed by an issuing body would be required for other purposes, such as to meet specific requirements for letters of credit. </w:t>
      </w:r>
    </w:p>
    <w:p w14:paraId="20F69B14" w14:textId="0F897EEC"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Where businesses seek this option, the cost of each DOO varies between </w:t>
      </w:r>
      <w:r>
        <w:rPr>
          <w:sz w:val="24"/>
          <w:szCs w:val="24"/>
        </w:rPr>
        <w:t>A</w:t>
      </w:r>
      <w:r w:rsidRPr="00EC5207">
        <w:rPr>
          <w:sz w:val="24"/>
          <w:szCs w:val="24"/>
        </w:rPr>
        <w:t xml:space="preserve">$20 and </w:t>
      </w:r>
      <w:r>
        <w:rPr>
          <w:sz w:val="24"/>
          <w:szCs w:val="24"/>
        </w:rPr>
        <w:t>A</w:t>
      </w:r>
      <w:r w:rsidRPr="00EC5207">
        <w:rPr>
          <w:sz w:val="24"/>
          <w:szCs w:val="24"/>
        </w:rPr>
        <w:t xml:space="preserve">$70 at </w:t>
      </w:r>
      <w:r>
        <w:rPr>
          <w:sz w:val="24"/>
          <w:szCs w:val="24"/>
        </w:rPr>
        <w:t>a</w:t>
      </w:r>
      <w:r w:rsidRPr="00EC5207">
        <w:rPr>
          <w:sz w:val="24"/>
          <w:szCs w:val="24"/>
        </w:rPr>
        <w:t xml:space="preserve">n average of </w:t>
      </w:r>
      <w:r>
        <w:rPr>
          <w:sz w:val="24"/>
          <w:szCs w:val="24"/>
        </w:rPr>
        <w:t>A</w:t>
      </w:r>
      <w:r w:rsidRPr="00EC5207">
        <w:rPr>
          <w:sz w:val="24"/>
          <w:szCs w:val="24"/>
        </w:rPr>
        <w:t xml:space="preserve">$33. The cost depends on a range of factors, such as whether an applicant is a member of the issuing body and the level of complexity. </w:t>
      </w:r>
    </w:p>
    <w:p w14:paraId="2FA806B0" w14:textId="408B3979" w:rsidR="00904734" w:rsidRPr="00EC5207" w:rsidRDefault="00904734" w:rsidP="00904734">
      <w:pPr>
        <w:rPr>
          <w:b/>
          <w:bCs/>
          <w:sz w:val="24"/>
          <w:szCs w:val="24"/>
        </w:rPr>
      </w:pPr>
      <w:r w:rsidRPr="00EC5207">
        <w:rPr>
          <w:b/>
          <w:bCs/>
          <w:sz w:val="24"/>
          <w:szCs w:val="24"/>
        </w:rPr>
        <w:t>Origin based on ‘importer</w:t>
      </w:r>
      <w:r w:rsidR="00CC192B">
        <w:rPr>
          <w:b/>
          <w:bCs/>
          <w:sz w:val="24"/>
          <w:szCs w:val="24"/>
        </w:rPr>
        <w:t>’</w:t>
      </w:r>
      <w:r w:rsidRPr="00EC5207">
        <w:rPr>
          <w:b/>
          <w:bCs/>
          <w:sz w:val="24"/>
          <w:szCs w:val="24"/>
        </w:rPr>
        <w:t>s knowledge’</w:t>
      </w:r>
    </w:p>
    <w:p w14:paraId="5C155F29" w14:textId="75D71F68"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Under </w:t>
      </w:r>
      <w:r>
        <w:rPr>
          <w:sz w:val="24"/>
          <w:szCs w:val="24"/>
        </w:rPr>
        <w:t xml:space="preserve">the proposed </w:t>
      </w:r>
      <w:r w:rsidRPr="00EC5207">
        <w:rPr>
          <w:sz w:val="24"/>
          <w:szCs w:val="24"/>
        </w:rPr>
        <w:t>AU-UK FTA, importers can make a claim for tariff preference without the need f</w:t>
      </w:r>
      <w:r>
        <w:rPr>
          <w:sz w:val="24"/>
          <w:szCs w:val="24"/>
        </w:rPr>
        <w:t>o</w:t>
      </w:r>
      <w:r w:rsidRPr="00EC5207">
        <w:rPr>
          <w:sz w:val="24"/>
          <w:szCs w:val="24"/>
        </w:rPr>
        <w:t>r a DOO based on ‘importer</w:t>
      </w:r>
      <w:r w:rsidR="00CC192B">
        <w:rPr>
          <w:sz w:val="24"/>
          <w:szCs w:val="24"/>
        </w:rPr>
        <w:t>’</w:t>
      </w:r>
      <w:r w:rsidRPr="00EC5207">
        <w:rPr>
          <w:sz w:val="24"/>
          <w:szCs w:val="24"/>
        </w:rPr>
        <w:t>s knowledge’. For the importer to make a claim for preferential tariff treatment based on ‘importer’s knowledge’, the exporter or producer will need to provide supporting documents to the importer that the good is originating.</w:t>
      </w:r>
    </w:p>
    <w:p w14:paraId="3AF07DD7" w14:textId="77777777" w:rsidR="00904734" w:rsidRPr="00B63D24"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The administrative procedures for business to maintain, store and supply supporting documentation and records may add slight additional administrative costs to business-as-usual practices. </w:t>
      </w:r>
      <w:bookmarkStart w:id="103" w:name="_Toc527466183"/>
      <w:bookmarkStart w:id="104" w:name="_Toc527467375"/>
      <w:bookmarkStart w:id="105" w:name="_Toc529536880"/>
      <w:bookmarkStart w:id="106" w:name="_Toc529898886"/>
    </w:p>
    <w:p w14:paraId="44F43DCC" w14:textId="77777777" w:rsidR="00904734" w:rsidRDefault="00904734" w:rsidP="00904734">
      <w:pPr>
        <w:rPr>
          <w:b/>
          <w:bCs/>
          <w:sz w:val="24"/>
          <w:szCs w:val="24"/>
        </w:rPr>
      </w:pPr>
    </w:p>
    <w:p w14:paraId="371861B2" w14:textId="4CE8E906" w:rsidR="00904734" w:rsidRPr="00904734" w:rsidRDefault="00904734" w:rsidP="00904734">
      <w:pPr>
        <w:rPr>
          <w:b/>
          <w:bCs/>
          <w:sz w:val="24"/>
          <w:szCs w:val="24"/>
        </w:rPr>
      </w:pPr>
      <w:r w:rsidRPr="00904734">
        <w:rPr>
          <w:b/>
          <w:bCs/>
          <w:sz w:val="24"/>
          <w:szCs w:val="24"/>
        </w:rPr>
        <w:t xml:space="preserve">Estimate of Regulatory Burden </w:t>
      </w:r>
      <w:bookmarkEnd w:id="103"/>
      <w:bookmarkEnd w:id="104"/>
      <w:bookmarkEnd w:id="105"/>
      <w:bookmarkEnd w:id="106"/>
    </w:p>
    <w:p w14:paraId="3D68B32B" w14:textId="77777777"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Some costs will be incurred by traders to understand the requirements and benefits of the FTA. </w:t>
      </w:r>
      <w:r>
        <w:rPr>
          <w:sz w:val="24"/>
          <w:szCs w:val="24"/>
        </w:rPr>
        <w:t>It is</w:t>
      </w:r>
      <w:r w:rsidRPr="00EC5207">
        <w:rPr>
          <w:sz w:val="24"/>
          <w:szCs w:val="24"/>
        </w:rPr>
        <w:t xml:space="preserve"> estimate</w:t>
      </w:r>
      <w:r>
        <w:rPr>
          <w:sz w:val="24"/>
          <w:szCs w:val="24"/>
        </w:rPr>
        <w:t>d</w:t>
      </w:r>
      <w:r w:rsidRPr="00EC5207">
        <w:rPr>
          <w:sz w:val="24"/>
          <w:szCs w:val="24"/>
        </w:rPr>
        <w:t xml:space="preserve"> that all exporters to the UK will undertake a once off administrative cost of around two hours of time to understand the AU-UK FTA rules. The average number of exporters to the UK from 2016-17 to 2018-19 was </w:t>
      </w:r>
      <w:r w:rsidRPr="00EC5207">
        <w:rPr>
          <w:b/>
          <w:bCs/>
          <w:sz w:val="24"/>
          <w:szCs w:val="24"/>
        </w:rPr>
        <w:t>6,511</w:t>
      </w:r>
      <w:r>
        <w:rPr>
          <w:b/>
          <w:bCs/>
          <w:sz w:val="24"/>
          <w:szCs w:val="24"/>
        </w:rPr>
        <w:t>.</w:t>
      </w:r>
      <w:r w:rsidRPr="00EC5207">
        <w:rPr>
          <w:b/>
          <w:bCs/>
          <w:sz w:val="24"/>
          <w:szCs w:val="24"/>
        </w:rPr>
        <w:t xml:space="preserve"> </w:t>
      </w:r>
      <w:r>
        <w:rPr>
          <w:sz w:val="24"/>
          <w:szCs w:val="24"/>
        </w:rPr>
        <w:t>A</w:t>
      </w:r>
      <w:r w:rsidRPr="00EC5207">
        <w:rPr>
          <w:sz w:val="24"/>
          <w:szCs w:val="24"/>
        </w:rPr>
        <w:t xml:space="preserve">t a scaled-up labour cost of </w:t>
      </w:r>
      <w:r>
        <w:rPr>
          <w:sz w:val="24"/>
          <w:szCs w:val="24"/>
        </w:rPr>
        <w:t>A</w:t>
      </w:r>
      <w:r w:rsidRPr="00EC5207">
        <w:rPr>
          <w:sz w:val="24"/>
          <w:szCs w:val="24"/>
        </w:rPr>
        <w:t xml:space="preserve">$68.79 per hour, this would result in costs of </w:t>
      </w:r>
      <w:r w:rsidRPr="007C3278">
        <w:rPr>
          <w:b/>
          <w:bCs/>
          <w:sz w:val="24"/>
          <w:szCs w:val="24"/>
        </w:rPr>
        <w:t>A</w:t>
      </w:r>
      <w:r w:rsidRPr="00EC5207">
        <w:rPr>
          <w:b/>
          <w:sz w:val="24"/>
          <w:szCs w:val="24"/>
        </w:rPr>
        <w:t>$895,783 for the first year only</w:t>
      </w:r>
      <w:r w:rsidRPr="00EC5207">
        <w:rPr>
          <w:sz w:val="24"/>
          <w:szCs w:val="24"/>
        </w:rPr>
        <w:t xml:space="preserve">. </w:t>
      </w:r>
    </w:p>
    <w:p w14:paraId="74AE59BA" w14:textId="23624A8C" w:rsidR="00904734" w:rsidRPr="00E1604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We can assume, based on the trends of similar trading partners</w:t>
      </w:r>
      <w:r>
        <w:rPr>
          <w:sz w:val="24"/>
          <w:szCs w:val="24"/>
        </w:rPr>
        <w:t>,</w:t>
      </w:r>
      <w:r w:rsidRPr="00EC5207">
        <w:rPr>
          <w:sz w:val="24"/>
          <w:szCs w:val="24"/>
        </w:rPr>
        <w:t xml:space="preserve"> that traders would decide not to utilise the AU-UK FTA for around half of transactions, given the UK already has MFN zero </w:t>
      </w:r>
      <w:r w:rsidR="001B1480">
        <w:rPr>
          <w:sz w:val="24"/>
          <w:szCs w:val="24"/>
        </w:rPr>
        <w:t xml:space="preserve">tariffs </w:t>
      </w:r>
      <w:r w:rsidRPr="00EC5207">
        <w:rPr>
          <w:sz w:val="24"/>
          <w:szCs w:val="24"/>
        </w:rPr>
        <w:t xml:space="preserve">for many products imported from Australia. As this </w:t>
      </w:r>
      <w:r w:rsidRPr="00E16047">
        <w:rPr>
          <w:sz w:val="24"/>
          <w:szCs w:val="24"/>
        </w:rPr>
        <w:t xml:space="preserve">is business as usual, this would result in an ongoing cost of </w:t>
      </w:r>
      <w:r w:rsidRPr="007C3278">
        <w:rPr>
          <w:b/>
          <w:bCs/>
          <w:sz w:val="24"/>
          <w:szCs w:val="24"/>
        </w:rPr>
        <w:t>A</w:t>
      </w:r>
      <w:r w:rsidRPr="00E16047">
        <w:rPr>
          <w:b/>
          <w:bCs/>
          <w:sz w:val="24"/>
          <w:szCs w:val="24"/>
        </w:rPr>
        <w:t>$0 per annum</w:t>
      </w:r>
      <w:r w:rsidRPr="00E16047">
        <w:rPr>
          <w:sz w:val="24"/>
          <w:szCs w:val="24"/>
        </w:rPr>
        <w:t xml:space="preserve">. </w:t>
      </w:r>
    </w:p>
    <w:p w14:paraId="5FB51DFE" w14:textId="77777777"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Based on practice under other FTAs that allow exporters and producers to choose whether to complete their own DOO, or for the DOO to be completed by an authorised issuing body, we estimate not more than </w:t>
      </w:r>
      <w:r>
        <w:rPr>
          <w:sz w:val="24"/>
          <w:szCs w:val="24"/>
        </w:rPr>
        <w:t>five</w:t>
      </w:r>
      <w:r w:rsidRPr="00EC5207">
        <w:rPr>
          <w:sz w:val="24"/>
          <w:szCs w:val="24"/>
        </w:rPr>
        <w:t xml:space="preserve"> per</w:t>
      </w:r>
      <w:r>
        <w:rPr>
          <w:sz w:val="24"/>
          <w:szCs w:val="24"/>
        </w:rPr>
        <w:t xml:space="preserve"> </w:t>
      </w:r>
      <w:r w:rsidRPr="00EC5207">
        <w:rPr>
          <w:sz w:val="24"/>
          <w:szCs w:val="24"/>
        </w:rPr>
        <w:t xml:space="preserve">cent of transactions (3,367) would use a DOO from an authorised issuing body. Multiplying this by the average costs of DOOs from an issuing body plus an estimated time of 20 minutes for the trader to complete the document estimated at </w:t>
      </w:r>
      <w:r>
        <w:rPr>
          <w:sz w:val="24"/>
          <w:szCs w:val="24"/>
        </w:rPr>
        <w:t>A</w:t>
      </w:r>
      <w:r w:rsidRPr="00EC5207">
        <w:rPr>
          <w:sz w:val="24"/>
          <w:szCs w:val="24"/>
        </w:rPr>
        <w:t xml:space="preserve">$33 per DOO + 1/3 hours x </w:t>
      </w:r>
      <w:r>
        <w:rPr>
          <w:sz w:val="24"/>
          <w:szCs w:val="24"/>
        </w:rPr>
        <w:t>A</w:t>
      </w:r>
      <w:r w:rsidRPr="00EC5207">
        <w:rPr>
          <w:sz w:val="24"/>
          <w:szCs w:val="24"/>
        </w:rPr>
        <w:t xml:space="preserve">$68.79 per hour for each transaction, the expected total cost is </w:t>
      </w:r>
      <w:r w:rsidRPr="00B63D24">
        <w:rPr>
          <w:b/>
          <w:bCs/>
          <w:sz w:val="24"/>
          <w:szCs w:val="24"/>
        </w:rPr>
        <w:t>A</w:t>
      </w:r>
      <w:r w:rsidRPr="00EC5207">
        <w:rPr>
          <w:b/>
          <w:bCs/>
          <w:sz w:val="24"/>
          <w:szCs w:val="24"/>
        </w:rPr>
        <w:t>$188,316 per annum.</w:t>
      </w:r>
    </w:p>
    <w:p w14:paraId="424C88FE" w14:textId="77777777"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It is estimated that the remaining 45 per</w:t>
      </w:r>
      <w:r>
        <w:rPr>
          <w:sz w:val="24"/>
          <w:szCs w:val="24"/>
        </w:rPr>
        <w:t xml:space="preserve"> </w:t>
      </w:r>
      <w:r w:rsidRPr="00EC5207">
        <w:rPr>
          <w:sz w:val="24"/>
          <w:szCs w:val="24"/>
        </w:rPr>
        <w:t>cent of transactions (30,299 transa</w:t>
      </w:r>
      <w:r>
        <w:rPr>
          <w:sz w:val="24"/>
          <w:szCs w:val="24"/>
        </w:rPr>
        <w:t>c</w:t>
      </w:r>
      <w:r w:rsidRPr="00EC5207">
        <w:rPr>
          <w:sz w:val="24"/>
          <w:szCs w:val="24"/>
        </w:rPr>
        <w:t xml:space="preserve">tions) would be supported by the exporter or producer making a self-declaration or providing supporting documentation to the UK importer. Based on an estimate of completing the self-declaration or providing supporting documentation to the UK importer taking up to 20 minutes, a total cost per year for completion is 30,299 transactions x 1/3 hours x </w:t>
      </w:r>
      <w:r>
        <w:rPr>
          <w:sz w:val="24"/>
          <w:szCs w:val="24"/>
        </w:rPr>
        <w:t>A</w:t>
      </w:r>
      <w:r w:rsidRPr="00EC5207">
        <w:rPr>
          <w:sz w:val="24"/>
          <w:szCs w:val="24"/>
        </w:rPr>
        <w:t xml:space="preserve">$68.79 per hour = </w:t>
      </w:r>
      <w:r w:rsidRPr="00B63D24">
        <w:rPr>
          <w:b/>
          <w:bCs/>
          <w:sz w:val="24"/>
          <w:szCs w:val="24"/>
        </w:rPr>
        <w:t>A</w:t>
      </w:r>
      <w:r w:rsidRPr="00EC5207">
        <w:rPr>
          <w:b/>
          <w:bCs/>
          <w:sz w:val="24"/>
          <w:szCs w:val="24"/>
        </w:rPr>
        <w:t xml:space="preserve">$694,756 per annum. </w:t>
      </w:r>
    </w:p>
    <w:p w14:paraId="0D304B73" w14:textId="504BCC25" w:rsidR="00904734" w:rsidRPr="00EC520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Once off costs are </w:t>
      </w:r>
      <w:r w:rsidRPr="00B63D24">
        <w:rPr>
          <w:b/>
          <w:bCs/>
          <w:sz w:val="24"/>
          <w:szCs w:val="24"/>
        </w:rPr>
        <w:t>A</w:t>
      </w:r>
      <w:r w:rsidRPr="00EC5207">
        <w:rPr>
          <w:b/>
          <w:bCs/>
          <w:sz w:val="24"/>
          <w:szCs w:val="24"/>
        </w:rPr>
        <w:t>$895,783 in the first year</w:t>
      </w:r>
      <w:r w:rsidRPr="00EC5207">
        <w:rPr>
          <w:sz w:val="24"/>
          <w:szCs w:val="24"/>
        </w:rPr>
        <w:t xml:space="preserve">, </w:t>
      </w:r>
      <w:r>
        <w:rPr>
          <w:sz w:val="24"/>
          <w:szCs w:val="24"/>
        </w:rPr>
        <w:t>with additional</w:t>
      </w:r>
      <w:r w:rsidRPr="00EC5207">
        <w:rPr>
          <w:sz w:val="24"/>
          <w:szCs w:val="24"/>
        </w:rPr>
        <w:t xml:space="preserve"> ongoing costs </w:t>
      </w:r>
      <w:r>
        <w:rPr>
          <w:sz w:val="24"/>
          <w:szCs w:val="24"/>
        </w:rPr>
        <w:t>o</w:t>
      </w:r>
      <w:r w:rsidRPr="00EC5207">
        <w:rPr>
          <w:sz w:val="24"/>
          <w:szCs w:val="24"/>
        </w:rPr>
        <w:t xml:space="preserve">f not more than </w:t>
      </w:r>
      <w:r w:rsidRPr="00B63D24">
        <w:rPr>
          <w:b/>
          <w:bCs/>
          <w:sz w:val="24"/>
          <w:szCs w:val="24"/>
        </w:rPr>
        <w:t>A</w:t>
      </w:r>
      <w:r w:rsidRPr="00EC5207">
        <w:rPr>
          <w:b/>
          <w:bCs/>
          <w:sz w:val="24"/>
          <w:szCs w:val="24"/>
        </w:rPr>
        <w:t xml:space="preserve">$883,072 per annum. </w:t>
      </w:r>
      <w:r>
        <w:rPr>
          <w:sz w:val="24"/>
          <w:szCs w:val="24"/>
        </w:rPr>
        <w:t>This</w:t>
      </w:r>
      <w:r w:rsidRPr="00EC5207">
        <w:rPr>
          <w:sz w:val="24"/>
          <w:szCs w:val="24"/>
        </w:rPr>
        <w:t xml:space="preserve"> results in </w:t>
      </w:r>
      <w:r>
        <w:rPr>
          <w:sz w:val="24"/>
          <w:szCs w:val="24"/>
        </w:rPr>
        <w:t xml:space="preserve">an estimate of </w:t>
      </w:r>
      <w:r w:rsidRPr="00EC5207">
        <w:rPr>
          <w:sz w:val="24"/>
          <w:szCs w:val="24"/>
        </w:rPr>
        <w:t xml:space="preserve">total </w:t>
      </w:r>
      <w:r>
        <w:rPr>
          <w:sz w:val="24"/>
          <w:szCs w:val="24"/>
        </w:rPr>
        <w:t xml:space="preserve">administrative </w:t>
      </w:r>
      <w:r w:rsidRPr="00EC5207">
        <w:rPr>
          <w:sz w:val="24"/>
          <w:szCs w:val="24"/>
        </w:rPr>
        <w:t>costs of not more</w:t>
      </w:r>
      <w:r w:rsidRPr="00EC5207">
        <w:rPr>
          <w:b/>
          <w:bCs/>
          <w:sz w:val="24"/>
          <w:szCs w:val="24"/>
        </w:rPr>
        <w:t xml:space="preserve"> than </w:t>
      </w:r>
      <w:r>
        <w:rPr>
          <w:b/>
          <w:bCs/>
          <w:sz w:val="24"/>
          <w:szCs w:val="24"/>
        </w:rPr>
        <w:t>A</w:t>
      </w:r>
      <w:r w:rsidRPr="00EC5207">
        <w:rPr>
          <w:b/>
          <w:bCs/>
          <w:sz w:val="24"/>
          <w:szCs w:val="24"/>
        </w:rPr>
        <w:t xml:space="preserve">$9,726,503 over 10 years. </w:t>
      </w:r>
      <w:r w:rsidRPr="00EC5207">
        <w:rPr>
          <w:sz w:val="24"/>
          <w:szCs w:val="24"/>
        </w:rPr>
        <w:t xml:space="preserve">It is also important to note that the </w:t>
      </w:r>
      <w:bookmarkStart w:id="107" w:name="_Hlk84429928"/>
      <w:r w:rsidRPr="00EC5207">
        <w:rPr>
          <w:sz w:val="24"/>
          <w:szCs w:val="24"/>
        </w:rPr>
        <w:t>ongoing administrative costs incurred by a business in preparing declarations of origin or providing supporting origin documentation to importers should reduce over time as traders become more experienced in creating the declarations of origin and start to provide the necessary details to support a claim by ‘importer</w:t>
      </w:r>
      <w:r w:rsidR="00CC192B">
        <w:rPr>
          <w:sz w:val="24"/>
          <w:szCs w:val="24"/>
        </w:rPr>
        <w:t>’s</w:t>
      </w:r>
      <w:r w:rsidRPr="00EC5207">
        <w:rPr>
          <w:sz w:val="24"/>
          <w:szCs w:val="24"/>
        </w:rPr>
        <w:t xml:space="preserve"> knowledge’ to UK importers as a matter of course.  </w:t>
      </w:r>
      <w:bookmarkEnd w:id="107"/>
    </w:p>
    <w:p w14:paraId="10CB1FB8" w14:textId="77777777" w:rsidR="00904734" w:rsidRPr="00E16047" w:rsidRDefault="00904734" w:rsidP="00904734">
      <w:pPr>
        <w:pStyle w:val="ListParagraph"/>
        <w:numPr>
          <w:ilvl w:val="0"/>
          <w:numId w:val="34"/>
        </w:numPr>
        <w:pBdr>
          <w:top w:val="nil"/>
          <w:left w:val="nil"/>
          <w:bottom w:val="nil"/>
          <w:right w:val="nil"/>
          <w:between w:val="nil"/>
          <w:bar w:val="nil"/>
        </w:pBdr>
        <w:tabs>
          <w:tab w:val="left" w:pos="660"/>
        </w:tabs>
        <w:suppressAutoHyphens/>
        <w:spacing w:after="120" w:line="240" w:lineRule="auto"/>
        <w:contextualSpacing w:val="0"/>
        <w:rPr>
          <w:b/>
          <w:bCs/>
          <w:sz w:val="24"/>
          <w:szCs w:val="24"/>
        </w:rPr>
      </w:pPr>
      <w:r w:rsidRPr="00EC5207">
        <w:rPr>
          <w:b/>
          <w:bCs/>
          <w:sz w:val="24"/>
          <w:szCs w:val="24"/>
        </w:rPr>
        <w:t xml:space="preserve">The net effect of this regulatory change would be an increase of </w:t>
      </w:r>
      <w:bookmarkStart w:id="108" w:name="_Hlk84429512"/>
      <w:r>
        <w:rPr>
          <w:b/>
          <w:bCs/>
          <w:sz w:val="24"/>
          <w:szCs w:val="24"/>
        </w:rPr>
        <w:t>A</w:t>
      </w:r>
      <w:r w:rsidRPr="00EC5207">
        <w:rPr>
          <w:b/>
          <w:bCs/>
          <w:sz w:val="24"/>
          <w:szCs w:val="24"/>
        </w:rPr>
        <w:t xml:space="preserve">$972,650 </w:t>
      </w:r>
      <w:bookmarkEnd w:id="108"/>
      <w:r w:rsidRPr="00EC5207">
        <w:rPr>
          <w:b/>
          <w:bCs/>
          <w:sz w:val="24"/>
          <w:szCs w:val="24"/>
        </w:rPr>
        <w:t>per annum, based on estimated costs across a 10-year timeframe.</w:t>
      </w:r>
      <w:r w:rsidRPr="00EC5207">
        <w:rPr>
          <w:rFonts w:ascii="Segoe UI" w:hAnsi="Segoe UI" w:cs="Segoe UI"/>
          <w:b/>
          <w:bCs/>
          <w:color w:val="000000"/>
          <w:sz w:val="24"/>
          <w:szCs w:val="24"/>
        </w:rPr>
        <w:t xml:space="preserve"> </w:t>
      </w:r>
    </w:p>
    <w:p w14:paraId="5B8C9E5F" w14:textId="77777777" w:rsidR="00904734" w:rsidRPr="00904734" w:rsidRDefault="00904734" w:rsidP="00904734">
      <w:pPr>
        <w:rPr>
          <w:b/>
          <w:bCs/>
          <w:sz w:val="24"/>
          <w:szCs w:val="24"/>
        </w:rPr>
      </w:pPr>
      <w:bookmarkStart w:id="109" w:name="_Toc529536881"/>
      <w:bookmarkStart w:id="110" w:name="_Toc529898887"/>
      <w:r w:rsidRPr="00904734">
        <w:rPr>
          <w:b/>
          <w:bCs/>
          <w:sz w:val="24"/>
          <w:szCs w:val="24"/>
        </w:rPr>
        <w:t>Regulatory Burden Estimate (RBE) Table</w:t>
      </w:r>
      <w:bookmarkEnd w:id="109"/>
      <w:bookmarkEnd w:id="11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Description w:val="This table shows the TPP is expected to reduce compliance costs for business by around $148,000 per annum."/>
      </w:tblPr>
      <w:tblGrid>
        <w:gridCol w:w="2093"/>
        <w:gridCol w:w="1701"/>
        <w:gridCol w:w="1984"/>
        <w:gridCol w:w="1560"/>
        <w:gridCol w:w="1842"/>
      </w:tblGrid>
      <w:tr w:rsidR="00904734" w:rsidRPr="00EC5207" w14:paraId="12062389" w14:textId="77777777" w:rsidTr="00234E29">
        <w:trPr>
          <w:trHeight w:val="300"/>
          <w:tblHeader/>
        </w:trPr>
        <w:tc>
          <w:tcPr>
            <w:tcW w:w="9180" w:type="dxa"/>
            <w:gridSpan w:val="5"/>
            <w:shd w:val="clear" w:color="auto" w:fill="FFFFFF" w:themeFill="background1"/>
            <w:noWrap/>
            <w:vAlign w:val="center"/>
          </w:tcPr>
          <w:p w14:paraId="3CA49C1F" w14:textId="77777777" w:rsidR="00904734" w:rsidRPr="00EC5207" w:rsidRDefault="00904734" w:rsidP="00234E29">
            <w:pPr>
              <w:keepLines/>
              <w:suppressAutoHyphens/>
              <w:jc w:val="center"/>
              <w:rPr>
                <w:sz w:val="24"/>
                <w:szCs w:val="24"/>
              </w:rPr>
            </w:pPr>
            <w:r w:rsidRPr="00EC5207">
              <w:rPr>
                <w:sz w:val="24"/>
                <w:szCs w:val="24"/>
              </w:rPr>
              <w:t>Average Annual Compliance Costs (from business as usual)</w:t>
            </w:r>
          </w:p>
        </w:tc>
      </w:tr>
      <w:tr w:rsidR="00904734" w:rsidRPr="00EC5207" w14:paraId="331CCF55" w14:textId="77777777" w:rsidTr="00234E29">
        <w:trPr>
          <w:trHeight w:val="20"/>
        </w:trPr>
        <w:tc>
          <w:tcPr>
            <w:tcW w:w="9180" w:type="dxa"/>
            <w:gridSpan w:val="5"/>
            <w:shd w:val="clear" w:color="auto" w:fill="FFFFFF" w:themeFill="background1"/>
            <w:noWrap/>
            <w:vAlign w:val="center"/>
          </w:tcPr>
          <w:p w14:paraId="108E032F" w14:textId="77777777" w:rsidR="00904734" w:rsidRPr="00EC5207" w:rsidRDefault="00904734" w:rsidP="00234E29">
            <w:pPr>
              <w:keepLines/>
              <w:suppressAutoHyphens/>
              <w:jc w:val="center"/>
              <w:rPr>
                <w:sz w:val="24"/>
                <w:szCs w:val="24"/>
              </w:rPr>
            </w:pPr>
          </w:p>
        </w:tc>
      </w:tr>
      <w:tr w:rsidR="00904734" w:rsidRPr="00EC5207" w14:paraId="0445C6AE" w14:textId="77777777" w:rsidTr="00234E29">
        <w:trPr>
          <w:trHeight w:val="300"/>
        </w:trPr>
        <w:tc>
          <w:tcPr>
            <w:tcW w:w="2093" w:type="dxa"/>
            <w:tcBorders>
              <w:right w:val="single" w:sz="4" w:space="0" w:color="auto"/>
            </w:tcBorders>
            <w:shd w:val="clear" w:color="auto" w:fill="FFFFFF" w:themeFill="background1"/>
            <w:noWrap/>
            <w:vAlign w:val="center"/>
          </w:tcPr>
          <w:p w14:paraId="734ABEA0" w14:textId="77777777" w:rsidR="00904734" w:rsidRPr="00EC5207" w:rsidRDefault="00904734" w:rsidP="00234E29">
            <w:pPr>
              <w:keepLines/>
              <w:suppressAutoHyphens/>
              <w:rPr>
                <w:sz w:val="24"/>
                <w:szCs w:val="24"/>
              </w:rPr>
            </w:pPr>
            <w:r w:rsidRPr="00EC5207">
              <w:rPr>
                <w:sz w:val="24"/>
                <w:szCs w:val="24"/>
              </w:rPr>
              <w:t>Costs</w:t>
            </w:r>
            <w:r w:rsidRPr="00EC5207">
              <w:rPr>
                <w:rFonts w:eastAsiaTheme="majorEastAsia"/>
                <w:iCs/>
                <w:sz w:val="24"/>
                <w:szCs w:val="24"/>
              </w:rPr>
              <w:t xml:space="preserve"> ($m)</w:t>
            </w:r>
          </w:p>
        </w:tc>
        <w:tc>
          <w:tcPr>
            <w:tcW w:w="1701" w:type="dxa"/>
            <w:tcBorders>
              <w:left w:val="single" w:sz="4" w:space="0" w:color="auto"/>
              <w:right w:val="single" w:sz="4" w:space="0" w:color="auto"/>
            </w:tcBorders>
            <w:shd w:val="clear" w:color="auto" w:fill="FFFFFF" w:themeFill="background1"/>
            <w:noWrap/>
            <w:vAlign w:val="center"/>
          </w:tcPr>
          <w:p w14:paraId="157FFCA9" w14:textId="77777777" w:rsidR="00904734" w:rsidRPr="00EC5207" w:rsidRDefault="00904734" w:rsidP="00234E29">
            <w:pPr>
              <w:keepLines/>
              <w:suppressAutoHyphens/>
              <w:jc w:val="center"/>
              <w:rPr>
                <w:b/>
                <w:sz w:val="24"/>
                <w:szCs w:val="24"/>
              </w:rPr>
            </w:pPr>
            <w:r w:rsidRPr="00EC5207">
              <w:rPr>
                <w:b/>
                <w:sz w:val="24"/>
                <w:szCs w:val="24"/>
              </w:rPr>
              <w:t>Business</w:t>
            </w:r>
          </w:p>
        </w:tc>
        <w:tc>
          <w:tcPr>
            <w:tcW w:w="1984" w:type="dxa"/>
            <w:tcBorders>
              <w:left w:val="single" w:sz="4" w:space="0" w:color="auto"/>
              <w:right w:val="single" w:sz="4" w:space="0" w:color="auto"/>
            </w:tcBorders>
            <w:shd w:val="clear" w:color="auto" w:fill="FFFFFF" w:themeFill="background1"/>
            <w:noWrap/>
            <w:vAlign w:val="center"/>
          </w:tcPr>
          <w:p w14:paraId="6A0C8EAC" w14:textId="77777777" w:rsidR="00904734" w:rsidRPr="00EC5207" w:rsidRDefault="00904734" w:rsidP="00234E29">
            <w:pPr>
              <w:keepLines/>
              <w:suppressAutoHyphens/>
              <w:jc w:val="center"/>
              <w:rPr>
                <w:b/>
                <w:sz w:val="24"/>
                <w:szCs w:val="24"/>
              </w:rPr>
            </w:pPr>
            <w:r w:rsidRPr="00EC5207">
              <w:rPr>
                <w:rFonts w:eastAsiaTheme="majorEastAsia"/>
                <w:b/>
                <w:bCs/>
                <w:iCs/>
                <w:sz w:val="24"/>
                <w:szCs w:val="24"/>
              </w:rPr>
              <w:t>Community Organisations</w:t>
            </w:r>
          </w:p>
        </w:tc>
        <w:tc>
          <w:tcPr>
            <w:tcW w:w="1560" w:type="dxa"/>
            <w:tcBorders>
              <w:left w:val="single" w:sz="4" w:space="0" w:color="auto"/>
              <w:right w:val="single" w:sz="4" w:space="0" w:color="auto"/>
            </w:tcBorders>
            <w:shd w:val="clear" w:color="auto" w:fill="FFFFFF" w:themeFill="background1"/>
            <w:noWrap/>
            <w:vAlign w:val="center"/>
          </w:tcPr>
          <w:p w14:paraId="7ECA4DEC" w14:textId="77777777" w:rsidR="00904734" w:rsidRPr="00EC5207" w:rsidRDefault="00904734" w:rsidP="00234E29">
            <w:pPr>
              <w:keepLines/>
              <w:suppressAutoHyphens/>
              <w:jc w:val="center"/>
              <w:rPr>
                <w:b/>
                <w:sz w:val="24"/>
                <w:szCs w:val="24"/>
              </w:rPr>
            </w:pPr>
            <w:r w:rsidRPr="00EC5207">
              <w:rPr>
                <w:b/>
                <w:sz w:val="24"/>
                <w:szCs w:val="24"/>
              </w:rPr>
              <w:t>Individuals</w:t>
            </w:r>
          </w:p>
        </w:tc>
        <w:tc>
          <w:tcPr>
            <w:tcW w:w="1842" w:type="dxa"/>
            <w:tcBorders>
              <w:left w:val="single" w:sz="4" w:space="0" w:color="auto"/>
            </w:tcBorders>
            <w:shd w:val="clear" w:color="auto" w:fill="FFFFFF" w:themeFill="background1"/>
            <w:noWrap/>
            <w:vAlign w:val="center"/>
          </w:tcPr>
          <w:p w14:paraId="321C5716" w14:textId="77777777" w:rsidR="00904734" w:rsidRPr="00EC5207" w:rsidRDefault="00904734" w:rsidP="00234E29">
            <w:pPr>
              <w:keepLines/>
              <w:suppressAutoHyphens/>
              <w:jc w:val="center"/>
              <w:rPr>
                <w:b/>
                <w:sz w:val="24"/>
                <w:szCs w:val="24"/>
              </w:rPr>
            </w:pPr>
            <w:r w:rsidRPr="00EC5207">
              <w:rPr>
                <w:rFonts w:eastAsiaTheme="majorEastAsia"/>
                <w:b/>
                <w:bCs/>
                <w:iCs/>
                <w:sz w:val="24"/>
                <w:szCs w:val="24"/>
              </w:rPr>
              <w:t>Total Cost</w:t>
            </w:r>
          </w:p>
        </w:tc>
      </w:tr>
      <w:tr w:rsidR="00904734" w:rsidRPr="00EC5207" w14:paraId="2E4B7918" w14:textId="77777777" w:rsidTr="00234E29">
        <w:trPr>
          <w:trHeight w:val="300"/>
        </w:trPr>
        <w:tc>
          <w:tcPr>
            <w:tcW w:w="2093" w:type="dxa"/>
            <w:tcBorders>
              <w:right w:val="single" w:sz="4" w:space="0" w:color="auto"/>
            </w:tcBorders>
            <w:shd w:val="clear" w:color="auto" w:fill="FFFFFF" w:themeFill="background1"/>
            <w:noWrap/>
            <w:vAlign w:val="center"/>
          </w:tcPr>
          <w:p w14:paraId="03E3B2F8" w14:textId="77777777" w:rsidR="00904734" w:rsidRPr="00EC5207" w:rsidRDefault="00904734" w:rsidP="00234E29">
            <w:pPr>
              <w:keepLines/>
              <w:suppressAutoHyphens/>
              <w:rPr>
                <w:sz w:val="24"/>
                <w:szCs w:val="24"/>
              </w:rPr>
            </w:pPr>
            <w:r w:rsidRPr="00EC5207">
              <w:rPr>
                <w:sz w:val="24"/>
                <w:szCs w:val="24"/>
              </w:rPr>
              <w:t>Total by Sector</w:t>
            </w:r>
          </w:p>
        </w:tc>
        <w:tc>
          <w:tcPr>
            <w:tcW w:w="1701" w:type="dxa"/>
            <w:tcBorders>
              <w:left w:val="single" w:sz="4" w:space="0" w:color="auto"/>
              <w:right w:val="single" w:sz="4" w:space="0" w:color="auto"/>
            </w:tcBorders>
            <w:shd w:val="clear" w:color="auto" w:fill="FFFFFF" w:themeFill="background1"/>
            <w:noWrap/>
            <w:vAlign w:val="center"/>
          </w:tcPr>
          <w:p w14:paraId="51557895" w14:textId="77777777" w:rsidR="00904734" w:rsidRPr="00EC5207" w:rsidRDefault="00904734" w:rsidP="00234E29">
            <w:pPr>
              <w:keepLines/>
              <w:suppressAutoHyphens/>
              <w:jc w:val="center"/>
              <w:rPr>
                <w:rFonts w:eastAsiaTheme="majorEastAsia"/>
                <w:bCs/>
                <w:iCs/>
                <w:sz w:val="24"/>
                <w:szCs w:val="24"/>
              </w:rPr>
            </w:pPr>
            <w:r w:rsidRPr="00EC5207">
              <w:rPr>
                <w:rFonts w:eastAsiaTheme="majorEastAsia"/>
                <w:bCs/>
                <w:iCs/>
                <w:sz w:val="24"/>
                <w:szCs w:val="24"/>
              </w:rPr>
              <w:t xml:space="preserve">+ 0.973 </w:t>
            </w:r>
          </w:p>
        </w:tc>
        <w:tc>
          <w:tcPr>
            <w:tcW w:w="1984" w:type="dxa"/>
            <w:tcBorders>
              <w:left w:val="single" w:sz="4" w:space="0" w:color="auto"/>
              <w:right w:val="single" w:sz="4" w:space="0" w:color="auto"/>
            </w:tcBorders>
            <w:shd w:val="clear" w:color="auto" w:fill="FFFFFF" w:themeFill="background1"/>
            <w:noWrap/>
            <w:vAlign w:val="center"/>
          </w:tcPr>
          <w:p w14:paraId="56FFD793" w14:textId="77777777" w:rsidR="00904734" w:rsidRPr="00EC5207" w:rsidRDefault="00904734" w:rsidP="00234E29">
            <w:pPr>
              <w:keepLines/>
              <w:suppressAutoHyphens/>
              <w:jc w:val="center"/>
              <w:rPr>
                <w:rFonts w:eastAsiaTheme="majorEastAsia"/>
                <w:bCs/>
                <w:iCs/>
                <w:sz w:val="24"/>
                <w:szCs w:val="24"/>
              </w:rPr>
            </w:pPr>
            <w:r w:rsidRPr="00EC5207">
              <w:rPr>
                <w:rFonts w:eastAsiaTheme="majorEastAsia"/>
                <w:bCs/>
                <w:iCs/>
                <w:sz w:val="24"/>
                <w:szCs w:val="24"/>
              </w:rPr>
              <w:t>N/A</w:t>
            </w:r>
          </w:p>
        </w:tc>
        <w:tc>
          <w:tcPr>
            <w:tcW w:w="1560" w:type="dxa"/>
            <w:tcBorders>
              <w:left w:val="single" w:sz="4" w:space="0" w:color="auto"/>
              <w:right w:val="single" w:sz="4" w:space="0" w:color="auto"/>
            </w:tcBorders>
            <w:shd w:val="clear" w:color="auto" w:fill="FFFFFF" w:themeFill="background1"/>
            <w:noWrap/>
            <w:vAlign w:val="center"/>
          </w:tcPr>
          <w:p w14:paraId="2FFE0E60" w14:textId="77777777" w:rsidR="00904734" w:rsidRPr="00EC5207" w:rsidRDefault="00904734" w:rsidP="00234E29">
            <w:pPr>
              <w:keepLines/>
              <w:suppressAutoHyphens/>
              <w:jc w:val="center"/>
              <w:rPr>
                <w:rFonts w:eastAsiaTheme="majorEastAsia"/>
                <w:bCs/>
                <w:iCs/>
                <w:sz w:val="24"/>
                <w:szCs w:val="24"/>
              </w:rPr>
            </w:pPr>
            <w:r w:rsidRPr="00EC5207">
              <w:rPr>
                <w:sz w:val="24"/>
                <w:szCs w:val="24"/>
              </w:rPr>
              <w:t>N/A</w:t>
            </w:r>
          </w:p>
        </w:tc>
        <w:tc>
          <w:tcPr>
            <w:tcW w:w="1842" w:type="dxa"/>
            <w:tcBorders>
              <w:left w:val="single" w:sz="4" w:space="0" w:color="auto"/>
            </w:tcBorders>
            <w:shd w:val="clear" w:color="auto" w:fill="FFFFFF" w:themeFill="background1"/>
            <w:noWrap/>
            <w:vAlign w:val="center"/>
          </w:tcPr>
          <w:p w14:paraId="407A48E6" w14:textId="77777777" w:rsidR="00904734" w:rsidRPr="00EC5207" w:rsidRDefault="00904734" w:rsidP="00234E29">
            <w:pPr>
              <w:keepLines/>
              <w:suppressAutoHyphens/>
              <w:jc w:val="center"/>
              <w:rPr>
                <w:rFonts w:eastAsiaTheme="majorEastAsia"/>
                <w:b/>
                <w:iCs/>
                <w:sz w:val="24"/>
                <w:szCs w:val="24"/>
              </w:rPr>
            </w:pPr>
            <w:r w:rsidRPr="00EC5207">
              <w:rPr>
                <w:rFonts w:eastAsiaTheme="majorEastAsia"/>
                <w:bCs/>
                <w:iCs/>
                <w:sz w:val="24"/>
                <w:szCs w:val="24"/>
              </w:rPr>
              <w:t>+ 0.973</w:t>
            </w:r>
          </w:p>
        </w:tc>
      </w:tr>
    </w:tbl>
    <w:p w14:paraId="487353A6" w14:textId="2C9CD89E" w:rsidR="00667D72" w:rsidRPr="00102E18" w:rsidRDefault="00667D72" w:rsidP="00667D72">
      <w:pPr>
        <w:rPr>
          <w:rFonts w:asciiTheme="majorHAnsi" w:eastAsiaTheme="majorEastAsia" w:hAnsiTheme="majorHAnsi" w:cstheme="majorBidi"/>
          <w:color w:val="2F5496" w:themeColor="accent1" w:themeShade="BF"/>
          <w:sz w:val="24"/>
          <w:szCs w:val="24"/>
        </w:rPr>
      </w:pPr>
    </w:p>
    <w:sectPr w:rsidR="00667D72" w:rsidRPr="00102E18" w:rsidSect="00234E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AC4D" w14:textId="77777777" w:rsidR="00231255" w:rsidRDefault="00231255" w:rsidP="00B853AF">
      <w:r>
        <w:separator/>
      </w:r>
    </w:p>
  </w:endnote>
  <w:endnote w:type="continuationSeparator" w:id="0">
    <w:p w14:paraId="0BDDE84D" w14:textId="77777777" w:rsidR="00231255" w:rsidRDefault="00231255" w:rsidP="00B8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220935"/>
      <w:docPartObj>
        <w:docPartGallery w:val="Page Numbers (Bottom of Page)"/>
        <w:docPartUnique/>
      </w:docPartObj>
    </w:sdtPr>
    <w:sdtEndPr>
      <w:rPr>
        <w:noProof/>
      </w:rPr>
    </w:sdtEndPr>
    <w:sdtContent>
      <w:p w14:paraId="3B100143" w14:textId="45CFA74D" w:rsidR="00231255" w:rsidRDefault="00231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FCA9B" w14:textId="77777777" w:rsidR="00231255" w:rsidRDefault="0023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53D8" w14:textId="77777777" w:rsidR="00231255" w:rsidRDefault="00231255" w:rsidP="00B853AF">
      <w:r>
        <w:separator/>
      </w:r>
    </w:p>
  </w:footnote>
  <w:footnote w:type="continuationSeparator" w:id="0">
    <w:p w14:paraId="02844C9A" w14:textId="77777777" w:rsidR="00231255" w:rsidRDefault="00231255" w:rsidP="00B853AF">
      <w:r>
        <w:continuationSeparator/>
      </w:r>
    </w:p>
  </w:footnote>
  <w:footnote w:id="1">
    <w:p w14:paraId="587677B9" w14:textId="7DEF50BF" w:rsidR="00231255" w:rsidRPr="00115909" w:rsidRDefault="00231255" w:rsidP="00115909">
      <w:pPr>
        <w:autoSpaceDE w:val="0"/>
        <w:autoSpaceDN w:val="0"/>
        <w:adjustRightInd w:val="0"/>
        <w:rPr>
          <w:rFonts w:ascii="Segoe UI Semilight" w:hAnsi="Segoe UI Semilight" w:cs="Segoe UI Semilight"/>
          <w:color w:val="000000"/>
        </w:rPr>
      </w:pPr>
      <w:r>
        <w:rPr>
          <w:rStyle w:val="FootnoteReference"/>
        </w:rPr>
        <w:footnoteRef/>
      </w:r>
      <w:r>
        <w:t xml:space="preserve"> </w:t>
      </w:r>
      <w:r w:rsidRPr="00115909">
        <w:rPr>
          <w:rFonts w:eastAsiaTheme="minorHAnsi" w:cstheme="minorBidi"/>
          <w:sz w:val="20"/>
          <w:szCs w:val="20"/>
        </w:rPr>
        <w:t>Austrade, Why Australia Benchmark Report, Global Ties, July 2021</w:t>
      </w:r>
    </w:p>
  </w:footnote>
  <w:footnote w:id="2">
    <w:p w14:paraId="6C2D4C0F" w14:textId="2F85C23F" w:rsidR="00231255" w:rsidRPr="00115909" w:rsidRDefault="00231255" w:rsidP="00115909">
      <w:pPr>
        <w:autoSpaceDE w:val="0"/>
        <w:autoSpaceDN w:val="0"/>
        <w:adjustRightInd w:val="0"/>
        <w:rPr>
          <w:rFonts w:ascii="Segoe UI Semilight" w:hAnsi="Segoe UI Semilight" w:cs="Segoe UI Semilight"/>
          <w:color w:val="000000"/>
        </w:rPr>
      </w:pPr>
      <w:r>
        <w:rPr>
          <w:rStyle w:val="FootnoteReference"/>
        </w:rPr>
        <w:footnoteRef/>
      </w:r>
      <w:r>
        <w:t xml:space="preserve"> </w:t>
      </w:r>
      <w:r w:rsidRPr="00115909">
        <w:rPr>
          <w:rFonts w:eastAsiaTheme="minorHAnsi" w:cstheme="minorBidi"/>
          <w:sz w:val="20"/>
          <w:szCs w:val="20"/>
        </w:rPr>
        <w:t>Office for National Statistics, National Accounts, UK trade in goods, CPA (08), July 2021</w:t>
      </w:r>
      <w:r>
        <w:rPr>
          <w:rFonts w:ascii="Segoe UI Semilight" w:hAnsi="Segoe UI Semilight" w:cs="Segoe UI Semilight"/>
          <w:color w:val="000000"/>
        </w:rPr>
        <w:t xml:space="preserve"> </w:t>
      </w:r>
    </w:p>
  </w:footnote>
  <w:footnote w:id="3">
    <w:p w14:paraId="7E59C02F" w14:textId="77777777" w:rsidR="00231255" w:rsidRDefault="00231255" w:rsidP="00EC5EE9">
      <w:pPr>
        <w:pStyle w:val="FootnoteText"/>
      </w:pPr>
      <w:r>
        <w:rPr>
          <w:rStyle w:val="FootnoteReference"/>
        </w:rPr>
        <w:footnoteRef/>
      </w:r>
      <w:r>
        <w:t xml:space="preserve"> </w:t>
      </w:r>
      <w:hyperlink r:id="rId1" w:history="1">
        <w:r>
          <w:rPr>
            <w:rStyle w:val="Hyperlink"/>
          </w:rPr>
          <w:t>2. Overview of Australia's trade with the United Kingdom – Parliament of Australia (aph.gov.au)</w:t>
        </w:r>
      </w:hyperlink>
    </w:p>
  </w:footnote>
  <w:footnote w:id="4">
    <w:p w14:paraId="361DDAC7" w14:textId="3F67BCC9" w:rsidR="00231255" w:rsidRDefault="00231255">
      <w:pPr>
        <w:pStyle w:val="FootnoteText"/>
      </w:pPr>
      <w:r>
        <w:rPr>
          <w:rStyle w:val="FootnoteReference"/>
        </w:rPr>
        <w:footnoteRef/>
      </w:r>
      <w:r>
        <w:t xml:space="preserve"> IMF WEO database April 2021</w:t>
      </w:r>
    </w:p>
  </w:footnote>
  <w:footnote w:id="5">
    <w:p w14:paraId="3879F3DB" w14:textId="2C0C6CE5" w:rsidR="00231255" w:rsidRDefault="00231255">
      <w:pPr>
        <w:pStyle w:val="FootnoteText"/>
      </w:pPr>
      <w:r>
        <w:rPr>
          <w:rStyle w:val="FootnoteReference"/>
        </w:rPr>
        <w:footnoteRef/>
      </w:r>
      <w:r>
        <w:t xml:space="preserve"> 54</w:t>
      </w:r>
      <w:r>
        <w:rPr>
          <w:vertAlign w:val="superscript"/>
        </w:rPr>
        <w:t>th</w:t>
      </w:r>
      <w:r>
        <w:t xml:space="preserve"> largest population in 2021 (IMF WEO </w:t>
      </w:r>
      <w:proofErr w:type="spellStart"/>
      <w:r>
        <w:t>Datamapper</w:t>
      </w:r>
      <w:proofErr w:type="spellEnd"/>
      <w:r>
        <w:t xml:space="preserve">) </w:t>
      </w:r>
      <w:hyperlink r:id="rId2" w:history="1">
        <w:r>
          <w:rPr>
            <w:rStyle w:val="Hyperlink"/>
          </w:rPr>
          <w:t>World Economic Outlook (April 2021) - Population (imf.org)</w:t>
        </w:r>
      </w:hyperlink>
    </w:p>
  </w:footnote>
  <w:footnote w:id="6">
    <w:p w14:paraId="01434B20" w14:textId="21F020BE" w:rsidR="00231255" w:rsidRDefault="00231255">
      <w:pPr>
        <w:pStyle w:val="FootnoteText"/>
      </w:pPr>
      <w:r>
        <w:rPr>
          <w:rStyle w:val="FootnoteReference"/>
        </w:rPr>
        <w:footnoteRef/>
      </w:r>
      <w:r>
        <w:t xml:space="preserve"> </w:t>
      </w:r>
      <w:hyperlink r:id="rId3" w:anchor=":~:text=72%25%20of%20businesses%20had%20less,people%20have%20lost%20their%20jobs.&amp;text=Most%20impacted%20industries%3A%2087%25%20of,80%25%20information%20media%20and%20telecommunications." w:history="1">
        <w:r>
          <w:rPr>
            <w:rStyle w:val="Hyperlink"/>
          </w:rPr>
          <w:t xml:space="preserve">One year of COVID-19: Aussie jobs, </w:t>
        </w:r>
        <w:proofErr w:type="gramStart"/>
        <w:r>
          <w:rPr>
            <w:rStyle w:val="Hyperlink"/>
          </w:rPr>
          <w:t>business</w:t>
        </w:r>
        <w:proofErr w:type="gramEnd"/>
        <w:r>
          <w:rPr>
            <w:rStyle w:val="Hyperlink"/>
          </w:rPr>
          <w:t xml:space="preserve"> and the economy | Australian Bureau of Statistics (abs.gov.au)</w:t>
        </w:r>
      </w:hyperlink>
    </w:p>
  </w:footnote>
  <w:footnote w:id="7">
    <w:p w14:paraId="721B4B8A" w14:textId="7DDFB976" w:rsidR="00231255" w:rsidRDefault="00231255">
      <w:pPr>
        <w:pStyle w:val="FootnoteText"/>
      </w:pPr>
      <w:r>
        <w:rPr>
          <w:rStyle w:val="FootnoteReference"/>
        </w:rPr>
        <w:footnoteRef/>
      </w:r>
      <w:r>
        <w:t xml:space="preserve"> </w:t>
      </w:r>
      <w:hyperlink r:id="rId4" w:history="1">
        <w:r>
          <w:rPr>
            <w:rStyle w:val="Hyperlink"/>
          </w:rPr>
          <w:t>The Australian Economic Recovery Plan - Treasury (ourcomeback.gov.au)</w:t>
        </w:r>
      </w:hyperlink>
    </w:p>
  </w:footnote>
  <w:footnote w:id="8">
    <w:p w14:paraId="53AFA365" w14:textId="77777777" w:rsidR="00231255" w:rsidRDefault="00231255" w:rsidP="00496BB4">
      <w:pPr>
        <w:pStyle w:val="FootnoteText"/>
      </w:pPr>
      <w:r>
        <w:rPr>
          <w:rStyle w:val="FootnoteReference"/>
        </w:rPr>
        <w:footnoteRef/>
      </w:r>
      <w:r>
        <w:t xml:space="preserve"> </w:t>
      </w:r>
      <w:hyperlink r:id="rId5" w:history="1">
        <w:r>
          <w:rPr>
            <w:rStyle w:val="Hyperlink"/>
          </w:rPr>
          <w:t>Pivot – Parliament of Australia (aph.gov.au)</w:t>
        </w:r>
      </w:hyperlink>
    </w:p>
  </w:footnote>
  <w:footnote w:id="9">
    <w:p w14:paraId="5EBAB25F" w14:textId="429971E4" w:rsidR="00231255" w:rsidRDefault="00231255">
      <w:pPr>
        <w:pStyle w:val="FootnoteText"/>
      </w:pPr>
      <w:r>
        <w:rPr>
          <w:rStyle w:val="FootnoteReference"/>
        </w:rPr>
        <w:footnoteRef/>
      </w:r>
      <w:r>
        <w:t xml:space="preserve"> </w:t>
      </w:r>
      <w:hyperlink r:id="rId6" w:history="1">
        <w:r>
          <w:rPr>
            <w:rStyle w:val="Hyperlink"/>
          </w:rPr>
          <w:t>Government Response – Parliament of Australia (aph.gov.au)</w:t>
        </w:r>
      </w:hyperlink>
    </w:p>
  </w:footnote>
  <w:footnote w:id="10">
    <w:p w14:paraId="292881A2" w14:textId="1B109455" w:rsidR="00231255" w:rsidRDefault="00231255">
      <w:pPr>
        <w:pStyle w:val="FootnoteText"/>
      </w:pPr>
      <w:r>
        <w:rPr>
          <w:rStyle w:val="FootnoteReference"/>
        </w:rPr>
        <w:footnoteRef/>
      </w:r>
      <w:r>
        <w:t xml:space="preserve"> IMF WEO database April 2021</w:t>
      </w:r>
    </w:p>
  </w:footnote>
  <w:footnote w:id="11">
    <w:p w14:paraId="0BF7EA76" w14:textId="77777777" w:rsidR="00231255" w:rsidRDefault="00231255" w:rsidP="005D6EDD">
      <w:pPr>
        <w:pStyle w:val="FootnoteText"/>
      </w:pPr>
      <w:r>
        <w:rPr>
          <w:rStyle w:val="FootnoteReference"/>
        </w:rPr>
        <w:footnoteRef/>
      </w:r>
      <w:r>
        <w:t xml:space="preserve"> Source: ABS</w:t>
      </w:r>
    </w:p>
  </w:footnote>
  <w:footnote w:id="12">
    <w:p w14:paraId="7717A007" w14:textId="77777777" w:rsidR="00231255" w:rsidRDefault="00231255" w:rsidP="0042760F">
      <w:pPr>
        <w:pStyle w:val="FootnoteText"/>
      </w:pPr>
      <w:r>
        <w:rPr>
          <w:rStyle w:val="FootnoteReference"/>
        </w:rPr>
        <w:footnoteRef/>
      </w:r>
      <w:r>
        <w:t xml:space="preserve"> Source</w:t>
      </w:r>
      <w:r w:rsidRPr="007E19CF">
        <w:t xml:space="preserve">: </w:t>
      </w:r>
      <w:r w:rsidRPr="007E19CF">
        <w:rPr>
          <w:rFonts w:eastAsia="Times New Roman"/>
        </w:rPr>
        <w:t>ABS catalogue 5368.0, June 2021</w:t>
      </w:r>
    </w:p>
  </w:footnote>
  <w:footnote w:id="13">
    <w:p w14:paraId="479D1796" w14:textId="3E611C92" w:rsidR="00231255" w:rsidRDefault="00231255">
      <w:pPr>
        <w:pStyle w:val="FootnoteText"/>
      </w:pPr>
      <w:r>
        <w:rPr>
          <w:rStyle w:val="FootnoteReference"/>
        </w:rPr>
        <w:footnoteRef/>
      </w:r>
      <w:r>
        <w:t xml:space="preserve"> </w:t>
      </w:r>
      <w:hyperlink r:id="rId7" w:history="1">
        <w:r>
          <w:rPr>
            <w:rStyle w:val="Hyperlink"/>
          </w:rPr>
          <w:t>The Australian Economic Recovery Plan - Treasury (ourcomeback.gov.au)</w:t>
        </w:r>
      </w:hyperlink>
    </w:p>
  </w:footnote>
  <w:footnote w:id="14">
    <w:p w14:paraId="5A1ECE32" w14:textId="246C721B" w:rsidR="00231255" w:rsidRDefault="00231255">
      <w:pPr>
        <w:pStyle w:val="FootnoteText"/>
      </w:pPr>
      <w:r>
        <w:rPr>
          <w:rStyle w:val="FootnoteReference"/>
        </w:rPr>
        <w:footnoteRef/>
      </w:r>
      <w:r>
        <w:t xml:space="preserve"> </w:t>
      </w:r>
      <w:hyperlink r:id="rId8" w:anchor=":~:text=The%20Hon%20Greg%20Hunt%20MP&amp;text=2%20September%202021-,The%20human%20biosecurity%20emergency%20period%20under%20the%20Biosecurity%20Act%202015,continue%20until%2017%20December%202021." w:history="1">
        <w:r>
          <w:rPr>
            <w:rStyle w:val="Hyperlink"/>
          </w:rPr>
          <w:t>COVID-19 emergency measures extended for a further three months | Health Portfolio Ministers</w:t>
        </w:r>
      </w:hyperlink>
    </w:p>
  </w:footnote>
  <w:footnote w:id="15">
    <w:p w14:paraId="33AF4941" w14:textId="77777777" w:rsidR="00231255" w:rsidRDefault="00231255" w:rsidP="00C92B6B">
      <w:pPr>
        <w:pStyle w:val="FootnoteText"/>
      </w:pPr>
      <w:r>
        <w:rPr>
          <w:rStyle w:val="FootnoteReference"/>
        </w:rPr>
        <w:footnoteRef/>
      </w:r>
      <w:r>
        <w:t xml:space="preserve"> </w:t>
      </w:r>
      <w:hyperlink r:id="rId9" w:history="1">
        <w:r>
          <w:rPr>
            <w:rStyle w:val="Hyperlink"/>
          </w:rPr>
          <w:t>Australia's Economic Recovery and Access to Small Business Finance | Bulletin – March Quarter 2021 | RBA</w:t>
        </w:r>
      </w:hyperlink>
    </w:p>
  </w:footnote>
  <w:footnote w:id="16">
    <w:p w14:paraId="16FECD5C" w14:textId="5AE5BF71" w:rsidR="00231255" w:rsidRDefault="00231255">
      <w:pPr>
        <w:pStyle w:val="FootnoteText"/>
      </w:pPr>
      <w:r>
        <w:rPr>
          <w:rStyle w:val="FootnoteReference"/>
        </w:rPr>
        <w:footnoteRef/>
      </w:r>
      <w:r>
        <w:t xml:space="preserve"> </w:t>
      </w:r>
      <w:hyperlink r:id="rId10" w:history="1">
        <w:r>
          <w:rPr>
            <w:rStyle w:val="Hyperlink"/>
          </w:rPr>
          <w:t>International Trade in Goods and Services, Australia, July 2021 | Australian Bureau of Statistics (abs.gov.au)</w:t>
        </w:r>
      </w:hyperlink>
    </w:p>
  </w:footnote>
  <w:footnote w:id="17">
    <w:p w14:paraId="27395D3B" w14:textId="41C2E686" w:rsidR="00231255" w:rsidRDefault="00231255">
      <w:pPr>
        <w:pStyle w:val="FootnoteText"/>
      </w:pPr>
      <w:r>
        <w:rPr>
          <w:rStyle w:val="FootnoteReference"/>
        </w:rPr>
        <w:footnoteRef/>
      </w:r>
      <w:r>
        <w:t xml:space="preserve"> </w:t>
      </w:r>
      <w:hyperlink r:id="rId11" w:anchor=":~:text=Most%20impacted%20industries%3A%2087%25%20of,80%25%20information%20media%20and%20telecommunications." w:history="1">
        <w:r>
          <w:rPr>
            <w:rStyle w:val="Hyperlink"/>
          </w:rPr>
          <w:t xml:space="preserve">One year of COVID-19: Aussie jobs, </w:t>
        </w:r>
        <w:proofErr w:type="gramStart"/>
        <w:r>
          <w:rPr>
            <w:rStyle w:val="Hyperlink"/>
          </w:rPr>
          <w:t>business</w:t>
        </w:r>
        <w:proofErr w:type="gramEnd"/>
        <w:r>
          <w:rPr>
            <w:rStyle w:val="Hyperlink"/>
          </w:rPr>
          <w:t xml:space="preserve"> and the economy | Australian Bureau of Statistics (abs.gov.au)</w:t>
        </w:r>
      </w:hyperlink>
    </w:p>
  </w:footnote>
  <w:footnote w:id="18">
    <w:p w14:paraId="288013D3" w14:textId="77777777" w:rsidR="00231255" w:rsidRDefault="00231255" w:rsidP="00F73BA4">
      <w:pPr>
        <w:pStyle w:val="FootnoteText"/>
      </w:pPr>
      <w:r>
        <w:rPr>
          <w:rStyle w:val="FootnoteReference"/>
        </w:rPr>
        <w:footnoteRef/>
      </w:r>
      <w:r>
        <w:t xml:space="preserve"> </w:t>
      </w:r>
      <w:hyperlink r:id="rId12" w:history="1">
        <w:r>
          <w:rPr>
            <w:rStyle w:val="Hyperlink"/>
          </w:rPr>
          <w:t>Monetary Policy Report - May 2021 | Bank of England</w:t>
        </w:r>
      </w:hyperlink>
    </w:p>
  </w:footnote>
  <w:footnote w:id="19">
    <w:p w14:paraId="011A73FF" w14:textId="799DDC79" w:rsidR="00231255" w:rsidRDefault="00231255">
      <w:pPr>
        <w:pStyle w:val="FootnoteText"/>
      </w:pPr>
      <w:r>
        <w:rPr>
          <w:rStyle w:val="FootnoteReference"/>
        </w:rPr>
        <w:footnoteRef/>
      </w:r>
      <w:r>
        <w:t xml:space="preserve"> </w:t>
      </w:r>
      <w:hyperlink r:id="rId13" w:history="1">
        <w:r>
          <w:rPr>
            <w:rStyle w:val="Hyperlink"/>
          </w:rPr>
          <w:t>Home | Foreign Policy White Paper (dfat.gov.au)</w:t>
        </w:r>
      </w:hyperlink>
    </w:p>
  </w:footnote>
  <w:footnote w:id="20">
    <w:p w14:paraId="5A7ACE2E" w14:textId="4AD33448" w:rsidR="00231255" w:rsidRDefault="00231255">
      <w:pPr>
        <w:pStyle w:val="FootnoteText"/>
      </w:pPr>
      <w:r>
        <w:rPr>
          <w:rStyle w:val="FootnoteReference"/>
        </w:rPr>
        <w:footnoteRef/>
      </w:r>
      <w:r>
        <w:t xml:space="preserve"> </w:t>
      </w:r>
      <w:hyperlink r:id="rId14" w:history="1">
        <w:r>
          <w:rPr>
            <w:rStyle w:val="Hyperlink"/>
          </w:rPr>
          <w:t>Free Trade Agreement Utilisation Study | Australian Government Department of Foreign Affairs and Trade (dfat.gov.au)</w:t>
        </w:r>
      </w:hyperlink>
    </w:p>
  </w:footnote>
  <w:footnote w:id="21">
    <w:p w14:paraId="7459D3ED" w14:textId="7693E8E2" w:rsidR="00231255" w:rsidRDefault="00231255">
      <w:pPr>
        <w:pStyle w:val="FootnoteText"/>
      </w:pPr>
      <w:r>
        <w:rPr>
          <w:rStyle w:val="FootnoteReference"/>
        </w:rPr>
        <w:footnoteRef/>
      </w:r>
      <w:r>
        <w:t xml:space="preserve"> Source: ABS</w:t>
      </w:r>
    </w:p>
  </w:footnote>
  <w:footnote w:id="22">
    <w:p w14:paraId="504C1A63" w14:textId="3BD10F18" w:rsidR="00231255" w:rsidRDefault="00231255">
      <w:pPr>
        <w:pStyle w:val="FootnoteText"/>
      </w:pPr>
      <w:r>
        <w:rPr>
          <w:rStyle w:val="FootnoteReference"/>
        </w:rPr>
        <w:footnoteRef/>
      </w:r>
      <w:r>
        <w:t xml:space="preserve"> </w:t>
      </w:r>
      <w:hyperlink r:id="rId15" w:anchor="australias-ftas-have-broadened-our-markets" w:history="1">
        <w:r>
          <w:rPr>
            <w:rStyle w:val="Hyperlink"/>
          </w:rPr>
          <w:t xml:space="preserve">Stocktake of Free trade, </w:t>
        </w:r>
        <w:proofErr w:type="gramStart"/>
        <w:r>
          <w:rPr>
            <w:rStyle w:val="Hyperlink"/>
          </w:rPr>
          <w:t>competitiveness</w:t>
        </w:r>
        <w:proofErr w:type="gramEnd"/>
        <w:r>
          <w:rPr>
            <w:rStyle w:val="Hyperlink"/>
          </w:rPr>
          <w:t xml:space="preserve"> and a global world: How trade agreements are shaping agriculture - Department of Agriculture</w:t>
        </w:r>
      </w:hyperlink>
    </w:p>
  </w:footnote>
  <w:footnote w:id="23">
    <w:p w14:paraId="71A0AFD8" w14:textId="12771BAF" w:rsidR="00231255" w:rsidRDefault="00231255" w:rsidP="001A207A">
      <w:pPr>
        <w:pStyle w:val="FootnoteText"/>
      </w:pPr>
      <w:r>
        <w:rPr>
          <w:rStyle w:val="FootnoteReference"/>
        </w:rPr>
        <w:footnoteRef/>
      </w:r>
      <w:r>
        <w:t xml:space="preserve"> Wine Australia Media Release, 21 July 2021, see: </w:t>
      </w:r>
      <w:hyperlink r:id="rId16" w:history="1">
        <w:r w:rsidRPr="004364CB">
          <w:rPr>
            <w:rStyle w:val="Hyperlink"/>
          </w:rPr>
          <w:t>https://www.wineaustralia.com/news/media-releases/uk-exports-strong-in-wake-of-china-tariffs</w:t>
        </w:r>
      </w:hyperlink>
      <w:r>
        <w:t xml:space="preserve"> </w:t>
      </w:r>
    </w:p>
  </w:footnote>
  <w:footnote w:id="24">
    <w:p w14:paraId="3C86E349" w14:textId="77777777" w:rsidR="00231255" w:rsidRDefault="00231255" w:rsidP="001A207A">
      <w:pPr>
        <w:pStyle w:val="FootnoteText"/>
      </w:pPr>
      <w:r>
        <w:rPr>
          <w:rStyle w:val="FootnoteReference"/>
        </w:rPr>
        <w:footnoteRef/>
      </w:r>
      <w:r>
        <w:t xml:space="preserve"> Ibid.</w:t>
      </w:r>
    </w:p>
  </w:footnote>
  <w:footnote w:id="25">
    <w:p w14:paraId="7D8B8608" w14:textId="08807F22" w:rsidR="00231255" w:rsidRDefault="00231255" w:rsidP="00D1368D">
      <w:pPr>
        <w:pStyle w:val="FootnoteText"/>
      </w:pPr>
      <w:r>
        <w:rPr>
          <w:rStyle w:val="FootnoteReference"/>
        </w:rPr>
        <w:footnoteRef/>
      </w:r>
      <w:r>
        <w:t xml:space="preserve"> Beef Central, 19 May 2021, see: </w:t>
      </w:r>
      <w:hyperlink r:id="rId17" w:history="1">
        <w:r w:rsidRPr="004364CB">
          <w:rPr>
            <w:rStyle w:val="Hyperlink"/>
          </w:rPr>
          <w:t>https://www.beefcentral.com/trade/uk-farmers-concerned-about-tariff-free-access-for-australian-meat/</w:t>
        </w:r>
      </w:hyperlink>
      <w:r>
        <w:t xml:space="preserve"> </w:t>
      </w:r>
    </w:p>
  </w:footnote>
  <w:footnote w:id="26">
    <w:p w14:paraId="6CA1E1EE" w14:textId="77777777" w:rsidR="00231255" w:rsidRDefault="00231255" w:rsidP="00D1368D">
      <w:pPr>
        <w:pStyle w:val="FootnoteText"/>
      </w:pPr>
      <w:r>
        <w:rPr>
          <w:rStyle w:val="FootnoteReference"/>
        </w:rPr>
        <w:footnoteRef/>
      </w:r>
      <w:r>
        <w:t xml:space="preserve"> </w:t>
      </w:r>
      <w:r w:rsidRPr="007E7915">
        <w:t>Livestock and Meat Commission for Northern Ireland (LMC)</w:t>
      </w:r>
      <w:r>
        <w:t xml:space="preserve"> and Meat Management, 8 May 2021, see: </w:t>
      </w:r>
      <w:hyperlink r:id="rId18" w:history="1">
        <w:r w:rsidRPr="004F0318">
          <w:rPr>
            <w:rStyle w:val="Hyperlink"/>
          </w:rPr>
          <w:t>https://meatmanagement.com/beef-imports-into-the-uk-drop-by-3-in-2020/</w:t>
        </w:r>
      </w:hyperlink>
      <w:r>
        <w:t xml:space="preserve"> </w:t>
      </w:r>
    </w:p>
  </w:footnote>
  <w:footnote w:id="27">
    <w:p w14:paraId="77F63E3B" w14:textId="77777777" w:rsidR="00231255" w:rsidRDefault="00231255" w:rsidP="00D1368D">
      <w:pPr>
        <w:pStyle w:val="FootnoteText"/>
      </w:pPr>
      <w:r>
        <w:rPr>
          <w:rStyle w:val="FootnoteReference"/>
        </w:rPr>
        <w:footnoteRef/>
      </w:r>
      <w:r>
        <w:t xml:space="preserve"> Media Release, National Farmers’ Federation, 19 May 2021, </w:t>
      </w:r>
    </w:p>
  </w:footnote>
  <w:footnote w:id="28">
    <w:p w14:paraId="3CBE6222" w14:textId="77777777" w:rsidR="00231255" w:rsidRDefault="00231255" w:rsidP="00D1368D">
      <w:pPr>
        <w:pStyle w:val="FootnoteText"/>
      </w:pPr>
      <w:r>
        <w:rPr>
          <w:rStyle w:val="FootnoteReference"/>
        </w:rPr>
        <w:footnoteRef/>
      </w:r>
      <w:r>
        <w:t xml:space="preserve"> Data from Kantar Worldpanel, analysed by the Agriculture and Horticulture Development Board.</w:t>
      </w:r>
    </w:p>
  </w:footnote>
  <w:footnote w:id="29">
    <w:p w14:paraId="6EC78033" w14:textId="33CEE1E6" w:rsidR="00231255" w:rsidRDefault="00231255" w:rsidP="00D1368D">
      <w:pPr>
        <w:pStyle w:val="FootnoteText"/>
      </w:pPr>
      <w:r>
        <w:rPr>
          <w:rStyle w:val="FootnoteReference"/>
        </w:rPr>
        <w:footnoteRef/>
      </w:r>
      <w:r>
        <w:t xml:space="preserve"> Agriculture and Horticulture Development Board, April 2021, </w:t>
      </w:r>
      <w:r w:rsidRPr="009A3D6B">
        <w:rPr>
          <w:i/>
          <w:iCs/>
        </w:rPr>
        <w:t>Opportunities for the sheep sector</w:t>
      </w:r>
      <w:r>
        <w:t xml:space="preserve"> </w:t>
      </w:r>
      <w:hyperlink r:id="rId19" w:history="1">
        <w:r>
          <w:rPr>
            <w:rStyle w:val="Hyperlink"/>
          </w:rPr>
          <w:t>Opportunities for the sheep sector | AHDB</w:t>
        </w:r>
      </w:hyperlink>
    </w:p>
  </w:footnote>
  <w:footnote w:id="30">
    <w:p w14:paraId="768E1A29" w14:textId="77777777" w:rsidR="00231255" w:rsidRPr="009A3D6B" w:rsidRDefault="00231255" w:rsidP="00D1368D">
      <w:pPr>
        <w:pStyle w:val="FootnoteText"/>
      </w:pPr>
      <w:r>
        <w:rPr>
          <w:rStyle w:val="FootnoteReference"/>
        </w:rPr>
        <w:footnoteRef/>
      </w:r>
      <w:r>
        <w:t xml:space="preserve"> April 2021, </w:t>
      </w:r>
      <w:r w:rsidRPr="009A3D6B">
        <w:rPr>
          <w:i/>
          <w:iCs/>
        </w:rPr>
        <w:t>Opportunities for the sheep sector</w:t>
      </w:r>
      <w:r>
        <w:t>.</w:t>
      </w:r>
    </w:p>
  </w:footnote>
  <w:footnote w:id="31">
    <w:p w14:paraId="448E9DFE" w14:textId="77777777" w:rsidR="00231255" w:rsidRDefault="00231255" w:rsidP="00D1368D">
      <w:pPr>
        <w:pStyle w:val="FootnoteText"/>
      </w:pPr>
      <w:r>
        <w:rPr>
          <w:rStyle w:val="FootnoteReference"/>
        </w:rPr>
        <w:footnoteRef/>
      </w:r>
      <w:r>
        <w:t xml:space="preserve"> Ibid.</w:t>
      </w:r>
    </w:p>
  </w:footnote>
  <w:footnote w:id="32">
    <w:p w14:paraId="2E4FDFEF" w14:textId="77777777" w:rsidR="00231255" w:rsidRDefault="00231255" w:rsidP="00D1368D">
      <w:pPr>
        <w:pStyle w:val="FootnoteText"/>
      </w:pPr>
      <w:r>
        <w:rPr>
          <w:rStyle w:val="FootnoteReference"/>
        </w:rPr>
        <w:footnoteRef/>
      </w:r>
      <w:r>
        <w:t xml:space="preserve"> Meat and Livestock Australia, February 2021, </w:t>
      </w:r>
      <w:r w:rsidRPr="008D1921">
        <w:rPr>
          <w:i/>
          <w:iCs/>
        </w:rPr>
        <w:t xml:space="preserve">Global </w:t>
      </w:r>
      <w:proofErr w:type="spellStart"/>
      <w:r w:rsidRPr="008D1921">
        <w:rPr>
          <w:i/>
          <w:iCs/>
        </w:rPr>
        <w:t>sheepmeat</w:t>
      </w:r>
      <w:proofErr w:type="spellEnd"/>
      <w:r w:rsidRPr="008D1921">
        <w:rPr>
          <w:i/>
          <w:iCs/>
        </w:rPr>
        <w:t xml:space="preserve"> industry and trade report</w:t>
      </w:r>
    </w:p>
  </w:footnote>
  <w:footnote w:id="33">
    <w:p w14:paraId="0FD74CA1" w14:textId="720DF85A" w:rsidR="00231255" w:rsidRDefault="00231255" w:rsidP="00D1368D">
      <w:pPr>
        <w:pStyle w:val="FootnoteText"/>
      </w:pPr>
      <w:r>
        <w:rPr>
          <w:rStyle w:val="FootnoteReference"/>
        </w:rPr>
        <w:footnoteRef/>
      </w:r>
      <w:r>
        <w:t xml:space="preserve"> Media release, 16 June 2021, Australian Sugar Milling Council, see: </w:t>
      </w:r>
      <w:hyperlink r:id="rId20" w:history="1">
        <w:r w:rsidRPr="004364CB">
          <w:rPr>
            <w:rStyle w:val="Hyperlink"/>
          </w:rPr>
          <w:t>https://asmc.com.au/new-uk-australia-free-trade-deal-stirs-sugar-industry-confidence-16-june-2021/</w:t>
        </w:r>
      </w:hyperlink>
      <w:r>
        <w:t xml:space="preserve"> </w:t>
      </w:r>
    </w:p>
  </w:footnote>
  <w:footnote w:id="34">
    <w:p w14:paraId="51A379DB" w14:textId="77777777" w:rsidR="00231255" w:rsidRDefault="00231255" w:rsidP="00D1368D">
      <w:pPr>
        <w:pStyle w:val="FootnoteText"/>
      </w:pPr>
      <w:r>
        <w:rPr>
          <w:rStyle w:val="FootnoteReference"/>
        </w:rPr>
        <w:footnoteRef/>
      </w:r>
      <w:r>
        <w:t xml:space="preserve"> Australian Sugar Milling Council 2021.</w:t>
      </w:r>
    </w:p>
  </w:footnote>
  <w:footnote w:id="35">
    <w:p w14:paraId="07869756" w14:textId="0D2DBFF1" w:rsidR="00231255" w:rsidRDefault="00231255" w:rsidP="00D1368D">
      <w:pPr>
        <w:pStyle w:val="FootnoteText"/>
      </w:pPr>
      <w:r>
        <w:rPr>
          <w:rStyle w:val="FootnoteReference"/>
        </w:rPr>
        <w:footnoteRef/>
      </w:r>
      <w:r>
        <w:t xml:space="preserve"> Media Release, April 7 2021, </w:t>
      </w:r>
      <w:proofErr w:type="gramStart"/>
      <w:r>
        <w:t>Canegrowers ,see</w:t>
      </w:r>
      <w:proofErr w:type="gramEnd"/>
      <w:r>
        <w:t xml:space="preserve">: </w:t>
      </w:r>
      <w:hyperlink r:id="rId21" w:history="1">
        <w:r w:rsidRPr="004364CB">
          <w:rPr>
            <w:rStyle w:val="Hyperlink"/>
          </w:rPr>
          <w:t>https://www.canegrowers.com.au/page/media/media-releases/2021/australia-now-second-biggest-raw-sugar-exporter</w:t>
        </w:r>
      </w:hyperlink>
      <w:r>
        <w:t xml:space="preserve"> </w:t>
      </w:r>
    </w:p>
  </w:footnote>
  <w:footnote w:id="36">
    <w:p w14:paraId="51686A60" w14:textId="77777777" w:rsidR="00231255" w:rsidRDefault="00231255" w:rsidP="00D1368D">
      <w:pPr>
        <w:pStyle w:val="FootnoteText"/>
      </w:pPr>
      <w:r>
        <w:rPr>
          <w:rStyle w:val="FootnoteReference"/>
        </w:rPr>
        <w:footnoteRef/>
      </w:r>
      <w:r>
        <w:t xml:space="preserve"> Ibid.</w:t>
      </w:r>
    </w:p>
  </w:footnote>
  <w:footnote w:id="37">
    <w:p w14:paraId="2DC5BE31" w14:textId="77777777" w:rsidR="00231255" w:rsidRPr="00B848E6" w:rsidRDefault="00231255" w:rsidP="00D1368D">
      <w:pPr>
        <w:pStyle w:val="FootnoteText"/>
      </w:pPr>
      <w:r>
        <w:rPr>
          <w:rStyle w:val="FootnoteReference"/>
        </w:rPr>
        <w:footnoteRef/>
      </w:r>
      <w:r>
        <w:t xml:space="preserve"> </w:t>
      </w:r>
      <w:proofErr w:type="spellStart"/>
      <w:r>
        <w:t>Eastick</w:t>
      </w:r>
      <w:proofErr w:type="spellEnd"/>
      <w:r>
        <w:t xml:space="preserve">, B (2021), </w:t>
      </w:r>
      <w:r w:rsidRPr="00B848E6">
        <w:rPr>
          <w:i/>
          <w:iCs/>
        </w:rPr>
        <w:t>Global Sugar Market Report 2021/22</w:t>
      </w:r>
      <w:r w:rsidRPr="00B848E6">
        <w:t>,</w:t>
      </w:r>
      <w:r>
        <w:t xml:space="preserve"> see: </w:t>
      </w:r>
      <w:hyperlink r:id="rId22" w:history="1">
        <w:r w:rsidRPr="008364C2">
          <w:rPr>
            <w:rStyle w:val="Hyperlink"/>
          </w:rPr>
          <w:t>https://www.ragus.co.uk/global-sugar-market-report-2021-22/</w:t>
        </w:r>
      </w:hyperlink>
      <w:r>
        <w:t xml:space="preserve"> </w:t>
      </w:r>
    </w:p>
  </w:footnote>
  <w:footnote w:id="38">
    <w:p w14:paraId="58DC71A0" w14:textId="77777777" w:rsidR="00231255" w:rsidRPr="002F295D" w:rsidRDefault="00231255" w:rsidP="005766DC">
      <w:pPr>
        <w:pStyle w:val="FootnoteText"/>
        <w:rPr>
          <w:i/>
          <w:iCs/>
        </w:rPr>
      </w:pPr>
      <w:r>
        <w:rPr>
          <w:rStyle w:val="FootnoteReference"/>
        </w:rPr>
        <w:footnoteRef/>
      </w:r>
      <w:r>
        <w:t xml:space="preserve"> Dairy Australia, 2020, </w:t>
      </w:r>
      <w:r>
        <w:rPr>
          <w:i/>
          <w:iCs/>
        </w:rPr>
        <w:t>Australian Dairy Industry in Focus 2020</w:t>
      </w:r>
    </w:p>
  </w:footnote>
  <w:footnote w:id="39">
    <w:p w14:paraId="1BFFF858" w14:textId="77777777" w:rsidR="00231255" w:rsidRDefault="00231255" w:rsidP="005766DC">
      <w:pPr>
        <w:pStyle w:val="FootnoteText"/>
      </w:pPr>
      <w:r>
        <w:rPr>
          <w:rStyle w:val="FootnoteReference"/>
        </w:rPr>
        <w:footnoteRef/>
      </w:r>
      <w:r>
        <w:t xml:space="preserve"> Ibid.</w:t>
      </w:r>
    </w:p>
  </w:footnote>
  <w:footnote w:id="40">
    <w:p w14:paraId="45E70D0D" w14:textId="77777777" w:rsidR="00231255" w:rsidRDefault="00231255" w:rsidP="005766DC">
      <w:pPr>
        <w:pStyle w:val="FootnoteText"/>
      </w:pPr>
      <w:r>
        <w:rPr>
          <w:rStyle w:val="FootnoteReference"/>
        </w:rPr>
        <w:footnoteRef/>
      </w:r>
      <w:r>
        <w:t xml:space="preserve"> Ibid.</w:t>
      </w:r>
    </w:p>
  </w:footnote>
  <w:footnote w:id="41">
    <w:p w14:paraId="4BEC97B2" w14:textId="77777777" w:rsidR="00231255" w:rsidRDefault="00231255" w:rsidP="005766DC">
      <w:pPr>
        <w:pStyle w:val="FootnoteText"/>
      </w:pPr>
      <w:r>
        <w:rPr>
          <w:rStyle w:val="FootnoteReference"/>
        </w:rPr>
        <w:footnoteRef/>
      </w:r>
      <w:r>
        <w:t xml:space="preserve"> Ibid.</w:t>
      </w:r>
    </w:p>
  </w:footnote>
  <w:footnote w:id="42">
    <w:p w14:paraId="4E8457B0" w14:textId="77777777" w:rsidR="00231255" w:rsidRDefault="00231255" w:rsidP="005766DC">
      <w:pPr>
        <w:pStyle w:val="FootnoteText"/>
      </w:pPr>
      <w:r>
        <w:rPr>
          <w:rStyle w:val="FootnoteReference"/>
        </w:rPr>
        <w:footnoteRef/>
      </w:r>
      <w:r>
        <w:t xml:space="preserve"> </w:t>
      </w:r>
      <w:proofErr w:type="spellStart"/>
      <w:r>
        <w:t>Uberoi</w:t>
      </w:r>
      <w:proofErr w:type="spellEnd"/>
      <w:r>
        <w:t xml:space="preserve">, E. (2021) </w:t>
      </w:r>
      <w:r w:rsidRPr="00A276F2">
        <w:rPr>
          <w:i/>
          <w:iCs/>
        </w:rPr>
        <w:t>UK dairy industry statistics</w:t>
      </w:r>
      <w:r>
        <w:t>, House of Commons Library.</w:t>
      </w:r>
    </w:p>
  </w:footnote>
  <w:footnote w:id="43">
    <w:p w14:paraId="229D5E6D" w14:textId="77777777" w:rsidR="00231255" w:rsidRPr="00E75DB2" w:rsidRDefault="00231255" w:rsidP="000A1984">
      <w:pPr>
        <w:pStyle w:val="FootnoteText"/>
      </w:pPr>
      <w:r>
        <w:rPr>
          <w:rStyle w:val="FootnoteReference"/>
        </w:rPr>
        <w:footnoteRef/>
      </w:r>
      <w:r>
        <w:t xml:space="preserve"> </w:t>
      </w:r>
      <w:r w:rsidRPr="002E1169">
        <w:t>Agriculture and Horticulture Development Board 2021</w:t>
      </w:r>
      <w:r>
        <w:t xml:space="preserve">, </w:t>
      </w:r>
      <w:r w:rsidRPr="002E1169">
        <w:rPr>
          <w:i/>
          <w:iCs/>
        </w:rPr>
        <w:t>UK dairy trade balance</w:t>
      </w:r>
      <w:r>
        <w:t>.</w:t>
      </w:r>
    </w:p>
  </w:footnote>
  <w:footnote w:id="44">
    <w:p w14:paraId="71A3B2C3" w14:textId="515B1763" w:rsidR="00231255" w:rsidRDefault="00231255">
      <w:pPr>
        <w:pStyle w:val="FootnoteText"/>
      </w:pPr>
      <w:r>
        <w:rPr>
          <w:rStyle w:val="FootnoteReference"/>
        </w:rPr>
        <w:footnoteRef/>
      </w:r>
      <w:r>
        <w:t xml:space="preserve"> </w:t>
      </w:r>
      <w:hyperlink r:id="rId23" w:anchor="internationaldairymarket" w:history="1">
        <w:r>
          <w:rPr>
            <w:rStyle w:val="Hyperlink"/>
          </w:rPr>
          <w:t>The UK Dairy industry | Dairy UK</w:t>
        </w:r>
      </w:hyperlink>
    </w:p>
  </w:footnote>
  <w:footnote w:id="45">
    <w:p w14:paraId="456B9047" w14:textId="1D850DE7" w:rsidR="00231255" w:rsidRDefault="00231255" w:rsidP="00A47044">
      <w:pPr>
        <w:pStyle w:val="FootnoteText"/>
      </w:pPr>
      <w:r>
        <w:rPr>
          <w:rStyle w:val="FootnoteReference"/>
        </w:rPr>
        <w:footnoteRef/>
      </w:r>
      <w:r>
        <w:t xml:space="preserve"> Grain Central, “</w:t>
      </w:r>
      <w:r w:rsidRPr="00ED507E">
        <w:t>Australian rice a big winner in UK trade agreement</w:t>
      </w:r>
      <w:r>
        <w:t xml:space="preserve">”, 16 June 2021, see: </w:t>
      </w:r>
      <w:hyperlink r:id="rId24" w:history="1">
        <w:r w:rsidRPr="004364CB">
          <w:rPr>
            <w:rStyle w:val="Hyperlink"/>
          </w:rPr>
          <w:t>https://www.graincentral.com/news/australian-rice-a-big-winner-in-uk-trade-agreement/</w:t>
        </w:r>
      </w:hyperlink>
      <w:r>
        <w:t xml:space="preserve"> </w:t>
      </w:r>
    </w:p>
  </w:footnote>
  <w:footnote w:id="46">
    <w:p w14:paraId="7894B25A" w14:textId="77777777" w:rsidR="00231255" w:rsidRDefault="00231255" w:rsidP="000A1984">
      <w:pPr>
        <w:pStyle w:val="FootnoteText"/>
      </w:pPr>
      <w:r>
        <w:rPr>
          <w:rStyle w:val="FootnoteReference"/>
        </w:rPr>
        <w:footnoteRef/>
      </w:r>
      <w:r>
        <w:t xml:space="preserve"> Data from UN COMTRADE on </w:t>
      </w:r>
      <w:r w:rsidRPr="00E04F98">
        <w:t>Observatory of Economic Complexity</w:t>
      </w:r>
      <w:r>
        <w:t xml:space="preserve"> (2021), “Rice in the United Kingdom”, see: </w:t>
      </w:r>
      <w:hyperlink r:id="rId25" w:history="1">
        <w:r w:rsidRPr="004364CB">
          <w:rPr>
            <w:rStyle w:val="Hyperlink"/>
          </w:rPr>
          <w:t>https://oec.world/en/profile/bilateral-product/rice/reporter/gbr</w:t>
        </w:r>
      </w:hyperlink>
      <w:r>
        <w:t xml:space="preserve"> </w:t>
      </w:r>
    </w:p>
  </w:footnote>
  <w:footnote w:id="47">
    <w:p w14:paraId="7B8B21B9" w14:textId="77777777" w:rsidR="00231255" w:rsidRDefault="00231255" w:rsidP="000A1984">
      <w:pPr>
        <w:pStyle w:val="FootnoteText"/>
      </w:pPr>
      <w:r>
        <w:rPr>
          <w:rStyle w:val="FootnoteReference"/>
        </w:rPr>
        <w:footnoteRef/>
      </w:r>
      <w:r>
        <w:t xml:space="preserve"> Ibid.</w:t>
      </w:r>
    </w:p>
  </w:footnote>
  <w:footnote w:id="48">
    <w:p w14:paraId="1BD7941A" w14:textId="6D4314DD" w:rsidR="00231255" w:rsidRDefault="00231255" w:rsidP="00A47044">
      <w:pPr>
        <w:pStyle w:val="FootnoteText"/>
      </w:pPr>
      <w:r>
        <w:rPr>
          <w:rStyle w:val="FootnoteReference"/>
        </w:rPr>
        <w:footnoteRef/>
      </w:r>
      <w:r>
        <w:t xml:space="preserve"> Fell et al (2021), “</w:t>
      </w:r>
      <w:r w:rsidRPr="00903151">
        <w:t>Australian rice markets in 2020</w:t>
      </w:r>
      <w:r>
        <w:t xml:space="preserve">”, Department of Agriculture, </w:t>
      </w:r>
      <w:proofErr w:type="gramStart"/>
      <w:r>
        <w:t>Water</w:t>
      </w:r>
      <w:proofErr w:type="gramEnd"/>
      <w:r>
        <w:t xml:space="preserve"> and the Environment, see: </w:t>
      </w:r>
      <w:hyperlink r:id="rId26" w:history="1">
        <w:r w:rsidRPr="004364CB">
          <w:rPr>
            <w:rStyle w:val="Hyperlink"/>
          </w:rPr>
          <w:t>https://www.agriculture.gov.au/abares/research-topics/agricultural-outlook/rice</w:t>
        </w:r>
      </w:hyperlink>
      <w:r>
        <w:t xml:space="preserve"> </w:t>
      </w:r>
    </w:p>
  </w:footnote>
  <w:footnote w:id="49">
    <w:p w14:paraId="38596670" w14:textId="77777777" w:rsidR="00231255" w:rsidRDefault="00231255" w:rsidP="00A47044">
      <w:pPr>
        <w:pStyle w:val="FootnoteText"/>
      </w:pPr>
      <w:r>
        <w:rPr>
          <w:rStyle w:val="FootnoteReference"/>
        </w:rPr>
        <w:footnoteRef/>
      </w:r>
      <w:r>
        <w:t xml:space="preserve"> Ibid.</w:t>
      </w:r>
    </w:p>
  </w:footnote>
  <w:footnote w:id="50">
    <w:p w14:paraId="084B6F49" w14:textId="154BFAC3" w:rsidR="00231255" w:rsidRDefault="00231255">
      <w:pPr>
        <w:pStyle w:val="FootnoteText"/>
      </w:pPr>
      <w:r>
        <w:rPr>
          <w:rStyle w:val="FootnoteReference"/>
        </w:rPr>
        <w:footnoteRef/>
      </w:r>
      <w:r>
        <w:t xml:space="preserve"> </w:t>
      </w:r>
      <w:hyperlink r:id="rId27" w:history="1">
        <w:r>
          <w:rPr>
            <w:rStyle w:val="Hyperlink"/>
          </w:rPr>
          <w:t>Australia's seafood trade - Department of Agriculture</w:t>
        </w:r>
      </w:hyperlink>
    </w:p>
  </w:footnote>
  <w:footnote w:id="51">
    <w:p w14:paraId="7EDE19CB" w14:textId="77777777" w:rsidR="00231255" w:rsidRDefault="00231255" w:rsidP="00A47044">
      <w:pPr>
        <w:pStyle w:val="FootnoteText"/>
      </w:pPr>
      <w:r>
        <w:rPr>
          <w:rStyle w:val="FootnoteReference"/>
        </w:rPr>
        <w:footnoteRef/>
      </w:r>
      <w:r>
        <w:t xml:space="preserve"> </w:t>
      </w:r>
      <w:hyperlink r:id="rId28" w:anchor="rock-lobster" w:history="1">
        <w:r>
          <w:rPr>
            <w:rStyle w:val="Hyperlink"/>
          </w:rPr>
          <w:t>Australian fisheries and aquaculture outlook 2021 - Department of Agriculture</w:t>
        </w:r>
      </w:hyperlink>
    </w:p>
  </w:footnote>
  <w:footnote w:id="52">
    <w:p w14:paraId="4F11A1D1" w14:textId="57251A84" w:rsidR="00231255" w:rsidRDefault="00231255">
      <w:pPr>
        <w:pStyle w:val="FootnoteText"/>
      </w:pPr>
      <w:r>
        <w:rPr>
          <w:rStyle w:val="FootnoteReference"/>
        </w:rPr>
        <w:footnoteRef/>
      </w:r>
      <w:r>
        <w:t xml:space="preserve"> Ibid.</w:t>
      </w:r>
    </w:p>
  </w:footnote>
  <w:footnote w:id="53">
    <w:p w14:paraId="51012668" w14:textId="62990FF5" w:rsidR="00231255" w:rsidRDefault="00231255">
      <w:pPr>
        <w:pStyle w:val="FootnoteText"/>
      </w:pPr>
      <w:r>
        <w:rPr>
          <w:rStyle w:val="FootnoteReference"/>
        </w:rPr>
        <w:footnoteRef/>
      </w:r>
      <w:r>
        <w:t xml:space="preserve"> </w:t>
      </w:r>
      <w:hyperlink r:id="rId29" w:anchor="rock-lobster" w:history="1">
        <w:r>
          <w:rPr>
            <w:rStyle w:val="Hyperlink"/>
          </w:rPr>
          <w:t>Australian fisheries and aquaculture outlook 2021 - Department of Agriculture</w:t>
        </w:r>
      </w:hyperlink>
    </w:p>
  </w:footnote>
  <w:footnote w:id="54">
    <w:p w14:paraId="54EC6E83" w14:textId="77777777" w:rsidR="00231255" w:rsidRDefault="00231255" w:rsidP="007D0A46">
      <w:pPr>
        <w:pStyle w:val="FootnoteText"/>
      </w:pPr>
      <w:r>
        <w:rPr>
          <w:rStyle w:val="FootnoteReference"/>
        </w:rPr>
        <w:footnoteRef/>
      </w:r>
      <w:r>
        <w:t xml:space="preserve"> </w:t>
      </w:r>
      <w:hyperlink r:id="rId30" w:history="1">
        <w:r w:rsidRPr="00BC288A">
          <w:rPr>
            <w:rStyle w:val="Hyperlink"/>
          </w:rPr>
          <w:t>https://www.dfat.gov.au/sites/default/files/aukfta-submission-austral-fisheries.pdf</w:t>
        </w:r>
      </w:hyperlink>
      <w:r>
        <w:t xml:space="preserve"> </w:t>
      </w:r>
    </w:p>
  </w:footnote>
  <w:footnote w:id="55">
    <w:p w14:paraId="6A4B21FE" w14:textId="78D78FDB" w:rsidR="00231255" w:rsidRDefault="00231255">
      <w:pPr>
        <w:pStyle w:val="FootnoteText"/>
      </w:pPr>
      <w:r>
        <w:rPr>
          <w:rStyle w:val="FootnoteReference"/>
        </w:rPr>
        <w:footnoteRef/>
      </w:r>
      <w:r>
        <w:t xml:space="preserve"> </w:t>
      </w:r>
      <w:hyperlink r:id="rId31" w:history="1">
        <w:r>
          <w:rPr>
            <w:rStyle w:val="Hyperlink"/>
          </w:rPr>
          <w:t xml:space="preserve">Reports — Australian </w:t>
        </w:r>
        <w:proofErr w:type="gramStart"/>
        <w:r>
          <w:rPr>
            <w:rStyle w:val="Hyperlink"/>
          </w:rPr>
          <w:t>Honey Bee</w:t>
        </w:r>
        <w:proofErr w:type="gramEnd"/>
        <w:r>
          <w:rPr>
            <w:rStyle w:val="Hyperlink"/>
          </w:rPr>
          <w:t xml:space="preserve"> Industry Council</w:t>
        </w:r>
      </w:hyperlink>
    </w:p>
  </w:footnote>
  <w:footnote w:id="56">
    <w:p w14:paraId="4AD858A4" w14:textId="118948F9" w:rsidR="00231255" w:rsidRDefault="00231255">
      <w:pPr>
        <w:pStyle w:val="FootnoteText"/>
      </w:pPr>
      <w:r>
        <w:rPr>
          <w:rStyle w:val="FootnoteReference"/>
        </w:rPr>
        <w:footnoteRef/>
      </w:r>
      <w:r>
        <w:t xml:space="preserve"> </w:t>
      </w:r>
      <w:r w:rsidRPr="00C023B9">
        <w:rPr>
          <w:rStyle w:val="Hyperlink"/>
          <w:color w:val="auto"/>
          <w:u w:val="none"/>
        </w:rPr>
        <w:t>Australian Horticulture Statistics Handbook 2019/20</w:t>
      </w:r>
      <w:r>
        <w:rPr>
          <w:rStyle w:val="Hyperlink"/>
          <w:color w:val="auto"/>
          <w:u w:val="none"/>
        </w:rPr>
        <w:t xml:space="preserve">, </w:t>
      </w:r>
      <w:hyperlink r:id="rId32" w:history="1">
        <w:r>
          <w:rPr>
            <w:rStyle w:val="Hyperlink"/>
          </w:rPr>
          <w:t>Horticulture fact sheet - Department of Agriculture</w:t>
        </w:r>
      </w:hyperlink>
    </w:p>
  </w:footnote>
  <w:footnote w:id="57">
    <w:p w14:paraId="77759CAF" w14:textId="141F9EB2" w:rsidR="00231255" w:rsidRDefault="00231255">
      <w:pPr>
        <w:pStyle w:val="FootnoteText"/>
      </w:pPr>
      <w:r>
        <w:rPr>
          <w:rStyle w:val="FootnoteReference"/>
        </w:rPr>
        <w:footnoteRef/>
      </w:r>
      <w:r>
        <w:t xml:space="preserve"> Ibid.</w:t>
      </w:r>
    </w:p>
  </w:footnote>
  <w:footnote w:id="58">
    <w:p w14:paraId="647C0D71" w14:textId="040749B8" w:rsidR="00231255" w:rsidRDefault="00231255">
      <w:pPr>
        <w:pStyle w:val="FootnoteText"/>
      </w:pPr>
      <w:r>
        <w:rPr>
          <w:rStyle w:val="FootnoteReference"/>
        </w:rPr>
        <w:footnoteRef/>
      </w:r>
      <w:r>
        <w:t xml:space="preserve"> Ibid.</w:t>
      </w:r>
    </w:p>
  </w:footnote>
  <w:footnote w:id="59">
    <w:p w14:paraId="3349E36A" w14:textId="3F3150AB" w:rsidR="00231255" w:rsidRDefault="00231255">
      <w:pPr>
        <w:pStyle w:val="FootnoteText"/>
      </w:pPr>
      <w:r>
        <w:rPr>
          <w:rStyle w:val="FootnoteReference"/>
        </w:rPr>
        <w:footnoteRef/>
      </w:r>
      <w:r>
        <w:t xml:space="preserve"> Ibid.</w:t>
      </w:r>
    </w:p>
  </w:footnote>
  <w:footnote w:id="60">
    <w:p w14:paraId="5771BC25" w14:textId="212FA53D" w:rsidR="00231255" w:rsidRDefault="00231255">
      <w:pPr>
        <w:pStyle w:val="FootnoteText"/>
      </w:pPr>
      <w:r>
        <w:rPr>
          <w:rStyle w:val="FootnoteReference"/>
        </w:rPr>
        <w:footnoteRef/>
      </w:r>
      <w:r>
        <w:t xml:space="preserve"> </w:t>
      </w:r>
      <w:hyperlink r:id="rId33" w:history="1">
        <w:r>
          <w:rPr>
            <w:rStyle w:val="Hyperlink"/>
          </w:rPr>
          <w:t>Australian Nut Industry Council - Australia-UK FTA submission (dfat.gov.au)</w:t>
        </w:r>
      </w:hyperlink>
    </w:p>
  </w:footnote>
  <w:footnote w:id="61">
    <w:p w14:paraId="71E2026C" w14:textId="75FFAD21" w:rsidR="00231255" w:rsidRDefault="00231255">
      <w:pPr>
        <w:pStyle w:val="FootnoteText"/>
      </w:pPr>
      <w:r>
        <w:rPr>
          <w:rStyle w:val="FootnoteReference"/>
        </w:rPr>
        <w:footnoteRef/>
      </w:r>
      <w:r>
        <w:t xml:space="preserve"> </w:t>
      </w:r>
      <w:hyperlink r:id="rId34" w:history="1">
        <w:r>
          <w:rPr>
            <w:rStyle w:val="Hyperlink"/>
          </w:rPr>
          <w:t>Australia–United Kingdom: Natural trading partners - Austrade</w:t>
        </w:r>
      </w:hyperlink>
    </w:p>
  </w:footnote>
  <w:footnote w:id="62">
    <w:p w14:paraId="544BD62B" w14:textId="33DCA43F" w:rsidR="00231255" w:rsidRDefault="00231255">
      <w:pPr>
        <w:pStyle w:val="FootnoteText"/>
      </w:pPr>
      <w:r>
        <w:rPr>
          <w:rStyle w:val="FootnoteReference"/>
        </w:rPr>
        <w:footnoteRef/>
      </w:r>
      <w:r>
        <w:t xml:space="preserve"> </w:t>
      </w:r>
      <w:hyperlink r:id="rId35" w:history="1">
        <w:r>
          <w:rPr>
            <w:rStyle w:val="Hyperlink"/>
          </w:rPr>
          <w:t>Agricultural Commodities September 2021 (sirsidynix.net.au)</w:t>
        </w:r>
      </w:hyperlink>
    </w:p>
  </w:footnote>
  <w:footnote w:id="63">
    <w:p w14:paraId="183E92A8" w14:textId="0FBB04BF" w:rsidR="00231255" w:rsidRDefault="00231255">
      <w:pPr>
        <w:pStyle w:val="FootnoteText"/>
      </w:pPr>
      <w:r>
        <w:rPr>
          <w:rStyle w:val="FootnoteReference"/>
        </w:rPr>
        <w:footnoteRef/>
      </w:r>
      <w:r>
        <w:t xml:space="preserve"> </w:t>
      </w:r>
      <w:hyperlink r:id="rId36" w:history="1">
        <w:r>
          <w:rPr>
            <w:rStyle w:val="Hyperlink"/>
          </w:rPr>
          <w:t>Wheat: September quarter 2021 - Department of Agriculture</w:t>
        </w:r>
      </w:hyperlink>
    </w:p>
  </w:footnote>
  <w:footnote w:id="64">
    <w:p w14:paraId="4A5B673E" w14:textId="7B92D088" w:rsidR="00231255" w:rsidRDefault="00231255">
      <w:pPr>
        <w:pStyle w:val="FootnoteText"/>
      </w:pPr>
      <w:r>
        <w:rPr>
          <w:rStyle w:val="FootnoteReference"/>
        </w:rPr>
        <w:footnoteRef/>
      </w:r>
      <w:r>
        <w:t xml:space="preserve"> Ibid.</w:t>
      </w:r>
    </w:p>
  </w:footnote>
  <w:footnote w:id="65">
    <w:p w14:paraId="1D22C804" w14:textId="1DA22425" w:rsidR="00231255" w:rsidRDefault="00231255">
      <w:pPr>
        <w:pStyle w:val="FootnoteText"/>
      </w:pPr>
      <w:r>
        <w:rPr>
          <w:rStyle w:val="FootnoteReference"/>
        </w:rPr>
        <w:footnoteRef/>
      </w:r>
      <w:r>
        <w:t xml:space="preserve"> Ibid. </w:t>
      </w:r>
    </w:p>
  </w:footnote>
  <w:footnote w:id="66">
    <w:p w14:paraId="7C0CD9FB" w14:textId="7A627819" w:rsidR="00231255" w:rsidRDefault="00231255">
      <w:pPr>
        <w:pStyle w:val="FootnoteText"/>
      </w:pPr>
      <w:r>
        <w:rPr>
          <w:rStyle w:val="FootnoteReference"/>
        </w:rPr>
        <w:footnoteRef/>
      </w:r>
      <w:r>
        <w:t xml:space="preserve"> </w:t>
      </w:r>
      <w:hyperlink r:id="rId37" w:history="1">
        <w:r>
          <w:rPr>
            <w:rStyle w:val="Hyperlink"/>
          </w:rPr>
          <w:t>The future of the Australian processed food sector – Parliament of Australia (aph.gov.au)</w:t>
        </w:r>
      </w:hyperlink>
    </w:p>
  </w:footnote>
  <w:footnote w:id="67">
    <w:p w14:paraId="069C85B0" w14:textId="2376751A" w:rsidR="00231255" w:rsidRDefault="00231255">
      <w:pPr>
        <w:pStyle w:val="FootnoteText"/>
      </w:pPr>
      <w:r>
        <w:rPr>
          <w:rStyle w:val="FootnoteReference"/>
        </w:rPr>
        <w:footnoteRef/>
      </w:r>
      <w:r>
        <w:t xml:space="preserve"> </w:t>
      </w:r>
      <w:hyperlink r:id="rId38" w:history="1">
        <w:r>
          <w:rPr>
            <w:rStyle w:val="Hyperlink"/>
          </w:rPr>
          <w:t>Inquiry into Australia's food processing sector – Parliament of Australia (aph.gov.au)</w:t>
        </w:r>
      </w:hyperlink>
    </w:p>
  </w:footnote>
  <w:footnote w:id="68">
    <w:p w14:paraId="4BAD6CF0" w14:textId="77777777" w:rsidR="00231255" w:rsidRDefault="00231255" w:rsidP="00CE5992">
      <w:pPr>
        <w:pStyle w:val="FootnoteText"/>
      </w:pPr>
      <w:r>
        <w:rPr>
          <w:rStyle w:val="FootnoteReference"/>
        </w:rPr>
        <w:footnoteRef/>
      </w:r>
      <w:r>
        <w:t xml:space="preserve"> Source: ABS</w:t>
      </w:r>
    </w:p>
  </w:footnote>
  <w:footnote w:id="69">
    <w:p w14:paraId="69AF4FE1" w14:textId="77777777" w:rsidR="00231255" w:rsidRDefault="00231255" w:rsidP="00CE5992">
      <w:pPr>
        <w:pStyle w:val="FootnoteText"/>
      </w:pPr>
      <w:r>
        <w:rPr>
          <w:rStyle w:val="FootnoteReference"/>
        </w:rPr>
        <w:footnoteRef/>
      </w:r>
      <w:r>
        <w:t xml:space="preserve"> </w:t>
      </w:r>
      <w:hyperlink r:id="rId39" w:history="1">
        <w:r>
          <w:rPr>
            <w:rStyle w:val="Hyperlink"/>
          </w:rPr>
          <w:t>Show me the way to the next whisky boom | Deloitte Australia | Consumer business, Agribusiness</w:t>
        </w:r>
      </w:hyperlink>
    </w:p>
  </w:footnote>
  <w:footnote w:id="70">
    <w:p w14:paraId="05984A20" w14:textId="77777777" w:rsidR="00231255" w:rsidRDefault="00231255" w:rsidP="00CE5992">
      <w:pPr>
        <w:pStyle w:val="FootnoteText"/>
      </w:pPr>
      <w:r>
        <w:rPr>
          <w:rStyle w:val="FootnoteReference"/>
        </w:rPr>
        <w:footnoteRef/>
      </w:r>
      <w:r>
        <w:t xml:space="preserve"> Ibid.</w:t>
      </w:r>
    </w:p>
  </w:footnote>
  <w:footnote w:id="71">
    <w:p w14:paraId="3E6069DE" w14:textId="77777777" w:rsidR="00231255" w:rsidRDefault="00231255" w:rsidP="00CE5992">
      <w:pPr>
        <w:pStyle w:val="FootnoteText"/>
      </w:pPr>
      <w:r>
        <w:rPr>
          <w:rStyle w:val="FootnoteReference"/>
        </w:rPr>
        <w:footnoteRef/>
      </w:r>
      <w:r>
        <w:t xml:space="preserve"> </w:t>
      </w:r>
      <w:hyperlink r:id="rId40" w:history="1">
        <w:r>
          <w:rPr>
            <w:rStyle w:val="Hyperlink"/>
          </w:rPr>
          <w:t>Australian Distilleries — The Whisky List</w:t>
        </w:r>
      </w:hyperlink>
    </w:p>
  </w:footnote>
  <w:footnote w:id="72">
    <w:p w14:paraId="6CE0988C" w14:textId="77777777" w:rsidR="00231255" w:rsidRDefault="00231255" w:rsidP="00CE5992">
      <w:pPr>
        <w:pStyle w:val="FootnoteText"/>
      </w:pPr>
      <w:r>
        <w:rPr>
          <w:rStyle w:val="FootnoteReference"/>
        </w:rPr>
        <w:footnoteRef/>
      </w:r>
      <w:r>
        <w:t xml:space="preserve"> </w:t>
      </w:r>
      <w:hyperlink r:id="rId41" w:history="1">
        <w:r>
          <w:rPr>
            <w:rStyle w:val="Hyperlink"/>
          </w:rPr>
          <w:t>2020 Scotch Whisky Exports (scotch-whisky.org.uk)</w:t>
        </w:r>
      </w:hyperlink>
    </w:p>
  </w:footnote>
  <w:footnote w:id="73">
    <w:p w14:paraId="73C4A661" w14:textId="77777777" w:rsidR="00231255" w:rsidRDefault="00231255" w:rsidP="00CE5992">
      <w:pPr>
        <w:pStyle w:val="FootnoteText"/>
      </w:pPr>
      <w:r>
        <w:rPr>
          <w:rStyle w:val="FootnoteReference"/>
        </w:rPr>
        <w:footnoteRef/>
      </w:r>
      <w:r>
        <w:t xml:space="preserve"> </w:t>
      </w:r>
      <w:hyperlink r:id="rId42" w:history="1">
        <w:r>
          <w:rPr>
            <w:rStyle w:val="Hyperlink"/>
          </w:rPr>
          <w:t>Arnott’s welcomes Australia-UK free trade agreement - Baking Business</w:t>
        </w:r>
      </w:hyperlink>
    </w:p>
  </w:footnote>
  <w:footnote w:id="74">
    <w:p w14:paraId="64903FBA" w14:textId="5DE7CA9F" w:rsidR="00231255" w:rsidRDefault="00231255">
      <w:pPr>
        <w:pStyle w:val="FootnoteText"/>
      </w:pPr>
      <w:r>
        <w:rPr>
          <w:rStyle w:val="FootnoteReference"/>
        </w:rPr>
        <w:footnoteRef/>
      </w:r>
      <w:r>
        <w:t xml:space="preserve"> </w:t>
      </w:r>
      <w:r w:rsidRPr="0031122C">
        <w:t>Source: Australian Bureau of Statistics, </w:t>
      </w:r>
      <w:hyperlink r:id="rId43" w:history="1">
        <w:r w:rsidRPr="0031122C">
          <w:t>International Trade: Supplementary Information, Financial Year, Table </w:t>
        </w:r>
      </w:hyperlink>
      <w:r w:rsidRPr="0031122C">
        <w:t>6, July 2021</w:t>
      </w:r>
    </w:p>
  </w:footnote>
  <w:footnote w:id="75">
    <w:p w14:paraId="58DBFE5B" w14:textId="54002AC2" w:rsidR="00231255" w:rsidRDefault="00231255">
      <w:pPr>
        <w:pStyle w:val="FootnoteText"/>
      </w:pPr>
      <w:r>
        <w:rPr>
          <w:rStyle w:val="FootnoteReference"/>
        </w:rPr>
        <w:footnoteRef/>
      </w:r>
      <w:r>
        <w:t xml:space="preserve"> </w:t>
      </w:r>
      <w:r w:rsidRPr="00115909">
        <w:rPr>
          <w:rFonts w:cs="Times New Roman"/>
        </w:rPr>
        <w:t>Australian Bureau of Statistics, International Trade: Supplementary Information, FY, Table 6, July 2021</w:t>
      </w:r>
    </w:p>
  </w:footnote>
  <w:footnote w:id="76">
    <w:p w14:paraId="70E4CE4F" w14:textId="77777777" w:rsidR="00231255" w:rsidRDefault="00231255" w:rsidP="004B3E31">
      <w:pPr>
        <w:pStyle w:val="FootnoteText"/>
      </w:pPr>
      <w:r>
        <w:rPr>
          <w:rStyle w:val="FootnoteReference"/>
        </w:rPr>
        <w:footnoteRef/>
      </w:r>
      <w:r>
        <w:t xml:space="preserve"> DFAT UK country/economy fact sheet: </w:t>
      </w:r>
      <w:hyperlink r:id="rId44" w:history="1">
        <w:r w:rsidRPr="00BC288A">
          <w:rPr>
            <w:rStyle w:val="Hyperlink"/>
          </w:rPr>
          <w:t>https://www.dfat.gov.au/sites/default/files/uk-cef.pdf</w:t>
        </w:r>
      </w:hyperlink>
      <w:r>
        <w:t xml:space="preserve"> </w:t>
      </w:r>
    </w:p>
  </w:footnote>
  <w:footnote w:id="77">
    <w:p w14:paraId="14CB9334" w14:textId="77777777" w:rsidR="00231255" w:rsidRDefault="00231255" w:rsidP="004B3E31">
      <w:pPr>
        <w:pStyle w:val="FootnoteText"/>
      </w:pPr>
      <w:r>
        <w:rPr>
          <w:rStyle w:val="FootnoteReference"/>
        </w:rPr>
        <w:footnoteRef/>
      </w:r>
      <w:r>
        <w:t xml:space="preserve"> Source: Home Affairs OADs</w:t>
      </w:r>
    </w:p>
  </w:footnote>
  <w:footnote w:id="78">
    <w:p w14:paraId="31CDA9F7" w14:textId="77777777" w:rsidR="00231255" w:rsidRPr="00961EB9" w:rsidRDefault="00231255" w:rsidP="00417820">
      <w:pPr>
        <w:rPr>
          <w:rFonts w:eastAsiaTheme="minorHAnsi"/>
          <w:b/>
          <w:bCs/>
          <w:sz w:val="24"/>
          <w:szCs w:val="24"/>
        </w:rPr>
      </w:pPr>
      <w:r>
        <w:rPr>
          <w:rStyle w:val="FootnoteReference"/>
        </w:rPr>
        <w:footnoteRef/>
      </w:r>
      <w:r>
        <w:t xml:space="preserve"> </w:t>
      </w:r>
      <w:r w:rsidRPr="00961EB9">
        <w:rPr>
          <w:sz w:val="20"/>
          <w:szCs w:val="20"/>
        </w:rPr>
        <w:t>Source</w:t>
      </w:r>
      <w:r>
        <w:rPr>
          <w:sz w:val="20"/>
          <w:szCs w:val="20"/>
        </w:rPr>
        <w:t>:</w:t>
      </w:r>
      <w:r w:rsidRPr="00961EB9">
        <w:rPr>
          <w:sz w:val="20"/>
          <w:szCs w:val="20"/>
        </w:rPr>
        <w:t xml:space="preserve"> Home Affairs OADs</w:t>
      </w:r>
    </w:p>
    <w:p w14:paraId="39FE39F4" w14:textId="77777777" w:rsidR="00231255" w:rsidRDefault="00231255" w:rsidP="00417820">
      <w:pPr>
        <w:pStyle w:val="FootnoteText"/>
      </w:pPr>
    </w:p>
  </w:footnote>
  <w:footnote w:id="79">
    <w:p w14:paraId="736420FE" w14:textId="1BFF1420" w:rsidR="00231255" w:rsidRPr="00115909" w:rsidRDefault="00231255" w:rsidP="00115909">
      <w:pPr>
        <w:autoSpaceDE w:val="0"/>
        <w:autoSpaceDN w:val="0"/>
        <w:adjustRightInd w:val="0"/>
        <w:rPr>
          <w:rFonts w:ascii="Segoe UI Semilight" w:hAnsi="Segoe UI Semilight" w:cs="Segoe UI Semilight"/>
          <w:color w:val="000000"/>
        </w:rPr>
      </w:pPr>
      <w:r>
        <w:rPr>
          <w:rStyle w:val="FootnoteReference"/>
        </w:rPr>
        <w:footnoteRef/>
      </w:r>
      <w:r>
        <w:t xml:space="preserve"> </w:t>
      </w:r>
      <w:r w:rsidRPr="00115909">
        <w:rPr>
          <w:sz w:val="20"/>
          <w:szCs w:val="20"/>
        </w:rPr>
        <w:t>Australian Bureau of Statistics, International Trade: Supplementary Information, FY, Table 6, July 2021</w:t>
      </w:r>
    </w:p>
  </w:footnote>
  <w:footnote w:id="80">
    <w:p w14:paraId="2ED15084" w14:textId="620E6E6C" w:rsidR="00231255" w:rsidRDefault="00231255">
      <w:pPr>
        <w:pStyle w:val="FootnoteText"/>
      </w:pPr>
      <w:r>
        <w:rPr>
          <w:rStyle w:val="FootnoteReference"/>
        </w:rPr>
        <w:footnoteRef/>
      </w:r>
      <w:r>
        <w:t xml:space="preserve"> </w:t>
      </w:r>
      <w:r>
        <w:rPr>
          <w:rFonts w:cs="Times New Roman"/>
        </w:rPr>
        <w:t>Ibid</w:t>
      </w:r>
    </w:p>
  </w:footnote>
  <w:footnote w:id="81">
    <w:p w14:paraId="3712EB2B" w14:textId="77777777" w:rsidR="00231255" w:rsidRDefault="00231255" w:rsidP="002D4F58">
      <w:pPr>
        <w:pStyle w:val="FootnoteText"/>
      </w:pPr>
      <w:r>
        <w:rPr>
          <w:rStyle w:val="FootnoteReference"/>
        </w:rPr>
        <w:footnoteRef/>
      </w:r>
      <w:r>
        <w:t xml:space="preserve"> </w:t>
      </w:r>
      <w:hyperlink r:id="rId45" w:history="1">
        <w:r w:rsidRPr="0097526F">
          <w:rPr>
            <w:rStyle w:val="Hyperlink"/>
          </w:rPr>
          <w:t>https://www.bca.com.au/uk_trade_deal_makes_post_brexit_history</w:t>
        </w:r>
      </w:hyperlink>
      <w:r>
        <w:t xml:space="preserve"> </w:t>
      </w:r>
    </w:p>
  </w:footnote>
  <w:footnote w:id="82">
    <w:p w14:paraId="62F4BF42" w14:textId="77777777" w:rsidR="00231255" w:rsidRDefault="00231255" w:rsidP="002D4F58">
      <w:pPr>
        <w:pStyle w:val="FootnoteText"/>
      </w:pPr>
      <w:r>
        <w:rPr>
          <w:rStyle w:val="FootnoteReference"/>
        </w:rPr>
        <w:footnoteRef/>
      </w:r>
      <w:r>
        <w:t xml:space="preserve"> </w:t>
      </w:r>
      <w:hyperlink r:id="rId46" w:history="1">
        <w:r w:rsidRPr="00BC288A">
          <w:rPr>
            <w:rStyle w:val="Hyperlink"/>
          </w:rPr>
          <w:t>https://nff.org.au/media-release/uk-australia-trade-agreement-a-new-beginning/</w:t>
        </w:r>
      </w:hyperlink>
      <w:r>
        <w:t xml:space="preserve"> </w:t>
      </w:r>
    </w:p>
  </w:footnote>
  <w:footnote w:id="83">
    <w:p w14:paraId="23BE1E02" w14:textId="77777777" w:rsidR="00231255" w:rsidRDefault="00231255" w:rsidP="002D4F58">
      <w:pPr>
        <w:pStyle w:val="FootnoteText"/>
      </w:pPr>
      <w:r>
        <w:rPr>
          <w:rStyle w:val="FootnoteReference"/>
        </w:rPr>
        <w:footnoteRef/>
      </w:r>
      <w:r>
        <w:t xml:space="preserve"> </w:t>
      </w:r>
      <w:hyperlink r:id="rId47" w:history="1">
        <w:r w:rsidRPr="00BC288A">
          <w:rPr>
            <w:rStyle w:val="Hyperlink"/>
          </w:rPr>
          <w:t>https://www.mla.com.au/news-and-events/industry-news/a-uk-fta-a-quality-outcome-with-a-long-term-partner/?utm_source=miragenews&amp;utm_medium=miragenews&amp;utm_campaign=news#</w:t>
        </w:r>
      </w:hyperlink>
      <w:r>
        <w:t xml:space="preserve"> </w:t>
      </w:r>
    </w:p>
  </w:footnote>
  <w:footnote w:id="84">
    <w:p w14:paraId="7C671866" w14:textId="77777777" w:rsidR="00231255" w:rsidRDefault="00231255" w:rsidP="002D4F58">
      <w:pPr>
        <w:pStyle w:val="FootnoteText"/>
      </w:pPr>
      <w:r>
        <w:rPr>
          <w:rStyle w:val="FootnoteReference"/>
        </w:rPr>
        <w:footnoteRef/>
      </w:r>
      <w:r>
        <w:t xml:space="preserve"> </w:t>
      </w:r>
      <w:hyperlink r:id="rId48" w:history="1">
        <w:r w:rsidRPr="00BC288A">
          <w:rPr>
            <w:rStyle w:val="Hyperlink"/>
          </w:rPr>
          <w:t>http://www.canegrowers.com.au/page/media/media-releases/2021/positive-outcome-for-sugarcane-growers-in-fta</w:t>
        </w:r>
      </w:hyperlink>
      <w:r>
        <w:t xml:space="preserve"> </w:t>
      </w:r>
    </w:p>
  </w:footnote>
  <w:footnote w:id="85">
    <w:p w14:paraId="1DCBF2BA" w14:textId="77777777" w:rsidR="00231255" w:rsidRDefault="00231255" w:rsidP="00FC0BDB">
      <w:pPr>
        <w:pStyle w:val="FootnoteText"/>
      </w:pPr>
      <w:r>
        <w:rPr>
          <w:rStyle w:val="FootnoteReference"/>
        </w:rPr>
        <w:footnoteRef/>
      </w:r>
      <w:r>
        <w:t xml:space="preserve"> </w:t>
      </w:r>
      <w:hyperlink r:id="rId49" w:history="1">
        <w:r w:rsidRPr="00BC288A">
          <w:rPr>
            <w:rStyle w:val="Hyperlink"/>
          </w:rPr>
          <w:t>http://www.dairypage.com.au/newsroom/2021/6/17/australian-dairy-welcomes-announcement-on-fta-with-the-united-kingdom</w:t>
        </w:r>
      </w:hyperlink>
      <w:r>
        <w:t xml:space="preserve"> </w:t>
      </w:r>
    </w:p>
  </w:footnote>
  <w:footnote w:id="86">
    <w:p w14:paraId="2DC1EBE2" w14:textId="77777777" w:rsidR="00231255" w:rsidRDefault="00231255" w:rsidP="00FC0BDB">
      <w:pPr>
        <w:pStyle w:val="FootnoteText"/>
      </w:pPr>
      <w:r>
        <w:rPr>
          <w:rStyle w:val="FootnoteReference"/>
        </w:rPr>
        <w:footnoteRef/>
      </w:r>
      <w:hyperlink r:id="rId50" w:history="1">
        <w:r w:rsidRPr="00BC288A">
          <w:rPr>
            <w:rStyle w:val="Hyperlink"/>
          </w:rPr>
          <w:t>https://investors.sunrice.com.au/FormBuilder/_Resource/_module/2weQNICYSUy13FE_jxQXvg/file/Media_Releases/20210615_SunRice%20Group%20Media%20Release_Australian%20Government%20to%20be%20congratulated%20for%20landmark%20United%20Kingdom%20Free%20Trade%20Agreement_FINAL.pdf</w:t>
        </w:r>
      </w:hyperlink>
      <w:r>
        <w:t xml:space="preserve"> </w:t>
      </w:r>
    </w:p>
  </w:footnote>
  <w:footnote w:id="87">
    <w:p w14:paraId="02052B49" w14:textId="77777777" w:rsidR="00231255" w:rsidRDefault="00231255" w:rsidP="00DA0723">
      <w:pPr>
        <w:pStyle w:val="FootnoteText"/>
      </w:pPr>
      <w:r>
        <w:rPr>
          <w:rStyle w:val="FootnoteReference"/>
        </w:rPr>
        <w:footnoteRef/>
      </w:r>
      <w:r>
        <w:t xml:space="preserve"> </w:t>
      </w:r>
      <w:hyperlink r:id="rId51" w:history="1">
        <w:r>
          <w:rPr>
            <w:rStyle w:val="Hyperlink"/>
          </w:rPr>
          <w:t>Department of Home Affairs 2019-20 Annual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25967" w14:textId="5578FA2E" w:rsidR="00231255" w:rsidRDefault="0023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F32"/>
    <w:multiLevelType w:val="hybridMultilevel"/>
    <w:tmpl w:val="FFFFFFFF"/>
    <w:lvl w:ilvl="0" w:tplc="CC602C1A">
      <w:start w:val="1"/>
      <w:numFmt w:val="bullet"/>
      <w:lvlText w:val="·"/>
      <w:lvlJc w:val="left"/>
      <w:pPr>
        <w:ind w:left="720" w:hanging="360"/>
      </w:pPr>
      <w:rPr>
        <w:rFonts w:ascii="Symbol" w:hAnsi="Symbol" w:hint="default"/>
      </w:rPr>
    </w:lvl>
    <w:lvl w:ilvl="1" w:tplc="6B528560">
      <w:start w:val="1"/>
      <w:numFmt w:val="bullet"/>
      <w:lvlText w:val="o"/>
      <w:lvlJc w:val="left"/>
      <w:pPr>
        <w:ind w:left="1440" w:hanging="360"/>
      </w:pPr>
      <w:rPr>
        <w:rFonts w:ascii="Courier New" w:hAnsi="Courier New" w:hint="default"/>
      </w:rPr>
    </w:lvl>
    <w:lvl w:ilvl="2" w:tplc="4BBCD416">
      <w:start w:val="1"/>
      <w:numFmt w:val="bullet"/>
      <w:lvlText w:val=""/>
      <w:lvlJc w:val="left"/>
      <w:pPr>
        <w:ind w:left="2160" w:hanging="360"/>
      </w:pPr>
      <w:rPr>
        <w:rFonts w:ascii="Wingdings" w:hAnsi="Wingdings" w:hint="default"/>
      </w:rPr>
    </w:lvl>
    <w:lvl w:ilvl="3" w:tplc="E38ACE8A">
      <w:start w:val="1"/>
      <w:numFmt w:val="bullet"/>
      <w:lvlText w:val=""/>
      <w:lvlJc w:val="left"/>
      <w:pPr>
        <w:ind w:left="2880" w:hanging="360"/>
      </w:pPr>
      <w:rPr>
        <w:rFonts w:ascii="Symbol" w:hAnsi="Symbol" w:hint="default"/>
      </w:rPr>
    </w:lvl>
    <w:lvl w:ilvl="4" w:tplc="1B34F3CE">
      <w:start w:val="1"/>
      <w:numFmt w:val="bullet"/>
      <w:lvlText w:val="o"/>
      <w:lvlJc w:val="left"/>
      <w:pPr>
        <w:ind w:left="3600" w:hanging="360"/>
      </w:pPr>
      <w:rPr>
        <w:rFonts w:ascii="Courier New" w:hAnsi="Courier New" w:hint="default"/>
      </w:rPr>
    </w:lvl>
    <w:lvl w:ilvl="5" w:tplc="BC14FD10">
      <w:start w:val="1"/>
      <w:numFmt w:val="bullet"/>
      <w:lvlText w:val=""/>
      <w:lvlJc w:val="left"/>
      <w:pPr>
        <w:ind w:left="4320" w:hanging="360"/>
      </w:pPr>
      <w:rPr>
        <w:rFonts w:ascii="Wingdings" w:hAnsi="Wingdings" w:hint="default"/>
      </w:rPr>
    </w:lvl>
    <w:lvl w:ilvl="6" w:tplc="1CFAECBA">
      <w:start w:val="1"/>
      <w:numFmt w:val="bullet"/>
      <w:lvlText w:val=""/>
      <w:lvlJc w:val="left"/>
      <w:pPr>
        <w:ind w:left="5040" w:hanging="360"/>
      </w:pPr>
      <w:rPr>
        <w:rFonts w:ascii="Symbol" w:hAnsi="Symbol" w:hint="default"/>
      </w:rPr>
    </w:lvl>
    <w:lvl w:ilvl="7" w:tplc="596AA052">
      <w:start w:val="1"/>
      <w:numFmt w:val="bullet"/>
      <w:lvlText w:val="o"/>
      <w:lvlJc w:val="left"/>
      <w:pPr>
        <w:ind w:left="5760" w:hanging="360"/>
      </w:pPr>
      <w:rPr>
        <w:rFonts w:ascii="Courier New" w:hAnsi="Courier New" w:hint="default"/>
      </w:rPr>
    </w:lvl>
    <w:lvl w:ilvl="8" w:tplc="0D84ED9A">
      <w:start w:val="1"/>
      <w:numFmt w:val="bullet"/>
      <w:lvlText w:val=""/>
      <w:lvlJc w:val="left"/>
      <w:pPr>
        <w:ind w:left="6480" w:hanging="360"/>
      </w:pPr>
      <w:rPr>
        <w:rFonts w:ascii="Wingdings" w:hAnsi="Wingdings" w:hint="default"/>
      </w:rPr>
    </w:lvl>
  </w:abstractNum>
  <w:abstractNum w:abstractNumId="1" w15:restartNumberingAfterBreak="0">
    <w:nsid w:val="0E4639B1"/>
    <w:multiLevelType w:val="hybridMultilevel"/>
    <w:tmpl w:val="D5164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93220"/>
    <w:multiLevelType w:val="hybridMultilevel"/>
    <w:tmpl w:val="FFFFFFFF"/>
    <w:lvl w:ilvl="0" w:tplc="7B840874">
      <w:start w:val="1"/>
      <w:numFmt w:val="bullet"/>
      <w:lvlText w:val="·"/>
      <w:lvlJc w:val="left"/>
      <w:pPr>
        <w:ind w:left="360" w:hanging="360"/>
      </w:pPr>
      <w:rPr>
        <w:rFonts w:ascii="Symbol" w:hAnsi="Symbol" w:hint="default"/>
      </w:rPr>
    </w:lvl>
    <w:lvl w:ilvl="1" w:tplc="9AB20C46">
      <w:start w:val="1"/>
      <w:numFmt w:val="bullet"/>
      <w:lvlText w:val="o"/>
      <w:lvlJc w:val="left"/>
      <w:pPr>
        <w:ind w:left="1080" w:hanging="360"/>
      </w:pPr>
      <w:rPr>
        <w:rFonts w:ascii="Courier New" w:hAnsi="Courier New" w:hint="default"/>
      </w:rPr>
    </w:lvl>
    <w:lvl w:ilvl="2" w:tplc="2DC2D074">
      <w:start w:val="1"/>
      <w:numFmt w:val="bullet"/>
      <w:lvlText w:val=""/>
      <w:lvlJc w:val="left"/>
      <w:pPr>
        <w:ind w:left="1800" w:hanging="360"/>
      </w:pPr>
      <w:rPr>
        <w:rFonts w:ascii="Wingdings" w:hAnsi="Wingdings" w:hint="default"/>
      </w:rPr>
    </w:lvl>
    <w:lvl w:ilvl="3" w:tplc="A94EB3F6">
      <w:start w:val="1"/>
      <w:numFmt w:val="bullet"/>
      <w:lvlText w:val=""/>
      <w:lvlJc w:val="left"/>
      <w:pPr>
        <w:ind w:left="2520" w:hanging="360"/>
      </w:pPr>
      <w:rPr>
        <w:rFonts w:ascii="Symbol" w:hAnsi="Symbol" w:hint="default"/>
      </w:rPr>
    </w:lvl>
    <w:lvl w:ilvl="4" w:tplc="92D2139E">
      <w:start w:val="1"/>
      <w:numFmt w:val="bullet"/>
      <w:lvlText w:val="o"/>
      <w:lvlJc w:val="left"/>
      <w:pPr>
        <w:ind w:left="3240" w:hanging="360"/>
      </w:pPr>
      <w:rPr>
        <w:rFonts w:ascii="Courier New" w:hAnsi="Courier New" w:hint="default"/>
      </w:rPr>
    </w:lvl>
    <w:lvl w:ilvl="5" w:tplc="D2628518">
      <w:start w:val="1"/>
      <w:numFmt w:val="bullet"/>
      <w:lvlText w:val=""/>
      <w:lvlJc w:val="left"/>
      <w:pPr>
        <w:ind w:left="3960" w:hanging="360"/>
      </w:pPr>
      <w:rPr>
        <w:rFonts w:ascii="Wingdings" w:hAnsi="Wingdings" w:hint="default"/>
      </w:rPr>
    </w:lvl>
    <w:lvl w:ilvl="6" w:tplc="8C308A36">
      <w:start w:val="1"/>
      <w:numFmt w:val="bullet"/>
      <w:lvlText w:val=""/>
      <w:lvlJc w:val="left"/>
      <w:pPr>
        <w:ind w:left="4680" w:hanging="360"/>
      </w:pPr>
      <w:rPr>
        <w:rFonts w:ascii="Symbol" w:hAnsi="Symbol" w:hint="default"/>
      </w:rPr>
    </w:lvl>
    <w:lvl w:ilvl="7" w:tplc="A8A2FFFC">
      <w:start w:val="1"/>
      <w:numFmt w:val="bullet"/>
      <w:lvlText w:val="o"/>
      <w:lvlJc w:val="left"/>
      <w:pPr>
        <w:ind w:left="5400" w:hanging="360"/>
      </w:pPr>
      <w:rPr>
        <w:rFonts w:ascii="Courier New" w:hAnsi="Courier New" w:hint="default"/>
      </w:rPr>
    </w:lvl>
    <w:lvl w:ilvl="8" w:tplc="208AD486">
      <w:start w:val="1"/>
      <w:numFmt w:val="bullet"/>
      <w:lvlText w:val=""/>
      <w:lvlJc w:val="left"/>
      <w:pPr>
        <w:ind w:left="6120" w:hanging="360"/>
      </w:pPr>
      <w:rPr>
        <w:rFonts w:ascii="Wingdings" w:hAnsi="Wingdings" w:hint="default"/>
      </w:rPr>
    </w:lvl>
  </w:abstractNum>
  <w:abstractNum w:abstractNumId="3" w15:restartNumberingAfterBreak="0">
    <w:nsid w:val="13DF10A9"/>
    <w:multiLevelType w:val="hybridMultilevel"/>
    <w:tmpl w:val="DE8C2E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4" w15:restartNumberingAfterBreak="0">
    <w:nsid w:val="1DD47E3F"/>
    <w:multiLevelType w:val="hybridMultilevel"/>
    <w:tmpl w:val="FFFFFFFF"/>
    <w:lvl w:ilvl="0" w:tplc="FCE0B472">
      <w:start w:val="1"/>
      <w:numFmt w:val="bullet"/>
      <w:lvlText w:val=""/>
      <w:lvlJc w:val="left"/>
      <w:pPr>
        <w:ind w:left="720" w:hanging="360"/>
      </w:pPr>
      <w:rPr>
        <w:rFonts w:ascii="Symbol" w:hAnsi="Symbol" w:hint="default"/>
      </w:rPr>
    </w:lvl>
    <w:lvl w:ilvl="1" w:tplc="24006BC4">
      <w:start w:val="1"/>
      <w:numFmt w:val="bullet"/>
      <w:lvlText w:val="o"/>
      <w:lvlJc w:val="left"/>
      <w:pPr>
        <w:ind w:left="1440" w:hanging="360"/>
      </w:pPr>
      <w:rPr>
        <w:rFonts w:ascii="Courier New" w:hAnsi="Courier New" w:cs="Times New Roman" w:hint="default"/>
      </w:rPr>
    </w:lvl>
    <w:lvl w:ilvl="2" w:tplc="D55E32C6">
      <w:start w:val="1"/>
      <w:numFmt w:val="bullet"/>
      <w:lvlText w:val=""/>
      <w:lvlJc w:val="left"/>
      <w:pPr>
        <w:ind w:left="2160" w:hanging="360"/>
      </w:pPr>
      <w:rPr>
        <w:rFonts w:ascii="Wingdings" w:hAnsi="Wingdings" w:hint="default"/>
      </w:rPr>
    </w:lvl>
    <w:lvl w:ilvl="3" w:tplc="398C30FC">
      <w:start w:val="1"/>
      <w:numFmt w:val="bullet"/>
      <w:lvlText w:val=""/>
      <w:lvlJc w:val="left"/>
      <w:pPr>
        <w:ind w:left="2880" w:hanging="360"/>
      </w:pPr>
      <w:rPr>
        <w:rFonts w:ascii="Symbol" w:hAnsi="Symbol" w:hint="default"/>
      </w:rPr>
    </w:lvl>
    <w:lvl w:ilvl="4" w:tplc="A53671BA">
      <w:start w:val="1"/>
      <w:numFmt w:val="bullet"/>
      <w:lvlText w:val="o"/>
      <w:lvlJc w:val="left"/>
      <w:pPr>
        <w:ind w:left="3600" w:hanging="360"/>
      </w:pPr>
      <w:rPr>
        <w:rFonts w:ascii="Courier New" w:hAnsi="Courier New" w:cs="Times New Roman" w:hint="default"/>
      </w:rPr>
    </w:lvl>
    <w:lvl w:ilvl="5" w:tplc="5A725A52">
      <w:start w:val="1"/>
      <w:numFmt w:val="bullet"/>
      <w:lvlText w:val=""/>
      <w:lvlJc w:val="left"/>
      <w:pPr>
        <w:ind w:left="4320" w:hanging="360"/>
      </w:pPr>
      <w:rPr>
        <w:rFonts w:ascii="Wingdings" w:hAnsi="Wingdings" w:hint="default"/>
      </w:rPr>
    </w:lvl>
    <w:lvl w:ilvl="6" w:tplc="63565F24">
      <w:start w:val="1"/>
      <w:numFmt w:val="bullet"/>
      <w:lvlText w:val=""/>
      <w:lvlJc w:val="left"/>
      <w:pPr>
        <w:ind w:left="5040" w:hanging="360"/>
      </w:pPr>
      <w:rPr>
        <w:rFonts w:ascii="Symbol" w:hAnsi="Symbol" w:hint="default"/>
      </w:rPr>
    </w:lvl>
    <w:lvl w:ilvl="7" w:tplc="58EE3A90">
      <w:start w:val="1"/>
      <w:numFmt w:val="bullet"/>
      <w:lvlText w:val="o"/>
      <w:lvlJc w:val="left"/>
      <w:pPr>
        <w:ind w:left="5760" w:hanging="360"/>
      </w:pPr>
      <w:rPr>
        <w:rFonts w:ascii="Courier New" w:hAnsi="Courier New" w:cs="Times New Roman" w:hint="default"/>
      </w:rPr>
    </w:lvl>
    <w:lvl w:ilvl="8" w:tplc="FCE68FB6">
      <w:start w:val="1"/>
      <w:numFmt w:val="bullet"/>
      <w:lvlText w:val=""/>
      <w:lvlJc w:val="left"/>
      <w:pPr>
        <w:ind w:left="6480" w:hanging="360"/>
      </w:pPr>
      <w:rPr>
        <w:rFonts w:ascii="Wingdings" w:hAnsi="Wingdings" w:hint="default"/>
      </w:rPr>
    </w:lvl>
  </w:abstractNum>
  <w:abstractNum w:abstractNumId="5" w15:restartNumberingAfterBreak="0">
    <w:nsid w:val="1E2B1F0E"/>
    <w:multiLevelType w:val="hybridMultilevel"/>
    <w:tmpl w:val="FFFFFFFF"/>
    <w:lvl w:ilvl="0" w:tplc="06A65BDC">
      <w:start w:val="1"/>
      <w:numFmt w:val="bullet"/>
      <w:lvlText w:val=""/>
      <w:lvlJc w:val="left"/>
      <w:pPr>
        <w:ind w:left="720" w:hanging="360"/>
      </w:pPr>
      <w:rPr>
        <w:rFonts w:ascii="Symbol" w:hAnsi="Symbol" w:hint="default"/>
      </w:rPr>
    </w:lvl>
    <w:lvl w:ilvl="1" w:tplc="6B6C87EE">
      <w:start w:val="1"/>
      <w:numFmt w:val="bullet"/>
      <w:lvlText w:val="o"/>
      <w:lvlJc w:val="left"/>
      <w:pPr>
        <w:ind w:left="1440" w:hanging="360"/>
      </w:pPr>
      <w:rPr>
        <w:rFonts w:ascii="Courier New" w:hAnsi="Courier New" w:cs="Times New Roman" w:hint="default"/>
      </w:rPr>
    </w:lvl>
    <w:lvl w:ilvl="2" w:tplc="2E6095CE">
      <w:start w:val="1"/>
      <w:numFmt w:val="bullet"/>
      <w:lvlText w:val=""/>
      <w:lvlJc w:val="left"/>
      <w:pPr>
        <w:ind w:left="2160" w:hanging="360"/>
      </w:pPr>
      <w:rPr>
        <w:rFonts w:ascii="Wingdings" w:hAnsi="Wingdings" w:hint="default"/>
      </w:rPr>
    </w:lvl>
    <w:lvl w:ilvl="3" w:tplc="AD6C8568">
      <w:start w:val="1"/>
      <w:numFmt w:val="bullet"/>
      <w:lvlText w:val=""/>
      <w:lvlJc w:val="left"/>
      <w:pPr>
        <w:ind w:left="2880" w:hanging="360"/>
      </w:pPr>
      <w:rPr>
        <w:rFonts w:ascii="Symbol" w:hAnsi="Symbol" w:hint="default"/>
      </w:rPr>
    </w:lvl>
    <w:lvl w:ilvl="4" w:tplc="4E1CF7E2">
      <w:start w:val="1"/>
      <w:numFmt w:val="bullet"/>
      <w:lvlText w:val="o"/>
      <w:lvlJc w:val="left"/>
      <w:pPr>
        <w:ind w:left="3600" w:hanging="360"/>
      </w:pPr>
      <w:rPr>
        <w:rFonts w:ascii="Courier New" w:hAnsi="Courier New" w:cs="Times New Roman" w:hint="default"/>
      </w:rPr>
    </w:lvl>
    <w:lvl w:ilvl="5" w:tplc="47AC0410">
      <w:start w:val="1"/>
      <w:numFmt w:val="bullet"/>
      <w:lvlText w:val=""/>
      <w:lvlJc w:val="left"/>
      <w:pPr>
        <w:ind w:left="4320" w:hanging="360"/>
      </w:pPr>
      <w:rPr>
        <w:rFonts w:ascii="Wingdings" w:hAnsi="Wingdings" w:hint="default"/>
      </w:rPr>
    </w:lvl>
    <w:lvl w:ilvl="6" w:tplc="555403A8">
      <w:start w:val="1"/>
      <w:numFmt w:val="bullet"/>
      <w:lvlText w:val=""/>
      <w:lvlJc w:val="left"/>
      <w:pPr>
        <w:ind w:left="5040" w:hanging="360"/>
      </w:pPr>
      <w:rPr>
        <w:rFonts w:ascii="Symbol" w:hAnsi="Symbol" w:hint="default"/>
      </w:rPr>
    </w:lvl>
    <w:lvl w:ilvl="7" w:tplc="BA1A2A62">
      <w:start w:val="1"/>
      <w:numFmt w:val="bullet"/>
      <w:lvlText w:val="o"/>
      <w:lvlJc w:val="left"/>
      <w:pPr>
        <w:ind w:left="5760" w:hanging="360"/>
      </w:pPr>
      <w:rPr>
        <w:rFonts w:ascii="Courier New" w:hAnsi="Courier New" w:cs="Times New Roman" w:hint="default"/>
      </w:rPr>
    </w:lvl>
    <w:lvl w:ilvl="8" w:tplc="42EE2A0A">
      <w:start w:val="1"/>
      <w:numFmt w:val="bullet"/>
      <w:lvlText w:val=""/>
      <w:lvlJc w:val="left"/>
      <w:pPr>
        <w:ind w:left="6480" w:hanging="360"/>
      </w:pPr>
      <w:rPr>
        <w:rFonts w:ascii="Wingdings" w:hAnsi="Wingdings" w:hint="default"/>
      </w:rPr>
    </w:lvl>
  </w:abstractNum>
  <w:abstractNum w:abstractNumId="6" w15:restartNumberingAfterBreak="0">
    <w:nsid w:val="283B0B62"/>
    <w:multiLevelType w:val="hybridMultilevel"/>
    <w:tmpl w:val="9B2096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93C107B"/>
    <w:multiLevelType w:val="multilevel"/>
    <w:tmpl w:val="DCD225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B906984"/>
    <w:multiLevelType w:val="hybridMultilevel"/>
    <w:tmpl w:val="7F567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594F66"/>
    <w:multiLevelType w:val="hybridMultilevel"/>
    <w:tmpl w:val="361885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66B7615"/>
    <w:multiLevelType w:val="hybridMultilevel"/>
    <w:tmpl w:val="12B4E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C55D9D"/>
    <w:multiLevelType w:val="hybridMultilevel"/>
    <w:tmpl w:val="61F443AA"/>
    <w:lvl w:ilvl="0" w:tplc="2D6C136C">
      <w:start w:val="1"/>
      <w:numFmt w:val="decimal"/>
      <w:lvlText w:val="%1."/>
      <w:lvlJc w:val="left"/>
      <w:pPr>
        <w:ind w:left="360" w:hanging="360"/>
      </w:pPr>
      <w:rPr>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93B3C10"/>
    <w:multiLevelType w:val="hybridMultilevel"/>
    <w:tmpl w:val="15CEC4D6"/>
    <w:lvl w:ilvl="0" w:tplc="08090003">
      <w:start w:val="1"/>
      <w:numFmt w:val="bullet"/>
      <w:lvlText w:val="o"/>
      <w:lvlJc w:val="left"/>
      <w:pPr>
        <w:ind w:left="426" w:hanging="360"/>
      </w:pPr>
      <w:rPr>
        <w:rFonts w:ascii="Courier New" w:hAnsi="Courier New" w:cs="Courier New" w:hint="default"/>
      </w:rPr>
    </w:lvl>
    <w:lvl w:ilvl="1" w:tplc="73D8A6D2">
      <w:start w:val="1"/>
      <w:numFmt w:val="bullet"/>
      <w:lvlText w:val="o"/>
      <w:lvlJc w:val="left"/>
      <w:pPr>
        <w:ind w:left="1146" w:hanging="360"/>
      </w:pPr>
      <w:rPr>
        <w:rFonts w:ascii="Courier New" w:hAnsi="Courier New" w:cs="Times New Roman" w:hint="default"/>
      </w:rPr>
    </w:lvl>
    <w:lvl w:ilvl="2" w:tplc="69A427B4">
      <w:start w:val="1"/>
      <w:numFmt w:val="bullet"/>
      <w:lvlText w:val=""/>
      <w:lvlJc w:val="left"/>
      <w:pPr>
        <w:ind w:left="1866" w:hanging="360"/>
      </w:pPr>
      <w:rPr>
        <w:rFonts w:ascii="Wingdings" w:hAnsi="Wingdings" w:hint="default"/>
      </w:rPr>
    </w:lvl>
    <w:lvl w:ilvl="3" w:tplc="81BC7DF0">
      <w:start w:val="1"/>
      <w:numFmt w:val="bullet"/>
      <w:lvlText w:val=""/>
      <w:lvlJc w:val="left"/>
      <w:pPr>
        <w:ind w:left="2586" w:hanging="360"/>
      </w:pPr>
      <w:rPr>
        <w:rFonts w:ascii="Symbol" w:hAnsi="Symbol" w:hint="default"/>
      </w:rPr>
    </w:lvl>
    <w:lvl w:ilvl="4" w:tplc="D23CF48E">
      <w:start w:val="1"/>
      <w:numFmt w:val="bullet"/>
      <w:lvlText w:val="o"/>
      <w:lvlJc w:val="left"/>
      <w:pPr>
        <w:ind w:left="3306" w:hanging="360"/>
      </w:pPr>
      <w:rPr>
        <w:rFonts w:ascii="Courier New" w:hAnsi="Courier New" w:cs="Times New Roman" w:hint="default"/>
      </w:rPr>
    </w:lvl>
    <w:lvl w:ilvl="5" w:tplc="8BAA9D18">
      <w:start w:val="1"/>
      <w:numFmt w:val="bullet"/>
      <w:lvlText w:val=""/>
      <w:lvlJc w:val="left"/>
      <w:pPr>
        <w:ind w:left="4026" w:hanging="360"/>
      </w:pPr>
      <w:rPr>
        <w:rFonts w:ascii="Wingdings" w:hAnsi="Wingdings" w:hint="default"/>
      </w:rPr>
    </w:lvl>
    <w:lvl w:ilvl="6" w:tplc="11E27BB8">
      <w:start w:val="1"/>
      <w:numFmt w:val="bullet"/>
      <w:lvlText w:val=""/>
      <w:lvlJc w:val="left"/>
      <w:pPr>
        <w:ind w:left="4746" w:hanging="360"/>
      </w:pPr>
      <w:rPr>
        <w:rFonts w:ascii="Symbol" w:hAnsi="Symbol" w:hint="default"/>
      </w:rPr>
    </w:lvl>
    <w:lvl w:ilvl="7" w:tplc="A4001070">
      <w:start w:val="1"/>
      <w:numFmt w:val="bullet"/>
      <w:lvlText w:val="o"/>
      <w:lvlJc w:val="left"/>
      <w:pPr>
        <w:ind w:left="5466" w:hanging="360"/>
      </w:pPr>
      <w:rPr>
        <w:rFonts w:ascii="Courier New" w:hAnsi="Courier New" w:cs="Times New Roman" w:hint="default"/>
      </w:rPr>
    </w:lvl>
    <w:lvl w:ilvl="8" w:tplc="09B4B9A8">
      <w:start w:val="1"/>
      <w:numFmt w:val="bullet"/>
      <w:lvlText w:val=""/>
      <w:lvlJc w:val="left"/>
      <w:pPr>
        <w:ind w:left="6186" w:hanging="360"/>
      </w:pPr>
      <w:rPr>
        <w:rFonts w:ascii="Wingdings" w:hAnsi="Wingdings" w:hint="default"/>
      </w:rPr>
    </w:lvl>
  </w:abstractNum>
  <w:abstractNum w:abstractNumId="13" w15:restartNumberingAfterBreak="0">
    <w:nsid w:val="40C17D69"/>
    <w:multiLevelType w:val="hybridMultilevel"/>
    <w:tmpl w:val="6AE4349E"/>
    <w:lvl w:ilvl="0" w:tplc="082E5168">
      <w:start w:val="1"/>
      <w:numFmt w:val="decimal"/>
      <w:lvlText w:val="%1."/>
      <w:lvlJc w:val="left"/>
      <w:pPr>
        <w:ind w:left="360" w:hanging="360"/>
      </w:pPr>
      <w:rPr>
        <w:rFonts w:asciiTheme="minorHAnsi" w:hAnsiTheme="minorHAnsi" w:cstheme="minorHAnsi" w:hint="default"/>
        <w:b w:val="0"/>
        <w:bCs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49A7BF6"/>
    <w:multiLevelType w:val="hybridMultilevel"/>
    <w:tmpl w:val="B220221C"/>
    <w:lvl w:ilvl="0" w:tplc="07629AFC">
      <w:start w:val="1"/>
      <w:numFmt w:val="bullet"/>
      <w:lvlText w:val=""/>
      <w:lvlJc w:val="left"/>
      <w:pPr>
        <w:ind w:left="720" w:hanging="360"/>
      </w:pPr>
      <w:rPr>
        <w:rFonts w:ascii="Symbol" w:hAnsi="Symbol" w:hint="default"/>
      </w:rPr>
    </w:lvl>
    <w:lvl w:ilvl="1" w:tplc="1C24FBC0">
      <w:start w:val="1"/>
      <w:numFmt w:val="bullet"/>
      <w:lvlText w:val="o"/>
      <w:lvlJc w:val="left"/>
      <w:pPr>
        <w:ind w:left="1440" w:hanging="360"/>
      </w:pPr>
      <w:rPr>
        <w:rFonts w:ascii="Courier New" w:hAnsi="Courier New" w:hint="default"/>
      </w:rPr>
    </w:lvl>
    <w:lvl w:ilvl="2" w:tplc="7B943EEE">
      <w:start w:val="1"/>
      <w:numFmt w:val="bullet"/>
      <w:lvlText w:val=""/>
      <w:lvlJc w:val="left"/>
      <w:pPr>
        <w:ind w:left="2160" w:hanging="360"/>
      </w:pPr>
      <w:rPr>
        <w:rFonts w:ascii="Wingdings" w:hAnsi="Wingdings" w:hint="default"/>
      </w:rPr>
    </w:lvl>
    <w:lvl w:ilvl="3" w:tplc="8FCE33C8">
      <w:start w:val="1"/>
      <w:numFmt w:val="bullet"/>
      <w:lvlText w:val=""/>
      <w:lvlJc w:val="left"/>
      <w:pPr>
        <w:ind w:left="2880" w:hanging="360"/>
      </w:pPr>
      <w:rPr>
        <w:rFonts w:ascii="Symbol" w:hAnsi="Symbol" w:hint="default"/>
      </w:rPr>
    </w:lvl>
    <w:lvl w:ilvl="4" w:tplc="C6CE5E80">
      <w:start w:val="1"/>
      <w:numFmt w:val="bullet"/>
      <w:lvlText w:val="o"/>
      <w:lvlJc w:val="left"/>
      <w:pPr>
        <w:ind w:left="3600" w:hanging="360"/>
      </w:pPr>
      <w:rPr>
        <w:rFonts w:ascii="Courier New" w:hAnsi="Courier New" w:hint="default"/>
      </w:rPr>
    </w:lvl>
    <w:lvl w:ilvl="5" w:tplc="EECE0CDC">
      <w:start w:val="1"/>
      <w:numFmt w:val="bullet"/>
      <w:lvlText w:val=""/>
      <w:lvlJc w:val="left"/>
      <w:pPr>
        <w:ind w:left="4320" w:hanging="360"/>
      </w:pPr>
      <w:rPr>
        <w:rFonts w:ascii="Wingdings" w:hAnsi="Wingdings" w:hint="default"/>
      </w:rPr>
    </w:lvl>
    <w:lvl w:ilvl="6" w:tplc="BFAA5466">
      <w:start w:val="1"/>
      <w:numFmt w:val="bullet"/>
      <w:lvlText w:val=""/>
      <w:lvlJc w:val="left"/>
      <w:pPr>
        <w:ind w:left="5040" w:hanging="360"/>
      </w:pPr>
      <w:rPr>
        <w:rFonts w:ascii="Symbol" w:hAnsi="Symbol" w:hint="default"/>
      </w:rPr>
    </w:lvl>
    <w:lvl w:ilvl="7" w:tplc="3936478A">
      <w:start w:val="1"/>
      <w:numFmt w:val="bullet"/>
      <w:lvlText w:val="o"/>
      <w:lvlJc w:val="left"/>
      <w:pPr>
        <w:ind w:left="5760" w:hanging="360"/>
      </w:pPr>
      <w:rPr>
        <w:rFonts w:ascii="Courier New" w:hAnsi="Courier New" w:hint="default"/>
      </w:rPr>
    </w:lvl>
    <w:lvl w:ilvl="8" w:tplc="F482BFB4">
      <w:start w:val="1"/>
      <w:numFmt w:val="bullet"/>
      <w:lvlText w:val=""/>
      <w:lvlJc w:val="left"/>
      <w:pPr>
        <w:ind w:left="6480" w:hanging="360"/>
      </w:pPr>
      <w:rPr>
        <w:rFonts w:ascii="Wingdings" w:hAnsi="Wingdings" w:hint="default"/>
      </w:rPr>
    </w:lvl>
  </w:abstractNum>
  <w:abstractNum w:abstractNumId="15" w15:restartNumberingAfterBreak="0">
    <w:nsid w:val="463232C3"/>
    <w:multiLevelType w:val="hybridMultilevel"/>
    <w:tmpl w:val="3BDA911E"/>
    <w:lvl w:ilvl="0" w:tplc="B9FEC25A">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5D1B60"/>
    <w:multiLevelType w:val="hybridMultilevel"/>
    <w:tmpl w:val="E9EEF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426751"/>
    <w:multiLevelType w:val="multilevel"/>
    <w:tmpl w:val="9BDCEC6E"/>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D262B9"/>
    <w:multiLevelType w:val="hybridMultilevel"/>
    <w:tmpl w:val="FFFFFFFF"/>
    <w:lvl w:ilvl="0" w:tplc="22464420">
      <w:start w:val="1"/>
      <w:numFmt w:val="bullet"/>
      <w:lvlText w:val="·"/>
      <w:lvlJc w:val="left"/>
      <w:pPr>
        <w:ind w:left="360" w:hanging="360"/>
      </w:pPr>
      <w:rPr>
        <w:rFonts w:ascii="Symbol" w:hAnsi="Symbol" w:hint="default"/>
      </w:rPr>
    </w:lvl>
    <w:lvl w:ilvl="1" w:tplc="D062D632">
      <w:start w:val="1"/>
      <w:numFmt w:val="bullet"/>
      <w:lvlText w:val="o"/>
      <w:lvlJc w:val="left"/>
      <w:pPr>
        <w:ind w:left="1080" w:hanging="360"/>
      </w:pPr>
      <w:rPr>
        <w:rFonts w:ascii="Courier New" w:hAnsi="Courier New" w:hint="default"/>
      </w:rPr>
    </w:lvl>
    <w:lvl w:ilvl="2" w:tplc="E31EA35E">
      <w:start w:val="1"/>
      <w:numFmt w:val="bullet"/>
      <w:lvlText w:val=""/>
      <w:lvlJc w:val="left"/>
      <w:pPr>
        <w:ind w:left="1800" w:hanging="360"/>
      </w:pPr>
      <w:rPr>
        <w:rFonts w:ascii="Wingdings" w:hAnsi="Wingdings" w:hint="default"/>
      </w:rPr>
    </w:lvl>
    <w:lvl w:ilvl="3" w:tplc="C0A2C330">
      <w:start w:val="1"/>
      <w:numFmt w:val="bullet"/>
      <w:lvlText w:val=""/>
      <w:lvlJc w:val="left"/>
      <w:pPr>
        <w:ind w:left="2520" w:hanging="360"/>
      </w:pPr>
      <w:rPr>
        <w:rFonts w:ascii="Symbol" w:hAnsi="Symbol" w:hint="default"/>
      </w:rPr>
    </w:lvl>
    <w:lvl w:ilvl="4" w:tplc="874275AA">
      <w:start w:val="1"/>
      <w:numFmt w:val="bullet"/>
      <w:lvlText w:val="o"/>
      <w:lvlJc w:val="left"/>
      <w:pPr>
        <w:ind w:left="3240" w:hanging="360"/>
      </w:pPr>
      <w:rPr>
        <w:rFonts w:ascii="Courier New" w:hAnsi="Courier New" w:hint="default"/>
      </w:rPr>
    </w:lvl>
    <w:lvl w:ilvl="5" w:tplc="561CF39C">
      <w:start w:val="1"/>
      <w:numFmt w:val="bullet"/>
      <w:lvlText w:val=""/>
      <w:lvlJc w:val="left"/>
      <w:pPr>
        <w:ind w:left="3960" w:hanging="360"/>
      </w:pPr>
      <w:rPr>
        <w:rFonts w:ascii="Wingdings" w:hAnsi="Wingdings" w:hint="default"/>
      </w:rPr>
    </w:lvl>
    <w:lvl w:ilvl="6" w:tplc="439C0646">
      <w:start w:val="1"/>
      <w:numFmt w:val="bullet"/>
      <w:lvlText w:val=""/>
      <w:lvlJc w:val="left"/>
      <w:pPr>
        <w:ind w:left="4680" w:hanging="360"/>
      </w:pPr>
      <w:rPr>
        <w:rFonts w:ascii="Symbol" w:hAnsi="Symbol" w:hint="default"/>
      </w:rPr>
    </w:lvl>
    <w:lvl w:ilvl="7" w:tplc="050E3A74">
      <w:start w:val="1"/>
      <w:numFmt w:val="bullet"/>
      <w:lvlText w:val="o"/>
      <w:lvlJc w:val="left"/>
      <w:pPr>
        <w:ind w:left="5400" w:hanging="360"/>
      </w:pPr>
      <w:rPr>
        <w:rFonts w:ascii="Courier New" w:hAnsi="Courier New" w:hint="default"/>
      </w:rPr>
    </w:lvl>
    <w:lvl w:ilvl="8" w:tplc="E752E072">
      <w:start w:val="1"/>
      <w:numFmt w:val="bullet"/>
      <w:lvlText w:val=""/>
      <w:lvlJc w:val="left"/>
      <w:pPr>
        <w:ind w:left="6120" w:hanging="360"/>
      </w:pPr>
      <w:rPr>
        <w:rFonts w:ascii="Wingdings" w:hAnsi="Wingdings" w:hint="default"/>
      </w:rPr>
    </w:lvl>
  </w:abstractNum>
  <w:abstractNum w:abstractNumId="19" w15:restartNumberingAfterBreak="0">
    <w:nsid w:val="599B6361"/>
    <w:multiLevelType w:val="hybridMultilevel"/>
    <w:tmpl w:val="9A88FD6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15:restartNumberingAfterBreak="0">
    <w:nsid w:val="5B063642"/>
    <w:multiLevelType w:val="hybridMultilevel"/>
    <w:tmpl w:val="5EA8B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24C49A3"/>
    <w:multiLevelType w:val="hybridMultilevel"/>
    <w:tmpl w:val="A25C4B2E"/>
    <w:lvl w:ilvl="0" w:tplc="61AC59C0">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221A1"/>
    <w:multiLevelType w:val="hybridMultilevel"/>
    <w:tmpl w:val="63C28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461E88"/>
    <w:multiLevelType w:val="hybridMultilevel"/>
    <w:tmpl w:val="FFFFFFFF"/>
    <w:lvl w:ilvl="0" w:tplc="0F00C6AE">
      <w:start w:val="1"/>
      <w:numFmt w:val="bullet"/>
      <w:lvlText w:val="·"/>
      <w:lvlJc w:val="left"/>
      <w:pPr>
        <w:ind w:left="360" w:hanging="360"/>
      </w:pPr>
      <w:rPr>
        <w:rFonts w:ascii="Symbol" w:hAnsi="Symbol" w:hint="default"/>
      </w:rPr>
    </w:lvl>
    <w:lvl w:ilvl="1" w:tplc="9DA2EB0A">
      <w:start w:val="1"/>
      <w:numFmt w:val="bullet"/>
      <w:lvlText w:val="o"/>
      <w:lvlJc w:val="left"/>
      <w:pPr>
        <w:ind w:left="1080" w:hanging="360"/>
      </w:pPr>
      <w:rPr>
        <w:rFonts w:ascii="Courier New" w:hAnsi="Courier New" w:hint="default"/>
      </w:rPr>
    </w:lvl>
    <w:lvl w:ilvl="2" w:tplc="994EE32A">
      <w:start w:val="1"/>
      <w:numFmt w:val="bullet"/>
      <w:lvlText w:val=""/>
      <w:lvlJc w:val="left"/>
      <w:pPr>
        <w:ind w:left="1800" w:hanging="360"/>
      </w:pPr>
      <w:rPr>
        <w:rFonts w:ascii="Wingdings" w:hAnsi="Wingdings" w:hint="default"/>
      </w:rPr>
    </w:lvl>
    <w:lvl w:ilvl="3" w:tplc="61161C78">
      <w:start w:val="1"/>
      <w:numFmt w:val="bullet"/>
      <w:lvlText w:val=""/>
      <w:lvlJc w:val="left"/>
      <w:pPr>
        <w:ind w:left="2520" w:hanging="360"/>
      </w:pPr>
      <w:rPr>
        <w:rFonts w:ascii="Symbol" w:hAnsi="Symbol" w:hint="default"/>
      </w:rPr>
    </w:lvl>
    <w:lvl w:ilvl="4" w:tplc="6ACA34E4">
      <w:start w:val="1"/>
      <w:numFmt w:val="bullet"/>
      <w:lvlText w:val="o"/>
      <w:lvlJc w:val="left"/>
      <w:pPr>
        <w:ind w:left="3240" w:hanging="360"/>
      </w:pPr>
      <w:rPr>
        <w:rFonts w:ascii="Courier New" w:hAnsi="Courier New" w:hint="default"/>
      </w:rPr>
    </w:lvl>
    <w:lvl w:ilvl="5" w:tplc="7C6A6644">
      <w:start w:val="1"/>
      <w:numFmt w:val="bullet"/>
      <w:lvlText w:val=""/>
      <w:lvlJc w:val="left"/>
      <w:pPr>
        <w:ind w:left="3960" w:hanging="360"/>
      </w:pPr>
      <w:rPr>
        <w:rFonts w:ascii="Wingdings" w:hAnsi="Wingdings" w:hint="default"/>
      </w:rPr>
    </w:lvl>
    <w:lvl w:ilvl="6" w:tplc="C0E837E8">
      <w:start w:val="1"/>
      <w:numFmt w:val="bullet"/>
      <w:lvlText w:val=""/>
      <w:lvlJc w:val="left"/>
      <w:pPr>
        <w:ind w:left="4680" w:hanging="360"/>
      </w:pPr>
      <w:rPr>
        <w:rFonts w:ascii="Symbol" w:hAnsi="Symbol" w:hint="default"/>
      </w:rPr>
    </w:lvl>
    <w:lvl w:ilvl="7" w:tplc="1B423180">
      <w:start w:val="1"/>
      <w:numFmt w:val="bullet"/>
      <w:lvlText w:val="o"/>
      <w:lvlJc w:val="left"/>
      <w:pPr>
        <w:ind w:left="5400" w:hanging="360"/>
      </w:pPr>
      <w:rPr>
        <w:rFonts w:ascii="Courier New" w:hAnsi="Courier New" w:hint="default"/>
      </w:rPr>
    </w:lvl>
    <w:lvl w:ilvl="8" w:tplc="69DC95D0">
      <w:start w:val="1"/>
      <w:numFmt w:val="bullet"/>
      <w:lvlText w:val=""/>
      <w:lvlJc w:val="left"/>
      <w:pPr>
        <w:ind w:left="6120" w:hanging="360"/>
      </w:pPr>
      <w:rPr>
        <w:rFonts w:ascii="Wingdings" w:hAnsi="Wingdings" w:hint="default"/>
      </w:rPr>
    </w:lvl>
  </w:abstractNum>
  <w:abstractNum w:abstractNumId="24" w15:restartNumberingAfterBreak="0">
    <w:nsid w:val="68E14A06"/>
    <w:multiLevelType w:val="hybridMultilevel"/>
    <w:tmpl w:val="FFFFFFFF"/>
    <w:lvl w:ilvl="0" w:tplc="10865AF2">
      <w:start w:val="1"/>
      <w:numFmt w:val="bullet"/>
      <w:lvlText w:val=""/>
      <w:lvlJc w:val="left"/>
      <w:pPr>
        <w:ind w:left="360" w:hanging="360"/>
      </w:pPr>
      <w:rPr>
        <w:rFonts w:ascii="Symbol" w:hAnsi="Symbol" w:hint="default"/>
      </w:rPr>
    </w:lvl>
    <w:lvl w:ilvl="1" w:tplc="5122E5E6">
      <w:start w:val="1"/>
      <w:numFmt w:val="bullet"/>
      <w:lvlText w:val="o"/>
      <w:lvlJc w:val="left"/>
      <w:pPr>
        <w:ind w:left="1080" w:hanging="360"/>
      </w:pPr>
      <w:rPr>
        <w:rFonts w:ascii="Courier New" w:hAnsi="Courier New" w:hint="default"/>
      </w:rPr>
    </w:lvl>
    <w:lvl w:ilvl="2" w:tplc="27DC9336">
      <w:start w:val="1"/>
      <w:numFmt w:val="bullet"/>
      <w:lvlText w:val=""/>
      <w:lvlJc w:val="left"/>
      <w:pPr>
        <w:ind w:left="1800" w:hanging="360"/>
      </w:pPr>
      <w:rPr>
        <w:rFonts w:ascii="Wingdings" w:hAnsi="Wingdings" w:hint="default"/>
      </w:rPr>
    </w:lvl>
    <w:lvl w:ilvl="3" w:tplc="FFBEC246">
      <w:start w:val="1"/>
      <w:numFmt w:val="bullet"/>
      <w:lvlText w:val=""/>
      <w:lvlJc w:val="left"/>
      <w:pPr>
        <w:ind w:left="2520" w:hanging="360"/>
      </w:pPr>
      <w:rPr>
        <w:rFonts w:ascii="Symbol" w:hAnsi="Symbol" w:hint="default"/>
      </w:rPr>
    </w:lvl>
    <w:lvl w:ilvl="4" w:tplc="B2644C8E">
      <w:start w:val="1"/>
      <w:numFmt w:val="bullet"/>
      <w:lvlText w:val="o"/>
      <w:lvlJc w:val="left"/>
      <w:pPr>
        <w:ind w:left="3240" w:hanging="360"/>
      </w:pPr>
      <w:rPr>
        <w:rFonts w:ascii="Courier New" w:hAnsi="Courier New" w:hint="default"/>
      </w:rPr>
    </w:lvl>
    <w:lvl w:ilvl="5" w:tplc="5826FA98">
      <w:start w:val="1"/>
      <w:numFmt w:val="bullet"/>
      <w:lvlText w:val=""/>
      <w:lvlJc w:val="left"/>
      <w:pPr>
        <w:ind w:left="3960" w:hanging="360"/>
      </w:pPr>
      <w:rPr>
        <w:rFonts w:ascii="Wingdings" w:hAnsi="Wingdings" w:hint="default"/>
      </w:rPr>
    </w:lvl>
    <w:lvl w:ilvl="6" w:tplc="3D042076">
      <w:start w:val="1"/>
      <w:numFmt w:val="bullet"/>
      <w:lvlText w:val=""/>
      <w:lvlJc w:val="left"/>
      <w:pPr>
        <w:ind w:left="4680" w:hanging="360"/>
      </w:pPr>
      <w:rPr>
        <w:rFonts w:ascii="Symbol" w:hAnsi="Symbol" w:hint="default"/>
      </w:rPr>
    </w:lvl>
    <w:lvl w:ilvl="7" w:tplc="AC7CADEE">
      <w:start w:val="1"/>
      <w:numFmt w:val="bullet"/>
      <w:lvlText w:val="o"/>
      <w:lvlJc w:val="left"/>
      <w:pPr>
        <w:ind w:left="5400" w:hanging="360"/>
      </w:pPr>
      <w:rPr>
        <w:rFonts w:ascii="Courier New" w:hAnsi="Courier New" w:hint="default"/>
      </w:rPr>
    </w:lvl>
    <w:lvl w:ilvl="8" w:tplc="FA1A713C">
      <w:start w:val="1"/>
      <w:numFmt w:val="bullet"/>
      <w:lvlText w:val=""/>
      <w:lvlJc w:val="left"/>
      <w:pPr>
        <w:ind w:left="6120" w:hanging="360"/>
      </w:pPr>
      <w:rPr>
        <w:rFonts w:ascii="Wingdings" w:hAnsi="Wingdings" w:hint="default"/>
      </w:rPr>
    </w:lvl>
  </w:abstractNum>
  <w:abstractNum w:abstractNumId="25" w15:restartNumberingAfterBreak="0">
    <w:nsid w:val="6A017CD1"/>
    <w:multiLevelType w:val="multilevel"/>
    <w:tmpl w:val="D2D6E386"/>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D5CA7"/>
    <w:multiLevelType w:val="hybridMultilevel"/>
    <w:tmpl w:val="A2A4EA6A"/>
    <w:lvl w:ilvl="0" w:tplc="67408350">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CE674E2"/>
    <w:multiLevelType w:val="hybridMultilevel"/>
    <w:tmpl w:val="9CBA22D4"/>
    <w:lvl w:ilvl="0" w:tplc="3AFC4F04">
      <w:start w:val="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5829E8"/>
    <w:multiLevelType w:val="hybridMultilevel"/>
    <w:tmpl w:val="B53EA5BA"/>
    <w:lvl w:ilvl="0" w:tplc="D12AD406">
      <w:start w:val="1"/>
      <w:numFmt w:val="bullet"/>
      <w:lvlText w:val=""/>
      <w:lvlJc w:val="left"/>
      <w:pPr>
        <w:ind w:left="786" w:hanging="360"/>
      </w:pPr>
      <w:rPr>
        <w:rFonts w:ascii="Symbol" w:hAnsi="Symbol" w:hint="default"/>
      </w:rPr>
    </w:lvl>
    <w:lvl w:ilvl="1" w:tplc="73D8A6D2">
      <w:start w:val="1"/>
      <w:numFmt w:val="bullet"/>
      <w:lvlText w:val="o"/>
      <w:lvlJc w:val="left"/>
      <w:pPr>
        <w:ind w:left="1080" w:hanging="360"/>
      </w:pPr>
      <w:rPr>
        <w:rFonts w:ascii="Courier New" w:hAnsi="Courier New" w:cs="Times New Roman" w:hint="default"/>
      </w:rPr>
    </w:lvl>
    <w:lvl w:ilvl="2" w:tplc="69A427B4">
      <w:start w:val="1"/>
      <w:numFmt w:val="bullet"/>
      <w:lvlText w:val=""/>
      <w:lvlJc w:val="left"/>
      <w:pPr>
        <w:ind w:left="1800" w:hanging="360"/>
      </w:pPr>
      <w:rPr>
        <w:rFonts w:ascii="Wingdings" w:hAnsi="Wingdings" w:hint="default"/>
      </w:rPr>
    </w:lvl>
    <w:lvl w:ilvl="3" w:tplc="81BC7DF0">
      <w:start w:val="1"/>
      <w:numFmt w:val="bullet"/>
      <w:lvlText w:val=""/>
      <w:lvlJc w:val="left"/>
      <w:pPr>
        <w:ind w:left="2520" w:hanging="360"/>
      </w:pPr>
      <w:rPr>
        <w:rFonts w:ascii="Symbol" w:hAnsi="Symbol" w:hint="default"/>
      </w:rPr>
    </w:lvl>
    <w:lvl w:ilvl="4" w:tplc="D23CF48E">
      <w:start w:val="1"/>
      <w:numFmt w:val="bullet"/>
      <w:lvlText w:val="o"/>
      <w:lvlJc w:val="left"/>
      <w:pPr>
        <w:ind w:left="3240" w:hanging="360"/>
      </w:pPr>
      <w:rPr>
        <w:rFonts w:ascii="Courier New" w:hAnsi="Courier New" w:cs="Times New Roman" w:hint="default"/>
      </w:rPr>
    </w:lvl>
    <w:lvl w:ilvl="5" w:tplc="8BAA9D18">
      <w:start w:val="1"/>
      <w:numFmt w:val="bullet"/>
      <w:lvlText w:val=""/>
      <w:lvlJc w:val="left"/>
      <w:pPr>
        <w:ind w:left="3960" w:hanging="360"/>
      </w:pPr>
      <w:rPr>
        <w:rFonts w:ascii="Wingdings" w:hAnsi="Wingdings" w:hint="default"/>
      </w:rPr>
    </w:lvl>
    <w:lvl w:ilvl="6" w:tplc="11E27BB8">
      <w:start w:val="1"/>
      <w:numFmt w:val="bullet"/>
      <w:lvlText w:val=""/>
      <w:lvlJc w:val="left"/>
      <w:pPr>
        <w:ind w:left="4680" w:hanging="360"/>
      </w:pPr>
      <w:rPr>
        <w:rFonts w:ascii="Symbol" w:hAnsi="Symbol" w:hint="default"/>
      </w:rPr>
    </w:lvl>
    <w:lvl w:ilvl="7" w:tplc="A4001070">
      <w:start w:val="1"/>
      <w:numFmt w:val="bullet"/>
      <w:lvlText w:val="o"/>
      <w:lvlJc w:val="left"/>
      <w:pPr>
        <w:ind w:left="5400" w:hanging="360"/>
      </w:pPr>
      <w:rPr>
        <w:rFonts w:ascii="Courier New" w:hAnsi="Courier New" w:cs="Times New Roman" w:hint="default"/>
      </w:rPr>
    </w:lvl>
    <w:lvl w:ilvl="8" w:tplc="09B4B9A8">
      <w:start w:val="1"/>
      <w:numFmt w:val="bullet"/>
      <w:lvlText w:val=""/>
      <w:lvlJc w:val="left"/>
      <w:pPr>
        <w:ind w:left="6120" w:hanging="360"/>
      </w:pPr>
      <w:rPr>
        <w:rFonts w:ascii="Wingdings" w:hAnsi="Wingdings" w:hint="default"/>
      </w:rPr>
    </w:lvl>
  </w:abstractNum>
  <w:abstractNum w:abstractNumId="29" w15:restartNumberingAfterBreak="0">
    <w:nsid w:val="6DCA3D10"/>
    <w:multiLevelType w:val="multilevel"/>
    <w:tmpl w:val="D9A63BE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15:restartNumberingAfterBreak="0">
    <w:nsid w:val="70F41D7E"/>
    <w:multiLevelType w:val="hybridMultilevel"/>
    <w:tmpl w:val="36FA648C"/>
    <w:lvl w:ilvl="0" w:tplc="3CEEF85C">
      <w:start w:val="1"/>
      <w:numFmt w:val="bullet"/>
      <w:lvlText w:val=""/>
      <w:lvlJc w:val="left"/>
      <w:pPr>
        <w:ind w:left="720" w:hanging="360"/>
      </w:pPr>
      <w:rPr>
        <w:rFonts w:ascii="Symbol" w:hAnsi="Symbol" w:hint="default"/>
      </w:rPr>
    </w:lvl>
    <w:lvl w:ilvl="1" w:tplc="7D7EE778">
      <w:start w:val="1"/>
      <w:numFmt w:val="bullet"/>
      <w:lvlText w:val="o"/>
      <w:lvlJc w:val="left"/>
      <w:pPr>
        <w:ind w:left="1440" w:hanging="360"/>
      </w:pPr>
      <w:rPr>
        <w:rFonts w:ascii="Courier New" w:hAnsi="Courier New" w:cs="Times New Roman" w:hint="default"/>
      </w:rPr>
    </w:lvl>
    <w:lvl w:ilvl="2" w:tplc="855C8920">
      <w:start w:val="1"/>
      <w:numFmt w:val="bullet"/>
      <w:lvlText w:val=""/>
      <w:lvlJc w:val="left"/>
      <w:pPr>
        <w:ind w:left="2160" w:hanging="360"/>
      </w:pPr>
      <w:rPr>
        <w:rFonts w:ascii="Wingdings" w:hAnsi="Wingdings" w:hint="default"/>
      </w:rPr>
    </w:lvl>
    <w:lvl w:ilvl="3" w:tplc="17AEED9E">
      <w:start w:val="1"/>
      <w:numFmt w:val="bullet"/>
      <w:lvlText w:val=""/>
      <w:lvlJc w:val="left"/>
      <w:pPr>
        <w:ind w:left="2880" w:hanging="360"/>
      </w:pPr>
      <w:rPr>
        <w:rFonts w:ascii="Symbol" w:hAnsi="Symbol" w:hint="default"/>
      </w:rPr>
    </w:lvl>
    <w:lvl w:ilvl="4" w:tplc="88860EC0">
      <w:start w:val="1"/>
      <w:numFmt w:val="bullet"/>
      <w:lvlText w:val="o"/>
      <w:lvlJc w:val="left"/>
      <w:pPr>
        <w:ind w:left="3600" w:hanging="360"/>
      </w:pPr>
      <w:rPr>
        <w:rFonts w:ascii="Courier New" w:hAnsi="Courier New" w:cs="Times New Roman" w:hint="default"/>
      </w:rPr>
    </w:lvl>
    <w:lvl w:ilvl="5" w:tplc="574458D4">
      <w:start w:val="1"/>
      <w:numFmt w:val="bullet"/>
      <w:lvlText w:val=""/>
      <w:lvlJc w:val="left"/>
      <w:pPr>
        <w:ind w:left="4320" w:hanging="360"/>
      </w:pPr>
      <w:rPr>
        <w:rFonts w:ascii="Wingdings" w:hAnsi="Wingdings" w:hint="default"/>
      </w:rPr>
    </w:lvl>
    <w:lvl w:ilvl="6" w:tplc="57C0CF66">
      <w:start w:val="1"/>
      <w:numFmt w:val="bullet"/>
      <w:lvlText w:val=""/>
      <w:lvlJc w:val="left"/>
      <w:pPr>
        <w:ind w:left="5040" w:hanging="360"/>
      </w:pPr>
      <w:rPr>
        <w:rFonts w:ascii="Symbol" w:hAnsi="Symbol" w:hint="default"/>
      </w:rPr>
    </w:lvl>
    <w:lvl w:ilvl="7" w:tplc="32462874">
      <w:start w:val="1"/>
      <w:numFmt w:val="bullet"/>
      <w:lvlText w:val="o"/>
      <w:lvlJc w:val="left"/>
      <w:pPr>
        <w:ind w:left="5760" w:hanging="360"/>
      </w:pPr>
      <w:rPr>
        <w:rFonts w:ascii="Courier New" w:hAnsi="Courier New" w:cs="Times New Roman" w:hint="default"/>
      </w:rPr>
    </w:lvl>
    <w:lvl w:ilvl="8" w:tplc="69868FF0">
      <w:start w:val="1"/>
      <w:numFmt w:val="bullet"/>
      <w:lvlText w:val=""/>
      <w:lvlJc w:val="left"/>
      <w:pPr>
        <w:ind w:left="6480" w:hanging="360"/>
      </w:pPr>
      <w:rPr>
        <w:rFonts w:ascii="Wingdings" w:hAnsi="Wingdings" w:hint="default"/>
      </w:rPr>
    </w:lvl>
  </w:abstractNum>
  <w:abstractNum w:abstractNumId="31" w15:restartNumberingAfterBreak="0">
    <w:nsid w:val="733C099E"/>
    <w:multiLevelType w:val="hybridMultilevel"/>
    <w:tmpl w:val="5EBCE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A805AA8"/>
    <w:multiLevelType w:val="hybridMultilevel"/>
    <w:tmpl w:val="FFFFFFFF"/>
    <w:lvl w:ilvl="0" w:tplc="56B48F68">
      <w:start w:val="1"/>
      <w:numFmt w:val="bullet"/>
      <w:lvlText w:val=""/>
      <w:lvlJc w:val="left"/>
      <w:pPr>
        <w:ind w:left="360" w:hanging="360"/>
      </w:pPr>
      <w:rPr>
        <w:rFonts w:ascii="Symbol" w:hAnsi="Symbol" w:hint="default"/>
      </w:rPr>
    </w:lvl>
    <w:lvl w:ilvl="1" w:tplc="01B49AFC">
      <w:start w:val="1"/>
      <w:numFmt w:val="bullet"/>
      <w:lvlText w:val="o"/>
      <w:lvlJc w:val="left"/>
      <w:pPr>
        <w:ind w:left="1080" w:hanging="360"/>
      </w:pPr>
      <w:rPr>
        <w:rFonts w:ascii="Courier New" w:hAnsi="Courier New" w:hint="default"/>
      </w:rPr>
    </w:lvl>
    <w:lvl w:ilvl="2" w:tplc="664E1B5C">
      <w:start w:val="1"/>
      <w:numFmt w:val="bullet"/>
      <w:lvlText w:val=""/>
      <w:lvlJc w:val="left"/>
      <w:pPr>
        <w:ind w:left="1800" w:hanging="360"/>
      </w:pPr>
      <w:rPr>
        <w:rFonts w:ascii="Wingdings" w:hAnsi="Wingdings" w:hint="default"/>
      </w:rPr>
    </w:lvl>
    <w:lvl w:ilvl="3" w:tplc="DA743862">
      <w:start w:val="1"/>
      <w:numFmt w:val="bullet"/>
      <w:lvlText w:val=""/>
      <w:lvlJc w:val="left"/>
      <w:pPr>
        <w:ind w:left="2520" w:hanging="360"/>
      </w:pPr>
      <w:rPr>
        <w:rFonts w:ascii="Symbol" w:hAnsi="Symbol" w:hint="default"/>
      </w:rPr>
    </w:lvl>
    <w:lvl w:ilvl="4" w:tplc="97180B44">
      <w:start w:val="1"/>
      <w:numFmt w:val="bullet"/>
      <w:lvlText w:val="o"/>
      <w:lvlJc w:val="left"/>
      <w:pPr>
        <w:ind w:left="3240" w:hanging="360"/>
      </w:pPr>
      <w:rPr>
        <w:rFonts w:ascii="Courier New" w:hAnsi="Courier New" w:hint="default"/>
      </w:rPr>
    </w:lvl>
    <w:lvl w:ilvl="5" w:tplc="A5A88ABE">
      <w:start w:val="1"/>
      <w:numFmt w:val="bullet"/>
      <w:lvlText w:val=""/>
      <w:lvlJc w:val="left"/>
      <w:pPr>
        <w:ind w:left="3960" w:hanging="360"/>
      </w:pPr>
      <w:rPr>
        <w:rFonts w:ascii="Wingdings" w:hAnsi="Wingdings" w:hint="default"/>
      </w:rPr>
    </w:lvl>
    <w:lvl w:ilvl="6" w:tplc="10640AAC">
      <w:start w:val="1"/>
      <w:numFmt w:val="bullet"/>
      <w:lvlText w:val=""/>
      <w:lvlJc w:val="left"/>
      <w:pPr>
        <w:ind w:left="4680" w:hanging="360"/>
      </w:pPr>
      <w:rPr>
        <w:rFonts w:ascii="Symbol" w:hAnsi="Symbol" w:hint="default"/>
      </w:rPr>
    </w:lvl>
    <w:lvl w:ilvl="7" w:tplc="A3C07B78">
      <w:start w:val="1"/>
      <w:numFmt w:val="bullet"/>
      <w:lvlText w:val="o"/>
      <w:lvlJc w:val="left"/>
      <w:pPr>
        <w:ind w:left="5400" w:hanging="360"/>
      </w:pPr>
      <w:rPr>
        <w:rFonts w:ascii="Courier New" w:hAnsi="Courier New" w:hint="default"/>
      </w:rPr>
    </w:lvl>
    <w:lvl w:ilvl="8" w:tplc="0E728E2C">
      <w:start w:val="1"/>
      <w:numFmt w:val="bullet"/>
      <w:lvlText w:val=""/>
      <w:lvlJc w:val="left"/>
      <w:pPr>
        <w:ind w:left="6120" w:hanging="360"/>
      </w:pPr>
      <w:rPr>
        <w:rFonts w:ascii="Wingdings" w:hAnsi="Wingdings" w:hint="default"/>
      </w:rPr>
    </w:lvl>
  </w:abstractNum>
  <w:abstractNum w:abstractNumId="33" w15:restartNumberingAfterBreak="0">
    <w:nsid w:val="7C5F1DB5"/>
    <w:multiLevelType w:val="hybridMultilevel"/>
    <w:tmpl w:val="FFFFFFFF"/>
    <w:lvl w:ilvl="0" w:tplc="B384565C">
      <w:start w:val="1"/>
      <w:numFmt w:val="bullet"/>
      <w:lvlText w:val=""/>
      <w:lvlJc w:val="left"/>
      <w:pPr>
        <w:ind w:left="720" w:hanging="360"/>
      </w:pPr>
      <w:rPr>
        <w:rFonts w:ascii="Symbol" w:hAnsi="Symbol" w:hint="default"/>
      </w:rPr>
    </w:lvl>
    <w:lvl w:ilvl="1" w:tplc="7278CAC2">
      <w:start w:val="1"/>
      <w:numFmt w:val="bullet"/>
      <w:lvlText w:val="o"/>
      <w:lvlJc w:val="left"/>
      <w:pPr>
        <w:ind w:left="1440" w:hanging="360"/>
      </w:pPr>
      <w:rPr>
        <w:rFonts w:ascii="Courier New" w:hAnsi="Courier New" w:cs="Times New Roman" w:hint="default"/>
      </w:rPr>
    </w:lvl>
    <w:lvl w:ilvl="2" w:tplc="093C9C64">
      <w:start w:val="1"/>
      <w:numFmt w:val="bullet"/>
      <w:lvlText w:val=""/>
      <w:lvlJc w:val="left"/>
      <w:pPr>
        <w:ind w:left="2160" w:hanging="360"/>
      </w:pPr>
      <w:rPr>
        <w:rFonts w:ascii="Wingdings" w:hAnsi="Wingdings" w:hint="default"/>
      </w:rPr>
    </w:lvl>
    <w:lvl w:ilvl="3" w:tplc="370C2778">
      <w:start w:val="1"/>
      <w:numFmt w:val="bullet"/>
      <w:lvlText w:val=""/>
      <w:lvlJc w:val="left"/>
      <w:pPr>
        <w:ind w:left="2880" w:hanging="360"/>
      </w:pPr>
      <w:rPr>
        <w:rFonts w:ascii="Symbol" w:hAnsi="Symbol" w:hint="default"/>
      </w:rPr>
    </w:lvl>
    <w:lvl w:ilvl="4" w:tplc="A5CC12B4">
      <w:start w:val="1"/>
      <w:numFmt w:val="bullet"/>
      <w:lvlText w:val="o"/>
      <w:lvlJc w:val="left"/>
      <w:pPr>
        <w:ind w:left="3600" w:hanging="360"/>
      </w:pPr>
      <w:rPr>
        <w:rFonts w:ascii="Courier New" w:hAnsi="Courier New" w:cs="Times New Roman" w:hint="default"/>
      </w:rPr>
    </w:lvl>
    <w:lvl w:ilvl="5" w:tplc="DCE4A650">
      <w:start w:val="1"/>
      <w:numFmt w:val="bullet"/>
      <w:lvlText w:val=""/>
      <w:lvlJc w:val="left"/>
      <w:pPr>
        <w:ind w:left="4320" w:hanging="360"/>
      </w:pPr>
      <w:rPr>
        <w:rFonts w:ascii="Wingdings" w:hAnsi="Wingdings" w:hint="default"/>
      </w:rPr>
    </w:lvl>
    <w:lvl w:ilvl="6" w:tplc="C3B2238A">
      <w:start w:val="1"/>
      <w:numFmt w:val="bullet"/>
      <w:lvlText w:val=""/>
      <w:lvlJc w:val="left"/>
      <w:pPr>
        <w:ind w:left="5040" w:hanging="360"/>
      </w:pPr>
      <w:rPr>
        <w:rFonts w:ascii="Symbol" w:hAnsi="Symbol" w:hint="default"/>
      </w:rPr>
    </w:lvl>
    <w:lvl w:ilvl="7" w:tplc="A74CA1FC">
      <w:start w:val="1"/>
      <w:numFmt w:val="bullet"/>
      <w:lvlText w:val="o"/>
      <w:lvlJc w:val="left"/>
      <w:pPr>
        <w:ind w:left="5760" w:hanging="360"/>
      </w:pPr>
      <w:rPr>
        <w:rFonts w:ascii="Courier New" w:hAnsi="Courier New" w:cs="Times New Roman" w:hint="default"/>
      </w:rPr>
    </w:lvl>
    <w:lvl w:ilvl="8" w:tplc="B6267166">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5"/>
  </w:num>
  <w:num w:numId="5">
    <w:abstractNumId w:val="22"/>
  </w:num>
  <w:num w:numId="6">
    <w:abstractNumId w:val="31"/>
  </w:num>
  <w:num w:numId="7">
    <w:abstractNumId w:val="28"/>
  </w:num>
  <w:num w:numId="8">
    <w:abstractNumId w:val="2"/>
  </w:num>
  <w:num w:numId="9">
    <w:abstractNumId w:val="18"/>
  </w:num>
  <w:num w:numId="10">
    <w:abstractNumId w:val="0"/>
  </w:num>
  <w:num w:numId="11">
    <w:abstractNumId w:val="12"/>
  </w:num>
  <w:num w:numId="12">
    <w:abstractNumId w:val="6"/>
  </w:num>
  <w:num w:numId="13">
    <w:abstractNumId w:val="23"/>
  </w:num>
  <w:num w:numId="14">
    <w:abstractNumId w:val="4"/>
  </w:num>
  <w:num w:numId="15">
    <w:abstractNumId w:val="33"/>
  </w:num>
  <w:num w:numId="16">
    <w:abstractNumId w:val="26"/>
  </w:num>
  <w:num w:numId="17">
    <w:abstractNumId w:val="30"/>
  </w:num>
  <w:num w:numId="18">
    <w:abstractNumId w:val="32"/>
  </w:num>
  <w:num w:numId="19">
    <w:abstractNumId w:val="24"/>
  </w:num>
  <w:num w:numId="20">
    <w:abstractNumId w:val="7"/>
  </w:num>
  <w:num w:numId="21">
    <w:abstractNumId w:val="1"/>
  </w:num>
  <w:num w:numId="22">
    <w:abstractNumId w:val="19"/>
  </w:num>
  <w:num w:numId="23">
    <w:abstractNumId w:val="25"/>
  </w:num>
  <w:num w:numId="24">
    <w:abstractNumId w:val="17"/>
  </w:num>
  <w:num w:numId="25">
    <w:abstractNumId w:val="14"/>
  </w:num>
  <w:num w:numId="26">
    <w:abstractNumId w:val="21"/>
  </w:num>
  <w:num w:numId="27">
    <w:abstractNumId w:val="15"/>
  </w:num>
  <w:num w:numId="28">
    <w:abstractNumId w:val="15"/>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11"/>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7"/>
  </w:num>
  <w:num w:numId="38">
    <w:abstractNumId w:val="2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AF"/>
    <w:rsid w:val="000010C9"/>
    <w:rsid w:val="000035A5"/>
    <w:rsid w:val="00004959"/>
    <w:rsid w:val="000101D2"/>
    <w:rsid w:val="000104EC"/>
    <w:rsid w:val="00010F4B"/>
    <w:rsid w:val="00011D19"/>
    <w:rsid w:val="00012793"/>
    <w:rsid w:val="000158BC"/>
    <w:rsid w:val="0001645E"/>
    <w:rsid w:val="0001787B"/>
    <w:rsid w:val="000206F1"/>
    <w:rsid w:val="000230A6"/>
    <w:rsid w:val="000265BC"/>
    <w:rsid w:val="00027663"/>
    <w:rsid w:val="000329CE"/>
    <w:rsid w:val="00033262"/>
    <w:rsid w:val="00033FC1"/>
    <w:rsid w:val="000352F4"/>
    <w:rsid w:val="000355DE"/>
    <w:rsid w:val="00044876"/>
    <w:rsid w:val="000466FA"/>
    <w:rsid w:val="00050880"/>
    <w:rsid w:val="0005194D"/>
    <w:rsid w:val="00052AC2"/>
    <w:rsid w:val="00052AE1"/>
    <w:rsid w:val="00056035"/>
    <w:rsid w:val="000619F3"/>
    <w:rsid w:val="00061D2C"/>
    <w:rsid w:val="000637F5"/>
    <w:rsid w:val="00066C7A"/>
    <w:rsid w:val="0006725C"/>
    <w:rsid w:val="0007758F"/>
    <w:rsid w:val="000826A6"/>
    <w:rsid w:val="000852C6"/>
    <w:rsid w:val="00087D12"/>
    <w:rsid w:val="00090C60"/>
    <w:rsid w:val="00092244"/>
    <w:rsid w:val="0009281F"/>
    <w:rsid w:val="00092A96"/>
    <w:rsid w:val="000943C2"/>
    <w:rsid w:val="000A06C3"/>
    <w:rsid w:val="000A1984"/>
    <w:rsid w:val="000B1F3B"/>
    <w:rsid w:val="000B5329"/>
    <w:rsid w:val="000B5C91"/>
    <w:rsid w:val="000C2501"/>
    <w:rsid w:val="000C718B"/>
    <w:rsid w:val="000C7448"/>
    <w:rsid w:val="000D1EBC"/>
    <w:rsid w:val="000D27AF"/>
    <w:rsid w:val="000D2C55"/>
    <w:rsid w:val="000D4691"/>
    <w:rsid w:val="000D46D6"/>
    <w:rsid w:val="000D63D3"/>
    <w:rsid w:val="000D7621"/>
    <w:rsid w:val="000E3549"/>
    <w:rsid w:val="000E70F9"/>
    <w:rsid w:val="000F3218"/>
    <w:rsid w:val="000F3CEF"/>
    <w:rsid w:val="000F518B"/>
    <w:rsid w:val="000F66B0"/>
    <w:rsid w:val="001029BB"/>
    <w:rsid w:val="00102E18"/>
    <w:rsid w:val="00107B74"/>
    <w:rsid w:val="00110D56"/>
    <w:rsid w:val="0011206F"/>
    <w:rsid w:val="00115839"/>
    <w:rsid w:val="00115909"/>
    <w:rsid w:val="00117574"/>
    <w:rsid w:val="00117D95"/>
    <w:rsid w:val="00124C97"/>
    <w:rsid w:val="00127365"/>
    <w:rsid w:val="00130C59"/>
    <w:rsid w:val="00130E68"/>
    <w:rsid w:val="001378B7"/>
    <w:rsid w:val="0014461A"/>
    <w:rsid w:val="00147793"/>
    <w:rsid w:val="00153E03"/>
    <w:rsid w:val="00164FAB"/>
    <w:rsid w:val="001724BC"/>
    <w:rsid w:val="00176538"/>
    <w:rsid w:val="001830EF"/>
    <w:rsid w:val="001907CE"/>
    <w:rsid w:val="00192530"/>
    <w:rsid w:val="00193973"/>
    <w:rsid w:val="001A207A"/>
    <w:rsid w:val="001A6A3E"/>
    <w:rsid w:val="001B1480"/>
    <w:rsid w:val="001B1E74"/>
    <w:rsid w:val="001B2409"/>
    <w:rsid w:val="001B331D"/>
    <w:rsid w:val="001B5CFF"/>
    <w:rsid w:val="001C5048"/>
    <w:rsid w:val="001D0C91"/>
    <w:rsid w:val="001F1097"/>
    <w:rsid w:val="001F18A0"/>
    <w:rsid w:val="001F314A"/>
    <w:rsid w:val="001F58C1"/>
    <w:rsid w:val="001F77EE"/>
    <w:rsid w:val="0020273F"/>
    <w:rsid w:val="002062F7"/>
    <w:rsid w:val="00206944"/>
    <w:rsid w:val="0021195D"/>
    <w:rsid w:val="00211A61"/>
    <w:rsid w:val="002154D7"/>
    <w:rsid w:val="002162AF"/>
    <w:rsid w:val="00221035"/>
    <w:rsid w:val="0022480A"/>
    <w:rsid w:val="00231255"/>
    <w:rsid w:val="00231A45"/>
    <w:rsid w:val="00232E99"/>
    <w:rsid w:val="00234E29"/>
    <w:rsid w:val="00235A18"/>
    <w:rsid w:val="0023735F"/>
    <w:rsid w:val="002407AE"/>
    <w:rsid w:val="0024100C"/>
    <w:rsid w:val="00243894"/>
    <w:rsid w:val="00261D2F"/>
    <w:rsid w:val="0026275F"/>
    <w:rsid w:val="00267761"/>
    <w:rsid w:val="0027012B"/>
    <w:rsid w:val="00270320"/>
    <w:rsid w:val="00270D48"/>
    <w:rsid w:val="00270D9D"/>
    <w:rsid w:val="00270F80"/>
    <w:rsid w:val="00272956"/>
    <w:rsid w:val="002746E8"/>
    <w:rsid w:val="00275F74"/>
    <w:rsid w:val="002808B4"/>
    <w:rsid w:val="00280C07"/>
    <w:rsid w:val="00283731"/>
    <w:rsid w:val="0028769B"/>
    <w:rsid w:val="0029221D"/>
    <w:rsid w:val="0029420A"/>
    <w:rsid w:val="00295F01"/>
    <w:rsid w:val="002970D3"/>
    <w:rsid w:val="002A470E"/>
    <w:rsid w:val="002A4B6E"/>
    <w:rsid w:val="002A6B8B"/>
    <w:rsid w:val="002A72E9"/>
    <w:rsid w:val="002A7FA5"/>
    <w:rsid w:val="002B3884"/>
    <w:rsid w:val="002B3FC5"/>
    <w:rsid w:val="002B4062"/>
    <w:rsid w:val="002C15EC"/>
    <w:rsid w:val="002C3631"/>
    <w:rsid w:val="002C36D8"/>
    <w:rsid w:val="002C535D"/>
    <w:rsid w:val="002D4F58"/>
    <w:rsid w:val="002F02CC"/>
    <w:rsid w:val="002F21A4"/>
    <w:rsid w:val="002F34FD"/>
    <w:rsid w:val="00300B03"/>
    <w:rsid w:val="00300EF2"/>
    <w:rsid w:val="00301BCC"/>
    <w:rsid w:val="0031122C"/>
    <w:rsid w:val="00312D5A"/>
    <w:rsid w:val="00315109"/>
    <w:rsid w:val="00316787"/>
    <w:rsid w:val="00316B29"/>
    <w:rsid w:val="00320939"/>
    <w:rsid w:val="00323FD8"/>
    <w:rsid w:val="0033000E"/>
    <w:rsid w:val="0033060E"/>
    <w:rsid w:val="0033543B"/>
    <w:rsid w:val="003379D5"/>
    <w:rsid w:val="00343E01"/>
    <w:rsid w:val="00350DD2"/>
    <w:rsid w:val="00350F9A"/>
    <w:rsid w:val="00361DAB"/>
    <w:rsid w:val="003648B6"/>
    <w:rsid w:val="00365961"/>
    <w:rsid w:val="0036643F"/>
    <w:rsid w:val="003669A6"/>
    <w:rsid w:val="00367884"/>
    <w:rsid w:val="00370736"/>
    <w:rsid w:val="00372A81"/>
    <w:rsid w:val="00372CF3"/>
    <w:rsid w:val="00373152"/>
    <w:rsid w:val="00373B18"/>
    <w:rsid w:val="00383183"/>
    <w:rsid w:val="003872E7"/>
    <w:rsid w:val="00390A9D"/>
    <w:rsid w:val="00394820"/>
    <w:rsid w:val="00395CD2"/>
    <w:rsid w:val="003A0919"/>
    <w:rsid w:val="003A253C"/>
    <w:rsid w:val="003A5F45"/>
    <w:rsid w:val="003A74B4"/>
    <w:rsid w:val="003A7612"/>
    <w:rsid w:val="003B138D"/>
    <w:rsid w:val="003B5606"/>
    <w:rsid w:val="003C101E"/>
    <w:rsid w:val="003C1755"/>
    <w:rsid w:val="003C20F7"/>
    <w:rsid w:val="003C2A22"/>
    <w:rsid w:val="003D3348"/>
    <w:rsid w:val="003D4502"/>
    <w:rsid w:val="003D4E43"/>
    <w:rsid w:val="003D6C2E"/>
    <w:rsid w:val="003E5450"/>
    <w:rsid w:val="003E5FFB"/>
    <w:rsid w:val="003E6370"/>
    <w:rsid w:val="003E6795"/>
    <w:rsid w:val="003F0240"/>
    <w:rsid w:val="003F19CC"/>
    <w:rsid w:val="003F4491"/>
    <w:rsid w:val="003F7FED"/>
    <w:rsid w:val="004007D8"/>
    <w:rsid w:val="00407D0E"/>
    <w:rsid w:val="00410740"/>
    <w:rsid w:val="00411EDA"/>
    <w:rsid w:val="00412127"/>
    <w:rsid w:val="004153A4"/>
    <w:rsid w:val="00415E91"/>
    <w:rsid w:val="00417820"/>
    <w:rsid w:val="00420C33"/>
    <w:rsid w:val="00421309"/>
    <w:rsid w:val="0042760F"/>
    <w:rsid w:val="00432230"/>
    <w:rsid w:val="00436195"/>
    <w:rsid w:val="0044128E"/>
    <w:rsid w:val="0044274E"/>
    <w:rsid w:val="004447DD"/>
    <w:rsid w:val="004450B0"/>
    <w:rsid w:val="00447F35"/>
    <w:rsid w:val="004534CD"/>
    <w:rsid w:val="00453D9E"/>
    <w:rsid w:val="004545EB"/>
    <w:rsid w:val="00454755"/>
    <w:rsid w:val="00457897"/>
    <w:rsid w:val="004601E5"/>
    <w:rsid w:val="00461707"/>
    <w:rsid w:val="00462998"/>
    <w:rsid w:val="00465100"/>
    <w:rsid w:val="00465B5C"/>
    <w:rsid w:val="004660CD"/>
    <w:rsid w:val="004725D9"/>
    <w:rsid w:val="00473B8C"/>
    <w:rsid w:val="004775E8"/>
    <w:rsid w:val="00477806"/>
    <w:rsid w:val="004802F8"/>
    <w:rsid w:val="004871A4"/>
    <w:rsid w:val="004927E9"/>
    <w:rsid w:val="00492A16"/>
    <w:rsid w:val="00496BB4"/>
    <w:rsid w:val="004A3466"/>
    <w:rsid w:val="004A4C1B"/>
    <w:rsid w:val="004B3E31"/>
    <w:rsid w:val="004C1DFF"/>
    <w:rsid w:val="004C2A98"/>
    <w:rsid w:val="004C3C51"/>
    <w:rsid w:val="004C4B10"/>
    <w:rsid w:val="004C4E44"/>
    <w:rsid w:val="004C7831"/>
    <w:rsid w:val="004E1C0E"/>
    <w:rsid w:val="004E25A7"/>
    <w:rsid w:val="004E35E0"/>
    <w:rsid w:val="004E48EC"/>
    <w:rsid w:val="004E57F7"/>
    <w:rsid w:val="004E60D0"/>
    <w:rsid w:val="004F0540"/>
    <w:rsid w:val="004F5D02"/>
    <w:rsid w:val="004F64DC"/>
    <w:rsid w:val="00505FC0"/>
    <w:rsid w:val="00506A0A"/>
    <w:rsid w:val="00506DAF"/>
    <w:rsid w:val="00506F6E"/>
    <w:rsid w:val="00507DC1"/>
    <w:rsid w:val="005111EB"/>
    <w:rsid w:val="005156C0"/>
    <w:rsid w:val="00520E76"/>
    <w:rsid w:val="005238E3"/>
    <w:rsid w:val="005261F1"/>
    <w:rsid w:val="00527855"/>
    <w:rsid w:val="00531E5C"/>
    <w:rsid w:val="0053253C"/>
    <w:rsid w:val="00536489"/>
    <w:rsid w:val="005365DC"/>
    <w:rsid w:val="00536802"/>
    <w:rsid w:val="00536CC7"/>
    <w:rsid w:val="00541AA3"/>
    <w:rsid w:val="00543F22"/>
    <w:rsid w:val="005453B9"/>
    <w:rsid w:val="0054572E"/>
    <w:rsid w:val="005463B3"/>
    <w:rsid w:val="00546FAA"/>
    <w:rsid w:val="0055503C"/>
    <w:rsid w:val="00556F99"/>
    <w:rsid w:val="00561253"/>
    <w:rsid w:val="00562177"/>
    <w:rsid w:val="005627E8"/>
    <w:rsid w:val="00562AF7"/>
    <w:rsid w:val="005649CE"/>
    <w:rsid w:val="005664E3"/>
    <w:rsid w:val="005675A2"/>
    <w:rsid w:val="005700E6"/>
    <w:rsid w:val="005710E2"/>
    <w:rsid w:val="0057231D"/>
    <w:rsid w:val="005756E1"/>
    <w:rsid w:val="005766DC"/>
    <w:rsid w:val="00576D5D"/>
    <w:rsid w:val="0058166F"/>
    <w:rsid w:val="005821FD"/>
    <w:rsid w:val="00592012"/>
    <w:rsid w:val="00593BFC"/>
    <w:rsid w:val="00595CD5"/>
    <w:rsid w:val="00595F9E"/>
    <w:rsid w:val="005A19C1"/>
    <w:rsid w:val="005A3F94"/>
    <w:rsid w:val="005A40EC"/>
    <w:rsid w:val="005A7FBF"/>
    <w:rsid w:val="005B780E"/>
    <w:rsid w:val="005C19D2"/>
    <w:rsid w:val="005C3496"/>
    <w:rsid w:val="005C3A9A"/>
    <w:rsid w:val="005C4E29"/>
    <w:rsid w:val="005C5635"/>
    <w:rsid w:val="005D0C28"/>
    <w:rsid w:val="005D1378"/>
    <w:rsid w:val="005D307C"/>
    <w:rsid w:val="005D6EDD"/>
    <w:rsid w:val="005E1A24"/>
    <w:rsid w:val="005E1B67"/>
    <w:rsid w:val="005F2FAF"/>
    <w:rsid w:val="005F392E"/>
    <w:rsid w:val="005F3A56"/>
    <w:rsid w:val="005F51E8"/>
    <w:rsid w:val="005F57D2"/>
    <w:rsid w:val="005F69FE"/>
    <w:rsid w:val="005F7954"/>
    <w:rsid w:val="00602968"/>
    <w:rsid w:val="00602DDB"/>
    <w:rsid w:val="00606957"/>
    <w:rsid w:val="006129CE"/>
    <w:rsid w:val="0061434A"/>
    <w:rsid w:val="00614F0A"/>
    <w:rsid w:val="00617838"/>
    <w:rsid w:val="006207DD"/>
    <w:rsid w:val="00621F2F"/>
    <w:rsid w:val="00635119"/>
    <w:rsid w:val="00636619"/>
    <w:rsid w:val="006377CB"/>
    <w:rsid w:val="006432C2"/>
    <w:rsid w:val="0064442A"/>
    <w:rsid w:val="006448A8"/>
    <w:rsid w:val="00644AF3"/>
    <w:rsid w:val="00645DA2"/>
    <w:rsid w:val="00646B33"/>
    <w:rsid w:val="00647998"/>
    <w:rsid w:val="00650E1E"/>
    <w:rsid w:val="006534D9"/>
    <w:rsid w:val="00653752"/>
    <w:rsid w:val="00653EC0"/>
    <w:rsid w:val="00664F1D"/>
    <w:rsid w:val="00667D72"/>
    <w:rsid w:val="006700D4"/>
    <w:rsid w:val="00675DF9"/>
    <w:rsid w:val="0068142E"/>
    <w:rsid w:val="00684158"/>
    <w:rsid w:val="00684886"/>
    <w:rsid w:val="006924FC"/>
    <w:rsid w:val="00692C9E"/>
    <w:rsid w:val="00692CF2"/>
    <w:rsid w:val="006955A8"/>
    <w:rsid w:val="00697917"/>
    <w:rsid w:val="006A1C67"/>
    <w:rsid w:val="006A52ED"/>
    <w:rsid w:val="006B1896"/>
    <w:rsid w:val="006B1A10"/>
    <w:rsid w:val="006B3FA3"/>
    <w:rsid w:val="006B52D1"/>
    <w:rsid w:val="006B6B02"/>
    <w:rsid w:val="006C6D9D"/>
    <w:rsid w:val="006D139A"/>
    <w:rsid w:val="006D2B5B"/>
    <w:rsid w:val="006D6C2B"/>
    <w:rsid w:val="006E333A"/>
    <w:rsid w:val="006F38F3"/>
    <w:rsid w:val="00700974"/>
    <w:rsid w:val="007017C1"/>
    <w:rsid w:val="007020A9"/>
    <w:rsid w:val="00702C68"/>
    <w:rsid w:val="0070453E"/>
    <w:rsid w:val="00705C06"/>
    <w:rsid w:val="00712D25"/>
    <w:rsid w:val="00712FA2"/>
    <w:rsid w:val="007132F2"/>
    <w:rsid w:val="00713D48"/>
    <w:rsid w:val="00714404"/>
    <w:rsid w:val="007169F7"/>
    <w:rsid w:val="00716DE4"/>
    <w:rsid w:val="00720E04"/>
    <w:rsid w:val="00723BBE"/>
    <w:rsid w:val="00724217"/>
    <w:rsid w:val="00724623"/>
    <w:rsid w:val="0072718D"/>
    <w:rsid w:val="007347E1"/>
    <w:rsid w:val="007404B8"/>
    <w:rsid w:val="00743E21"/>
    <w:rsid w:val="007453EA"/>
    <w:rsid w:val="007469C3"/>
    <w:rsid w:val="00747F9C"/>
    <w:rsid w:val="00753006"/>
    <w:rsid w:val="007542C5"/>
    <w:rsid w:val="007560E5"/>
    <w:rsid w:val="00757627"/>
    <w:rsid w:val="00760259"/>
    <w:rsid w:val="00761D97"/>
    <w:rsid w:val="007629E0"/>
    <w:rsid w:val="00762FF2"/>
    <w:rsid w:val="007656B6"/>
    <w:rsid w:val="00766E8E"/>
    <w:rsid w:val="00767C53"/>
    <w:rsid w:val="00770B0D"/>
    <w:rsid w:val="00773FD2"/>
    <w:rsid w:val="0077476B"/>
    <w:rsid w:val="00775245"/>
    <w:rsid w:val="007768C1"/>
    <w:rsid w:val="00776C5F"/>
    <w:rsid w:val="00782C26"/>
    <w:rsid w:val="00782EB4"/>
    <w:rsid w:val="007833DA"/>
    <w:rsid w:val="00783844"/>
    <w:rsid w:val="00785A45"/>
    <w:rsid w:val="007902E0"/>
    <w:rsid w:val="007944BF"/>
    <w:rsid w:val="007947E3"/>
    <w:rsid w:val="007976B6"/>
    <w:rsid w:val="007979BB"/>
    <w:rsid w:val="007A1BAE"/>
    <w:rsid w:val="007A2D7B"/>
    <w:rsid w:val="007B10A7"/>
    <w:rsid w:val="007B1EB3"/>
    <w:rsid w:val="007B7CC6"/>
    <w:rsid w:val="007B7F88"/>
    <w:rsid w:val="007C27CC"/>
    <w:rsid w:val="007C3278"/>
    <w:rsid w:val="007C344A"/>
    <w:rsid w:val="007C420B"/>
    <w:rsid w:val="007C48A0"/>
    <w:rsid w:val="007D0A46"/>
    <w:rsid w:val="007D2867"/>
    <w:rsid w:val="007D29B4"/>
    <w:rsid w:val="007D45EE"/>
    <w:rsid w:val="007D616B"/>
    <w:rsid w:val="007E19CF"/>
    <w:rsid w:val="007E27E7"/>
    <w:rsid w:val="007E4B89"/>
    <w:rsid w:val="007E695B"/>
    <w:rsid w:val="007F1B9C"/>
    <w:rsid w:val="007F74CD"/>
    <w:rsid w:val="00801F9B"/>
    <w:rsid w:val="00811BA9"/>
    <w:rsid w:val="00811DB1"/>
    <w:rsid w:val="00812701"/>
    <w:rsid w:val="00812812"/>
    <w:rsid w:val="008133BE"/>
    <w:rsid w:val="00813912"/>
    <w:rsid w:val="00821E9D"/>
    <w:rsid w:val="00821F47"/>
    <w:rsid w:val="00822544"/>
    <w:rsid w:val="00822852"/>
    <w:rsid w:val="00823983"/>
    <w:rsid w:val="008248C1"/>
    <w:rsid w:val="0082517B"/>
    <w:rsid w:val="00825F95"/>
    <w:rsid w:val="00826464"/>
    <w:rsid w:val="008310A4"/>
    <w:rsid w:val="00831339"/>
    <w:rsid w:val="0083201A"/>
    <w:rsid w:val="008322E7"/>
    <w:rsid w:val="00832F37"/>
    <w:rsid w:val="00832FD8"/>
    <w:rsid w:val="00833466"/>
    <w:rsid w:val="00836431"/>
    <w:rsid w:val="008372A2"/>
    <w:rsid w:val="00837896"/>
    <w:rsid w:val="00842D84"/>
    <w:rsid w:val="00842F7C"/>
    <w:rsid w:val="00846C95"/>
    <w:rsid w:val="00854686"/>
    <w:rsid w:val="008552AA"/>
    <w:rsid w:val="00855B61"/>
    <w:rsid w:val="008577D0"/>
    <w:rsid w:val="00857992"/>
    <w:rsid w:val="00862984"/>
    <w:rsid w:val="00864C7F"/>
    <w:rsid w:val="00866C9D"/>
    <w:rsid w:val="00866FB1"/>
    <w:rsid w:val="008670F9"/>
    <w:rsid w:val="0086742C"/>
    <w:rsid w:val="008709DD"/>
    <w:rsid w:val="0087671A"/>
    <w:rsid w:val="00881D47"/>
    <w:rsid w:val="008859A7"/>
    <w:rsid w:val="008867A8"/>
    <w:rsid w:val="00886F06"/>
    <w:rsid w:val="0089486A"/>
    <w:rsid w:val="00895315"/>
    <w:rsid w:val="008A2D03"/>
    <w:rsid w:val="008A314E"/>
    <w:rsid w:val="008A3BB5"/>
    <w:rsid w:val="008A5D4B"/>
    <w:rsid w:val="008A652C"/>
    <w:rsid w:val="008B0390"/>
    <w:rsid w:val="008B615C"/>
    <w:rsid w:val="008C028F"/>
    <w:rsid w:val="008C10E1"/>
    <w:rsid w:val="008C497F"/>
    <w:rsid w:val="008C511D"/>
    <w:rsid w:val="008D5D65"/>
    <w:rsid w:val="008E0622"/>
    <w:rsid w:val="008E2512"/>
    <w:rsid w:val="008F037D"/>
    <w:rsid w:val="008F3541"/>
    <w:rsid w:val="008F4DE3"/>
    <w:rsid w:val="008F6B2D"/>
    <w:rsid w:val="00901D75"/>
    <w:rsid w:val="009022C0"/>
    <w:rsid w:val="00904734"/>
    <w:rsid w:val="00906B8D"/>
    <w:rsid w:val="0091053F"/>
    <w:rsid w:val="00913EFA"/>
    <w:rsid w:val="00920438"/>
    <w:rsid w:val="0092152D"/>
    <w:rsid w:val="00922C53"/>
    <w:rsid w:val="00923A56"/>
    <w:rsid w:val="00924252"/>
    <w:rsid w:val="00924E1B"/>
    <w:rsid w:val="00932E9C"/>
    <w:rsid w:val="00933014"/>
    <w:rsid w:val="00934126"/>
    <w:rsid w:val="00940A1A"/>
    <w:rsid w:val="009421ED"/>
    <w:rsid w:val="0095034D"/>
    <w:rsid w:val="00961EB9"/>
    <w:rsid w:val="00963EEA"/>
    <w:rsid w:val="009667B4"/>
    <w:rsid w:val="00975449"/>
    <w:rsid w:val="00975F3B"/>
    <w:rsid w:val="009811C5"/>
    <w:rsid w:val="00987E46"/>
    <w:rsid w:val="0099172C"/>
    <w:rsid w:val="009A219E"/>
    <w:rsid w:val="009A5F80"/>
    <w:rsid w:val="009B51CE"/>
    <w:rsid w:val="009B7232"/>
    <w:rsid w:val="009C3EC2"/>
    <w:rsid w:val="009C645B"/>
    <w:rsid w:val="009C7CFC"/>
    <w:rsid w:val="009D3213"/>
    <w:rsid w:val="009D39D2"/>
    <w:rsid w:val="009D495E"/>
    <w:rsid w:val="009D641D"/>
    <w:rsid w:val="009E4867"/>
    <w:rsid w:val="009E52FA"/>
    <w:rsid w:val="009F2BEC"/>
    <w:rsid w:val="009F52DA"/>
    <w:rsid w:val="009F5F7B"/>
    <w:rsid w:val="00A0057F"/>
    <w:rsid w:val="00A0546A"/>
    <w:rsid w:val="00A071DD"/>
    <w:rsid w:val="00A14BC1"/>
    <w:rsid w:val="00A17872"/>
    <w:rsid w:val="00A207C3"/>
    <w:rsid w:val="00A20968"/>
    <w:rsid w:val="00A25A9C"/>
    <w:rsid w:val="00A320E9"/>
    <w:rsid w:val="00A42896"/>
    <w:rsid w:val="00A4533B"/>
    <w:rsid w:val="00A47044"/>
    <w:rsid w:val="00A5057D"/>
    <w:rsid w:val="00A510F8"/>
    <w:rsid w:val="00A536D9"/>
    <w:rsid w:val="00A55609"/>
    <w:rsid w:val="00A55C09"/>
    <w:rsid w:val="00A56EDB"/>
    <w:rsid w:val="00A57D63"/>
    <w:rsid w:val="00A60975"/>
    <w:rsid w:val="00A6133A"/>
    <w:rsid w:val="00A6622D"/>
    <w:rsid w:val="00A66A00"/>
    <w:rsid w:val="00A67AAD"/>
    <w:rsid w:val="00A67D7C"/>
    <w:rsid w:val="00A70D0A"/>
    <w:rsid w:val="00A74F6A"/>
    <w:rsid w:val="00A83E46"/>
    <w:rsid w:val="00A84D8D"/>
    <w:rsid w:val="00A85E92"/>
    <w:rsid w:val="00A8673A"/>
    <w:rsid w:val="00A87D59"/>
    <w:rsid w:val="00A905DE"/>
    <w:rsid w:val="00A95186"/>
    <w:rsid w:val="00AA014E"/>
    <w:rsid w:val="00AA4CA2"/>
    <w:rsid w:val="00AA4F83"/>
    <w:rsid w:val="00AB271E"/>
    <w:rsid w:val="00AB504D"/>
    <w:rsid w:val="00AC7F64"/>
    <w:rsid w:val="00AD543B"/>
    <w:rsid w:val="00AD616B"/>
    <w:rsid w:val="00AD69B1"/>
    <w:rsid w:val="00AE6FD3"/>
    <w:rsid w:val="00AF120B"/>
    <w:rsid w:val="00AF20B1"/>
    <w:rsid w:val="00AF28DC"/>
    <w:rsid w:val="00AF7F21"/>
    <w:rsid w:val="00B0441F"/>
    <w:rsid w:val="00B05851"/>
    <w:rsid w:val="00B063F3"/>
    <w:rsid w:val="00B12F47"/>
    <w:rsid w:val="00B15BD7"/>
    <w:rsid w:val="00B202BE"/>
    <w:rsid w:val="00B21A56"/>
    <w:rsid w:val="00B22304"/>
    <w:rsid w:val="00B22F2F"/>
    <w:rsid w:val="00B237FE"/>
    <w:rsid w:val="00B24505"/>
    <w:rsid w:val="00B24952"/>
    <w:rsid w:val="00B3413F"/>
    <w:rsid w:val="00B34A19"/>
    <w:rsid w:val="00B35252"/>
    <w:rsid w:val="00B443A1"/>
    <w:rsid w:val="00B47AEF"/>
    <w:rsid w:val="00B47B97"/>
    <w:rsid w:val="00B612C2"/>
    <w:rsid w:val="00B6242F"/>
    <w:rsid w:val="00B63D24"/>
    <w:rsid w:val="00B6417A"/>
    <w:rsid w:val="00B652FF"/>
    <w:rsid w:val="00B67894"/>
    <w:rsid w:val="00B6790B"/>
    <w:rsid w:val="00B73A67"/>
    <w:rsid w:val="00B74969"/>
    <w:rsid w:val="00B74A2A"/>
    <w:rsid w:val="00B75102"/>
    <w:rsid w:val="00B853AF"/>
    <w:rsid w:val="00B86050"/>
    <w:rsid w:val="00B9094D"/>
    <w:rsid w:val="00B9513C"/>
    <w:rsid w:val="00B9596C"/>
    <w:rsid w:val="00B96F6F"/>
    <w:rsid w:val="00BA0722"/>
    <w:rsid w:val="00BA0CC1"/>
    <w:rsid w:val="00BA1D03"/>
    <w:rsid w:val="00BA1F24"/>
    <w:rsid w:val="00BA60E2"/>
    <w:rsid w:val="00BA6271"/>
    <w:rsid w:val="00BC394B"/>
    <w:rsid w:val="00BC4258"/>
    <w:rsid w:val="00BC4288"/>
    <w:rsid w:val="00BC6E43"/>
    <w:rsid w:val="00BD1E83"/>
    <w:rsid w:val="00BD47DA"/>
    <w:rsid w:val="00BD494F"/>
    <w:rsid w:val="00BD72F0"/>
    <w:rsid w:val="00BD7ACA"/>
    <w:rsid w:val="00BE1B88"/>
    <w:rsid w:val="00BE4952"/>
    <w:rsid w:val="00BE4A8A"/>
    <w:rsid w:val="00BF0863"/>
    <w:rsid w:val="00BF52DD"/>
    <w:rsid w:val="00BF57C2"/>
    <w:rsid w:val="00BF784A"/>
    <w:rsid w:val="00C00B11"/>
    <w:rsid w:val="00C01A3C"/>
    <w:rsid w:val="00C023B9"/>
    <w:rsid w:val="00C05E95"/>
    <w:rsid w:val="00C0663E"/>
    <w:rsid w:val="00C0688B"/>
    <w:rsid w:val="00C13545"/>
    <w:rsid w:val="00C13F5B"/>
    <w:rsid w:val="00C15B41"/>
    <w:rsid w:val="00C15DC7"/>
    <w:rsid w:val="00C21CEA"/>
    <w:rsid w:val="00C27E35"/>
    <w:rsid w:val="00C30087"/>
    <w:rsid w:val="00C30B0B"/>
    <w:rsid w:val="00C32A4B"/>
    <w:rsid w:val="00C34C57"/>
    <w:rsid w:val="00C35B29"/>
    <w:rsid w:val="00C375DF"/>
    <w:rsid w:val="00C50FC2"/>
    <w:rsid w:val="00C55A38"/>
    <w:rsid w:val="00C6112A"/>
    <w:rsid w:val="00C70415"/>
    <w:rsid w:val="00C71D46"/>
    <w:rsid w:val="00C76146"/>
    <w:rsid w:val="00C8282F"/>
    <w:rsid w:val="00C82957"/>
    <w:rsid w:val="00C91245"/>
    <w:rsid w:val="00C91D7D"/>
    <w:rsid w:val="00C92B6B"/>
    <w:rsid w:val="00C9327F"/>
    <w:rsid w:val="00C976E3"/>
    <w:rsid w:val="00C97801"/>
    <w:rsid w:val="00CA2F32"/>
    <w:rsid w:val="00CA63F7"/>
    <w:rsid w:val="00CB03A1"/>
    <w:rsid w:val="00CB0568"/>
    <w:rsid w:val="00CB13A3"/>
    <w:rsid w:val="00CB1B1B"/>
    <w:rsid w:val="00CB5E7D"/>
    <w:rsid w:val="00CB711D"/>
    <w:rsid w:val="00CC192B"/>
    <w:rsid w:val="00CC612D"/>
    <w:rsid w:val="00CD43F9"/>
    <w:rsid w:val="00CD53E0"/>
    <w:rsid w:val="00CD5815"/>
    <w:rsid w:val="00CE0169"/>
    <w:rsid w:val="00CE29B3"/>
    <w:rsid w:val="00CE2B39"/>
    <w:rsid w:val="00CE5992"/>
    <w:rsid w:val="00CE6BC4"/>
    <w:rsid w:val="00CE6C3D"/>
    <w:rsid w:val="00CF0AFF"/>
    <w:rsid w:val="00CF2AC5"/>
    <w:rsid w:val="00CF6395"/>
    <w:rsid w:val="00D01918"/>
    <w:rsid w:val="00D02548"/>
    <w:rsid w:val="00D02EF8"/>
    <w:rsid w:val="00D04682"/>
    <w:rsid w:val="00D05AFF"/>
    <w:rsid w:val="00D06256"/>
    <w:rsid w:val="00D06EC2"/>
    <w:rsid w:val="00D1368D"/>
    <w:rsid w:val="00D1719A"/>
    <w:rsid w:val="00D1779B"/>
    <w:rsid w:val="00D20A39"/>
    <w:rsid w:val="00D305C1"/>
    <w:rsid w:val="00D319E8"/>
    <w:rsid w:val="00D325E8"/>
    <w:rsid w:val="00D33884"/>
    <w:rsid w:val="00D3549A"/>
    <w:rsid w:val="00D366E0"/>
    <w:rsid w:val="00D40372"/>
    <w:rsid w:val="00D54950"/>
    <w:rsid w:val="00D55443"/>
    <w:rsid w:val="00D56F3B"/>
    <w:rsid w:val="00D631F5"/>
    <w:rsid w:val="00D6352A"/>
    <w:rsid w:val="00D649DB"/>
    <w:rsid w:val="00D65CE5"/>
    <w:rsid w:val="00D670CC"/>
    <w:rsid w:val="00D71A16"/>
    <w:rsid w:val="00D7284D"/>
    <w:rsid w:val="00D734B6"/>
    <w:rsid w:val="00D73922"/>
    <w:rsid w:val="00D7797A"/>
    <w:rsid w:val="00D83477"/>
    <w:rsid w:val="00D86199"/>
    <w:rsid w:val="00D87285"/>
    <w:rsid w:val="00D9446B"/>
    <w:rsid w:val="00D96FCD"/>
    <w:rsid w:val="00D9795D"/>
    <w:rsid w:val="00DA0522"/>
    <w:rsid w:val="00DA0723"/>
    <w:rsid w:val="00DA07FE"/>
    <w:rsid w:val="00DA39F8"/>
    <w:rsid w:val="00DA4017"/>
    <w:rsid w:val="00DA409A"/>
    <w:rsid w:val="00DA5E1D"/>
    <w:rsid w:val="00DB4596"/>
    <w:rsid w:val="00DB66D8"/>
    <w:rsid w:val="00DC347E"/>
    <w:rsid w:val="00DC3716"/>
    <w:rsid w:val="00DC4B14"/>
    <w:rsid w:val="00DD6C47"/>
    <w:rsid w:val="00DE02EC"/>
    <w:rsid w:val="00DE0F2A"/>
    <w:rsid w:val="00DE1F90"/>
    <w:rsid w:val="00DE2529"/>
    <w:rsid w:val="00DE2CD6"/>
    <w:rsid w:val="00DE45AB"/>
    <w:rsid w:val="00DE721A"/>
    <w:rsid w:val="00DE73A2"/>
    <w:rsid w:val="00DF1F90"/>
    <w:rsid w:val="00DF6590"/>
    <w:rsid w:val="00DF6E5A"/>
    <w:rsid w:val="00E00D9E"/>
    <w:rsid w:val="00E0150E"/>
    <w:rsid w:val="00E0263C"/>
    <w:rsid w:val="00E031FB"/>
    <w:rsid w:val="00E1113B"/>
    <w:rsid w:val="00E11556"/>
    <w:rsid w:val="00E127BF"/>
    <w:rsid w:val="00E13FA6"/>
    <w:rsid w:val="00E14A3B"/>
    <w:rsid w:val="00E14FCE"/>
    <w:rsid w:val="00E1539E"/>
    <w:rsid w:val="00E16047"/>
    <w:rsid w:val="00E16924"/>
    <w:rsid w:val="00E17D11"/>
    <w:rsid w:val="00E20FA3"/>
    <w:rsid w:val="00E21A56"/>
    <w:rsid w:val="00E21E68"/>
    <w:rsid w:val="00E2375F"/>
    <w:rsid w:val="00E2769B"/>
    <w:rsid w:val="00E311B0"/>
    <w:rsid w:val="00E3574B"/>
    <w:rsid w:val="00E37C45"/>
    <w:rsid w:val="00E37D50"/>
    <w:rsid w:val="00E423F0"/>
    <w:rsid w:val="00E424B3"/>
    <w:rsid w:val="00E4302E"/>
    <w:rsid w:val="00E4360D"/>
    <w:rsid w:val="00E436B8"/>
    <w:rsid w:val="00E46973"/>
    <w:rsid w:val="00E470A0"/>
    <w:rsid w:val="00E47E7C"/>
    <w:rsid w:val="00E52E3F"/>
    <w:rsid w:val="00E62BB7"/>
    <w:rsid w:val="00E63308"/>
    <w:rsid w:val="00E63755"/>
    <w:rsid w:val="00E63A30"/>
    <w:rsid w:val="00E7047C"/>
    <w:rsid w:val="00E714F9"/>
    <w:rsid w:val="00E72F19"/>
    <w:rsid w:val="00E814F0"/>
    <w:rsid w:val="00E86BBE"/>
    <w:rsid w:val="00E87B83"/>
    <w:rsid w:val="00E91704"/>
    <w:rsid w:val="00E91F4C"/>
    <w:rsid w:val="00E934B3"/>
    <w:rsid w:val="00E94DBC"/>
    <w:rsid w:val="00E968CA"/>
    <w:rsid w:val="00EA24A8"/>
    <w:rsid w:val="00EA4A72"/>
    <w:rsid w:val="00EA753D"/>
    <w:rsid w:val="00EB0B80"/>
    <w:rsid w:val="00EB3AA1"/>
    <w:rsid w:val="00EB505A"/>
    <w:rsid w:val="00EB5B04"/>
    <w:rsid w:val="00EC41B5"/>
    <w:rsid w:val="00EC44FA"/>
    <w:rsid w:val="00EC5207"/>
    <w:rsid w:val="00EC5942"/>
    <w:rsid w:val="00EC5EE9"/>
    <w:rsid w:val="00EC76D2"/>
    <w:rsid w:val="00ED6DEF"/>
    <w:rsid w:val="00ED7F16"/>
    <w:rsid w:val="00EE233B"/>
    <w:rsid w:val="00EE27F2"/>
    <w:rsid w:val="00EE548E"/>
    <w:rsid w:val="00EE5EE0"/>
    <w:rsid w:val="00EE69C0"/>
    <w:rsid w:val="00EF1E7D"/>
    <w:rsid w:val="00EF2BBA"/>
    <w:rsid w:val="00EF2E01"/>
    <w:rsid w:val="00EF5B0F"/>
    <w:rsid w:val="00EF6A53"/>
    <w:rsid w:val="00F01EBA"/>
    <w:rsid w:val="00F078B9"/>
    <w:rsid w:val="00F1477C"/>
    <w:rsid w:val="00F165EE"/>
    <w:rsid w:val="00F17EC4"/>
    <w:rsid w:val="00F2585C"/>
    <w:rsid w:val="00F3029C"/>
    <w:rsid w:val="00F3176B"/>
    <w:rsid w:val="00F31A60"/>
    <w:rsid w:val="00F32C76"/>
    <w:rsid w:val="00F33AEF"/>
    <w:rsid w:val="00F377AA"/>
    <w:rsid w:val="00F410A4"/>
    <w:rsid w:val="00F44187"/>
    <w:rsid w:val="00F459C9"/>
    <w:rsid w:val="00F5197E"/>
    <w:rsid w:val="00F528DA"/>
    <w:rsid w:val="00F54DA6"/>
    <w:rsid w:val="00F576C4"/>
    <w:rsid w:val="00F60CF3"/>
    <w:rsid w:val="00F633B0"/>
    <w:rsid w:val="00F6614E"/>
    <w:rsid w:val="00F706F6"/>
    <w:rsid w:val="00F7366F"/>
    <w:rsid w:val="00F73BA4"/>
    <w:rsid w:val="00F767B9"/>
    <w:rsid w:val="00F800C2"/>
    <w:rsid w:val="00F8089A"/>
    <w:rsid w:val="00F80EC1"/>
    <w:rsid w:val="00F82EF9"/>
    <w:rsid w:val="00F863A4"/>
    <w:rsid w:val="00F8768F"/>
    <w:rsid w:val="00F907C7"/>
    <w:rsid w:val="00F92C6F"/>
    <w:rsid w:val="00F9488A"/>
    <w:rsid w:val="00F96F0D"/>
    <w:rsid w:val="00FA3E16"/>
    <w:rsid w:val="00FA5F66"/>
    <w:rsid w:val="00FB2279"/>
    <w:rsid w:val="00FB670B"/>
    <w:rsid w:val="00FC08D1"/>
    <w:rsid w:val="00FC0BDB"/>
    <w:rsid w:val="00FC5BC6"/>
    <w:rsid w:val="00FD2748"/>
    <w:rsid w:val="00FD2ABE"/>
    <w:rsid w:val="00FD32E5"/>
    <w:rsid w:val="00FD43F6"/>
    <w:rsid w:val="00FD7971"/>
    <w:rsid w:val="00FE1AE8"/>
    <w:rsid w:val="00FE5714"/>
    <w:rsid w:val="00FE5DB8"/>
    <w:rsid w:val="00FE7977"/>
    <w:rsid w:val="00FF5B7D"/>
    <w:rsid w:val="00FF69E1"/>
    <w:rsid w:val="00FF7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610732"/>
  <w15:chartTrackingRefBased/>
  <w15:docId w15:val="{46D6F8EF-108A-42E1-A1DE-00C3456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31"/>
    <w:pPr>
      <w:spacing w:after="0" w:line="240" w:lineRule="auto"/>
    </w:pPr>
    <w:rPr>
      <w:rFonts w:eastAsia="Times New Roman" w:cs="Times New Roman"/>
    </w:rPr>
  </w:style>
  <w:style w:type="paragraph" w:styleId="Heading1">
    <w:name w:val="heading 1"/>
    <w:basedOn w:val="Normal"/>
    <w:next w:val="Normal"/>
    <w:link w:val="Heading1Char"/>
    <w:uiPriority w:val="9"/>
    <w:qFormat/>
    <w:rsid w:val="00963EE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3E4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3A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853AF"/>
    <w:rPr>
      <w:rFonts w:ascii="Segoe UI" w:hAnsi="Segoe UI" w:cs="Segoe UI"/>
      <w:sz w:val="18"/>
      <w:szCs w:val="18"/>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3B5606"/>
    <w:pPr>
      <w:spacing w:after="160" w:line="259" w:lineRule="auto"/>
      <w:ind w:left="720"/>
      <w:contextualSpacing/>
    </w:pPr>
    <w:rPr>
      <w:rFonts w:eastAsiaTheme="minorHAnsi" w:cstheme="minorBidi"/>
    </w:rPr>
  </w:style>
  <w:style w:type="character" w:customStyle="1" w:styleId="Heading1Char">
    <w:name w:val="Heading 1 Char"/>
    <w:basedOn w:val="DefaultParagraphFont"/>
    <w:link w:val="Heading1"/>
    <w:uiPriority w:val="9"/>
    <w:rsid w:val="00963EE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585C"/>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F2585C"/>
  </w:style>
  <w:style w:type="paragraph" w:styleId="Footer">
    <w:name w:val="footer"/>
    <w:basedOn w:val="Normal"/>
    <w:link w:val="FooterChar"/>
    <w:uiPriority w:val="99"/>
    <w:unhideWhenUsed/>
    <w:rsid w:val="00F2585C"/>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F2585C"/>
  </w:style>
  <w:style w:type="paragraph" w:styleId="TOCHeading">
    <w:name w:val="TOC Heading"/>
    <w:basedOn w:val="Heading1"/>
    <w:next w:val="Normal"/>
    <w:uiPriority w:val="39"/>
    <w:unhideWhenUsed/>
    <w:qFormat/>
    <w:rsid w:val="008133BE"/>
    <w:pPr>
      <w:outlineLvl w:val="9"/>
    </w:pPr>
    <w:rPr>
      <w:lang w:val="en-US"/>
    </w:rPr>
  </w:style>
  <w:style w:type="paragraph" w:styleId="TOC1">
    <w:name w:val="toc 1"/>
    <w:basedOn w:val="Normal"/>
    <w:next w:val="Normal"/>
    <w:autoRedefine/>
    <w:uiPriority w:val="39"/>
    <w:unhideWhenUsed/>
    <w:rsid w:val="008133BE"/>
    <w:pPr>
      <w:spacing w:after="100" w:line="259" w:lineRule="auto"/>
    </w:pPr>
    <w:rPr>
      <w:rFonts w:eastAsiaTheme="minorHAnsi" w:cstheme="minorBidi"/>
    </w:rPr>
  </w:style>
  <w:style w:type="character" w:styleId="Hyperlink">
    <w:name w:val="Hyperlink"/>
    <w:basedOn w:val="DefaultParagraphFont"/>
    <w:uiPriority w:val="99"/>
    <w:unhideWhenUsed/>
    <w:rsid w:val="008133BE"/>
    <w:rPr>
      <w:color w:val="0563C1" w:themeColor="hyperlink"/>
      <w:u w:val="single"/>
    </w:rPr>
  </w:style>
  <w:style w:type="paragraph" w:styleId="BodyText">
    <w:name w:val="Body Text"/>
    <w:basedOn w:val="Normal"/>
    <w:link w:val="BodyTextChar"/>
    <w:uiPriority w:val="1"/>
    <w:unhideWhenUsed/>
    <w:qFormat/>
    <w:rsid w:val="00667D72"/>
    <w:pPr>
      <w:widowControl w:val="0"/>
    </w:pPr>
    <w:rPr>
      <w:rFonts w:ascii="Times New Roman" w:hAnsi="Times New Roman"/>
      <w:sz w:val="24"/>
      <w:szCs w:val="24"/>
      <w:lang w:val="en-US" w:eastAsia="en-GB"/>
    </w:rPr>
  </w:style>
  <w:style w:type="character" w:customStyle="1" w:styleId="BodyTextChar">
    <w:name w:val="Body Text Char"/>
    <w:basedOn w:val="DefaultParagraphFont"/>
    <w:link w:val="BodyText"/>
    <w:uiPriority w:val="1"/>
    <w:rsid w:val="00667D72"/>
    <w:rPr>
      <w:rFonts w:ascii="Times New Roman" w:eastAsia="Times New Roman" w:hAnsi="Times New Roman" w:cs="Times New Roman"/>
      <w:sz w:val="24"/>
      <w:szCs w:val="24"/>
      <w:lang w:val="en-US" w:eastAsia="en-GB"/>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667D72"/>
  </w:style>
  <w:style w:type="paragraph" w:customStyle="1" w:styleId="paragraph">
    <w:name w:val="paragraph"/>
    <w:basedOn w:val="Normal"/>
    <w:rsid w:val="00667D72"/>
    <w:pPr>
      <w:spacing w:before="100" w:beforeAutospacing="1" w:after="100" w:afterAutospacing="1"/>
    </w:pPr>
    <w:rPr>
      <w:rFonts w:ascii="Times New Roman" w:hAnsi="Times New Roman"/>
      <w:sz w:val="24"/>
      <w:szCs w:val="24"/>
      <w:lang w:val="en-GB" w:eastAsia="en-GB"/>
    </w:rPr>
  </w:style>
  <w:style w:type="character" w:styleId="CommentReference">
    <w:name w:val="annotation reference"/>
    <w:basedOn w:val="DefaultParagraphFont"/>
    <w:unhideWhenUsed/>
    <w:rsid w:val="00667D72"/>
    <w:rPr>
      <w:sz w:val="16"/>
      <w:szCs w:val="16"/>
    </w:rPr>
  </w:style>
  <w:style w:type="character" w:customStyle="1" w:styleId="normaltextrun">
    <w:name w:val="normaltextrun"/>
    <w:basedOn w:val="DefaultParagraphFont"/>
    <w:rsid w:val="00667D72"/>
  </w:style>
  <w:style w:type="paragraph" w:styleId="FootnoteText">
    <w:name w:val="footnote text"/>
    <w:aliases w:val="fn,footnote text,Footnotes,Footnote ak,ft,fn cafc,fn Char Char,footnote text Char Char,Footnotes Char Char,Footnote ak Char Char,Footnote Text 2,footnote citation,Footnote Text Char Char,footnote text Char Char Char Ch"/>
    <w:basedOn w:val="Normal"/>
    <w:link w:val="FootnoteTextChar"/>
    <w:uiPriority w:val="99"/>
    <w:semiHidden/>
    <w:unhideWhenUsed/>
    <w:rsid w:val="00267761"/>
    <w:rPr>
      <w:rFonts w:eastAsiaTheme="minorHAnsi" w:cstheme="minorBidi"/>
      <w:sz w:val="20"/>
      <w:szCs w:val="20"/>
    </w:rPr>
  </w:style>
  <w:style w:type="character" w:customStyle="1" w:styleId="FootnoteTextChar">
    <w:name w:val="Footnote Text Char"/>
    <w:aliases w:val="fn Char,footnote text Char,Footnotes Char,Footnote ak Char,ft Char,fn cafc Char,fn Char Char Char,footnote text Char Char Char,Footnotes Char Char Char,Footnote ak Char Char Char,Footnote Text 2 Char,footnote citation Char"/>
    <w:basedOn w:val="DefaultParagraphFont"/>
    <w:link w:val="FootnoteText"/>
    <w:uiPriority w:val="99"/>
    <w:semiHidden/>
    <w:rsid w:val="00267761"/>
    <w:rPr>
      <w:sz w:val="20"/>
      <w:szCs w:val="20"/>
    </w:rPr>
  </w:style>
  <w:style w:type="character" w:styleId="FootnoteReference">
    <w:name w:val="footnote reference"/>
    <w:basedOn w:val="DefaultParagraphFont"/>
    <w:uiPriority w:val="99"/>
    <w:semiHidden/>
    <w:unhideWhenUsed/>
    <w:rsid w:val="00267761"/>
    <w:rPr>
      <w:vertAlign w:val="superscript"/>
    </w:rPr>
  </w:style>
  <w:style w:type="character" w:customStyle="1" w:styleId="TOCLevel2Char">
    <w:name w:val="TOCLevel2 Char"/>
    <w:basedOn w:val="DefaultParagraphFont"/>
    <w:link w:val="TOCLevel2"/>
    <w:uiPriority w:val="98"/>
    <w:locked/>
    <w:rsid w:val="007976B6"/>
    <w:rPr>
      <w:rFonts w:ascii="Arial" w:eastAsiaTheme="majorEastAsia" w:hAnsi="Arial" w:cstheme="majorBidi"/>
      <w:b/>
      <w:bCs/>
      <w:color w:val="003865"/>
      <w:sz w:val="24"/>
      <w:szCs w:val="28"/>
    </w:rPr>
  </w:style>
  <w:style w:type="paragraph" w:customStyle="1" w:styleId="TOCLevel2">
    <w:name w:val="TOCLevel2"/>
    <w:basedOn w:val="Normal"/>
    <w:link w:val="TOCLevel2Char"/>
    <w:uiPriority w:val="98"/>
    <w:qFormat/>
    <w:rsid w:val="007976B6"/>
    <w:pPr>
      <w:keepNext/>
      <w:keepLines/>
      <w:tabs>
        <w:tab w:val="left" w:pos="567"/>
      </w:tabs>
      <w:spacing w:before="240" w:after="200"/>
      <w:jc w:val="center"/>
      <w:outlineLvl w:val="0"/>
    </w:pPr>
    <w:rPr>
      <w:rFonts w:ascii="Arial" w:eastAsiaTheme="majorEastAsia" w:hAnsi="Arial" w:cstheme="majorBidi"/>
      <w:b/>
      <w:bCs/>
      <w:color w:val="003865"/>
      <w:sz w:val="24"/>
      <w:szCs w:val="28"/>
    </w:rPr>
  </w:style>
  <w:style w:type="character" w:styleId="UnresolvedMention">
    <w:name w:val="Unresolved Mention"/>
    <w:basedOn w:val="DefaultParagraphFont"/>
    <w:uiPriority w:val="99"/>
    <w:semiHidden/>
    <w:unhideWhenUsed/>
    <w:rsid w:val="005365DC"/>
    <w:rPr>
      <w:color w:val="605E5C"/>
      <w:shd w:val="clear" w:color="auto" w:fill="E1DFDD"/>
    </w:rPr>
  </w:style>
  <w:style w:type="paragraph" w:styleId="CommentText">
    <w:name w:val="annotation text"/>
    <w:basedOn w:val="Normal"/>
    <w:link w:val="CommentTextChar"/>
    <w:uiPriority w:val="99"/>
    <w:unhideWhenUsed/>
    <w:rsid w:val="00410740"/>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410740"/>
    <w:rPr>
      <w:sz w:val="20"/>
      <w:szCs w:val="20"/>
    </w:rPr>
  </w:style>
  <w:style w:type="paragraph" w:styleId="CommentSubject">
    <w:name w:val="annotation subject"/>
    <w:basedOn w:val="CommentText"/>
    <w:next w:val="CommentText"/>
    <w:link w:val="CommentSubjectChar"/>
    <w:uiPriority w:val="99"/>
    <w:semiHidden/>
    <w:unhideWhenUsed/>
    <w:rsid w:val="00410740"/>
    <w:rPr>
      <w:b/>
      <w:bCs/>
    </w:rPr>
  </w:style>
  <w:style w:type="character" w:customStyle="1" w:styleId="CommentSubjectChar">
    <w:name w:val="Comment Subject Char"/>
    <w:basedOn w:val="CommentTextChar"/>
    <w:link w:val="CommentSubject"/>
    <w:uiPriority w:val="99"/>
    <w:semiHidden/>
    <w:rsid w:val="00410740"/>
    <w:rPr>
      <w:b/>
      <w:bCs/>
      <w:sz w:val="20"/>
      <w:szCs w:val="20"/>
    </w:rPr>
  </w:style>
  <w:style w:type="character" w:customStyle="1" w:styleId="Heading2Char">
    <w:name w:val="Heading 2 Char"/>
    <w:basedOn w:val="DefaultParagraphFont"/>
    <w:link w:val="Heading2"/>
    <w:uiPriority w:val="9"/>
    <w:rsid w:val="00A83E4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F2BEC"/>
    <w:pPr>
      <w:spacing w:after="100" w:line="259" w:lineRule="auto"/>
      <w:ind w:left="220"/>
    </w:pPr>
    <w:rPr>
      <w:rFonts w:eastAsiaTheme="minorHAnsi" w:cstheme="minorBidi"/>
    </w:rPr>
  </w:style>
  <w:style w:type="paragraph" w:customStyle="1" w:styleId="Default">
    <w:name w:val="Default"/>
    <w:basedOn w:val="Normal"/>
    <w:rsid w:val="00F459C9"/>
    <w:pPr>
      <w:autoSpaceDE w:val="0"/>
      <w:autoSpaceDN w:val="0"/>
    </w:pPr>
    <w:rPr>
      <w:rFonts w:ascii="Times New Roman" w:eastAsiaTheme="minorHAnsi" w:hAnsi="Times New Roman"/>
      <w:color w:val="000000"/>
      <w:sz w:val="24"/>
      <w:szCs w:val="24"/>
      <w:lang w:eastAsia="en-AU"/>
    </w:rPr>
  </w:style>
  <w:style w:type="table" w:styleId="TableGrid">
    <w:name w:val="Table Grid"/>
    <w:basedOn w:val="TableNormal"/>
    <w:uiPriority w:val="39"/>
    <w:rsid w:val="00BA60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811BA9"/>
    <w:rPr>
      <w:rFonts w:ascii="Times New Roman" w:eastAsiaTheme="minorHAnsi" w:hAnsi="Times New Roman"/>
      <w:color w:val="000000"/>
      <w:sz w:val="24"/>
      <w:szCs w:val="24"/>
      <w:lang w:eastAsia="ja-JP"/>
    </w:rPr>
  </w:style>
  <w:style w:type="character" w:styleId="FollowedHyperlink">
    <w:name w:val="FollowedHyperlink"/>
    <w:basedOn w:val="DefaultParagraphFont"/>
    <w:uiPriority w:val="99"/>
    <w:semiHidden/>
    <w:unhideWhenUsed/>
    <w:rsid w:val="00644AF3"/>
    <w:rPr>
      <w:color w:val="954F72" w:themeColor="followedHyperlink"/>
      <w:u w:val="single"/>
    </w:rPr>
  </w:style>
  <w:style w:type="paragraph" w:customStyle="1" w:styleId="xmsonormal">
    <w:name w:val="xmsonormal"/>
    <w:basedOn w:val="Normal"/>
    <w:rsid w:val="00383183"/>
    <w:rPr>
      <w:rFonts w:ascii="Calibri" w:eastAsiaTheme="minorHAnsi" w:hAnsi="Calibri" w:cs="Calibri"/>
      <w:lang w:eastAsia="en-AU"/>
    </w:rPr>
  </w:style>
  <w:style w:type="paragraph" w:styleId="EndnoteText">
    <w:name w:val="endnote text"/>
    <w:basedOn w:val="Normal"/>
    <w:link w:val="EndnoteTextChar"/>
    <w:uiPriority w:val="99"/>
    <w:semiHidden/>
    <w:unhideWhenUsed/>
    <w:rsid w:val="00C0663E"/>
    <w:rPr>
      <w:sz w:val="20"/>
      <w:szCs w:val="20"/>
    </w:rPr>
  </w:style>
  <w:style w:type="character" w:customStyle="1" w:styleId="EndnoteTextChar">
    <w:name w:val="Endnote Text Char"/>
    <w:basedOn w:val="DefaultParagraphFont"/>
    <w:link w:val="EndnoteText"/>
    <w:uiPriority w:val="99"/>
    <w:semiHidden/>
    <w:rsid w:val="00C0663E"/>
    <w:rPr>
      <w:rFonts w:eastAsia="Times New Roman" w:cs="Times New Roman"/>
      <w:sz w:val="20"/>
      <w:szCs w:val="20"/>
    </w:rPr>
  </w:style>
  <w:style w:type="character" w:styleId="EndnoteReference">
    <w:name w:val="endnote reference"/>
    <w:basedOn w:val="DefaultParagraphFont"/>
    <w:uiPriority w:val="99"/>
    <w:semiHidden/>
    <w:unhideWhenUsed/>
    <w:rsid w:val="00C06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8522">
      <w:bodyDiv w:val="1"/>
      <w:marLeft w:val="0"/>
      <w:marRight w:val="0"/>
      <w:marTop w:val="0"/>
      <w:marBottom w:val="0"/>
      <w:divBdr>
        <w:top w:val="none" w:sz="0" w:space="0" w:color="auto"/>
        <w:left w:val="none" w:sz="0" w:space="0" w:color="auto"/>
        <w:bottom w:val="none" w:sz="0" w:space="0" w:color="auto"/>
        <w:right w:val="none" w:sz="0" w:space="0" w:color="auto"/>
      </w:divBdr>
    </w:div>
    <w:div w:id="59061070">
      <w:bodyDiv w:val="1"/>
      <w:marLeft w:val="0"/>
      <w:marRight w:val="0"/>
      <w:marTop w:val="0"/>
      <w:marBottom w:val="0"/>
      <w:divBdr>
        <w:top w:val="none" w:sz="0" w:space="0" w:color="auto"/>
        <w:left w:val="none" w:sz="0" w:space="0" w:color="auto"/>
        <w:bottom w:val="none" w:sz="0" w:space="0" w:color="auto"/>
        <w:right w:val="none" w:sz="0" w:space="0" w:color="auto"/>
      </w:divBdr>
    </w:div>
    <w:div w:id="69083393">
      <w:bodyDiv w:val="1"/>
      <w:marLeft w:val="0"/>
      <w:marRight w:val="0"/>
      <w:marTop w:val="0"/>
      <w:marBottom w:val="0"/>
      <w:divBdr>
        <w:top w:val="none" w:sz="0" w:space="0" w:color="auto"/>
        <w:left w:val="none" w:sz="0" w:space="0" w:color="auto"/>
        <w:bottom w:val="none" w:sz="0" w:space="0" w:color="auto"/>
        <w:right w:val="none" w:sz="0" w:space="0" w:color="auto"/>
      </w:divBdr>
    </w:div>
    <w:div w:id="70128906">
      <w:bodyDiv w:val="1"/>
      <w:marLeft w:val="0"/>
      <w:marRight w:val="0"/>
      <w:marTop w:val="0"/>
      <w:marBottom w:val="0"/>
      <w:divBdr>
        <w:top w:val="none" w:sz="0" w:space="0" w:color="auto"/>
        <w:left w:val="none" w:sz="0" w:space="0" w:color="auto"/>
        <w:bottom w:val="none" w:sz="0" w:space="0" w:color="auto"/>
        <w:right w:val="none" w:sz="0" w:space="0" w:color="auto"/>
      </w:divBdr>
    </w:div>
    <w:div w:id="80490913">
      <w:bodyDiv w:val="1"/>
      <w:marLeft w:val="0"/>
      <w:marRight w:val="0"/>
      <w:marTop w:val="0"/>
      <w:marBottom w:val="0"/>
      <w:divBdr>
        <w:top w:val="none" w:sz="0" w:space="0" w:color="auto"/>
        <w:left w:val="none" w:sz="0" w:space="0" w:color="auto"/>
        <w:bottom w:val="none" w:sz="0" w:space="0" w:color="auto"/>
        <w:right w:val="none" w:sz="0" w:space="0" w:color="auto"/>
      </w:divBdr>
    </w:div>
    <w:div w:id="85158385">
      <w:bodyDiv w:val="1"/>
      <w:marLeft w:val="0"/>
      <w:marRight w:val="0"/>
      <w:marTop w:val="0"/>
      <w:marBottom w:val="0"/>
      <w:divBdr>
        <w:top w:val="none" w:sz="0" w:space="0" w:color="auto"/>
        <w:left w:val="none" w:sz="0" w:space="0" w:color="auto"/>
        <w:bottom w:val="none" w:sz="0" w:space="0" w:color="auto"/>
        <w:right w:val="none" w:sz="0" w:space="0" w:color="auto"/>
      </w:divBdr>
    </w:div>
    <w:div w:id="115150107">
      <w:bodyDiv w:val="1"/>
      <w:marLeft w:val="0"/>
      <w:marRight w:val="0"/>
      <w:marTop w:val="0"/>
      <w:marBottom w:val="0"/>
      <w:divBdr>
        <w:top w:val="none" w:sz="0" w:space="0" w:color="auto"/>
        <w:left w:val="none" w:sz="0" w:space="0" w:color="auto"/>
        <w:bottom w:val="none" w:sz="0" w:space="0" w:color="auto"/>
        <w:right w:val="none" w:sz="0" w:space="0" w:color="auto"/>
      </w:divBdr>
    </w:div>
    <w:div w:id="134026012">
      <w:bodyDiv w:val="1"/>
      <w:marLeft w:val="0"/>
      <w:marRight w:val="0"/>
      <w:marTop w:val="0"/>
      <w:marBottom w:val="0"/>
      <w:divBdr>
        <w:top w:val="none" w:sz="0" w:space="0" w:color="auto"/>
        <w:left w:val="none" w:sz="0" w:space="0" w:color="auto"/>
        <w:bottom w:val="none" w:sz="0" w:space="0" w:color="auto"/>
        <w:right w:val="none" w:sz="0" w:space="0" w:color="auto"/>
      </w:divBdr>
    </w:div>
    <w:div w:id="146676521">
      <w:bodyDiv w:val="1"/>
      <w:marLeft w:val="0"/>
      <w:marRight w:val="0"/>
      <w:marTop w:val="0"/>
      <w:marBottom w:val="0"/>
      <w:divBdr>
        <w:top w:val="none" w:sz="0" w:space="0" w:color="auto"/>
        <w:left w:val="none" w:sz="0" w:space="0" w:color="auto"/>
        <w:bottom w:val="none" w:sz="0" w:space="0" w:color="auto"/>
        <w:right w:val="none" w:sz="0" w:space="0" w:color="auto"/>
      </w:divBdr>
    </w:div>
    <w:div w:id="215049661">
      <w:bodyDiv w:val="1"/>
      <w:marLeft w:val="0"/>
      <w:marRight w:val="0"/>
      <w:marTop w:val="0"/>
      <w:marBottom w:val="0"/>
      <w:divBdr>
        <w:top w:val="none" w:sz="0" w:space="0" w:color="auto"/>
        <w:left w:val="none" w:sz="0" w:space="0" w:color="auto"/>
        <w:bottom w:val="none" w:sz="0" w:space="0" w:color="auto"/>
        <w:right w:val="none" w:sz="0" w:space="0" w:color="auto"/>
      </w:divBdr>
    </w:div>
    <w:div w:id="233862311">
      <w:bodyDiv w:val="1"/>
      <w:marLeft w:val="0"/>
      <w:marRight w:val="0"/>
      <w:marTop w:val="0"/>
      <w:marBottom w:val="0"/>
      <w:divBdr>
        <w:top w:val="none" w:sz="0" w:space="0" w:color="auto"/>
        <w:left w:val="none" w:sz="0" w:space="0" w:color="auto"/>
        <w:bottom w:val="none" w:sz="0" w:space="0" w:color="auto"/>
        <w:right w:val="none" w:sz="0" w:space="0" w:color="auto"/>
      </w:divBdr>
    </w:div>
    <w:div w:id="257102193">
      <w:bodyDiv w:val="1"/>
      <w:marLeft w:val="0"/>
      <w:marRight w:val="0"/>
      <w:marTop w:val="0"/>
      <w:marBottom w:val="0"/>
      <w:divBdr>
        <w:top w:val="none" w:sz="0" w:space="0" w:color="auto"/>
        <w:left w:val="none" w:sz="0" w:space="0" w:color="auto"/>
        <w:bottom w:val="none" w:sz="0" w:space="0" w:color="auto"/>
        <w:right w:val="none" w:sz="0" w:space="0" w:color="auto"/>
      </w:divBdr>
    </w:div>
    <w:div w:id="271785800">
      <w:bodyDiv w:val="1"/>
      <w:marLeft w:val="0"/>
      <w:marRight w:val="0"/>
      <w:marTop w:val="0"/>
      <w:marBottom w:val="0"/>
      <w:divBdr>
        <w:top w:val="none" w:sz="0" w:space="0" w:color="auto"/>
        <w:left w:val="none" w:sz="0" w:space="0" w:color="auto"/>
        <w:bottom w:val="none" w:sz="0" w:space="0" w:color="auto"/>
        <w:right w:val="none" w:sz="0" w:space="0" w:color="auto"/>
      </w:divBdr>
    </w:div>
    <w:div w:id="323751237">
      <w:bodyDiv w:val="1"/>
      <w:marLeft w:val="0"/>
      <w:marRight w:val="0"/>
      <w:marTop w:val="0"/>
      <w:marBottom w:val="0"/>
      <w:divBdr>
        <w:top w:val="none" w:sz="0" w:space="0" w:color="auto"/>
        <w:left w:val="none" w:sz="0" w:space="0" w:color="auto"/>
        <w:bottom w:val="none" w:sz="0" w:space="0" w:color="auto"/>
        <w:right w:val="none" w:sz="0" w:space="0" w:color="auto"/>
      </w:divBdr>
    </w:div>
    <w:div w:id="342903131">
      <w:bodyDiv w:val="1"/>
      <w:marLeft w:val="0"/>
      <w:marRight w:val="0"/>
      <w:marTop w:val="0"/>
      <w:marBottom w:val="0"/>
      <w:divBdr>
        <w:top w:val="none" w:sz="0" w:space="0" w:color="auto"/>
        <w:left w:val="none" w:sz="0" w:space="0" w:color="auto"/>
        <w:bottom w:val="none" w:sz="0" w:space="0" w:color="auto"/>
        <w:right w:val="none" w:sz="0" w:space="0" w:color="auto"/>
      </w:divBdr>
    </w:div>
    <w:div w:id="362369785">
      <w:bodyDiv w:val="1"/>
      <w:marLeft w:val="0"/>
      <w:marRight w:val="0"/>
      <w:marTop w:val="0"/>
      <w:marBottom w:val="0"/>
      <w:divBdr>
        <w:top w:val="none" w:sz="0" w:space="0" w:color="auto"/>
        <w:left w:val="none" w:sz="0" w:space="0" w:color="auto"/>
        <w:bottom w:val="none" w:sz="0" w:space="0" w:color="auto"/>
        <w:right w:val="none" w:sz="0" w:space="0" w:color="auto"/>
      </w:divBdr>
    </w:div>
    <w:div w:id="377166780">
      <w:bodyDiv w:val="1"/>
      <w:marLeft w:val="0"/>
      <w:marRight w:val="0"/>
      <w:marTop w:val="0"/>
      <w:marBottom w:val="0"/>
      <w:divBdr>
        <w:top w:val="none" w:sz="0" w:space="0" w:color="auto"/>
        <w:left w:val="none" w:sz="0" w:space="0" w:color="auto"/>
        <w:bottom w:val="none" w:sz="0" w:space="0" w:color="auto"/>
        <w:right w:val="none" w:sz="0" w:space="0" w:color="auto"/>
      </w:divBdr>
    </w:div>
    <w:div w:id="389377976">
      <w:bodyDiv w:val="1"/>
      <w:marLeft w:val="0"/>
      <w:marRight w:val="0"/>
      <w:marTop w:val="0"/>
      <w:marBottom w:val="0"/>
      <w:divBdr>
        <w:top w:val="none" w:sz="0" w:space="0" w:color="auto"/>
        <w:left w:val="none" w:sz="0" w:space="0" w:color="auto"/>
        <w:bottom w:val="none" w:sz="0" w:space="0" w:color="auto"/>
        <w:right w:val="none" w:sz="0" w:space="0" w:color="auto"/>
      </w:divBdr>
    </w:div>
    <w:div w:id="533344166">
      <w:bodyDiv w:val="1"/>
      <w:marLeft w:val="0"/>
      <w:marRight w:val="0"/>
      <w:marTop w:val="0"/>
      <w:marBottom w:val="0"/>
      <w:divBdr>
        <w:top w:val="none" w:sz="0" w:space="0" w:color="auto"/>
        <w:left w:val="none" w:sz="0" w:space="0" w:color="auto"/>
        <w:bottom w:val="none" w:sz="0" w:space="0" w:color="auto"/>
        <w:right w:val="none" w:sz="0" w:space="0" w:color="auto"/>
      </w:divBdr>
    </w:div>
    <w:div w:id="572399805">
      <w:bodyDiv w:val="1"/>
      <w:marLeft w:val="0"/>
      <w:marRight w:val="0"/>
      <w:marTop w:val="0"/>
      <w:marBottom w:val="0"/>
      <w:divBdr>
        <w:top w:val="none" w:sz="0" w:space="0" w:color="auto"/>
        <w:left w:val="none" w:sz="0" w:space="0" w:color="auto"/>
        <w:bottom w:val="none" w:sz="0" w:space="0" w:color="auto"/>
        <w:right w:val="none" w:sz="0" w:space="0" w:color="auto"/>
      </w:divBdr>
    </w:div>
    <w:div w:id="599340509">
      <w:bodyDiv w:val="1"/>
      <w:marLeft w:val="0"/>
      <w:marRight w:val="0"/>
      <w:marTop w:val="0"/>
      <w:marBottom w:val="0"/>
      <w:divBdr>
        <w:top w:val="none" w:sz="0" w:space="0" w:color="auto"/>
        <w:left w:val="none" w:sz="0" w:space="0" w:color="auto"/>
        <w:bottom w:val="none" w:sz="0" w:space="0" w:color="auto"/>
        <w:right w:val="none" w:sz="0" w:space="0" w:color="auto"/>
      </w:divBdr>
    </w:div>
    <w:div w:id="694963155">
      <w:bodyDiv w:val="1"/>
      <w:marLeft w:val="0"/>
      <w:marRight w:val="0"/>
      <w:marTop w:val="0"/>
      <w:marBottom w:val="0"/>
      <w:divBdr>
        <w:top w:val="none" w:sz="0" w:space="0" w:color="auto"/>
        <w:left w:val="none" w:sz="0" w:space="0" w:color="auto"/>
        <w:bottom w:val="none" w:sz="0" w:space="0" w:color="auto"/>
        <w:right w:val="none" w:sz="0" w:space="0" w:color="auto"/>
      </w:divBdr>
    </w:div>
    <w:div w:id="715399782">
      <w:bodyDiv w:val="1"/>
      <w:marLeft w:val="0"/>
      <w:marRight w:val="0"/>
      <w:marTop w:val="0"/>
      <w:marBottom w:val="0"/>
      <w:divBdr>
        <w:top w:val="none" w:sz="0" w:space="0" w:color="auto"/>
        <w:left w:val="none" w:sz="0" w:space="0" w:color="auto"/>
        <w:bottom w:val="none" w:sz="0" w:space="0" w:color="auto"/>
        <w:right w:val="none" w:sz="0" w:space="0" w:color="auto"/>
      </w:divBdr>
    </w:div>
    <w:div w:id="729380338">
      <w:bodyDiv w:val="1"/>
      <w:marLeft w:val="0"/>
      <w:marRight w:val="0"/>
      <w:marTop w:val="0"/>
      <w:marBottom w:val="0"/>
      <w:divBdr>
        <w:top w:val="none" w:sz="0" w:space="0" w:color="auto"/>
        <w:left w:val="none" w:sz="0" w:space="0" w:color="auto"/>
        <w:bottom w:val="none" w:sz="0" w:space="0" w:color="auto"/>
        <w:right w:val="none" w:sz="0" w:space="0" w:color="auto"/>
      </w:divBdr>
    </w:div>
    <w:div w:id="791090626">
      <w:bodyDiv w:val="1"/>
      <w:marLeft w:val="0"/>
      <w:marRight w:val="0"/>
      <w:marTop w:val="0"/>
      <w:marBottom w:val="0"/>
      <w:divBdr>
        <w:top w:val="none" w:sz="0" w:space="0" w:color="auto"/>
        <w:left w:val="none" w:sz="0" w:space="0" w:color="auto"/>
        <w:bottom w:val="none" w:sz="0" w:space="0" w:color="auto"/>
        <w:right w:val="none" w:sz="0" w:space="0" w:color="auto"/>
      </w:divBdr>
    </w:div>
    <w:div w:id="864291880">
      <w:bodyDiv w:val="1"/>
      <w:marLeft w:val="0"/>
      <w:marRight w:val="0"/>
      <w:marTop w:val="0"/>
      <w:marBottom w:val="0"/>
      <w:divBdr>
        <w:top w:val="none" w:sz="0" w:space="0" w:color="auto"/>
        <w:left w:val="none" w:sz="0" w:space="0" w:color="auto"/>
        <w:bottom w:val="none" w:sz="0" w:space="0" w:color="auto"/>
        <w:right w:val="none" w:sz="0" w:space="0" w:color="auto"/>
      </w:divBdr>
    </w:div>
    <w:div w:id="887376128">
      <w:bodyDiv w:val="1"/>
      <w:marLeft w:val="0"/>
      <w:marRight w:val="0"/>
      <w:marTop w:val="0"/>
      <w:marBottom w:val="0"/>
      <w:divBdr>
        <w:top w:val="none" w:sz="0" w:space="0" w:color="auto"/>
        <w:left w:val="none" w:sz="0" w:space="0" w:color="auto"/>
        <w:bottom w:val="none" w:sz="0" w:space="0" w:color="auto"/>
        <w:right w:val="none" w:sz="0" w:space="0" w:color="auto"/>
      </w:divBdr>
    </w:div>
    <w:div w:id="1010061156">
      <w:bodyDiv w:val="1"/>
      <w:marLeft w:val="0"/>
      <w:marRight w:val="0"/>
      <w:marTop w:val="0"/>
      <w:marBottom w:val="0"/>
      <w:divBdr>
        <w:top w:val="none" w:sz="0" w:space="0" w:color="auto"/>
        <w:left w:val="none" w:sz="0" w:space="0" w:color="auto"/>
        <w:bottom w:val="none" w:sz="0" w:space="0" w:color="auto"/>
        <w:right w:val="none" w:sz="0" w:space="0" w:color="auto"/>
      </w:divBdr>
    </w:div>
    <w:div w:id="1036196014">
      <w:bodyDiv w:val="1"/>
      <w:marLeft w:val="0"/>
      <w:marRight w:val="0"/>
      <w:marTop w:val="0"/>
      <w:marBottom w:val="0"/>
      <w:divBdr>
        <w:top w:val="none" w:sz="0" w:space="0" w:color="auto"/>
        <w:left w:val="none" w:sz="0" w:space="0" w:color="auto"/>
        <w:bottom w:val="none" w:sz="0" w:space="0" w:color="auto"/>
        <w:right w:val="none" w:sz="0" w:space="0" w:color="auto"/>
      </w:divBdr>
    </w:div>
    <w:div w:id="1080256578">
      <w:bodyDiv w:val="1"/>
      <w:marLeft w:val="0"/>
      <w:marRight w:val="0"/>
      <w:marTop w:val="0"/>
      <w:marBottom w:val="0"/>
      <w:divBdr>
        <w:top w:val="none" w:sz="0" w:space="0" w:color="auto"/>
        <w:left w:val="none" w:sz="0" w:space="0" w:color="auto"/>
        <w:bottom w:val="none" w:sz="0" w:space="0" w:color="auto"/>
        <w:right w:val="none" w:sz="0" w:space="0" w:color="auto"/>
      </w:divBdr>
    </w:div>
    <w:div w:id="1101486314">
      <w:bodyDiv w:val="1"/>
      <w:marLeft w:val="0"/>
      <w:marRight w:val="0"/>
      <w:marTop w:val="0"/>
      <w:marBottom w:val="0"/>
      <w:divBdr>
        <w:top w:val="none" w:sz="0" w:space="0" w:color="auto"/>
        <w:left w:val="none" w:sz="0" w:space="0" w:color="auto"/>
        <w:bottom w:val="none" w:sz="0" w:space="0" w:color="auto"/>
        <w:right w:val="none" w:sz="0" w:space="0" w:color="auto"/>
      </w:divBdr>
    </w:div>
    <w:div w:id="1105425594">
      <w:bodyDiv w:val="1"/>
      <w:marLeft w:val="0"/>
      <w:marRight w:val="0"/>
      <w:marTop w:val="0"/>
      <w:marBottom w:val="0"/>
      <w:divBdr>
        <w:top w:val="none" w:sz="0" w:space="0" w:color="auto"/>
        <w:left w:val="none" w:sz="0" w:space="0" w:color="auto"/>
        <w:bottom w:val="none" w:sz="0" w:space="0" w:color="auto"/>
        <w:right w:val="none" w:sz="0" w:space="0" w:color="auto"/>
      </w:divBdr>
    </w:div>
    <w:div w:id="1120300399">
      <w:bodyDiv w:val="1"/>
      <w:marLeft w:val="0"/>
      <w:marRight w:val="0"/>
      <w:marTop w:val="0"/>
      <w:marBottom w:val="0"/>
      <w:divBdr>
        <w:top w:val="none" w:sz="0" w:space="0" w:color="auto"/>
        <w:left w:val="none" w:sz="0" w:space="0" w:color="auto"/>
        <w:bottom w:val="none" w:sz="0" w:space="0" w:color="auto"/>
        <w:right w:val="none" w:sz="0" w:space="0" w:color="auto"/>
      </w:divBdr>
    </w:div>
    <w:div w:id="1178882697">
      <w:bodyDiv w:val="1"/>
      <w:marLeft w:val="0"/>
      <w:marRight w:val="0"/>
      <w:marTop w:val="0"/>
      <w:marBottom w:val="0"/>
      <w:divBdr>
        <w:top w:val="none" w:sz="0" w:space="0" w:color="auto"/>
        <w:left w:val="none" w:sz="0" w:space="0" w:color="auto"/>
        <w:bottom w:val="none" w:sz="0" w:space="0" w:color="auto"/>
        <w:right w:val="none" w:sz="0" w:space="0" w:color="auto"/>
      </w:divBdr>
    </w:div>
    <w:div w:id="1222323787">
      <w:bodyDiv w:val="1"/>
      <w:marLeft w:val="0"/>
      <w:marRight w:val="0"/>
      <w:marTop w:val="0"/>
      <w:marBottom w:val="0"/>
      <w:divBdr>
        <w:top w:val="none" w:sz="0" w:space="0" w:color="auto"/>
        <w:left w:val="none" w:sz="0" w:space="0" w:color="auto"/>
        <w:bottom w:val="none" w:sz="0" w:space="0" w:color="auto"/>
        <w:right w:val="none" w:sz="0" w:space="0" w:color="auto"/>
      </w:divBdr>
    </w:div>
    <w:div w:id="1238516901">
      <w:bodyDiv w:val="1"/>
      <w:marLeft w:val="0"/>
      <w:marRight w:val="0"/>
      <w:marTop w:val="0"/>
      <w:marBottom w:val="0"/>
      <w:divBdr>
        <w:top w:val="none" w:sz="0" w:space="0" w:color="auto"/>
        <w:left w:val="none" w:sz="0" w:space="0" w:color="auto"/>
        <w:bottom w:val="none" w:sz="0" w:space="0" w:color="auto"/>
        <w:right w:val="none" w:sz="0" w:space="0" w:color="auto"/>
      </w:divBdr>
    </w:div>
    <w:div w:id="1251043000">
      <w:bodyDiv w:val="1"/>
      <w:marLeft w:val="0"/>
      <w:marRight w:val="0"/>
      <w:marTop w:val="0"/>
      <w:marBottom w:val="0"/>
      <w:divBdr>
        <w:top w:val="none" w:sz="0" w:space="0" w:color="auto"/>
        <w:left w:val="none" w:sz="0" w:space="0" w:color="auto"/>
        <w:bottom w:val="none" w:sz="0" w:space="0" w:color="auto"/>
        <w:right w:val="none" w:sz="0" w:space="0" w:color="auto"/>
      </w:divBdr>
    </w:div>
    <w:div w:id="1271157117">
      <w:bodyDiv w:val="1"/>
      <w:marLeft w:val="0"/>
      <w:marRight w:val="0"/>
      <w:marTop w:val="0"/>
      <w:marBottom w:val="0"/>
      <w:divBdr>
        <w:top w:val="none" w:sz="0" w:space="0" w:color="auto"/>
        <w:left w:val="none" w:sz="0" w:space="0" w:color="auto"/>
        <w:bottom w:val="none" w:sz="0" w:space="0" w:color="auto"/>
        <w:right w:val="none" w:sz="0" w:space="0" w:color="auto"/>
      </w:divBdr>
    </w:div>
    <w:div w:id="1271621422">
      <w:bodyDiv w:val="1"/>
      <w:marLeft w:val="0"/>
      <w:marRight w:val="0"/>
      <w:marTop w:val="0"/>
      <w:marBottom w:val="0"/>
      <w:divBdr>
        <w:top w:val="none" w:sz="0" w:space="0" w:color="auto"/>
        <w:left w:val="none" w:sz="0" w:space="0" w:color="auto"/>
        <w:bottom w:val="none" w:sz="0" w:space="0" w:color="auto"/>
        <w:right w:val="none" w:sz="0" w:space="0" w:color="auto"/>
      </w:divBdr>
    </w:div>
    <w:div w:id="1317153201">
      <w:bodyDiv w:val="1"/>
      <w:marLeft w:val="0"/>
      <w:marRight w:val="0"/>
      <w:marTop w:val="0"/>
      <w:marBottom w:val="0"/>
      <w:divBdr>
        <w:top w:val="none" w:sz="0" w:space="0" w:color="auto"/>
        <w:left w:val="none" w:sz="0" w:space="0" w:color="auto"/>
        <w:bottom w:val="none" w:sz="0" w:space="0" w:color="auto"/>
        <w:right w:val="none" w:sz="0" w:space="0" w:color="auto"/>
      </w:divBdr>
    </w:div>
    <w:div w:id="1322538278">
      <w:bodyDiv w:val="1"/>
      <w:marLeft w:val="0"/>
      <w:marRight w:val="0"/>
      <w:marTop w:val="0"/>
      <w:marBottom w:val="0"/>
      <w:divBdr>
        <w:top w:val="none" w:sz="0" w:space="0" w:color="auto"/>
        <w:left w:val="none" w:sz="0" w:space="0" w:color="auto"/>
        <w:bottom w:val="none" w:sz="0" w:space="0" w:color="auto"/>
        <w:right w:val="none" w:sz="0" w:space="0" w:color="auto"/>
      </w:divBdr>
    </w:div>
    <w:div w:id="1505894382">
      <w:bodyDiv w:val="1"/>
      <w:marLeft w:val="0"/>
      <w:marRight w:val="0"/>
      <w:marTop w:val="0"/>
      <w:marBottom w:val="0"/>
      <w:divBdr>
        <w:top w:val="none" w:sz="0" w:space="0" w:color="auto"/>
        <w:left w:val="none" w:sz="0" w:space="0" w:color="auto"/>
        <w:bottom w:val="none" w:sz="0" w:space="0" w:color="auto"/>
        <w:right w:val="none" w:sz="0" w:space="0" w:color="auto"/>
      </w:divBdr>
    </w:div>
    <w:div w:id="1609119925">
      <w:bodyDiv w:val="1"/>
      <w:marLeft w:val="0"/>
      <w:marRight w:val="0"/>
      <w:marTop w:val="0"/>
      <w:marBottom w:val="0"/>
      <w:divBdr>
        <w:top w:val="none" w:sz="0" w:space="0" w:color="auto"/>
        <w:left w:val="none" w:sz="0" w:space="0" w:color="auto"/>
        <w:bottom w:val="none" w:sz="0" w:space="0" w:color="auto"/>
        <w:right w:val="none" w:sz="0" w:space="0" w:color="auto"/>
      </w:divBdr>
    </w:div>
    <w:div w:id="1616979324">
      <w:bodyDiv w:val="1"/>
      <w:marLeft w:val="0"/>
      <w:marRight w:val="0"/>
      <w:marTop w:val="0"/>
      <w:marBottom w:val="0"/>
      <w:divBdr>
        <w:top w:val="none" w:sz="0" w:space="0" w:color="auto"/>
        <w:left w:val="none" w:sz="0" w:space="0" w:color="auto"/>
        <w:bottom w:val="none" w:sz="0" w:space="0" w:color="auto"/>
        <w:right w:val="none" w:sz="0" w:space="0" w:color="auto"/>
      </w:divBdr>
    </w:div>
    <w:div w:id="1632903436">
      <w:bodyDiv w:val="1"/>
      <w:marLeft w:val="0"/>
      <w:marRight w:val="0"/>
      <w:marTop w:val="0"/>
      <w:marBottom w:val="0"/>
      <w:divBdr>
        <w:top w:val="none" w:sz="0" w:space="0" w:color="auto"/>
        <w:left w:val="none" w:sz="0" w:space="0" w:color="auto"/>
        <w:bottom w:val="none" w:sz="0" w:space="0" w:color="auto"/>
        <w:right w:val="none" w:sz="0" w:space="0" w:color="auto"/>
      </w:divBdr>
    </w:div>
    <w:div w:id="1635327640">
      <w:bodyDiv w:val="1"/>
      <w:marLeft w:val="0"/>
      <w:marRight w:val="0"/>
      <w:marTop w:val="0"/>
      <w:marBottom w:val="0"/>
      <w:divBdr>
        <w:top w:val="none" w:sz="0" w:space="0" w:color="auto"/>
        <w:left w:val="none" w:sz="0" w:space="0" w:color="auto"/>
        <w:bottom w:val="none" w:sz="0" w:space="0" w:color="auto"/>
        <w:right w:val="none" w:sz="0" w:space="0" w:color="auto"/>
      </w:divBdr>
    </w:div>
    <w:div w:id="1804272844">
      <w:bodyDiv w:val="1"/>
      <w:marLeft w:val="0"/>
      <w:marRight w:val="0"/>
      <w:marTop w:val="0"/>
      <w:marBottom w:val="0"/>
      <w:divBdr>
        <w:top w:val="none" w:sz="0" w:space="0" w:color="auto"/>
        <w:left w:val="none" w:sz="0" w:space="0" w:color="auto"/>
        <w:bottom w:val="none" w:sz="0" w:space="0" w:color="auto"/>
        <w:right w:val="none" w:sz="0" w:space="0" w:color="auto"/>
      </w:divBdr>
    </w:div>
    <w:div w:id="1804805933">
      <w:bodyDiv w:val="1"/>
      <w:marLeft w:val="0"/>
      <w:marRight w:val="0"/>
      <w:marTop w:val="0"/>
      <w:marBottom w:val="0"/>
      <w:divBdr>
        <w:top w:val="none" w:sz="0" w:space="0" w:color="auto"/>
        <w:left w:val="none" w:sz="0" w:space="0" w:color="auto"/>
        <w:bottom w:val="none" w:sz="0" w:space="0" w:color="auto"/>
        <w:right w:val="none" w:sz="0" w:space="0" w:color="auto"/>
      </w:divBdr>
      <w:divsChild>
        <w:div w:id="645358762">
          <w:marLeft w:val="0"/>
          <w:marRight w:val="0"/>
          <w:marTop w:val="0"/>
          <w:marBottom w:val="0"/>
          <w:divBdr>
            <w:top w:val="none" w:sz="0" w:space="0" w:color="auto"/>
            <w:left w:val="none" w:sz="0" w:space="0" w:color="auto"/>
            <w:bottom w:val="none" w:sz="0" w:space="0" w:color="auto"/>
            <w:right w:val="none" w:sz="0" w:space="0" w:color="auto"/>
          </w:divBdr>
          <w:divsChild>
            <w:div w:id="1834176425">
              <w:marLeft w:val="0"/>
              <w:marRight w:val="0"/>
              <w:marTop w:val="0"/>
              <w:marBottom w:val="0"/>
              <w:divBdr>
                <w:top w:val="none" w:sz="0" w:space="0" w:color="auto"/>
                <w:left w:val="none" w:sz="0" w:space="0" w:color="auto"/>
                <w:bottom w:val="none" w:sz="0" w:space="0" w:color="auto"/>
                <w:right w:val="none" w:sz="0" w:space="0" w:color="auto"/>
              </w:divBdr>
            </w:div>
            <w:div w:id="5719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5118">
      <w:bodyDiv w:val="1"/>
      <w:marLeft w:val="0"/>
      <w:marRight w:val="0"/>
      <w:marTop w:val="0"/>
      <w:marBottom w:val="0"/>
      <w:divBdr>
        <w:top w:val="none" w:sz="0" w:space="0" w:color="auto"/>
        <w:left w:val="none" w:sz="0" w:space="0" w:color="auto"/>
        <w:bottom w:val="none" w:sz="0" w:space="0" w:color="auto"/>
        <w:right w:val="none" w:sz="0" w:space="0" w:color="auto"/>
      </w:divBdr>
    </w:div>
    <w:div w:id="1982731667">
      <w:bodyDiv w:val="1"/>
      <w:marLeft w:val="0"/>
      <w:marRight w:val="0"/>
      <w:marTop w:val="0"/>
      <w:marBottom w:val="0"/>
      <w:divBdr>
        <w:top w:val="none" w:sz="0" w:space="0" w:color="auto"/>
        <w:left w:val="none" w:sz="0" w:space="0" w:color="auto"/>
        <w:bottom w:val="none" w:sz="0" w:space="0" w:color="auto"/>
        <w:right w:val="none" w:sz="0" w:space="0" w:color="auto"/>
      </w:divBdr>
    </w:div>
    <w:div w:id="2004578247">
      <w:bodyDiv w:val="1"/>
      <w:marLeft w:val="0"/>
      <w:marRight w:val="0"/>
      <w:marTop w:val="0"/>
      <w:marBottom w:val="0"/>
      <w:divBdr>
        <w:top w:val="none" w:sz="0" w:space="0" w:color="auto"/>
        <w:left w:val="none" w:sz="0" w:space="0" w:color="auto"/>
        <w:bottom w:val="none" w:sz="0" w:space="0" w:color="auto"/>
        <w:right w:val="none" w:sz="0" w:space="0" w:color="auto"/>
      </w:divBdr>
    </w:div>
    <w:div w:id="2030832232">
      <w:bodyDiv w:val="1"/>
      <w:marLeft w:val="0"/>
      <w:marRight w:val="0"/>
      <w:marTop w:val="0"/>
      <w:marBottom w:val="0"/>
      <w:divBdr>
        <w:top w:val="none" w:sz="0" w:space="0" w:color="auto"/>
        <w:left w:val="none" w:sz="0" w:space="0" w:color="auto"/>
        <w:bottom w:val="none" w:sz="0" w:space="0" w:color="auto"/>
        <w:right w:val="none" w:sz="0" w:space="0" w:color="auto"/>
      </w:divBdr>
    </w:div>
    <w:div w:id="2087875471">
      <w:bodyDiv w:val="1"/>
      <w:marLeft w:val="0"/>
      <w:marRight w:val="0"/>
      <w:marTop w:val="0"/>
      <w:marBottom w:val="0"/>
      <w:divBdr>
        <w:top w:val="none" w:sz="0" w:space="0" w:color="auto"/>
        <w:left w:val="none" w:sz="0" w:space="0" w:color="auto"/>
        <w:bottom w:val="none" w:sz="0" w:space="0" w:color="auto"/>
        <w:right w:val="none" w:sz="0" w:space="0" w:color="auto"/>
      </w:divBdr>
    </w:div>
    <w:div w:id="21181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fat.gov.au/trade/agreements/negotiations/aukfta/australia-uk-fta-negotiations-agreement-princip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fat.gov.au/publications/minisite/2017-foreign-policy-white-paper/fpwhitepaper/index.html" TargetMode="External"/><Relationship Id="rId20" Type="http://schemas.openxmlformats.org/officeDocument/2006/relationships/image" Target="media/image9.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dfat.gov.au/trade/agreements/negotiations/aukfta/submissions" TargetMode="Externa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dfat.gov.au/publications/minisite/2017-foreign-policy-white-paper/fpwhitepaper/index.html" TargetMode="External"/><Relationship Id="rId18" Type="http://schemas.openxmlformats.org/officeDocument/2006/relationships/hyperlink" Target="https://meatmanagement.com/beef-imports-into-the-uk-drop-by-3-in-2020/" TargetMode="External"/><Relationship Id="rId26" Type="http://schemas.openxmlformats.org/officeDocument/2006/relationships/hyperlink" Target="https://www.agriculture.gov.au/abares/research-topics/agricultural-outlook/rice" TargetMode="External"/><Relationship Id="rId39" Type="http://schemas.openxmlformats.org/officeDocument/2006/relationships/hyperlink" Target="https://www2.deloitte.com/au/en/pages/consumer-business/articles/next-whisky-boom.html" TargetMode="External"/><Relationship Id="rId3" Type="http://schemas.openxmlformats.org/officeDocument/2006/relationships/hyperlink" Target="https://www.abs.gov.au/articles/one-year-covid-19-aussie-jobs-business-and-economy" TargetMode="External"/><Relationship Id="rId21" Type="http://schemas.openxmlformats.org/officeDocument/2006/relationships/hyperlink" Target="https://www.canegrowers.com.au/page/media/media-releases/2021/australia-now-second-biggest-raw-sugar-exporter" TargetMode="External"/><Relationship Id="rId34" Type="http://schemas.openxmlformats.org/officeDocument/2006/relationships/hyperlink" Target="https://www.austrade.gov.au/news/publications/australia-united-kingdom-natural-trading-partners" TargetMode="External"/><Relationship Id="rId42" Type="http://schemas.openxmlformats.org/officeDocument/2006/relationships/hyperlink" Target="https://bakingbusiness.com.au/arnotts-welcomes-australia-uk-free-trade-agreement/" TargetMode="External"/><Relationship Id="rId47" Type="http://schemas.openxmlformats.org/officeDocument/2006/relationships/hyperlink" Target="https://www.mla.com.au/news-and-events/industry-news/a-uk-fta-a-quality-outcome-with-a-long-term-partner/?utm_source=miragenews&amp;utm_medium=miragenews&amp;utm_campaign=news" TargetMode="External"/><Relationship Id="rId50" Type="http://schemas.openxmlformats.org/officeDocument/2006/relationships/hyperlink" Target="https://investors.sunrice.com.au/FormBuilder/_Resource/_module/2weQNICYSUy13FE_jxQXvg/file/Media_Releases/20210615_SunRice%20Group%20Media%20Release_Australian%20Government%20to%20be%20congratulated%20for%20landmark%20United%20Kingdom%20Free%20Trade%20Agreement_FINAL.pdf" TargetMode="External"/><Relationship Id="rId7" Type="http://schemas.openxmlformats.org/officeDocument/2006/relationships/hyperlink" Target="https://ourcomeback.gov.au/businesses-and-employers.html" TargetMode="External"/><Relationship Id="rId12" Type="http://schemas.openxmlformats.org/officeDocument/2006/relationships/hyperlink" Target="https://www.bankofengland.co.uk/monetary-policy-report/2021/may-2021" TargetMode="External"/><Relationship Id="rId17" Type="http://schemas.openxmlformats.org/officeDocument/2006/relationships/hyperlink" Target="https://www.beefcentral.com/trade/uk-farmers-concerned-about-tariff-free-access-for-australian-meat/" TargetMode="External"/><Relationship Id="rId25" Type="http://schemas.openxmlformats.org/officeDocument/2006/relationships/hyperlink" Target="https://oec.world/en/profile/bilateral-product/rice/reporter/gbr" TargetMode="External"/><Relationship Id="rId33" Type="http://schemas.openxmlformats.org/officeDocument/2006/relationships/hyperlink" Target="https://www.dfat.gov.au/sites/default/files/australian-nut-industry-council.pdf" TargetMode="External"/><Relationship Id="rId38" Type="http://schemas.openxmlformats.org/officeDocument/2006/relationships/hyperlink" Target="https://www.aph.gov.au/Parliamentary_Business/Committees/Senate/Former_Committees/foodprocessing/foodprocessing/report/index" TargetMode="External"/><Relationship Id="rId46" Type="http://schemas.openxmlformats.org/officeDocument/2006/relationships/hyperlink" Target="https://nff.org.au/media-release/uk-australia-trade-agreement-a-new-beginning/" TargetMode="External"/><Relationship Id="rId2" Type="http://schemas.openxmlformats.org/officeDocument/2006/relationships/hyperlink" Target="https://www.imf.org/external/datamapper/LP@WEO/OEMDC/ADVEC/WEOWORLD" TargetMode="External"/><Relationship Id="rId16" Type="http://schemas.openxmlformats.org/officeDocument/2006/relationships/hyperlink" Target="https://www.wineaustralia.com/news/media-releases/uk-exports-strong-in-wake-of-china-tariffs" TargetMode="External"/><Relationship Id="rId20" Type="http://schemas.openxmlformats.org/officeDocument/2006/relationships/hyperlink" Target="https://asmc.com.au/new-uk-australia-free-trade-deal-stirs-sugar-industry-confidence-16-june-2021/" TargetMode="External"/><Relationship Id="rId29" Type="http://schemas.openxmlformats.org/officeDocument/2006/relationships/hyperlink" Target="https://www.agriculture.gov.au/abares/research-topics/fisheries/fisheries-economics/fisheries-forecasts" TargetMode="External"/><Relationship Id="rId41" Type="http://schemas.openxmlformats.org/officeDocument/2006/relationships/hyperlink" Target="https://www.scotch-whisky.org.uk/newsroom/2020-scotch-whisky-exports/" TargetMode="External"/><Relationship Id="rId1" Type="http://schemas.openxmlformats.org/officeDocument/2006/relationships/hyperlink" Target="https://www.aph.gov.au/Parliamentary_Business/Committees/Joint/Foreign_Affairs_Defence_and_Trade/tradewithUK/Interim_Report/section?id=committees%2Freportjnt%2F024101%2F25066" TargetMode="External"/><Relationship Id="rId6" Type="http://schemas.openxmlformats.org/officeDocument/2006/relationships/hyperlink" Target="https://www.aph.gov.au/Parliamentary_Business/Committees/Joint/Joint_Standing_Committee_on_Trade_and_Investment_Growth/DiversifyingTrade/Government_Response" TargetMode="External"/><Relationship Id="rId11" Type="http://schemas.openxmlformats.org/officeDocument/2006/relationships/hyperlink" Target="https://www.abs.gov.au/articles/one-year-covid-19-aussie-jobs-business-and-economy" TargetMode="External"/><Relationship Id="rId24" Type="http://schemas.openxmlformats.org/officeDocument/2006/relationships/hyperlink" Target="https://www.graincentral.com/news/australian-rice-a-big-winner-in-uk-trade-agreement/" TargetMode="External"/><Relationship Id="rId32" Type="http://schemas.openxmlformats.org/officeDocument/2006/relationships/hyperlink" Target="https://www.agriculture.gov.au/ag-farm-food/hort-policy/horticulture_fact_sheet" TargetMode="External"/><Relationship Id="rId37" Type="http://schemas.openxmlformats.org/officeDocument/2006/relationships/hyperlink" Target="https://www.aph.gov.au/About_Parliament/Parliamentary_Departments/Parliamentary_Library/pubs/BriefingBook44p/ProcessedFood" TargetMode="External"/><Relationship Id="rId40" Type="http://schemas.openxmlformats.org/officeDocument/2006/relationships/hyperlink" Target="https://thewhiskylist.com.au/distilleries/australia" TargetMode="External"/><Relationship Id="rId45" Type="http://schemas.openxmlformats.org/officeDocument/2006/relationships/hyperlink" Target="https://www.bca.com.au/uk_trade_deal_makes_post_brexit_history" TargetMode="External"/><Relationship Id="rId5" Type="http://schemas.openxmlformats.org/officeDocument/2006/relationships/hyperlink" Target="https://www.aph.gov.au/Parliamentary_Business/Committees/Joint/Joint_Standing_Committee_on_Trade_and_Investment_Growth/DiversifyingTrade/Report" TargetMode="External"/><Relationship Id="rId15" Type="http://schemas.openxmlformats.org/officeDocument/2006/relationships/hyperlink" Target="https://www.agriculture.gov.au/abares/products/insights/free-trade-agreements-analysis" TargetMode="External"/><Relationship Id="rId23" Type="http://schemas.openxmlformats.org/officeDocument/2006/relationships/hyperlink" Target="https://www.dairyuk.org/the-uk-dairy-industry/" TargetMode="External"/><Relationship Id="rId28" Type="http://schemas.openxmlformats.org/officeDocument/2006/relationships/hyperlink" Target="https://www.agriculture.gov.au/abares/research-topics/fisheries/fisheries-economics/fisheries-forecasts" TargetMode="External"/><Relationship Id="rId36" Type="http://schemas.openxmlformats.org/officeDocument/2006/relationships/hyperlink" Target="https://www.agriculture.gov.au/abares/research-topics/agricultural-outlook/wheat" TargetMode="External"/><Relationship Id="rId49" Type="http://schemas.openxmlformats.org/officeDocument/2006/relationships/hyperlink" Target="http://www.dairypage.com.au/newsroom/2021/6/17/australian-dairy-welcomes-announcement-on-fta-with-the-united-kingdom" TargetMode="External"/><Relationship Id="rId10" Type="http://schemas.openxmlformats.org/officeDocument/2006/relationships/hyperlink" Target="https://www.abs.gov.au/statistics/economy/international-trade/international-trade-goods-and-services-australia/latest-release" TargetMode="External"/><Relationship Id="rId19" Type="http://schemas.openxmlformats.org/officeDocument/2006/relationships/hyperlink" Target="https://ahdb.org.uk/knowledge-library/opportunities-for-the-sheep-sector" TargetMode="External"/><Relationship Id="rId31" Type="http://schemas.openxmlformats.org/officeDocument/2006/relationships/hyperlink" Target="https://honeybee.org.au/our-industry/reports/" TargetMode="External"/><Relationship Id="rId44" Type="http://schemas.openxmlformats.org/officeDocument/2006/relationships/hyperlink" Target="https://www.dfat.gov.au/sites/default/files/uk-cef.pdf" TargetMode="External"/><Relationship Id="rId4" Type="http://schemas.openxmlformats.org/officeDocument/2006/relationships/hyperlink" Target="https://ourcomeback.gov.au/businesses-and-employers.html" TargetMode="External"/><Relationship Id="rId9" Type="http://schemas.openxmlformats.org/officeDocument/2006/relationships/hyperlink" Target="https://www.rba.gov.au/publications/bulletin/2021/mar/australias-economic-recovery-and-access-to-small-business-finance.html" TargetMode="External"/><Relationship Id="rId14" Type="http://schemas.openxmlformats.org/officeDocument/2006/relationships/hyperlink" Target="https://www.dfat.gov.au/about-us/publications/trade-investment/Pages/free-trade-agreement-utilisation-study-pwc-report" TargetMode="External"/><Relationship Id="rId22" Type="http://schemas.openxmlformats.org/officeDocument/2006/relationships/hyperlink" Target="https://www.ragus.co.uk/global-sugar-market-report-2021-22/" TargetMode="External"/><Relationship Id="rId27" Type="http://schemas.openxmlformats.org/officeDocument/2006/relationships/hyperlink" Target="https://www.agriculture.gov.au/fisheries/aus-seafood-trade" TargetMode="External"/><Relationship Id="rId30" Type="http://schemas.openxmlformats.org/officeDocument/2006/relationships/hyperlink" Target="https://www.dfat.gov.au/sites/default/files/aukfta-submission-austral-fisheries.pdf" TargetMode="External"/><Relationship Id="rId35" Type="http://schemas.openxmlformats.org/officeDocument/2006/relationships/hyperlink" Target="https://daff.ent.sirsidynix.net.au/client/en_AU/search/asset/1032541/0" TargetMode="External"/><Relationship Id="rId43" Type="http://schemas.openxmlformats.org/officeDocument/2006/relationships/hyperlink" Target="https://www.abs.gov.au/statistics/economy/international-trade/international-trade-supplementary-information-financial-year/latest-release" TargetMode="External"/><Relationship Id="rId48" Type="http://schemas.openxmlformats.org/officeDocument/2006/relationships/hyperlink" Target="http://www.canegrowers.com.au/page/media/media-releases/2021/positive-outcome-for-sugarcane-growers-in-fta" TargetMode="External"/><Relationship Id="rId8" Type="http://schemas.openxmlformats.org/officeDocument/2006/relationships/hyperlink" Target="https://www.health.gov.au/ministers/the-hon-greg-hunt-mp/media/covid-19-emergency-measures-extended-for-a-further-three-months-0" TargetMode="External"/><Relationship Id="rId51" Type="http://schemas.openxmlformats.org/officeDocument/2006/relationships/hyperlink" Target="https://www.homeaffairs.gov.au/reports-and-pubs/Annualreports/home-affairs-annual-report-20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1" ma:contentTypeDescription="Create a new document." ma:contentTypeScope="" ma:versionID="256d86c73516b70f2414ca0f6bda121f">
  <xsd:schema xmlns:xsd="http://www.w3.org/2001/XMLSchema" xmlns:xs="http://www.w3.org/2001/XMLSchema" xmlns:p="http://schemas.microsoft.com/office/2006/metadata/properties" xmlns:ns2="ada5df43-bbd8-4643-b265-b63d63fe5e92" targetNamespace="http://schemas.microsoft.com/office/2006/metadata/properties" ma:root="true" ma:fieldsID="015fdb3ca35326a46baa41eb325e1bf6" ns2:_="">
    <xsd:import namespace="ada5df43-bbd8-4643-b265-b63d63fe5e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f43-bbd8-4643-b265-b63d63fe5e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da5df43-bbd8-4643-b265-b63d63fe5e92">SP7UQ5V26J4T-15-84755</_dlc_DocId>
    <_dlc_DocIdUrl xmlns="ada5df43-bbd8-4643-b265-b63d63fe5e92">
      <Url>https://corporateapps.internal.pmc.gov.au/sites/OBPR/RIA/_layouts/15/DocIdRedir.aspx?ID=SP7UQ5V26J4T-15-84755</Url>
      <Description>SP7UQ5V26J4T-15-84755</Description>
    </_dlc_DocIdUrl>
  </documentManagement>
</p:properties>
</file>

<file path=customXml/itemProps1.xml><?xml version="1.0" encoding="utf-8"?>
<ds:datastoreItem xmlns:ds="http://schemas.openxmlformats.org/officeDocument/2006/customXml" ds:itemID="{629A3DCC-3187-4035-8FCE-14F60AFF5B79}">
  <ds:schemaRefs>
    <ds:schemaRef ds:uri="http://schemas.openxmlformats.org/officeDocument/2006/bibliography"/>
  </ds:schemaRefs>
</ds:datastoreItem>
</file>

<file path=customXml/itemProps2.xml><?xml version="1.0" encoding="utf-8"?>
<ds:datastoreItem xmlns:ds="http://schemas.openxmlformats.org/officeDocument/2006/customXml" ds:itemID="{72FB3BA8-9C9C-4C35-8277-9848FC3A282D}"/>
</file>

<file path=customXml/itemProps3.xml><?xml version="1.0" encoding="utf-8"?>
<ds:datastoreItem xmlns:ds="http://schemas.openxmlformats.org/officeDocument/2006/customXml" ds:itemID="{3A20B3FD-7542-4958-B486-6EC59ABDAD4E}"/>
</file>

<file path=customXml/itemProps4.xml><?xml version="1.0" encoding="utf-8"?>
<ds:datastoreItem xmlns:ds="http://schemas.openxmlformats.org/officeDocument/2006/customXml" ds:itemID="{6DD28F11-0E03-4CFB-8BFF-EFD26533BDDD}"/>
</file>

<file path=customXml/itemProps5.xml><?xml version="1.0" encoding="utf-8"?>
<ds:datastoreItem xmlns:ds="http://schemas.openxmlformats.org/officeDocument/2006/customXml" ds:itemID="{B3D09BCA-08F4-470C-9587-8C0C6DB57F1C}"/>
</file>

<file path=docProps/app.xml><?xml version="1.0" encoding="utf-8"?>
<Properties xmlns="http://schemas.openxmlformats.org/officeDocument/2006/extended-properties" xmlns:vt="http://schemas.openxmlformats.org/officeDocument/2006/docPropsVTypes">
  <Template>Normal.dotm</Template>
  <TotalTime>127</TotalTime>
  <Pages>79</Pages>
  <Words>27085</Words>
  <Characters>153794</Characters>
  <Application>Microsoft Office Word</Application>
  <DocSecurity>0</DocSecurity>
  <Lines>3817</Lines>
  <Paragraphs>1530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Francis</dc:creator>
  <cp:keywords> [SEC=OFFICIAL]</cp:keywords>
  <dc:description/>
  <cp:lastModifiedBy>Paul Murphy</cp:lastModifiedBy>
  <cp:revision>34</cp:revision>
  <dcterms:created xsi:type="dcterms:W3CDTF">2021-10-21T03:00:00Z</dcterms:created>
  <dcterms:modified xsi:type="dcterms:W3CDTF">2021-11-25T05:02:00Z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FFEA79DCA4914A219BE9C516C85EBBAB</vt:lpwstr>
  </property>
  <property fmtid="{D5CDD505-2E9C-101B-9397-08002B2CF9AE}" pid="9" name="PM_ProtectiveMarkingValue_Footer">
    <vt:lpwstr>OFFICIAL</vt:lpwstr>
  </property>
  <property fmtid="{D5CDD505-2E9C-101B-9397-08002B2CF9AE}" pid="10" name="PM_Originator_Hash_SHA1">
    <vt:lpwstr>270085156E67D1ECA00BAF76E6889B3E0ECDCD28</vt:lpwstr>
  </property>
  <property fmtid="{D5CDD505-2E9C-101B-9397-08002B2CF9AE}" pid="11" name="PM_OriginationTimeStamp">
    <vt:lpwstr>2021-11-25T04:49:38Z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D31537D637CF62D2CA64932BD3435C81</vt:lpwstr>
  </property>
  <property fmtid="{D5CDD505-2E9C-101B-9397-08002B2CF9AE}" pid="20" name="PM_Hash_Salt">
    <vt:lpwstr>DD97CA4ED5BFDF2AAF0D4829AF1FE17A</vt:lpwstr>
  </property>
  <property fmtid="{D5CDD505-2E9C-101B-9397-08002B2CF9AE}" pid="21" name="PM_Hash_SHA1">
    <vt:lpwstr>AFDB5E3FD13D02FC47AAE0632FF51DF6616EB065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0x010100B8596EF1E1B53D4DB650581373C5AE0B</vt:lpwstr>
  </property>
  <property fmtid="{D5CDD505-2E9C-101B-9397-08002B2CF9AE}" pid="25" name="_dlc_DocIdItemGuid">
    <vt:lpwstr>9c4c2199-5267-4417-b565-a59bcc1ce741</vt:lpwstr>
  </property>
</Properties>
</file>