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073D3B" w14:textId="5CA08E08" w:rsidR="005F6F02" w:rsidRDefault="00C20AF5">
      <w:pPr>
        <w:pStyle w:val="SinglePara"/>
        <w:jc w:val="right"/>
      </w:pPr>
      <w:bookmarkStart w:id="0" w:name="_GoBack"/>
      <w:bookmarkEnd w:id="0"/>
      <w:r>
        <w:t>15</w:t>
      </w:r>
      <w:r w:rsidR="00437881">
        <w:fldChar w:fldCharType="begin"/>
      </w:r>
      <w:r w:rsidR="00437881">
        <w:instrText xml:space="preserve"> CREATEDATE \@ "d MMMM, yyyy" \* MERGEFORMAT </w:instrText>
      </w:r>
      <w:r w:rsidR="00437881">
        <w:fldChar w:fldCharType="separate"/>
      </w:r>
      <w:r w:rsidR="009F65FF" w:rsidRPr="00A7434A">
        <w:rPr>
          <w:noProof/>
        </w:rPr>
        <w:t xml:space="preserve"> </w:t>
      </w:r>
      <w:r w:rsidR="00D37E28">
        <w:rPr>
          <w:noProof/>
        </w:rPr>
        <w:t>October</w:t>
      </w:r>
      <w:r w:rsidR="009F65FF" w:rsidRPr="00A7434A">
        <w:rPr>
          <w:noProof/>
        </w:rPr>
        <w:t>, 2</w:t>
      </w:r>
      <w:r w:rsidR="009F65FF">
        <w:rPr>
          <w:noProof/>
        </w:rPr>
        <w:t>021</w:t>
      </w:r>
      <w:r w:rsidR="00437881">
        <w:rPr>
          <w:noProof/>
        </w:rPr>
        <w:fldChar w:fldCharType="end"/>
      </w:r>
    </w:p>
    <w:p w14:paraId="7AC4F2D9" w14:textId="58AD8B1C" w:rsidR="005F6F02" w:rsidRDefault="005F6F02">
      <w:pPr>
        <w:spacing w:after="0"/>
        <w:jc w:val="right"/>
      </w:pPr>
      <w:r>
        <w:rPr>
          <w:b/>
        </w:rPr>
        <w:t>File:</w:t>
      </w:r>
      <w:r>
        <w:t xml:space="preserve">  </w:t>
      </w:r>
      <w:r w:rsidR="000167AC" w:rsidRPr="000167AC">
        <w:t xml:space="preserve">OBPR </w:t>
      </w:r>
      <w:r w:rsidR="000167AC">
        <w:t>R</w:t>
      </w:r>
      <w:r w:rsidR="000167AC" w:rsidRPr="000167AC">
        <w:t>ef ID 18069</w:t>
      </w:r>
    </w:p>
    <w:p w14:paraId="15E16D16"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Mr Jason Lange</w:t>
      </w:r>
    </w:p>
    <w:p w14:paraId="0422AFED"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Executive Director</w:t>
      </w:r>
    </w:p>
    <w:p w14:paraId="41C3BCC9"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Office of Best Practice Regulation</w:t>
      </w:r>
    </w:p>
    <w:p w14:paraId="0D2E52E0"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Department of the Prime Minister and Cabinet</w:t>
      </w:r>
    </w:p>
    <w:p w14:paraId="452E0569"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1 National Circuit</w:t>
      </w:r>
    </w:p>
    <w:p w14:paraId="1192632A"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BARTON   ACT   2600</w:t>
      </w:r>
      <w:r w:rsidRPr="00D37E28">
        <w:rPr>
          <w:rFonts w:asciiTheme="minorHAnsi" w:hAnsiTheme="minorHAnsi" w:cstheme="minorHAnsi"/>
          <w:szCs w:val="22"/>
          <w:lang w:eastAsia="en-US"/>
        </w:rPr>
        <w:br/>
      </w:r>
    </w:p>
    <w:p w14:paraId="37F309D1"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Email: helpdesk-OBPR@pmc.gov.au</w:t>
      </w:r>
    </w:p>
    <w:p w14:paraId="01CC5C50" w14:textId="77777777" w:rsidR="00D37E28" w:rsidRPr="00D37E28" w:rsidRDefault="00D37E28" w:rsidP="00D37E28">
      <w:pPr>
        <w:spacing w:after="0" w:line="240" w:lineRule="atLeast"/>
        <w:rPr>
          <w:rFonts w:asciiTheme="minorHAnsi" w:hAnsiTheme="minorHAnsi" w:cstheme="minorHAnsi"/>
          <w:szCs w:val="22"/>
          <w:lang w:eastAsia="en-US"/>
        </w:rPr>
      </w:pPr>
    </w:p>
    <w:p w14:paraId="17FE242F" w14:textId="77777777" w:rsidR="00D37E28" w:rsidRPr="00D37E28" w:rsidRDefault="00D37E28" w:rsidP="00D37E28">
      <w:pPr>
        <w:spacing w:after="0" w:line="240" w:lineRule="atLeast"/>
        <w:rPr>
          <w:rFonts w:asciiTheme="minorHAnsi" w:hAnsiTheme="minorHAnsi" w:cstheme="minorHAnsi"/>
          <w:szCs w:val="22"/>
          <w:lang w:eastAsia="en-US"/>
        </w:rPr>
      </w:pPr>
    </w:p>
    <w:p w14:paraId="0BBEDE9F"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Dear Mr Lange</w:t>
      </w:r>
    </w:p>
    <w:p w14:paraId="346F1F14" w14:textId="77777777" w:rsidR="00D37E28" w:rsidRPr="00D37E28" w:rsidRDefault="00D37E28" w:rsidP="00D37E28">
      <w:pPr>
        <w:keepNext/>
        <w:spacing w:before="240" w:after="0" w:line="300" w:lineRule="exact"/>
        <w:outlineLvl w:val="0"/>
        <w:rPr>
          <w:rFonts w:asciiTheme="minorHAnsi" w:hAnsiTheme="minorHAnsi" w:cstheme="minorHAnsi"/>
          <w:b/>
          <w:kern w:val="28"/>
          <w:szCs w:val="22"/>
          <w:lang w:eastAsia="en-US"/>
        </w:rPr>
      </w:pPr>
      <w:r w:rsidRPr="00D37E28">
        <w:rPr>
          <w:rFonts w:asciiTheme="minorHAnsi" w:hAnsiTheme="minorHAnsi" w:cstheme="minorHAnsi"/>
          <w:b/>
          <w:kern w:val="28"/>
          <w:szCs w:val="22"/>
          <w:lang w:eastAsia="en-US"/>
        </w:rPr>
        <w:t>Regulation Impact Statement – Corporate Collective Investment Vehicle Regulatory and Tax Frameworks – Second Pass Final Assessment</w:t>
      </w:r>
    </w:p>
    <w:p w14:paraId="26080747" w14:textId="77777777" w:rsidR="00D37E28" w:rsidRPr="00D37E28" w:rsidRDefault="00D37E28" w:rsidP="00D37E28">
      <w:pPr>
        <w:spacing w:before="240" w:after="0" w:line="300" w:lineRule="exact"/>
        <w:rPr>
          <w:rFonts w:asciiTheme="minorHAnsi" w:hAnsiTheme="minorHAnsi" w:cstheme="minorHAnsi"/>
          <w:szCs w:val="22"/>
        </w:rPr>
      </w:pPr>
      <w:r w:rsidRPr="00D37E28">
        <w:rPr>
          <w:rFonts w:asciiTheme="minorHAnsi" w:hAnsiTheme="minorHAnsi" w:cstheme="minorHAnsi"/>
          <w:szCs w:val="22"/>
        </w:rPr>
        <w:t xml:space="preserve">I am writing in relation to the attached Regulation Impact Statement (RIS) prepared for Corporate Collective Investment Vehicle (CCIV) Regulatory and Tax Frameworks. </w:t>
      </w:r>
    </w:p>
    <w:p w14:paraId="1D0BED6F" w14:textId="77777777" w:rsidR="00D37E28" w:rsidRPr="00D37E28" w:rsidRDefault="00D37E28" w:rsidP="00D37E28">
      <w:pPr>
        <w:spacing w:before="240" w:after="0" w:line="300" w:lineRule="exact"/>
        <w:rPr>
          <w:rFonts w:asciiTheme="minorHAnsi" w:hAnsiTheme="minorHAnsi" w:cstheme="minorHAnsi"/>
          <w:szCs w:val="22"/>
        </w:rPr>
      </w:pPr>
      <w:r w:rsidRPr="00D37E28">
        <w:rPr>
          <w:rFonts w:asciiTheme="minorHAnsi" w:hAnsiTheme="minorHAnsi" w:cstheme="minorHAnsi"/>
          <w:szCs w:val="22"/>
        </w:rPr>
        <w:t xml:space="preserve">The chosen option, option 3, has an estimated regulatory cost of around $1.2 million per year for fund managers that choose to implement a CCIV. The CCIV regime will offer fund managers and investors an internationally competitive fund management vehicle by aligning Australia’s legal fund structures with those found in other jurisdictions. </w:t>
      </w:r>
    </w:p>
    <w:p w14:paraId="6DA08F77" w14:textId="4E0ABA52" w:rsidR="00D37E28" w:rsidRPr="00D37E28" w:rsidRDefault="00D37E28" w:rsidP="00D37E28">
      <w:pPr>
        <w:spacing w:before="240" w:after="0" w:line="300" w:lineRule="exact"/>
        <w:rPr>
          <w:rFonts w:asciiTheme="minorHAnsi" w:hAnsiTheme="minorHAnsi" w:cstheme="minorHAnsi"/>
          <w:szCs w:val="22"/>
        </w:rPr>
      </w:pPr>
      <w:r w:rsidRPr="00D37E28">
        <w:rPr>
          <w:rFonts w:asciiTheme="minorHAnsi" w:hAnsiTheme="minorHAnsi" w:cstheme="minorHAnsi"/>
          <w:szCs w:val="22"/>
        </w:rPr>
        <w:t>I am satisfied that the RIS addresses the concerns raised in your letter of 4 October 2021. Specifically, I am satisfied of the following</w:t>
      </w:r>
      <w:r w:rsidR="004B4E49">
        <w:rPr>
          <w:rFonts w:asciiTheme="minorHAnsi" w:hAnsiTheme="minorHAnsi" w:cstheme="minorHAnsi"/>
          <w:szCs w:val="22"/>
        </w:rPr>
        <w:t>:</w:t>
      </w:r>
    </w:p>
    <w:p w14:paraId="43ACC7C2" w14:textId="77777777" w:rsidR="00D37E28" w:rsidRPr="00D37E28" w:rsidRDefault="00D37E28" w:rsidP="00D37E28">
      <w:pPr>
        <w:spacing w:after="0" w:line="240" w:lineRule="atLeast"/>
        <w:ind w:left="567"/>
        <w:rPr>
          <w:rFonts w:asciiTheme="minorHAnsi" w:hAnsiTheme="minorHAnsi" w:cstheme="minorHAnsi"/>
          <w:szCs w:val="22"/>
        </w:rPr>
      </w:pPr>
    </w:p>
    <w:p w14:paraId="56783D4F" w14:textId="29282245" w:rsidR="00D37E28" w:rsidRDefault="00D37E28" w:rsidP="00D37E28">
      <w:pPr>
        <w:pStyle w:val="Bullet"/>
        <w:rPr>
          <w:rFonts w:asciiTheme="minorHAnsi" w:hAnsiTheme="minorHAnsi"/>
          <w:sz w:val="22"/>
          <w:szCs w:val="22"/>
        </w:rPr>
      </w:pPr>
      <w:r w:rsidRPr="00D37E28">
        <w:rPr>
          <w:rFonts w:asciiTheme="minorHAnsi" w:hAnsiTheme="minorHAnsi"/>
          <w:sz w:val="22"/>
          <w:szCs w:val="22"/>
        </w:rPr>
        <w:t>The differentiating features between options 2 and 3, including the bespoke tax regime of option 2, are now better articulated in section 3 under the heading ‘Consideration of Options’.</w:t>
      </w:r>
    </w:p>
    <w:p w14:paraId="03B76D63" w14:textId="77777777" w:rsidR="00D37E28" w:rsidRPr="00D37E28" w:rsidRDefault="00D37E28" w:rsidP="00D37E28">
      <w:pPr>
        <w:pStyle w:val="Bullet"/>
        <w:numPr>
          <w:ilvl w:val="0"/>
          <w:numId w:val="0"/>
        </w:numPr>
        <w:ind w:left="567"/>
        <w:rPr>
          <w:rFonts w:asciiTheme="minorHAnsi" w:hAnsiTheme="minorHAnsi"/>
          <w:sz w:val="22"/>
          <w:szCs w:val="22"/>
        </w:rPr>
      </w:pPr>
    </w:p>
    <w:p w14:paraId="5DD4E5C0" w14:textId="2EEC2AE9" w:rsidR="00D37E28" w:rsidRDefault="00D37E28" w:rsidP="00D37E28">
      <w:pPr>
        <w:pStyle w:val="Bullet"/>
        <w:rPr>
          <w:rFonts w:asciiTheme="minorHAnsi" w:hAnsiTheme="minorHAnsi"/>
          <w:sz w:val="22"/>
          <w:szCs w:val="22"/>
        </w:rPr>
      </w:pPr>
      <w:r w:rsidRPr="00D37E28">
        <w:rPr>
          <w:rFonts w:asciiTheme="minorHAnsi" w:hAnsiTheme="minorHAnsi"/>
          <w:sz w:val="22"/>
          <w:szCs w:val="22"/>
        </w:rPr>
        <w:t xml:space="preserve">Further information has been added to the descriptions of options 2 and 3, and a full explanation of the bespoke tax regime proposed in option 2. The difference between the two options has been described. </w:t>
      </w:r>
    </w:p>
    <w:p w14:paraId="3536EC1C" w14:textId="77777777" w:rsidR="00D37E28" w:rsidRPr="00D37E28" w:rsidRDefault="00D37E28" w:rsidP="00D37E28">
      <w:pPr>
        <w:pStyle w:val="Bullet"/>
        <w:numPr>
          <w:ilvl w:val="0"/>
          <w:numId w:val="0"/>
        </w:numPr>
        <w:rPr>
          <w:rFonts w:asciiTheme="minorHAnsi" w:hAnsiTheme="minorHAnsi"/>
          <w:sz w:val="22"/>
          <w:szCs w:val="22"/>
        </w:rPr>
      </w:pPr>
    </w:p>
    <w:p w14:paraId="4B7EDFB9" w14:textId="46345C0C" w:rsidR="00D37E28" w:rsidRDefault="00D37E28" w:rsidP="00D37E28">
      <w:pPr>
        <w:pStyle w:val="Bullet"/>
        <w:rPr>
          <w:rFonts w:asciiTheme="minorHAnsi" w:hAnsiTheme="minorHAnsi"/>
          <w:sz w:val="22"/>
          <w:szCs w:val="22"/>
        </w:rPr>
      </w:pPr>
      <w:r w:rsidRPr="00D37E28">
        <w:rPr>
          <w:rFonts w:asciiTheme="minorHAnsi" w:hAnsiTheme="minorHAnsi"/>
          <w:sz w:val="22"/>
          <w:szCs w:val="22"/>
        </w:rPr>
        <w:t>In section 4, the qualitative analysis has been expanded to demonstrate the net benefits of each option. A reliable estimate of the impact of this measure is not quantifiable and as such, a qualitative estimate of the net benefit is provided. This measure will position Australia as a more competitive jurisdiction to invest for foreign fund managers and investors which is the driver behind the regime.</w:t>
      </w:r>
    </w:p>
    <w:p w14:paraId="61BC06CF" w14:textId="77777777" w:rsidR="00D37E28" w:rsidRPr="00D37E28" w:rsidRDefault="00D37E28" w:rsidP="00D37E28">
      <w:pPr>
        <w:pStyle w:val="Bullet"/>
        <w:numPr>
          <w:ilvl w:val="0"/>
          <w:numId w:val="0"/>
        </w:numPr>
        <w:rPr>
          <w:rFonts w:asciiTheme="minorHAnsi" w:hAnsiTheme="minorHAnsi"/>
          <w:sz w:val="22"/>
          <w:szCs w:val="22"/>
        </w:rPr>
      </w:pPr>
    </w:p>
    <w:p w14:paraId="5D59A867" w14:textId="4E91CF3F" w:rsidR="00D37E28" w:rsidRDefault="00D37E28" w:rsidP="00D37E28">
      <w:pPr>
        <w:pStyle w:val="Bullet"/>
        <w:rPr>
          <w:rFonts w:asciiTheme="minorHAnsi" w:hAnsiTheme="minorHAnsi"/>
          <w:sz w:val="22"/>
          <w:szCs w:val="22"/>
        </w:rPr>
      </w:pPr>
      <w:r w:rsidRPr="00D37E28">
        <w:rPr>
          <w:rFonts w:asciiTheme="minorHAnsi" w:hAnsiTheme="minorHAnsi"/>
          <w:sz w:val="22"/>
          <w:szCs w:val="22"/>
        </w:rPr>
        <w:t xml:space="preserve">We have provided more information around the regulatory costing assumptions in relation to uptake. Estimates of the number of CCIVs have not been included as these are not able to be constructed to an acceptable degree of confidence at this point in time – recognising the large number of variables affecting the operations of the international fund market. </w:t>
      </w:r>
    </w:p>
    <w:p w14:paraId="0A2727C1" w14:textId="77777777" w:rsidR="00D37E28" w:rsidRDefault="00D37E28" w:rsidP="00D37E28">
      <w:pPr>
        <w:pStyle w:val="ListParagraph"/>
        <w:rPr>
          <w:rFonts w:asciiTheme="minorHAnsi" w:hAnsiTheme="minorHAnsi"/>
          <w:sz w:val="22"/>
          <w:szCs w:val="22"/>
        </w:rPr>
      </w:pPr>
    </w:p>
    <w:p w14:paraId="4AC88871" w14:textId="1B2CBC48" w:rsidR="00D37E28" w:rsidRDefault="00D37E28" w:rsidP="00D37E28">
      <w:pPr>
        <w:pStyle w:val="Bullet"/>
        <w:numPr>
          <w:ilvl w:val="0"/>
          <w:numId w:val="0"/>
        </w:numPr>
        <w:ind w:left="567"/>
        <w:rPr>
          <w:rFonts w:asciiTheme="minorHAnsi" w:hAnsiTheme="minorHAnsi"/>
          <w:sz w:val="22"/>
          <w:szCs w:val="22"/>
        </w:rPr>
      </w:pPr>
    </w:p>
    <w:p w14:paraId="1E3FCD3B" w14:textId="10B11752" w:rsidR="00D37E28" w:rsidRDefault="00D37E28" w:rsidP="00D37E28">
      <w:pPr>
        <w:pStyle w:val="Bullet"/>
        <w:numPr>
          <w:ilvl w:val="0"/>
          <w:numId w:val="0"/>
        </w:numPr>
        <w:ind w:left="567"/>
        <w:rPr>
          <w:rFonts w:asciiTheme="minorHAnsi" w:hAnsiTheme="minorHAnsi"/>
          <w:sz w:val="22"/>
          <w:szCs w:val="22"/>
        </w:rPr>
      </w:pPr>
    </w:p>
    <w:p w14:paraId="74D851D1" w14:textId="77777777" w:rsidR="00D37E28" w:rsidRPr="00D37E28" w:rsidRDefault="00D37E28" w:rsidP="00D37E28">
      <w:pPr>
        <w:pStyle w:val="Bullet"/>
        <w:numPr>
          <w:ilvl w:val="0"/>
          <w:numId w:val="0"/>
        </w:numPr>
        <w:ind w:left="567"/>
        <w:rPr>
          <w:rFonts w:asciiTheme="minorHAnsi" w:hAnsiTheme="minorHAnsi"/>
          <w:sz w:val="22"/>
          <w:szCs w:val="22"/>
        </w:rPr>
      </w:pPr>
    </w:p>
    <w:p w14:paraId="017D4322" w14:textId="78E879D3" w:rsidR="00120720" w:rsidRDefault="00120720" w:rsidP="00D37E28">
      <w:pPr>
        <w:pStyle w:val="Bullet"/>
        <w:rPr>
          <w:rFonts w:asciiTheme="minorHAnsi" w:hAnsiTheme="minorHAnsi"/>
          <w:sz w:val="22"/>
          <w:szCs w:val="22"/>
        </w:rPr>
      </w:pPr>
      <w:r>
        <w:rPr>
          <w:rFonts w:asciiTheme="minorHAnsi" w:hAnsiTheme="minorHAnsi"/>
          <w:sz w:val="22"/>
          <w:szCs w:val="22"/>
        </w:rPr>
        <w:t>W</w:t>
      </w:r>
      <w:r w:rsidRPr="00120720">
        <w:rPr>
          <w:rFonts w:asciiTheme="minorHAnsi" w:hAnsiTheme="minorHAnsi"/>
          <w:sz w:val="22"/>
          <w:szCs w:val="22"/>
        </w:rPr>
        <w:t xml:space="preserve">e have provided further context and information regarding the RIS throughout the decision-making process and how the considerations </w:t>
      </w:r>
      <w:r w:rsidR="004A2229">
        <w:rPr>
          <w:rFonts w:asciiTheme="minorHAnsi" w:hAnsiTheme="minorHAnsi"/>
          <w:sz w:val="22"/>
          <w:szCs w:val="22"/>
        </w:rPr>
        <w:t xml:space="preserve">of the regulatory impact </w:t>
      </w:r>
      <w:r w:rsidRPr="00120720">
        <w:rPr>
          <w:rFonts w:asciiTheme="minorHAnsi" w:hAnsiTheme="minorHAnsi"/>
          <w:sz w:val="22"/>
          <w:szCs w:val="22"/>
        </w:rPr>
        <w:t xml:space="preserve">have </w:t>
      </w:r>
      <w:r w:rsidR="004A2229">
        <w:rPr>
          <w:rFonts w:asciiTheme="minorHAnsi" w:hAnsiTheme="minorHAnsi"/>
          <w:sz w:val="22"/>
          <w:szCs w:val="22"/>
        </w:rPr>
        <w:t xml:space="preserve">influenced </w:t>
      </w:r>
      <w:r w:rsidRPr="00120720">
        <w:rPr>
          <w:rFonts w:asciiTheme="minorHAnsi" w:hAnsiTheme="minorHAnsi"/>
          <w:sz w:val="22"/>
          <w:szCs w:val="22"/>
        </w:rPr>
        <w:t>the policy development</w:t>
      </w:r>
      <w:r>
        <w:rPr>
          <w:rFonts w:asciiTheme="minorHAnsi" w:hAnsiTheme="minorHAnsi"/>
          <w:sz w:val="22"/>
          <w:szCs w:val="22"/>
        </w:rPr>
        <w:t>.</w:t>
      </w:r>
    </w:p>
    <w:p w14:paraId="2D38805D" w14:textId="77777777" w:rsidR="00120720" w:rsidRPr="00120720" w:rsidRDefault="00120720" w:rsidP="003574F0">
      <w:pPr>
        <w:pStyle w:val="Bullet"/>
        <w:numPr>
          <w:ilvl w:val="0"/>
          <w:numId w:val="0"/>
        </w:numPr>
        <w:ind w:left="567"/>
        <w:rPr>
          <w:rFonts w:asciiTheme="minorHAnsi" w:hAnsiTheme="minorHAnsi"/>
          <w:sz w:val="22"/>
          <w:szCs w:val="22"/>
        </w:rPr>
      </w:pPr>
    </w:p>
    <w:p w14:paraId="539E5C58" w14:textId="56010DDA" w:rsidR="00D37E28" w:rsidRDefault="00D37E28" w:rsidP="00D37E28">
      <w:pPr>
        <w:pStyle w:val="Bullet"/>
        <w:rPr>
          <w:rFonts w:asciiTheme="minorHAnsi" w:hAnsiTheme="minorHAnsi"/>
          <w:sz w:val="22"/>
          <w:szCs w:val="22"/>
        </w:rPr>
      </w:pPr>
      <w:r w:rsidRPr="00D37E28">
        <w:rPr>
          <w:rFonts w:asciiTheme="minorHAnsi" w:hAnsiTheme="minorHAnsi"/>
          <w:sz w:val="22"/>
          <w:szCs w:val="22"/>
        </w:rPr>
        <w:t xml:space="preserve">Minor formatting and editorial suggestions noted in OBPR’s marked-up version of the RIS have been noted and addressed as appropriate. </w:t>
      </w:r>
    </w:p>
    <w:p w14:paraId="3AA00D39" w14:textId="77777777" w:rsidR="00D37E28" w:rsidRPr="00D37E28" w:rsidRDefault="00D37E28" w:rsidP="00D37E28">
      <w:pPr>
        <w:pStyle w:val="Bullet"/>
        <w:numPr>
          <w:ilvl w:val="0"/>
          <w:numId w:val="0"/>
        </w:numPr>
        <w:ind w:left="567"/>
        <w:rPr>
          <w:rFonts w:asciiTheme="minorHAnsi" w:hAnsiTheme="minorHAnsi"/>
          <w:sz w:val="22"/>
          <w:szCs w:val="22"/>
        </w:rPr>
      </w:pPr>
    </w:p>
    <w:p w14:paraId="7D498F81" w14:textId="77777777" w:rsidR="00D37E28" w:rsidRPr="00D37E28" w:rsidRDefault="00D37E28" w:rsidP="00D37E28">
      <w:pPr>
        <w:spacing w:after="0" w:line="240" w:lineRule="atLeast"/>
        <w:rPr>
          <w:rFonts w:asciiTheme="minorHAnsi" w:hAnsiTheme="minorHAnsi" w:cstheme="minorHAnsi"/>
          <w:szCs w:val="22"/>
        </w:rPr>
      </w:pPr>
      <w:r w:rsidRPr="00D37E28">
        <w:rPr>
          <w:rFonts w:asciiTheme="minorHAnsi" w:hAnsiTheme="minorHAnsi" w:cstheme="minorHAnsi"/>
          <w:szCs w:val="22"/>
        </w:rPr>
        <w:t xml:space="preserve">Australia’s CCIV regime has been in development for several years and draft RISs have been prepared for milestone decision points in this process. This is the final RIS for assessment by the OBPR.  This RIS addresses the decision points required for the legislation introduction. </w:t>
      </w:r>
    </w:p>
    <w:p w14:paraId="0A134B84" w14:textId="77777777" w:rsidR="00D37E28" w:rsidRPr="00D37E28" w:rsidRDefault="00D37E28" w:rsidP="00D37E28">
      <w:pPr>
        <w:spacing w:before="240" w:after="0" w:line="300" w:lineRule="exact"/>
        <w:jc w:val="both"/>
        <w:rPr>
          <w:rFonts w:asciiTheme="minorHAnsi" w:hAnsiTheme="minorHAnsi" w:cstheme="minorHAnsi"/>
          <w:szCs w:val="22"/>
        </w:rPr>
      </w:pPr>
      <w:r w:rsidRPr="00D37E28">
        <w:rPr>
          <w:rFonts w:asciiTheme="minorHAnsi" w:hAnsiTheme="minorHAnsi" w:cstheme="minorHAnsi"/>
          <w:szCs w:val="22"/>
        </w:rPr>
        <w:t>I note that the implementation of this proposal will increase the regulatory burden. No offset measure has been identified, however Treasury is reviewing whether there are regulatory burden reductions elsewhere in the Mid-Year Economic and Fiscal Outlook process to identify offset measures. Treasury is also seeking to pursue net reductions in compliance costs and will work with affected stakeholders and across Government to identify regulatory burden reductions where appropriate.</w:t>
      </w:r>
    </w:p>
    <w:p w14:paraId="2144BFFA" w14:textId="77777777" w:rsidR="00D37E28" w:rsidRPr="00D37E28" w:rsidRDefault="00D37E28" w:rsidP="00D37E28">
      <w:pPr>
        <w:spacing w:before="240" w:after="0" w:line="300" w:lineRule="exact"/>
        <w:jc w:val="both"/>
        <w:rPr>
          <w:rFonts w:asciiTheme="minorHAnsi" w:hAnsiTheme="minorHAnsi" w:cstheme="minorHAnsi"/>
          <w:color w:val="000000" w:themeColor="text1"/>
          <w:szCs w:val="22"/>
        </w:rPr>
      </w:pPr>
      <w:r w:rsidRPr="00D37E28">
        <w:rPr>
          <w:rFonts w:asciiTheme="minorHAnsi" w:hAnsiTheme="minorHAnsi" w:cstheme="minorHAnsi"/>
          <w:szCs w:val="22"/>
        </w:rPr>
        <w:t xml:space="preserve">Accordingly, I am satisfied that the RIS is now consistent with the six principles for Australian Government policy makers as specified in the </w:t>
      </w:r>
      <w:r w:rsidRPr="00D37E28">
        <w:rPr>
          <w:rFonts w:asciiTheme="minorHAnsi" w:hAnsiTheme="minorHAnsi" w:cstheme="minorHAnsi"/>
          <w:i/>
          <w:szCs w:val="22"/>
        </w:rPr>
        <w:t>Australian Government Guide to Regulatory Impact Analysis</w:t>
      </w:r>
      <w:r w:rsidRPr="00D37E28">
        <w:rPr>
          <w:rFonts w:asciiTheme="minorHAnsi" w:hAnsiTheme="minorHAnsi" w:cstheme="minorHAnsi"/>
          <w:szCs w:val="22"/>
        </w:rPr>
        <w:t>.</w:t>
      </w:r>
    </w:p>
    <w:p w14:paraId="65859610" w14:textId="77777777" w:rsidR="00D37E28" w:rsidRPr="00D37E28" w:rsidRDefault="00D37E28" w:rsidP="00D37E28">
      <w:pPr>
        <w:spacing w:before="240" w:after="0" w:line="300" w:lineRule="exact"/>
        <w:rPr>
          <w:rFonts w:asciiTheme="minorHAnsi" w:hAnsiTheme="minorHAnsi" w:cstheme="minorHAnsi"/>
          <w:szCs w:val="22"/>
        </w:rPr>
      </w:pPr>
      <w:r w:rsidRPr="00D37E28">
        <w:rPr>
          <w:rFonts w:asciiTheme="minorHAnsi" w:hAnsiTheme="minorHAnsi" w:cstheme="minorHAnsi"/>
          <w:szCs w:val="22"/>
        </w:rPr>
        <w:t>I submit the RIS to the Office of Best Practice Regulation for formal final assessment.</w:t>
      </w:r>
    </w:p>
    <w:p w14:paraId="50DABF26" w14:textId="77777777" w:rsidR="00D37E28" w:rsidRPr="00D37E28" w:rsidRDefault="00D37E28" w:rsidP="00D37E28">
      <w:pPr>
        <w:spacing w:before="240" w:after="0" w:line="300" w:lineRule="exact"/>
        <w:rPr>
          <w:rFonts w:asciiTheme="minorHAnsi" w:hAnsiTheme="minorHAnsi" w:cstheme="minorHAnsi"/>
          <w:szCs w:val="22"/>
          <w:lang w:eastAsia="en-US"/>
        </w:rPr>
      </w:pPr>
    </w:p>
    <w:p w14:paraId="72E3FEC0" w14:textId="7D807640" w:rsidR="00D37E28" w:rsidRDefault="00D37E28" w:rsidP="00D37E28">
      <w:pPr>
        <w:tabs>
          <w:tab w:val="center" w:pos="4153"/>
          <w:tab w:val="right" w:pos="8306"/>
        </w:tabs>
        <w:spacing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Yours sincerely</w:t>
      </w:r>
    </w:p>
    <w:p w14:paraId="44456C9C" w14:textId="77777777" w:rsidR="00C20AF5" w:rsidRDefault="00C20AF5" w:rsidP="00C20AF5">
      <w:pPr>
        <w:tabs>
          <w:tab w:val="center" w:pos="4153"/>
          <w:tab w:val="right" w:pos="8306"/>
        </w:tabs>
        <w:spacing w:after="0" w:line="240" w:lineRule="atLeast"/>
        <w:rPr>
          <w:rFonts w:asciiTheme="minorHAnsi" w:hAnsiTheme="minorHAnsi" w:cstheme="minorHAnsi"/>
          <w:szCs w:val="22"/>
          <w:lang w:eastAsia="en-US"/>
        </w:rPr>
      </w:pPr>
    </w:p>
    <w:p w14:paraId="2FB105CF" w14:textId="75A0DD10" w:rsidR="00D37E28" w:rsidRPr="00D37E28" w:rsidRDefault="00D37E28" w:rsidP="00C20AF5">
      <w:pPr>
        <w:tabs>
          <w:tab w:val="center" w:pos="4153"/>
          <w:tab w:val="right" w:pos="8306"/>
        </w:tabs>
        <w:spacing w:after="0" w:line="240" w:lineRule="atLeast"/>
        <w:rPr>
          <w:rFonts w:asciiTheme="minorHAnsi" w:hAnsiTheme="minorHAnsi" w:cstheme="minorHAnsi"/>
          <w:szCs w:val="22"/>
          <w:lang w:eastAsia="en-US"/>
        </w:rPr>
      </w:pPr>
    </w:p>
    <w:p w14:paraId="3538ABFE" w14:textId="77777777" w:rsidR="00D37E28" w:rsidRPr="00D37E28" w:rsidRDefault="00D37E28" w:rsidP="00D37E28">
      <w:pPr>
        <w:spacing w:after="0" w:line="240" w:lineRule="atLeast"/>
        <w:rPr>
          <w:rFonts w:asciiTheme="minorHAnsi" w:hAnsiTheme="minorHAnsi" w:cstheme="minorHAnsi"/>
          <w:szCs w:val="22"/>
          <w:lang w:eastAsia="en-US"/>
        </w:rPr>
      </w:pPr>
      <w:r w:rsidRPr="00D37E28">
        <w:rPr>
          <w:rFonts w:asciiTheme="minorHAnsi" w:hAnsiTheme="minorHAnsi" w:cstheme="minorHAnsi"/>
          <w:szCs w:val="22"/>
          <w:lang w:eastAsia="en-US"/>
        </w:rPr>
        <w:t xml:space="preserve">Meghan Quinn PSM </w:t>
      </w:r>
    </w:p>
    <w:p w14:paraId="5A2B0849" w14:textId="059E4291" w:rsidR="00D37E28" w:rsidRPr="00D37E28" w:rsidRDefault="00D37E28" w:rsidP="00D37E28">
      <w:pPr>
        <w:spacing w:after="0" w:line="240" w:lineRule="atLeast"/>
        <w:rPr>
          <w:rFonts w:ascii="Times New Roman" w:hAnsi="Times New Roman"/>
          <w:sz w:val="24"/>
          <w:lang w:eastAsia="en-US"/>
        </w:rPr>
      </w:pPr>
      <w:r w:rsidRPr="00D37E28">
        <w:rPr>
          <w:rFonts w:asciiTheme="minorHAnsi" w:hAnsiTheme="minorHAnsi" w:cstheme="minorHAnsi"/>
          <w:szCs w:val="22"/>
          <w:lang w:eastAsia="en-US"/>
        </w:rPr>
        <w:t>Deputy Secretary</w:t>
      </w:r>
      <w:r w:rsidR="00C20AF5">
        <w:rPr>
          <w:rFonts w:asciiTheme="minorHAnsi" w:hAnsiTheme="minorHAnsi" w:cstheme="minorHAnsi"/>
          <w:szCs w:val="22"/>
          <w:lang w:eastAsia="en-US"/>
        </w:rPr>
        <w:t>, Markets Group</w:t>
      </w:r>
      <w:r w:rsidRPr="00D37E28">
        <w:rPr>
          <w:rFonts w:asciiTheme="minorHAnsi" w:hAnsiTheme="minorHAnsi" w:cstheme="minorHAnsi"/>
          <w:szCs w:val="22"/>
          <w:lang w:eastAsia="en-US"/>
        </w:rPr>
        <w:t xml:space="preserve"> </w:t>
      </w:r>
      <w:r w:rsidRPr="00D37E28">
        <w:rPr>
          <w:rFonts w:asciiTheme="minorHAnsi" w:hAnsiTheme="minorHAnsi" w:cstheme="minorHAnsi"/>
          <w:szCs w:val="22"/>
          <w:lang w:eastAsia="en-US"/>
        </w:rPr>
        <w:br/>
        <w:t xml:space="preserve">The Treasury </w:t>
      </w:r>
      <w:r w:rsidRPr="00D37E28">
        <w:rPr>
          <w:rFonts w:asciiTheme="minorHAnsi" w:hAnsiTheme="minorHAnsi" w:cstheme="minorHAnsi"/>
          <w:szCs w:val="22"/>
          <w:lang w:eastAsia="en-US"/>
        </w:rPr>
        <w:br/>
      </w:r>
    </w:p>
    <w:p w14:paraId="24816F0A" w14:textId="05412D36" w:rsidR="00585D8B" w:rsidRPr="00E4599E" w:rsidRDefault="00585D8B" w:rsidP="00DA54C5">
      <w:pPr>
        <w:rPr>
          <w:szCs w:val="22"/>
        </w:rPr>
      </w:pPr>
    </w:p>
    <w:sectPr w:rsidR="00585D8B" w:rsidRPr="00E4599E" w:rsidSect="005F01D5">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425" w:footer="51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009B2F" w14:textId="77777777" w:rsidR="003356BF" w:rsidRDefault="003356BF">
      <w:r>
        <w:separator/>
      </w:r>
    </w:p>
  </w:endnote>
  <w:endnote w:type="continuationSeparator" w:id="0">
    <w:p w14:paraId="02441D03" w14:textId="77777777" w:rsidR="003356BF" w:rsidRDefault="003356BF">
      <w:r>
        <w:continuationSeparator/>
      </w:r>
    </w:p>
  </w:endnote>
  <w:endnote w:type="continuationNotice" w:id="1">
    <w:p w14:paraId="5F90AAB5" w14:textId="77777777" w:rsidR="00317821" w:rsidRDefault="0031782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B292B" w14:textId="77777777" w:rsidR="002B692A" w:rsidRDefault="002B692A" w:rsidP="002B692A">
    <w:pPr>
      <w:pStyle w:val="SecurityClassificationFooter"/>
    </w:pPr>
  </w:p>
  <w:p w14:paraId="03B7321D" w14:textId="6A654328" w:rsidR="002B692A" w:rsidRDefault="00EC3E9B" w:rsidP="009F65FF">
    <w:pPr>
      <w:pStyle w:val="SecurityClassificationFooter"/>
    </w:pPr>
    <w:fldSimple w:instr=" DOCPROPERTY SecurityClassification \* MERGEFORMAT ">
      <w:r w:rsidR="00C20AF5">
        <w:t>For Official Use Only</w:t>
      </w:r>
    </w:fldSimple>
    <w:r w:rsidR="00C8731A">
      <w:fldChar w:fldCharType="begin"/>
    </w:r>
    <w:r w:rsidR="00C8731A">
      <w:instrText xml:space="preserve"> DOCPROPERTY WorkingDocStatus \* MERGEFORMAT </w:instrText>
    </w:r>
    <w:r w:rsidR="00C8731A">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87D11D" w14:textId="5D7BF4DC" w:rsidR="000C3D77" w:rsidRDefault="005F6F02">
    <w:pPr>
      <w:tabs>
        <w:tab w:val="center" w:pos="4820"/>
      </w:tabs>
      <w:spacing w:before="120" w:after="0"/>
    </w:pPr>
    <w:r>
      <w:tab/>
    </w:r>
  </w:p>
  <w:p w14:paraId="486E425E" w14:textId="77777777" w:rsidR="002B692A" w:rsidRDefault="002B692A" w:rsidP="002B692A">
    <w:pPr>
      <w:pStyle w:val="SecurityClassificationFooter"/>
    </w:pPr>
  </w:p>
  <w:p w14:paraId="48F4DB4D" w14:textId="765DC826" w:rsidR="002B692A" w:rsidRDefault="00EC3E9B" w:rsidP="009F65FF">
    <w:pPr>
      <w:pStyle w:val="SecurityClassificationFooter"/>
    </w:pPr>
    <w:fldSimple w:instr=" DOCPROPERTY SecurityClassification \* MERGEFORMAT ">
      <w:r w:rsidR="00C20AF5">
        <w:t>For Official Use Only</w:t>
      </w:r>
    </w:fldSimple>
    <w:r w:rsidR="00C8731A">
      <w:fldChar w:fldCharType="begin"/>
    </w:r>
    <w:r w:rsidR="00C8731A">
      <w:instrText xml:space="preserve"> DOCPROPERTY WorkingDocStatus \* MERGEFORMAT </w:instrText>
    </w:r>
    <w:r w:rsidR="00C8731A">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F9076" w14:textId="77777777" w:rsidR="00375CB3" w:rsidRPr="00375CB3" w:rsidRDefault="00585D8B" w:rsidP="00A23E22">
    <w:pPr>
      <w:pStyle w:val="FooterAddress"/>
      <w:rPr>
        <w:sz w:val="12"/>
      </w:rPr>
    </w:pPr>
    <w:r>
      <w:rPr>
        <w:noProof/>
        <w:color w:val="000000" w:themeColor="text1"/>
      </w:rPr>
      <w:drawing>
        <wp:anchor distT="0" distB="0" distL="114300" distR="114300" simplePos="0" relativeHeight="251658240" behindDoc="1" locked="0" layoutInCell="1" allowOverlap="1" wp14:anchorId="290F9878" wp14:editId="2D35B50E">
          <wp:simplePos x="0" y="0"/>
          <wp:positionH relativeFrom="page">
            <wp:posOffset>180340</wp:posOffset>
          </wp:positionH>
          <wp:positionV relativeFrom="paragraph">
            <wp:posOffset>-661670</wp:posOffset>
          </wp:positionV>
          <wp:extent cx="7200000" cy="118440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SY - Letterhead footer -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200000" cy="1184400"/>
                  </a:xfrm>
                  <a:prstGeom prst="rect">
                    <a:avLst/>
                  </a:prstGeom>
                </pic:spPr>
              </pic:pic>
            </a:graphicData>
          </a:graphic>
          <wp14:sizeRelH relativeFrom="margin">
            <wp14:pctWidth>0</wp14:pctWidth>
          </wp14:sizeRelH>
          <wp14:sizeRelV relativeFrom="margin">
            <wp14:pctHeight>0</wp14:pctHeight>
          </wp14:sizeRelV>
        </wp:anchor>
      </w:drawing>
    </w:r>
  </w:p>
  <w:p w14:paraId="3DB5A3E2" w14:textId="77777777" w:rsidR="005F6F02" w:rsidRPr="00A23E22" w:rsidRDefault="005F6F02" w:rsidP="00A23E22">
    <w:pPr>
      <w:pStyle w:val="FooterAddress"/>
      <w:rPr>
        <w:sz w:val="2"/>
      </w:rPr>
    </w:pPr>
  </w:p>
  <w:p w14:paraId="7C5CE499" w14:textId="77777777" w:rsidR="005F6F02" w:rsidRDefault="009F65FF" w:rsidP="009F65FF">
    <w:pPr>
      <w:pStyle w:val="FooterAddress"/>
    </w:pPr>
    <w:r>
      <w:t>Langton Crescent, PARKES ACT 2600, AUSTRALIA</w:t>
    </w:r>
    <w:r w:rsidR="00F36FE7">
      <w:br/>
    </w:r>
    <w:r w:rsidR="00021A7F">
      <w:t>P</w:t>
    </w:r>
    <w:r w:rsidR="00AD44A4">
      <w:t>:</w:t>
    </w:r>
    <w:r w:rsidR="005F6F02">
      <w:t xml:space="preserve">  </w:t>
    </w:r>
    <w:r>
      <w:t xml:space="preserve">61 2 6263 </w:t>
    </w:r>
    <w:r w:rsidR="00021A7F">
      <w:t xml:space="preserve"> </w:t>
    </w:r>
    <w:r w:rsidR="007232C5">
      <w:t xml:space="preserve"> </w:t>
    </w:r>
    <w:r w:rsidR="005F6F02">
      <w:t>F</w:t>
    </w:r>
    <w:r w:rsidR="00AD44A4">
      <w:t>:</w:t>
    </w:r>
    <w:r w:rsidR="005F6F02">
      <w:t xml:space="preserve">  </w:t>
    </w:r>
    <w:r>
      <w:t xml:space="preserve">61 2 6263 </w:t>
    </w:r>
    <w:r w:rsidR="00F36FE7">
      <w:br/>
    </w:r>
    <w:r w:rsidR="00041147" w:rsidRPr="00485E79">
      <w:t>www.treasury.gov.au</w:t>
    </w:r>
  </w:p>
  <w:p w14:paraId="12BAB713" w14:textId="78C2CD6D" w:rsidR="009F65FF" w:rsidRPr="009F65FF" w:rsidRDefault="00EC3E9B" w:rsidP="00C20AF5">
    <w:pPr>
      <w:pStyle w:val="SecurityClassificationFooter"/>
    </w:pPr>
    <w:fldSimple w:instr=" DOCPROPERTY SecurityClassification \* MERGEFORMAT ">
      <w:r w:rsidR="00C20AF5">
        <w:t>For Official Use Only</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1351C" w14:textId="77777777" w:rsidR="003356BF" w:rsidRDefault="003356BF">
      <w:r>
        <w:separator/>
      </w:r>
    </w:p>
  </w:footnote>
  <w:footnote w:type="continuationSeparator" w:id="0">
    <w:p w14:paraId="476C6531" w14:textId="77777777" w:rsidR="003356BF" w:rsidRDefault="003356BF">
      <w:r>
        <w:continuationSeparator/>
      </w:r>
    </w:p>
  </w:footnote>
  <w:footnote w:type="continuationNotice" w:id="1">
    <w:p w14:paraId="2EA7FF8B" w14:textId="77777777" w:rsidR="00317821" w:rsidRDefault="00317821">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373AC" w14:textId="492E79B9" w:rsidR="009F65FF" w:rsidRDefault="00EC3E9B" w:rsidP="009F65FF">
    <w:pPr>
      <w:pStyle w:val="SecurityClassificationHeader"/>
    </w:pPr>
    <w:fldSimple w:instr=" DOCPROPERTY SecurityClassification \* MERGEFORMAT ">
      <w:r w:rsidR="00C20AF5">
        <w:t>For Official Use Only</w:t>
      </w:r>
    </w:fldSimple>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EE58F6" w14:textId="0CF3E911" w:rsidR="009F65FF" w:rsidRDefault="00EC3E9B" w:rsidP="009F65FF">
    <w:pPr>
      <w:pStyle w:val="SecurityClassificationHeader"/>
    </w:pPr>
    <w:fldSimple w:instr=" DOCPROPERTY SecurityClassification \* MERGEFORMAT ">
      <w:r w:rsidR="00C20AF5">
        <w:t>For Official Use Only</w:t>
      </w:r>
    </w:fldSimple>
  </w:p>
  <w:p w14:paraId="47D7D233" w14:textId="3B8A21D7" w:rsidR="005F6F02" w:rsidRDefault="00437881">
    <w:pPr>
      <w:jc w:val="center"/>
      <w:rPr>
        <w:b/>
      </w:rPr>
    </w:pPr>
    <w:r>
      <w:fldChar w:fldCharType="begin"/>
    </w:r>
    <w:r>
      <w:instrText xml:space="preserve"> PAGE </w:instrText>
    </w:r>
    <w:r>
      <w:fldChar w:fldCharType="separate"/>
    </w:r>
    <w:r w:rsidR="00EE5334">
      <w:rPr>
        <w:noProof/>
      </w:rPr>
      <w:t>2</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9FAF4" w14:textId="1CC44282" w:rsidR="009F65FF" w:rsidRDefault="00EC3E9B" w:rsidP="009F65FF">
    <w:pPr>
      <w:pStyle w:val="SecurityClassificationHeader"/>
    </w:pPr>
    <w:fldSimple w:instr=" DOCPROPERTY SecurityClassification \* MERGEFORMAT ">
      <w:r w:rsidR="00C20AF5">
        <w:t>For Official Use Only</w:t>
      </w:r>
    </w:fldSimple>
  </w:p>
  <w:p w14:paraId="4ADD0DE0" w14:textId="77777777" w:rsidR="005F6F02" w:rsidRPr="006A320D" w:rsidRDefault="00436CCC" w:rsidP="00021A7F">
    <w:pPr>
      <w:rPr>
        <w:color w:val="000000" w:themeColor="text1"/>
      </w:rPr>
    </w:pPr>
    <w:r w:rsidRPr="006A320D">
      <w:rPr>
        <w:noProof/>
        <w:color w:val="000000" w:themeColor="text1"/>
      </w:rPr>
      <w:drawing>
        <wp:inline distT="0" distB="0" distL="0" distR="0" wp14:anchorId="68423F87" wp14:editId="508C1507">
          <wp:extent cx="2343150" cy="533400"/>
          <wp:effectExtent l="19050" t="0" r="0" b="0"/>
          <wp:docPr id="1" name="Picture 1" descr="The Treasury_i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Treasury_inline"/>
                  <pic:cNvPicPr>
                    <a:picLocks noChangeAspect="1" noChangeArrowheads="1"/>
                  </pic:cNvPicPr>
                </pic:nvPicPr>
                <pic:blipFill>
                  <a:blip r:embed="rId1"/>
                  <a:srcRect/>
                  <a:stretch>
                    <a:fillRect/>
                  </a:stretch>
                </pic:blipFill>
                <pic:spPr bwMode="auto">
                  <a:xfrm>
                    <a:off x="0" y="0"/>
                    <a:ext cx="2343150" cy="5334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D6F08"/>
    <w:multiLevelType w:val="multilevel"/>
    <w:tmpl w:val="3856AF52"/>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3F47E25"/>
    <w:multiLevelType w:val="hybridMultilevel"/>
    <w:tmpl w:val="D436A7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0"/>
  </w:num>
  <w:num w:numId="4">
    <w:abstractNumId w:val="0"/>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3808" w:allStyles="0" w:customStyles="0" w:latentStyles="0" w:stylesInUse="1" w:headingStyles="0" w:numberingStyles="0" w:tableStyles="0" w:directFormattingOnRuns="0" w:directFormattingOnParagraphs="0" w:directFormattingOnNumbering="0" w:directFormattingOnTables="1" w:clearFormatting="1" w:top3HeadingStyles="1" w:visibleStyles="0" w:alternateStyleNames="0"/>
  <w:defaultTabStop w:val="567"/>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suppressBottomSpacing/>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IClassificationInHeader" w:val="False"/>
    <w:docVar w:name="SecurityClassificationInHeader" w:val="True"/>
    <w:docVar w:name="SecurityDLMInHeader" w:val="False"/>
  </w:docVars>
  <w:rsids>
    <w:rsidRoot w:val="009F65FF"/>
    <w:rsid w:val="00010558"/>
    <w:rsid w:val="00013C16"/>
    <w:rsid w:val="000167AC"/>
    <w:rsid w:val="00016F45"/>
    <w:rsid w:val="000174D5"/>
    <w:rsid w:val="00021A7F"/>
    <w:rsid w:val="00025692"/>
    <w:rsid w:val="00041147"/>
    <w:rsid w:val="0006157F"/>
    <w:rsid w:val="00070A45"/>
    <w:rsid w:val="000C3D77"/>
    <w:rsid w:val="000D2875"/>
    <w:rsid w:val="000E0DD2"/>
    <w:rsid w:val="000E70A5"/>
    <w:rsid w:val="00120720"/>
    <w:rsid w:val="001471CE"/>
    <w:rsid w:val="00160B72"/>
    <w:rsid w:val="00187181"/>
    <w:rsid w:val="00187AF9"/>
    <w:rsid w:val="001F4A93"/>
    <w:rsid w:val="001F5439"/>
    <w:rsid w:val="002257F4"/>
    <w:rsid w:val="002554F2"/>
    <w:rsid w:val="0027354D"/>
    <w:rsid w:val="00286358"/>
    <w:rsid w:val="002973FF"/>
    <w:rsid w:val="002B4ACE"/>
    <w:rsid w:val="002B692A"/>
    <w:rsid w:val="002C5551"/>
    <w:rsid w:val="002E3CA0"/>
    <w:rsid w:val="002F767C"/>
    <w:rsid w:val="00317821"/>
    <w:rsid w:val="003356BF"/>
    <w:rsid w:val="00337317"/>
    <w:rsid w:val="003574F0"/>
    <w:rsid w:val="00375CB3"/>
    <w:rsid w:val="003E2BCB"/>
    <w:rsid w:val="0040758C"/>
    <w:rsid w:val="004317CD"/>
    <w:rsid w:val="00436CCC"/>
    <w:rsid w:val="00437881"/>
    <w:rsid w:val="00444ADC"/>
    <w:rsid w:val="004634E7"/>
    <w:rsid w:val="00485E79"/>
    <w:rsid w:val="004A2229"/>
    <w:rsid w:val="004A75E6"/>
    <w:rsid w:val="004B4E49"/>
    <w:rsid w:val="004D2BBF"/>
    <w:rsid w:val="004D59F6"/>
    <w:rsid w:val="004F6524"/>
    <w:rsid w:val="00521D21"/>
    <w:rsid w:val="0058454C"/>
    <w:rsid w:val="00585D8B"/>
    <w:rsid w:val="005F01D5"/>
    <w:rsid w:val="005F6F02"/>
    <w:rsid w:val="006038E0"/>
    <w:rsid w:val="006A1A29"/>
    <w:rsid w:val="006A320D"/>
    <w:rsid w:val="006A446E"/>
    <w:rsid w:val="006F2190"/>
    <w:rsid w:val="007232C5"/>
    <w:rsid w:val="0076668D"/>
    <w:rsid w:val="0079782F"/>
    <w:rsid w:val="007E0425"/>
    <w:rsid w:val="0083049B"/>
    <w:rsid w:val="00857F46"/>
    <w:rsid w:val="00887B30"/>
    <w:rsid w:val="0092186E"/>
    <w:rsid w:val="009701AB"/>
    <w:rsid w:val="0098490B"/>
    <w:rsid w:val="009860C9"/>
    <w:rsid w:val="00991D3D"/>
    <w:rsid w:val="0099626D"/>
    <w:rsid w:val="009C3294"/>
    <w:rsid w:val="009F65FF"/>
    <w:rsid w:val="00A23E22"/>
    <w:rsid w:val="00A24156"/>
    <w:rsid w:val="00A7434A"/>
    <w:rsid w:val="00AB4A01"/>
    <w:rsid w:val="00AD44A4"/>
    <w:rsid w:val="00B112A0"/>
    <w:rsid w:val="00B115B7"/>
    <w:rsid w:val="00B80737"/>
    <w:rsid w:val="00B8256A"/>
    <w:rsid w:val="00BB49E7"/>
    <w:rsid w:val="00C20AF5"/>
    <w:rsid w:val="00C8731A"/>
    <w:rsid w:val="00CA030C"/>
    <w:rsid w:val="00CA6746"/>
    <w:rsid w:val="00D047C3"/>
    <w:rsid w:val="00D37E28"/>
    <w:rsid w:val="00D52781"/>
    <w:rsid w:val="00D54E95"/>
    <w:rsid w:val="00D664F7"/>
    <w:rsid w:val="00D706B2"/>
    <w:rsid w:val="00DA54C5"/>
    <w:rsid w:val="00DC76B2"/>
    <w:rsid w:val="00DE39DE"/>
    <w:rsid w:val="00E0276B"/>
    <w:rsid w:val="00E217CF"/>
    <w:rsid w:val="00E4599E"/>
    <w:rsid w:val="00E51C9D"/>
    <w:rsid w:val="00E555C0"/>
    <w:rsid w:val="00E65FB3"/>
    <w:rsid w:val="00E90177"/>
    <w:rsid w:val="00EA67C5"/>
    <w:rsid w:val="00EB6590"/>
    <w:rsid w:val="00EC3E9B"/>
    <w:rsid w:val="00EC5544"/>
    <w:rsid w:val="00EE5334"/>
    <w:rsid w:val="00EF0425"/>
    <w:rsid w:val="00F36FE7"/>
    <w:rsid w:val="00F5164B"/>
    <w:rsid w:val="00F972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62FC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2A0"/>
    <w:pPr>
      <w:spacing w:after="240"/>
    </w:pPr>
    <w:rPr>
      <w:rFonts w:ascii="Calibri" w:hAnsi="Calibri"/>
      <w:sz w:val="22"/>
    </w:rPr>
  </w:style>
  <w:style w:type="paragraph" w:styleId="Heading1">
    <w:name w:val="heading 1"/>
    <w:basedOn w:val="Normal"/>
    <w:next w:val="Normal"/>
    <w:link w:val="Heading1Char"/>
    <w:uiPriority w:val="9"/>
    <w:qFormat/>
    <w:rsid w:val="00E51C9D"/>
    <w:pPr>
      <w:keepNext/>
      <w:spacing w:before="240" w:after="360"/>
      <w:outlineLvl w:val="0"/>
    </w:pPr>
    <w:rPr>
      <w:b/>
      <w:caps/>
      <w:sz w:val="28"/>
      <w:szCs w:val="28"/>
    </w:rPr>
  </w:style>
  <w:style w:type="paragraph" w:styleId="Heading2">
    <w:name w:val="heading 2"/>
    <w:basedOn w:val="Normal"/>
    <w:next w:val="Normal"/>
    <w:qFormat/>
    <w:rsid w:val="00E51C9D"/>
    <w:pPr>
      <w:keepNext/>
      <w:spacing w:before="120"/>
      <w:outlineLvl w:val="1"/>
    </w:pPr>
    <w:rPr>
      <w:b/>
      <w:caps/>
    </w:rPr>
  </w:style>
  <w:style w:type="paragraph" w:styleId="Heading3">
    <w:name w:val="heading 3"/>
    <w:basedOn w:val="Normal"/>
    <w:next w:val="Normal"/>
    <w:qFormat/>
    <w:rsid w:val="00E51C9D"/>
    <w:pPr>
      <w:keepNext/>
      <w:spacing w:before="60"/>
      <w:outlineLvl w:val="2"/>
    </w:pPr>
    <w:rPr>
      <w:b/>
    </w:rPr>
  </w:style>
  <w:style w:type="paragraph" w:styleId="Heading4">
    <w:name w:val="heading 4"/>
    <w:basedOn w:val="Normal"/>
    <w:next w:val="Normal"/>
    <w:qFormat/>
    <w:rsid w:val="00E51C9D"/>
    <w:pPr>
      <w:keepNext/>
      <w:outlineLvl w:val="3"/>
    </w:pPr>
    <w:rPr>
      <w:i/>
      <w:szCs w:val="24"/>
    </w:rPr>
  </w:style>
  <w:style w:type="paragraph" w:styleId="Heading5">
    <w:name w:val="heading 5"/>
    <w:basedOn w:val="Normal"/>
    <w:next w:val="Normal"/>
    <w:qFormat/>
    <w:rsid w:val="006A1A29"/>
    <w:pPr>
      <w:spacing w:before="240"/>
      <w:outlineLvl w:val="4"/>
    </w:pPr>
    <w:rPr>
      <w:b/>
    </w:rPr>
  </w:style>
  <w:style w:type="paragraph" w:styleId="Heading6">
    <w:name w:val="heading 6"/>
    <w:basedOn w:val="Normal"/>
    <w:next w:val="Normal"/>
    <w:qFormat/>
    <w:rsid w:val="006A1A29"/>
    <w:pPr>
      <w:spacing w:before="240"/>
      <w:outlineLvl w:val="5"/>
    </w:pPr>
    <w:rPr>
      <w:i/>
    </w:rPr>
  </w:style>
  <w:style w:type="paragraph" w:styleId="Heading7">
    <w:name w:val="heading 7"/>
    <w:basedOn w:val="Normal"/>
    <w:next w:val="Normal"/>
    <w:qFormat/>
    <w:rsid w:val="006A1A29"/>
    <w:pPr>
      <w:keepNext/>
      <w:tabs>
        <w:tab w:val="right" w:pos="2835"/>
        <w:tab w:val="center" w:pos="4820"/>
      </w:tabs>
      <w:spacing w:after="0"/>
      <w:outlineLvl w:val="6"/>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tMainHeading">
    <w:name w:val="Chart Main Heading"/>
    <w:basedOn w:val="Normal"/>
    <w:next w:val="Normal"/>
    <w:rsid w:val="006A1A29"/>
    <w:pPr>
      <w:spacing w:after="0"/>
      <w:jc w:val="center"/>
    </w:pPr>
    <w:rPr>
      <w:b/>
      <w:caps/>
    </w:rPr>
  </w:style>
  <w:style w:type="paragraph" w:customStyle="1" w:styleId="ChartSecondHeading">
    <w:name w:val="Chart Second Heading"/>
    <w:basedOn w:val="Normal"/>
    <w:next w:val="Normal"/>
    <w:rsid w:val="006A1A29"/>
    <w:pPr>
      <w:spacing w:after="0"/>
      <w:jc w:val="center"/>
    </w:pPr>
    <w:rPr>
      <w:b/>
    </w:rPr>
  </w:style>
  <w:style w:type="paragraph" w:styleId="EnvelopeAddress">
    <w:name w:val="envelope address"/>
    <w:basedOn w:val="Normal"/>
    <w:rsid w:val="006A1A29"/>
    <w:pPr>
      <w:framePr w:w="7920" w:h="1980" w:hRule="exact" w:hSpace="180" w:wrap="auto" w:hAnchor="page" w:xAlign="center" w:yAlign="bottom"/>
      <w:spacing w:after="0"/>
      <w:ind w:left="2880"/>
    </w:pPr>
  </w:style>
  <w:style w:type="paragraph" w:styleId="Footer">
    <w:name w:val="footer"/>
    <w:basedOn w:val="Normal"/>
    <w:rsid w:val="006A1A29"/>
    <w:pPr>
      <w:tabs>
        <w:tab w:val="center" w:pos="4819"/>
        <w:tab w:val="right" w:pos="9639"/>
      </w:tabs>
    </w:pPr>
  </w:style>
  <w:style w:type="paragraph" w:styleId="Header">
    <w:name w:val="header"/>
    <w:basedOn w:val="Normal"/>
    <w:link w:val="HeaderChar"/>
    <w:uiPriority w:val="99"/>
    <w:rsid w:val="006A1A29"/>
    <w:pPr>
      <w:tabs>
        <w:tab w:val="center" w:pos="4819"/>
        <w:tab w:val="right" w:pos="9639"/>
      </w:tabs>
    </w:pPr>
    <w:rPr>
      <w:b/>
    </w:rPr>
  </w:style>
  <w:style w:type="paragraph" w:styleId="MacroText">
    <w:name w:val="macro"/>
    <w:semiHidden/>
    <w:rsid w:val="006A1A29"/>
    <w:pPr>
      <w:tabs>
        <w:tab w:val="left" w:pos="567"/>
        <w:tab w:val="left" w:pos="1134"/>
        <w:tab w:val="left" w:pos="1701"/>
        <w:tab w:val="left" w:pos="2268"/>
        <w:tab w:val="left" w:pos="2835"/>
        <w:tab w:val="left" w:pos="3402"/>
        <w:tab w:val="left" w:pos="3969"/>
        <w:tab w:val="left" w:pos="4536"/>
        <w:tab w:val="left" w:pos="5103"/>
        <w:tab w:val="left" w:pos="5670"/>
      </w:tabs>
      <w:spacing w:after="60"/>
    </w:pPr>
    <w:rPr>
      <w:rFonts w:ascii="Arial" w:hAnsi="Arial"/>
      <w:kern w:val="16"/>
    </w:rPr>
  </w:style>
  <w:style w:type="paragraph" w:styleId="NormalIndent">
    <w:name w:val="Normal Indent"/>
    <w:basedOn w:val="Normal"/>
    <w:rsid w:val="006A1A29"/>
    <w:pPr>
      <w:ind w:left="720"/>
    </w:pPr>
  </w:style>
  <w:style w:type="paragraph" w:customStyle="1" w:styleId="SinglePara">
    <w:name w:val="Single Para"/>
    <w:basedOn w:val="Normal"/>
    <w:rsid w:val="006A1A29"/>
    <w:pPr>
      <w:spacing w:after="0"/>
    </w:pPr>
  </w:style>
  <w:style w:type="paragraph" w:customStyle="1" w:styleId="Footerbase">
    <w:name w:val="Footerbase"/>
    <w:link w:val="FooterbaseChar"/>
    <w:rsid w:val="006A1A29"/>
    <w:pPr>
      <w:tabs>
        <w:tab w:val="center" w:pos="4820"/>
      </w:tabs>
    </w:pPr>
    <w:rPr>
      <w:b/>
      <w:sz w:val="16"/>
    </w:rPr>
  </w:style>
  <w:style w:type="paragraph" w:customStyle="1" w:styleId="FooterAddress">
    <w:name w:val="FooterAddress"/>
    <w:basedOn w:val="Footerbase"/>
    <w:next w:val="Normal"/>
    <w:link w:val="FooterAddressChar"/>
    <w:rsid w:val="004D59F6"/>
    <w:rPr>
      <w:rFonts w:asciiTheme="minorHAnsi" w:hAnsiTheme="minorHAnsi"/>
      <w:b w:val="0"/>
      <w:color w:val="FFFFFF"/>
    </w:rPr>
  </w:style>
  <w:style w:type="paragraph" w:customStyle="1" w:styleId="FooterCopies">
    <w:name w:val="FooterCopies"/>
    <w:basedOn w:val="Footer"/>
    <w:rsid w:val="006A1A29"/>
    <w:pPr>
      <w:tabs>
        <w:tab w:val="clear" w:pos="4819"/>
        <w:tab w:val="clear" w:pos="9639"/>
      </w:tabs>
      <w:spacing w:after="120"/>
    </w:pPr>
    <w:rPr>
      <w:vanish/>
      <w:sz w:val="20"/>
    </w:rPr>
  </w:style>
  <w:style w:type="paragraph" w:customStyle="1" w:styleId="FooterFilename">
    <w:name w:val="FooterFilename"/>
    <w:basedOn w:val="Footerbase"/>
    <w:next w:val="FooterAddress"/>
    <w:rsid w:val="00021A7F"/>
    <w:pPr>
      <w:widowControl w:val="0"/>
      <w:spacing w:before="120" w:after="120"/>
    </w:pPr>
    <w:rPr>
      <w:b w:val="0"/>
      <w:vanish/>
      <w:sz w:val="12"/>
    </w:rPr>
  </w:style>
  <w:style w:type="paragraph" w:customStyle="1" w:styleId="Graphic">
    <w:name w:val="Graphic"/>
    <w:basedOn w:val="Normal"/>
    <w:next w:val="Normal"/>
    <w:rsid w:val="006A1A29"/>
    <w:pPr>
      <w:jc w:val="center"/>
    </w:pPr>
  </w:style>
  <w:style w:type="character" w:styleId="Hyperlink">
    <w:name w:val="Hyperlink"/>
    <w:basedOn w:val="DefaultParagraphFont"/>
    <w:rsid w:val="00041147"/>
    <w:rPr>
      <w:color w:val="0000FF"/>
      <w:u w:val="single"/>
    </w:rPr>
  </w:style>
  <w:style w:type="paragraph" w:styleId="BalloonText">
    <w:name w:val="Balloon Text"/>
    <w:basedOn w:val="Normal"/>
    <w:link w:val="BalloonTextChar"/>
    <w:rsid w:val="00857F46"/>
    <w:pPr>
      <w:spacing w:after="0"/>
    </w:pPr>
    <w:rPr>
      <w:rFonts w:ascii="Tahoma" w:hAnsi="Tahoma" w:cs="Tahoma"/>
      <w:sz w:val="16"/>
      <w:szCs w:val="16"/>
    </w:rPr>
  </w:style>
  <w:style w:type="character" w:customStyle="1" w:styleId="BalloonTextChar">
    <w:name w:val="Balloon Text Char"/>
    <w:basedOn w:val="DefaultParagraphFont"/>
    <w:link w:val="BalloonText"/>
    <w:rsid w:val="00857F46"/>
    <w:rPr>
      <w:rFonts w:ascii="Tahoma" w:hAnsi="Tahoma" w:cs="Tahoma"/>
      <w:sz w:val="16"/>
      <w:szCs w:val="16"/>
    </w:rPr>
  </w:style>
  <w:style w:type="character" w:customStyle="1" w:styleId="FooterbaseChar">
    <w:name w:val="Footerbase Char"/>
    <w:basedOn w:val="DefaultParagraphFont"/>
    <w:link w:val="Footerbase"/>
    <w:rsid w:val="000C3D77"/>
    <w:rPr>
      <w:b/>
      <w:sz w:val="16"/>
    </w:rPr>
  </w:style>
  <w:style w:type="character" w:customStyle="1" w:styleId="FooterAddressChar">
    <w:name w:val="FooterAddress Char"/>
    <w:basedOn w:val="FooterbaseChar"/>
    <w:link w:val="FooterAddress"/>
    <w:rsid w:val="004D59F6"/>
    <w:rPr>
      <w:rFonts w:asciiTheme="minorHAnsi" w:hAnsiTheme="minorHAnsi"/>
      <w:b w:val="0"/>
      <w:color w:val="FFFFFF"/>
      <w:sz w:val="16"/>
    </w:rPr>
  </w:style>
  <w:style w:type="paragraph" w:customStyle="1" w:styleId="SecurityClassificationHeader">
    <w:name w:val="Security Classification Header"/>
    <w:link w:val="SecurityClassificationHeaderChar"/>
    <w:rsid w:val="002B692A"/>
    <w:pPr>
      <w:spacing w:before="240" w:after="60"/>
      <w:jc w:val="center"/>
    </w:pPr>
    <w:rPr>
      <w:rFonts w:ascii="Calibri" w:hAnsi="Calibri"/>
      <w:b/>
      <w:caps/>
      <w:color w:val="000000" w:themeColor="text1"/>
      <w:sz w:val="24"/>
    </w:rPr>
  </w:style>
  <w:style w:type="character" w:customStyle="1" w:styleId="SecurityClassificationHeaderChar">
    <w:name w:val="Security Classification Header Char"/>
    <w:basedOn w:val="DefaultParagraphFont"/>
    <w:link w:val="SecurityClassificationHeader"/>
    <w:rsid w:val="002B692A"/>
    <w:rPr>
      <w:rFonts w:ascii="Calibri" w:hAnsi="Calibri"/>
      <w:b/>
      <w:caps/>
      <w:color w:val="000000" w:themeColor="text1"/>
      <w:sz w:val="24"/>
    </w:rPr>
  </w:style>
  <w:style w:type="paragraph" w:customStyle="1" w:styleId="SecurityClassificationFooter">
    <w:name w:val="Security Classification Footer"/>
    <w:link w:val="SecurityClassificationFooterChar"/>
    <w:rsid w:val="002B692A"/>
    <w:pPr>
      <w:spacing w:before="60" w:after="240"/>
      <w:jc w:val="center"/>
    </w:pPr>
    <w:rPr>
      <w:rFonts w:ascii="Calibri" w:hAnsi="Calibri"/>
      <w:b/>
      <w:caps/>
      <w:color w:val="000000" w:themeColor="text1"/>
      <w:sz w:val="24"/>
    </w:rPr>
  </w:style>
  <w:style w:type="character" w:customStyle="1" w:styleId="SecurityClassificationFooterChar">
    <w:name w:val="Security Classification Footer Char"/>
    <w:basedOn w:val="DefaultParagraphFont"/>
    <w:link w:val="SecurityClassificationFooter"/>
    <w:rsid w:val="002B692A"/>
    <w:rPr>
      <w:rFonts w:ascii="Calibri" w:hAnsi="Calibri"/>
      <w:b/>
      <w:caps/>
      <w:color w:val="000000" w:themeColor="text1"/>
      <w:sz w:val="24"/>
    </w:rPr>
  </w:style>
  <w:style w:type="paragraph" w:customStyle="1" w:styleId="DLMSecurityHeader">
    <w:name w:val="DLM Security Header"/>
    <w:link w:val="DLMSecurityHeaderChar"/>
    <w:rsid w:val="002B692A"/>
    <w:pPr>
      <w:spacing w:before="60" w:after="240"/>
      <w:jc w:val="center"/>
    </w:pPr>
    <w:rPr>
      <w:rFonts w:ascii="Calibri" w:hAnsi="Calibri"/>
      <w:b/>
      <w:caps/>
      <w:color w:val="000000" w:themeColor="text1"/>
      <w:sz w:val="24"/>
    </w:rPr>
  </w:style>
  <w:style w:type="character" w:customStyle="1" w:styleId="DLMSecurityHeaderChar">
    <w:name w:val="DLM Security Header Char"/>
    <w:basedOn w:val="DefaultParagraphFont"/>
    <w:link w:val="DLMSecurityHeader"/>
    <w:rsid w:val="002B692A"/>
    <w:rPr>
      <w:rFonts w:ascii="Calibri" w:hAnsi="Calibri"/>
      <w:b/>
      <w:caps/>
      <w:color w:val="000000" w:themeColor="text1"/>
      <w:sz w:val="24"/>
    </w:rPr>
  </w:style>
  <w:style w:type="paragraph" w:customStyle="1" w:styleId="DLMSecurityFooter">
    <w:name w:val="DLM Security Footer"/>
    <w:link w:val="DLMSecurityFooterChar"/>
    <w:rsid w:val="002B692A"/>
    <w:pPr>
      <w:spacing w:before="240" w:after="60"/>
      <w:jc w:val="center"/>
    </w:pPr>
    <w:rPr>
      <w:rFonts w:ascii="Calibri" w:hAnsi="Calibri"/>
      <w:b/>
      <w:caps/>
      <w:color w:val="000000" w:themeColor="text1"/>
      <w:sz w:val="24"/>
    </w:rPr>
  </w:style>
  <w:style w:type="character" w:customStyle="1" w:styleId="DLMSecurityFooterChar">
    <w:name w:val="DLM Security Footer Char"/>
    <w:basedOn w:val="DefaultParagraphFont"/>
    <w:link w:val="DLMSecurityFooter"/>
    <w:rsid w:val="002B692A"/>
    <w:rPr>
      <w:rFonts w:ascii="Calibri" w:hAnsi="Calibri"/>
      <w:b/>
      <w:caps/>
      <w:color w:val="000000" w:themeColor="text1"/>
      <w:sz w:val="24"/>
    </w:rPr>
  </w:style>
  <w:style w:type="character" w:customStyle="1" w:styleId="Heading1Char">
    <w:name w:val="Heading 1 Char"/>
    <w:basedOn w:val="DefaultParagraphFont"/>
    <w:link w:val="Heading1"/>
    <w:uiPriority w:val="9"/>
    <w:locked/>
    <w:rsid w:val="00991D3D"/>
    <w:rPr>
      <w:rFonts w:ascii="Calibri" w:hAnsi="Calibri"/>
      <w:b/>
      <w:caps/>
      <w:sz w:val="28"/>
      <w:szCs w:val="28"/>
    </w:rPr>
  </w:style>
  <w:style w:type="character" w:customStyle="1" w:styleId="HeaderChar">
    <w:name w:val="Header Char"/>
    <w:basedOn w:val="DefaultParagraphFont"/>
    <w:link w:val="Header"/>
    <w:uiPriority w:val="99"/>
    <w:locked/>
    <w:rsid w:val="00991D3D"/>
    <w:rPr>
      <w:rFonts w:ascii="Calibri" w:hAnsi="Calibri"/>
      <w:b/>
      <w:sz w:val="22"/>
    </w:rPr>
  </w:style>
  <w:style w:type="paragraph" w:styleId="BodyText">
    <w:name w:val="Body Text"/>
    <w:basedOn w:val="Normal"/>
    <w:link w:val="BodyTextChar"/>
    <w:uiPriority w:val="99"/>
    <w:rsid w:val="00991D3D"/>
    <w:pPr>
      <w:spacing w:before="240" w:after="0" w:line="300" w:lineRule="exact"/>
      <w:jc w:val="both"/>
    </w:pPr>
    <w:rPr>
      <w:rFonts w:ascii="Times New Roman" w:hAnsi="Times New Roman"/>
      <w:sz w:val="24"/>
    </w:rPr>
  </w:style>
  <w:style w:type="character" w:customStyle="1" w:styleId="BodyTextChar">
    <w:name w:val="Body Text Char"/>
    <w:basedOn w:val="DefaultParagraphFont"/>
    <w:link w:val="BodyText"/>
    <w:uiPriority w:val="99"/>
    <w:rsid w:val="00991D3D"/>
    <w:rPr>
      <w:sz w:val="24"/>
    </w:rPr>
  </w:style>
  <w:style w:type="character" w:styleId="CommentReference">
    <w:name w:val="annotation reference"/>
    <w:basedOn w:val="DefaultParagraphFont"/>
    <w:uiPriority w:val="99"/>
    <w:semiHidden/>
    <w:unhideWhenUsed/>
    <w:rsid w:val="00991D3D"/>
    <w:rPr>
      <w:sz w:val="16"/>
      <w:szCs w:val="16"/>
    </w:rPr>
  </w:style>
  <w:style w:type="paragraph" w:styleId="CommentText">
    <w:name w:val="annotation text"/>
    <w:basedOn w:val="Normal"/>
    <w:link w:val="CommentTextChar"/>
    <w:uiPriority w:val="99"/>
    <w:unhideWhenUsed/>
    <w:rsid w:val="00991D3D"/>
    <w:pPr>
      <w:spacing w:after="0"/>
    </w:pPr>
    <w:rPr>
      <w:rFonts w:ascii="Times New Roman" w:hAnsi="Times New Roman"/>
      <w:sz w:val="20"/>
      <w:lang w:eastAsia="en-US"/>
    </w:rPr>
  </w:style>
  <w:style w:type="character" w:customStyle="1" w:styleId="CommentTextChar">
    <w:name w:val="Comment Text Char"/>
    <w:basedOn w:val="DefaultParagraphFont"/>
    <w:link w:val="CommentText"/>
    <w:uiPriority w:val="99"/>
    <w:rsid w:val="00991D3D"/>
    <w:rPr>
      <w:lang w:eastAsia="en-US"/>
    </w:rPr>
  </w:style>
  <w:style w:type="paragraph" w:customStyle="1" w:styleId="Bullet">
    <w:name w:val="Bullet"/>
    <w:basedOn w:val="Normal"/>
    <w:link w:val="BulletChar"/>
    <w:rsid w:val="00991D3D"/>
    <w:pPr>
      <w:numPr>
        <w:numId w:val="2"/>
      </w:numPr>
      <w:spacing w:after="0" w:line="240" w:lineRule="atLeast"/>
    </w:pPr>
    <w:rPr>
      <w:rFonts w:ascii="Times New Roman" w:hAnsi="Times New Roman"/>
      <w:sz w:val="24"/>
      <w:szCs w:val="24"/>
      <w:lang w:eastAsia="en-US"/>
    </w:rPr>
  </w:style>
  <w:style w:type="character" w:customStyle="1" w:styleId="BulletChar">
    <w:name w:val="Bullet Char"/>
    <w:basedOn w:val="DefaultParagraphFont"/>
    <w:link w:val="Bullet"/>
    <w:rsid w:val="00991D3D"/>
    <w:rPr>
      <w:sz w:val="24"/>
      <w:szCs w:val="24"/>
      <w:lang w:eastAsia="en-US"/>
    </w:rPr>
  </w:style>
  <w:style w:type="paragraph" w:customStyle="1" w:styleId="Dash">
    <w:name w:val="Dash"/>
    <w:basedOn w:val="Normal"/>
    <w:rsid w:val="00991D3D"/>
    <w:pPr>
      <w:numPr>
        <w:ilvl w:val="1"/>
        <w:numId w:val="2"/>
      </w:numPr>
      <w:spacing w:after="0" w:line="240" w:lineRule="atLeast"/>
    </w:pPr>
    <w:rPr>
      <w:rFonts w:ascii="Times New Roman" w:hAnsi="Times New Roman"/>
      <w:sz w:val="24"/>
      <w:szCs w:val="24"/>
      <w:lang w:eastAsia="en-US"/>
    </w:rPr>
  </w:style>
  <w:style w:type="paragraph" w:customStyle="1" w:styleId="DoubleDot">
    <w:name w:val="Double Dot"/>
    <w:basedOn w:val="Normal"/>
    <w:rsid w:val="00991D3D"/>
    <w:pPr>
      <w:numPr>
        <w:ilvl w:val="2"/>
        <w:numId w:val="2"/>
      </w:numPr>
      <w:spacing w:after="0" w:line="240" w:lineRule="atLeast"/>
    </w:pPr>
    <w:rPr>
      <w:rFonts w:ascii="Times New Roman" w:hAnsi="Times New Roman"/>
      <w:sz w:val="24"/>
      <w:szCs w:val="24"/>
      <w:lang w:eastAsia="en-US"/>
    </w:rPr>
  </w:style>
  <w:style w:type="paragraph" w:styleId="ListParagraph">
    <w:name w:val="List Paragraph"/>
    <w:basedOn w:val="Normal"/>
    <w:uiPriority w:val="34"/>
    <w:qFormat/>
    <w:rsid w:val="00991D3D"/>
    <w:pPr>
      <w:spacing w:after="0" w:line="240" w:lineRule="atLeast"/>
      <w:ind w:left="720"/>
      <w:contextualSpacing/>
    </w:pPr>
    <w:rPr>
      <w:rFonts w:ascii="Times New Roman" w:hAnsi="Times New Roman"/>
      <w:sz w:val="24"/>
      <w:lang w:eastAsia="en-US"/>
    </w:rPr>
  </w:style>
  <w:style w:type="paragraph" w:styleId="NoSpacing">
    <w:name w:val="No Spacing"/>
    <w:uiPriority w:val="1"/>
    <w:qFormat/>
    <w:rsid w:val="00E65FB3"/>
    <w:rPr>
      <w:rFonts w:ascii="Calibri" w:hAnsi="Calibri"/>
      <w:sz w:val="22"/>
    </w:rPr>
  </w:style>
  <w:style w:type="character" w:customStyle="1" w:styleId="UnresolvedMention">
    <w:name w:val="Unresolved Mention"/>
    <w:basedOn w:val="DefaultParagraphFont"/>
    <w:uiPriority w:val="99"/>
    <w:semiHidden/>
    <w:unhideWhenUsed/>
    <w:rsid w:val="001471CE"/>
    <w:rPr>
      <w:color w:val="605E5C"/>
      <w:shd w:val="clear" w:color="auto" w:fill="E1DFDD"/>
    </w:rPr>
  </w:style>
  <w:style w:type="paragraph" w:styleId="CommentSubject">
    <w:name w:val="annotation subject"/>
    <w:basedOn w:val="CommentText"/>
    <w:next w:val="CommentText"/>
    <w:link w:val="CommentSubjectChar"/>
    <w:semiHidden/>
    <w:unhideWhenUsed/>
    <w:rsid w:val="00EA67C5"/>
    <w:pPr>
      <w:spacing w:after="240"/>
    </w:pPr>
    <w:rPr>
      <w:rFonts w:ascii="Calibri" w:hAnsi="Calibri"/>
      <w:b/>
      <w:bCs/>
      <w:lang w:eastAsia="en-AU"/>
    </w:rPr>
  </w:style>
  <w:style w:type="character" w:customStyle="1" w:styleId="CommentSubjectChar">
    <w:name w:val="Comment Subject Char"/>
    <w:basedOn w:val="CommentTextChar"/>
    <w:link w:val="CommentSubject"/>
    <w:semiHidden/>
    <w:rsid w:val="00EA67C5"/>
    <w:rPr>
      <w:rFonts w:ascii="Calibri" w:hAnsi="Calibr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1088178">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8015D-8DAF-4C5B-9261-1DA701342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2021-11-29T04:52:00Z</dcterms:created>
  <dcterms:modified xsi:type="dcterms:W3CDTF">2021-11-29T04:52:00Z</dcterms:modified>
</cp:coreProperties>
</file>