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45591017"/>
        <w:docPartObj>
          <w:docPartGallery w:val="Cover Pages"/>
          <w:docPartUnique/>
        </w:docPartObj>
      </w:sdtPr>
      <w:sdtEndPr>
        <w:rPr>
          <w:noProof/>
        </w:rPr>
      </w:sdtEndPr>
      <w:sdtContent>
        <w:p w14:paraId="71E6CB21" w14:textId="154BF81D" w:rsidR="0023294E" w:rsidRPr="00AF49E5" w:rsidRDefault="0023294E" w:rsidP="004616FF">
          <w:pPr>
            <w:pStyle w:val="BodyText"/>
          </w:pPr>
          <w:r>
            <w:rPr>
              <w:noProof/>
              <w:lang w:eastAsia="en-AU"/>
            </w:rPr>
            <mc:AlternateContent>
              <mc:Choice Requires="wps">
                <w:drawing>
                  <wp:anchor distT="0" distB="0" distL="114300" distR="114300" simplePos="0" relativeHeight="251658243" behindDoc="0" locked="1" layoutInCell="1" allowOverlap="1" wp14:anchorId="15B56EBB" wp14:editId="1E7A1E18">
                    <wp:simplePos x="0" y="0"/>
                    <wp:positionH relativeFrom="page">
                      <wp:align>right</wp:align>
                    </wp:positionH>
                    <wp:positionV relativeFrom="page">
                      <wp:align>top</wp:align>
                    </wp:positionV>
                    <wp:extent cx="108000" cy="10710000"/>
                    <wp:effectExtent l="0" t="0" r="6350" b="0"/>
                    <wp:wrapNone/>
                    <wp:docPr id="70" name="Rectangle 70"/>
                    <wp:cNvGraphicFramePr/>
                    <a:graphic xmlns:a="http://schemas.openxmlformats.org/drawingml/2006/main">
                      <a:graphicData uri="http://schemas.microsoft.com/office/word/2010/wordprocessingShape">
                        <wps:wsp>
                          <wps:cNvSpPr/>
                          <wps:spPr>
                            <a:xfrm>
                              <a:off x="0" y="0"/>
                              <a:ext cx="108000" cy="1071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1D1DD5" id="Rectangle 70" o:spid="_x0000_s1026" style="position:absolute;margin-left:-42.7pt;margin-top:0;width:8.5pt;height:843.3pt;z-index:251658243;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" fillcolor="white [3212]" stroked="f" strokeweight="1pt">
                    <w10:wrap anchorx="page" anchory="page"/>
                    <w10:anchorlock/>
                  </v:rect>
                </w:pict>
              </mc:Fallback>
            </mc:AlternateContent>
          </w:r>
          <w:r>
            <w:rPr>
              <w:noProof/>
              <w:lang w:eastAsia="en-AU"/>
            </w:rPr>
            <mc:AlternateContent>
              <mc:Choice Requires="wps">
                <w:drawing>
                  <wp:anchor distT="45720" distB="45720" distL="114300" distR="114300" simplePos="0" relativeHeight="251658240" behindDoc="1" locked="1" layoutInCell="1" allowOverlap="1" wp14:anchorId="152693E3" wp14:editId="04042889">
                    <wp:simplePos x="0" y="0"/>
                    <wp:positionH relativeFrom="page">
                      <wp:align>left</wp:align>
                    </wp:positionH>
                    <wp:positionV relativeFrom="page">
                      <wp:align>top</wp:align>
                    </wp:positionV>
                    <wp:extent cx="7559675" cy="722630"/>
                    <wp:effectExtent l="0" t="0" r="3175" b="1270"/>
                    <wp:wrapNone/>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722671"/>
                            </a:xfrm>
                            <a:prstGeom prst="rect">
                              <a:avLst/>
                            </a:prstGeom>
                            <a:solidFill>
                              <a:schemeClr val="bg1"/>
                            </a:solidFill>
                            <a:ln w="9525">
                              <a:noFill/>
                              <a:miter lim="800000"/>
                              <a:headEnd/>
                              <a:tailEnd/>
                            </a:ln>
                          </wps:spPr>
                          <wps:txbx>
                            <w:txbxContent>
                              <w:p w14:paraId="2EDF7F6E" w14:textId="77777777" w:rsidR="00B11995" w:rsidRPr="009B4379" w:rsidRDefault="00B11995" w:rsidP="009B4379">
                                <w:pPr>
                                  <w:pStyle w:val="ProtectiveMarking"/>
                                </w:pPr>
                              </w:p>
                            </w:txbxContent>
                          </wps:txbx>
                          <wps:bodyPr rot="0" vert="horz" wrap="square" lIns="0" tIns="360000" rIns="0" bIns="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52693E3" id="_x0000_t202" coordsize="21600,21600" o:spt="202" path="m,l,21600r21600,l21600,xe">
                    <v:stroke joinstyle="miter"/>
                    <v:path gradientshapeok="t" o:connecttype="rect"/>
                  </v:shapetype>
                  <v:shape id="Text Box 2" o:spid="_x0000_s1026" type="#_x0000_t202" style="position:absolute;margin-left:0;margin-top:0;width:595.25pt;height:56.9pt;z-index:-251658240;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" fillcolor="white [3212]" stroked="f">
                    <v:textbox inset="0,10mm,0,0">
                      <w:txbxContent>
                        <w:p w14:paraId="2EDF7F6E" w14:textId="77777777" w:rsidR="00B11995" w:rsidRPr="009B4379" w:rsidRDefault="00B11995" w:rsidP="009B4379">
                          <w:pPr>
                            <w:pStyle w:val="ProtectiveMarking"/>
                          </w:pPr>
                        </w:p>
                      </w:txbxContent>
                    </v:textbox>
                    <w10:wrap anchorx="page" anchory="page"/>
                    <w10:anchorlock/>
                  </v:shape>
                </w:pict>
              </mc:Fallback>
            </mc:AlternateContent>
          </w:r>
          <w:r w:rsidRPr="004616FF">
            <w:rPr>
              <w:noProof/>
              <w:lang w:eastAsia="en-AU"/>
            </w:rPr>
            <mc:AlternateContent>
              <mc:Choice Requires="wps">
                <w:drawing>
                  <wp:anchor distT="45720" distB="45720" distL="114300" distR="114300" simplePos="0" relativeHeight="251658244" behindDoc="1" locked="1" layoutInCell="1" allowOverlap="1" wp14:anchorId="2E93C4AC" wp14:editId="75ECB719">
                    <wp:simplePos x="0" y="0"/>
                    <wp:positionH relativeFrom="page">
                      <wp:posOffset>0</wp:posOffset>
                    </wp:positionH>
                    <wp:positionV relativeFrom="page">
                      <wp:posOffset>9970770</wp:posOffset>
                    </wp:positionV>
                    <wp:extent cx="7560945" cy="719455"/>
                    <wp:effectExtent l="0" t="0" r="1905" b="4445"/>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719455"/>
                            </a:xfrm>
                            <a:prstGeom prst="rect">
                              <a:avLst/>
                            </a:prstGeom>
                            <a:solidFill>
                              <a:sysClr val="window" lastClr="FFFFFF"/>
                            </a:solidFill>
                            <a:ln w="9525">
                              <a:noFill/>
                              <a:miter lim="800000"/>
                              <a:headEnd/>
                              <a:tailEnd/>
                            </a:ln>
                          </wps:spPr>
                          <wps:txbx>
                            <w:txbxContent>
                              <w:p w14:paraId="12320396" w14:textId="77777777" w:rsidR="00B11995" w:rsidRPr="00543FDE" w:rsidRDefault="00B11995" w:rsidP="004616FF">
                                <w:pPr>
                                  <w:pStyle w:val="ProtectiveMarking"/>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93C4AC" id="_x0000_s1027" type="#_x0000_t202" style="position:absolute;margin-left:0;margin-top:785.1pt;width:595.35pt;height:56.65pt;z-index:-25165823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" fillcolor="window" stroked="f">
                    <v:textbox inset="0,0,0,0">
                      <w:txbxContent>
                        <w:p w14:paraId="12320396" w14:textId="77777777" w:rsidR="00B11995" w:rsidRPr="00543FDE" w:rsidRDefault="00B11995" w:rsidP="004616FF">
                          <w:pPr>
                            <w:pStyle w:val="ProtectiveMarking"/>
                          </w:pPr>
                        </w:p>
                      </w:txbxContent>
                    </v:textbox>
                    <w10:wrap anchorx="page" anchory="page"/>
                    <w10:anchorlock/>
                  </v:shape>
                </w:pict>
              </mc:Fallback>
            </mc:AlternateContent>
          </w:r>
        </w:p>
        <w:p w14:paraId="23C04053" w14:textId="432E03E4" w:rsidR="0023294E" w:rsidRDefault="0023294E" w:rsidP="007F5D33">
          <w:pPr>
            <w:framePr w:w="11595" w:h="6521" w:hRule="exact" w:wrap="around" w:vAnchor="page" w:hAnchor="page" w:x="171" w:y="9181" w:anchorLock="1"/>
          </w:pPr>
        </w:p>
        <w:p w14:paraId="251F85B9" w14:textId="77777777" w:rsidR="0023294E" w:rsidRPr="004616FF" w:rsidRDefault="0023294E" w:rsidP="00AF49E5">
          <w:pPr>
            <w:pStyle w:val="BodyText"/>
            <w:rPr>
              <w:caps/>
            </w:rPr>
            <w:sectPr w:rsidR="0023294E" w:rsidRPr="004616FF" w:rsidSect="00AF49E5">
              <w:headerReference w:type="default" r:id="rId7"/>
              <w:footerReference w:type="default" r:id="rId8"/>
              <w:headerReference w:type="first" r:id="rId9"/>
              <w:footerReference w:type="first" r:id="rId10"/>
              <w:pgSz w:w="11906" w:h="16838"/>
              <w:pgMar w:top="426" w:right="851" w:bottom="1135" w:left="851" w:header="567" w:footer="57" w:gutter="0"/>
              <w:pgNumType w:start="0"/>
              <w:cols w:space="708"/>
              <w:titlePg/>
              <w:docGrid w:linePitch="360"/>
            </w:sectPr>
          </w:pPr>
          <w:r w:rsidRPr="00657D2D">
            <w:rPr>
              <w:noProof/>
            </w:rPr>
            <w:t xml:space="preserve"> </w:t>
          </w:r>
          <w:r w:rsidRPr="00657D2D">
            <w:rPr>
              <w:noProof/>
              <w:lang w:eastAsia="en-AU"/>
            </w:rPr>
            <mc:AlternateContent>
              <mc:Choice Requires="wps">
                <w:drawing>
                  <wp:anchor distT="0" distB="0" distL="182880" distR="182880" simplePos="0" relativeHeight="251658241" behindDoc="0" locked="1" layoutInCell="1" allowOverlap="1" wp14:anchorId="07D50A25" wp14:editId="12F2F18E">
                    <wp:simplePos x="0" y="0"/>
                    <wp:positionH relativeFrom="margin">
                      <wp:posOffset>-8890</wp:posOffset>
                    </wp:positionH>
                    <wp:positionV relativeFrom="page">
                      <wp:posOffset>1828800</wp:posOffset>
                    </wp:positionV>
                    <wp:extent cx="6494145" cy="3780000"/>
                    <wp:effectExtent l="0" t="0" r="1905" b="11430"/>
                    <wp:wrapSquare wrapText="bothSides"/>
                    <wp:docPr id="73" name="Text Box 73"/>
                    <wp:cNvGraphicFramePr/>
                    <a:graphic xmlns:a="http://schemas.openxmlformats.org/drawingml/2006/main">
                      <a:graphicData uri="http://schemas.microsoft.com/office/word/2010/wordprocessingShape">
                        <wps:wsp>
                          <wps:cNvSpPr txBox="1"/>
                          <wps:spPr>
                            <a:xfrm>
                              <a:off x="0" y="0"/>
                              <a:ext cx="6494145" cy="378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54448" w14:textId="5D35F6E3" w:rsidR="00B11995" w:rsidRPr="00D335CD" w:rsidRDefault="00373FD8" w:rsidP="003C6961">
                                <w:pPr>
                                  <w:pStyle w:val="CoverTitle"/>
                                  <w:rPr>
                                    <w:sz w:val="96"/>
                                    <w:szCs w:val="56"/>
                                  </w:rPr>
                                </w:pPr>
                                <w:sdt>
                                  <w:sdtPr>
                                    <w:rPr>
                                      <w:sz w:val="96"/>
                                      <w:szCs w:val="56"/>
                                    </w:rPr>
                                    <w:alias w:val="Document Heading"/>
                                    <w:tag w:val="DH"/>
                                    <w:id w:val="-1577504962"/>
                                    <w:dataBinding w:xpath="/root[1]/DH[1]" w:storeItemID="{F533AE62-A212-4B26-92DA-A3B336E8AE06}"/>
                                    <w:text w:multiLine="1"/>
                                  </w:sdtPr>
                                  <w:sdtEndPr/>
                                  <w:sdtContent>
                                    <w:r w:rsidR="00B11995" w:rsidRPr="00D335CD">
                                      <w:rPr>
                                        <w:sz w:val="96"/>
                                        <w:szCs w:val="56"/>
                                      </w:rPr>
                                      <w:t>Meeting</w:t>
                                    </w:r>
                                    <w:r w:rsidR="00B11995">
                                      <w:rPr>
                                        <w:sz w:val="96"/>
                                        <w:szCs w:val="56"/>
                                      </w:rPr>
                                      <w:t xml:space="preserve"> materials</w:t>
                                    </w:r>
                                    <w:r w:rsidR="00B11995" w:rsidRPr="00D335CD">
                                      <w:rPr>
                                        <w:sz w:val="96"/>
                                        <w:szCs w:val="56"/>
                                      </w:rPr>
                                      <w:t xml:space="preserve"> and electronic document execution</w:t>
                                    </w:r>
                                  </w:sdtContent>
                                </w:sdt>
                              </w:p>
                              <w:p w14:paraId="00393109" w14:textId="77777777" w:rsidR="00B11995" w:rsidRPr="00D335CD" w:rsidRDefault="00B11995" w:rsidP="0011200A">
                                <w:pPr>
                                  <w:pStyle w:val="CoverByline"/>
                                  <w:rPr>
                                    <w:sz w:val="40"/>
                                    <w:szCs w:val="24"/>
                                  </w:rPr>
                                </w:pPr>
                                <w:r w:rsidRPr="00D335CD">
                                  <w:rPr>
                                    <w:sz w:val="40"/>
                                    <w:szCs w:val="24"/>
                                  </w:rPr>
                                  <w:t>Regulation Impact Statement</w:t>
                                </w:r>
                              </w:p>
                              <w:p w14:paraId="2D1AE68F" w14:textId="6946193C" w:rsidR="00B11995" w:rsidRPr="00D335CD" w:rsidRDefault="00B11995" w:rsidP="0011200A">
                                <w:pPr>
                                  <w:pStyle w:val="CoverByline"/>
                                  <w:rPr>
                                    <w:sz w:val="40"/>
                                    <w:szCs w:val="24"/>
                                  </w:rPr>
                                </w:pPr>
                                <w:r>
                                  <w:rPr>
                                    <w:sz w:val="40"/>
                                    <w:szCs w:val="24"/>
                                  </w:rPr>
                                  <w:t>Department of Treasury</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D50A25" id="Text Box 73" o:spid="_x0000_s1028" type="#_x0000_t202" style="position:absolute;margin-left:-.7pt;margin-top:2in;width:511.35pt;height:297.65pt;z-index:251658241;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" filled="f" stroked="f" strokeweight=".5pt">
                    <v:textbox inset="0,0,0,0">
                      <w:txbxContent>
                        <w:p w14:paraId="15A54448" w14:textId="5D35F6E3" w:rsidR="00B11995" w:rsidRPr="00D335CD" w:rsidRDefault="00B11995" w:rsidP="003C6961">
                          <w:pPr>
                            <w:pStyle w:val="CoverTitle"/>
                            <w:rPr>
                              <w:sz w:val="96"/>
                              <w:szCs w:val="56"/>
                            </w:rPr>
                          </w:pPr>
                          <w:sdt>
                            <w:sdtPr>
                              <w:rPr>
                                <w:sz w:val="96"/>
                                <w:szCs w:val="56"/>
                              </w:rPr>
                              <w:alias w:val="Document Heading"/>
                              <w:tag w:val="DH"/>
                              <w:id w:val="-1577504962"/>
                              <w:dataBinding w:xpath="/root[1]/DH[1]" w:storeItemID="{F533AE62-A212-4B26-92DA-A3B336E8AE06}"/>
                              <w:text w:multiLine="1"/>
                            </w:sdtPr>
                            <w:sdtContent>
                              <w:r w:rsidRPr="00D335CD">
                                <w:rPr>
                                  <w:sz w:val="96"/>
                                  <w:szCs w:val="56"/>
                                </w:rPr>
                                <w:t>Meeting</w:t>
                              </w:r>
                              <w:r>
                                <w:rPr>
                                  <w:sz w:val="96"/>
                                  <w:szCs w:val="56"/>
                                </w:rPr>
                                <w:t xml:space="preserve"> materials</w:t>
                              </w:r>
                              <w:r w:rsidRPr="00D335CD">
                                <w:rPr>
                                  <w:sz w:val="96"/>
                                  <w:szCs w:val="56"/>
                                </w:rPr>
                                <w:t xml:space="preserve"> and electronic document execution</w:t>
                              </w:r>
                            </w:sdtContent>
                          </w:sdt>
                        </w:p>
                        <w:p w14:paraId="00393109" w14:textId="77777777" w:rsidR="00B11995" w:rsidRPr="00D335CD" w:rsidRDefault="00B11995" w:rsidP="0011200A">
                          <w:pPr>
                            <w:pStyle w:val="CoverByline"/>
                            <w:rPr>
                              <w:sz w:val="40"/>
                              <w:szCs w:val="24"/>
                            </w:rPr>
                          </w:pPr>
                          <w:r w:rsidRPr="00D335CD">
                            <w:rPr>
                              <w:sz w:val="40"/>
                              <w:szCs w:val="24"/>
                            </w:rPr>
                            <w:t>Regulation Impact Statement</w:t>
                          </w:r>
                        </w:p>
                        <w:p w14:paraId="2D1AE68F" w14:textId="6946193C" w:rsidR="00B11995" w:rsidRPr="00D335CD" w:rsidRDefault="00B11995" w:rsidP="0011200A">
                          <w:pPr>
                            <w:pStyle w:val="CoverByline"/>
                            <w:rPr>
                              <w:sz w:val="40"/>
                              <w:szCs w:val="24"/>
                            </w:rPr>
                          </w:pPr>
                          <w:r>
                            <w:rPr>
                              <w:sz w:val="40"/>
                              <w:szCs w:val="24"/>
                            </w:rPr>
                            <w:t>Department of Treasury</w:t>
                          </w:r>
                        </w:p>
                      </w:txbxContent>
                    </v:textbox>
                    <w10:wrap type="square" anchorx="margin" anchory="page"/>
                    <w10:anchorlock/>
                  </v:shape>
                </w:pict>
              </mc:Fallback>
            </mc:AlternateContent>
          </w:r>
          <w:r w:rsidRPr="007660B9">
            <w:rPr>
              <w:noProof/>
              <w:lang w:eastAsia="en-AU"/>
            </w:rPr>
            <mc:AlternateContent>
              <mc:Choice Requires="wps">
                <w:drawing>
                  <wp:anchor distT="0" distB="0" distL="114300" distR="114300" simplePos="0" relativeHeight="251658242" behindDoc="1" locked="1" layoutInCell="1" allowOverlap="1" wp14:anchorId="0D298C56" wp14:editId="0DF9781E">
                    <wp:simplePos x="0" y="0"/>
                    <wp:positionH relativeFrom="page">
                      <wp:posOffset>104775</wp:posOffset>
                    </wp:positionH>
                    <wp:positionV relativeFrom="page">
                      <wp:posOffset>723900</wp:posOffset>
                    </wp:positionV>
                    <wp:extent cx="7343775" cy="9251950"/>
                    <wp:effectExtent l="0" t="0" r="9525" b="6350"/>
                    <wp:wrapNone/>
                    <wp:docPr id="74" name="Rectangle 74"/>
                    <wp:cNvGraphicFramePr/>
                    <a:graphic xmlns:a="http://schemas.openxmlformats.org/drawingml/2006/main">
                      <a:graphicData uri="http://schemas.microsoft.com/office/word/2010/wordprocessingShape">
                        <wps:wsp>
                          <wps:cNvSpPr/>
                          <wps:spPr>
                            <a:xfrm>
                              <a:off x="0" y="0"/>
                              <a:ext cx="7343775" cy="9251950"/>
                            </a:xfrm>
                            <a:prstGeom prst="rect">
                              <a:avLst/>
                            </a:prstGeom>
                            <a:gradFill>
                              <a:gsLst>
                                <a:gs pos="0">
                                  <a:srgbClr val="014463"/>
                                </a:gs>
                                <a:gs pos="100000">
                                  <a:srgbClr val="25303B"/>
                                </a:gs>
                              </a:gsLst>
                              <a:lin ang="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17B029" id="Rectangle 74" o:spid="_x0000_s1026" style="position:absolute;margin-left:8.25pt;margin-top:57pt;width:578.25pt;height:72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" fillcolor="#014463" stroked="f" strokeweight="1pt">
                    <v:fill color2="#25303b" angle="90" focus="100%" type="gradient">
                      <o:fill v:ext="view" type="gradientUnscaled"/>
                    </v:fill>
                    <w10:wrap anchorx="page" anchory="page"/>
                    <w10:anchorlock/>
                  </v:rect>
                </w:pict>
              </mc:Fallback>
            </mc:AlternateContent>
          </w:r>
        </w:p>
      </w:sdtContent>
    </w:sdt>
    <w:p w14:paraId="404CFB2A" w14:textId="77777777" w:rsidR="0011200A" w:rsidRDefault="0011200A" w:rsidP="0011200A">
      <w:pPr>
        <w:pStyle w:val="Title"/>
      </w:pPr>
      <w:r>
        <w:lastRenderedPageBreak/>
        <w:t>Contents</w:t>
      </w:r>
    </w:p>
    <w:p w14:paraId="5EF29860" w14:textId="3307682C" w:rsidR="0011200A" w:rsidRDefault="0011200A" w:rsidP="00C51551">
      <w:pPr>
        <w:pStyle w:val="Heading3"/>
      </w:pPr>
      <w:r>
        <w:t xml:space="preserve">Background/Current setting </w:t>
      </w:r>
    </w:p>
    <w:p w14:paraId="1BCC7491" w14:textId="77777777" w:rsidR="00C51551" w:rsidRDefault="00C51551" w:rsidP="00C51551">
      <w:pPr>
        <w:pStyle w:val="Heading3"/>
      </w:pPr>
      <w:r>
        <w:t>1. What is the problem you are trying to solve?</w:t>
      </w:r>
    </w:p>
    <w:p w14:paraId="4C9463DF" w14:textId="2F7A7E66" w:rsidR="005A519F" w:rsidRDefault="004A1272" w:rsidP="004A1272">
      <w:pPr>
        <w:pStyle w:val="BulletedListlvl1"/>
        <w:numPr>
          <w:ilvl w:val="0"/>
          <w:numId w:val="0"/>
        </w:numPr>
        <w:ind w:left="567" w:hanging="283"/>
      </w:pPr>
      <w:r>
        <w:t xml:space="preserve">1.1 </w:t>
      </w:r>
      <w:r w:rsidR="006178B8">
        <w:t>Vali</w:t>
      </w:r>
      <w:r w:rsidR="005A519F">
        <w:t>d document execution requirements</w:t>
      </w:r>
    </w:p>
    <w:p w14:paraId="668377C6" w14:textId="48ACCB8A" w:rsidR="00C51551" w:rsidRPr="00E7329A" w:rsidRDefault="004A1272" w:rsidP="004A1272">
      <w:pPr>
        <w:pStyle w:val="BulletedListlvl1"/>
        <w:numPr>
          <w:ilvl w:val="0"/>
          <w:numId w:val="0"/>
        </w:numPr>
        <w:ind w:left="567" w:hanging="283"/>
      </w:pPr>
      <w:r>
        <w:t xml:space="preserve">1.2 </w:t>
      </w:r>
      <w:r w:rsidR="005A519F">
        <w:t xml:space="preserve">Meeting-related documents requirements </w:t>
      </w:r>
    </w:p>
    <w:p w14:paraId="2C48F562" w14:textId="77777777" w:rsidR="00C51551" w:rsidRDefault="00C51551" w:rsidP="00C51551">
      <w:pPr>
        <w:pStyle w:val="Heading3"/>
      </w:pPr>
      <w:r>
        <w:t xml:space="preserve">2. Why is government action needed? </w:t>
      </w:r>
    </w:p>
    <w:p w14:paraId="05FA87F9" w14:textId="08AAADEF" w:rsidR="00C51551" w:rsidRDefault="00C51551" w:rsidP="00C51551">
      <w:pPr>
        <w:pStyle w:val="Heading3"/>
      </w:pPr>
      <w:r>
        <w:t>3. What policy options are you considering?</w:t>
      </w:r>
    </w:p>
    <w:p w14:paraId="4E6615BC" w14:textId="64C673FF" w:rsidR="005A519F" w:rsidRDefault="004A1272" w:rsidP="004A1272">
      <w:pPr>
        <w:pStyle w:val="BulletedListlvl1"/>
        <w:numPr>
          <w:ilvl w:val="0"/>
          <w:numId w:val="0"/>
        </w:numPr>
        <w:ind w:left="567" w:hanging="283"/>
      </w:pPr>
      <w:r>
        <w:t xml:space="preserve">3.1 </w:t>
      </w:r>
      <w:r w:rsidR="005A519F">
        <w:t>Option 1 – Status quo</w:t>
      </w:r>
    </w:p>
    <w:p w14:paraId="3BB7529D" w14:textId="049E084A" w:rsidR="005A519F" w:rsidRDefault="004A1272" w:rsidP="004A1272">
      <w:pPr>
        <w:pStyle w:val="BulletedListlvl1"/>
        <w:numPr>
          <w:ilvl w:val="0"/>
          <w:numId w:val="0"/>
        </w:numPr>
        <w:ind w:left="567" w:hanging="283"/>
      </w:pPr>
      <w:r>
        <w:t xml:space="preserve">3.2 </w:t>
      </w:r>
      <w:r w:rsidR="005A519F">
        <w:t>Option 2</w:t>
      </w:r>
      <w:r w:rsidR="00A602B2">
        <w:t xml:space="preserve"> –</w:t>
      </w:r>
      <w:r w:rsidR="005A519F">
        <w:t xml:space="preserve"> Make permanent the temporary reforms</w:t>
      </w:r>
    </w:p>
    <w:p w14:paraId="70C5B725" w14:textId="71DCC0AA" w:rsidR="005A519F" w:rsidRDefault="004A1272" w:rsidP="004A1272">
      <w:pPr>
        <w:pStyle w:val="BulletedListlvl1"/>
        <w:numPr>
          <w:ilvl w:val="0"/>
          <w:numId w:val="0"/>
        </w:numPr>
        <w:ind w:left="567" w:hanging="283"/>
      </w:pPr>
      <w:r>
        <w:t xml:space="preserve">3.3 </w:t>
      </w:r>
      <w:r w:rsidR="005A519F">
        <w:t>Option 3</w:t>
      </w:r>
      <w:r w:rsidR="00A602B2">
        <w:t xml:space="preserve"> – </w:t>
      </w:r>
      <w:r w:rsidR="005A519F">
        <w:t>Make permanent the temporary reforms with modifications to improve the operation of the reforms</w:t>
      </w:r>
    </w:p>
    <w:p w14:paraId="773F06FD" w14:textId="5BA6B9C4" w:rsidR="00C51551" w:rsidRDefault="00C51551" w:rsidP="00C51551">
      <w:pPr>
        <w:pStyle w:val="Heading3"/>
      </w:pPr>
      <w:r>
        <w:t xml:space="preserve">4. What is the likely net benefit of each option? </w:t>
      </w:r>
    </w:p>
    <w:p w14:paraId="73CB47DC" w14:textId="59C72EA4" w:rsidR="00650F01" w:rsidRDefault="004A1272" w:rsidP="004A1272">
      <w:pPr>
        <w:pStyle w:val="BulletedListlvl1"/>
        <w:numPr>
          <w:ilvl w:val="0"/>
          <w:numId w:val="0"/>
        </w:numPr>
        <w:ind w:left="567" w:hanging="283"/>
      </w:pPr>
      <w:r>
        <w:t xml:space="preserve">4.1 </w:t>
      </w:r>
      <w:r w:rsidR="00650F01">
        <w:t>Option 1 – Status quo</w:t>
      </w:r>
    </w:p>
    <w:p w14:paraId="280CF9E9" w14:textId="1CC437BD" w:rsidR="00650F01" w:rsidRDefault="00650F01" w:rsidP="00650F01">
      <w:pPr>
        <w:pStyle w:val="BulletedListlvl2"/>
      </w:pPr>
      <w:r>
        <w:t>Document execution</w:t>
      </w:r>
    </w:p>
    <w:p w14:paraId="2E9AFD04" w14:textId="37583382" w:rsidR="00650F01" w:rsidRDefault="00650F01" w:rsidP="00650F01">
      <w:pPr>
        <w:pStyle w:val="BulletedListlvl2"/>
      </w:pPr>
      <w:r>
        <w:t xml:space="preserve">Meeting-related materials </w:t>
      </w:r>
    </w:p>
    <w:p w14:paraId="5890AD3E" w14:textId="5EC4430C" w:rsidR="00650F01" w:rsidRDefault="004A1272" w:rsidP="004A1272">
      <w:pPr>
        <w:pStyle w:val="BulletedListlvl1"/>
        <w:numPr>
          <w:ilvl w:val="0"/>
          <w:numId w:val="0"/>
        </w:numPr>
        <w:ind w:left="567" w:hanging="283"/>
      </w:pPr>
      <w:r>
        <w:t xml:space="preserve">4.2 </w:t>
      </w:r>
      <w:r w:rsidR="00650F01">
        <w:t>Option 2</w:t>
      </w:r>
      <w:r w:rsidR="009B1577">
        <w:t xml:space="preserve"> –</w:t>
      </w:r>
      <w:r w:rsidR="00650F01">
        <w:t xml:space="preserve"> Make permanent the temporary reforms</w:t>
      </w:r>
    </w:p>
    <w:p w14:paraId="38392E21" w14:textId="241355F2" w:rsidR="00650F01" w:rsidRDefault="00650F01" w:rsidP="00560CE5">
      <w:pPr>
        <w:pStyle w:val="BulletedListlvl2"/>
      </w:pPr>
      <w:r>
        <w:t>Document execution</w:t>
      </w:r>
    </w:p>
    <w:p w14:paraId="41B7F4DC" w14:textId="2BCB8707" w:rsidR="00650F01" w:rsidRDefault="00650F01" w:rsidP="00650F01">
      <w:pPr>
        <w:pStyle w:val="BulletedListlvl2"/>
      </w:pPr>
      <w:r>
        <w:t xml:space="preserve">Meeting-related materials </w:t>
      </w:r>
    </w:p>
    <w:p w14:paraId="5D5F8528" w14:textId="38BA063C" w:rsidR="00650F01" w:rsidRDefault="00650F01" w:rsidP="00650F01">
      <w:pPr>
        <w:pStyle w:val="BulletedListlvl2"/>
      </w:pPr>
      <w:r>
        <w:t>Regulatory burden table</w:t>
      </w:r>
    </w:p>
    <w:p w14:paraId="41531A23" w14:textId="7A0655DF" w:rsidR="00650F01" w:rsidRDefault="004A1272" w:rsidP="004A1272">
      <w:pPr>
        <w:pStyle w:val="BulletedListlvl1"/>
        <w:numPr>
          <w:ilvl w:val="0"/>
          <w:numId w:val="0"/>
        </w:numPr>
        <w:ind w:left="567" w:hanging="283"/>
      </w:pPr>
      <w:r>
        <w:t xml:space="preserve">4.3 </w:t>
      </w:r>
      <w:r w:rsidR="00650F01">
        <w:t>Option 3</w:t>
      </w:r>
      <w:r w:rsidR="009B1577">
        <w:t xml:space="preserve"> –</w:t>
      </w:r>
      <w:r w:rsidR="00650F01">
        <w:t xml:space="preserve"> Make permanent the temporary reforms with modifications to improve the operation of the reforms</w:t>
      </w:r>
    </w:p>
    <w:p w14:paraId="4E244F36" w14:textId="77777777" w:rsidR="00650F01" w:rsidRDefault="00650F01" w:rsidP="00650F01">
      <w:pPr>
        <w:pStyle w:val="BulletedListlvl2"/>
      </w:pPr>
      <w:r>
        <w:t>Document execution</w:t>
      </w:r>
    </w:p>
    <w:p w14:paraId="27970B34" w14:textId="77777777" w:rsidR="00650F01" w:rsidRDefault="00650F01" w:rsidP="00650F01">
      <w:pPr>
        <w:pStyle w:val="BulletedListlvl2"/>
      </w:pPr>
      <w:r>
        <w:t xml:space="preserve">Meeting-related materials </w:t>
      </w:r>
    </w:p>
    <w:p w14:paraId="4CF10E8C" w14:textId="1309FAEC" w:rsidR="00650F01" w:rsidRDefault="00650F01" w:rsidP="00650F01">
      <w:pPr>
        <w:pStyle w:val="BulletedListlvl2"/>
      </w:pPr>
      <w:r>
        <w:t>Regulatory burden table</w:t>
      </w:r>
    </w:p>
    <w:p w14:paraId="05B915DE" w14:textId="6D9FE9CE" w:rsidR="00E61C51" w:rsidRDefault="00C51551" w:rsidP="00097FCF">
      <w:pPr>
        <w:pStyle w:val="Heading3"/>
      </w:pPr>
      <w:r w:rsidRPr="00650F01">
        <w:t xml:space="preserve">5. Who did you consult and how did you incorporate their feedback? </w:t>
      </w:r>
    </w:p>
    <w:p w14:paraId="2AD97248" w14:textId="0C1349F9" w:rsidR="00702CD6" w:rsidRPr="00702CD6" w:rsidRDefault="00702CD6" w:rsidP="00702CD6">
      <w:pPr>
        <w:pStyle w:val="BulletedListlvl1"/>
        <w:numPr>
          <w:ilvl w:val="0"/>
          <w:numId w:val="0"/>
        </w:numPr>
        <w:ind w:left="567" w:hanging="283"/>
      </w:pPr>
      <w:r>
        <w:t>5.1 Summary of feedback</w:t>
      </w:r>
    </w:p>
    <w:p w14:paraId="6DE1E78A" w14:textId="5394D33E" w:rsidR="00E61C51" w:rsidRDefault="00C51551" w:rsidP="00097FCF">
      <w:pPr>
        <w:pStyle w:val="Heading3"/>
      </w:pPr>
      <w:r w:rsidRPr="00272686">
        <w:t>6. What is the best option from those you have considered?</w:t>
      </w:r>
    </w:p>
    <w:p w14:paraId="0F78D81B" w14:textId="32A028DE" w:rsidR="00097FCF" w:rsidRPr="00097FCF" w:rsidRDefault="00097FCF" w:rsidP="00097FCF">
      <w:pPr>
        <w:pStyle w:val="BulletedListlvl1"/>
        <w:numPr>
          <w:ilvl w:val="0"/>
          <w:numId w:val="0"/>
        </w:numPr>
        <w:ind w:left="567" w:hanging="283"/>
      </w:pPr>
      <w:r w:rsidRPr="00097FCF">
        <w:t>6.1 Document execution</w:t>
      </w:r>
    </w:p>
    <w:p w14:paraId="454C8A77" w14:textId="325C406C" w:rsidR="00097FCF" w:rsidRPr="00097FCF" w:rsidRDefault="00097FCF" w:rsidP="00097FCF">
      <w:pPr>
        <w:pStyle w:val="BulletedListlvl1"/>
        <w:numPr>
          <w:ilvl w:val="0"/>
          <w:numId w:val="0"/>
        </w:numPr>
        <w:ind w:left="567" w:hanging="283"/>
      </w:pPr>
      <w:r w:rsidRPr="00097FCF">
        <w:t>6.2 Meeting-related materials</w:t>
      </w:r>
    </w:p>
    <w:p w14:paraId="7961B926" w14:textId="78B0ECCF" w:rsidR="00097FCF" w:rsidRPr="00097FCF" w:rsidRDefault="00097FCF" w:rsidP="00097FCF">
      <w:pPr>
        <w:pStyle w:val="BulletedListlvl1"/>
        <w:numPr>
          <w:ilvl w:val="0"/>
          <w:numId w:val="0"/>
        </w:numPr>
        <w:ind w:left="567" w:hanging="283"/>
      </w:pPr>
      <w:r w:rsidRPr="00097FCF">
        <w:t>6.3 Overall regulatory burden</w:t>
      </w:r>
    </w:p>
    <w:p w14:paraId="137708C7" w14:textId="0CE97A9E" w:rsidR="00C51551" w:rsidRPr="00097FCF" w:rsidRDefault="00C51551" w:rsidP="00097FCF">
      <w:pPr>
        <w:pStyle w:val="Heading3"/>
      </w:pPr>
      <w:r w:rsidRPr="00097FCF">
        <w:t xml:space="preserve">7. How will you implement and evaluate your chosen option? </w:t>
      </w:r>
    </w:p>
    <w:p w14:paraId="62AC4E75" w14:textId="67C3519B" w:rsidR="00272686" w:rsidRDefault="008C5412" w:rsidP="008C5412">
      <w:pPr>
        <w:pStyle w:val="Heading3"/>
        <w:rPr>
          <w:b/>
          <w:sz w:val="60"/>
          <w:szCs w:val="60"/>
        </w:rPr>
      </w:pPr>
      <w:r>
        <w:t>Additional information/</w:t>
      </w:r>
      <w:r w:rsidR="00C51551">
        <w:t>Summary</w:t>
      </w:r>
      <w:r w:rsidR="00E01B77">
        <w:t xml:space="preserve"> </w:t>
      </w:r>
      <w:r w:rsidR="00272686">
        <w:br w:type="page"/>
      </w:r>
    </w:p>
    <w:p w14:paraId="791E7AA1" w14:textId="1A26EF05" w:rsidR="00C51551" w:rsidRPr="00C51551" w:rsidRDefault="00C51551" w:rsidP="00FE09D3">
      <w:pPr>
        <w:pStyle w:val="Title"/>
        <w:rPr>
          <w:sz w:val="22"/>
        </w:rPr>
      </w:pPr>
      <w:r w:rsidRPr="00C51551">
        <w:t xml:space="preserve">Background/Current setting </w:t>
      </w:r>
      <w:r w:rsidRPr="00C51551">
        <w:rPr>
          <w:sz w:val="22"/>
        </w:rPr>
        <w:t xml:space="preserve"> </w:t>
      </w:r>
    </w:p>
    <w:p w14:paraId="05174353" w14:textId="34A4C276" w:rsidR="006178B8" w:rsidRPr="00272686" w:rsidRDefault="006178B8" w:rsidP="006178B8">
      <w:pPr>
        <w:rPr>
          <w:color w:val="auto"/>
          <w:sz w:val="22"/>
          <w:szCs w:val="22"/>
        </w:rPr>
      </w:pPr>
      <w:r w:rsidRPr="00272686">
        <w:rPr>
          <w:color w:val="auto"/>
          <w:sz w:val="22"/>
          <w:szCs w:val="22"/>
        </w:rPr>
        <w:t xml:space="preserve">On 5 May 2020, the Treasurer </w:t>
      </w:r>
      <w:r w:rsidR="00635D59">
        <w:rPr>
          <w:color w:val="auto"/>
          <w:sz w:val="22"/>
          <w:szCs w:val="22"/>
        </w:rPr>
        <w:t xml:space="preserve">used his temporary instrument-making power </w:t>
      </w:r>
      <w:r w:rsidR="0074575B">
        <w:rPr>
          <w:color w:val="auto"/>
          <w:sz w:val="22"/>
          <w:szCs w:val="22"/>
        </w:rPr>
        <w:t xml:space="preserve">under the </w:t>
      </w:r>
      <w:r w:rsidR="0074575B" w:rsidRPr="00304C01">
        <w:rPr>
          <w:i/>
          <w:iCs/>
          <w:color w:val="auto"/>
          <w:sz w:val="22"/>
          <w:szCs w:val="22"/>
        </w:rPr>
        <w:t>Corporations Act 2001</w:t>
      </w:r>
      <w:r w:rsidR="0074575B">
        <w:rPr>
          <w:i/>
          <w:color w:val="auto"/>
          <w:sz w:val="22"/>
          <w:szCs w:val="22"/>
        </w:rPr>
        <w:t xml:space="preserve"> </w:t>
      </w:r>
      <w:r w:rsidR="00DA146A">
        <w:rPr>
          <w:color w:val="auto"/>
          <w:sz w:val="22"/>
          <w:szCs w:val="22"/>
        </w:rPr>
        <w:t>(the Act)</w:t>
      </w:r>
      <w:r w:rsidR="0074575B">
        <w:rPr>
          <w:color w:val="auto"/>
          <w:sz w:val="22"/>
          <w:szCs w:val="22"/>
        </w:rPr>
        <w:t xml:space="preserve"> </w:t>
      </w:r>
      <w:r w:rsidR="00635D59">
        <w:rPr>
          <w:color w:val="auto"/>
          <w:sz w:val="22"/>
          <w:szCs w:val="22"/>
        </w:rPr>
        <w:t xml:space="preserve">to issue </w:t>
      </w:r>
      <w:r w:rsidRPr="00272686">
        <w:rPr>
          <w:color w:val="auto"/>
          <w:sz w:val="22"/>
          <w:szCs w:val="22"/>
        </w:rPr>
        <w:t xml:space="preserve">a determination that temporarily allowed companies to </w:t>
      </w:r>
      <w:r w:rsidR="0074575B">
        <w:rPr>
          <w:color w:val="auto"/>
          <w:sz w:val="22"/>
          <w:szCs w:val="22"/>
        </w:rPr>
        <w:t xml:space="preserve">use technology to </w:t>
      </w:r>
      <w:r w:rsidRPr="00272686">
        <w:rPr>
          <w:color w:val="auto"/>
          <w:sz w:val="22"/>
          <w:szCs w:val="22"/>
        </w:rPr>
        <w:t xml:space="preserve">satisfy </w:t>
      </w:r>
      <w:r w:rsidR="001D2664">
        <w:rPr>
          <w:color w:val="auto"/>
          <w:sz w:val="22"/>
          <w:szCs w:val="22"/>
        </w:rPr>
        <w:t xml:space="preserve">their </w:t>
      </w:r>
      <w:r w:rsidRPr="00272686">
        <w:rPr>
          <w:color w:val="auto"/>
          <w:sz w:val="22"/>
          <w:szCs w:val="22"/>
        </w:rPr>
        <w:t xml:space="preserve">legal obligations concerning meetings and document execution. </w:t>
      </w:r>
      <w:r w:rsidR="000935A6">
        <w:rPr>
          <w:color w:val="auto"/>
          <w:sz w:val="22"/>
          <w:szCs w:val="22"/>
        </w:rPr>
        <w:t xml:space="preserve">The temporary instrument-making power allowed the Treasurer to provide short-term regulatory relief to those who are unable to meet their obligations under the </w:t>
      </w:r>
      <w:r w:rsidR="00A00F1C">
        <w:rPr>
          <w:i/>
          <w:color w:val="auto"/>
          <w:sz w:val="22"/>
          <w:szCs w:val="22"/>
        </w:rPr>
        <w:t xml:space="preserve"> </w:t>
      </w:r>
      <w:r w:rsidR="003E15A1">
        <w:rPr>
          <w:color w:val="auto"/>
          <w:sz w:val="22"/>
          <w:szCs w:val="22"/>
        </w:rPr>
        <w:t xml:space="preserve"> Act </w:t>
      </w:r>
      <w:r w:rsidR="00A32B35">
        <w:rPr>
          <w:color w:val="auto"/>
          <w:sz w:val="22"/>
          <w:szCs w:val="22"/>
        </w:rPr>
        <w:t>due to the Coronavirus crisis.</w:t>
      </w:r>
      <w:r w:rsidR="000935A6">
        <w:rPr>
          <w:color w:val="auto"/>
          <w:sz w:val="22"/>
          <w:szCs w:val="22"/>
        </w:rPr>
        <w:t xml:space="preserve"> </w:t>
      </w:r>
      <w:r w:rsidRPr="00272686">
        <w:rPr>
          <w:color w:val="auto"/>
          <w:sz w:val="22"/>
          <w:szCs w:val="22"/>
        </w:rPr>
        <w:t xml:space="preserve">This determination supported companies so they could continue to operate while still meeting social distancing requirements brought about by the Coronavirus </w:t>
      </w:r>
      <w:r w:rsidR="007218C9">
        <w:rPr>
          <w:color w:val="auto"/>
          <w:sz w:val="22"/>
          <w:szCs w:val="22"/>
        </w:rPr>
        <w:t>crisis</w:t>
      </w:r>
      <w:r w:rsidRPr="00272686">
        <w:rPr>
          <w:color w:val="auto"/>
          <w:sz w:val="22"/>
          <w:szCs w:val="22"/>
        </w:rPr>
        <w:t>. The temporary reforms allow</w:t>
      </w:r>
      <w:r w:rsidR="00B71982">
        <w:rPr>
          <w:color w:val="auto"/>
          <w:sz w:val="22"/>
          <w:szCs w:val="22"/>
        </w:rPr>
        <w:t>ed</w:t>
      </w:r>
      <w:r w:rsidRPr="00272686">
        <w:rPr>
          <w:color w:val="auto"/>
          <w:sz w:val="22"/>
          <w:szCs w:val="22"/>
        </w:rPr>
        <w:t xml:space="preserve"> companies and their officers to:</w:t>
      </w:r>
    </w:p>
    <w:p w14:paraId="687E6DF7" w14:textId="65258C12" w:rsidR="006178B8" w:rsidRPr="00272686" w:rsidRDefault="006178B8" w:rsidP="006178B8">
      <w:pPr>
        <w:pStyle w:val="Bullet"/>
        <w:rPr>
          <w:color w:val="auto"/>
          <w:szCs w:val="22"/>
        </w:rPr>
      </w:pPr>
      <w:r w:rsidRPr="00272686">
        <w:rPr>
          <w:color w:val="auto"/>
          <w:szCs w:val="22"/>
        </w:rPr>
        <w:t xml:space="preserve">validly execute documents electronically; </w:t>
      </w:r>
    </w:p>
    <w:p w14:paraId="13A670E8" w14:textId="77777777" w:rsidR="00EC2C11" w:rsidRDefault="00EC2C11" w:rsidP="006178B8">
      <w:pPr>
        <w:pStyle w:val="Bullet"/>
        <w:rPr>
          <w:color w:val="auto"/>
          <w:szCs w:val="22"/>
        </w:rPr>
      </w:pPr>
      <w:r>
        <w:rPr>
          <w:color w:val="auto"/>
          <w:szCs w:val="22"/>
        </w:rPr>
        <w:t xml:space="preserve">provide meeting-related materials </w:t>
      </w:r>
      <w:r w:rsidRPr="00272686">
        <w:rPr>
          <w:color w:val="auto"/>
          <w:szCs w:val="22"/>
        </w:rPr>
        <w:t>electronically</w:t>
      </w:r>
      <w:r>
        <w:rPr>
          <w:color w:val="auto"/>
          <w:szCs w:val="22"/>
        </w:rPr>
        <w:t>; and</w:t>
      </w:r>
    </w:p>
    <w:p w14:paraId="554D7A04" w14:textId="56E4BF3E" w:rsidR="006178B8" w:rsidRPr="00D2315F" w:rsidRDefault="006178B8" w:rsidP="00CD77BA">
      <w:pPr>
        <w:pStyle w:val="Bullet"/>
        <w:rPr>
          <w:color w:val="auto"/>
          <w:szCs w:val="22"/>
        </w:rPr>
      </w:pPr>
      <w:r w:rsidRPr="00D2315F">
        <w:rPr>
          <w:color w:val="auto"/>
          <w:szCs w:val="22"/>
        </w:rPr>
        <w:t xml:space="preserve">hold </w:t>
      </w:r>
      <w:r w:rsidR="00C70A1D" w:rsidRPr="00D2315F">
        <w:rPr>
          <w:color w:val="auto"/>
          <w:szCs w:val="22"/>
        </w:rPr>
        <w:t>wholly</w:t>
      </w:r>
      <w:r w:rsidR="00635D59" w:rsidRPr="00D2315F">
        <w:rPr>
          <w:color w:val="auto"/>
          <w:szCs w:val="22"/>
        </w:rPr>
        <w:t xml:space="preserve"> </w:t>
      </w:r>
      <w:r w:rsidR="00C70A1D" w:rsidRPr="00D2315F">
        <w:rPr>
          <w:color w:val="auto"/>
          <w:szCs w:val="22"/>
        </w:rPr>
        <w:t>virtual meetings</w:t>
      </w:r>
      <w:r w:rsidR="00EC2C11" w:rsidRPr="00D2315F">
        <w:rPr>
          <w:color w:val="auto"/>
          <w:szCs w:val="22"/>
        </w:rPr>
        <w:t>.</w:t>
      </w:r>
    </w:p>
    <w:p w14:paraId="184ECAC4" w14:textId="2089A124" w:rsidR="006178B8" w:rsidRPr="00272686" w:rsidRDefault="00534824" w:rsidP="006178B8">
      <w:pPr>
        <w:rPr>
          <w:color w:val="auto"/>
          <w:sz w:val="22"/>
          <w:szCs w:val="22"/>
        </w:rPr>
      </w:pPr>
      <w:r>
        <w:rPr>
          <w:color w:val="auto"/>
          <w:sz w:val="22"/>
          <w:szCs w:val="22"/>
        </w:rPr>
        <w:t>Due to the ongoing challenges posed by the Coronavirus crisis, th</w:t>
      </w:r>
      <w:r w:rsidR="006178B8" w:rsidRPr="00272686">
        <w:rPr>
          <w:color w:val="auto"/>
          <w:sz w:val="22"/>
          <w:szCs w:val="22"/>
        </w:rPr>
        <w:t xml:space="preserve">e Treasurer </w:t>
      </w:r>
      <w:r w:rsidR="00C70A1D">
        <w:rPr>
          <w:color w:val="auto"/>
          <w:sz w:val="22"/>
          <w:szCs w:val="22"/>
        </w:rPr>
        <w:t>subsequently remade</w:t>
      </w:r>
      <w:r w:rsidR="006178B8" w:rsidRPr="00272686">
        <w:rPr>
          <w:color w:val="auto"/>
          <w:sz w:val="22"/>
          <w:szCs w:val="22"/>
        </w:rPr>
        <w:t xml:space="preserve"> the determination to extend the </w:t>
      </w:r>
      <w:r>
        <w:rPr>
          <w:color w:val="auto"/>
          <w:sz w:val="22"/>
          <w:szCs w:val="22"/>
        </w:rPr>
        <w:t>relief until</w:t>
      </w:r>
      <w:r w:rsidR="006178B8" w:rsidRPr="00272686">
        <w:rPr>
          <w:color w:val="auto"/>
          <w:sz w:val="22"/>
          <w:szCs w:val="22"/>
        </w:rPr>
        <w:t xml:space="preserve"> 21 March 2021</w:t>
      </w:r>
      <w:r>
        <w:rPr>
          <w:color w:val="auto"/>
          <w:sz w:val="22"/>
          <w:szCs w:val="22"/>
        </w:rPr>
        <w:t>.</w:t>
      </w:r>
      <w:r w:rsidR="006178B8" w:rsidRPr="00272686">
        <w:rPr>
          <w:color w:val="auto"/>
          <w:sz w:val="22"/>
          <w:szCs w:val="22"/>
        </w:rPr>
        <w:t xml:space="preserve"> </w:t>
      </w:r>
      <w:r w:rsidR="00955593">
        <w:rPr>
          <w:color w:val="auto"/>
          <w:sz w:val="22"/>
          <w:szCs w:val="22"/>
        </w:rPr>
        <w:t>On 10 August</w:t>
      </w:r>
      <w:r w:rsidR="00F57A97">
        <w:rPr>
          <w:color w:val="auto"/>
          <w:sz w:val="22"/>
          <w:szCs w:val="22"/>
        </w:rPr>
        <w:t xml:space="preserve"> 2021</w:t>
      </w:r>
      <w:r w:rsidR="00955593">
        <w:rPr>
          <w:color w:val="auto"/>
          <w:sz w:val="22"/>
          <w:szCs w:val="22"/>
        </w:rPr>
        <w:t xml:space="preserve">, the Government renewed the </w:t>
      </w:r>
      <w:r>
        <w:rPr>
          <w:color w:val="auto"/>
          <w:sz w:val="22"/>
          <w:szCs w:val="22"/>
        </w:rPr>
        <w:t>temporary measures</w:t>
      </w:r>
      <w:r w:rsidR="00B71982">
        <w:rPr>
          <w:color w:val="auto"/>
          <w:sz w:val="22"/>
          <w:szCs w:val="22"/>
        </w:rPr>
        <w:t xml:space="preserve"> through the </w:t>
      </w:r>
      <w:r w:rsidR="00B71982" w:rsidRPr="006B6AF4">
        <w:rPr>
          <w:i/>
          <w:iCs/>
          <w:color w:val="auto"/>
          <w:sz w:val="22"/>
          <w:szCs w:val="22"/>
        </w:rPr>
        <w:t>Treasury Laws Amendment (2021 Measures No. 1) Act 2021</w:t>
      </w:r>
      <w:r w:rsidR="00B71982">
        <w:rPr>
          <w:color w:val="auto"/>
          <w:sz w:val="22"/>
          <w:szCs w:val="22"/>
        </w:rPr>
        <w:t>.</w:t>
      </w:r>
      <w:r>
        <w:rPr>
          <w:color w:val="auto"/>
          <w:sz w:val="22"/>
          <w:szCs w:val="22"/>
        </w:rPr>
        <w:t xml:space="preserve"> </w:t>
      </w:r>
      <w:r w:rsidR="00B71982">
        <w:rPr>
          <w:color w:val="auto"/>
          <w:sz w:val="22"/>
          <w:szCs w:val="22"/>
        </w:rPr>
        <w:t xml:space="preserve">This temporary relief </w:t>
      </w:r>
      <w:r w:rsidR="00FB1CE8">
        <w:rPr>
          <w:color w:val="auto"/>
          <w:sz w:val="22"/>
          <w:szCs w:val="22"/>
        </w:rPr>
        <w:t>will expire on</w:t>
      </w:r>
      <w:r>
        <w:rPr>
          <w:color w:val="auto"/>
          <w:sz w:val="22"/>
          <w:szCs w:val="22"/>
        </w:rPr>
        <w:t xml:space="preserve"> 31 March 202</w:t>
      </w:r>
      <w:r w:rsidR="00F57A97">
        <w:rPr>
          <w:color w:val="auto"/>
          <w:sz w:val="22"/>
          <w:szCs w:val="22"/>
        </w:rPr>
        <w:t>2</w:t>
      </w:r>
      <w:r>
        <w:rPr>
          <w:color w:val="auto"/>
          <w:sz w:val="22"/>
          <w:szCs w:val="22"/>
        </w:rPr>
        <w:t xml:space="preserve">. </w:t>
      </w:r>
    </w:p>
    <w:p w14:paraId="21C5767B" w14:textId="638F21CC" w:rsidR="006178B8" w:rsidRDefault="006178B8" w:rsidP="006178B8">
      <w:pPr>
        <w:rPr>
          <w:color w:val="auto"/>
          <w:sz w:val="22"/>
          <w:szCs w:val="22"/>
        </w:rPr>
      </w:pPr>
      <w:r w:rsidRPr="00272686">
        <w:rPr>
          <w:color w:val="auto"/>
          <w:sz w:val="22"/>
          <w:szCs w:val="22"/>
        </w:rPr>
        <w:t xml:space="preserve">In the meantime, the Government announced as part of the Digital Business Plan in the 2020-21 Budget, that it would consult on making </w:t>
      </w:r>
      <w:r w:rsidR="00534824">
        <w:rPr>
          <w:color w:val="auto"/>
          <w:sz w:val="22"/>
          <w:szCs w:val="22"/>
        </w:rPr>
        <w:t>the reforms permanent</w:t>
      </w:r>
      <w:r w:rsidRPr="00272686">
        <w:rPr>
          <w:color w:val="auto"/>
          <w:sz w:val="22"/>
          <w:szCs w:val="22"/>
        </w:rPr>
        <w:t xml:space="preserve">. Following consultation, the Government </w:t>
      </w:r>
      <w:r w:rsidR="00493A2B">
        <w:rPr>
          <w:color w:val="auto"/>
          <w:sz w:val="22"/>
          <w:szCs w:val="22"/>
        </w:rPr>
        <w:t xml:space="preserve">announced </w:t>
      </w:r>
      <w:r w:rsidR="00B71982">
        <w:rPr>
          <w:color w:val="auto"/>
          <w:sz w:val="22"/>
          <w:szCs w:val="22"/>
        </w:rPr>
        <w:t>on 17</w:t>
      </w:r>
      <w:r w:rsidR="00EC2C11">
        <w:rPr>
          <w:color w:val="auto"/>
          <w:sz w:val="22"/>
          <w:szCs w:val="22"/>
        </w:rPr>
        <w:t> </w:t>
      </w:r>
      <w:r w:rsidR="00B71982">
        <w:rPr>
          <w:color w:val="auto"/>
          <w:sz w:val="22"/>
          <w:szCs w:val="22"/>
        </w:rPr>
        <w:t xml:space="preserve">February 2021, </w:t>
      </w:r>
      <w:r w:rsidR="00493A2B">
        <w:rPr>
          <w:color w:val="auto"/>
          <w:sz w:val="22"/>
          <w:szCs w:val="22"/>
        </w:rPr>
        <w:t>that it would progress:</w:t>
      </w:r>
    </w:p>
    <w:p w14:paraId="62DD80D6" w14:textId="4C86A71E" w:rsidR="00493A2B" w:rsidRDefault="00493A2B" w:rsidP="00493A2B">
      <w:pPr>
        <w:pStyle w:val="Bullet"/>
      </w:pPr>
      <w:r>
        <w:t>permanent reforms that will facilitate companies and their officers to validly execute documents and send meeting-related materials electronically; and</w:t>
      </w:r>
    </w:p>
    <w:p w14:paraId="03EE5F1E" w14:textId="5AF79FF8" w:rsidR="00493A2B" w:rsidRPr="00272686" w:rsidRDefault="00493A2B" w:rsidP="00493A2B">
      <w:pPr>
        <w:pStyle w:val="Bullet"/>
      </w:pPr>
      <w:r>
        <w:t xml:space="preserve">conduct a 12-month opt-in review of annual general meetings to enable a proper assessment of the benefits of </w:t>
      </w:r>
      <w:r w:rsidR="00096D1A">
        <w:t xml:space="preserve">using </w:t>
      </w:r>
      <w:r>
        <w:t>technology</w:t>
      </w:r>
      <w:r w:rsidR="00096D1A">
        <w:t xml:space="preserve"> to engage with </w:t>
      </w:r>
      <w:r w:rsidR="00E1726A">
        <w:t>members</w:t>
      </w:r>
      <w:r>
        <w:t>.</w:t>
      </w:r>
    </w:p>
    <w:p w14:paraId="0746B23E" w14:textId="4053A38F" w:rsidR="00816247" w:rsidRPr="00C70A1D" w:rsidRDefault="00C70A1D">
      <w:pPr>
        <w:rPr>
          <w:color w:val="auto"/>
          <w:sz w:val="22"/>
          <w:szCs w:val="22"/>
        </w:rPr>
      </w:pPr>
      <w:r>
        <w:rPr>
          <w:color w:val="auto"/>
          <w:sz w:val="22"/>
          <w:szCs w:val="22"/>
        </w:rPr>
        <w:t xml:space="preserve">The permanent reforms in respect of document execution and sending meeting-related materials are the subject of this Regulation Impact Statement. </w:t>
      </w:r>
      <w:r w:rsidR="00E75830" w:rsidRPr="00141BB0">
        <w:rPr>
          <w:color w:val="auto"/>
          <w:sz w:val="22"/>
          <w:szCs w:val="22"/>
        </w:rPr>
        <w:t xml:space="preserve">The reforms clearly articulate that the law clarifies that physical, hybrid or virtual meetings (if expressly permitted by constitutions) can be held. </w:t>
      </w:r>
      <w:r w:rsidR="00493A2B" w:rsidRPr="00141BB0">
        <w:rPr>
          <w:color w:val="auto"/>
          <w:sz w:val="22"/>
          <w:szCs w:val="22"/>
        </w:rPr>
        <w:t xml:space="preserve">Following the </w:t>
      </w:r>
      <w:r w:rsidR="00940902" w:rsidRPr="00141BB0">
        <w:rPr>
          <w:color w:val="auto"/>
          <w:sz w:val="22"/>
          <w:szCs w:val="22"/>
        </w:rPr>
        <w:t xml:space="preserve">abovementioned </w:t>
      </w:r>
      <w:r w:rsidR="00493A2B" w:rsidRPr="00141BB0">
        <w:rPr>
          <w:color w:val="auto"/>
          <w:sz w:val="22"/>
          <w:szCs w:val="22"/>
        </w:rPr>
        <w:t xml:space="preserve">review of annual general meetings, a separate Regulation Impact Statement will be drafted </w:t>
      </w:r>
      <w:r w:rsidR="00BC3A35">
        <w:rPr>
          <w:color w:val="auto"/>
          <w:sz w:val="22"/>
          <w:szCs w:val="22"/>
        </w:rPr>
        <w:t>for</w:t>
      </w:r>
      <w:r w:rsidR="00493A2B" w:rsidRPr="00141BB0">
        <w:rPr>
          <w:color w:val="auto"/>
          <w:sz w:val="22"/>
          <w:szCs w:val="22"/>
        </w:rPr>
        <w:t xml:space="preserve"> meetings</w:t>
      </w:r>
      <w:r w:rsidRPr="00141BB0">
        <w:rPr>
          <w:color w:val="auto"/>
          <w:sz w:val="22"/>
          <w:szCs w:val="22"/>
        </w:rPr>
        <w:t xml:space="preserve">, covering the rules that are being consulted on as part of </w:t>
      </w:r>
      <w:r w:rsidR="00A75ECC" w:rsidRPr="00141BB0">
        <w:rPr>
          <w:color w:val="auto"/>
          <w:sz w:val="22"/>
          <w:szCs w:val="22"/>
        </w:rPr>
        <w:t xml:space="preserve">the </w:t>
      </w:r>
      <w:r w:rsidR="00A75ECC" w:rsidRPr="00141BB0">
        <w:rPr>
          <w:i/>
          <w:iCs/>
          <w:color w:val="auto"/>
          <w:sz w:val="22"/>
          <w:szCs w:val="22"/>
        </w:rPr>
        <w:t>Corporations Amendment (</w:t>
      </w:r>
      <w:r w:rsidR="0009548A">
        <w:rPr>
          <w:i/>
          <w:iCs/>
          <w:color w:val="auto"/>
          <w:sz w:val="22"/>
          <w:szCs w:val="22"/>
        </w:rPr>
        <w:t>Hybrid Meetings</w:t>
      </w:r>
      <w:r w:rsidR="00A75ECC" w:rsidRPr="00141BB0">
        <w:rPr>
          <w:i/>
          <w:iCs/>
          <w:color w:val="auto"/>
          <w:sz w:val="22"/>
          <w:szCs w:val="22"/>
        </w:rPr>
        <w:t>) Bill 2021</w:t>
      </w:r>
      <w:r w:rsidRPr="00141BB0">
        <w:rPr>
          <w:color w:val="auto"/>
          <w:sz w:val="22"/>
          <w:szCs w:val="22"/>
        </w:rPr>
        <w:t>, drawing on the information obtained as part of the review.</w:t>
      </w:r>
      <w:r>
        <w:rPr>
          <w:color w:val="auto"/>
          <w:sz w:val="22"/>
          <w:szCs w:val="22"/>
        </w:rPr>
        <w:t xml:space="preserve"> </w:t>
      </w:r>
    </w:p>
    <w:p w14:paraId="52478BEF" w14:textId="14046295" w:rsidR="00716A5F" w:rsidRDefault="00716A5F" w:rsidP="00FE09D3">
      <w:pPr>
        <w:pStyle w:val="Title"/>
      </w:pPr>
      <w:r>
        <w:t>1. What is the problem you are trying to solve?</w:t>
      </w:r>
    </w:p>
    <w:p w14:paraId="73220BE9" w14:textId="74BE68A0" w:rsidR="00EE298C" w:rsidRPr="00272686" w:rsidRDefault="00EE298C" w:rsidP="00EE298C">
      <w:pPr>
        <w:rPr>
          <w:color w:val="auto"/>
          <w:sz w:val="22"/>
          <w:szCs w:val="22"/>
        </w:rPr>
      </w:pPr>
      <w:bookmarkStart w:id="1" w:name="_Hlk78549183"/>
      <w:r w:rsidRPr="00272686">
        <w:rPr>
          <w:color w:val="auto"/>
          <w:sz w:val="22"/>
          <w:szCs w:val="22"/>
        </w:rPr>
        <w:t>Prior to the temporary determination</w:t>
      </w:r>
      <w:r w:rsidR="00B41ABD">
        <w:rPr>
          <w:color w:val="auto"/>
          <w:sz w:val="22"/>
          <w:szCs w:val="22"/>
        </w:rPr>
        <w:t>s and legislated relief</w:t>
      </w:r>
      <w:r w:rsidRPr="00272686">
        <w:rPr>
          <w:color w:val="auto"/>
          <w:sz w:val="22"/>
          <w:szCs w:val="22"/>
        </w:rPr>
        <w:t>, companies were restricted in their ability to use technolog</w:t>
      </w:r>
      <w:r w:rsidR="00E76F8F">
        <w:rPr>
          <w:color w:val="auto"/>
          <w:sz w:val="22"/>
          <w:szCs w:val="22"/>
        </w:rPr>
        <w:t>y</w:t>
      </w:r>
      <w:r w:rsidRPr="00272686">
        <w:rPr>
          <w:color w:val="auto"/>
          <w:sz w:val="22"/>
          <w:szCs w:val="22"/>
        </w:rPr>
        <w:t xml:space="preserve"> to comply with the requirements related to document execution and meeting documents, respectively found under section 127 and Chapter 2G of </w:t>
      </w:r>
      <w:r w:rsidR="00B41ABD" w:rsidRPr="00141BB0">
        <w:rPr>
          <w:color w:val="auto"/>
          <w:sz w:val="22"/>
          <w:szCs w:val="22"/>
        </w:rPr>
        <w:t>the Act</w:t>
      </w:r>
      <w:r w:rsidRPr="00272686">
        <w:rPr>
          <w:color w:val="auto"/>
          <w:sz w:val="22"/>
          <w:szCs w:val="22"/>
        </w:rPr>
        <w:t xml:space="preserve">. </w:t>
      </w:r>
    </w:p>
    <w:p w14:paraId="7C2FDB4F" w14:textId="4B4CD036" w:rsidR="00EE298C" w:rsidRDefault="004A1272" w:rsidP="00EE298C">
      <w:pPr>
        <w:pStyle w:val="Heading2"/>
      </w:pPr>
      <w:bookmarkStart w:id="2" w:name="_Toc72506199"/>
      <w:bookmarkEnd w:id="1"/>
      <w:r>
        <w:t xml:space="preserve">1.1 </w:t>
      </w:r>
      <w:r w:rsidR="00EE298C">
        <w:t>Valid document execution requirements</w:t>
      </w:r>
      <w:bookmarkEnd w:id="2"/>
    </w:p>
    <w:p w14:paraId="021509CA" w14:textId="313C2856" w:rsidR="003F5088" w:rsidRPr="003F5088" w:rsidRDefault="003F5088" w:rsidP="003F5088">
      <w:pPr>
        <w:rPr>
          <w:color w:val="auto"/>
          <w:sz w:val="22"/>
          <w:szCs w:val="22"/>
        </w:rPr>
      </w:pPr>
      <w:bookmarkStart w:id="3" w:name="_Toc72506200"/>
      <w:r w:rsidRPr="003F5088">
        <w:rPr>
          <w:color w:val="auto"/>
          <w:sz w:val="22"/>
          <w:szCs w:val="22"/>
        </w:rPr>
        <w:t xml:space="preserve">Section 127 of the </w:t>
      </w:r>
      <w:r w:rsidRPr="003C4793">
        <w:rPr>
          <w:color w:val="auto"/>
          <w:sz w:val="22"/>
          <w:szCs w:val="22"/>
        </w:rPr>
        <w:t>Act</w:t>
      </w:r>
      <w:r w:rsidRPr="006B6AF4">
        <w:rPr>
          <w:i/>
          <w:iCs/>
          <w:color w:val="auto"/>
          <w:sz w:val="22"/>
          <w:szCs w:val="22"/>
        </w:rPr>
        <w:t xml:space="preserve"> </w:t>
      </w:r>
      <w:r w:rsidR="00FE2ED0">
        <w:rPr>
          <w:color w:val="auto"/>
          <w:sz w:val="22"/>
          <w:szCs w:val="22"/>
        </w:rPr>
        <w:t xml:space="preserve">sets out </w:t>
      </w:r>
      <w:r w:rsidRPr="003F5088">
        <w:rPr>
          <w:color w:val="auto"/>
          <w:sz w:val="22"/>
          <w:szCs w:val="22"/>
        </w:rPr>
        <w:t xml:space="preserve">a process for companies to validly execute a document containing legal rights and/or obligations, such as a contract or a deed. It provides that a company will have validly executed the document if two directors of a company, a director and secretary of a company or a sole director for a proprietary company </w:t>
      </w:r>
      <w:r w:rsidRPr="00222FB3">
        <w:rPr>
          <w:color w:val="auto"/>
          <w:sz w:val="22"/>
          <w:szCs w:val="22"/>
        </w:rPr>
        <w:t xml:space="preserve">sign the </w:t>
      </w:r>
      <w:r w:rsidR="00324C38" w:rsidRPr="00222FB3">
        <w:rPr>
          <w:color w:val="auto"/>
          <w:sz w:val="22"/>
          <w:szCs w:val="22"/>
        </w:rPr>
        <w:t>document or</w:t>
      </w:r>
      <w:r w:rsidRPr="00222FB3">
        <w:rPr>
          <w:color w:val="auto"/>
          <w:sz w:val="22"/>
          <w:szCs w:val="22"/>
        </w:rPr>
        <w:t xml:space="preserve"> witness the affixation of the common seal of the company to the document.</w:t>
      </w:r>
    </w:p>
    <w:p w14:paraId="7C254A25" w14:textId="01DD1C7C" w:rsidR="003F5088" w:rsidRPr="003F5088" w:rsidRDefault="003F5088" w:rsidP="003F5088">
      <w:pPr>
        <w:rPr>
          <w:color w:val="auto"/>
          <w:sz w:val="22"/>
          <w:szCs w:val="22"/>
        </w:rPr>
      </w:pPr>
      <w:r w:rsidRPr="003F5088">
        <w:rPr>
          <w:color w:val="auto"/>
          <w:sz w:val="22"/>
          <w:szCs w:val="22"/>
        </w:rPr>
        <w:t xml:space="preserve">The purpose of prescribing this process is to provide certainty for counterparties transacting with companies of their legal rights and obligations in respect of a company and to set expectations that companies set up internal corporate governance mechanisms to ensure that documents are only executed when a company intends </w:t>
      </w:r>
      <w:r w:rsidR="00D2315F">
        <w:rPr>
          <w:color w:val="auto"/>
          <w:sz w:val="22"/>
          <w:szCs w:val="22"/>
        </w:rPr>
        <w:t xml:space="preserve">to </w:t>
      </w:r>
      <w:r w:rsidRPr="003F5088">
        <w:rPr>
          <w:color w:val="auto"/>
          <w:sz w:val="22"/>
          <w:szCs w:val="22"/>
        </w:rPr>
        <w:t xml:space="preserve">be bound by legal rights and obligations. </w:t>
      </w:r>
    </w:p>
    <w:p w14:paraId="3D9A5D63" w14:textId="2B85A4A3" w:rsidR="003F5088" w:rsidRPr="003F5088" w:rsidRDefault="003F5088" w:rsidP="003F5088">
      <w:pPr>
        <w:rPr>
          <w:color w:val="auto"/>
          <w:sz w:val="22"/>
          <w:szCs w:val="22"/>
        </w:rPr>
      </w:pPr>
      <w:r w:rsidRPr="003F5088">
        <w:rPr>
          <w:color w:val="auto"/>
          <w:sz w:val="22"/>
          <w:szCs w:val="22"/>
        </w:rPr>
        <w:t>The current process</w:t>
      </w:r>
      <w:r w:rsidR="00FE2ED0">
        <w:rPr>
          <w:color w:val="auto"/>
          <w:sz w:val="22"/>
          <w:szCs w:val="22"/>
        </w:rPr>
        <w:t xml:space="preserve">, legislated in </w:t>
      </w:r>
      <w:r w:rsidR="00231419">
        <w:rPr>
          <w:color w:val="auto"/>
          <w:sz w:val="22"/>
          <w:szCs w:val="22"/>
        </w:rPr>
        <w:t>2001</w:t>
      </w:r>
      <w:r w:rsidR="00FE2ED0">
        <w:rPr>
          <w:color w:val="auto"/>
          <w:sz w:val="22"/>
          <w:szCs w:val="22"/>
        </w:rPr>
        <w:t>,</w:t>
      </w:r>
      <w:r w:rsidRPr="003F5088">
        <w:rPr>
          <w:color w:val="auto"/>
          <w:sz w:val="22"/>
          <w:szCs w:val="22"/>
        </w:rPr>
        <w:t xml:space="preserve"> does not align with the </w:t>
      </w:r>
      <w:r w:rsidRPr="00222FB3">
        <w:rPr>
          <w:color w:val="auto"/>
          <w:sz w:val="22"/>
          <w:szCs w:val="22"/>
        </w:rPr>
        <w:t xml:space="preserve">Government’s plans to enable businesses to take advantage of </w:t>
      </w:r>
      <w:r w:rsidR="00FE2ED0" w:rsidRPr="00222FB3">
        <w:rPr>
          <w:color w:val="auto"/>
          <w:sz w:val="22"/>
          <w:szCs w:val="22"/>
        </w:rPr>
        <w:t xml:space="preserve">existing and emerging </w:t>
      </w:r>
      <w:r w:rsidRPr="00222FB3">
        <w:rPr>
          <w:color w:val="auto"/>
          <w:sz w:val="22"/>
          <w:szCs w:val="22"/>
        </w:rPr>
        <w:t>digital technologies.</w:t>
      </w:r>
      <w:r w:rsidRPr="003F5088">
        <w:rPr>
          <w:color w:val="auto"/>
          <w:sz w:val="22"/>
          <w:szCs w:val="22"/>
        </w:rPr>
        <w:t xml:space="preserve"> To be able to rely on section 127 </w:t>
      </w:r>
      <w:r w:rsidR="00B41ABD">
        <w:rPr>
          <w:color w:val="auto"/>
          <w:sz w:val="22"/>
          <w:szCs w:val="22"/>
        </w:rPr>
        <w:t xml:space="preserve">of the Act </w:t>
      </w:r>
      <w:r w:rsidRPr="003F5088">
        <w:rPr>
          <w:color w:val="auto"/>
          <w:sz w:val="22"/>
          <w:szCs w:val="22"/>
        </w:rPr>
        <w:t>to validly execute documents, it is generally taken that the physical presence of company officers to sign a paper document using wet</w:t>
      </w:r>
      <w:r w:rsidR="00094C17">
        <w:rPr>
          <w:color w:val="auto"/>
          <w:sz w:val="22"/>
          <w:szCs w:val="22"/>
        </w:rPr>
        <w:t>-</w:t>
      </w:r>
      <w:r w:rsidRPr="003F5088">
        <w:rPr>
          <w:color w:val="auto"/>
          <w:sz w:val="22"/>
          <w:szCs w:val="22"/>
        </w:rPr>
        <w:t xml:space="preserve">ink or to witness the affixation of the common seal is required. This requires company officers to physically meet or for companies to pay for the document to be transported in hard copy. These costs are incurred unnecessarily, because there is technology </w:t>
      </w:r>
      <w:r w:rsidR="00FE2ED0">
        <w:rPr>
          <w:color w:val="auto"/>
          <w:sz w:val="22"/>
          <w:szCs w:val="22"/>
        </w:rPr>
        <w:t xml:space="preserve">now </w:t>
      </w:r>
      <w:r w:rsidRPr="003F5088">
        <w:rPr>
          <w:color w:val="auto"/>
          <w:sz w:val="22"/>
          <w:szCs w:val="22"/>
        </w:rPr>
        <w:t xml:space="preserve">available that allows company officers to sign or witness documents without meeting or transporting a hard copy document, and it is well within the capabilities of any company to ensure that these technologies are used </w:t>
      </w:r>
      <w:r w:rsidR="00914965">
        <w:rPr>
          <w:color w:val="auto"/>
          <w:sz w:val="22"/>
          <w:szCs w:val="22"/>
        </w:rPr>
        <w:t xml:space="preserve">effectively </w:t>
      </w:r>
      <w:r w:rsidRPr="003F5088">
        <w:rPr>
          <w:color w:val="auto"/>
          <w:sz w:val="22"/>
          <w:szCs w:val="22"/>
        </w:rPr>
        <w:t>where a company intend</w:t>
      </w:r>
      <w:r w:rsidR="00707380">
        <w:rPr>
          <w:color w:val="auto"/>
          <w:sz w:val="22"/>
          <w:szCs w:val="22"/>
        </w:rPr>
        <w:t>s</w:t>
      </w:r>
      <w:r w:rsidRPr="003F5088">
        <w:rPr>
          <w:color w:val="auto"/>
          <w:sz w:val="22"/>
          <w:szCs w:val="22"/>
        </w:rPr>
        <w:t xml:space="preserve"> for rights and obligations to be legally binding. </w:t>
      </w:r>
      <w:r w:rsidR="00EB0487">
        <w:rPr>
          <w:color w:val="auto"/>
          <w:sz w:val="22"/>
          <w:szCs w:val="22"/>
        </w:rPr>
        <w:t xml:space="preserve">Recently released consultation on Modernising Document Execution by the Department of </w:t>
      </w:r>
      <w:r w:rsidR="00E41A69">
        <w:rPr>
          <w:color w:val="auto"/>
          <w:sz w:val="22"/>
          <w:szCs w:val="22"/>
        </w:rPr>
        <w:t xml:space="preserve">the </w:t>
      </w:r>
      <w:r w:rsidR="00EB0487">
        <w:rPr>
          <w:color w:val="auto"/>
          <w:sz w:val="22"/>
          <w:szCs w:val="22"/>
        </w:rPr>
        <w:t>Prime Minister and Cabinet indicates that over 4.5 million deeds and more than 3.8 million statutory declarations are made each year by small and medium enterprises and consumers</w:t>
      </w:r>
      <w:r w:rsidR="003E15A1">
        <w:rPr>
          <w:color w:val="auto"/>
          <w:sz w:val="22"/>
          <w:szCs w:val="22"/>
        </w:rPr>
        <w:t xml:space="preserve"> </w:t>
      </w:r>
      <w:r w:rsidR="00E41A69">
        <w:rPr>
          <w:color w:val="auto"/>
          <w:sz w:val="22"/>
          <w:szCs w:val="22"/>
        </w:rPr>
        <w:t xml:space="preserve">and </w:t>
      </w:r>
      <w:r w:rsidR="00E45FE2">
        <w:rPr>
          <w:color w:val="auto"/>
          <w:sz w:val="22"/>
          <w:szCs w:val="22"/>
        </w:rPr>
        <w:t xml:space="preserve">reforms to the execution of these documents </w:t>
      </w:r>
      <w:r w:rsidR="003E15A1">
        <w:rPr>
          <w:color w:val="auto"/>
          <w:sz w:val="22"/>
          <w:szCs w:val="22"/>
        </w:rPr>
        <w:t>are</w:t>
      </w:r>
      <w:r w:rsidR="00E45FE2">
        <w:rPr>
          <w:color w:val="auto"/>
          <w:sz w:val="22"/>
          <w:szCs w:val="22"/>
        </w:rPr>
        <w:t xml:space="preserve"> </w:t>
      </w:r>
      <w:r w:rsidR="00EB0487">
        <w:rPr>
          <w:color w:val="auto"/>
          <w:sz w:val="22"/>
          <w:szCs w:val="22"/>
        </w:rPr>
        <w:t>estimat</w:t>
      </w:r>
      <w:r w:rsidR="00E45FE2">
        <w:rPr>
          <w:color w:val="auto"/>
          <w:sz w:val="22"/>
          <w:szCs w:val="22"/>
        </w:rPr>
        <w:t>ed to save</w:t>
      </w:r>
      <w:r w:rsidR="00EB0487">
        <w:rPr>
          <w:color w:val="auto"/>
          <w:sz w:val="22"/>
          <w:szCs w:val="22"/>
        </w:rPr>
        <w:t xml:space="preserve"> over $400 million in </w:t>
      </w:r>
      <w:r w:rsidR="00E45FE2">
        <w:rPr>
          <w:color w:val="auto"/>
          <w:sz w:val="22"/>
          <w:szCs w:val="22"/>
        </w:rPr>
        <w:t xml:space="preserve">direct </w:t>
      </w:r>
      <w:r w:rsidR="00EB0487">
        <w:rPr>
          <w:color w:val="auto"/>
          <w:sz w:val="22"/>
          <w:szCs w:val="22"/>
        </w:rPr>
        <w:t>costs</w:t>
      </w:r>
      <w:r w:rsidR="00E45FE2">
        <w:rPr>
          <w:color w:val="auto"/>
          <w:sz w:val="22"/>
          <w:szCs w:val="22"/>
        </w:rPr>
        <w:t xml:space="preserve"> and time wasted each year</w:t>
      </w:r>
      <w:r w:rsidR="00EB0487">
        <w:rPr>
          <w:color w:val="auto"/>
          <w:sz w:val="22"/>
          <w:szCs w:val="22"/>
        </w:rPr>
        <w:t>.</w:t>
      </w:r>
      <w:r w:rsidR="002D04FB">
        <w:rPr>
          <w:rStyle w:val="FootnoteReference"/>
          <w:color w:val="auto"/>
          <w:sz w:val="22"/>
          <w:szCs w:val="22"/>
        </w:rPr>
        <w:footnoteReference w:id="2"/>
      </w:r>
    </w:p>
    <w:p w14:paraId="35D80C5E" w14:textId="01EEFDD9" w:rsidR="00EE298C" w:rsidRDefault="004A1272" w:rsidP="00EE298C">
      <w:pPr>
        <w:pStyle w:val="Heading2"/>
      </w:pPr>
      <w:r>
        <w:t xml:space="preserve">1.2 </w:t>
      </w:r>
      <w:r w:rsidR="00EE298C">
        <w:t>Meeting-related documents requirements</w:t>
      </w:r>
      <w:bookmarkEnd w:id="3"/>
    </w:p>
    <w:p w14:paraId="550BC5A5" w14:textId="0063EE9C" w:rsidR="003F5088" w:rsidRPr="003F5088" w:rsidRDefault="003F5088" w:rsidP="003F5088">
      <w:pPr>
        <w:rPr>
          <w:color w:val="auto"/>
          <w:sz w:val="22"/>
          <w:szCs w:val="22"/>
        </w:rPr>
      </w:pPr>
      <w:r w:rsidRPr="003F5088">
        <w:rPr>
          <w:color w:val="auto"/>
          <w:sz w:val="22"/>
          <w:szCs w:val="22"/>
        </w:rPr>
        <w:t xml:space="preserve">Chapter 2G of the </w:t>
      </w:r>
      <w:r w:rsidRPr="002C1ACF">
        <w:rPr>
          <w:color w:val="auto"/>
          <w:sz w:val="22"/>
          <w:szCs w:val="22"/>
        </w:rPr>
        <w:t>Act</w:t>
      </w:r>
      <w:r w:rsidRPr="006B6AF4">
        <w:rPr>
          <w:i/>
          <w:iCs/>
          <w:color w:val="auto"/>
          <w:sz w:val="22"/>
          <w:szCs w:val="22"/>
        </w:rPr>
        <w:t xml:space="preserve"> </w:t>
      </w:r>
      <w:r w:rsidRPr="003F5088">
        <w:rPr>
          <w:color w:val="auto"/>
          <w:sz w:val="22"/>
          <w:szCs w:val="22"/>
        </w:rPr>
        <w:t xml:space="preserve">requires companies to provide a series of documents to </w:t>
      </w:r>
      <w:r w:rsidR="00914965">
        <w:rPr>
          <w:color w:val="auto"/>
          <w:sz w:val="22"/>
          <w:szCs w:val="22"/>
        </w:rPr>
        <w:t>members</w:t>
      </w:r>
      <w:r w:rsidR="00914965" w:rsidRPr="003F5088">
        <w:rPr>
          <w:color w:val="auto"/>
          <w:sz w:val="22"/>
          <w:szCs w:val="22"/>
        </w:rPr>
        <w:t xml:space="preserve"> </w:t>
      </w:r>
      <w:r w:rsidRPr="003F5088">
        <w:rPr>
          <w:color w:val="auto"/>
          <w:sz w:val="22"/>
          <w:szCs w:val="22"/>
        </w:rPr>
        <w:t xml:space="preserve">that are related to meetings. These include notices of the meeting, resolutions and member statements, proxy forms and when requested, minute books. The purpose of these requirements is to </w:t>
      </w:r>
      <w:r w:rsidR="00FE2ED0">
        <w:rPr>
          <w:color w:val="auto"/>
          <w:sz w:val="22"/>
          <w:szCs w:val="22"/>
        </w:rPr>
        <w:t xml:space="preserve">enable and </w:t>
      </w:r>
      <w:r w:rsidRPr="003F5088">
        <w:rPr>
          <w:color w:val="auto"/>
          <w:sz w:val="22"/>
          <w:szCs w:val="22"/>
        </w:rPr>
        <w:t xml:space="preserve">encourage </w:t>
      </w:r>
      <w:r w:rsidR="00914965">
        <w:rPr>
          <w:color w:val="auto"/>
          <w:sz w:val="22"/>
          <w:szCs w:val="22"/>
        </w:rPr>
        <w:t>member</w:t>
      </w:r>
      <w:r w:rsidR="00914965" w:rsidRPr="003F5088">
        <w:rPr>
          <w:color w:val="auto"/>
          <w:sz w:val="22"/>
          <w:szCs w:val="22"/>
        </w:rPr>
        <w:t xml:space="preserve"> </w:t>
      </w:r>
      <w:r w:rsidRPr="003F5088">
        <w:rPr>
          <w:color w:val="auto"/>
          <w:sz w:val="22"/>
          <w:szCs w:val="22"/>
        </w:rPr>
        <w:t xml:space="preserve">engagement with the operations of the companies in which they are invested. </w:t>
      </w:r>
    </w:p>
    <w:p w14:paraId="3FAA3C75" w14:textId="463E6B4D" w:rsidR="003F5088" w:rsidRPr="003F5088" w:rsidRDefault="003F5088" w:rsidP="003F5088">
      <w:pPr>
        <w:rPr>
          <w:color w:val="auto"/>
          <w:sz w:val="22"/>
          <w:szCs w:val="22"/>
        </w:rPr>
      </w:pPr>
      <w:r w:rsidRPr="003F5088">
        <w:rPr>
          <w:color w:val="auto"/>
          <w:sz w:val="22"/>
          <w:szCs w:val="22"/>
        </w:rPr>
        <w:t xml:space="preserve">Again, these requirements do not align with </w:t>
      </w:r>
      <w:r w:rsidRPr="00222FB3">
        <w:rPr>
          <w:color w:val="auto"/>
          <w:sz w:val="22"/>
          <w:szCs w:val="22"/>
        </w:rPr>
        <w:t xml:space="preserve">the Government’s plans to enable businesses to take advantage of </w:t>
      </w:r>
      <w:r w:rsidR="00FE2ED0" w:rsidRPr="00222FB3">
        <w:rPr>
          <w:color w:val="auto"/>
          <w:sz w:val="22"/>
          <w:szCs w:val="22"/>
        </w:rPr>
        <w:t xml:space="preserve">existing and emerging </w:t>
      </w:r>
      <w:r w:rsidRPr="00222FB3">
        <w:rPr>
          <w:color w:val="auto"/>
          <w:sz w:val="22"/>
          <w:szCs w:val="22"/>
        </w:rPr>
        <w:t>digital technologies. If</w:t>
      </w:r>
      <w:r w:rsidRPr="003F5088">
        <w:rPr>
          <w:color w:val="auto"/>
          <w:sz w:val="22"/>
          <w:szCs w:val="22"/>
        </w:rPr>
        <w:t xml:space="preserve"> a company must provide notice of meetings and other meeting</w:t>
      </w:r>
      <w:r w:rsidRPr="003F5088">
        <w:rPr>
          <w:color w:val="auto"/>
          <w:sz w:val="22"/>
          <w:szCs w:val="22"/>
        </w:rPr>
        <w:noBreakHyphen/>
        <w:t>related material via post, unless a member has nominated an electronic address, they cannot take advantage of modern technologies that could be more cost efficient for sending meeting notices than postal services.</w:t>
      </w:r>
      <w:r w:rsidR="00FE2ED0">
        <w:rPr>
          <w:color w:val="auto"/>
          <w:sz w:val="22"/>
          <w:szCs w:val="22"/>
        </w:rPr>
        <w:t xml:space="preserve"> </w:t>
      </w:r>
    </w:p>
    <w:p w14:paraId="00DE3577" w14:textId="19421C59" w:rsidR="003F5088" w:rsidRPr="003F5088" w:rsidRDefault="003F5088" w:rsidP="003F5088">
      <w:pPr>
        <w:rPr>
          <w:color w:val="auto"/>
          <w:sz w:val="22"/>
          <w:szCs w:val="22"/>
        </w:rPr>
      </w:pPr>
      <w:r w:rsidRPr="003F5088">
        <w:rPr>
          <w:color w:val="auto"/>
          <w:sz w:val="22"/>
          <w:szCs w:val="22"/>
        </w:rPr>
        <w:t xml:space="preserve">This means that companies are unnecessarily incurring significant costs, given how </w:t>
      </w:r>
      <w:r w:rsidR="00CF15F7">
        <w:rPr>
          <w:color w:val="auto"/>
          <w:sz w:val="22"/>
          <w:szCs w:val="22"/>
        </w:rPr>
        <w:t xml:space="preserve">widely accepted </w:t>
      </w:r>
      <w:r w:rsidRPr="003F5088">
        <w:rPr>
          <w:color w:val="auto"/>
          <w:sz w:val="22"/>
          <w:szCs w:val="22"/>
        </w:rPr>
        <w:t>the use of technology is:</w:t>
      </w:r>
    </w:p>
    <w:p w14:paraId="67B5CB5A" w14:textId="1CD413B8" w:rsidR="003F5088" w:rsidRPr="003F5088" w:rsidRDefault="003F5088" w:rsidP="006B6AF4">
      <w:pPr>
        <w:pStyle w:val="Bullet"/>
      </w:pPr>
      <w:r w:rsidRPr="003F5088">
        <w:t>In its 2018-19 Communication Report, the Australian Communications and Media Authority highlight</w:t>
      </w:r>
      <w:r w:rsidR="00C90F3F">
        <w:t>ed</w:t>
      </w:r>
      <w:r w:rsidRPr="003F5088">
        <w:t xml:space="preserve"> the widespread use and growth of electronic communication, stating that approximately 91 per cent of Australians </w:t>
      </w:r>
      <w:r w:rsidR="00CD77BA">
        <w:t xml:space="preserve">adults </w:t>
      </w:r>
      <w:r w:rsidRPr="003F5088">
        <w:t xml:space="preserve">have </w:t>
      </w:r>
      <w:r w:rsidR="004B45A8">
        <w:t>a</w:t>
      </w:r>
      <w:r w:rsidR="004B45A8" w:rsidRPr="003F5088">
        <w:t xml:space="preserve"> </w:t>
      </w:r>
      <w:r w:rsidRPr="003F5088">
        <w:t>home internet connection and over 83 per cent of Australian</w:t>
      </w:r>
      <w:r w:rsidR="00CD77BA">
        <w:t xml:space="preserve"> adult</w:t>
      </w:r>
      <w:r w:rsidRPr="003F5088">
        <w:t>s own a smart phone</w:t>
      </w:r>
      <w:r w:rsidR="006F58BB">
        <w:rPr>
          <w:rStyle w:val="FootnoteReference"/>
        </w:rPr>
        <w:footnoteReference w:id="3"/>
      </w:r>
      <w:r w:rsidRPr="003F5088">
        <w:t xml:space="preserve">. </w:t>
      </w:r>
    </w:p>
    <w:p w14:paraId="44473395" w14:textId="5F6F9052" w:rsidR="003F5088" w:rsidRPr="003F5088" w:rsidRDefault="003F5088" w:rsidP="006B6AF4">
      <w:pPr>
        <w:pStyle w:val="Bullet"/>
      </w:pPr>
      <w:r w:rsidRPr="003F5088">
        <w:t xml:space="preserve">This is reflected among the shareholding population – </w:t>
      </w:r>
      <w:r w:rsidR="006F58BB">
        <w:t>during public</w:t>
      </w:r>
      <w:r w:rsidR="006F58BB" w:rsidRPr="003F5088">
        <w:t xml:space="preserve"> </w:t>
      </w:r>
      <w:r w:rsidRPr="003F5088">
        <w:t xml:space="preserve">consultation, one major share registry indicated that over 90 per cent of their interactions with </w:t>
      </w:r>
      <w:r w:rsidR="00914965">
        <w:t>members</w:t>
      </w:r>
      <w:r w:rsidR="00914965" w:rsidRPr="003F5088">
        <w:t xml:space="preserve"> </w:t>
      </w:r>
      <w:r w:rsidRPr="003F5088">
        <w:t>are via digital channels, not telephone or mail, and other industry data</w:t>
      </w:r>
      <w:r w:rsidR="003E31B4">
        <w:rPr>
          <w:rStyle w:val="FootnoteReference"/>
        </w:rPr>
        <w:footnoteReference w:id="4"/>
      </w:r>
      <w:r w:rsidRPr="003F5088">
        <w:t xml:space="preserve"> suggests that voting in respect of companies in the ASX50 and ASX300 is primarily executed digitally (54 per cent and 60 per cent respectively).</w:t>
      </w:r>
    </w:p>
    <w:p w14:paraId="7A92B20B" w14:textId="05B0C327" w:rsidR="003F5088" w:rsidRPr="003F5088" w:rsidRDefault="003F5088" w:rsidP="003F5088">
      <w:pPr>
        <w:rPr>
          <w:color w:val="auto"/>
          <w:sz w:val="22"/>
          <w:szCs w:val="22"/>
        </w:rPr>
      </w:pPr>
      <w:r w:rsidRPr="003F5088">
        <w:rPr>
          <w:color w:val="auto"/>
          <w:sz w:val="22"/>
          <w:szCs w:val="22"/>
        </w:rPr>
        <w:t>In previous consultations</w:t>
      </w:r>
      <w:r w:rsidR="00DF0939">
        <w:rPr>
          <w:color w:val="auto"/>
          <w:sz w:val="22"/>
          <w:szCs w:val="22"/>
        </w:rPr>
        <w:t xml:space="preserve"> undertaken by Treasury for the temporary and permanent reforms to allow the use of technology to send and sign documents</w:t>
      </w:r>
      <w:r w:rsidRPr="003F5088">
        <w:rPr>
          <w:color w:val="auto"/>
          <w:sz w:val="22"/>
          <w:szCs w:val="22"/>
        </w:rPr>
        <w:t>, industry provided the following examples to illustrate this point:</w:t>
      </w:r>
    </w:p>
    <w:p w14:paraId="68C544CF" w14:textId="6AA895ED" w:rsidR="003F5088" w:rsidRPr="003F5088" w:rsidRDefault="00D02701" w:rsidP="006B6AF4">
      <w:pPr>
        <w:pStyle w:val="Bullet"/>
      </w:pPr>
      <w:r>
        <w:t>A</w:t>
      </w:r>
      <w:r w:rsidRPr="003F5088">
        <w:t xml:space="preserve">n </w:t>
      </w:r>
      <w:r w:rsidR="003F5088" w:rsidRPr="003F5088">
        <w:t xml:space="preserve">ASX10 company that sent 600,000 notifications to advise </w:t>
      </w:r>
      <w:r w:rsidR="00914965">
        <w:t>members</w:t>
      </w:r>
      <w:r w:rsidR="00914965" w:rsidRPr="003F5088">
        <w:t xml:space="preserve"> </w:t>
      </w:r>
      <w:r w:rsidR="003F5088" w:rsidRPr="003F5088">
        <w:t>that meeting materials (including proxy forms) were available online, and only received 100 requests to send proxy forms via post</w:t>
      </w:r>
      <w:r w:rsidR="00B53A49">
        <w:t>;</w:t>
      </w:r>
    </w:p>
    <w:p w14:paraId="72ED99EE" w14:textId="608C8A8D" w:rsidR="003F5088" w:rsidRPr="003F5088" w:rsidRDefault="003F5088" w:rsidP="006B6AF4">
      <w:pPr>
        <w:pStyle w:val="Bullet"/>
      </w:pPr>
      <w:r w:rsidRPr="003F5088">
        <w:t>Link Group indicated that the average return rate of proxy forms sent by post in 2019 was 3.87 per cent, despite the inclusion of business reply envelopes</w:t>
      </w:r>
      <w:r w:rsidR="00B53A49">
        <w:t>;</w:t>
      </w:r>
    </w:p>
    <w:p w14:paraId="20372C69" w14:textId="078D845E" w:rsidR="003F5088" w:rsidRPr="003F5088" w:rsidRDefault="00C10C4D" w:rsidP="006B6AF4">
      <w:pPr>
        <w:pStyle w:val="Bullet"/>
      </w:pPr>
      <w:r>
        <w:t>A</w:t>
      </w:r>
      <w:r w:rsidRPr="003F5088">
        <w:t xml:space="preserve">n </w:t>
      </w:r>
      <w:r w:rsidR="003F5088" w:rsidRPr="003F5088">
        <w:t xml:space="preserve">ASX20 company with a 35 per cent retail </w:t>
      </w:r>
      <w:r w:rsidR="00914965">
        <w:t>member</w:t>
      </w:r>
      <w:r w:rsidR="00914965" w:rsidRPr="003F5088">
        <w:t xml:space="preserve"> </w:t>
      </w:r>
      <w:r w:rsidR="003F5088" w:rsidRPr="003F5088">
        <w:t>base reported that out of 60,880 hard copy forms that were posted, only 2,381 proxy forms were returned by mail</w:t>
      </w:r>
      <w:r>
        <w:t>;</w:t>
      </w:r>
      <w:r w:rsidR="003F5088" w:rsidRPr="003F5088">
        <w:t xml:space="preserve"> and</w:t>
      </w:r>
    </w:p>
    <w:p w14:paraId="7FAF6FD0" w14:textId="5B1BC5B7" w:rsidR="003F5088" w:rsidRPr="003F5088" w:rsidRDefault="007203E7" w:rsidP="006B6AF4">
      <w:pPr>
        <w:pStyle w:val="Bullet"/>
      </w:pPr>
      <w:r>
        <w:t>A</w:t>
      </w:r>
      <w:r w:rsidR="003F5088" w:rsidRPr="003F5088">
        <w:t xml:space="preserve">t least 20,000 notices of meeting and other documents are being posted to addresses that are incorrect, and therefore are incurring these costs even though </w:t>
      </w:r>
      <w:r w:rsidR="00914965">
        <w:t>members</w:t>
      </w:r>
      <w:r w:rsidR="00914965" w:rsidRPr="003F5088">
        <w:t xml:space="preserve"> </w:t>
      </w:r>
      <w:r w:rsidR="003F5088" w:rsidRPr="003F5088">
        <w:t>are not reading this material.</w:t>
      </w:r>
    </w:p>
    <w:p w14:paraId="08617D32" w14:textId="78EEC59F" w:rsidR="003F5088" w:rsidRPr="003F5088" w:rsidRDefault="003F5088" w:rsidP="003F5088">
      <w:pPr>
        <w:rPr>
          <w:color w:val="auto"/>
          <w:sz w:val="22"/>
          <w:szCs w:val="22"/>
        </w:rPr>
      </w:pPr>
      <w:r w:rsidRPr="003F5088">
        <w:rPr>
          <w:color w:val="auto"/>
          <w:sz w:val="22"/>
          <w:szCs w:val="22"/>
        </w:rPr>
        <w:t>This indicates that companies are incurring costs associated with posting hard copy materials</w:t>
      </w:r>
      <w:r w:rsidR="00101490">
        <w:rPr>
          <w:color w:val="auto"/>
          <w:sz w:val="22"/>
          <w:szCs w:val="22"/>
        </w:rPr>
        <w:t xml:space="preserve"> </w:t>
      </w:r>
      <w:r w:rsidR="00330FEB">
        <w:rPr>
          <w:color w:val="auto"/>
          <w:sz w:val="22"/>
          <w:szCs w:val="22"/>
        </w:rPr>
        <w:t>due to legislative constraints which limit the extent to which companies can</w:t>
      </w:r>
      <w:r w:rsidR="00101490">
        <w:rPr>
          <w:color w:val="auto"/>
          <w:sz w:val="22"/>
          <w:szCs w:val="22"/>
        </w:rPr>
        <w:t xml:space="preserve"> ad</w:t>
      </w:r>
      <w:r w:rsidR="003170C0">
        <w:rPr>
          <w:color w:val="auto"/>
          <w:sz w:val="22"/>
          <w:szCs w:val="22"/>
        </w:rPr>
        <w:t>o</w:t>
      </w:r>
      <w:r w:rsidR="00101490">
        <w:rPr>
          <w:color w:val="auto"/>
          <w:sz w:val="22"/>
          <w:szCs w:val="22"/>
        </w:rPr>
        <w:t xml:space="preserve">pt new technology options. </w:t>
      </w:r>
      <w:r w:rsidRPr="003F5088">
        <w:rPr>
          <w:color w:val="auto"/>
          <w:sz w:val="22"/>
          <w:szCs w:val="22"/>
        </w:rPr>
        <w:t xml:space="preserve"> </w:t>
      </w:r>
    </w:p>
    <w:p w14:paraId="3E7A2C32" w14:textId="3E30AC45" w:rsidR="00716A5F" w:rsidRDefault="00716A5F" w:rsidP="00716A5F">
      <w:pPr>
        <w:pStyle w:val="Title"/>
      </w:pPr>
      <w:r>
        <w:t>2. Why is Government action needed?</w:t>
      </w:r>
    </w:p>
    <w:p w14:paraId="03F814DD" w14:textId="6CAA5C8D" w:rsidR="003F5088" w:rsidRPr="003F5088" w:rsidRDefault="003F5088" w:rsidP="003F5088">
      <w:pPr>
        <w:rPr>
          <w:color w:val="auto"/>
          <w:sz w:val="22"/>
          <w:szCs w:val="22"/>
        </w:rPr>
      </w:pPr>
      <w:r w:rsidRPr="003F5088">
        <w:rPr>
          <w:color w:val="auto"/>
          <w:sz w:val="22"/>
          <w:szCs w:val="22"/>
        </w:rPr>
        <w:t xml:space="preserve">The social distancing requirements </w:t>
      </w:r>
      <w:r w:rsidR="00C10C4D">
        <w:rPr>
          <w:color w:val="auto"/>
          <w:sz w:val="22"/>
          <w:szCs w:val="22"/>
        </w:rPr>
        <w:t>arising out</w:t>
      </w:r>
      <w:r w:rsidR="00C10C4D" w:rsidRPr="003F5088">
        <w:rPr>
          <w:color w:val="auto"/>
          <w:sz w:val="22"/>
          <w:szCs w:val="22"/>
        </w:rPr>
        <w:t xml:space="preserve"> </w:t>
      </w:r>
      <w:r w:rsidRPr="003F5088">
        <w:rPr>
          <w:color w:val="auto"/>
          <w:sz w:val="22"/>
          <w:szCs w:val="22"/>
        </w:rPr>
        <w:t xml:space="preserve">of the Coronavirus </w:t>
      </w:r>
      <w:r w:rsidR="00C10C4D">
        <w:rPr>
          <w:color w:val="auto"/>
          <w:sz w:val="22"/>
          <w:szCs w:val="22"/>
        </w:rPr>
        <w:t>crisis</w:t>
      </w:r>
      <w:r w:rsidR="00C10C4D" w:rsidRPr="003F5088">
        <w:rPr>
          <w:color w:val="auto"/>
          <w:sz w:val="22"/>
          <w:szCs w:val="22"/>
        </w:rPr>
        <w:t xml:space="preserve"> </w:t>
      </w:r>
      <w:r w:rsidRPr="003F5088">
        <w:rPr>
          <w:color w:val="auto"/>
          <w:sz w:val="22"/>
          <w:szCs w:val="22"/>
        </w:rPr>
        <w:t>has caused companies to invest in their technological capabilities. The public has mirrored this investment in digital literacy, to stay in touch with their family, friends, and workplaces – and the companies in which they have an interest, as facilitated by the temporary reform</w:t>
      </w:r>
      <w:r w:rsidR="00495515">
        <w:rPr>
          <w:color w:val="auto"/>
          <w:sz w:val="22"/>
          <w:szCs w:val="22"/>
        </w:rPr>
        <w:t>s in response to the Coronavirus crisis</w:t>
      </w:r>
      <w:r w:rsidRPr="003F5088">
        <w:rPr>
          <w:color w:val="auto"/>
          <w:sz w:val="22"/>
          <w:szCs w:val="22"/>
        </w:rPr>
        <w:t>.</w:t>
      </w:r>
    </w:p>
    <w:p w14:paraId="7732D916" w14:textId="047BE71D" w:rsidR="003F5088" w:rsidRPr="003F5088" w:rsidRDefault="003F5088" w:rsidP="003F5088">
      <w:pPr>
        <w:rPr>
          <w:color w:val="auto"/>
          <w:sz w:val="22"/>
          <w:szCs w:val="22"/>
        </w:rPr>
      </w:pPr>
      <w:r w:rsidRPr="003F5088">
        <w:rPr>
          <w:color w:val="auto"/>
          <w:sz w:val="22"/>
          <w:szCs w:val="22"/>
        </w:rPr>
        <w:t xml:space="preserve">The main objective of the Government’s reforms is to ensure that where substantive statutory requirements can be met using digital technologies, the law allows companies and their officers to </w:t>
      </w:r>
      <w:r w:rsidR="00101490">
        <w:rPr>
          <w:color w:val="auto"/>
          <w:sz w:val="22"/>
          <w:szCs w:val="22"/>
        </w:rPr>
        <w:t xml:space="preserve">choose to </w:t>
      </w:r>
      <w:r w:rsidR="005A145B">
        <w:rPr>
          <w:color w:val="auto"/>
          <w:sz w:val="22"/>
          <w:szCs w:val="22"/>
        </w:rPr>
        <w:t>do so</w:t>
      </w:r>
      <w:r w:rsidRPr="003F5088">
        <w:rPr>
          <w:color w:val="auto"/>
          <w:sz w:val="22"/>
          <w:szCs w:val="22"/>
        </w:rPr>
        <w:t>.</w:t>
      </w:r>
      <w:r w:rsidR="00C10C4D">
        <w:rPr>
          <w:color w:val="auto"/>
          <w:sz w:val="22"/>
          <w:szCs w:val="22"/>
        </w:rPr>
        <w:t xml:space="preserve"> </w:t>
      </w:r>
      <w:r w:rsidRPr="003F5088">
        <w:rPr>
          <w:color w:val="auto"/>
          <w:sz w:val="22"/>
          <w:szCs w:val="22"/>
        </w:rPr>
        <w:t>As the conditions of validly executing documents and obligations to send meeting-related materials are articulated in statute, they can only be amended through Government action to amend legislation.</w:t>
      </w:r>
    </w:p>
    <w:p w14:paraId="4A588164" w14:textId="7BBE08A3" w:rsidR="00651F89" w:rsidRDefault="00651F89" w:rsidP="00651F89">
      <w:pPr>
        <w:pStyle w:val="Title"/>
      </w:pPr>
      <w:r>
        <w:t>3. What policy options are you considering?</w:t>
      </w:r>
    </w:p>
    <w:p w14:paraId="237256C6" w14:textId="6A0FF8FC" w:rsidR="007954CB" w:rsidRDefault="003F5088" w:rsidP="003F5088">
      <w:pPr>
        <w:rPr>
          <w:color w:val="auto"/>
          <w:sz w:val="22"/>
          <w:szCs w:val="22"/>
        </w:rPr>
      </w:pPr>
      <w:r w:rsidRPr="003F5088">
        <w:rPr>
          <w:color w:val="auto"/>
          <w:sz w:val="22"/>
          <w:szCs w:val="22"/>
        </w:rPr>
        <w:t>The Government sought informal feedback on the temporary reforms from industry groups, companies, share registries, the legal profession and investor representatives</w:t>
      </w:r>
      <w:r w:rsidR="00A75ECC">
        <w:rPr>
          <w:color w:val="auto"/>
          <w:sz w:val="22"/>
          <w:szCs w:val="22"/>
        </w:rPr>
        <w:t xml:space="preserve">. This feedback </w:t>
      </w:r>
      <w:r w:rsidR="00E943B6">
        <w:rPr>
          <w:color w:val="auto"/>
          <w:sz w:val="22"/>
          <w:szCs w:val="22"/>
        </w:rPr>
        <w:t>informed</w:t>
      </w:r>
      <w:r w:rsidR="00A75ECC">
        <w:rPr>
          <w:color w:val="auto"/>
          <w:sz w:val="22"/>
          <w:szCs w:val="22"/>
        </w:rPr>
        <w:t xml:space="preserve"> the </w:t>
      </w:r>
      <w:r w:rsidR="001D2664">
        <w:rPr>
          <w:color w:val="auto"/>
          <w:sz w:val="22"/>
          <w:szCs w:val="22"/>
        </w:rPr>
        <w:t xml:space="preserve">development of the draft law for the </w:t>
      </w:r>
      <w:r w:rsidR="00A75ECC">
        <w:rPr>
          <w:color w:val="auto"/>
          <w:sz w:val="22"/>
          <w:szCs w:val="22"/>
        </w:rPr>
        <w:t>permanent reforms.</w:t>
      </w:r>
      <w:r w:rsidRPr="003F5088">
        <w:rPr>
          <w:color w:val="auto"/>
          <w:sz w:val="22"/>
          <w:szCs w:val="22"/>
        </w:rPr>
        <w:t xml:space="preserve"> </w:t>
      </w:r>
      <w:r w:rsidR="007954CB">
        <w:rPr>
          <w:color w:val="auto"/>
          <w:sz w:val="22"/>
          <w:szCs w:val="22"/>
        </w:rPr>
        <w:t xml:space="preserve">Consultation </w:t>
      </w:r>
      <w:r w:rsidR="00E943B6">
        <w:rPr>
          <w:color w:val="auto"/>
          <w:sz w:val="22"/>
          <w:szCs w:val="22"/>
        </w:rPr>
        <w:t>on</w:t>
      </w:r>
      <w:r w:rsidR="007954CB">
        <w:rPr>
          <w:color w:val="auto"/>
          <w:sz w:val="22"/>
          <w:szCs w:val="22"/>
        </w:rPr>
        <w:t xml:space="preserve"> the permanent reforms</w:t>
      </w:r>
      <w:r w:rsidR="00A75ECC">
        <w:rPr>
          <w:color w:val="auto"/>
          <w:sz w:val="22"/>
          <w:szCs w:val="22"/>
        </w:rPr>
        <w:t xml:space="preserve"> </w:t>
      </w:r>
      <w:r w:rsidR="00E943B6">
        <w:rPr>
          <w:color w:val="auto"/>
          <w:sz w:val="22"/>
          <w:szCs w:val="22"/>
        </w:rPr>
        <w:t xml:space="preserve">was conducted </w:t>
      </w:r>
      <w:r w:rsidR="007954CB">
        <w:rPr>
          <w:color w:val="auto"/>
          <w:sz w:val="22"/>
          <w:szCs w:val="22"/>
        </w:rPr>
        <w:t>on 19 October 2020 to 6 November 2020; 25 June 2021 to 16 July 2021</w:t>
      </w:r>
      <w:r w:rsidR="002954E2">
        <w:rPr>
          <w:color w:val="auto"/>
          <w:sz w:val="22"/>
          <w:szCs w:val="22"/>
        </w:rPr>
        <w:t>;</w:t>
      </w:r>
      <w:r w:rsidR="007954CB">
        <w:rPr>
          <w:color w:val="auto"/>
          <w:sz w:val="22"/>
          <w:szCs w:val="22"/>
        </w:rPr>
        <w:t xml:space="preserve"> and 30 August 2021 to 16 September 2021.</w:t>
      </w:r>
      <w:r w:rsidR="00573D22">
        <w:rPr>
          <w:color w:val="auto"/>
          <w:sz w:val="22"/>
          <w:szCs w:val="22"/>
        </w:rPr>
        <w:t xml:space="preserve"> The consultations involved both face-to-face</w:t>
      </w:r>
      <w:r w:rsidR="002954E2">
        <w:rPr>
          <w:color w:val="auto"/>
          <w:sz w:val="22"/>
          <w:szCs w:val="22"/>
        </w:rPr>
        <w:t xml:space="preserve"> (and virtual)</w:t>
      </w:r>
      <w:r w:rsidR="00573D22">
        <w:rPr>
          <w:color w:val="auto"/>
          <w:sz w:val="22"/>
          <w:szCs w:val="22"/>
        </w:rPr>
        <w:t xml:space="preserve"> meetings with stakeholders and </w:t>
      </w:r>
      <w:r w:rsidR="002954E2">
        <w:rPr>
          <w:color w:val="auto"/>
          <w:sz w:val="22"/>
          <w:szCs w:val="22"/>
        </w:rPr>
        <w:t xml:space="preserve">provided </w:t>
      </w:r>
      <w:r w:rsidR="00573D22">
        <w:rPr>
          <w:color w:val="auto"/>
          <w:sz w:val="22"/>
          <w:szCs w:val="22"/>
        </w:rPr>
        <w:t xml:space="preserve">an opportunity for </w:t>
      </w:r>
      <w:r w:rsidR="002954E2">
        <w:rPr>
          <w:color w:val="auto"/>
          <w:sz w:val="22"/>
          <w:szCs w:val="22"/>
        </w:rPr>
        <w:t>the</w:t>
      </w:r>
      <w:r w:rsidR="00573D22">
        <w:rPr>
          <w:color w:val="auto"/>
          <w:sz w:val="22"/>
          <w:szCs w:val="22"/>
        </w:rPr>
        <w:t xml:space="preserve"> public</w:t>
      </w:r>
      <w:r w:rsidR="002954E2">
        <w:rPr>
          <w:color w:val="auto"/>
          <w:sz w:val="22"/>
          <w:szCs w:val="22"/>
        </w:rPr>
        <w:t xml:space="preserve"> to provide</w:t>
      </w:r>
      <w:r w:rsidR="00573D22">
        <w:rPr>
          <w:color w:val="auto"/>
          <w:sz w:val="22"/>
          <w:szCs w:val="22"/>
        </w:rPr>
        <w:t xml:space="preserve"> submissions.</w:t>
      </w:r>
    </w:p>
    <w:p w14:paraId="5FB4FFD4" w14:textId="72D9AA97" w:rsidR="003F5088" w:rsidRPr="003F5088" w:rsidRDefault="003F5088" w:rsidP="003F5088">
      <w:pPr>
        <w:rPr>
          <w:color w:val="auto"/>
          <w:sz w:val="22"/>
          <w:szCs w:val="22"/>
        </w:rPr>
      </w:pPr>
      <w:r w:rsidRPr="003F5088">
        <w:rPr>
          <w:color w:val="auto"/>
          <w:sz w:val="22"/>
          <w:szCs w:val="22"/>
        </w:rPr>
        <w:t xml:space="preserve">This consultation process has informed the identification of the following options: </w:t>
      </w:r>
    </w:p>
    <w:p w14:paraId="3DC75423" w14:textId="77777777" w:rsidR="003F5088" w:rsidRPr="000C6428" w:rsidRDefault="003F5088" w:rsidP="000C6428">
      <w:pPr>
        <w:pStyle w:val="OutlineNumbered1"/>
        <w:rPr>
          <w:rFonts w:asciiTheme="minorHAnsi" w:eastAsiaTheme="minorHAnsi" w:hAnsiTheme="minorHAnsi" w:cstheme="minorBidi"/>
          <w:b w:val="0"/>
          <w:bCs w:val="0"/>
          <w:color w:val="auto"/>
          <w:sz w:val="22"/>
          <w:szCs w:val="22"/>
        </w:rPr>
      </w:pPr>
      <w:r w:rsidRPr="000C6428">
        <w:rPr>
          <w:rFonts w:asciiTheme="minorHAnsi" w:eastAsiaTheme="minorHAnsi" w:hAnsiTheme="minorHAnsi" w:cstheme="minorBidi"/>
          <w:b w:val="0"/>
          <w:bCs w:val="0"/>
          <w:color w:val="auto"/>
          <w:sz w:val="22"/>
          <w:szCs w:val="22"/>
        </w:rPr>
        <w:t xml:space="preserve">Continue with the law as it stood prior to the introduction of temporary reforms (status quo). </w:t>
      </w:r>
    </w:p>
    <w:p w14:paraId="22F3A0AD" w14:textId="11938AE3" w:rsidR="003F5088" w:rsidRPr="000C6428" w:rsidRDefault="003F5088" w:rsidP="000C6428">
      <w:pPr>
        <w:pStyle w:val="OutlineNumbered1"/>
        <w:rPr>
          <w:rFonts w:asciiTheme="minorHAnsi" w:eastAsiaTheme="minorHAnsi" w:hAnsiTheme="minorHAnsi" w:cstheme="minorBidi"/>
          <w:b w:val="0"/>
          <w:bCs w:val="0"/>
          <w:color w:val="auto"/>
          <w:sz w:val="22"/>
          <w:szCs w:val="22"/>
        </w:rPr>
      </w:pPr>
      <w:r w:rsidRPr="000C6428">
        <w:rPr>
          <w:rFonts w:asciiTheme="minorHAnsi" w:eastAsiaTheme="minorHAnsi" w:hAnsiTheme="minorHAnsi" w:cstheme="minorBidi"/>
          <w:b w:val="0"/>
          <w:bCs w:val="0"/>
          <w:color w:val="auto"/>
          <w:sz w:val="22"/>
          <w:szCs w:val="22"/>
        </w:rPr>
        <w:t>Make permanent the temporary reforms as is, which will allow the use of technology to meet legal requirements in respect of document execution and send</w:t>
      </w:r>
      <w:r w:rsidR="00032B2A">
        <w:rPr>
          <w:rFonts w:asciiTheme="minorHAnsi" w:eastAsiaTheme="minorHAnsi" w:hAnsiTheme="minorHAnsi" w:cstheme="minorBidi"/>
          <w:b w:val="0"/>
          <w:bCs w:val="0"/>
          <w:color w:val="auto"/>
          <w:sz w:val="22"/>
          <w:szCs w:val="22"/>
        </w:rPr>
        <w:t>ing</w:t>
      </w:r>
      <w:r w:rsidRPr="000C6428">
        <w:rPr>
          <w:rFonts w:asciiTheme="minorHAnsi" w:eastAsiaTheme="minorHAnsi" w:hAnsiTheme="minorHAnsi" w:cstheme="minorBidi"/>
          <w:b w:val="0"/>
          <w:bCs w:val="0"/>
          <w:color w:val="auto"/>
          <w:sz w:val="22"/>
          <w:szCs w:val="22"/>
        </w:rPr>
        <w:t xml:space="preserve"> meeting-related materials.</w:t>
      </w:r>
    </w:p>
    <w:p w14:paraId="7767DE24" w14:textId="7B205A2C" w:rsidR="003F5088" w:rsidRPr="000C6428" w:rsidRDefault="003F5088" w:rsidP="000C6428">
      <w:pPr>
        <w:pStyle w:val="OutlineNumbered1"/>
        <w:rPr>
          <w:rFonts w:asciiTheme="minorHAnsi" w:eastAsiaTheme="minorHAnsi" w:hAnsiTheme="minorHAnsi" w:cstheme="minorBidi"/>
          <w:b w:val="0"/>
          <w:bCs w:val="0"/>
          <w:color w:val="auto"/>
          <w:sz w:val="22"/>
          <w:szCs w:val="22"/>
        </w:rPr>
      </w:pPr>
      <w:r w:rsidRPr="000C6428">
        <w:rPr>
          <w:rFonts w:asciiTheme="minorHAnsi" w:eastAsiaTheme="minorHAnsi" w:hAnsiTheme="minorHAnsi" w:cstheme="minorBidi"/>
          <w:b w:val="0"/>
          <w:bCs w:val="0"/>
          <w:color w:val="auto"/>
          <w:sz w:val="22"/>
          <w:szCs w:val="22"/>
        </w:rPr>
        <w:t>Make permanent the measures in the temporary reforms with some modifications to improve the</w:t>
      </w:r>
      <w:r w:rsidR="00032B2A">
        <w:rPr>
          <w:rFonts w:asciiTheme="minorHAnsi" w:eastAsiaTheme="minorHAnsi" w:hAnsiTheme="minorHAnsi" w:cstheme="minorBidi"/>
          <w:b w:val="0"/>
          <w:bCs w:val="0"/>
          <w:color w:val="auto"/>
          <w:sz w:val="22"/>
          <w:szCs w:val="22"/>
        </w:rPr>
        <w:t>ir</w:t>
      </w:r>
      <w:r w:rsidRPr="000C6428">
        <w:rPr>
          <w:rFonts w:asciiTheme="minorHAnsi" w:eastAsiaTheme="minorHAnsi" w:hAnsiTheme="minorHAnsi" w:cstheme="minorBidi"/>
          <w:b w:val="0"/>
          <w:bCs w:val="0"/>
          <w:color w:val="auto"/>
          <w:sz w:val="22"/>
          <w:szCs w:val="22"/>
        </w:rPr>
        <w:t xml:space="preserve"> operation.</w:t>
      </w:r>
    </w:p>
    <w:p w14:paraId="612D7F7A" w14:textId="54FED551" w:rsidR="00651F89" w:rsidRDefault="00651F89" w:rsidP="00651F89">
      <w:pPr>
        <w:pStyle w:val="Heading2"/>
      </w:pPr>
      <w:r>
        <w:t xml:space="preserve">3.1 Option 1 – </w:t>
      </w:r>
      <w:r w:rsidR="003F5088">
        <w:t>Maintain the s</w:t>
      </w:r>
      <w:r>
        <w:t xml:space="preserve">tatus </w:t>
      </w:r>
      <w:r w:rsidR="005A519F">
        <w:t>q</w:t>
      </w:r>
      <w:r>
        <w:t>uo</w:t>
      </w:r>
    </w:p>
    <w:p w14:paraId="0F92BF7E" w14:textId="6BA158FC" w:rsidR="0044256B" w:rsidRDefault="003F5088" w:rsidP="0044256B">
      <w:pPr>
        <w:spacing w:after="0"/>
        <w:rPr>
          <w:color w:val="auto"/>
          <w:sz w:val="22"/>
          <w:szCs w:val="22"/>
        </w:rPr>
      </w:pPr>
      <w:r w:rsidRPr="003F5088">
        <w:rPr>
          <w:color w:val="auto"/>
          <w:sz w:val="22"/>
          <w:szCs w:val="22"/>
        </w:rPr>
        <w:t xml:space="preserve">Option 1 involves companies adhering </w:t>
      </w:r>
      <w:r w:rsidR="00032B2A">
        <w:rPr>
          <w:color w:val="auto"/>
          <w:sz w:val="22"/>
          <w:szCs w:val="22"/>
        </w:rPr>
        <w:t xml:space="preserve">to </w:t>
      </w:r>
      <w:r w:rsidRPr="003F5088">
        <w:rPr>
          <w:color w:val="auto"/>
          <w:sz w:val="22"/>
          <w:szCs w:val="22"/>
        </w:rPr>
        <w:t xml:space="preserve">the provisions under the </w:t>
      </w:r>
      <w:r w:rsidRPr="00A34997">
        <w:rPr>
          <w:color w:val="auto"/>
          <w:sz w:val="22"/>
          <w:szCs w:val="22"/>
        </w:rPr>
        <w:t>Act</w:t>
      </w:r>
      <w:r w:rsidRPr="00625B56">
        <w:rPr>
          <w:i/>
          <w:iCs/>
          <w:color w:val="auto"/>
          <w:sz w:val="22"/>
          <w:szCs w:val="22"/>
        </w:rPr>
        <w:t xml:space="preserve"> </w:t>
      </w:r>
      <w:r w:rsidRPr="003F5088">
        <w:rPr>
          <w:color w:val="auto"/>
          <w:sz w:val="22"/>
          <w:szCs w:val="22"/>
        </w:rPr>
        <w:t>that were in place prior to the temporary determination</w:t>
      </w:r>
      <w:r w:rsidR="00B41ABD">
        <w:rPr>
          <w:color w:val="auto"/>
          <w:sz w:val="22"/>
          <w:szCs w:val="22"/>
        </w:rPr>
        <w:t>s and legislated relief in response to the Coronavirus crisis</w:t>
      </w:r>
      <w:r w:rsidRPr="003F5088">
        <w:rPr>
          <w:color w:val="auto"/>
          <w:sz w:val="22"/>
          <w:szCs w:val="22"/>
        </w:rPr>
        <w:t xml:space="preserve">. </w:t>
      </w:r>
    </w:p>
    <w:p w14:paraId="0F9B8226" w14:textId="3FB6A788" w:rsidR="0044256B" w:rsidRPr="00C25E1A" w:rsidRDefault="0044256B" w:rsidP="00625B56">
      <w:pPr>
        <w:pStyle w:val="Heading3"/>
      </w:pPr>
      <w:r>
        <w:t>Document execution</w:t>
      </w:r>
    </w:p>
    <w:p w14:paraId="05E4AF73" w14:textId="27DFB24F" w:rsidR="003F5088" w:rsidRPr="003F5088" w:rsidRDefault="003F5088" w:rsidP="003F5088">
      <w:pPr>
        <w:rPr>
          <w:color w:val="auto"/>
          <w:sz w:val="22"/>
          <w:szCs w:val="22"/>
        </w:rPr>
      </w:pPr>
      <w:r w:rsidRPr="003F5088">
        <w:rPr>
          <w:color w:val="auto"/>
          <w:sz w:val="22"/>
          <w:szCs w:val="22"/>
        </w:rPr>
        <w:t xml:space="preserve">In relation to document execution, this means that </w:t>
      </w:r>
      <w:r w:rsidR="00ED0557">
        <w:rPr>
          <w:color w:val="auto"/>
          <w:sz w:val="22"/>
          <w:szCs w:val="22"/>
        </w:rPr>
        <w:t xml:space="preserve">following the expiration of the temporary relief on 31 March 2022, </w:t>
      </w:r>
      <w:r w:rsidRPr="003F5088">
        <w:rPr>
          <w:color w:val="auto"/>
          <w:sz w:val="22"/>
          <w:szCs w:val="22"/>
        </w:rPr>
        <w:t xml:space="preserve">counterparties to a transaction may not be able to legally rely on the rights and obligations contained in a document if a company has used technology to execute it. Section 127 </w:t>
      </w:r>
      <w:r w:rsidR="003170C0">
        <w:rPr>
          <w:color w:val="auto"/>
          <w:sz w:val="22"/>
          <w:szCs w:val="22"/>
        </w:rPr>
        <w:t>of</w:t>
      </w:r>
      <w:r w:rsidR="00B41ABD">
        <w:rPr>
          <w:color w:val="auto"/>
          <w:sz w:val="22"/>
          <w:szCs w:val="22"/>
        </w:rPr>
        <w:t xml:space="preserve"> the Act </w:t>
      </w:r>
      <w:r w:rsidRPr="003F5088">
        <w:rPr>
          <w:color w:val="auto"/>
          <w:sz w:val="22"/>
          <w:szCs w:val="22"/>
        </w:rPr>
        <w:t xml:space="preserve">only provides a mechanism for valid document execution if: </w:t>
      </w:r>
    </w:p>
    <w:p w14:paraId="312B8FBE" w14:textId="7C7C7D51" w:rsidR="003F5088" w:rsidRPr="003F5088" w:rsidRDefault="003F5088" w:rsidP="00625B56">
      <w:pPr>
        <w:pStyle w:val="Bullet"/>
      </w:pPr>
      <w:r w:rsidRPr="003F5088">
        <w:t xml:space="preserve">the </w:t>
      </w:r>
      <w:r w:rsidR="00ED0557">
        <w:t xml:space="preserve">same </w:t>
      </w:r>
      <w:r w:rsidRPr="003F5088">
        <w:t>document is physically signed (wet</w:t>
      </w:r>
      <w:r w:rsidR="00984BF2">
        <w:t>-</w:t>
      </w:r>
      <w:r w:rsidRPr="003F5088">
        <w:t>ink signature) by either two directors of a company, a director and secretary of a company or a sole director for a proprietary company: or</w:t>
      </w:r>
    </w:p>
    <w:p w14:paraId="6F363201" w14:textId="18CEEF39" w:rsidR="003F5088" w:rsidRDefault="003F5088" w:rsidP="00625B56">
      <w:pPr>
        <w:pStyle w:val="Bullet"/>
      </w:pPr>
      <w:r w:rsidRPr="003F5088">
        <w:t>the common seal of the company is fixed to the document and the fixing of the seal is physically witnessed (wet</w:t>
      </w:r>
      <w:r w:rsidR="00984BF2">
        <w:t>-</w:t>
      </w:r>
      <w:r w:rsidRPr="003F5088">
        <w:t>ink signature) by either two directors of a company, a director and secretary of a company or a sole director for a proprietary company.</w:t>
      </w:r>
    </w:p>
    <w:p w14:paraId="5D70D2A0" w14:textId="6C325A60" w:rsidR="0044256B" w:rsidRPr="00C25E1A" w:rsidRDefault="0044256B" w:rsidP="00625B56">
      <w:pPr>
        <w:pStyle w:val="Heading3"/>
      </w:pPr>
      <w:r>
        <w:t>Meeting-related materials</w:t>
      </w:r>
    </w:p>
    <w:p w14:paraId="0D29433B" w14:textId="5629AF10" w:rsidR="003F5088" w:rsidRPr="003F5088" w:rsidRDefault="003F5088" w:rsidP="003F5088">
      <w:pPr>
        <w:rPr>
          <w:color w:val="auto"/>
          <w:sz w:val="22"/>
          <w:szCs w:val="22"/>
        </w:rPr>
      </w:pPr>
      <w:r w:rsidRPr="003F5088">
        <w:rPr>
          <w:color w:val="auto"/>
          <w:sz w:val="22"/>
          <w:szCs w:val="22"/>
        </w:rPr>
        <w:t xml:space="preserve">In relation to meeting-related materials, this means that unless a </w:t>
      </w:r>
      <w:r w:rsidR="00914965">
        <w:rPr>
          <w:color w:val="auto"/>
          <w:sz w:val="22"/>
          <w:szCs w:val="22"/>
        </w:rPr>
        <w:t>member</w:t>
      </w:r>
      <w:r w:rsidR="00914965" w:rsidRPr="003F5088">
        <w:rPr>
          <w:color w:val="auto"/>
          <w:sz w:val="22"/>
          <w:szCs w:val="22"/>
        </w:rPr>
        <w:t xml:space="preserve"> </w:t>
      </w:r>
      <w:r w:rsidRPr="003F5088">
        <w:rPr>
          <w:color w:val="auto"/>
          <w:sz w:val="22"/>
          <w:szCs w:val="22"/>
        </w:rPr>
        <w:t>has consented to receiving documents (such as meeting notices, and certain resolutions and statements) electronically, a company can only satisfy regulatory requirements by posting hard copies. Where required, they must sign a hard copy of these documents using wet</w:t>
      </w:r>
      <w:r w:rsidR="00082286">
        <w:rPr>
          <w:color w:val="auto"/>
          <w:sz w:val="22"/>
          <w:szCs w:val="22"/>
        </w:rPr>
        <w:t>-</w:t>
      </w:r>
      <w:r w:rsidRPr="003F5088">
        <w:rPr>
          <w:color w:val="auto"/>
          <w:sz w:val="22"/>
          <w:szCs w:val="22"/>
        </w:rPr>
        <w:t>ink.</w:t>
      </w:r>
      <w:r w:rsidR="009B49A1">
        <w:rPr>
          <w:color w:val="auto"/>
          <w:sz w:val="22"/>
          <w:szCs w:val="22"/>
        </w:rPr>
        <w:t xml:space="preserve"> and</w:t>
      </w:r>
      <w:r w:rsidRPr="003F5088">
        <w:rPr>
          <w:color w:val="auto"/>
          <w:sz w:val="22"/>
          <w:szCs w:val="22"/>
        </w:rPr>
        <w:t xml:space="preserve"> must keep, retain, and provide minute books in hard copy.</w:t>
      </w:r>
    </w:p>
    <w:p w14:paraId="38E167F5" w14:textId="35350016" w:rsidR="00651F89" w:rsidRDefault="00651F89" w:rsidP="00651F89">
      <w:pPr>
        <w:pStyle w:val="Heading2"/>
      </w:pPr>
      <w:r>
        <w:t xml:space="preserve">3.2 Option 2 – </w:t>
      </w:r>
      <w:r w:rsidR="00EE298C">
        <w:t>Make permanent the temporary reforms</w:t>
      </w:r>
    </w:p>
    <w:p w14:paraId="78E901EC" w14:textId="54FA9E5D" w:rsidR="003F5088" w:rsidRDefault="003F5088" w:rsidP="003F5088">
      <w:pPr>
        <w:rPr>
          <w:color w:val="auto"/>
          <w:sz w:val="22"/>
          <w:szCs w:val="22"/>
        </w:rPr>
      </w:pPr>
      <w:r w:rsidRPr="003F5088">
        <w:rPr>
          <w:color w:val="auto"/>
          <w:sz w:val="22"/>
          <w:szCs w:val="22"/>
        </w:rPr>
        <w:t xml:space="preserve">Option 2 involves permanently implementing the temporary reforms introduced </w:t>
      </w:r>
      <w:r w:rsidR="0044256B">
        <w:rPr>
          <w:color w:val="auto"/>
          <w:sz w:val="22"/>
          <w:szCs w:val="22"/>
        </w:rPr>
        <w:t xml:space="preserve">by the </w:t>
      </w:r>
      <w:r w:rsidR="0044256B" w:rsidRPr="00887056">
        <w:rPr>
          <w:i/>
          <w:iCs/>
          <w:color w:val="auto"/>
          <w:sz w:val="22"/>
          <w:szCs w:val="22"/>
        </w:rPr>
        <w:t>Treasury Laws Amendment (2021 Measures No. 1) Act 2021</w:t>
      </w:r>
      <w:r w:rsidRPr="003F5088">
        <w:rPr>
          <w:color w:val="auto"/>
          <w:sz w:val="22"/>
          <w:szCs w:val="22"/>
        </w:rPr>
        <w:t>, in respect of sending meeting materials and document execution.</w:t>
      </w:r>
      <w:r w:rsidRPr="003F5088" w:rsidDel="00CC0BD1">
        <w:rPr>
          <w:color w:val="auto"/>
          <w:sz w:val="22"/>
          <w:szCs w:val="22"/>
        </w:rPr>
        <w:t xml:space="preserve"> </w:t>
      </w:r>
    </w:p>
    <w:p w14:paraId="45419DED" w14:textId="0C2D8CFB" w:rsidR="002F2F61" w:rsidRPr="00C25E1A" w:rsidRDefault="002F2F61" w:rsidP="00625B56">
      <w:pPr>
        <w:pStyle w:val="Heading3"/>
      </w:pPr>
      <w:r>
        <w:t>Document execution</w:t>
      </w:r>
    </w:p>
    <w:p w14:paraId="7957A9E7" w14:textId="30254BC8" w:rsidR="003F5088" w:rsidRDefault="003F5088" w:rsidP="003F5088">
      <w:pPr>
        <w:rPr>
          <w:color w:val="auto"/>
          <w:sz w:val="22"/>
          <w:szCs w:val="22"/>
        </w:rPr>
      </w:pPr>
      <w:r w:rsidRPr="003F5088">
        <w:rPr>
          <w:color w:val="auto"/>
          <w:sz w:val="22"/>
          <w:szCs w:val="22"/>
        </w:rPr>
        <w:t>These temporary reforms allow company officers to validly execute a document, by signing it or a copy of the document electronically. It allow</w:t>
      </w:r>
      <w:r w:rsidR="00E943B6">
        <w:rPr>
          <w:color w:val="auto"/>
          <w:sz w:val="22"/>
          <w:szCs w:val="22"/>
        </w:rPr>
        <w:t>s</w:t>
      </w:r>
      <w:r w:rsidRPr="003F5088">
        <w:rPr>
          <w:color w:val="auto"/>
          <w:sz w:val="22"/>
          <w:szCs w:val="22"/>
        </w:rPr>
        <w:t xml:space="preserve"> company officers to use technology to validly execute a document, by </w:t>
      </w:r>
      <w:r w:rsidR="002F2F61">
        <w:rPr>
          <w:color w:val="auto"/>
          <w:sz w:val="22"/>
          <w:szCs w:val="22"/>
        </w:rPr>
        <w:t xml:space="preserve">using electronic means to </w:t>
      </w:r>
      <w:r w:rsidRPr="003F5088">
        <w:rPr>
          <w:color w:val="auto"/>
          <w:sz w:val="22"/>
          <w:szCs w:val="22"/>
        </w:rPr>
        <w:t>witness the affixing of the common seal of the company.</w:t>
      </w:r>
    </w:p>
    <w:p w14:paraId="3A25E982" w14:textId="57A8CCD8" w:rsidR="002F2F61" w:rsidRPr="00C25E1A" w:rsidRDefault="002F2F61" w:rsidP="00625B56">
      <w:pPr>
        <w:pStyle w:val="Heading3"/>
      </w:pPr>
      <w:r>
        <w:t>Meeting-related materials</w:t>
      </w:r>
    </w:p>
    <w:p w14:paraId="265311F9" w14:textId="21D90AFB" w:rsidR="003F5088" w:rsidRPr="003F5088" w:rsidRDefault="003F5088" w:rsidP="003F5088">
      <w:pPr>
        <w:rPr>
          <w:color w:val="auto"/>
          <w:sz w:val="22"/>
          <w:szCs w:val="22"/>
        </w:rPr>
      </w:pPr>
      <w:r w:rsidRPr="003F5088">
        <w:rPr>
          <w:color w:val="auto"/>
          <w:sz w:val="22"/>
          <w:szCs w:val="22"/>
        </w:rPr>
        <w:t xml:space="preserve">These temporary reforms allow companies and their officers to satisfy statutory requirements to send meeting-related materials electronically, regardless of whether </w:t>
      </w:r>
      <w:r w:rsidR="00914965">
        <w:rPr>
          <w:color w:val="auto"/>
          <w:sz w:val="22"/>
          <w:szCs w:val="22"/>
        </w:rPr>
        <w:t>members</w:t>
      </w:r>
      <w:r w:rsidR="00914965" w:rsidRPr="003F5088">
        <w:rPr>
          <w:color w:val="auto"/>
          <w:sz w:val="22"/>
          <w:szCs w:val="22"/>
        </w:rPr>
        <w:t xml:space="preserve"> </w:t>
      </w:r>
      <w:r w:rsidRPr="003F5088">
        <w:rPr>
          <w:color w:val="auto"/>
          <w:sz w:val="22"/>
          <w:szCs w:val="22"/>
        </w:rPr>
        <w:t xml:space="preserve">previously provided consent. </w:t>
      </w:r>
      <w:r w:rsidR="002F2F61">
        <w:rPr>
          <w:color w:val="auto"/>
          <w:sz w:val="22"/>
          <w:szCs w:val="22"/>
        </w:rPr>
        <w:t>T</w:t>
      </w:r>
      <w:r w:rsidRPr="003F5088">
        <w:rPr>
          <w:color w:val="auto"/>
          <w:sz w:val="22"/>
          <w:szCs w:val="22"/>
        </w:rPr>
        <w:t xml:space="preserve">he temporary reforms allow meeting minutes to be kept, retained </w:t>
      </w:r>
      <w:r w:rsidR="007A4D30">
        <w:rPr>
          <w:color w:val="auto"/>
          <w:sz w:val="22"/>
          <w:szCs w:val="22"/>
        </w:rPr>
        <w:t>and</w:t>
      </w:r>
      <w:r w:rsidRPr="003F5088">
        <w:rPr>
          <w:color w:val="auto"/>
          <w:sz w:val="22"/>
          <w:szCs w:val="22"/>
        </w:rPr>
        <w:t xml:space="preserve"> provided electronically.</w:t>
      </w:r>
    </w:p>
    <w:p w14:paraId="3E9CACCB" w14:textId="0C68AA1F" w:rsidR="00651F89" w:rsidRDefault="00651F89" w:rsidP="003F5088">
      <w:pPr>
        <w:pStyle w:val="Heading2"/>
      </w:pPr>
      <w:r>
        <w:t xml:space="preserve">3.3 Option 3 – </w:t>
      </w:r>
      <w:r w:rsidR="00EE298C">
        <w:t>Make permanent the temporary reforms with modifications to improve the operation of the reforms</w:t>
      </w:r>
    </w:p>
    <w:p w14:paraId="02DC83B7" w14:textId="14806732" w:rsidR="003F5088" w:rsidRDefault="003F5088" w:rsidP="003F5088">
      <w:pPr>
        <w:rPr>
          <w:color w:val="auto"/>
          <w:sz w:val="22"/>
          <w:szCs w:val="22"/>
        </w:rPr>
      </w:pPr>
      <w:r w:rsidRPr="003F5088">
        <w:rPr>
          <w:color w:val="auto"/>
          <w:sz w:val="22"/>
          <w:szCs w:val="22"/>
        </w:rPr>
        <w:t xml:space="preserve">Option 3 has been developed following feedback from </w:t>
      </w:r>
      <w:r w:rsidR="002650CB">
        <w:rPr>
          <w:color w:val="auto"/>
          <w:sz w:val="22"/>
          <w:szCs w:val="22"/>
        </w:rPr>
        <w:t xml:space="preserve">three rounds of </w:t>
      </w:r>
      <w:r w:rsidRPr="003F5088">
        <w:rPr>
          <w:color w:val="auto"/>
          <w:sz w:val="22"/>
          <w:szCs w:val="22"/>
        </w:rPr>
        <w:t xml:space="preserve">consultation with stakeholders </w:t>
      </w:r>
      <w:r w:rsidR="008A41B9">
        <w:rPr>
          <w:color w:val="auto"/>
          <w:sz w:val="22"/>
          <w:szCs w:val="22"/>
        </w:rPr>
        <w:t>currently</w:t>
      </w:r>
      <w:r w:rsidR="002650CB">
        <w:rPr>
          <w:color w:val="auto"/>
          <w:sz w:val="22"/>
          <w:szCs w:val="22"/>
        </w:rPr>
        <w:t xml:space="preserve"> </w:t>
      </w:r>
      <w:r w:rsidR="00A34997">
        <w:rPr>
          <w:color w:val="auto"/>
          <w:sz w:val="22"/>
          <w:szCs w:val="22"/>
        </w:rPr>
        <w:t xml:space="preserve">making use of </w:t>
      </w:r>
      <w:r w:rsidRPr="003F5088">
        <w:rPr>
          <w:color w:val="auto"/>
          <w:sz w:val="22"/>
          <w:szCs w:val="22"/>
        </w:rPr>
        <w:t xml:space="preserve">the </w:t>
      </w:r>
      <w:r w:rsidRPr="000F1CD7">
        <w:rPr>
          <w:color w:val="auto"/>
          <w:sz w:val="22"/>
          <w:szCs w:val="22"/>
        </w:rPr>
        <w:t>temporary</w:t>
      </w:r>
      <w:r w:rsidR="000F1CD7" w:rsidRPr="000F1CD7">
        <w:rPr>
          <w:color w:val="auto"/>
          <w:sz w:val="22"/>
          <w:szCs w:val="22"/>
        </w:rPr>
        <w:t xml:space="preserve"> reforms</w:t>
      </w:r>
      <w:r w:rsidRPr="003F5088">
        <w:rPr>
          <w:color w:val="auto"/>
          <w:sz w:val="22"/>
          <w:szCs w:val="22"/>
        </w:rPr>
        <w:t xml:space="preserve">. As with Option 2, it involves modifying the requirements in the </w:t>
      </w:r>
      <w:r w:rsidRPr="00A34997">
        <w:rPr>
          <w:color w:val="auto"/>
          <w:sz w:val="22"/>
          <w:szCs w:val="22"/>
        </w:rPr>
        <w:t>Act</w:t>
      </w:r>
      <w:r w:rsidRPr="003F5088">
        <w:rPr>
          <w:color w:val="auto"/>
          <w:sz w:val="22"/>
          <w:szCs w:val="22"/>
        </w:rPr>
        <w:t xml:space="preserve">, in respect of the execution of company documents and meeting-related materials. </w:t>
      </w:r>
    </w:p>
    <w:p w14:paraId="53720E9F" w14:textId="149617B6" w:rsidR="0098044F" w:rsidRDefault="0098044F" w:rsidP="003F5088">
      <w:pPr>
        <w:rPr>
          <w:color w:val="auto"/>
          <w:sz w:val="22"/>
          <w:szCs w:val="22"/>
        </w:rPr>
      </w:pPr>
      <w:r>
        <w:rPr>
          <w:color w:val="auto"/>
          <w:sz w:val="22"/>
          <w:szCs w:val="22"/>
        </w:rPr>
        <w:t xml:space="preserve">Option 3 incorporates drafting techniques which will enable the Government to more easily expand the scope of these reforms to apply more broadly to requirements to sign and send documents across the </w:t>
      </w:r>
      <w:r w:rsidRPr="00DA146A">
        <w:rPr>
          <w:color w:val="auto"/>
          <w:sz w:val="22"/>
          <w:szCs w:val="22"/>
        </w:rPr>
        <w:t>Act</w:t>
      </w:r>
      <w:r>
        <w:rPr>
          <w:color w:val="auto"/>
          <w:sz w:val="22"/>
          <w:szCs w:val="22"/>
        </w:rPr>
        <w:t xml:space="preserve">. These further changes are being considered and </w:t>
      </w:r>
      <w:r w:rsidR="00A34997">
        <w:rPr>
          <w:color w:val="auto"/>
          <w:sz w:val="22"/>
          <w:szCs w:val="22"/>
        </w:rPr>
        <w:t>Treasury</w:t>
      </w:r>
      <w:r>
        <w:rPr>
          <w:color w:val="auto"/>
          <w:sz w:val="22"/>
          <w:szCs w:val="22"/>
        </w:rPr>
        <w:t xml:space="preserve"> </w:t>
      </w:r>
      <w:r w:rsidR="008B07BA">
        <w:rPr>
          <w:color w:val="auto"/>
          <w:sz w:val="22"/>
          <w:szCs w:val="22"/>
        </w:rPr>
        <w:t xml:space="preserve">will consult </w:t>
      </w:r>
      <w:r>
        <w:rPr>
          <w:color w:val="auto"/>
          <w:sz w:val="22"/>
          <w:szCs w:val="22"/>
        </w:rPr>
        <w:t xml:space="preserve">on </w:t>
      </w:r>
      <w:r w:rsidR="008B07BA">
        <w:rPr>
          <w:color w:val="auto"/>
          <w:sz w:val="22"/>
          <w:szCs w:val="22"/>
        </w:rPr>
        <w:t xml:space="preserve">them </w:t>
      </w:r>
      <w:r>
        <w:rPr>
          <w:color w:val="auto"/>
          <w:sz w:val="22"/>
          <w:szCs w:val="22"/>
        </w:rPr>
        <w:t>as part of the Modernising Business Communications project</w:t>
      </w:r>
      <w:r w:rsidR="00A34997">
        <w:rPr>
          <w:color w:val="auto"/>
          <w:sz w:val="22"/>
          <w:szCs w:val="22"/>
        </w:rPr>
        <w:t>. Th</w:t>
      </w:r>
      <w:r w:rsidR="00032B2A">
        <w:rPr>
          <w:color w:val="auto"/>
          <w:sz w:val="22"/>
          <w:szCs w:val="22"/>
        </w:rPr>
        <w:t>is</w:t>
      </w:r>
      <w:r w:rsidR="00A34997">
        <w:rPr>
          <w:color w:val="auto"/>
          <w:sz w:val="22"/>
          <w:szCs w:val="22"/>
        </w:rPr>
        <w:t xml:space="preserve"> project seeks to reduce regulatory burden and increase the tech</w:t>
      </w:r>
      <w:r w:rsidR="00021E6B">
        <w:rPr>
          <w:color w:val="auto"/>
          <w:sz w:val="22"/>
          <w:szCs w:val="22"/>
        </w:rPr>
        <w:t>nology</w:t>
      </w:r>
      <w:r w:rsidR="00A34997">
        <w:rPr>
          <w:color w:val="auto"/>
          <w:sz w:val="22"/>
          <w:szCs w:val="22"/>
        </w:rPr>
        <w:t xml:space="preserve"> neutrality of all legislation across the Treasury portfolio. It </w:t>
      </w:r>
      <w:r>
        <w:rPr>
          <w:color w:val="auto"/>
          <w:sz w:val="22"/>
          <w:szCs w:val="22"/>
        </w:rPr>
        <w:t>has the potential to</w:t>
      </w:r>
      <w:r w:rsidR="00A34997">
        <w:rPr>
          <w:color w:val="auto"/>
          <w:sz w:val="22"/>
          <w:szCs w:val="22"/>
        </w:rPr>
        <w:t xml:space="preserve"> build on these permanent reforms to</w:t>
      </w:r>
      <w:r>
        <w:rPr>
          <w:color w:val="auto"/>
          <w:sz w:val="22"/>
          <w:szCs w:val="22"/>
        </w:rPr>
        <w:t xml:space="preserve"> further reduce regulatory burden on </w:t>
      </w:r>
      <w:r w:rsidR="006F04A6">
        <w:rPr>
          <w:color w:val="auto"/>
          <w:sz w:val="22"/>
          <w:szCs w:val="22"/>
        </w:rPr>
        <w:t>companies.</w:t>
      </w:r>
    </w:p>
    <w:p w14:paraId="175C4B42" w14:textId="657436FD" w:rsidR="00B44531" w:rsidRPr="003F5088" w:rsidRDefault="00B44531" w:rsidP="00B44531">
      <w:pPr>
        <w:rPr>
          <w:color w:val="auto"/>
          <w:sz w:val="22"/>
          <w:szCs w:val="22"/>
        </w:rPr>
      </w:pPr>
      <w:r w:rsidRPr="003F5088">
        <w:rPr>
          <w:color w:val="auto"/>
          <w:sz w:val="22"/>
          <w:szCs w:val="22"/>
        </w:rPr>
        <w:t xml:space="preserve">This option legislates a review clause which requires the Government to review the effectiveness of </w:t>
      </w:r>
      <w:r w:rsidR="00324C8E" w:rsidRPr="003F5088">
        <w:rPr>
          <w:color w:val="auto"/>
          <w:sz w:val="22"/>
          <w:szCs w:val="22"/>
        </w:rPr>
        <w:t>th</w:t>
      </w:r>
      <w:r w:rsidR="00324C8E">
        <w:rPr>
          <w:color w:val="auto"/>
          <w:sz w:val="22"/>
          <w:szCs w:val="22"/>
        </w:rPr>
        <w:t>e proposed</w:t>
      </w:r>
      <w:r w:rsidR="00324C8E" w:rsidRPr="003F5088">
        <w:rPr>
          <w:color w:val="auto"/>
          <w:sz w:val="22"/>
          <w:szCs w:val="22"/>
        </w:rPr>
        <w:t xml:space="preserve"> </w:t>
      </w:r>
      <w:r w:rsidRPr="003F5088">
        <w:rPr>
          <w:color w:val="auto"/>
          <w:sz w:val="22"/>
          <w:szCs w:val="22"/>
        </w:rPr>
        <w:t xml:space="preserve">legislation as soon as practicable, two years after its commencement. </w:t>
      </w:r>
    </w:p>
    <w:p w14:paraId="264C47B5" w14:textId="77777777" w:rsidR="00E7461C" w:rsidRPr="00C25E1A" w:rsidRDefault="00E7461C" w:rsidP="00C25E1A">
      <w:pPr>
        <w:pStyle w:val="Heading3"/>
      </w:pPr>
      <w:r>
        <w:t>Document execution</w:t>
      </w:r>
    </w:p>
    <w:p w14:paraId="60B5ADBD" w14:textId="38DC1B1A" w:rsidR="003F5088" w:rsidRPr="003F5088" w:rsidRDefault="003F5088" w:rsidP="003F5088">
      <w:pPr>
        <w:rPr>
          <w:color w:val="auto"/>
          <w:sz w:val="22"/>
          <w:szCs w:val="22"/>
        </w:rPr>
      </w:pPr>
      <w:r w:rsidRPr="003F5088">
        <w:rPr>
          <w:color w:val="auto"/>
          <w:sz w:val="22"/>
          <w:szCs w:val="22"/>
        </w:rPr>
        <w:t>In respect of execution of company documents, reforms will be expanded explicitly</w:t>
      </w:r>
      <w:r w:rsidR="0024684E">
        <w:rPr>
          <w:color w:val="auto"/>
          <w:sz w:val="22"/>
          <w:szCs w:val="22"/>
        </w:rPr>
        <w:t xml:space="preserve"> to</w:t>
      </w:r>
      <w:r w:rsidRPr="003F5088">
        <w:rPr>
          <w:color w:val="auto"/>
          <w:sz w:val="22"/>
          <w:szCs w:val="22"/>
        </w:rPr>
        <w:t>:</w:t>
      </w:r>
    </w:p>
    <w:p w14:paraId="43B2E221" w14:textId="4065CF7E" w:rsidR="00E7461C" w:rsidRDefault="003F5088" w:rsidP="00625B56">
      <w:pPr>
        <w:pStyle w:val="Bullet"/>
      </w:pPr>
      <w:r w:rsidRPr="003F5088">
        <w:t xml:space="preserve">clarify that companies and their officers (including company agents) will be able to create and sign deeds, as well as other documents, electronically; </w:t>
      </w:r>
    </w:p>
    <w:p w14:paraId="3B2C4BC2" w14:textId="2D6333B6" w:rsidR="00733A6C" w:rsidRDefault="00E7461C" w:rsidP="00625B56">
      <w:pPr>
        <w:pStyle w:val="Bullet"/>
      </w:pPr>
      <w:r>
        <w:t xml:space="preserve">allow documents to be validly executed </w:t>
      </w:r>
      <w:r w:rsidR="00733A6C">
        <w:t xml:space="preserve">in technology neutral and flexible manners by permitting </w:t>
      </w:r>
      <w:r>
        <w:t xml:space="preserve">persons </w:t>
      </w:r>
      <w:r w:rsidR="00733A6C">
        <w:t>to sign documents using a mixture of electronic and wet-ink methods and not requiring all signatories to sign the same copy of a document;</w:t>
      </w:r>
    </w:p>
    <w:p w14:paraId="34D71696" w14:textId="360DDAC7" w:rsidR="003F5088" w:rsidRPr="003F5088" w:rsidRDefault="00733A6C" w:rsidP="00625B56">
      <w:pPr>
        <w:pStyle w:val="Bullet"/>
      </w:pPr>
      <w:r>
        <w:t xml:space="preserve">allow </w:t>
      </w:r>
      <w:r w:rsidR="00613FC2">
        <w:t xml:space="preserve">a person who is signing a document in multiple different capacities to sign once in multiple different capacities; </w:t>
      </w:r>
    </w:p>
    <w:p w14:paraId="3A8A4AB0" w14:textId="32EC6C4F" w:rsidR="003F5088" w:rsidRDefault="003F5088" w:rsidP="00625B56">
      <w:pPr>
        <w:pStyle w:val="Bullet"/>
      </w:pPr>
      <w:r w:rsidRPr="003F5088">
        <w:t>allow the use of technology to execute documents with a common seal electronically, including by allowing witnesses to validly witness the fixing of a company seal electronically</w:t>
      </w:r>
      <w:r w:rsidR="00D93575">
        <w:t>;</w:t>
      </w:r>
    </w:p>
    <w:p w14:paraId="00DEE296" w14:textId="3F1884C6" w:rsidR="00D93575" w:rsidRDefault="00492C78" w:rsidP="00625B56">
      <w:pPr>
        <w:pStyle w:val="Bullet"/>
      </w:pPr>
      <w:r>
        <w:t xml:space="preserve">ensure that </w:t>
      </w:r>
      <w:r w:rsidR="00F3729D">
        <w:t>deeds do not need to be signed on paper, parchment or vellum to be executed</w:t>
      </w:r>
      <w:r w:rsidR="00C76175">
        <w:t xml:space="preserve"> and </w:t>
      </w:r>
      <w:r w:rsidR="0095651B">
        <w:t>remove the common law requirement of formal delivery</w:t>
      </w:r>
      <w:r w:rsidR="00F3729D">
        <w:t>;</w:t>
      </w:r>
      <w:r w:rsidR="00BE5717">
        <w:t xml:space="preserve"> </w:t>
      </w:r>
      <w:r w:rsidR="000F3B10">
        <w:t>and</w:t>
      </w:r>
    </w:p>
    <w:p w14:paraId="5A998978" w14:textId="0236472D" w:rsidR="00BE5717" w:rsidRDefault="00D40AA1" w:rsidP="00625B56">
      <w:pPr>
        <w:pStyle w:val="Bullet"/>
      </w:pPr>
      <w:r>
        <w:t xml:space="preserve">ensure that </w:t>
      </w:r>
      <w:r w:rsidR="00D54BA8">
        <w:t>the Australian Securities and Investment</w:t>
      </w:r>
      <w:r w:rsidR="00032B2A">
        <w:t>s</w:t>
      </w:r>
      <w:r w:rsidR="00D54BA8">
        <w:t xml:space="preserve"> Commission (</w:t>
      </w:r>
      <w:r>
        <w:t>ASIC</w:t>
      </w:r>
      <w:r w:rsidR="00D54BA8">
        <w:t>)</w:t>
      </w:r>
      <w:r>
        <w:t xml:space="preserve"> or a Registrar</w:t>
      </w:r>
      <w:r w:rsidR="00B15433">
        <w:t xml:space="preserve"> (a</w:t>
      </w:r>
      <w:r w:rsidR="000E1C08">
        <w:t>ny</w:t>
      </w:r>
      <w:r w:rsidR="00B15433">
        <w:t xml:space="preserve"> Commonwealth Body appointed </w:t>
      </w:r>
      <w:r w:rsidR="00D90A95">
        <w:t xml:space="preserve">under the Act </w:t>
      </w:r>
      <w:r w:rsidR="00B15433">
        <w:t xml:space="preserve">to </w:t>
      </w:r>
      <w:r w:rsidR="000E1C08">
        <w:t>carry out registry functions and powers)</w:t>
      </w:r>
      <w:r>
        <w:t xml:space="preserve"> cannot refuse to receive or register a document that is signed </w:t>
      </w:r>
      <w:r w:rsidR="00B46F54">
        <w:t xml:space="preserve">in accordance with the technology neutral signature provisions. </w:t>
      </w:r>
    </w:p>
    <w:p w14:paraId="410DD8CB" w14:textId="67D9C1EF" w:rsidR="000F3B10" w:rsidRDefault="000F3B10" w:rsidP="00C25E1A">
      <w:pPr>
        <w:pStyle w:val="Bullet"/>
        <w:numPr>
          <w:ilvl w:val="0"/>
          <w:numId w:val="0"/>
        </w:numPr>
      </w:pPr>
      <w:r>
        <w:t xml:space="preserve">The reforms will allow company agents to execute a deed without a witness. </w:t>
      </w:r>
      <w:r w:rsidR="00C93567">
        <w:t xml:space="preserve">Traditionally witnessing </w:t>
      </w:r>
      <w:r w:rsidR="007C263C">
        <w:t>the execution of a deed in this way would require physical signing and witnessing of the document. The requirement has been removed to facilitate technology</w:t>
      </w:r>
      <w:r w:rsidR="008B07BA">
        <w:t>-</w:t>
      </w:r>
      <w:r w:rsidR="007C263C">
        <w:t xml:space="preserve">neutral signing and was informed by consultation with stakeholders. Stakeholders stated that the witnessing requirement provided little, if any, certainty about the execution of the document as any </w:t>
      </w:r>
      <w:r w:rsidR="007E350E">
        <w:t xml:space="preserve">person may be a witness (they do not have to be known to the party) and there </w:t>
      </w:r>
      <w:r w:rsidR="005F0F60">
        <w:t>are</w:t>
      </w:r>
      <w:r w:rsidR="007E350E">
        <w:t xml:space="preserve"> no requirements for the witness to know the signer or satisfy themselves as to the signer’s identity.</w:t>
      </w:r>
      <w:r>
        <w:t xml:space="preserve"> </w:t>
      </w:r>
    </w:p>
    <w:p w14:paraId="46437AFD" w14:textId="27F1CC16" w:rsidR="0045112D" w:rsidRPr="00C25E1A" w:rsidRDefault="0045112D" w:rsidP="00C25E1A">
      <w:pPr>
        <w:pStyle w:val="Bullet"/>
        <w:numPr>
          <w:ilvl w:val="0"/>
          <w:numId w:val="0"/>
        </w:numPr>
      </w:pPr>
      <w:r w:rsidRPr="003F5088">
        <w:t xml:space="preserve">The </w:t>
      </w:r>
      <w:r w:rsidR="0067402C">
        <w:t xml:space="preserve">proposed </w:t>
      </w:r>
      <w:r w:rsidRPr="003F5088">
        <w:t xml:space="preserve">legislation includes reforms that expand the statutory validation for the execution of company documents to cover circumstances where these documents are executed by directors </w:t>
      </w:r>
      <w:r>
        <w:t>and company secretaries</w:t>
      </w:r>
      <w:r w:rsidR="00F8500C">
        <w:t>, as well as sole directors who are also the company secretary</w:t>
      </w:r>
      <w:r w:rsidR="00BE5717">
        <w:t>.</w:t>
      </w:r>
    </w:p>
    <w:p w14:paraId="3174CDB4" w14:textId="77777777" w:rsidR="00E7461C" w:rsidRPr="00C25E1A" w:rsidRDefault="00E7461C" w:rsidP="00C25E1A">
      <w:pPr>
        <w:pStyle w:val="Heading3"/>
      </w:pPr>
      <w:r>
        <w:t>Meeting-related materials</w:t>
      </w:r>
    </w:p>
    <w:p w14:paraId="666025BD" w14:textId="25D6456B" w:rsidR="003F5088" w:rsidRPr="003F5088" w:rsidRDefault="003F5088" w:rsidP="003F5088">
      <w:pPr>
        <w:rPr>
          <w:color w:val="auto"/>
          <w:sz w:val="22"/>
          <w:szCs w:val="22"/>
        </w:rPr>
      </w:pPr>
      <w:r w:rsidRPr="003F5088">
        <w:rPr>
          <w:color w:val="auto"/>
          <w:sz w:val="22"/>
          <w:szCs w:val="22"/>
        </w:rPr>
        <w:t>In relation to the requirements in respect of meetings, the measures differ from the temporary reforms</w:t>
      </w:r>
      <w:r w:rsidR="0067402C">
        <w:rPr>
          <w:color w:val="auto"/>
          <w:sz w:val="22"/>
          <w:szCs w:val="22"/>
        </w:rPr>
        <w:t xml:space="preserve"> </w:t>
      </w:r>
      <w:r w:rsidR="0067402C" w:rsidRPr="003F5088">
        <w:rPr>
          <w:color w:val="auto"/>
          <w:sz w:val="22"/>
          <w:szCs w:val="22"/>
        </w:rPr>
        <w:t xml:space="preserve">introduced </w:t>
      </w:r>
      <w:r w:rsidR="0067402C">
        <w:rPr>
          <w:color w:val="auto"/>
          <w:sz w:val="22"/>
          <w:szCs w:val="22"/>
        </w:rPr>
        <w:t xml:space="preserve">by the </w:t>
      </w:r>
      <w:r w:rsidR="0067402C" w:rsidRPr="00887056">
        <w:rPr>
          <w:i/>
          <w:iCs/>
          <w:color w:val="auto"/>
          <w:sz w:val="22"/>
          <w:szCs w:val="22"/>
        </w:rPr>
        <w:t>Treasury Laws Amendment (2021 Measures No. 1) Act 2021</w:t>
      </w:r>
      <w:r w:rsidRPr="003F5088">
        <w:rPr>
          <w:color w:val="auto"/>
          <w:sz w:val="22"/>
          <w:szCs w:val="22"/>
        </w:rPr>
        <w:t>, in that they:</w:t>
      </w:r>
    </w:p>
    <w:p w14:paraId="1194C1C5" w14:textId="6F2E8973" w:rsidR="003F5088" w:rsidRDefault="00613FC2" w:rsidP="00625B56">
      <w:pPr>
        <w:pStyle w:val="Bullet"/>
      </w:pPr>
      <w:r>
        <w:t xml:space="preserve">allow companies to choose whether to satisfy their obligations to provide documents </w:t>
      </w:r>
      <w:r w:rsidR="0045112D">
        <w:t xml:space="preserve">to recipients </w:t>
      </w:r>
      <w:r>
        <w:t xml:space="preserve">by providing hard copy documents or </w:t>
      </w:r>
      <w:r w:rsidR="0045112D">
        <w:t>by using</w:t>
      </w:r>
      <w:r>
        <w:t xml:space="preserve"> electronic means unless a member makes an election to receive documents in a certain manner</w:t>
      </w:r>
      <w:r w:rsidR="003F5088" w:rsidRPr="003F5088">
        <w:t xml:space="preserve">; </w:t>
      </w:r>
    </w:p>
    <w:p w14:paraId="675BFEE1" w14:textId="022F2ECE" w:rsidR="00D11179" w:rsidRDefault="00D11179" w:rsidP="00625B56">
      <w:pPr>
        <w:pStyle w:val="Bullet"/>
      </w:pPr>
      <w:r>
        <w:t>allow companies to send documents in five ways: in hard copy</w:t>
      </w:r>
      <w:r w:rsidR="0029018E">
        <w:t>;</w:t>
      </w:r>
      <w:r>
        <w:t xml:space="preserve"> electronically</w:t>
      </w:r>
      <w:r w:rsidR="0029018E">
        <w:t>;</w:t>
      </w:r>
      <w:r>
        <w:t xml:space="preserve"> physically with access to information electronically (</w:t>
      </w:r>
      <w:r w:rsidR="00324C38">
        <w:t>e.g.,</w:t>
      </w:r>
      <w:r>
        <w:t xml:space="preserve"> physical postcard)</w:t>
      </w:r>
      <w:r w:rsidR="0029018E">
        <w:t>;</w:t>
      </w:r>
      <w:r>
        <w:t xml:space="preserve"> electronically, with access to information electronically (</w:t>
      </w:r>
      <w:r w:rsidR="00324C38">
        <w:t>e.g.,</w:t>
      </w:r>
      <w:r>
        <w:t xml:space="preserve"> electronic postcard)</w:t>
      </w:r>
      <w:r w:rsidR="0029018E">
        <w:t>;</w:t>
      </w:r>
      <w:r>
        <w:t xml:space="preserve"> or by posting the information on </w:t>
      </w:r>
      <w:r w:rsidR="0029018E">
        <w:t>a</w:t>
      </w:r>
      <w:r>
        <w:t xml:space="preserve"> website</w:t>
      </w:r>
      <w:r w:rsidR="00425475">
        <w:t>, if the document is an annual report or otherwise permitted by the regulations;</w:t>
      </w:r>
      <w:r>
        <w:t xml:space="preserve"> </w:t>
      </w:r>
    </w:p>
    <w:p w14:paraId="44D29D1D" w14:textId="3A58D0AC" w:rsidR="0029018E" w:rsidRDefault="0029018E" w:rsidP="0029018E">
      <w:pPr>
        <w:pStyle w:val="Bullet"/>
      </w:pPr>
      <w:r>
        <w:t xml:space="preserve">expand the scope of documents which a company may send in one of those five ways to include all documents sent by a company related to meetings to anyone, not just to members; </w:t>
      </w:r>
    </w:p>
    <w:p w14:paraId="15733EF9" w14:textId="18614DED" w:rsidR="00EE42D0" w:rsidRPr="003F5088" w:rsidRDefault="003E2C5C" w:rsidP="00625B56">
      <w:pPr>
        <w:pStyle w:val="Bullet"/>
      </w:pPr>
      <w:r>
        <w:t xml:space="preserve">provide companies with </w:t>
      </w:r>
      <w:bookmarkStart w:id="4" w:name="_Hlk82435333"/>
      <w:r>
        <w:t>a period of 30 days to comply with</w:t>
      </w:r>
      <w:r w:rsidR="00C90F68">
        <w:t xml:space="preserve"> a new</w:t>
      </w:r>
      <w:r>
        <w:t xml:space="preserve"> member election to receive documents in hard copy</w:t>
      </w:r>
      <w:bookmarkEnd w:id="4"/>
      <w:r>
        <w:t>;</w:t>
      </w:r>
    </w:p>
    <w:p w14:paraId="5C1FF705" w14:textId="67233AE6" w:rsidR="00D11179" w:rsidRDefault="00613FC2" w:rsidP="00625B56">
      <w:pPr>
        <w:pStyle w:val="Bullet"/>
      </w:pPr>
      <w:r>
        <w:t>allow members</w:t>
      </w:r>
      <w:r w:rsidR="0045112D">
        <w:t xml:space="preserve"> the flexibility</w:t>
      </w:r>
      <w:r>
        <w:t xml:space="preserve"> to elect to receive documents </w:t>
      </w:r>
      <w:r w:rsidR="003E2C5C">
        <w:t xml:space="preserve">in a particular format </w:t>
      </w:r>
      <w:r>
        <w:t xml:space="preserve">on a </w:t>
      </w:r>
      <w:r w:rsidR="00324C38">
        <w:t>once off</w:t>
      </w:r>
      <w:r>
        <w:t xml:space="preserve"> basis</w:t>
      </w:r>
      <w:r w:rsidR="0045112D">
        <w:t>;</w:t>
      </w:r>
      <w:r w:rsidR="002954E2">
        <w:t xml:space="preserve"> </w:t>
      </w:r>
    </w:p>
    <w:p w14:paraId="30BAEBB8" w14:textId="00384F3F" w:rsidR="007E738B" w:rsidRDefault="007E738B" w:rsidP="00625B56">
      <w:pPr>
        <w:pStyle w:val="Bullet"/>
      </w:pPr>
      <w:r>
        <w:t xml:space="preserve">require public companies and registered schemes to notify members of their election rights by either </w:t>
      </w:r>
      <w:r w:rsidR="00440F3E">
        <w:t>providing them with a notice</w:t>
      </w:r>
      <w:r>
        <w:t xml:space="preserve"> once a year, or by publishing </w:t>
      </w:r>
      <w:r w:rsidR="00440F3E">
        <w:t>that information</w:t>
      </w:r>
      <w:r>
        <w:t xml:space="preserve"> on </w:t>
      </w:r>
      <w:r w:rsidR="0029018E">
        <w:t>a</w:t>
      </w:r>
      <w:r>
        <w:t xml:space="preserve"> website</w:t>
      </w:r>
      <w:r w:rsidR="0029018E">
        <w:t>; and</w:t>
      </w:r>
    </w:p>
    <w:p w14:paraId="1AD2AD2E" w14:textId="4D976DE3" w:rsidR="0045112D" w:rsidRDefault="0045112D" w:rsidP="00625B56">
      <w:pPr>
        <w:pStyle w:val="Bullet"/>
      </w:pPr>
      <w:r>
        <w:t xml:space="preserve">consistent with members’ current rights to elect not to receive annual reports, provide members with the option to elect not to receive </w:t>
      </w:r>
      <w:r w:rsidR="002A5B89">
        <w:t xml:space="preserve">annual reports or </w:t>
      </w:r>
      <w:r>
        <w:t xml:space="preserve">certain </w:t>
      </w:r>
      <w:r w:rsidR="002A5B89">
        <w:t xml:space="preserve">other </w:t>
      </w:r>
      <w:r>
        <w:t xml:space="preserve">documents </w:t>
      </w:r>
      <w:r w:rsidR="002A5B89">
        <w:t>that are prescribed</w:t>
      </w:r>
      <w:r>
        <w:t xml:space="preserve"> by the regulations</w:t>
      </w:r>
      <w:r w:rsidR="002954E2">
        <w:t>.</w:t>
      </w:r>
    </w:p>
    <w:p w14:paraId="4F42A2C9" w14:textId="5434ED65" w:rsidR="00021E6B" w:rsidRPr="00984BF2" w:rsidRDefault="00BE5717" w:rsidP="00D137E9">
      <w:pPr>
        <w:rPr>
          <w:bCs/>
        </w:rPr>
      </w:pPr>
      <w:r w:rsidRPr="00984BF2">
        <w:rPr>
          <w:rFonts w:ascii="Calibri" w:eastAsiaTheme="majorEastAsia" w:hAnsi="Calibri" w:cstheme="majorBidi"/>
          <w:bCs/>
          <w:color w:val="000000" w:themeColor="text1"/>
          <w:sz w:val="22"/>
          <w:szCs w:val="28"/>
        </w:rPr>
        <w:t xml:space="preserve">These provisions will come into effect on 1 April 2022, after the temporary relief expires. This will give companies </w:t>
      </w:r>
      <w:r w:rsidR="0029018E" w:rsidRPr="00984BF2">
        <w:rPr>
          <w:rFonts w:ascii="Calibri" w:eastAsiaTheme="majorEastAsia" w:hAnsi="Calibri" w:cstheme="majorBidi"/>
          <w:bCs/>
          <w:color w:val="000000" w:themeColor="text1"/>
          <w:sz w:val="22"/>
          <w:szCs w:val="28"/>
        </w:rPr>
        <w:t xml:space="preserve">clarity </w:t>
      </w:r>
      <w:r w:rsidR="00897E72" w:rsidRPr="00984BF2">
        <w:rPr>
          <w:rFonts w:ascii="Calibri" w:eastAsiaTheme="majorEastAsia" w:hAnsi="Calibri" w:cstheme="majorBidi"/>
          <w:bCs/>
          <w:color w:val="000000" w:themeColor="text1"/>
          <w:sz w:val="22"/>
          <w:szCs w:val="28"/>
        </w:rPr>
        <w:t xml:space="preserve">and certainty </w:t>
      </w:r>
      <w:r w:rsidR="0029018E" w:rsidRPr="00984BF2">
        <w:rPr>
          <w:rFonts w:ascii="Calibri" w:eastAsiaTheme="majorEastAsia" w:hAnsi="Calibri" w:cstheme="majorBidi"/>
          <w:bCs/>
          <w:color w:val="000000" w:themeColor="text1"/>
          <w:sz w:val="22"/>
          <w:szCs w:val="28"/>
        </w:rPr>
        <w:t xml:space="preserve">on their ability to rely on the temporary reforms </w:t>
      </w:r>
      <w:r w:rsidR="00897E72" w:rsidRPr="00984BF2">
        <w:rPr>
          <w:rFonts w:ascii="Calibri" w:eastAsiaTheme="majorEastAsia" w:hAnsi="Calibri" w:cstheme="majorBidi"/>
          <w:bCs/>
          <w:color w:val="000000" w:themeColor="text1"/>
          <w:sz w:val="22"/>
          <w:szCs w:val="28"/>
        </w:rPr>
        <w:t xml:space="preserve">until 31 March 2022 </w:t>
      </w:r>
      <w:r w:rsidR="0029018E" w:rsidRPr="00984BF2">
        <w:rPr>
          <w:rFonts w:ascii="Calibri" w:eastAsiaTheme="majorEastAsia" w:hAnsi="Calibri" w:cstheme="majorBidi"/>
          <w:bCs/>
          <w:color w:val="000000" w:themeColor="text1"/>
          <w:sz w:val="22"/>
          <w:szCs w:val="28"/>
        </w:rPr>
        <w:t xml:space="preserve">and </w:t>
      </w:r>
      <w:r w:rsidRPr="00984BF2">
        <w:rPr>
          <w:rFonts w:ascii="Calibri" w:eastAsiaTheme="majorEastAsia" w:hAnsi="Calibri" w:cstheme="majorBidi"/>
          <w:bCs/>
          <w:color w:val="000000" w:themeColor="text1"/>
          <w:sz w:val="22"/>
          <w:szCs w:val="28"/>
        </w:rPr>
        <w:t xml:space="preserve">sufficient time to prepare for the new provisions. </w:t>
      </w:r>
    </w:p>
    <w:p w14:paraId="1B1E7A01" w14:textId="77777777" w:rsidR="00651F89" w:rsidRDefault="00651F89" w:rsidP="00651F89">
      <w:pPr>
        <w:pStyle w:val="Title"/>
      </w:pPr>
      <w:r>
        <w:t>4. What is the likely net benefit of each option?</w:t>
      </w:r>
    </w:p>
    <w:p w14:paraId="6E5C9370" w14:textId="77777777" w:rsidR="00651F89" w:rsidRDefault="00651F89" w:rsidP="00651F89">
      <w:pPr>
        <w:pStyle w:val="Heading2"/>
      </w:pPr>
      <w:r>
        <w:t>4.1 Option 1 – Status Quo</w:t>
      </w:r>
    </w:p>
    <w:p w14:paraId="5654879C" w14:textId="53AA8F29" w:rsidR="003F5088" w:rsidRPr="003F5088" w:rsidRDefault="003F5088" w:rsidP="003F5088">
      <w:pPr>
        <w:rPr>
          <w:color w:val="000000" w:themeColor="text1"/>
          <w:sz w:val="22"/>
          <w:szCs w:val="22"/>
        </w:rPr>
      </w:pPr>
      <w:r w:rsidRPr="003F5088">
        <w:rPr>
          <w:color w:val="000000" w:themeColor="text1"/>
          <w:sz w:val="22"/>
          <w:szCs w:val="22"/>
        </w:rPr>
        <w:t xml:space="preserve">This option does not achieve the Government’s objectives of ensuring that where substantive statutory requirements can be met using digital technologies, the law allows companies and their officers to </w:t>
      </w:r>
      <w:r w:rsidR="00E70DB2">
        <w:rPr>
          <w:color w:val="000000" w:themeColor="text1"/>
          <w:sz w:val="22"/>
          <w:szCs w:val="22"/>
        </w:rPr>
        <w:t>do so</w:t>
      </w:r>
      <w:r w:rsidRPr="003F5088">
        <w:rPr>
          <w:color w:val="000000" w:themeColor="text1"/>
          <w:sz w:val="22"/>
          <w:szCs w:val="22"/>
        </w:rPr>
        <w:t>.</w:t>
      </w:r>
    </w:p>
    <w:p w14:paraId="70B0AB16" w14:textId="4276BB2B" w:rsidR="00EE298C" w:rsidRDefault="00EE298C" w:rsidP="001E33A2">
      <w:pPr>
        <w:pStyle w:val="Heading3"/>
      </w:pPr>
      <w:r>
        <w:t>Document execution</w:t>
      </w:r>
    </w:p>
    <w:p w14:paraId="54BCD1D9" w14:textId="0D840D24" w:rsidR="003F5088" w:rsidRPr="003F5088" w:rsidRDefault="003F5088" w:rsidP="003F5088">
      <w:pPr>
        <w:rPr>
          <w:color w:val="000000" w:themeColor="text1"/>
          <w:sz w:val="22"/>
          <w:szCs w:val="22"/>
        </w:rPr>
      </w:pPr>
      <w:r w:rsidRPr="003F5088">
        <w:rPr>
          <w:color w:val="000000" w:themeColor="text1"/>
          <w:sz w:val="22"/>
          <w:szCs w:val="22"/>
        </w:rPr>
        <w:t xml:space="preserve">Without reforms, </w:t>
      </w:r>
      <w:r w:rsidRPr="003F5088" w:rsidDel="000E6DE6">
        <w:rPr>
          <w:color w:val="000000" w:themeColor="text1"/>
          <w:sz w:val="22"/>
          <w:szCs w:val="22"/>
        </w:rPr>
        <w:t xml:space="preserve">companies </w:t>
      </w:r>
      <w:r w:rsidRPr="003F5088">
        <w:rPr>
          <w:color w:val="000000" w:themeColor="text1"/>
          <w:sz w:val="22"/>
          <w:szCs w:val="22"/>
        </w:rPr>
        <w:t xml:space="preserve">must generally execute documents in person using wet-ink on hard copies. Accordingly, company officers will have to execute documents in hard copy, with a wet-ink signature, in person. Companies will continue to incur the costs associated with directors having to travel locally, from interstate or overseas and the printing costs to execute a document in person. There may be postal delays that may impose on the documents being executed in a timely manner. </w:t>
      </w:r>
    </w:p>
    <w:p w14:paraId="0B464268" w14:textId="76D2DABF" w:rsidR="007C5FA7" w:rsidRDefault="00EE298C" w:rsidP="001E33A2">
      <w:pPr>
        <w:pStyle w:val="Heading3"/>
      </w:pPr>
      <w:r>
        <w:t>Meeting-related materials</w:t>
      </w:r>
    </w:p>
    <w:p w14:paraId="31BF8FD8" w14:textId="1DF8E291" w:rsidR="003F5088" w:rsidRPr="003F5088" w:rsidRDefault="003F5088" w:rsidP="003F5088">
      <w:pPr>
        <w:rPr>
          <w:color w:val="000000" w:themeColor="text1"/>
          <w:sz w:val="22"/>
          <w:szCs w:val="22"/>
        </w:rPr>
      </w:pPr>
      <w:r w:rsidRPr="003F5088">
        <w:rPr>
          <w:color w:val="000000" w:themeColor="text1"/>
          <w:sz w:val="22"/>
          <w:szCs w:val="22"/>
        </w:rPr>
        <w:t xml:space="preserve">Companies must post meeting-related materials where </w:t>
      </w:r>
      <w:r w:rsidR="00914965">
        <w:rPr>
          <w:color w:val="000000" w:themeColor="text1"/>
          <w:sz w:val="22"/>
          <w:szCs w:val="22"/>
        </w:rPr>
        <w:t>members</w:t>
      </w:r>
      <w:r w:rsidR="00914965" w:rsidRPr="003F5088">
        <w:rPr>
          <w:color w:val="000000" w:themeColor="text1"/>
          <w:sz w:val="22"/>
          <w:szCs w:val="22"/>
        </w:rPr>
        <w:t xml:space="preserve"> </w:t>
      </w:r>
      <w:r w:rsidRPr="003F5088">
        <w:rPr>
          <w:color w:val="000000" w:themeColor="text1"/>
          <w:sz w:val="22"/>
          <w:szCs w:val="22"/>
        </w:rPr>
        <w:t>have not consented to receiving documents electronically; keep, retain, and provide meeting minutes in hard copy</w:t>
      </w:r>
      <w:r w:rsidR="00607D19">
        <w:rPr>
          <w:color w:val="000000" w:themeColor="text1"/>
          <w:sz w:val="22"/>
          <w:szCs w:val="22"/>
        </w:rPr>
        <w:t>;</w:t>
      </w:r>
      <w:r w:rsidRPr="003F5088">
        <w:rPr>
          <w:color w:val="000000" w:themeColor="text1"/>
          <w:sz w:val="22"/>
          <w:szCs w:val="22"/>
        </w:rPr>
        <w:t xml:space="preserve"> and sign meeting-related documents using wet</w:t>
      </w:r>
      <w:r w:rsidR="007A4D30">
        <w:rPr>
          <w:color w:val="000000" w:themeColor="text1"/>
          <w:sz w:val="22"/>
          <w:szCs w:val="22"/>
        </w:rPr>
        <w:t>-</w:t>
      </w:r>
      <w:r w:rsidRPr="003F5088">
        <w:rPr>
          <w:color w:val="000000" w:themeColor="text1"/>
          <w:sz w:val="22"/>
          <w:szCs w:val="22"/>
        </w:rPr>
        <w:t xml:space="preserve">ink on hard copies. </w:t>
      </w:r>
    </w:p>
    <w:p w14:paraId="1CFE197A" w14:textId="701888E6" w:rsidR="003F5088" w:rsidRPr="003F5088" w:rsidRDefault="003F5088" w:rsidP="003F5088">
      <w:pPr>
        <w:rPr>
          <w:color w:val="000000" w:themeColor="text1"/>
          <w:sz w:val="22"/>
          <w:szCs w:val="22"/>
        </w:rPr>
      </w:pPr>
      <w:r w:rsidRPr="003F5088">
        <w:rPr>
          <w:color w:val="000000" w:themeColor="text1"/>
          <w:sz w:val="22"/>
          <w:szCs w:val="22"/>
        </w:rPr>
        <w:t xml:space="preserve">The costs of posting meeting materials are significant. According to industry estimates, around 50 per cent of a company’s </w:t>
      </w:r>
      <w:r w:rsidR="00914965">
        <w:rPr>
          <w:color w:val="000000" w:themeColor="text1"/>
          <w:sz w:val="22"/>
          <w:szCs w:val="22"/>
        </w:rPr>
        <w:t>member</w:t>
      </w:r>
      <w:r w:rsidR="00914965" w:rsidRPr="003F5088">
        <w:rPr>
          <w:color w:val="000000" w:themeColor="text1"/>
          <w:sz w:val="22"/>
          <w:szCs w:val="22"/>
        </w:rPr>
        <w:t xml:space="preserve"> </w:t>
      </w:r>
      <w:r w:rsidRPr="003F5088">
        <w:rPr>
          <w:color w:val="000000" w:themeColor="text1"/>
          <w:sz w:val="22"/>
          <w:szCs w:val="22"/>
        </w:rPr>
        <w:t xml:space="preserve">base have actively elected to receive notices of meeting via email. For the remaining portion of shareholders, companies are required to send a paper notice of meeting, and meeting materials by post. This requirement is costly and unnecessary for companies. </w:t>
      </w:r>
    </w:p>
    <w:p w14:paraId="5B242626" w14:textId="7848D08B" w:rsidR="003F5088" w:rsidRPr="003F5088" w:rsidRDefault="003F5088" w:rsidP="003F5088">
      <w:pPr>
        <w:rPr>
          <w:color w:val="000000" w:themeColor="text1"/>
          <w:sz w:val="22"/>
          <w:szCs w:val="22"/>
        </w:rPr>
      </w:pPr>
      <w:r w:rsidRPr="003F5088">
        <w:rPr>
          <w:color w:val="000000" w:themeColor="text1"/>
          <w:sz w:val="22"/>
          <w:szCs w:val="22"/>
        </w:rPr>
        <w:t xml:space="preserve">For example, of the 600,000 notifications that were sent to </w:t>
      </w:r>
      <w:r w:rsidR="00914965">
        <w:rPr>
          <w:color w:val="000000" w:themeColor="text1"/>
          <w:sz w:val="22"/>
          <w:szCs w:val="22"/>
        </w:rPr>
        <w:t>members</w:t>
      </w:r>
      <w:r w:rsidR="00914965" w:rsidRPr="003F5088">
        <w:rPr>
          <w:color w:val="000000" w:themeColor="text1"/>
          <w:sz w:val="22"/>
          <w:szCs w:val="22"/>
        </w:rPr>
        <w:t xml:space="preserve"> </w:t>
      </w:r>
      <w:r w:rsidRPr="003F5088">
        <w:rPr>
          <w:color w:val="000000" w:themeColor="text1"/>
          <w:sz w:val="22"/>
          <w:szCs w:val="22"/>
        </w:rPr>
        <w:t xml:space="preserve">from an ASX10 company advising the availability of the notice of meeting and proxy form online, only 100 requested hard copies. Industry estimates suggest that the costs could range between $250,000 and $1,000,000 per meeting. One industry source suggested that the ASX20 alone spends around $13 million on mail-outs per AGM season. For example, Telstra printed and posted approximately 650,000 hard copy notices of meetings for its 2019 AGM, which was estimated to cost between $800,000 and $1,000,000. AMP Limited estimated the cost in printing and posting notices of meeting is approximately $400,000 per year. These costs do not include labour costs. </w:t>
      </w:r>
    </w:p>
    <w:p w14:paraId="14D86EED" w14:textId="1C756167" w:rsidR="003F5088" w:rsidRPr="003F5088" w:rsidRDefault="003F5088" w:rsidP="003F5088">
      <w:pPr>
        <w:rPr>
          <w:color w:val="000000" w:themeColor="text1"/>
          <w:sz w:val="22"/>
          <w:szCs w:val="22"/>
        </w:rPr>
      </w:pPr>
      <w:r w:rsidRPr="003F5088">
        <w:rPr>
          <w:color w:val="000000" w:themeColor="text1"/>
          <w:sz w:val="22"/>
          <w:szCs w:val="22"/>
        </w:rPr>
        <w:t>Smaller companies, including not-for-profits, incur significant costs. An estimate from one club suggested that they spent approximately $70,000 on posting paper notices to its 41,000 members per year. As post becomes less common in society overall, in turn, printing and postage costs are increasing.</w:t>
      </w:r>
    </w:p>
    <w:p w14:paraId="15947CAD" w14:textId="577BD00A" w:rsidR="00EE298C" w:rsidRDefault="00EE298C" w:rsidP="00EE298C">
      <w:pPr>
        <w:pStyle w:val="Heading2"/>
      </w:pPr>
      <w:r>
        <w:t>4.2 Option 2 – Make permanent the temporary reforms</w:t>
      </w:r>
    </w:p>
    <w:p w14:paraId="7C45F2DF" w14:textId="49D02369" w:rsidR="003F5088" w:rsidRPr="003F5088" w:rsidRDefault="003F5088" w:rsidP="003F5088">
      <w:pPr>
        <w:rPr>
          <w:color w:val="000000" w:themeColor="text1"/>
          <w:sz w:val="22"/>
          <w:szCs w:val="22"/>
        </w:rPr>
      </w:pPr>
      <w:r w:rsidRPr="003F5088">
        <w:rPr>
          <w:color w:val="000000" w:themeColor="text1"/>
          <w:sz w:val="22"/>
          <w:szCs w:val="22"/>
        </w:rPr>
        <w:t xml:space="preserve">Stakeholders </w:t>
      </w:r>
      <w:r w:rsidR="00B96B69">
        <w:rPr>
          <w:color w:val="000000" w:themeColor="text1"/>
          <w:sz w:val="22"/>
          <w:szCs w:val="22"/>
        </w:rPr>
        <w:t>have</w:t>
      </w:r>
      <w:r w:rsidR="00B96B69" w:rsidRPr="003F5088">
        <w:rPr>
          <w:color w:val="000000" w:themeColor="text1"/>
          <w:sz w:val="22"/>
          <w:szCs w:val="22"/>
        </w:rPr>
        <w:t xml:space="preserve"> </w:t>
      </w:r>
      <w:r w:rsidR="00E64699">
        <w:rPr>
          <w:color w:val="000000" w:themeColor="text1"/>
          <w:sz w:val="22"/>
          <w:szCs w:val="22"/>
        </w:rPr>
        <w:t xml:space="preserve">unanimously </w:t>
      </w:r>
      <w:r w:rsidRPr="003F5088">
        <w:rPr>
          <w:color w:val="000000" w:themeColor="text1"/>
          <w:sz w:val="22"/>
          <w:szCs w:val="22"/>
        </w:rPr>
        <w:t>welcomed the temporary reforms in the context of the Coronavirus crisis. However, as a permanent measure, stakeholders suggested that this option may not fully achieve the Government’s objectives of ensuring that where substantive statutory requirements can be met using digital technologies, the law allows companies and their officers to</w:t>
      </w:r>
      <w:r w:rsidR="008C1B9B">
        <w:rPr>
          <w:color w:val="000000" w:themeColor="text1"/>
          <w:sz w:val="22"/>
          <w:szCs w:val="22"/>
        </w:rPr>
        <w:t xml:space="preserve"> do so</w:t>
      </w:r>
      <w:r w:rsidRPr="003F5088">
        <w:rPr>
          <w:color w:val="000000" w:themeColor="text1"/>
          <w:sz w:val="22"/>
          <w:szCs w:val="22"/>
        </w:rPr>
        <w:t>.</w:t>
      </w:r>
    </w:p>
    <w:p w14:paraId="261A40C7" w14:textId="77777777" w:rsidR="00EE298C" w:rsidRDefault="00EE298C" w:rsidP="00272686">
      <w:pPr>
        <w:pStyle w:val="Heading3"/>
      </w:pPr>
      <w:r>
        <w:t>Document execution</w:t>
      </w:r>
    </w:p>
    <w:p w14:paraId="6A5CEC78" w14:textId="069E601E" w:rsidR="003F5088" w:rsidRPr="003F5088" w:rsidRDefault="003F5088" w:rsidP="003F5088">
      <w:pPr>
        <w:rPr>
          <w:color w:val="000000" w:themeColor="text1"/>
          <w:sz w:val="22"/>
          <w:szCs w:val="22"/>
        </w:rPr>
      </w:pPr>
      <w:r w:rsidRPr="003F5088">
        <w:rPr>
          <w:color w:val="000000" w:themeColor="text1"/>
          <w:sz w:val="22"/>
          <w:szCs w:val="22"/>
        </w:rPr>
        <w:t xml:space="preserve">This option permits a more effective use of technology, particularly if the trend of working from </w:t>
      </w:r>
      <w:r w:rsidR="005F006A">
        <w:rPr>
          <w:color w:val="000000" w:themeColor="text1"/>
          <w:sz w:val="22"/>
          <w:szCs w:val="22"/>
        </w:rPr>
        <w:t>outside the office</w:t>
      </w:r>
      <w:r w:rsidRPr="003F5088">
        <w:rPr>
          <w:color w:val="000000" w:themeColor="text1"/>
          <w:sz w:val="22"/>
          <w:szCs w:val="22"/>
        </w:rPr>
        <w:t xml:space="preserve"> continues. As a result of the Coronavirus crisis and social distancing measures, companies have invested significantly in their IT infrastructure to facilitate their staff to work from home. Making permanent changes to allow valid document execution to occur electronically will not require staff to travel to work or between offices to execute documents.</w:t>
      </w:r>
    </w:p>
    <w:p w14:paraId="09E89CE7" w14:textId="05CE711A" w:rsidR="003F5088" w:rsidRPr="003F5088" w:rsidRDefault="003F5088" w:rsidP="00625B56">
      <w:pPr>
        <w:rPr>
          <w:color w:val="000000" w:themeColor="text1"/>
          <w:sz w:val="22"/>
          <w:szCs w:val="22"/>
        </w:rPr>
      </w:pPr>
      <w:r w:rsidRPr="003F5088">
        <w:rPr>
          <w:color w:val="000000" w:themeColor="text1"/>
          <w:sz w:val="22"/>
          <w:szCs w:val="22"/>
        </w:rPr>
        <w:t xml:space="preserve">However, further flexibility could be provided for companies to use technology. </w:t>
      </w:r>
      <w:r w:rsidR="00125552">
        <w:rPr>
          <w:color w:val="000000" w:themeColor="text1"/>
          <w:sz w:val="22"/>
          <w:szCs w:val="22"/>
        </w:rPr>
        <w:t>S</w:t>
      </w:r>
      <w:r w:rsidRPr="003F5088">
        <w:rPr>
          <w:color w:val="000000" w:themeColor="text1"/>
          <w:sz w:val="22"/>
          <w:szCs w:val="22"/>
        </w:rPr>
        <w:t xml:space="preserve">takeholders suggested that clarification as to whether the legislative reforms </w:t>
      </w:r>
      <w:r w:rsidR="00D06AFC">
        <w:rPr>
          <w:color w:val="000000" w:themeColor="text1"/>
          <w:sz w:val="22"/>
          <w:szCs w:val="22"/>
        </w:rPr>
        <w:t>supported the technical requirements for the execution of</w:t>
      </w:r>
      <w:r w:rsidRPr="003F5088">
        <w:rPr>
          <w:color w:val="000000" w:themeColor="text1"/>
          <w:sz w:val="22"/>
          <w:szCs w:val="22"/>
        </w:rPr>
        <w:t xml:space="preserve"> deeds, would further support companies to use technology. </w:t>
      </w:r>
      <w:r w:rsidR="00D06AFC">
        <w:rPr>
          <w:color w:val="000000" w:themeColor="text1"/>
          <w:sz w:val="22"/>
          <w:szCs w:val="22"/>
        </w:rPr>
        <w:t>Stakeholders provided feedback in support of clarifying that an authorised agent may execute a deed on behalf of the company.</w:t>
      </w:r>
    </w:p>
    <w:p w14:paraId="3BD7ED36" w14:textId="5BD5AC10" w:rsidR="003F5088" w:rsidRDefault="003F5088" w:rsidP="003F5088">
      <w:pPr>
        <w:rPr>
          <w:color w:val="000000" w:themeColor="text1"/>
          <w:sz w:val="22"/>
          <w:szCs w:val="22"/>
        </w:rPr>
      </w:pPr>
      <w:r w:rsidRPr="003F5088">
        <w:rPr>
          <w:color w:val="000000" w:themeColor="text1"/>
          <w:sz w:val="22"/>
          <w:szCs w:val="22"/>
        </w:rPr>
        <w:t>Some stakeholders raised concerns about fraud in using electronic means to execute documents. In theory, a person may execute a document without appropriate authority. However, whether this is done electronically or physically, such an execution will not be valid and could entail criminal consequences depending on the circumstances. However, initial stakeholder feedback has indicated that the same methods used to confirm that a company officer has in fact physically signed or witnessed the application of a seal to a document under current law, can be used to confirm that a company officer has done so electronically. Furthermore, the use of electronic technologies is more likely to leave an audit trail</w:t>
      </w:r>
      <w:r w:rsidR="00440F3E">
        <w:rPr>
          <w:color w:val="000000" w:themeColor="text1"/>
          <w:sz w:val="22"/>
          <w:szCs w:val="22"/>
        </w:rPr>
        <w:t>,</w:t>
      </w:r>
      <w:r w:rsidRPr="003F5088">
        <w:rPr>
          <w:color w:val="000000" w:themeColor="text1"/>
          <w:sz w:val="22"/>
          <w:szCs w:val="22"/>
        </w:rPr>
        <w:t xml:space="preserve"> if </w:t>
      </w:r>
      <w:r w:rsidR="00440F3E">
        <w:rPr>
          <w:color w:val="000000" w:themeColor="text1"/>
          <w:sz w:val="22"/>
          <w:szCs w:val="22"/>
        </w:rPr>
        <w:t>required</w:t>
      </w:r>
      <w:r w:rsidRPr="003F5088">
        <w:rPr>
          <w:color w:val="000000" w:themeColor="text1"/>
          <w:sz w:val="22"/>
          <w:szCs w:val="22"/>
        </w:rPr>
        <w:t>.</w:t>
      </w:r>
    </w:p>
    <w:p w14:paraId="644CB9FB" w14:textId="77777777" w:rsidR="00945A9E" w:rsidRPr="003F5088" w:rsidRDefault="00945A9E" w:rsidP="003F5088">
      <w:pPr>
        <w:rPr>
          <w:color w:val="000000" w:themeColor="text1"/>
          <w:sz w:val="22"/>
          <w:szCs w:val="22"/>
        </w:rPr>
      </w:pPr>
    </w:p>
    <w:p w14:paraId="77A55B6B" w14:textId="77777777" w:rsidR="00EE298C" w:rsidRDefault="00EE298C" w:rsidP="00EC364E">
      <w:pPr>
        <w:pStyle w:val="Heading4"/>
        <w:shd w:val="clear" w:color="auto" w:fill="D1D1D1" w:themeFill="background2"/>
      </w:pPr>
      <w:r>
        <w:t>Methodology used to estimate regulatory burden for document execution</w:t>
      </w:r>
    </w:p>
    <w:p w14:paraId="6C081813" w14:textId="77777777" w:rsidR="00EE298C" w:rsidRPr="00272686" w:rsidRDefault="00EE298C" w:rsidP="00EC364E">
      <w:pPr>
        <w:shd w:val="clear" w:color="auto" w:fill="D1D1D1" w:themeFill="background2"/>
        <w:spacing w:after="0"/>
        <w:rPr>
          <w:color w:val="000000" w:themeColor="text1"/>
          <w:sz w:val="22"/>
          <w:szCs w:val="22"/>
        </w:rPr>
      </w:pPr>
      <w:r w:rsidRPr="00272686">
        <w:rPr>
          <w:color w:val="000000" w:themeColor="text1"/>
          <w:sz w:val="22"/>
          <w:szCs w:val="22"/>
        </w:rPr>
        <w:t>To determine the costs associated with executing a document in person, the following assumptions have been incorporated into the methodology:</w:t>
      </w:r>
    </w:p>
    <w:p w14:paraId="0D9089B1" w14:textId="04B23AD5" w:rsidR="00EE298C" w:rsidRPr="00272686" w:rsidRDefault="00EE298C" w:rsidP="00EC364E">
      <w:pPr>
        <w:pStyle w:val="Bullet"/>
        <w:shd w:val="clear" w:color="auto" w:fill="D1D1D1" w:themeFill="background2"/>
        <w:rPr>
          <w:szCs w:val="22"/>
        </w:rPr>
      </w:pPr>
      <w:r w:rsidRPr="00272686">
        <w:rPr>
          <w:szCs w:val="22"/>
        </w:rPr>
        <w:t xml:space="preserve">An estimate </w:t>
      </w:r>
      <w:r w:rsidRPr="00EC364E">
        <w:rPr>
          <w:szCs w:val="22"/>
        </w:rPr>
        <w:t xml:space="preserve">of </w:t>
      </w:r>
      <w:r w:rsidR="00187D90" w:rsidRPr="00EC364E">
        <w:rPr>
          <w:szCs w:val="22"/>
        </w:rPr>
        <w:t>918,000</w:t>
      </w:r>
      <w:r w:rsidRPr="00272686">
        <w:rPr>
          <w:szCs w:val="22"/>
        </w:rPr>
        <w:t xml:space="preserve"> active companies operate in Australia.</w:t>
      </w:r>
    </w:p>
    <w:p w14:paraId="7CFEF748" w14:textId="77777777" w:rsidR="00EE298C" w:rsidRPr="00272686" w:rsidRDefault="00EE298C" w:rsidP="00EC364E">
      <w:pPr>
        <w:pStyle w:val="Bullet"/>
        <w:shd w:val="clear" w:color="auto" w:fill="D1D1D1" w:themeFill="background2"/>
        <w:rPr>
          <w:szCs w:val="22"/>
        </w:rPr>
      </w:pPr>
      <w:r w:rsidRPr="00272686">
        <w:rPr>
          <w:szCs w:val="22"/>
        </w:rPr>
        <w:t>On average, 50 per cent of businesses execute one document every fortnight.</w:t>
      </w:r>
    </w:p>
    <w:p w14:paraId="5C6176E5" w14:textId="77777777" w:rsidR="00EE298C" w:rsidRPr="00272686" w:rsidRDefault="00EE298C" w:rsidP="00EC364E">
      <w:pPr>
        <w:pStyle w:val="Bullet"/>
        <w:shd w:val="clear" w:color="auto" w:fill="D1D1D1" w:themeFill="background2"/>
        <w:rPr>
          <w:szCs w:val="22"/>
        </w:rPr>
      </w:pPr>
      <w:r w:rsidRPr="00272686">
        <w:rPr>
          <w:szCs w:val="22"/>
        </w:rPr>
        <w:t>If directors are working from home or in disparate locations, two directors are required to commute one hour each to execute a document at the same location.</w:t>
      </w:r>
    </w:p>
    <w:p w14:paraId="221B2535" w14:textId="77777777" w:rsidR="00EE298C" w:rsidRPr="00272686" w:rsidRDefault="00EE298C" w:rsidP="00EC364E">
      <w:pPr>
        <w:pStyle w:val="Bullet"/>
        <w:shd w:val="clear" w:color="auto" w:fill="D1D1D1" w:themeFill="background2"/>
        <w:rPr>
          <w:szCs w:val="22"/>
        </w:rPr>
      </w:pPr>
      <w:r w:rsidRPr="00272686">
        <w:rPr>
          <w:szCs w:val="22"/>
        </w:rPr>
        <w:t>OBPR work-related labour cost of $73.05 per hour.</w:t>
      </w:r>
    </w:p>
    <w:p w14:paraId="066F18F5" w14:textId="77777777" w:rsidR="00EE298C" w:rsidRPr="00272686" w:rsidRDefault="00EE298C" w:rsidP="00EC364E">
      <w:pPr>
        <w:pStyle w:val="Bullet"/>
        <w:shd w:val="clear" w:color="auto" w:fill="D1D1D1" w:themeFill="background2"/>
        <w:rPr>
          <w:szCs w:val="22"/>
        </w:rPr>
      </w:pPr>
      <w:r w:rsidRPr="00272686">
        <w:rPr>
          <w:szCs w:val="22"/>
        </w:rPr>
        <w:t xml:space="preserve">Time cost of printing and other mailroom activities involved in sending a letter is approximately two minutes. </w:t>
      </w:r>
    </w:p>
    <w:p w14:paraId="6F1D130B" w14:textId="77777777" w:rsidR="00EE298C" w:rsidRPr="00272686" w:rsidRDefault="00EE298C" w:rsidP="00EC364E">
      <w:pPr>
        <w:pStyle w:val="Bullet"/>
        <w:shd w:val="clear" w:color="auto" w:fill="D1D1D1" w:themeFill="background2"/>
        <w:rPr>
          <w:szCs w:val="22"/>
        </w:rPr>
      </w:pPr>
      <w:r w:rsidRPr="00272686">
        <w:rPr>
          <w:szCs w:val="22"/>
        </w:rPr>
        <w:t>Printing and postal costs per actual letter are respectively $1.50 and $2.20.</w:t>
      </w:r>
    </w:p>
    <w:p w14:paraId="497074FF" w14:textId="77777777" w:rsidR="00EE298C" w:rsidRPr="00272686" w:rsidRDefault="00EE298C" w:rsidP="00EC364E">
      <w:pPr>
        <w:pStyle w:val="Bullet"/>
        <w:numPr>
          <w:ilvl w:val="0"/>
          <w:numId w:val="0"/>
        </w:numPr>
        <w:shd w:val="clear" w:color="auto" w:fill="D1D1D1" w:themeFill="background2"/>
        <w:rPr>
          <w:szCs w:val="22"/>
        </w:rPr>
      </w:pPr>
      <w:r w:rsidRPr="00272686">
        <w:rPr>
          <w:szCs w:val="22"/>
        </w:rPr>
        <w:t>As for electronic document execution, the following assumptions have been incorporated into the methodology:</w:t>
      </w:r>
    </w:p>
    <w:p w14:paraId="7A4538F8" w14:textId="7F1D5DA7" w:rsidR="00EE298C" w:rsidRPr="00272686" w:rsidRDefault="00EE298C" w:rsidP="00EC364E">
      <w:pPr>
        <w:pStyle w:val="Bullet"/>
        <w:shd w:val="clear" w:color="auto" w:fill="D1D1D1" w:themeFill="background2"/>
        <w:rPr>
          <w:szCs w:val="22"/>
        </w:rPr>
      </w:pPr>
      <w:r w:rsidRPr="00272686">
        <w:rPr>
          <w:szCs w:val="22"/>
        </w:rPr>
        <w:t>Sophisticated web-based signing services are an optional extra which are not required by companies that wish to electronically execute documents</w:t>
      </w:r>
      <w:r w:rsidR="00216995">
        <w:rPr>
          <w:szCs w:val="22"/>
        </w:rPr>
        <w:t>.</w:t>
      </w:r>
    </w:p>
    <w:p w14:paraId="4CA7763B" w14:textId="77777777" w:rsidR="00EE298C" w:rsidRPr="00272686" w:rsidRDefault="00EE298C" w:rsidP="00EC364E">
      <w:pPr>
        <w:pStyle w:val="Bullet"/>
        <w:shd w:val="clear" w:color="auto" w:fill="D1D1D1" w:themeFill="background2"/>
        <w:rPr>
          <w:szCs w:val="22"/>
        </w:rPr>
      </w:pPr>
      <w:r w:rsidRPr="00272686">
        <w:rPr>
          <w:szCs w:val="22"/>
        </w:rPr>
        <w:t>50 per cent of directors will use electronic document execution methods.</w:t>
      </w:r>
    </w:p>
    <w:p w14:paraId="4F6FA440" w14:textId="77777777" w:rsidR="00EE298C" w:rsidRPr="00272686" w:rsidRDefault="00EE298C" w:rsidP="00EC364E">
      <w:pPr>
        <w:pStyle w:val="Bullet"/>
        <w:shd w:val="clear" w:color="auto" w:fill="D1D1D1" w:themeFill="background2"/>
        <w:rPr>
          <w:szCs w:val="22"/>
        </w:rPr>
      </w:pPr>
      <w:r w:rsidRPr="00272686">
        <w:rPr>
          <w:szCs w:val="22"/>
        </w:rPr>
        <w:t>50 per cent of directors will be working from home or in different offices (and therefore are required to travel to execute documents); over a 10-year period, this number would fall to 25 per cent.</w:t>
      </w:r>
    </w:p>
    <w:p w14:paraId="08FD1DE5" w14:textId="77777777" w:rsidR="00EE298C" w:rsidRPr="00272686" w:rsidRDefault="00EE298C" w:rsidP="00EC364E">
      <w:pPr>
        <w:pStyle w:val="Bullet"/>
        <w:shd w:val="clear" w:color="auto" w:fill="D1D1D1" w:themeFill="background2"/>
        <w:rPr>
          <w:szCs w:val="22"/>
        </w:rPr>
      </w:pPr>
      <w:r w:rsidRPr="00272686">
        <w:rPr>
          <w:szCs w:val="22"/>
        </w:rPr>
        <w:t xml:space="preserve">It takes one minute to send an electronic document. </w:t>
      </w:r>
    </w:p>
    <w:p w14:paraId="71708A38" w14:textId="3D5B9A58" w:rsidR="00EE298C" w:rsidRPr="00272686" w:rsidRDefault="00EE298C" w:rsidP="00EC364E">
      <w:pPr>
        <w:pStyle w:val="Bullet"/>
        <w:shd w:val="clear" w:color="auto" w:fill="D1D1D1" w:themeFill="background2"/>
        <w:rPr>
          <w:szCs w:val="22"/>
        </w:rPr>
      </w:pPr>
      <w:r w:rsidRPr="00272686">
        <w:rPr>
          <w:szCs w:val="22"/>
        </w:rPr>
        <w:t xml:space="preserve">The directors who work from home will save on </w:t>
      </w:r>
      <w:r w:rsidR="00440F3E">
        <w:rPr>
          <w:szCs w:val="22"/>
        </w:rPr>
        <w:t>printing and</w:t>
      </w:r>
      <w:r w:rsidRPr="00272686">
        <w:rPr>
          <w:szCs w:val="22"/>
        </w:rPr>
        <w:t xml:space="preserve"> postal costs to send documents between companies as well as travel costs.</w:t>
      </w:r>
    </w:p>
    <w:p w14:paraId="057370BF" w14:textId="079631DF" w:rsidR="00EE298C" w:rsidRPr="00272686" w:rsidRDefault="00EE298C" w:rsidP="00EC364E">
      <w:pPr>
        <w:pStyle w:val="Bullet"/>
        <w:shd w:val="clear" w:color="auto" w:fill="D1D1D1" w:themeFill="background2"/>
        <w:rPr>
          <w:szCs w:val="22"/>
        </w:rPr>
      </w:pPr>
      <w:r w:rsidRPr="00272686">
        <w:rPr>
          <w:szCs w:val="22"/>
        </w:rPr>
        <w:t xml:space="preserve">The directors who will execute documents from their workplace will save only on </w:t>
      </w:r>
      <w:r w:rsidR="00DA4FD8">
        <w:rPr>
          <w:szCs w:val="22"/>
        </w:rPr>
        <w:t>printing and</w:t>
      </w:r>
      <w:r w:rsidRPr="00272686">
        <w:rPr>
          <w:szCs w:val="22"/>
        </w:rPr>
        <w:t xml:space="preserve"> postal costs. </w:t>
      </w:r>
    </w:p>
    <w:p w14:paraId="07CE12B8" w14:textId="458A3DFB" w:rsidR="00EE298C" w:rsidRPr="001E33A2" w:rsidRDefault="00EE298C" w:rsidP="00EC364E">
      <w:pPr>
        <w:pStyle w:val="Heading4"/>
        <w:shd w:val="clear" w:color="auto" w:fill="D1D1D1" w:themeFill="background2"/>
        <w:rPr>
          <w:rFonts w:ascii="Calibri" w:eastAsiaTheme="majorEastAsia" w:hAnsi="Calibri" w:cstheme="majorBidi"/>
          <w:b/>
          <w:bCs/>
          <w:color w:val="000000" w:themeColor="text1"/>
          <w:sz w:val="22"/>
          <w:szCs w:val="22"/>
        </w:rPr>
      </w:pPr>
      <w:r w:rsidRPr="001E33A2">
        <w:rPr>
          <w:rFonts w:ascii="Calibri" w:eastAsiaTheme="majorEastAsia" w:hAnsi="Calibri" w:cstheme="majorBidi"/>
          <w:b/>
          <w:bCs/>
          <w:color w:val="000000" w:themeColor="text1"/>
          <w:sz w:val="22"/>
          <w:szCs w:val="22"/>
        </w:rPr>
        <w:t xml:space="preserve">The estimated average regulatory saving as a result of allowing electronic document execution is estimated at </w:t>
      </w:r>
      <w:r w:rsidRPr="003F5088">
        <w:rPr>
          <w:rFonts w:ascii="Calibri" w:eastAsiaTheme="majorEastAsia" w:hAnsi="Calibri" w:cstheme="majorBidi"/>
          <w:b/>
          <w:bCs/>
          <w:color w:val="000000" w:themeColor="text1"/>
          <w:sz w:val="22"/>
          <w:szCs w:val="22"/>
        </w:rPr>
        <w:t>$3</w:t>
      </w:r>
      <w:r w:rsidR="00187D90" w:rsidRPr="003F5088">
        <w:rPr>
          <w:rFonts w:ascii="Calibri" w:eastAsiaTheme="majorEastAsia" w:hAnsi="Calibri" w:cstheme="majorBidi"/>
          <w:b/>
          <w:bCs/>
          <w:color w:val="000000" w:themeColor="text1"/>
          <w:sz w:val="22"/>
          <w:szCs w:val="22"/>
        </w:rPr>
        <w:t>9</w:t>
      </w:r>
      <w:r w:rsidR="003F5088" w:rsidRPr="003F5088">
        <w:rPr>
          <w:rFonts w:ascii="Calibri" w:eastAsiaTheme="majorEastAsia" w:hAnsi="Calibri" w:cstheme="majorBidi"/>
          <w:b/>
          <w:bCs/>
          <w:color w:val="000000" w:themeColor="text1"/>
          <w:sz w:val="22"/>
          <w:szCs w:val="22"/>
        </w:rPr>
        <w:t>2</w:t>
      </w:r>
      <w:r w:rsidRPr="003F5088">
        <w:rPr>
          <w:rFonts w:ascii="Calibri" w:eastAsiaTheme="majorEastAsia" w:hAnsi="Calibri" w:cstheme="majorBidi"/>
          <w:b/>
          <w:bCs/>
          <w:color w:val="000000" w:themeColor="text1"/>
          <w:sz w:val="22"/>
          <w:szCs w:val="22"/>
        </w:rPr>
        <w:t xml:space="preserve"> million</w:t>
      </w:r>
      <w:r w:rsidRPr="001E33A2">
        <w:rPr>
          <w:rFonts w:ascii="Calibri" w:eastAsiaTheme="majorEastAsia" w:hAnsi="Calibri" w:cstheme="majorBidi"/>
          <w:b/>
          <w:bCs/>
          <w:color w:val="000000" w:themeColor="text1"/>
          <w:sz w:val="22"/>
          <w:szCs w:val="22"/>
        </w:rPr>
        <w:t xml:space="preserve"> a year. </w:t>
      </w:r>
    </w:p>
    <w:p w14:paraId="7E1A0770" w14:textId="75F04590" w:rsidR="00A32548" w:rsidRDefault="00A32548" w:rsidP="00A32548">
      <w:pPr>
        <w:pStyle w:val="Heading3"/>
      </w:pPr>
      <w:r>
        <w:t>Meeting-related materials</w:t>
      </w:r>
    </w:p>
    <w:p w14:paraId="7E52C9A4" w14:textId="65B4FA34" w:rsidR="00AB6D3D" w:rsidRPr="00AB6D3D" w:rsidRDefault="00AB6D3D" w:rsidP="00AB6D3D">
      <w:pPr>
        <w:rPr>
          <w:color w:val="000000" w:themeColor="text1"/>
          <w:sz w:val="22"/>
          <w:szCs w:val="22"/>
        </w:rPr>
      </w:pPr>
      <w:r w:rsidRPr="00AB6D3D">
        <w:rPr>
          <w:color w:val="000000" w:themeColor="text1"/>
          <w:sz w:val="22"/>
          <w:szCs w:val="22"/>
        </w:rPr>
        <w:t xml:space="preserve">This option permits companies to electronically satisfy requirements to provide meeting-related materials, without </w:t>
      </w:r>
      <w:r w:rsidR="00914965">
        <w:rPr>
          <w:color w:val="000000" w:themeColor="text1"/>
          <w:sz w:val="22"/>
          <w:szCs w:val="22"/>
        </w:rPr>
        <w:t>members</w:t>
      </w:r>
      <w:r w:rsidR="00914965" w:rsidRPr="00AB6D3D">
        <w:rPr>
          <w:color w:val="000000" w:themeColor="text1"/>
          <w:sz w:val="22"/>
          <w:szCs w:val="22"/>
        </w:rPr>
        <w:t xml:space="preserve"> </w:t>
      </w:r>
      <w:r w:rsidRPr="00AB6D3D">
        <w:rPr>
          <w:color w:val="000000" w:themeColor="text1"/>
          <w:sz w:val="22"/>
          <w:szCs w:val="22"/>
        </w:rPr>
        <w:t xml:space="preserve">having positively elected to receive electronic documents. This reduces regulatory costs, as the costs of sending electronic notices is much cheaper than </w:t>
      </w:r>
      <w:r w:rsidR="006676B9">
        <w:rPr>
          <w:color w:val="000000" w:themeColor="text1"/>
          <w:sz w:val="22"/>
          <w:szCs w:val="22"/>
        </w:rPr>
        <w:t>by</w:t>
      </w:r>
      <w:r w:rsidR="006676B9" w:rsidRPr="00AB6D3D">
        <w:rPr>
          <w:color w:val="000000" w:themeColor="text1"/>
          <w:sz w:val="22"/>
          <w:szCs w:val="22"/>
        </w:rPr>
        <w:t xml:space="preserve"> </w:t>
      </w:r>
      <w:r w:rsidRPr="00AB6D3D">
        <w:rPr>
          <w:color w:val="000000" w:themeColor="text1"/>
          <w:sz w:val="22"/>
          <w:szCs w:val="22"/>
        </w:rPr>
        <w:t xml:space="preserve">post. One estimate suggested that it costs approximately $0.045 per electronic notice, compared to $2.20 per posted notice. </w:t>
      </w:r>
    </w:p>
    <w:p w14:paraId="191AD4C1" w14:textId="4F7DB891" w:rsidR="00EE298C" w:rsidRDefault="00EE298C" w:rsidP="00EC364E">
      <w:pPr>
        <w:pStyle w:val="Heading4"/>
        <w:shd w:val="clear" w:color="auto" w:fill="D1D1D1" w:themeFill="background2"/>
      </w:pPr>
      <w:r>
        <w:t>Methodology used to estimate regulatory burden for meeting-related materials</w:t>
      </w:r>
    </w:p>
    <w:p w14:paraId="0D4DAF09" w14:textId="77777777" w:rsidR="00EE298C" w:rsidRPr="00272686" w:rsidRDefault="00EE298C" w:rsidP="00EC364E">
      <w:pPr>
        <w:pStyle w:val="Heading4"/>
        <w:shd w:val="clear" w:color="auto" w:fill="D1D1D1" w:themeFill="background2"/>
        <w:spacing w:before="0"/>
        <w:rPr>
          <w:rFonts w:asciiTheme="minorHAnsi" w:hAnsiTheme="minorHAnsi"/>
          <w:i/>
          <w:iCs/>
          <w:color w:val="000000" w:themeColor="text1"/>
          <w:sz w:val="22"/>
          <w:szCs w:val="22"/>
        </w:rPr>
      </w:pPr>
      <w:r w:rsidRPr="00272686">
        <w:rPr>
          <w:rFonts w:asciiTheme="minorHAnsi" w:hAnsiTheme="minorHAnsi"/>
          <w:color w:val="000000" w:themeColor="text1"/>
          <w:sz w:val="22"/>
          <w:szCs w:val="22"/>
        </w:rPr>
        <w:t xml:space="preserve">Regulatory savings come from companies signing and sending documents electronically. </w:t>
      </w:r>
    </w:p>
    <w:p w14:paraId="6296500C" w14:textId="77777777" w:rsidR="00EE298C" w:rsidRPr="00272686" w:rsidRDefault="00EE298C" w:rsidP="00EC364E">
      <w:pPr>
        <w:shd w:val="clear" w:color="auto" w:fill="D1D1D1" w:themeFill="background2"/>
        <w:rPr>
          <w:color w:val="000000" w:themeColor="text1"/>
          <w:sz w:val="22"/>
          <w:szCs w:val="22"/>
        </w:rPr>
      </w:pPr>
      <w:r w:rsidRPr="00272686">
        <w:rPr>
          <w:color w:val="000000" w:themeColor="text1"/>
          <w:sz w:val="22"/>
          <w:szCs w:val="22"/>
        </w:rPr>
        <w:t>Based on the range of industry estimates provided through consultation, the following assumptions were made to determine the regulatory savings of allowing legal requirements in respect of sending meeting-related materials to be met using technology:</w:t>
      </w:r>
    </w:p>
    <w:p w14:paraId="3B89CF86" w14:textId="6AEF89D6" w:rsidR="00EE298C" w:rsidRPr="00272686" w:rsidRDefault="00EE298C" w:rsidP="00EC364E">
      <w:pPr>
        <w:pStyle w:val="Bullet"/>
        <w:shd w:val="clear" w:color="auto" w:fill="D1D1D1" w:themeFill="background2"/>
        <w:rPr>
          <w:szCs w:val="22"/>
        </w:rPr>
      </w:pPr>
      <w:r w:rsidRPr="00272686">
        <w:rPr>
          <w:szCs w:val="22"/>
        </w:rPr>
        <w:t xml:space="preserve">Listed companies will be able to email meeting materials to around half of the </w:t>
      </w:r>
      <w:r w:rsidRPr="00AB6D3D">
        <w:rPr>
          <w:szCs w:val="22"/>
        </w:rPr>
        <w:t xml:space="preserve">approximately </w:t>
      </w:r>
      <w:r w:rsidR="00AB6D3D" w:rsidRPr="00AB6D3D">
        <w:rPr>
          <w:szCs w:val="22"/>
        </w:rPr>
        <w:t>5</w:t>
      </w:r>
      <w:r w:rsidRPr="00AB6D3D">
        <w:rPr>
          <w:szCs w:val="22"/>
        </w:rPr>
        <w:t>0 per cent</w:t>
      </w:r>
      <w:r w:rsidRPr="00272686">
        <w:rPr>
          <w:szCs w:val="22"/>
        </w:rPr>
        <w:t xml:space="preserve"> of 20 million </w:t>
      </w:r>
      <w:r w:rsidR="00914965">
        <w:rPr>
          <w:szCs w:val="22"/>
        </w:rPr>
        <w:t>members</w:t>
      </w:r>
      <w:r w:rsidR="00914965" w:rsidRPr="00272686">
        <w:rPr>
          <w:szCs w:val="22"/>
        </w:rPr>
        <w:t xml:space="preserve"> </w:t>
      </w:r>
      <w:r w:rsidRPr="00272686">
        <w:rPr>
          <w:szCs w:val="22"/>
        </w:rPr>
        <w:t>per year.</w:t>
      </w:r>
    </w:p>
    <w:p w14:paraId="30EB287D" w14:textId="77777777" w:rsidR="00EE298C" w:rsidRPr="00272686" w:rsidRDefault="00EE298C" w:rsidP="00EC364E">
      <w:pPr>
        <w:pStyle w:val="Bullet"/>
        <w:shd w:val="clear" w:color="auto" w:fill="D1D1D1" w:themeFill="background2"/>
        <w:rPr>
          <w:szCs w:val="22"/>
        </w:rPr>
      </w:pPr>
      <w:r w:rsidRPr="00272686">
        <w:rPr>
          <w:szCs w:val="22"/>
        </w:rPr>
        <w:t>OBPR work-related labour cost of $73.05 per hour.</w:t>
      </w:r>
    </w:p>
    <w:p w14:paraId="487D10F6" w14:textId="77777777" w:rsidR="00EE298C" w:rsidRPr="00272686" w:rsidRDefault="00EE298C" w:rsidP="00EC364E">
      <w:pPr>
        <w:pStyle w:val="Bullet"/>
        <w:shd w:val="clear" w:color="auto" w:fill="D1D1D1" w:themeFill="background2"/>
        <w:rPr>
          <w:szCs w:val="22"/>
        </w:rPr>
      </w:pPr>
      <w:r w:rsidRPr="00272686">
        <w:rPr>
          <w:szCs w:val="22"/>
        </w:rPr>
        <w:t>Time cost of printing and other mailroom activities involved in sending a letter is approximately two minutes.</w:t>
      </w:r>
    </w:p>
    <w:p w14:paraId="01008723" w14:textId="77777777" w:rsidR="00EE298C" w:rsidRPr="00272686" w:rsidRDefault="00EE298C" w:rsidP="00EC364E">
      <w:pPr>
        <w:pStyle w:val="Bullet"/>
        <w:shd w:val="clear" w:color="auto" w:fill="D1D1D1" w:themeFill="background2"/>
        <w:rPr>
          <w:szCs w:val="22"/>
        </w:rPr>
      </w:pPr>
      <w:r w:rsidRPr="00272686">
        <w:rPr>
          <w:szCs w:val="22"/>
        </w:rPr>
        <w:t>Printing and postal costs per actual letter are respectively $1.50 and $2.20.</w:t>
      </w:r>
    </w:p>
    <w:p w14:paraId="0C4CEE0F" w14:textId="0287B4A2" w:rsidR="00EE298C" w:rsidRPr="00272686" w:rsidDel="00A97384" w:rsidRDefault="00EE298C" w:rsidP="00EC364E">
      <w:pPr>
        <w:pStyle w:val="Bullet"/>
        <w:shd w:val="clear" w:color="auto" w:fill="D1D1D1" w:themeFill="background2"/>
        <w:rPr>
          <w:szCs w:val="22"/>
        </w:rPr>
      </w:pPr>
      <w:r w:rsidRPr="00272686">
        <w:rPr>
          <w:szCs w:val="22"/>
        </w:rPr>
        <w:t xml:space="preserve">All </w:t>
      </w:r>
      <w:r w:rsidR="00914965">
        <w:rPr>
          <w:szCs w:val="22"/>
        </w:rPr>
        <w:t>members</w:t>
      </w:r>
      <w:r w:rsidR="00914965" w:rsidRPr="00272686">
        <w:rPr>
          <w:szCs w:val="22"/>
        </w:rPr>
        <w:t xml:space="preserve"> </w:t>
      </w:r>
      <w:r w:rsidRPr="00272686">
        <w:rPr>
          <w:szCs w:val="22"/>
        </w:rPr>
        <w:t xml:space="preserve">who haven’t provided an email address receive a postcard with directions to access meeting materials online. </w:t>
      </w:r>
    </w:p>
    <w:p w14:paraId="251E69D2" w14:textId="3BE2A1E9" w:rsidR="00EE298C" w:rsidRPr="00941732" w:rsidRDefault="00E16B28" w:rsidP="00E16B28">
      <w:pPr>
        <w:pStyle w:val="Heading4"/>
        <w:shd w:val="clear" w:color="auto" w:fill="D1D1D1" w:themeFill="background2"/>
        <w:rPr>
          <w:b/>
          <w:bCs/>
          <w:color w:val="000000" w:themeColor="text1"/>
          <w:sz w:val="22"/>
          <w:szCs w:val="22"/>
        </w:rPr>
      </w:pPr>
      <w:r w:rsidRPr="001E33A2">
        <w:rPr>
          <w:rFonts w:ascii="Calibri" w:eastAsiaTheme="majorEastAsia" w:hAnsi="Calibri" w:cstheme="majorBidi"/>
          <w:b/>
          <w:bCs/>
          <w:color w:val="000000" w:themeColor="text1"/>
          <w:sz w:val="22"/>
          <w:szCs w:val="22"/>
        </w:rPr>
        <w:t xml:space="preserve">The estimated average regulatory saving as a result of allowing electronic </w:t>
      </w:r>
      <w:r>
        <w:rPr>
          <w:rFonts w:ascii="Calibri" w:eastAsiaTheme="majorEastAsia" w:hAnsi="Calibri" w:cstheme="majorBidi"/>
          <w:b/>
          <w:bCs/>
          <w:color w:val="000000" w:themeColor="text1"/>
          <w:sz w:val="22"/>
          <w:szCs w:val="22"/>
        </w:rPr>
        <w:t xml:space="preserve">sending of meeting-related materials is </w:t>
      </w:r>
      <w:r w:rsidR="00EE298C" w:rsidRPr="00E16B28" w:rsidDel="00A97384">
        <w:rPr>
          <w:rFonts w:ascii="Calibri" w:eastAsiaTheme="majorEastAsia" w:hAnsi="Calibri" w:cstheme="majorBidi"/>
          <w:b/>
          <w:bCs/>
          <w:color w:val="000000" w:themeColor="text1"/>
          <w:sz w:val="22"/>
          <w:szCs w:val="22"/>
        </w:rPr>
        <w:t xml:space="preserve">approximately </w:t>
      </w:r>
      <w:r w:rsidR="00AB6D3D" w:rsidRPr="00E16B28">
        <w:rPr>
          <w:rFonts w:ascii="Calibri" w:eastAsiaTheme="majorEastAsia" w:hAnsi="Calibri" w:cstheme="majorBidi"/>
          <w:b/>
          <w:bCs/>
          <w:color w:val="000000" w:themeColor="text1"/>
          <w:sz w:val="22"/>
          <w:szCs w:val="22"/>
        </w:rPr>
        <w:t>$20</w:t>
      </w:r>
      <w:r w:rsidR="00EE298C" w:rsidRPr="00E16B28" w:rsidDel="00A97384">
        <w:rPr>
          <w:rFonts w:ascii="Calibri" w:eastAsiaTheme="majorEastAsia" w:hAnsi="Calibri" w:cstheme="majorBidi"/>
          <w:b/>
          <w:bCs/>
          <w:color w:val="000000" w:themeColor="text1"/>
          <w:sz w:val="22"/>
          <w:szCs w:val="22"/>
        </w:rPr>
        <w:t xml:space="preserve"> million a year for businesses. The regulatory savings are calculated as </w:t>
      </w:r>
      <w:r w:rsidR="00EE298C" w:rsidRPr="00E16B28">
        <w:rPr>
          <w:rFonts w:ascii="Calibri" w:eastAsiaTheme="majorEastAsia" w:hAnsi="Calibri" w:cstheme="majorBidi"/>
          <w:b/>
          <w:bCs/>
          <w:color w:val="000000" w:themeColor="text1"/>
          <w:sz w:val="22"/>
          <w:szCs w:val="22"/>
        </w:rPr>
        <w:t xml:space="preserve">an </w:t>
      </w:r>
      <w:r w:rsidR="00EE298C" w:rsidRPr="00E16B28" w:rsidDel="00A97384">
        <w:rPr>
          <w:rFonts w:ascii="Calibri" w:eastAsiaTheme="majorEastAsia" w:hAnsi="Calibri" w:cstheme="majorBidi"/>
          <w:b/>
          <w:bCs/>
          <w:color w:val="000000" w:themeColor="text1"/>
          <w:sz w:val="22"/>
          <w:szCs w:val="22"/>
        </w:rPr>
        <w:t>average over 10 years</w:t>
      </w:r>
    </w:p>
    <w:p w14:paraId="1DAF914E" w14:textId="6A8EEAAE" w:rsidR="007C5FA7" w:rsidRPr="001E33A2" w:rsidRDefault="009C614B" w:rsidP="001E33A2">
      <w:pPr>
        <w:pStyle w:val="Heading3"/>
      </w:pPr>
      <w:r w:rsidRPr="001E33A2">
        <w:t>Regulatory burden estimate (RBE) table</w:t>
      </w:r>
    </w:p>
    <w:p w14:paraId="736631A1" w14:textId="30A40139" w:rsidR="004957C1" w:rsidRPr="00C94B54" w:rsidRDefault="00EE298C" w:rsidP="004957C1">
      <w:pPr>
        <w:pStyle w:val="BodyText"/>
        <w:rPr>
          <w:rFonts w:cstheme="minorHAnsi"/>
          <w:b/>
          <w:bCs/>
          <w:color w:val="000000" w:themeColor="text1"/>
          <w:sz w:val="22"/>
          <w:szCs w:val="22"/>
        </w:rPr>
      </w:pPr>
      <w:r w:rsidRPr="00C94B54">
        <w:rPr>
          <w:rFonts w:cstheme="minorHAnsi"/>
          <w:b/>
          <w:bCs/>
          <w:color w:val="000000" w:themeColor="text1"/>
          <w:sz w:val="22"/>
          <w:szCs w:val="22"/>
        </w:rPr>
        <w:t>Overall, Option 2 results in an average saving of $4</w:t>
      </w:r>
      <w:r w:rsidR="00AB6D3D" w:rsidRPr="00C94B54">
        <w:rPr>
          <w:rFonts w:cstheme="minorHAnsi"/>
          <w:b/>
          <w:bCs/>
          <w:color w:val="000000" w:themeColor="text1"/>
          <w:sz w:val="22"/>
          <w:szCs w:val="22"/>
        </w:rPr>
        <w:t>12</w:t>
      </w:r>
      <w:r w:rsidRPr="00C94B54">
        <w:rPr>
          <w:rFonts w:cstheme="minorHAnsi"/>
          <w:b/>
          <w:bCs/>
          <w:color w:val="000000" w:themeColor="text1"/>
          <w:sz w:val="22"/>
          <w:szCs w:val="22"/>
        </w:rPr>
        <w:t xml:space="preserve"> million per year. This is a result of combining the savings associated with </w:t>
      </w:r>
      <w:r w:rsidR="00AB6D3D" w:rsidRPr="00C94B54">
        <w:rPr>
          <w:rFonts w:cstheme="minorHAnsi"/>
          <w:b/>
          <w:bCs/>
          <w:color w:val="000000" w:themeColor="text1"/>
          <w:sz w:val="22"/>
          <w:szCs w:val="22"/>
        </w:rPr>
        <w:t>electronically sending meeting-related materials</w:t>
      </w:r>
      <w:r w:rsidRPr="00C94B54">
        <w:rPr>
          <w:rFonts w:cstheme="minorHAnsi"/>
          <w:b/>
          <w:bCs/>
          <w:color w:val="000000" w:themeColor="text1"/>
          <w:sz w:val="22"/>
          <w:szCs w:val="22"/>
        </w:rPr>
        <w:t xml:space="preserve"> ($</w:t>
      </w:r>
      <w:r w:rsidR="00AB6D3D" w:rsidRPr="00C94B54">
        <w:rPr>
          <w:rFonts w:cstheme="minorHAnsi"/>
          <w:b/>
          <w:bCs/>
          <w:color w:val="000000" w:themeColor="text1"/>
          <w:sz w:val="22"/>
          <w:szCs w:val="22"/>
        </w:rPr>
        <w:t>20</w:t>
      </w:r>
      <w:r w:rsidRPr="00C94B54">
        <w:rPr>
          <w:rFonts w:cstheme="minorHAnsi"/>
          <w:b/>
          <w:bCs/>
          <w:color w:val="000000" w:themeColor="text1"/>
          <w:sz w:val="22"/>
          <w:szCs w:val="22"/>
        </w:rPr>
        <w:t xml:space="preserve"> million) and electronic document execution ($3</w:t>
      </w:r>
      <w:r w:rsidR="006639AD" w:rsidRPr="00C94B54">
        <w:rPr>
          <w:rFonts w:cstheme="minorHAnsi"/>
          <w:b/>
          <w:bCs/>
          <w:color w:val="000000" w:themeColor="text1"/>
          <w:sz w:val="22"/>
          <w:szCs w:val="22"/>
        </w:rPr>
        <w:t>9</w:t>
      </w:r>
      <w:r w:rsidR="00AB6D3D" w:rsidRPr="00C94B54">
        <w:rPr>
          <w:rFonts w:cstheme="minorHAnsi"/>
          <w:b/>
          <w:bCs/>
          <w:color w:val="000000" w:themeColor="text1"/>
          <w:sz w:val="22"/>
          <w:szCs w:val="22"/>
        </w:rPr>
        <w:t>2</w:t>
      </w:r>
      <w:r w:rsidRPr="00C94B54">
        <w:rPr>
          <w:rFonts w:cstheme="minorHAnsi"/>
          <w:b/>
          <w:bCs/>
          <w:color w:val="000000" w:themeColor="text1"/>
          <w:sz w:val="22"/>
          <w:szCs w:val="22"/>
        </w:rPr>
        <w:t> million).</w:t>
      </w:r>
      <w:r w:rsidR="00E64699">
        <w:rPr>
          <w:rFonts w:cstheme="minorHAnsi"/>
          <w:b/>
          <w:bCs/>
          <w:color w:val="000000" w:themeColor="text1"/>
          <w:sz w:val="22"/>
          <w:szCs w:val="22"/>
        </w:rPr>
        <w:t xml:space="preserve"> There were no other identifiable costs or benefits raised by stakeholders during consultation.</w:t>
      </w:r>
    </w:p>
    <w:tbl>
      <w:tblPr>
        <w:tblStyle w:val="PMCTableStyle2"/>
        <w:tblW w:w="0" w:type="auto"/>
        <w:tblLook w:val="0660" w:firstRow="1" w:lastRow="1" w:firstColumn="0" w:lastColumn="0" w:noHBand="1" w:noVBand="1"/>
      </w:tblPr>
      <w:tblGrid>
        <w:gridCol w:w="2728"/>
        <w:gridCol w:w="1354"/>
        <w:gridCol w:w="1482"/>
        <w:gridCol w:w="2511"/>
        <w:gridCol w:w="18"/>
        <w:gridCol w:w="2101"/>
      </w:tblGrid>
      <w:tr w:rsidR="002876D1" w:rsidRPr="00AB6D3D" w14:paraId="130A7C4D" w14:textId="77777777" w:rsidTr="003E2C5C">
        <w:trPr>
          <w:cnfStyle w:val="100000000000" w:firstRow="1" w:lastRow="0" w:firstColumn="0" w:lastColumn="0" w:oddVBand="0" w:evenVBand="0" w:oddHBand="0" w:evenHBand="0" w:firstRowFirstColumn="0" w:firstRowLastColumn="0" w:lastRowFirstColumn="0" w:lastRowLastColumn="0"/>
          <w:trHeight w:val="350"/>
        </w:trPr>
        <w:tc>
          <w:tcPr>
            <w:tcW w:w="10194" w:type="dxa"/>
            <w:gridSpan w:val="6"/>
          </w:tcPr>
          <w:p w14:paraId="328AD497" w14:textId="77777777" w:rsidR="002876D1" w:rsidRPr="00AB6D3D" w:rsidRDefault="002876D1" w:rsidP="003E2C5C">
            <w:pPr>
              <w:pStyle w:val="TableHeading"/>
            </w:pPr>
            <w:r w:rsidRPr="00AB6D3D">
              <w:t>Average annual regulatory costs</w:t>
            </w:r>
          </w:p>
        </w:tc>
      </w:tr>
      <w:tr w:rsidR="002876D1" w:rsidRPr="00AB6D3D" w14:paraId="56AC02D6" w14:textId="77777777" w:rsidTr="00187D90">
        <w:trPr>
          <w:trHeight w:val="350"/>
        </w:trPr>
        <w:tc>
          <w:tcPr>
            <w:tcW w:w="2728" w:type="dxa"/>
          </w:tcPr>
          <w:p w14:paraId="144F487A" w14:textId="77777777" w:rsidR="002876D1" w:rsidRPr="00AB6D3D" w:rsidRDefault="002876D1" w:rsidP="003E2C5C">
            <w:pPr>
              <w:pStyle w:val="TableBody"/>
              <w:rPr>
                <w:color w:val="262626" w:themeColor="text1" w:themeTint="D9"/>
              </w:rPr>
            </w:pPr>
            <w:r w:rsidRPr="00AB6D3D">
              <w:t>Change in costs ($ million)</w:t>
            </w:r>
          </w:p>
        </w:tc>
        <w:tc>
          <w:tcPr>
            <w:tcW w:w="1354" w:type="dxa"/>
          </w:tcPr>
          <w:p w14:paraId="409C3421" w14:textId="77777777" w:rsidR="002876D1" w:rsidRPr="00AB6D3D" w:rsidRDefault="002876D1" w:rsidP="00187D90">
            <w:pPr>
              <w:pStyle w:val="TableBody"/>
              <w:rPr>
                <w:color w:val="262626" w:themeColor="text1" w:themeTint="D9"/>
              </w:rPr>
            </w:pPr>
            <w:r w:rsidRPr="00AB6D3D">
              <w:t>Individuals</w:t>
            </w:r>
          </w:p>
        </w:tc>
        <w:tc>
          <w:tcPr>
            <w:tcW w:w="1482" w:type="dxa"/>
          </w:tcPr>
          <w:p w14:paraId="4388BE97" w14:textId="77777777" w:rsidR="002876D1" w:rsidRPr="00AB6D3D" w:rsidRDefault="002876D1" w:rsidP="00187D90">
            <w:pPr>
              <w:pStyle w:val="TableBullet"/>
              <w:numPr>
                <w:ilvl w:val="0"/>
                <w:numId w:val="0"/>
              </w:numPr>
              <w:ind w:left="284"/>
            </w:pPr>
            <w:r w:rsidRPr="00AB6D3D">
              <w:t xml:space="preserve">Business </w:t>
            </w:r>
          </w:p>
        </w:tc>
        <w:tc>
          <w:tcPr>
            <w:tcW w:w="2529" w:type="dxa"/>
            <w:gridSpan w:val="2"/>
          </w:tcPr>
          <w:p w14:paraId="70047035" w14:textId="77777777" w:rsidR="002876D1" w:rsidRPr="00AB6D3D" w:rsidRDefault="002876D1" w:rsidP="00187D90">
            <w:pPr>
              <w:pStyle w:val="TableBody"/>
            </w:pPr>
            <w:r w:rsidRPr="00AB6D3D">
              <w:t>Community organisations</w:t>
            </w:r>
          </w:p>
        </w:tc>
        <w:tc>
          <w:tcPr>
            <w:tcW w:w="2101" w:type="dxa"/>
          </w:tcPr>
          <w:p w14:paraId="75519AC9" w14:textId="77777777" w:rsidR="002876D1" w:rsidRPr="00AB6D3D" w:rsidRDefault="009C614B" w:rsidP="00187D90">
            <w:pPr>
              <w:pStyle w:val="TableNumbering"/>
              <w:numPr>
                <w:ilvl w:val="0"/>
                <w:numId w:val="0"/>
              </w:numPr>
            </w:pPr>
            <w:r w:rsidRPr="00AB6D3D">
              <w:t>Total change in cost</w:t>
            </w:r>
          </w:p>
        </w:tc>
      </w:tr>
      <w:tr w:rsidR="0024191E" w:rsidRPr="00BC1972" w14:paraId="48122C10" w14:textId="77777777" w:rsidTr="00187D90">
        <w:trPr>
          <w:cnfStyle w:val="010000000000" w:firstRow="0" w:lastRow="1" w:firstColumn="0" w:lastColumn="0" w:oddVBand="0" w:evenVBand="0" w:oddHBand="0" w:evenHBand="0" w:firstRowFirstColumn="0" w:firstRowLastColumn="0" w:lastRowFirstColumn="0" w:lastRowLastColumn="0"/>
          <w:trHeight w:val="350"/>
        </w:trPr>
        <w:tc>
          <w:tcPr>
            <w:tcW w:w="2728" w:type="dxa"/>
          </w:tcPr>
          <w:p w14:paraId="1FF5A249" w14:textId="77777777" w:rsidR="002876D1" w:rsidRPr="00AB6D3D" w:rsidRDefault="009C614B" w:rsidP="003E2C5C">
            <w:pPr>
              <w:pStyle w:val="TableBody"/>
              <w:rPr>
                <w:color w:val="262626" w:themeColor="text1" w:themeTint="D9"/>
              </w:rPr>
            </w:pPr>
            <w:r w:rsidRPr="00AB6D3D">
              <w:t>Total, by sector</w:t>
            </w:r>
          </w:p>
        </w:tc>
        <w:tc>
          <w:tcPr>
            <w:tcW w:w="1354" w:type="dxa"/>
          </w:tcPr>
          <w:p w14:paraId="2D5F9C7E" w14:textId="1880022D" w:rsidR="002876D1" w:rsidRPr="00AB6D3D" w:rsidRDefault="009C614B" w:rsidP="00187D90">
            <w:pPr>
              <w:pStyle w:val="TableBody"/>
              <w:rPr>
                <w:color w:val="262626" w:themeColor="text1" w:themeTint="D9"/>
              </w:rPr>
            </w:pPr>
            <w:r w:rsidRPr="00AB6D3D">
              <w:rPr>
                <w:color w:val="262626" w:themeColor="text1" w:themeTint="D9"/>
              </w:rPr>
              <w:t>$</w:t>
            </w:r>
            <w:r w:rsidR="00EE298C" w:rsidRPr="00AB6D3D">
              <w:rPr>
                <w:color w:val="262626" w:themeColor="text1" w:themeTint="D9"/>
              </w:rPr>
              <w:t>0</w:t>
            </w:r>
          </w:p>
        </w:tc>
        <w:tc>
          <w:tcPr>
            <w:tcW w:w="1482" w:type="dxa"/>
          </w:tcPr>
          <w:p w14:paraId="48035CAC" w14:textId="5A93D6C3" w:rsidR="002876D1" w:rsidRPr="00AB6D3D" w:rsidRDefault="00EE298C" w:rsidP="00187D90">
            <w:pPr>
              <w:pStyle w:val="TableBullet"/>
              <w:numPr>
                <w:ilvl w:val="0"/>
                <w:numId w:val="0"/>
              </w:numPr>
              <w:ind w:left="284"/>
            </w:pPr>
            <w:r w:rsidRPr="00AB6D3D">
              <w:t>-</w:t>
            </w:r>
            <w:r w:rsidR="009C614B" w:rsidRPr="00AB6D3D">
              <w:t>$</w:t>
            </w:r>
            <w:r w:rsidRPr="00AB6D3D">
              <w:t>4</w:t>
            </w:r>
            <w:r w:rsidR="00AB6D3D">
              <w:t>12</w:t>
            </w:r>
          </w:p>
        </w:tc>
        <w:tc>
          <w:tcPr>
            <w:tcW w:w="2511" w:type="dxa"/>
          </w:tcPr>
          <w:p w14:paraId="44071697" w14:textId="01E029E1" w:rsidR="002876D1" w:rsidRPr="00AB6D3D" w:rsidRDefault="009C614B" w:rsidP="00187D90">
            <w:pPr>
              <w:pStyle w:val="TableNumbering"/>
              <w:numPr>
                <w:ilvl w:val="0"/>
                <w:numId w:val="0"/>
              </w:numPr>
              <w:ind w:left="284" w:hanging="284"/>
            </w:pPr>
            <w:r w:rsidRPr="00AB6D3D">
              <w:t>$</w:t>
            </w:r>
            <w:r w:rsidR="00EE298C" w:rsidRPr="00AB6D3D">
              <w:t>0</w:t>
            </w:r>
          </w:p>
        </w:tc>
        <w:tc>
          <w:tcPr>
            <w:tcW w:w="2119" w:type="dxa"/>
            <w:gridSpan w:val="2"/>
          </w:tcPr>
          <w:p w14:paraId="5EFA6C1B" w14:textId="05655EFD" w:rsidR="002876D1" w:rsidRPr="00AB6D3D" w:rsidRDefault="00EE298C" w:rsidP="00187D90">
            <w:pPr>
              <w:pStyle w:val="TableNumbering"/>
              <w:numPr>
                <w:ilvl w:val="0"/>
                <w:numId w:val="0"/>
              </w:numPr>
              <w:ind w:left="284" w:hanging="284"/>
            </w:pPr>
            <w:r w:rsidRPr="00AB6D3D">
              <w:t>-</w:t>
            </w:r>
            <w:r w:rsidR="009C614B" w:rsidRPr="00AB6D3D">
              <w:t>$</w:t>
            </w:r>
            <w:r w:rsidRPr="00AB6D3D">
              <w:t>4</w:t>
            </w:r>
            <w:r w:rsidR="00AB6D3D">
              <w:t>12</w:t>
            </w:r>
          </w:p>
        </w:tc>
      </w:tr>
    </w:tbl>
    <w:p w14:paraId="6A4D52E0" w14:textId="0BF6825B" w:rsidR="005F006A" w:rsidRDefault="005F006A">
      <w:pPr>
        <w:rPr>
          <w:rFonts w:asciiTheme="majorHAnsi" w:eastAsiaTheme="majorEastAsia" w:hAnsiTheme="majorHAnsi" w:cstheme="majorBidi"/>
          <w:b/>
          <w:color w:val="014463" w:themeColor="text2"/>
          <w:sz w:val="40"/>
          <w:szCs w:val="40"/>
        </w:rPr>
      </w:pPr>
    </w:p>
    <w:p w14:paraId="6CA74533" w14:textId="0D8CB6CB" w:rsidR="006A61FC" w:rsidRDefault="006A61FC" w:rsidP="00AB70BE">
      <w:pPr>
        <w:pStyle w:val="Heading2"/>
        <w:spacing w:before="0" w:after="120"/>
      </w:pPr>
      <w:r>
        <w:t>4.3 Option 3 – Make permanent the temporary reforms with modifications to improve the operation of the reforms</w:t>
      </w:r>
    </w:p>
    <w:p w14:paraId="5CDCDE7B" w14:textId="64596E30" w:rsidR="00AB6D3D" w:rsidRPr="00AB6D3D" w:rsidRDefault="00AB6D3D" w:rsidP="00AB6D3D">
      <w:pPr>
        <w:rPr>
          <w:rFonts w:eastAsiaTheme="majorEastAsia" w:cstheme="minorHAnsi"/>
          <w:color w:val="000000" w:themeColor="text1"/>
          <w:sz w:val="22"/>
          <w:szCs w:val="28"/>
        </w:rPr>
      </w:pPr>
      <w:r w:rsidRPr="00AB6D3D">
        <w:rPr>
          <w:rFonts w:eastAsiaTheme="majorEastAsia" w:cstheme="minorHAnsi"/>
          <w:color w:val="000000" w:themeColor="text1"/>
          <w:sz w:val="22"/>
          <w:szCs w:val="28"/>
        </w:rPr>
        <w:t xml:space="preserve">This option goes further to achieve the Government’s objectives of ensuring that where substantive statutory requirements can be met using digital technologies, the law allows companies and their officers to </w:t>
      </w:r>
      <w:r w:rsidR="00A17F4B">
        <w:rPr>
          <w:rFonts w:eastAsiaTheme="majorEastAsia" w:cstheme="minorHAnsi"/>
          <w:color w:val="000000" w:themeColor="text1"/>
          <w:sz w:val="22"/>
          <w:szCs w:val="28"/>
        </w:rPr>
        <w:t>do so</w:t>
      </w:r>
      <w:r w:rsidRPr="00AB6D3D">
        <w:rPr>
          <w:rFonts w:eastAsiaTheme="majorEastAsia" w:cstheme="minorHAnsi"/>
          <w:color w:val="000000" w:themeColor="text1"/>
          <w:sz w:val="22"/>
          <w:szCs w:val="28"/>
        </w:rPr>
        <w:t>.</w:t>
      </w:r>
    </w:p>
    <w:p w14:paraId="10715279" w14:textId="77777777" w:rsidR="00F21E42" w:rsidRPr="00272686" w:rsidRDefault="00F21E42" w:rsidP="00AB70BE">
      <w:pPr>
        <w:pStyle w:val="Heading3"/>
        <w:spacing w:before="160"/>
      </w:pPr>
      <w:r w:rsidRPr="005872EB">
        <w:t>Document execution</w:t>
      </w:r>
    </w:p>
    <w:p w14:paraId="038B6F60" w14:textId="0AF3A1C5" w:rsidR="00AB6D3D" w:rsidRPr="00AB6D3D" w:rsidRDefault="00AB6D3D" w:rsidP="00AB6D3D">
      <w:pPr>
        <w:rPr>
          <w:rFonts w:eastAsiaTheme="majorEastAsia" w:cstheme="minorHAnsi"/>
          <w:color w:val="000000" w:themeColor="text1"/>
          <w:sz w:val="22"/>
          <w:szCs w:val="28"/>
        </w:rPr>
      </w:pPr>
      <w:r w:rsidRPr="00AB6D3D">
        <w:rPr>
          <w:rFonts w:eastAsiaTheme="majorEastAsia" w:cstheme="minorHAnsi"/>
          <w:color w:val="000000" w:themeColor="text1"/>
          <w:sz w:val="22"/>
          <w:szCs w:val="28"/>
        </w:rPr>
        <w:t xml:space="preserve">In relation to document execution, companies and </w:t>
      </w:r>
      <w:r w:rsidR="00914965">
        <w:rPr>
          <w:rFonts w:eastAsiaTheme="majorEastAsia" w:cstheme="minorHAnsi"/>
          <w:color w:val="000000" w:themeColor="text1"/>
          <w:sz w:val="22"/>
          <w:szCs w:val="28"/>
        </w:rPr>
        <w:t>members</w:t>
      </w:r>
      <w:r w:rsidR="00914965" w:rsidRPr="00AB6D3D">
        <w:rPr>
          <w:rFonts w:eastAsiaTheme="majorEastAsia" w:cstheme="minorHAnsi"/>
          <w:color w:val="000000" w:themeColor="text1"/>
          <w:sz w:val="22"/>
          <w:szCs w:val="28"/>
        </w:rPr>
        <w:t xml:space="preserve"> </w:t>
      </w:r>
      <w:r w:rsidRPr="00AB6D3D">
        <w:rPr>
          <w:rFonts w:eastAsiaTheme="majorEastAsia" w:cstheme="minorHAnsi"/>
          <w:color w:val="000000" w:themeColor="text1"/>
          <w:sz w:val="22"/>
          <w:szCs w:val="28"/>
        </w:rPr>
        <w:t xml:space="preserve">will continue to have the advantages of the measures related to document execution outlined under Option 2. </w:t>
      </w:r>
    </w:p>
    <w:p w14:paraId="64E88DE6" w14:textId="3879CA96" w:rsidR="00195F10" w:rsidRDefault="00AB6D3D" w:rsidP="00AB6D3D">
      <w:pPr>
        <w:rPr>
          <w:rFonts w:eastAsiaTheme="majorEastAsia" w:cstheme="minorHAnsi"/>
          <w:color w:val="000000" w:themeColor="text1"/>
          <w:sz w:val="22"/>
          <w:szCs w:val="28"/>
        </w:rPr>
      </w:pPr>
      <w:r w:rsidRPr="00AB6D3D">
        <w:rPr>
          <w:rFonts w:eastAsiaTheme="majorEastAsia" w:cstheme="minorHAnsi"/>
          <w:color w:val="000000" w:themeColor="text1"/>
          <w:sz w:val="22"/>
          <w:szCs w:val="28"/>
        </w:rPr>
        <w:t xml:space="preserve">However, Option 3 provides further flexibility and clarity as to the methods that companies may use to execute documents, which will further reduce regulatory burden. This option clarifies that deeds can be validly executed </w:t>
      </w:r>
      <w:r w:rsidR="00195F10">
        <w:rPr>
          <w:rFonts w:eastAsiaTheme="majorEastAsia" w:cstheme="minorHAnsi"/>
          <w:color w:val="000000" w:themeColor="text1"/>
          <w:sz w:val="22"/>
          <w:szCs w:val="28"/>
        </w:rPr>
        <w:t>in technologically neutral and flexible ways</w:t>
      </w:r>
      <w:r w:rsidRPr="00AB6D3D">
        <w:rPr>
          <w:rFonts w:eastAsiaTheme="majorEastAsia" w:cstheme="minorHAnsi"/>
          <w:color w:val="000000" w:themeColor="text1"/>
          <w:sz w:val="22"/>
          <w:szCs w:val="28"/>
        </w:rPr>
        <w:t>, and deem documents as validly executed even if the witnessing of a common seal of the company occurred via electronic means.</w:t>
      </w:r>
      <w:r w:rsidR="00EB2D18">
        <w:rPr>
          <w:rFonts w:eastAsiaTheme="majorEastAsia" w:cstheme="minorHAnsi"/>
          <w:color w:val="000000" w:themeColor="text1"/>
          <w:sz w:val="22"/>
          <w:szCs w:val="28"/>
        </w:rPr>
        <w:t xml:space="preserve"> After receiving stakeholder feedback</w:t>
      </w:r>
      <w:r w:rsidR="005913E7">
        <w:rPr>
          <w:rFonts w:eastAsiaTheme="majorEastAsia" w:cstheme="minorHAnsi"/>
          <w:color w:val="000000" w:themeColor="text1"/>
          <w:sz w:val="22"/>
          <w:szCs w:val="28"/>
        </w:rPr>
        <w:t xml:space="preserve">, this option </w:t>
      </w:r>
      <w:r w:rsidR="007A7137">
        <w:rPr>
          <w:rFonts w:eastAsiaTheme="majorEastAsia" w:cstheme="minorHAnsi"/>
          <w:color w:val="000000" w:themeColor="text1"/>
          <w:sz w:val="22"/>
          <w:szCs w:val="28"/>
        </w:rPr>
        <w:t xml:space="preserve">further clarifies the practical assumptions and </w:t>
      </w:r>
      <w:r w:rsidR="000A46AD">
        <w:rPr>
          <w:rFonts w:eastAsiaTheme="majorEastAsia" w:cstheme="minorHAnsi"/>
          <w:color w:val="000000" w:themeColor="text1"/>
          <w:sz w:val="22"/>
          <w:szCs w:val="28"/>
        </w:rPr>
        <w:t>guidance as to how documents can be signed.</w:t>
      </w:r>
      <w:r w:rsidR="005913E7">
        <w:rPr>
          <w:rFonts w:eastAsiaTheme="majorEastAsia" w:cstheme="minorHAnsi"/>
          <w:color w:val="000000" w:themeColor="text1"/>
          <w:sz w:val="22"/>
          <w:szCs w:val="28"/>
        </w:rPr>
        <w:t xml:space="preserve"> </w:t>
      </w:r>
    </w:p>
    <w:p w14:paraId="173C5C3E" w14:textId="6BD592AE" w:rsidR="00AB6D3D" w:rsidRDefault="00AB6D3D" w:rsidP="00AB6D3D">
      <w:pPr>
        <w:rPr>
          <w:rFonts w:eastAsiaTheme="majorEastAsia" w:cstheme="minorHAnsi"/>
          <w:color w:val="000000" w:themeColor="text1"/>
          <w:sz w:val="22"/>
          <w:szCs w:val="28"/>
        </w:rPr>
      </w:pPr>
      <w:r w:rsidRPr="00AB6D3D">
        <w:rPr>
          <w:rFonts w:eastAsiaTheme="majorEastAsia" w:cstheme="minorHAnsi"/>
          <w:color w:val="000000" w:themeColor="text1"/>
          <w:sz w:val="22"/>
          <w:szCs w:val="28"/>
        </w:rPr>
        <w:t>This provides companies a greater range of choices to validly execute documents, so that they can choose the most efficient one</w:t>
      </w:r>
      <w:r w:rsidR="00195F10">
        <w:rPr>
          <w:rFonts w:eastAsiaTheme="majorEastAsia" w:cstheme="minorHAnsi"/>
          <w:color w:val="000000" w:themeColor="text1"/>
          <w:sz w:val="22"/>
          <w:szCs w:val="28"/>
        </w:rPr>
        <w:t xml:space="preserve"> for their circumstances</w:t>
      </w:r>
      <w:r w:rsidRPr="00AB6D3D">
        <w:rPr>
          <w:rFonts w:eastAsiaTheme="majorEastAsia" w:cstheme="minorHAnsi"/>
          <w:color w:val="000000" w:themeColor="text1"/>
          <w:sz w:val="22"/>
          <w:szCs w:val="28"/>
        </w:rPr>
        <w:t>, and whatever they chose, counterparties can rely on the rights and obligations in the executed document.</w:t>
      </w:r>
    </w:p>
    <w:p w14:paraId="4E1CDA48" w14:textId="5CE2904A" w:rsidR="00F21E42" w:rsidRDefault="00F21E42" w:rsidP="00EC364E">
      <w:pPr>
        <w:pStyle w:val="Heading4"/>
        <w:shd w:val="clear" w:color="auto" w:fill="D1D1D1" w:themeFill="background2"/>
      </w:pPr>
      <w:r>
        <w:t xml:space="preserve">Methodology used to estimate regulatory savings for documents execution </w:t>
      </w:r>
    </w:p>
    <w:p w14:paraId="2D2FA252" w14:textId="77777777" w:rsidR="00F21E42" w:rsidRDefault="00F21E42" w:rsidP="00EC364E">
      <w:pPr>
        <w:pStyle w:val="Bullet"/>
        <w:numPr>
          <w:ilvl w:val="0"/>
          <w:numId w:val="0"/>
        </w:numPr>
        <w:shd w:val="clear" w:color="auto" w:fill="D1D1D1" w:themeFill="background2"/>
      </w:pPr>
      <w:r>
        <w:t xml:space="preserve">The same assumptions as in Option 2 have been used for Option 3 about the number of companies and the postal costs. </w:t>
      </w:r>
    </w:p>
    <w:p w14:paraId="1772FD68" w14:textId="77777777" w:rsidR="00F21E42" w:rsidRDefault="00F21E42" w:rsidP="00EC364E">
      <w:pPr>
        <w:pStyle w:val="Bullet"/>
        <w:numPr>
          <w:ilvl w:val="0"/>
          <w:numId w:val="0"/>
        </w:numPr>
        <w:shd w:val="clear" w:color="auto" w:fill="D1D1D1" w:themeFill="background2"/>
      </w:pPr>
      <w:r>
        <w:t>The new assumption included in the methodology are as follows:</w:t>
      </w:r>
    </w:p>
    <w:p w14:paraId="31703B8D" w14:textId="77777777" w:rsidR="00F21E42" w:rsidRDefault="00F21E42" w:rsidP="00EC364E">
      <w:pPr>
        <w:pStyle w:val="Bullet"/>
        <w:shd w:val="clear" w:color="auto" w:fill="D1D1D1" w:themeFill="background2"/>
      </w:pPr>
      <w:r>
        <w:t>On average, businesses execute one deed every year.</w:t>
      </w:r>
    </w:p>
    <w:p w14:paraId="39A94F9D" w14:textId="601F0FE0" w:rsidR="00F21E42" w:rsidRDefault="00F21E42" w:rsidP="00EC364E">
      <w:pPr>
        <w:pStyle w:val="Bullet"/>
        <w:shd w:val="clear" w:color="auto" w:fill="D1D1D1" w:themeFill="background2"/>
      </w:pPr>
      <w:r>
        <w:t>The regulatory savings for deeds are calculated using the same method for the electronic execution of documents. By</w:t>
      </w:r>
      <w:r w:rsidDel="00DA5799">
        <w:t xml:space="preserve"> </w:t>
      </w:r>
      <w:r>
        <w:t>allowing for electronic execution of deed</w:t>
      </w:r>
      <w:r w:rsidR="00C14702">
        <w:t>s</w:t>
      </w:r>
      <w:r>
        <w:t xml:space="preserve"> there is an average regulatory </w:t>
      </w:r>
      <w:r w:rsidRPr="006766E3">
        <w:t>saving of $30 million</w:t>
      </w:r>
      <w:r w:rsidRPr="009B3B14">
        <w:t xml:space="preserve"> per year (over</w:t>
      </w:r>
      <w:r>
        <w:t xml:space="preserve"> 10 years).</w:t>
      </w:r>
    </w:p>
    <w:p w14:paraId="2F600723" w14:textId="77777777" w:rsidR="00F21E42" w:rsidRPr="00DF0F6B" w:rsidRDefault="00F21E42" w:rsidP="00EC364E">
      <w:pPr>
        <w:pStyle w:val="Bullet"/>
        <w:shd w:val="clear" w:color="auto" w:fill="D1D1D1" w:themeFill="background2"/>
      </w:pPr>
      <w:r w:rsidRPr="00DF0F6B">
        <w:t>There are an estimated 70,000 active proprietary companies with a sole director and no company secretary</w:t>
      </w:r>
      <w:r>
        <w:t>.</w:t>
      </w:r>
      <w:r w:rsidRPr="00DF0F6B">
        <w:t xml:space="preserve"> Assumes 50 per cent of directors have already provided for electronic execution in their constitution and do so already.</w:t>
      </w:r>
    </w:p>
    <w:p w14:paraId="11FEA009" w14:textId="1EB8E92E" w:rsidR="00F21E42" w:rsidRDefault="00F21E42" w:rsidP="00EC364E">
      <w:pPr>
        <w:pStyle w:val="Bullet"/>
        <w:shd w:val="clear" w:color="auto" w:fill="D1D1D1" w:themeFill="background2"/>
      </w:pPr>
      <w:r>
        <w:t>The estimated savings do not include savings associated with being able to execute documents with a common seal electronically, including by allowing witnesses to validly witness the fixing of a company seal electronically. It is assumed that if companies choose an electronic method, they will choose the more efficient between the signature and common seal methods.</w:t>
      </w:r>
    </w:p>
    <w:p w14:paraId="36D65B02" w14:textId="36ABF8C0" w:rsidR="00E40D8D" w:rsidRDefault="00EC1B4C" w:rsidP="00EC364E">
      <w:pPr>
        <w:pStyle w:val="Bullet"/>
        <w:shd w:val="clear" w:color="auto" w:fill="D1D1D1" w:themeFill="background2"/>
      </w:pPr>
      <w:r>
        <w:t xml:space="preserve">There are no </w:t>
      </w:r>
      <w:r w:rsidR="00EC157E">
        <w:t xml:space="preserve">additional </w:t>
      </w:r>
      <w:r>
        <w:t>associated savings with provisions relating to company officers, including company agents</w:t>
      </w:r>
      <w:r w:rsidR="00EC157E">
        <w:t>,</w:t>
      </w:r>
      <w:r>
        <w:t xml:space="preserve"> </w:t>
      </w:r>
      <w:r w:rsidR="00E40D8D">
        <w:t>execut</w:t>
      </w:r>
      <w:r>
        <w:t>ing</w:t>
      </w:r>
      <w:r w:rsidR="00E40D8D">
        <w:t xml:space="preserve"> documents </w:t>
      </w:r>
      <w:r>
        <w:t>as the option increases the flexibility to execute</w:t>
      </w:r>
      <w:r w:rsidR="00A31024">
        <w:t xml:space="preserve"> and makes it easier to practically sign documents</w:t>
      </w:r>
      <w:r w:rsidR="001E5A08">
        <w:t>.</w:t>
      </w:r>
    </w:p>
    <w:p w14:paraId="5EEAF1AF" w14:textId="214B2DE7" w:rsidR="00F21E42" w:rsidRPr="00272686" w:rsidRDefault="00F21E42" w:rsidP="00EC364E">
      <w:pPr>
        <w:shd w:val="clear" w:color="auto" w:fill="D1D1D1" w:themeFill="background2"/>
        <w:rPr>
          <w:rFonts w:ascii="Calibri" w:eastAsiaTheme="majorEastAsia" w:hAnsi="Calibri" w:cstheme="majorBidi"/>
          <w:b/>
          <w:bCs/>
          <w:color w:val="000000" w:themeColor="text1"/>
          <w:sz w:val="22"/>
          <w:szCs w:val="28"/>
        </w:rPr>
      </w:pPr>
      <w:r w:rsidRPr="00272686">
        <w:rPr>
          <w:rFonts w:ascii="Calibri" w:eastAsiaTheme="majorEastAsia" w:hAnsi="Calibri" w:cstheme="majorBidi"/>
          <w:b/>
          <w:bCs/>
          <w:color w:val="000000" w:themeColor="text1"/>
          <w:sz w:val="22"/>
          <w:szCs w:val="28"/>
        </w:rPr>
        <w:t xml:space="preserve">Combining the regulatory savings relating to electronic execution of documents from the temporary measures with the new regulatory savings results in an overall regulatory saving of </w:t>
      </w:r>
      <w:r w:rsidRPr="00AB6D3D">
        <w:rPr>
          <w:rFonts w:ascii="Calibri" w:eastAsiaTheme="majorEastAsia" w:hAnsi="Calibri" w:cstheme="majorBidi"/>
          <w:b/>
          <w:bCs/>
          <w:color w:val="000000" w:themeColor="text1"/>
          <w:sz w:val="22"/>
          <w:szCs w:val="28"/>
        </w:rPr>
        <w:t>$4</w:t>
      </w:r>
      <w:r w:rsidR="00EC42A1" w:rsidRPr="00AB6D3D">
        <w:rPr>
          <w:rFonts w:ascii="Calibri" w:eastAsiaTheme="majorEastAsia" w:hAnsi="Calibri" w:cstheme="majorBidi"/>
          <w:b/>
          <w:bCs/>
          <w:color w:val="000000" w:themeColor="text1"/>
          <w:sz w:val="22"/>
          <w:szCs w:val="28"/>
        </w:rPr>
        <w:t>30</w:t>
      </w:r>
      <w:r w:rsidRPr="00AB6D3D">
        <w:rPr>
          <w:rFonts w:ascii="Calibri" w:eastAsiaTheme="majorEastAsia" w:hAnsi="Calibri" w:cstheme="majorBidi"/>
          <w:b/>
          <w:bCs/>
          <w:color w:val="000000" w:themeColor="text1"/>
          <w:sz w:val="22"/>
          <w:szCs w:val="28"/>
        </w:rPr>
        <w:t xml:space="preserve"> million</w:t>
      </w:r>
      <w:r w:rsidRPr="00272686">
        <w:rPr>
          <w:rFonts w:ascii="Calibri" w:eastAsiaTheme="majorEastAsia" w:hAnsi="Calibri" w:cstheme="majorBidi"/>
          <w:b/>
          <w:bCs/>
          <w:color w:val="000000" w:themeColor="text1"/>
          <w:sz w:val="22"/>
          <w:szCs w:val="28"/>
        </w:rPr>
        <w:t xml:space="preserve"> per year</w:t>
      </w:r>
      <w:r w:rsidRPr="00AB6D3D">
        <w:rPr>
          <w:rFonts w:ascii="Calibri" w:eastAsiaTheme="majorEastAsia" w:hAnsi="Calibri" w:cstheme="majorBidi"/>
          <w:b/>
          <w:bCs/>
          <w:color w:val="000000" w:themeColor="text1"/>
          <w:sz w:val="22"/>
          <w:szCs w:val="28"/>
          <w:vertAlign w:val="superscript"/>
        </w:rPr>
        <w:footnoteReference w:id="5"/>
      </w:r>
      <w:r w:rsidRPr="00272686">
        <w:rPr>
          <w:rFonts w:ascii="Calibri" w:eastAsiaTheme="majorEastAsia" w:hAnsi="Calibri" w:cstheme="majorBidi"/>
          <w:b/>
          <w:bCs/>
          <w:color w:val="000000" w:themeColor="text1"/>
          <w:sz w:val="22"/>
          <w:szCs w:val="28"/>
        </w:rPr>
        <w:t xml:space="preserve"> (over 10 years).</w:t>
      </w:r>
    </w:p>
    <w:p w14:paraId="3167499C" w14:textId="36FC4AC2" w:rsidR="00F21E42" w:rsidRDefault="00F21E42" w:rsidP="001E33A2">
      <w:pPr>
        <w:pStyle w:val="Heading3"/>
      </w:pPr>
      <w:r w:rsidRPr="00193CEA">
        <w:t>Meeting-related materials</w:t>
      </w:r>
      <w:r w:rsidRPr="00272686">
        <w:t xml:space="preserve"> </w:t>
      </w:r>
    </w:p>
    <w:p w14:paraId="6A47E293" w14:textId="7ADD1925" w:rsidR="00AB6D3D" w:rsidRDefault="00AB6D3D" w:rsidP="00AB6D3D">
      <w:pPr>
        <w:rPr>
          <w:color w:val="000000" w:themeColor="text1"/>
          <w:sz w:val="22"/>
          <w:szCs w:val="22"/>
        </w:rPr>
      </w:pPr>
      <w:r w:rsidRPr="00AB6D3D">
        <w:rPr>
          <w:color w:val="000000" w:themeColor="text1"/>
          <w:sz w:val="22"/>
          <w:szCs w:val="22"/>
        </w:rPr>
        <w:t xml:space="preserve">The differences between this option and Options 1 and 2, </w:t>
      </w:r>
      <w:r w:rsidR="008A41B9">
        <w:rPr>
          <w:color w:val="000000" w:themeColor="text1"/>
          <w:sz w:val="22"/>
          <w:szCs w:val="22"/>
        </w:rPr>
        <w:t xml:space="preserve">is that Option 3 </w:t>
      </w:r>
      <w:r w:rsidR="00E216C6">
        <w:rPr>
          <w:color w:val="000000" w:themeColor="text1"/>
          <w:sz w:val="22"/>
          <w:szCs w:val="22"/>
        </w:rPr>
        <w:t>allows</w:t>
      </w:r>
      <w:r w:rsidR="008A41B9">
        <w:rPr>
          <w:color w:val="000000" w:themeColor="text1"/>
          <w:sz w:val="22"/>
          <w:szCs w:val="22"/>
        </w:rPr>
        <w:t xml:space="preserve"> members to opt</w:t>
      </w:r>
      <w:r w:rsidR="00E216C6">
        <w:rPr>
          <w:color w:val="000000" w:themeColor="text1"/>
          <w:sz w:val="22"/>
          <w:szCs w:val="22"/>
        </w:rPr>
        <w:t>-</w:t>
      </w:r>
      <w:r w:rsidR="008A41B9">
        <w:rPr>
          <w:color w:val="000000" w:themeColor="text1"/>
          <w:sz w:val="22"/>
          <w:szCs w:val="22"/>
        </w:rPr>
        <w:t xml:space="preserve">in to receiving meeting materials electronically or in hard copy. This option ensures that members are </w:t>
      </w:r>
      <w:r w:rsidR="00EC157E">
        <w:rPr>
          <w:color w:val="000000" w:themeColor="text1"/>
          <w:sz w:val="22"/>
          <w:szCs w:val="22"/>
        </w:rPr>
        <w:t xml:space="preserve">notified </w:t>
      </w:r>
      <w:r w:rsidR="008A41B9">
        <w:rPr>
          <w:color w:val="000000" w:themeColor="text1"/>
          <w:sz w:val="22"/>
          <w:szCs w:val="22"/>
        </w:rPr>
        <w:t>of their ability to make an election, while giving companies the flexibility</w:t>
      </w:r>
      <w:r w:rsidR="00860779">
        <w:rPr>
          <w:color w:val="000000" w:themeColor="text1"/>
          <w:sz w:val="22"/>
          <w:szCs w:val="22"/>
        </w:rPr>
        <w:t xml:space="preserve"> to provide this notification in one of five ways: i</w:t>
      </w:r>
      <w:r w:rsidR="00860779" w:rsidRPr="00C93E70">
        <w:rPr>
          <w:sz w:val="22"/>
          <w:szCs w:val="22"/>
        </w:rPr>
        <w:t>n hard copy</w:t>
      </w:r>
      <w:r w:rsidR="00425475">
        <w:rPr>
          <w:sz w:val="22"/>
          <w:szCs w:val="22"/>
        </w:rPr>
        <w:t>;</w:t>
      </w:r>
      <w:r w:rsidR="00860779" w:rsidRPr="00C93E70">
        <w:rPr>
          <w:sz w:val="22"/>
          <w:szCs w:val="22"/>
        </w:rPr>
        <w:t xml:space="preserve"> electronically</w:t>
      </w:r>
      <w:r w:rsidR="00425475">
        <w:rPr>
          <w:sz w:val="22"/>
          <w:szCs w:val="22"/>
        </w:rPr>
        <w:t>;</w:t>
      </w:r>
      <w:r w:rsidR="00860779" w:rsidRPr="00C93E70">
        <w:rPr>
          <w:sz w:val="22"/>
          <w:szCs w:val="22"/>
        </w:rPr>
        <w:t xml:space="preserve"> physically with access to information electronically (e.g., physical postcard)</w:t>
      </w:r>
      <w:r w:rsidR="00425475">
        <w:rPr>
          <w:sz w:val="22"/>
          <w:szCs w:val="22"/>
        </w:rPr>
        <w:t>;</w:t>
      </w:r>
      <w:r w:rsidR="00860779" w:rsidRPr="00C93E70">
        <w:rPr>
          <w:sz w:val="22"/>
          <w:szCs w:val="22"/>
        </w:rPr>
        <w:t xml:space="preserve"> electronically, with access to information electronically (e.g., electronic postcard)</w:t>
      </w:r>
      <w:r w:rsidR="00425475">
        <w:rPr>
          <w:sz w:val="22"/>
          <w:szCs w:val="22"/>
        </w:rPr>
        <w:t>;</w:t>
      </w:r>
      <w:r w:rsidR="00860779" w:rsidRPr="00C93E70">
        <w:rPr>
          <w:sz w:val="22"/>
          <w:szCs w:val="22"/>
        </w:rPr>
        <w:t xml:space="preserve"> or by posting the information on </w:t>
      </w:r>
      <w:r w:rsidR="00860779">
        <w:rPr>
          <w:sz w:val="22"/>
          <w:szCs w:val="22"/>
        </w:rPr>
        <w:t>a</w:t>
      </w:r>
      <w:r w:rsidR="00860779" w:rsidRPr="00C93E70">
        <w:rPr>
          <w:sz w:val="22"/>
          <w:szCs w:val="22"/>
        </w:rPr>
        <w:t xml:space="preserve"> website</w:t>
      </w:r>
      <w:r w:rsidR="00425475" w:rsidRPr="00425475">
        <w:rPr>
          <w:sz w:val="22"/>
          <w:szCs w:val="22"/>
        </w:rPr>
        <w:t>, if the document is an annual report or otherwise permitted by the regulations</w:t>
      </w:r>
      <w:r w:rsidR="00860779">
        <w:rPr>
          <w:sz w:val="22"/>
          <w:szCs w:val="22"/>
        </w:rPr>
        <w:t>.</w:t>
      </w:r>
      <w:r w:rsidR="008A41B9">
        <w:rPr>
          <w:color w:val="000000" w:themeColor="text1"/>
          <w:sz w:val="22"/>
          <w:szCs w:val="22"/>
        </w:rPr>
        <w:t xml:space="preserve"> </w:t>
      </w:r>
      <w:r w:rsidRPr="00AB6D3D">
        <w:rPr>
          <w:color w:val="000000" w:themeColor="text1"/>
          <w:sz w:val="22"/>
          <w:szCs w:val="22"/>
        </w:rPr>
        <w:t>This option provides a means</w:t>
      </w:r>
      <w:r w:rsidR="00195F10">
        <w:rPr>
          <w:color w:val="000000" w:themeColor="text1"/>
          <w:sz w:val="22"/>
          <w:szCs w:val="22"/>
        </w:rPr>
        <w:t xml:space="preserve"> to allow companies to choose the default method of satisfying their obligations to provide documents in the ma</w:t>
      </w:r>
      <w:r w:rsidR="00073D54">
        <w:rPr>
          <w:color w:val="000000" w:themeColor="text1"/>
          <w:sz w:val="22"/>
          <w:szCs w:val="22"/>
        </w:rPr>
        <w:t>nner</w:t>
      </w:r>
      <w:r w:rsidR="00195F10">
        <w:rPr>
          <w:color w:val="000000" w:themeColor="text1"/>
          <w:sz w:val="22"/>
          <w:szCs w:val="22"/>
        </w:rPr>
        <w:t xml:space="preserve"> that best suits them. It allows</w:t>
      </w:r>
      <w:r w:rsidRPr="00AB6D3D">
        <w:rPr>
          <w:color w:val="000000" w:themeColor="text1"/>
          <w:sz w:val="22"/>
          <w:szCs w:val="22"/>
        </w:rPr>
        <w:t xml:space="preserve"> </w:t>
      </w:r>
      <w:r w:rsidR="00914965">
        <w:rPr>
          <w:color w:val="000000" w:themeColor="text1"/>
          <w:sz w:val="22"/>
          <w:szCs w:val="22"/>
        </w:rPr>
        <w:t>members</w:t>
      </w:r>
      <w:r w:rsidRPr="00AB6D3D">
        <w:rPr>
          <w:color w:val="000000" w:themeColor="text1"/>
          <w:sz w:val="22"/>
          <w:szCs w:val="22"/>
        </w:rPr>
        <w:t xml:space="preserve"> to </w:t>
      </w:r>
      <w:r w:rsidR="00195F10">
        <w:rPr>
          <w:color w:val="000000" w:themeColor="text1"/>
          <w:sz w:val="22"/>
          <w:szCs w:val="22"/>
        </w:rPr>
        <w:t xml:space="preserve">make elections about </w:t>
      </w:r>
      <w:r w:rsidR="006B3C8E">
        <w:rPr>
          <w:color w:val="000000" w:themeColor="text1"/>
          <w:sz w:val="22"/>
          <w:szCs w:val="22"/>
        </w:rPr>
        <w:t>receiving documents in a particular manner, or not receiving permitted classes of documents to suit their preferences</w:t>
      </w:r>
      <w:r w:rsidRPr="00AB6D3D">
        <w:rPr>
          <w:color w:val="000000" w:themeColor="text1"/>
          <w:sz w:val="22"/>
          <w:szCs w:val="22"/>
        </w:rPr>
        <w:t xml:space="preserve">. </w:t>
      </w:r>
    </w:p>
    <w:p w14:paraId="4FC97A43" w14:textId="36E72A95" w:rsidR="000A6999" w:rsidRPr="00AB6D3D" w:rsidRDefault="000A6999" w:rsidP="00AB6D3D">
      <w:pPr>
        <w:rPr>
          <w:color w:val="000000" w:themeColor="text1"/>
          <w:sz w:val="22"/>
          <w:szCs w:val="22"/>
        </w:rPr>
      </w:pPr>
      <w:r>
        <w:rPr>
          <w:color w:val="000000" w:themeColor="text1"/>
          <w:sz w:val="22"/>
          <w:szCs w:val="22"/>
        </w:rPr>
        <w:t xml:space="preserve">This option allows companies 30 days to comply with new elections by members to receive documents in hard copy. Stakeholder feedback provided that this would allow companies the opportunity to reduce costs by better planning the number of documents which they will be required to print and potentially reducing the number of </w:t>
      </w:r>
      <w:r w:rsidR="00E04736">
        <w:rPr>
          <w:color w:val="000000" w:themeColor="text1"/>
          <w:sz w:val="22"/>
          <w:szCs w:val="22"/>
        </w:rPr>
        <w:t>‘</w:t>
      </w:r>
      <w:r>
        <w:rPr>
          <w:color w:val="000000" w:themeColor="text1"/>
          <w:sz w:val="22"/>
          <w:szCs w:val="22"/>
        </w:rPr>
        <w:t>overs</w:t>
      </w:r>
      <w:r w:rsidR="00E04736">
        <w:rPr>
          <w:color w:val="000000" w:themeColor="text1"/>
          <w:sz w:val="22"/>
          <w:szCs w:val="22"/>
        </w:rPr>
        <w:t>’</w:t>
      </w:r>
      <w:r>
        <w:rPr>
          <w:color w:val="000000" w:themeColor="text1"/>
          <w:sz w:val="22"/>
          <w:szCs w:val="22"/>
        </w:rPr>
        <w:t xml:space="preserve"> that a company would be required to allow.</w:t>
      </w:r>
    </w:p>
    <w:p w14:paraId="62CC10E5" w14:textId="5D5962DB" w:rsidR="00AB6D3D" w:rsidRPr="00AB6D3D" w:rsidRDefault="00AB6D3D" w:rsidP="00AB6D3D">
      <w:pPr>
        <w:rPr>
          <w:color w:val="000000" w:themeColor="text1"/>
          <w:sz w:val="22"/>
          <w:szCs w:val="22"/>
        </w:rPr>
      </w:pPr>
      <w:r w:rsidRPr="00AB6D3D">
        <w:rPr>
          <w:color w:val="000000" w:themeColor="text1"/>
          <w:sz w:val="22"/>
          <w:szCs w:val="22"/>
        </w:rPr>
        <w:t xml:space="preserve">This option provides additional opportunities for companies to use technology because it:  </w:t>
      </w:r>
    </w:p>
    <w:p w14:paraId="3D4194BF" w14:textId="58443B56" w:rsidR="003F60F5" w:rsidRDefault="003F60F5" w:rsidP="003F60F5">
      <w:pPr>
        <w:pStyle w:val="Bullet"/>
      </w:pPr>
      <w:r>
        <w:t>allow</w:t>
      </w:r>
      <w:r w:rsidR="00D35C44">
        <w:t>s</w:t>
      </w:r>
      <w:r>
        <w:t xml:space="preserve"> companies to choose whether to satisfy their obligations to provide documents to recipients by providing hard copy documents or by using electronic means unless a member makes an election to receive documents in a certain manner</w:t>
      </w:r>
      <w:r w:rsidRPr="003F5088">
        <w:t xml:space="preserve">; </w:t>
      </w:r>
    </w:p>
    <w:p w14:paraId="17F44A91" w14:textId="68433EAD" w:rsidR="003F60F5" w:rsidRDefault="003F60F5" w:rsidP="003F60F5">
      <w:pPr>
        <w:pStyle w:val="Bullet"/>
      </w:pPr>
      <w:r>
        <w:t>allow</w:t>
      </w:r>
      <w:r w:rsidR="00D35C44">
        <w:t>s</w:t>
      </w:r>
      <w:r>
        <w:t xml:space="preserve"> companies to send documents in five ways: in hard copy</w:t>
      </w:r>
      <w:r w:rsidR="00425475">
        <w:t>;</w:t>
      </w:r>
      <w:r>
        <w:t xml:space="preserve"> electronically</w:t>
      </w:r>
      <w:r w:rsidR="00425475">
        <w:t>;</w:t>
      </w:r>
      <w:r>
        <w:t xml:space="preserve"> physically with access to information electronically (</w:t>
      </w:r>
      <w:r w:rsidR="00333CDC">
        <w:t>e.g.,</w:t>
      </w:r>
      <w:r>
        <w:t xml:space="preserve"> physical postcard)</w:t>
      </w:r>
      <w:r w:rsidR="00425475">
        <w:t>;</w:t>
      </w:r>
      <w:r>
        <w:t xml:space="preserve"> electronically, with access to information electronically (</w:t>
      </w:r>
      <w:r w:rsidR="00333CDC">
        <w:t>e.g.,</w:t>
      </w:r>
      <w:r>
        <w:t xml:space="preserve"> electronic postcard)</w:t>
      </w:r>
      <w:r w:rsidR="00425475">
        <w:t>;</w:t>
      </w:r>
      <w:r>
        <w:t xml:space="preserve"> or by posting the information on </w:t>
      </w:r>
      <w:r w:rsidR="00300F03">
        <w:t>a</w:t>
      </w:r>
      <w:r>
        <w:t xml:space="preserve"> website</w:t>
      </w:r>
      <w:r w:rsidR="00425475">
        <w:t>, if the document is an annual report or otherwise permitted by the regulations</w:t>
      </w:r>
      <w:r w:rsidR="0093057A">
        <w:t>;</w:t>
      </w:r>
      <w:r>
        <w:t xml:space="preserve"> </w:t>
      </w:r>
    </w:p>
    <w:p w14:paraId="70FDD830" w14:textId="55047BD4" w:rsidR="00D35C44" w:rsidRDefault="00D35C44" w:rsidP="00D35C44">
      <w:pPr>
        <w:pStyle w:val="Bullet"/>
      </w:pPr>
      <w:r>
        <w:t xml:space="preserve">expands the scope of documents that a company may send in one of those five ways to include all documents sent by a company related to meetings to anyone, not just to members; </w:t>
      </w:r>
    </w:p>
    <w:p w14:paraId="11DD54BA" w14:textId="446B4C56" w:rsidR="003F60F5" w:rsidRPr="003F5088" w:rsidRDefault="003F60F5" w:rsidP="003F60F5">
      <w:pPr>
        <w:pStyle w:val="Bullet"/>
      </w:pPr>
      <w:r>
        <w:t>provide</w:t>
      </w:r>
      <w:r w:rsidR="0093057A">
        <w:t>s</w:t>
      </w:r>
      <w:r>
        <w:t xml:space="preserve"> companies with a period of 30 days to comply with a new member election to receive documents in hard copy;</w:t>
      </w:r>
    </w:p>
    <w:p w14:paraId="730811F3" w14:textId="76C84F88" w:rsidR="003F60F5" w:rsidRDefault="003F60F5" w:rsidP="003F60F5">
      <w:pPr>
        <w:pStyle w:val="Bullet"/>
      </w:pPr>
      <w:r>
        <w:t>allow</w:t>
      </w:r>
      <w:r w:rsidR="00D35C44">
        <w:t>s</w:t>
      </w:r>
      <w:r>
        <w:t xml:space="preserve"> members the flexibility to elect to receive documents in a particular format on a </w:t>
      </w:r>
      <w:r w:rsidR="00333CDC">
        <w:t>once off</w:t>
      </w:r>
      <w:r>
        <w:t xml:space="preserve"> basis; </w:t>
      </w:r>
    </w:p>
    <w:p w14:paraId="17A581D4" w14:textId="263DB06F" w:rsidR="003F60F5" w:rsidRDefault="003F60F5" w:rsidP="003F60F5">
      <w:pPr>
        <w:pStyle w:val="Bullet"/>
      </w:pPr>
      <w:r>
        <w:t>require</w:t>
      </w:r>
      <w:r w:rsidR="00D35C44">
        <w:t>s</w:t>
      </w:r>
      <w:r>
        <w:t xml:space="preserve"> public companies and registered schemes to notify members of their election rights by either </w:t>
      </w:r>
      <w:r w:rsidR="008A6CDC">
        <w:t xml:space="preserve">providing them with a notice </w:t>
      </w:r>
      <w:r>
        <w:t xml:space="preserve">once a year, or by publishing </w:t>
      </w:r>
      <w:r w:rsidR="008A6CDC">
        <w:t xml:space="preserve">that information </w:t>
      </w:r>
      <w:r>
        <w:t xml:space="preserve">on </w:t>
      </w:r>
      <w:r w:rsidR="007902F4">
        <w:t>a</w:t>
      </w:r>
      <w:r>
        <w:t xml:space="preserve"> website</w:t>
      </w:r>
      <w:r w:rsidR="00BB6EEB">
        <w:t>;</w:t>
      </w:r>
      <w:r w:rsidR="001B30F5">
        <w:t xml:space="preserve"> and</w:t>
      </w:r>
      <w:r>
        <w:t xml:space="preserve"> </w:t>
      </w:r>
    </w:p>
    <w:p w14:paraId="15FB80CA" w14:textId="7DA008B1" w:rsidR="003F60F5" w:rsidRDefault="003F60F5" w:rsidP="003F60F5">
      <w:pPr>
        <w:pStyle w:val="Bullet"/>
      </w:pPr>
      <w:r>
        <w:t>consistent with members’ current rights to elect not to receive annual reports, provide</w:t>
      </w:r>
      <w:r w:rsidR="00D35C44">
        <w:t>s</w:t>
      </w:r>
      <w:r>
        <w:t xml:space="preserve"> members with the option to elect not to receive </w:t>
      </w:r>
      <w:r w:rsidR="002A5B89">
        <w:t xml:space="preserve">annual reports or </w:t>
      </w:r>
      <w:r>
        <w:t xml:space="preserve">certain </w:t>
      </w:r>
      <w:r w:rsidR="002A5B89">
        <w:t xml:space="preserve">other </w:t>
      </w:r>
      <w:r>
        <w:t xml:space="preserve">documents </w:t>
      </w:r>
      <w:r w:rsidR="002A5B89">
        <w:t>that are prescribed</w:t>
      </w:r>
      <w:r>
        <w:t xml:space="preserve"> by the regulations.</w:t>
      </w:r>
    </w:p>
    <w:p w14:paraId="6844C5FD" w14:textId="287B8672" w:rsidR="00612780" w:rsidRDefault="00AB6D3D" w:rsidP="00AB6D3D">
      <w:pPr>
        <w:rPr>
          <w:color w:val="000000" w:themeColor="text1"/>
          <w:sz w:val="22"/>
          <w:szCs w:val="22"/>
        </w:rPr>
      </w:pPr>
      <w:r w:rsidRPr="00AB6D3D">
        <w:rPr>
          <w:color w:val="000000" w:themeColor="text1"/>
          <w:sz w:val="22"/>
          <w:szCs w:val="22"/>
        </w:rPr>
        <w:t>These</w:t>
      </w:r>
      <w:r w:rsidR="00BF0B20">
        <w:rPr>
          <w:color w:val="000000" w:themeColor="text1"/>
          <w:sz w:val="22"/>
          <w:szCs w:val="22"/>
        </w:rPr>
        <w:t xml:space="preserve"> provisions</w:t>
      </w:r>
      <w:r w:rsidRPr="00AB6D3D">
        <w:rPr>
          <w:color w:val="000000" w:themeColor="text1"/>
          <w:sz w:val="22"/>
          <w:szCs w:val="22"/>
        </w:rPr>
        <w:t xml:space="preserve"> will allow companies </w:t>
      </w:r>
      <w:r w:rsidR="00BF0B20">
        <w:rPr>
          <w:color w:val="000000" w:themeColor="text1"/>
          <w:sz w:val="22"/>
          <w:szCs w:val="22"/>
        </w:rPr>
        <w:t xml:space="preserve">greater flexibility to use technology to satisfy regulatory requirements and </w:t>
      </w:r>
      <w:r w:rsidRPr="00AB6D3D">
        <w:rPr>
          <w:color w:val="000000" w:themeColor="text1"/>
          <w:sz w:val="22"/>
          <w:szCs w:val="22"/>
        </w:rPr>
        <w:t xml:space="preserve">save </w:t>
      </w:r>
      <w:r w:rsidR="00812346" w:rsidRPr="00AB6D3D">
        <w:rPr>
          <w:color w:val="000000" w:themeColor="text1"/>
          <w:sz w:val="22"/>
          <w:szCs w:val="22"/>
        </w:rPr>
        <w:t xml:space="preserve">associated </w:t>
      </w:r>
      <w:r w:rsidRPr="00AB6D3D">
        <w:rPr>
          <w:color w:val="000000" w:themeColor="text1"/>
          <w:sz w:val="22"/>
          <w:szCs w:val="22"/>
        </w:rPr>
        <w:t>costs.</w:t>
      </w:r>
      <w:r>
        <w:rPr>
          <w:color w:val="000000" w:themeColor="text1"/>
          <w:sz w:val="22"/>
          <w:szCs w:val="22"/>
        </w:rPr>
        <w:t xml:space="preserve"> </w:t>
      </w:r>
      <w:r w:rsidRPr="00AB6D3D">
        <w:rPr>
          <w:color w:val="000000" w:themeColor="text1"/>
          <w:sz w:val="22"/>
          <w:szCs w:val="22"/>
        </w:rPr>
        <w:t>This option requires a post-implementation review in two years. This will provide the opportunity to assess the effectiveness of these reforms and to determine whether they are operating as intended</w:t>
      </w:r>
      <w:r>
        <w:rPr>
          <w:color w:val="000000" w:themeColor="text1"/>
          <w:sz w:val="22"/>
          <w:szCs w:val="22"/>
        </w:rPr>
        <w:t xml:space="preserve">. </w:t>
      </w:r>
    </w:p>
    <w:p w14:paraId="68AB5CC6" w14:textId="4A50B4FA" w:rsidR="00F21E42" w:rsidRDefault="00772E98" w:rsidP="008A385F">
      <w:pPr>
        <w:pStyle w:val="Heading4"/>
        <w:shd w:val="clear" w:color="auto" w:fill="D1D1D1" w:themeFill="background2"/>
      </w:pPr>
      <w:r>
        <w:t xml:space="preserve"> </w:t>
      </w:r>
      <w:r w:rsidR="00F21E42">
        <w:t>Methodology used to estimate regulatory savings for meeting-related materials</w:t>
      </w:r>
    </w:p>
    <w:p w14:paraId="29CEDF8D" w14:textId="4E083B82" w:rsidR="00F21E42" w:rsidRPr="00272686" w:rsidRDefault="00F21E42" w:rsidP="008A385F">
      <w:pPr>
        <w:pStyle w:val="Bullet"/>
        <w:numPr>
          <w:ilvl w:val="0"/>
          <w:numId w:val="0"/>
        </w:numPr>
        <w:shd w:val="clear" w:color="auto" w:fill="D1D1D1" w:themeFill="background2"/>
        <w:rPr>
          <w:szCs w:val="22"/>
        </w:rPr>
      </w:pPr>
      <w:r w:rsidRPr="00272686">
        <w:rPr>
          <w:szCs w:val="22"/>
        </w:rPr>
        <w:t>The same assumptions as in Option 2 are used for Option 3, as well as the following new assumptions in the methodology:</w:t>
      </w:r>
    </w:p>
    <w:p w14:paraId="0062EF61" w14:textId="7F7A6AE7" w:rsidR="00F21E42" w:rsidRPr="00272686" w:rsidRDefault="00F21E42" w:rsidP="008A385F">
      <w:pPr>
        <w:pStyle w:val="Bullet"/>
        <w:shd w:val="clear" w:color="auto" w:fill="D1D1D1" w:themeFill="background2"/>
        <w:rPr>
          <w:szCs w:val="22"/>
        </w:rPr>
      </w:pPr>
      <w:r w:rsidRPr="00272686">
        <w:rPr>
          <w:szCs w:val="22"/>
        </w:rPr>
        <w:t xml:space="preserve">A company sends hard copies to 0.02 per cent of its </w:t>
      </w:r>
      <w:r w:rsidR="00914965">
        <w:rPr>
          <w:szCs w:val="22"/>
        </w:rPr>
        <w:t>members</w:t>
      </w:r>
      <w:r w:rsidR="00914965" w:rsidRPr="00272686">
        <w:rPr>
          <w:szCs w:val="22"/>
        </w:rPr>
        <w:t xml:space="preserve"> </w:t>
      </w:r>
      <w:r w:rsidRPr="00272686">
        <w:rPr>
          <w:szCs w:val="22"/>
        </w:rPr>
        <w:t xml:space="preserve">that elect to receive hard copies, after they receive notification that materials </w:t>
      </w:r>
      <w:r w:rsidR="00A53D6A">
        <w:rPr>
          <w:szCs w:val="22"/>
        </w:rPr>
        <w:t>are available electronically.</w:t>
      </w:r>
    </w:p>
    <w:p w14:paraId="6E8616D4" w14:textId="77777777" w:rsidR="00F21E42" w:rsidRPr="00272686" w:rsidRDefault="00F21E42" w:rsidP="008A385F">
      <w:pPr>
        <w:pStyle w:val="Bullet"/>
        <w:shd w:val="clear" w:color="auto" w:fill="D1D1D1" w:themeFill="background2"/>
        <w:rPr>
          <w:rFonts w:asciiTheme="minorHAnsi" w:eastAsiaTheme="minorHAnsi" w:hAnsiTheme="minorHAnsi" w:cstheme="minorBidi"/>
          <w:szCs w:val="22"/>
        </w:rPr>
      </w:pPr>
      <w:r w:rsidRPr="00272686">
        <w:rPr>
          <w:szCs w:val="22"/>
        </w:rPr>
        <w:t>Two documents per meeting must be signed.</w:t>
      </w:r>
    </w:p>
    <w:p w14:paraId="2926C4DF" w14:textId="6E7736D3" w:rsidR="00F21E42" w:rsidRPr="009C130B" w:rsidRDefault="00F21E42" w:rsidP="008A385F">
      <w:pPr>
        <w:pStyle w:val="Bullet"/>
        <w:shd w:val="clear" w:color="auto" w:fill="D1D1D1" w:themeFill="background2"/>
        <w:rPr>
          <w:rFonts w:asciiTheme="minorHAnsi" w:eastAsiaTheme="minorHAnsi" w:hAnsiTheme="minorHAnsi" w:cstheme="minorBidi"/>
          <w:szCs w:val="22"/>
        </w:rPr>
      </w:pPr>
      <w:r w:rsidRPr="00272686">
        <w:rPr>
          <w:szCs w:val="22"/>
        </w:rPr>
        <w:t>It takes one director one hour to travel to sign hard copy documents.</w:t>
      </w:r>
    </w:p>
    <w:p w14:paraId="6E7F2E3E" w14:textId="1A98925B" w:rsidR="00C81857" w:rsidRPr="00272686" w:rsidRDefault="0067471A" w:rsidP="008A385F">
      <w:pPr>
        <w:pStyle w:val="Bullet"/>
        <w:shd w:val="clear" w:color="auto" w:fill="D1D1D1" w:themeFill="background2"/>
        <w:rPr>
          <w:rFonts w:asciiTheme="minorHAnsi" w:eastAsiaTheme="minorHAnsi" w:hAnsiTheme="minorHAnsi" w:cstheme="minorBidi"/>
          <w:szCs w:val="22"/>
        </w:rPr>
      </w:pPr>
      <w:r>
        <w:rPr>
          <w:szCs w:val="22"/>
        </w:rPr>
        <w:t>Under the current law, c</w:t>
      </w:r>
      <w:r w:rsidR="00BF39ED">
        <w:rPr>
          <w:szCs w:val="22"/>
        </w:rPr>
        <w:t>ompanies are required to notify members</w:t>
      </w:r>
      <w:r w:rsidR="00EC157E">
        <w:rPr>
          <w:szCs w:val="22"/>
        </w:rPr>
        <w:t xml:space="preserve"> in relation to the company’s annual report</w:t>
      </w:r>
      <w:r w:rsidR="00BF39ED">
        <w:rPr>
          <w:szCs w:val="22"/>
        </w:rPr>
        <w:t>. Therefore, the</w:t>
      </w:r>
      <w:r w:rsidR="00C81857">
        <w:rPr>
          <w:szCs w:val="22"/>
        </w:rPr>
        <w:t xml:space="preserve"> estimated cost savings in relation to notify</w:t>
      </w:r>
      <w:r w:rsidR="00300F03">
        <w:rPr>
          <w:szCs w:val="22"/>
        </w:rPr>
        <w:t>ing</w:t>
      </w:r>
      <w:r w:rsidR="00C81857">
        <w:rPr>
          <w:szCs w:val="22"/>
        </w:rPr>
        <w:t xml:space="preserve"> members</w:t>
      </w:r>
      <w:r w:rsidR="00BF39ED">
        <w:rPr>
          <w:szCs w:val="22"/>
        </w:rPr>
        <w:t xml:space="preserve"> yearly or on the website </w:t>
      </w:r>
      <w:r w:rsidR="00C81857">
        <w:rPr>
          <w:szCs w:val="22"/>
        </w:rPr>
        <w:t>h</w:t>
      </w:r>
      <w:r w:rsidR="00CA6C5F">
        <w:rPr>
          <w:szCs w:val="22"/>
        </w:rPr>
        <w:t>ave</w:t>
      </w:r>
      <w:r w:rsidR="00C81857">
        <w:rPr>
          <w:szCs w:val="22"/>
        </w:rPr>
        <w:t xml:space="preserve"> not been included as</w:t>
      </w:r>
      <w:r w:rsidR="00BF39ED">
        <w:rPr>
          <w:szCs w:val="22"/>
        </w:rPr>
        <w:t xml:space="preserve"> </w:t>
      </w:r>
      <w:r w:rsidR="005D4708">
        <w:rPr>
          <w:szCs w:val="22"/>
        </w:rPr>
        <w:t>it does not change</w:t>
      </w:r>
      <w:r w:rsidR="00BF39ED">
        <w:rPr>
          <w:szCs w:val="22"/>
        </w:rPr>
        <w:t xml:space="preserve"> existing obligations.</w:t>
      </w:r>
      <w:r w:rsidR="00C81857">
        <w:rPr>
          <w:szCs w:val="22"/>
        </w:rPr>
        <w:t xml:space="preserve">  </w:t>
      </w:r>
    </w:p>
    <w:p w14:paraId="5EEE8A4D" w14:textId="0291B3A5" w:rsidR="00F21E42" w:rsidRPr="00BF39ED" w:rsidRDefault="00F21E42" w:rsidP="00EC1B4C">
      <w:pPr>
        <w:pStyle w:val="Bullet"/>
        <w:numPr>
          <w:ilvl w:val="0"/>
          <w:numId w:val="0"/>
        </w:numPr>
        <w:shd w:val="clear" w:color="auto" w:fill="D1D1D1" w:themeFill="background2"/>
        <w:rPr>
          <w:b/>
          <w:bCs/>
          <w:szCs w:val="22"/>
        </w:rPr>
      </w:pPr>
      <w:r w:rsidRPr="00BF39ED">
        <w:rPr>
          <w:b/>
          <w:bCs/>
          <w:szCs w:val="22"/>
        </w:rPr>
        <w:t>The overall regulatory saving for this option i</w:t>
      </w:r>
      <w:r w:rsidR="00C94B54">
        <w:rPr>
          <w:b/>
          <w:bCs/>
          <w:szCs w:val="22"/>
        </w:rPr>
        <w:t>n relation to meeting-related materials is</w:t>
      </w:r>
      <w:r w:rsidRPr="00BF39ED">
        <w:rPr>
          <w:b/>
          <w:bCs/>
          <w:szCs w:val="22"/>
        </w:rPr>
        <w:t xml:space="preserve"> </w:t>
      </w:r>
      <w:r w:rsidR="00C94B54">
        <w:rPr>
          <w:b/>
          <w:bCs/>
          <w:szCs w:val="22"/>
        </w:rPr>
        <w:t>approximately</w:t>
      </w:r>
      <w:r w:rsidRPr="00BF39ED">
        <w:rPr>
          <w:b/>
          <w:bCs/>
          <w:szCs w:val="22"/>
        </w:rPr>
        <w:t xml:space="preserve"> </w:t>
      </w:r>
      <w:r w:rsidR="00AB6D3D" w:rsidRPr="00BF39ED">
        <w:rPr>
          <w:b/>
          <w:bCs/>
          <w:szCs w:val="22"/>
        </w:rPr>
        <w:t>$20</w:t>
      </w:r>
      <w:r w:rsidRPr="00BF39ED">
        <w:rPr>
          <w:b/>
          <w:bCs/>
          <w:szCs w:val="22"/>
        </w:rPr>
        <w:t xml:space="preserve"> million per year (over 10 years).</w:t>
      </w:r>
      <w:r w:rsidR="000A6999" w:rsidRPr="00BF39ED">
        <w:rPr>
          <w:b/>
          <w:bCs/>
          <w:szCs w:val="22"/>
        </w:rPr>
        <w:t xml:space="preserve"> </w:t>
      </w:r>
    </w:p>
    <w:p w14:paraId="1E49B714" w14:textId="77777777" w:rsidR="00F21E42" w:rsidRPr="00272686" w:rsidRDefault="00F21E42" w:rsidP="001E33A2">
      <w:pPr>
        <w:pStyle w:val="Heading3"/>
      </w:pPr>
      <w:r w:rsidRPr="00272686">
        <w:t>Regulatory burden estimate (RBE) table</w:t>
      </w:r>
    </w:p>
    <w:p w14:paraId="7A535B1B" w14:textId="08D1F0F3" w:rsidR="00F21E42" w:rsidRPr="00AB6D3D" w:rsidRDefault="00F21E42" w:rsidP="00F21E42">
      <w:pPr>
        <w:pStyle w:val="Bullet"/>
        <w:numPr>
          <w:ilvl w:val="0"/>
          <w:numId w:val="0"/>
        </w:numPr>
        <w:rPr>
          <w:b/>
          <w:bCs/>
        </w:rPr>
      </w:pPr>
      <w:r w:rsidRPr="00941732">
        <w:rPr>
          <w:b/>
          <w:bCs/>
        </w:rPr>
        <w:t xml:space="preserve">Overall, Option 3 results in an average saving </w:t>
      </w:r>
      <w:r w:rsidRPr="00AB6D3D">
        <w:rPr>
          <w:b/>
          <w:bCs/>
        </w:rPr>
        <w:t>of $4</w:t>
      </w:r>
      <w:r w:rsidR="00AB6D3D">
        <w:rPr>
          <w:b/>
          <w:bCs/>
        </w:rPr>
        <w:t>50</w:t>
      </w:r>
      <w:r w:rsidRPr="00AB6D3D">
        <w:rPr>
          <w:b/>
          <w:bCs/>
        </w:rPr>
        <w:t xml:space="preserve"> million per year. This is a result of combining the savings associated with </w:t>
      </w:r>
      <w:r w:rsidR="00AB6D3D">
        <w:rPr>
          <w:b/>
          <w:bCs/>
        </w:rPr>
        <w:t>electronically sending meeting-related materials</w:t>
      </w:r>
      <w:r w:rsidRPr="00AB6D3D">
        <w:rPr>
          <w:b/>
          <w:bCs/>
        </w:rPr>
        <w:t xml:space="preserve"> ($</w:t>
      </w:r>
      <w:r w:rsidR="00AB6D3D">
        <w:rPr>
          <w:b/>
          <w:bCs/>
        </w:rPr>
        <w:t>20</w:t>
      </w:r>
      <w:r w:rsidR="006766E3" w:rsidRPr="00AB6D3D">
        <w:rPr>
          <w:b/>
          <w:bCs/>
        </w:rPr>
        <w:t xml:space="preserve"> million) and</w:t>
      </w:r>
      <w:r w:rsidRPr="00AB6D3D">
        <w:rPr>
          <w:b/>
          <w:bCs/>
        </w:rPr>
        <w:t> </w:t>
      </w:r>
      <w:r w:rsidR="00AB6D3D">
        <w:rPr>
          <w:b/>
          <w:bCs/>
        </w:rPr>
        <w:t>electronic document execution</w:t>
      </w:r>
      <w:r w:rsidR="006766E3" w:rsidRPr="00AB6D3D">
        <w:rPr>
          <w:b/>
          <w:bCs/>
        </w:rPr>
        <w:t xml:space="preserve"> ($</w:t>
      </w:r>
      <w:r w:rsidR="00AB6D3D">
        <w:rPr>
          <w:b/>
          <w:bCs/>
        </w:rPr>
        <w:t>4</w:t>
      </w:r>
      <w:r w:rsidR="006766E3" w:rsidRPr="00AB6D3D">
        <w:rPr>
          <w:b/>
          <w:bCs/>
        </w:rPr>
        <w:t>3</w:t>
      </w:r>
      <w:r w:rsidR="00AB6D3D">
        <w:rPr>
          <w:b/>
          <w:bCs/>
        </w:rPr>
        <w:t>0</w:t>
      </w:r>
      <w:r w:rsidR="006766E3" w:rsidRPr="00AB6D3D">
        <w:rPr>
          <w:b/>
          <w:bCs/>
        </w:rPr>
        <w:t xml:space="preserve"> million)</w:t>
      </w:r>
      <w:r w:rsidR="00F76CFF">
        <w:rPr>
          <w:rStyle w:val="FootnoteReference"/>
          <w:b/>
          <w:bCs/>
        </w:rPr>
        <w:footnoteReference w:id="6"/>
      </w:r>
      <w:r w:rsidRPr="00AB6D3D">
        <w:rPr>
          <w:b/>
          <w:bCs/>
        </w:rPr>
        <w:t xml:space="preserve">. </w:t>
      </w:r>
    </w:p>
    <w:tbl>
      <w:tblPr>
        <w:tblStyle w:val="PMCTableStyle2"/>
        <w:tblW w:w="0" w:type="auto"/>
        <w:tblLook w:val="0660" w:firstRow="1" w:lastRow="1" w:firstColumn="0" w:lastColumn="0" w:noHBand="1" w:noVBand="1"/>
      </w:tblPr>
      <w:tblGrid>
        <w:gridCol w:w="2728"/>
        <w:gridCol w:w="1354"/>
        <w:gridCol w:w="1482"/>
        <w:gridCol w:w="2529"/>
        <w:gridCol w:w="2101"/>
      </w:tblGrid>
      <w:tr w:rsidR="00F21E42" w:rsidRPr="00AB6D3D" w14:paraId="67EE1FDD" w14:textId="77777777" w:rsidTr="003E2C5C">
        <w:trPr>
          <w:cnfStyle w:val="100000000000" w:firstRow="1" w:lastRow="0" w:firstColumn="0" w:lastColumn="0" w:oddVBand="0" w:evenVBand="0" w:oddHBand="0" w:evenHBand="0" w:firstRowFirstColumn="0" w:firstRowLastColumn="0" w:lastRowFirstColumn="0" w:lastRowLastColumn="0"/>
          <w:trHeight w:val="350"/>
        </w:trPr>
        <w:tc>
          <w:tcPr>
            <w:tcW w:w="10194" w:type="dxa"/>
            <w:gridSpan w:val="5"/>
          </w:tcPr>
          <w:p w14:paraId="05B4109E" w14:textId="77777777" w:rsidR="00F21E42" w:rsidRPr="00AB6D3D" w:rsidRDefault="00F21E42" w:rsidP="003E2C5C">
            <w:pPr>
              <w:pStyle w:val="TableHeading"/>
            </w:pPr>
            <w:r w:rsidRPr="00AB6D3D">
              <w:t>Average annual regulatory costs</w:t>
            </w:r>
          </w:p>
        </w:tc>
      </w:tr>
      <w:tr w:rsidR="00F21E42" w:rsidRPr="00AB6D3D" w14:paraId="1AC56B23" w14:textId="77777777" w:rsidTr="00EC42A1">
        <w:trPr>
          <w:trHeight w:val="350"/>
        </w:trPr>
        <w:tc>
          <w:tcPr>
            <w:tcW w:w="2728" w:type="dxa"/>
          </w:tcPr>
          <w:p w14:paraId="35495068" w14:textId="77777777" w:rsidR="00F21E42" w:rsidRPr="00AB6D3D" w:rsidRDefault="00F21E42" w:rsidP="003E2C5C">
            <w:pPr>
              <w:pStyle w:val="TableBody"/>
              <w:rPr>
                <w:color w:val="262626" w:themeColor="text1" w:themeTint="D9"/>
              </w:rPr>
            </w:pPr>
            <w:r w:rsidRPr="00AB6D3D">
              <w:t>Change in costs ($ million)</w:t>
            </w:r>
          </w:p>
        </w:tc>
        <w:tc>
          <w:tcPr>
            <w:tcW w:w="1354" w:type="dxa"/>
          </w:tcPr>
          <w:p w14:paraId="589E6791" w14:textId="77777777" w:rsidR="00F21E42" w:rsidRPr="00AB6D3D" w:rsidRDefault="00F21E42" w:rsidP="003E2C5C">
            <w:pPr>
              <w:pStyle w:val="TableBody"/>
              <w:rPr>
                <w:color w:val="262626" w:themeColor="text1" w:themeTint="D9"/>
              </w:rPr>
            </w:pPr>
            <w:r w:rsidRPr="00AB6D3D">
              <w:t>Individuals</w:t>
            </w:r>
          </w:p>
        </w:tc>
        <w:tc>
          <w:tcPr>
            <w:tcW w:w="1482" w:type="dxa"/>
          </w:tcPr>
          <w:p w14:paraId="4FF811F2" w14:textId="77777777" w:rsidR="00F21E42" w:rsidRPr="00AB6D3D" w:rsidRDefault="00F21E42" w:rsidP="003E2C5C">
            <w:pPr>
              <w:pStyle w:val="TableBullet"/>
              <w:numPr>
                <w:ilvl w:val="0"/>
                <w:numId w:val="0"/>
              </w:numPr>
              <w:ind w:left="284"/>
            </w:pPr>
            <w:r w:rsidRPr="00AB6D3D">
              <w:t xml:space="preserve">Business </w:t>
            </w:r>
          </w:p>
        </w:tc>
        <w:tc>
          <w:tcPr>
            <w:tcW w:w="2529" w:type="dxa"/>
          </w:tcPr>
          <w:p w14:paraId="7AD55CCF" w14:textId="77777777" w:rsidR="00F21E42" w:rsidRPr="00AB6D3D" w:rsidRDefault="00F21E42" w:rsidP="003E2C5C">
            <w:pPr>
              <w:pStyle w:val="TableBody"/>
            </w:pPr>
            <w:r w:rsidRPr="00AB6D3D">
              <w:t>Community organisations</w:t>
            </w:r>
          </w:p>
        </w:tc>
        <w:tc>
          <w:tcPr>
            <w:tcW w:w="2101" w:type="dxa"/>
          </w:tcPr>
          <w:p w14:paraId="6656609E" w14:textId="77777777" w:rsidR="00F21E42" w:rsidRPr="00AB6D3D" w:rsidRDefault="00F21E42" w:rsidP="003E2C5C">
            <w:pPr>
              <w:pStyle w:val="TableNumbering"/>
              <w:numPr>
                <w:ilvl w:val="0"/>
                <w:numId w:val="0"/>
              </w:numPr>
            </w:pPr>
            <w:r w:rsidRPr="00AB6D3D">
              <w:t>Total change in cost</w:t>
            </w:r>
          </w:p>
        </w:tc>
      </w:tr>
      <w:tr w:rsidR="00F21E42" w:rsidRPr="00BC1972" w14:paraId="6BE3B562" w14:textId="77777777" w:rsidTr="00EC42A1">
        <w:trPr>
          <w:cnfStyle w:val="010000000000" w:firstRow="0" w:lastRow="1" w:firstColumn="0" w:lastColumn="0" w:oddVBand="0" w:evenVBand="0" w:oddHBand="0" w:evenHBand="0" w:firstRowFirstColumn="0" w:firstRowLastColumn="0" w:lastRowFirstColumn="0" w:lastRowLastColumn="0"/>
          <w:trHeight w:val="350"/>
        </w:trPr>
        <w:tc>
          <w:tcPr>
            <w:tcW w:w="2728" w:type="dxa"/>
          </w:tcPr>
          <w:p w14:paraId="22ABDA1C" w14:textId="77777777" w:rsidR="00F21E42" w:rsidRPr="00AB6D3D" w:rsidRDefault="00F21E42" w:rsidP="003E2C5C">
            <w:pPr>
              <w:pStyle w:val="TableBody"/>
              <w:rPr>
                <w:color w:val="262626" w:themeColor="text1" w:themeTint="D9"/>
              </w:rPr>
            </w:pPr>
            <w:r w:rsidRPr="00AB6D3D">
              <w:t>Total, by sector</w:t>
            </w:r>
          </w:p>
        </w:tc>
        <w:tc>
          <w:tcPr>
            <w:tcW w:w="1354" w:type="dxa"/>
          </w:tcPr>
          <w:p w14:paraId="35DB2715" w14:textId="77777777" w:rsidR="00F21E42" w:rsidRPr="00AB6D3D" w:rsidRDefault="00F21E42" w:rsidP="003E2C5C">
            <w:pPr>
              <w:pStyle w:val="TableBody"/>
              <w:rPr>
                <w:color w:val="262626" w:themeColor="text1" w:themeTint="D9"/>
              </w:rPr>
            </w:pPr>
            <w:r w:rsidRPr="00AB6D3D">
              <w:rPr>
                <w:color w:val="262626" w:themeColor="text1" w:themeTint="D9"/>
              </w:rPr>
              <w:t>$0</w:t>
            </w:r>
          </w:p>
        </w:tc>
        <w:tc>
          <w:tcPr>
            <w:tcW w:w="1482" w:type="dxa"/>
          </w:tcPr>
          <w:p w14:paraId="33773256" w14:textId="2E86BE68" w:rsidR="00F21E42" w:rsidRPr="00AB6D3D" w:rsidRDefault="00F21E42" w:rsidP="003E2C5C">
            <w:pPr>
              <w:pStyle w:val="TableBullet"/>
              <w:numPr>
                <w:ilvl w:val="0"/>
                <w:numId w:val="0"/>
              </w:numPr>
              <w:ind w:left="284"/>
            </w:pPr>
            <w:r w:rsidRPr="00AB6D3D">
              <w:t>-$4</w:t>
            </w:r>
            <w:r w:rsidR="00AB6D3D">
              <w:t>50</w:t>
            </w:r>
          </w:p>
        </w:tc>
        <w:tc>
          <w:tcPr>
            <w:tcW w:w="2529" w:type="dxa"/>
          </w:tcPr>
          <w:p w14:paraId="7ED2E1AF" w14:textId="77777777" w:rsidR="00F21E42" w:rsidRPr="00AB6D3D" w:rsidRDefault="00F21E42" w:rsidP="003E2C5C">
            <w:pPr>
              <w:pStyle w:val="TableNumbering"/>
              <w:numPr>
                <w:ilvl w:val="0"/>
                <w:numId w:val="0"/>
              </w:numPr>
              <w:ind w:left="284" w:hanging="284"/>
            </w:pPr>
            <w:r w:rsidRPr="00AB6D3D">
              <w:t>$0</w:t>
            </w:r>
          </w:p>
        </w:tc>
        <w:tc>
          <w:tcPr>
            <w:tcW w:w="2101" w:type="dxa"/>
          </w:tcPr>
          <w:p w14:paraId="7B28EB9C" w14:textId="593444DD" w:rsidR="00F21E42" w:rsidRPr="00BC1972" w:rsidRDefault="00F21E42" w:rsidP="003E2C5C">
            <w:pPr>
              <w:pStyle w:val="TableNumbering"/>
              <w:numPr>
                <w:ilvl w:val="0"/>
                <w:numId w:val="0"/>
              </w:numPr>
              <w:ind w:left="284" w:hanging="284"/>
            </w:pPr>
            <w:r w:rsidRPr="00AB6D3D">
              <w:t>-$4</w:t>
            </w:r>
            <w:r w:rsidR="00AB6D3D">
              <w:t>50</w:t>
            </w:r>
          </w:p>
        </w:tc>
      </w:tr>
    </w:tbl>
    <w:p w14:paraId="7453333F" w14:textId="7A2AA605" w:rsidR="007C5FA7" w:rsidRDefault="00E61C51" w:rsidP="00E61C51">
      <w:pPr>
        <w:pStyle w:val="Heading2"/>
      </w:pPr>
      <w:r>
        <w:t>5</w:t>
      </w:r>
      <w:r w:rsidR="007C5FA7">
        <w:t>. Who did you consult and how did you incorporate their feedback?</w:t>
      </w:r>
    </w:p>
    <w:p w14:paraId="4713506A" w14:textId="0A2011B6" w:rsidR="00AB6D3D" w:rsidRPr="00AB6D3D" w:rsidRDefault="00AB6D3D" w:rsidP="00AB6D3D">
      <w:pPr>
        <w:rPr>
          <w:iCs/>
          <w:color w:val="000000" w:themeColor="text1"/>
          <w:sz w:val="22"/>
          <w:szCs w:val="22"/>
        </w:rPr>
      </w:pPr>
      <w:r w:rsidRPr="00AB6D3D">
        <w:rPr>
          <w:iCs/>
          <w:color w:val="000000" w:themeColor="text1"/>
          <w:sz w:val="22"/>
          <w:szCs w:val="22"/>
        </w:rPr>
        <w:t>Prior to the Coronavirus crisis, the Government committed to improving the technological neutrality of regulation. In July 2019, the Prime Minister tasked the Assistant Minister to the Prime Minister and Cabinet with establishing the Deregulation Taskforce and invigorating the Government’s New Deregulation Agenda. On 15 June 2020</w:t>
      </w:r>
      <w:r w:rsidR="0000216A">
        <w:rPr>
          <w:iCs/>
          <w:color w:val="000000" w:themeColor="text1"/>
          <w:sz w:val="22"/>
          <w:szCs w:val="22"/>
        </w:rPr>
        <w:t>,</w:t>
      </w:r>
      <w:r w:rsidRPr="00AB6D3D">
        <w:rPr>
          <w:iCs/>
          <w:color w:val="000000" w:themeColor="text1"/>
          <w:sz w:val="22"/>
          <w:szCs w:val="22"/>
        </w:rPr>
        <w:t xml:space="preserve"> the Government announced the next priority areas for the Deregulation Taskforce which included modernising business communications. This served as an impetus for stakeholders to provide feedback on priority reforms to make legislation technology neutral – including making permanent changes to regulatory requirements in respect of meeting-related materials and document execution.</w:t>
      </w:r>
    </w:p>
    <w:p w14:paraId="4B00D4AA" w14:textId="6A336C25" w:rsidR="00AB6D3D" w:rsidRPr="00AB6D3D" w:rsidRDefault="00AB6D3D" w:rsidP="00AB6D3D">
      <w:pPr>
        <w:rPr>
          <w:iCs/>
          <w:color w:val="000000" w:themeColor="text1"/>
          <w:sz w:val="22"/>
          <w:szCs w:val="22"/>
        </w:rPr>
      </w:pPr>
      <w:r w:rsidRPr="00AB6D3D">
        <w:rPr>
          <w:iCs/>
          <w:color w:val="000000" w:themeColor="text1"/>
          <w:sz w:val="22"/>
          <w:szCs w:val="22"/>
        </w:rPr>
        <w:t xml:space="preserve">As a result of the Treasurer using </w:t>
      </w:r>
      <w:r w:rsidR="00F21A0F">
        <w:rPr>
          <w:iCs/>
          <w:color w:val="000000" w:themeColor="text1"/>
          <w:sz w:val="22"/>
          <w:szCs w:val="22"/>
        </w:rPr>
        <w:t>the</w:t>
      </w:r>
      <w:r w:rsidRPr="00AB6D3D">
        <w:rPr>
          <w:iCs/>
          <w:color w:val="000000" w:themeColor="text1"/>
          <w:sz w:val="22"/>
          <w:szCs w:val="22"/>
        </w:rPr>
        <w:t xml:space="preserve"> temporary power to introduce temporary reforms during the Coronavirus </w:t>
      </w:r>
      <w:r w:rsidR="0000216A">
        <w:rPr>
          <w:iCs/>
          <w:color w:val="000000" w:themeColor="text1"/>
          <w:sz w:val="22"/>
          <w:szCs w:val="22"/>
        </w:rPr>
        <w:t>crisis</w:t>
      </w:r>
      <w:r w:rsidR="00F21A0F">
        <w:rPr>
          <w:iCs/>
          <w:color w:val="000000" w:themeColor="text1"/>
          <w:sz w:val="22"/>
          <w:szCs w:val="22"/>
        </w:rPr>
        <w:t>,</w:t>
      </w:r>
      <w:r w:rsidR="00F21A0F" w:rsidRPr="00F21A0F">
        <w:rPr>
          <w:iCs/>
          <w:color w:val="000000" w:themeColor="text1"/>
          <w:sz w:val="22"/>
          <w:szCs w:val="22"/>
        </w:rPr>
        <w:t xml:space="preserve"> </w:t>
      </w:r>
      <w:r w:rsidR="00F21A0F">
        <w:rPr>
          <w:iCs/>
          <w:color w:val="000000" w:themeColor="text1"/>
          <w:sz w:val="22"/>
          <w:szCs w:val="22"/>
        </w:rPr>
        <w:t>on 5 May 2020</w:t>
      </w:r>
      <w:r w:rsidRPr="00AB6D3D">
        <w:rPr>
          <w:iCs/>
          <w:color w:val="000000" w:themeColor="text1"/>
          <w:sz w:val="22"/>
          <w:szCs w:val="22"/>
        </w:rPr>
        <w:t xml:space="preserve">, stakeholders have had an unprecedented opportunity to test the operation of legislative amendments. Companies and </w:t>
      </w:r>
      <w:r w:rsidR="00914965">
        <w:rPr>
          <w:iCs/>
          <w:color w:val="000000" w:themeColor="text1"/>
          <w:sz w:val="22"/>
          <w:szCs w:val="22"/>
        </w:rPr>
        <w:t>members</w:t>
      </w:r>
      <w:r w:rsidR="00914965" w:rsidRPr="00AB6D3D">
        <w:rPr>
          <w:iCs/>
          <w:color w:val="000000" w:themeColor="text1"/>
          <w:sz w:val="22"/>
          <w:szCs w:val="22"/>
        </w:rPr>
        <w:t xml:space="preserve"> </w:t>
      </w:r>
      <w:r w:rsidRPr="00AB6D3D">
        <w:rPr>
          <w:iCs/>
          <w:color w:val="000000" w:themeColor="text1"/>
          <w:sz w:val="22"/>
          <w:szCs w:val="22"/>
        </w:rPr>
        <w:t xml:space="preserve">alike have been taking advantage of these reforms, sending </w:t>
      </w:r>
      <w:r w:rsidR="008A6CDC">
        <w:rPr>
          <w:iCs/>
          <w:color w:val="000000" w:themeColor="text1"/>
          <w:sz w:val="22"/>
          <w:szCs w:val="22"/>
        </w:rPr>
        <w:t xml:space="preserve">and receiving </w:t>
      </w:r>
      <w:r w:rsidRPr="00AB6D3D">
        <w:rPr>
          <w:iCs/>
          <w:color w:val="000000" w:themeColor="text1"/>
          <w:sz w:val="22"/>
          <w:szCs w:val="22"/>
        </w:rPr>
        <w:t>meeting materials and executing documents electronically.</w:t>
      </w:r>
    </w:p>
    <w:p w14:paraId="79EB55A5" w14:textId="62753E32" w:rsidR="00AB6D3D" w:rsidRDefault="006F4E20" w:rsidP="00AB6D3D">
      <w:pPr>
        <w:rPr>
          <w:iCs/>
          <w:color w:val="000000" w:themeColor="text1"/>
          <w:sz w:val="22"/>
          <w:szCs w:val="22"/>
        </w:rPr>
      </w:pPr>
      <w:r>
        <w:rPr>
          <w:iCs/>
          <w:color w:val="000000" w:themeColor="text1"/>
          <w:sz w:val="22"/>
          <w:szCs w:val="22"/>
        </w:rPr>
        <w:t>As a result of companies and members taking advantage of the temporary reforms</w:t>
      </w:r>
      <w:r w:rsidR="00D137E9">
        <w:rPr>
          <w:iCs/>
          <w:color w:val="000000" w:themeColor="text1"/>
          <w:sz w:val="22"/>
          <w:szCs w:val="22"/>
        </w:rPr>
        <w:t>, the</w:t>
      </w:r>
      <w:r w:rsidR="00AB6D3D" w:rsidRPr="00AB6D3D">
        <w:rPr>
          <w:iCs/>
          <w:color w:val="000000" w:themeColor="text1"/>
          <w:sz w:val="22"/>
          <w:szCs w:val="22"/>
        </w:rPr>
        <w:t xml:space="preserve"> Government has </w:t>
      </w:r>
      <w:r w:rsidR="00E4096B">
        <w:rPr>
          <w:iCs/>
          <w:color w:val="000000" w:themeColor="text1"/>
          <w:sz w:val="22"/>
          <w:szCs w:val="22"/>
        </w:rPr>
        <w:t xml:space="preserve">used this opportunity to receive feedback </w:t>
      </w:r>
      <w:r w:rsidR="00AB6D3D" w:rsidRPr="00AB6D3D">
        <w:rPr>
          <w:iCs/>
          <w:color w:val="000000" w:themeColor="text1"/>
          <w:sz w:val="22"/>
          <w:szCs w:val="22"/>
        </w:rPr>
        <w:t xml:space="preserve">through a range of avenues, including </w:t>
      </w:r>
      <w:r w:rsidR="00752CAE">
        <w:rPr>
          <w:iCs/>
          <w:color w:val="000000" w:themeColor="text1"/>
          <w:sz w:val="22"/>
          <w:szCs w:val="22"/>
        </w:rPr>
        <w:t xml:space="preserve">three </w:t>
      </w:r>
      <w:r w:rsidR="00AB6D3D" w:rsidRPr="00AB6D3D">
        <w:rPr>
          <w:iCs/>
          <w:color w:val="000000" w:themeColor="text1"/>
          <w:sz w:val="22"/>
          <w:szCs w:val="22"/>
        </w:rPr>
        <w:t>public consultation</w:t>
      </w:r>
      <w:r w:rsidR="00752CAE">
        <w:rPr>
          <w:iCs/>
          <w:color w:val="000000" w:themeColor="text1"/>
          <w:sz w:val="22"/>
          <w:szCs w:val="22"/>
        </w:rPr>
        <w:t>s</w:t>
      </w:r>
      <w:r w:rsidR="00AB6D3D" w:rsidRPr="00AB6D3D">
        <w:rPr>
          <w:iCs/>
          <w:color w:val="000000" w:themeColor="text1"/>
          <w:sz w:val="22"/>
          <w:szCs w:val="22"/>
        </w:rPr>
        <w:t xml:space="preserve"> on the exposure draft legislation.</w:t>
      </w:r>
    </w:p>
    <w:p w14:paraId="39B6826F" w14:textId="43B4EE14" w:rsidR="00177F16" w:rsidRPr="001A10D0" w:rsidRDefault="00177F16" w:rsidP="001A10D0">
      <w:pPr>
        <w:rPr>
          <w:rFonts w:asciiTheme="majorHAnsi" w:hAnsiTheme="majorHAnsi"/>
          <w:color w:val="014463" w:themeColor="text2"/>
          <w:sz w:val="24"/>
          <w:szCs w:val="24"/>
        </w:rPr>
      </w:pPr>
      <w:r w:rsidRPr="001A10D0">
        <w:rPr>
          <w:rFonts w:asciiTheme="majorHAnsi" w:hAnsiTheme="majorHAnsi"/>
          <w:color w:val="014463" w:themeColor="text2"/>
          <w:sz w:val="24"/>
          <w:szCs w:val="24"/>
        </w:rPr>
        <w:t>Treasury c</w:t>
      </w:r>
      <w:bookmarkStart w:id="5" w:name="tempbookmark"/>
      <w:bookmarkEnd w:id="5"/>
      <w:r w:rsidRPr="001A10D0">
        <w:rPr>
          <w:rFonts w:asciiTheme="majorHAnsi" w:hAnsiTheme="majorHAnsi"/>
          <w:color w:val="014463" w:themeColor="text2"/>
          <w:sz w:val="24"/>
          <w:szCs w:val="24"/>
        </w:rPr>
        <w:t>onsultation on the substantive effect of the temporary reforms</w:t>
      </w:r>
    </w:p>
    <w:p w14:paraId="54419D9E" w14:textId="3A484E04" w:rsidR="00AB6D3D" w:rsidRPr="00177F16" w:rsidRDefault="00AB6D3D" w:rsidP="001A10D0">
      <w:pPr>
        <w:rPr>
          <w:iCs/>
          <w:color w:val="000000" w:themeColor="text1"/>
          <w:sz w:val="22"/>
          <w:szCs w:val="22"/>
        </w:rPr>
      </w:pPr>
      <w:r w:rsidRPr="00177F16">
        <w:rPr>
          <w:iCs/>
          <w:color w:val="000000" w:themeColor="text1"/>
          <w:sz w:val="22"/>
          <w:szCs w:val="22"/>
        </w:rPr>
        <w:t>The first avenue involve</w:t>
      </w:r>
      <w:r w:rsidR="00D43D74">
        <w:rPr>
          <w:iCs/>
          <w:color w:val="000000" w:themeColor="text1"/>
          <w:sz w:val="22"/>
          <w:szCs w:val="22"/>
        </w:rPr>
        <w:t>d</w:t>
      </w:r>
      <w:r w:rsidRPr="00177F16">
        <w:rPr>
          <w:iCs/>
          <w:color w:val="000000" w:themeColor="text1"/>
          <w:sz w:val="22"/>
          <w:szCs w:val="22"/>
        </w:rPr>
        <w:t xml:space="preserve"> Treasury obtaining data and information on the substantive effect of the temporary reforms from stakeholders and analysing confidential and public communications from industry and investor stakeholders. As a part of this process, Treasury analysed 17 submissions and reports from different stakeholders, and spoke with a range of stakeholders</w:t>
      </w:r>
      <w:r w:rsidR="00942549">
        <w:rPr>
          <w:iCs/>
          <w:color w:val="000000" w:themeColor="text1"/>
          <w:sz w:val="22"/>
          <w:szCs w:val="22"/>
        </w:rPr>
        <w:t xml:space="preserve"> as part of a targeted consultation </w:t>
      </w:r>
      <w:r w:rsidR="006B70FD">
        <w:rPr>
          <w:color w:val="000000" w:themeColor="text1"/>
          <w:sz w:val="22"/>
          <w:szCs w:val="22"/>
        </w:rPr>
        <w:t xml:space="preserve">to understand the virtual AGM experience, how the law works practically and identify areas of the law that could be improved.   </w:t>
      </w:r>
    </w:p>
    <w:p w14:paraId="72D760F3" w14:textId="2BE395FF" w:rsidR="00177F16" w:rsidRPr="001A10D0" w:rsidRDefault="00177F16" w:rsidP="001A10D0">
      <w:pPr>
        <w:rPr>
          <w:rFonts w:asciiTheme="majorHAnsi" w:hAnsiTheme="majorHAnsi"/>
          <w:color w:val="014463" w:themeColor="text2"/>
          <w:sz w:val="24"/>
          <w:szCs w:val="24"/>
        </w:rPr>
      </w:pPr>
      <w:r w:rsidRPr="001A10D0">
        <w:rPr>
          <w:rFonts w:asciiTheme="majorHAnsi" w:hAnsiTheme="majorHAnsi"/>
          <w:color w:val="014463" w:themeColor="text2"/>
          <w:sz w:val="24"/>
          <w:szCs w:val="24"/>
        </w:rPr>
        <w:t>Drawing on submissions from the Senate Select Committee on Financial Technology and Regulatory Technology</w:t>
      </w:r>
    </w:p>
    <w:p w14:paraId="27F61452" w14:textId="44BE5B81" w:rsidR="009267D5" w:rsidRDefault="00AB6D3D" w:rsidP="001A10D0">
      <w:pPr>
        <w:rPr>
          <w:iCs/>
          <w:color w:val="000000" w:themeColor="text1"/>
          <w:sz w:val="22"/>
          <w:szCs w:val="22"/>
        </w:rPr>
      </w:pPr>
      <w:r w:rsidRPr="00177F16">
        <w:rPr>
          <w:iCs/>
          <w:color w:val="000000" w:themeColor="text1"/>
          <w:sz w:val="22"/>
          <w:szCs w:val="22"/>
        </w:rPr>
        <w:t>The second avenue involved Treasury drawing on submissions and testimon</w:t>
      </w:r>
      <w:r w:rsidR="000C5C4A">
        <w:rPr>
          <w:color w:val="000000" w:themeColor="text1"/>
          <w:sz w:val="22"/>
          <w:szCs w:val="22"/>
        </w:rPr>
        <w:t>ies</w:t>
      </w:r>
      <w:r w:rsidRPr="00177F16">
        <w:rPr>
          <w:iCs/>
          <w:color w:val="000000" w:themeColor="text1"/>
          <w:sz w:val="22"/>
          <w:szCs w:val="22"/>
        </w:rPr>
        <w:t xml:space="preserve"> from industry and investor stakeholders from the Senate Select Committee on Financial Technology and Regulatory Technology.</w:t>
      </w:r>
      <w:r w:rsidRPr="00177F16">
        <w:rPr>
          <w:iCs/>
          <w:color w:val="000000" w:themeColor="text1"/>
          <w:sz w:val="22"/>
          <w:szCs w:val="22"/>
          <w:vertAlign w:val="superscript"/>
        </w:rPr>
        <w:footnoteReference w:id="7"/>
      </w:r>
      <w:r w:rsidRPr="00177F16">
        <w:rPr>
          <w:iCs/>
          <w:color w:val="000000" w:themeColor="text1"/>
          <w:sz w:val="22"/>
          <w:szCs w:val="22"/>
          <w:vertAlign w:val="superscript"/>
        </w:rPr>
        <w:t xml:space="preserve"> </w:t>
      </w:r>
      <w:r w:rsidR="00A078E0" w:rsidRPr="00147C76">
        <w:rPr>
          <w:iCs/>
          <w:color w:val="000000" w:themeColor="text1"/>
          <w:sz w:val="22"/>
          <w:szCs w:val="22"/>
        </w:rPr>
        <w:t>The</w:t>
      </w:r>
      <w:r w:rsidR="00A078E0">
        <w:rPr>
          <w:iCs/>
          <w:color w:val="000000" w:themeColor="text1"/>
          <w:sz w:val="22"/>
          <w:szCs w:val="22"/>
          <w:vertAlign w:val="superscript"/>
        </w:rPr>
        <w:t xml:space="preserve"> </w:t>
      </w:r>
      <w:r w:rsidR="00A078E0">
        <w:rPr>
          <w:iCs/>
          <w:color w:val="000000" w:themeColor="text1"/>
          <w:sz w:val="22"/>
          <w:szCs w:val="22"/>
        </w:rPr>
        <w:t xml:space="preserve">Committee sought feedback on removing regulatory barriers arising from a </w:t>
      </w:r>
      <w:r w:rsidR="009267D5">
        <w:rPr>
          <w:iCs/>
          <w:color w:val="000000" w:themeColor="text1"/>
          <w:sz w:val="22"/>
          <w:szCs w:val="22"/>
        </w:rPr>
        <w:t>lack</w:t>
      </w:r>
      <w:r w:rsidR="00A078E0">
        <w:rPr>
          <w:iCs/>
          <w:color w:val="000000" w:themeColor="text1"/>
          <w:sz w:val="22"/>
          <w:szCs w:val="22"/>
        </w:rPr>
        <w:t xml:space="preserve"> of tech</w:t>
      </w:r>
      <w:r w:rsidR="000C5C4A">
        <w:rPr>
          <w:iCs/>
          <w:color w:val="000000" w:themeColor="text1"/>
          <w:sz w:val="22"/>
          <w:szCs w:val="22"/>
        </w:rPr>
        <w:t>nology</w:t>
      </w:r>
      <w:r w:rsidR="00A078E0">
        <w:rPr>
          <w:iCs/>
          <w:color w:val="000000" w:themeColor="text1"/>
          <w:sz w:val="22"/>
          <w:szCs w:val="22"/>
        </w:rPr>
        <w:t xml:space="preserve"> neutrality. Some submitters to the inquiry used </w:t>
      </w:r>
      <w:r w:rsidR="009267D5">
        <w:rPr>
          <w:iCs/>
          <w:color w:val="000000" w:themeColor="text1"/>
          <w:sz w:val="22"/>
          <w:szCs w:val="22"/>
        </w:rPr>
        <w:t xml:space="preserve">the opportunity to comment on the effectiveness of the temporary measures and the possibility of them being made permanent. </w:t>
      </w:r>
      <w:r w:rsidR="00147C76">
        <w:rPr>
          <w:iCs/>
          <w:color w:val="000000" w:themeColor="text1"/>
          <w:sz w:val="22"/>
          <w:szCs w:val="22"/>
        </w:rPr>
        <w:t xml:space="preserve">Comments relevant to the permanent reforms made </w:t>
      </w:r>
      <w:r w:rsidR="00D43D74">
        <w:rPr>
          <w:iCs/>
          <w:color w:val="000000" w:themeColor="text1"/>
          <w:sz w:val="22"/>
          <w:szCs w:val="22"/>
        </w:rPr>
        <w:t>in</w:t>
      </w:r>
      <w:r w:rsidR="00147C76">
        <w:rPr>
          <w:iCs/>
          <w:color w:val="000000" w:themeColor="text1"/>
          <w:sz w:val="22"/>
          <w:szCs w:val="22"/>
        </w:rPr>
        <w:t xml:space="preserve"> the submissions were considered by Treasury in developing the permanent reforms. </w:t>
      </w:r>
    </w:p>
    <w:p w14:paraId="744887D8" w14:textId="0BB27652" w:rsidR="00AB6D3D" w:rsidRDefault="00AB6D3D" w:rsidP="001A10D0">
      <w:pPr>
        <w:rPr>
          <w:iCs/>
          <w:color w:val="000000" w:themeColor="text1"/>
          <w:sz w:val="22"/>
          <w:szCs w:val="22"/>
        </w:rPr>
      </w:pPr>
      <w:r w:rsidRPr="00177F16">
        <w:rPr>
          <w:iCs/>
          <w:color w:val="000000" w:themeColor="text1"/>
          <w:sz w:val="22"/>
          <w:szCs w:val="22"/>
        </w:rPr>
        <w:t>There were six relevant submissions</w:t>
      </w:r>
      <w:r w:rsidR="002314A5">
        <w:rPr>
          <w:rStyle w:val="FootnoteReference"/>
          <w:iCs/>
          <w:color w:val="000000" w:themeColor="text1"/>
          <w:sz w:val="22"/>
          <w:szCs w:val="22"/>
        </w:rPr>
        <w:footnoteReference w:id="8"/>
      </w:r>
      <w:r w:rsidRPr="00177F16">
        <w:rPr>
          <w:iCs/>
          <w:color w:val="000000" w:themeColor="text1"/>
          <w:sz w:val="22"/>
          <w:szCs w:val="22"/>
        </w:rPr>
        <w:t>, and eight witnesses at hearings</w:t>
      </w:r>
      <w:r w:rsidR="006A26AA">
        <w:rPr>
          <w:rStyle w:val="FootnoteReference"/>
          <w:iCs/>
          <w:color w:val="000000" w:themeColor="text1"/>
          <w:sz w:val="22"/>
          <w:szCs w:val="22"/>
        </w:rPr>
        <w:footnoteReference w:id="9"/>
      </w:r>
      <w:r w:rsidRPr="00177F16">
        <w:rPr>
          <w:iCs/>
          <w:color w:val="000000" w:themeColor="text1"/>
          <w:sz w:val="22"/>
          <w:szCs w:val="22"/>
        </w:rPr>
        <w:t>, which provided relevant testimon</w:t>
      </w:r>
      <w:r w:rsidR="000C5C4A">
        <w:rPr>
          <w:color w:val="000000" w:themeColor="text1"/>
          <w:sz w:val="22"/>
          <w:szCs w:val="22"/>
        </w:rPr>
        <w:t>ies</w:t>
      </w:r>
      <w:r w:rsidR="009267D5">
        <w:rPr>
          <w:iCs/>
          <w:color w:val="000000" w:themeColor="text1"/>
          <w:sz w:val="22"/>
          <w:szCs w:val="22"/>
        </w:rPr>
        <w:t xml:space="preserve"> in respect of these reforms</w:t>
      </w:r>
      <w:r w:rsidRPr="00177F16">
        <w:rPr>
          <w:iCs/>
          <w:color w:val="000000" w:themeColor="text1"/>
          <w:sz w:val="22"/>
          <w:szCs w:val="22"/>
        </w:rPr>
        <w:t>. The Committee released</w:t>
      </w:r>
      <w:r w:rsidRPr="00177F16" w:rsidDel="00FF407D">
        <w:rPr>
          <w:iCs/>
          <w:color w:val="000000" w:themeColor="text1"/>
          <w:sz w:val="22"/>
          <w:szCs w:val="22"/>
        </w:rPr>
        <w:t xml:space="preserve"> </w:t>
      </w:r>
      <w:r w:rsidRPr="00177F16">
        <w:rPr>
          <w:iCs/>
          <w:color w:val="000000" w:themeColor="text1"/>
          <w:sz w:val="22"/>
          <w:szCs w:val="22"/>
        </w:rPr>
        <w:t xml:space="preserve">its first interim report in September 2020 which included three relevant recommendations: (1) that companies communicate with </w:t>
      </w:r>
      <w:r w:rsidR="00914965" w:rsidRPr="00177F16">
        <w:rPr>
          <w:iCs/>
          <w:color w:val="000000" w:themeColor="text1"/>
          <w:sz w:val="22"/>
          <w:szCs w:val="22"/>
        </w:rPr>
        <w:t xml:space="preserve">members </w:t>
      </w:r>
      <w:r w:rsidRPr="00177F16">
        <w:rPr>
          <w:iCs/>
          <w:color w:val="000000" w:themeColor="text1"/>
          <w:sz w:val="22"/>
          <w:szCs w:val="22"/>
        </w:rPr>
        <w:t xml:space="preserve">electronically by default with </w:t>
      </w:r>
      <w:r w:rsidR="00914965" w:rsidRPr="00177F16">
        <w:rPr>
          <w:iCs/>
          <w:color w:val="000000" w:themeColor="text1"/>
          <w:sz w:val="22"/>
          <w:szCs w:val="22"/>
        </w:rPr>
        <w:t xml:space="preserve">members </w:t>
      </w:r>
      <w:r w:rsidRPr="00177F16">
        <w:rPr>
          <w:iCs/>
          <w:color w:val="000000" w:themeColor="text1"/>
          <w:sz w:val="22"/>
          <w:szCs w:val="22"/>
        </w:rPr>
        <w:t>to receive paper-based communication on an opt-in basis; (2) electronic execution and (3) witnessing of documents be allowed.</w:t>
      </w:r>
    </w:p>
    <w:p w14:paraId="2DEAB070" w14:textId="77777777" w:rsidR="00772E98" w:rsidRDefault="00772E98" w:rsidP="001A10D0">
      <w:pPr>
        <w:rPr>
          <w:rFonts w:asciiTheme="majorHAnsi" w:hAnsiTheme="majorHAnsi"/>
          <w:color w:val="014463" w:themeColor="text2"/>
          <w:sz w:val="24"/>
          <w:szCs w:val="24"/>
        </w:rPr>
      </w:pPr>
    </w:p>
    <w:p w14:paraId="7CC8EF57" w14:textId="77777777" w:rsidR="00772E98" w:rsidRDefault="00772E98" w:rsidP="001A10D0">
      <w:pPr>
        <w:rPr>
          <w:rFonts w:asciiTheme="majorHAnsi" w:hAnsiTheme="majorHAnsi"/>
          <w:color w:val="014463" w:themeColor="text2"/>
          <w:sz w:val="24"/>
          <w:szCs w:val="24"/>
        </w:rPr>
      </w:pPr>
    </w:p>
    <w:p w14:paraId="303B26AC" w14:textId="1F7F96CD" w:rsidR="00177F16" w:rsidRPr="001A10D0" w:rsidRDefault="00177F16" w:rsidP="001A10D0">
      <w:pPr>
        <w:rPr>
          <w:rFonts w:asciiTheme="majorHAnsi" w:hAnsiTheme="majorHAnsi"/>
          <w:color w:val="014463" w:themeColor="text2"/>
          <w:sz w:val="24"/>
          <w:szCs w:val="24"/>
        </w:rPr>
      </w:pPr>
      <w:r w:rsidRPr="001A10D0">
        <w:rPr>
          <w:rFonts w:asciiTheme="majorHAnsi" w:hAnsiTheme="majorHAnsi"/>
          <w:color w:val="014463" w:themeColor="text2"/>
          <w:sz w:val="24"/>
          <w:szCs w:val="24"/>
        </w:rPr>
        <w:t>Treasury consultation on exposure draft legislation</w:t>
      </w:r>
    </w:p>
    <w:p w14:paraId="1D905452" w14:textId="3C5C280A" w:rsidR="00AB6D3D" w:rsidRDefault="00AB6D3D" w:rsidP="001A10D0">
      <w:pPr>
        <w:rPr>
          <w:iCs/>
          <w:color w:val="000000" w:themeColor="text1"/>
          <w:sz w:val="22"/>
          <w:szCs w:val="22"/>
        </w:rPr>
      </w:pPr>
      <w:r w:rsidRPr="00177F16">
        <w:rPr>
          <w:iCs/>
          <w:color w:val="000000" w:themeColor="text1"/>
          <w:sz w:val="22"/>
          <w:szCs w:val="22"/>
        </w:rPr>
        <w:t xml:space="preserve">The third avenue was through public consultation on exposure draft legislation from 19 October to 6 November 2020. Treasury received over 65 submissions, as well as a large number of </w:t>
      </w:r>
      <w:r w:rsidR="00324C38" w:rsidRPr="00177F16">
        <w:rPr>
          <w:iCs/>
          <w:color w:val="000000" w:themeColor="text1"/>
          <w:sz w:val="22"/>
          <w:szCs w:val="22"/>
        </w:rPr>
        <w:t>correspondence</w:t>
      </w:r>
      <w:r w:rsidRPr="00177F16">
        <w:rPr>
          <w:iCs/>
          <w:color w:val="000000" w:themeColor="text1"/>
          <w:sz w:val="22"/>
          <w:szCs w:val="22"/>
        </w:rPr>
        <w:t xml:space="preserve"> from retail investors. Treasury met with a range of industry and investor representative bodies. Subsequent public consultation</w:t>
      </w:r>
      <w:r w:rsidR="00D5767E" w:rsidRPr="00177F16">
        <w:rPr>
          <w:iCs/>
          <w:color w:val="000000" w:themeColor="text1"/>
          <w:sz w:val="22"/>
          <w:szCs w:val="22"/>
        </w:rPr>
        <w:t>s</w:t>
      </w:r>
      <w:r w:rsidRPr="00177F16">
        <w:rPr>
          <w:iCs/>
          <w:color w:val="000000" w:themeColor="text1"/>
          <w:sz w:val="22"/>
          <w:szCs w:val="22"/>
        </w:rPr>
        <w:t xml:space="preserve"> on the exposure draft legislation </w:t>
      </w:r>
      <w:r w:rsidR="00D5767E" w:rsidRPr="00177F16">
        <w:rPr>
          <w:iCs/>
          <w:color w:val="000000" w:themeColor="text1"/>
          <w:sz w:val="22"/>
          <w:szCs w:val="22"/>
        </w:rPr>
        <w:t xml:space="preserve">were </w:t>
      </w:r>
      <w:r w:rsidRPr="00177F16">
        <w:rPr>
          <w:iCs/>
          <w:color w:val="000000" w:themeColor="text1"/>
          <w:sz w:val="22"/>
          <w:szCs w:val="22"/>
        </w:rPr>
        <w:t>held from 25 June to 16 July 2021, during which Treasury received 34 submissions</w:t>
      </w:r>
      <w:r w:rsidR="00D5767E" w:rsidRPr="00177F16">
        <w:rPr>
          <w:iCs/>
          <w:color w:val="000000" w:themeColor="text1"/>
          <w:sz w:val="22"/>
          <w:szCs w:val="22"/>
        </w:rPr>
        <w:t xml:space="preserve"> a</w:t>
      </w:r>
      <w:r w:rsidR="00786AEB" w:rsidRPr="00177F16">
        <w:rPr>
          <w:iCs/>
          <w:color w:val="000000" w:themeColor="text1"/>
          <w:sz w:val="22"/>
          <w:szCs w:val="22"/>
        </w:rPr>
        <w:t>nd from 30 August to 16 September</w:t>
      </w:r>
      <w:r w:rsidR="009E2FAB" w:rsidRPr="00177F16">
        <w:rPr>
          <w:iCs/>
          <w:color w:val="000000" w:themeColor="text1"/>
          <w:sz w:val="22"/>
          <w:szCs w:val="22"/>
        </w:rPr>
        <w:t xml:space="preserve"> 2021</w:t>
      </w:r>
      <w:r w:rsidR="00786AEB" w:rsidRPr="00177F16">
        <w:rPr>
          <w:iCs/>
          <w:color w:val="000000" w:themeColor="text1"/>
          <w:sz w:val="22"/>
          <w:szCs w:val="22"/>
        </w:rPr>
        <w:t xml:space="preserve">, during which Treasury received </w:t>
      </w:r>
      <w:r w:rsidR="00C76930" w:rsidRPr="00177F16">
        <w:rPr>
          <w:iCs/>
          <w:color w:val="000000" w:themeColor="text1"/>
          <w:sz w:val="22"/>
          <w:szCs w:val="22"/>
        </w:rPr>
        <w:t>2</w:t>
      </w:r>
      <w:r w:rsidR="00822FC1" w:rsidRPr="00177F16">
        <w:rPr>
          <w:iCs/>
          <w:color w:val="000000" w:themeColor="text1"/>
          <w:sz w:val="22"/>
          <w:szCs w:val="22"/>
        </w:rPr>
        <w:t>7</w:t>
      </w:r>
      <w:r w:rsidR="00C76930" w:rsidRPr="00177F16">
        <w:rPr>
          <w:iCs/>
          <w:color w:val="000000" w:themeColor="text1"/>
          <w:sz w:val="22"/>
          <w:szCs w:val="22"/>
        </w:rPr>
        <w:t xml:space="preserve"> </w:t>
      </w:r>
      <w:r w:rsidR="00786AEB" w:rsidRPr="00177F16">
        <w:rPr>
          <w:iCs/>
          <w:color w:val="000000" w:themeColor="text1"/>
          <w:sz w:val="22"/>
          <w:szCs w:val="22"/>
        </w:rPr>
        <w:t>submissions. Th</w:t>
      </w:r>
      <w:r w:rsidR="00E04736" w:rsidRPr="00177F16">
        <w:rPr>
          <w:iCs/>
          <w:color w:val="000000" w:themeColor="text1"/>
          <w:sz w:val="22"/>
          <w:szCs w:val="22"/>
        </w:rPr>
        <w:t>r</w:t>
      </w:r>
      <w:r w:rsidR="00786AEB" w:rsidRPr="00177F16">
        <w:rPr>
          <w:iCs/>
          <w:color w:val="000000" w:themeColor="text1"/>
          <w:sz w:val="22"/>
          <w:szCs w:val="22"/>
        </w:rPr>
        <w:t xml:space="preserve">ough each of these processes, Treasury </w:t>
      </w:r>
      <w:r w:rsidRPr="00177F16">
        <w:rPr>
          <w:iCs/>
          <w:color w:val="000000" w:themeColor="text1"/>
          <w:sz w:val="22"/>
          <w:szCs w:val="22"/>
        </w:rPr>
        <w:t xml:space="preserve">undertook targeted consultation with </w:t>
      </w:r>
      <w:r w:rsidR="001A5EE7" w:rsidRPr="00177F16">
        <w:rPr>
          <w:iCs/>
          <w:color w:val="000000" w:themeColor="text1"/>
          <w:sz w:val="22"/>
          <w:szCs w:val="22"/>
        </w:rPr>
        <w:t xml:space="preserve">a range of </w:t>
      </w:r>
      <w:r w:rsidRPr="00177F16">
        <w:rPr>
          <w:iCs/>
          <w:color w:val="000000" w:themeColor="text1"/>
          <w:sz w:val="22"/>
          <w:szCs w:val="22"/>
        </w:rPr>
        <w:t>stakeholders</w:t>
      </w:r>
      <w:r w:rsidR="000C44F6">
        <w:rPr>
          <w:color w:val="000000" w:themeColor="text1"/>
          <w:sz w:val="22"/>
          <w:szCs w:val="22"/>
        </w:rPr>
        <w:t xml:space="preserve"> on the draft legislation, </w:t>
      </w:r>
      <w:r w:rsidR="00D43D74">
        <w:rPr>
          <w:color w:val="000000" w:themeColor="text1"/>
          <w:sz w:val="22"/>
          <w:szCs w:val="22"/>
        </w:rPr>
        <w:t>and</w:t>
      </w:r>
      <w:r w:rsidR="000C44F6">
        <w:rPr>
          <w:color w:val="000000" w:themeColor="text1"/>
          <w:sz w:val="22"/>
          <w:szCs w:val="22"/>
        </w:rPr>
        <w:t xml:space="preserve"> discuss</w:t>
      </w:r>
      <w:r w:rsidR="00D43D74">
        <w:rPr>
          <w:color w:val="000000" w:themeColor="text1"/>
          <w:sz w:val="22"/>
          <w:szCs w:val="22"/>
        </w:rPr>
        <w:t>ed</w:t>
      </w:r>
      <w:r w:rsidR="000C44F6">
        <w:rPr>
          <w:color w:val="000000" w:themeColor="text1"/>
          <w:sz w:val="22"/>
          <w:szCs w:val="22"/>
        </w:rPr>
        <w:t xml:space="preserve"> other potential options for reform, including clarifying proposed savings and costs to companies.</w:t>
      </w:r>
    </w:p>
    <w:p w14:paraId="67FC24EA" w14:textId="475C2E8E" w:rsidR="00177F16" w:rsidRPr="001A10D0" w:rsidRDefault="00177F16" w:rsidP="001A10D0">
      <w:pPr>
        <w:rPr>
          <w:rFonts w:asciiTheme="majorHAnsi" w:hAnsiTheme="majorHAnsi"/>
          <w:color w:val="014463" w:themeColor="text2"/>
          <w:sz w:val="24"/>
          <w:szCs w:val="24"/>
        </w:rPr>
      </w:pPr>
      <w:r w:rsidRPr="001A10D0">
        <w:rPr>
          <w:rFonts w:asciiTheme="majorHAnsi" w:hAnsiTheme="majorHAnsi"/>
          <w:color w:val="014463" w:themeColor="text2"/>
          <w:sz w:val="24"/>
          <w:szCs w:val="24"/>
        </w:rPr>
        <w:t xml:space="preserve">Treasury consultation on improving technology neutrality </w:t>
      </w:r>
    </w:p>
    <w:p w14:paraId="44FF822A" w14:textId="3678E31F" w:rsidR="00AB6D3D" w:rsidRPr="00177F16" w:rsidRDefault="00AB6D3D" w:rsidP="001A10D0">
      <w:pPr>
        <w:rPr>
          <w:iCs/>
          <w:color w:val="000000" w:themeColor="text1"/>
          <w:sz w:val="22"/>
          <w:szCs w:val="22"/>
        </w:rPr>
      </w:pPr>
      <w:bookmarkStart w:id="6" w:name="_Hlk71711833"/>
      <w:r w:rsidRPr="00177F16">
        <w:rPr>
          <w:iCs/>
          <w:color w:val="000000" w:themeColor="text1"/>
          <w:sz w:val="22"/>
          <w:szCs w:val="22"/>
        </w:rPr>
        <w:t>The fourth avenue was through public consultation on the Improving the Technology Neutrality of Treasury Portfolio Laws as part of the Deregulation Taskforce’s modernising business communications agenda. As part of this consultation process, Treasury held targeted meetings to seek stakeholder views on areas of business communication requiring reforms and to raise awareness of the Government’s technology neutral reform agenda and public consultation process. On 18 December 2020, the Government released a public consultation paper, which was open for 10 weeks and closed on 28 February 2021. On 21 April 2021, the Government announced other reforms following this consultation, that will be progressed through a separate legislative progress.</w:t>
      </w:r>
    </w:p>
    <w:bookmarkEnd w:id="6"/>
    <w:p w14:paraId="19315DD3" w14:textId="70B4C2D7" w:rsidR="00AB6D3D" w:rsidRPr="00AB6D3D" w:rsidRDefault="00AB6D3D" w:rsidP="00AB6D3D">
      <w:pPr>
        <w:rPr>
          <w:iCs/>
          <w:color w:val="000000" w:themeColor="text1"/>
          <w:sz w:val="22"/>
          <w:szCs w:val="22"/>
        </w:rPr>
      </w:pPr>
      <w:r w:rsidRPr="00AB6D3D">
        <w:rPr>
          <w:iCs/>
          <w:color w:val="000000" w:themeColor="text1"/>
          <w:sz w:val="22"/>
          <w:szCs w:val="22"/>
        </w:rPr>
        <w:t xml:space="preserve">This experience simultaneously allowed the Government to obtain feedback on the reforms both by having an unprecedented opportunity to observe the actual operation of reforms, as well as through stakeholder feedback. This feedback, from industry and investor representative groups, has helped the Government determine the permanent reforms that should be made with respect to document execution and meeting-related materials. </w:t>
      </w:r>
    </w:p>
    <w:p w14:paraId="640AB3BC" w14:textId="5786E8DA" w:rsidR="00F21E42" w:rsidRPr="001E33A2" w:rsidRDefault="00702CD6" w:rsidP="00702CD6">
      <w:pPr>
        <w:pStyle w:val="Heading2"/>
      </w:pPr>
      <w:bookmarkStart w:id="7" w:name="_Toc72506217"/>
      <w:r>
        <w:t xml:space="preserve">5.1 </w:t>
      </w:r>
      <w:r w:rsidR="00F21E42" w:rsidRPr="001E33A2">
        <w:t>Summary of feedback</w:t>
      </w:r>
      <w:bookmarkEnd w:id="7"/>
    </w:p>
    <w:p w14:paraId="5829111B" w14:textId="236D258F" w:rsidR="00AB6D3D" w:rsidRPr="00AB6D3D" w:rsidRDefault="00AB6D3D" w:rsidP="00AB6D3D">
      <w:pPr>
        <w:rPr>
          <w:iCs/>
          <w:color w:val="000000" w:themeColor="text1"/>
          <w:sz w:val="22"/>
          <w:szCs w:val="22"/>
        </w:rPr>
      </w:pPr>
      <w:r w:rsidRPr="00AB6D3D">
        <w:rPr>
          <w:iCs/>
          <w:color w:val="000000" w:themeColor="text1"/>
          <w:sz w:val="22"/>
          <w:szCs w:val="22"/>
        </w:rPr>
        <w:t xml:space="preserve">There was overwhelming support from industry representatives, including listed companies, share registries, business associations and legal professionals to make the temporary reforms permanent. Relevant stakeholders included the Australian Institute of Company Directors (AICD), Australian Banking Association (ABA), </w:t>
      </w:r>
      <w:r w:rsidR="00063F8C">
        <w:rPr>
          <w:iCs/>
          <w:color w:val="000000" w:themeColor="text1"/>
          <w:sz w:val="22"/>
          <w:szCs w:val="22"/>
        </w:rPr>
        <w:t xml:space="preserve">the </w:t>
      </w:r>
      <w:r w:rsidRPr="00AB6D3D">
        <w:rPr>
          <w:iCs/>
          <w:color w:val="000000" w:themeColor="text1"/>
          <w:sz w:val="22"/>
          <w:szCs w:val="22"/>
        </w:rPr>
        <w:t>Law Council</w:t>
      </w:r>
      <w:r w:rsidR="00063F8C">
        <w:rPr>
          <w:iCs/>
          <w:color w:val="000000" w:themeColor="text1"/>
          <w:sz w:val="22"/>
          <w:szCs w:val="22"/>
        </w:rPr>
        <w:t xml:space="preserve"> of Australia</w:t>
      </w:r>
      <w:r w:rsidRPr="00AB6D3D">
        <w:rPr>
          <w:iCs/>
          <w:color w:val="000000" w:themeColor="text1"/>
          <w:sz w:val="22"/>
          <w:szCs w:val="22"/>
        </w:rPr>
        <w:t>, the G</w:t>
      </w:r>
      <w:r w:rsidR="00E4096B">
        <w:rPr>
          <w:iCs/>
          <w:color w:val="000000" w:themeColor="text1"/>
          <w:sz w:val="22"/>
          <w:szCs w:val="22"/>
        </w:rPr>
        <w:t xml:space="preserve">overnance </w:t>
      </w:r>
      <w:r w:rsidRPr="00AB6D3D">
        <w:rPr>
          <w:iCs/>
          <w:color w:val="000000" w:themeColor="text1"/>
          <w:sz w:val="22"/>
          <w:szCs w:val="22"/>
        </w:rPr>
        <w:t>I</w:t>
      </w:r>
      <w:r w:rsidR="00E4096B">
        <w:rPr>
          <w:iCs/>
          <w:color w:val="000000" w:themeColor="text1"/>
          <w:sz w:val="22"/>
          <w:szCs w:val="22"/>
        </w:rPr>
        <w:t xml:space="preserve">nstitute of </w:t>
      </w:r>
      <w:r w:rsidRPr="00AB6D3D">
        <w:rPr>
          <w:iCs/>
          <w:color w:val="000000" w:themeColor="text1"/>
          <w:sz w:val="22"/>
          <w:szCs w:val="22"/>
        </w:rPr>
        <w:t>A</w:t>
      </w:r>
      <w:r w:rsidR="00E4096B">
        <w:rPr>
          <w:iCs/>
          <w:color w:val="000000" w:themeColor="text1"/>
          <w:sz w:val="22"/>
          <w:szCs w:val="22"/>
        </w:rPr>
        <w:t>ustralia</w:t>
      </w:r>
      <w:r w:rsidR="00B8540E">
        <w:rPr>
          <w:iCs/>
          <w:color w:val="000000" w:themeColor="text1"/>
          <w:sz w:val="22"/>
          <w:szCs w:val="22"/>
        </w:rPr>
        <w:t xml:space="preserve"> (GIA)</w:t>
      </w:r>
      <w:r w:rsidRPr="00AB6D3D">
        <w:rPr>
          <w:iCs/>
          <w:color w:val="000000" w:themeColor="text1"/>
          <w:sz w:val="22"/>
          <w:szCs w:val="22"/>
        </w:rPr>
        <w:t>, Business Council of Australia (BCA) and Australasian Investor Relations Association (AIRA).</w:t>
      </w:r>
    </w:p>
    <w:p w14:paraId="3A82102D" w14:textId="11BA7C96" w:rsidR="00AB6D3D" w:rsidRDefault="00AB6D3D" w:rsidP="00AB6D3D">
      <w:pPr>
        <w:pStyle w:val="Header"/>
        <w:rPr>
          <w:rFonts w:asciiTheme="minorHAnsi" w:hAnsiTheme="minorHAnsi"/>
          <w:b w:val="0"/>
          <w:iCs/>
          <w:color w:val="000000" w:themeColor="text1"/>
          <w:sz w:val="22"/>
          <w:szCs w:val="22"/>
        </w:rPr>
      </w:pPr>
      <w:r w:rsidRPr="00AB6D3D">
        <w:rPr>
          <w:rFonts w:asciiTheme="minorHAnsi" w:hAnsiTheme="minorHAnsi"/>
          <w:b w:val="0"/>
          <w:iCs/>
          <w:color w:val="000000" w:themeColor="text1"/>
          <w:sz w:val="22"/>
          <w:szCs w:val="22"/>
        </w:rPr>
        <w:t xml:space="preserve">In their submissions to the consultation on the exposure draft legislation, industry continued to express their support for permanent reforms. They noted that there were substantial savings and greater engagement with </w:t>
      </w:r>
      <w:r w:rsidR="00914965">
        <w:rPr>
          <w:rFonts w:asciiTheme="minorHAnsi" w:hAnsiTheme="minorHAnsi"/>
          <w:b w:val="0"/>
          <w:iCs/>
          <w:color w:val="000000" w:themeColor="text1"/>
          <w:sz w:val="22"/>
          <w:szCs w:val="22"/>
        </w:rPr>
        <w:t>members</w:t>
      </w:r>
      <w:r w:rsidRPr="00AB6D3D">
        <w:rPr>
          <w:rFonts w:asciiTheme="minorHAnsi" w:hAnsiTheme="minorHAnsi"/>
          <w:b w:val="0"/>
          <w:iCs/>
          <w:color w:val="000000" w:themeColor="text1"/>
          <w:sz w:val="22"/>
          <w:szCs w:val="22"/>
        </w:rPr>
        <w:t xml:space="preserve">. Their primary comments suggested where reforms could further reduce regulatory burden in respect of both document execution and meeting-related materials. </w:t>
      </w:r>
    </w:p>
    <w:p w14:paraId="6B674DFB" w14:textId="77777777" w:rsidR="00AB6D3D" w:rsidRPr="00AB6D3D" w:rsidRDefault="00AB6D3D" w:rsidP="00AB6D3D">
      <w:pPr>
        <w:pStyle w:val="Header"/>
        <w:rPr>
          <w:rFonts w:asciiTheme="minorHAnsi" w:hAnsiTheme="minorHAnsi"/>
          <w:b w:val="0"/>
          <w:iCs/>
          <w:color w:val="000000" w:themeColor="text1"/>
          <w:sz w:val="22"/>
          <w:szCs w:val="22"/>
        </w:rPr>
      </w:pPr>
    </w:p>
    <w:p w14:paraId="66202A76" w14:textId="26855678" w:rsidR="00F21E42" w:rsidRPr="00AB6D3D" w:rsidRDefault="00AB6D3D" w:rsidP="00AB6D3D">
      <w:pPr>
        <w:pStyle w:val="Header"/>
        <w:rPr>
          <w:rFonts w:asciiTheme="minorHAnsi" w:hAnsiTheme="minorHAnsi"/>
          <w:b w:val="0"/>
          <w:iCs/>
          <w:color w:val="000000" w:themeColor="text1"/>
          <w:sz w:val="22"/>
          <w:szCs w:val="22"/>
        </w:rPr>
      </w:pPr>
      <w:r w:rsidRPr="00AB6D3D">
        <w:rPr>
          <w:rFonts w:asciiTheme="minorHAnsi" w:hAnsiTheme="minorHAnsi"/>
          <w:b w:val="0"/>
          <w:iCs/>
          <w:color w:val="000000" w:themeColor="text1"/>
          <w:sz w:val="22"/>
          <w:szCs w:val="22"/>
        </w:rPr>
        <w:t xml:space="preserve">While the document execution reforms were not relevant to </w:t>
      </w:r>
      <w:r w:rsidR="00914965">
        <w:rPr>
          <w:rFonts w:asciiTheme="minorHAnsi" w:hAnsiTheme="minorHAnsi"/>
          <w:b w:val="0"/>
          <w:iCs/>
          <w:color w:val="000000" w:themeColor="text1"/>
          <w:sz w:val="22"/>
          <w:szCs w:val="22"/>
        </w:rPr>
        <w:t>members</w:t>
      </w:r>
      <w:r w:rsidRPr="00AB6D3D">
        <w:rPr>
          <w:rFonts w:asciiTheme="minorHAnsi" w:hAnsiTheme="minorHAnsi"/>
          <w:b w:val="0"/>
          <w:iCs/>
          <w:color w:val="000000" w:themeColor="text1"/>
          <w:sz w:val="22"/>
          <w:szCs w:val="22"/>
        </w:rPr>
        <w:t xml:space="preserve">, </w:t>
      </w:r>
      <w:r w:rsidR="00914965">
        <w:rPr>
          <w:rFonts w:asciiTheme="minorHAnsi" w:hAnsiTheme="minorHAnsi"/>
          <w:b w:val="0"/>
          <w:iCs/>
          <w:color w:val="000000" w:themeColor="text1"/>
          <w:sz w:val="22"/>
          <w:szCs w:val="22"/>
        </w:rPr>
        <w:t>members</w:t>
      </w:r>
      <w:r w:rsidRPr="00AB6D3D">
        <w:rPr>
          <w:rFonts w:asciiTheme="minorHAnsi" w:hAnsiTheme="minorHAnsi"/>
          <w:b w:val="0"/>
          <w:iCs/>
          <w:color w:val="000000" w:themeColor="text1"/>
          <w:sz w:val="22"/>
          <w:szCs w:val="22"/>
        </w:rPr>
        <w:t xml:space="preserve"> were generally supportive of the reforms with respect to meeting-related materials. However, consistent with the recommendations of the first interim report of the Senate Select Committee on Financial Technology and Regulatory Technology, they sought amendments which would require companies to provide hard copies, rather than electronic communications, where </w:t>
      </w:r>
      <w:r w:rsidR="00914965">
        <w:rPr>
          <w:rFonts w:asciiTheme="minorHAnsi" w:hAnsiTheme="minorHAnsi"/>
          <w:b w:val="0"/>
          <w:iCs/>
          <w:color w:val="000000" w:themeColor="text1"/>
          <w:sz w:val="22"/>
          <w:szCs w:val="22"/>
        </w:rPr>
        <w:t>members</w:t>
      </w:r>
      <w:r w:rsidR="00914965" w:rsidRPr="00AB6D3D">
        <w:rPr>
          <w:rFonts w:asciiTheme="minorHAnsi" w:hAnsiTheme="minorHAnsi"/>
          <w:b w:val="0"/>
          <w:iCs/>
          <w:color w:val="000000" w:themeColor="text1"/>
          <w:sz w:val="22"/>
          <w:szCs w:val="22"/>
        </w:rPr>
        <w:t xml:space="preserve"> </w:t>
      </w:r>
      <w:r w:rsidRPr="00AB6D3D">
        <w:rPr>
          <w:rFonts w:asciiTheme="minorHAnsi" w:hAnsiTheme="minorHAnsi"/>
          <w:b w:val="0"/>
          <w:iCs/>
          <w:color w:val="000000" w:themeColor="text1"/>
          <w:sz w:val="22"/>
          <w:szCs w:val="22"/>
        </w:rPr>
        <w:t>have elected to receive hard copies.</w:t>
      </w:r>
    </w:p>
    <w:p w14:paraId="7B09EA66" w14:textId="7B9A71C5" w:rsidR="00F21E42" w:rsidRPr="00DB3E04" w:rsidRDefault="00F21E42" w:rsidP="001E33A2">
      <w:pPr>
        <w:pStyle w:val="Heading4"/>
      </w:pPr>
      <w:bookmarkStart w:id="8" w:name="_Toc57889588"/>
      <w:bookmarkStart w:id="9" w:name="_Toc58325689"/>
      <w:bookmarkStart w:id="10" w:name="_Toc72506218"/>
      <w:r>
        <w:t xml:space="preserve">Incorporation of feedback into </w:t>
      </w:r>
      <w:r w:rsidRPr="00DB3E04">
        <w:t>Option 3</w:t>
      </w:r>
      <w:bookmarkEnd w:id="8"/>
      <w:bookmarkEnd w:id="9"/>
      <w:bookmarkEnd w:id="10"/>
    </w:p>
    <w:p w14:paraId="066FCD11" w14:textId="6E433AD8" w:rsidR="00AB6D3D" w:rsidRPr="00AB6D3D" w:rsidRDefault="00AB6D3D" w:rsidP="00AB6D3D">
      <w:pPr>
        <w:tabs>
          <w:tab w:val="left" w:pos="1622"/>
        </w:tabs>
        <w:rPr>
          <w:iCs/>
          <w:color w:val="000000" w:themeColor="text1"/>
          <w:sz w:val="22"/>
          <w:szCs w:val="22"/>
        </w:rPr>
      </w:pPr>
      <w:r w:rsidRPr="00AB6D3D">
        <w:rPr>
          <w:iCs/>
          <w:color w:val="000000" w:themeColor="text1"/>
          <w:sz w:val="22"/>
          <w:szCs w:val="22"/>
        </w:rPr>
        <w:t xml:space="preserve">Option 3 takes on board stakeholder feedback to make modifications to the temporary </w:t>
      </w:r>
      <w:r w:rsidR="00EF7B50">
        <w:rPr>
          <w:iCs/>
          <w:color w:val="000000" w:themeColor="text1"/>
          <w:sz w:val="22"/>
          <w:szCs w:val="22"/>
        </w:rPr>
        <w:t>refo</w:t>
      </w:r>
      <w:r w:rsidR="00E04736">
        <w:rPr>
          <w:iCs/>
          <w:color w:val="000000" w:themeColor="text1"/>
          <w:sz w:val="22"/>
          <w:szCs w:val="22"/>
        </w:rPr>
        <w:t>r</w:t>
      </w:r>
      <w:r w:rsidR="00EF7B50">
        <w:rPr>
          <w:iCs/>
          <w:color w:val="000000" w:themeColor="text1"/>
          <w:sz w:val="22"/>
          <w:szCs w:val="22"/>
        </w:rPr>
        <w:t>ms</w:t>
      </w:r>
      <w:r w:rsidRPr="00AB6D3D">
        <w:rPr>
          <w:iCs/>
          <w:color w:val="000000" w:themeColor="text1"/>
          <w:sz w:val="22"/>
          <w:szCs w:val="22"/>
        </w:rPr>
        <w:t>. In respect of document execution, Option 3 took on board suggestions from industry that the final legislation:</w:t>
      </w:r>
    </w:p>
    <w:p w14:paraId="2AC25789" w14:textId="77777777" w:rsidR="005A50A0" w:rsidRDefault="005A50A0" w:rsidP="005A50A0">
      <w:pPr>
        <w:pStyle w:val="Bullet"/>
      </w:pPr>
      <w:r w:rsidRPr="003F5088">
        <w:t xml:space="preserve">clarify that companies and their officers (including company agents) will be able to create and sign deeds, as well as other documents, electronically; </w:t>
      </w:r>
    </w:p>
    <w:p w14:paraId="7CA4D9FD" w14:textId="77777777" w:rsidR="005A50A0" w:rsidRDefault="005A50A0" w:rsidP="005A50A0">
      <w:pPr>
        <w:pStyle w:val="Bullet"/>
      </w:pPr>
      <w:r>
        <w:t>allow documents to be validly executed in technology neutral and flexible manners by permitting persons to sign documents using a mixture of electronic and wet-ink methods and not requiring all signatories to sign the same copy of a document;</w:t>
      </w:r>
    </w:p>
    <w:p w14:paraId="5B4BBA17" w14:textId="77777777" w:rsidR="005A50A0" w:rsidRPr="003F5088" w:rsidRDefault="005A50A0" w:rsidP="005A50A0">
      <w:pPr>
        <w:pStyle w:val="Bullet"/>
      </w:pPr>
      <w:r>
        <w:t xml:space="preserve">allow a person who is signing a document in multiple different capacities to sign once in multiple different capacities; </w:t>
      </w:r>
    </w:p>
    <w:p w14:paraId="032EF5E0" w14:textId="77777777" w:rsidR="005A50A0" w:rsidRDefault="005A50A0" w:rsidP="005A50A0">
      <w:pPr>
        <w:pStyle w:val="Bullet"/>
      </w:pPr>
      <w:r w:rsidRPr="003F5088">
        <w:t>allow the use of technology to execute documents with a common seal electronically, including by allowing witnesses to validly witness the fixing of a company seal electronically</w:t>
      </w:r>
      <w:r>
        <w:t>;</w:t>
      </w:r>
    </w:p>
    <w:p w14:paraId="3B9B4CF8" w14:textId="1F0C6887" w:rsidR="005A50A0" w:rsidRDefault="005A50A0" w:rsidP="005A50A0">
      <w:pPr>
        <w:pStyle w:val="Bullet"/>
      </w:pPr>
      <w:r>
        <w:t xml:space="preserve">ensure that deeds do not need to be signed on paper, parchment or vellum to be executed and </w:t>
      </w:r>
      <w:r w:rsidR="0095651B">
        <w:t>remove the common law requirement of formal delivery</w:t>
      </w:r>
      <w:r w:rsidR="00BB6EEB">
        <w:t>;</w:t>
      </w:r>
      <w:r w:rsidR="007E350E">
        <w:t xml:space="preserve"> and</w:t>
      </w:r>
    </w:p>
    <w:p w14:paraId="1117B9A8" w14:textId="7D77CF14" w:rsidR="005A50A0" w:rsidRDefault="007902F4" w:rsidP="005A50A0">
      <w:pPr>
        <w:pStyle w:val="Bullet"/>
      </w:pPr>
      <w:r>
        <w:t>ensure that ASIC or a Registrar cannot refuse to receive or register a document that is signed in accordance with the technology neutral signing provisions</w:t>
      </w:r>
      <w:r w:rsidR="005A50A0">
        <w:t xml:space="preserve">. </w:t>
      </w:r>
    </w:p>
    <w:p w14:paraId="049EF09F" w14:textId="0280DF35" w:rsidR="007E350E" w:rsidRDefault="007E350E" w:rsidP="007E350E">
      <w:pPr>
        <w:pStyle w:val="Bullet"/>
        <w:numPr>
          <w:ilvl w:val="0"/>
          <w:numId w:val="0"/>
        </w:numPr>
      </w:pPr>
      <w:r>
        <w:t xml:space="preserve">The reforms will allow company agents to execute a deed without a witness. Traditionally witnessing the execution of a deed in this way would require physical signing and witnessing of the document. The requirement has been removed to facilitate technology neutral signing and was informed by consultation with stakeholders. Stakeholders stated that the witnessing requirement provided little, if any, certainty about the execution of the document as any person may be a witness (they do not have to be known to the party) and there </w:t>
      </w:r>
      <w:r w:rsidR="005F0F60">
        <w:t>are</w:t>
      </w:r>
      <w:r>
        <w:t xml:space="preserve"> no requirements for the witness to know the signer or satisfy themselves as to the signer’s identity. </w:t>
      </w:r>
    </w:p>
    <w:p w14:paraId="563A246B" w14:textId="4E661979" w:rsidR="005A50A0" w:rsidRPr="00C25E1A" w:rsidRDefault="005A50A0" w:rsidP="005A50A0">
      <w:pPr>
        <w:pStyle w:val="Bullet"/>
        <w:numPr>
          <w:ilvl w:val="0"/>
          <w:numId w:val="0"/>
        </w:numPr>
      </w:pPr>
      <w:r w:rsidRPr="003F5088">
        <w:t xml:space="preserve">The legislation includes reforms that expands the statutory validation for the execution of company documents to cover circumstances where these documents are executed by directors </w:t>
      </w:r>
      <w:r>
        <w:t>and company secretaries, as well as sole directors who are also the company secretary.</w:t>
      </w:r>
      <w:r w:rsidRPr="003F5088">
        <w:t xml:space="preserve"> </w:t>
      </w:r>
    </w:p>
    <w:p w14:paraId="0477979D" w14:textId="43A26F2F" w:rsidR="00AB6D3D" w:rsidRPr="00AB6D3D" w:rsidRDefault="00AB6D3D" w:rsidP="00AB6D3D">
      <w:pPr>
        <w:rPr>
          <w:iCs/>
          <w:color w:val="000000" w:themeColor="text1"/>
          <w:sz w:val="22"/>
          <w:szCs w:val="22"/>
        </w:rPr>
      </w:pPr>
      <w:r w:rsidRPr="00AB6D3D">
        <w:rPr>
          <w:iCs/>
          <w:color w:val="000000" w:themeColor="text1"/>
          <w:sz w:val="22"/>
          <w:szCs w:val="22"/>
        </w:rPr>
        <w:t>Following feedback through consultation, various technical drafting changes were made to ensure that the legislation operated as intended.</w:t>
      </w:r>
    </w:p>
    <w:p w14:paraId="3DABF436" w14:textId="2DBD9529" w:rsidR="005A50A0" w:rsidRDefault="00AB6D3D" w:rsidP="00AB6D3D">
      <w:pPr>
        <w:rPr>
          <w:iCs/>
          <w:color w:val="000000" w:themeColor="text1"/>
          <w:sz w:val="22"/>
          <w:szCs w:val="22"/>
        </w:rPr>
      </w:pPr>
      <w:r w:rsidRPr="00AB6D3D">
        <w:rPr>
          <w:iCs/>
          <w:color w:val="000000" w:themeColor="text1"/>
          <w:sz w:val="22"/>
          <w:szCs w:val="22"/>
        </w:rPr>
        <w:t>With respect to meeting-related materials, Option 3 incorporated feedback to</w:t>
      </w:r>
      <w:r w:rsidR="005A50A0">
        <w:rPr>
          <w:iCs/>
          <w:color w:val="000000" w:themeColor="text1"/>
          <w:sz w:val="22"/>
          <w:szCs w:val="22"/>
        </w:rPr>
        <w:t>:</w:t>
      </w:r>
    </w:p>
    <w:p w14:paraId="49C198F7" w14:textId="77777777" w:rsidR="005A50A0" w:rsidRDefault="005A50A0" w:rsidP="005A50A0">
      <w:pPr>
        <w:pStyle w:val="Bullet"/>
      </w:pPr>
      <w:r>
        <w:t>allow companies to choose whether to satisfy their obligations to provide documents to recipients by providing hard copy documents or by using electronic means unless a member makes an election to receive documents in a certain manner</w:t>
      </w:r>
      <w:r w:rsidRPr="003F5088">
        <w:t xml:space="preserve">; </w:t>
      </w:r>
    </w:p>
    <w:p w14:paraId="231628D4" w14:textId="23BB721B" w:rsidR="005A50A0" w:rsidRDefault="005A50A0" w:rsidP="005A50A0">
      <w:pPr>
        <w:pStyle w:val="Bullet"/>
      </w:pPr>
      <w:r>
        <w:t>allow companies to send documents in five ways: in hard copy</w:t>
      </w:r>
      <w:r w:rsidR="00425475">
        <w:t>;</w:t>
      </w:r>
      <w:r>
        <w:t xml:space="preserve"> electronically</w:t>
      </w:r>
      <w:r w:rsidR="00425475">
        <w:t>;</w:t>
      </w:r>
      <w:r>
        <w:t xml:space="preserve"> physically with access to information electronically (</w:t>
      </w:r>
      <w:r w:rsidR="00324C38">
        <w:t>e.g.,</w:t>
      </w:r>
      <w:r>
        <w:t xml:space="preserve"> physical postcard)</w:t>
      </w:r>
      <w:r w:rsidR="00425475">
        <w:t>;</w:t>
      </w:r>
      <w:r>
        <w:t xml:space="preserve"> electronically, with access to information electronically (</w:t>
      </w:r>
      <w:r w:rsidR="00324C38">
        <w:t>e.g.,</w:t>
      </w:r>
      <w:r>
        <w:t xml:space="preserve"> electronic postcard)</w:t>
      </w:r>
      <w:r w:rsidR="00425475">
        <w:t>;</w:t>
      </w:r>
      <w:r>
        <w:t xml:space="preserve"> or by posting the information on </w:t>
      </w:r>
      <w:r w:rsidR="007902F4">
        <w:t>a</w:t>
      </w:r>
      <w:r>
        <w:t xml:space="preserve"> website</w:t>
      </w:r>
      <w:r w:rsidR="00425475">
        <w:t>, if the document is an annual report or otherwise permitted by the regulations</w:t>
      </w:r>
      <w:r w:rsidR="008346E6">
        <w:t>;</w:t>
      </w:r>
      <w:r>
        <w:t xml:space="preserve"> </w:t>
      </w:r>
    </w:p>
    <w:p w14:paraId="2D9A2C2C" w14:textId="1117C7BF" w:rsidR="007902F4" w:rsidRDefault="007902F4" w:rsidP="007902F4">
      <w:pPr>
        <w:pStyle w:val="Bullet"/>
      </w:pPr>
      <w:r>
        <w:t xml:space="preserve">expand the scope of documents that companies may send in one of those five ways to include all documents sent by a company related to meetings to anyone, not just to members; </w:t>
      </w:r>
    </w:p>
    <w:p w14:paraId="2429127A" w14:textId="77777777" w:rsidR="005A50A0" w:rsidRPr="003F5088" w:rsidRDefault="005A50A0" w:rsidP="005A50A0">
      <w:pPr>
        <w:pStyle w:val="Bullet"/>
      </w:pPr>
      <w:r>
        <w:t>provide companies with a period of 30 days to comply with a new member election to receive documents in hard copy;</w:t>
      </w:r>
    </w:p>
    <w:p w14:paraId="56B69468" w14:textId="691529A8" w:rsidR="005A50A0" w:rsidRDefault="005A50A0" w:rsidP="005A50A0">
      <w:pPr>
        <w:pStyle w:val="Bullet"/>
      </w:pPr>
      <w:r>
        <w:t xml:space="preserve">allow members the flexibility to elect to receive documents in a particular format on a </w:t>
      </w:r>
      <w:r w:rsidR="00324C38">
        <w:t>once off</w:t>
      </w:r>
      <w:r>
        <w:t xml:space="preserve"> basis; </w:t>
      </w:r>
    </w:p>
    <w:p w14:paraId="35683B90" w14:textId="6301FAE4" w:rsidR="005A50A0" w:rsidRDefault="005A50A0" w:rsidP="005A50A0">
      <w:pPr>
        <w:pStyle w:val="Bullet"/>
      </w:pPr>
      <w:r>
        <w:t xml:space="preserve">require public companies and registered schemes to notify members of their election rights by either </w:t>
      </w:r>
      <w:r w:rsidR="00C87B8E">
        <w:t xml:space="preserve">providing a notice </w:t>
      </w:r>
      <w:r>
        <w:t xml:space="preserve">once a year, or by publishing </w:t>
      </w:r>
      <w:r w:rsidR="00C87B8E">
        <w:t xml:space="preserve">that information </w:t>
      </w:r>
      <w:r>
        <w:t xml:space="preserve">on </w:t>
      </w:r>
      <w:r w:rsidR="007902F4">
        <w:t>a</w:t>
      </w:r>
      <w:r>
        <w:t xml:space="preserve"> website</w:t>
      </w:r>
      <w:r w:rsidR="007902F4">
        <w:t>; and</w:t>
      </w:r>
      <w:r>
        <w:t xml:space="preserve"> </w:t>
      </w:r>
    </w:p>
    <w:p w14:paraId="7A8A501F" w14:textId="6BEC068B" w:rsidR="005A50A0" w:rsidRDefault="005A50A0" w:rsidP="005A50A0">
      <w:pPr>
        <w:pStyle w:val="Bullet"/>
      </w:pPr>
      <w:r>
        <w:t xml:space="preserve">consistent with members’ current rights to elect not to receive annual reports, provide members with the option to elect not to receive </w:t>
      </w:r>
      <w:r w:rsidR="000C500C">
        <w:t xml:space="preserve">annual reports or </w:t>
      </w:r>
      <w:r>
        <w:t xml:space="preserve">certain </w:t>
      </w:r>
      <w:r w:rsidR="002A5B89">
        <w:t xml:space="preserve">other </w:t>
      </w:r>
      <w:r>
        <w:t xml:space="preserve">documents </w:t>
      </w:r>
      <w:r w:rsidR="00AA12EA">
        <w:t>that are prescribed</w:t>
      </w:r>
      <w:r>
        <w:t xml:space="preserve"> by the regulations.</w:t>
      </w:r>
    </w:p>
    <w:p w14:paraId="37B919E3" w14:textId="3DEC107F" w:rsidR="00AB6D3D" w:rsidRPr="00AB6D3D" w:rsidRDefault="00AB6D3D" w:rsidP="00AB6D3D">
      <w:pPr>
        <w:rPr>
          <w:iCs/>
          <w:color w:val="000000" w:themeColor="text1"/>
          <w:sz w:val="22"/>
          <w:szCs w:val="22"/>
        </w:rPr>
      </w:pPr>
      <w:r w:rsidRPr="00AB6D3D">
        <w:rPr>
          <w:iCs/>
          <w:color w:val="000000" w:themeColor="text1"/>
          <w:sz w:val="22"/>
          <w:szCs w:val="22"/>
        </w:rPr>
        <w:t>Option 3 includes a provision requiring a review to be undertaken that examines the effectiveness of the legislative reforms, as soon as practicable, two years after its commencement. This was reduced from five years, following consultation on the exposure draft legislation.</w:t>
      </w:r>
    </w:p>
    <w:p w14:paraId="497DBD7E" w14:textId="7CBEE856" w:rsidR="00E6567D" w:rsidRPr="00647DAB" w:rsidRDefault="00E6567D" w:rsidP="00647DAB">
      <w:pPr>
        <w:rPr>
          <w:rFonts w:asciiTheme="majorHAnsi" w:hAnsiTheme="majorHAnsi"/>
          <w:b/>
          <w:color w:val="014463" w:themeColor="text2"/>
          <w:sz w:val="60"/>
          <w:szCs w:val="60"/>
        </w:rPr>
      </w:pPr>
      <w:r w:rsidRPr="00647DAB">
        <w:rPr>
          <w:rFonts w:asciiTheme="majorHAnsi" w:hAnsiTheme="majorHAnsi"/>
          <w:b/>
          <w:color w:val="014463" w:themeColor="text2"/>
          <w:sz w:val="60"/>
          <w:szCs w:val="60"/>
        </w:rPr>
        <w:t>6. What is the best option from those you have considered?</w:t>
      </w:r>
    </w:p>
    <w:p w14:paraId="791770EB" w14:textId="0BB3E4D2" w:rsidR="006F04A6" w:rsidRDefault="00AB6D3D" w:rsidP="00AB6D3D">
      <w:pPr>
        <w:rPr>
          <w:iCs/>
          <w:color w:val="000000" w:themeColor="text1"/>
          <w:sz w:val="22"/>
          <w:szCs w:val="22"/>
        </w:rPr>
      </w:pPr>
      <w:bookmarkStart w:id="11" w:name="_Toc72506220"/>
      <w:r w:rsidRPr="00AB6D3D">
        <w:rPr>
          <w:iCs/>
          <w:color w:val="000000" w:themeColor="text1"/>
          <w:sz w:val="22"/>
          <w:szCs w:val="22"/>
        </w:rPr>
        <w:t>Option 3 is the best option as it goes furthest of the three options, to achieve the Government’s objectives of ensuring that where substantive statutory requirements can be met using digital technologies, the law allows companies and their officers to</w:t>
      </w:r>
      <w:r w:rsidR="005B6611">
        <w:rPr>
          <w:iCs/>
          <w:color w:val="000000" w:themeColor="text1"/>
          <w:sz w:val="22"/>
          <w:szCs w:val="22"/>
        </w:rPr>
        <w:t xml:space="preserve"> do so</w:t>
      </w:r>
      <w:r w:rsidRPr="00AB6D3D">
        <w:rPr>
          <w:iCs/>
          <w:color w:val="000000" w:themeColor="text1"/>
          <w:sz w:val="22"/>
          <w:szCs w:val="22"/>
        </w:rPr>
        <w:t>.</w:t>
      </w:r>
    </w:p>
    <w:p w14:paraId="11AEC932" w14:textId="0F6EEC0E" w:rsidR="006F04A6" w:rsidRPr="0008537B" w:rsidRDefault="006F04A6" w:rsidP="00AB6D3D">
      <w:pPr>
        <w:rPr>
          <w:color w:val="auto"/>
          <w:sz w:val="22"/>
          <w:szCs w:val="22"/>
        </w:rPr>
      </w:pPr>
      <w:r>
        <w:rPr>
          <w:color w:val="auto"/>
          <w:sz w:val="22"/>
          <w:szCs w:val="22"/>
        </w:rPr>
        <w:t>Option 3 incorporates drafting techniques which will enable the Government to more easily expand the scope of these reforms to apply more broadly to requirements to sign and send documents across the</w:t>
      </w:r>
      <w:r w:rsidR="000C500C">
        <w:rPr>
          <w:color w:val="auto"/>
          <w:sz w:val="22"/>
          <w:szCs w:val="22"/>
        </w:rPr>
        <w:t xml:space="preserve"> Act</w:t>
      </w:r>
      <w:r>
        <w:rPr>
          <w:color w:val="auto"/>
          <w:sz w:val="22"/>
          <w:szCs w:val="22"/>
        </w:rPr>
        <w:t>. These further changes are changes being considered and consulted on as part of the Modernising Business Communications project and has the potential to further reduce regulatory burden on companies.</w:t>
      </w:r>
    </w:p>
    <w:p w14:paraId="6414065D" w14:textId="1FD5D36B" w:rsidR="00F21E42" w:rsidRPr="001E33A2" w:rsidRDefault="00097FCF" w:rsidP="001E33A2">
      <w:pPr>
        <w:pStyle w:val="Heading2"/>
        <w:rPr>
          <w:color w:val="000000" w:themeColor="text1"/>
          <w:sz w:val="22"/>
          <w:szCs w:val="22"/>
        </w:rPr>
      </w:pPr>
      <w:r>
        <w:t xml:space="preserve">6.1 </w:t>
      </w:r>
      <w:r w:rsidR="00F21E42" w:rsidRPr="003738D0">
        <w:t>Document execution</w:t>
      </w:r>
      <w:bookmarkEnd w:id="11"/>
    </w:p>
    <w:p w14:paraId="4EC784FE" w14:textId="45BC3CA5" w:rsidR="00AB6D3D" w:rsidRDefault="00AB6D3D" w:rsidP="00AB6D3D">
      <w:pPr>
        <w:rPr>
          <w:iCs/>
          <w:color w:val="000000" w:themeColor="text1"/>
          <w:sz w:val="22"/>
          <w:szCs w:val="22"/>
        </w:rPr>
      </w:pPr>
      <w:bookmarkStart w:id="12" w:name="_Toc72506221"/>
      <w:r w:rsidRPr="00AB6D3D">
        <w:rPr>
          <w:iCs/>
          <w:color w:val="000000" w:themeColor="text1"/>
          <w:sz w:val="22"/>
          <w:szCs w:val="22"/>
        </w:rPr>
        <w:t xml:space="preserve">Option 3 goes the furthest in terms of ensuring that substantive statutory requirements that companies must meet for counterparties to rely on the statutory presumption, can be met electronically. </w:t>
      </w:r>
      <w:r w:rsidR="009364DD">
        <w:rPr>
          <w:iCs/>
          <w:color w:val="000000" w:themeColor="text1"/>
          <w:sz w:val="22"/>
          <w:szCs w:val="22"/>
        </w:rPr>
        <w:t xml:space="preserve">It provides greater flexibility and surety that documents can be executed </w:t>
      </w:r>
      <w:r w:rsidR="00634291">
        <w:rPr>
          <w:iCs/>
          <w:color w:val="000000" w:themeColor="text1"/>
          <w:sz w:val="22"/>
          <w:szCs w:val="22"/>
        </w:rPr>
        <w:t>in a technology neutral manner</w:t>
      </w:r>
      <w:r w:rsidR="009364DD">
        <w:rPr>
          <w:iCs/>
          <w:color w:val="000000" w:themeColor="text1"/>
          <w:sz w:val="22"/>
          <w:szCs w:val="22"/>
        </w:rPr>
        <w:t xml:space="preserve"> and expands the scope as to who can execute and </w:t>
      </w:r>
      <w:r w:rsidR="00634291">
        <w:rPr>
          <w:iCs/>
          <w:color w:val="000000" w:themeColor="text1"/>
          <w:sz w:val="22"/>
          <w:szCs w:val="22"/>
        </w:rPr>
        <w:t xml:space="preserve">what documents can be executed. </w:t>
      </w:r>
      <w:r w:rsidR="00C87B8E">
        <w:rPr>
          <w:iCs/>
          <w:color w:val="000000" w:themeColor="text1"/>
          <w:sz w:val="22"/>
          <w:szCs w:val="22"/>
        </w:rPr>
        <w:t>T</w:t>
      </w:r>
      <w:r w:rsidR="00634291">
        <w:rPr>
          <w:iCs/>
          <w:color w:val="000000" w:themeColor="text1"/>
          <w:sz w:val="22"/>
          <w:szCs w:val="22"/>
        </w:rPr>
        <w:t xml:space="preserve">he scope and flexibility to execute documents is limited under Options 1 and 2. Specifically, </w:t>
      </w:r>
      <w:r w:rsidR="00237273">
        <w:rPr>
          <w:iCs/>
          <w:color w:val="000000" w:themeColor="text1"/>
          <w:sz w:val="22"/>
          <w:szCs w:val="22"/>
        </w:rPr>
        <w:t xml:space="preserve">the </w:t>
      </w:r>
      <w:r w:rsidR="00612780">
        <w:rPr>
          <w:iCs/>
          <w:color w:val="000000" w:themeColor="text1"/>
          <w:sz w:val="22"/>
          <w:szCs w:val="22"/>
        </w:rPr>
        <w:t xml:space="preserve">main </w:t>
      </w:r>
      <w:r w:rsidR="00237273">
        <w:rPr>
          <w:iCs/>
          <w:color w:val="000000" w:themeColor="text1"/>
          <w:sz w:val="22"/>
          <w:szCs w:val="22"/>
        </w:rPr>
        <w:t xml:space="preserve">differences between </w:t>
      </w:r>
      <w:r w:rsidR="00634291">
        <w:rPr>
          <w:iCs/>
          <w:color w:val="000000" w:themeColor="text1"/>
          <w:sz w:val="22"/>
          <w:szCs w:val="22"/>
        </w:rPr>
        <w:t>O</w:t>
      </w:r>
      <w:r w:rsidR="00237273">
        <w:rPr>
          <w:iCs/>
          <w:color w:val="000000" w:themeColor="text1"/>
          <w:sz w:val="22"/>
          <w:szCs w:val="22"/>
        </w:rPr>
        <w:t>ption</w:t>
      </w:r>
      <w:r w:rsidR="00634291">
        <w:rPr>
          <w:iCs/>
          <w:color w:val="000000" w:themeColor="text1"/>
          <w:sz w:val="22"/>
          <w:szCs w:val="22"/>
        </w:rPr>
        <w:t>s</w:t>
      </w:r>
      <w:r w:rsidR="00237273">
        <w:rPr>
          <w:iCs/>
          <w:color w:val="000000" w:themeColor="text1"/>
          <w:sz w:val="22"/>
          <w:szCs w:val="22"/>
        </w:rPr>
        <w:t xml:space="preserve"> 2 and 3 are as follows:</w:t>
      </w:r>
    </w:p>
    <w:p w14:paraId="6E93D2D1" w14:textId="77777777" w:rsidR="00612780" w:rsidRPr="00AB6D3D" w:rsidRDefault="00612780" w:rsidP="00AB6D3D">
      <w:pPr>
        <w:rPr>
          <w:iCs/>
          <w:color w:val="000000" w:themeColor="text1"/>
          <w:sz w:val="22"/>
          <w:szCs w:val="22"/>
        </w:rPr>
      </w:pPr>
    </w:p>
    <w:tbl>
      <w:tblPr>
        <w:tblStyle w:val="TableGrid"/>
        <w:tblW w:w="0" w:type="auto"/>
        <w:tblLook w:val="04A0" w:firstRow="1" w:lastRow="0" w:firstColumn="1" w:lastColumn="0" w:noHBand="0" w:noVBand="1"/>
      </w:tblPr>
      <w:tblGrid>
        <w:gridCol w:w="4531"/>
        <w:gridCol w:w="5663"/>
      </w:tblGrid>
      <w:tr w:rsidR="00237273" w14:paraId="7D77D27D" w14:textId="77777777" w:rsidTr="004549C1">
        <w:tc>
          <w:tcPr>
            <w:tcW w:w="4531" w:type="dxa"/>
            <w:shd w:val="clear" w:color="auto" w:fill="014463" w:themeFill="accent2"/>
          </w:tcPr>
          <w:p w14:paraId="24658FAE" w14:textId="07408586" w:rsidR="00237273" w:rsidRPr="004549C1" w:rsidRDefault="00237273" w:rsidP="00945A9E">
            <w:pPr>
              <w:jc w:val="center"/>
              <w:rPr>
                <w:b/>
                <w:bCs/>
                <w:iCs/>
                <w:color w:val="FFFFFF" w:themeColor="background1"/>
                <w:sz w:val="22"/>
                <w:szCs w:val="22"/>
              </w:rPr>
            </w:pPr>
            <w:r w:rsidRPr="004549C1">
              <w:rPr>
                <w:b/>
                <w:bCs/>
                <w:iCs/>
                <w:color w:val="FFFFFF" w:themeColor="background1"/>
                <w:sz w:val="22"/>
                <w:szCs w:val="22"/>
              </w:rPr>
              <w:t>Option 2</w:t>
            </w:r>
          </w:p>
        </w:tc>
        <w:tc>
          <w:tcPr>
            <w:tcW w:w="5663" w:type="dxa"/>
            <w:shd w:val="clear" w:color="auto" w:fill="014463" w:themeFill="accent2"/>
          </w:tcPr>
          <w:p w14:paraId="6745D7E1" w14:textId="5DA2AEE8" w:rsidR="00237273" w:rsidRPr="004549C1" w:rsidRDefault="00237273" w:rsidP="00945A9E">
            <w:pPr>
              <w:jc w:val="center"/>
              <w:rPr>
                <w:b/>
                <w:bCs/>
                <w:iCs/>
                <w:color w:val="FFFFFF" w:themeColor="background1"/>
                <w:sz w:val="22"/>
                <w:szCs w:val="22"/>
              </w:rPr>
            </w:pPr>
            <w:r w:rsidRPr="004549C1">
              <w:rPr>
                <w:b/>
                <w:bCs/>
                <w:iCs/>
                <w:color w:val="FFFFFF" w:themeColor="background1"/>
                <w:sz w:val="22"/>
                <w:szCs w:val="22"/>
              </w:rPr>
              <w:t>Option 3</w:t>
            </w:r>
          </w:p>
        </w:tc>
      </w:tr>
      <w:tr w:rsidR="00237273" w14:paraId="7B29C12A" w14:textId="77777777" w:rsidTr="00476C6E">
        <w:tc>
          <w:tcPr>
            <w:tcW w:w="4531" w:type="dxa"/>
          </w:tcPr>
          <w:p w14:paraId="186B0AFF" w14:textId="2DF5650E" w:rsidR="00237273" w:rsidRDefault="00237273" w:rsidP="00AB6D3D">
            <w:pPr>
              <w:rPr>
                <w:iCs/>
                <w:color w:val="000000" w:themeColor="text1"/>
                <w:sz w:val="22"/>
                <w:szCs w:val="22"/>
              </w:rPr>
            </w:pPr>
            <w:r>
              <w:rPr>
                <w:iCs/>
                <w:color w:val="000000" w:themeColor="text1"/>
                <w:sz w:val="22"/>
                <w:szCs w:val="22"/>
              </w:rPr>
              <w:t xml:space="preserve">Company documents can </w:t>
            </w:r>
            <w:r w:rsidR="00810E34">
              <w:rPr>
                <w:iCs/>
                <w:color w:val="000000" w:themeColor="text1"/>
                <w:sz w:val="22"/>
                <w:szCs w:val="22"/>
              </w:rPr>
              <w:t>be executed with and without a seal electronically</w:t>
            </w:r>
            <w:r w:rsidR="007C7638">
              <w:rPr>
                <w:iCs/>
                <w:color w:val="000000" w:themeColor="text1"/>
                <w:sz w:val="22"/>
                <w:szCs w:val="22"/>
              </w:rPr>
              <w:t>.</w:t>
            </w:r>
          </w:p>
          <w:p w14:paraId="5DFED218" w14:textId="77777777" w:rsidR="00E06222" w:rsidRDefault="00E06222" w:rsidP="00AB6D3D">
            <w:pPr>
              <w:rPr>
                <w:iCs/>
                <w:color w:val="000000" w:themeColor="text1"/>
                <w:sz w:val="22"/>
                <w:szCs w:val="22"/>
              </w:rPr>
            </w:pPr>
          </w:p>
          <w:p w14:paraId="78D2F9FF" w14:textId="6BB9545C" w:rsidR="00E06222" w:rsidRDefault="00E06222" w:rsidP="00AB6D3D">
            <w:pPr>
              <w:rPr>
                <w:iCs/>
                <w:color w:val="000000" w:themeColor="text1"/>
                <w:sz w:val="22"/>
                <w:szCs w:val="22"/>
              </w:rPr>
            </w:pPr>
            <w:r>
              <w:rPr>
                <w:iCs/>
                <w:color w:val="000000" w:themeColor="text1"/>
                <w:sz w:val="22"/>
                <w:szCs w:val="22"/>
              </w:rPr>
              <w:t>Company agents can only make documents</w:t>
            </w:r>
            <w:r w:rsidR="007C7638">
              <w:rPr>
                <w:iCs/>
                <w:color w:val="000000" w:themeColor="text1"/>
                <w:sz w:val="22"/>
                <w:szCs w:val="22"/>
              </w:rPr>
              <w:t>.</w:t>
            </w:r>
          </w:p>
        </w:tc>
        <w:tc>
          <w:tcPr>
            <w:tcW w:w="5663" w:type="dxa"/>
          </w:tcPr>
          <w:p w14:paraId="50CD9DC0" w14:textId="419705FD" w:rsidR="00237273" w:rsidRPr="00113967" w:rsidRDefault="00237273" w:rsidP="00113967">
            <w:pPr>
              <w:rPr>
                <w:color w:val="000000" w:themeColor="text1"/>
                <w:sz w:val="22"/>
                <w:szCs w:val="22"/>
              </w:rPr>
            </w:pPr>
            <w:r w:rsidRPr="00113967">
              <w:rPr>
                <w:color w:val="000000" w:themeColor="text1"/>
                <w:sz w:val="22"/>
                <w:szCs w:val="22"/>
              </w:rPr>
              <w:t xml:space="preserve">Clarifies that companies and their officers (including company agents) will be able to create and sign </w:t>
            </w:r>
            <w:r w:rsidR="00B3597F">
              <w:rPr>
                <w:color w:val="000000" w:themeColor="text1"/>
                <w:sz w:val="22"/>
                <w:szCs w:val="22"/>
              </w:rPr>
              <w:t xml:space="preserve">documents including </w:t>
            </w:r>
            <w:r w:rsidRPr="00113967">
              <w:rPr>
                <w:color w:val="000000" w:themeColor="text1"/>
                <w:sz w:val="22"/>
                <w:szCs w:val="22"/>
              </w:rPr>
              <w:t>deeds, electronically</w:t>
            </w:r>
            <w:r w:rsidR="007C7638">
              <w:rPr>
                <w:color w:val="000000" w:themeColor="text1"/>
                <w:sz w:val="22"/>
                <w:szCs w:val="22"/>
              </w:rPr>
              <w:t>.</w:t>
            </w:r>
          </w:p>
        </w:tc>
      </w:tr>
      <w:tr w:rsidR="00237273" w14:paraId="0BF500CD" w14:textId="77777777" w:rsidTr="00476C6E">
        <w:tc>
          <w:tcPr>
            <w:tcW w:w="4531" w:type="dxa"/>
          </w:tcPr>
          <w:p w14:paraId="0BE4501D" w14:textId="59CD9246" w:rsidR="00237273" w:rsidRDefault="00810E34" w:rsidP="00AB6D3D">
            <w:pPr>
              <w:rPr>
                <w:iCs/>
                <w:color w:val="000000" w:themeColor="text1"/>
                <w:sz w:val="22"/>
                <w:szCs w:val="22"/>
              </w:rPr>
            </w:pPr>
            <w:r>
              <w:rPr>
                <w:iCs/>
                <w:color w:val="000000" w:themeColor="text1"/>
                <w:sz w:val="22"/>
                <w:szCs w:val="22"/>
              </w:rPr>
              <w:t>The fixing of a company seal can be witnessed electronically</w:t>
            </w:r>
            <w:r w:rsidR="007C7638">
              <w:rPr>
                <w:iCs/>
                <w:color w:val="000000" w:themeColor="text1"/>
                <w:sz w:val="22"/>
                <w:szCs w:val="22"/>
              </w:rPr>
              <w:t>.</w:t>
            </w:r>
          </w:p>
        </w:tc>
        <w:tc>
          <w:tcPr>
            <w:tcW w:w="5663" w:type="dxa"/>
          </w:tcPr>
          <w:p w14:paraId="50E212B8" w14:textId="60D0CCA8" w:rsidR="00237273" w:rsidRPr="00113967" w:rsidRDefault="00704663" w:rsidP="00113967">
            <w:pPr>
              <w:rPr>
                <w:color w:val="000000" w:themeColor="text1"/>
                <w:sz w:val="22"/>
                <w:szCs w:val="22"/>
              </w:rPr>
            </w:pPr>
            <w:r>
              <w:rPr>
                <w:color w:val="000000" w:themeColor="text1"/>
                <w:sz w:val="22"/>
                <w:szCs w:val="22"/>
              </w:rPr>
              <w:t>The fixing of a common seal can be witnessed electronically but must satisfy technology neutral signing provisions</w:t>
            </w:r>
            <w:r w:rsidR="007C7638">
              <w:rPr>
                <w:color w:val="000000" w:themeColor="text1"/>
                <w:sz w:val="22"/>
                <w:szCs w:val="22"/>
              </w:rPr>
              <w:t>.</w:t>
            </w:r>
          </w:p>
        </w:tc>
      </w:tr>
      <w:tr w:rsidR="00F443A2" w14:paraId="6C3C69EF" w14:textId="77777777" w:rsidTr="00476C6E">
        <w:tc>
          <w:tcPr>
            <w:tcW w:w="4531" w:type="dxa"/>
          </w:tcPr>
          <w:p w14:paraId="699F4C7E" w14:textId="4A53827B" w:rsidR="00F443A2" w:rsidRDefault="00F443A2" w:rsidP="00F443A2">
            <w:pPr>
              <w:rPr>
                <w:iCs/>
                <w:color w:val="000000" w:themeColor="text1"/>
                <w:sz w:val="22"/>
                <w:szCs w:val="22"/>
              </w:rPr>
            </w:pPr>
            <w:r>
              <w:rPr>
                <w:iCs/>
                <w:color w:val="000000" w:themeColor="text1"/>
                <w:sz w:val="22"/>
                <w:szCs w:val="22"/>
              </w:rPr>
              <w:t>A copy or counterpart of a document can be signed</w:t>
            </w:r>
            <w:r w:rsidR="00997381">
              <w:rPr>
                <w:iCs/>
                <w:color w:val="000000" w:themeColor="text1"/>
                <w:sz w:val="22"/>
                <w:szCs w:val="22"/>
              </w:rPr>
              <w:t xml:space="preserve"> electroni</w:t>
            </w:r>
            <w:r w:rsidR="00282B57">
              <w:rPr>
                <w:iCs/>
                <w:color w:val="000000" w:themeColor="text1"/>
                <w:sz w:val="22"/>
                <w:szCs w:val="22"/>
              </w:rPr>
              <w:t>c</w:t>
            </w:r>
            <w:r w:rsidR="00997381">
              <w:rPr>
                <w:iCs/>
                <w:color w:val="000000" w:themeColor="text1"/>
                <w:sz w:val="22"/>
                <w:szCs w:val="22"/>
              </w:rPr>
              <w:t>ally</w:t>
            </w:r>
            <w:r w:rsidR="00E06222">
              <w:rPr>
                <w:iCs/>
                <w:color w:val="000000" w:themeColor="text1"/>
                <w:sz w:val="22"/>
                <w:szCs w:val="22"/>
              </w:rPr>
              <w:t xml:space="preserve"> and must include the entire contents of the document</w:t>
            </w:r>
            <w:r w:rsidR="00172C7A">
              <w:rPr>
                <w:iCs/>
                <w:color w:val="000000" w:themeColor="text1"/>
                <w:sz w:val="22"/>
                <w:szCs w:val="22"/>
              </w:rPr>
              <w:t xml:space="preserve"> but does not need to include others’ signatures</w:t>
            </w:r>
            <w:r w:rsidR="007C7638">
              <w:rPr>
                <w:iCs/>
                <w:color w:val="000000" w:themeColor="text1"/>
                <w:sz w:val="22"/>
                <w:szCs w:val="22"/>
              </w:rPr>
              <w:t>.</w:t>
            </w:r>
          </w:p>
        </w:tc>
        <w:tc>
          <w:tcPr>
            <w:tcW w:w="5663" w:type="dxa"/>
          </w:tcPr>
          <w:p w14:paraId="11BB7A1F" w14:textId="77777777" w:rsidR="00E06222" w:rsidRDefault="00F443A2" w:rsidP="00F443A2">
            <w:pPr>
              <w:rPr>
                <w:color w:val="000000" w:themeColor="text1"/>
                <w:sz w:val="22"/>
                <w:szCs w:val="22"/>
              </w:rPr>
            </w:pPr>
            <w:r w:rsidRPr="00113967">
              <w:rPr>
                <w:color w:val="000000" w:themeColor="text1"/>
                <w:sz w:val="22"/>
                <w:szCs w:val="22"/>
              </w:rPr>
              <w:t>Allows documents to be validly executed in technology neutral and flexible manners</w:t>
            </w:r>
            <w:r w:rsidR="00E06222">
              <w:rPr>
                <w:color w:val="000000" w:themeColor="text1"/>
                <w:sz w:val="22"/>
                <w:szCs w:val="22"/>
              </w:rPr>
              <w:t xml:space="preserve"> and does not require:</w:t>
            </w:r>
          </w:p>
          <w:p w14:paraId="13FA49ED" w14:textId="77777777" w:rsidR="00E06222" w:rsidRDefault="00E06222" w:rsidP="00E06222">
            <w:pPr>
              <w:pStyle w:val="ListParagraph"/>
              <w:numPr>
                <w:ilvl w:val="0"/>
                <w:numId w:val="41"/>
              </w:numPr>
              <w:rPr>
                <w:color w:val="000000" w:themeColor="text1"/>
                <w:sz w:val="22"/>
                <w:szCs w:val="22"/>
              </w:rPr>
            </w:pPr>
            <w:r>
              <w:rPr>
                <w:color w:val="000000" w:themeColor="text1"/>
                <w:sz w:val="22"/>
                <w:szCs w:val="22"/>
              </w:rPr>
              <w:t>persons to sign the same form of document</w:t>
            </w:r>
          </w:p>
          <w:p w14:paraId="1D9888DC" w14:textId="77777777" w:rsidR="00E06222" w:rsidRDefault="00E06222" w:rsidP="00E06222">
            <w:pPr>
              <w:pStyle w:val="ListParagraph"/>
              <w:numPr>
                <w:ilvl w:val="0"/>
                <w:numId w:val="41"/>
              </w:numPr>
              <w:rPr>
                <w:color w:val="000000" w:themeColor="text1"/>
                <w:sz w:val="22"/>
                <w:szCs w:val="22"/>
              </w:rPr>
            </w:pPr>
            <w:r>
              <w:rPr>
                <w:color w:val="000000" w:themeColor="text1"/>
                <w:sz w:val="22"/>
                <w:szCs w:val="22"/>
              </w:rPr>
              <w:t>persons to sign the same page of the document</w:t>
            </w:r>
          </w:p>
          <w:p w14:paraId="5377A3F6" w14:textId="780B517A" w:rsidR="00E06222" w:rsidRDefault="00E06222" w:rsidP="00E06222">
            <w:pPr>
              <w:pStyle w:val="ListParagraph"/>
              <w:numPr>
                <w:ilvl w:val="0"/>
                <w:numId w:val="41"/>
              </w:numPr>
              <w:rPr>
                <w:color w:val="000000" w:themeColor="text1"/>
                <w:sz w:val="22"/>
                <w:szCs w:val="22"/>
              </w:rPr>
            </w:pPr>
            <w:r>
              <w:rPr>
                <w:color w:val="000000" w:themeColor="text1"/>
                <w:sz w:val="22"/>
                <w:szCs w:val="22"/>
              </w:rPr>
              <w:t>persons to use the same method of signing</w:t>
            </w:r>
          </w:p>
          <w:p w14:paraId="1F466FD1" w14:textId="7F3D0AD7" w:rsidR="00E06222" w:rsidRPr="00704663" w:rsidRDefault="00E06222" w:rsidP="00704663">
            <w:pPr>
              <w:pStyle w:val="ListParagraph"/>
              <w:numPr>
                <w:ilvl w:val="0"/>
                <w:numId w:val="41"/>
              </w:numPr>
              <w:rPr>
                <w:color w:val="000000" w:themeColor="text1"/>
                <w:sz w:val="22"/>
                <w:szCs w:val="22"/>
              </w:rPr>
            </w:pPr>
            <w:r w:rsidRPr="00E06222">
              <w:rPr>
                <w:color w:val="000000" w:themeColor="text1"/>
                <w:sz w:val="22"/>
                <w:szCs w:val="22"/>
              </w:rPr>
              <w:t xml:space="preserve">the signed document to include all the contents of the document. </w:t>
            </w:r>
            <w:r w:rsidR="00F443A2" w:rsidRPr="00704663">
              <w:rPr>
                <w:color w:val="000000" w:themeColor="text1"/>
                <w:sz w:val="22"/>
                <w:szCs w:val="22"/>
              </w:rPr>
              <w:t xml:space="preserve"> </w:t>
            </w:r>
          </w:p>
        </w:tc>
      </w:tr>
      <w:tr w:rsidR="00B4036C" w14:paraId="7F0AB5A7" w14:textId="77777777" w:rsidTr="00F443A2">
        <w:tc>
          <w:tcPr>
            <w:tcW w:w="4531" w:type="dxa"/>
          </w:tcPr>
          <w:p w14:paraId="28574294" w14:textId="74E97614" w:rsidR="00B4036C" w:rsidRDefault="00F616CF" w:rsidP="00F443A2">
            <w:pPr>
              <w:rPr>
                <w:iCs/>
                <w:color w:val="000000" w:themeColor="text1"/>
                <w:sz w:val="22"/>
                <w:szCs w:val="22"/>
              </w:rPr>
            </w:pPr>
            <w:r>
              <w:rPr>
                <w:iCs/>
                <w:color w:val="000000" w:themeColor="text1"/>
                <w:sz w:val="22"/>
                <w:szCs w:val="22"/>
              </w:rPr>
              <w:t>Unclear whether deeds have to be signed on paper, parchment or vellum</w:t>
            </w:r>
            <w:r w:rsidR="007C7638">
              <w:rPr>
                <w:iCs/>
                <w:color w:val="000000" w:themeColor="text1"/>
                <w:sz w:val="22"/>
                <w:szCs w:val="22"/>
              </w:rPr>
              <w:t>.</w:t>
            </w:r>
          </w:p>
        </w:tc>
        <w:tc>
          <w:tcPr>
            <w:tcW w:w="5663" w:type="dxa"/>
          </w:tcPr>
          <w:p w14:paraId="36A1FA43" w14:textId="616F592F" w:rsidR="00B4036C" w:rsidRPr="00113967" w:rsidRDefault="00B4036C" w:rsidP="00F443A2">
            <w:pPr>
              <w:rPr>
                <w:color w:val="000000" w:themeColor="text1"/>
                <w:sz w:val="22"/>
                <w:szCs w:val="22"/>
              </w:rPr>
            </w:pPr>
            <w:r w:rsidRPr="00113967">
              <w:rPr>
                <w:color w:val="000000" w:themeColor="text1"/>
                <w:sz w:val="22"/>
                <w:szCs w:val="22"/>
              </w:rPr>
              <w:t xml:space="preserve">Ensures that deeds do not need to be signed on paper, parchment or vellum to be executed and </w:t>
            </w:r>
            <w:r w:rsidR="0095651B" w:rsidRPr="0095651B">
              <w:rPr>
                <w:color w:val="000000" w:themeColor="text1"/>
                <w:sz w:val="22"/>
                <w:szCs w:val="22"/>
              </w:rPr>
              <w:t>removes the common law requirement of formal delivery</w:t>
            </w:r>
            <w:r w:rsidR="007C7638">
              <w:rPr>
                <w:color w:val="000000" w:themeColor="text1"/>
                <w:sz w:val="22"/>
                <w:szCs w:val="22"/>
              </w:rPr>
              <w:t>.</w:t>
            </w:r>
          </w:p>
        </w:tc>
      </w:tr>
      <w:tr w:rsidR="00B4036C" w14:paraId="19873565" w14:textId="77777777" w:rsidTr="00F443A2">
        <w:tc>
          <w:tcPr>
            <w:tcW w:w="4531" w:type="dxa"/>
          </w:tcPr>
          <w:p w14:paraId="76EBBEF8" w14:textId="121D1133" w:rsidR="00B4036C" w:rsidRDefault="00E06222" w:rsidP="00F443A2">
            <w:pPr>
              <w:rPr>
                <w:iCs/>
                <w:color w:val="000000" w:themeColor="text1"/>
                <w:sz w:val="22"/>
                <w:szCs w:val="22"/>
              </w:rPr>
            </w:pPr>
            <w:r>
              <w:rPr>
                <w:iCs/>
                <w:color w:val="000000" w:themeColor="text1"/>
                <w:sz w:val="22"/>
                <w:szCs w:val="22"/>
              </w:rPr>
              <w:t>No equivalent provision</w:t>
            </w:r>
            <w:r w:rsidR="007C7638">
              <w:rPr>
                <w:iCs/>
                <w:color w:val="000000" w:themeColor="text1"/>
                <w:sz w:val="22"/>
                <w:szCs w:val="22"/>
              </w:rPr>
              <w:t>.</w:t>
            </w:r>
          </w:p>
        </w:tc>
        <w:tc>
          <w:tcPr>
            <w:tcW w:w="5663" w:type="dxa"/>
          </w:tcPr>
          <w:p w14:paraId="4D0A2701" w14:textId="309DB1D9" w:rsidR="00B4036C" w:rsidRPr="00113967" w:rsidRDefault="00F616CF" w:rsidP="00F443A2">
            <w:pPr>
              <w:rPr>
                <w:color w:val="000000" w:themeColor="text1"/>
                <w:sz w:val="22"/>
                <w:szCs w:val="22"/>
              </w:rPr>
            </w:pPr>
            <w:r>
              <w:rPr>
                <w:color w:val="000000" w:themeColor="text1"/>
                <w:sz w:val="22"/>
                <w:szCs w:val="22"/>
              </w:rPr>
              <w:t>C</w:t>
            </w:r>
            <w:r w:rsidR="00B4036C" w:rsidRPr="00113967">
              <w:rPr>
                <w:color w:val="000000" w:themeColor="text1"/>
                <w:sz w:val="22"/>
                <w:szCs w:val="22"/>
              </w:rPr>
              <w:t xml:space="preserve">ompany agents </w:t>
            </w:r>
            <w:r>
              <w:rPr>
                <w:color w:val="000000" w:themeColor="text1"/>
                <w:sz w:val="22"/>
                <w:szCs w:val="22"/>
              </w:rPr>
              <w:t>can</w:t>
            </w:r>
            <w:r w:rsidRPr="00113967">
              <w:rPr>
                <w:color w:val="000000" w:themeColor="text1"/>
                <w:sz w:val="22"/>
                <w:szCs w:val="22"/>
              </w:rPr>
              <w:t xml:space="preserve"> </w:t>
            </w:r>
            <w:r w:rsidR="00B4036C" w:rsidRPr="00113967">
              <w:rPr>
                <w:color w:val="000000" w:themeColor="text1"/>
                <w:sz w:val="22"/>
                <w:szCs w:val="22"/>
              </w:rPr>
              <w:t>execute a deed without a witness</w:t>
            </w:r>
            <w:r w:rsidR="007C7638">
              <w:rPr>
                <w:color w:val="000000" w:themeColor="text1"/>
                <w:sz w:val="22"/>
                <w:szCs w:val="22"/>
              </w:rPr>
              <w:t>.</w:t>
            </w:r>
          </w:p>
        </w:tc>
      </w:tr>
      <w:tr w:rsidR="00B4036C" w14:paraId="5E530846" w14:textId="77777777" w:rsidTr="00F443A2">
        <w:tc>
          <w:tcPr>
            <w:tcW w:w="4531" w:type="dxa"/>
          </w:tcPr>
          <w:p w14:paraId="52F40159" w14:textId="2280CC19" w:rsidR="00AF5693" w:rsidRDefault="00AF5693" w:rsidP="0087113D">
            <w:pPr>
              <w:rPr>
                <w:iCs/>
                <w:color w:val="000000" w:themeColor="text1"/>
                <w:sz w:val="22"/>
                <w:szCs w:val="22"/>
              </w:rPr>
            </w:pPr>
            <w:r w:rsidRPr="00AF5693">
              <w:rPr>
                <w:iCs/>
                <w:color w:val="000000" w:themeColor="text1"/>
                <w:sz w:val="22"/>
                <w:szCs w:val="22"/>
              </w:rPr>
              <w:t>ASIC cannot refuse to receive or register the document on the basis that the document has been not been signed, if it has been signed in accordance with electronic signing provisions</w:t>
            </w:r>
            <w:r w:rsidR="007C7638">
              <w:rPr>
                <w:iCs/>
                <w:color w:val="000000" w:themeColor="text1"/>
                <w:sz w:val="22"/>
                <w:szCs w:val="22"/>
              </w:rPr>
              <w:t>.</w:t>
            </w:r>
          </w:p>
        </w:tc>
        <w:tc>
          <w:tcPr>
            <w:tcW w:w="5663" w:type="dxa"/>
          </w:tcPr>
          <w:p w14:paraId="0F9D94DD" w14:textId="5C38D786" w:rsidR="00204B31" w:rsidRPr="00204B31" w:rsidRDefault="00204B31" w:rsidP="00204B31">
            <w:pPr>
              <w:rPr>
                <w:color w:val="000000" w:themeColor="text1"/>
                <w:sz w:val="22"/>
                <w:szCs w:val="22"/>
              </w:rPr>
            </w:pPr>
            <w:r w:rsidRPr="00204B31">
              <w:rPr>
                <w:color w:val="000000" w:themeColor="text1"/>
                <w:sz w:val="22"/>
                <w:szCs w:val="22"/>
              </w:rPr>
              <w:t>ASIC or a Registrar cannot refuse to receive or register a document that is signed in accordance with the technology neutral signature provisions</w:t>
            </w:r>
            <w:r w:rsidR="007C7638">
              <w:rPr>
                <w:color w:val="000000" w:themeColor="text1"/>
                <w:sz w:val="22"/>
                <w:szCs w:val="22"/>
              </w:rPr>
              <w:t>.</w:t>
            </w:r>
          </w:p>
          <w:p w14:paraId="75E49C74" w14:textId="2CBC9ABD" w:rsidR="00B4036C" w:rsidRPr="00113967" w:rsidRDefault="00B4036C" w:rsidP="00F443A2">
            <w:pPr>
              <w:rPr>
                <w:color w:val="000000" w:themeColor="text1"/>
                <w:sz w:val="22"/>
                <w:szCs w:val="22"/>
              </w:rPr>
            </w:pPr>
          </w:p>
        </w:tc>
      </w:tr>
      <w:tr w:rsidR="00B4036C" w14:paraId="68D8D6D2" w14:textId="77777777" w:rsidTr="00F443A2">
        <w:tc>
          <w:tcPr>
            <w:tcW w:w="4531" w:type="dxa"/>
          </w:tcPr>
          <w:p w14:paraId="236075D6" w14:textId="7D4526A6" w:rsidR="00B4036C" w:rsidRDefault="00F616CF" w:rsidP="00F443A2">
            <w:pPr>
              <w:rPr>
                <w:iCs/>
                <w:color w:val="000000" w:themeColor="text1"/>
                <w:sz w:val="22"/>
                <w:szCs w:val="22"/>
              </w:rPr>
            </w:pPr>
            <w:r>
              <w:rPr>
                <w:iCs/>
                <w:color w:val="000000" w:themeColor="text1"/>
                <w:sz w:val="22"/>
                <w:szCs w:val="22"/>
              </w:rPr>
              <w:t>Documents can be signed electronically by company directors and company secretaries</w:t>
            </w:r>
            <w:r w:rsidR="007C7638">
              <w:rPr>
                <w:iCs/>
                <w:color w:val="000000" w:themeColor="text1"/>
                <w:sz w:val="22"/>
                <w:szCs w:val="22"/>
              </w:rPr>
              <w:t>.</w:t>
            </w:r>
          </w:p>
        </w:tc>
        <w:tc>
          <w:tcPr>
            <w:tcW w:w="5663" w:type="dxa"/>
          </w:tcPr>
          <w:p w14:paraId="46954DDC" w14:textId="45A704AF" w:rsidR="00B4036C" w:rsidRPr="00113967" w:rsidRDefault="00B4036C" w:rsidP="00F443A2">
            <w:pPr>
              <w:rPr>
                <w:color w:val="000000" w:themeColor="text1"/>
                <w:sz w:val="22"/>
                <w:szCs w:val="22"/>
              </w:rPr>
            </w:pPr>
            <w:r w:rsidRPr="00113967">
              <w:rPr>
                <w:color w:val="000000" w:themeColor="text1"/>
                <w:sz w:val="22"/>
                <w:szCs w:val="22"/>
              </w:rPr>
              <w:t>Expands the statutory validation for the execution of company documents to cover circumstances where these documents are executed by directors and company secretaries, as well as sole directors who are also the company secretary</w:t>
            </w:r>
            <w:r w:rsidR="007C7638">
              <w:rPr>
                <w:color w:val="000000" w:themeColor="text1"/>
                <w:sz w:val="22"/>
                <w:szCs w:val="22"/>
              </w:rPr>
              <w:t>.</w:t>
            </w:r>
          </w:p>
        </w:tc>
      </w:tr>
    </w:tbl>
    <w:p w14:paraId="33839C91" w14:textId="58FDC39E" w:rsidR="00F21E42" w:rsidRDefault="00097FCF" w:rsidP="0010015C">
      <w:r w:rsidRPr="005840DF">
        <w:rPr>
          <w:rFonts w:asciiTheme="majorHAnsi" w:eastAsiaTheme="majorEastAsia" w:hAnsiTheme="majorHAnsi" w:cstheme="majorBidi"/>
          <w:b/>
          <w:color w:val="014463" w:themeColor="text2"/>
          <w:sz w:val="40"/>
          <w:szCs w:val="40"/>
        </w:rPr>
        <w:t xml:space="preserve">6.2 </w:t>
      </w:r>
      <w:r w:rsidR="00F21E42" w:rsidRPr="005840DF">
        <w:rPr>
          <w:rFonts w:asciiTheme="majorHAnsi" w:eastAsiaTheme="majorEastAsia" w:hAnsiTheme="majorHAnsi" w:cstheme="majorBidi"/>
          <w:b/>
          <w:color w:val="014463" w:themeColor="text2"/>
          <w:sz w:val="40"/>
          <w:szCs w:val="40"/>
        </w:rPr>
        <w:t>Meeting-related materials</w:t>
      </w:r>
      <w:bookmarkEnd w:id="12"/>
    </w:p>
    <w:p w14:paraId="7ABF6EE0" w14:textId="59ECC6D5" w:rsidR="00AB6D3D" w:rsidRPr="00AB6D3D" w:rsidRDefault="007E6C97" w:rsidP="00AB6D3D">
      <w:pPr>
        <w:rPr>
          <w:color w:val="000000" w:themeColor="text1"/>
          <w:sz w:val="22"/>
          <w:szCs w:val="22"/>
        </w:rPr>
      </w:pPr>
      <w:bookmarkStart w:id="13" w:name="_Toc72506222"/>
      <w:r>
        <w:rPr>
          <w:color w:val="000000" w:themeColor="text1"/>
          <w:sz w:val="22"/>
          <w:szCs w:val="22"/>
        </w:rPr>
        <w:t xml:space="preserve">In terms of meeting-related materials, </w:t>
      </w:r>
      <w:r w:rsidR="00AB6D3D" w:rsidRPr="00AB6D3D">
        <w:rPr>
          <w:color w:val="000000" w:themeColor="text1"/>
          <w:sz w:val="22"/>
          <w:szCs w:val="22"/>
        </w:rPr>
        <w:t xml:space="preserve">Option 3 goes the furthest in terms of ensuring that the same substantive statutory requirements are met, while providing </w:t>
      </w:r>
      <w:r>
        <w:rPr>
          <w:color w:val="000000" w:themeColor="text1"/>
          <w:sz w:val="22"/>
          <w:szCs w:val="22"/>
        </w:rPr>
        <w:t xml:space="preserve">companies and members </w:t>
      </w:r>
      <w:r w:rsidR="00AB6D3D" w:rsidRPr="00AB6D3D">
        <w:rPr>
          <w:color w:val="000000" w:themeColor="text1"/>
          <w:sz w:val="22"/>
          <w:szCs w:val="22"/>
        </w:rPr>
        <w:t xml:space="preserve">as much flexibility to use technology as possible. </w:t>
      </w:r>
      <w:r w:rsidR="00113967">
        <w:rPr>
          <w:color w:val="000000" w:themeColor="text1"/>
          <w:sz w:val="22"/>
          <w:szCs w:val="22"/>
        </w:rPr>
        <w:t xml:space="preserve">The comparison between </w:t>
      </w:r>
      <w:r w:rsidR="00BC18F4">
        <w:rPr>
          <w:color w:val="000000" w:themeColor="text1"/>
          <w:sz w:val="22"/>
          <w:szCs w:val="22"/>
        </w:rPr>
        <w:t>O</w:t>
      </w:r>
      <w:r w:rsidR="00113967">
        <w:rPr>
          <w:color w:val="000000" w:themeColor="text1"/>
          <w:sz w:val="22"/>
          <w:szCs w:val="22"/>
        </w:rPr>
        <w:t>ption</w:t>
      </w:r>
      <w:r w:rsidR="00BC18F4">
        <w:rPr>
          <w:color w:val="000000" w:themeColor="text1"/>
          <w:sz w:val="22"/>
          <w:szCs w:val="22"/>
        </w:rPr>
        <w:t>s</w:t>
      </w:r>
      <w:r w:rsidR="00113967">
        <w:rPr>
          <w:color w:val="000000" w:themeColor="text1"/>
          <w:sz w:val="22"/>
          <w:szCs w:val="22"/>
        </w:rPr>
        <w:t xml:space="preserve"> 2 and 3 are as follows:</w:t>
      </w:r>
    </w:p>
    <w:tbl>
      <w:tblPr>
        <w:tblStyle w:val="TableGrid"/>
        <w:tblW w:w="0" w:type="auto"/>
        <w:tblLook w:val="04A0" w:firstRow="1" w:lastRow="0" w:firstColumn="1" w:lastColumn="0" w:noHBand="0" w:noVBand="1"/>
      </w:tblPr>
      <w:tblGrid>
        <w:gridCol w:w="4957"/>
        <w:gridCol w:w="5237"/>
      </w:tblGrid>
      <w:tr w:rsidR="00113967" w14:paraId="3756E070" w14:textId="77777777" w:rsidTr="004549C1">
        <w:tc>
          <w:tcPr>
            <w:tcW w:w="4957" w:type="dxa"/>
            <w:shd w:val="clear" w:color="auto" w:fill="014463" w:themeFill="accent2"/>
          </w:tcPr>
          <w:p w14:paraId="35B38E09" w14:textId="6B7606B6" w:rsidR="00113967" w:rsidRPr="004549C1" w:rsidRDefault="00113967" w:rsidP="00945A9E">
            <w:pPr>
              <w:jc w:val="center"/>
              <w:rPr>
                <w:b/>
                <w:bCs/>
                <w:color w:val="FFFFFF" w:themeColor="background1"/>
                <w:sz w:val="22"/>
                <w:szCs w:val="22"/>
              </w:rPr>
            </w:pPr>
            <w:r w:rsidRPr="004549C1">
              <w:rPr>
                <w:b/>
                <w:bCs/>
                <w:color w:val="FFFFFF" w:themeColor="background1"/>
                <w:sz w:val="22"/>
                <w:szCs w:val="22"/>
              </w:rPr>
              <w:t>Option 2</w:t>
            </w:r>
          </w:p>
        </w:tc>
        <w:tc>
          <w:tcPr>
            <w:tcW w:w="5237" w:type="dxa"/>
            <w:shd w:val="clear" w:color="auto" w:fill="014463" w:themeFill="accent2"/>
          </w:tcPr>
          <w:p w14:paraId="445CCDFB" w14:textId="451CDC70" w:rsidR="00113967" w:rsidRPr="004549C1" w:rsidRDefault="00113967" w:rsidP="00945A9E">
            <w:pPr>
              <w:jc w:val="center"/>
              <w:rPr>
                <w:b/>
                <w:bCs/>
                <w:color w:val="FFFFFF" w:themeColor="background1"/>
                <w:sz w:val="22"/>
                <w:szCs w:val="22"/>
              </w:rPr>
            </w:pPr>
            <w:r w:rsidRPr="004549C1">
              <w:rPr>
                <w:b/>
                <w:bCs/>
                <w:color w:val="FFFFFF" w:themeColor="background1"/>
                <w:sz w:val="22"/>
                <w:szCs w:val="22"/>
              </w:rPr>
              <w:t>Option 3</w:t>
            </w:r>
          </w:p>
        </w:tc>
      </w:tr>
      <w:tr w:rsidR="00113967" w14:paraId="4555718B" w14:textId="77777777" w:rsidTr="00945A9E">
        <w:tc>
          <w:tcPr>
            <w:tcW w:w="4957" w:type="dxa"/>
          </w:tcPr>
          <w:p w14:paraId="1AED02C1" w14:textId="79828908" w:rsidR="00113967" w:rsidRPr="00C93E70" w:rsidRDefault="00113967" w:rsidP="00AB6D3D">
            <w:pPr>
              <w:rPr>
                <w:sz w:val="22"/>
                <w:szCs w:val="22"/>
              </w:rPr>
            </w:pPr>
            <w:r w:rsidRPr="00C93E70">
              <w:rPr>
                <w:sz w:val="22"/>
                <w:szCs w:val="22"/>
              </w:rPr>
              <w:t xml:space="preserve">Documents relating to a meeting may be given </w:t>
            </w:r>
            <w:r w:rsidR="00480ABE" w:rsidRPr="00C93E70">
              <w:rPr>
                <w:sz w:val="22"/>
                <w:szCs w:val="22"/>
              </w:rPr>
              <w:t>electronically</w:t>
            </w:r>
            <w:r w:rsidR="00704663">
              <w:rPr>
                <w:sz w:val="22"/>
                <w:szCs w:val="22"/>
              </w:rPr>
              <w:t xml:space="preserve">, </w:t>
            </w:r>
            <w:r w:rsidR="006D477F">
              <w:rPr>
                <w:sz w:val="22"/>
                <w:szCs w:val="22"/>
              </w:rPr>
              <w:t xml:space="preserve">in hard copy or </w:t>
            </w:r>
            <w:r w:rsidR="00704663">
              <w:rPr>
                <w:sz w:val="22"/>
                <w:szCs w:val="22"/>
              </w:rPr>
              <w:t>through information in a postcard</w:t>
            </w:r>
            <w:r w:rsidR="007C7638">
              <w:rPr>
                <w:sz w:val="22"/>
                <w:szCs w:val="22"/>
              </w:rPr>
              <w:t>.</w:t>
            </w:r>
          </w:p>
        </w:tc>
        <w:tc>
          <w:tcPr>
            <w:tcW w:w="5237" w:type="dxa"/>
          </w:tcPr>
          <w:p w14:paraId="118F6654" w14:textId="2AA03B7E" w:rsidR="00113967" w:rsidRDefault="00FA2D26" w:rsidP="00AB6D3D">
            <w:pPr>
              <w:rPr>
                <w:color w:val="000000" w:themeColor="text1"/>
                <w:sz w:val="22"/>
                <w:szCs w:val="22"/>
              </w:rPr>
            </w:pPr>
            <w:r w:rsidRPr="00C93E70">
              <w:rPr>
                <w:sz w:val="22"/>
                <w:szCs w:val="22"/>
              </w:rPr>
              <w:t>Allows companies to send documents</w:t>
            </w:r>
            <w:r w:rsidR="006D477F">
              <w:rPr>
                <w:sz w:val="22"/>
                <w:szCs w:val="22"/>
              </w:rPr>
              <w:t xml:space="preserve"> relating to a meeting</w:t>
            </w:r>
            <w:r w:rsidRPr="00C93E70">
              <w:rPr>
                <w:sz w:val="22"/>
                <w:szCs w:val="22"/>
              </w:rPr>
              <w:t xml:space="preserve"> in five ways: in hard copy</w:t>
            </w:r>
            <w:r w:rsidR="00425475">
              <w:rPr>
                <w:sz w:val="22"/>
                <w:szCs w:val="22"/>
              </w:rPr>
              <w:t>;</w:t>
            </w:r>
            <w:r w:rsidRPr="00C93E70">
              <w:rPr>
                <w:sz w:val="22"/>
                <w:szCs w:val="22"/>
              </w:rPr>
              <w:t xml:space="preserve"> electronically</w:t>
            </w:r>
            <w:r w:rsidR="00425475">
              <w:rPr>
                <w:sz w:val="22"/>
                <w:szCs w:val="22"/>
              </w:rPr>
              <w:t>;</w:t>
            </w:r>
            <w:r w:rsidRPr="00C93E70">
              <w:rPr>
                <w:sz w:val="22"/>
                <w:szCs w:val="22"/>
              </w:rPr>
              <w:t xml:space="preserve"> physically with access to information electronically (</w:t>
            </w:r>
            <w:r w:rsidR="00324C38" w:rsidRPr="00C93E70">
              <w:rPr>
                <w:sz w:val="22"/>
                <w:szCs w:val="22"/>
              </w:rPr>
              <w:t>e.g.,</w:t>
            </w:r>
            <w:r w:rsidRPr="00C93E70">
              <w:rPr>
                <w:sz w:val="22"/>
                <w:szCs w:val="22"/>
              </w:rPr>
              <w:t xml:space="preserve"> physical postcard)</w:t>
            </w:r>
            <w:r w:rsidR="00425475">
              <w:rPr>
                <w:sz w:val="22"/>
                <w:szCs w:val="22"/>
              </w:rPr>
              <w:t>;</w:t>
            </w:r>
            <w:r w:rsidRPr="00C93E70">
              <w:rPr>
                <w:sz w:val="22"/>
                <w:szCs w:val="22"/>
              </w:rPr>
              <w:t xml:space="preserve"> electronically, with access to information electronically (</w:t>
            </w:r>
            <w:r w:rsidR="00324C38" w:rsidRPr="00C93E70">
              <w:rPr>
                <w:sz w:val="22"/>
                <w:szCs w:val="22"/>
              </w:rPr>
              <w:t>e.g.,</w:t>
            </w:r>
            <w:r w:rsidRPr="00C93E70">
              <w:rPr>
                <w:sz w:val="22"/>
                <w:szCs w:val="22"/>
              </w:rPr>
              <w:t xml:space="preserve"> electronic postcard)</w:t>
            </w:r>
            <w:r w:rsidR="00425475">
              <w:rPr>
                <w:sz w:val="22"/>
                <w:szCs w:val="22"/>
              </w:rPr>
              <w:t>;</w:t>
            </w:r>
            <w:r w:rsidRPr="00C93E70">
              <w:rPr>
                <w:sz w:val="22"/>
                <w:szCs w:val="22"/>
              </w:rPr>
              <w:t xml:space="preserve"> or by posting the information on </w:t>
            </w:r>
            <w:r>
              <w:rPr>
                <w:sz w:val="22"/>
                <w:szCs w:val="22"/>
              </w:rPr>
              <w:t>a</w:t>
            </w:r>
            <w:r w:rsidRPr="00C93E70">
              <w:rPr>
                <w:sz w:val="22"/>
                <w:szCs w:val="22"/>
              </w:rPr>
              <w:t xml:space="preserve"> </w:t>
            </w:r>
            <w:r w:rsidRPr="00425475">
              <w:rPr>
                <w:sz w:val="22"/>
                <w:szCs w:val="22"/>
              </w:rPr>
              <w:t>website</w:t>
            </w:r>
            <w:r w:rsidR="00425475" w:rsidRPr="00425475">
              <w:rPr>
                <w:sz w:val="22"/>
                <w:szCs w:val="22"/>
              </w:rPr>
              <w:t>, if the document is an annual report or otherwise permitted by the regulations</w:t>
            </w:r>
            <w:r w:rsidR="007C7638">
              <w:rPr>
                <w:sz w:val="22"/>
                <w:szCs w:val="22"/>
              </w:rPr>
              <w:t>.</w:t>
            </w:r>
          </w:p>
        </w:tc>
      </w:tr>
      <w:tr w:rsidR="00B4036C" w14:paraId="309738DB" w14:textId="77777777" w:rsidTr="00945A9E">
        <w:tc>
          <w:tcPr>
            <w:tcW w:w="4957" w:type="dxa"/>
            <w:vMerge w:val="restart"/>
          </w:tcPr>
          <w:p w14:paraId="79F1B0D8" w14:textId="5EE70675" w:rsidR="00B4036C" w:rsidRPr="00C93E70" w:rsidRDefault="00B4036C" w:rsidP="00AB6D3D">
            <w:pPr>
              <w:rPr>
                <w:sz w:val="22"/>
                <w:szCs w:val="22"/>
              </w:rPr>
            </w:pPr>
            <w:r w:rsidRPr="00C93E70">
              <w:rPr>
                <w:sz w:val="22"/>
                <w:szCs w:val="22"/>
              </w:rPr>
              <w:t>Members have the right to opt-in to receive documents in hard copy</w:t>
            </w:r>
            <w:r w:rsidR="007C7638">
              <w:rPr>
                <w:sz w:val="22"/>
                <w:szCs w:val="22"/>
              </w:rPr>
              <w:t>.</w:t>
            </w:r>
          </w:p>
        </w:tc>
        <w:tc>
          <w:tcPr>
            <w:tcW w:w="5237" w:type="dxa"/>
          </w:tcPr>
          <w:p w14:paraId="481A3605" w14:textId="585A6A86" w:rsidR="00B4036C" w:rsidRDefault="00B4036C" w:rsidP="00AB6D3D">
            <w:pPr>
              <w:rPr>
                <w:color w:val="000000" w:themeColor="text1"/>
                <w:sz w:val="22"/>
                <w:szCs w:val="22"/>
              </w:rPr>
            </w:pPr>
            <w:r w:rsidRPr="00C93E70">
              <w:rPr>
                <w:sz w:val="22"/>
                <w:szCs w:val="22"/>
              </w:rPr>
              <w:t>Allows companies to choose whether to satisfy their obligations to provide documents to recipients by providing hard copy documents or by using electronic means unless a member makes an election to receive documents in a certain manner</w:t>
            </w:r>
            <w:r w:rsidR="007C7638">
              <w:rPr>
                <w:sz w:val="22"/>
                <w:szCs w:val="22"/>
              </w:rPr>
              <w:t>.</w:t>
            </w:r>
          </w:p>
        </w:tc>
      </w:tr>
      <w:tr w:rsidR="00B4036C" w14:paraId="1CE0CD63" w14:textId="77777777" w:rsidTr="00945A9E">
        <w:trPr>
          <w:trHeight w:val="537"/>
        </w:trPr>
        <w:tc>
          <w:tcPr>
            <w:tcW w:w="4957" w:type="dxa"/>
            <w:vMerge/>
            <w:tcBorders>
              <w:bottom w:val="single" w:sz="4" w:space="0" w:color="auto"/>
            </w:tcBorders>
          </w:tcPr>
          <w:p w14:paraId="0C111FB4" w14:textId="735A6332" w:rsidR="00B4036C" w:rsidRPr="00C93E70" w:rsidRDefault="00B4036C" w:rsidP="00FA2D26">
            <w:pPr>
              <w:rPr>
                <w:sz w:val="22"/>
                <w:szCs w:val="22"/>
              </w:rPr>
            </w:pPr>
          </w:p>
        </w:tc>
        <w:tc>
          <w:tcPr>
            <w:tcW w:w="5237" w:type="dxa"/>
            <w:tcBorders>
              <w:bottom w:val="single" w:sz="4" w:space="0" w:color="auto"/>
            </w:tcBorders>
          </w:tcPr>
          <w:p w14:paraId="07FA000E" w14:textId="6017091E" w:rsidR="00B4036C" w:rsidRPr="00C93E70" w:rsidRDefault="00B4036C" w:rsidP="00FA2D26">
            <w:pPr>
              <w:rPr>
                <w:sz w:val="22"/>
                <w:szCs w:val="22"/>
              </w:rPr>
            </w:pPr>
            <w:r w:rsidRPr="00C93E70">
              <w:rPr>
                <w:sz w:val="22"/>
                <w:szCs w:val="22"/>
              </w:rPr>
              <w:t>Allows members the flexibility to elect to receive documents in a particular format on a once-off basis</w:t>
            </w:r>
            <w:r w:rsidR="007C7638">
              <w:rPr>
                <w:sz w:val="22"/>
                <w:szCs w:val="22"/>
              </w:rPr>
              <w:t>.</w:t>
            </w:r>
          </w:p>
        </w:tc>
      </w:tr>
      <w:tr w:rsidR="00FA2D26" w14:paraId="424BAB2D" w14:textId="77777777" w:rsidTr="00945A9E">
        <w:tc>
          <w:tcPr>
            <w:tcW w:w="4957" w:type="dxa"/>
          </w:tcPr>
          <w:p w14:paraId="58003AC3" w14:textId="4D3C3F9B" w:rsidR="00FA2D26" w:rsidRDefault="00FA2D26" w:rsidP="00FA2D26">
            <w:pPr>
              <w:rPr>
                <w:color w:val="000000" w:themeColor="text1"/>
                <w:sz w:val="22"/>
                <w:szCs w:val="22"/>
              </w:rPr>
            </w:pPr>
            <w:r w:rsidRPr="00C93E70">
              <w:rPr>
                <w:sz w:val="22"/>
                <w:szCs w:val="22"/>
              </w:rPr>
              <w:t>Documents relating to a meeting may be signed electronically</w:t>
            </w:r>
            <w:r w:rsidR="0035283C">
              <w:rPr>
                <w:sz w:val="22"/>
                <w:szCs w:val="22"/>
              </w:rPr>
              <w:t>.</w:t>
            </w:r>
          </w:p>
        </w:tc>
        <w:tc>
          <w:tcPr>
            <w:tcW w:w="5237" w:type="dxa"/>
          </w:tcPr>
          <w:p w14:paraId="1BDB2CA0" w14:textId="4D20EA88" w:rsidR="00FA2D26" w:rsidRPr="00C93E70" w:rsidRDefault="00FA2D26" w:rsidP="00FA2D26">
            <w:pPr>
              <w:rPr>
                <w:sz w:val="22"/>
                <w:szCs w:val="22"/>
              </w:rPr>
            </w:pPr>
            <w:r w:rsidRPr="00C93E70">
              <w:rPr>
                <w:sz w:val="22"/>
                <w:szCs w:val="22"/>
              </w:rPr>
              <w:t>Documents relating to a meeting may be signed electronically</w:t>
            </w:r>
            <w:r w:rsidR="007C7638">
              <w:rPr>
                <w:sz w:val="22"/>
                <w:szCs w:val="22"/>
              </w:rPr>
              <w:t>.</w:t>
            </w:r>
          </w:p>
        </w:tc>
      </w:tr>
      <w:tr w:rsidR="00FA2D26" w14:paraId="4D57CF73" w14:textId="77777777" w:rsidTr="00945A9E">
        <w:tc>
          <w:tcPr>
            <w:tcW w:w="4957" w:type="dxa"/>
          </w:tcPr>
          <w:p w14:paraId="07D76BC6" w14:textId="12A48984" w:rsidR="00FA2D26" w:rsidRPr="00C93E70" w:rsidRDefault="00FA2D26" w:rsidP="00FA2D26">
            <w:pPr>
              <w:rPr>
                <w:sz w:val="22"/>
                <w:szCs w:val="22"/>
              </w:rPr>
            </w:pPr>
            <w:r w:rsidRPr="00C93E70">
              <w:rPr>
                <w:sz w:val="22"/>
                <w:szCs w:val="22"/>
              </w:rPr>
              <w:t>Meeting minutes may be recoded, kept and provided electronically</w:t>
            </w:r>
            <w:r w:rsidR="0035283C">
              <w:rPr>
                <w:sz w:val="22"/>
                <w:szCs w:val="22"/>
              </w:rPr>
              <w:t>.</w:t>
            </w:r>
          </w:p>
        </w:tc>
        <w:tc>
          <w:tcPr>
            <w:tcW w:w="5237" w:type="dxa"/>
          </w:tcPr>
          <w:p w14:paraId="6E4E4FC9" w14:textId="1ADBB8E6" w:rsidR="00FA2D26" w:rsidRPr="00C93E70" w:rsidRDefault="00FA2D26" w:rsidP="00FA2D26">
            <w:pPr>
              <w:rPr>
                <w:sz w:val="22"/>
                <w:szCs w:val="22"/>
              </w:rPr>
            </w:pPr>
            <w:r w:rsidRPr="00C93E70">
              <w:rPr>
                <w:sz w:val="22"/>
                <w:szCs w:val="22"/>
              </w:rPr>
              <w:t>Meeting minutes may be recoded, kept and provided electronically</w:t>
            </w:r>
            <w:r w:rsidR="007C7638">
              <w:rPr>
                <w:sz w:val="22"/>
                <w:szCs w:val="22"/>
              </w:rPr>
              <w:t>.</w:t>
            </w:r>
          </w:p>
        </w:tc>
      </w:tr>
      <w:tr w:rsidR="00B4036C" w14:paraId="0D30E189" w14:textId="77777777" w:rsidTr="00945A9E">
        <w:tc>
          <w:tcPr>
            <w:tcW w:w="4957" w:type="dxa"/>
          </w:tcPr>
          <w:p w14:paraId="0BE9997B" w14:textId="3013D120" w:rsidR="00B4036C" w:rsidRPr="00C93E70" w:rsidRDefault="00620C9E" w:rsidP="00FA2D26">
            <w:pPr>
              <w:rPr>
                <w:sz w:val="22"/>
                <w:szCs w:val="22"/>
              </w:rPr>
            </w:pPr>
            <w:r>
              <w:rPr>
                <w:sz w:val="22"/>
                <w:szCs w:val="22"/>
              </w:rPr>
              <w:t xml:space="preserve">Requires companies and registered schemes to notify members of their rights to </w:t>
            </w:r>
            <w:r w:rsidR="00FE078D">
              <w:rPr>
                <w:sz w:val="22"/>
                <w:szCs w:val="22"/>
              </w:rPr>
              <w:t>make an election within two months of the person becoming a member</w:t>
            </w:r>
          </w:p>
        </w:tc>
        <w:tc>
          <w:tcPr>
            <w:tcW w:w="5237" w:type="dxa"/>
          </w:tcPr>
          <w:p w14:paraId="1BB1C074" w14:textId="6EC5B483" w:rsidR="00B4036C" w:rsidRPr="00C93E70" w:rsidRDefault="00FE078D" w:rsidP="00FA2D26">
            <w:pPr>
              <w:rPr>
                <w:sz w:val="22"/>
                <w:szCs w:val="22"/>
              </w:rPr>
            </w:pPr>
            <w:r w:rsidRPr="00C93E70">
              <w:rPr>
                <w:sz w:val="22"/>
                <w:szCs w:val="22"/>
              </w:rPr>
              <w:t xml:space="preserve">Requires public companies and registered schemes to notify members of their election rights either once a year (through the notice of meeting), or by publishing on </w:t>
            </w:r>
            <w:r>
              <w:rPr>
                <w:sz w:val="22"/>
                <w:szCs w:val="22"/>
              </w:rPr>
              <w:t>a</w:t>
            </w:r>
            <w:r w:rsidRPr="00C93E70">
              <w:rPr>
                <w:sz w:val="22"/>
                <w:szCs w:val="22"/>
              </w:rPr>
              <w:t xml:space="preserve"> website</w:t>
            </w:r>
            <w:r>
              <w:rPr>
                <w:sz w:val="22"/>
                <w:szCs w:val="22"/>
              </w:rPr>
              <w:t xml:space="preserve"> in relation to meeting-related materials.</w:t>
            </w:r>
          </w:p>
        </w:tc>
      </w:tr>
      <w:tr w:rsidR="00620C9E" w14:paraId="2F52CEE5" w14:textId="77777777" w:rsidTr="00945A9E">
        <w:tc>
          <w:tcPr>
            <w:tcW w:w="4957" w:type="dxa"/>
          </w:tcPr>
          <w:p w14:paraId="368BE4E5" w14:textId="05870AF6" w:rsidR="00620C9E" w:rsidRPr="00C93E70" w:rsidRDefault="00620C9E" w:rsidP="00620C9E">
            <w:pPr>
              <w:rPr>
                <w:sz w:val="22"/>
                <w:szCs w:val="22"/>
              </w:rPr>
            </w:pPr>
            <w:r>
              <w:rPr>
                <w:sz w:val="22"/>
                <w:szCs w:val="22"/>
              </w:rPr>
              <w:t>Requires companies and registered schemes to notify the annual report is accessible on a website or in writing.</w:t>
            </w:r>
          </w:p>
        </w:tc>
        <w:tc>
          <w:tcPr>
            <w:tcW w:w="5237" w:type="dxa"/>
          </w:tcPr>
          <w:p w14:paraId="2FD8E841" w14:textId="60B75801" w:rsidR="00620C9E" w:rsidRPr="00C93E70" w:rsidRDefault="00FE078D" w:rsidP="00620C9E">
            <w:pPr>
              <w:rPr>
                <w:sz w:val="22"/>
                <w:szCs w:val="22"/>
              </w:rPr>
            </w:pPr>
            <w:r>
              <w:rPr>
                <w:sz w:val="22"/>
                <w:szCs w:val="22"/>
              </w:rPr>
              <w:t>Requires companies and registered schemes to notify the annual report is accessible on a website or in writing.</w:t>
            </w:r>
          </w:p>
        </w:tc>
      </w:tr>
      <w:tr w:rsidR="00620C9E" w14:paraId="3BE86D22" w14:textId="77777777" w:rsidTr="00945A9E">
        <w:tc>
          <w:tcPr>
            <w:tcW w:w="4957" w:type="dxa"/>
          </w:tcPr>
          <w:p w14:paraId="6054D9FE" w14:textId="49262A7C" w:rsidR="00620C9E" w:rsidRPr="00C93E70" w:rsidRDefault="00620C9E" w:rsidP="00620C9E">
            <w:pPr>
              <w:rPr>
                <w:sz w:val="22"/>
                <w:szCs w:val="22"/>
              </w:rPr>
            </w:pPr>
            <w:r>
              <w:rPr>
                <w:sz w:val="22"/>
                <w:szCs w:val="22"/>
              </w:rPr>
              <w:t>Documents can be sent from company to member, member to company and between companies and auditors.</w:t>
            </w:r>
          </w:p>
        </w:tc>
        <w:tc>
          <w:tcPr>
            <w:tcW w:w="5237" w:type="dxa"/>
          </w:tcPr>
          <w:p w14:paraId="323BD1B2" w14:textId="5838A199" w:rsidR="00620C9E" w:rsidRPr="00C93E70" w:rsidRDefault="00620C9E" w:rsidP="00620C9E">
            <w:pPr>
              <w:rPr>
                <w:sz w:val="22"/>
                <w:szCs w:val="22"/>
              </w:rPr>
            </w:pPr>
            <w:r w:rsidRPr="00C93E70">
              <w:rPr>
                <w:sz w:val="22"/>
                <w:szCs w:val="22"/>
              </w:rPr>
              <w:t>Expands the scope of documents to include all documents sent by a company related to meetings to anyone, not just to members</w:t>
            </w:r>
            <w:r>
              <w:rPr>
                <w:sz w:val="22"/>
                <w:szCs w:val="22"/>
              </w:rPr>
              <w:t>.</w:t>
            </w:r>
          </w:p>
        </w:tc>
      </w:tr>
      <w:tr w:rsidR="00620C9E" w14:paraId="13F2F369" w14:textId="77777777" w:rsidTr="00945A9E">
        <w:tc>
          <w:tcPr>
            <w:tcW w:w="4957" w:type="dxa"/>
          </w:tcPr>
          <w:p w14:paraId="1F16A422" w14:textId="0F9C6086" w:rsidR="00620C9E" w:rsidRPr="00C93E70" w:rsidRDefault="00620C9E" w:rsidP="00620C9E">
            <w:pPr>
              <w:rPr>
                <w:sz w:val="22"/>
                <w:szCs w:val="22"/>
              </w:rPr>
            </w:pPr>
            <w:r>
              <w:rPr>
                <w:sz w:val="22"/>
                <w:szCs w:val="22"/>
              </w:rPr>
              <w:t>Can elect not to receive annual reports.</w:t>
            </w:r>
          </w:p>
        </w:tc>
        <w:tc>
          <w:tcPr>
            <w:tcW w:w="5237" w:type="dxa"/>
          </w:tcPr>
          <w:p w14:paraId="42A37602" w14:textId="31AB0605" w:rsidR="00620C9E" w:rsidRPr="00C93E70" w:rsidRDefault="00620C9E" w:rsidP="00620C9E">
            <w:pPr>
              <w:rPr>
                <w:sz w:val="22"/>
                <w:szCs w:val="22"/>
              </w:rPr>
            </w:pPr>
            <w:r>
              <w:rPr>
                <w:sz w:val="22"/>
                <w:szCs w:val="22"/>
              </w:rPr>
              <w:t>P</w:t>
            </w:r>
            <w:r w:rsidRPr="00C93E70">
              <w:rPr>
                <w:sz w:val="22"/>
                <w:szCs w:val="22"/>
              </w:rPr>
              <w:t xml:space="preserve">rovides members with the option to elect not to receive </w:t>
            </w:r>
            <w:r>
              <w:rPr>
                <w:sz w:val="22"/>
                <w:szCs w:val="22"/>
              </w:rPr>
              <w:t xml:space="preserve">annual reports or </w:t>
            </w:r>
            <w:r w:rsidRPr="00C93E70">
              <w:rPr>
                <w:sz w:val="22"/>
                <w:szCs w:val="22"/>
              </w:rPr>
              <w:t>certain</w:t>
            </w:r>
            <w:r>
              <w:rPr>
                <w:sz w:val="22"/>
                <w:szCs w:val="22"/>
              </w:rPr>
              <w:t xml:space="preserve"> other</w:t>
            </w:r>
            <w:r w:rsidRPr="00C93E70">
              <w:rPr>
                <w:sz w:val="22"/>
                <w:szCs w:val="22"/>
              </w:rPr>
              <w:t xml:space="preserve"> documents</w:t>
            </w:r>
            <w:r>
              <w:rPr>
                <w:sz w:val="22"/>
                <w:szCs w:val="22"/>
              </w:rPr>
              <w:t>, that are prescribed by</w:t>
            </w:r>
            <w:r w:rsidRPr="00C93E70">
              <w:rPr>
                <w:sz w:val="22"/>
                <w:szCs w:val="22"/>
              </w:rPr>
              <w:t xml:space="preserve"> the regulations</w:t>
            </w:r>
            <w:r>
              <w:rPr>
                <w:sz w:val="22"/>
                <w:szCs w:val="22"/>
              </w:rPr>
              <w:t>.</w:t>
            </w:r>
          </w:p>
        </w:tc>
      </w:tr>
      <w:tr w:rsidR="00620C9E" w14:paraId="5DC4DECD" w14:textId="77777777" w:rsidTr="00945A9E">
        <w:tc>
          <w:tcPr>
            <w:tcW w:w="4957" w:type="dxa"/>
          </w:tcPr>
          <w:p w14:paraId="19917A02" w14:textId="578B1A3E" w:rsidR="00620C9E" w:rsidRDefault="00620C9E" w:rsidP="00620C9E">
            <w:pPr>
              <w:rPr>
                <w:sz w:val="22"/>
                <w:szCs w:val="22"/>
              </w:rPr>
            </w:pPr>
            <w:r>
              <w:rPr>
                <w:sz w:val="22"/>
                <w:szCs w:val="22"/>
              </w:rPr>
              <w:t>Requires companies to provide hard copies within 10 business days.</w:t>
            </w:r>
          </w:p>
        </w:tc>
        <w:tc>
          <w:tcPr>
            <w:tcW w:w="5237" w:type="dxa"/>
          </w:tcPr>
          <w:p w14:paraId="7D0256B2" w14:textId="0E7A9EE8" w:rsidR="00620C9E" w:rsidRPr="00C93E70" w:rsidRDefault="00620C9E" w:rsidP="00620C9E">
            <w:pPr>
              <w:rPr>
                <w:sz w:val="22"/>
                <w:szCs w:val="22"/>
              </w:rPr>
            </w:pPr>
            <w:r w:rsidRPr="00C93E70">
              <w:rPr>
                <w:sz w:val="22"/>
                <w:szCs w:val="22"/>
              </w:rPr>
              <w:t>Provides companies with a period of 30 days to comply with a new member election to receive documents in hard copy</w:t>
            </w:r>
            <w:r>
              <w:rPr>
                <w:sz w:val="22"/>
                <w:szCs w:val="22"/>
              </w:rPr>
              <w:t>.</w:t>
            </w:r>
          </w:p>
        </w:tc>
      </w:tr>
    </w:tbl>
    <w:p w14:paraId="5406BEF2" w14:textId="67AC2F05" w:rsidR="00F21E42" w:rsidRDefault="00097FCF" w:rsidP="001E33A2">
      <w:pPr>
        <w:pStyle w:val="Heading2"/>
      </w:pPr>
      <w:r>
        <w:t xml:space="preserve">6.3 </w:t>
      </w:r>
      <w:r w:rsidR="00F21E42">
        <w:t>Overall regulatory savings</w:t>
      </w:r>
      <w:bookmarkEnd w:id="13"/>
    </w:p>
    <w:p w14:paraId="7B3DB54B" w14:textId="527D23EE" w:rsidR="00540308" w:rsidRDefault="00AB6D3D" w:rsidP="00AB6D3D">
      <w:pPr>
        <w:rPr>
          <w:color w:val="000000" w:themeColor="text1"/>
          <w:sz w:val="22"/>
          <w:szCs w:val="22"/>
        </w:rPr>
      </w:pPr>
      <w:r w:rsidRPr="00CF3FB2">
        <w:rPr>
          <w:color w:val="000000" w:themeColor="text1"/>
          <w:sz w:val="22"/>
          <w:szCs w:val="22"/>
        </w:rPr>
        <w:t>Overall, Option 3 has the highest regulatory saving of $450 million on average per year over 10 years. The regulatory costs of requiring companies to provide hard copies of meeting</w:t>
      </w:r>
      <w:r w:rsidRPr="00CF3FB2">
        <w:rPr>
          <w:color w:val="000000" w:themeColor="text1"/>
          <w:sz w:val="22"/>
          <w:szCs w:val="22"/>
        </w:rPr>
        <w:noBreakHyphen/>
        <w:t xml:space="preserve">related materials to </w:t>
      </w:r>
      <w:r w:rsidR="00914965">
        <w:rPr>
          <w:color w:val="000000" w:themeColor="text1"/>
          <w:sz w:val="22"/>
          <w:szCs w:val="22"/>
        </w:rPr>
        <w:t>members</w:t>
      </w:r>
      <w:r w:rsidR="00914965" w:rsidRPr="00CF3FB2">
        <w:rPr>
          <w:color w:val="000000" w:themeColor="text1"/>
          <w:sz w:val="22"/>
          <w:szCs w:val="22"/>
        </w:rPr>
        <w:t xml:space="preserve"> </w:t>
      </w:r>
      <w:r w:rsidRPr="00CF3FB2">
        <w:rPr>
          <w:color w:val="000000" w:themeColor="text1"/>
          <w:sz w:val="22"/>
          <w:szCs w:val="22"/>
        </w:rPr>
        <w:t>who ask for this information are relatively small, with the regulatory saving attributable to being able to keep, retain, provide and sign meeting-related materials under Option</w:t>
      </w:r>
      <w:r w:rsidRPr="00CF3FB2" w:rsidDel="00E64312">
        <w:rPr>
          <w:color w:val="000000" w:themeColor="text1"/>
          <w:sz w:val="22"/>
          <w:szCs w:val="22"/>
        </w:rPr>
        <w:t>s</w:t>
      </w:r>
      <w:r w:rsidRPr="00CF3FB2">
        <w:rPr>
          <w:color w:val="000000" w:themeColor="text1"/>
          <w:sz w:val="22"/>
          <w:szCs w:val="22"/>
        </w:rPr>
        <w:t xml:space="preserve"> 2 and 3 both being $</w:t>
      </w:r>
      <w:r w:rsidRPr="00CF3FB2" w:rsidDel="00E64312">
        <w:rPr>
          <w:color w:val="000000" w:themeColor="text1"/>
          <w:sz w:val="22"/>
          <w:szCs w:val="22"/>
        </w:rPr>
        <w:t>20</w:t>
      </w:r>
      <w:r w:rsidRPr="00CF3FB2">
        <w:rPr>
          <w:color w:val="000000" w:themeColor="text1"/>
          <w:sz w:val="22"/>
          <w:szCs w:val="22"/>
        </w:rPr>
        <w:t xml:space="preserve"> million. The small additional costs from providing access to hard copies on request should be considered against the benefits of improving access to meeting materials for people with limited access to technology.</w:t>
      </w:r>
      <w:r w:rsidR="00540308">
        <w:rPr>
          <w:color w:val="000000" w:themeColor="text1"/>
          <w:sz w:val="22"/>
          <w:szCs w:val="22"/>
        </w:rPr>
        <w:t xml:space="preserve"> </w:t>
      </w:r>
      <w:bookmarkStart w:id="14" w:name="_Hlk82685774"/>
      <w:r w:rsidR="00943FEC">
        <w:rPr>
          <w:color w:val="000000" w:themeColor="text1"/>
          <w:sz w:val="22"/>
          <w:szCs w:val="22"/>
        </w:rPr>
        <w:t>Overall, t</w:t>
      </w:r>
      <w:r w:rsidR="00943FEC" w:rsidRPr="00AB6D3D">
        <w:rPr>
          <w:color w:val="000000" w:themeColor="text1"/>
          <w:sz w:val="22"/>
          <w:szCs w:val="22"/>
        </w:rPr>
        <w:t>hese</w:t>
      </w:r>
      <w:r w:rsidR="00943FEC">
        <w:rPr>
          <w:color w:val="000000" w:themeColor="text1"/>
          <w:sz w:val="22"/>
          <w:szCs w:val="22"/>
        </w:rPr>
        <w:t xml:space="preserve"> provisions</w:t>
      </w:r>
      <w:r w:rsidR="00943FEC" w:rsidRPr="00AB6D3D">
        <w:rPr>
          <w:color w:val="000000" w:themeColor="text1"/>
          <w:sz w:val="22"/>
          <w:szCs w:val="22"/>
        </w:rPr>
        <w:t xml:space="preserve"> will allow companies </w:t>
      </w:r>
      <w:r w:rsidR="00943FEC">
        <w:rPr>
          <w:color w:val="000000" w:themeColor="text1"/>
          <w:sz w:val="22"/>
          <w:szCs w:val="22"/>
        </w:rPr>
        <w:t xml:space="preserve">greater flexibility to use technology to satisfy regulatory requirements and </w:t>
      </w:r>
      <w:r w:rsidR="00943FEC" w:rsidRPr="00AB6D3D">
        <w:rPr>
          <w:color w:val="000000" w:themeColor="text1"/>
          <w:sz w:val="22"/>
          <w:szCs w:val="22"/>
        </w:rPr>
        <w:t xml:space="preserve">save </w:t>
      </w:r>
      <w:r w:rsidR="00812346" w:rsidRPr="00AB6D3D">
        <w:rPr>
          <w:color w:val="000000" w:themeColor="text1"/>
          <w:sz w:val="22"/>
          <w:szCs w:val="22"/>
        </w:rPr>
        <w:t xml:space="preserve">associated </w:t>
      </w:r>
      <w:r w:rsidR="00943FEC" w:rsidRPr="00AB6D3D">
        <w:rPr>
          <w:color w:val="000000" w:themeColor="text1"/>
          <w:sz w:val="22"/>
          <w:szCs w:val="22"/>
        </w:rPr>
        <w:t>costs</w:t>
      </w:r>
      <w:r w:rsidR="00812346">
        <w:rPr>
          <w:color w:val="000000" w:themeColor="text1"/>
          <w:sz w:val="22"/>
          <w:szCs w:val="22"/>
        </w:rPr>
        <w:t>.</w:t>
      </w:r>
    </w:p>
    <w:p w14:paraId="382CFB89" w14:textId="77777777" w:rsidR="003D093C" w:rsidRDefault="003D093C" w:rsidP="003D093C">
      <w:pPr>
        <w:pStyle w:val="Heading3"/>
      </w:pPr>
      <w:r>
        <w:t>Regulatory burden estimate (RBE) table</w:t>
      </w:r>
    </w:p>
    <w:tbl>
      <w:tblPr>
        <w:tblStyle w:val="PMCTableStyle2"/>
        <w:tblW w:w="0" w:type="auto"/>
        <w:tblLook w:val="0660" w:firstRow="1" w:lastRow="1" w:firstColumn="0" w:lastColumn="0" w:noHBand="1" w:noVBand="1"/>
      </w:tblPr>
      <w:tblGrid>
        <w:gridCol w:w="2728"/>
        <w:gridCol w:w="1354"/>
        <w:gridCol w:w="1482"/>
        <w:gridCol w:w="2511"/>
        <w:gridCol w:w="2119"/>
      </w:tblGrid>
      <w:tr w:rsidR="003D093C" w14:paraId="7CDDC9C9" w14:textId="77777777" w:rsidTr="00F66CE2">
        <w:trPr>
          <w:cnfStyle w:val="100000000000" w:firstRow="1" w:lastRow="0" w:firstColumn="0" w:lastColumn="0" w:oddVBand="0" w:evenVBand="0" w:oddHBand="0" w:evenHBand="0" w:firstRowFirstColumn="0" w:firstRowLastColumn="0" w:lastRowFirstColumn="0" w:lastRowLastColumn="0"/>
          <w:trHeight w:val="350"/>
        </w:trPr>
        <w:tc>
          <w:tcPr>
            <w:tcW w:w="10194" w:type="dxa"/>
            <w:gridSpan w:val="5"/>
          </w:tcPr>
          <w:p w14:paraId="30BA79C2" w14:textId="77777777" w:rsidR="003D093C" w:rsidRDefault="003D093C" w:rsidP="00F66CE2">
            <w:pPr>
              <w:pStyle w:val="TableHeading"/>
            </w:pPr>
            <w:r>
              <w:t>Average annual regulatory costs (Option 2)</w:t>
            </w:r>
          </w:p>
        </w:tc>
      </w:tr>
      <w:tr w:rsidR="003D093C" w:rsidRPr="00BC1972" w14:paraId="483128A8" w14:textId="77777777" w:rsidTr="00F66CE2">
        <w:trPr>
          <w:trHeight w:val="350"/>
        </w:trPr>
        <w:tc>
          <w:tcPr>
            <w:tcW w:w="2728" w:type="dxa"/>
          </w:tcPr>
          <w:p w14:paraId="63931AB4" w14:textId="77777777" w:rsidR="003D093C" w:rsidRPr="00BC1972" w:rsidRDefault="003D093C" w:rsidP="00F66CE2">
            <w:pPr>
              <w:pStyle w:val="TableBody"/>
              <w:rPr>
                <w:color w:val="262626" w:themeColor="text1" w:themeTint="D9"/>
              </w:rPr>
            </w:pPr>
            <w:r>
              <w:t>Change in costs ($ million)</w:t>
            </w:r>
          </w:p>
        </w:tc>
        <w:tc>
          <w:tcPr>
            <w:tcW w:w="1354" w:type="dxa"/>
          </w:tcPr>
          <w:p w14:paraId="1D7460CE" w14:textId="77777777" w:rsidR="003D093C" w:rsidRPr="00BC1972" w:rsidRDefault="003D093C" w:rsidP="00F66CE2">
            <w:pPr>
              <w:pStyle w:val="TableBody"/>
              <w:rPr>
                <w:color w:val="262626" w:themeColor="text1" w:themeTint="D9"/>
              </w:rPr>
            </w:pPr>
            <w:r>
              <w:t>Individuals</w:t>
            </w:r>
          </w:p>
        </w:tc>
        <w:tc>
          <w:tcPr>
            <w:tcW w:w="1482" w:type="dxa"/>
          </w:tcPr>
          <w:p w14:paraId="14B28A84" w14:textId="77777777" w:rsidR="003D093C" w:rsidRPr="00BC1972" w:rsidRDefault="003D093C" w:rsidP="00F66CE2">
            <w:pPr>
              <w:pStyle w:val="TableBullet"/>
              <w:numPr>
                <w:ilvl w:val="0"/>
                <w:numId w:val="0"/>
              </w:numPr>
              <w:ind w:left="284"/>
            </w:pPr>
            <w:r>
              <w:t>Business</w:t>
            </w:r>
            <w:r w:rsidRPr="00BC1972">
              <w:t xml:space="preserve"> </w:t>
            </w:r>
          </w:p>
        </w:tc>
        <w:tc>
          <w:tcPr>
            <w:tcW w:w="2511" w:type="dxa"/>
          </w:tcPr>
          <w:p w14:paraId="2078AEF7" w14:textId="77777777" w:rsidR="003D093C" w:rsidRPr="00BC1972" w:rsidRDefault="003D093C" w:rsidP="00F66CE2">
            <w:pPr>
              <w:pStyle w:val="TableBody"/>
            </w:pPr>
            <w:r>
              <w:t>Community organisations</w:t>
            </w:r>
          </w:p>
        </w:tc>
        <w:tc>
          <w:tcPr>
            <w:tcW w:w="2119" w:type="dxa"/>
          </w:tcPr>
          <w:p w14:paraId="50DCF85F" w14:textId="77777777" w:rsidR="003D093C" w:rsidRPr="00BC1972" w:rsidRDefault="003D093C" w:rsidP="00F66CE2">
            <w:pPr>
              <w:pStyle w:val="TableNumbering"/>
              <w:numPr>
                <w:ilvl w:val="0"/>
                <w:numId w:val="0"/>
              </w:numPr>
            </w:pPr>
            <w:r>
              <w:t>Total change in cost</w:t>
            </w:r>
          </w:p>
        </w:tc>
      </w:tr>
      <w:tr w:rsidR="003D093C" w:rsidRPr="00BC1972" w14:paraId="70E2A34B" w14:textId="77777777" w:rsidTr="00F66CE2">
        <w:trPr>
          <w:trHeight w:val="350"/>
        </w:trPr>
        <w:tc>
          <w:tcPr>
            <w:tcW w:w="2728" w:type="dxa"/>
          </w:tcPr>
          <w:p w14:paraId="20F18E33" w14:textId="77777777" w:rsidR="003D093C" w:rsidRPr="00BC1972" w:rsidRDefault="003D093C" w:rsidP="00F66CE2">
            <w:pPr>
              <w:pStyle w:val="TableBody"/>
              <w:rPr>
                <w:color w:val="262626" w:themeColor="text1" w:themeTint="D9"/>
              </w:rPr>
            </w:pPr>
            <w:r>
              <w:t>Total, by sector</w:t>
            </w:r>
          </w:p>
        </w:tc>
        <w:tc>
          <w:tcPr>
            <w:tcW w:w="1354" w:type="dxa"/>
          </w:tcPr>
          <w:p w14:paraId="6DE8F3D8" w14:textId="77777777" w:rsidR="003D093C" w:rsidRPr="00AB6D3D" w:rsidRDefault="003D093C" w:rsidP="00F66CE2">
            <w:pPr>
              <w:pStyle w:val="TableBody"/>
              <w:rPr>
                <w:color w:val="262626" w:themeColor="text1" w:themeTint="D9"/>
              </w:rPr>
            </w:pPr>
            <w:r w:rsidRPr="00AB6D3D">
              <w:rPr>
                <w:color w:val="262626" w:themeColor="text1" w:themeTint="D9"/>
              </w:rPr>
              <w:t>$0</w:t>
            </w:r>
          </w:p>
        </w:tc>
        <w:tc>
          <w:tcPr>
            <w:tcW w:w="1482" w:type="dxa"/>
          </w:tcPr>
          <w:p w14:paraId="1CDFA3F3" w14:textId="77777777" w:rsidR="003D093C" w:rsidRPr="00AB6D3D" w:rsidRDefault="003D093C" w:rsidP="00F66CE2">
            <w:pPr>
              <w:pStyle w:val="TableBullet"/>
              <w:numPr>
                <w:ilvl w:val="0"/>
                <w:numId w:val="0"/>
              </w:numPr>
              <w:ind w:left="284"/>
            </w:pPr>
            <w:r w:rsidRPr="00AB6D3D">
              <w:t>-$412</w:t>
            </w:r>
          </w:p>
        </w:tc>
        <w:tc>
          <w:tcPr>
            <w:tcW w:w="2511" w:type="dxa"/>
          </w:tcPr>
          <w:p w14:paraId="4AA16C21" w14:textId="77777777" w:rsidR="003D093C" w:rsidRPr="00AB6D3D" w:rsidRDefault="003D093C" w:rsidP="00F66CE2">
            <w:pPr>
              <w:pStyle w:val="TableNumbering"/>
              <w:numPr>
                <w:ilvl w:val="0"/>
                <w:numId w:val="0"/>
              </w:numPr>
              <w:ind w:left="284" w:hanging="284"/>
            </w:pPr>
            <w:r w:rsidRPr="00AB6D3D">
              <w:t>$0</w:t>
            </w:r>
          </w:p>
        </w:tc>
        <w:tc>
          <w:tcPr>
            <w:tcW w:w="2119" w:type="dxa"/>
          </w:tcPr>
          <w:p w14:paraId="2DBE1970" w14:textId="77777777" w:rsidR="003D093C" w:rsidRPr="00AB6D3D" w:rsidRDefault="003D093C" w:rsidP="00F66CE2">
            <w:pPr>
              <w:pStyle w:val="TableNumbering"/>
              <w:numPr>
                <w:ilvl w:val="0"/>
                <w:numId w:val="0"/>
              </w:numPr>
              <w:ind w:left="284" w:hanging="284"/>
            </w:pPr>
            <w:r w:rsidRPr="00AB6D3D">
              <w:t>-$412</w:t>
            </w:r>
          </w:p>
        </w:tc>
      </w:tr>
      <w:tr w:rsidR="003D093C" w:rsidRPr="00BC1972" w14:paraId="1BCAA265" w14:textId="77777777" w:rsidTr="00F66CE2">
        <w:trPr>
          <w:trHeight w:val="350"/>
        </w:trPr>
        <w:tc>
          <w:tcPr>
            <w:tcW w:w="10194" w:type="dxa"/>
            <w:gridSpan w:val="5"/>
            <w:shd w:val="clear" w:color="auto" w:fill="014463" w:themeFill="text2"/>
          </w:tcPr>
          <w:p w14:paraId="419F6AA2" w14:textId="77777777" w:rsidR="003D093C" w:rsidRPr="00AB6D3D" w:rsidRDefault="003D093C" w:rsidP="00F66CE2">
            <w:pPr>
              <w:pStyle w:val="TableHeading"/>
              <w:rPr>
                <w:b/>
                <w:bCs w:val="0"/>
              </w:rPr>
            </w:pPr>
            <w:r w:rsidRPr="00AB6D3D">
              <w:rPr>
                <w:b/>
                <w:bCs w:val="0"/>
              </w:rPr>
              <w:t>Average annual regulatory costs (Option 3)</w:t>
            </w:r>
          </w:p>
        </w:tc>
      </w:tr>
      <w:tr w:rsidR="003D093C" w:rsidRPr="00BC1972" w14:paraId="2C6EBAEA" w14:textId="77777777" w:rsidTr="00F66CE2">
        <w:trPr>
          <w:trHeight w:val="350"/>
        </w:trPr>
        <w:tc>
          <w:tcPr>
            <w:tcW w:w="2728" w:type="dxa"/>
          </w:tcPr>
          <w:p w14:paraId="47C4B27D" w14:textId="77777777" w:rsidR="003D093C" w:rsidRDefault="003D093C" w:rsidP="00F66CE2">
            <w:pPr>
              <w:pStyle w:val="TableBody"/>
            </w:pPr>
            <w:r>
              <w:t>Change in costs ($ million)</w:t>
            </w:r>
          </w:p>
        </w:tc>
        <w:tc>
          <w:tcPr>
            <w:tcW w:w="1354" w:type="dxa"/>
          </w:tcPr>
          <w:p w14:paraId="60004F48" w14:textId="77777777" w:rsidR="003D093C" w:rsidRPr="00AB6D3D" w:rsidRDefault="003D093C" w:rsidP="00F66CE2">
            <w:pPr>
              <w:pStyle w:val="TableBody"/>
              <w:rPr>
                <w:color w:val="262626" w:themeColor="text1" w:themeTint="D9"/>
              </w:rPr>
            </w:pPr>
            <w:r w:rsidRPr="00AB6D3D">
              <w:t>Individuals</w:t>
            </w:r>
          </w:p>
        </w:tc>
        <w:tc>
          <w:tcPr>
            <w:tcW w:w="1482" w:type="dxa"/>
          </w:tcPr>
          <w:p w14:paraId="06EE7040" w14:textId="77777777" w:rsidR="003D093C" w:rsidRPr="00AB6D3D" w:rsidRDefault="003D093C" w:rsidP="00F66CE2">
            <w:pPr>
              <w:pStyle w:val="TableBullet"/>
              <w:numPr>
                <w:ilvl w:val="0"/>
                <w:numId w:val="0"/>
              </w:numPr>
              <w:ind w:left="284"/>
            </w:pPr>
            <w:r w:rsidRPr="00AB6D3D">
              <w:t xml:space="preserve">Business </w:t>
            </w:r>
          </w:p>
        </w:tc>
        <w:tc>
          <w:tcPr>
            <w:tcW w:w="2511" w:type="dxa"/>
          </w:tcPr>
          <w:p w14:paraId="0454FABB" w14:textId="77777777" w:rsidR="003D093C" w:rsidRPr="00AB6D3D" w:rsidRDefault="003D093C" w:rsidP="00F66CE2">
            <w:pPr>
              <w:pStyle w:val="TableNumbering"/>
              <w:numPr>
                <w:ilvl w:val="0"/>
                <w:numId w:val="0"/>
              </w:numPr>
              <w:ind w:left="284" w:hanging="284"/>
            </w:pPr>
            <w:r w:rsidRPr="00AB6D3D">
              <w:t>Community organisations</w:t>
            </w:r>
          </w:p>
        </w:tc>
        <w:tc>
          <w:tcPr>
            <w:tcW w:w="2119" w:type="dxa"/>
          </w:tcPr>
          <w:p w14:paraId="4B23833E" w14:textId="77777777" w:rsidR="003D093C" w:rsidRPr="00AB6D3D" w:rsidRDefault="003D093C" w:rsidP="00F66CE2">
            <w:pPr>
              <w:pStyle w:val="TableNumbering"/>
              <w:numPr>
                <w:ilvl w:val="0"/>
                <w:numId w:val="0"/>
              </w:numPr>
              <w:ind w:left="284" w:hanging="284"/>
            </w:pPr>
            <w:r w:rsidRPr="00AB6D3D">
              <w:t>Total change in cost</w:t>
            </w:r>
          </w:p>
        </w:tc>
      </w:tr>
      <w:tr w:rsidR="003D093C" w:rsidRPr="00BC1972" w14:paraId="6843170D" w14:textId="77777777" w:rsidTr="00F66CE2">
        <w:trPr>
          <w:cnfStyle w:val="010000000000" w:firstRow="0" w:lastRow="1" w:firstColumn="0" w:lastColumn="0" w:oddVBand="0" w:evenVBand="0" w:oddHBand="0" w:evenHBand="0" w:firstRowFirstColumn="0" w:firstRowLastColumn="0" w:lastRowFirstColumn="0" w:lastRowLastColumn="0"/>
          <w:trHeight w:val="350"/>
        </w:trPr>
        <w:tc>
          <w:tcPr>
            <w:tcW w:w="2728" w:type="dxa"/>
          </w:tcPr>
          <w:p w14:paraId="2F05713C" w14:textId="77777777" w:rsidR="003D093C" w:rsidRDefault="003D093C" w:rsidP="00F66CE2">
            <w:pPr>
              <w:pStyle w:val="TableBody"/>
            </w:pPr>
            <w:r>
              <w:t>Total, by sector</w:t>
            </w:r>
          </w:p>
        </w:tc>
        <w:tc>
          <w:tcPr>
            <w:tcW w:w="1354" w:type="dxa"/>
          </w:tcPr>
          <w:p w14:paraId="7ED5D68C" w14:textId="77777777" w:rsidR="003D093C" w:rsidRPr="00AB6D3D" w:rsidRDefault="003D093C" w:rsidP="00F66CE2">
            <w:pPr>
              <w:pStyle w:val="TableBody"/>
            </w:pPr>
            <w:r w:rsidRPr="00AB6D3D">
              <w:rPr>
                <w:color w:val="262626" w:themeColor="text1" w:themeTint="D9"/>
              </w:rPr>
              <w:t>$0</w:t>
            </w:r>
          </w:p>
        </w:tc>
        <w:tc>
          <w:tcPr>
            <w:tcW w:w="1482" w:type="dxa"/>
          </w:tcPr>
          <w:p w14:paraId="6C94AB33" w14:textId="77777777" w:rsidR="003D093C" w:rsidRPr="00AB6D3D" w:rsidRDefault="003D093C" w:rsidP="00F66CE2">
            <w:pPr>
              <w:pStyle w:val="TableBullet"/>
              <w:numPr>
                <w:ilvl w:val="0"/>
                <w:numId w:val="0"/>
              </w:numPr>
              <w:ind w:left="284"/>
            </w:pPr>
            <w:r w:rsidRPr="00AB6D3D">
              <w:t>-$450</w:t>
            </w:r>
          </w:p>
        </w:tc>
        <w:tc>
          <w:tcPr>
            <w:tcW w:w="2511" w:type="dxa"/>
          </w:tcPr>
          <w:p w14:paraId="1E78A490" w14:textId="77777777" w:rsidR="003D093C" w:rsidRPr="00AB6D3D" w:rsidRDefault="003D093C" w:rsidP="00F66CE2">
            <w:pPr>
              <w:pStyle w:val="TableNumbering"/>
              <w:numPr>
                <w:ilvl w:val="0"/>
                <w:numId w:val="0"/>
              </w:numPr>
              <w:ind w:left="284" w:hanging="284"/>
            </w:pPr>
            <w:r w:rsidRPr="00AB6D3D">
              <w:t>$0</w:t>
            </w:r>
          </w:p>
        </w:tc>
        <w:tc>
          <w:tcPr>
            <w:tcW w:w="2119" w:type="dxa"/>
          </w:tcPr>
          <w:p w14:paraId="154DE47C" w14:textId="77777777" w:rsidR="003D093C" w:rsidRPr="00AB6D3D" w:rsidRDefault="003D093C" w:rsidP="00F66CE2">
            <w:pPr>
              <w:pStyle w:val="TableNumbering"/>
              <w:numPr>
                <w:ilvl w:val="0"/>
                <w:numId w:val="0"/>
              </w:numPr>
              <w:ind w:left="284" w:hanging="284"/>
            </w:pPr>
            <w:r w:rsidRPr="00AB6D3D">
              <w:t>-$450</w:t>
            </w:r>
          </w:p>
        </w:tc>
      </w:tr>
    </w:tbl>
    <w:p w14:paraId="2959C9A3" w14:textId="77777777" w:rsidR="003D093C" w:rsidRPr="00CF3FB2" w:rsidRDefault="003D093C" w:rsidP="00AB6D3D">
      <w:pPr>
        <w:rPr>
          <w:color w:val="000000" w:themeColor="text1"/>
          <w:sz w:val="22"/>
          <w:szCs w:val="22"/>
        </w:rPr>
      </w:pPr>
    </w:p>
    <w:bookmarkEnd w:id="14"/>
    <w:p w14:paraId="3892FF61" w14:textId="77777777" w:rsidR="00E6567D" w:rsidRDefault="00E6567D" w:rsidP="00E6567D">
      <w:pPr>
        <w:pStyle w:val="Title"/>
      </w:pPr>
      <w:r>
        <w:t xml:space="preserve">7. </w:t>
      </w:r>
      <w:r w:rsidR="00E01B77">
        <w:t xml:space="preserve">How will you implement and evaluate your chosen option? </w:t>
      </w:r>
    </w:p>
    <w:p w14:paraId="2613C5E5" w14:textId="154596D2" w:rsidR="00612780" w:rsidRPr="00620C9E" w:rsidRDefault="00324C8E" w:rsidP="00612780">
      <w:pPr>
        <w:rPr>
          <w:color w:val="000000" w:themeColor="text1"/>
          <w:sz w:val="22"/>
          <w:szCs w:val="22"/>
        </w:rPr>
      </w:pPr>
      <w:bookmarkStart w:id="15" w:name="_Hlk78548085"/>
      <w:r w:rsidRPr="000C500C">
        <w:rPr>
          <w:sz w:val="22"/>
          <w:szCs w:val="22"/>
        </w:rPr>
        <w:t xml:space="preserve">The proposed </w:t>
      </w:r>
      <w:r w:rsidR="00F21E42" w:rsidRPr="000C500C">
        <w:rPr>
          <w:sz w:val="22"/>
          <w:szCs w:val="22"/>
        </w:rPr>
        <w:t xml:space="preserve">legislation makes permanent changes to the </w:t>
      </w:r>
      <w:r w:rsidR="00F21E42" w:rsidRPr="00F11CA6">
        <w:rPr>
          <w:sz w:val="22"/>
          <w:szCs w:val="22"/>
        </w:rPr>
        <w:t>Act</w:t>
      </w:r>
      <w:r w:rsidR="00F21E42" w:rsidRPr="000C500C">
        <w:rPr>
          <w:i/>
          <w:sz w:val="22"/>
          <w:szCs w:val="22"/>
        </w:rPr>
        <w:t xml:space="preserve"> </w:t>
      </w:r>
      <w:r w:rsidR="00F21E42" w:rsidRPr="000C500C">
        <w:rPr>
          <w:sz w:val="22"/>
          <w:szCs w:val="22"/>
        </w:rPr>
        <w:t>to implement these reforms.</w:t>
      </w:r>
      <w:r w:rsidR="00E333B3" w:rsidRPr="000C500C">
        <w:rPr>
          <w:sz w:val="22"/>
          <w:szCs w:val="22"/>
        </w:rPr>
        <w:t xml:space="preserve"> </w:t>
      </w:r>
      <w:r w:rsidR="00F21E42" w:rsidRPr="000C500C">
        <w:rPr>
          <w:sz w:val="22"/>
          <w:szCs w:val="22"/>
        </w:rPr>
        <w:t>The legislation includes a review clause, which requires the Government to evaluate the operation of the legislation as soon as practicable, two years after it commences, to determine whether the reforms are operating as intended.</w:t>
      </w:r>
      <w:r w:rsidR="00612780" w:rsidRPr="002D04FB">
        <w:rPr>
          <w:color w:val="000000" w:themeColor="text1"/>
          <w:sz w:val="22"/>
          <w:szCs w:val="22"/>
        </w:rPr>
        <w:t xml:space="preserve"> </w:t>
      </w:r>
    </w:p>
    <w:p w14:paraId="34C6343C" w14:textId="5E65D499" w:rsidR="00612780" w:rsidRPr="00FE078D" w:rsidRDefault="00612780" w:rsidP="00612780">
      <w:pPr>
        <w:rPr>
          <w:color w:val="000000" w:themeColor="text1"/>
          <w:sz w:val="22"/>
          <w:szCs w:val="22"/>
        </w:rPr>
      </w:pPr>
      <w:r w:rsidRPr="00620C9E">
        <w:rPr>
          <w:color w:val="000000" w:themeColor="text1"/>
          <w:sz w:val="22"/>
          <w:szCs w:val="22"/>
        </w:rPr>
        <w:t>Option 3 includes a legislative review</w:t>
      </w:r>
      <w:r w:rsidRPr="00620C9E" w:rsidDel="00546F7C">
        <w:rPr>
          <w:color w:val="000000" w:themeColor="text1"/>
          <w:sz w:val="22"/>
          <w:szCs w:val="22"/>
        </w:rPr>
        <w:t xml:space="preserve"> </w:t>
      </w:r>
      <w:r w:rsidRPr="00620C9E">
        <w:rPr>
          <w:color w:val="000000" w:themeColor="text1"/>
          <w:sz w:val="22"/>
          <w:szCs w:val="22"/>
        </w:rPr>
        <w:t>that will provide the opportunity to assess the effectiveness of these reforms and to determine whether they are operating as intended.</w:t>
      </w:r>
    </w:p>
    <w:bookmarkEnd w:id="15"/>
    <w:p w14:paraId="4222D2A1" w14:textId="37927067" w:rsidR="00E01B77" w:rsidRPr="00E01B77" w:rsidRDefault="00E52935" w:rsidP="00FE09D3">
      <w:pPr>
        <w:pStyle w:val="Title"/>
        <w:rPr>
          <w:sz w:val="28"/>
        </w:rPr>
      </w:pPr>
      <w:r>
        <w:t xml:space="preserve">Additional Information </w:t>
      </w:r>
      <w:r w:rsidR="00E01B77">
        <w:t>/</w:t>
      </w:r>
      <w:r>
        <w:t xml:space="preserve"> </w:t>
      </w:r>
      <w:r w:rsidR="00E01B77">
        <w:t xml:space="preserve">Summary </w:t>
      </w:r>
    </w:p>
    <w:p w14:paraId="42E014E4" w14:textId="77777777" w:rsidR="00E52935" w:rsidRDefault="00E52935" w:rsidP="00E52935">
      <w:pPr>
        <w:rPr>
          <w:rFonts w:asciiTheme="majorHAnsi" w:hAnsiTheme="majorHAnsi"/>
          <w:color w:val="014463" w:themeColor="text2"/>
          <w:sz w:val="24"/>
          <w:szCs w:val="24"/>
        </w:rPr>
      </w:pPr>
      <w:bookmarkStart w:id="16" w:name="_Hlk80793211"/>
      <w:r>
        <w:rPr>
          <w:rFonts w:asciiTheme="majorHAnsi" w:hAnsiTheme="majorHAnsi"/>
          <w:color w:val="014463" w:themeColor="text2"/>
          <w:sz w:val="24"/>
          <w:szCs w:val="24"/>
        </w:rPr>
        <w:t>RIS status at each major decision point</w:t>
      </w:r>
      <w:r w:rsidRPr="00E6567D">
        <w:rPr>
          <w:rFonts w:asciiTheme="majorHAnsi" w:hAnsiTheme="majorHAnsi"/>
          <w:color w:val="014463" w:themeColor="text2"/>
          <w:sz w:val="24"/>
          <w:szCs w:val="24"/>
        </w:rPr>
        <w:t xml:space="preserve"> </w:t>
      </w:r>
    </w:p>
    <w:p w14:paraId="159CB023" w14:textId="548F2E63" w:rsidR="00E01B77" w:rsidRPr="00A01AD5" w:rsidRDefault="00D26ABA" w:rsidP="006E3D03">
      <w:pPr>
        <w:pStyle w:val="BodyText"/>
        <w:rPr>
          <w:sz w:val="22"/>
          <w:szCs w:val="22"/>
        </w:rPr>
      </w:pPr>
      <w:r w:rsidRPr="00A01AD5">
        <w:rPr>
          <w:sz w:val="22"/>
          <w:szCs w:val="22"/>
        </w:rPr>
        <w:t xml:space="preserve">On </w:t>
      </w:r>
      <w:r w:rsidR="008A76E0" w:rsidRPr="00A01AD5">
        <w:rPr>
          <w:sz w:val="22"/>
          <w:szCs w:val="22"/>
        </w:rPr>
        <w:t>27 August 2020</w:t>
      </w:r>
      <w:r w:rsidRPr="00A01AD5">
        <w:rPr>
          <w:sz w:val="22"/>
          <w:szCs w:val="22"/>
        </w:rPr>
        <w:t>, a decision to consult on the permanent reforms was informed by a RIS</w:t>
      </w:r>
      <w:r w:rsidR="00F66CE2">
        <w:rPr>
          <w:sz w:val="22"/>
          <w:szCs w:val="22"/>
        </w:rPr>
        <w:t xml:space="preserve"> (refe</w:t>
      </w:r>
      <w:r w:rsidR="00C87B8E">
        <w:rPr>
          <w:sz w:val="22"/>
          <w:szCs w:val="22"/>
        </w:rPr>
        <w:t>re</w:t>
      </w:r>
      <w:r w:rsidR="00F66CE2">
        <w:rPr>
          <w:sz w:val="22"/>
          <w:szCs w:val="22"/>
        </w:rPr>
        <w:t xml:space="preserve">nce: </w:t>
      </w:r>
      <w:r w:rsidR="00F66CE2" w:rsidRPr="00F66CE2">
        <w:rPr>
          <w:sz w:val="22"/>
          <w:szCs w:val="22"/>
        </w:rPr>
        <w:t>42722 &amp; 42724)</w:t>
      </w:r>
      <w:r w:rsidR="00F66CE2">
        <w:rPr>
          <w:sz w:val="22"/>
          <w:szCs w:val="22"/>
        </w:rPr>
        <w:t xml:space="preserve"> which was provided to the Office of Best Practice Regulation for early assessment</w:t>
      </w:r>
      <w:r w:rsidRPr="00A01AD5">
        <w:rPr>
          <w:sz w:val="22"/>
          <w:szCs w:val="22"/>
        </w:rPr>
        <w:t xml:space="preserve">. </w:t>
      </w:r>
      <w:r w:rsidR="008A76E0" w:rsidRPr="00A01AD5">
        <w:rPr>
          <w:sz w:val="22"/>
          <w:szCs w:val="22"/>
        </w:rPr>
        <w:t xml:space="preserve">As a result of the outcomes of consultation, </w:t>
      </w:r>
      <w:r w:rsidR="00B23D61" w:rsidRPr="00A01AD5">
        <w:rPr>
          <w:sz w:val="22"/>
          <w:szCs w:val="22"/>
        </w:rPr>
        <w:t xml:space="preserve">a decision was made on 23 June 2021 to update </w:t>
      </w:r>
      <w:r w:rsidR="008A76E0" w:rsidRPr="00A01AD5">
        <w:rPr>
          <w:sz w:val="22"/>
          <w:szCs w:val="22"/>
        </w:rPr>
        <w:t xml:space="preserve">the RIS </w:t>
      </w:r>
      <w:r w:rsidR="00B23D61" w:rsidRPr="00A01AD5">
        <w:rPr>
          <w:sz w:val="22"/>
          <w:szCs w:val="22"/>
        </w:rPr>
        <w:t xml:space="preserve">and undertake additional consultation. </w:t>
      </w:r>
      <w:bookmarkEnd w:id="16"/>
    </w:p>
    <w:sectPr w:rsidR="00E01B77" w:rsidRPr="00A01AD5" w:rsidSect="00753174">
      <w:headerReference w:type="default" r:id="rId11"/>
      <w:footerReference w:type="default" r:id="rId12"/>
      <w:headerReference w:type="first" r:id="rId13"/>
      <w:footerReference w:type="first" r:id="rId14"/>
      <w:pgSz w:w="11906" w:h="16838"/>
      <w:pgMar w:top="1559" w:right="851" w:bottom="1701" w:left="851"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415C4" w14:textId="77777777" w:rsidR="00B11995" w:rsidRDefault="00B11995" w:rsidP="00B95533">
      <w:pPr>
        <w:spacing w:after="0" w:line="240" w:lineRule="auto"/>
      </w:pPr>
      <w:r>
        <w:separator/>
      </w:r>
    </w:p>
  </w:endnote>
  <w:endnote w:type="continuationSeparator" w:id="0">
    <w:p w14:paraId="01B871A2" w14:textId="77777777" w:rsidR="00B11995" w:rsidRDefault="00B11995" w:rsidP="00B95533">
      <w:pPr>
        <w:spacing w:after="0" w:line="240" w:lineRule="auto"/>
      </w:pPr>
      <w:r>
        <w:continuationSeparator/>
      </w:r>
    </w:p>
  </w:endnote>
  <w:endnote w:type="continuationNotice" w:id="1">
    <w:p w14:paraId="49ED472A" w14:textId="77777777" w:rsidR="00B11995" w:rsidRDefault="00B119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706402449"/>
      <w:dataBinding w:xpath="/root[1]/Classification[1]" w:storeItemID="{F533AE62-A212-4B26-92DA-A3B336E8AE06}"/>
      <w:text/>
    </w:sdtPr>
    <w:sdtEndPr/>
    <w:sdtContent>
      <w:p w14:paraId="64018ED1" w14:textId="77777777" w:rsidR="00B11995" w:rsidRPr="00B87E45" w:rsidRDefault="00B11995" w:rsidP="001007B9">
        <w:pPr>
          <w:pStyle w:val="ProtectiveMarking"/>
        </w:pPr>
        <w:r>
          <w:t>Choose Classification</w:t>
        </w:r>
      </w:p>
    </w:sdtContent>
  </w:sdt>
  <w:p w14:paraId="2AD0DCBE" w14:textId="77777777" w:rsidR="00B11995" w:rsidRPr="00073D52" w:rsidRDefault="00B11995" w:rsidP="001007B9">
    <w:pPr>
      <w:pStyle w:val="Footerline"/>
    </w:pPr>
    <w:r>
      <w:rPr>
        <w:lang w:eastAsia="en-AU"/>
      </w:rPr>
      <mc:AlternateContent>
        <mc:Choice Requires="wps">
          <w:drawing>
            <wp:anchor distT="45720" distB="45720" distL="114300" distR="114300" simplePos="0" relativeHeight="251658241" behindDoc="0" locked="1" layoutInCell="1" allowOverlap="1" wp14:anchorId="1EB29521" wp14:editId="440FD0E1">
              <wp:simplePos x="0" y="0"/>
              <wp:positionH relativeFrom="margin">
                <wp:posOffset>6142355</wp:posOffset>
              </wp:positionH>
              <wp:positionV relativeFrom="page">
                <wp:posOffset>9950450</wp:posOffset>
              </wp:positionV>
              <wp:extent cx="332105" cy="726440"/>
              <wp:effectExtent l="0" t="0" r="10795" b="0"/>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5F67388D" w14:textId="77777777" w:rsidR="00B11995" w:rsidRPr="00073D52" w:rsidRDefault="00B11995" w:rsidP="001007B9">
                          <w:pPr>
                            <w:pStyle w:val="Footer"/>
                            <w:rPr>
                              <w:b w:val="0"/>
                              <w:bCs/>
                              <w:sz w:val="16"/>
                              <w:szCs w:val="16"/>
                            </w:rPr>
                          </w:pPr>
                          <w:r w:rsidRPr="00073D52">
                            <w:rPr>
                              <w:b w:val="0"/>
                              <w:bCs/>
                              <w:sz w:val="16"/>
                              <w:szCs w:val="16"/>
                            </w:rPr>
                            <w:fldChar w:fldCharType="begin"/>
                          </w:r>
                          <w:r w:rsidRPr="00073D52">
                            <w:rPr>
                              <w:b w:val="0"/>
                              <w:bCs/>
                              <w:sz w:val="16"/>
                              <w:szCs w:val="16"/>
                            </w:rPr>
                            <w:instrText xml:space="preserve"> PAGE   \* MERGEFORMAT </w:instrText>
                          </w:r>
                          <w:r w:rsidRPr="00073D52">
                            <w:rPr>
                              <w:b w:val="0"/>
                              <w:bCs/>
                              <w:sz w:val="16"/>
                              <w:szCs w:val="16"/>
                            </w:rPr>
                            <w:fldChar w:fldCharType="separate"/>
                          </w:r>
                          <w:r w:rsidRPr="00073D52">
                            <w:rPr>
                              <w:b w:val="0"/>
                              <w:bCs/>
                              <w:noProof/>
                              <w:sz w:val="16"/>
                              <w:szCs w:val="16"/>
                            </w:rPr>
                            <w:t>1</w:t>
                          </w:r>
                          <w:r w:rsidRPr="00073D52">
                            <w:rPr>
                              <w:b w:val="0"/>
                              <w:bCs/>
                              <w:noProof/>
                              <w:sz w:val="16"/>
                              <w:szCs w:val="16"/>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B29521" id="_x0000_t202" coordsize="21600,21600" o:spt="202" path="m,l,21600r21600,l21600,xe">
              <v:stroke joinstyle="miter"/>
              <v:path gradientshapeok="t" o:connecttype="rect"/>
            </v:shapetype>
            <v:shape id="_x0000_s1029" type="#_x0000_t202" style="position:absolute;margin-left:483.65pt;margin-top:783.5pt;width:26.15pt;height:57.2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" filled="f" stroked="f">
              <v:textbox inset="0,0,0,0">
                <w:txbxContent>
                  <w:p w14:paraId="5F67388D" w14:textId="77777777" w:rsidR="00B11995" w:rsidRPr="00073D52" w:rsidRDefault="00B11995" w:rsidP="001007B9">
                    <w:pPr>
                      <w:pStyle w:val="Footer"/>
                      <w:rPr>
                        <w:b w:val="0"/>
                        <w:bCs/>
                        <w:sz w:val="16"/>
                        <w:szCs w:val="16"/>
                      </w:rPr>
                    </w:pPr>
                    <w:r w:rsidRPr="00073D52">
                      <w:rPr>
                        <w:b w:val="0"/>
                        <w:bCs/>
                        <w:sz w:val="16"/>
                        <w:szCs w:val="16"/>
                      </w:rPr>
                      <w:fldChar w:fldCharType="begin"/>
                    </w:r>
                    <w:r w:rsidRPr="00073D52">
                      <w:rPr>
                        <w:b w:val="0"/>
                        <w:bCs/>
                        <w:sz w:val="16"/>
                        <w:szCs w:val="16"/>
                      </w:rPr>
                      <w:instrText xml:space="preserve"> PAGE   \* MERGEFORMAT </w:instrText>
                    </w:r>
                    <w:r w:rsidRPr="00073D52">
                      <w:rPr>
                        <w:b w:val="0"/>
                        <w:bCs/>
                        <w:sz w:val="16"/>
                        <w:szCs w:val="16"/>
                      </w:rPr>
                      <w:fldChar w:fldCharType="separate"/>
                    </w:r>
                    <w:r w:rsidRPr="00073D52">
                      <w:rPr>
                        <w:b w:val="0"/>
                        <w:bCs/>
                        <w:noProof/>
                        <w:sz w:val="16"/>
                        <w:szCs w:val="16"/>
                      </w:rPr>
                      <w:t>1</w:t>
                    </w:r>
                    <w:r w:rsidRPr="00073D52">
                      <w:rPr>
                        <w:b w:val="0"/>
                        <w:bCs/>
                        <w:noProof/>
                        <w:sz w:val="16"/>
                        <w:szCs w:val="16"/>
                      </w:rPr>
                      <w:fldChar w:fldCharType="end"/>
                    </w:r>
                  </w:p>
                </w:txbxContent>
              </v:textbox>
              <w10:wrap anchorx="margin" anchory="page"/>
              <w10:anchorlock/>
            </v:shape>
          </w:pict>
        </mc:Fallback>
      </mc:AlternateContent>
    </w:r>
  </w:p>
  <w:p w14:paraId="15F15DC8" w14:textId="77777777" w:rsidR="00B11995" w:rsidRPr="001007B9" w:rsidRDefault="00B11995" w:rsidP="009B4379">
    <w:pPr>
      <w:pStyle w:val="Footer"/>
      <w:spacing w:after="500"/>
      <w:contextualSpacing/>
      <w:jc w:val="left"/>
      <w:rPr>
        <w:color w:val="25303B" w:themeColor="accent1"/>
      </w:rPr>
    </w:pPr>
    <w:r w:rsidRPr="00073D52">
      <w:rPr>
        <w:color w:val="25303B" w:themeColor="accent1"/>
      </w:rPr>
      <w:t>PM</w:t>
    </w:r>
    <w:r>
      <w:rPr>
        <w:color w:val="25303B" w:themeColor="accent1"/>
      </w:rPr>
      <w:t>&amp;</w:t>
    </w:r>
    <w:r w:rsidRPr="00073D52">
      <w:rPr>
        <w:color w:val="25303B" w:themeColor="accent1"/>
      </w:rPr>
      <w:t xml:space="preserve">C </w:t>
    </w:r>
    <w:r w:rsidRPr="00BC24CA">
      <w:rPr>
        <w:color w:val="25303B" w:themeColor="accent1"/>
        <w:sz w:val="16"/>
        <w:szCs w:val="16"/>
      </w:rPr>
      <w:t>|</w:t>
    </w:r>
    <w:r w:rsidRPr="00073D52">
      <w:rPr>
        <w:color w:val="25303B" w:themeColor="accent1"/>
      </w:rPr>
      <w:t xml:space="preserve"> </w:t>
    </w:r>
    <w:sdt>
      <w:sdtPr>
        <w:rPr>
          <w:color w:val="25303B" w:themeColor="accent1"/>
          <w:sz w:val="16"/>
          <w:szCs w:val="16"/>
        </w:rPr>
        <w:alias w:val="Section Name"/>
        <w:tag w:val="SectionName"/>
        <w:id w:val="605542894"/>
        <w:placeholder>
          <w:docPart w:val="219620ADD92642389C5D4B3C4F0DC506"/>
        </w:placeholder>
        <w:showingPlcHdr/>
        <w:text/>
      </w:sdtPr>
      <w:sdtEndPr/>
      <w:sdtContent>
        <w:r w:rsidRPr="00BC24CA">
          <w:rPr>
            <w:caps w:val="0"/>
            <w:sz w:val="16"/>
            <w:szCs w:val="16"/>
          </w:rPr>
          <w:t>[Section Name]</w:t>
        </w:r>
      </w:sdtContent>
    </w:sdt>
    <w:r>
      <w:rPr>
        <w:color w:val="25303B" w:themeColor="accent1"/>
        <w:sz w:val="16"/>
        <w:szCs w:val="16"/>
      </w:rPr>
      <w:t xml:space="preserve">  |  </w:t>
    </w:r>
    <w:sdt>
      <w:sdtPr>
        <w:rPr>
          <w:color w:val="25303B" w:themeColor="accent1"/>
          <w:sz w:val="16"/>
          <w:szCs w:val="16"/>
        </w:rPr>
        <w:alias w:val="Document Title"/>
        <w:tag w:val="DocumentTitle"/>
        <w:id w:val="-523643007"/>
        <w:placeholder>
          <w:docPart w:val="4A1B4207812C47D4A115D0D13B555E30"/>
        </w:placeholder>
        <w:showingPlcHdr/>
        <w:text/>
      </w:sdtPr>
      <w:sdtEndPr/>
      <w:sdtContent>
        <w:r w:rsidRPr="00BC24CA">
          <w:rPr>
            <w:caps w:val="0"/>
            <w:sz w:val="16"/>
            <w:szCs w:val="16"/>
          </w:rPr>
          <w:t>[</w:t>
        </w:r>
        <w:r>
          <w:rPr>
            <w:caps w:val="0"/>
            <w:sz w:val="16"/>
            <w:szCs w:val="16"/>
          </w:rPr>
          <w:t>Document Title</w:t>
        </w:r>
        <w:r w:rsidRPr="00BC24CA">
          <w:rPr>
            <w:caps w:val="0"/>
            <w:sz w:val="16"/>
            <w:szCs w:val="16"/>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1686131668"/>
      <w:dataBinding w:xpath="/root[1]/Classification[1]" w:storeItemID="{F533AE62-A212-4B26-92DA-A3B336E8AE06}"/>
      <w:text/>
    </w:sdtPr>
    <w:sdtEndPr/>
    <w:sdtContent>
      <w:p w14:paraId="0BC87AE6" w14:textId="77777777" w:rsidR="00B11995" w:rsidRPr="00B87E45" w:rsidRDefault="00B11995" w:rsidP="00917F95">
        <w:pPr>
          <w:pStyle w:val="ProtectiveMarking"/>
        </w:pPr>
        <w:r>
          <w:t>Choose Classification</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7DD15" w14:textId="77777777" w:rsidR="00B11995" w:rsidRPr="00B87E45" w:rsidRDefault="00B11995" w:rsidP="001007B9">
    <w:pPr>
      <w:pStyle w:val="ProtectiveMarking"/>
    </w:pPr>
  </w:p>
  <w:p w14:paraId="1B692ED8" w14:textId="77777777" w:rsidR="00B11995" w:rsidRPr="00073D52" w:rsidRDefault="00B11995" w:rsidP="001007B9">
    <w:pPr>
      <w:pStyle w:val="Footerline"/>
    </w:pPr>
    <w:r>
      <w:rPr>
        <w:lang w:eastAsia="en-AU"/>
      </w:rPr>
      <mc:AlternateContent>
        <mc:Choice Requires="wps">
          <w:drawing>
            <wp:anchor distT="45720" distB="45720" distL="114300" distR="114300" simplePos="0" relativeHeight="251658240" behindDoc="0" locked="1" layoutInCell="1" allowOverlap="1" wp14:anchorId="2DCD22ED" wp14:editId="31C1BA1C">
              <wp:simplePos x="0" y="0"/>
              <wp:positionH relativeFrom="margin">
                <wp:posOffset>6142355</wp:posOffset>
              </wp:positionH>
              <wp:positionV relativeFrom="page">
                <wp:posOffset>9950450</wp:posOffset>
              </wp:positionV>
              <wp:extent cx="332105" cy="726440"/>
              <wp:effectExtent l="0" t="0" r="1079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12CE409A" w14:textId="751E45A7" w:rsidR="00B11995" w:rsidRPr="00825B23" w:rsidRDefault="00B11995" w:rsidP="001007B9">
                          <w:pPr>
                            <w:pStyle w:val="Footer"/>
                            <w:rPr>
                              <w:b w:val="0"/>
                              <w:bCs/>
                              <w:sz w:val="16"/>
                              <w:szCs w:val="16"/>
                            </w:rPr>
                          </w:pPr>
                          <w:r w:rsidRPr="00825B23">
                            <w:rPr>
                              <w:b w:val="0"/>
                              <w:bCs/>
                              <w:sz w:val="16"/>
                              <w:szCs w:val="16"/>
                            </w:rPr>
                            <w:fldChar w:fldCharType="begin"/>
                          </w:r>
                          <w:r w:rsidRPr="00825B23">
                            <w:rPr>
                              <w:b w:val="0"/>
                              <w:bCs/>
                              <w:sz w:val="16"/>
                              <w:szCs w:val="16"/>
                            </w:rPr>
                            <w:instrText xml:space="preserve"> PAGE   \* MERGEFORMAT </w:instrText>
                          </w:r>
                          <w:r w:rsidRPr="00825B23">
                            <w:rPr>
                              <w:b w:val="0"/>
                              <w:bCs/>
                              <w:sz w:val="16"/>
                              <w:szCs w:val="16"/>
                            </w:rPr>
                            <w:fldChar w:fldCharType="separate"/>
                          </w:r>
                          <w:r w:rsidR="00373FD8">
                            <w:rPr>
                              <w:b w:val="0"/>
                              <w:bCs/>
                              <w:noProof/>
                              <w:sz w:val="16"/>
                              <w:szCs w:val="16"/>
                            </w:rPr>
                            <w:t>19</w:t>
                          </w:r>
                          <w:r w:rsidRPr="00825B23">
                            <w:rPr>
                              <w:b w:val="0"/>
                              <w:bCs/>
                              <w:noProof/>
                              <w:sz w:val="16"/>
                              <w:szCs w:val="16"/>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DCD22ED" id="_x0000_t202" coordsize="21600,21600" o:spt="202" path="m,l,21600r21600,l21600,xe">
              <v:stroke joinstyle="miter"/>
              <v:path gradientshapeok="t" o:connecttype="rect"/>
            </v:shapetype>
            <v:shape id="_x0000_s1030" type="#_x0000_t202" style="position:absolute;margin-left:483.65pt;margin-top:783.5pt;width:26.15pt;height:57.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" filled="f" stroked="f">
              <v:textbox inset="0,0,0,0">
                <w:txbxContent>
                  <w:p w14:paraId="12CE409A" w14:textId="751E45A7" w:rsidR="00B11995" w:rsidRPr="00825B23" w:rsidRDefault="00B11995" w:rsidP="001007B9">
                    <w:pPr>
                      <w:pStyle w:val="Footer"/>
                      <w:rPr>
                        <w:b w:val="0"/>
                        <w:bCs/>
                        <w:sz w:val="16"/>
                        <w:szCs w:val="16"/>
                      </w:rPr>
                    </w:pPr>
                    <w:r w:rsidRPr="00825B23">
                      <w:rPr>
                        <w:b w:val="0"/>
                        <w:bCs/>
                        <w:sz w:val="16"/>
                        <w:szCs w:val="16"/>
                      </w:rPr>
                      <w:fldChar w:fldCharType="begin"/>
                    </w:r>
                    <w:r w:rsidRPr="00825B23">
                      <w:rPr>
                        <w:b w:val="0"/>
                        <w:bCs/>
                        <w:sz w:val="16"/>
                        <w:szCs w:val="16"/>
                      </w:rPr>
                      <w:instrText xml:space="preserve"> PAGE   \* MERGEFORMAT </w:instrText>
                    </w:r>
                    <w:r w:rsidRPr="00825B23">
                      <w:rPr>
                        <w:b w:val="0"/>
                        <w:bCs/>
                        <w:sz w:val="16"/>
                        <w:szCs w:val="16"/>
                      </w:rPr>
                      <w:fldChar w:fldCharType="separate"/>
                    </w:r>
                    <w:r w:rsidR="00373FD8">
                      <w:rPr>
                        <w:b w:val="0"/>
                        <w:bCs/>
                        <w:noProof/>
                        <w:sz w:val="16"/>
                        <w:szCs w:val="16"/>
                      </w:rPr>
                      <w:t>19</w:t>
                    </w:r>
                    <w:r w:rsidRPr="00825B23">
                      <w:rPr>
                        <w:b w:val="0"/>
                        <w:bCs/>
                        <w:noProof/>
                        <w:sz w:val="16"/>
                        <w:szCs w:val="16"/>
                      </w:rPr>
                      <w:fldChar w:fldCharType="end"/>
                    </w:r>
                  </w:p>
                </w:txbxContent>
              </v:textbox>
              <w10:wrap anchorx="margin" anchory="page"/>
              <w10:anchorlock/>
            </v:shape>
          </w:pict>
        </mc:Fallback>
      </mc:AlternateContent>
    </w:r>
  </w:p>
  <w:p w14:paraId="0D910879" w14:textId="01F4B95F" w:rsidR="00B11995" w:rsidRPr="00825B23" w:rsidRDefault="00B11995" w:rsidP="009B4379">
    <w:pPr>
      <w:pStyle w:val="Footer"/>
      <w:spacing w:after="500"/>
      <w:contextualSpacing/>
      <w:jc w:val="left"/>
      <w:rPr>
        <w:b w:val="0"/>
        <w:bCs/>
        <w:sz w:val="16"/>
        <w:szCs w:val="16"/>
      </w:rPr>
    </w:pPr>
    <w:r>
      <w:rPr>
        <w:b w:val="0"/>
        <w:bCs/>
        <w:sz w:val="16"/>
        <w:szCs w:val="16"/>
      </w:rPr>
      <w:t>Department of treasury</w:t>
    </w:r>
    <w:r w:rsidRPr="00825B23">
      <w:rPr>
        <w:b w:val="0"/>
        <w:bCs/>
        <w:sz w:val="16"/>
        <w:szCs w:val="16"/>
      </w:rPr>
      <w:t xml:space="preserve"> | </w:t>
    </w:r>
    <w:sdt>
      <w:sdtPr>
        <w:rPr>
          <w:b w:val="0"/>
          <w:bCs/>
          <w:caps w:val="0"/>
          <w:sz w:val="16"/>
          <w:szCs w:val="16"/>
        </w:rPr>
        <w:alias w:val="Document Heading"/>
        <w:tag w:val="DH"/>
        <w:id w:val="1300027642"/>
        <w:placeholder>
          <w:docPart w:val="219620ADD92642389C5D4B3C4F0DC506"/>
        </w:placeholder>
        <w:dataBinding w:xpath="/root[1]/DH[1]" w:storeItemID="{F533AE62-A212-4B26-92DA-A3B336E8AE06}"/>
        <w:text/>
      </w:sdtPr>
      <w:sdtEndPr/>
      <w:sdtContent>
        <w:r>
          <w:rPr>
            <w:b w:val="0"/>
            <w:bCs/>
            <w:caps w:val="0"/>
            <w:sz w:val="16"/>
            <w:szCs w:val="16"/>
          </w:rPr>
          <w:t>Meeting materials and electronic document execution</w:t>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624817226"/>
      <w:dataBinding w:xpath="/root[1]/Classification[1]" w:storeItemID="{F533AE62-A212-4B26-92DA-A3B336E8AE06}"/>
      <w:text/>
    </w:sdtPr>
    <w:sdtEndPr/>
    <w:sdtContent>
      <w:p w14:paraId="7B4303F4" w14:textId="77777777" w:rsidR="00B11995" w:rsidRPr="00B87E45" w:rsidRDefault="00B11995" w:rsidP="00917F95">
        <w:pPr>
          <w:pStyle w:val="ProtectiveMarking"/>
        </w:pPr>
        <w:r>
          <w:t>Choose Classification</w:t>
        </w:r>
      </w:p>
    </w:sdtContent>
  </w:sdt>
  <w:p w14:paraId="54FB9230" w14:textId="77777777" w:rsidR="00B11995" w:rsidRPr="00073D52" w:rsidRDefault="00B11995" w:rsidP="00917F95">
    <w:pPr>
      <w:pStyle w:val="Footerline"/>
    </w:pPr>
  </w:p>
  <w:p w14:paraId="522420AA" w14:textId="77777777" w:rsidR="00B11995" w:rsidRPr="00195BA8" w:rsidRDefault="00B11995" w:rsidP="00195BA8">
    <w:pPr>
      <w:pStyle w:val="Footer"/>
      <w:spacing w:after="500"/>
      <w:contextualSpacing/>
      <w:jc w:val="left"/>
      <w:rPr>
        <w:color w:val="25303B" w:themeColor="accent1"/>
        <w:sz w:val="16"/>
        <w:szCs w:val="16"/>
      </w:rPr>
    </w:pPr>
    <w:r w:rsidRPr="005A0DE7">
      <w:rPr>
        <w:color w:val="25303B" w:themeColor="accent1"/>
        <w:sz w:val="16"/>
        <w:szCs w:val="16"/>
      </w:rPr>
      <w:t xml:space="preserve">PM&amp;C | </w:t>
    </w:r>
    <w:sdt>
      <w:sdtPr>
        <w:rPr>
          <w:caps w:val="0"/>
          <w:color w:val="25303B" w:themeColor="accent1"/>
          <w:sz w:val="16"/>
          <w:szCs w:val="16"/>
        </w:rPr>
        <w:alias w:val="Section Name"/>
        <w:tag w:val="SectionName"/>
        <w:id w:val="-414706023"/>
        <w:placeholder>
          <w:docPart w:val="4A1B4207812C47D4A115D0D13B555E30"/>
        </w:placeholder>
        <w:showingPlcHdr/>
        <w:dataBinding w:xpath="/root[1]/SectionName[1]" w:storeItemID="{F533AE62-A212-4B26-92DA-A3B336E8AE06}"/>
        <w:text/>
      </w:sdtPr>
      <w:sdtEndPr/>
      <w:sdtContent>
        <w:r w:rsidRPr="005A0DE7">
          <w:rPr>
            <w:caps w:val="0"/>
            <w:color w:val="25303B" w:themeColor="accent1"/>
            <w:sz w:val="16"/>
            <w:szCs w:val="16"/>
          </w:rPr>
          <w:t>[Section Name]</w:t>
        </w:r>
      </w:sdtContent>
    </w:sdt>
    <w:r w:rsidRPr="005A0DE7">
      <w:rPr>
        <w:color w:val="25303B" w:themeColor="accent1"/>
        <w:sz w:val="16"/>
        <w:szCs w:val="16"/>
      </w:rPr>
      <w:t xml:space="preserve"> |</w:t>
    </w:r>
    <w:r w:rsidRPr="005A0DE7">
      <w:rPr>
        <w:b w:val="0"/>
        <w:bCs/>
        <w:color w:val="25303B" w:themeColor="accent1"/>
        <w:sz w:val="16"/>
        <w:szCs w:val="16"/>
      </w:rPr>
      <w:t xml:space="preserve"> </w:t>
    </w:r>
    <w:sdt>
      <w:sdtPr>
        <w:rPr>
          <w:b w:val="0"/>
          <w:bCs/>
          <w:caps w:val="0"/>
          <w:color w:val="25303B" w:themeColor="accent1"/>
          <w:sz w:val="16"/>
          <w:szCs w:val="16"/>
        </w:rPr>
        <w:alias w:val="Document Heading"/>
        <w:tag w:val="DH"/>
        <w:id w:val="1036542736"/>
        <w:placeholder>
          <w:docPart w:val="8FA75C6A6517453A8BB1CBCC6A673432"/>
        </w:placeholder>
        <w:showingPlcHdr/>
        <w:dataBinding w:xpath="/root[1]/DH[1]" w:storeItemID="{F533AE62-A212-4B26-92DA-A3B336E8AE06}"/>
        <w:text/>
      </w:sdtPr>
      <w:sdtEndPr/>
      <w:sdtContent>
        <w:r w:rsidRPr="005A0DE7">
          <w:rPr>
            <w:b w:val="0"/>
            <w:bCs/>
            <w:caps w:val="0"/>
            <w:color w:val="25303B" w:themeColor="accent1"/>
            <w:sz w:val="16"/>
            <w:szCs w:val="16"/>
          </w:rPr>
          <w:t>[Document Heading]</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C2925" w14:textId="77777777" w:rsidR="00B11995" w:rsidRPr="003A7E73" w:rsidRDefault="00B11995" w:rsidP="00B95533">
      <w:pPr>
        <w:spacing w:after="0" w:line="240" w:lineRule="auto"/>
        <w:rPr>
          <w:color w:val="014463" w:themeColor="accent2"/>
        </w:rPr>
      </w:pPr>
      <w:r w:rsidRPr="003A7E73">
        <w:rPr>
          <w:color w:val="014463" w:themeColor="accent2"/>
        </w:rPr>
        <w:separator/>
      </w:r>
    </w:p>
  </w:footnote>
  <w:footnote w:type="continuationSeparator" w:id="0">
    <w:p w14:paraId="3D35AD97" w14:textId="77777777" w:rsidR="00B11995" w:rsidRPr="003A7E73" w:rsidRDefault="00B11995" w:rsidP="00B95533">
      <w:pPr>
        <w:spacing w:after="0" w:line="240" w:lineRule="auto"/>
        <w:rPr>
          <w:color w:val="014463" w:themeColor="accent2"/>
        </w:rPr>
      </w:pPr>
      <w:r w:rsidRPr="003A7E73">
        <w:rPr>
          <w:color w:val="014463" w:themeColor="accent2"/>
        </w:rPr>
        <w:continuationSeparator/>
      </w:r>
    </w:p>
  </w:footnote>
  <w:footnote w:type="continuationNotice" w:id="1">
    <w:p w14:paraId="7D8ECAA3" w14:textId="77777777" w:rsidR="00B11995" w:rsidRDefault="00B11995">
      <w:pPr>
        <w:spacing w:after="0" w:line="240" w:lineRule="auto"/>
      </w:pPr>
    </w:p>
  </w:footnote>
  <w:footnote w:id="2">
    <w:p w14:paraId="16CE70CE" w14:textId="17561333" w:rsidR="00B11995" w:rsidRDefault="00B11995">
      <w:pPr>
        <w:pStyle w:val="FootnoteText"/>
      </w:pPr>
      <w:r>
        <w:rPr>
          <w:rStyle w:val="FootnoteReference"/>
        </w:rPr>
        <w:footnoteRef/>
      </w:r>
      <w:r>
        <w:t xml:space="preserve"> </w:t>
      </w:r>
      <w:r>
        <w:rPr>
          <w:i/>
          <w:iCs/>
        </w:rPr>
        <w:t>Modernising Document Execution. Consultation on a common pathway for digital execution of statutory declarations and deeds</w:t>
      </w:r>
      <w:r w:rsidR="00AF3B95">
        <w:t xml:space="preserve">, Department of </w:t>
      </w:r>
      <w:r>
        <w:t xml:space="preserve">Prime Minister and Cabinet, September 2021. </w:t>
      </w:r>
      <w:hyperlink r:id="rId1" w:history="1">
        <w:r w:rsidRPr="00916E14">
          <w:rPr>
            <w:rStyle w:val="Hyperlink"/>
          </w:rPr>
          <w:t>https://deregulation.pmc.gov.au/sites/default/files/modernising-document-execution-consult.pdf</w:t>
        </w:r>
      </w:hyperlink>
    </w:p>
  </w:footnote>
  <w:footnote w:id="3">
    <w:p w14:paraId="6C1E4F9F" w14:textId="01499A2A" w:rsidR="00B11995" w:rsidRDefault="00B11995">
      <w:pPr>
        <w:pStyle w:val="FootnoteText"/>
      </w:pPr>
      <w:r>
        <w:rPr>
          <w:rStyle w:val="FootnoteReference"/>
        </w:rPr>
        <w:footnoteRef/>
      </w:r>
      <w:r>
        <w:t xml:space="preserve"> </w:t>
      </w:r>
      <w:r>
        <w:rPr>
          <w:i/>
          <w:iCs/>
        </w:rPr>
        <w:t>Communications Report 2018-19</w:t>
      </w:r>
      <w:r w:rsidR="00AF3B95">
        <w:rPr>
          <w:i/>
          <w:iCs/>
        </w:rPr>
        <w:t>,</w:t>
      </w:r>
      <w:r>
        <w:rPr>
          <w:i/>
          <w:iCs/>
        </w:rPr>
        <w:t xml:space="preserve"> </w:t>
      </w:r>
      <w:r>
        <w:t xml:space="preserve">Australian Communications and Media Authority, February 2020. </w:t>
      </w:r>
      <w:r w:rsidRPr="006F58BB">
        <w:t>https://www.acma.gov.au/sites/default/files/2021-02/Communications%20report%202018-19.pdf</w:t>
      </w:r>
    </w:p>
  </w:footnote>
  <w:footnote w:id="4">
    <w:p w14:paraId="215CB35F" w14:textId="463F7AE6" w:rsidR="00B11995" w:rsidRDefault="00B11995">
      <w:pPr>
        <w:pStyle w:val="FootnoteText"/>
      </w:pPr>
      <w:r>
        <w:rPr>
          <w:rStyle w:val="FootnoteReference"/>
        </w:rPr>
        <w:footnoteRef/>
      </w:r>
      <w:r>
        <w:t xml:space="preserve"> </w:t>
      </w:r>
      <w:r w:rsidRPr="00A34997">
        <w:rPr>
          <w:i/>
          <w:iCs/>
        </w:rPr>
        <w:t>AGM Intelligence 2020, The Driving Forces behind AGM Outcomes</w:t>
      </w:r>
      <w:r>
        <w:t xml:space="preserve">, Computershare, 2020, </w:t>
      </w:r>
      <w:hyperlink r:id="rId2" w:history="1">
        <w:r w:rsidRPr="003E31B4">
          <w:rPr>
            <w:rStyle w:val="Hyperlink"/>
          </w:rPr>
          <w:t>https://www.computershare.com/News/AGM%20Intelligence%202020_interactive.pdf</w:t>
        </w:r>
      </w:hyperlink>
      <w:r>
        <w:t>, pages 14-15.</w:t>
      </w:r>
    </w:p>
  </w:footnote>
  <w:footnote w:id="5">
    <w:p w14:paraId="03875C82" w14:textId="77777777" w:rsidR="00B11995" w:rsidRDefault="00B11995" w:rsidP="00F21E42">
      <w:pPr>
        <w:pStyle w:val="FootnoteText"/>
      </w:pPr>
      <w:r w:rsidRPr="00AB6D3D">
        <w:rPr>
          <w:rStyle w:val="FootnoteReference"/>
        </w:rPr>
        <w:footnoteRef/>
      </w:r>
      <w:r w:rsidRPr="00AB6D3D">
        <w:t xml:space="preserve"> Numbers may not add due to rounding.</w:t>
      </w:r>
    </w:p>
  </w:footnote>
  <w:footnote w:id="6">
    <w:p w14:paraId="791552D8" w14:textId="5CE77923" w:rsidR="00B11995" w:rsidRDefault="00B11995">
      <w:pPr>
        <w:pStyle w:val="FootnoteText"/>
      </w:pPr>
      <w:r>
        <w:rPr>
          <w:rStyle w:val="FootnoteReference"/>
        </w:rPr>
        <w:footnoteRef/>
      </w:r>
      <w:r>
        <w:t xml:space="preserve"> </w:t>
      </w:r>
      <w:r w:rsidRPr="00AB6D3D">
        <w:t>Numbers may not add due to rounding</w:t>
      </w:r>
    </w:p>
  </w:footnote>
  <w:footnote w:id="7">
    <w:p w14:paraId="15E935F5" w14:textId="038BC414" w:rsidR="00B11995" w:rsidRDefault="00B11995" w:rsidP="00AB6D3D">
      <w:pPr>
        <w:pStyle w:val="FootnoteText"/>
        <w:tabs>
          <w:tab w:val="left" w:pos="0"/>
        </w:tabs>
      </w:pPr>
      <w:r w:rsidRPr="00B00409">
        <w:rPr>
          <w:rStyle w:val="FootnoteReference"/>
          <w:sz w:val="22"/>
        </w:rPr>
        <w:footnoteRef/>
      </w:r>
      <w:r w:rsidRPr="00B00409">
        <w:rPr>
          <w:rStyle w:val="FootnoteReference"/>
          <w:sz w:val="22"/>
        </w:rPr>
        <w:t xml:space="preserve"> </w:t>
      </w:r>
      <w:r w:rsidRPr="00FE7DEA">
        <w:t xml:space="preserve">The terms of reference of this </w:t>
      </w:r>
      <w:r>
        <w:t xml:space="preserve">that the </w:t>
      </w:r>
      <w:r w:rsidRPr="00FE7DEA">
        <w:t xml:space="preserve">Committee requires them to consider opportunities for the RegTech industry to strengthen compliance but reduce costs. In the Issues Paper released on 23 October 2019, </w:t>
      </w:r>
      <w:r w:rsidR="00C87B8E" w:rsidRPr="00FE7DEA">
        <w:t>the</w:t>
      </w:r>
      <w:r w:rsidR="00C87B8E">
        <w:t xml:space="preserve"> Comittee</w:t>
      </w:r>
      <w:r w:rsidR="00C87B8E" w:rsidRPr="00FE7DEA">
        <w:t xml:space="preserve"> </w:t>
      </w:r>
      <w:r w:rsidRPr="00FE7DEA">
        <w:t>sought feedback on removing regulatory barriers arising from a lack of technology neutrality. Following the Coronavirus outbreak, the Committee re</w:t>
      </w:r>
      <w:r>
        <w:t>-</w:t>
      </w:r>
      <w:r w:rsidRPr="00FE7DEA">
        <w:t xml:space="preserve">opened its call for submissions to the inquiry to enable submitters to provide further input to the Committee. </w:t>
      </w:r>
      <w:r w:rsidR="00C87B8E">
        <w:t>It</w:t>
      </w:r>
      <w:r w:rsidRPr="00FE7DEA">
        <w:t xml:space="preserve"> conducted a number of public hearings between 30 June 2020 and 10 August 2020..</w:t>
      </w:r>
      <w:r>
        <w:t xml:space="preserve"> The Committee released a second interim report in April 2021 which examined further issues in the RegTech industry. However, no additional recommendations in relation electronic communication and meetings were made. </w:t>
      </w:r>
    </w:p>
  </w:footnote>
  <w:footnote w:id="8">
    <w:p w14:paraId="183D2679" w14:textId="737EA35B" w:rsidR="00B11995" w:rsidRDefault="00B11995">
      <w:pPr>
        <w:pStyle w:val="FootnoteText"/>
      </w:pPr>
      <w:r>
        <w:rPr>
          <w:rStyle w:val="FootnoteReference"/>
        </w:rPr>
        <w:footnoteRef/>
      </w:r>
      <w:r>
        <w:t xml:space="preserve"> These were from: </w:t>
      </w:r>
      <w:r w:rsidRPr="002314A5">
        <w:t>Austral</w:t>
      </w:r>
      <w:r>
        <w:t>asian</w:t>
      </w:r>
      <w:r w:rsidRPr="002314A5">
        <w:t xml:space="preserve"> Investor Relations Association (AIRA)</w:t>
      </w:r>
      <w:r>
        <w:t xml:space="preserve">, </w:t>
      </w:r>
      <w:r w:rsidRPr="002314A5">
        <w:t>Australian Institute of Company Directors (AICD)</w:t>
      </w:r>
      <w:r>
        <w:t xml:space="preserve">, Computershare, Governance Institute of Australia (GIA), Law Council of Australia (LCA) and Link Group. Submissions are available at: </w:t>
      </w:r>
      <w:hyperlink r:id="rId3" w:history="1">
        <w:r w:rsidRPr="00362C8E">
          <w:rPr>
            <w:rStyle w:val="Hyperlink"/>
          </w:rPr>
          <w:t>https://www.aph.gov.au/Parliamentary_Business/Committees/Senate/Financial_Technology_and_Regulatory_Technology/FinancialRegulatoryTech/Submissions</w:t>
        </w:r>
      </w:hyperlink>
      <w:r>
        <w:t xml:space="preserve"> </w:t>
      </w:r>
    </w:p>
  </w:footnote>
  <w:footnote w:id="9">
    <w:p w14:paraId="168ED2BD" w14:textId="2DD5323C" w:rsidR="00B11995" w:rsidRDefault="00B11995">
      <w:pPr>
        <w:pStyle w:val="FootnoteText"/>
      </w:pPr>
      <w:r>
        <w:rPr>
          <w:rStyle w:val="FootnoteReference"/>
        </w:rPr>
        <w:footnoteRef/>
      </w:r>
      <w:r>
        <w:t xml:space="preserve"> These were from: Law Council of Australia (LCA) on 1 July 2020, Australian Shareholders Association (ASA) on 10 August 2020 and </w:t>
      </w:r>
      <w:r w:rsidRPr="002314A5">
        <w:t>Austral</w:t>
      </w:r>
      <w:r>
        <w:t>asian</w:t>
      </w:r>
      <w:r w:rsidRPr="002314A5">
        <w:t xml:space="preserve"> Investor Relations Association (AIRA)</w:t>
      </w:r>
      <w:r>
        <w:t xml:space="preserve">, </w:t>
      </w:r>
      <w:r w:rsidRPr="002314A5">
        <w:t>Australian Institute of Company Directors (AICD)</w:t>
      </w:r>
      <w:r>
        <w:t xml:space="preserve">, Computershare, Governance Institute of Australia (GIA), Link Group, and AMP Limited on 30 June 2020. These transcripts are available at: </w:t>
      </w:r>
      <w:hyperlink r:id="rId4" w:history="1">
        <w:r w:rsidRPr="00362C8E">
          <w:rPr>
            <w:rStyle w:val="Hyperlink"/>
          </w:rPr>
          <w:t>https://www.aph.gov.au/Parliamentary_Business/Committees/Senate/Financial_Technology_and_Regulatory_Technology/FinancialRegulatoryTech/Public_Hearings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2090721454"/>
      <w:dataBinding w:xpath="/root[1]/Classification[1]" w:storeItemID="{F533AE62-A212-4B26-92DA-A3B336E8AE06}"/>
      <w:text/>
    </w:sdtPr>
    <w:sdtEndPr/>
    <w:sdtContent>
      <w:p w14:paraId="72B0265E" w14:textId="77777777" w:rsidR="00B11995" w:rsidRPr="00B87E45" w:rsidRDefault="00B11995" w:rsidP="001007B9">
        <w:pPr>
          <w:pStyle w:val="ProtectiveMarking"/>
        </w:pPr>
        <w:r>
          <w:t>Choose Classification</w:t>
        </w:r>
      </w:p>
    </w:sdtContent>
  </w:sdt>
  <w:p w14:paraId="6ABCE7DF" w14:textId="77777777" w:rsidR="00B11995" w:rsidRPr="00073D52" w:rsidRDefault="00B11995" w:rsidP="001007B9">
    <w:pPr>
      <w:pStyle w:val="Footerline"/>
    </w:pPr>
  </w:p>
  <w:p w14:paraId="6C183C70" w14:textId="77777777" w:rsidR="00B11995" w:rsidRDefault="00B1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40537962"/>
      <w:dataBinding w:xpath="/root[1]/Classification[1]" w:storeItemID="{F533AE62-A212-4B26-92DA-A3B336E8AE06}"/>
      <w:text/>
    </w:sdtPr>
    <w:sdtEndPr/>
    <w:sdtContent>
      <w:p w14:paraId="1CE6BACE" w14:textId="77777777" w:rsidR="00B11995" w:rsidRPr="00B87E45" w:rsidRDefault="00B11995" w:rsidP="00663EAD">
        <w:pPr>
          <w:pStyle w:val="ProtectiveMarking"/>
        </w:pPr>
        <w:r>
          <w:t>Choose Classification</w:t>
        </w:r>
      </w:p>
    </w:sdtContent>
  </w:sdt>
  <w:p w14:paraId="5A9927E8" w14:textId="77777777" w:rsidR="00B11995" w:rsidRPr="00073D52" w:rsidRDefault="00B11995" w:rsidP="00663EAD">
    <w:pPr>
      <w:pStyle w:val="Footerline"/>
    </w:pPr>
  </w:p>
  <w:p w14:paraId="409CDC87" w14:textId="77777777" w:rsidR="00B11995" w:rsidRDefault="00B1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0B34D" w14:textId="77777777" w:rsidR="00B11995" w:rsidRPr="00753174" w:rsidRDefault="00B11995" w:rsidP="00753174">
    <w:pPr>
      <w:pStyle w:val="Header"/>
    </w:pPr>
  </w:p>
  <w:p w14:paraId="3ECB6FAF" w14:textId="77777777" w:rsidR="00B11995" w:rsidRPr="00753174" w:rsidRDefault="00B11995" w:rsidP="007531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4993280"/>
      <w:dataBinding w:xpath="/root[1]/Classification[1]" w:storeItemID="{F533AE62-A212-4B26-92DA-A3B336E8AE06}"/>
      <w:text/>
    </w:sdtPr>
    <w:sdtEndPr/>
    <w:sdtContent>
      <w:p w14:paraId="3C9BE724" w14:textId="77777777" w:rsidR="00B11995" w:rsidRPr="00B87E45" w:rsidRDefault="00B11995" w:rsidP="00663EAD">
        <w:pPr>
          <w:pStyle w:val="ProtectiveMarking"/>
        </w:pPr>
        <w:r>
          <w:t>Choose Classification</w:t>
        </w:r>
      </w:p>
    </w:sdtContent>
  </w:sdt>
  <w:p w14:paraId="43FF238C" w14:textId="77777777" w:rsidR="00B11995" w:rsidRPr="00073D52" w:rsidRDefault="00B11995" w:rsidP="00663EAD">
    <w:pPr>
      <w:pStyle w:val="Footerline"/>
    </w:pPr>
  </w:p>
  <w:p w14:paraId="2E039909" w14:textId="77777777" w:rsidR="00B11995" w:rsidRDefault="00B1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0E1F76C1"/>
    <w:multiLevelType w:val="hybridMultilevel"/>
    <w:tmpl w:val="327E9872"/>
    <w:lvl w:ilvl="0" w:tplc="CA0E2B0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5"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6" w15:restartNumberingAfterBreak="0">
    <w:nsid w:val="54A6227A"/>
    <w:multiLevelType w:val="hybridMultilevel"/>
    <w:tmpl w:val="518AA148"/>
    <w:lvl w:ilvl="0" w:tplc="82601080">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2E3222"/>
    <w:multiLevelType w:val="multilevel"/>
    <w:tmpl w:val="0B8A07E0"/>
    <w:name w:val="StandardNumberedList"/>
    <w:lvl w:ilvl="0">
      <w:start w:val="1"/>
      <w:numFmt w:val="decimal"/>
      <w:pStyle w:val="OutlineNumbered1"/>
      <w:lvlText w:val="%1."/>
      <w:lvlJc w:val="left"/>
      <w:pPr>
        <w:tabs>
          <w:tab w:val="num" w:pos="756"/>
        </w:tabs>
        <w:ind w:left="756" w:hanging="756"/>
      </w:pPr>
    </w:lvl>
    <w:lvl w:ilvl="1">
      <w:start w:val="1"/>
      <w:numFmt w:val="decimal"/>
      <w:pStyle w:val="OutlineNumbered2"/>
      <w:lvlText w:val="%1.%2."/>
      <w:lvlJc w:val="left"/>
      <w:pPr>
        <w:tabs>
          <w:tab w:val="num" w:pos="1512"/>
        </w:tabs>
        <w:ind w:left="1512" w:hanging="756"/>
      </w:pPr>
    </w:lvl>
    <w:lvl w:ilvl="2">
      <w:start w:val="1"/>
      <w:numFmt w:val="decimal"/>
      <w:pStyle w:val="OutlineNumbered3"/>
      <w:lvlText w:val="%1.%2.%3."/>
      <w:lvlJc w:val="left"/>
      <w:pPr>
        <w:tabs>
          <w:tab w:val="num" w:pos="2268"/>
        </w:tabs>
        <w:ind w:left="2268" w:hanging="75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9"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0" w15:restartNumberingAfterBreak="0">
    <w:nsid w:val="72EF1E09"/>
    <w:multiLevelType w:val="multilevel"/>
    <w:tmpl w:val="99B0990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1"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13" w15:restartNumberingAfterBreak="0">
    <w:nsid w:val="78B16110"/>
    <w:multiLevelType w:val="multilevel"/>
    <w:tmpl w:val="4ABC9D72"/>
    <w:name w:val="StandardBulletedList"/>
    <w:lvl w:ilvl="0">
      <w:start w:val="1"/>
      <w:numFmt w:val="bullet"/>
      <w:pStyle w:val="Bullet"/>
      <w:lvlText w:val="•"/>
      <w:lvlJc w:val="left"/>
      <w:pPr>
        <w:tabs>
          <w:tab w:val="num" w:pos="520"/>
        </w:tabs>
        <w:ind w:left="520" w:hanging="520"/>
      </w:pPr>
      <w:rPr>
        <w:rFonts w:ascii="Times New Roman" w:hAnsi="Times New Roman" w:cs="Times New Roman" w:hint="default"/>
      </w:rPr>
    </w:lvl>
    <w:lvl w:ilvl="1">
      <w:start w:val="1"/>
      <w:numFmt w:val="bullet"/>
      <w:pStyle w:val="Dash"/>
      <w:lvlText w:val="–"/>
      <w:lvlJc w:val="left"/>
      <w:pPr>
        <w:tabs>
          <w:tab w:val="num" w:pos="1181"/>
        </w:tabs>
        <w:ind w:left="1181" w:hanging="661"/>
      </w:pPr>
      <w:rPr>
        <w:rFonts w:ascii="Times New Roman" w:hAnsi="Times New Roman" w:cs="Times New Roman"/>
      </w:rPr>
    </w:lvl>
    <w:lvl w:ilvl="2">
      <w:start w:val="1"/>
      <w:numFmt w:val="bullet"/>
      <w:pStyle w:val="DoubleDot"/>
      <w:lvlText w:val=":"/>
      <w:lvlJc w:val="left"/>
      <w:pPr>
        <w:tabs>
          <w:tab w:val="num" w:pos="1842"/>
        </w:tabs>
        <w:ind w:left="1842" w:hanging="661"/>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8"/>
  </w:num>
  <w:num w:numId="3">
    <w:abstractNumId w:val="4"/>
  </w:num>
  <w:num w:numId="4">
    <w:abstractNumId w:val="11"/>
  </w:num>
  <w:num w:numId="5">
    <w:abstractNumId w:val="9"/>
  </w:num>
  <w:num w:numId="6">
    <w:abstractNumId w:val="8"/>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4"/>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4"/>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4"/>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4"/>
    <w:lvlOverride w:ilvl="0">
      <w:startOverride w:val="1"/>
      <w:lvl w:ilvl="0">
        <w:start w:val="1"/>
        <w:numFmt w:val="decimal"/>
        <w:pStyle w:val="TableNumbering"/>
        <w:lvlText w:val="%1."/>
        <w:lvlJc w:val="left"/>
        <w:pPr>
          <w:ind w:left="397" w:hanging="397"/>
        </w:pPr>
        <w:rPr>
          <w:rFonts w:hint="default"/>
          <w:color w:val="A9111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9"/>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9"/>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4"/>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6">
    <w:abstractNumId w:val="4"/>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1"/>
  </w:num>
  <w:num w:numId="18">
    <w:abstractNumId w:val="1"/>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5"/>
  </w:num>
  <w:num w:numId="20">
    <w:abstractNumId w:val="12"/>
  </w:num>
  <w:num w:numId="21">
    <w:abstractNumId w:val="0"/>
  </w:num>
  <w:num w:numId="22">
    <w:abstractNumId w:val="10"/>
  </w:num>
  <w:num w:numId="23">
    <w:abstractNumId w:val="10"/>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4"/>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4"/>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3"/>
  </w:num>
  <w:num w:numId="36">
    <w:abstractNumId w:val="7"/>
  </w:num>
  <w:num w:numId="37">
    <w:abstractNumId w:val="2"/>
  </w:num>
  <w:num w:numId="38">
    <w:abstractNumId w:val="9"/>
  </w:num>
  <w:num w:numId="39">
    <w:abstractNumId w:val="9"/>
  </w:num>
  <w:num w:numId="40">
    <w:abstractNumId w:val="9"/>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85"/>
    <w:rsid w:val="0000216A"/>
    <w:rsid w:val="00002F73"/>
    <w:rsid w:val="00014A70"/>
    <w:rsid w:val="00016011"/>
    <w:rsid w:val="0002068D"/>
    <w:rsid w:val="000209F5"/>
    <w:rsid w:val="00021E6B"/>
    <w:rsid w:val="00023AC4"/>
    <w:rsid w:val="00023BFF"/>
    <w:rsid w:val="000304B2"/>
    <w:rsid w:val="00031B5C"/>
    <w:rsid w:val="00031D72"/>
    <w:rsid w:val="00032B2A"/>
    <w:rsid w:val="00034FEC"/>
    <w:rsid w:val="000375F8"/>
    <w:rsid w:val="000405EB"/>
    <w:rsid w:val="00042E89"/>
    <w:rsid w:val="000434ED"/>
    <w:rsid w:val="00044BF9"/>
    <w:rsid w:val="00047387"/>
    <w:rsid w:val="000503A6"/>
    <w:rsid w:val="00053025"/>
    <w:rsid w:val="00053CD9"/>
    <w:rsid w:val="000557FF"/>
    <w:rsid w:val="00062F85"/>
    <w:rsid w:val="00063034"/>
    <w:rsid w:val="00063646"/>
    <w:rsid w:val="00063F8C"/>
    <w:rsid w:val="0007054F"/>
    <w:rsid w:val="00073D52"/>
    <w:rsid w:val="00073D54"/>
    <w:rsid w:val="000748E7"/>
    <w:rsid w:val="00074A14"/>
    <w:rsid w:val="00076AD1"/>
    <w:rsid w:val="000803CA"/>
    <w:rsid w:val="000821AD"/>
    <w:rsid w:val="00082286"/>
    <w:rsid w:val="00084C47"/>
    <w:rsid w:val="0008537B"/>
    <w:rsid w:val="000869CE"/>
    <w:rsid w:val="00090DBB"/>
    <w:rsid w:val="00090FBA"/>
    <w:rsid w:val="00091BCD"/>
    <w:rsid w:val="0009265A"/>
    <w:rsid w:val="000935A6"/>
    <w:rsid w:val="00094C17"/>
    <w:rsid w:val="0009548A"/>
    <w:rsid w:val="00095BF3"/>
    <w:rsid w:val="00096D1A"/>
    <w:rsid w:val="00097FCF"/>
    <w:rsid w:val="000A08CA"/>
    <w:rsid w:val="000A0E4C"/>
    <w:rsid w:val="000A46AD"/>
    <w:rsid w:val="000A6999"/>
    <w:rsid w:val="000A6CC7"/>
    <w:rsid w:val="000B1D1F"/>
    <w:rsid w:val="000B58D1"/>
    <w:rsid w:val="000B5B68"/>
    <w:rsid w:val="000B73D0"/>
    <w:rsid w:val="000C2E77"/>
    <w:rsid w:val="000C44F6"/>
    <w:rsid w:val="000C500C"/>
    <w:rsid w:val="000C5C4A"/>
    <w:rsid w:val="000C6428"/>
    <w:rsid w:val="000E1C08"/>
    <w:rsid w:val="000E699D"/>
    <w:rsid w:val="000F1CD7"/>
    <w:rsid w:val="000F23B0"/>
    <w:rsid w:val="000F3B10"/>
    <w:rsid w:val="000F3D3E"/>
    <w:rsid w:val="000F61C0"/>
    <w:rsid w:val="0010015C"/>
    <w:rsid w:val="001007B9"/>
    <w:rsid w:val="00101490"/>
    <w:rsid w:val="001024D6"/>
    <w:rsid w:val="00104287"/>
    <w:rsid w:val="00105ECB"/>
    <w:rsid w:val="00111945"/>
    <w:rsid w:val="0011200A"/>
    <w:rsid w:val="00113967"/>
    <w:rsid w:val="001141DB"/>
    <w:rsid w:val="00114F2A"/>
    <w:rsid w:val="001169E2"/>
    <w:rsid w:val="00125552"/>
    <w:rsid w:val="00131315"/>
    <w:rsid w:val="00132268"/>
    <w:rsid w:val="00135B7A"/>
    <w:rsid w:val="00141BB0"/>
    <w:rsid w:val="00147A22"/>
    <w:rsid w:val="00147C76"/>
    <w:rsid w:val="00150C33"/>
    <w:rsid w:val="0015537B"/>
    <w:rsid w:val="00156197"/>
    <w:rsid w:val="001569B8"/>
    <w:rsid w:val="001621ED"/>
    <w:rsid w:val="001627A5"/>
    <w:rsid w:val="00162F16"/>
    <w:rsid w:val="0016491C"/>
    <w:rsid w:val="001650EC"/>
    <w:rsid w:val="001727AF"/>
    <w:rsid w:val="00172C7A"/>
    <w:rsid w:val="00176D15"/>
    <w:rsid w:val="00176EA5"/>
    <w:rsid w:val="00177611"/>
    <w:rsid w:val="001777DA"/>
    <w:rsid w:val="0017798C"/>
    <w:rsid w:val="00177F16"/>
    <w:rsid w:val="001809C6"/>
    <w:rsid w:val="001850CB"/>
    <w:rsid w:val="00185AD3"/>
    <w:rsid w:val="00186FBD"/>
    <w:rsid w:val="00187D90"/>
    <w:rsid w:val="0019324F"/>
    <w:rsid w:val="00193CEA"/>
    <w:rsid w:val="00194851"/>
    <w:rsid w:val="00195BA8"/>
    <w:rsid w:val="00195F10"/>
    <w:rsid w:val="001A10D0"/>
    <w:rsid w:val="001A2B47"/>
    <w:rsid w:val="001A2F86"/>
    <w:rsid w:val="001A5EE7"/>
    <w:rsid w:val="001A66AD"/>
    <w:rsid w:val="001A69B7"/>
    <w:rsid w:val="001A774C"/>
    <w:rsid w:val="001B0144"/>
    <w:rsid w:val="001B0892"/>
    <w:rsid w:val="001B10ED"/>
    <w:rsid w:val="001B11A5"/>
    <w:rsid w:val="001B1396"/>
    <w:rsid w:val="001B2C44"/>
    <w:rsid w:val="001B30F5"/>
    <w:rsid w:val="001B356B"/>
    <w:rsid w:val="001C2920"/>
    <w:rsid w:val="001D2602"/>
    <w:rsid w:val="001D2664"/>
    <w:rsid w:val="001D283B"/>
    <w:rsid w:val="001E264E"/>
    <w:rsid w:val="001E33A2"/>
    <w:rsid w:val="001E5A08"/>
    <w:rsid w:val="001E75FE"/>
    <w:rsid w:val="001F1E4D"/>
    <w:rsid w:val="001F3722"/>
    <w:rsid w:val="001F691A"/>
    <w:rsid w:val="001F738E"/>
    <w:rsid w:val="0020076A"/>
    <w:rsid w:val="002036A5"/>
    <w:rsid w:val="00203B54"/>
    <w:rsid w:val="00204B31"/>
    <w:rsid w:val="00204F16"/>
    <w:rsid w:val="0020677B"/>
    <w:rsid w:val="0021247A"/>
    <w:rsid w:val="00216995"/>
    <w:rsid w:val="0021759D"/>
    <w:rsid w:val="00222FB3"/>
    <w:rsid w:val="00225B75"/>
    <w:rsid w:val="00227321"/>
    <w:rsid w:val="00227332"/>
    <w:rsid w:val="00231419"/>
    <w:rsid w:val="002314A5"/>
    <w:rsid w:val="00231B22"/>
    <w:rsid w:val="0023232F"/>
    <w:rsid w:val="0023294E"/>
    <w:rsid w:val="00234181"/>
    <w:rsid w:val="00234A8B"/>
    <w:rsid w:val="00236533"/>
    <w:rsid w:val="00237273"/>
    <w:rsid w:val="0024191E"/>
    <w:rsid w:val="00243832"/>
    <w:rsid w:val="0024684E"/>
    <w:rsid w:val="00246F61"/>
    <w:rsid w:val="002515A3"/>
    <w:rsid w:val="00252F38"/>
    <w:rsid w:val="00264B95"/>
    <w:rsid w:val="002650CB"/>
    <w:rsid w:val="00272686"/>
    <w:rsid w:val="00276222"/>
    <w:rsid w:val="0027769C"/>
    <w:rsid w:val="0028218B"/>
    <w:rsid w:val="00282B57"/>
    <w:rsid w:val="00284710"/>
    <w:rsid w:val="002876D1"/>
    <w:rsid w:val="0029018E"/>
    <w:rsid w:val="0029071D"/>
    <w:rsid w:val="00292005"/>
    <w:rsid w:val="00293C31"/>
    <w:rsid w:val="00294D1D"/>
    <w:rsid w:val="002954E2"/>
    <w:rsid w:val="002955DD"/>
    <w:rsid w:val="002970BD"/>
    <w:rsid w:val="002A0289"/>
    <w:rsid w:val="002A371E"/>
    <w:rsid w:val="002A5207"/>
    <w:rsid w:val="002A5B89"/>
    <w:rsid w:val="002B35D2"/>
    <w:rsid w:val="002B4B0A"/>
    <w:rsid w:val="002B7686"/>
    <w:rsid w:val="002C103A"/>
    <w:rsid w:val="002C1ACF"/>
    <w:rsid w:val="002C2B93"/>
    <w:rsid w:val="002C5F5B"/>
    <w:rsid w:val="002C777D"/>
    <w:rsid w:val="002D04FB"/>
    <w:rsid w:val="002D22FA"/>
    <w:rsid w:val="002D40B1"/>
    <w:rsid w:val="002D45CD"/>
    <w:rsid w:val="002D5033"/>
    <w:rsid w:val="002D7247"/>
    <w:rsid w:val="002D75F9"/>
    <w:rsid w:val="002E071A"/>
    <w:rsid w:val="002E07AC"/>
    <w:rsid w:val="002E3069"/>
    <w:rsid w:val="002E6AA1"/>
    <w:rsid w:val="002F22B6"/>
    <w:rsid w:val="002F2F61"/>
    <w:rsid w:val="002F33B5"/>
    <w:rsid w:val="002F57C6"/>
    <w:rsid w:val="00300F03"/>
    <w:rsid w:val="00304C01"/>
    <w:rsid w:val="00307A69"/>
    <w:rsid w:val="00311022"/>
    <w:rsid w:val="00312E4A"/>
    <w:rsid w:val="0031546F"/>
    <w:rsid w:val="00316B0D"/>
    <w:rsid w:val="003170C0"/>
    <w:rsid w:val="00323BDC"/>
    <w:rsid w:val="00324C38"/>
    <w:rsid w:val="00324C8E"/>
    <w:rsid w:val="003260E5"/>
    <w:rsid w:val="003300DB"/>
    <w:rsid w:val="0033088D"/>
    <w:rsid w:val="00330FEB"/>
    <w:rsid w:val="0033125B"/>
    <w:rsid w:val="00333B96"/>
    <w:rsid w:val="00333CDC"/>
    <w:rsid w:val="00334A19"/>
    <w:rsid w:val="00335425"/>
    <w:rsid w:val="003402AE"/>
    <w:rsid w:val="00343D35"/>
    <w:rsid w:val="00344AD2"/>
    <w:rsid w:val="003500C6"/>
    <w:rsid w:val="00352277"/>
    <w:rsid w:val="0035283C"/>
    <w:rsid w:val="003621E7"/>
    <w:rsid w:val="00363AE5"/>
    <w:rsid w:val="0036468C"/>
    <w:rsid w:val="00373306"/>
    <w:rsid w:val="003738D0"/>
    <w:rsid w:val="00373FD8"/>
    <w:rsid w:val="003848EF"/>
    <w:rsid w:val="00385B65"/>
    <w:rsid w:val="00391929"/>
    <w:rsid w:val="00393FBE"/>
    <w:rsid w:val="00396923"/>
    <w:rsid w:val="0039708F"/>
    <w:rsid w:val="003A2E2A"/>
    <w:rsid w:val="003A3E57"/>
    <w:rsid w:val="003A7E73"/>
    <w:rsid w:val="003B783E"/>
    <w:rsid w:val="003C4793"/>
    <w:rsid w:val="003C6961"/>
    <w:rsid w:val="003D093C"/>
    <w:rsid w:val="003D21A3"/>
    <w:rsid w:val="003D3D82"/>
    <w:rsid w:val="003D50FB"/>
    <w:rsid w:val="003E15A1"/>
    <w:rsid w:val="003E2C5C"/>
    <w:rsid w:val="003E31B4"/>
    <w:rsid w:val="003E67E9"/>
    <w:rsid w:val="003E6B8B"/>
    <w:rsid w:val="003F017E"/>
    <w:rsid w:val="003F17BC"/>
    <w:rsid w:val="003F1A1E"/>
    <w:rsid w:val="003F4836"/>
    <w:rsid w:val="003F5088"/>
    <w:rsid w:val="003F5B9A"/>
    <w:rsid w:val="003F60F5"/>
    <w:rsid w:val="003F6A09"/>
    <w:rsid w:val="003F7E70"/>
    <w:rsid w:val="00406323"/>
    <w:rsid w:val="004064ED"/>
    <w:rsid w:val="00416FC5"/>
    <w:rsid w:val="00423E92"/>
    <w:rsid w:val="00425475"/>
    <w:rsid w:val="004273B2"/>
    <w:rsid w:val="0043328C"/>
    <w:rsid w:val="004366AE"/>
    <w:rsid w:val="004409A8"/>
    <w:rsid w:val="00440F3E"/>
    <w:rsid w:val="0044256B"/>
    <w:rsid w:val="0044371A"/>
    <w:rsid w:val="004510B2"/>
    <w:rsid w:val="0045112D"/>
    <w:rsid w:val="00454696"/>
    <w:rsid w:val="004549C1"/>
    <w:rsid w:val="00454C85"/>
    <w:rsid w:val="004616FF"/>
    <w:rsid w:val="00462B93"/>
    <w:rsid w:val="0047207F"/>
    <w:rsid w:val="004756FF"/>
    <w:rsid w:val="004759ED"/>
    <w:rsid w:val="00475DD4"/>
    <w:rsid w:val="004761F6"/>
    <w:rsid w:val="00476C6E"/>
    <w:rsid w:val="00477065"/>
    <w:rsid w:val="00480ABE"/>
    <w:rsid w:val="00480EB2"/>
    <w:rsid w:val="004849D9"/>
    <w:rsid w:val="00484A3F"/>
    <w:rsid w:val="00491328"/>
    <w:rsid w:val="00492C78"/>
    <w:rsid w:val="00493A2B"/>
    <w:rsid w:val="00495515"/>
    <w:rsid w:val="004957BB"/>
    <w:rsid w:val="004957C1"/>
    <w:rsid w:val="004969A6"/>
    <w:rsid w:val="00496A00"/>
    <w:rsid w:val="004A1052"/>
    <w:rsid w:val="004A1272"/>
    <w:rsid w:val="004A1E5B"/>
    <w:rsid w:val="004A4775"/>
    <w:rsid w:val="004B2CB0"/>
    <w:rsid w:val="004B45A8"/>
    <w:rsid w:val="004B7B8B"/>
    <w:rsid w:val="004C2245"/>
    <w:rsid w:val="004C2D79"/>
    <w:rsid w:val="004C6518"/>
    <w:rsid w:val="004D24EB"/>
    <w:rsid w:val="004D3DE9"/>
    <w:rsid w:val="004D6C45"/>
    <w:rsid w:val="004D7739"/>
    <w:rsid w:val="004F73E8"/>
    <w:rsid w:val="00503B3A"/>
    <w:rsid w:val="00506768"/>
    <w:rsid w:val="005179BF"/>
    <w:rsid w:val="00522840"/>
    <w:rsid w:val="00523958"/>
    <w:rsid w:val="00531359"/>
    <w:rsid w:val="00534824"/>
    <w:rsid w:val="005400C8"/>
    <w:rsid w:val="00540308"/>
    <w:rsid w:val="00540886"/>
    <w:rsid w:val="00543E44"/>
    <w:rsid w:val="00543FDE"/>
    <w:rsid w:val="00546B85"/>
    <w:rsid w:val="005518B0"/>
    <w:rsid w:val="00552FD0"/>
    <w:rsid w:val="00560CE5"/>
    <w:rsid w:val="00561516"/>
    <w:rsid w:val="00566F5B"/>
    <w:rsid w:val="005675D9"/>
    <w:rsid w:val="00573A9F"/>
    <w:rsid w:val="00573D22"/>
    <w:rsid w:val="00574F28"/>
    <w:rsid w:val="0058212F"/>
    <w:rsid w:val="005834CC"/>
    <w:rsid w:val="00583D62"/>
    <w:rsid w:val="005840DF"/>
    <w:rsid w:val="005872EB"/>
    <w:rsid w:val="0058793B"/>
    <w:rsid w:val="005913E7"/>
    <w:rsid w:val="00596426"/>
    <w:rsid w:val="005A0DE7"/>
    <w:rsid w:val="005A145B"/>
    <w:rsid w:val="005A2DFE"/>
    <w:rsid w:val="005A50A0"/>
    <w:rsid w:val="005A519F"/>
    <w:rsid w:val="005B073D"/>
    <w:rsid w:val="005B241C"/>
    <w:rsid w:val="005B27D0"/>
    <w:rsid w:val="005B5538"/>
    <w:rsid w:val="005B6611"/>
    <w:rsid w:val="005B6994"/>
    <w:rsid w:val="005B7BC0"/>
    <w:rsid w:val="005C52C3"/>
    <w:rsid w:val="005C7655"/>
    <w:rsid w:val="005C7C79"/>
    <w:rsid w:val="005D1158"/>
    <w:rsid w:val="005D2D7A"/>
    <w:rsid w:val="005D3CB2"/>
    <w:rsid w:val="005D4708"/>
    <w:rsid w:val="005D57A4"/>
    <w:rsid w:val="005D5DEB"/>
    <w:rsid w:val="005D67B2"/>
    <w:rsid w:val="005D7550"/>
    <w:rsid w:val="005D7ECA"/>
    <w:rsid w:val="005E2019"/>
    <w:rsid w:val="005E34F0"/>
    <w:rsid w:val="005E423F"/>
    <w:rsid w:val="005E601F"/>
    <w:rsid w:val="005E701C"/>
    <w:rsid w:val="005F006A"/>
    <w:rsid w:val="005F0F60"/>
    <w:rsid w:val="005F142D"/>
    <w:rsid w:val="005F3D48"/>
    <w:rsid w:val="005F4941"/>
    <w:rsid w:val="005F79CC"/>
    <w:rsid w:val="00603FC1"/>
    <w:rsid w:val="00607D19"/>
    <w:rsid w:val="0061131A"/>
    <w:rsid w:val="00612780"/>
    <w:rsid w:val="0061381E"/>
    <w:rsid w:val="00613FC2"/>
    <w:rsid w:val="00614C14"/>
    <w:rsid w:val="006159CC"/>
    <w:rsid w:val="006173D0"/>
    <w:rsid w:val="006178B8"/>
    <w:rsid w:val="006201D7"/>
    <w:rsid w:val="00620C9E"/>
    <w:rsid w:val="00625B56"/>
    <w:rsid w:val="00626CA4"/>
    <w:rsid w:val="00630238"/>
    <w:rsid w:val="00634291"/>
    <w:rsid w:val="00635D59"/>
    <w:rsid w:val="00637B4B"/>
    <w:rsid w:val="006427AA"/>
    <w:rsid w:val="006429D7"/>
    <w:rsid w:val="00647DAB"/>
    <w:rsid w:val="00650513"/>
    <w:rsid w:val="00650F01"/>
    <w:rsid w:val="00651F89"/>
    <w:rsid w:val="006576C1"/>
    <w:rsid w:val="00657D2D"/>
    <w:rsid w:val="00657DFE"/>
    <w:rsid w:val="006626BF"/>
    <w:rsid w:val="006639AD"/>
    <w:rsid w:val="00663EAD"/>
    <w:rsid w:val="00666E76"/>
    <w:rsid w:val="006676B9"/>
    <w:rsid w:val="006719C9"/>
    <w:rsid w:val="0067402C"/>
    <w:rsid w:val="0067471A"/>
    <w:rsid w:val="00675B34"/>
    <w:rsid w:val="006766E3"/>
    <w:rsid w:val="0067676B"/>
    <w:rsid w:val="00685BF1"/>
    <w:rsid w:val="006A131D"/>
    <w:rsid w:val="006A26AA"/>
    <w:rsid w:val="006A26E0"/>
    <w:rsid w:val="006A2795"/>
    <w:rsid w:val="006A61FC"/>
    <w:rsid w:val="006B089B"/>
    <w:rsid w:val="006B30D0"/>
    <w:rsid w:val="006B3301"/>
    <w:rsid w:val="006B3C8E"/>
    <w:rsid w:val="006B56FC"/>
    <w:rsid w:val="006B6AF4"/>
    <w:rsid w:val="006B70FD"/>
    <w:rsid w:val="006C0869"/>
    <w:rsid w:val="006C795A"/>
    <w:rsid w:val="006C7B63"/>
    <w:rsid w:val="006C7FC3"/>
    <w:rsid w:val="006D1BCA"/>
    <w:rsid w:val="006D477F"/>
    <w:rsid w:val="006E086B"/>
    <w:rsid w:val="006E2665"/>
    <w:rsid w:val="006E350F"/>
    <w:rsid w:val="006E3D03"/>
    <w:rsid w:val="006E4ABA"/>
    <w:rsid w:val="006F04A6"/>
    <w:rsid w:val="006F32BB"/>
    <w:rsid w:val="006F4E20"/>
    <w:rsid w:val="006F5105"/>
    <w:rsid w:val="006F58BB"/>
    <w:rsid w:val="0070165C"/>
    <w:rsid w:val="00702CD6"/>
    <w:rsid w:val="00704663"/>
    <w:rsid w:val="00707380"/>
    <w:rsid w:val="0071016D"/>
    <w:rsid w:val="00714E79"/>
    <w:rsid w:val="00716A5F"/>
    <w:rsid w:val="007203E7"/>
    <w:rsid w:val="00721198"/>
    <w:rsid w:val="007218C9"/>
    <w:rsid w:val="00722B3A"/>
    <w:rsid w:val="007239F8"/>
    <w:rsid w:val="00733A6C"/>
    <w:rsid w:val="00733EA2"/>
    <w:rsid w:val="0074575B"/>
    <w:rsid w:val="00752CAE"/>
    <w:rsid w:val="007530F8"/>
    <w:rsid w:val="00753174"/>
    <w:rsid w:val="007538E9"/>
    <w:rsid w:val="00753B4D"/>
    <w:rsid w:val="00754949"/>
    <w:rsid w:val="00757EF6"/>
    <w:rsid w:val="00760657"/>
    <w:rsid w:val="007660B9"/>
    <w:rsid w:val="00772E98"/>
    <w:rsid w:val="00773AC7"/>
    <w:rsid w:val="0077446A"/>
    <w:rsid w:val="00775DA0"/>
    <w:rsid w:val="00780AC4"/>
    <w:rsid w:val="0078172B"/>
    <w:rsid w:val="00781797"/>
    <w:rsid w:val="00786AEB"/>
    <w:rsid w:val="00786BA2"/>
    <w:rsid w:val="00787C3C"/>
    <w:rsid w:val="007902F4"/>
    <w:rsid w:val="007916A6"/>
    <w:rsid w:val="00792E29"/>
    <w:rsid w:val="007954CB"/>
    <w:rsid w:val="007956C4"/>
    <w:rsid w:val="007A27C5"/>
    <w:rsid w:val="007A48CF"/>
    <w:rsid w:val="007A4D30"/>
    <w:rsid w:val="007A52E1"/>
    <w:rsid w:val="007A7137"/>
    <w:rsid w:val="007B089B"/>
    <w:rsid w:val="007B3CA9"/>
    <w:rsid w:val="007B7A19"/>
    <w:rsid w:val="007C217D"/>
    <w:rsid w:val="007C263C"/>
    <w:rsid w:val="007C3F60"/>
    <w:rsid w:val="007C415A"/>
    <w:rsid w:val="007C5FA7"/>
    <w:rsid w:val="007C7638"/>
    <w:rsid w:val="007D23B4"/>
    <w:rsid w:val="007D264D"/>
    <w:rsid w:val="007D4215"/>
    <w:rsid w:val="007D5650"/>
    <w:rsid w:val="007D680C"/>
    <w:rsid w:val="007E02E0"/>
    <w:rsid w:val="007E0EA4"/>
    <w:rsid w:val="007E350E"/>
    <w:rsid w:val="007E6C97"/>
    <w:rsid w:val="007E738B"/>
    <w:rsid w:val="007F2558"/>
    <w:rsid w:val="007F5D33"/>
    <w:rsid w:val="007F7FED"/>
    <w:rsid w:val="00801AA9"/>
    <w:rsid w:val="00804091"/>
    <w:rsid w:val="008051C4"/>
    <w:rsid w:val="00805B42"/>
    <w:rsid w:val="00806393"/>
    <w:rsid w:val="00810E34"/>
    <w:rsid w:val="00812346"/>
    <w:rsid w:val="0081512D"/>
    <w:rsid w:val="00816247"/>
    <w:rsid w:val="00817B63"/>
    <w:rsid w:val="008203EB"/>
    <w:rsid w:val="00820E0F"/>
    <w:rsid w:val="00822FC1"/>
    <w:rsid w:val="00825B23"/>
    <w:rsid w:val="008275B9"/>
    <w:rsid w:val="0083261D"/>
    <w:rsid w:val="00832D89"/>
    <w:rsid w:val="0083338F"/>
    <w:rsid w:val="008346E6"/>
    <w:rsid w:val="00840865"/>
    <w:rsid w:val="00841D41"/>
    <w:rsid w:val="008436AB"/>
    <w:rsid w:val="00844053"/>
    <w:rsid w:val="00844739"/>
    <w:rsid w:val="0084486B"/>
    <w:rsid w:val="00852400"/>
    <w:rsid w:val="00853184"/>
    <w:rsid w:val="00854CB7"/>
    <w:rsid w:val="00860779"/>
    <w:rsid w:val="0086151D"/>
    <w:rsid w:val="008628AF"/>
    <w:rsid w:val="008678C1"/>
    <w:rsid w:val="00867AD7"/>
    <w:rsid w:val="0087113D"/>
    <w:rsid w:val="00873DED"/>
    <w:rsid w:val="00877425"/>
    <w:rsid w:val="008777F4"/>
    <w:rsid w:val="00880786"/>
    <w:rsid w:val="0089485B"/>
    <w:rsid w:val="00895BE9"/>
    <w:rsid w:val="00897E72"/>
    <w:rsid w:val="008A385F"/>
    <w:rsid w:val="008A41B9"/>
    <w:rsid w:val="008A6CDC"/>
    <w:rsid w:val="008A76E0"/>
    <w:rsid w:val="008B07BA"/>
    <w:rsid w:val="008B493F"/>
    <w:rsid w:val="008C0EAD"/>
    <w:rsid w:val="008C115E"/>
    <w:rsid w:val="008C1B9B"/>
    <w:rsid w:val="008C418B"/>
    <w:rsid w:val="008C5412"/>
    <w:rsid w:val="008C5498"/>
    <w:rsid w:val="008D0504"/>
    <w:rsid w:val="008D1256"/>
    <w:rsid w:val="008D275A"/>
    <w:rsid w:val="008D6C37"/>
    <w:rsid w:val="008E4DF2"/>
    <w:rsid w:val="008F26EE"/>
    <w:rsid w:val="00902ADE"/>
    <w:rsid w:val="00902AED"/>
    <w:rsid w:val="00902CAC"/>
    <w:rsid w:val="00903131"/>
    <w:rsid w:val="009036CA"/>
    <w:rsid w:val="009042AE"/>
    <w:rsid w:val="00914965"/>
    <w:rsid w:val="00914A3D"/>
    <w:rsid w:val="00917F95"/>
    <w:rsid w:val="009225E8"/>
    <w:rsid w:val="00923EDF"/>
    <w:rsid w:val="009267D5"/>
    <w:rsid w:val="0093057A"/>
    <w:rsid w:val="0093239B"/>
    <w:rsid w:val="009352AE"/>
    <w:rsid w:val="009364DD"/>
    <w:rsid w:val="00940902"/>
    <w:rsid w:val="00941732"/>
    <w:rsid w:val="00942549"/>
    <w:rsid w:val="00943FEC"/>
    <w:rsid w:val="009452FE"/>
    <w:rsid w:val="00945A9E"/>
    <w:rsid w:val="0094688C"/>
    <w:rsid w:val="00955593"/>
    <w:rsid w:val="0095651B"/>
    <w:rsid w:val="009603DE"/>
    <w:rsid w:val="00963FB3"/>
    <w:rsid w:val="00973B1C"/>
    <w:rsid w:val="00973CAE"/>
    <w:rsid w:val="0098044F"/>
    <w:rsid w:val="00984BF2"/>
    <w:rsid w:val="00987EBC"/>
    <w:rsid w:val="00993B67"/>
    <w:rsid w:val="009959E0"/>
    <w:rsid w:val="00996919"/>
    <w:rsid w:val="00996BEA"/>
    <w:rsid w:val="00997381"/>
    <w:rsid w:val="009A33FB"/>
    <w:rsid w:val="009A3E98"/>
    <w:rsid w:val="009A4A45"/>
    <w:rsid w:val="009A5DC8"/>
    <w:rsid w:val="009B0525"/>
    <w:rsid w:val="009B1577"/>
    <w:rsid w:val="009B1A44"/>
    <w:rsid w:val="009B3424"/>
    <w:rsid w:val="009B3911"/>
    <w:rsid w:val="009B3CDA"/>
    <w:rsid w:val="009B4379"/>
    <w:rsid w:val="009B49A1"/>
    <w:rsid w:val="009C130B"/>
    <w:rsid w:val="009C24D2"/>
    <w:rsid w:val="009C4A35"/>
    <w:rsid w:val="009C614B"/>
    <w:rsid w:val="009D2253"/>
    <w:rsid w:val="009E2FAB"/>
    <w:rsid w:val="009E3362"/>
    <w:rsid w:val="009F751D"/>
    <w:rsid w:val="00A00076"/>
    <w:rsid w:val="00A00E85"/>
    <w:rsid w:val="00A00EF2"/>
    <w:rsid w:val="00A00F1C"/>
    <w:rsid w:val="00A01AD5"/>
    <w:rsid w:val="00A03A75"/>
    <w:rsid w:val="00A05BAB"/>
    <w:rsid w:val="00A069F9"/>
    <w:rsid w:val="00A078E0"/>
    <w:rsid w:val="00A11EA8"/>
    <w:rsid w:val="00A173EC"/>
    <w:rsid w:val="00A17F4B"/>
    <w:rsid w:val="00A20160"/>
    <w:rsid w:val="00A205EF"/>
    <w:rsid w:val="00A20D7E"/>
    <w:rsid w:val="00A31024"/>
    <w:rsid w:val="00A32548"/>
    <w:rsid w:val="00A32B35"/>
    <w:rsid w:val="00A34997"/>
    <w:rsid w:val="00A4125A"/>
    <w:rsid w:val="00A42D86"/>
    <w:rsid w:val="00A47C07"/>
    <w:rsid w:val="00A53D6A"/>
    <w:rsid w:val="00A55556"/>
    <w:rsid w:val="00A602B2"/>
    <w:rsid w:val="00A61711"/>
    <w:rsid w:val="00A62F19"/>
    <w:rsid w:val="00A63415"/>
    <w:rsid w:val="00A652E4"/>
    <w:rsid w:val="00A73324"/>
    <w:rsid w:val="00A7427C"/>
    <w:rsid w:val="00A75ECC"/>
    <w:rsid w:val="00A80863"/>
    <w:rsid w:val="00A812A5"/>
    <w:rsid w:val="00A81616"/>
    <w:rsid w:val="00A8365E"/>
    <w:rsid w:val="00A85F21"/>
    <w:rsid w:val="00A9488D"/>
    <w:rsid w:val="00AA12EA"/>
    <w:rsid w:val="00AA569D"/>
    <w:rsid w:val="00AB350C"/>
    <w:rsid w:val="00AB3C78"/>
    <w:rsid w:val="00AB6D3D"/>
    <w:rsid w:val="00AB70BE"/>
    <w:rsid w:val="00AB73AD"/>
    <w:rsid w:val="00AC1AA3"/>
    <w:rsid w:val="00AC234A"/>
    <w:rsid w:val="00AC47D2"/>
    <w:rsid w:val="00AE0E38"/>
    <w:rsid w:val="00AE1DF1"/>
    <w:rsid w:val="00AE297B"/>
    <w:rsid w:val="00AE47B1"/>
    <w:rsid w:val="00AE58D5"/>
    <w:rsid w:val="00AE6686"/>
    <w:rsid w:val="00AE708F"/>
    <w:rsid w:val="00AE7EBC"/>
    <w:rsid w:val="00AF1FFA"/>
    <w:rsid w:val="00AF3B95"/>
    <w:rsid w:val="00AF49E5"/>
    <w:rsid w:val="00AF5693"/>
    <w:rsid w:val="00B00DD6"/>
    <w:rsid w:val="00B06546"/>
    <w:rsid w:val="00B06C8A"/>
    <w:rsid w:val="00B11995"/>
    <w:rsid w:val="00B151E5"/>
    <w:rsid w:val="00B15433"/>
    <w:rsid w:val="00B1569C"/>
    <w:rsid w:val="00B23D61"/>
    <w:rsid w:val="00B24D0A"/>
    <w:rsid w:val="00B26007"/>
    <w:rsid w:val="00B278A6"/>
    <w:rsid w:val="00B3317D"/>
    <w:rsid w:val="00B3505A"/>
    <w:rsid w:val="00B356E1"/>
    <w:rsid w:val="00B3597F"/>
    <w:rsid w:val="00B36583"/>
    <w:rsid w:val="00B4036C"/>
    <w:rsid w:val="00B41ABD"/>
    <w:rsid w:val="00B44531"/>
    <w:rsid w:val="00B455C1"/>
    <w:rsid w:val="00B45E8B"/>
    <w:rsid w:val="00B46F54"/>
    <w:rsid w:val="00B52E0F"/>
    <w:rsid w:val="00B53058"/>
    <w:rsid w:val="00B53A49"/>
    <w:rsid w:val="00B561D7"/>
    <w:rsid w:val="00B60E31"/>
    <w:rsid w:val="00B701ED"/>
    <w:rsid w:val="00B7098C"/>
    <w:rsid w:val="00B71982"/>
    <w:rsid w:val="00B737E3"/>
    <w:rsid w:val="00B75AF0"/>
    <w:rsid w:val="00B84F7A"/>
    <w:rsid w:val="00B8540E"/>
    <w:rsid w:val="00B87E45"/>
    <w:rsid w:val="00B93716"/>
    <w:rsid w:val="00B95533"/>
    <w:rsid w:val="00B96453"/>
    <w:rsid w:val="00B96B69"/>
    <w:rsid w:val="00BB136E"/>
    <w:rsid w:val="00BB1FFF"/>
    <w:rsid w:val="00BB5430"/>
    <w:rsid w:val="00BB6EEB"/>
    <w:rsid w:val="00BC18F4"/>
    <w:rsid w:val="00BC1972"/>
    <w:rsid w:val="00BC24CA"/>
    <w:rsid w:val="00BC35DD"/>
    <w:rsid w:val="00BC3A35"/>
    <w:rsid w:val="00BD113A"/>
    <w:rsid w:val="00BD3DA8"/>
    <w:rsid w:val="00BD45D5"/>
    <w:rsid w:val="00BD4DC0"/>
    <w:rsid w:val="00BD6930"/>
    <w:rsid w:val="00BD7323"/>
    <w:rsid w:val="00BE5717"/>
    <w:rsid w:val="00BF0B20"/>
    <w:rsid w:val="00BF3472"/>
    <w:rsid w:val="00BF3680"/>
    <w:rsid w:val="00BF39ED"/>
    <w:rsid w:val="00BF3BE8"/>
    <w:rsid w:val="00BF7755"/>
    <w:rsid w:val="00C00697"/>
    <w:rsid w:val="00C0095A"/>
    <w:rsid w:val="00C05281"/>
    <w:rsid w:val="00C07030"/>
    <w:rsid w:val="00C10C4D"/>
    <w:rsid w:val="00C115E7"/>
    <w:rsid w:val="00C14702"/>
    <w:rsid w:val="00C15BFB"/>
    <w:rsid w:val="00C23F69"/>
    <w:rsid w:val="00C25E1A"/>
    <w:rsid w:val="00C307EE"/>
    <w:rsid w:val="00C30828"/>
    <w:rsid w:val="00C322EF"/>
    <w:rsid w:val="00C37292"/>
    <w:rsid w:val="00C45F1B"/>
    <w:rsid w:val="00C46F3F"/>
    <w:rsid w:val="00C51551"/>
    <w:rsid w:val="00C51C42"/>
    <w:rsid w:val="00C5446A"/>
    <w:rsid w:val="00C56102"/>
    <w:rsid w:val="00C627C2"/>
    <w:rsid w:val="00C66A73"/>
    <w:rsid w:val="00C67AA6"/>
    <w:rsid w:val="00C70A1D"/>
    <w:rsid w:val="00C720AC"/>
    <w:rsid w:val="00C74670"/>
    <w:rsid w:val="00C76175"/>
    <w:rsid w:val="00C76930"/>
    <w:rsid w:val="00C76FE0"/>
    <w:rsid w:val="00C77259"/>
    <w:rsid w:val="00C77864"/>
    <w:rsid w:val="00C80CAE"/>
    <w:rsid w:val="00C81857"/>
    <w:rsid w:val="00C83BF4"/>
    <w:rsid w:val="00C85BBD"/>
    <w:rsid w:val="00C86F22"/>
    <w:rsid w:val="00C87B8E"/>
    <w:rsid w:val="00C90F3F"/>
    <w:rsid w:val="00C90F68"/>
    <w:rsid w:val="00C92A10"/>
    <w:rsid w:val="00C92BFB"/>
    <w:rsid w:val="00C933C9"/>
    <w:rsid w:val="00C93567"/>
    <w:rsid w:val="00C93E70"/>
    <w:rsid w:val="00C94B54"/>
    <w:rsid w:val="00C9650F"/>
    <w:rsid w:val="00C9741E"/>
    <w:rsid w:val="00CA33C7"/>
    <w:rsid w:val="00CA68DE"/>
    <w:rsid w:val="00CA6C5F"/>
    <w:rsid w:val="00CA79BF"/>
    <w:rsid w:val="00CB1645"/>
    <w:rsid w:val="00CB2C58"/>
    <w:rsid w:val="00CB38A3"/>
    <w:rsid w:val="00CB773F"/>
    <w:rsid w:val="00CD3F28"/>
    <w:rsid w:val="00CD6813"/>
    <w:rsid w:val="00CD730D"/>
    <w:rsid w:val="00CD77BA"/>
    <w:rsid w:val="00CE1635"/>
    <w:rsid w:val="00CF0D33"/>
    <w:rsid w:val="00CF15F7"/>
    <w:rsid w:val="00CF3FB2"/>
    <w:rsid w:val="00CF7819"/>
    <w:rsid w:val="00D02701"/>
    <w:rsid w:val="00D06AFC"/>
    <w:rsid w:val="00D07946"/>
    <w:rsid w:val="00D11179"/>
    <w:rsid w:val="00D12720"/>
    <w:rsid w:val="00D137E9"/>
    <w:rsid w:val="00D144C7"/>
    <w:rsid w:val="00D14B44"/>
    <w:rsid w:val="00D2315F"/>
    <w:rsid w:val="00D26ABA"/>
    <w:rsid w:val="00D335CD"/>
    <w:rsid w:val="00D35C44"/>
    <w:rsid w:val="00D40AA1"/>
    <w:rsid w:val="00D43D74"/>
    <w:rsid w:val="00D4602A"/>
    <w:rsid w:val="00D4643A"/>
    <w:rsid w:val="00D52159"/>
    <w:rsid w:val="00D54BA8"/>
    <w:rsid w:val="00D54CE5"/>
    <w:rsid w:val="00D5767E"/>
    <w:rsid w:val="00D611A9"/>
    <w:rsid w:val="00D621F3"/>
    <w:rsid w:val="00D64A9B"/>
    <w:rsid w:val="00D70DB1"/>
    <w:rsid w:val="00D73E45"/>
    <w:rsid w:val="00D74C97"/>
    <w:rsid w:val="00D8109B"/>
    <w:rsid w:val="00D9012E"/>
    <w:rsid w:val="00D906A5"/>
    <w:rsid w:val="00D90897"/>
    <w:rsid w:val="00D90A95"/>
    <w:rsid w:val="00D92CC6"/>
    <w:rsid w:val="00D92E3D"/>
    <w:rsid w:val="00D93575"/>
    <w:rsid w:val="00D979E6"/>
    <w:rsid w:val="00DA146A"/>
    <w:rsid w:val="00DA1493"/>
    <w:rsid w:val="00DA3036"/>
    <w:rsid w:val="00DA4858"/>
    <w:rsid w:val="00DA4FD8"/>
    <w:rsid w:val="00DB015B"/>
    <w:rsid w:val="00DB092D"/>
    <w:rsid w:val="00DB3E04"/>
    <w:rsid w:val="00DB5E67"/>
    <w:rsid w:val="00DB6F16"/>
    <w:rsid w:val="00DC42A1"/>
    <w:rsid w:val="00DC4D56"/>
    <w:rsid w:val="00DD236B"/>
    <w:rsid w:val="00DE193D"/>
    <w:rsid w:val="00DE3A35"/>
    <w:rsid w:val="00DE710F"/>
    <w:rsid w:val="00DE7679"/>
    <w:rsid w:val="00DE7EED"/>
    <w:rsid w:val="00DF0939"/>
    <w:rsid w:val="00DF2185"/>
    <w:rsid w:val="00E00EE3"/>
    <w:rsid w:val="00E0102B"/>
    <w:rsid w:val="00E01B77"/>
    <w:rsid w:val="00E02E5D"/>
    <w:rsid w:val="00E04736"/>
    <w:rsid w:val="00E06222"/>
    <w:rsid w:val="00E14B90"/>
    <w:rsid w:val="00E16B28"/>
    <w:rsid w:val="00E16DD6"/>
    <w:rsid w:val="00E1726A"/>
    <w:rsid w:val="00E216C6"/>
    <w:rsid w:val="00E2271F"/>
    <w:rsid w:val="00E23B18"/>
    <w:rsid w:val="00E26A75"/>
    <w:rsid w:val="00E319DA"/>
    <w:rsid w:val="00E33175"/>
    <w:rsid w:val="00E333B3"/>
    <w:rsid w:val="00E401B3"/>
    <w:rsid w:val="00E4096B"/>
    <w:rsid w:val="00E40D8D"/>
    <w:rsid w:val="00E4116F"/>
    <w:rsid w:val="00E41A69"/>
    <w:rsid w:val="00E44700"/>
    <w:rsid w:val="00E45FE2"/>
    <w:rsid w:val="00E52935"/>
    <w:rsid w:val="00E578B7"/>
    <w:rsid w:val="00E61C51"/>
    <w:rsid w:val="00E64699"/>
    <w:rsid w:val="00E6567D"/>
    <w:rsid w:val="00E65690"/>
    <w:rsid w:val="00E70DB2"/>
    <w:rsid w:val="00E7216C"/>
    <w:rsid w:val="00E7329A"/>
    <w:rsid w:val="00E7461C"/>
    <w:rsid w:val="00E75830"/>
    <w:rsid w:val="00E759E7"/>
    <w:rsid w:val="00E76451"/>
    <w:rsid w:val="00E76F8F"/>
    <w:rsid w:val="00E8016F"/>
    <w:rsid w:val="00E80E52"/>
    <w:rsid w:val="00E816CE"/>
    <w:rsid w:val="00E82D11"/>
    <w:rsid w:val="00E872F0"/>
    <w:rsid w:val="00E90FB5"/>
    <w:rsid w:val="00E943B6"/>
    <w:rsid w:val="00E95E36"/>
    <w:rsid w:val="00EA0688"/>
    <w:rsid w:val="00EA1A07"/>
    <w:rsid w:val="00EA56EE"/>
    <w:rsid w:val="00EA76B9"/>
    <w:rsid w:val="00EB0487"/>
    <w:rsid w:val="00EB2D18"/>
    <w:rsid w:val="00EC0059"/>
    <w:rsid w:val="00EC157E"/>
    <w:rsid w:val="00EC17C9"/>
    <w:rsid w:val="00EC1B4C"/>
    <w:rsid w:val="00EC2C11"/>
    <w:rsid w:val="00EC364E"/>
    <w:rsid w:val="00EC42A1"/>
    <w:rsid w:val="00ED001D"/>
    <w:rsid w:val="00ED0557"/>
    <w:rsid w:val="00ED0CB2"/>
    <w:rsid w:val="00ED2A72"/>
    <w:rsid w:val="00ED334F"/>
    <w:rsid w:val="00ED3ABA"/>
    <w:rsid w:val="00ED67D7"/>
    <w:rsid w:val="00EE1DD7"/>
    <w:rsid w:val="00EE298C"/>
    <w:rsid w:val="00EE42D0"/>
    <w:rsid w:val="00EE6151"/>
    <w:rsid w:val="00EF125F"/>
    <w:rsid w:val="00EF7B50"/>
    <w:rsid w:val="00EF7E7C"/>
    <w:rsid w:val="00F017E0"/>
    <w:rsid w:val="00F03B20"/>
    <w:rsid w:val="00F044CD"/>
    <w:rsid w:val="00F058E5"/>
    <w:rsid w:val="00F065A0"/>
    <w:rsid w:val="00F10772"/>
    <w:rsid w:val="00F11694"/>
    <w:rsid w:val="00F11CA6"/>
    <w:rsid w:val="00F21A0F"/>
    <w:rsid w:val="00F21A4C"/>
    <w:rsid w:val="00F21C70"/>
    <w:rsid w:val="00F21E42"/>
    <w:rsid w:val="00F26293"/>
    <w:rsid w:val="00F27CBE"/>
    <w:rsid w:val="00F3729D"/>
    <w:rsid w:val="00F4121E"/>
    <w:rsid w:val="00F42380"/>
    <w:rsid w:val="00F443A2"/>
    <w:rsid w:val="00F46D66"/>
    <w:rsid w:val="00F4704F"/>
    <w:rsid w:val="00F54B97"/>
    <w:rsid w:val="00F55023"/>
    <w:rsid w:val="00F56D27"/>
    <w:rsid w:val="00F57A97"/>
    <w:rsid w:val="00F57EC9"/>
    <w:rsid w:val="00F616CF"/>
    <w:rsid w:val="00F65DF6"/>
    <w:rsid w:val="00F66CE2"/>
    <w:rsid w:val="00F7682E"/>
    <w:rsid w:val="00F76C51"/>
    <w:rsid w:val="00F76CFF"/>
    <w:rsid w:val="00F8500C"/>
    <w:rsid w:val="00F87E1C"/>
    <w:rsid w:val="00F9344F"/>
    <w:rsid w:val="00F93A38"/>
    <w:rsid w:val="00F968F2"/>
    <w:rsid w:val="00F97443"/>
    <w:rsid w:val="00FA2D26"/>
    <w:rsid w:val="00FA7186"/>
    <w:rsid w:val="00FB10D6"/>
    <w:rsid w:val="00FB1CE8"/>
    <w:rsid w:val="00FB258F"/>
    <w:rsid w:val="00FB3C96"/>
    <w:rsid w:val="00FB441A"/>
    <w:rsid w:val="00FB7BBD"/>
    <w:rsid w:val="00FC1412"/>
    <w:rsid w:val="00FC5756"/>
    <w:rsid w:val="00FC5C43"/>
    <w:rsid w:val="00FC6197"/>
    <w:rsid w:val="00FE078D"/>
    <w:rsid w:val="00FE09D3"/>
    <w:rsid w:val="00FE2ED0"/>
    <w:rsid w:val="00FE6A0D"/>
    <w:rsid w:val="00FE7253"/>
    <w:rsid w:val="00FF10E6"/>
    <w:rsid w:val="00FF4878"/>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C08AA65"/>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BC1972"/>
  </w:style>
  <w:style w:type="paragraph" w:styleId="Heading1">
    <w:name w:val="heading 1"/>
    <w:basedOn w:val="Normal"/>
    <w:next w:val="BodyText"/>
    <w:link w:val="Heading1Char"/>
    <w:uiPriority w:val="9"/>
    <w:qFormat/>
    <w:rsid w:val="004A4775"/>
    <w:pPr>
      <w:keepNext/>
      <w:keepLines/>
      <w:spacing w:after="460"/>
      <w:outlineLvl w:val="0"/>
    </w:pPr>
    <w:rPr>
      <w:rFonts w:asciiTheme="majorHAnsi" w:hAnsiTheme="majorHAnsi"/>
      <w:b/>
      <w:color w:val="014463" w:themeColor="text2"/>
      <w:sz w:val="60"/>
      <w:szCs w:val="60"/>
    </w:rPr>
  </w:style>
  <w:style w:type="paragraph" w:styleId="Heading2">
    <w:name w:val="heading 2"/>
    <w:basedOn w:val="Normal"/>
    <w:next w:val="BodyText"/>
    <w:link w:val="Heading2Char"/>
    <w:uiPriority w:val="9"/>
    <w:unhideWhenUsed/>
    <w:qFormat/>
    <w:rsid w:val="004A4775"/>
    <w:pPr>
      <w:keepNext/>
      <w:keepLines/>
      <w:spacing w:before="480" w:after="240"/>
      <w:outlineLvl w:val="1"/>
    </w:pPr>
    <w:rPr>
      <w:rFonts w:asciiTheme="majorHAnsi" w:eastAsiaTheme="majorEastAsia" w:hAnsiTheme="majorHAnsi" w:cstheme="majorBidi"/>
      <w:b/>
      <w:color w:val="014463" w:themeColor="text2"/>
      <w:sz w:val="40"/>
      <w:szCs w:val="40"/>
    </w:rPr>
  </w:style>
  <w:style w:type="paragraph" w:styleId="Heading3">
    <w:name w:val="heading 3"/>
    <w:basedOn w:val="Normal"/>
    <w:next w:val="BodyText"/>
    <w:link w:val="Heading3Char"/>
    <w:uiPriority w:val="9"/>
    <w:unhideWhenUsed/>
    <w:qFormat/>
    <w:rsid w:val="004A4775"/>
    <w:pPr>
      <w:keepNext/>
      <w:keepLines/>
      <w:spacing w:before="240" w:after="160" w:line="240" w:lineRule="auto"/>
      <w:outlineLvl w:val="2"/>
    </w:pPr>
    <w:rPr>
      <w:rFonts w:asciiTheme="majorHAnsi" w:eastAsiaTheme="majorEastAsia" w:hAnsiTheme="majorHAnsi" w:cstheme="majorBidi"/>
      <w:color w:val="014463" w:themeColor="text2"/>
      <w:sz w:val="30"/>
      <w:szCs w:val="30"/>
    </w:rPr>
  </w:style>
  <w:style w:type="paragraph" w:styleId="Heading4">
    <w:name w:val="heading 4"/>
    <w:basedOn w:val="BodyText"/>
    <w:next w:val="BodyText"/>
    <w:link w:val="Heading4Char"/>
    <w:uiPriority w:val="9"/>
    <w:qFormat/>
    <w:rsid w:val="00825B23"/>
    <w:pPr>
      <w:spacing w:before="240"/>
      <w:outlineLvl w:val="3"/>
    </w:pPr>
    <w:rPr>
      <w:rFonts w:asciiTheme="majorHAnsi" w:hAnsiTheme="majorHAnsi"/>
      <w:color w:val="014463"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095BF3"/>
    <w:pPr>
      <w:tabs>
        <w:tab w:val="center" w:pos="4513"/>
        <w:tab w:val="right" w:pos="9026"/>
      </w:tabs>
      <w:spacing w:after="0" w:line="240" w:lineRule="auto"/>
      <w:jc w:val="right"/>
    </w:pPr>
    <w:rPr>
      <w:rFonts w:asciiTheme="majorHAnsi" w:hAnsiTheme="majorHAnsi"/>
      <w:b/>
      <w:caps/>
      <w:color w:val="014463" w:themeColor="text2"/>
    </w:rPr>
  </w:style>
  <w:style w:type="character" w:customStyle="1" w:styleId="FooterChar">
    <w:name w:val="Footer Char"/>
    <w:basedOn w:val="DefaultParagraphFont"/>
    <w:link w:val="Footer"/>
    <w:uiPriority w:val="99"/>
    <w:rsid w:val="006C7FC3"/>
    <w:rPr>
      <w:rFonts w:asciiTheme="majorHAnsi" w:hAnsiTheme="majorHAnsi"/>
      <w:b/>
      <w:caps/>
      <w:color w:val="014463" w:themeColor="text2"/>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5BF3"/>
    <w:rPr>
      <w:color w:val="808080"/>
    </w:rPr>
  </w:style>
  <w:style w:type="character" w:customStyle="1" w:styleId="Heading1Char">
    <w:name w:val="Heading 1 Char"/>
    <w:basedOn w:val="DefaultParagraphFont"/>
    <w:link w:val="Heading1"/>
    <w:uiPriority w:val="9"/>
    <w:rsid w:val="004A4775"/>
    <w:rPr>
      <w:rFonts w:asciiTheme="majorHAnsi" w:hAnsiTheme="majorHAnsi"/>
      <w:b/>
      <w:color w:val="014463" w:themeColor="text2"/>
      <w:sz w:val="60"/>
      <w:szCs w:val="60"/>
    </w:rPr>
  </w:style>
  <w:style w:type="table" w:customStyle="1" w:styleId="PMCDefaultTableStyle">
    <w:name w:val="PMC Default Table Style"/>
    <w:basedOn w:val="TableNormal"/>
    <w:uiPriority w:val="99"/>
    <w:rsid w:val="00FC6197"/>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basedOn w:val="Normal"/>
    <w:uiPriority w:val="34"/>
    <w:semiHidden/>
    <w:qFormat/>
    <w:rsid w:val="00820E0F"/>
    <w:pPr>
      <w:ind w:left="720"/>
      <w:contextualSpacing/>
    </w:pPr>
  </w:style>
  <w:style w:type="paragraph" w:customStyle="1" w:styleId="TableBullet">
    <w:name w:val="Table Bullet"/>
    <w:basedOn w:val="ListParagraph"/>
    <w:uiPriority w:val="11"/>
    <w:qFormat/>
    <w:rsid w:val="00840865"/>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4A4775"/>
    <w:rPr>
      <w:rFonts w:asciiTheme="majorHAnsi" w:eastAsiaTheme="majorEastAsia" w:hAnsiTheme="majorHAnsi" w:cstheme="majorBidi"/>
      <w:b/>
      <w:color w:val="014463" w:themeColor="text2"/>
      <w:sz w:val="40"/>
      <w:szCs w:val="40"/>
    </w:rPr>
  </w:style>
  <w:style w:type="paragraph" w:customStyle="1" w:styleId="NumberedListlvl1">
    <w:name w:val="Numbered List lvl1"/>
    <w:basedOn w:val="ListParagraph"/>
    <w:uiPriority w:val="9"/>
    <w:qFormat/>
    <w:rsid w:val="00FE7253"/>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E7329A"/>
    <w:pPr>
      <w:numPr>
        <w:ilvl w:val="1"/>
      </w:numPr>
    </w:pPr>
  </w:style>
  <w:style w:type="paragraph" w:styleId="BodyText">
    <w:name w:val="Body Text"/>
    <w:basedOn w:val="Normal"/>
    <w:link w:val="BodyTextChar"/>
    <w:qFormat/>
    <w:rsid w:val="004A4775"/>
  </w:style>
  <w:style w:type="character" w:customStyle="1" w:styleId="BodyTextChar">
    <w:name w:val="Body Text Char"/>
    <w:basedOn w:val="DefaultParagraphFont"/>
    <w:link w:val="BodyText"/>
    <w:rsid w:val="004A4775"/>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840865"/>
    <w:pPr>
      <w:spacing w:before="40" w:after="40"/>
    </w:pPr>
    <w:rPr>
      <w:color w:val="000000" w:themeColor="text1"/>
      <w:sz w:val="18"/>
    </w:rPr>
  </w:style>
  <w:style w:type="character" w:customStyle="1" w:styleId="Heading3Char">
    <w:name w:val="Heading 3 Char"/>
    <w:basedOn w:val="DefaultParagraphFont"/>
    <w:link w:val="Heading3"/>
    <w:uiPriority w:val="9"/>
    <w:rsid w:val="004A4775"/>
    <w:rPr>
      <w:rFonts w:asciiTheme="majorHAnsi" w:eastAsiaTheme="majorEastAsia" w:hAnsiTheme="majorHAnsi" w:cstheme="majorBidi"/>
      <w:color w:val="014463" w:themeColor="text2"/>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825B23"/>
    <w:rPr>
      <w:rFonts w:asciiTheme="majorHAnsi" w:hAnsiTheme="majorHAnsi"/>
      <w:color w:val="014463" w:themeColor="text2"/>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qFormat/>
    <w:rsid w:val="00825B23"/>
    <w:pPr>
      <w:spacing w:after="0" w:line="240" w:lineRule="auto"/>
      <w:jc w:val="center"/>
    </w:pPr>
    <w:rPr>
      <w:rFonts w:asciiTheme="majorHAnsi" w:hAnsiTheme="majorHAnsi"/>
      <w:caps/>
      <w:noProof/>
      <w:color w:val="CD1719"/>
      <w:sz w:val="16"/>
    </w:rPr>
  </w:style>
  <w:style w:type="table" w:customStyle="1" w:styleId="PMCTableStyle2">
    <w:name w:val="PMC Table Style 2"/>
    <w:basedOn w:val="TableNormal"/>
    <w:uiPriority w:val="99"/>
    <w:rsid w:val="00FC6197"/>
    <w:pPr>
      <w:spacing w:before="60" w:after="60"/>
    </w:pPr>
    <w:tblPr>
      <w:tblStyleRowBandSize w:val="1"/>
      <w:tblBorders>
        <w:top w:val="single" w:sz="4" w:space="0" w:color="E4E9EE" w:themeColor="accent1" w:themeTint="1A"/>
        <w:left w:val="single" w:sz="4" w:space="0" w:color="E4E9EE" w:themeColor="accent1" w:themeTint="1A"/>
        <w:bottom w:val="single" w:sz="12" w:space="0" w:color="014463" w:themeColor="text2"/>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014463" w:themeFill="text2"/>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311022"/>
    <w:pPr>
      <w:ind w:left="567" w:right="567"/>
    </w:pPr>
    <w:rPr>
      <w:rFonts w:asciiTheme="majorHAnsi" w:hAnsiTheme="majorHAnsi"/>
      <w:color w:val="014463" w:themeColor="text2"/>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FE09D3"/>
  </w:style>
  <w:style w:type="paragraph" w:customStyle="1" w:styleId="CoverTitle">
    <w:name w:val="Cover Title"/>
    <w:basedOn w:val="NoSpacing"/>
    <w:uiPriority w:val="11"/>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qFormat/>
    <w:rsid w:val="008436AB"/>
    <w:pPr>
      <w:spacing w:after="240"/>
    </w:pPr>
    <w:rPr>
      <w:color w:val="FFFFFF" w:themeColor="background1"/>
      <w:sz w:val="24"/>
      <w:szCs w:val="28"/>
    </w:rPr>
  </w:style>
  <w:style w:type="paragraph" w:customStyle="1" w:styleId="Footerline">
    <w:name w:val="Footer line"/>
    <w:uiPriority w:val="11"/>
    <w:qFormat/>
    <w:rsid w:val="00753174"/>
    <w:pPr>
      <w:spacing w:before="20" w:after="240"/>
    </w:pPr>
    <w:rPr>
      <w:caps/>
      <w:noProof/>
      <w:color w:val="25303B" w:themeColor="accent1"/>
    </w:rPr>
  </w:style>
  <w:style w:type="paragraph" w:customStyle="1" w:styleId="TableNumbering">
    <w:name w:val="Table Numbering"/>
    <w:uiPriority w:val="11"/>
    <w:qFormat/>
    <w:rsid w:val="004409A8"/>
    <w:pPr>
      <w:numPr>
        <w:numId w:val="15"/>
      </w:numPr>
      <w:spacing w:before="40" w:after="40"/>
    </w:pPr>
    <w:rPr>
      <w:color w:val="000000" w:themeColor="text1"/>
      <w:sz w:val="18"/>
    </w:rPr>
  </w:style>
  <w:style w:type="paragraph" w:styleId="Caption">
    <w:name w:val="caption"/>
    <w:basedOn w:val="Normal"/>
    <w:next w:val="Normal"/>
    <w:uiPriority w:val="35"/>
    <w:unhideWhenUsed/>
    <w:qFormat/>
    <w:rsid w:val="00BC1972"/>
    <w:pPr>
      <w:keepNext/>
      <w:tabs>
        <w:tab w:val="left" w:pos="851"/>
        <w:tab w:val="left" w:pos="1017"/>
      </w:tabs>
      <w:spacing w:before="120"/>
      <w:ind w:left="851" w:hanging="851"/>
    </w:pPr>
    <w:rPr>
      <w:rFonts w:asciiTheme="majorHAnsi" w:hAnsiTheme="majorHAnsi"/>
      <w:b/>
      <w:iCs/>
      <w:color w:val="014463" w:themeColor="text2"/>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993B67"/>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60" w:after="60" w:line="240" w:lineRule="atLeast"/>
      <w:ind w:left="198" w:right="215"/>
    </w:pPr>
    <w:rPr>
      <w:rFonts w:asciiTheme="majorHAnsi" w:eastAsia="Times New Roman" w:hAnsiTheme="majorHAnsi" w:cs="Times New Roman"/>
      <w:b/>
      <w:color w:val="014463" w:themeColor="text2"/>
      <w:sz w:val="24"/>
      <w:szCs w:val="24"/>
      <w:lang w:val="en-US"/>
    </w:rPr>
  </w:style>
  <w:style w:type="paragraph" w:customStyle="1" w:styleId="EmphasisPanelBody">
    <w:name w:val="Emphasis Panel Body"/>
    <w:basedOn w:val="Normal"/>
    <w:uiPriority w:val="11"/>
    <w:qFormat/>
    <w:rsid w:val="00BF3BE8"/>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left="198" w:right="215"/>
    </w:pPr>
    <w:rPr>
      <w:rFonts w:eastAsia="Times New Roman" w:cstheme="minorHAnsi"/>
      <w:lang w:val="en-US"/>
    </w:rPr>
  </w:style>
  <w:style w:type="paragraph" w:customStyle="1" w:styleId="EmphasisPanelBullet">
    <w:name w:val="Emphasis Panel Bullet"/>
    <w:uiPriority w:val="11"/>
    <w:qFormat/>
    <w:rsid w:val="00993B67"/>
    <w:pPr>
      <w:keepLines/>
      <w:numPr>
        <w:numId w:val="20"/>
      </w:numPr>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311022"/>
    <w:rPr>
      <w:rFonts w:asciiTheme="majorHAnsi" w:hAnsiTheme="majorHAnsi"/>
      <w:color w:val="014463" w:themeColor="text2"/>
      <w:sz w:val="24"/>
      <w:szCs w:val="24"/>
    </w:rPr>
  </w:style>
  <w:style w:type="paragraph" w:customStyle="1" w:styleId="BulletedListlvl3">
    <w:name w:val="Bulleted List lvl3"/>
    <w:basedOn w:val="BulletedListlvl2"/>
    <w:uiPriority w:val="10"/>
    <w:rsid w:val="006C7FC3"/>
    <w:pPr>
      <w:numPr>
        <w:ilvl w:val="2"/>
      </w:numPr>
    </w:pPr>
    <w:rPr>
      <w:sz w:val="19"/>
      <w:szCs w:val="19"/>
    </w:rPr>
  </w:style>
  <w:style w:type="table" w:customStyle="1" w:styleId="Clear">
    <w:name w:val="Clear"/>
    <w:basedOn w:val="TableNormal"/>
    <w:uiPriority w:val="99"/>
    <w:rsid w:val="00773AC7"/>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rsid w:val="003A7E73"/>
    <w:pPr>
      <w:spacing w:after="0" w:line="240" w:lineRule="auto"/>
    </w:pPr>
  </w:style>
  <w:style w:type="character" w:customStyle="1" w:styleId="FootnoteTextChar">
    <w:name w:val="Footnote Text Char"/>
    <w:basedOn w:val="DefaultParagraphFont"/>
    <w:link w:val="FootnoteText"/>
    <w:uiPriority w:val="99"/>
    <w:rsid w:val="003A7E73"/>
  </w:style>
  <w:style w:type="character" w:styleId="FootnoteReference">
    <w:name w:val="footnote reference"/>
    <w:basedOn w:val="DefaultParagraphFont"/>
    <w:uiPriority w:val="99"/>
    <w:rsid w:val="003A7E73"/>
    <w:rPr>
      <w:vertAlign w:val="superscript"/>
    </w:rPr>
  </w:style>
  <w:style w:type="paragraph" w:styleId="Title">
    <w:name w:val="Title"/>
    <w:basedOn w:val="Heading1"/>
    <w:next w:val="Normal"/>
    <w:link w:val="TitleChar"/>
    <w:qFormat/>
    <w:rsid w:val="00FE09D3"/>
    <w:pPr>
      <w:spacing w:after="120"/>
    </w:pPr>
  </w:style>
  <w:style w:type="character" w:customStyle="1" w:styleId="TitleChar">
    <w:name w:val="Title Char"/>
    <w:basedOn w:val="DefaultParagraphFont"/>
    <w:link w:val="Title"/>
    <w:rsid w:val="00FE09D3"/>
    <w:rPr>
      <w:rFonts w:asciiTheme="majorHAnsi" w:hAnsiTheme="majorHAnsi"/>
      <w:b/>
      <w:color w:val="014463" w:themeColor="text2"/>
      <w:sz w:val="60"/>
      <w:szCs w:val="60"/>
    </w:rPr>
  </w:style>
  <w:style w:type="paragraph" w:styleId="Subtitle">
    <w:name w:val="Subtitle"/>
    <w:basedOn w:val="Heading4"/>
    <w:next w:val="Normal"/>
    <w:link w:val="SubtitleChar"/>
    <w:uiPriority w:val="1"/>
    <w:qFormat/>
    <w:rsid w:val="00FE09D3"/>
    <w:pPr>
      <w:spacing w:before="120" w:after="360"/>
    </w:pPr>
  </w:style>
  <w:style w:type="character" w:customStyle="1" w:styleId="SubtitleChar">
    <w:name w:val="Subtitle Char"/>
    <w:basedOn w:val="DefaultParagraphFont"/>
    <w:link w:val="Subtitle"/>
    <w:uiPriority w:val="1"/>
    <w:rsid w:val="00FE09D3"/>
    <w:rPr>
      <w:rFonts w:asciiTheme="majorHAnsi" w:hAnsiTheme="majorHAnsi"/>
      <w:color w:val="014463" w:themeColor="text2"/>
      <w:sz w:val="24"/>
      <w:szCs w:val="24"/>
    </w:rPr>
  </w:style>
  <w:style w:type="character" w:styleId="Hyperlink">
    <w:name w:val="Hyperlink"/>
    <w:basedOn w:val="DefaultParagraphFont"/>
    <w:uiPriority w:val="99"/>
    <w:unhideWhenUsed/>
    <w:rsid w:val="00561516"/>
    <w:rPr>
      <w:color w:val="015F8B" w:themeColor="hyperlink"/>
      <w:u w:val="single"/>
    </w:rPr>
  </w:style>
  <w:style w:type="character" w:customStyle="1" w:styleId="UnresolvedMention1">
    <w:name w:val="Unresolved Mention1"/>
    <w:basedOn w:val="DefaultParagraphFont"/>
    <w:uiPriority w:val="99"/>
    <w:semiHidden/>
    <w:unhideWhenUsed/>
    <w:rsid w:val="00D335CD"/>
    <w:rPr>
      <w:color w:val="605E5C"/>
      <w:shd w:val="clear" w:color="auto" w:fill="E1DFDD"/>
    </w:rPr>
  </w:style>
  <w:style w:type="paragraph" w:customStyle="1" w:styleId="Bullet">
    <w:name w:val="Bullet"/>
    <w:aliases w:val="Body,Bullet + line,b,b + line,b1,level 1"/>
    <w:basedOn w:val="Normal"/>
    <w:link w:val="BulletChar"/>
    <w:qFormat/>
    <w:rsid w:val="00EE298C"/>
    <w:pPr>
      <w:numPr>
        <w:numId w:val="35"/>
      </w:numPr>
      <w:spacing w:before="120" w:line="240" w:lineRule="auto"/>
    </w:pPr>
    <w:rPr>
      <w:rFonts w:ascii="Calibri" w:eastAsiaTheme="majorEastAsia" w:hAnsi="Calibri" w:cstheme="majorBidi"/>
      <w:color w:val="000000" w:themeColor="text1"/>
      <w:sz w:val="22"/>
      <w:szCs w:val="28"/>
    </w:rPr>
  </w:style>
  <w:style w:type="character" w:customStyle="1" w:styleId="BulletChar">
    <w:name w:val="Bullet Char"/>
    <w:aliases w:val="Body Char,b + line Char,b + line Char Char,b Char,b Char Char,b1 Char,level 1 Char,CV text Char,Dot pt Char,F5 List Paragraph Char,L Char,List Paragraph1 Char,List Paragraph11 Char,Number Char,Recommendation Char,Bullet + line Char"/>
    <w:basedOn w:val="DefaultParagraphFont"/>
    <w:link w:val="Bullet"/>
    <w:rsid w:val="00EE298C"/>
    <w:rPr>
      <w:rFonts w:ascii="Calibri" w:eastAsiaTheme="majorEastAsia" w:hAnsi="Calibri" w:cstheme="majorBidi"/>
      <w:color w:val="000000" w:themeColor="text1"/>
      <w:sz w:val="22"/>
      <w:szCs w:val="28"/>
    </w:rPr>
  </w:style>
  <w:style w:type="paragraph" w:customStyle="1" w:styleId="Dash">
    <w:name w:val="Dash"/>
    <w:basedOn w:val="Normal"/>
    <w:qFormat/>
    <w:rsid w:val="00EE298C"/>
    <w:pPr>
      <w:numPr>
        <w:ilvl w:val="1"/>
        <w:numId w:val="35"/>
      </w:numPr>
      <w:spacing w:after="240" w:line="240" w:lineRule="auto"/>
    </w:pPr>
    <w:rPr>
      <w:rFonts w:asciiTheme="majorHAnsi" w:eastAsiaTheme="majorEastAsia" w:hAnsiTheme="majorHAnsi" w:cstheme="majorBidi"/>
      <w:color w:val="1B232C" w:themeColor="accent1" w:themeShade="BF"/>
      <w:sz w:val="28"/>
      <w:szCs w:val="28"/>
    </w:rPr>
  </w:style>
  <w:style w:type="paragraph" w:customStyle="1" w:styleId="DoubleDot">
    <w:name w:val="Double Dot"/>
    <w:basedOn w:val="Normal"/>
    <w:qFormat/>
    <w:rsid w:val="00EE298C"/>
    <w:pPr>
      <w:numPr>
        <w:ilvl w:val="2"/>
        <w:numId w:val="35"/>
      </w:numPr>
      <w:spacing w:after="240" w:line="240" w:lineRule="auto"/>
    </w:pPr>
    <w:rPr>
      <w:rFonts w:asciiTheme="majorHAnsi" w:eastAsiaTheme="majorEastAsia" w:hAnsiTheme="majorHAnsi" w:cstheme="majorBidi"/>
      <w:color w:val="1B232C" w:themeColor="accent1" w:themeShade="BF"/>
      <w:sz w:val="28"/>
      <w:szCs w:val="28"/>
    </w:rPr>
  </w:style>
  <w:style w:type="paragraph" w:customStyle="1" w:styleId="OutlineNumbered1">
    <w:name w:val="Outline Numbered 1"/>
    <w:basedOn w:val="Normal"/>
    <w:link w:val="OutlineNumbered1Char"/>
    <w:rsid w:val="00EE298C"/>
    <w:pPr>
      <w:numPr>
        <w:numId w:val="36"/>
      </w:numPr>
      <w:spacing w:after="240" w:line="240" w:lineRule="auto"/>
    </w:pPr>
    <w:rPr>
      <w:rFonts w:ascii="Calibri" w:eastAsiaTheme="majorEastAsia" w:hAnsi="Calibri" w:cstheme="majorBidi"/>
      <w:b/>
      <w:bCs/>
      <w:color w:val="014463" w:themeColor="text2"/>
      <w:sz w:val="32"/>
      <w:szCs w:val="28"/>
    </w:rPr>
  </w:style>
  <w:style w:type="character" w:customStyle="1" w:styleId="OutlineNumbered1Char">
    <w:name w:val="Outline Numbered 1 Char"/>
    <w:basedOn w:val="DefaultParagraphFont"/>
    <w:link w:val="OutlineNumbered1"/>
    <w:rsid w:val="00EE298C"/>
    <w:rPr>
      <w:rFonts w:ascii="Calibri" w:eastAsiaTheme="majorEastAsia" w:hAnsi="Calibri" w:cstheme="majorBidi"/>
      <w:b/>
      <w:bCs/>
      <w:color w:val="014463" w:themeColor="text2"/>
      <w:sz w:val="32"/>
      <w:szCs w:val="28"/>
    </w:rPr>
  </w:style>
  <w:style w:type="paragraph" w:customStyle="1" w:styleId="OutlineNumbered2">
    <w:name w:val="Outline Numbered 2"/>
    <w:basedOn w:val="Normal"/>
    <w:link w:val="OutlineNumbered2Char"/>
    <w:rsid w:val="00EE298C"/>
    <w:pPr>
      <w:numPr>
        <w:ilvl w:val="1"/>
        <w:numId w:val="36"/>
      </w:numPr>
      <w:spacing w:after="240" w:line="240" w:lineRule="auto"/>
    </w:pPr>
    <w:rPr>
      <w:rFonts w:ascii="Calibri" w:eastAsiaTheme="majorEastAsia" w:hAnsi="Calibri" w:cstheme="majorBidi"/>
      <w:b/>
      <w:bCs/>
      <w:color w:val="014463" w:themeColor="text2"/>
      <w:sz w:val="32"/>
      <w:szCs w:val="28"/>
    </w:rPr>
  </w:style>
  <w:style w:type="paragraph" w:customStyle="1" w:styleId="OutlineNumbered3">
    <w:name w:val="Outline Numbered 3"/>
    <w:basedOn w:val="Normal"/>
    <w:rsid w:val="00EE298C"/>
    <w:pPr>
      <w:numPr>
        <w:ilvl w:val="2"/>
        <w:numId w:val="36"/>
      </w:numPr>
      <w:spacing w:after="240" w:line="240" w:lineRule="auto"/>
    </w:pPr>
    <w:rPr>
      <w:rFonts w:ascii="Calibri" w:eastAsiaTheme="majorEastAsia" w:hAnsi="Calibri" w:cstheme="majorBidi"/>
      <w:b/>
      <w:bCs/>
      <w:color w:val="014463" w:themeColor="text2"/>
      <w:sz w:val="32"/>
      <w:szCs w:val="28"/>
    </w:rPr>
  </w:style>
  <w:style w:type="character" w:styleId="CommentReference">
    <w:name w:val="annotation reference"/>
    <w:basedOn w:val="DefaultParagraphFont"/>
    <w:uiPriority w:val="99"/>
    <w:semiHidden/>
    <w:unhideWhenUsed/>
    <w:rsid w:val="00EE298C"/>
    <w:rPr>
      <w:sz w:val="16"/>
      <w:szCs w:val="16"/>
    </w:rPr>
  </w:style>
  <w:style w:type="paragraph" w:customStyle="1" w:styleId="Singleparagraph">
    <w:name w:val="Single paragraph"/>
    <w:basedOn w:val="Normal"/>
    <w:qFormat/>
    <w:rsid w:val="00F21E42"/>
    <w:pPr>
      <w:spacing w:after="0" w:line="240" w:lineRule="auto"/>
    </w:pPr>
    <w:rPr>
      <w:color w:val="auto"/>
      <w:sz w:val="22"/>
      <w:szCs w:val="22"/>
    </w:rPr>
  </w:style>
  <w:style w:type="paragraph" w:styleId="CommentText">
    <w:name w:val="annotation text"/>
    <w:basedOn w:val="Normal"/>
    <w:link w:val="CommentTextChar"/>
    <w:uiPriority w:val="99"/>
    <w:unhideWhenUsed/>
    <w:rsid w:val="009452FE"/>
    <w:pPr>
      <w:spacing w:line="240" w:lineRule="auto"/>
    </w:pPr>
  </w:style>
  <w:style w:type="character" w:customStyle="1" w:styleId="CommentTextChar">
    <w:name w:val="Comment Text Char"/>
    <w:basedOn w:val="DefaultParagraphFont"/>
    <w:link w:val="CommentText"/>
    <w:uiPriority w:val="99"/>
    <w:rsid w:val="009452FE"/>
  </w:style>
  <w:style w:type="paragraph" w:styleId="CommentSubject">
    <w:name w:val="annotation subject"/>
    <w:basedOn w:val="CommentText"/>
    <w:next w:val="CommentText"/>
    <w:link w:val="CommentSubjectChar"/>
    <w:uiPriority w:val="99"/>
    <w:semiHidden/>
    <w:unhideWhenUsed/>
    <w:rsid w:val="009452FE"/>
    <w:rPr>
      <w:b/>
      <w:bCs/>
    </w:rPr>
  </w:style>
  <w:style w:type="character" w:customStyle="1" w:styleId="CommentSubjectChar">
    <w:name w:val="Comment Subject Char"/>
    <w:basedOn w:val="CommentTextChar"/>
    <w:link w:val="CommentSubject"/>
    <w:uiPriority w:val="99"/>
    <w:semiHidden/>
    <w:rsid w:val="009452FE"/>
    <w:rPr>
      <w:b/>
      <w:bCs/>
    </w:rPr>
  </w:style>
  <w:style w:type="character" w:customStyle="1" w:styleId="OutlineNumbered2Char">
    <w:name w:val="Outline Numbered 2 Char"/>
    <w:basedOn w:val="DefaultParagraphFont"/>
    <w:link w:val="OutlineNumbered2"/>
    <w:rsid w:val="003F5088"/>
    <w:rPr>
      <w:rFonts w:ascii="Calibri" w:eastAsiaTheme="majorEastAsia" w:hAnsi="Calibri" w:cstheme="majorBidi"/>
      <w:b/>
      <w:bCs/>
      <w:color w:val="014463" w:themeColor="text2"/>
      <w:sz w:val="32"/>
      <w:szCs w:val="28"/>
    </w:rPr>
  </w:style>
  <w:style w:type="paragraph" w:customStyle="1" w:styleId="BillName">
    <w:name w:val="Bill Name"/>
    <w:basedOn w:val="Normal"/>
    <w:next w:val="Normal"/>
    <w:rsid w:val="00AB6D3D"/>
    <w:pPr>
      <w:pBdr>
        <w:top w:val="single" w:sz="4" w:space="12" w:color="auto"/>
        <w:bottom w:val="single" w:sz="4" w:space="12" w:color="auto"/>
      </w:pBdr>
      <w:spacing w:before="200" w:after="200" w:line="240" w:lineRule="auto"/>
      <w:jc w:val="center"/>
    </w:pPr>
    <w:rPr>
      <w:rFonts w:ascii="Times New Roman" w:eastAsia="Times New Roman" w:hAnsi="Times New Roman" w:cs="Times New Roman"/>
      <w:caps/>
      <w:color w:val="auto"/>
      <w:sz w:val="22"/>
      <w:lang w:eastAsia="en-AU"/>
    </w:rPr>
  </w:style>
  <w:style w:type="paragraph" w:styleId="Revision">
    <w:name w:val="Revision"/>
    <w:hidden/>
    <w:uiPriority w:val="99"/>
    <w:semiHidden/>
    <w:rsid w:val="00E4116F"/>
    <w:pPr>
      <w:spacing w:after="0" w:line="240" w:lineRule="auto"/>
    </w:pPr>
  </w:style>
  <w:style w:type="character" w:customStyle="1" w:styleId="UnresolvedMention">
    <w:name w:val="Unresolved Mention"/>
    <w:basedOn w:val="DefaultParagraphFont"/>
    <w:uiPriority w:val="99"/>
    <w:semiHidden/>
    <w:unhideWhenUsed/>
    <w:rsid w:val="00637B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56420">
      <w:bodyDiv w:val="1"/>
      <w:marLeft w:val="0"/>
      <w:marRight w:val="0"/>
      <w:marTop w:val="0"/>
      <w:marBottom w:val="0"/>
      <w:divBdr>
        <w:top w:val="none" w:sz="0" w:space="0" w:color="auto"/>
        <w:left w:val="none" w:sz="0" w:space="0" w:color="auto"/>
        <w:bottom w:val="none" w:sz="0" w:space="0" w:color="auto"/>
        <w:right w:val="none" w:sz="0" w:space="0" w:color="auto"/>
      </w:divBdr>
    </w:div>
    <w:div w:id="612978912">
      <w:bodyDiv w:val="1"/>
      <w:marLeft w:val="0"/>
      <w:marRight w:val="0"/>
      <w:marTop w:val="0"/>
      <w:marBottom w:val="0"/>
      <w:divBdr>
        <w:top w:val="none" w:sz="0" w:space="0" w:color="auto"/>
        <w:left w:val="none" w:sz="0" w:space="0" w:color="auto"/>
        <w:bottom w:val="none" w:sz="0" w:space="0" w:color="auto"/>
        <w:right w:val="none" w:sz="0" w:space="0" w:color="auto"/>
      </w:divBdr>
    </w:div>
    <w:div w:id="1828859491">
      <w:bodyDiv w:val="1"/>
      <w:marLeft w:val="0"/>
      <w:marRight w:val="0"/>
      <w:marTop w:val="0"/>
      <w:marBottom w:val="0"/>
      <w:divBdr>
        <w:top w:val="none" w:sz="0" w:space="0" w:color="auto"/>
        <w:left w:val="none" w:sz="0" w:space="0" w:color="auto"/>
        <w:bottom w:val="none" w:sz="0" w:space="0" w:color="auto"/>
        <w:right w:val="none" w:sz="0" w:space="0" w:color="auto"/>
      </w:divBdr>
    </w:div>
    <w:div w:id="211354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www.aph.gov.au/Parliamentary_Business/Committees/Senate/Financial_Technology_and_Regulatory_Technology/FinancialRegulatoryTech/Submissions" TargetMode="External"/><Relationship Id="rId2" Type="http://schemas.openxmlformats.org/officeDocument/2006/relationships/hyperlink" Target="https://www.computershare.com/News/AGM%20Intelligence%202020_interactive.pdf" TargetMode="External"/><Relationship Id="rId1" Type="http://schemas.openxmlformats.org/officeDocument/2006/relationships/hyperlink" Target="https://deregulation.pmc.gov.au/sites/default/files/modernising-document-execution-consult.pdf" TargetMode="External"/><Relationship Id="rId4" Type="http://schemas.openxmlformats.org/officeDocument/2006/relationships/hyperlink" Target="https://www.aph.gov.au/Parliamentary_Business/Committees/Senate/Financial_Technology_and_Regulatory_Technology/FinancialRegulatoryTech/Public_Hearing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9620ADD92642389C5D4B3C4F0DC506"/>
        <w:category>
          <w:name w:val="General"/>
          <w:gallery w:val="placeholder"/>
        </w:category>
        <w:types>
          <w:type w:val="bbPlcHdr"/>
        </w:types>
        <w:behaviors>
          <w:behavior w:val="content"/>
        </w:behaviors>
        <w:guid w:val="{0E69F682-416D-4040-98E0-4FB4AA2416D9}"/>
      </w:docPartPr>
      <w:docPartBody>
        <w:p w:rsidR="00E920D8" w:rsidRDefault="00811F5B">
          <w:pPr>
            <w:pStyle w:val="219620ADD92642389C5D4B3C4F0DC506"/>
          </w:pPr>
          <w:r w:rsidRPr="007F2558">
            <w:rPr>
              <w:bCs/>
              <w:color w:val="5B9BD5" w:themeColor="accent1"/>
              <w:sz w:val="16"/>
              <w:szCs w:val="16"/>
            </w:rPr>
            <w:t>[Document Heading]</w:t>
          </w:r>
        </w:p>
      </w:docPartBody>
    </w:docPart>
    <w:docPart>
      <w:docPartPr>
        <w:name w:val="4A1B4207812C47D4A115D0D13B555E30"/>
        <w:category>
          <w:name w:val="General"/>
          <w:gallery w:val="placeholder"/>
        </w:category>
        <w:types>
          <w:type w:val="bbPlcHdr"/>
        </w:types>
        <w:behaviors>
          <w:behavior w:val="content"/>
        </w:behaviors>
        <w:guid w:val="{2488B15D-E625-4A74-9AB9-0E813D3AB356}"/>
      </w:docPartPr>
      <w:docPartBody>
        <w:p w:rsidR="00E920D8" w:rsidRDefault="00811F5B">
          <w:pPr>
            <w:pStyle w:val="4A1B4207812C47D4A115D0D13B555E30"/>
          </w:pPr>
          <w:r w:rsidRPr="005A0DE7">
            <w:rPr>
              <w:color w:val="5B9BD5" w:themeColor="accent1"/>
              <w:sz w:val="16"/>
              <w:szCs w:val="16"/>
            </w:rPr>
            <w:t>[Section Name]</w:t>
          </w:r>
        </w:p>
      </w:docPartBody>
    </w:docPart>
    <w:docPart>
      <w:docPartPr>
        <w:name w:val="8FA75C6A6517453A8BB1CBCC6A673432"/>
        <w:category>
          <w:name w:val="General"/>
          <w:gallery w:val="placeholder"/>
        </w:category>
        <w:types>
          <w:type w:val="bbPlcHdr"/>
        </w:types>
        <w:behaviors>
          <w:behavior w:val="content"/>
        </w:behaviors>
        <w:guid w:val="{5DD9C059-2350-45F8-AC21-21FE86D2F6E9}"/>
      </w:docPartPr>
      <w:docPartBody>
        <w:p w:rsidR="00E920D8" w:rsidRDefault="00811F5B">
          <w:pPr>
            <w:pStyle w:val="8FA75C6A6517453A8BB1CBCC6A673432"/>
          </w:pPr>
          <w:r w:rsidRPr="005A0DE7">
            <w:rPr>
              <w:bCs/>
              <w:color w:val="5B9BD5" w:themeColor="accent1"/>
              <w:sz w:val="16"/>
              <w:szCs w:val="16"/>
            </w:rPr>
            <w:t>[Document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F5B"/>
    <w:rsid w:val="00164A08"/>
    <w:rsid w:val="00181F84"/>
    <w:rsid w:val="004C581A"/>
    <w:rsid w:val="006F4382"/>
    <w:rsid w:val="0071420C"/>
    <w:rsid w:val="0080361E"/>
    <w:rsid w:val="00811F5B"/>
    <w:rsid w:val="00814A88"/>
    <w:rsid w:val="00882501"/>
    <w:rsid w:val="009E55C6"/>
    <w:rsid w:val="00A162D8"/>
    <w:rsid w:val="00B9684B"/>
    <w:rsid w:val="00C54536"/>
    <w:rsid w:val="00D25567"/>
    <w:rsid w:val="00D34153"/>
    <w:rsid w:val="00E920D8"/>
    <w:rsid w:val="00EE2636"/>
    <w:rsid w:val="00F4205D"/>
    <w:rsid w:val="00FE34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9620ADD92642389C5D4B3C4F0DC506">
    <w:name w:val="219620ADD92642389C5D4B3C4F0DC506"/>
  </w:style>
  <w:style w:type="paragraph" w:customStyle="1" w:styleId="4A1B4207812C47D4A115D0D13B555E30">
    <w:name w:val="4A1B4207812C47D4A115D0D13B555E30"/>
  </w:style>
  <w:style w:type="paragraph" w:customStyle="1" w:styleId="8FA75C6A6517453A8BB1CBCC6A673432">
    <w:name w:val="8FA75C6A6517453A8BB1CBCC6A6734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PMC Corp Word">
      <a:dk1>
        <a:srgbClr val="000000"/>
      </a:dk1>
      <a:lt1>
        <a:sysClr val="window" lastClr="FFFFFF"/>
      </a:lt1>
      <a:dk2>
        <a:srgbClr val="014463"/>
      </a:dk2>
      <a:lt2>
        <a:srgbClr val="D1D1D1"/>
      </a:lt2>
      <a:accent1>
        <a:srgbClr val="25303B"/>
      </a:accent1>
      <a:accent2>
        <a:srgbClr val="014463"/>
      </a:accent2>
      <a:accent3>
        <a:srgbClr val="0A6446"/>
      </a:accent3>
      <a:accent4>
        <a:srgbClr val="C85A17"/>
      </a:accent4>
      <a:accent5>
        <a:srgbClr val="F7A600"/>
      </a:accent5>
      <a:accent6>
        <a:srgbClr val="A91117"/>
      </a:accent6>
      <a:hlink>
        <a:srgbClr val="015F8B"/>
      </a:hlink>
      <a:folHlink>
        <a:srgbClr val="015F8B"/>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7898</Words>
  <Characters>45021</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2021-11-17T01:02:00Z</dcterms:created>
  <dcterms:modified xsi:type="dcterms:W3CDTF">2021-11-17T01:02:00Z</dcterms:modified>
</cp:coreProperties>
</file>