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090DA2" w14:textId="007FBE28" w:rsidR="005F6F02" w:rsidRDefault="00766F47">
      <w:pPr>
        <w:pStyle w:val="SinglePara"/>
        <w:jc w:val="right"/>
      </w:pPr>
      <w:r>
        <w:fldChar w:fldCharType="begin"/>
      </w:r>
      <w:r>
        <w:instrText xml:space="preserve"> CREATEDATE  \@ "d MMMM yyyy"  \* MERGEFORMAT </w:instrText>
      </w:r>
      <w:r>
        <w:fldChar w:fldCharType="separate"/>
      </w:r>
      <w:r w:rsidR="00D30D35">
        <w:rPr>
          <w:noProof/>
        </w:rPr>
        <w:t>2</w:t>
      </w:r>
      <w:r w:rsidR="00E321B5">
        <w:rPr>
          <w:noProof/>
        </w:rPr>
        <w:t>1</w:t>
      </w:r>
      <w:r>
        <w:rPr>
          <w:noProof/>
        </w:rPr>
        <w:t xml:space="preserve"> October 2021</w:t>
      </w:r>
      <w:r>
        <w:fldChar w:fldCharType="end"/>
      </w:r>
    </w:p>
    <w:p w14:paraId="3D5CEA1A" w14:textId="77777777" w:rsidR="005F6F02" w:rsidRDefault="005F6F02">
      <w:pPr>
        <w:spacing w:after="0"/>
        <w:jc w:val="right"/>
      </w:pPr>
      <w:r>
        <w:t xml:space="preserve"> </w:t>
      </w:r>
    </w:p>
    <w:p w14:paraId="308DB0CD" w14:textId="77777777" w:rsidR="00481A11" w:rsidRDefault="00481A11" w:rsidP="00481A11">
      <w:pPr>
        <w:spacing w:after="0"/>
      </w:pPr>
      <w:r>
        <w:t xml:space="preserve">Mr Jason </w:t>
      </w:r>
      <w:r w:rsidRPr="00E62DCF">
        <w:t>Lange</w:t>
      </w:r>
    </w:p>
    <w:p w14:paraId="46C47BA5" w14:textId="77777777" w:rsidR="00481A11" w:rsidRDefault="00481A11" w:rsidP="00481A11">
      <w:pPr>
        <w:spacing w:after="0"/>
      </w:pPr>
      <w:r>
        <w:t>Executive Director</w:t>
      </w:r>
    </w:p>
    <w:p w14:paraId="7AC8343E" w14:textId="77777777" w:rsidR="00481A11" w:rsidRDefault="00481A11" w:rsidP="00481A11">
      <w:pPr>
        <w:spacing w:after="0"/>
      </w:pPr>
      <w:r>
        <w:t>Office of Best Practice Regulation</w:t>
      </w:r>
    </w:p>
    <w:p w14:paraId="6D891D6A" w14:textId="77777777" w:rsidR="00481A11" w:rsidRDefault="00481A11" w:rsidP="00481A11">
      <w:pPr>
        <w:spacing w:after="0"/>
      </w:pPr>
      <w:r>
        <w:t>Department of the Prime Minister and Cabinet</w:t>
      </w:r>
    </w:p>
    <w:p w14:paraId="403A651E" w14:textId="77777777" w:rsidR="00481A11" w:rsidRDefault="00481A11" w:rsidP="00481A11">
      <w:pPr>
        <w:spacing w:after="0"/>
      </w:pPr>
      <w:r>
        <w:t>1 National Circuit</w:t>
      </w:r>
    </w:p>
    <w:p w14:paraId="1B46023F" w14:textId="77777777" w:rsidR="005F6F02" w:rsidRDefault="00481A11" w:rsidP="00481A11">
      <w:pPr>
        <w:spacing w:after="0"/>
      </w:pPr>
      <w:r>
        <w:t>BARTON   ACT   2600</w:t>
      </w:r>
    </w:p>
    <w:p w14:paraId="49B92C19" w14:textId="5C6AB588" w:rsidR="00481A11" w:rsidRDefault="00481A11" w:rsidP="00A662A5">
      <w:r>
        <w:t>Email: helpdesk-OBPR@pmc.gov.au</w:t>
      </w:r>
    </w:p>
    <w:p w14:paraId="5FDDA255" w14:textId="77777777" w:rsidR="005F6F02" w:rsidRDefault="005F6F02" w:rsidP="00A662A5">
      <w:pPr>
        <w:spacing w:before="360"/>
      </w:pPr>
      <w:r>
        <w:t xml:space="preserve">Dear </w:t>
      </w:r>
      <w:r w:rsidR="00481A11">
        <w:t>Mr Lange</w:t>
      </w:r>
    </w:p>
    <w:p w14:paraId="54A97C42" w14:textId="352B39FE" w:rsidR="00481A11" w:rsidRDefault="00481A11" w:rsidP="00481A11">
      <w:pPr>
        <w:rPr>
          <w:b/>
          <w:caps/>
        </w:rPr>
      </w:pPr>
      <w:r w:rsidRPr="00481A11">
        <w:rPr>
          <w:b/>
          <w:caps/>
        </w:rPr>
        <w:t>Certification of independent review</w:t>
      </w:r>
      <w:r w:rsidR="00D17800">
        <w:rPr>
          <w:b/>
          <w:caps/>
        </w:rPr>
        <w:t>s</w:t>
      </w:r>
      <w:r w:rsidRPr="00481A11">
        <w:rPr>
          <w:b/>
          <w:caps/>
        </w:rPr>
        <w:t xml:space="preserve">: </w:t>
      </w:r>
      <w:r w:rsidR="00D17800">
        <w:rPr>
          <w:b/>
          <w:caps/>
        </w:rPr>
        <w:t xml:space="preserve">australian law reform commission and parliamentary joint committee on corporations and financial services inquiries into </w:t>
      </w:r>
      <w:r w:rsidRPr="00481A11">
        <w:rPr>
          <w:b/>
          <w:caps/>
        </w:rPr>
        <w:t>Litigation funding and class action</w:t>
      </w:r>
      <w:r w:rsidR="00D17800">
        <w:rPr>
          <w:b/>
          <w:caps/>
        </w:rPr>
        <w:t>s</w:t>
      </w:r>
      <w:r w:rsidRPr="00481A11">
        <w:rPr>
          <w:b/>
          <w:caps/>
        </w:rPr>
        <w:t xml:space="preserve"> </w:t>
      </w:r>
    </w:p>
    <w:p w14:paraId="10B06122" w14:textId="1AF14D82" w:rsidR="00D17800" w:rsidRDefault="00841EA4" w:rsidP="00481A11">
      <w:pPr>
        <w:rPr>
          <w:rFonts w:asciiTheme="minorHAnsi" w:hAnsiTheme="minorHAnsi" w:cstheme="minorHAnsi"/>
          <w:szCs w:val="22"/>
        </w:rPr>
      </w:pPr>
      <w:r>
        <w:rPr>
          <w:rFonts w:asciiTheme="minorHAnsi" w:hAnsiTheme="minorHAnsi" w:cstheme="minorHAnsi"/>
          <w:szCs w:val="22"/>
        </w:rPr>
        <w:t xml:space="preserve">We are </w:t>
      </w:r>
      <w:r w:rsidR="00481A11" w:rsidRPr="00481A11">
        <w:rPr>
          <w:rFonts w:asciiTheme="minorHAnsi" w:hAnsiTheme="minorHAnsi" w:cstheme="minorHAnsi"/>
          <w:szCs w:val="22"/>
        </w:rPr>
        <w:t xml:space="preserve">writing to certify that, with regards to amendments to the </w:t>
      </w:r>
      <w:r w:rsidR="00D17800">
        <w:rPr>
          <w:rFonts w:asciiTheme="minorHAnsi" w:hAnsiTheme="minorHAnsi" w:cstheme="minorHAnsi"/>
          <w:szCs w:val="22"/>
        </w:rPr>
        <w:t xml:space="preserve">corporations laws to ensure a fair and reasonable return of class action proceeds to class members, the </w:t>
      </w:r>
      <w:r w:rsidR="009B3143">
        <w:rPr>
          <w:rFonts w:asciiTheme="minorHAnsi" w:hAnsiTheme="minorHAnsi" w:cstheme="minorHAnsi"/>
          <w:szCs w:val="22"/>
        </w:rPr>
        <w:t xml:space="preserve">enclosed </w:t>
      </w:r>
      <w:r w:rsidR="00D17800">
        <w:rPr>
          <w:rFonts w:asciiTheme="minorHAnsi" w:hAnsiTheme="minorHAnsi" w:cstheme="minorHAnsi"/>
          <w:szCs w:val="22"/>
        </w:rPr>
        <w:t xml:space="preserve">reports undertook a process and analysis equivalent to a Regulation Impact Statement (RIS): </w:t>
      </w:r>
    </w:p>
    <w:p w14:paraId="6C210E13" w14:textId="510D12C9" w:rsidR="00D17800" w:rsidRDefault="00D17800" w:rsidP="00D17800">
      <w:pPr>
        <w:pStyle w:val="Bullet"/>
        <w:spacing w:after="240"/>
        <w:rPr>
          <w:rFonts w:asciiTheme="minorHAnsi" w:hAnsiTheme="minorHAnsi" w:cstheme="minorHAnsi"/>
          <w:sz w:val="22"/>
          <w:szCs w:val="22"/>
        </w:rPr>
      </w:pPr>
      <w:r>
        <w:rPr>
          <w:rFonts w:asciiTheme="minorHAnsi" w:hAnsiTheme="minorHAnsi" w:cstheme="minorHAnsi"/>
          <w:sz w:val="22"/>
          <w:szCs w:val="22"/>
        </w:rPr>
        <w:t xml:space="preserve">Australian Law Reform Commission (ALRC), </w:t>
      </w:r>
      <w:r>
        <w:rPr>
          <w:rFonts w:asciiTheme="minorHAnsi" w:hAnsiTheme="minorHAnsi" w:cstheme="minorHAnsi"/>
          <w:i/>
          <w:iCs/>
          <w:sz w:val="22"/>
          <w:szCs w:val="22"/>
        </w:rPr>
        <w:t xml:space="preserve">Integrity, Fairness and Efficiency – An Inquiry into Class Action Proceedings and Third-Party Litigation Funders: Final Report, </w:t>
      </w:r>
      <w:r>
        <w:rPr>
          <w:rFonts w:asciiTheme="minorHAnsi" w:hAnsiTheme="minorHAnsi" w:cstheme="minorHAnsi"/>
          <w:sz w:val="22"/>
          <w:szCs w:val="22"/>
        </w:rPr>
        <w:t>tabled 24 January 2019</w:t>
      </w:r>
    </w:p>
    <w:p w14:paraId="0510C09A" w14:textId="6F34BBB4" w:rsidR="00481A11" w:rsidRPr="00D17800" w:rsidRDefault="00481A11" w:rsidP="00D17800">
      <w:pPr>
        <w:pStyle w:val="Bullet"/>
        <w:spacing w:after="240"/>
        <w:rPr>
          <w:rFonts w:asciiTheme="minorHAnsi" w:hAnsiTheme="minorHAnsi" w:cstheme="minorHAnsi"/>
          <w:sz w:val="22"/>
          <w:szCs w:val="22"/>
        </w:rPr>
      </w:pPr>
      <w:r w:rsidRPr="00D17800">
        <w:rPr>
          <w:rFonts w:asciiTheme="minorHAnsi" w:hAnsiTheme="minorHAnsi" w:cstheme="minorHAnsi"/>
          <w:sz w:val="22"/>
          <w:szCs w:val="22"/>
        </w:rPr>
        <w:t>Parliamentary Joint Committee on Corporations and Financial Services</w:t>
      </w:r>
      <w:r w:rsidR="00D17800">
        <w:rPr>
          <w:rFonts w:asciiTheme="minorHAnsi" w:hAnsiTheme="minorHAnsi" w:cstheme="minorHAnsi"/>
          <w:sz w:val="22"/>
          <w:szCs w:val="22"/>
        </w:rPr>
        <w:t xml:space="preserve"> (PJC), </w:t>
      </w:r>
      <w:r w:rsidR="00D17800">
        <w:rPr>
          <w:rFonts w:asciiTheme="minorHAnsi" w:hAnsiTheme="minorHAnsi" w:cstheme="minorHAnsi"/>
          <w:i/>
          <w:iCs/>
          <w:sz w:val="22"/>
          <w:szCs w:val="22"/>
        </w:rPr>
        <w:t xml:space="preserve">Litigation funding and the regulation of the class action </w:t>
      </w:r>
      <w:r w:rsidR="00D17800" w:rsidRPr="00D17800">
        <w:rPr>
          <w:rFonts w:asciiTheme="minorHAnsi" w:hAnsiTheme="minorHAnsi" w:cstheme="minorHAnsi"/>
          <w:i/>
          <w:iCs/>
          <w:sz w:val="22"/>
          <w:szCs w:val="22"/>
        </w:rPr>
        <w:t>industry</w:t>
      </w:r>
      <w:r w:rsidR="00D17800">
        <w:rPr>
          <w:rFonts w:asciiTheme="minorHAnsi" w:hAnsiTheme="minorHAnsi" w:cstheme="minorHAnsi"/>
          <w:sz w:val="22"/>
          <w:szCs w:val="22"/>
        </w:rPr>
        <w:t xml:space="preserve">, tabled 21 December 2020. </w:t>
      </w:r>
    </w:p>
    <w:p w14:paraId="6EB99881" w14:textId="04C14A90" w:rsidR="00481A11" w:rsidRPr="00481A11" w:rsidRDefault="00841EA4" w:rsidP="00481A11">
      <w:pPr>
        <w:rPr>
          <w:rFonts w:asciiTheme="minorHAnsi" w:hAnsiTheme="minorHAnsi" w:cstheme="minorHAnsi"/>
          <w:szCs w:val="22"/>
        </w:rPr>
      </w:pPr>
      <w:r>
        <w:rPr>
          <w:rFonts w:asciiTheme="minorHAnsi" w:hAnsiTheme="minorHAnsi" w:cstheme="minorHAnsi"/>
          <w:szCs w:val="22"/>
        </w:rPr>
        <w:t xml:space="preserve">We </w:t>
      </w:r>
      <w:r w:rsidR="00481A11" w:rsidRPr="00481A11">
        <w:rPr>
          <w:rFonts w:asciiTheme="minorHAnsi" w:hAnsiTheme="minorHAnsi" w:cstheme="minorHAnsi"/>
          <w:szCs w:val="22"/>
        </w:rPr>
        <w:t>certify that these documents</w:t>
      </w:r>
      <w:r>
        <w:rPr>
          <w:rFonts w:asciiTheme="minorHAnsi" w:hAnsiTheme="minorHAnsi" w:cstheme="minorHAnsi"/>
          <w:szCs w:val="22"/>
        </w:rPr>
        <w:t xml:space="preserve">, together with the supporting analysis </w:t>
      </w:r>
      <w:r w:rsidR="00C8191B">
        <w:rPr>
          <w:rFonts w:asciiTheme="minorHAnsi" w:hAnsiTheme="minorHAnsi" w:cstheme="minorHAnsi"/>
          <w:szCs w:val="22"/>
        </w:rPr>
        <w:t xml:space="preserve">attached </w:t>
      </w:r>
      <w:r>
        <w:rPr>
          <w:rFonts w:asciiTheme="minorHAnsi" w:hAnsiTheme="minorHAnsi" w:cstheme="minorHAnsi"/>
          <w:szCs w:val="22"/>
        </w:rPr>
        <w:t xml:space="preserve">with this letter, </w:t>
      </w:r>
      <w:r w:rsidR="00481A11" w:rsidRPr="00481A11">
        <w:rPr>
          <w:rFonts w:asciiTheme="minorHAnsi" w:hAnsiTheme="minorHAnsi" w:cstheme="minorHAnsi"/>
          <w:szCs w:val="22"/>
        </w:rPr>
        <w:t xml:space="preserve">adequately address all seven RIS questions, and </w:t>
      </w:r>
      <w:r>
        <w:rPr>
          <w:rFonts w:asciiTheme="minorHAnsi" w:hAnsiTheme="minorHAnsi" w:cstheme="minorHAnsi"/>
          <w:szCs w:val="22"/>
        </w:rPr>
        <w:t xml:space="preserve">are </w:t>
      </w:r>
      <w:r w:rsidR="00481A11" w:rsidRPr="00481A11">
        <w:rPr>
          <w:rFonts w:asciiTheme="minorHAnsi" w:hAnsiTheme="minorHAnsi" w:cstheme="minorHAnsi"/>
          <w:szCs w:val="22"/>
        </w:rPr>
        <w:t>submitted to the Office of Best Practice Regulation for the purposes of a final policy decision.</w:t>
      </w:r>
    </w:p>
    <w:p w14:paraId="7396FC01" w14:textId="540BD188" w:rsidR="00C8191B" w:rsidRPr="00177DB8" w:rsidRDefault="00C8191B" w:rsidP="00481A11">
      <w:pPr>
        <w:rPr>
          <w:rFonts w:asciiTheme="minorHAnsi" w:hAnsiTheme="minorHAnsi" w:cstheme="minorHAnsi"/>
          <w:szCs w:val="22"/>
        </w:rPr>
      </w:pPr>
      <w:r>
        <w:rPr>
          <w:rFonts w:asciiTheme="minorHAnsi" w:hAnsiTheme="minorHAnsi" w:cstheme="minorHAnsi"/>
          <w:szCs w:val="22"/>
        </w:rPr>
        <w:t xml:space="preserve">We attach a list of the elements in the policy proposal, alongside the sections and recommendations of the PJC and ALRC reports providing support for those elements at </w:t>
      </w:r>
      <w:r w:rsidRPr="00702E5E">
        <w:rPr>
          <w:rFonts w:asciiTheme="minorHAnsi" w:hAnsiTheme="minorHAnsi" w:cstheme="minorHAnsi"/>
          <w:b/>
          <w:bCs/>
          <w:szCs w:val="22"/>
        </w:rPr>
        <w:t>Attachment A</w:t>
      </w:r>
      <w:r>
        <w:rPr>
          <w:rFonts w:asciiTheme="minorHAnsi" w:hAnsiTheme="minorHAnsi" w:cstheme="minorHAnsi"/>
          <w:szCs w:val="22"/>
        </w:rPr>
        <w:t xml:space="preserve">. This list also sets out the elements for which supplementary analysis is necessary and has been provided </w:t>
      </w:r>
      <w:r w:rsidR="009B3143">
        <w:rPr>
          <w:rFonts w:asciiTheme="minorHAnsi" w:hAnsiTheme="minorHAnsi" w:cstheme="minorHAnsi"/>
          <w:szCs w:val="22"/>
        </w:rPr>
        <w:t xml:space="preserve">at </w:t>
      </w:r>
      <w:r w:rsidR="009B3143">
        <w:rPr>
          <w:rFonts w:asciiTheme="minorHAnsi" w:hAnsiTheme="minorHAnsi" w:cstheme="minorHAnsi"/>
          <w:b/>
          <w:bCs/>
          <w:szCs w:val="22"/>
        </w:rPr>
        <w:t xml:space="preserve">Attachment B. </w:t>
      </w:r>
      <w:r w:rsidR="00177DB8">
        <w:rPr>
          <w:rFonts w:asciiTheme="minorHAnsi" w:hAnsiTheme="minorHAnsi" w:cstheme="minorHAnsi"/>
          <w:szCs w:val="22"/>
        </w:rPr>
        <w:t xml:space="preserve">We are satisfied that with the addition of Attachment B, the scope of the certified documents matches the policy proposal. </w:t>
      </w:r>
    </w:p>
    <w:p w14:paraId="5659B859" w14:textId="4BCC17AA" w:rsidR="00841EA4" w:rsidRDefault="007876D0" w:rsidP="00841EA4">
      <w:pPr>
        <w:rPr>
          <w:rFonts w:asciiTheme="minorHAnsi" w:hAnsiTheme="minorHAnsi" w:cstheme="minorHAnsi"/>
          <w:szCs w:val="22"/>
        </w:rPr>
      </w:pPr>
      <w:r>
        <w:rPr>
          <w:rFonts w:asciiTheme="minorHAnsi" w:hAnsiTheme="minorHAnsi" w:cstheme="minorHAnsi"/>
          <w:szCs w:val="22"/>
        </w:rPr>
        <w:t>Where fewer than three policy options are examined, Treasury</w:t>
      </w:r>
      <w:r w:rsidR="00177DB8">
        <w:rPr>
          <w:rFonts w:asciiTheme="minorHAnsi" w:hAnsiTheme="minorHAnsi" w:cstheme="minorHAnsi"/>
          <w:szCs w:val="22"/>
        </w:rPr>
        <w:t xml:space="preserve"> and the Attorney-General’s Department</w:t>
      </w:r>
      <w:r w:rsidR="006E1C5F">
        <w:rPr>
          <w:rFonts w:asciiTheme="minorHAnsi" w:hAnsiTheme="minorHAnsi" w:cstheme="minorHAnsi"/>
          <w:szCs w:val="22"/>
        </w:rPr>
        <w:t xml:space="preserve"> have </w:t>
      </w:r>
      <w:r>
        <w:rPr>
          <w:rFonts w:asciiTheme="minorHAnsi" w:hAnsiTheme="minorHAnsi" w:cstheme="minorHAnsi"/>
          <w:szCs w:val="22"/>
        </w:rPr>
        <w:t>assess</w:t>
      </w:r>
      <w:r w:rsidR="006E1C5F">
        <w:rPr>
          <w:rFonts w:asciiTheme="minorHAnsi" w:hAnsiTheme="minorHAnsi" w:cstheme="minorHAnsi"/>
          <w:szCs w:val="22"/>
        </w:rPr>
        <w:t>ed</w:t>
      </w:r>
      <w:r>
        <w:rPr>
          <w:rFonts w:asciiTheme="minorHAnsi" w:hAnsiTheme="minorHAnsi" w:cstheme="minorHAnsi"/>
          <w:szCs w:val="22"/>
        </w:rPr>
        <w:t xml:space="preserve"> that this is feasible in light of the well established policy problem</w:t>
      </w:r>
      <w:r w:rsidR="00806244">
        <w:rPr>
          <w:rFonts w:asciiTheme="minorHAnsi" w:hAnsiTheme="minorHAnsi" w:cstheme="minorHAnsi"/>
          <w:szCs w:val="22"/>
        </w:rPr>
        <w:t>s</w:t>
      </w:r>
      <w:r>
        <w:rPr>
          <w:rFonts w:asciiTheme="minorHAnsi" w:hAnsiTheme="minorHAnsi" w:cstheme="minorHAnsi"/>
          <w:szCs w:val="22"/>
        </w:rPr>
        <w:t xml:space="preserve"> and the extensive review processes which informed this policy proposal. </w:t>
      </w:r>
    </w:p>
    <w:p w14:paraId="2C2AC1AE" w14:textId="19A7C4E8" w:rsidR="00841EA4" w:rsidRPr="00841EA4" w:rsidRDefault="006E1C5F" w:rsidP="00841EA4">
      <w:pPr>
        <w:rPr>
          <w:rFonts w:asciiTheme="minorHAnsi" w:hAnsiTheme="minorHAnsi" w:cstheme="minorHAnsi"/>
          <w:szCs w:val="22"/>
        </w:rPr>
      </w:pPr>
      <w:r>
        <w:rPr>
          <w:rFonts w:asciiTheme="minorHAnsi" w:hAnsiTheme="minorHAnsi" w:cstheme="minorHAnsi"/>
          <w:szCs w:val="22"/>
        </w:rPr>
        <w:t>R</w:t>
      </w:r>
      <w:r w:rsidR="00177DB8">
        <w:rPr>
          <w:rFonts w:asciiTheme="minorHAnsi" w:hAnsiTheme="minorHAnsi" w:cstheme="minorHAnsi"/>
          <w:szCs w:val="22"/>
        </w:rPr>
        <w:t xml:space="preserve">egulatory analysis for the proposal was undertaken jointly by Treasury and the Attorney-General’s Department. To assist stakeholders, Attachment A to this letter also identifies the </w:t>
      </w:r>
      <w:r w:rsidR="009F337F">
        <w:rPr>
          <w:rFonts w:asciiTheme="minorHAnsi" w:hAnsiTheme="minorHAnsi" w:cstheme="minorHAnsi"/>
          <w:szCs w:val="22"/>
        </w:rPr>
        <w:t xml:space="preserve">Department leading regulatory analysis, </w:t>
      </w:r>
      <w:r w:rsidR="00177DB8">
        <w:rPr>
          <w:rFonts w:asciiTheme="minorHAnsi" w:hAnsiTheme="minorHAnsi" w:cstheme="minorHAnsi"/>
          <w:szCs w:val="22"/>
        </w:rPr>
        <w:t xml:space="preserve">policy </w:t>
      </w:r>
      <w:r w:rsidR="009F337F">
        <w:rPr>
          <w:rFonts w:asciiTheme="minorHAnsi" w:hAnsiTheme="minorHAnsi" w:cstheme="minorHAnsi"/>
          <w:szCs w:val="22"/>
        </w:rPr>
        <w:t xml:space="preserve">development </w:t>
      </w:r>
      <w:r w:rsidR="00177DB8">
        <w:rPr>
          <w:rFonts w:asciiTheme="minorHAnsi" w:hAnsiTheme="minorHAnsi" w:cstheme="minorHAnsi"/>
          <w:szCs w:val="22"/>
        </w:rPr>
        <w:t xml:space="preserve">and </w:t>
      </w:r>
      <w:r w:rsidR="009F337F">
        <w:rPr>
          <w:rFonts w:asciiTheme="minorHAnsi" w:hAnsiTheme="minorHAnsi" w:cstheme="minorHAnsi"/>
          <w:szCs w:val="22"/>
        </w:rPr>
        <w:t xml:space="preserve">oversight </w:t>
      </w:r>
      <w:r w:rsidR="00177DB8">
        <w:rPr>
          <w:rFonts w:asciiTheme="minorHAnsi" w:hAnsiTheme="minorHAnsi" w:cstheme="minorHAnsi"/>
          <w:szCs w:val="22"/>
        </w:rPr>
        <w:t>in respect of each</w:t>
      </w:r>
      <w:r w:rsidR="002847BC">
        <w:rPr>
          <w:rFonts w:asciiTheme="minorHAnsi" w:hAnsiTheme="minorHAnsi" w:cstheme="minorHAnsi"/>
          <w:szCs w:val="22"/>
        </w:rPr>
        <w:t xml:space="preserve"> listed</w:t>
      </w:r>
      <w:r w:rsidR="00177DB8">
        <w:rPr>
          <w:rFonts w:asciiTheme="minorHAnsi" w:hAnsiTheme="minorHAnsi" w:cstheme="minorHAnsi"/>
          <w:szCs w:val="22"/>
        </w:rPr>
        <w:t xml:space="preserve"> element of the proposal. </w:t>
      </w:r>
    </w:p>
    <w:p w14:paraId="7775FFAF" w14:textId="04DECC99" w:rsidR="00841EA4" w:rsidRPr="00841EA4" w:rsidRDefault="00841EA4" w:rsidP="00841EA4">
      <w:pPr>
        <w:tabs>
          <w:tab w:val="left" w:pos="5520"/>
        </w:tabs>
        <w:rPr>
          <w:rFonts w:asciiTheme="minorHAnsi" w:hAnsiTheme="minorHAnsi" w:cstheme="minorHAnsi"/>
          <w:szCs w:val="22"/>
        </w:rPr>
      </w:pPr>
      <w:r>
        <w:rPr>
          <w:rFonts w:asciiTheme="minorHAnsi" w:hAnsiTheme="minorHAnsi" w:cstheme="minorHAnsi"/>
          <w:szCs w:val="22"/>
        </w:rPr>
        <w:tab/>
      </w:r>
    </w:p>
    <w:p w14:paraId="627395E5" w14:textId="77777777" w:rsidR="00A44FEF" w:rsidRDefault="00481A11" w:rsidP="00A44FEF">
      <w:pPr>
        <w:spacing w:before="240"/>
        <w:rPr>
          <w:rFonts w:asciiTheme="minorHAnsi" w:hAnsiTheme="minorHAnsi" w:cstheme="minorHAnsi"/>
          <w:szCs w:val="22"/>
        </w:rPr>
      </w:pPr>
      <w:r w:rsidRPr="00481A11">
        <w:rPr>
          <w:rFonts w:asciiTheme="minorHAnsi" w:hAnsiTheme="minorHAnsi" w:cstheme="minorHAnsi"/>
          <w:szCs w:val="22"/>
        </w:rPr>
        <w:lastRenderedPageBreak/>
        <w:t xml:space="preserve">The regulatory burden to business, community organisations or individuals of </w:t>
      </w:r>
      <w:r w:rsidR="007876D0">
        <w:rPr>
          <w:rFonts w:asciiTheme="minorHAnsi" w:hAnsiTheme="minorHAnsi" w:cstheme="minorHAnsi"/>
          <w:szCs w:val="22"/>
        </w:rPr>
        <w:t xml:space="preserve">the policy proposal is </w:t>
      </w:r>
      <w:r w:rsidRPr="00481A11">
        <w:rPr>
          <w:rFonts w:asciiTheme="minorHAnsi" w:hAnsiTheme="minorHAnsi" w:cstheme="minorHAnsi"/>
          <w:szCs w:val="22"/>
        </w:rPr>
        <w:t xml:space="preserve">quantified using the Australian Government’s </w:t>
      </w:r>
      <w:r w:rsidRPr="007876D0">
        <w:rPr>
          <w:rFonts w:asciiTheme="minorHAnsi" w:hAnsiTheme="minorHAnsi" w:cstheme="minorHAnsi"/>
          <w:i/>
          <w:iCs/>
          <w:szCs w:val="22"/>
        </w:rPr>
        <w:t>Regulatory Burden Measurement</w:t>
      </w:r>
      <w:r w:rsidRPr="00481A11">
        <w:rPr>
          <w:rFonts w:asciiTheme="minorHAnsi" w:hAnsiTheme="minorHAnsi" w:cstheme="minorHAnsi"/>
          <w:szCs w:val="22"/>
        </w:rPr>
        <w:t xml:space="preserve"> framework and is provided below.</w:t>
      </w:r>
      <w:r w:rsidR="00A44FEF" w:rsidRPr="00A44FEF">
        <w:rPr>
          <w:rFonts w:asciiTheme="minorHAnsi" w:hAnsiTheme="minorHAnsi" w:cstheme="minorHAnsi"/>
          <w:szCs w:val="22"/>
        </w:rPr>
        <w:t xml:space="preserve"> </w:t>
      </w:r>
    </w:p>
    <w:p w14:paraId="50D1D3BF" w14:textId="39BF1249" w:rsidR="00481A11" w:rsidRDefault="00A44FEF" w:rsidP="00A44FEF">
      <w:pPr>
        <w:rPr>
          <w:rFonts w:asciiTheme="minorHAnsi" w:hAnsiTheme="minorHAnsi" w:cstheme="minorHAnsi"/>
          <w:szCs w:val="22"/>
        </w:rPr>
      </w:pPr>
      <w:r>
        <w:rPr>
          <w:rFonts w:asciiTheme="minorHAnsi" w:hAnsiTheme="minorHAnsi" w:cstheme="minorHAnsi"/>
          <w:szCs w:val="22"/>
        </w:rPr>
        <w:t>We note that the implementation of this po</w:t>
      </w:r>
      <w:r w:rsidR="00AD0577">
        <w:rPr>
          <w:rFonts w:asciiTheme="minorHAnsi" w:hAnsiTheme="minorHAnsi" w:cstheme="minorHAnsi"/>
          <w:szCs w:val="22"/>
        </w:rPr>
        <w:t xml:space="preserve">licy proposal will increase </w:t>
      </w:r>
      <w:r>
        <w:rPr>
          <w:rFonts w:asciiTheme="minorHAnsi" w:hAnsiTheme="minorHAnsi" w:cstheme="minorHAnsi"/>
          <w:szCs w:val="22"/>
        </w:rPr>
        <w:t>regulatory burden.</w:t>
      </w:r>
      <w:r w:rsidR="00516A9C" w:rsidRPr="00516A9C">
        <w:t xml:space="preserve"> </w:t>
      </w:r>
      <w:r w:rsidR="00516A9C" w:rsidRPr="00516A9C">
        <w:rPr>
          <w:rFonts w:asciiTheme="minorHAnsi" w:hAnsiTheme="minorHAnsi" w:cstheme="minorHAnsi"/>
          <w:szCs w:val="22"/>
        </w:rPr>
        <w:t>Treasury is reviewing whether there are regulatory burden reductions elsewhere in the Mid-Year Economic and Fiscal Outlook process to identify offset measures. Treasury is also seeking to pursue net reductions in compliance costs and will work with affected stakeholders and across Government to identify regulatory burden reductions where appropriate.</w:t>
      </w:r>
      <w:r>
        <w:rPr>
          <w:rFonts w:asciiTheme="minorHAnsi" w:hAnsiTheme="minorHAnsi" w:cstheme="minorHAnsi"/>
          <w:szCs w:val="22"/>
        </w:rPr>
        <w:t xml:space="preserve"> </w:t>
      </w:r>
    </w:p>
    <w:tbl>
      <w:tblPr>
        <w:tblStyle w:val="LightGrid-Accent2"/>
        <w:tblW w:w="9356" w:type="dxa"/>
        <w:tblLayout w:type="fixed"/>
        <w:tblLook w:val="04A0" w:firstRow="1" w:lastRow="0" w:firstColumn="1" w:lastColumn="0" w:noHBand="0" w:noVBand="1"/>
      </w:tblPr>
      <w:tblGrid>
        <w:gridCol w:w="2542"/>
        <w:gridCol w:w="1703"/>
        <w:gridCol w:w="1704"/>
        <w:gridCol w:w="1703"/>
        <w:gridCol w:w="1704"/>
      </w:tblGrid>
      <w:tr w:rsidR="00E151E9" w:rsidRPr="00481A11" w14:paraId="738DF758" w14:textId="77777777" w:rsidTr="00E9139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14:paraId="09B1BF39" w14:textId="77777777" w:rsidR="00E151E9" w:rsidRPr="007876D0" w:rsidRDefault="00E151E9" w:rsidP="00E9139C">
            <w:pPr>
              <w:keepNext/>
              <w:keepLines/>
              <w:spacing w:before="120" w:after="120"/>
              <w:ind w:left="567" w:hanging="567"/>
              <w:rPr>
                <w:rFonts w:asciiTheme="minorHAnsi" w:hAnsiTheme="minorHAnsi" w:cstheme="minorHAnsi"/>
                <w:color w:val="FFFFFF" w:themeColor="background1"/>
                <w:sz w:val="20"/>
              </w:rPr>
            </w:pPr>
            <w:r w:rsidRPr="007876D0">
              <w:rPr>
                <w:rFonts w:asciiTheme="minorHAnsi" w:hAnsiTheme="minorHAnsi" w:cstheme="minorHAnsi"/>
                <w:color w:val="FFFFFF" w:themeColor="background1"/>
              </w:rPr>
              <w:t>Regulatory burden estimate table</w:t>
            </w:r>
          </w:p>
          <w:p w14:paraId="0301B51E" w14:textId="09FDBFC6" w:rsidR="00E151E9" w:rsidRPr="00481A11" w:rsidRDefault="00E151E9" w:rsidP="00E9139C">
            <w:pPr>
              <w:keepNext/>
              <w:keepLines/>
              <w:spacing w:after="120"/>
              <w:ind w:left="567" w:hanging="567"/>
              <w:rPr>
                <w:rFonts w:asciiTheme="minorHAnsi" w:hAnsiTheme="minorHAnsi" w:cstheme="minorHAnsi"/>
                <w:sz w:val="20"/>
              </w:rPr>
            </w:pPr>
            <w:r w:rsidRPr="007876D0">
              <w:rPr>
                <w:rFonts w:asciiTheme="minorHAnsi" w:hAnsiTheme="minorHAnsi" w:cstheme="minorHAnsi"/>
                <w:color w:val="FFFFFF" w:themeColor="background1"/>
                <w:sz w:val="20"/>
              </w:rPr>
              <w:t xml:space="preserve">Average annual regulatory </w:t>
            </w:r>
            <w:r w:rsidR="00493458">
              <w:rPr>
                <w:rFonts w:asciiTheme="minorHAnsi" w:hAnsiTheme="minorHAnsi" w:cstheme="minorHAnsi"/>
                <w:color w:val="FFFFFF" w:themeColor="background1"/>
                <w:sz w:val="20"/>
              </w:rPr>
              <w:t>costs</w:t>
            </w:r>
            <w:r w:rsidRPr="007876D0">
              <w:rPr>
                <w:rFonts w:asciiTheme="minorHAnsi" w:hAnsiTheme="minorHAnsi" w:cstheme="minorHAnsi"/>
                <w:color w:val="FFFFFF" w:themeColor="background1"/>
                <w:sz w:val="20"/>
              </w:rPr>
              <w:t xml:space="preserve"> (from business as usual)</w:t>
            </w:r>
          </w:p>
        </w:tc>
      </w:tr>
      <w:tr w:rsidR="00481A11" w:rsidRPr="00481A11" w14:paraId="4B12B48C" w14:textId="77777777" w:rsidTr="00E151E9">
        <w:trPr>
          <w:trHeight w:val="300"/>
        </w:trPr>
        <w:tc>
          <w:tcPr>
            <w:cnfStyle w:val="001000000000" w:firstRow="0" w:lastRow="0" w:firstColumn="1" w:lastColumn="0" w:oddVBand="0" w:evenVBand="0" w:oddHBand="0" w:evenHBand="0" w:firstRowFirstColumn="0" w:firstRowLastColumn="0" w:lastRowFirstColumn="0" w:lastRowLastColumn="0"/>
            <w:tcW w:w="2542" w:type="dxa"/>
            <w:noWrap/>
          </w:tcPr>
          <w:p w14:paraId="18DC6B22" w14:textId="559979D4" w:rsidR="00481A11" w:rsidRPr="00E151E9" w:rsidRDefault="00481A11" w:rsidP="00E151E9">
            <w:pPr>
              <w:keepNext/>
              <w:keepLines/>
              <w:spacing w:before="120" w:after="120"/>
              <w:rPr>
                <w:rFonts w:asciiTheme="minorHAnsi" w:hAnsiTheme="minorHAnsi" w:cstheme="minorHAnsi"/>
                <w:bCs w:val="0"/>
                <w:sz w:val="20"/>
              </w:rPr>
            </w:pPr>
            <w:r w:rsidRPr="00E151E9">
              <w:rPr>
                <w:rFonts w:asciiTheme="minorHAnsi" w:hAnsiTheme="minorHAnsi" w:cstheme="minorHAnsi"/>
                <w:bCs w:val="0"/>
                <w:sz w:val="20"/>
              </w:rPr>
              <w:t xml:space="preserve">Change in costs </w:t>
            </w:r>
          </w:p>
        </w:tc>
        <w:tc>
          <w:tcPr>
            <w:tcW w:w="1703" w:type="dxa"/>
            <w:noWrap/>
          </w:tcPr>
          <w:p w14:paraId="5B06AF3F" w14:textId="77777777" w:rsidR="00481A11" w:rsidRPr="00E151E9" w:rsidRDefault="00481A11" w:rsidP="00E151E9">
            <w:pPr>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151E9">
              <w:rPr>
                <w:rFonts w:asciiTheme="minorHAnsi" w:hAnsiTheme="minorHAnsi" w:cstheme="minorHAnsi"/>
                <w:sz w:val="20"/>
              </w:rPr>
              <w:t>Business</w:t>
            </w:r>
          </w:p>
        </w:tc>
        <w:tc>
          <w:tcPr>
            <w:tcW w:w="1704" w:type="dxa"/>
            <w:noWrap/>
          </w:tcPr>
          <w:p w14:paraId="2A7DF10F" w14:textId="430714E1" w:rsidR="00481A11" w:rsidRPr="00481A11" w:rsidRDefault="00481A11" w:rsidP="00E151E9">
            <w:pPr>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81A11">
              <w:rPr>
                <w:rFonts w:asciiTheme="minorHAnsi" w:hAnsiTheme="minorHAnsi" w:cstheme="minorHAnsi"/>
                <w:sz w:val="20"/>
              </w:rPr>
              <w:t>Community</w:t>
            </w:r>
            <w:r w:rsidR="00E151E9">
              <w:rPr>
                <w:rFonts w:asciiTheme="minorHAnsi" w:hAnsiTheme="minorHAnsi" w:cstheme="minorHAnsi"/>
                <w:sz w:val="20"/>
              </w:rPr>
              <w:t xml:space="preserve"> </w:t>
            </w:r>
            <w:r w:rsidRPr="00481A11">
              <w:rPr>
                <w:rFonts w:asciiTheme="minorHAnsi" w:hAnsiTheme="minorHAnsi" w:cstheme="minorHAnsi"/>
                <w:sz w:val="20"/>
              </w:rPr>
              <w:t>organisations</w:t>
            </w:r>
          </w:p>
        </w:tc>
        <w:tc>
          <w:tcPr>
            <w:tcW w:w="1703" w:type="dxa"/>
            <w:noWrap/>
          </w:tcPr>
          <w:p w14:paraId="3C9598E0" w14:textId="77777777" w:rsidR="00481A11" w:rsidRPr="00481A11" w:rsidRDefault="00481A11" w:rsidP="00E151E9">
            <w:pPr>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81A11">
              <w:rPr>
                <w:rFonts w:asciiTheme="minorHAnsi" w:hAnsiTheme="minorHAnsi" w:cstheme="minorHAnsi"/>
                <w:sz w:val="20"/>
              </w:rPr>
              <w:t>Individuals</w:t>
            </w:r>
          </w:p>
        </w:tc>
        <w:tc>
          <w:tcPr>
            <w:tcW w:w="1704" w:type="dxa"/>
            <w:noWrap/>
          </w:tcPr>
          <w:p w14:paraId="5216ADB4" w14:textId="77777777" w:rsidR="00481A11" w:rsidRPr="00481A11" w:rsidRDefault="00481A11" w:rsidP="00E151E9">
            <w:pPr>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81A11">
              <w:rPr>
                <w:rFonts w:asciiTheme="minorHAnsi" w:hAnsiTheme="minorHAnsi" w:cstheme="minorHAnsi"/>
                <w:sz w:val="20"/>
              </w:rPr>
              <w:t>Total change in costs</w:t>
            </w:r>
          </w:p>
        </w:tc>
      </w:tr>
      <w:tr w:rsidR="00481A11" w:rsidRPr="00481A11" w14:paraId="093C1B3B" w14:textId="77777777" w:rsidTr="00E151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2" w:type="dxa"/>
            <w:noWrap/>
          </w:tcPr>
          <w:p w14:paraId="27A536C1" w14:textId="77777777" w:rsidR="00481A11" w:rsidRPr="00E151E9" w:rsidRDefault="00481A11" w:rsidP="007876D0">
            <w:pPr>
              <w:keepLines/>
              <w:spacing w:before="120" w:after="120"/>
              <w:ind w:left="567" w:hanging="567"/>
              <w:rPr>
                <w:rFonts w:asciiTheme="minorHAnsi" w:hAnsiTheme="minorHAnsi" w:cstheme="minorHAnsi"/>
                <w:bCs w:val="0"/>
                <w:sz w:val="20"/>
              </w:rPr>
            </w:pPr>
            <w:r w:rsidRPr="00E151E9">
              <w:rPr>
                <w:rFonts w:asciiTheme="minorHAnsi" w:hAnsiTheme="minorHAnsi" w:cstheme="minorHAnsi"/>
                <w:bCs w:val="0"/>
                <w:sz w:val="20"/>
              </w:rPr>
              <w:t>Total, by sector</w:t>
            </w:r>
          </w:p>
        </w:tc>
        <w:tc>
          <w:tcPr>
            <w:tcW w:w="1703" w:type="dxa"/>
            <w:noWrap/>
          </w:tcPr>
          <w:p w14:paraId="08324011" w14:textId="6A3813FA" w:rsidR="00481A11" w:rsidRPr="006C514C" w:rsidRDefault="006C514C" w:rsidP="000C478E">
            <w:pPr>
              <w:keepLine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6C514C">
              <w:rPr>
                <w:rFonts w:asciiTheme="minorHAnsi" w:hAnsiTheme="minorHAnsi" w:cstheme="minorHAnsi"/>
                <w:sz w:val="20"/>
              </w:rPr>
              <w:t>$</w:t>
            </w:r>
            <w:r w:rsidR="000C478E">
              <w:rPr>
                <w:rFonts w:asciiTheme="minorHAnsi" w:hAnsiTheme="minorHAnsi" w:cstheme="minorHAnsi"/>
                <w:sz w:val="20"/>
              </w:rPr>
              <w:t>68</w:t>
            </w:r>
            <w:r w:rsidR="001E305D">
              <w:rPr>
                <w:rFonts w:asciiTheme="minorHAnsi" w:hAnsiTheme="minorHAnsi" w:cstheme="minorHAnsi"/>
                <w:sz w:val="20"/>
              </w:rPr>
              <w:t>,000</w:t>
            </w:r>
            <w:r w:rsidR="000C478E">
              <w:rPr>
                <w:rFonts w:asciiTheme="minorHAnsi" w:hAnsiTheme="minorHAnsi" w:cstheme="minorHAnsi"/>
                <w:sz w:val="20"/>
              </w:rPr>
              <w:t xml:space="preserve"> to $95</w:t>
            </w:r>
            <w:r w:rsidR="001E305D">
              <w:rPr>
                <w:rFonts w:asciiTheme="minorHAnsi" w:hAnsiTheme="minorHAnsi" w:cstheme="minorHAnsi"/>
                <w:sz w:val="20"/>
              </w:rPr>
              <w:t>,000</w:t>
            </w:r>
          </w:p>
        </w:tc>
        <w:tc>
          <w:tcPr>
            <w:tcW w:w="1704" w:type="dxa"/>
            <w:noWrap/>
          </w:tcPr>
          <w:p w14:paraId="0AD07743" w14:textId="7356D016" w:rsidR="00481A11" w:rsidRPr="006C514C" w:rsidRDefault="006C514C" w:rsidP="007876D0">
            <w:pPr>
              <w:keepLines/>
              <w:spacing w:before="120" w:after="120"/>
              <w:ind w:left="567" w:hanging="56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6C514C">
              <w:rPr>
                <w:rFonts w:asciiTheme="minorHAnsi" w:hAnsiTheme="minorHAnsi" w:cstheme="minorHAnsi"/>
                <w:sz w:val="20"/>
              </w:rPr>
              <w:t>Nil</w:t>
            </w:r>
          </w:p>
        </w:tc>
        <w:tc>
          <w:tcPr>
            <w:tcW w:w="1703" w:type="dxa"/>
            <w:noWrap/>
          </w:tcPr>
          <w:p w14:paraId="7A7C09D2" w14:textId="736170C6" w:rsidR="00481A11" w:rsidRPr="006C514C" w:rsidRDefault="006C514C" w:rsidP="007876D0">
            <w:pPr>
              <w:keepLines/>
              <w:spacing w:before="120" w:after="120"/>
              <w:ind w:left="567" w:hanging="56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6C514C">
              <w:rPr>
                <w:rFonts w:asciiTheme="minorHAnsi" w:hAnsiTheme="minorHAnsi" w:cstheme="minorHAnsi"/>
                <w:sz w:val="20"/>
              </w:rPr>
              <w:t>Nil</w:t>
            </w:r>
          </w:p>
        </w:tc>
        <w:tc>
          <w:tcPr>
            <w:tcW w:w="1704" w:type="dxa"/>
            <w:noWrap/>
          </w:tcPr>
          <w:p w14:paraId="0391BE3F" w14:textId="23DD7652" w:rsidR="00481A11" w:rsidRPr="006C514C" w:rsidRDefault="000C478E" w:rsidP="000C478E">
            <w:pPr>
              <w:keepLines/>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6C514C">
              <w:rPr>
                <w:rFonts w:asciiTheme="minorHAnsi" w:hAnsiTheme="minorHAnsi" w:cstheme="minorHAnsi"/>
                <w:sz w:val="20"/>
              </w:rPr>
              <w:t>$</w:t>
            </w:r>
            <w:r>
              <w:rPr>
                <w:rFonts w:asciiTheme="minorHAnsi" w:hAnsiTheme="minorHAnsi" w:cstheme="minorHAnsi"/>
                <w:sz w:val="20"/>
              </w:rPr>
              <w:t>68</w:t>
            </w:r>
            <w:r w:rsidR="001E305D">
              <w:rPr>
                <w:rFonts w:asciiTheme="minorHAnsi" w:hAnsiTheme="minorHAnsi" w:cstheme="minorHAnsi"/>
                <w:sz w:val="20"/>
              </w:rPr>
              <w:t>,000</w:t>
            </w:r>
            <w:r>
              <w:rPr>
                <w:rFonts w:asciiTheme="minorHAnsi" w:hAnsiTheme="minorHAnsi" w:cstheme="minorHAnsi"/>
                <w:sz w:val="20"/>
              </w:rPr>
              <w:t xml:space="preserve"> to $95</w:t>
            </w:r>
            <w:r w:rsidR="001E305D">
              <w:rPr>
                <w:rFonts w:asciiTheme="minorHAnsi" w:hAnsiTheme="minorHAnsi" w:cstheme="minorHAnsi"/>
                <w:sz w:val="20"/>
              </w:rPr>
              <w:t>,000</w:t>
            </w:r>
          </w:p>
        </w:tc>
      </w:tr>
    </w:tbl>
    <w:p w14:paraId="31E26E75" w14:textId="6627EC59" w:rsidR="00481A11" w:rsidRPr="00E151E9" w:rsidRDefault="00481A11" w:rsidP="00E151E9">
      <w:pPr>
        <w:spacing w:before="240"/>
        <w:rPr>
          <w:rFonts w:asciiTheme="minorHAnsi" w:hAnsiTheme="minorHAnsi" w:cstheme="minorHAnsi"/>
          <w:szCs w:val="22"/>
        </w:rPr>
      </w:pPr>
      <w:r w:rsidRPr="00481A11">
        <w:rPr>
          <w:rFonts w:asciiTheme="minorHAnsi" w:hAnsiTheme="minorHAnsi" w:cstheme="minorHAnsi"/>
          <w:szCs w:val="22"/>
        </w:rPr>
        <w:t xml:space="preserve">Accordingly, </w:t>
      </w:r>
      <w:r w:rsidR="00A44FEF">
        <w:rPr>
          <w:rFonts w:asciiTheme="minorHAnsi" w:hAnsiTheme="minorHAnsi" w:cstheme="minorHAnsi"/>
          <w:szCs w:val="22"/>
        </w:rPr>
        <w:t xml:space="preserve">we are </w:t>
      </w:r>
      <w:r w:rsidRPr="00481A11">
        <w:rPr>
          <w:rFonts w:asciiTheme="minorHAnsi" w:hAnsiTheme="minorHAnsi" w:cstheme="minorHAnsi"/>
          <w:szCs w:val="22"/>
        </w:rPr>
        <w:t>satisfied that the attached report</w:t>
      </w:r>
      <w:r w:rsidR="00E151E9">
        <w:rPr>
          <w:rFonts w:asciiTheme="minorHAnsi" w:hAnsiTheme="minorHAnsi" w:cstheme="minorHAnsi"/>
          <w:szCs w:val="22"/>
        </w:rPr>
        <w:t>s</w:t>
      </w:r>
      <w:r w:rsidRPr="00481A11">
        <w:rPr>
          <w:rFonts w:asciiTheme="minorHAnsi" w:hAnsiTheme="minorHAnsi" w:cstheme="minorHAnsi"/>
          <w:szCs w:val="22"/>
        </w:rPr>
        <w:t xml:space="preserve">, together with the supplementary analysis, </w:t>
      </w:r>
      <w:r w:rsidR="00E151E9">
        <w:rPr>
          <w:rFonts w:asciiTheme="minorHAnsi" w:hAnsiTheme="minorHAnsi" w:cstheme="minorHAnsi"/>
          <w:szCs w:val="22"/>
        </w:rPr>
        <w:t xml:space="preserve">are </w:t>
      </w:r>
      <w:r w:rsidRPr="00481A11">
        <w:rPr>
          <w:rFonts w:asciiTheme="minorHAnsi" w:hAnsiTheme="minorHAnsi" w:cstheme="minorHAnsi"/>
          <w:szCs w:val="22"/>
        </w:rPr>
        <w:t xml:space="preserve">consistent with the </w:t>
      </w:r>
      <w:r w:rsidRPr="00481A11">
        <w:rPr>
          <w:rFonts w:asciiTheme="minorHAnsi" w:hAnsiTheme="minorHAnsi" w:cstheme="minorHAnsi"/>
          <w:i/>
          <w:szCs w:val="22"/>
        </w:rPr>
        <w:t>Australian Government Guide to Regulatory Impact Analysis</w:t>
      </w:r>
      <w:r w:rsidRPr="00481A11">
        <w:rPr>
          <w:rFonts w:asciiTheme="minorHAnsi" w:hAnsiTheme="minorHAnsi" w:cstheme="minorHAnsi"/>
          <w:szCs w:val="22"/>
        </w:rPr>
        <w:t>.</w:t>
      </w:r>
    </w:p>
    <w:p w14:paraId="56B45F16" w14:textId="6B532880" w:rsidR="00010558" w:rsidRDefault="003D170C" w:rsidP="00E321B5">
      <w:pPr>
        <w:spacing w:before="360" w:after="0"/>
      </w:pPr>
      <w:r>
        <w:t>Yours sincerely</w:t>
      </w:r>
    </w:p>
    <w:p w14:paraId="70459A3A" w14:textId="1A2EC924" w:rsidR="00E321B5" w:rsidRDefault="00E321B5" w:rsidP="00E321B5">
      <w:pPr>
        <w:spacing w:before="36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533"/>
      </w:tblGrid>
      <w:tr w:rsidR="009F337F" w14:paraId="1B096B62" w14:textId="77777777" w:rsidTr="009F337F">
        <w:tc>
          <w:tcPr>
            <w:tcW w:w="6096" w:type="dxa"/>
          </w:tcPr>
          <w:p w14:paraId="12E52E6B" w14:textId="5E553949" w:rsidR="009F337F" w:rsidRDefault="009F337F" w:rsidP="009F337F">
            <w:pPr>
              <w:spacing w:after="0"/>
            </w:pPr>
            <w:r>
              <w:t>Meghan Quinn</w:t>
            </w:r>
            <w:r w:rsidR="00E321B5">
              <w:t xml:space="preserve"> PSM</w:t>
            </w:r>
            <w:r>
              <w:br/>
              <w:t>Deputy Secretary, Markets Group</w:t>
            </w:r>
          </w:p>
          <w:p w14:paraId="7D3286B9" w14:textId="77777777" w:rsidR="009F337F" w:rsidRDefault="009F337F" w:rsidP="009F337F">
            <w:pPr>
              <w:spacing w:after="0"/>
            </w:pPr>
            <w:r>
              <w:t>The Treasury</w:t>
            </w:r>
          </w:p>
          <w:p w14:paraId="16676ED5" w14:textId="77777777" w:rsidR="009F337F" w:rsidRDefault="009F337F" w:rsidP="009F337F">
            <w:pPr>
              <w:spacing w:after="0"/>
            </w:pPr>
            <w:r>
              <w:t>Langton Crescent</w:t>
            </w:r>
          </w:p>
          <w:p w14:paraId="19138C2A" w14:textId="77777777" w:rsidR="009F337F" w:rsidRDefault="009F337F" w:rsidP="009F337F">
            <w:pPr>
              <w:spacing w:after="0"/>
            </w:pPr>
            <w:r>
              <w:t>PARKES ACT 2600</w:t>
            </w:r>
          </w:p>
          <w:p w14:paraId="06D177C9" w14:textId="12D40B5B" w:rsidR="009F337F" w:rsidRDefault="009F337F" w:rsidP="009F337F">
            <w:pPr>
              <w:spacing w:after="0"/>
            </w:pPr>
            <w:r>
              <w:t>AUSTRALIA</w:t>
            </w:r>
            <w:r w:rsidRPr="009F337F">
              <w:br/>
              <w:t>www.treasury.gov.au</w:t>
            </w:r>
          </w:p>
        </w:tc>
        <w:tc>
          <w:tcPr>
            <w:tcW w:w="3533" w:type="dxa"/>
          </w:tcPr>
          <w:p w14:paraId="06E9CFBF" w14:textId="77777777" w:rsidR="00582BDB" w:rsidRDefault="00582BDB" w:rsidP="005B21D9">
            <w:pPr>
              <w:spacing w:after="0"/>
            </w:pPr>
            <w:r>
              <w:t>Iain Anderson</w:t>
            </w:r>
          </w:p>
          <w:p w14:paraId="6CD45BB4" w14:textId="720369F8" w:rsidR="006E1C5F" w:rsidRDefault="006E1C5F" w:rsidP="006E1C5F">
            <w:pPr>
              <w:spacing w:after="0"/>
            </w:pPr>
            <w:r w:rsidRPr="003C3B17">
              <w:t>Deputy Secretary,</w:t>
            </w:r>
            <w:r w:rsidRPr="001C3051">
              <w:t xml:space="preserve"> </w:t>
            </w:r>
          </w:p>
          <w:p w14:paraId="1183C5F4" w14:textId="1E9C4A1F" w:rsidR="006E1C5F" w:rsidRPr="003C3B17" w:rsidRDefault="006E1C5F" w:rsidP="006E1C5F">
            <w:pPr>
              <w:spacing w:after="0"/>
            </w:pPr>
            <w:r w:rsidRPr="003C3B17">
              <w:t>Legal Services and Families Group</w:t>
            </w:r>
          </w:p>
          <w:p w14:paraId="074DD0D9" w14:textId="77777777" w:rsidR="006E1C5F" w:rsidRPr="003C3B17" w:rsidRDefault="006E1C5F" w:rsidP="006E1C5F">
            <w:pPr>
              <w:spacing w:after="0"/>
            </w:pPr>
            <w:r w:rsidRPr="003C3B17">
              <w:t>Attorney-General’s Department</w:t>
            </w:r>
          </w:p>
          <w:p w14:paraId="4F51D8F1" w14:textId="77777777" w:rsidR="006E1C5F" w:rsidRPr="001C3051" w:rsidRDefault="006E1C5F" w:rsidP="006E1C5F">
            <w:pPr>
              <w:spacing w:after="0"/>
            </w:pPr>
            <w:r w:rsidRPr="001C3051">
              <w:t>3-5 National Circuit</w:t>
            </w:r>
          </w:p>
          <w:p w14:paraId="11FC73AA" w14:textId="77777777" w:rsidR="006E1C5F" w:rsidRPr="001C3051" w:rsidRDefault="006E1C5F" w:rsidP="006E1C5F">
            <w:pPr>
              <w:spacing w:after="0"/>
            </w:pPr>
            <w:r w:rsidRPr="001C3051">
              <w:t>BARTON ACT 2600</w:t>
            </w:r>
          </w:p>
          <w:p w14:paraId="1CEDF9A1" w14:textId="77777777" w:rsidR="006E1C5F" w:rsidRPr="003C3B17" w:rsidRDefault="006E1C5F" w:rsidP="006E1C5F">
            <w:pPr>
              <w:spacing w:after="0"/>
            </w:pPr>
            <w:r w:rsidRPr="003C3B17">
              <w:t xml:space="preserve">AUSTRALIA </w:t>
            </w:r>
          </w:p>
          <w:p w14:paraId="2CECFF43" w14:textId="708E6A28" w:rsidR="009F337F" w:rsidRDefault="006E1C5F" w:rsidP="006E1C5F">
            <w:pPr>
              <w:spacing w:after="0"/>
            </w:pPr>
            <w:r w:rsidRPr="003C3B17">
              <w:t>www.ag.gov.au</w:t>
            </w:r>
          </w:p>
        </w:tc>
      </w:tr>
    </w:tbl>
    <w:p w14:paraId="0613E792" w14:textId="77777777" w:rsidR="00481A11" w:rsidRPr="009F337F" w:rsidRDefault="00481A11" w:rsidP="00DA54C5"/>
    <w:sectPr w:rsidR="00481A11" w:rsidRPr="009F337F" w:rsidSect="00841EA4">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702" w:left="1134" w:header="425"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59B71" w14:textId="77777777" w:rsidR="00210F0B" w:rsidRDefault="00210F0B">
      <w:r>
        <w:separator/>
      </w:r>
    </w:p>
  </w:endnote>
  <w:endnote w:type="continuationSeparator" w:id="0">
    <w:p w14:paraId="00DF47FC" w14:textId="77777777" w:rsidR="00210F0B" w:rsidRDefault="0021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002F" w14:textId="77777777" w:rsidR="002B692A" w:rsidRDefault="002B692A" w:rsidP="002B692A">
    <w:pPr>
      <w:pStyle w:val="SecurityClassificationFooter"/>
    </w:pPr>
  </w:p>
  <w:p w14:paraId="1C85EC2F" w14:textId="77777777" w:rsidR="002B692A" w:rsidRDefault="00C8731A" w:rsidP="002B692A">
    <w:pPr>
      <w:pStyle w:val="SecurityClassificationFooter"/>
    </w:pPr>
    <w:r>
      <w:fldChar w:fldCharType="begin"/>
    </w:r>
    <w:r>
      <w:instrText xml:space="preserve"> DOCPROPERTY WorkingDocStatus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21570"/>
      <w:docPartObj>
        <w:docPartGallery w:val="Page Numbers (Bottom of Page)"/>
        <w:docPartUnique/>
      </w:docPartObj>
    </w:sdtPr>
    <w:sdtEndPr>
      <w:rPr>
        <w:noProof/>
      </w:rPr>
    </w:sdtEndPr>
    <w:sdtContent>
      <w:p w14:paraId="4DEFF287" w14:textId="13F6B422" w:rsidR="002B692A" w:rsidRDefault="00841EA4" w:rsidP="00841EA4">
        <w:pPr>
          <w:pStyle w:val="Footer"/>
          <w:jc w:val="center"/>
        </w:pPr>
        <w:r>
          <w:fldChar w:fldCharType="begin"/>
        </w:r>
        <w:r>
          <w:instrText xml:space="preserve"> PAGE   \* MERGEFORMAT </w:instrText>
        </w:r>
        <w:r>
          <w:fldChar w:fldCharType="separate"/>
        </w:r>
        <w:r w:rsidR="00D8204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034897"/>
      <w:docPartObj>
        <w:docPartGallery w:val="Page Numbers (Bottom of Page)"/>
        <w:docPartUnique/>
      </w:docPartObj>
    </w:sdtPr>
    <w:sdtEndPr>
      <w:rPr>
        <w:noProof/>
      </w:rPr>
    </w:sdtEndPr>
    <w:sdtContent>
      <w:p w14:paraId="2903D158" w14:textId="39E871ED" w:rsidR="00841EA4" w:rsidRDefault="00841EA4">
        <w:pPr>
          <w:pStyle w:val="Footer"/>
          <w:jc w:val="center"/>
        </w:pPr>
        <w:r>
          <w:fldChar w:fldCharType="begin"/>
        </w:r>
        <w:r>
          <w:instrText xml:space="preserve"> PAGE   \* MERGEFORMAT </w:instrText>
        </w:r>
        <w:r>
          <w:fldChar w:fldCharType="separate"/>
        </w:r>
        <w:r w:rsidR="00D8204C">
          <w:rPr>
            <w:noProof/>
          </w:rPr>
          <w:t>1</w:t>
        </w:r>
        <w:r>
          <w:rPr>
            <w:noProof/>
          </w:rPr>
          <w:fldChar w:fldCharType="end"/>
        </w:r>
      </w:p>
    </w:sdtContent>
  </w:sdt>
  <w:p w14:paraId="5140850C" w14:textId="77777777" w:rsidR="005F6F02" w:rsidRPr="00A23E22" w:rsidRDefault="005F6F02" w:rsidP="00A23E22">
    <w:pPr>
      <w:pStyle w:val="FooterAddres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8BAC5" w14:textId="77777777" w:rsidR="00210F0B" w:rsidRDefault="00210F0B">
      <w:r>
        <w:separator/>
      </w:r>
    </w:p>
  </w:footnote>
  <w:footnote w:type="continuationSeparator" w:id="0">
    <w:p w14:paraId="4148848C" w14:textId="77777777" w:rsidR="00210F0B" w:rsidRDefault="0021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BEE0" w14:textId="77777777" w:rsidR="00D8204C" w:rsidRDefault="00D82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A3CB" w14:textId="3534DBE1" w:rsidR="005F6F02" w:rsidRDefault="00437881">
    <w:pPr>
      <w:jc w:val="center"/>
      <w:rPr>
        <w:b/>
      </w:rPr>
    </w:pPr>
    <w:r>
      <w:fldChar w:fldCharType="begin"/>
    </w:r>
    <w:r>
      <w:instrText xml:space="preserve"> PAGE </w:instrText>
    </w:r>
    <w:r>
      <w:fldChar w:fldCharType="separate"/>
    </w:r>
    <w:r w:rsidR="00D8204C">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5214" w14:textId="7343BF75" w:rsidR="005F6F02" w:rsidRDefault="00305125" w:rsidP="00021A7F">
    <w:pPr>
      <w:rPr>
        <w:color w:val="000000" w:themeColor="text1"/>
      </w:rPr>
    </w:pPr>
    <w:r w:rsidRPr="00305125">
      <w:rPr>
        <w:color w:val="000000" w:themeColor="text1"/>
      </w:rPr>
      <w:tab/>
    </w:r>
    <w:r w:rsidRPr="00305125">
      <w:rPr>
        <w:color w:val="000000" w:themeColor="text1"/>
      </w:rPr>
      <w:tab/>
    </w:r>
    <w:r w:rsidRPr="00305125">
      <w:rPr>
        <w:color w:val="000000" w:themeColor="text1"/>
      </w:rPr>
      <w:tab/>
    </w:r>
    <w:r w:rsidRPr="00305125">
      <w:rPr>
        <w:color w:val="000000" w:themeColor="text1"/>
      </w:rPr>
      <w:tab/>
    </w:r>
    <w:r w:rsidRPr="00305125">
      <w:rPr>
        <w:color w:val="000000" w:themeColor="text1"/>
      </w:rPr>
      <w:tab/>
    </w:r>
    <w:r w:rsidRPr="00305125">
      <w:rPr>
        <w:color w:val="000000" w:themeColor="text1"/>
      </w:rPr>
      <w:tab/>
    </w:r>
    <w:r w:rsidRPr="00305125">
      <w:rPr>
        <w:color w:val="000000" w:themeColor="text1"/>
      </w:rPr>
      <w:tab/>
    </w:r>
    <w:r w:rsidRPr="00305125">
      <w:rPr>
        <w:color w:val="000000" w:themeColor="text1"/>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41EE6" w14:paraId="0A0FA584" w14:textId="77777777" w:rsidTr="006E1C5F">
      <w:tc>
        <w:tcPr>
          <w:tcW w:w="4814" w:type="dxa"/>
          <w:vAlign w:val="center"/>
        </w:tcPr>
        <w:p w14:paraId="4428CBA0" w14:textId="77777777" w:rsidR="006E1C5F" w:rsidRDefault="006E1C5F" w:rsidP="006E1C5F">
          <w:pPr>
            <w:rPr>
              <w:color w:val="000000" w:themeColor="text1"/>
            </w:rPr>
          </w:pPr>
        </w:p>
        <w:p w14:paraId="515C48F3" w14:textId="595F9D77" w:rsidR="00941EE6" w:rsidRDefault="00941EE6" w:rsidP="006E1C5F">
          <w:pPr>
            <w:rPr>
              <w:color w:val="000000" w:themeColor="text1"/>
            </w:rPr>
          </w:pPr>
          <w:r w:rsidRPr="006A320D">
            <w:rPr>
              <w:noProof/>
              <w:color w:val="000000" w:themeColor="text1"/>
            </w:rPr>
            <w:drawing>
              <wp:inline distT="0" distB="0" distL="0" distR="0" wp14:anchorId="0B1A28C6" wp14:editId="059AE7A2">
                <wp:extent cx="2343150" cy="533400"/>
                <wp:effectExtent l="19050" t="0" r="0" b="0"/>
                <wp:docPr id="11" name="Picture 11" descr="The Treasu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asury_inline"/>
                        <pic:cNvPicPr>
                          <a:picLocks noChangeAspect="1" noChangeArrowheads="1"/>
                        </pic:cNvPicPr>
                      </pic:nvPicPr>
                      <pic:blipFill>
                        <a:blip r:embed="rId1"/>
                        <a:srcRect/>
                        <a:stretch>
                          <a:fillRect/>
                        </a:stretch>
                      </pic:blipFill>
                      <pic:spPr bwMode="auto">
                        <a:xfrm>
                          <a:off x="0" y="0"/>
                          <a:ext cx="2343150" cy="533400"/>
                        </a:xfrm>
                        <a:prstGeom prst="rect">
                          <a:avLst/>
                        </a:prstGeom>
                        <a:noFill/>
                        <a:ln w="9525">
                          <a:noFill/>
                          <a:miter lim="800000"/>
                          <a:headEnd/>
                          <a:tailEnd/>
                        </a:ln>
                      </pic:spPr>
                    </pic:pic>
                  </a:graphicData>
                </a:graphic>
              </wp:inline>
            </w:drawing>
          </w:r>
        </w:p>
      </w:tc>
      <w:tc>
        <w:tcPr>
          <w:tcW w:w="4815" w:type="dxa"/>
          <w:vAlign w:val="center"/>
        </w:tcPr>
        <w:p w14:paraId="5C6782BE" w14:textId="05EE78F3" w:rsidR="00941EE6" w:rsidRDefault="00941EE6" w:rsidP="006E1C5F">
          <w:pPr>
            <w:jc w:val="right"/>
            <w:rPr>
              <w:color w:val="000000" w:themeColor="text1"/>
            </w:rPr>
          </w:pPr>
          <w:r>
            <w:rPr>
              <w:noProof/>
            </w:rPr>
            <w:drawing>
              <wp:inline distT="0" distB="0" distL="0" distR="0" wp14:anchorId="28A2C6C3" wp14:editId="3431CA48">
                <wp:extent cx="1924050" cy="1008380"/>
                <wp:effectExtent l="0" t="0" r="0" b="1270"/>
                <wp:docPr id="2" name="Picture 2" descr="AusGov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Gov_A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210" t="13965" r="8720" b="9570"/>
                        <a:stretch/>
                      </pic:blipFill>
                      <pic:spPr bwMode="auto">
                        <a:xfrm>
                          <a:off x="0" y="0"/>
                          <a:ext cx="1928682" cy="10108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B22F620" w14:textId="0CEDC3EE" w:rsidR="00941EE6" w:rsidRPr="006E1C5F" w:rsidRDefault="00941EE6" w:rsidP="006E1C5F">
    <w:pPr>
      <w:spacing w:after="0"/>
      <w:rPr>
        <w:color w:val="000000" w:themeColor="text1"/>
        <w:sz w:val="12"/>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358B7"/>
    <w:multiLevelType w:val="multilevel"/>
    <w:tmpl w:val="92DEF55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35E2226"/>
    <w:multiLevelType w:val="hybridMultilevel"/>
    <w:tmpl w:val="C756C4B8"/>
    <w:lvl w:ilvl="0" w:tplc="B67AD7EA">
      <w:start w:val="11"/>
      <w:numFmt w:val="bullet"/>
      <w:lvlText w:val=""/>
      <w:lvlJc w:val="left"/>
      <w:pPr>
        <w:ind w:left="720" w:hanging="360"/>
      </w:pPr>
      <w:rPr>
        <w:rFonts w:ascii="Symbol" w:eastAsia="Times New Roman" w:hAnsi="Symbol" w:cs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3D170C"/>
    <w:rsid w:val="00010558"/>
    <w:rsid w:val="00013C16"/>
    <w:rsid w:val="00021A7F"/>
    <w:rsid w:val="00041147"/>
    <w:rsid w:val="00070A45"/>
    <w:rsid w:val="000C3D77"/>
    <w:rsid w:val="000C478E"/>
    <w:rsid w:val="000D2875"/>
    <w:rsid w:val="000E2F32"/>
    <w:rsid w:val="000E70A5"/>
    <w:rsid w:val="00177DB8"/>
    <w:rsid w:val="00187181"/>
    <w:rsid w:val="001A707A"/>
    <w:rsid w:val="001E305D"/>
    <w:rsid w:val="001F4A93"/>
    <w:rsid w:val="001F5439"/>
    <w:rsid w:val="00210F0B"/>
    <w:rsid w:val="002554F2"/>
    <w:rsid w:val="002847BC"/>
    <w:rsid w:val="002B4ACE"/>
    <w:rsid w:val="002B692A"/>
    <w:rsid w:val="002F767C"/>
    <w:rsid w:val="00305125"/>
    <w:rsid w:val="003230EB"/>
    <w:rsid w:val="00337317"/>
    <w:rsid w:val="00375CB3"/>
    <w:rsid w:val="003D0A4B"/>
    <w:rsid w:val="003D170C"/>
    <w:rsid w:val="00436CCC"/>
    <w:rsid w:val="00437881"/>
    <w:rsid w:val="00444ADC"/>
    <w:rsid w:val="00465F73"/>
    <w:rsid w:val="00481A11"/>
    <w:rsid w:val="00483B8E"/>
    <w:rsid w:val="00485E79"/>
    <w:rsid w:val="00493458"/>
    <w:rsid w:val="004A3DCE"/>
    <w:rsid w:val="004D59F6"/>
    <w:rsid w:val="00516A9C"/>
    <w:rsid w:val="00521D21"/>
    <w:rsid w:val="00527135"/>
    <w:rsid w:val="00582BDB"/>
    <w:rsid w:val="0058454C"/>
    <w:rsid w:val="00585D8B"/>
    <w:rsid w:val="005B21D9"/>
    <w:rsid w:val="005F01D5"/>
    <w:rsid w:val="005F6F02"/>
    <w:rsid w:val="00683A08"/>
    <w:rsid w:val="006A1A29"/>
    <w:rsid w:val="006A320D"/>
    <w:rsid w:val="006A446E"/>
    <w:rsid w:val="006C514C"/>
    <w:rsid w:val="006E1C5F"/>
    <w:rsid w:val="006F2190"/>
    <w:rsid w:val="00700571"/>
    <w:rsid w:val="00702E5E"/>
    <w:rsid w:val="007232C5"/>
    <w:rsid w:val="00723D45"/>
    <w:rsid w:val="00766F47"/>
    <w:rsid w:val="007876D0"/>
    <w:rsid w:val="007D5BA8"/>
    <w:rsid w:val="00806244"/>
    <w:rsid w:val="00841EA4"/>
    <w:rsid w:val="00857F46"/>
    <w:rsid w:val="0092186E"/>
    <w:rsid w:val="00941EE6"/>
    <w:rsid w:val="0098490B"/>
    <w:rsid w:val="009B3143"/>
    <w:rsid w:val="009F337F"/>
    <w:rsid w:val="00A23E22"/>
    <w:rsid w:val="00A24156"/>
    <w:rsid w:val="00A44FEF"/>
    <w:rsid w:val="00A643AB"/>
    <w:rsid w:val="00A662A5"/>
    <w:rsid w:val="00AD0577"/>
    <w:rsid w:val="00AD44A4"/>
    <w:rsid w:val="00B112A0"/>
    <w:rsid w:val="00B8256A"/>
    <w:rsid w:val="00B975AE"/>
    <w:rsid w:val="00C052F6"/>
    <w:rsid w:val="00C8191B"/>
    <w:rsid w:val="00C8731A"/>
    <w:rsid w:val="00C9472C"/>
    <w:rsid w:val="00CA030C"/>
    <w:rsid w:val="00CF1300"/>
    <w:rsid w:val="00D17800"/>
    <w:rsid w:val="00D30D35"/>
    <w:rsid w:val="00D8204C"/>
    <w:rsid w:val="00DA54C5"/>
    <w:rsid w:val="00DC76B2"/>
    <w:rsid w:val="00E151E9"/>
    <w:rsid w:val="00E217CF"/>
    <w:rsid w:val="00E321B5"/>
    <w:rsid w:val="00E51C9D"/>
    <w:rsid w:val="00E90177"/>
    <w:rsid w:val="00E90885"/>
    <w:rsid w:val="00EC5544"/>
    <w:rsid w:val="00F36FE7"/>
    <w:rsid w:val="00F51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9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MainHeading">
    <w:name w:val="Chart Main Heading"/>
    <w:basedOn w:val="Normal"/>
    <w:next w:val="Normal"/>
    <w:rsid w:val="006A1A29"/>
    <w:pPr>
      <w:spacing w:after="0"/>
      <w:jc w:val="center"/>
    </w:pPr>
    <w:rPr>
      <w:b/>
      <w:caps/>
    </w:rPr>
  </w:style>
  <w:style w:type="paragraph" w:customStyle="1" w:styleId="ChartSecondHeading">
    <w:name w:val="Chart Second Heading"/>
    <w:basedOn w:val="Normal"/>
    <w:next w:val="Normal"/>
    <w:rsid w:val="006A1A29"/>
    <w:pPr>
      <w:spacing w:after="0"/>
      <w:jc w:val="center"/>
    </w:pPr>
    <w:rPr>
      <w:b/>
    </w:rPr>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link w:val="FooterChar"/>
    <w:uiPriority w:val="99"/>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D59F6"/>
    <w:rPr>
      <w:rFonts w:asciiTheme="minorHAnsi" w:hAnsiTheme="minorHAnsi"/>
      <w:b w:val="0"/>
      <w:color w:val="FFFFFF"/>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D59F6"/>
    <w:rPr>
      <w:rFonts w:asciiTheme="minorHAnsi" w:hAnsiTheme="minorHAnsi"/>
      <w:b w:val="0"/>
      <w:color w:val="FFFFFF"/>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DLMSecurityHeader">
    <w:name w:val="DLM Security Header"/>
    <w:link w:val="DLMSecurityHeaderChar"/>
    <w:rsid w:val="002B692A"/>
    <w:pPr>
      <w:spacing w:before="60" w:after="240"/>
      <w:jc w:val="center"/>
    </w:pPr>
    <w:rPr>
      <w:rFonts w:ascii="Calibri" w:hAnsi="Calibri"/>
      <w:b/>
      <w:caps/>
      <w:color w:val="000000" w:themeColor="text1"/>
      <w:sz w:val="24"/>
    </w:rPr>
  </w:style>
  <w:style w:type="character" w:customStyle="1" w:styleId="DLMSecurityHeaderChar">
    <w:name w:val="DLM Security Header Char"/>
    <w:basedOn w:val="DefaultParagraphFont"/>
    <w:link w:val="DLMSecurityHeader"/>
    <w:rsid w:val="002B692A"/>
    <w:rPr>
      <w:rFonts w:ascii="Calibri" w:hAnsi="Calibri"/>
      <w:b/>
      <w:caps/>
      <w:color w:val="000000" w:themeColor="text1"/>
      <w:sz w:val="24"/>
    </w:rPr>
  </w:style>
  <w:style w:type="paragraph" w:customStyle="1" w:styleId="DLMSecurityFooter">
    <w:name w:val="DLM Security Footer"/>
    <w:link w:val="DLMSecurityFooterChar"/>
    <w:rsid w:val="002B692A"/>
    <w:pPr>
      <w:spacing w:before="240" w:after="60"/>
      <w:jc w:val="center"/>
    </w:pPr>
    <w:rPr>
      <w:rFonts w:ascii="Calibri" w:hAnsi="Calibri"/>
      <w:b/>
      <w:caps/>
      <w:color w:val="000000" w:themeColor="text1"/>
      <w:sz w:val="24"/>
    </w:rPr>
  </w:style>
  <w:style w:type="character" w:customStyle="1" w:styleId="DLMSecurityFooterChar">
    <w:name w:val="DLM Security Footer Char"/>
    <w:basedOn w:val="DefaultParagraphFont"/>
    <w:link w:val="DLMSecurityFooter"/>
    <w:rsid w:val="002B692A"/>
    <w:rPr>
      <w:rFonts w:ascii="Calibri" w:hAnsi="Calibri"/>
      <w:b/>
      <w:caps/>
      <w:color w:val="000000" w:themeColor="text1"/>
      <w:sz w:val="24"/>
    </w:rPr>
  </w:style>
  <w:style w:type="paragraph" w:styleId="BodyText">
    <w:name w:val="Body Text"/>
    <w:basedOn w:val="Normal"/>
    <w:link w:val="BodyTextChar"/>
    <w:uiPriority w:val="99"/>
    <w:rsid w:val="00481A11"/>
    <w:pPr>
      <w:spacing w:before="240" w:after="0" w:line="300" w:lineRule="exact"/>
      <w:jc w:val="both"/>
    </w:pPr>
    <w:rPr>
      <w:rFonts w:ascii="Times New Roman" w:hAnsi="Times New Roman"/>
      <w:sz w:val="24"/>
    </w:rPr>
  </w:style>
  <w:style w:type="character" w:customStyle="1" w:styleId="BodyTextChar">
    <w:name w:val="Body Text Char"/>
    <w:basedOn w:val="DefaultParagraphFont"/>
    <w:link w:val="BodyText"/>
    <w:uiPriority w:val="99"/>
    <w:rsid w:val="00481A11"/>
    <w:rPr>
      <w:sz w:val="24"/>
    </w:rPr>
  </w:style>
  <w:style w:type="paragraph" w:customStyle="1" w:styleId="Bullet">
    <w:name w:val="Bullet"/>
    <w:basedOn w:val="Normal"/>
    <w:link w:val="BulletChar"/>
    <w:rsid w:val="00481A11"/>
    <w:pPr>
      <w:numPr>
        <w:numId w:val="1"/>
      </w:numPr>
      <w:spacing w:after="0" w:line="240" w:lineRule="atLeast"/>
    </w:pPr>
    <w:rPr>
      <w:rFonts w:ascii="Times New Roman" w:hAnsi="Times New Roman"/>
      <w:sz w:val="24"/>
    </w:rPr>
  </w:style>
  <w:style w:type="character" w:customStyle="1" w:styleId="BulletChar">
    <w:name w:val="Bullet Char"/>
    <w:basedOn w:val="BodyTextChar"/>
    <w:link w:val="Bullet"/>
    <w:rsid w:val="00481A11"/>
    <w:rPr>
      <w:sz w:val="24"/>
    </w:rPr>
  </w:style>
  <w:style w:type="paragraph" w:customStyle="1" w:styleId="Dash">
    <w:name w:val="Dash"/>
    <w:basedOn w:val="Normal"/>
    <w:rsid w:val="00481A11"/>
    <w:pPr>
      <w:numPr>
        <w:ilvl w:val="1"/>
        <w:numId w:val="1"/>
      </w:numPr>
      <w:spacing w:after="0" w:line="240" w:lineRule="atLeast"/>
    </w:pPr>
    <w:rPr>
      <w:rFonts w:ascii="Times New Roman" w:hAnsi="Times New Roman"/>
      <w:sz w:val="24"/>
    </w:rPr>
  </w:style>
  <w:style w:type="paragraph" w:customStyle="1" w:styleId="DoubleDot">
    <w:name w:val="Double Dot"/>
    <w:basedOn w:val="Normal"/>
    <w:rsid w:val="00481A11"/>
    <w:pPr>
      <w:numPr>
        <w:ilvl w:val="2"/>
        <w:numId w:val="1"/>
      </w:numPr>
      <w:spacing w:after="0" w:line="240" w:lineRule="atLeast"/>
    </w:pPr>
    <w:rPr>
      <w:rFonts w:ascii="Times New Roman" w:hAnsi="Times New Roman"/>
      <w:sz w:val="24"/>
    </w:rPr>
  </w:style>
  <w:style w:type="table" w:styleId="LightGrid-Accent2">
    <w:name w:val="Light Grid Accent 2"/>
    <w:basedOn w:val="TableNormal"/>
    <w:uiPriority w:val="62"/>
    <w:rsid w:val="00481A11"/>
    <w:rPr>
      <w:rFonts w:asciiTheme="minorHAnsi" w:eastAsiaTheme="minorEastAsia"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481A11"/>
    <w:pPr>
      <w:spacing w:before="120" w:after="120"/>
    </w:pPr>
    <w:rPr>
      <w:rFonts w:ascii="Arial" w:eastAsiaTheme="majorEastAsia" w:hAnsi="Arial" w:cs="Arial"/>
      <w:bCs/>
      <w:sz w:val="20"/>
      <w:lang w:eastAsia="en-US"/>
    </w:rPr>
  </w:style>
  <w:style w:type="paragraph" w:styleId="ListParagraph">
    <w:name w:val="List Paragraph"/>
    <w:basedOn w:val="Normal"/>
    <w:uiPriority w:val="34"/>
    <w:qFormat/>
    <w:rsid w:val="00D17800"/>
    <w:pPr>
      <w:ind w:left="720"/>
      <w:contextualSpacing/>
    </w:pPr>
  </w:style>
  <w:style w:type="character" w:customStyle="1" w:styleId="FooterChar">
    <w:name w:val="Footer Char"/>
    <w:basedOn w:val="DefaultParagraphFont"/>
    <w:link w:val="Footer"/>
    <w:uiPriority w:val="99"/>
    <w:rsid w:val="00841EA4"/>
    <w:rPr>
      <w:rFonts w:ascii="Calibri" w:hAnsi="Calibri"/>
      <w:sz w:val="22"/>
    </w:rPr>
  </w:style>
  <w:style w:type="table" w:styleId="TableGrid">
    <w:name w:val="Table Grid"/>
    <w:basedOn w:val="TableNormal"/>
    <w:rsid w:val="009F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A707A"/>
    <w:rPr>
      <w:sz w:val="16"/>
      <w:szCs w:val="16"/>
    </w:rPr>
  </w:style>
  <w:style w:type="paragraph" w:styleId="CommentText">
    <w:name w:val="annotation text"/>
    <w:basedOn w:val="Normal"/>
    <w:link w:val="CommentTextChar"/>
    <w:semiHidden/>
    <w:unhideWhenUsed/>
    <w:rsid w:val="001A707A"/>
    <w:rPr>
      <w:sz w:val="20"/>
    </w:rPr>
  </w:style>
  <w:style w:type="character" w:customStyle="1" w:styleId="CommentTextChar">
    <w:name w:val="Comment Text Char"/>
    <w:basedOn w:val="DefaultParagraphFont"/>
    <w:link w:val="CommentText"/>
    <w:semiHidden/>
    <w:rsid w:val="001A707A"/>
    <w:rPr>
      <w:rFonts w:ascii="Calibri" w:hAnsi="Calibri"/>
    </w:rPr>
  </w:style>
  <w:style w:type="paragraph" w:styleId="CommentSubject">
    <w:name w:val="annotation subject"/>
    <w:basedOn w:val="CommentText"/>
    <w:next w:val="CommentText"/>
    <w:link w:val="CommentSubjectChar"/>
    <w:semiHidden/>
    <w:unhideWhenUsed/>
    <w:rsid w:val="001A707A"/>
    <w:rPr>
      <w:b/>
      <w:bCs/>
    </w:rPr>
  </w:style>
  <w:style w:type="character" w:customStyle="1" w:styleId="CommentSubjectChar">
    <w:name w:val="Comment Subject Char"/>
    <w:basedOn w:val="CommentTextChar"/>
    <w:link w:val="CommentSubject"/>
    <w:semiHidden/>
    <w:rsid w:val="001A707A"/>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957121">
      <w:bodyDiv w:val="1"/>
      <w:marLeft w:val="0"/>
      <w:marRight w:val="0"/>
      <w:marTop w:val="0"/>
      <w:marBottom w:val="0"/>
      <w:divBdr>
        <w:top w:val="none" w:sz="0" w:space="0" w:color="auto"/>
        <w:left w:val="none" w:sz="0" w:space="0" w:color="auto"/>
        <w:bottom w:val="none" w:sz="0" w:space="0" w:color="auto"/>
        <w:right w:val="none" w:sz="0" w:space="0" w:color="auto"/>
      </w:divBdr>
    </w:div>
    <w:div w:id="18650939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2021-11-03T03:52:00Z</dcterms:created>
  <dcterms:modified xsi:type="dcterms:W3CDTF">2021-11-03T03:52:00Z</dcterms:modified>
</cp:coreProperties>
</file>