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125E9" w14:textId="5BF66ADB" w:rsidR="005F6F02" w:rsidRDefault="00FB792E">
      <w:pPr>
        <w:pStyle w:val="SinglePara"/>
        <w:jc w:val="right"/>
        <w:rPr>
          <w:noProof/>
        </w:rPr>
      </w:pPr>
      <w:r>
        <w:t>2</w:t>
      </w:r>
      <w:r w:rsidR="00691FD8">
        <w:t>7</w:t>
      </w:r>
      <w:r>
        <w:t xml:space="preserve"> October 2021</w:t>
      </w:r>
    </w:p>
    <w:p w14:paraId="46CAE36B" w14:textId="10FC11D7" w:rsidR="00BC03FA" w:rsidRDefault="002243FE">
      <w:pPr>
        <w:pStyle w:val="SinglePara"/>
        <w:jc w:val="right"/>
      </w:pPr>
      <w:r>
        <w:t xml:space="preserve">OBPR Ref ID: </w:t>
      </w:r>
      <w:r w:rsidR="00916F32">
        <w:t>43807</w:t>
      </w:r>
    </w:p>
    <w:p w14:paraId="13D83A82" w14:textId="3B8D6655" w:rsidR="005F6F02" w:rsidRDefault="005F6F02">
      <w:pPr>
        <w:spacing w:after="0"/>
        <w:jc w:val="right"/>
      </w:pPr>
      <w:r>
        <w:t xml:space="preserve">  </w:t>
      </w:r>
      <w:bookmarkStart w:id="0" w:name="File"/>
      <w:bookmarkEnd w:id="0"/>
    </w:p>
    <w:p w14:paraId="37EB5CAE" w14:textId="77777777" w:rsidR="00213B57" w:rsidRDefault="00213B57" w:rsidP="00213B57">
      <w:pPr>
        <w:spacing w:after="0"/>
      </w:pPr>
      <w:r>
        <w:t>Mr Jason Lange</w:t>
      </w:r>
    </w:p>
    <w:p w14:paraId="5B4F6051" w14:textId="77777777" w:rsidR="00213B57" w:rsidRDefault="00213B57" w:rsidP="00213B57">
      <w:pPr>
        <w:spacing w:after="0"/>
      </w:pPr>
      <w:r>
        <w:t xml:space="preserve">Executive Director </w:t>
      </w:r>
    </w:p>
    <w:p w14:paraId="0F2EECDA" w14:textId="77777777" w:rsidR="00213B57" w:rsidRDefault="00213B57" w:rsidP="00213B57">
      <w:pPr>
        <w:spacing w:after="0"/>
      </w:pPr>
      <w:r>
        <w:t>Office of Best Practice Regulation</w:t>
      </w:r>
    </w:p>
    <w:p w14:paraId="49975529" w14:textId="77777777" w:rsidR="00316777" w:rsidRDefault="00213B57" w:rsidP="00213B57">
      <w:pPr>
        <w:spacing w:after="0"/>
      </w:pPr>
      <w:r>
        <w:t xml:space="preserve">Department of the Prime Minister and Cabinet </w:t>
      </w:r>
    </w:p>
    <w:p w14:paraId="1641307A" w14:textId="57789FCD" w:rsidR="00213B57" w:rsidRDefault="00213B57" w:rsidP="00213B57">
      <w:pPr>
        <w:spacing w:after="0"/>
      </w:pPr>
      <w:r>
        <w:t>1</w:t>
      </w:r>
      <w:r w:rsidR="00316777">
        <w:t xml:space="preserve"> </w:t>
      </w:r>
      <w:r>
        <w:t>National Circuit</w:t>
      </w:r>
    </w:p>
    <w:p w14:paraId="3A04CDE9" w14:textId="6B92ECBF" w:rsidR="005F6F02" w:rsidRDefault="00213B57" w:rsidP="00213B57">
      <w:pPr>
        <w:spacing w:after="0"/>
      </w:pPr>
      <w:r>
        <w:t>BARTON ACT 2600</w:t>
      </w:r>
      <w:bookmarkStart w:id="1" w:name="_GoBack"/>
      <w:bookmarkEnd w:id="1"/>
    </w:p>
    <w:p w14:paraId="7E915332" w14:textId="01D892D8" w:rsidR="00213B57" w:rsidRDefault="00213B57" w:rsidP="00213B57">
      <w:pPr>
        <w:spacing w:after="0"/>
      </w:pPr>
    </w:p>
    <w:p w14:paraId="3DF001BB" w14:textId="49B09B96" w:rsidR="00213B57" w:rsidRPr="003C4ECE" w:rsidRDefault="00213B57" w:rsidP="00213B57">
      <w:r w:rsidRPr="003C4ECE">
        <w:t xml:space="preserve">Email: </w:t>
      </w:r>
      <w:hyperlink r:id="rId7" w:history="1">
        <w:r w:rsidR="004A7546" w:rsidRPr="00BB0F20">
          <w:rPr>
            <w:rStyle w:val="Hyperlink"/>
          </w:rPr>
          <w:t>helpdesk-OBPR@pmc.gov.au</w:t>
        </w:r>
      </w:hyperlink>
    </w:p>
    <w:p w14:paraId="6C860F5B" w14:textId="77777777" w:rsidR="00213B57" w:rsidRDefault="00213B57" w:rsidP="00213B57">
      <w:pPr>
        <w:spacing w:after="0"/>
      </w:pPr>
    </w:p>
    <w:p w14:paraId="655C249B" w14:textId="06106DE5" w:rsidR="005F6F02" w:rsidRDefault="005F6F02">
      <w:r>
        <w:t xml:space="preserve">Dear </w:t>
      </w:r>
      <w:r w:rsidR="00213B57">
        <w:t>Mr Lange</w:t>
      </w:r>
    </w:p>
    <w:p w14:paraId="4CD80B88" w14:textId="0EACE212" w:rsidR="005F6F02" w:rsidRPr="00836681" w:rsidRDefault="00FE6208" w:rsidP="00F228C6">
      <w:pPr>
        <w:spacing w:after="0"/>
        <w:rPr>
          <w:rFonts w:asciiTheme="minorHAnsi" w:hAnsiTheme="minorHAnsi" w:cstheme="minorHAnsi"/>
          <w:b/>
          <w:szCs w:val="22"/>
        </w:rPr>
      </w:pPr>
      <w:bookmarkStart w:id="2" w:name="Content"/>
      <w:bookmarkEnd w:id="2"/>
      <w:r w:rsidRPr="00836681">
        <w:rPr>
          <w:rFonts w:asciiTheme="minorHAnsi" w:hAnsiTheme="minorHAnsi" w:cstheme="minorHAnsi"/>
          <w:b/>
          <w:szCs w:val="22"/>
        </w:rPr>
        <w:t>CERTIFICATION OF</w:t>
      </w:r>
      <w:r w:rsidR="00A21818">
        <w:rPr>
          <w:rFonts w:asciiTheme="minorHAnsi" w:hAnsiTheme="minorHAnsi" w:cstheme="minorHAnsi"/>
          <w:b/>
          <w:szCs w:val="22"/>
        </w:rPr>
        <w:t xml:space="preserve"> </w:t>
      </w:r>
      <w:r w:rsidR="00E32FA8">
        <w:rPr>
          <w:rFonts w:asciiTheme="minorHAnsi" w:hAnsiTheme="minorHAnsi" w:cstheme="minorHAnsi"/>
          <w:b/>
          <w:szCs w:val="22"/>
        </w:rPr>
        <w:t>REVIEW</w:t>
      </w:r>
      <w:r w:rsidR="004E4C0E">
        <w:rPr>
          <w:rFonts w:asciiTheme="minorHAnsi" w:hAnsiTheme="minorHAnsi" w:cstheme="minorHAnsi"/>
          <w:b/>
          <w:szCs w:val="22"/>
        </w:rPr>
        <w:t>S</w:t>
      </w:r>
      <w:r w:rsidR="00E32FA8">
        <w:rPr>
          <w:rFonts w:asciiTheme="minorHAnsi" w:hAnsiTheme="minorHAnsi" w:cstheme="minorHAnsi"/>
          <w:b/>
          <w:szCs w:val="22"/>
        </w:rPr>
        <w:t xml:space="preserve"> </w:t>
      </w:r>
      <w:r w:rsidR="00966079">
        <w:rPr>
          <w:rFonts w:asciiTheme="minorHAnsi" w:hAnsiTheme="minorHAnsi" w:cstheme="minorHAnsi"/>
          <w:b/>
          <w:szCs w:val="22"/>
        </w:rPr>
        <w:t>AND</w:t>
      </w:r>
      <w:r w:rsidR="00A21818">
        <w:rPr>
          <w:rFonts w:asciiTheme="minorHAnsi" w:hAnsiTheme="minorHAnsi" w:cstheme="minorHAnsi"/>
          <w:b/>
          <w:szCs w:val="22"/>
        </w:rPr>
        <w:t xml:space="preserve"> </w:t>
      </w:r>
      <w:r w:rsidR="00966079">
        <w:rPr>
          <w:rFonts w:asciiTheme="minorHAnsi" w:hAnsiTheme="minorHAnsi" w:cstheme="minorHAnsi"/>
          <w:b/>
          <w:szCs w:val="22"/>
        </w:rPr>
        <w:t>SUPPLEMENTARY ANALYSI</w:t>
      </w:r>
      <w:r w:rsidR="0012730E">
        <w:rPr>
          <w:rFonts w:asciiTheme="minorHAnsi" w:hAnsiTheme="minorHAnsi" w:cstheme="minorHAnsi"/>
          <w:b/>
          <w:szCs w:val="22"/>
        </w:rPr>
        <w:t xml:space="preserve">S </w:t>
      </w:r>
      <w:r w:rsidR="0095546F">
        <w:rPr>
          <w:rFonts w:asciiTheme="minorHAnsi" w:hAnsiTheme="minorHAnsi" w:cstheme="minorHAnsi"/>
          <w:b/>
          <w:szCs w:val="22"/>
        </w:rPr>
        <w:t>FOR MAKING OF THE</w:t>
      </w:r>
      <w:r w:rsidR="00F024A3" w:rsidRPr="00836681">
        <w:rPr>
          <w:rFonts w:asciiTheme="minorHAnsi" w:hAnsiTheme="minorHAnsi" w:cstheme="minorHAnsi"/>
          <w:b/>
          <w:szCs w:val="22"/>
        </w:rPr>
        <w:t xml:space="preserve"> </w:t>
      </w:r>
      <w:r w:rsidR="0012730E">
        <w:rPr>
          <w:rFonts w:asciiTheme="minorHAnsi" w:hAnsiTheme="minorHAnsi" w:cstheme="minorHAnsi"/>
          <w:b/>
          <w:szCs w:val="22"/>
        </w:rPr>
        <w:t>CONSUMER DATA RIGHT</w:t>
      </w:r>
      <w:r w:rsidR="00DA6BD0">
        <w:rPr>
          <w:rFonts w:asciiTheme="minorHAnsi" w:hAnsiTheme="minorHAnsi" w:cstheme="minorHAnsi"/>
          <w:b/>
          <w:szCs w:val="22"/>
        </w:rPr>
        <w:t xml:space="preserve"> ENERGY </w:t>
      </w:r>
      <w:r w:rsidR="00FC62B3">
        <w:rPr>
          <w:rFonts w:asciiTheme="minorHAnsi" w:hAnsiTheme="minorHAnsi" w:cstheme="minorHAnsi"/>
          <w:b/>
          <w:szCs w:val="22"/>
        </w:rPr>
        <w:t xml:space="preserve">SECTOR </w:t>
      </w:r>
      <w:r w:rsidR="00DA6BD0">
        <w:rPr>
          <w:rFonts w:asciiTheme="minorHAnsi" w:hAnsiTheme="minorHAnsi" w:cstheme="minorHAnsi"/>
          <w:b/>
          <w:szCs w:val="22"/>
        </w:rPr>
        <w:t>RULES</w:t>
      </w:r>
    </w:p>
    <w:p w14:paraId="1AC1C816" w14:textId="30EDC72E" w:rsidR="00CB7588" w:rsidRDefault="00B6295B" w:rsidP="00B6295B">
      <w:pPr>
        <w:pStyle w:val="BodyText"/>
        <w:jc w:val="left"/>
        <w:rPr>
          <w:rFonts w:asciiTheme="minorHAnsi" w:hAnsiTheme="minorHAnsi" w:cstheme="minorHAnsi"/>
          <w:sz w:val="22"/>
          <w:szCs w:val="22"/>
        </w:rPr>
      </w:pPr>
      <w:r w:rsidRPr="008A68C0">
        <w:rPr>
          <w:rFonts w:asciiTheme="minorHAnsi" w:hAnsiTheme="minorHAnsi" w:cstheme="minorHAnsi"/>
          <w:sz w:val="22"/>
          <w:szCs w:val="22"/>
        </w:rPr>
        <w:t xml:space="preserve">I am writing to certify that </w:t>
      </w:r>
      <w:r w:rsidR="00315922">
        <w:rPr>
          <w:rFonts w:asciiTheme="minorHAnsi" w:hAnsiTheme="minorHAnsi" w:cstheme="minorHAnsi"/>
          <w:sz w:val="22"/>
          <w:szCs w:val="22"/>
        </w:rPr>
        <w:t xml:space="preserve">processes undertaken for the </w:t>
      </w:r>
      <w:r w:rsidRPr="008A68C0">
        <w:rPr>
          <w:rFonts w:asciiTheme="minorHAnsi" w:hAnsiTheme="minorHAnsi" w:cstheme="minorHAnsi"/>
          <w:sz w:val="22"/>
          <w:szCs w:val="22"/>
        </w:rPr>
        <w:t xml:space="preserve">independent </w:t>
      </w:r>
      <w:r w:rsidR="00200E48" w:rsidRPr="008A68C0">
        <w:rPr>
          <w:rFonts w:asciiTheme="minorHAnsi" w:hAnsiTheme="minorHAnsi" w:cstheme="minorHAnsi"/>
          <w:i/>
          <w:sz w:val="22"/>
          <w:szCs w:val="22"/>
        </w:rPr>
        <w:t xml:space="preserve">CDR </w:t>
      </w:r>
      <w:r w:rsidR="00F21B8A" w:rsidRPr="008A68C0">
        <w:rPr>
          <w:rFonts w:asciiTheme="minorHAnsi" w:hAnsiTheme="minorHAnsi" w:cstheme="minorHAnsi"/>
          <w:i/>
          <w:sz w:val="22"/>
          <w:szCs w:val="22"/>
        </w:rPr>
        <w:t>Gateway</w:t>
      </w:r>
      <w:r w:rsidRPr="008A68C0">
        <w:rPr>
          <w:rFonts w:asciiTheme="minorHAnsi" w:hAnsiTheme="minorHAnsi" w:cstheme="minorHAnsi"/>
          <w:i/>
          <w:sz w:val="22"/>
          <w:szCs w:val="22"/>
        </w:rPr>
        <w:t xml:space="preserve"> </w:t>
      </w:r>
      <w:r w:rsidR="00D112CE" w:rsidRPr="008A68C0">
        <w:rPr>
          <w:rFonts w:asciiTheme="minorHAnsi" w:hAnsiTheme="minorHAnsi" w:cstheme="minorHAnsi"/>
          <w:i/>
          <w:sz w:val="22"/>
          <w:szCs w:val="22"/>
        </w:rPr>
        <w:t xml:space="preserve">Model </w:t>
      </w:r>
      <w:r w:rsidR="00F21B8A" w:rsidRPr="008A68C0">
        <w:rPr>
          <w:rFonts w:asciiTheme="minorHAnsi" w:hAnsiTheme="minorHAnsi" w:cstheme="minorHAnsi"/>
          <w:i/>
          <w:sz w:val="22"/>
          <w:szCs w:val="22"/>
        </w:rPr>
        <w:t>Review</w:t>
      </w:r>
      <w:r w:rsidR="00F21B8A" w:rsidRPr="008A68C0">
        <w:rPr>
          <w:rFonts w:asciiTheme="minorHAnsi" w:hAnsiTheme="minorHAnsi" w:cstheme="minorHAnsi"/>
          <w:sz w:val="22"/>
          <w:szCs w:val="22"/>
        </w:rPr>
        <w:t xml:space="preserve"> </w:t>
      </w:r>
      <w:r w:rsidR="00DF59C3">
        <w:rPr>
          <w:rFonts w:asciiTheme="minorHAnsi" w:hAnsiTheme="minorHAnsi" w:cstheme="minorHAnsi"/>
          <w:sz w:val="22"/>
          <w:szCs w:val="22"/>
        </w:rPr>
        <w:t>(Review</w:t>
      </w:r>
      <w:r w:rsidR="00DF59C3" w:rsidRPr="00CC2B8E">
        <w:rPr>
          <w:rFonts w:asciiTheme="minorHAnsi" w:hAnsiTheme="minorHAnsi" w:cstheme="minorHAnsi"/>
          <w:sz w:val="22"/>
          <w:szCs w:val="22"/>
        </w:rPr>
        <w:t>)</w:t>
      </w:r>
      <w:r w:rsidR="000708AB" w:rsidRPr="00CC2B8E">
        <w:rPr>
          <w:rFonts w:asciiTheme="minorHAnsi" w:hAnsiTheme="minorHAnsi" w:cstheme="minorHAnsi"/>
          <w:sz w:val="22"/>
          <w:szCs w:val="22"/>
        </w:rPr>
        <w:t>,</w:t>
      </w:r>
      <w:r w:rsidR="00CC2B8E" w:rsidRPr="00B519EA">
        <w:rPr>
          <w:rFonts w:asciiTheme="minorHAnsi" w:hAnsiTheme="minorHAnsi" w:cstheme="minorHAnsi"/>
          <w:sz w:val="22"/>
          <w:szCs w:val="22"/>
        </w:rPr>
        <w:t xml:space="preserve"> </w:t>
      </w:r>
      <w:r w:rsidR="00CC2B8E" w:rsidRPr="00CC2B8E">
        <w:rPr>
          <w:rFonts w:asciiTheme="minorHAnsi" w:hAnsiTheme="minorHAnsi" w:cstheme="minorHAnsi"/>
          <w:sz w:val="22"/>
          <w:szCs w:val="22"/>
        </w:rPr>
        <w:t xml:space="preserve">the report </w:t>
      </w:r>
      <w:r w:rsidR="00CC2B8E" w:rsidRPr="00175637">
        <w:rPr>
          <w:rFonts w:asciiTheme="minorHAnsi" w:hAnsiTheme="minorHAnsi" w:cstheme="minorHAnsi"/>
          <w:i/>
          <w:iCs/>
          <w:sz w:val="22"/>
          <w:szCs w:val="22"/>
        </w:rPr>
        <w:t>Open consumer energy data: applying a Consumer Data Right to the energy sector</w:t>
      </w:r>
      <w:r w:rsidR="00CB7588">
        <w:rPr>
          <w:rFonts w:asciiTheme="minorHAnsi" w:hAnsiTheme="minorHAnsi" w:cstheme="minorHAnsi"/>
          <w:i/>
          <w:iCs/>
          <w:sz w:val="22"/>
          <w:szCs w:val="22"/>
        </w:rPr>
        <w:t xml:space="preserve"> </w:t>
      </w:r>
      <w:r w:rsidR="00CB7588">
        <w:rPr>
          <w:rFonts w:asciiTheme="minorHAnsi" w:hAnsiTheme="minorHAnsi" w:cstheme="minorHAnsi"/>
          <w:sz w:val="22"/>
          <w:szCs w:val="22"/>
        </w:rPr>
        <w:t>(</w:t>
      </w:r>
      <w:proofErr w:type="spellStart"/>
      <w:r w:rsidR="00CB7588">
        <w:rPr>
          <w:rFonts w:asciiTheme="minorHAnsi" w:hAnsiTheme="minorHAnsi" w:cstheme="minorHAnsi"/>
          <w:sz w:val="22"/>
          <w:szCs w:val="22"/>
        </w:rPr>
        <w:t>HoustonKemp’s</w:t>
      </w:r>
      <w:proofErr w:type="spellEnd"/>
      <w:r w:rsidR="00CB7588">
        <w:rPr>
          <w:rFonts w:asciiTheme="minorHAnsi" w:hAnsiTheme="minorHAnsi" w:cstheme="minorHAnsi"/>
          <w:sz w:val="22"/>
          <w:szCs w:val="22"/>
        </w:rPr>
        <w:t xml:space="preserve"> report)</w:t>
      </w:r>
      <w:r w:rsidR="00CC2B8E">
        <w:rPr>
          <w:rFonts w:asciiTheme="minorHAnsi" w:hAnsiTheme="minorHAnsi" w:cstheme="minorHAnsi"/>
          <w:sz w:val="22"/>
          <w:szCs w:val="22"/>
        </w:rPr>
        <w:t xml:space="preserve">, </w:t>
      </w:r>
      <w:r w:rsidR="004E7521">
        <w:rPr>
          <w:rFonts w:asciiTheme="minorHAnsi" w:hAnsiTheme="minorHAnsi" w:cstheme="minorHAnsi"/>
          <w:sz w:val="22"/>
          <w:szCs w:val="22"/>
        </w:rPr>
        <w:t xml:space="preserve">and </w:t>
      </w:r>
      <w:r w:rsidR="00CC2B8E">
        <w:rPr>
          <w:rFonts w:asciiTheme="minorHAnsi" w:hAnsiTheme="minorHAnsi" w:cstheme="minorHAnsi"/>
          <w:sz w:val="22"/>
          <w:szCs w:val="22"/>
        </w:rPr>
        <w:t>additional consultation and analysis undertaken by Treasury ha</w:t>
      </w:r>
      <w:r w:rsidR="006D0CFD">
        <w:rPr>
          <w:rFonts w:asciiTheme="minorHAnsi" w:hAnsiTheme="minorHAnsi" w:cstheme="minorHAnsi"/>
          <w:sz w:val="22"/>
          <w:szCs w:val="22"/>
        </w:rPr>
        <w:t>ve</w:t>
      </w:r>
      <w:r w:rsidR="00CC2B8E">
        <w:rPr>
          <w:rFonts w:asciiTheme="minorHAnsi" w:hAnsiTheme="minorHAnsi" w:cstheme="minorHAnsi"/>
          <w:sz w:val="22"/>
          <w:szCs w:val="22"/>
        </w:rPr>
        <w:t xml:space="preserve"> resulted in processes </w:t>
      </w:r>
      <w:r w:rsidR="00CC2B8E" w:rsidRPr="008A68C0">
        <w:rPr>
          <w:rFonts w:asciiTheme="minorHAnsi" w:hAnsiTheme="minorHAnsi" w:cstheme="minorHAnsi"/>
          <w:sz w:val="22"/>
          <w:szCs w:val="22"/>
        </w:rPr>
        <w:t>and analysis equivalent to a Regulation Impact Statement (RIS)</w:t>
      </w:r>
      <w:r w:rsidR="004D08C8">
        <w:rPr>
          <w:rFonts w:asciiTheme="minorHAnsi" w:hAnsiTheme="minorHAnsi" w:cstheme="minorHAnsi"/>
          <w:sz w:val="22"/>
          <w:szCs w:val="22"/>
        </w:rPr>
        <w:t xml:space="preserve">. The processes and analysis relate to the </w:t>
      </w:r>
      <w:r w:rsidR="00CC2B8E">
        <w:rPr>
          <w:rFonts w:asciiTheme="minorHAnsi" w:hAnsiTheme="minorHAnsi" w:cstheme="minorHAnsi"/>
          <w:sz w:val="22"/>
          <w:szCs w:val="22"/>
        </w:rPr>
        <w:t xml:space="preserve">making </w:t>
      </w:r>
      <w:r w:rsidR="004D08C8">
        <w:rPr>
          <w:rFonts w:asciiTheme="minorHAnsi" w:hAnsiTheme="minorHAnsi" w:cstheme="minorHAnsi"/>
          <w:sz w:val="22"/>
          <w:szCs w:val="22"/>
        </w:rPr>
        <w:t xml:space="preserve">of </w:t>
      </w:r>
      <w:r w:rsidR="00CC2B8E">
        <w:rPr>
          <w:rFonts w:asciiTheme="minorHAnsi" w:hAnsiTheme="minorHAnsi" w:cstheme="minorHAnsi"/>
          <w:sz w:val="22"/>
          <w:szCs w:val="22"/>
        </w:rPr>
        <w:t xml:space="preserve">rules to apply the consumer data right </w:t>
      </w:r>
      <w:r w:rsidR="00084BD8">
        <w:rPr>
          <w:rFonts w:asciiTheme="minorHAnsi" w:hAnsiTheme="minorHAnsi" w:cstheme="minorHAnsi"/>
          <w:sz w:val="22"/>
          <w:szCs w:val="22"/>
        </w:rPr>
        <w:t xml:space="preserve">(CDR) </w:t>
      </w:r>
      <w:r w:rsidR="00CC2B8E">
        <w:rPr>
          <w:rFonts w:asciiTheme="minorHAnsi" w:hAnsiTheme="minorHAnsi" w:cstheme="minorHAnsi"/>
          <w:sz w:val="22"/>
          <w:szCs w:val="22"/>
        </w:rPr>
        <w:t>to the energy sector using a peer-to-peer data access model</w:t>
      </w:r>
      <w:r w:rsidR="00CC2B8E" w:rsidRPr="008A68C0">
        <w:rPr>
          <w:rFonts w:asciiTheme="minorHAnsi" w:hAnsiTheme="minorHAnsi" w:cstheme="minorHAnsi"/>
          <w:sz w:val="22"/>
          <w:szCs w:val="22"/>
        </w:rPr>
        <w:t xml:space="preserve">. </w:t>
      </w:r>
    </w:p>
    <w:p w14:paraId="19B8E9FF" w14:textId="587F8FEC" w:rsidR="00174835" w:rsidRPr="007C242F" w:rsidRDefault="00B6295B" w:rsidP="0022649F">
      <w:pPr>
        <w:pStyle w:val="BodyText"/>
        <w:jc w:val="left"/>
        <w:rPr>
          <w:rFonts w:asciiTheme="minorHAnsi" w:hAnsiTheme="minorHAnsi" w:cstheme="minorHAnsi"/>
          <w:sz w:val="22"/>
          <w:szCs w:val="22"/>
        </w:rPr>
      </w:pPr>
      <w:r w:rsidRPr="00B4519B">
        <w:rPr>
          <w:rFonts w:asciiTheme="minorHAnsi" w:hAnsiTheme="minorHAnsi" w:cstheme="minorHAnsi"/>
          <w:sz w:val="22"/>
          <w:szCs w:val="22"/>
        </w:rPr>
        <w:t xml:space="preserve">I certify that </w:t>
      </w:r>
      <w:r w:rsidR="00DF59C3">
        <w:rPr>
          <w:rFonts w:asciiTheme="minorHAnsi" w:hAnsiTheme="minorHAnsi" w:cstheme="minorHAnsi"/>
          <w:sz w:val="22"/>
          <w:szCs w:val="22"/>
        </w:rPr>
        <w:t>the Review</w:t>
      </w:r>
      <w:r w:rsidR="006D0CFD">
        <w:rPr>
          <w:rFonts w:asciiTheme="minorHAnsi" w:hAnsiTheme="minorHAnsi" w:cstheme="minorHAnsi"/>
          <w:sz w:val="22"/>
          <w:szCs w:val="22"/>
        </w:rPr>
        <w:t>,</w:t>
      </w:r>
      <w:r w:rsidR="00DF59C3">
        <w:rPr>
          <w:rFonts w:asciiTheme="minorHAnsi" w:hAnsiTheme="minorHAnsi" w:cstheme="minorHAnsi"/>
          <w:sz w:val="22"/>
          <w:szCs w:val="22"/>
        </w:rPr>
        <w:t xml:space="preserve"> </w:t>
      </w:r>
      <w:r w:rsidR="002B4C27">
        <w:rPr>
          <w:rFonts w:asciiTheme="minorHAnsi" w:hAnsiTheme="minorHAnsi" w:cstheme="minorHAnsi"/>
          <w:sz w:val="22"/>
          <w:szCs w:val="22"/>
        </w:rPr>
        <w:t xml:space="preserve">together with the assessment </w:t>
      </w:r>
      <w:r w:rsidR="00DF59C3">
        <w:rPr>
          <w:rFonts w:asciiTheme="minorHAnsi" w:hAnsiTheme="minorHAnsi" w:cstheme="minorHAnsi"/>
          <w:sz w:val="22"/>
          <w:szCs w:val="22"/>
        </w:rPr>
        <w:t>and supplementary analysis</w:t>
      </w:r>
      <w:r w:rsidR="004271B8">
        <w:rPr>
          <w:rFonts w:asciiTheme="minorHAnsi" w:hAnsiTheme="minorHAnsi" w:cstheme="minorHAnsi"/>
          <w:sz w:val="22"/>
          <w:szCs w:val="22"/>
        </w:rPr>
        <w:t xml:space="preserve"> undertaken by Treasury</w:t>
      </w:r>
      <w:r w:rsidR="006D0CFD">
        <w:rPr>
          <w:rFonts w:asciiTheme="minorHAnsi" w:hAnsiTheme="minorHAnsi" w:cstheme="minorHAnsi"/>
          <w:sz w:val="22"/>
          <w:szCs w:val="22"/>
        </w:rPr>
        <w:t>,</w:t>
      </w:r>
      <w:r w:rsidR="00F21B8A" w:rsidRPr="00B4519B">
        <w:rPr>
          <w:rFonts w:asciiTheme="minorHAnsi" w:hAnsiTheme="minorHAnsi" w:cstheme="minorHAnsi"/>
          <w:sz w:val="22"/>
          <w:szCs w:val="22"/>
        </w:rPr>
        <w:t xml:space="preserve"> adequately addresses </w:t>
      </w:r>
      <w:r w:rsidRPr="00B4519B">
        <w:rPr>
          <w:rFonts w:asciiTheme="minorHAnsi" w:hAnsiTheme="minorHAnsi" w:cstheme="minorHAnsi"/>
          <w:sz w:val="22"/>
          <w:szCs w:val="22"/>
        </w:rPr>
        <w:t xml:space="preserve">all seven </w:t>
      </w:r>
      <w:r w:rsidRPr="008A68C0">
        <w:rPr>
          <w:rFonts w:asciiTheme="minorHAnsi" w:hAnsiTheme="minorHAnsi" w:cstheme="minorHAnsi"/>
          <w:sz w:val="22"/>
          <w:szCs w:val="22"/>
        </w:rPr>
        <w:t xml:space="preserve">RIS questions and is submitted to the Office of Best Practice Regulation </w:t>
      </w:r>
      <w:r w:rsidR="004B6EBE">
        <w:rPr>
          <w:rFonts w:asciiTheme="minorHAnsi" w:hAnsiTheme="minorHAnsi" w:cstheme="minorHAnsi"/>
          <w:sz w:val="22"/>
          <w:szCs w:val="22"/>
        </w:rPr>
        <w:t>for the purposes of a final policy decision</w:t>
      </w:r>
      <w:r w:rsidR="00E32FA8" w:rsidRPr="00B4519B">
        <w:rPr>
          <w:rFonts w:asciiTheme="minorHAnsi" w:hAnsiTheme="minorHAnsi" w:cstheme="minorHAnsi"/>
          <w:sz w:val="22"/>
          <w:szCs w:val="22"/>
        </w:rPr>
        <w:t>.</w:t>
      </w:r>
      <w:r w:rsidR="004B6EBE">
        <w:rPr>
          <w:rFonts w:asciiTheme="minorHAnsi" w:hAnsiTheme="minorHAnsi" w:cstheme="minorHAnsi"/>
          <w:sz w:val="22"/>
          <w:szCs w:val="22"/>
        </w:rPr>
        <w:t xml:space="preserve"> </w:t>
      </w:r>
      <w:r w:rsidRPr="00B4519B">
        <w:rPr>
          <w:rFonts w:asciiTheme="minorHAnsi" w:hAnsiTheme="minorHAnsi" w:cstheme="minorHAnsi"/>
          <w:sz w:val="22"/>
          <w:szCs w:val="22"/>
        </w:rPr>
        <w:t xml:space="preserve">I am satisfied that the scope of the problem and the recommendations identified in the </w:t>
      </w:r>
      <w:r w:rsidR="00AE4772">
        <w:rPr>
          <w:rFonts w:asciiTheme="minorHAnsi" w:hAnsiTheme="minorHAnsi" w:cstheme="minorHAnsi"/>
          <w:sz w:val="22"/>
          <w:szCs w:val="22"/>
        </w:rPr>
        <w:t>R</w:t>
      </w:r>
      <w:r w:rsidRPr="00B4519B">
        <w:rPr>
          <w:rFonts w:asciiTheme="minorHAnsi" w:hAnsiTheme="minorHAnsi" w:cstheme="minorHAnsi"/>
          <w:sz w:val="22"/>
          <w:szCs w:val="22"/>
        </w:rPr>
        <w:t>eview</w:t>
      </w:r>
      <w:r w:rsidR="007C27A9">
        <w:rPr>
          <w:rFonts w:asciiTheme="minorHAnsi" w:hAnsiTheme="minorHAnsi" w:cstheme="minorHAnsi"/>
          <w:sz w:val="22"/>
          <w:szCs w:val="22"/>
        </w:rPr>
        <w:t>, as supplemented by the additional analysis conducted by Treasury,</w:t>
      </w:r>
      <w:r w:rsidRPr="00B4519B">
        <w:rPr>
          <w:rFonts w:asciiTheme="minorHAnsi" w:hAnsiTheme="minorHAnsi" w:cstheme="minorHAnsi"/>
          <w:sz w:val="22"/>
          <w:szCs w:val="22"/>
        </w:rPr>
        <w:t xml:space="preserve"> are substantially t</w:t>
      </w:r>
      <w:r w:rsidRPr="008A68C0">
        <w:rPr>
          <w:rFonts w:asciiTheme="minorHAnsi" w:hAnsiTheme="minorHAnsi" w:cstheme="minorHAnsi"/>
          <w:sz w:val="22"/>
          <w:szCs w:val="22"/>
        </w:rPr>
        <w:t>he same as the identified problem and recomme</w:t>
      </w:r>
      <w:r w:rsidR="0022649F" w:rsidRPr="008A68C0">
        <w:rPr>
          <w:rFonts w:asciiTheme="minorHAnsi" w:hAnsiTheme="minorHAnsi" w:cstheme="minorHAnsi"/>
          <w:sz w:val="22"/>
          <w:szCs w:val="22"/>
        </w:rPr>
        <w:t>ndations in the policy proposal.</w:t>
      </w:r>
      <w:r w:rsidR="00605E6B">
        <w:rPr>
          <w:rFonts w:asciiTheme="minorHAnsi" w:hAnsiTheme="minorHAnsi" w:cstheme="minorHAnsi"/>
          <w:sz w:val="22"/>
          <w:szCs w:val="22"/>
        </w:rPr>
        <w:t xml:space="preserve"> The scope of the problem is the most effective means of facilitating access to energy data under the </w:t>
      </w:r>
      <w:r w:rsidR="00084BD8">
        <w:rPr>
          <w:rFonts w:asciiTheme="minorHAnsi" w:hAnsiTheme="minorHAnsi" w:cstheme="minorHAnsi"/>
          <w:sz w:val="22"/>
          <w:szCs w:val="22"/>
        </w:rPr>
        <w:t>CDR</w:t>
      </w:r>
      <w:r w:rsidR="00605E6B">
        <w:rPr>
          <w:rFonts w:asciiTheme="minorHAnsi" w:hAnsiTheme="minorHAnsi" w:cstheme="minorHAnsi"/>
          <w:sz w:val="22"/>
          <w:szCs w:val="22"/>
        </w:rPr>
        <w:t xml:space="preserve"> in circumstances where </w:t>
      </w:r>
      <w:r w:rsidR="0088284E">
        <w:rPr>
          <w:rFonts w:asciiTheme="minorHAnsi" w:hAnsiTheme="minorHAnsi" w:cstheme="minorHAnsi"/>
          <w:sz w:val="22"/>
          <w:szCs w:val="22"/>
        </w:rPr>
        <w:t xml:space="preserve">energy data is held by both the </w:t>
      </w:r>
      <w:r w:rsidR="007C27A9">
        <w:rPr>
          <w:rFonts w:asciiTheme="minorHAnsi" w:hAnsiTheme="minorHAnsi" w:cstheme="minorHAnsi"/>
          <w:sz w:val="22"/>
          <w:szCs w:val="22"/>
        </w:rPr>
        <w:t>Australian Energy Market Operator (AEMO)</w:t>
      </w:r>
      <w:r w:rsidR="0088284E">
        <w:rPr>
          <w:rFonts w:asciiTheme="minorHAnsi" w:hAnsiTheme="minorHAnsi" w:cstheme="minorHAnsi"/>
          <w:sz w:val="22"/>
          <w:szCs w:val="22"/>
        </w:rPr>
        <w:t xml:space="preserve"> and by energy retailers.  </w:t>
      </w:r>
    </w:p>
    <w:p w14:paraId="3BFF3A23" w14:textId="77777777" w:rsidR="005B631A" w:rsidRPr="007C242F" w:rsidRDefault="005B631A" w:rsidP="00B6295B">
      <w:pPr>
        <w:pStyle w:val="BodyText"/>
        <w:spacing w:before="0"/>
        <w:jc w:val="left"/>
        <w:rPr>
          <w:rFonts w:asciiTheme="minorHAnsi" w:hAnsiTheme="minorHAnsi" w:cstheme="minorHAnsi"/>
          <w:sz w:val="22"/>
          <w:szCs w:val="22"/>
        </w:rPr>
      </w:pPr>
    </w:p>
    <w:p w14:paraId="5B6A7E98" w14:textId="3D6748F4" w:rsidR="00321E07" w:rsidRDefault="00B6295B" w:rsidP="00294249">
      <w:pPr>
        <w:pStyle w:val="BodyText"/>
        <w:spacing w:before="0"/>
        <w:jc w:val="left"/>
        <w:rPr>
          <w:rFonts w:asciiTheme="minorHAnsi" w:hAnsiTheme="minorHAnsi" w:cstheme="minorHAnsi"/>
          <w:sz w:val="22"/>
          <w:szCs w:val="22"/>
        </w:rPr>
      </w:pPr>
      <w:r w:rsidRPr="007C242F">
        <w:rPr>
          <w:rFonts w:asciiTheme="minorHAnsi" w:hAnsiTheme="minorHAnsi" w:cstheme="minorHAnsi"/>
          <w:sz w:val="22"/>
          <w:szCs w:val="22"/>
        </w:rPr>
        <w:t xml:space="preserve">I further certify that fewer than three policy options are examined </w:t>
      </w:r>
      <w:r w:rsidR="00036BCD">
        <w:rPr>
          <w:rFonts w:asciiTheme="minorHAnsi" w:hAnsiTheme="minorHAnsi" w:cstheme="minorHAnsi"/>
          <w:sz w:val="22"/>
          <w:szCs w:val="22"/>
        </w:rPr>
        <w:t xml:space="preserve">in relation to data access in the energy sector </w:t>
      </w:r>
      <w:r w:rsidRPr="007C242F">
        <w:rPr>
          <w:rFonts w:asciiTheme="minorHAnsi" w:hAnsiTheme="minorHAnsi" w:cstheme="minorHAnsi"/>
          <w:sz w:val="22"/>
          <w:szCs w:val="22"/>
        </w:rPr>
        <w:t>because</w:t>
      </w:r>
      <w:r w:rsidR="00E32FA8" w:rsidRPr="007C242F">
        <w:rPr>
          <w:rFonts w:asciiTheme="minorHAnsi" w:hAnsiTheme="minorHAnsi" w:cstheme="minorHAnsi"/>
          <w:sz w:val="22"/>
          <w:szCs w:val="22"/>
        </w:rPr>
        <w:t xml:space="preserve"> there are only tw</w:t>
      </w:r>
      <w:r w:rsidR="004F4855" w:rsidRPr="007C242F">
        <w:rPr>
          <w:rFonts w:asciiTheme="minorHAnsi" w:hAnsiTheme="minorHAnsi" w:cstheme="minorHAnsi"/>
          <w:sz w:val="22"/>
          <w:szCs w:val="22"/>
        </w:rPr>
        <w:t>o viable implementation options. Th</w:t>
      </w:r>
      <w:r w:rsidR="00026FC3">
        <w:rPr>
          <w:rFonts w:asciiTheme="minorHAnsi" w:hAnsiTheme="minorHAnsi" w:cstheme="minorHAnsi"/>
          <w:sz w:val="22"/>
          <w:szCs w:val="22"/>
        </w:rPr>
        <w:t>is is because</w:t>
      </w:r>
      <w:r w:rsidR="00094578">
        <w:rPr>
          <w:rFonts w:asciiTheme="minorHAnsi" w:hAnsiTheme="minorHAnsi" w:cstheme="minorHAnsi"/>
          <w:sz w:val="22"/>
          <w:szCs w:val="22"/>
        </w:rPr>
        <w:t xml:space="preserve"> </w:t>
      </w:r>
      <w:r w:rsidR="007C27A9">
        <w:rPr>
          <w:rFonts w:asciiTheme="minorHAnsi" w:hAnsiTheme="minorHAnsi" w:cstheme="minorHAnsi"/>
          <w:sz w:val="22"/>
          <w:szCs w:val="22"/>
        </w:rPr>
        <w:t>AEMO</w:t>
      </w:r>
      <w:r w:rsidR="00026FC3">
        <w:rPr>
          <w:rFonts w:asciiTheme="minorHAnsi" w:hAnsiTheme="minorHAnsi" w:cstheme="minorHAnsi"/>
          <w:sz w:val="22"/>
          <w:szCs w:val="22"/>
        </w:rPr>
        <w:t>, as a</w:t>
      </w:r>
      <w:r w:rsidR="00094578">
        <w:rPr>
          <w:rFonts w:asciiTheme="minorHAnsi" w:hAnsiTheme="minorHAnsi" w:cstheme="minorHAnsi"/>
          <w:sz w:val="22"/>
          <w:szCs w:val="22"/>
        </w:rPr>
        <w:t xml:space="preserve"> </w:t>
      </w:r>
      <w:r w:rsidR="00E9560A">
        <w:rPr>
          <w:rFonts w:asciiTheme="minorHAnsi" w:hAnsiTheme="minorHAnsi" w:cstheme="minorHAnsi"/>
          <w:sz w:val="22"/>
          <w:szCs w:val="22"/>
        </w:rPr>
        <w:t>data holder</w:t>
      </w:r>
      <w:r w:rsidR="00026FC3">
        <w:rPr>
          <w:rFonts w:asciiTheme="minorHAnsi" w:hAnsiTheme="minorHAnsi" w:cstheme="minorHAnsi"/>
          <w:sz w:val="22"/>
          <w:szCs w:val="22"/>
        </w:rPr>
        <w:t xml:space="preserve"> that is not consumer-facing, is unable to authenticate </w:t>
      </w:r>
      <w:r w:rsidR="001E1CCD">
        <w:rPr>
          <w:rFonts w:asciiTheme="minorHAnsi" w:hAnsiTheme="minorHAnsi" w:cstheme="minorHAnsi"/>
          <w:sz w:val="22"/>
          <w:szCs w:val="22"/>
        </w:rPr>
        <w:t xml:space="preserve">the identity of </w:t>
      </w:r>
      <w:r w:rsidR="00026FC3">
        <w:rPr>
          <w:rFonts w:asciiTheme="minorHAnsi" w:hAnsiTheme="minorHAnsi" w:cstheme="minorHAnsi"/>
          <w:sz w:val="22"/>
          <w:szCs w:val="22"/>
        </w:rPr>
        <w:t xml:space="preserve">CDR consumers. </w:t>
      </w:r>
      <w:r w:rsidR="001E1CCD">
        <w:rPr>
          <w:rFonts w:asciiTheme="minorHAnsi" w:hAnsiTheme="minorHAnsi" w:cstheme="minorHAnsi"/>
          <w:sz w:val="22"/>
          <w:szCs w:val="22"/>
        </w:rPr>
        <w:t>Irrespective of whether the rules require AEMO or retailers to receive data requests from accredited data recipients, energy retailers will need to authenticate CDR consumers</w:t>
      </w:r>
      <w:r w:rsidR="00430413">
        <w:rPr>
          <w:rFonts w:asciiTheme="minorHAnsi" w:hAnsiTheme="minorHAnsi" w:cstheme="minorHAnsi"/>
          <w:sz w:val="22"/>
          <w:szCs w:val="22"/>
        </w:rPr>
        <w:t xml:space="preserve"> on AEMO’s behalf</w:t>
      </w:r>
      <w:r w:rsidR="001E1CCD">
        <w:rPr>
          <w:rFonts w:asciiTheme="minorHAnsi" w:hAnsiTheme="minorHAnsi" w:cstheme="minorHAnsi"/>
          <w:sz w:val="22"/>
          <w:szCs w:val="22"/>
        </w:rPr>
        <w:t xml:space="preserve">.  </w:t>
      </w:r>
    </w:p>
    <w:p w14:paraId="7CE303B5" w14:textId="6AE537F6" w:rsidR="00290768" w:rsidRDefault="00321E07" w:rsidP="00F064B7">
      <w:pPr>
        <w:pStyle w:val="BodyText"/>
        <w:jc w:val="left"/>
        <w:rPr>
          <w:rFonts w:asciiTheme="minorHAnsi" w:hAnsiTheme="minorHAnsi" w:cstheme="minorHAnsi"/>
          <w:sz w:val="22"/>
          <w:szCs w:val="22"/>
        </w:rPr>
      </w:pPr>
      <w:r>
        <w:rPr>
          <w:rFonts w:asciiTheme="minorHAnsi" w:hAnsiTheme="minorHAnsi" w:cstheme="minorHAnsi"/>
          <w:sz w:val="22"/>
          <w:szCs w:val="22"/>
        </w:rPr>
        <w:t xml:space="preserve">An earlier </w:t>
      </w:r>
      <w:r w:rsidR="00F61A82" w:rsidRPr="00F61A82">
        <w:rPr>
          <w:rFonts w:asciiTheme="minorHAnsi" w:hAnsiTheme="minorHAnsi" w:cstheme="minorHAnsi"/>
          <w:sz w:val="22"/>
          <w:szCs w:val="22"/>
        </w:rPr>
        <w:t>regulatory burden estimate was developed for the purpose of making the legislative instrument to designate the energy sector</w:t>
      </w:r>
      <w:r w:rsidR="00546496">
        <w:rPr>
          <w:rFonts w:asciiTheme="minorHAnsi" w:hAnsiTheme="minorHAnsi" w:cstheme="minorHAnsi"/>
          <w:sz w:val="22"/>
          <w:szCs w:val="22"/>
        </w:rPr>
        <w:t>,</w:t>
      </w:r>
      <w:r w:rsidR="000544F5">
        <w:rPr>
          <w:rFonts w:asciiTheme="minorHAnsi" w:hAnsiTheme="minorHAnsi" w:cstheme="minorHAnsi"/>
          <w:sz w:val="22"/>
          <w:szCs w:val="22"/>
        </w:rPr>
        <w:t xml:space="preserve"> </w:t>
      </w:r>
      <w:r w:rsidR="00546496">
        <w:rPr>
          <w:rFonts w:asciiTheme="minorHAnsi" w:hAnsiTheme="minorHAnsi" w:cstheme="minorHAnsi"/>
          <w:sz w:val="22"/>
          <w:szCs w:val="22"/>
        </w:rPr>
        <w:t>as</w:t>
      </w:r>
      <w:r w:rsidR="000544F5">
        <w:rPr>
          <w:rFonts w:asciiTheme="minorHAnsi" w:hAnsiTheme="minorHAnsi" w:cstheme="minorHAnsi"/>
          <w:sz w:val="22"/>
          <w:szCs w:val="22"/>
        </w:rPr>
        <w:t xml:space="preserve"> </w:t>
      </w:r>
      <w:r w:rsidR="007E3E79">
        <w:rPr>
          <w:rFonts w:asciiTheme="minorHAnsi" w:hAnsiTheme="minorHAnsi" w:cstheme="minorHAnsi"/>
          <w:sz w:val="22"/>
          <w:szCs w:val="22"/>
        </w:rPr>
        <w:t>detailed</w:t>
      </w:r>
      <w:r w:rsidR="000544F5">
        <w:rPr>
          <w:rFonts w:asciiTheme="minorHAnsi" w:hAnsiTheme="minorHAnsi" w:cstheme="minorHAnsi"/>
          <w:sz w:val="22"/>
          <w:szCs w:val="22"/>
        </w:rPr>
        <w:t xml:space="preserve"> </w:t>
      </w:r>
      <w:r w:rsidR="007E3E79">
        <w:rPr>
          <w:rFonts w:asciiTheme="minorHAnsi" w:hAnsiTheme="minorHAnsi" w:cstheme="minorHAnsi"/>
          <w:sz w:val="22"/>
          <w:szCs w:val="22"/>
        </w:rPr>
        <w:t>in</w:t>
      </w:r>
      <w:r w:rsidR="000544F5">
        <w:rPr>
          <w:rFonts w:asciiTheme="minorHAnsi" w:hAnsiTheme="minorHAnsi" w:cstheme="minorHAnsi"/>
          <w:sz w:val="22"/>
          <w:szCs w:val="22"/>
        </w:rPr>
        <w:t xml:space="preserve"> a separate independent review</w:t>
      </w:r>
      <w:r>
        <w:rPr>
          <w:rFonts w:asciiTheme="minorHAnsi" w:hAnsiTheme="minorHAnsi" w:cstheme="minorHAnsi"/>
          <w:sz w:val="22"/>
          <w:szCs w:val="22"/>
        </w:rPr>
        <w:t xml:space="preserve"> (OBPR ref 22394)</w:t>
      </w:r>
      <w:r w:rsidR="00F61A82" w:rsidRPr="00F61A82">
        <w:rPr>
          <w:rFonts w:asciiTheme="minorHAnsi" w:hAnsiTheme="minorHAnsi" w:cstheme="minorHAnsi"/>
          <w:sz w:val="22"/>
          <w:szCs w:val="22"/>
        </w:rPr>
        <w:t>.</w:t>
      </w:r>
      <w:r>
        <w:rPr>
          <w:rFonts w:asciiTheme="minorHAnsi" w:hAnsiTheme="minorHAnsi" w:cstheme="minorHAnsi"/>
          <w:sz w:val="22"/>
          <w:szCs w:val="22"/>
        </w:rPr>
        <w:t xml:space="preserve"> We provide o</w:t>
      </w:r>
      <w:r w:rsidRPr="00F61A82">
        <w:rPr>
          <w:rFonts w:asciiTheme="minorHAnsi" w:hAnsiTheme="minorHAnsi" w:cstheme="minorHAnsi"/>
          <w:sz w:val="22"/>
          <w:szCs w:val="22"/>
        </w:rPr>
        <w:t xml:space="preserve">ur </w:t>
      </w:r>
      <w:r w:rsidR="00F61A82" w:rsidRPr="00F61A82">
        <w:rPr>
          <w:rFonts w:asciiTheme="minorHAnsi" w:hAnsiTheme="minorHAnsi" w:cstheme="minorHAnsi"/>
          <w:sz w:val="22"/>
          <w:szCs w:val="22"/>
        </w:rPr>
        <w:t>revised regulatory burden estimate</w:t>
      </w:r>
      <w:r>
        <w:rPr>
          <w:rFonts w:asciiTheme="minorHAnsi" w:hAnsiTheme="minorHAnsi" w:cstheme="minorHAnsi"/>
          <w:sz w:val="22"/>
          <w:szCs w:val="22"/>
        </w:rPr>
        <w:t xml:space="preserve"> (as </w:t>
      </w:r>
      <w:r w:rsidR="00F61A82" w:rsidRPr="00F61A82">
        <w:rPr>
          <w:rFonts w:asciiTheme="minorHAnsi" w:hAnsiTheme="minorHAnsi" w:cstheme="minorHAnsi"/>
          <w:sz w:val="22"/>
          <w:szCs w:val="22"/>
        </w:rPr>
        <w:t>outlined in the table below</w:t>
      </w:r>
      <w:r>
        <w:rPr>
          <w:rFonts w:asciiTheme="minorHAnsi" w:hAnsiTheme="minorHAnsi" w:cstheme="minorHAnsi"/>
          <w:sz w:val="22"/>
          <w:szCs w:val="22"/>
        </w:rPr>
        <w:t>)</w:t>
      </w:r>
      <w:r w:rsidR="00F61A82" w:rsidRPr="00F61A82">
        <w:rPr>
          <w:rFonts w:asciiTheme="minorHAnsi" w:hAnsiTheme="minorHAnsi" w:cstheme="minorHAnsi"/>
          <w:sz w:val="22"/>
          <w:szCs w:val="22"/>
        </w:rPr>
        <w:t>.</w:t>
      </w:r>
      <w:r w:rsidRPr="00321E07">
        <w:rPr>
          <w:rFonts w:asciiTheme="minorHAnsi" w:hAnsiTheme="minorHAnsi" w:cstheme="minorHAnsi"/>
          <w:sz w:val="22"/>
          <w:szCs w:val="22"/>
        </w:rPr>
        <w:t xml:space="preserve"> </w:t>
      </w:r>
      <w:r>
        <w:rPr>
          <w:rFonts w:asciiTheme="minorHAnsi" w:hAnsiTheme="minorHAnsi" w:cstheme="minorHAnsi"/>
          <w:sz w:val="22"/>
          <w:szCs w:val="22"/>
        </w:rPr>
        <w:t xml:space="preserve">This revised estimate reflects </w:t>
      </w:r>
      <w:r w:rsidR="0088284E">
        <w:rPr>
          <w:rFonts w:asciiTheme="minorHAnsi" w:hAnsiTheme="minorHAnsi" w:cstheme="minorHAnsi"/>
          <w:sz w:val="22"/>
          <w:szCs w:val="22"/>
        </w:rPr>
        <w:t xml:space="preserve">that the </w:t>
      </w:r>
      <w:r w:rsidR="00DC260A">
        <w:rPr>
          <w:rFonts w:asciiTheme="minorHAnsi" w:hAnsiTheme="minorHAnsi" w:cstheme="minorHAnsi"/>
          <w:sz w:val="22"/>
          <w:szCs w:val="22"/>
        </w:rPr>
        <w:t xml:space="preserve">CDR </w:t>
      </w:r>
      <w:r w:rsidR="0088284E">
        <w:rPr>
          <w:rFonts w:asciiTheme="minorHAnsi" w:hAnsiTheme="minorHAnsi" w:cstheme="minorHAnsi"/>
          <w:sz w:val="22"/>
          <w:szCs w:val="22"/>
        </w:rPr>
        <w:t xml:space="preserve">rules adopt a </w:t>
      </w:r>
      <w:r>
        <w:rPr>
          <w:rFonts w:asciiTheme="minorHAnsi" w:hAnsiTheme="minorHAnsi" w:cstheme="minorHAnsi"/>
          <w:sz w:val="22"/>
          <w:szCs w:val="22"/>
        </w:rPr>
        <w:t>peer-to-peer data access model,</w:t>
      </w:r>
      <w:r w:rsidR="005A158A">
        <w:rPr>
          <w:rFonts w:asciiTheme="minorHAnsi" w:hAnsiTheme="minorHAnsi" w:cstheme="minorHAnsi"/>
          <w:sz w:val="22"/>
          <w:szCs w:val="22"/>
        </w:rPr>
        <w:t xml:space="preserve"> with obligations on CDR participants only enlivening through the rule-making process</w:t>
      </w:r>
      <w:r>
        <w:rPr>
          <w:rFonts w:asciiTheme="minorHAnsi" w:hAnsiTheme="minorHAnsi" w:cstheme="minorHAnsi"/>
          <w:sz w:val="22"/>
          <w:szCs w:val="22"/>
        </w:rPr>
        <w:t xml:space="preserve">. </w:t>
      </w:r>
      <w:r w:rsidR="00F064B7" w:rsidRPr="008A68C0">
        <w:rPr>
          <w:rFonts w:asciiTheme="minorHAnsi" w:hAnsiTheme="minorHAnsi" w:cstheme="minorHAnsi"/>
          <w:sz w:val="22"/>
          <w:szCs w:val="22"/>
        </w:rPr>
        <w:t>I note t</w:t>
      </w:r>
      <w:r w:rsidR="00F064B7" w:rsidRPr="00B4519B">
        <w:rPr>
          <w:rFonts w:asciiTheme="minorHAnsi" w:hAnsiTheme="minorHAnsi" w:cstheme="minorHAnsi"/>
          <w:sz w:val="22"/>
          <w:szCs w:val="22"/>
        </w:rPr>
        <w:t>hat the</w:t>
      </w:r>
      <w:r w:rsidR="00F064B7" w:rsidRPr="008A68C0">
        <w:rPr>
          <w:rFonts w:asciiTheme="minorHAnsi" w:hAnsiTheme="minorHAnsi" w:cstheme="minorHAnsi"/>
          <w:sz w:val="22"/>
          <w:szCs w:val="22"/>
        </w:rPr>
        <w:t xml:space="preserve"> overall regulatory impact of the proposal to</w:t>
      </w:r>
      <w:r w:rsidR="00F064B7">
        <w:rPr>
          <w:rFonts w:asciiTheme="minorHAnsi" w:hAnsiTheme="minorHAnsi" w:cstheme="minorHAnsi"/>
          <w:sz w:val="22"/>
          <w:szCs w:val="22"/>
        </w:rPr>
        <w:t xml:space="preserve"> implement the CDR in the energy sector on the basis of</w:t>
      </w:r>
      <w:r w:rsidR="00F064B7" w:rsidRPr="008A68C0">
        <w:rPr>
          <w:rFonts w:asciiTheme="minorHAnsi" w:hAnsiTheme="minorHAnsi" w:cstheme="minorHAnsi"/>
          <w:sz w:val="22"/>
          <w:szCs w:val="22"/>
        </w:rPr>
        <w:t xml:space="preserve"> a </w:t>
      </w:r>
      <w:r w:rsidR="00F064B7">
        <w:rPr>
          <w:rFonts w:asciiTheme="minorHAnsi" w:hAnsiTheme="minorHAnsi" w:cstheme="minorHAnsi"/>
          <w:sz w:val="22"/>
          <w:szCs w:val="22"/>
        </w:rPr>
        <w:t>p</w:t>
      </w:r>
      <w:r w:rsidR="00F064B7" w:rsidRPr="007C242F">
        <w:rPr>
          <w:rFonts w:asciiTheme="minorHAnsi" w:hAnsiTheme="minorHAnsi" w:cstheme="minorHAnsi"/>
          <w:sz w:val="22"/>
          <w:szCs w:val="22"/>
        </w:rPr>
        <w:t>eer</w:t>
      </w:r>
      <w:r w:rsidR="00F064B7">
        <w:rPr>
          <w:rFonts w:asciiTheme="minorHAnsi" w:hAnsiTheme="minorHAnsi" w:cstheme="minorHAnsi"/>
          <w:sz w:val="22"/>
          <w:szCs w:val="22"/>
        </w:rPr>
        <w:t>-</w:t>
      </w:r>
      <w:r w:rsidR="00F064B7" w:rsidRPr="007C242F">
        <w:rPr>
          <w:rFonts w:asciiTheme="minorHAnsi" w:hAnsiTheme="minorHAnsi" w:cstheme="minorHAnsi"/>
          <w:sz w:val="22"/>
          <w:szCs w:val="22"/>
        </w:rPr>
        <w:t>to</w:t>
      </w:r>
      <w:r w:rsidR="00F064B7">
        <w:rPr>
          <w:rFonts w:asciiTheme="minorHAnsi" w:hAnsiTheme="minorHAnsi" w:cstheme="minorHAnsi"/>
          <w:sz w:val="22"/>
          <w:szCs w:val="22"/>
        </w:rPr>
        <w:t>-p</w:t>
      </w:r>
      <w:r w:rsidR="00F064B7" w:rsidRPr="008A68C0">
        <w:rPr>
          <w:rFonts w:asciiTheme="minorHAnsi" w:hAnsiTheme="minorHAnsi" w:cstheme="minorHAnsi"/>
          <w:sz w:val="22"/>
          <w:szCs w:val="22"/>
        </w:rPr>
        <w:t xml:space="preserve">eer data access model </w:t>
      </w:r>
      <w:r w:rsidR="00F064B7">
        <w:rPr>
          <w:rFonts w:asciiTheme="minorHAnsi" w:hAnsiTheme="minorHAnsi" w:cstheme="minorHAnsi"/>
          <w:sz w:val="22"/>
          <w:szCs w:val="22"/>
        </w:rPr>
        <w:t xml:space="preserve">as noted in the Review </w:t>
      </w:r>
      <w:r w:rsidR="00F064B7" w:rsidRPr="008A68C0">
        <w:rPr>
          <w:rFonts w:asciiTheme="minorHAnsi" w:hAnsiTheme="minorHAnsi" w:cstheme="minorHAnsi"/>
          <w:sz w:val="22"/>
          <w:szCs w:val="22"/>
        </w:rPr>
        <w:t xml:space="preserve">is likely to </w:t>
      </w:r>
    </w:p>
    <w:p w14:paraId="501B5A9D" w14:textId="77777777" w:rsidR="00290768" w:rsidRDefault="00290768">
      <w:pPr>
        <w:spacing w:after="0"/>
        <w:rPr>
          <w:rFonts w:asciiTheme="minorHAnsi" w:hAnsiTheme="minorHAnsi" w:cstheme="minorHAnsi"/>
          <w:szCs w:val="22"/>
        </w:rPr>
      </w:pPr>
      <w:r>
        <w:rPr>
          <w:rFonts w:asciiTheme="minorHAnsi" w:hAnsiTheme="minorHAnsi" w:cstheme="minorHAnsi"/>
          <w:szCs w:val="22"/>
        </w:rPr>
        <w:br w:type="page"/>
      </w:r>
    </w:p>
    <w:p w14:paraId="1C9BB228" w14:textId="520583CF" w:rsidR="00F064B7" w:rsidRDefault="00F064B7" w:rsidP="00F064B7">
      <w:pPr>
        <w:pStyle w:val="BodyText"/>
        <w:jc w:val="left"/>
        <w:rPr>
          <w:rFonts w:asciiTheme="minorHAnsi" w:hAnsiTheme="minorHAnsi" w:cstheme="minorHAnsi"/>
          <w:sz w:val="22"/>
          <w:szCs w:val="22"/>
        </w:rPr>
      </w:pPr>
      <w:r w:rsidRPr="008A68C0">
        <w:rPr>
          <w:rFonts w:asciiTheme="minorHAnsi" w:hAnsiTheme="minorHAnsi" w:cstheme="minorHAnsi"/>
          <w:sz w:val="22"/>
          <w:szCs w:val="22"/>
        </w:rPr>
        <w:lastRenderedPageBreak/>
        <w:t xml:space="preserve">be similar, or may decrease slightly, </w:t>
      </w:r>
      <w:r w:rsidRPr="00743C04">
        <w:rPr>
          <w:rFonts w:asciiTheme="minorHAnsi" w:hAnsiTheme="minorHAnsi" w:cstheme="minorHAnsi"/>
          <w:sz w:val="22"/>
          <w:szCs w:val="22"/>
        </w:rPr>
        <w:t>compared to the use</w:t>
      </w:r>
      <w:r w:rsidR="004B087F" w:rsidRPr="00743C04">
        <w:rPr>
          <w:rFonts w:asciiTheme="minorHAnsi" w:hAnsiTheme="minorHAnsi" w:cstheme="minorHAnsi"/>
          <w:sz w:val="22"/>
          <w:szCs w:val="22"/>
        </w:rPr>
        <w:t xml:space="preserve"> of</w:t>
      </w:r>
      <w:r w:rsidRPr="00743C04">
        <w:rPr>
          <w:rFonts w:asciiTheme="minorHAnsi" w:hAnsiTheme="minorHAnsi" w:cstheme="minorHAnsi"/>
          <w:sz w:val="22"/>
          <w:szCs w:val="22"/>
        </w:rPr>
        <w:t xml:space="preserve"> a gateway model. The</w:t>
      </w:r>
      <w:r>
        <w:rPr>
          <w:rFonts w:asciiTheme="minorHAnsi" w:hAnsiTheme="minorHAnsi" w:cstheme="minorHAnsi"/>
          <w:sz w:val="22"/>
          <w:szCs w:val="22"/>
        </w:rPr>
        <w:t xml:space="preserve"> use of</w:t>
      </w:r>
      <w:r w:rsidR="006D0CFD">
        <w:rPr>
          <w:rFonts w:asciiTheme="minorHAnsi" w:hAnsiTheme="minorHAnsi" w:cstheme="minorHAnsi"/>
          <w:sz w:val="22"/>
          <w:szCs w:val="22"/>
        </w:rPr>
        <w:t xml:space="preserve"> either a peer-to-peer model or a</w:t>
      </w:r>
      <w:r>
        <w:rPr>
          <w:rFonts w:asciiTheme="minorHAnsi" w:hAnsiTheme="minorHAnsi" w:cstheme="minorHAnsi"/>
          <w:sz w:val="22"/>
          <w:szCs w:val="22"/>
        </w:rPr>
        <w:t xml:space="preserve"> gateway model </w:t>
      </w:r>
      <w:r w:rsidR="006D0CFD">
        <w:rPr>
          <w:rFonts w:asciiTheme="minorHAnsi" w:hAnsiTheme="minorHAnsi" w:cstheme="minorHAnsi"/>
          <w:sz w:val="22"/>
          <w:szCs w:val="22"/>
        </w:rPr>
        <w:t>i</w:t>
      </w:r>
      <w:r>
        <w:rPr>
          <w:rFonts w:asciiTheme="minorHAnsi" w:hAnsiTheme="minorHAnsi" w:cstheme="minorHAnsi"/>
          <w:sz w:val="22"/>
          <w:szCs w:val="22"/>
        </w:rPr>
        <w:t xml:space="preserve">s permitted through the energy sector designation instrument. </w:t>
      </w:r>
    </w:p>
    <w:p w14:paraId="63229C2B" w14:textId="77777777" w:rsidR="00F064B7" w:rsidRDefault="00F064B7" w:rsidP="00294249">
      <w:pPr>
        <w:pStyle w:val="BodyText"/>
        <w:spacing w:before="0"/>
        <w:jc w:val="left"/>
        <w:rPr>
          <w:rFonts w:asciiTheme="minorHAnsi" w:hAnsiTheme="minorHAnsi" w:cstheme="minorHAnsi"/>
          <w:sz w:val="22"/>
          <w:szCs w:val="22"/>
        </w:rPr>
      </w:pPr>
    </w:p>
    <w:p w14:paraId="1507DB1F" w14:textId="20EF6405" w:rsidR="00B6295B" w:rsidRPr="008A68C0" w:rsidRDefault="005A158A" w:rsidP="00294249">
      <w:pPr>
        <w:pStyle w:val="BodyText"/>
        <w:spacing w:before="0"/>
        <w:jc w:val="left"/>
        <w:rPr>
          <w:rFonts w:asciiTheme="minorHAnsi" w:hAnsiTheme="minorHAnsi" w:cstheme="minorHAnsi"/>
          <w:sz w:val="22"/>
          <w:szCs w:val="22"/>
        </w:rPr>
      </w:pPr>
      <w:r>
        <w:rPr>
          <w:rFonts w:asciiTheme="minorHAnsi" w:hAnsiTheme="minorHAnsi" w:cstheme="minorHAnsi"/>
          <w:sz w:val="22"/>
          <w:szCs w:val="22"/>
        </w:rPr>
        <w:t xml:space="preserve">The revised estimate is informed by </w:t>
      </w:r>
      <w:r w:rsidR="00E06EDC">
        <w:rPr>
          <w:rFonts w:asciiTheme="minorHAnsi" w:hAnsiTheme="minorHAnsi" w:cstheme="minorHAnsi"/>
          <w:sz w:val="22"/>
          <w:szCs w:val="22"/>
        </w:rPr>
        <w:t>feedback from several consultation processes that informed</w:t>
      </w:r>
      <w:r w:rsidR="00321E07">
        <w:rPr>
          <w:rFonts w:asciiTheme="minorHAnsi" w:hAnsiTheme="minorHAnsi" w:cstheme="minorHAnsi"/>
          <w:sz w:val="22"/>
          <w:szCs w:val="22"/>
        </w:rPr>
        <w:t xml:space="preserve"> the development of </w:t>
      </w:r>
      <w:r>
        <w:rPr>
          <w:rFonts w:asciiTheme="minorHAnsi" w:hAnsiTheme="minorHAnsi" w:cstheme="minorHAnsi"/>
          <w:sz w:val="22"/>
          <w:szCs w:val="22"/>
        </w:rPr>
        <w:t xml:space="preserve">specific policy settings </w:t>
      </w:r>
      <w:r w:rsidR="00E06EDC">
        <w:rPr>
          <w:rFonts w:asciiTheme="minorHAnsi" w:hAnsiTheme="minorHAnsi" w:cstheme="minorHAnsi"/>
          <w:sz w:val="22"/>
          <w:szCs w:val="22"/>
        </w:rPr>
        <w:t>for</w:t>
      </w:r>
      <w:r>
        <w:rPr>
          <w:rFonts w:asciiTheme="minorHAnsi" w:hAnsiTheme="minorHAnsi" w:cstheme="minorHAnsi"/>
          <w:sz w:val="22"/>
          <w:szCs w:val="22"/>
        </w:rPr>
        <w:t xml:space="preserve"> </w:t>
      </w:r>
      <w:r w:rsidR="00321E07">
        <w:rPr>
          <w:rFonts w:asciiTheme="minorHAnsi" w:hAnsiTheme="minorHAnsi" w:cstheme="minorHAnsi"/>
          <w:sz w:val="22"/>
          <w:szCs w:val="22"/>
        </w:rPr>
        <w:t xml:space="preserve">the </w:t>
      </w:r>
      <w:r w:rsidR="00DC260A">
        <w:rPr>
          <w:rFonts w:asciiTheme="minorHAnsi" w:hAnsiTheme="minorHAnsi" w:cstheme="minorHAnsi"/>
          <w:sz w:val="22"/>
          <w:szCs w:val="22"/>
        </w:rPr>
        <w:t>amendments to the CDR</w:t>
      </w:r>
      <w:r w:rsidR="00321E07">
        <w:rPr>
          <w:rFonts w:asciiTheme="minorHAnsi" w:hAnsiTheme="minorHAnsi" w:cstheme="minorHAnsi"/>
          <w:sz w:val="22"/>
          <w:szCs w:val="22"/>
        </w:rPr>
        <w:t xml:space="preserve"> rules</w:t>
      </w:r>
      <w:r w:rsidR="00DC260A">
        <w:rPr>
          <w:rFonts w:asciiTheme="minorHAnsi" w:hAnsiTheme="minorHAnsi" w:cstheme="minorHAnsi"/>
          <w:sz w:val="22"/>
          <w:szCs w:val="22"/>
        </w:rPr>
        <w:t xml:space="preserve"> to extend to energy data</w:t>
      </w:r>
      <w:r>
        <w:rPr>
          <w:rFonts w:asciiTheme="minorHAnsi" w:hAnsiTheme="minorHAnsi" w:cstheme="minorHAnsi"/>
          <w:sz w:val="22"/>
          <w:szCs w:val="22"/>
        </w:rPr>
        <w:t>.</w:t>
      </w:r>
      <w:r w:rsidR="00A65F5E">
        <w:rPr>
          <w:rFonts w:asciiTheme="minorHAnsi" w:hAnsiTheme="minorHAnsi" w:cstheme="minorHAnsi"/>
          <w:sz w:val="22"/>
          <w:szCs w:val="22"/>
        </w:rPr>
        <w:t xml:space="preserve"> This</w:t>
      </w:r>
      <w:r w:rsidR="00B6295B" w:rsidRPr="00B4519B">
        <w:rPr>
          <w:rFonts w:asciiTheme="minorHAnsi" w:hAnsiTheme="minorHAnsi" w:cstheme="minorHAnsi"/>
          <w:sz w:val="22"/>
          <w:szCs w:val="22"/>
        </w:rPr>
        <w:t xml:space="preserve"> </w:t>
      </w:r>
      <w:r w:rsidR="00A65F5E">
        <w:rPr>
          <w:rFonts w:asciiTheme="minorHAnsi" w:hAnsiTheme="minorHAnsi" w:cstheme="minorHAnsi"/>
          <w:sz w:val="22"/>
          <w:szCs w:val="22"/>
        </w:rPr>
        <w:t xml:space="preserve">estimate </w:t>
      </w:r>
      <w:r w:rsidR="00CE2A1C">
        <w:rPr>
          <w:rFonts w:asciiTheme="minorHAnsi" w:hAnsiTheme="minorHAnsi" w:cstheme="minorHAnsi"/>
          <w:sz w:val="22"/>
          <w:szCs w:val="22"/>
        </w:rPr>
        <w:t xml:space="preserve">has been </w:t>
      </w:r>
      <w:r w:rsidR="00B6295B" w:rsidRPr="00B4519B">
        <w:rPr>
          <w:rFonts w:asciiTheme="minorHAnsi" w:hAnsiTheme="minorHAnsi" w:cstheme="minorHAnsi"/>
          <w:sz w:val="22"/>
          <w:szCs w:val="22"/>
        </w:rPr>
        <w:t xml:space="preserve">quantified using the Australian Government’s </w:t>
      </w:r>
      <w:r w:rsidR="00B6295B" w:rsidRPr="008A68C0">
        <w:rPr>
          <w:rFonts w:asciiTheme="minorHAnsi" w:hAnsiTheme="minorHAnsi" w:cstheme="minorHAnsi"/>
          <w:i/>
          <w:sz w:val="22"/>
          <w:szCs w:val="22"/>
        </w:rPr>
        <w:t xml:space="preserve">Regulatory Burden Measurement </w:t>
      </w:r>
      <w:r w:rsidR="00457AEB">
        <w:rPr>
          <w:rFonts w:asciiTheme="minorHAnsi" w:hAnsiTheme="minorHAnsi" w:cstheme="minorHAnsi"/>
          <w:i/>
          <w:sz w:val="22"/>
          <w:szCs w:val="22"/>
        </w:rPr>
        <w:t>F</w:t>
      </w:r>
      <w:r w:rsidR="00B6295B" w:rsidRPr="004F53D0">
        <w:rPr>
          <w:rFonts w:asciiTheme="minorHAnsi" w:hAnsiTheme="minorHAnsi" w:cstheme="minorHAnsi"/>
          <w:i/>
          <w:iCs/>
          <w:sz w:val="22"/>
          <w:szCs w:val="22"/>
        </w:rPr>
        <w:t>ramework</w:t>
      </w:r>
      <w:r w:rsidR="00B6295B" w:rsidRPr="008A68C0">
        <w:rPr>
          <w:rFonts w:asciiTheme="minorHAnsi" w:hAnsiTheme="minorHAnsi" w:cstheme="minorHAnsi"/>
          <w:sz w:val="22"/>
          <w:szCs w:val="22"/>
        </w:rPr>
        <w:t>.</w:t>
      </w:r>
    </w:p>
    <w:p w14:paraId="6C7E5DF3" w14:textId="79C2367E" w:rsidR="005C49A7" w:rsidRDefault="001D3BA2" w:rsidP="004F53D0">
      <w:pPr>
        <w:pStyle w:val="BodyText"/>
        <w:keepLines/>
        <w:jc w:val="left"/>
        <w:rPr>
          <w:rFonts w:asciiTheme="minorHAnsi" w:hAnsiTheme="minorHAnsi" w:cstheme="minorHAnsi"/>
          <w:sz w:val="22"/>
          <w:szCs w:val="22"/>
        </w:rPr>
      </w:pPr>
      <w:r>
        <w:rPr>
          <w:rFonts w:asciiTheme="minorHAnsi" w:hAnsiTheme="minorHAnsi" w:cstheme="minorHAnsi"/>
          <w:sz w:val="22"/>
          <w:szCs w:val="22"/>
        </w:rPr>
        <w:t>A regulatory offset has not been identified</w:t>
      </w:r>
      <w:r w:rsidR="00EB1076">
        <w:rPr>
          <w:rFonts w:asciiTheme="minorHAnsi" w:hAnsiTheme="minorHAnsi" w:cstheme="minorHAnsi"/>
          <w:sz w:val="22"/>
          <w:szCs w:val="22"/>
        </w:rPr>
        <w:t>,</w:t>
      </w:r>
      <w:r>
        <w:rPr>
          <w:rFonts w:asciiTheme="minorHAnsi" w:hAnsiTheme="minorHAnsi" w:cstheme="minorHAnsi"/>
          <w:sz w:val="22"/>
          <w:szCs w:val="22"/>
        </w:rPr>
        <w:t xml:space="preserve"> however Treasury will seek to pursue net reductions in compliance costs and will work with affected stakeholders and across Government to identify reductions where appropriate. </w:t>
      </w:r>
      <w:r w:rsidR="00F064B7">
        <w:rPr>
          <w:rFonts w:asciiTheme="minorHAnsi" w:hAnsiTheme="minorHAnsi" w:cstheme="minorHAnsi"/>
          <w:sz w:val="22"/>
          <w:szCs w:val="22"/>
        </w:rPr>
        <w:t>In addition, t</w:t>
      </w:r>
      <w:r w:rsidR="00F064B7" w:rsidRPr="00695036">
        <w:rPr>
          <w:rFonts w:asciiTheme="minorHAnsi" w:hAnsiTheme="minorHAnsi" w:cstheme="minorHAnsi"/>
          <w:sz w:val="22"/>
          <w:szCs w:val="22"/>
        </w:rPr>
        <w:t xml:space="preserve">he proposals described in </w:t>
      </w:r>
      <w:r w:rsidR="00F064B7">
        <w:rPr>
          <w:rFonts w:asciiTheme="minorHAnsi" w:hAnsiTheme="minorHAnsi" w:cstheme="minorHAnsi"/>
          <w:sz w:val="22"/>
          <w:szCs w:val="22"/>
        </w:rPr>
        <w:t>our supplementary analysis</w:t>
      </w:r>
      <w:r w:rsidR="00F064B7" w:rsidRPr="00695036">
        <w:rPr>
          <w:rFonts w:asciiTheme="minorHAnsi" w:hAnsiTheme="minorHAnsi" w:cstheme="minorHAnsi"/>
          <w:sz w:val="22"/>
          <w:szCs w:val="22"/>
        </w:rPr>
        <w:t xml:space="preserve"> are expected to </w:t>
      </w:r>
      <w:r w:rsidR="00A21818">
        <w:rPr>
          <w:rFonts w:asciiTheme="minorHAnsi" w:hAnsiTheme="minorHAnsi" w:cstheme="minorHAnsi"/>
          <w:sz w:val="22"/>
          <w:szCs w:val="22"/>
        </w:rPr>
        <w:t>decrease</w:t>
      </w:r>
      <w:r w:rsidR="00F064B7" w:rsidRPr="00695036">
        <w:rPr>
          <w:rFonts w:asciiTheme="minorHAnsi" w:hAnsiTheme="minorHAnsi" w:cstheme="minorHAnsi"/>
          <w:sz w:val="22"/>
          <w:szCs w:val="22"/>
        </w:rPr>
        <w:t xml:space="preserve"> the regulatory burden on businesses across the energy sector</w:t>
      </w:r>
      <w:r w:rsidR="00EE209B">
        <w:rPr>
          <w:rFonts w:asciiTheme="minorHAnsi" w:hAnsiTheme="minorHAnsi" w:cstheme="minorHAnsi"/>
          <w:sz w:val="22"/>
          <w:szCs w:val="22"/>
        </w:rPr>
        <w:t xml:space="preserve"> by aligning wherever possible with existing energy sector arrangements</w:t>
      </w:r>
      <w:r w:rsidR="00F064B7" w:rsidRPr="00695036">
        <w:rPr>
          <w:rFonts w:asciiTheme="minorHAnsi" w:hAnsiTheme="minorHAnsi" w:cstheme="minorHAnsi"/>
          <w:sz w:val="22"/>
          <w:szCs w:val="22"/>
        </w:rPr>
        <w:t xml:space="preserve"> and will provide ongoing benefits to Australian consumers and the broader energy market.</w:t>
      </w:r>
    </w:p>
    <w:p w14:paraId="1507E2DE" w14:textId="3ACABE9D" w:rsidR="00030E3C" w:rsidRPr="00457AEB" w:rsidRDefault="00154F3B" w:rsidP="00457AEB">
      <w:pPr>
        <w:pStyle w:val="BodyText"/>
        <w:keepLines/>
        <w:jc w:val="left"/>
        <w:rPr>
          <w:rFonts w:asciiTheme="minorHAnsi" w:hAnsiTheme="minorHAnsi" w:cstheme="minorHAnsi"/>
          <w:sz w:val="22"/>
        </w:rPr>
      </w:pPr>
      <w:r w:rsidRPr="00457AEB">
        <w:rPr>
          <w:rFonts w:asciiTheme="minorHAnsi" w:hAnsiTheme="minorHAnsi" w:cstheme="minorHAnsi"/>
          <w:sz w:val="22"/>
        </w:rPr>
        <w:t>I note that</w:t>
      </w:r>
      <w:r w:rsidR="00900559" w:rsidRPr="00457AEB">
        <w:rPr>
          <w:rFonts w:asciiTheme="minorHAnsi" w:hAnsiTheme="minorHAnsi" w:cstheme="minorHAnsi"/>
          <w:sz w:val="22"/>
        </w:rPr>
        <w:t xml:space="preserve"> some </w:t>
      </w:r>
      <w:r w:rsidR="003E3111" w:rsidRPr="00457AEB">
        <w:rPr>
          <w:rFonts w:asciiTheme="minorHAnsi" w:hAnsiTheme="minorHAnsi" w:cstheme="minorHAnsi"/>
          <w:sz w:val="22"/>
        </w:rPr>
        <w:t xml:space="preserve">stakeholders </w:t>
      </w:r>
      <w:r w:rsidR="00900559" w:rsidRPr="00457AEB">
        <w:rPr>
          <w:rFonts w:asciiTheme="minorHAnsi" w:hAnsiTheme="minorHAnsi" w:cstheme="minorHAnsi"/>
          <w:sz w:val="22"/>
        </w:rPr>
        <w:t>have provided information on a commercial in-confidence basis</w:t>
      </w:r>
      <w:r w:rsidR="003E3111" w:rsidRPr="00457AEB">
        <w:rPr>
          <w:rFonts w:asciiTheme="minorHAnsi" w:hAnsiTheme="minorHAnsi" w:cstheme="minorHAnsi"/>
          <w:sz w:val="22"/>
        </w:rPr>
        <w:t xml:space="preserve"> as part of the Review</w:t>
      </w:r>
      <w:r w:rsidR="00E57366" w:rsidRPr="00457AEB">
        <w:rPr>
          <w:rFonts w:asciiTheme="minorHAnsi" w:hAnsiTheme="minorHAnsi" w:cstheme="minorHAnsi"/>
          <w:sz w:val="22"/>
        </w:rPr>
        <w:t>.</w:t>
      </w:r>
      <w:r w:rsidR="0027638F" w:rsidRPr="00457AEB">
        <w:rPr>
          <w:rFonts w:asciiTheme="minorHAnsi" w:hAnsiTheme="minorHAnsi" w:cstheme="minorHAnsi"/>
          <w:sz w:val="22"/>
        </w:rPr>
        <w:t xml:space="preserve"> </w:t>
      </w:r>
      <w:r w:rsidR="00E57366" w:rsidRPr="00457AEB">
        <w:rPr>
          <w:rFonts w:asciiTheme="minorHAnsi" w:hAnsiTheme="minorHAnsi" w:cstheme="minorHAnsi"/>
          <w:sz w:val="22"/>
        </w:rPr>
        <w:t>A</w:t>
      </w:r>
      <w:r w:rsidR="0027638F" w:rsidRPr="00457AEB">
        <w:rPr>
          <w:rFonts w:asciiTheme="minorHAnsi" w:hAnsiTheme="minorHAnsi" w:cstheme="minorHAnsi"/>
          <w:sz w:val="22"/>
        </w:rPr>
        <w:t xml:space="preserve"> copy of the Review will be published on the Office of Best Practice Regulation’s website with this information redacted.</w:t>
      </w:r>
      <w:r w:rsidR="003A7290" w:rsidRPr="00457AEB">
        <w:rPr>
          <w:rFonts w:asciiTheme="minorHAnsi" w:hAnsiTheme="minorHAnsi" w:cstheme="minorHAnsi"/>
          <w:sz w:val="22"/>
        </w:rPr>
        <w:t xml:space="preserve"> </w:t>
      </w:r>
    </w:p>
    <w:p w14:paraId="601EE52B" w14:textId="77777777" w:rsidR="00154F3B" w:rsidRPr="00154F3B" w:rsidRDefault="00154F3B" w:rsidP="00154F3B">
      <w:pPr>
        <w:pStyle w:val="BodyText"/>
        <w:spacing w:before="0" w:line="240" w:lineRule="auto"/>
        <w:jc w:val="left"/>
        <w:rPr>
          <w:rFonts w:ascii="Calibri" w:hAnsi="Calibri"/>
          <w:sz w:val="22"/>
        </w:rPr>
      </w:pP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030E3C" w14:paraId="44825086" w14:textId="77777777" w:rsidTr="00963F8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7EDA8DD4" w14:textId="77777777" w:rsidR="00030E3C" w:rsidRDefault="00030E3C" w:rsidP="002571DD">
            <w:pPr>
              <w:spacing w:before="120" w:after="120"/>
              <w:rPr>
                <w:rFonts w:ascii="Arial" w:hAnsi="Arial" w:cs="Arial"/>
                <w:sz w:val="20"/>
                <w:szCs w:val="20"/>
                <w:u w:val="single"/>
              </w:rPr>
            </w:pPr>
            <w:r>
              <w:rPr>
                <w:rFonts w:ascii="Arial" w:hAnsi="Arial" w:cs="Arial"/>
                <w:szCs w:val="20"/>
                <w:u w:val="single"/>
              </w:rPr>
              <w:t>Regulatory burden estimate table</w:t>
            </w:r>
          </w:p>
          <w:p w14:paraId="217FF262" w14:textId="77777777" w:rsidR="00030E3C" w:rsidRDefault="00030E3C" w:rsidP="002571DD">
            <w:pPr>
              <w:spacing w:before="120" w:after="120"/>
              <w:rPr>
                <w:rFonts w:ascii="Arial" w:hAnsi="Arial" w:cs="Arial"/>
                <w:sz w:val="20"/>
                <w:szCs w:val="20"/>
              </w:rPr>
            </w:pPr>
            <w:r>
              <w:rPr>
                <w:rFonts w:ascii="Arial" w:hAnsi="Arial" w:cs="Arial"/>
                <w:sz w:val="20"/>
                <w:szCs w:val="20"/>
              </w:rPr>
              <w:t>Average annual regulatory costs (from business as usual)</w:t>
            </w:r>
          </w:p>
        </w:tc>
      </w:tr>
      <w:tr w:rsidR="00030E3C" w14:paraId="544B564E" w14:textId="77777777" w:rsidTr="00963F8C">
        <w:trPr>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565803FD" w14:textId="77777777" w:rsidR="00030E3C" w:rsidRPr="004B6EBE" w:rsidRDefault="00030E3C" w:rsidP="002571DD">
            <w:pPr>
              <w:pStyle w:val="TableText"/>
              <w:rPr>
                <w:szCs w:val="20"/>
              </w:rPr>
            </w:pPr>
            <w:r w:rsidRPr="004B6EBE">
              <w:t>Change in costs ($ million)</w:t>
            </w:r>
          </w:p>
        </w:tc>
        <w:tc>
          <w:tcPr>
            <w:tcW w:w="187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099DDC8D" w14:textId="77777777" w:rsidR="00030E3C" w:rsidRDefault="00030E3C" w:rsidP="002571DD">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Business</w:t>
            </w:r>
          </w:p>
        </w:tc>
        <w:tc>
          <w:tcPr>
            <w:tcW w:w="187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0822C652" w14:textId="77777777" w:rsidR="00030E3C" w:rsidRDefault="00030E3C" w:rsidP="002571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Community organisations</w:t>
            </w:r>
          </w:p>
        </w:tc>
        <w:tc>
          <w:tcPr>
            <w:tcW w:w="187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391EFB00" w14:textId="77777777" w:rsidR="00030E3C" w:rsidRDefault="00030E3C" w:rsidP="002571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Individuals</w:t>
            </w:r>
          </w:p>
        </w:tc>
        <w:tc>
          <w:tcPr>
            <w:tcW w:w="1872"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noWrap/>
            <w:hideMark/>
          </w:tcPr>
          <w:p w14:paraId="74900637" w14:textId="77777777" w:rsidR="00030E3C" w:rsidRDefault="00030E3C" w:rsidP="002571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Total change in costs</w:t>
            </w:r>
          </w:p>
        </w:tc>
      </w:tr>
      <w:tr w:rsidR="00963F8C" w14:paraId="063610E0" w14:textId="77777777" w:rsidTr="00963F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693ABE95" w14:textId="4EDE55E5" w:rsidR="00963F8C" w:rsidRPr="00294249" w:rsidRDefault="004B6EBE" w:rsidP="00963F8C">
            <w:pPr>
              <w:spacing w:before="120" w:after="120"/>
              <w:rPr>
                <w:rFonts w:ascii="Arial" w:hAnsi="Arial" w:cs="Arial"/>
                <w:sz w:val="20"/>
                <w:szCs w:val="20"/>
              </w:rPr>
            </w:pPr>
            <w:r w:rsidRPr="004B6EBE">
              <w:rPr>
                <w:rFonts w:ascii="Arial" w:hAnsi="Arial" w:cs="Arial"/>
                <w:sz w:val="20"/>
              </w:rPr>
              <w:t>Total, by sector</w:t>
            </w:r>
          </w:p>
        </w:tc>
        <w:tc>
          <w:tcPr>
            <w:tcW w:w="1871" w:type="dxa"/>
            <w:noWrap/>
            <w:hideMark/>
          </w:tcPr>
          <w:p w14:paraId="7222FF33" w14:textId="0EFF6E4C" w:rsidR="00963F8C" w:rsidRDefault="00963F8C" w:rsidP="00963F8C">
            <w:pPr>
              <w:keepLines/>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szCs w:val="20"/>
              </w:rPr>
              <w:t>$3</w:t>
            </w:r>
            <w:r w:rsidR="00771DBA">
              <w:rPr>
                <w:rFonts w:ascii="Arial" w:hAnsi="Arial" w:cs="Arial"/>
                <w:sz w:val="20"/>
                <w:szCs w:val="20"/>
              </w:rPr>
              <w:t>0</w:t>
            </w:r>
            <w:r w:rsidR="00320F60">
              <w:rPr>
                <w:rFonts w:ascii="Arial" w:hAnsi="Arial" w:cs="Arial"/>
                <w:sz w:val="20"/>
                <w:szCs w:val="20"/>
              </w:rPr>
              <w:t>.1</w:t>
            </w:r>
            <w:r w:rsidR="004B6EBE">
              <w:rPr>
                <w:rFonts w:ascii="Arial" w:hAnsi="Arial" w:cs="Arial"/>
                <w:sz w:val="20"/>
                <w:szCs w:val="20"/>
              </w:rPr>
              <w:t>m</w:t>
            </w:r>
          </w:p>
        </w:tc>
        <w:tc>
          <w:tcPr>
            <w:tcW w:w="1871" w:type="dxa"/>
            <w:noWrap/>
            <w:hideMark/>
          </w:tcPr>
          <w:p w14:paraId="43A53286" w14:textId="77777777" w:rsidR="00963F8C" w:rsidRDefault="00963F8C" w:rsidP="00963F8C">
            <w:pPr>
              <w:keepLines/>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szCs w:val="20"/>
              </w:rPr>
              <w:t>$0</w:t>
            </w:r>
          </w:p>
        </w:tc>
        <w:tc>
          <w:tcPr>
            <w:tcW w:w="1871" w:type="dxa"/>
            <w:noWrap/>
            <w:hideMark/>
          </w:tcPr>
          <w:p w14:paraId="33902735" w14:textId="77777777" w:rsidR="00963F8C" w:rsidRDefault="00963F8C" w:rsidP="00963F8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4B6EBE">
              <w:rPr>
                <w:rFonts w:ascii="Arial" w:hAnsi="Arial" w:cs="Arial"/>
                <w:sz w:val="20"/>
              </w:rPr>
              <w:t>$0</w:t>
            </w:r>
          </w:p>
        </w:tc>
        <w:tc>
          <w:tcPr>
            <w:tcW w:w="1872" w:type="dxa"/>
            <w:noWrap/>
            <w:hideMark/>
          </w:tcPr>
          <w:p w14:paraId="3C3CDEA4" w14:textId="7837043E" w:rsidR="00963F8C" w:rsidRDefault="00320F60" w:rsidP="00963F8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sz w:val="20"/>
              </w:rPr>
              <w:t>$3</w:t>
            </w:r>
            <w:r w:rsidR="00771DBA">
              <w:rPr>
                <w:rFonts w:ascii="Arial" w:hAnsi="Arial" w:cs="Arial"/>
                <w:b/>
                <w:sz w:val="20"/>
              </w:rPr>
              <w:t>0</w:t>
            </w:r>
            <w:r w:rsidR="008D086B">
              <w:rPr>
                <w:rFonts w:ascii="Arial" w:hAnsi="Arial" w:cs="Arial"/>
                <w:b/>
                <w:sz w:val="20"/>
                <w:szCs w:val="20"/>
              </w:rPr>
              <w:t>.1</w:t>
            </w:r>
            <w:r w:rsidR="00A52CA3">
              <w:rPr>
                <w:rFonts w:ascii="Arial" w:hAnsi="Arial" w:cs="Arial"/>
                <w:b/>
                <w:sz w:val="20"/>
                <w:szCs w:val="20"/>
              </w:rPr>
              <w:t>m</w:t>
            </w:r>
          </w:p>
        </w:tc>
      </w:tr>
    </w:tbl>
    <w:p w14:paraId="2726329A" w14:textId="33459295" w:rsidR="002B4C27" w:rsidRDefault="002267E9" w:rsidP="00CB5E4C">
      <w:pPr>
        <w:pStyle w:val="BodyText"/>
        <w:keepLines/>
        <w:spacing w:before="0" w:line="240" w:lineRule="auto"/>
        <w:jc w:val="left"/>
        <w:rPr>
          <w:rFonts w:asciiTheme="minorHAnsi" w:hAnsiTheme="minorHAnsi" w:cstheme="minorHAnsi"/>
          <w:sz w:val="22"/>
          <w:szCs w:val="22"/>
        </w:rPr>
      </w:pPr>
      <w:r>
        <w:rPr>
          <w:rFonts w:ascii="Calibri" w:hAnsi="Calibri"/>
          <w:sz w:val="22"/>
        </w:rPr>
        <w:br/>
      </w:r>
      <w:r w:rsidR="00D355BE" w:rsidRPr="00D355BE">
        <w:rPr>
          <w:rFonts w:asciiTheme="minorHAnsi" w:hAnsiTheme="minorHAnsi" w:cstheme="minorHAnsi"/>
          <w:sz w:val="22"/>
          <w:szCs w:val="22"/>
        </w:rPr>
        <w:t>Th</w:t>
      </w:r>
      <w:r w:rsidR="00856D57" w:rsidRPr="00D355BE">
        <w:rPr>
          <w:rFonts w:asciiTheme="minorHAnsi" w:hAnsiTheme="minorHAnsi" w:cstheme="minorHAnsi"/>
          <w:sz w:val="22"/>
          <w:szCs w:val="22"/>
        </w:rPr>
        <w:t xml:space="preserve">e </w:t>
      </w:r>
      <w:r w:rsidR="002B4C27">
        <w:rPr>
          <w:rFonts w:asciiTheme="minorHAnsi" w:hAnsiTheme="minorHAnsi" w:cstheme="minorHAnsi"/>
          <w:sz w:val="22"/>
          <w:szCs w:val="22"/>
        </w:rPr>
        <w:t xml:space="preserve">assessment at Attachment A provides additional background on how the Review </w:t>
      </w:r>
      <w:r w:rsidR="00C17E21">
        <w:rPr>
          <w:rFonts w:asciiTheme="minorHAnsi" w:hAnsiTheme="minorHAnsi" w:cstheme="minorHAnsi"/>
          <w:sz w:val="22"/>
          <w:szCs w:val="22"/>
        </w:rPr>
        <w:t>has</w:t>
      </w:r>
      <w:r w:rsidR="002B4C27">
        <w:rPr>
          <w:rFonts w:asciiTheme="minorHAnsi" w:hAnsiTheme="minorHAnsi" w:cstheme="minorHAnsi"/>
          <w:sz w:val="22"/>
          <w:szCs w:val="22"/>
        </w:rPr>
        <w:t xml:space="preserve"> addresse</w:t>
      </w:r>
      <w:r w:rsidR="00C17E21">
        <w:rPr>
          <w:rFonts w:asciiTheme="minorHAnsi" w:hAnsiTheme="minorHAnsi" w:cstheme="minorHAnsi"/>
          <w:sz w:val="22"/>
          <w:szCs w:val="22"/>
        </w:rPr>
        <w:t>d</w:t>
      </w:r>
      <w:r w:rsidR="002B4C27">
        <w:rPr>
          <w:rFonts w:asciiTheme="minorHAnsi" w:hAnsiTheme="minorHAnsi" w:cstheme="minorHAnsi"/>
          <w:sz w:val="22"/>
          <w:szCs w:val="22"/>
        </w:rPr>
        <w:t xml:space="preserve"> the seven RIS questions</w:t>
      </w:r>
      <w:r w:rsidR="00C17E21">
        <w:rPr>
          <w:rFonts w:asciiTheme="minorHAnsi" w:hAnsiTheme="minorHAnsi" w:cstheme="minorHAnsi"/>
          <w:sz w:val="22"/>
          <w:szCs w:val="22"/>
        </w:rPr>
        <w:t xml:space="preserve"> </w:t>
      </w:r>
      <w:r w:rsidR="00AA70D6">
        <w:rPr>
          <w:rFonts w:asciiTheme="minorHAnsi" w:hAnsiTheme="minorHAnsi" w:cstheme="minorHAnsi"/>
          <w:sz w:val="22"/>
          <w:szCs w:val="22"/>
        </w:rPr>
        <w:t xml:space="preserve">outlined </w:t>
      </w:r>
      <w:r w:rsidR="002B4C27">
        <w:rPr>
          <w:rFonts w:asciiTheme="minorHAnsi" w:hAnsiTheme="minorHAnsi" w:cstheme="minorHAnsi"/>
          <w:sz w:val="22"/>
          <w:szCs w:val="22"/>
        </w:rPr>
        <w:t>in the</w:t>
      </w:r>
      <w:r w:rsidR="002B4C27" w:rsidRPr="002B4C27">
        <w:rPr>
          <w:rFonts w:asciiTheme="minorHAnsi" w:hAnsiTheme="minorHAnsi" w:cstheme="minorHAnsi"/>
          <w:sz w:val="22"/>
          <w:szCs w:val="22"/>
        </w:rPr>
        <w:t xml:space="preserve"> </w:t>
      </w:r>
      <w:r w:rsidR="00AA70D6">
        <w:rPr>
          <w:rFonts w:asciiTheme="minorHAnsi" w:hAnsiTheme="minorHAnsi" w:cstheme="minorHAnsi"/>
          <w:sz w:val="22"/>
          <w:szCs w:val="22"/>
        </w:rPr>
        <w:t xml:space="preserve">Government’s </w:t>
      </w:r>
      <w:r w:rsidR="002B4C27" w:rsidRPr="00294249">
        <w:rPr>
          <w:rFonts w:asciiTheme="minorHAnsi" w:hAnsiTheme="minorHAnsi" w:cstheme="minorHAnsi"/>
          <w:i/>
          <w:iCs/>
          <w:sz w:val="22"/>
          <w:szCs w:val="22"/>
        </w:rPr>
        <w:t>Regulation Impact Statement Requirements Guidance</w:t>
      </w:r>
      <w:r w:rsidR="002B4C27" w:rsidRPr="002B4C27">
        <w:rPr>
          <w:rFonts w:asciiTheme="minorHAnsi" w:hAnsiTheme="minorHAnsi" w:cstheme="minorHAnsi"/>
          <w:sz w:val="22"/>
          <w:szCs w:val="22"/>
        </w:rPr>
        <w:t>.</w:t>
      </w:r>
    </w:p>
    <w:p w14:paraId="588BD96F" w14:textId="1ADCD30F" w:rsidR="00695036" w:rsidRDefault="002B4C27" w:rsidP="00D355BE">
      <w:pPr>
        <w:pStyle w:val="BodyText"/>
        <w:jc w:val="left"/>
        <w:rPr>
          <w:rFonts w:asciiTheme="minorHAnsi" w:hAnsiTheme="minorHAnsi" w:cstheme="minorHAnsi"/>
          <w:sz w:val="22"/>
          <w:szCs w:val="22"/>
        </w:rPr>
      </w:pPr>
      <w:r>
        <w:rPr>
          <w:rFonts w:asciiTheme="minorHAnsi" w:hAnsiTheme="minorHAnsi" w:cstheme="minorHAnsi"/>
          <w:sz w:val="22"/>
          <w:szCs w:val="22"/>
        </w:rPr>
        <w:t>Th</w:t>
      </w:r>
      <w:r w:rsidR="0089719A">
        <w:rPr>
          <w:rFonts w:asciiTheme="minorHAnsi" w:hAnsiTheme="minorHAnsi" w:cstheme="minorHAnsi"/>
          <w:sz w:val="22"/>
          <w:szCs w:val="22"/>
        </w:rPr>
        <w:t xml:space="preserve">is assessment includes </w:t>
      </w:r>
      <w:r w:rsidR="00963F8C">
        <w:rPr>
          <w:rFonts w:asciiTheme="minorHAnsi" w:hAnsiTheme="minorHAnsi" w:cstheme="minorHAnsi"/>
          <w:sz w:val="22"/>
          <w:szCs w:val="22"/>
        </w:rPr>
        <w:t>s</w:t>
      </w:r>
      <w:r w:rsidR="00963F8C" w:rsidRPr="00D355BE">
        <w:rPr>
          <w:rFonts w:asciiTheme="minorHAnsi" w:hAnsiTheme="minorHAnsi" w:cstheme="minorHAnsi"/>
          <w:sz w:val="22"/>
          <w:szCs w:val="22"/>
        </w:rPr>
        <w:t xml:space="preserve">upplementary </w:t>
      </w:r>
      <w:r w:rsidR="00963F8C">
        <w:rPr>
          <w:rFonts w:asciiTheme="minorHAnsi" w:hAnsiTheme="minorHAnsi" w:cstheme="minorHAnsi"/>
          <w:sz w:val="22"/>
          <w:szCs w:val="22"/>
        </w:rPr>
        <w:t>a</w:t>
      </w:r>
      <w:r w:rsidR="00856D57" w:rsidRPr="00D355BE">
        <w:rPr>
          <w:rFonts w:asciiTheme="minorHAnsi" w:hAnsiTheme="minorHAnsi" w:cstheme="minorHAnsi"/>
          <w:sz w:val="22"/>
          <w:szCs w:val="22"/>
        </w:rPr>
        <w:t>nalysis</w:t>
      </w:r>
      <w:r w:rsidR="006D0CFD">
        <w:rPr>
          <w:rFonts w:asciiTheme="minorHAnsi" w:hAnsiTheme="minorHAnsi" w:cstheme="minorHAnsi"/>
          <w:sz w:val="22"/>
          <w:szCs w:val="22"/>
        </w:rPr>
        <w:t xml:space="preserve"> included in Attachment B</w:t>
      </w:r>
      <w:r w:rsidR="00856D57" w:rsidRPr="00D355BE">
        <w:rPr>
          <w:rFonts w:asciiTheme="minorHAnsi" w:hAnsiTheme="minorHAnsi" w:cstheme="minorHAnsi"/>
          <w:sz w:val="22"/>
          <w:szCs w:val="22"/>
        </w:rPr>
        <w:t xml:space="preserve"> regarding the </w:t>
      </w:r>
      <w:r w:rsidR="00661D10">
        <w:rPr>
          <w:rFonts w:asciiTheme="minorHAnsi" w:hAnsiTheme="minorHAnsi" w:cstheme="minorHAnsi"/>
          <w:sz w:val="22"/>
          <w:szCs w:val="22"/>
        </w:rPr>
        <w:t>calculation of</w:t>
      </w:r>
      <w:r w:rsidR="00856D57" w:rsidRPr="00D355BE">
        <w:rPr>
          <w:rFonts w:asciiTheme="minorHAnsi" w:hAnsiTheme="minorHAnsi" w:cstheme="minorHAnsi"/>
          <w:sz w:val="22"/>
          <w:szCs w:val="22"/>
        </w:rPr>
        <w:t xml:space="preserve"> regulatory </w:t>
      </w:r>
      <w:r w:rsidR="002916EC">
        <w:rPr>
          <w:rFonts w:asciiTheme="minorHAnsi" w:hAnsiTheme="minorHAnsi" w:cstheme="minorHAnsi"/>
          <w:sz w:val="22"/>
          <w:szCs w:val="22"/>
        </w:rPr>
        <w:t>impact and costs</w:t>
      </w:r>
      <w:r w:rsidR="00856D57" w:rsidRPr="00D355BE">
        <w:rPr>
          <w:rFonts w:asciiTheme="minorHAnsi" w:hAnsiTheme="minorHAnsi" w:cstheme="minorHAnsi"/>
          <w:sz w:val="22"/>
          <w:szCs w:val="22"/>
        </w:rPr>
        <w:t xml:space="preserve"> expected to be incurred by an energy sector retailer based on the </w:t>
      </w:r>
      <w:r w:rsidR="00C619C7">
        <w:rPr>
          <w:rFonts w:asciiTheme="minorHAnsi" w:hAnsiTheme="minorHAnsi" w:cstheme="minorHAnsi"/>
          <w:sz w:val="22"/>
          <w:szCs w:val="22"/>
        </w:rPr>
        <w:t>p</w:t>
      </w:r>
      <w:r w:rsidR="00C619C7" w:rsidRPr="007C242F">
        <w:rPr>
          <w:rFonts w:asciiTheme="minorHAnsi" w:hAnsiTheme="minorHAnsi" w:cstheme="minorHAnsi"/>
          <w:sz w:val="22"/>
          <w:szCs w:val="22"/>
        </w:rPr>
        <w:t>eer</w:t>
      </w:r>
      <w:r w:rsidR="00C619C7">
        <w:rPr>
          <w:rFonts w:asciiTheme="minorHAnsi" w:hAnsiTheme="minorHAnsi" w:cstheme="minorHAnsi"/>
          <w:sz w:val="22"/>
          <w:szCs w:val="22"/>
        </w:rPr>
        <w:t>-</w:t>
      </w:r>
      <w:r w:rsidR="000E76B3">
        <w:rPr>
          <w:rFonts w:asciiTheme="minorHAnsi" w:hAnsiTheme="minorHAnsi" w:cstheme="minorHAnsi"/>
          <w:sz w:val="22"/>
          <w:szCs w:val="22"/>
        </w:rPr>
        <w:t>to</w:t>
      </w:r>
      <w:r w:rsidR="00C619C7">
        <w:rPr>
          <w:rFonts w:asciiTheme="minorHAnsi" w:hAnsiTheme="minorHAnsi" w:cstheme="minorHAnsi"/>
          <w:sz w:val="22"/>
          <w:szCs w:val="22"/>
        </w:rPr>
        <w:t>-p</w:t>
      </w:r>
      <w:r w:rsidR="000E76B3">
        <w:rPr>
          <w:rFonts w:asciiTheme="minorHAnsi" w:hAnsiTheme="minorHAnsi" w:cstheme="minorHAnsi"/>
          <w:sz w:val="22"/>
          <w:szCs w:val="22"/>
        </w:rPr>
        <w:t>eer</w:t>
      </w:r>
      <w:r w:rsidR="000E76B3" w:rsidRPr="00D355BE">
        <w:rPr>
          <w:rFonts w:asciiTheme="minorHAnsi" w:hAnsiTheme="minorHAnsi" w:cstheme="minorHAnsi"/>
          <w:sz w:val="22"/>
          <w:szCs w:val="22"/>
        </w:rPr>
        <w:t xml:space="preserve"> </w:t>
      </w:r>
      <w:r w:rsidR="00856D57" w:rsidRPr="00D355BE">
        <w:rPr>
          <w:rFonts w:asciiTheme="minorHAnsi" w:hAnsiTheme="minorHAnsi" w:cstheme="minorHAnsi"/>
          <w:sz w:val="22"/>
          <w:szCs w:val="22"/>
        </w:rPr>
        <w:t>model</w:t>
      </w:r>
      <w:r w:rsidR="00C711DE">
        <w:rPr>
          <w:rFonts w:asciiTheme="minorHAnsi" w:hAnsiTheme="minorHAnsi" w:cstheme="minorHAnsi"/>
          <w:sz w:val="22"/>
          <w:szCs w:val="22"/>
        </w:rPr>
        <w:t>,</w:t>
      </w:r>
      <w:r w:rsidR="00366AA5">
        <w:rPr>
          <w:rFonts w:asciiTheme="minorHAnsi" w:hAnsiTheme="minorHAnsi" w:cstheme="minorHAnsi"/>
          <w:sz w:val="22"/>
          <w:szCs w:val="22"/>
        </w:rPr>
        <w:t xml:space="preserve"> informed by </w:t>
      </w:r>
      <w:r w:rsidR="005918C5" w:rsidRPr="00D355BE">
        <w:rPr>
          <w:rFonts w:asciiTheme="minorHAnsi" w:hAnsiTheme="minorHAnsi" w:cstheme="minorHAnsi"/>
          <w:sz w:val="22"/>
          <w:szCs w:val="22"/>
        </w:rPr>
        <w:t xml:space="preserve">consultation </w:t>
      </w:r>
      <w:r w:rsidR="00D355BE">
        <w:rPr>
          <w:rFonts w:asciiTheme="minorHAnsi" w:hAnsiTheme="minorHAnsi" w:cstheme="minorHAnsi"/>
          <w:sz w:val="22"/>
          <w:szCs w:val="22"/>
        </w:rPr>
        <w:t xml:space="preserve">on the draft </w:t>
      </w:r>
      <w:r w:rsidR="00DC260A">
        <w:rPr>
          <w:rFonts w:asciiTheme="minorHAnsi" w:hAnsiTheme="minorHAnsi" w:cstheme="minorHAnsi"/>
          <w:sz w:val="22"/>
          <w:szCs w:val="22"/>
        </w:rPr>
        <w:t xml:space="preserve">CDR </w:t>
      </w:r>
      <w:r w:rsidR="00D355BE">
        <w:rPr>
          <w:rFonts w:asciiTheme="minorHAnsi" w:hAnsiTheme="minorHAnsi" w:cstheme="minorHAnsi"/>
          <w:sz w:val="22"/>
          <w:szCs w:val="22"/>
        </w:rPr>
        <w:t>energy rules.</w:t>
      </w:r>
      <w:r w:rsidR="009C3A99">
        <w:rPr>
          <w:rFonts w:asciiTheme="minorHAnsi" w:hAnsiTheme="minorHAnsi" w:cstheme="minorHAnsi"/>
          <w:sz w:val="22"/>
          <w:szCs w:val="22"/>
        </w:rPr>
        <w:t xml:space="preserve"> The supplementary analysis outlines some of the </w:t>
      </w:r>
      <w:r w:rsidR="00366AA5">
        <w:rPr>
          <w:rFonts w:asciiTheme="minorHAnsi" w:hAnsiTheme="minorHAnsi" w:cstheme="minorHAnsi"/>
          <w:sz w:val="22"/>
          <w:szCs w:val="22"/>
        </w:rPr>
        <w:t>f</w:t>
      </w:r>
      <w:r w:rsidR="008A5AD8">
        <w:rPr>
          <w:rFonts w:asciiTheme="minorHAnsi" w:hAnsiTheme="minorHAnsi" w:cstheme="minorHAnsi"/>
          <w:sz w:val="22"/>
          <w:szCs w:val="22"/>
        </w:rPr>
        <w:t xml:space="preserve">eedback </w:t>
      </w:r>
      <w:r w:rsidR="00366AA5">
        <w:rPr>
          <w:rFonts w:asciiTheme="minorHAnsi" w:hAnsiTheme="minorHAnsi" w:cstheme="minorHAnsi"/>
          <w:sz w:val="22"/>
          <w:szCs w:val="22"/>
        </w:rPr>
        <w:t xml:space="preserve">from stakeholders </w:t>
      </w:r>
      <w:r w:rsidR="009C3A99">
        <w:rPr>
          <w:rFonts w:asciiTheme="minorHAnsi" w:hAnsiTheme="minorHAnsi" w:cstheme="minorHAnsi"/>
          <w:sz w:val="22"/>
          <w:szCs w:val="22"/>
        </w:rPr>
        <w:t>on policy issues</w:t>
      </w:r>
      <w:r w:rsidR="00062F68">
        <w:rPr>
          <w:rFonts w:asciiTheme="minorHAnsi" w:hAnsiTheme="minorHAnsi" w:cstheme="minorHAnsi"/>
          <w:sz w:val="22"/>
          <w:szCs w:val="22"/>
        </w:rPr>
        <w:t xml:space="preserve"> that has informed</w:t>
      </w:r>
      <w:r w:rsidR="009C3A99">
        <w:rPr>
          <w:rFonts w:asciiTheme="minorHAnsi" w:hAnsiTheme="minorHAnsi" w:cstheme="minorHAnsi"/>
          <w:sz w:val="22"/>
          <w:szCs w:val="22"/>
        </w:rPr>
        <w:t xml:space="preserve"> the </w:t>
      </w:r>
      <w:r w:rsidR="00062F68">
        <w:rPr>
          <w:rFonts w:asciiTheme="minorHAnsi" w:hAnsiTheme="minorHAnsi" w:cstheme="minorHAnsi"/>
          <w:sz w:val="22"/>
          <w:szCs w:val="22"/>
        </w:rPr>
        <w:t xml:space="preserve">final </w:t>
      </w:r>
      <w:r w:rsidR="00DC260A">
        <w:rPr>
          <w:rFonts w:asciiTheme="minorHAnsi" w:hAnsiTheme="minorHAnsi" w:cstheme="minorHAnsi"/>
          <w:sz w:val="22"/>
          <w:szCs w:val="22"/>
        </w:rPr>
        <w:t xml:space="preserve">CDR </w:t>
      </w:r>
      <w:r w:rsidR="009C3A99">
        <w:rPr>
          <w:rFonts w:asciiTheme="minorHAnsi" w:hAnsiTheme="minorHAnsi" w:cstheme="minorHAnsi"/>
          <w:sz w:val="22"/>
          <w:szCs w:val="22"/>
        </w:rPr>
        <w:t xml:space="preserve">rules </w:t>
      </w:r>
      <w:r w:rsidR="004C0003">
        <w:rPr>
          <w:rFonts w:asciiTheme="minorHAnsi" w:hAnsiTheme="minorHAnsi" w:cstheme="minorHAnsi"/>
          <w:sz w:val="22"/>
          <w:szCs w:val="22"/>
        </w:rPr>
        <w:t>in relation to implementation issues</w:t>
      </w:r>
      <w:r w:rsidR="008A5AD8">
        <w:rPr>
          <w:rFonts w:asciiTheme="minorHAnsi" w:hAnsiTheme="minorHAnsi" w:cstheme="minorHAnsi"/>
          <w:sz w:val="22"/>
          <w:szCs w:val="22"/>
        </w:rPr>
        <w:t xml:space="preserve">. </w:t>
      </w:r>
    </w:p>
    <w:p w14:paraId="7D0CC7DC" w14:textId="2C3A39AA" w:rsidR="000C7E80" w:rsidRPr="00D355BE" w:rsidRDefault="000C7E80" w:rsidP="00D355BE">
      <w:pPr>
        <w:pStyle w:val="BodyText"/>
        <w:jc w:val="left"/>
        <w:rPr>
          <w:rFonts w:asciiTheme="minorHAnsi" w:hAnsiTheme="minorHAnsi" w:cstheme="minorHAnsi"/>
          <w:sz w:val="22"/>
          <w:szCs w:val="22"/>
        </w:rPr>
      </w:pPr>
      <w:r>
        <w:rPr>
          <w:rFonts w:asciiTheme="minorHAnsi" w:hAnsiTheme="minorHAnsi" w:cstheme="minorHAnsi"/>
          <w:sz w:val="22"/>
          <w:szCs w:val="22"/>
        </w:rPr>
        <w:t>Should the Office of Best Practice Regulation have any further queries in relation to this matter, please contact Treasury</w:t>
      </w:r>
      <w:r w:rsidR="006F0CD3">
        <w:rPr>
          <w:rFonts w:asciiTheme="minorHAnsi" w:hAnsiTheme="minorHAnsi" w:cstheme="minorHAnsi"/>
          <w:sz w:val="22"/>
          <w:szCs w:val="22"/>
        </w:rPr>
        <w:t>’s Consumer Data Right Division</w:t>
      </w:r>
      <w:r>
        <w:rPr>
          <w:rFonts w:asciiTheme="minorHAnsi" w:hAnsiTheme="minorHAnsi" w:cstheme="minorHAnsi"/>
          <w:sz w:val="22"/>
          <w:szCs w:val="22"/>
        </w:rPr>
        <w:t xml:space="preserve">. </w:t>
      </w:r>
    </w:p>
    <w:p w14:paraId="021E2976" w14:textId="77777777" w:rsidR="008B6E48" w:rsidRDefault="008B6E48" w:rsidP="008B6E48">
      <w:pPr>
        <w:pStyle w:val="BodyText"/>
        <w:spacing w:before="0" w:line="240" w:lineRule="auto"/>
        <w:jc w:val="left"/>
        <w:rPr>
          <w:rFonts w:asciiTheme="minorHAnsi" w:hAnsiTheme="minorHAnsi" w:cstheme="minorHAnsi"/>
          <w:color w:val="000000" w:themeColor="text1"/>
          <w:sz w:val="22"/>
          <w:szCs w:val="22"/>
        </w:rPr>
      </w:pPr>
    </w:p>
    <w:p w14:paraId="2BF4B49C" w14:textId="77777777" w:rsidR="00EB7923" w:rsidRPr="00EB7923" w:rsidRDefault="00EB7923" w:rsidP="008B6E48">
      <w:pPr>
        <w:pStyle w:val="BodyText"/>
        <w:spacing w:before="0" w:line="240" w:lineRule="auto"/>
        <w:jc w:val="left"/>
        <w:rPr>
          <w:rFonts w:asciiTheme="minorHAnsi" w:hAnsiTheme="minorHAnsi" w:cstheme="minorHAnsi"/>
          <w:iCs/>
          <w:color w:val="000000" w:themeColor="text1"/>
          <w:sz w:val="22"/>
          <w:szCs w:val="22"/>
        </w:rPr>
      </w:pPr>
    </w:p>
    <w:p w14:paraId="35420AEE" w14:textId="77777777" w:rsidR="00756300" w:rsidRDefault="00085971">
      <w:pPr>
        <w:spacing w:after="0"/>
      </w:pPr>
      <w:r>
        <w:t>Yours sincerely</w:t>
      </w:r>
      <w:r w:rsidR="00F05D7C">
        <w:br/>
      </w:r>
    </w:p>
    <w:p w14:paraId="12E038B3" w14:textId="725FF85A" w:rsidR="00085971" w:rsidRDefault="00080BE0">
      <w:pPr>
        <w:spacing w:after="0"/>
      </w:pPr>
      <w:r>
        <w:rPr>
          <w:noProof/>
        </w:rPr>
        <w:drawing>
          <wp:inline distT="0" distB="0" distL="0" distR="0" wp14:anchorId="5AB39D3A" wp14:editId="32E766D0">
            <wp:extent cx="1508883" cy="630396"/>
            <wp:effectExtent l="0" t="0" r="0" b="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683" cy="649113"/>
                    </a:xfrm>
                    <a:prstGeom prst="rect">
                      <a:avLst/>
                    </a:prstGeom>
                  </pic:spPr>
                </pic:pic>
              </a:graphicData>
            </a:graphic>
          </wp:inline>
        </w:drawing>
      </w:r>
      <w:r w:rsidR="00F05D7C">
        <w:br/>
      </w:r>
      <w:r w:rsidR="00085971">
        <w:t>Meghan Quinn</w:t>
      </w:r>
      <w:r w:rsidR="00F85D6F">
        <w:t xml:space="preserve"> PSM</w:t>
      </w:r>
    </w:p>
    <w:p w14:paraId="430907E5" w14:textId="0044690C" w:rsidR="00F85D6F" w:rsidRDefault="00085971">
      <w:pPr>
        <w:spacing w:after="0"/>
      </w:pPr>
      <w:r>
        <w:t>Deputy Secretary</w:t>
      </w:r>
    </w:p>
    <w:p w14:paraId="455D0A44" w14:textId="5535324F" w:rsidR="000E76B3" w:rsidRPr="007334A7" w:rsidRDefault="00085971" w:rsidP="00294249">
      <w:pPr>
        <w:spacing w:after="0"/>
        <w:sectPr w:rsidR="000E76B3" w:rsidRPr="007334A7" w:rsidSect="00294249">
          <w:headerReference w:type="default" r:id="rId9"/>
          <w:footerReference w:type="even" r:id="rId10"/>
          <w:footerReference w:type="default" r:id="rId11"/>
          <w:headerReference w:type="first" r:id="rId12"/>
          <w:footerReference w:type="first" r:id="rId13"/>
          <w:pgSz w:w="11907" w:h="16840" w:code="9"/>
          <w:pgMar w:top="1134" w:right="1134" w:bottom="1701" w:left="1134" w:header="425" w:footer="510" w:gutter="0"/>
          <w:cols w:space="720"/>
          <w:titlePg/>
        </w:sectPr>
      </w:pPr>
      <w:r>
        <w:t>Markets Group</w:t>
      </w:r>
      <w:r w:rsidR="00F85D6F">
        <w:t xml:space="preserve">, </w:t>
      </w:r>
      <w:r w:rsidR="008B6E48">
        <w:t>Treasury</w:t>
      </w:r>
      <w:r w:rsidR="007334A7">
        <w:tab/>
      </w:r>
    </w:p>
    <w:p w14:paraId="494F27FE" w14:textId="2BCEEAF8" w:rsidR="002B4C27" w:rsidRPr="002776EB" w:rsidDel="00715FE5" w:rsidRDefault="002B4C27" w:rsidP="00CD0A46">
      <w:pPr>
        <w:pStyle w:val="Heading2"/>
        <w:spacing w:after="240"/>
      </w:pPr>
      <w:r w:rsidRPr="002776EB">
        <w:lastRenderedPageBreak/>
        <w:t>Attachment A</w:t>
      </w:r>
      <w:r w:rsidRPr="00356ECE">
        <w:t xml:space="preserve"> – </w:t>
      </w:r>
      <w:r>
        <w:t xml:space="preserve">Regulatory </w:t>
      </w:r>
      <w:r w:rsidR="00F152D5">
        <w:t xml:space="preserve">Burden </w:t>
      </w:r>
      <w:r>
        <w:t xml:space="preserve">Assessment </w:t>
      </w:r>
    </w:p>
    <w:p w14:paraId="251A6259" w14:textId="3586E15D" w:rsidR="00E30861" w:rsidRPr="0039743C" w:rsidRDefault="00300773" w:rsidP="00CD0A46">
      <w:pPr>
        <w:pStyle w:val="Heading3"/>
        <w:spacing w:after="240"/>
      </w:pPr>
      <w:r w:rsidRPr="0039743C">
        <w:t>Summary</w:t>
      </w:r>
    </w:p>
    <w:p w14:paraId="4CA5B7D2" w14:textId="507356EE" w:rsidR="00466F38" w:rsidRDefault="00466F38" w:rsidP="00CD0A46">
      <w:pPr>
        <w:spacing w:after="120"/>
        <w:rPr>
          <w:iCs/>
        </w:rPr>
      </w:pPr>
      <w:r>
        <w:rPr>
          <w:rFonts w:asciiTheme="minorHAnsi" w:hAnsiTheme="minorHAnsi" w:cstheme="minorHAnsi"/>
          <w:iCs/>
          <w:szCs w:val="22"/>
        </w:rPr>
        <w:t>Treasury has framed this Regulatory Burden A</w:t>
      </w:r>
      <w:r w:rsidRPr="00507C6F">
        <w:rPr>
          <w:rFonts w:asciiTheme="minorHAnsi" w:hAnsiTheme="minorHAnsi" w:cstheme="minorHAnsi"/>
          <w:iCs/>
          <w:szCs w:val="22"/>
        </w:rPr>
        <w:t>ssessment</w:t>
      </w:r>
      <w:r w:rsidRPr="00836681">
        <w:rPr>
          <w:rFonts w:asciiTheme="minorHAnsi" w:hAnsiTheme="minorHAnsi" w:cstheme="minorHAnsi"/>
          <w:i/>
          <w:iCs/>
          <w:szCs w:val="22"/>
        </w:rPr>
        <w:t xml:space="preserve"> </w:t>
      </w:r>
      <w:r>
        <w:rPr>
          <w:rFonts w:asciiTheme="minorHAnsi" w:hAnsiTheme="minorHAnsi" w:cstheme="minorHAnsi"/>
          <w:iCs/>
          <w:szCs w:val="22"/>
        </w:rPr>
        <w:t>against the seven RIS questions</w:t>
      </w:r>
      <w:r w:rsidRPr="006035A8">
        <w:rPr>
          <w:rFonts w:asciiTheme="minorHAnsi" w:hAnsiTheme="minorHAnsi" w:cstheme="minorHAnsi"/>
          <w:iCs/>
          <w:szCs w:val="22"/>
        </w:rPr>
        <w:t xml:space="preserve"> </w:t>
      </w:r>
      <w:r w:rsidRPr="00A05A71">
        <w:rPr>
          <w:rFonts w:asciiTheme="minorHAnsi" w:hAnsiTheme="minorHAnsi" w:cstheme="minorHAnsi"/>
          <w:iCs/>
          <w:szCs w:val="22"/>
        </w:rPr>
        <w:t>in</w:t>
      </w:r>
      <w:r>
        <w:rPr>
          <w:rFonts w:asciiTheme="minorHAnsi" w:hAnsiTheme="minorHAnsi" w:cstheme="minorHAnsi"/>
          <w:i/>
          <w:iCs/>
          <w:szCs w:val="22"/>
        </w:rPr>
        <w:t xml:space="preserve"> </w:t>
      </w:r>
      <w:r w:rsidRPr="002129FA">
        <w:rPr>
          <w:rFonts w:asciiTheme="minorHAnsi" w:hAnsiTheme="minorHAnsi" w:cstheme="minorHAnsi"/>
          <w:iCs/>
          <w:szCs w:val="22"/>
        </w:rPr>
        <w:t>the</w:t>
      </w:r>
      <w:r>
        <w:rPr>
          <w:rFonts w:asciiTheme="minorHAnsi" w:hAnsiTheme="minorHAnsi" w:cstheme="minorHAnsi"/>
          <w:i/>
          <w:iCs/>
          <w:szCs w:val="22"/>
        </w:rPr>
        <w:t xml:space="preserve"> </w:t>
      </w:r>
      <w:r w:rsidRPr="00A05A71">
        <w:rPr>
          <w:rFonts w:asciiTheme="minorHAnsi" w:hAnsiTheme="minorHAnsi" w:cstheme="minorHAnsi"/>
          <w:iCs/>
          <w:szCs w:val="22"/>
        </w:rPr>
        <w:t>Government’s</w:t>
      </w:r>
      <w:r>
        <w:rPr>
          <w:rFonts w:asciiTheme="minorHAnsi" w:hAnsiTheme="minorHAnsi" w:cstheme="minorHAnsi"/>
          <w:i/>
          <w:iCs/>
          <w:szCs w:val="22"/>
        </w:rPr>
        <w:t xml:space="preserve"> </w:t>
      </w:r>
      <w:r w:rsidRPr="00A05A71">
        <w:rPr>
          <w:rFonts w:asciiTheme="minorHAnsi" w:hAnsiTheme="minorHAnsi" w:cstheme="minorHAnsi"/>
          <w:i/>
          <w:iCs/>
          <w:szCs w:val="22"/>
        </w:rPr>
        <w:t>Independent Reviews, RIS-like Processes and the Regulation</w:t>
      </w:r>
      <w:r>
        <w:rPr>
          <w:rFonts w:asciiTheme="minorHAnsi" w:hAnsiTheme="minorHAnsi" w:cstheme="minorHAnsi"/>
          <w:i/>
          <w:iCs/>
          <w:szCs w:val="22"/>
        </w:rPr>
        <w:t xml:space="preserve"> Impact Statement Requirements Guidance Note </w:t>
      </w:r>
      <w:r>
        <w:t xml:space="preserve">published on the Department of </w:t>
      </w:r>
      <w:r w:rsidR="00B43685">
        <w:t xml:space="preserve">the </w:t>
      </w:r>
      <w:r>
        <w:t xml:space="preserve">Prime Minister and Cabinet’s </w:t>
      </w:r>
      <w:hyperlink r:id="rId14" w:history="1">
        <w:r>
          <w:rPr>
            <w:rStyle w:val="Hyperlink"/>
          </w:rPr>
          <w:t>website</w:t>
        </w:r>
      </w:hyperlink>
      <w:r>
        <w:rPr>
          <w:rFonts w:asciiTheme="minorHAnsi" w:hAnsiTheme="minorHAnsi" w:cstheme="minorHAnsi"/>
          <w:i/>
          <w:iCs/>
          <w:szCs w:val="22"/>
        </w:rPr>
        <w:t>.</w:t>
      </w:r>
    </w:p>
    <w:p w14:paraId="0C89D11A" w14:textId="77777777" w:rsidR="00466F38" w:rsidRPr="00200E48" w:rsidRDefault="00466F38" w:rsidP="00466F38">
      <w:pPr>
        <w:rPr>
          <w:i/>
          <w:iCs/>
        </w:rPr>
      </w:pPr>
      <w:r>
        <w:rPr>
          <w:noProof/>
        </w:rPr>
        <w:drawing>
          <wp:inline distT="0" distB="0" distL="0" distR="0" wp14:anchorId="448C17C8" wp14:editId="4D793E21">
            <wp:extent cx="6120765" cy="881439"/>
            <wp:effectExtent l="0" t="0" r="0" b="0"/>
            <wp:docPr id="2" name="Picture 2" descr="cid:image001.png@01D71FE6.B7F07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1FE6.B7F07F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881439"/>
                    </a:xfrm>
                    <a:prstGeom prst="rect">
                      <a:avLst/>
                    </a:prstGeom>
                    <a:noFill/>
                    <a:ln>
                      <a:noFill/>
                    </a:ln>
                  </pic:spPr>
                </pic:pic>
              </a:graphicData>
            </a:graphic>
          </wp:inline>
        </w:drawing>
      </w:r>
    </w:p>
    <w:p w14:paraId="712A64B8" w14:textId="03A7E1E9" w:rsidR="00974722" w:rsidRDefault="00D819D6" w:rsidP="00CD0A46">
      <w:pPr>
        <w:spacing w:after="200"/>
      </w:pPr>
      <w:r>
        <w:rPr>
          <w:rFonts w:asciiTheme="minorHAnsi" w:hAnsiTheme="minorHAnsi" w:cstheme="minorHAnsi"/>
          <w:iCs/>
          <w:szCs w:val="22"/>
        </w:rPr>
        <w:t>This</w:t>
      </w:r>
      <w:r w:rsidR="00507C6F" w:rsidRPr="00F47840" w:rsidDel="00466F38">
        <w:rPr>
          <w:rFonts w:asciiTheme="minorHAnsi" w:hAnsiTheme="minorHAnsi" w:cstheme="minorHAnsi"/>
          <w:iCs/>
          <w:szCs w:val="22"/>
        </w:rPr>
        <w:t xml:space="preserve"> </w:t>
      </w:r>
      <w:r w:rsidR="00466F38">
        <w:rPr>
          <w:rFonts w:asciiTheme="minorHAnsi" w:hAnsiTheme="minorHAnsi" w:cstheme="minorHAnsi"/>
          <w:szCs w:val="22"/>
        </w:rPr>
        <w:t xml:space="preserve">assessment </w:t>
      </w:r>
      <w:r w:rsidR="006D0CFD">
        <w:rPr>
          <w:rFonts w:asciiTheme="minorHAnsi" w:hAnsiTheme="minorHAnsi" w:cstheme="minorHAnsi"/>
          <w:szCs w:val="22"/>
        </w:rPr>
        <w:t>consider</w:t>
      </w:r>
      <w:r w:rsidR="00084BD8">
        <w:rPr>
          <w:rFonts w:asciiTheme="minorHAnsi" w:hAnsiTheme="minorHAnsi" w:cstheme="minorHAnsi"/>
          <w:szCs w:val="22"/>
        </w:rPr>
        <w:t>s</w:t>
      </w:r>
      <w:r w:rsidR="006D0CFD">
        <w:rPr>
          <w:rFonts w:asciiTheme="minorHAnsi" w:hAnsiTheme="minorHAnsi" w:cstheme="minorHAnsi"/>
          <w:szCs w:val="22"/>
        </w:rPr>
        <w:t xml:space="preserve"> the most effective means of facilitating access to energy data under the consumer data right </w:t>
      </w:r>
      <w:r w:rsidR="00084BD8">
        <w:rPr>
          <w:rFonts w:asciiTheme="minorHAnsi" w:hAnsiTheme="minorHAnsi" w:cstheme="minorHAnsi"/>
          <w:szCs w:val="22"/>
        </w:rPr>
        <w:t>(CDR)</w:t>
      </w:r>
      <w:r w:rsidR="006D0CFD">
        <w:rPr>
          <w:rFonts w:asciiTheme="minorHAnsi" w:hAnsiTheme="minorHAnsi" w:cstheme="minorHAnsi"/>
          <w:szCs w:val="22"/>
        </w:rPr>
        <w:t xml:space="preserve"> and</w:t>
      </w:r>
      <w:r w:rsidR="00972619">
        <w:rPr>
          <w:rFonts w:asciiTheme="minorHAnsi" w:hAnsiTheme="minorHAnsi" w:cstheme="minorHAnsi"/>
          <w:szCs w:val="22"/>
        </w:rPr>
        <w:t xml:space="preserve"> is based on </w:t>
      </w:r>
      <w:r w:rsidR="001A139B">
        <w:t>the outcomes of</w:t>
      </w:r>
      <w:r w:rsidR="0046072F">
        <w:t xml:space="preserve"> </w:t>
      </w:r>
      <w:r w:rsidR="00F71609">
        <w:t>Grant Thornton’s</w:t>
      </w:r>
      <w:r w:rsidR="00507C6F">
        <w:t xml:space="preserve"> independent </w:t>
      </w:r>
      <w:r w:rsidR="008140FA" w:rsidRPr="00682BB8">
        <w:rPr>
          <w:i/>
        </w:rPr>
        <w:t xml:space="preserve">CDR Gateway </w:t>
      </w:r>
      <w:r w:rsidR="00D112CE" w:rsidRPr="00682BB8">
        <w:rPr>
          <w:i/>
        </w:rPr>
        <w:t xml:space="preserve">Model </w:t>
      </w:r>
      <w:r w:rsidR="008140FA" w:rsidRPr="00682BB8">
        <w:rPr>
          <w:i/>
        </w:rPr>
        <w:t>Review</w:t>
      </w:r>
      <w:r w:rsidR="00F8099C">
        <w:rPr>
          <w:i/>
        </w:rPr>
        <w:t xml:space="preserve"> </w:t>
      </w:r>
      <w:r w:rsidR="00F8099C">
        <w:rPr>
          <w:iCs/>
        </w:rPr>
        <w:t>(</w:t>
      </w:r>
      <w:r w:rsidR="00AE4772">
        <w:rPr>
          <w:iCs/>
        </w:rPr>
        <w:t>R</w:t>
      </w:r>
      <w:r w:rsidR="00F8099C">
        <w:rPr>
          <w:iCs/>
        </w:rPr>
        <w:t>eview)</w:t>
      </w:r>
      <w:r w:rsidR="009E4B2E">
        <w:rPr>
          <w:iCs/>
        </w:rPr>
        <w:t xml:space="preserve">, </w:t>
      </w:r>
      <w:r w:rsidR="0016183A">
        <w:rPr>
          <w:iCs/>
        </w:rPr>
        <w:t xml:space="preserve">the recommendations from </w:t>
      </w:r>
      <w:bookmarkStart w:id="3" w:name="_Hlk85804197"/>
      <w:proofErr w:type="spellStart"/>
      <w:r w:rsidR="0016183A">
        <w:rPr>
          <w:iCs/>
        </w:rPr>
        <w:t>HoustonKemp’s</w:t>
      </w:r>
      <w:proofErr w:type="spellEnd"/>
      <w:r w:rsidR="0016183A">
        <w:rPr>
          <w:iCs/>
        </w:rPr>
        <w:t xml:space="preserve"> </w:t>
      </w:r>
      <w:r w:rsidR="0016183A">
        <w:t xml:space="preserve">report </w:t>
      </w:r>
      <w:r w:rsidR="0016183A">
        <w:rPr>
          <w:i/>
          <w:iCs/>
        </w:rPr>
        <w:t>Open consumer energy data: applying a Consumer Data Right to the energy sector</w:t>
      </w:r>
      <w:bookmarkEnd w:id="3"/>
      <w:r w:rsidR="0016183A">
        <w:t>,</w:t>
      </w:r>
      <w:r w:rsidR="0016183A">
        <w:rPr>
          <w:i/>
          <w:iCs/>
        </w:rPr>
        <w:t xml:space="preserve"> </w:t>
      </w:r>
      <w:r w:rsidR="009E4B2E">
        <w:rPr>
          <w:iCs/>
        </w:rPr>
        <w:t>previous regulation impact work undertaken</w:t>
      </w:r>
      <w:r w:rsidR="00756300">
        <w:rPr>
          <w:iCs/>
        </w:rPr>
        <w:t xml:space="preserve"> </w:t>
      </w:r>
      <w:r w:rsidR="00024589">
        <w:rPr>
          <w:iCs/>
        </w:rPr>
        <w:t xml:space="preserve">and </w:t>
      </w:r>
      <w:r w:rsidR="009E4B2E">
        <w:rPr>
          <w:iCs/>
        </w:rPr>
        <w:t xml:space="preserve">supplementary analysis conducted by Treasury. </w:t>
      </w:r>
    </w:p>
    <w:p w14:paraId="623049A0" w14:textId="5A92599F" w:rsidR="0016183A" w:rsidRDefault="00972619" w:rsidP="00CD0A46">
      <w:pPr>
        <w:spacing w:after="200"/>
      </w:pPr>
      <w:r>
        <w:t>The Review</w:t>
      </w:r>
      <w:r w:rsidR="0016183A">
        <w:t xml:space="preserve"> considered the regulatory impacts and compliance costs associated with the use of a peer</w:t>
      </w:r>
      <w:r w:rsidR="00CB5E4C">
        <w:noBreakHyphen/>
      </w:r>
      <w:r w:rsidR="0016183A">
        <w:t>to-peer model in the energy sector, under which retailers would be responsible for providing CDR data held by themselves and AEMO to accredited data recipients (i</w:t>
      </w:r>
      <w:r w:rsidR="00C6447D">
        <w:t>.</w:t>
      </w:r>
      <w:r w:rsidR="0016183A">
        <w:t>e</w:t>
      </w:r>
      <w:r w:rsidR="00C6447D">
        <w:t>.</w:t>
      </w:r>
      <w:r w:rsidR="0016183A">
        <w:t xml:space="preserve"> the model used in the banking sector, but with adjustments to accommodate that AEMO as a data holder cannot authenticate CDR consumers or perform consumer-facing functions such as providing a consumer dashboard).  </w:t>
      </w:r>
    </w:p>
    <w:p w14:paraId="510F7093" w14:textId="5E250B07" w:rsidR="00397249" w:rsidRDefault="00D65535" w:rsidP="00CD0A46">
      <w:pPr>
        <w:spacing w:after="200"/>
      </w:pPr>
      <w:r>
        <w:t xml:space="preserve">The </w:t>
      </w:r>
      <w:r w:rsidR="00AE4772">
        <w:t>R</w:t>
      </w:r>
      <w:r w:rsidR="002C4D47" w:rsidRPr="002C4D47">
        <w:t xml:space="preserve">eview, </w:t>
      </w:r>
      <w:r w:rsidR="0046072F" w:rsidRPr="002C4D47">
        <w:t>based</w:t>
      </w:r>
      <w:r w:rsidR="0046072F">
        <w:t xml:space="preserve"> on consultations with selected stakeholders and information provided, concluded that </w:t>
      </w:r>
      <w:r w:rsidR="0046072F" w:rsidRPr="0045241B">
        <w:t xml:space="preserve">the </w:t>
      </w:r>
      <w:r w:rsidR="00C619C7">
        <w:rPr>
          <w:rFonts w:asciiTheme="minorHAnsi" w:hAnsiTheme="minorHAnsi" w:cstheme="minorHAnsi"/>
          <w:szCs w:val="22"/>
        </w:rPr>
        <w:t>p</w:t>
      </w:r>
      <w:r w:rsidR="0046072F" w:rsidRPr="007C242F">
        <w:rPr>
          <w:rFonts w:asciiTheme="minorHAnsi" w:hAnsiTheme="minorHAnsi" w:cstheme="minorHAnsi"/>
          <w:szCs w:val="22"/>
        </w:rPr>
        <w:t>eer</w:t>
      </w:r>
      <w:r w:rsidR="00CE67CC">
        <w:rPr>
          <w:rFonts w:asciiTheme="minorHAnsi" w:hAnsiTheme="minorHAnsi" w:cstheme="minorHAnsi"/>
          <w:szCs w:val="22"/>
        </w:rPr>
        <w:t>-</w:t>
      </w:r>
      <w:r w:rsidR="00C619C7" w:rsidRPr="007C242F">
        <w:rPr>
          <w:rFonts w:asciiTheme="minorHAnsi" w:hAnsiTheme="minorHAnsi" w:cstheme="minorHAnsi"/>
          <w:szCs w:val="22"/>
        </w:rPr>
        <w:t>to</w:t>
      </w:r>
      <w:r w:rsidR="00C619C7">
        <w:rPr>
          <w:rFonts w:asciiTheme="minorHAnsi" w:hAnsiTheme="minorHAnsi" w:cstheme="minorHAnsi"/>
          <w:szCs w:val="22"/>
        </w:rPr>
        <w:t>-p</w:t>
      </w:r>
      <w:r w:rsidR="0046072F" w:rsidRPr="007C242F">
        <w:rPr>
          <w:rFonts w:asciiTheme="minorHAnsi" w:hAnsiTheme="minorHAnsi" w:cstheme="minorHAnsi"/>
          <w:szCs w:val="22"/>
        </w:rPr>
        <w:t>eer</w:t>
      </w:r>
      <w:r w:rsidR="00C619C7" w:rsidRPr="007C242F" w:rsidDel="00AF2422">
        <w:rPr>
          <w:rFonts w:asciiTheme="minorHAnsi" w:hAnsiTheme="minorHAnsi" w:cstheme="minorHAnsi"/>
          <w:szCs w:val="22"/>
        </w:rPr>
        <w:t xml:space="preserve"> </w:t>
      </w:r>
      <w:r w:rsidR="0046072F" w:rsidRPr="0045241B">
        <w:t>model offer</w:t>
      </w:r>
      <w:r w:rsidR="000E76B3">
        <w:t>s</w:t>
      </w:r>
      <w:r w:rsidR="0046072F" w:rsidRPr="0045241B">
        <w:t xml:space="preserve"> </w:t>
      </w:r>
      <w:r w:rsidR="0002790B">
        <w:t>the best</w:t>
      </w:r>
      <w:r w:rsidR="0046072F" w:rsidRPr="0045241B">
        <w:t xml:space="preserve"> </w:t>
      </w:r>
      <w:r w:rsidR="0046072F">
        <w:t xml:space="preserve">solution for the CDR program </w:t>
      </w:r>
      <w:r w:rsidR="0057687D">
        <w:t>in energy</w:t>
      </w:r>
      <w:r w:rsidR="0002790B">
        <w:t xml:space="preserve"> to enable data sets held by both AEMO and energy retailers to be shared</w:t>
      </w:r>
      <w:r w:rsidR="0046072F">
        <w:t>.</w:t>
      </w:r>
      <w:r w:rsidR="00335446">
        <w:t xml:space="preserve"> Consistent with the recommendations of the Review, the </w:t>
      </w:r>
      <w:r w:rsidR="00741DA7">
        <w:t xml:space="preserve">CDR </w:t>
      </w:r>
      <w:r w:rsidR="00335446">
        <w:t>rules adopt a peer-to-peer</w:t>
      </w:r>
      <w:r w:rsidR="00183A76">
        <w:rPr>
          <w:i/>
        </w:rPr>
        <w:t xml:space="preserve"> </w:t>
      </w:r>
      <w:r w:rsidR="00335446" w:rsidRPr="00335446">
        <w:rPr>
          <w:iCs/>
        </w:rPr>
        <w:t>model as the preferred data access model</w:t>
      </w:r>
      <w:r w:rsidR="00335446">
        <w:rPr>
          <w:iCs/>
        </w:rPr>
        <w:t xml:space="preserve">, which is </w:t>
      </w:r>
      <w:r w:rsidR="0051359B">
        <w:t>expected to</w:t>
      </w:r>
      <w:r w:rsidR="00507C6F" w:rsidRPr="00F47840">
        <w:t xml:space="preserve"> </w:t>
      </w:r>
      <w:r w:rsidR="0051359B">
        <w:t>provide</w:t>
      </w:r>
      <w:r w:rsidR="00507C6F" w:rsidRPr="00F47840">
        <w:t xml:space="preserve"> </w:t>
      </w:r>
      <w:r w:rsidR="00CE63CF">
        <w:t xml:space="preserve">a range of </w:t>
      </w:r>
      <w:r w:rsidR="00507C6F" w:rsidRPr="00F47840">
        <w:t xml:space="preserve">regulatory benefits </w:t>
      </w:r>
      <w:r w:rsidR="0051359B">
        <w:t xml:space="preserve">and </w:t>
      </w:r>
      <w:r w:rsidR="00964C0E">
        <w:t xml:space="preserve">provides for a less costly data access model </w:t>
      </w:r>
      <w:r w:rsidR="00507C6F" w:rsidRPr="00F47840">
        <w:t xml:space="preserve">for </w:t>
      </w:r>
      <w:r w:rsidR="001E3151">
        <w:t xml:space="preserve">participants in the </w:t>
      </w:r>
      <w:r w:rsidR="0051359B">
        <w:t xml:space="preserve">CDR </w:t>
      </w:r>
      <w:r w:rsidR="001E3151">
        <w:t>ecosystem</w:t>
      </w:r>
      <w:r w:rsidR="00EB7774">
        <w:t>.</w:t>
      </w:r>
    </w:p>
    <w:p w14:paraId="00FD104A" w14:textId="3ECFF727" w:rsidR="00974722" w:rsidRPr="0046072F" w:rsidRDefault="00972619" w:rsidP="00CD0A46">
      <w:pPr>
        <w:spacing w:after="200"/>
        <w:rPr>
          <w:i/>
        </w:rPr>
      </w:pPr>
      <w:r>
        <w:t>Based on consultation, the proposed approach</w:t>
      </w:r>
      <w:r w:rsidR="00335446">
        <w:t xml:space="preserve"> to implement the CDR in the energy sector</w:t>
      </w:r>
      <w:r w:rsidR="007625BC">
        <w:t xml:space="preserve"> </w:t>
      </w:r>
      <w:r>
        <w:t xml:space="preserve">includes additional </w:t>
      </w:r>
      <w:r w:rsidR="00741DA7">
        <w:t xml:space="preserve">settings </w:t>
      </w:r>
      <w:r w:rsidR="00793806">
        <w:t>to minimise regulatory burden and account for sectoral differences in</w:t>
      </w:r>
      <w:r w:rsidR="00A31E56">
        <w:t xml:space="preserve"> the energy sector</w:t>
      </w:r>
      <w:r>
        <w:t xml:space="preserve">, </w:t>
      </w:r>
      <w:proofErr w:type="gramStart"/>
      <w:r>
        <w:t xml:space="preserve">including </w:t>
      </w:r>
      <w:r w:rsidR="00A31E56">
        <w:t xml:space="preserve"> </w:t>
      </w:r>
      <w:r>
        <w:t>the</w:t>
      </w:r>
      <w:proofErr w:type="gramEnd"/>
      <w:r>
        <w:t xml:space="preserve"> </w:t>
      </w:r>
      <w:r w:rsidR="00D65535">
        <w:t>scope of application</w:t>
      </w:r>
      <w:r>
        <w:t xml:space="preserve"> of the rules</w:t>
      </w:r>
      <w:r w:rsidR="00D65535">
        <w:t xml:space="preserve"> and</w:t>
      </w:r>
      <w:r>
        <w:t xml:space="preserve"> their</w:t>
      </w:r>
      <w:r w:rsidR="00A31E56">
        <w:t xml:space="preserve"> staged implementation</w:t>
      </w:r>
      <w:r w:rsidR="00793806">
        <w:t>.</w:t>
      </w:r>
    </w:p>
    <w:p w14:paraId="0C07F534" w14:textId="57C4234F" w:rsidR="008E7405" w:rsidRPr="00B4519B" w:rsidRDefault="00E831A1" w:rsidP="00CD0A46">
      <w:pPr>
        <w:pStyle w:val="Heading4"/>
        <w:spacing w:after="200"/>
        <w:rPr>
          <w:rStyle w:val="SubtleEmphasis"/>
          <w:rFonts w:cs="Times New Roman"/>
          <w:b w:val="0"/>
          <w:i w:val="0"/>
          <w:iCs w:val="0"/>
          <w:spacing w:val="0"/>
          <w:kern w:val="0"/>
          <w:sz w:val="22"/>
          <w:szCs w:val="20"/>
        </w:rPr>
      </w:pPr>
      <w:r w:rsidRPr="00B4519B">
        <w:rPr>
          <w:rStyle w:val="SubtleEmphasis"/>
          <w:i w:val="0"/>
          <w:iCs w:val="0"/>
        </w:rPr>
        <w:t>What is the problem you are trying to solve?</w:t>
      </w:r>
    </w:p>
    <w:p w14:paraId="7875B939" w14:textId="66C776C6" w:rsidR="004D08C8" w:rsidRDefault="00E6724A" w:rsidP="00CD0A46">
      <w:pPr>
        <w:pStyle w:val="NormalWeb"/>
        <w:spacing w:before="0" w:beforeAutospacing="0" w:after="200" w:afterAutospacing="0"/>
        <w:rPr>
          <w:rFonts w:asciiTheme="minorHAnsi" w:eastAsiaTheme="minorEastAsia" w:hAnsi="Calibri" w:cstheme="minorBidi"/>
          <w:bCs/>
          <w:color w:val="000000" w:themeColor="text1"/>
          <w:kern w:val="24"/>
          <w:sz w:val="22"/>
          <w:szCs w:val="22"/>
        </w:rPr>
      </w:pPr>
      <w:r>
        <w:rPr>
          <w:rFonts w:asciiTheme="minorHAnsi" w:hAnsiTheme="minorHAnsi" w:cstheme="minorHAnsi"/>
          <w:sz w:val="22"/>
          <w:szCs w:val="22"/>
        </w:rPr>
        <w:t>The</w:t>
      </w:r>
      <w:r w:rsidR="003604CC">
        <w:rPr>
          <w:rFonts w:asciiTheme="minorHAnsi" w:hAnsiTheme="minorHAnsi" w:cstheme="minorHAnsi"/>
          <w:sz w:val="22"/>
          <w:szCs w:val="22"/>
        </w:rPr>
        <w:t xml:space="preserve"> </w:t>
      </w:r>
      <w:r w:rsidR="00420828">
        <w:rPr>
          <w:rFonts w:asciiTheme="minorHAnsi" w:hAnsiTheme="minorHAnsi" w:cstheme="minorHAnsi"/>
          <w:sz w:val="22"/>
          <w:szCs w:val="22"/>
        </w:rPr>
        <w:t xml:space="preserve">Government’s </w:t>
      </w:r>
      <w:r>
        <w:rPr>
          <w:rFonts w:asciiTheme="minorHAnsi" w:hAnsiTheme="minorHAnsi" w:cstheme="minorHAnsi"/>
          <w:sz w:val="22"/>
          <w:szCs w:val="22"/>
        </w:rPr>
        <w:t xml:space="preserve">decision to apply </w:t>
      </w:r>
      <w:r w:rsidR="00BB32EA">
        <w:rPr>
          <w:rFonts w:asciiTheme="minorHAnsi" w:hAnsiTheme="minorHAnsi" w:cstheme="minorHAnsi"/>
          <w:sz w:val="22"/>
          <w:szCs w:val="22"/>
        </w:rPr>
        <w:t>the</w:t>
      </w:r>
      <w:r w:rsidR="00E5057A">
        <w:rPr>
          <w:rFonts w:asciiTheme="minorHAnsi" w:hAnsiTheme="minorHAnsi" w:cstheme="minorHAnsi"/>
          <w:sz w:val="22"/>
          <w:szCs w:val="22"/>
        </w:rPr>
        <w:t xml:space="preserve"> benefits of </w:t>
      </w:r>
      <w:r w:rsidR="0090658F">
        <w:rPr>
          <w:rFonts w:asciiTheme="minorHAnsi" w:hAnsiTheme="minorHAnsi" w:cstheme="minorHAnsi"/>
          <w:sz w:val="22"/>
          <w:szCs w:val="22"/>
        </w:rPr>
        <w:t xml:space="preserve">CDR </w:t>
      </w:r>
      <w:r w:rsidR="00E5057A">
        <w:rPr>
          <w:rFonts w:asciiTheme="minorHAnsi" w:hAnsiTheme="minorHAnsi" w:cstheme="minorHAnsi"/>
          <w:sz w:val="22"/>
          <w:szCs w:val="22"/>
        </w:rPr>
        <w:t xml:space="preserve">data sharing to energy </w:t>
      </w:r>
      <w:r w:rsidR="0090658F">
        <w:rPr>
          <w:rFonts w:asciiTheme="minorHAnsi" w:hAnsiTheme="minorHAnsi" w:cstheme="minorHAnsi"/>
          <w:sz w:val="22"/>
          <w:szCs w:val="22"/>
        </w:rPr>
        <w:t xml:space="preserve">consumers </w:t>
      </w:r>
      <w:r>
        <w:rPr>
          <w:rFonts w:asciiTheme="minorHAnsi" w:hAnsiTheme="minorHAnsi" w:cstheme="minorHAnsi"/>
          <w:sz w:val="22"/>
          <w:szCs w:val="22"/>
        </w:rPr>
        <w:t xml:space="preserve">was made in June 2020 </w:t>
      </w:r>
      <w:r w:rsidR="00E979AE">
        <w:rPr>
          <w:rFonts w:asciiTheme="minorHAnsi" w:hAnsiTheme="minorHAnsi" w:cstheme="minorHAnsi"/>
          <w:sz w:val="22"/>
          <w:szCs w:val="22"/>
        </w:rPr>
        <w:t>with the making of a designation instrument</w:t>
      </w:r>
      <w:r w:rsidR="00420828">
        <w:rPr>
          <w:rFonts w:asciiTheme="minorHAnsi" w:hAnsiTheme="minorHAnsi" w:cstheme="minorHAnsi"/>
          <w:sz w:val="22"/>
          <w:szCs w:val="22"/>
        </w:rPr>
        <w:t xml:space="preserve">. </w:t>
      </w:r>
      <w:r w:rsidR="004D08C8">
        <w:rPr>
          <w:rFonts w:asciiTheme="minorHAnsi" w:hAnsiTheme="minorHAnsi" w:cstheme="minorHAnsi"/>
          <w:sz w:val="22"/>
          <w:szCs w:val="22"/>
        </w:rPr>
        <w:t xml:space="preserve">The scope of the problem is the most effective means of facilitating access to energy data under the </w:t>
      </w:r>
      <w:r w:rsidR="0086246E">
        <w:rPr>
          <w:rFonts w:asciiTheme="minorHAnsi" w:hAnsiTheme="minorHAnsi" w:cstheme="minorHAnsi"/>
          <w:sz w:val="22"/>
          <w:szCs w:val="22"/>
        </w:rPr>
        <w:t>CDR</w:t>
      </w:r>
      <w:r w:rsidR="004D08C8">
        <w:rPr>
          <w:rFonts w:asciiTheme="minorHAnsi" w:hAnsiTheme="minorHAnsi" w:cstheme="minorHAnsi"/>
          <w:sz w:val="22"/>
          <w:szCs w:val="22"/>
        </w:rPr>
        <w:t xml:space="preserve"> in circumstances where energy data is held by both AEMO and by energy retailers.  </w:t>
      </w:r>
    </w:p>
    <w:p w14:paraId="29DA1AAE" w14:textId="1796DCAA" w:rsidR="00517BD7" w:rsidRDefault="00F7081A" w:rsidP="00CD0A46">
      <w:pPr>
        <w:pStyle w:val="NormalWeb"/>
        <w:spacing w:before="0" w:beforeAutospacing="0" w:after="200" w:afterAutospacing="0"/>
        <w:rPr>
          <w:rFonts w:asciiTheme="minorHAnsi" w:hAnsiTheme="minorHAnsi" w:cstheme="minorHAnsi"/>
          <w:sz w:val="22"/>
          <w:szCs w:val="22"/>
        </w:rPr>
      </w:pPr>
      <w:r w:rsidRPr="005B6F36">
        <w:rPr>
          <w:rFonts w:asciiTheme="minorHAnsi" w:eastAsiaTheme="minorEastAsia" w:hAnsi="Calibri" w:cstheme="minorBidi"/>
          <w:bCs/>
          <w:color w:val="000000" w:themeColor="text1"/>
          <w:kern w:val="24"/>
          <w:sz w:val="22"/>
          <w:szCs w:val="22"/>
        </w:rPr>
        <w:t>A</w:t>
      </w:r>
      <w:r w:rsidR="00080BE0">
        <w:rPr>
          <w:rFonts w:asciiTheme="minorHAnsi" w:eastAsiaTheme="minorEastAsia" w:hAnsi="Calibri" w:cstheme="minorBidi"/>
          <w:bCs/>
          <w:color w:val="000000" w:themeColor="text1"/>
          <w:kern w:val="24"/>
          <w:sz w:val="22"/>
          <w:szCs w:val="22"/>
        </w:rPr>
        <w:t xml:space="preserve">n important </w:t>
      </w:r>
      <w:r>
        <w:rPr>
          <w:rFonts w:asciiTheme="minorHAnsi" w:eastAsiaTheme="minorEastAsia" w:hAnsi="Calibri" w:cstheme="minorBidi"/>
          <w:bCs/>
          <w:color w:val="000000" w:themeColor="text1"/>
          <w:kern w:val="24"/>
          <w:sz w:val="22"/>
          <w:szCs w:val="22"/>
        </w:rPr>
        <w:t xml:space="preserve">element of </w:t>
      </w:r>
      <w:r w:rsidR="00B518FC">
        <w:rPr>
          <w:rFonts w:asciiTheme="minorHAnsi" w:eastAsiaTheme="minorEastAsia" w:hAnsi="Calibri" w:cstheme="minorBidi"/>
          <w:bCs/>
          <w:color w:val="000000" w:themeColor="text1"/>
          <w:kern w:val="24"/>
          <w:sz w:val="22"/>
          <w:szCs w:val="22"/>
        </w:rPr>
        <w:t xml:space="preserve">this problem is what data access model </w:t>
      </w:r>
      <w:r w:rsidR="00517BD7">
        <w:rPr>
          <w:rFonts w:asciiTheme="minorHAnsi" w:eastAsiaTheme="minorEastAsia" w:hAnsi="Calibri" w:cstheme="minorBidi"/>
          <w:bCs/>
          <w:color w:val="000000" w:themeColor="text1"/>
          <w:kern w:val="24"/>
          <w:sz w:val="22"/>
          <w:szCs w:val="22"/>
        </w:rPr>
        <w:t xml:space="preserve">would be </w:t>
      </w:r>
      <w:r w:rsidR="00B518FC">
        <w:rPr>
          <w:rFonts w:asciiTheme="minorHAnsi" w:eastAsiaTheme="minorEastAsia" w:hAnsi="Calibri" w:cstheme="minorBidi"/>
          <w:bCs/>
          <w:color w:val="000000" w:themeColor="text1"/>
          <w:kern w:val="24"/>
          <w:sz w:val="22"/>
          <w:szCs w:val="22"/>
        </w:rPr>
        <w:t>applied</w:t>
      </w:r>
      <w:r w:rsidR="00517BD7">
        <w:rPr>
          <w:rFonts w:asciiTheme="minorHAnsi" w:eastAsiaTheme="minorEastAsia" w:hAnsi="Calibri" w:cstheme="minorBidi"/>
          <w:bCs/>
          <w:color w:val="000000" w:themeColor="text1"/>
          <w:kern w:val="24"/>
          <w:sz w:val="22"/>
          <w:szCs w:val="22"/>
        </w:rPr>
        <w:t xml:space="preserve"> as this determines responsibility for obligations such as conducting authentication and authorisation processes, and providing a consumer dashboard. Analysis on the problem of the appropriate data access model (and </w:t>
      </w:r>
      <w:r w:rsidR="00952B0D">
        <w:rPr>
          <w:rFonts w:asciiTheme="minorHAnsi" w:eastAsiaTheme="minorEastAsia" w:hAnsi="Calibri" w:cstheme="minorBidi"/>
          <w:bCs/>
          <w:color w:val="000000" w:themeColor="text1"/>
          <w:kern w:val="24"/>
          <w:sz w:val="22"/>
          <w:szCs w:val="22"/>
        </w:rPr>
        <w:t xml:space="preserve">a </w:t>
      </w:r>
      <w:r w:rsidR="00517BD7">
        <w:rPr>
          <w:rFonts w:asciiTheme="minorHAnsi" w:eastAsiaTheme="minorEastAsia" w:hAnsi="Calibri" w:cstheme="minorBidi"/>
          <w:bCs/>
          <w:color w:val="000000" w:themeColor="text1"/>
          <w:kern w:val="24"/>
          <w:sz w:val="22"/>
          <w:szCs w:val="22"/>
        </w:rPr>
        <w:t xml:space="preserve">preferred option) was conducted as part of the Review. </w:t>
      </w:r>
    </w:p>
    <w:p w14:paraId="05FC90F8" w14:textId="77777777" w:rsidR="00517BD7" w:rsidRDefault="00517BD7" w:rsidP="00557AB4">
      <w:pPr>
        <w:pStyle w:val="NormalWeb"/>
        <w:spacing w:before="0" w:beforeAutospacing="0" w:after="0" w:afterAutospacing="0"/>
        <w:rPr>
          <w:rFonts w:asciiTheme="minorHAnsi" w:hAnsiTheme="minorHAnsi" w:cstheme="minorHAnsi"/>
          <w:sz w:val="22"/>
          <w:szCs w:val="22"/>
        </w:rPr>
      </w:pPr>
    </w:p>
    <w:p w14:paraId="40471B47" w14:textId="228E236E" w:rsidR="00420828" w:rsidRPr="00B21C70" w:rsidRDefault="00517BD7" w:rsidP="00CD0A46">
      <w:pPr>
        <w:pStyle w:val="NormalWeb"/>
        <w:keepLines/>
        <w:spacing w:before="0" w:beforeAutospacing="0" w:after="200" w:afterAutospacing="0"/>
        <w:rPr>
          <w:rFonts w:asciiTheme="minorHAnsi" w:eastAsiaTheme="minorEastAsia" w:hAnsi="Calibri" w:cstheme="minorBidi"/>
          <w:color w:val="000000" w:themeColor="text1"/>
          <w:kern w:val="24"/>
          <w:sz w:val="22"/>
          <w:szCs w:val="22"/>
        </w:rPr>
      </w:pPr>
      <w:r>
        <w:rPr>
          <w:rFonts w:asciiTheme="minorHAnsi" w:eastAsiaTheme="minorEastAsia" w:hAnsi="Calibri" w:cstheme="minorBidi"/>
          <w:bCs/>
          <w:color w:val="000000" w:themeColor="text1"/>
          <w:kern w:val="24"/>
          <w:sz w:val="22"/>
          <w:szCs w:val="22"/>
        </w:rPr>
        <w:lastRenderedPageBreak/>
        <w:t>With d</w:t>
      </w:r>
      <w:r w:rsidR="00E979AE">
        <w:rPr>
          <w:rFonts w:asciiTheme="minorHAnsi" w:eastAsiaTheme="minorEastAsia" w:hAnsi="Calibri" w:cstheme="minorBidi"/>
          <w:bCs/>
          <w:color w:val="000000" w:themeColor="text1"/>
          <w:kern w:val="24"/>
          <w:sz w:val="22"/>
          <w:szCs w:val="22"/>
        </w:rPr>
        <w:t>ata sharing for the energy sector to be implemented by</w:t>
      </w:r>
      <w:r w:rsidR="00F7081A">
        <w:rPr>
          <w:rFonts w:asciiTheme="minorHAnsi" w:eastAsiaTheme="minorEastAsia" w:hAnsi="Calibri" w:cstheme="minorBidi"/>
          <w:bCs/>
          <w:color w:val="000000" w:themeColor="text1"/>
          <w:kern w:val="24"/>
          <w:sz w:val="22"/>
          <w:szCs w:val="22"/>
        </w:rPr>
        <w:t xml:space="preserve"> a </w:t>
      </w:r>
      <w:r w:rsidR="00D34AFD">
        <w:rPr>
          <w:rFonts w:asciiTheme="minorHAnsi" w:eastAsiaTheme="minorEastAsia" w:hAnsi="Calibri" w:cstheme="minorBidi"/>
          <w:bCs/>
          <w:color w:val="000000" w:themeColor="text1"/>
          <w:kern w:val="24"/>
          <w:sz w:val="22"/>
          <w:szCs w:val="22"/>
        </w:rPr>
        <w:t>peer-to-peer</w:t>
      </w:r>
      <w:r w:rsidR="00F7081A">
        <w:rPr>
          <w:rFonts w:asciiTheme="minorHAnsi" w:eastAsiaTheme="minorEastAsia" w:hAnsi="Calibri" w:cstheme="minorBidi"/>
          <w:bCs/>
          <w:color w:val="000000" w:themeColor="text1"/>
          <w:kern w:val="24"/>
          <w:sz w:val="22"/>
          <w:szCs w:val="22"/>
        </w:rPr>
        <w:t xml:space="preserve"> data access model</w:t>
      </w:r>
      <w:r>
        <w:rPr>
          <w:rFonts w:asciiTheme="minorHAnsi" w:eastAsiaTheme="minorEastAsia" w:hAnsi="Calibri" w:cstheme="minorBidi"/>
          <w:bCs/>
          <w:color w:val="000000" w:themeColor="text1"/>
          <w:kern w:val="24"/>
          <w:sz w:val="22"/>
          <w:szCs w:val="22"/>
        </w:rPr>
        <w:t xml:space="preserve">, an ancillary problem </w:t>
      </w:r>
      <w:r w:rsidR="00952B0D">
        <w:rPr>
          <w:rFonts w:asciiTheme="minorHAnsi" w:eastAsiaTheme="minorEastAsia" w:hAnsi="Calibri" w:cstheme="minorBidi"/>
          <w:bCs/>
          <w:color w:val="000000" w:themeColor="text1"/>
          <w:kern w:val="24"/>
          <w:sz w:val="22"/>
          <w:szCs w:val="22"/>
        </w:rPr>
        <w:t>arises</w:t>
      </w:r>
      <w:r>
        <w:rPr>
          <w:rFonts w:asciiTheme="minorHAnsi" w:eastAsiaTheme="minorEastAsia" w:hAnsi="Calibri" w:cstheme="minorBidi"/>
          <w:bCs/>
          <w:color w:val="000000" w:themeColor="text1"/>
          <w:kern w:val="24"/>
          <w:sz w:val="22"/>
          <w:szCs w:val="22"/>
        </w:rPr>
        <w:t xml:space="preserve"> </w:t>
      </w:r>
      <w:r w:rsidR="00952B0D">
        <w:rPr>
          <w:rFonts w:asciiTheme="minorHAnsi" w:eastAsiaTheme="minorEastAsia" w:hAnsi="Calibri" w:cstheme="minorBidi"/>
          <w:bCs/>
          <w:color w:val="000000" w:themeColor="text1"/>
          <w:kern w:val="24"/>
          <w:sz w:val="22"/>
          <w:szCs w:val="22"/>
        </w:rPr>
        <w:t xml:space="preserve">as </w:t>
      </w:r>
      <w:r w:rsidR="00F7081A">
        <w:rPr>
          <w:rFonts w:asciiTheme="minorHAnsi" w:eastAsiaTheme="minorEastAsia" w:hAnsi="Calibri" w:cstheme="minorBidi"/>
          <w:bCs/>
          <w:color w:val="000000" w:themeColor="text1"/>
          <w:kern w:val="24"/>
          <w:sz w:val="22"/>
          <w:szCs w:val="22"/>
        </w:rPr>
        <w:t xml:space="preserve">to </w:t>
      </w:r>
      <w:r w:rsidR="00952B0D">
        <w:rPr>
          <w:rFonts w:asciiTheme="minorHAnsi" w:eastAsiaTheme="minorEastAsia" w:hAnsi="Calibri" w:cstheme="minorBidi"/>
          <w:bCs/>
          <w:color w:val="000000" w:themeColor="text1"/>
          <w:kern w:val="24"/>
          <w:sz w:val="22"/>
          <w:szCs w:val="22"/>
        </w:rPr>
        <w:t xml:space="preserve">how we </w:t>
      </w:r>
      <w:r w:rsidR="00F7081A">
        <w:rPr>
          <w:rFonts w:asciiTheme="minorHAnsi" w:eastAsiaTheme="minorEastAsia" w:hAnsi="Calibri" w:cstheme="minorBidi"/>
          <w:bCs/>
          <w:color w:val="000000" w:themeColor="text1"/>
          <w:kern w:val="24"/>
          <w:sz w:val="22"/>
          <w:szCs w:val="22"/>
        </w:rPr>
        <w:t xml:space="preserve">ensure the CDR’s data sharing obligations </w:t>
      </w:r>
      <w:r w:rsidR="00C91092">
        <w:rPr>
          <w:rFonts w:asciiTheme="minorHAnsi" w:eastAsiaTheme="minorEastAsia" w:hAnsi="Calibri" w:cstheme="minorBidi"/>
          <w:bCs/>
          <w:color w:val="000000" w:themeColor="text1"/>
          <w:kern w:val="24"/>
          <w:sz w:val="22"/>
          <w:szCs w:val="22"/>
        </w:rPr>
        <w:t>(which were de</w:t>
      </w:r>
      <w:r w:rsidR="00DC260A">
        <w:rPr>
          <w:rFonts w:asciiTheme="minorHAnsi" w:eastAsiaTheme="minorEastAsia" w:hAnsi="Calibri" w:cstheme="minorBidi"/>
          <w:bCs/>
          <w:color w:val="000000" w:themeColor="text1"/>
          <w:kern w:val="24"/>
          <w:sz w:val="22"/>
          <w:szCs w:val="22"/>
        </w:rPr>
        <w:t>veloped in application</w:t>
      </w:r>
      <w:r w:rsidR="00C91092">
        <w:rPr>
          <w:rFonts w:asciiTheme="minorHAnsi" w:eastAsiaTheme="minorEastAsia" w:hAnsi="Calibri" w:cstheme="minorBidi"/>
          <w:bCs/>
          <w:color w:val="000000" w:themeColor="text1"/>
          <w:kern w:val="24"/>
          <w:sz w:val="22"/>
          <w:szCs w:val="22"/>
        </w:rPr>
        <w:t xml:space="preserve"> to the banking sector) </w:t>
      </w:r>
      <w:r w:rsidR="00F7081A">
        <w:rPr>
          <w:rFonts w:asciiTheme="minorHAnsi" w:eastAsiaTheme="minorEastAsia" w:hAnsi="Calibri" w:cstheme="minorBidi"/>
          <w:bCs/>
          <w:color w:val="000000" w:themeColor="text1"/>
          <w:kern w:val="24"/>
          <w:sz w:val="22"/>
          <w:szCs w:val="22"/>
        </w:rPr>
        <w:t xml:space="preserve">are suitable </w:t>
      </w:r>
      <w:r w:rsidR="0086246E">
        <w:rPr>
          <w:rFonts w:asciiTheme="minorHAnsi" w:eastAsiaTheme="minorEastAsia" w:hAnsi="Calibri" w:cstheme="minorBidi"/>
          <w:bCs/>
          <w:color w:val="000000" w:themeColor="text1"/>
          <w:kern w:val="24"/>
          <w:sz w:val="22"/>
          <w:szCs w:val="22"/>
        </w:rPr>
        <w:t>for the</w:t>
      </w:r>
      <w:r w:rsidR="00420828">
        <w:rPr>
          <w:rFonts w:asciiTheme="minorHAnsi" w:eastAsiaTheme="minorEastAsia" w:hAnsi="Calibri" w:cstheme="minorBidi"/>
          <w:bCs/>
          <w:color w:val="000000" w:themeColor="text1"/>
          <w:kern w:val="24"/>
          <w:sz w:val="22"/>
          <w:szCs w:val="22"/>
        </w:rPr>
        <w:t xml:space="preserve"> specific </w:t>
      </w:r>
      <w:r w:rsidR="00420828" w:rsidRPr="00420828">
        <w:rPr>
          <w:rFonts w:asciiTheme="minorHAnsi" w:hAnsiTheme="minorHAnsi" w:cstheme="minorHAnsi"/>
          <w:sz w:val="22"/>
          <w:szCs w:val="22"/>
        </w:rPr>
        <w:t xml:space="preserve">circumstances </w:t>
      </w:r>
      <w:r w:rsidR="00420828">
        <w:rPr>
          <w:rFonts w:asciiTheme="minorHAnsi" w:hAnsiTheme="minorHAnsi" w:cstheme="minorHAnsi"/>
          <w:sz w:val="22"/>
          <w:szCs w:val="22"/>
        </w:rPr>
        <w:t xml:space="preserve">of </w:t>
      </w:r>
      <w:r w:rsidR="00420828" w:rsidRPr="00420828">
        <w:rPr>
          <w:rFonts w:asciiTheme="minorHAnsi" w:hAnsiTheme="minorHAnsi" w:cstheme="minorHAnsi"/>
          <w:sz w:val="22"/>
          <w:szCs w:val="22"/>
        </w:rPr>
        <w:t>the energy market</w:t>
      </w:r>
      <w:r w:rsidR="00F7081A">
        <w:rPr>
          <w:rFonts w:asciiTheme="minorHAnsi" w:hAnsiTheme="minorHAnsi" w:cstheme="minorHAnsi"/>
          <w:sz w:val="22"/>
          <w:szCs w:val="22"/>
        </w:rPr>
        <w:t xml:space="preserve">. </w:t>
      </w:r>
      <w:r w:rsidR="00C03F34">
        <w:rPr>
          <w:rFonts w:asciiTheme="minorHAnsi" w:hAnsiTheme="minorHAnsi" w:cstheme="minorHAnsi"/>
          <w:sz w:val="22"/>
          <w:szCs w:val="22"/>
        </w:rPr>
        <w:t>T</w:t>
      </w:r>
      <w:r w:rsidR="00C03F34">
        <w:rPr>
          <w:rFonts w:asciiTheme="minorHAnsi" w:eastAsiaTheme="minorEastAsia" w:hAnsi="Calibri" w:cstheme="minorBidi"/>
          <w:bCs/>
          <w:color w:val="000000" w:themeColor="text1"/>
          <w:kern w:val="24"/>
          <w:sz w:val="22"/>
          <w:szCs w:val="22"/>
        </w:rPr>
        <w:t xml:space="preserve">he amendments to the CDR rules are required </w:t>
      </w:r>
      <w:r w:rsidR="00C03F34">
        <w:rPr>
          <w:rFonts w:asciiTheme="minorHAnsi" w:hAnsiTheme="minorHAnsi" w:cstheme="minorHAnsi"/>
          <w:sz w:val="22"/>
          <w:szCs w:val="22"/>
        </w:rPr>
        <w:t>to</w:t>
      </w:r>
      <w:r w:rsidR="00F7081A">
        <w:rPr>
          <w:rFonts w:asciiTheme="minorHAnsi" w:hAnsiTheme="minorHAnsi" w:cstheme="minorHAnsi"/>
          <w:sz w:val="22"/>
          <w:szCs w:val="22"/>
        </w:rPr>
        <w:t xml:space="preserve"> adjust </w:t>
      </w:r>
      <w:r w:rsidR="00420828" w:rsidRPr="00420828">
        <w:rPr>
          <w:rFonts w:asciiTheme="minorHAnsi" w:hAnsiTheme="minorHAnsi" w:cstheme="minorHAnsi"/>
          <w:sz w:val="22"/>
          <w:szCs w:val="22"/>
        </w:rPr>
        <w:t>the data access arrangements to bring on the energy sector</w:t>
      </w:r>
      <w:r w:rsidR="00F7081A">
        <w:rPr>
          <w:rFonts w:asciiTheme="minorHAnsi" w:hAnsiTheme="minorHAnsi" w:cstheme="minorHAnsi"/>
          <w:sz w:val="22"/>
          <w:szCs w:val="22"/>
        </w:rPr>
        <w:t xml:space="preserve"> in a way that is appropriate for that sector</w:t>
      </w:r>
      <w:r w:rsidR="00420828" w:rsidRPr="00420828">
        <w:rPr>
          <w:rFonts w:asciiTheme="minorHAnsi" w:hAnsiTheme="minorHAnsi" w:cstheme="minorHAnsi"/>
          <w:sz w:val="22"/>
          <w:szCs w:val="22"/>
        </w:rPr>
        <w:t>.</w:t>
      </w:r>
      <w:r w:rsidR="00B518FC">
        <w:rPr>
          <w:rFonts w:asciiTheme="minorHAnsi" w:hAnsiTheme="minorHAnsi" w:cstheme="minorHAnsi"/>
          <w:sz w:val="22"/>
          <w:szCs w:val="22"/>
        </w:rPr>
        <w:t xml:space="preserve"> </w:t>
      </w:r>
    </w:p>
    <w:p w14:paraId="59EC2AC6" w14:textId="48A38E1F" w:rsidR="00E17AF8" w:rsidRPr="00E17AF8" w:rsidRDefault="00E831A1" w:rsidP="00CD0A46">
      <w:pPr>
        <w:pStyle w:val="Heading4"/>
        <w:keepNext/>
        <w:spacing w:after="200"/>
      </w:pPr>
      <w:r w:rsidRPr="00B4519B">
        <w:rPr>
          <w:rStyle w:val="SubtleEmphasis"/>
          <w:i w:val="0"/>
          <w:iCs w:val="0"/>
        </w:rPr>
        <w:t>Why is government</w:t>
      </w:r>
      <w:r w:rsidRPr="007C242F">
        <w:rPr>
          <w:rStyle w:val="SubtleEmphasis"/>
          <w:i w:val="0"/>
          <w:iCs w:val="0"/>
        </w:rPr>
        <w:t xml:space="preserve"> action needed?</w:t>
      </w:r>
    </w:p>
    <w:p w14:paraId="2A3D9DB4" w14:textId="14472934" w:rsidR="002D2AE0" w:rsidRDefault="00FA4C11" w:rsidP="00CD0A46">
      <w:pPr>
        <w:pStyle w:val="Default"/>
        <w:keepLines/>
        <w:spacing w:after="200"/>
        <w:rPr>
          <w:rFonts w:asciiTheme="minorHAnsi" w:hAnsiTheme="minorHAnsi" w:cstheme="minorHAnsi"/>
          <w:sz w:val="22"/>
          <w:szCs w:val="22"/>
        </w:rPr>
      </w:pPr>
      <w:r>
        <w:rPr>
          <w:rFonts w:asciiTheme="minorHAnsi" w:hAnsiTheme="minorHAnsi" w:cstheme="minorHAnsi"/>
          <w:sz w:val="22"/>
          <w:szCs w:val="22"/>
        </w:rPr>
        <w:t xml:space="preserve">Government action </w:t>
      </w:r>
      <w:r w:rsidR="00532A79">
        <w:rPr>
          <w:rFonts w:asciiTheme="minorHAnsi" w:hAnsiTheme="minorHAnsi" w:cstheme="minorHAnsi"/>
          <w:sz w:val="22"/>
          <w:szCs w:val="22"/>
        </w:rPr>
        <w:t xml:space="preserve">is needed to </w:t>
      </w:r>
      <w:r w:rsidR="00F33A5B" w:rsidRPr="004F53D0">
        <w:rPr>
          <w:rFonts w:asciiTheme="minorHAnsi" w:hAnsiTheme="minorHAnsi" w:cstheme="minorHAnsi"/>
          <w:sz w:val="22"/>
          <w:szCs w:val="22"/>
        </w:rPr>
        <w:t>develop</w:t>
      </w:r>
      <w:r w:rsidR="00F33A5B" w:rsidRPr="00F33A5B">
        <w:rPr>
          <w:rFonts w:asciiTheme="minorHAnsi" w:hAnsiTheme="minorHAnsi" w:cstheme="minorHAnsi"/>
          <w:sz w:val="22"/>
          <w:szCs w:val="22"/>
        </w:rPr>
        <w:t xml:space="preserve"> the</w:t>
      </w:r>
      <w:r w:rsidR="00741DA7">
        <w:rPr>
          <w:rFonts w:asciiTheme="minorHAnsi" w:hAnsiTheme="minorHAnsi" w:cstheme="minorHAnsi"/>
          <w:sz w:val="22"/>
          <w:szCs w:val="22"/>
        </w:rPr>
        <w:t xml:space="preserve"> CDR</w:t>
      </w:r>
      <w:r w:rsidR="00F33A5B" w:rsidRPr="00F33A5B">
        <w:rPr>
          <w:rFonts w:asciiTheme="minorHAnsi" w:hAnsiTheme="minorHAnsi" w:cstheme="minorHAnsi"/>
          <w:sz w:val="22"/>
          <w:szCs w:val="22"/>
        </w:rPr>
        <w:t xml:space="preserve"> </w:t>
      </w:r>
      <w:r w:rsidR="00F33A5B" w:rsidRPr="004F53D0">
        <w:rPr>
          <w:rFonts w:asciiTheme="minorHAnsi" w:hAnsiTheme="minorHAnsi" w:cstheme="minorHAnsi"/>
          <w:sz w:val="22"/>
          <w:szCs w:val="22"/>
        </w:rPr>
        <w:t xml:space="preserve">rules that will apply for implementation in the energy sector, and to give effect to the decision to designate the sector that </w:t>
      </w:r>
      <w:r w:rsidR="00F33A5B">
        <w:rPr>
          <w:rFonts w:asciiTheme="minorHAnsi" w:hAnsiTheme="minorHAnsi" w:cstheme="minorHAnsi"/>
          <w:sz w:val="22"/>
          <w:szCs w:val="22"/>
        </w:rPr>
        <w:t>was</w:t>
      </w:r>
      <w:r w:rsidR="00F33A5B" w:rsidRPr="004F53D0">
        <w:rPr>
          <w:rFonts w:asciiTheme="minorHAnsi" w:hAnsiTheme="minorHAnsi" w:cstheme="minorHAnsi"/>
          <w:sz w:val="22"/>
          <w:szCs w:val="22"/>
        </w:rPr>
        <w:t xml:space="preserve"> made</w:t>
      </w:r>
      <w:r w:rsidR="00F33A5B">
        <w:rPr>
          <w:rFonts w:asciiTheme="minorHAnsi" w:hAnsiTheme="minorHAnsi" w:cstheme="minorHAnsi"/>
          <w:sz w:val="22"/>
          <w:szCs w:val="22"/>
        </w:rPr>
        <w:t xml:space="preserve"> in June 2020</w:t>
      </w:r>
      <w:r w:rsidR="00DC3FF0">
        <w:rPr>
          <w:rFonts w:asciiTheme="minorHAnsi" w:hAnsiTheme="minorHAnsi" w:cstheme="minorHAnsi"/>
          <w:sz w:val="22"/>
          <w:szCs w:val="22"/>
        </w:rPr>
        <w:t>. Specifically, t</w:t>
      </w:r>
      <w:r w:rsidR="002D2AE0" w:rsidRPr="002D2AE0">
        <w:rPr>
          <w:rFonts w:asciiTheme="minorHAnsi" w:hAnsiTheme="minorHAnsi" w:cstheme="minorHAnsi"/>
          <w:sz w:val="22"/>
          <w:szCs w:val="22"/>
        </w:rPr>
        <w:t xml:space="preserve">here is a need for </w:t>
      </w:r>
      <w:r w:rsidR="00546496">
        <w:rPr>
          <w:rFonts w:asciiTheme="minorHAnsi" w:hAnsiTheme="minorHAnsi" w:cstheme="minorHAnsi"/>
          <w:sz w:val="22"/>
          <w:szCs w:val="22"/>
        </w:rPr>
        <w:t xml:space="preserve">the </w:t>
      </w:r>
      <w:r w:rsidR="00741DA7">
        <w:rPr>
          <w:rFonts w:asciiTheme="minorHAnsi" w:hAnsiTheme="minorHAnsi" w:cstheme="minorHAnsi"/>
          <w:sz w:val="22"/>
          <w:szCs w:val="22"/>
        </w:rPr>
        <w:t xml:space="preserve">CDR </w:t>
      </w:r>
      <w:r w:rsidR="002D2AE0" w:rsidRPr="002D2AE0">
        <w:rPr>
          <w:rFonts w:asciiTheme="minorHAnsi" w:hAnsiTheme="minorHAnsi" w:cstheme="minorHAnsi"/>
          <w:sz w:val="22"/>
          <w:szCs w:val="22"/>
        </w:rPr>
        <w:t xml:space="preserve">rules to define the data sets </w:t>
      </w:r>
      <w:r w:rsidR="00E979AE">
        <w:rPr>
          <w:rFonts w:asciiTheme="minorHAnsi" w:hAnsiTheme="minorHAnsi" w:cstheme="minorHAnsi"/>
          <w:sz w:val="22"/>
          <w:szCs w:val="22"/>
        </w:rPr>
        <w:t xml:space="preserve">to be mandated for sharing </w:t>
      </w:r>
      <w:r w:rsidR="002D2AE0" w:rsidRPr="002D2AE0">
        <w:rPr>
          <w:rFonts w:asciiTheme="minorHAnsi" w:hAnsiTheme="minorHAnsi" w:cstheme="minorHAnsi"/>
          <w:sz w:val="22"/>
          <w:szCs w:val="22"/>
        </w:rPr>
        <w:t xml:space="preserve">for </w:t>
      </w:r>
      <w:r w:rsidR="00F33A5B">
        <w:rPr>
          <w:rFonts w:asciiTheme="minorHAnsi" w:hAnsiTheme="minorHAnsi" w:cstheme="minorHAnsi"/>
          <w:sz w:val="22"/>
          <w:szCs w:val="22"/>
        </w:rPr>
        <w:t>the</w:t>
      </w:r>
      <w:r w:rsidR="002D2AE0" w:rsidRPr="002D2AE0">
        <w:rPr>
          <w:rFonts w:asciiTheme="minorHAnsi" w:hAnsiTheme="minorHAnsi" w:cstheme="minorHAnsi"/>
          <w:sz w:val="22"/>
          <w:szCs w:val="22"/>
        </w:rPr>
        <w:t xml:space="preserve"> sector, and to determine which consumers in th</w:t>
      </w:r>
      <w:r w:rsidR="00E61326">
        <w:rPr>
          <w:rFonts w:asciiTheme="minorHAnsi" w:hAnsiTheme="minorHAnsi" w:cstheme="minorHAnsi"/>
          <w:sz w:val="22"/>
          <w:szCs w:val="22"/>
        </w:rPr>
        <w:t>e energy</w:t>
      </w:r>
      <w:r w:rsidR="002D2AE0" w:rsidRPr="002D2AE0">
        <w:rPr>
          <w:rFonts w:asciiTheme="minorHAnsi" w:hAnsiTheme="minorHAnsi" w:cstheme="minorHAnsi"/>
          <w:sz w:val="22"/>
          <w:szCs w:val="22"/>
        </w:rPr>
        <w:t xml:space="preserve"> sector will be eligible to use the CDR, as sectoral differences may need to be accommodated. </w:t>
      </w:r>
      <w:r w:rsidR="00546496">
        <w:rPr>
          <w:rFonts w:asciiTheme="minorHAnsi" w:hAnsiTheme="minorHAnsi" w:cstheme="minorHAnsi"/>
          <w:sz w:val="22"/>
          <w:szCs w:val="22"/>
        </w:rPr>
        <w:t>For example, t</w:t>
      </w:r>
      <w:r w:rsidR="002D2AE0" w:rsidRPr="002D2AE0">
        <w:rPr>
          <w:rFonts w:asciiTheme="minorHAnsi" w:hAnsiTheme="minorHAnsi" w:cstheme="minorHAnsi"/>
          <w:sz w:val="22"/>
          <w:szCs w:val="22"/>
        </w:rPr>
        <w:t xml:space="preserve">he </w:t>
      </w:r>
      <w:r w:rsidR="00741DA7">
        <w:rPr>
          <w:rFonts w:asciiTheme="minorHAnsi" w:hAnsiTheme="minorHAnsi" w:cstheme="minorHAnsi"/>
          <w:sz w:val="22"/>
          <w:szCs w:val="22"/>
        </w:rPr>
        <w:t xml:space="preserve">CDR </w:t>
      </w:r>
      <w:r w:rsidR="002D2AE0" w:rsidRPr="002D2AE0">
        <w:rPr>
          <w:rFonts w:asciiTheme="minorHAnsi" w:hAnsiTheme="minorHAnsi" w:cstheme="minorHAnsi"/>
          <w:sz w:val="22"/>
          <w:szCs w:val="22"/>
        </w:rPr>
        <w:t xml:space="preserve">rules need to </w:t>
      </w:r>
      <w:r w:rsidR="003E35C7">
        <w:rPr>
          <w:rFonts w:asciiTheme="minorHAnsi" w:hAnsiTheme="minorHAnsi" w:cstheme="minorHAnsi"/>
          <w:sz w:val="22"/>
          <w:szCs w:val="22"/>
        </w:rPr>
        <w:t>deal with a range of issues including</w:t>
      </w:r>
      <w:r w:rsidR="00F33A5B">
        <w:rPr>
          <w:rFonts w:asciiTheme="minorHAnsi" w:hAnsiTheme="minorHAnsi" w:cstheme="minorHAnsi"/>
          <w:sz w:val="22"/>
          <w:szCs w:val="22"/>
        </w:rPr>
        <w:t xml:space="preserve"> </w:t>
      </w:r>
      <w:r w:rsidR="002D2AE0" w:rsidRPr="002D2AE0">
        <w:rPr>
          <w:rFonts w:asciiTheme="minorHAnsi" w:hAnsiTheme="minorHAnsi" w:cstheme="minorHAnsi"/>
          <w:sz w:val="22"/>
          <w:szCs w:val="22"/>
        </w:rPr>
        <w:t>the phasing arrangements for the sector</w:t>
      </w:r>
      <w:r w:rsidR="00B820C6">
        <w:rPr>
          <w:rFonts w:asciiTheme="minorHAnsi" w:hAnsiTheme="minorHAnsi" w:cstheme="minorHAnsi"/>
          <w:sz w:val="22"/>
          <w:szCs w:val="22"/>
        </w:rPr>
        <w:t>,</w:t>
      </w:r>
      <w:r w:rsidR="00F33A5B">
        <w:rPr>
          <w:rFonts w:asciiTheme="minorHAnsi" w:hAnsiTheme="minorHAnsi" w:cstheme="minorHAnsi"/>
          <w:sz w:val="22"/>
          <w:szCs w:val="22"/>
        </w:rPr>
        <w:t xml:space="preserve"> internal and external dispute resolution mechanisms</w:t>
      </w:r>
      <w:r w:rsidR="00535887">
        <w:rPr>
          <w:rFonts w:asciiTheme="minorHAnsi" w:hAnsiTheme="minorHAnsi" w:cstheme="minorHAnsi"/>
          <w:sz w:val="22"/>
          <w:szCs w:val="22"/>
        </w:rPr>
        <w:t>,</w:t>
      </w:r>
      <w:r w:rsidR="00B820C6">
        <w:rPr>
          <w:rFonts w:asciiTheme="minorHAnsi" w:hAnsiTheme="minorHAnsi" w:cstheme="minorHAnsi"/>
          <w:sz w:val="22"/>
          <w:szCs w:val="22"/>
        </w:rPr>
        <w:t xml:space="preserve"> and </w:t>
      </w:r>
      <w:r w:rsidR="00F33A5B">
        <w:rPr>
          <w:rFonts w:asciiTheme="minorHAnsi" w:hAnsiTheme="minorHAnsi" w:cstheme="minorHAnsi"/>
          <w:sz w:val="22"/>
          <w:szCs w:val="22"/>
        </w:rPr>
        <w:t>the provision of consumer dashboards to ensure they are</w:t>
      </w:r>
      <w:r w:rsidR="002D2AE0" w:rsidRPr="002D2AE0">
        <w:rPr>
          <w:rFonts w:asciiTheme="minorHAnsi" w:hAnsiTheme="minorHAnsi" w:cstheme="minorHAnsi"/>
          <w:sz w:val="22"/>
          <w:szCs w:val="22"/>
        </w:rPr>
        <w:t xml:space="preserve"> workable for the energy sector</w:t>
      </w:r>
      <w:r w:rsidR="00B820C6">
        <w:rPr>
          <w:rFonts w:asciiTheme="minorHAnsi" w:hAnsiTheme="minorHAnsi" w:cstheme="minorHAnsi"/>
          <w:sz w:val="22"/>
          <w:szCs w:val="22"/>
        </w:rPr>
        <w:t xml:space="preserve">. </w:t>
      </w:r>
      <w:r w:rsidR="002D2AE0" w:rsidRPr="002D2AE0">
        <w:rPr>
          <w:rFonts w:asciiTheme="minorHAnsi" w:hAnsiTheme="minorHAnsi" w:cstheme="minorHAnsi"/>
          <w:sz w:val="22"/>
          <w:szCs w:val="22"/>
        </w:rPr>
        <w:t xml:space="preserve">The </w:t>
      </w:r>
      <w:r w:rsidR="00741DA7">
        <w:rPr>
          <w:rFonts w:asciiTheme="minorHAnsi" w:hAnsiTheme="minorHAnsi" w:cstheme="minorHAnsi"/>
          <w:sz w:val="22"/>
          <w:szCs w:val="22"/>
        </w:rPr>
        <w:t xml:space="preserve">CDR </w:t>
      </w:r>
      <w:r w:rsidR="002D2AE0" w:rsidRPr="002D2AE0">
        <w:rPr>
          <w:rFonts w:asciiTheme="minorHAnsi" w:hAnsiTheme="minorHAnsi" w:cstheme="minorHAnsi"/>
          <w:sz w:val="22"/>
          <w:szCs w:val="22"/>
        </w:rPr>
        <w:t xml:space="preserve">rules need to recognise that there are special arrangements for product reference data in energy, which is held by government agencies.  </w:t>
      </w:r>
    </w:p>
    <w:p w14:paraId="4FF08D1E" w14:textId="1E58716D" w:rsidR="00895749" w:rsidRDefault="009520BF" w:rsidP="00CD0A46">
      <w:pPr>
        <w:pStyle w:val="Default"/>
        <w:spacing w:after="200"/>
        <w:rPr>
          <w:rFonts w:asciiTheme="minorHAnsi" w:hAnsiTheme="minorHAnsi" w:cstheme="minorHAnsi"/>
          <w:sz w:val="22"/>
          <w:szCs w:val="22"/>
        </w:rPr>
      </w:pPr>
      <w:r>
        <w:rPr>
          <w:rFonts w:asciiTheme="minorHAnsi" w:hAnsiTheme="minorHAnsi" w:cstheme="minorHAnsi"/>
          <w:sz w:val="22"/>
          <w:szCs w:val="22"/>
        </w:rPr>
        <w:t xml:space="preserve">While the CDR rules set out a peer-to-peer model for the banking sector, further </w:t>
      </w:r>
      <w:r w:rsidR="003E35C7">
        <w:rPr>
          <w:rFonts w:asciiTheme="minorHAnsi" w:hAnsiTheme="minorHAnsi" w:cstheme="minorHAnsi"/>
          <w:sz w:val="22"/>
          <w:szCs w:val="22"/>
        </w:rPr>
        <w:t>G</w:t>
      </w:r>
      <w:r>
        <w:rPr>
          <w:rFonts w:asciiTheme="minorHAnsi" w:hAnsiTheme="minorHAnsi" w:cstheme="minorHAnsi"/>
          <w:sz w:val="22"/>
          <w:szCs w:val="22"/>
        </w:rPr>
        <w:t xml:space="preserve">overnment action was required to identify what specific changes to the existing CDR rules need to be </w:t>
      </w:r>
      <w:r w:rsidR="008538E7">
        <w:rPr>
          <w:rFonts w:asciiTheme="minorHAnsi" w:hAnsiTheme="minorHAnsi" w:cstheme="minorHAnsi"/>
          <w:sz w:val="22"/>
          <w:szCs w:val="22"/>
        </w:rPr>
        <w:t>made</w:t>
      </w:r>
      <w:r>
        <w:rPr>
          <w:rFonts w:asciiTheme="minorHAnsi" w:hAnsiTheme="minorHAnsi" w:cstheme="minorHAnsi"/>
          <w:sz w:val="22"/>
          <w:szCs w:val="22"/>
        </w:rPr>
        <w:t xml:space="preserve"> so that a peer-to-peer model would be workable in the energy sector. </w:t>
      </w:r>
    </w:p>
    <w:p w14:paraId="156A1E6A" w14:textId="0053AF58" w:rsidR="008C18DC" w:rsidRPr="00262928" w:rsidRDefault="00E831A1" w:rsidP="00CD0A46">
      <w:pPr>
        <w:pStyle w:val="Heading4"/>
        <w:spacing w:after="200"/>
        <w:rPr>
          <w:rStyle w:val="SubtleEmphasis"/>
          <w:rFonts w:ascii="Arial" w:hAnsi="Arial" w:cs="Arial"/>
          <w:b w:val="0"/>
          <w:i w:val="0"/>
          <w:spacing w:val="0"/>
          <w:kern w:val="0"/>
          <w:sz w:val="24"/>
          <w:szCs w:val="24"/>
        </w:rPr>
      </w:pPr>
      <w:r w:rsidRPr="00262928">
        <w:rPr>
          <w:rStyle w:val="SubtleEmphasis"/>
          <w:i w:val="0"/>
        </w:rPr>
        <w:t>What policy options are you considering?</w:t>
      </w:r>
    </w:p>
    <w:p w14:paraId="20BC3518" w14:textId="1469B7DA" w:rsidR="001D7705" w:rsidRDefault="005316A3" w:rsidP="00CD0A46">
      <w:pPr>
        <w:spacing w:after="200"/>
      </w:pPr>
      <w:r>
        <w:rPr>
          <w:rFonts w:asciiTheme="minorHAnsi" w:eastAsiaTheme="minorEastAsia" w:cstheme="minorBidi"/>
          <w:bCs/>
          <w:color w:val="000000" w:themeColor="text1"/>
          <w:kern w:val="24"/>
          <w:szCs w:val="22"/>
        </w:rPr>
        <w:t xml:space="preserve">The Review undertook analysis </w:t>
      </w:r>
      <w:r w:rsidR="004E53A5">
        <w:rPr>
          <w:rFonts w:asciiTheme="minorHAnsi" w:eastAsiaTheme="minorEastAsia" w:cstheme="minorBidi"/>
          <w:bCs/>
          <w:color w:val="000000" w:themeColor="text1"/>
          <w:kern w:val="24"/>
          <w:szCs w:val="22"/>
        </w:rPr>
        <w:t xml:space="preserve">on </w:t>
      </w:r>
      <w:r>
        <w:rPr>
          <w:rFonts w:asciiTheme="minorHAnsi" w:eastAsiaTheme="minorEastAsia" w:cstheme="minorBidi"/>
          <w:bCs/>
          <w:color w:val="000000" w:themeColor="text1"/>
          <w:kern w:val="24"/>
          <w:szCs w:val="22"/>
        </w:rPr>
        <w:t xml:space="preserve">two </w:t>
      </w:r>
      <w:r w:rsidR="004E53A5">
        <w:rPr>
          <w:rFonts w:asciiTheme="minorHAnsi" w:eastAsiaTheme="minorEastAsia" w:cstheme="minorBidi"/>
          <w:bCs/>
          <w:color w:val="000000" w:themeColor="text1"/>
          <w:kern w:val="24"/>
          <w:szCs w:val="22"/>
        </w:rPr>
        <w:t xml:space="preserve">policy options for a data access model </w:t>
      </w:r>
      <w:r>
        <w:rPr>
          <w:rFonts w:asciiTheme="minorHAnsi" w:eastAsiaTheme="minorEastAsia" w:cstheme="minorBidi"/>
          <w:bCs/>
          <w:color w:val="000000" w:themeColor="text1"/>
          <w:kern w:val="24"/>
          <w:szCs w:val="22"/>
        </w:rPr>
        <w:t>(</w:t>
      </w:r>
      <w:r>
        <w:t>a gateway model and a peer-to-peer model)</w:t>
      </w:r>
      <w:r w:rsidDel="005316A3">
        <w:rPr>
          <w:rFonts w:asciiTheme="minorHAnsi" w:eastAsiaTheme="minorEastAsia" w:cstheme="minorBidi"/>
          <w:bCs/>
          <w:color w:val="000000" w:themeColor="text1"/>
          <w:kern w:val="24"/>
          <w:szCs w:val="22"/>
        </w:rPr>
        <w:t xml:space="preserve"> </w:t>
      </w:r>
      <w:r>
        <w:t xml:space="preserve">and recommended a peer-to-peer model, which will be implemented by amendments to the </w:t>
      </w:r>
      <w:r w:rsidR="00741DA7">
        <w:t xml:space="preserve">CDR </w:t>
      </w:r>
      <w:r>
        <w:t xml:space="preserve">rules. </w:t>
      </w:r>
      <w:r w:rsidR="004E53A5">
        <w:t xml:space="preserve"> </w:t>
      </w:r>
    </w:p>
    <w:p w14:paraId="0C8ADC51" w14:textId="36BEE117" w:rsidR="004E53A5" w:rsidRDefault="001C115A" w:rsidP="00CD0A46">
      <w:pPr>
        <w:spacing w:after="200"/>
      </w:pPr>
      <w:r>
        <w:t>The</w:t>
      </w:r>
      <w:r w:rsidR="00952B0D">
        <w:t xml:space="preserve"> related</w:t>
      </w:r>
      <w:r>
        <w:t xml:space="preserve"> policy </w:t>
      </w:r>
      <w:r w:rsidR="001D7705">
        <w:t xml:space="preserve">issues </w:t>
      </w:r>
      <w:r>
        <w:t xml:space="preserve">under consideration </w:t>
      </w:r>
      <w:r w:rsidR="00952B0D">
        <w:t xml:space="preserve">go </w:t>
      </w:r>
      <w:r>
        <w:t>to</w:t>
      </w:r>
      <w:r w:rsidR="00D749D4">
        <w:t xml:space="preserve"> </w:t>
      </w:r>
      <w:r w:rsidR="00952B0D">
        <w:t xml:space="preserve">the policy design in </w:t>
      </w:r>
      <w:r w:rsidR="00D749D4">
        <w:t>implement</w:t>
      </w:r>
      <w:r w:rsidR="00952B0D">
        <w:t>ing</w:t>
      </w:r>
      <w:r w:rsidR="00D749D4">
        <w:t xml:space="preserve"> the peer-to-peer model in the energy sector </w:t>
      </w:r>
      <w:r>
        <w:t>where retailers hold certain data sets</w:t>
      </w:r>
      <w:r w:rsidR="00F845BB">
        <w:t xml:space="preserve"> such as billing data</w:t>
      </w:r>
      <w:r>
        <w:t xml:space="preserve">, and AEMO </w:t>
      </w:r>
      <w:r w:rsidR="00F845BB">
        <w:t>holds other data sets, such as metering data and information on the characteristics of connection points.</w:t>
      </w:r>
      <w:r w:rsidR="00AB793B">
        <w:t xml:space="preserve"> </w:t>
      </w:r>
    </w:p>
    <w:p w14:paraId="6DCC907D" w14:textId="025DA270" w:rsidR="00D749D4" w:rsidRDefault="00AB793B" w:rsidP="00CD0A46">
      <w:pPr>
        <w:spacing w:after="200"/>
      </w:pPr>
      <w:r>
        <w:t>Under the peer-to-peer model</w:t>
      </w:r>
      <w:r w:rsidR="009520BF">
        <w:t xml:space="preserve"> for energy</w:t>
      </w:r>
      <w:r>
        <w:t xml:space="preserve">, retailers would be responsible for providing </w:t>
      </w:r>
      <w:r w:rsidR="003E35C7">
        <w:t>the CDR data they hold</w:t>
      </w:r>
      <w:r>
        <w:t xml:space="preserve"> and data held by AEMO directly to accredited data recipients.</w:t>
      </w:r>
      <w:r w:rsidR="00F845BB">
        <w:t xml:space="preserve"> </w:t>
      </w:r>
      <w:r w:rsidR="00080BE0">
        <w:t xml:space="preserve">This raises the </w:t>
      </w:r>
      <w:r w:rsidR="00F845BB">
        <w:t>issue of the role that AEMO should play, in circumstances where it holds significant data but i</w:t>
      </w:r>
      <w:r w:rsidR="00D749D4">
        <w:t>s</w:t>
      </w:r>
      <w:r w:rsidR="00F845BB">
        <w:t xml:space="preserve"> not a consumer-facing entity. </w:t>
      </w:r>
      <w:r w:rsidR="00A3222C">
        <w:t xml:space="preserve">Particular </w:t>
      </w:r>
      <w:r w:rsidR="00D749D4">
        <w:t xml:space="preserve">policy </w:t>
      </w:r>
      <w:r w:rsidR="00A3222C">
        <w:t>issues in relation to these options</w:t>
      </w:r>
      <w:r w:rsidR="00D749D4">
        <w:t xml:space="preserve"> that have been considered are:</w:t>
      </w:r>
    </w:p>
    <w:p w14:paraId="76F0171E" w14:textId="413CE009" w:rsidR="009520BF" w:rsidRDefault="000610A9" w:rsidP="00CD0A46">
      <w:pPr>
        <w:pStyle w:val="Bullet"/>
        <w:numPr>
          <w:ilvl w:val="0"/>
          <w:numId w:val="30"/>
        </w:numPr>
        <w:spacing w:after="120"/>
      </w:pPr>
      <w:r>
        <w:t xml:space="preserve">whether </w:t>
      </w:r>
      <w:r w:rsidR="001D7705">
        <w:t xml:space="preserve">or not </w:t>
      </w:r>
      <w:r w:rsidR="009520BF">
        <w:t xml:space="preserve">AEMO </w:t>
      </w:r>
      <w:r w:rsidR="001D7705">
        <w:t xml:space="preserve">should </w:t>
      </w:r>
      <w:r w:rsidR="009520BF">
        <w:t>have any consumer-facing role under the peer-to-peer model</w:t>
      </w:r>
      <w:r>
        <w:t>;</w:t>
      </w:r>
      <w:r w:rsidR="00A3222C">
        <w:t xml:space="preserve"> and</w:t>
      </w:r>
    </w:p>
    <w:p w14:paraId="66185FA8" w14:textId="77777777" w:rsidR="00A3222C" w:rsidRDefault="00DC260A" w:rsidP="00CD0A46">
      <w:pPr>
        <w:pStyle w:val="Bullet"/>
        <w:numPr>
          <w:ilvl w:val="0"/>
          <w:numId w:val="30"/>
        </w:numPr>
        <w:spacing w:after="120"/>
      </w:pPr>
      <w:r>
        <w:t>whether or not AEMO should be subject to privacy safeguard obligations that have been designed for consumer-facing data holders</w:t>
      </w:r>
      <w:r w:rsidR="00A3222C">
        <w:t>.</w:t>
      </w:r>
    </w:p>
    <w:p w14:paraId="20C3A82B" w14:textId="7D24AEB9" w:rsidR="00DC260A" w:rsidRDefault="007E3BB4" w:rsidP="00CD0A46">
      <w:pPr>
        <w:pStyle w:val="Bullet"/>
        <w:numPr>
          <w:ilvl w:val="0"/>
          <w:numId w:val="0"/>
        </w:numPr>
        <w:spacing w:after="120"/>
        <w:ind w:left="142"/>
      </w:pPr>
      <w:r>
        <w:t>Related</w:t>
      </w:r>
      <w:r w:rsidR="00A3222C">
        <w:t xml:space="preserve"> issues that have been considered are: </w:t>
      </w:r>
    </w:p>
    <w:p w14:paraId="3E6B5E80" w14:textId="7F416A0D" w:rsidR="00D749D4" w:rsidRDefault="000610A9" w:rsidP="00CD0A46">
      <w:pPr>
        <w:pStyle w:val="Bullet"/>
        <w:numPr>
          <w:ilvl w:val="0"/>
          <w:numId w:val="30"/>
        </w:numPr>
        <w:spacing w:after="120"/>
      </w:pPr>
      <w:r>
        <w:t>w</w:t>
      </w:r>
      <w:r w:rsidR="00614C0D">
        <w:t xml:space="preserve">hether </w:t>
      </w:r>
      <w:r w:rsidR="001D7705">
        <w:t xml:space="preserve">or not </w:t>
      </w:r>
      <w:r w:rsidR="00D749D4">
        <w:t>implementation in the energy sector should be phased</w:t>
      </w:r>
      <w:r>
        <w:t>;</w:t>
      </w:r>
    </w:p>
    <w:p w14:paraId="718164C6" w14:textId="034FF2A3" w:rsidR="00AB793B" w:rsidRDefault="000610A9" w:rsidP="00CD0A46">
      <w:pPr>
        <w:pStyle w:val="Bullet"/>
        <w:numPr>
          <w:ilvl w:val="0"/>
          <w:numId w:val="30"/>
        </w:numPr>
        <w:spacing w:after="120"/>
      </w:pPr>
      <w:r>
        <w:t>w</w:t>
      </w:r>
      <w:r w:rsidR="00AB793B">
        <w:t xml:space="preserve">hether </w:t>
      </w:r>
      <w:r w:rsidR="001D7705">
        <w:t xml:space="preserve">or not </w:t>
      </w:r>
      <w:r w:rsidR="00AB793B">
        <w:t>the participation of smaller retailers should be mandated</w:t>
      </w:r>
      <w:r>
        <w:t>;</w:t>
      </w:r>
      <w:r w:rsidR="00AB793B">
        <w:t xml:space="preserve">  </w:t>
      </w:r>
    </w:p>
    <w:p w14:paraId="28557DFC" w14:textId="775722A3" w:rsidR="00D07C73" w:rsidRDefault="000610A9" w:rsidP="00CD0A46">
      <w:pPr>
        <w:pStyle w:val="Bullet"/>
        <w:numPr>
          <w:ilvl w:val="0"/>
          <w:numId w:val="30"/>
        </w:numPr>
        <w:spacing w:after="120"/>
      </w:pPr>
      <w:r>
        <w:t>w</w:t>
      </w:r>
      <w:r w:rsidR="00D07C73">
        <w:t>hether all electricity customers should be able to use the CDR, or whether there is a subset of larger commercial and industrial customers that are unlikely to benefit from using the CDR</w:t>
      </w:r>
      <w:r>
        <w:t>;</w:t>
      </w:r>
      <w:r w:rsidR="00DC260A">
        <w:t xml:space="preserve"> and</w:t>
      </w:r>
    </w:p>
    <w:p w14:paraId="62EE44B8" w14:textId="2D1BFB68" w:rsidR="0019588B" w:rsidRDefault="000610A9" w:rsidP="00CD0A46">
      <w:pPr>
        <w:pStyle w:val="Bullet"/>
        <w:numPr>
          <w:ilvl w:val="0"/>
          <w:numId w:val="30"/>
        </w:numPr>
        <w:spacing w:after="120"/>
      </w:pPr>
      <w:proofErr w:type="gramStart"/>
      <w:r>
        <w:t>w</w:t>
      </w:r>
      <w:r w:rsidR="00614C0D">
        <w:t>hether</w:t>
      </w:r>
      <w:proofErr w:type="gramEnd"/>
      <w:r w:rsidR="00614C0D">
        <w:t xml:space="preserve"> </w:t>
      </w:r>
      <w:r w:rsidR="00763FE8">
        <w:t xml:space="preserve">external and internal </w:t>
      </w:r>
      <w:r w:rsidR="0019588B">
        <w:t>dispute resolution arrangements in the energy sector</w:t>
      </w:r>
      <w:r w:rsidR="00614C0D">
        <w:t xml:space="preserve"> should adopt existing energy arrangements were possible, or be aligned with the arrangements for the banking sector</w:t>
      </w:r>
      <w:r w:rsidR="00DC260A">
        <w:t>.</w:t>
      </w:r>
    </w:p>
    <w:p w14:paraId="295956D6" w14:textId="796B9D5B" w:rsidR="001D7A2C" w:rsidRPr="00564645" w:rsidRDefault="007E35A8" w:rsidP="004F53D0">
      <w:pPr>
        <w:keepNext/>
      </w:pPr>
      <w:r w:rsidRPr="001D7A2C">
        <w:rPr>
          <w:bCs/>
        </w:rPr>
        <w:lastRenderedPageBreak/>
        <w:t xml:space="preserve">The </w:t>
      </w:r>
      <w:r w:rsidR="004E53A5">
        <w:rPr>
          <w:bCs/>
        </w:rPr>
        <w:t>R</w:t>
      </w:r>
      <w:r w:rsidR="003E35C7">
        <w:rPr>
          <w:bCs/>
        </w:rPr>
        <w:t>eview</w:t>
      </w:r>
      <w:r w:rsidRPr="001D7A2C" w:rsidDel="004E53A5">
        <w:rPr>
          <w:bCs/>
        </w:rPr>
        <w:t xml:space="preserve"> </w:t>
      </w:r>
      <w:r w:rsidR="003E35C7">
        <w:rPr>
          <w:bCs/>
        </w:rPr>
        <w:t>considered</w:t>
      </w:r>
      <w:r w:rsidRPr="001D7A2C">
        <w:rPr>
          <w:bCs/>
        </w:rPr>
        <w:t xml:space="preserve"> the implications</w:t>
      </w:r>
      <w:r w:rsidR="00AE1DB1">
        <w:rPr>
          <w:bCs/>
        </w:rPr>
        <w:t xml:space="preserve"> of the data access model</w:t>
      </w:r>
      <w:r w:rsidRPr="001D7A2C">
        <w:rPr>
          <w:bCs/>
        </w:rPr>
        <w:t xml:space="preserve"> for delivery timeframes, build and ongoing costs</w:t>
      </w:r>
      <w:r w:rsidR="001D7A2C">
        <w:rPr>
          <w:bCs/>
        </w:rPr>
        <w:t xml:space="preserve">. </w:t>
      </w:r>
      <w:r w:rsidR="00BA04D4">
        <w:t xml:space="preserve">The </w:t>
      </w:r>
      <w:r w:rsidR="00973E08">
        <w:t>R</w:t>
      </w:r>
      <w:r w:rsidR="00BA04D4">
        <w:t>eview</w:t>
      </w:r>
      <w:r w:rsidR="001D7A2C">
        <w:t xml:space="preserve"> also </w:t>
      </w:r>
      <w:r w:rsidR="008459E0">
        <w:t>assessed</w:t>
      </w:r>
      <w:r w:rsidR="00BA04D4">
        <w:t xml:space="preserve"> the </w:t>
      </w:r>
      <w:r w:rsidR="004D4C9B">
        <w:t xml:space="preserve">regulatory impacts and compliance costs associated with </w:t>
      </w:r>
      <w:r w:rsidR="00BA04D4">
        <w:t xml:space="preserve">the </w:t>
      </w:r>
      <w:r w:rsidR="003E35C7">
        <w:t xml:space="preserve">available </w:t>
      </w:r>
      <w:r w:rsidR="00BA04D4">
        <w:t xml:space="preserve">data sharing </w:t>
      </w:r>
      <w:r w:rsidR="00BA04D4" w:rsidRPr="00564645">
        <w:t>model</w:t>
      </w:r>
      <w:r w:rsidR="00F27556">
        <w:t>s</w:t>
      </w:r>
      <w:r w:rsidR="00BA04D4" w:rsidRPr="00564645">
        <w:t xml:space="preserve"> taking into account: </w:t>
      </w:r>
    </w:p>
    <w:p w14:paraId="4443A276" w14:textId="503BDA29" w:rsidR="001D7A2C" w:rsidRPr="00564645" w:rsidRDefault="004C093A" w:rsidP="00CD0A46">
      <w:pPr>
        <w:pStyle w:val="ListParagraph"/>
        <w:keepNext/>
        <w:keepLines/>
        <w:numPr>
          <w:ilvl w:val="0"/>
          <w:numId w:val="31"/>
        </w:numPr>
        <w:spacing w:after="120"/>
        <w:ind w:left="360"/>
      </w:pPr>
      <w:r>
        <w:t>e</w:t>
      </w:r>
      <w:r w:rsidR="001D7A2C" w:rsidRPr="004F53D0">
        <w:t xml:space="preserve">stimated implementation costs, including operational costs, for </w:t>
      </w:r>
      <w:r w:rsidR="00AE1DB1">
        <w:t>data holders and accredited data recipients</w:t>
      </w:r>
      <w:r w:rsidR="001D7A2C" w:rsidRPr="004F53D0">
        <w:t xml:space="preserve"> under each model</w:t>
      </w:r>
      <w:r>
        <w:t>;</w:t>
      </w:r>
    </w:p>
    <w:p w14:paraId="1AFEC254" w14:textId="1A2331E8" w:rsidR="003A1970" w:rsidRDefault="004C093A" w:rsidP="00CD0A46">
      <w:pPr>
        <w:pStyle w:val="ListParagraph"/>
        <w:keepNext/>
        <w:keepLines/>
        <w:numPr>
          <w:ilvl w:val="0"/>
          <w:numId w:val="31"/>
        </w:numPr>
        <w:spacing w:after="120"/>
        <w:ind w:left="360"/>
      </w:pPr>
      <w:r>
        <w:t>d</w:t>
      </w:r>
      <w:r w:rsidR="001D7A2C" w:rsidRPr="004F53D0">
        <w:t xml:space="preserve">istribution of costs between </w:t>
      </w:r>
      <w:r w:rsidR="00AE1DB1">
        <w:t>data holders</w:t>
      </w:r>
      <w:r w:rsidR="001D7A2C" w:rsidRPr="004F53D0">
        <w:t xml:space="preserve"> (large or mid-tier vs small electricity retailers)</w:t>
      </w:r>
      <w:r w:rsidR="001D7A2C" w:rsidRPr="00564645">
        <w:t xml:space="preserve"> given the shift in costs</w:t>
      </w:r>
      <w:r>
        <w:t>; and</w:t>
      </w:r>
    </w:p>
    <w:p w14:paraId="1E88CF59" w14:textId="533E5EC2" w:rsidR="00BA04D4" w:rsidRPr="001F03E2" w:rsidRDefault="004C093A" w:rsidP="00CD0A46">
      <w:pPr>
        <w:pStyle w:val="ListParagraph"/>
        <w:keepNext/>
        <w:keepLines/>
        <w:numPr>
          <w:ilvl w:val="0"/>
          <w:numId w:val="31"/>
        </w:numPr>
        <w:spacing w:after="200"/>
        <w:ind w:left="360"/>
      </w:pPr>
      <w:r>
        <w:t>e</w:t>
      </w:r>
      <w:r w:rsidR="001D7A2C" w:rsidRPr="004F53D0">
        <w:t>stimated timeframes for implementation</w:t>
      </w:r>
      <w:r w:rsidR="001D7A2C" w:rsidRPr="00564645">
        <w:t xml:space="preserve"> under either model, </w:t>
      </w:r>
      <w:r w:rsidR="001D7A2C" w:rsidRPr="004F53D0">
        <w:t>including consideration of whether large, mid-tier and small electricity retailers may require separate implementation timelines</w:t>
      </w:r>
      <w:r w:rsidR="001D7A2C" w:rsidRPr="00564645">
        <w:t>.</w:t>
      </w:r>
    </w:p>
    <w:p w14:paraId="3995C7A2" w14:textId="16191AD4" w:rsidR="003C6D57" w:rsidRPr="00262928" w:rsidRDefault="00E831A1" w:rsidP="00CD0A46">
      <w:pPr>
        <w:pStyle w:val="Heading4"/>
        <w:keepNext/>
        <w:keepLines/>
        <w:spacing w:after="200"/>
        <w:rPr>
          <w:rStyle w:val="SubtleEmphasis"/>
          <w:rFonts w:ascii="Times New Roman" w:hAnsi="Times New Roman" w:cs="Times New Roman"/>
          <w:b w:val="0"/>
          <w:i w:val="0"/>
          <w:spacing w:val="0"/>
          <w:kern w:val="0"/>
          <w:sz w:val="24"/>
          <w:szCs w:val="24"/>
        </w:rPr>
      </w:pPr>
      <w:r w:rsidRPr="00262928">
        <w:rPr>
          <w:rStyle w:val="SubtleEmphasis"/>
          <w:i w:val="0"/>
        </w:rPr>
        <w:t>What is the likely net benefit of each option?</w:t>
      </w:r>
    </w:p>
    <w:p w14:paraId="763F6AE1" w14:textId="3AAB4B41" w:rsidR="00B37B05" w:rsidRDefault="004E53A5" w:rsidP="00CD0A46">
      <w:pPr>
        <w:keepNext/>
        <w:keepLines/>
        <w:spacing w:after="200"/>
      </w:pPr>
      <w:r>
        <w:rPr>
          <w:bCs/>
          <w:szCs w:val="22"/>
        </w:rPr>
        <w:t>The R</w:t>
      </w:r>
      <w:r w:rsidR="00BC419C">
        <w:rPr>
          <w:bCs/>
          <w:szCs w:val="22"/>
        </w:rPr>
        <w:t xml:space="preserve">eview concluded that </w:t>
      </w:r>
      <w:r w:rsidR="00B412C8">
        <w:rPr>
          <w:bCs/>
          <w:szCs w:val="22"/>
        </w:rPr>
        <w:t>a peer-to-peer model</w:t>
      </w:r>
      <w:r w:rsidR="00255F68">
        <w:rPr>
          <w:bCs/>
          <w:szCs w:val="22"/>
        </w:rPr>
        <w:t>,</w:t>
      </w:r>
      <w:r w:rsidR="00B412C8">
        <w:rPr>
          <w:bCs/>
          <w:szCs w:val="22"/>
        </w:rPr>
        <w:t xml:space="preserve"> under which retailers and not AEMO </w:t>
      </w:r>
      <w:r w:rsidR="00762E9A">
        <w:rPr>
          <w:bCs/>
          <w:szCs w:val="22"/>
        </w:rPr>
        <w:t xml:space="preserve">receive data requests and </w:t>
      </w:r>
      <w:r w:rsidR="00B412C8">
        <w:rPr>
          <w:bCs/>
          <w:szCs w:val="22"/>
        </w:rPr>
        <w:t>undertake consumer-facing CDR processes</w:t>
      </w:r>
      <w:r w:rsidR="00255F68">
        <w:rPr>
          <w:bCs/>
          <w:szCs w:val="22"/>
        </w:rPr>
        <w:t>,</w:t>
      </w:r>
      <w:r w:rsidR="00B412C8">
        <w:rPr>
          <w:bCs/>
          <w:szCs w:val="22"/>
        </w:rPr>
        <w:t xml:space="preserve"> </w:t>
      </w:r>
      <w:r w:rsidR="006F210A" w:rsidRPr="00667C27">
        <w:rPr>
          <w:szCs w:val="22"/>
        </w:rPr>
        <w:t>offer</w:t>
      </w:r>
      <w:r w:rsidR="004D4C9B">
        <w:rPr>
          <w:szCs w:val="22"/>
        </w:rPr>
        <w:t>s</w:t>
      </w:r>
      <w:r w:rsidR="006F210A" w:rsidRPr="00667C27">
        <w:rPr>
          <w:szCs w:val="22"/>
        </w:rPr>
        <w:t xml:space="preserve"> a better solution for the CDR program in energy</w:t>
      </w:r>
      <w:r w:rsidR="0019588B">
        <w:rPr>
          <w:szCs w:val="22"/>
        </w:rPr>
        <w:t xml:space="preserve">, noting that </w:t>
      </w:r>
      <w:r w:rsidR="00B37B05" w:rsidRPr="00012DEE">
        <w:t xml:space="preserve">the balance of cost distribution amongst retailers may </w:t>
      </w:r>
      <w:r w:rsidR="008725BE">
        <w:t>differ.</w:t>
      </w:r>
      <w:r w:rsidR="00B37B05">
        <w:t xml:space="preserve"> </w:t>
      </w:r>
    </w:p>
    <w:p w14:paraId="330F8D43" w14:textId="5B16B1FE" w:rsidR="00FA649F" w:rsidRDefault="005F1B33" w:rsidP="00CD0A46">
      <w:pPr>
        <w:spacing w:after="200"/>
        <w:rPr>
          <w:bCs/>
          <w:szCs w:val="22"/>
        </w:rPr>
      </w:pPr>
      <w:r w:rsidRPr="0019588B">
        <w:rPr>
          <w:bCs/>
          <w:szCs w:val="22"/>
        </w:rPr>
        <w:t>Amendments to the</w:t>
      </w:r>
      <w:r w:rsidR="00A3222C">
        <w:rPr>
          <w:bCs/>
          <w:szCs w:val="22"/>
        </w:rPr>
        <w:t xml:space="preserve"> CDR</w:t>
      </w:r>
      <w:r w:rsidR="007C2B14" w:rsidRPr="0019588B">
        <w:rPr>
          <w:bCs/>
          <w:szCs w:val="22"/>
        </w:rPr>
        <w:t xml:space="preserve"> rules implement the </w:t>
      </w:r>
      <w:r w:rsidR="00B412C8">
        <w:rPr>
          <w:bCs/>
          <w:szCs w:val="22"/>
        </w:rPr>
        <w:t>peer-to-peer</w:t>
      </w:r>
      <w:r w:rsidR="007C2B14" w:rsidRPr="0019588B">
        <w:rPr>
          <w:bCs/>
          <w:szCs w:val="22"/>
        </w:rPr>
        <w:t xml:space="preserve"> model</w:t>
      </w:r>
      <w:r w:rsidRPr="0019588B">
        <w:rPr>
          <w:bCs/>
          <w:szCs w:val="22"/>
        </w:rPr>
        <w:t xml:space="preserve"> to</w:t>
      </w:r>
      <w:r w:rsidR="008725BE" w:rsidRPr="0019588B">
        <w:rPr>
          <w:bCs/>
          <w:szCs w:val="22"/>
        </w:rPr>
        <w:t xml:space="preserve"> align</w:t>
      </w:r>
      <w:r w:rsidR="00343C0F">
        <w:rPr>
          <w:bCs/>
          <w:szCs w:val="22"/>
        </w:rPr>
        <w:t xml:space="preserve"> as closely as possible</w:t>
      </w:r>
      <w:r w:rsidR="008725BE" w:rsidRPr="0019588B">
        <w:rPr>
          <w:bCs/>
          <w:szCs w:val="22"/>
        </w:rPr>
        <w:t xml:space="preserve"> with the current model </w:t>
      </w:r>
      <w:r w:rsidR="004972ED" w:rsidRPr="0019588B">
        <w:rPr>
          <w:bCs/>
          <w:szCs w:val="22"/>
        </w:rPr>
        <w:t xml:space="preserve">used </w:t>
      </w:r>
      <w:r w:rsidR="0054582C" w:rsidRPr="0019588B">
        <w:rPr>
          <w:bCs/>
          <w:szCs w:val="22"/>
        </w:rPr>
        <w:t xml:space="preserve">to access data </w:t>
      </w:r>
      <w:r w:rsidR="008725BE" w:rsidRPr="0019588B">
        <w:rPr>
          <w:bCs/>
          <w:szCs w:val="22"/>
        </w:rPr>
        <w:t>in banking</w:t>
      </w:r>
      <w:r w:rsidRPr="0019588B">
        <w:rPr>
          <w:bCs/>
          <w:szCs w:val="22"/>
        </w:rPr>
        <w:t xml:space="preserve"> and</w:t>
      </w:r>
      <w:r w:rsidR="008725BE" w:rsidRPr="0019588B">
        <w:rPr>
          <w:bCs/>
          <w:szCs w:val="22"/>
        </w:rPr>
        <w:t xml:space="preserve"> allow for interoperability </w:t>
      </w:r>
      <w:r w:rsidR="00F5781A" w:rsidRPr="0019588B">
        <w:rPr>
          <w:bCs/>
          <w:szCs w:val="22"/>
        </w:rPr>
        <w:t>across sectors as they are designated under the CDR</w:t>
      </w:r>
      <w:r w:rsidRPr="0019588B">
        <w:rPr>
          <w:bCs/>
          <w:szCs w:val="22"/>
        </w:rPr>
        <w:t>, which</w:t>
      </w:r>
      <w:r w:rsidR="00F5781A" w:rsidRPr="0019588B">
        <w:rPr>
          <w:bCs/>
          <w:szCs w:val="22"/>
        </w:rPr>
        <w:t xml:space="preserve"> </w:t>
      </w:r>
      <w:r w:rsidR="008725BE" w:rsidRPr="0019588B">
        <w:rPr>
          <w:bCs/>
          <w:szCs w:val="22"/>
        </w:rPr>
        <w:t xml:space="preserve">encourages </w:t>
      </w:r>
      <w:r w:rsidR="00F5781A" w:rsidRPr="0019588B">
        <w:rPr>
          <w:bCs/>
          <w:szCs w:val="22"/>
        </w:rPr>
        <w:t xml:space="preserve">development of </w:t>
      </w:r>
      <w:r w:rsidR="008725BE" w:rsidRPr="0019588B">
        <w:rPr>
          <w:bCs/>
          <w:szCs w:val="22"/>
        </w:rPr>
        <w:t>ma</w:t>
      </w:r>
      <w:r w:rsidR="00805325" w:rsidRPr="0019588B">
        <w:rPr>
          <w:bCs/>
          <w:szCs w:val="22"/>
        </w:rPr>
        <w:t>rket</w:t>
      </w:r>
      <w:r w:rsidR="00F5781A" w:rsidRPr="0019588B">
        <w:rPr>
          <w:bCs/>
          <w:szCs w:val="22"/>
        </w:rPr>
        <w:t>-based</w:t>
      </w:r>
      <w:r w:rsidR="00805325" w:rsidRPr="0019588B">
        <w:rPr>
          <w:bCs/>
          <w:szCs w:val="22"/>
        </w:rPr>
        <w:t xml:space="preserve"> solutions</w:t>
      </w:r>
      <w:r w:rsidR="00AA62FF" w:rsidRPr="0019588B">
        <w:rPr>
          <w:bCs/>
          <w:szCs w:val="22"/>
        </w:rPr>
        <w:t xml:space="preserve">. </w:t>
      </w:r>
      <w:r w:rsidR="00343C0F">
        <w:rPr>
          <w:bCs/>
          <w:szCs w:val="22"/>
        </w:rPr>
        <w:t xml:space="preserve">Consistent with the approach taken in banking, energy </w:t>
      </w:r>
      <w:r w:rsidR="006448B7" w:rsidRPr="0019588B">
        <w:rPr>
          <w:bCs/>
          <w:szCs w:val="22"/>
        </w:rPr>
        <w:t>retailers w</w:t>
      </w:r>
      <w:r w:rsidR="00343C0F">
        <w:rPr>
          <w:bCs/>
          <w:szCs w:val="22"/>
        </w:rPr>
        <w:t xml:space="preserve">ill </w:t>
      </w:r>
      <w:r w:rsidR="006448B7" w:rsidRPr="0019588B">
        <w:rPr>
          <w:bCs/>
          <w:szCs w:val="22"/>
        </w:rPr>
        <w:t>be responsible for authentication and authorisation.</w:t>
      </w:r>
      <w:r w:rsidR="006669D6" w:rsidRPr="0019588B">
        <w:rPr>
          <w:bCs/>
          <w:szCs w:val="22"/>
        </w:rPr>
        <w:t xml:space="preserve"> </w:t>
      </w:r>
      <w:r w:rsidR="00762E9A">
        <w:rPr>
          <w:bCs/>
          <w:szCs w:val="22"/>
        </w:rPr>
        <w:t xml:space="preserve">A difference from banking is that they will undertake these processes in relation to requests for their own data, and for AEMO’s data.  </w:t>
      </w:r>
    </w:p>
    <w:p w14:paraId="4E6C621B" w14:textId="1317D451" w:rsidR="00A678A8" w:rsidRPr="00A122D5" w:rsidRDefault="00A678A8" w:rsidP="00CD0A46">
      <w:pPr>
        <w:spacing w:after="200"/>
        <w:rPr>
          <w:szCs w:val="22"/>
        </w:rPr>
      </w:pPr>
      <w:r w:rsidRPr="00564645">
        <w:rPr>
          <w:szCs w:val="22"/>
        </w:rPr>
        <w:t xml:space="preserve">The overall net benefit of </w:t>
      </w:r>
      <w:r>
        <w:rPr>
          <w:szCs w:val="22"/>
        </w:rPr>
        <w:t xml:space="preserve">using the peer-to-peer model and associated arrangements </w:t>
      </w:r>
      <w:r w:rsidRPr="00564645">
        <w:rPr>
          <w:szCs w:val="22"/>
        </w:rPr>
        <w:t xml:space="preserve">is that </w:t>
      </w:r>
      <w:r w:rsidRPr="004F53D0">
        <w:rPr>
          <w:szCs w:val="22"/>
        </w:rPr>
        <w:t>it will enable participants and third-parties to innovate within a flexible framework, and empower retailers operating in the energy sector to enter and participate in the overall CDR ecosystem in a cost-effective way</w:t>
      </w:r>
      <w:r w:rsidRPr="00564645">
        <w:rPr>
          <w:szCs w:val="22"/>
        </w:rPr>
        <w:t xml:space="preserve">. </w:t>
      </w:r>
      <w:r w:rsidRPr="001F03E2">
        <w:rPr>
          <w:szCs w:val="22"/>
        </w:rPr>
        <w:t>T</w:t>
      </w:r>
      <w:r w:rsidRPr="00564645">
        <w:rPr>
          <w:szCs w:val="22"/>
        </w:rPr>
        <w:t>he compliance costs will support the ability to share CDR data across sectors and businesses using the same</w:t>
      </w:r>
      <w:r>
        <w:rPr>
          <w:szCs w:val="22"/>
        </w:rPr>
        <w:t xml:space="preserve"> data access model. As retailers increasingly provide a suite of services in addition to energy, and the CDR is extended to further sectors, the model will reduce overall implementation and compliance costs through a consistent approach to data access.  </w:t>
      </w:r>
      <w:r w:rsidR="00A3222C">
        <w:rPr>
          <w:szCs w:val="22"/>
        </w:rPr>
        <w:t xml:space="preserve">These net benefits are unlikely to be achieved through the alternative option considered. </w:t>
      </w:r>
    </w:p>
    <w:p w14:paraId="696C970B" w14:textId="548E0A61" w:rsidR="005F1B33" w:rsidRDefault="00FA649F" w:rsidP="00CD0A46">
      <w:pPr>
        <w:spacing w:after="200"/>
        <w:rPr>
          <w:szCs w:val="22"/>
        </w:rPr>
      </w:pPr>
      <w:r w:rsidRPr="00343C0F">
        <w:rPr>
          <w:szCs w:val="22"/>
        </w:rPr>
        <w:t xml:space="preserve">The </w:t>
      </w:r>
      <w:r w:rsidR="0000216D">
        <w:rPr>
          <w:szCs w:val="22"/>
        </w:rPr>
        <w:t>R</w:t>
      </w:r>
      <w:r w:rsidR="007612B6" w:rsidRPr="00343C0F">
        <w:rPr>
          <w:szCs w:val="22"/>
        </w:rPr>
        <w:t>eview</w:t>
      </w:r>
      <w:r w:rsidRPr="00343C0F">
        <w:rPr>
          <w:szCs w:val="22"/>
        </w:rPr>
        <w:t xml:space="preserve"> noted that </w:t>
      </w:r>
      <w:r w:rsidR="005F1B33" w:rsidRPr="00343C0F">
        <w:rPr>
          <w:szCs w:val="22"/>
        </w:rPr>
        <w:t xml:space="preserve">some of the constraints of </w:t>
      </w:r>
      <w:r w:rsidR="00255F68">
        <w:rPr>
          <w:szCs w:val="22"/>
        </w:rPr>
        <w:t>using a peer-to-peer model in energy</w:t>
      </w:r>
      <w:r w:rsidR="00805325" w:rsidRPr="00343C0F">
        <w:rPr>
          <w:szCs w:val="22"/>
        </w:rPr>
        <w:t xml:space="preserve"> </w:t>
      </w:r>
      <w:r w:rsidRPr="00343C0F">
        <w:rPr>
          <w:szCs w:val="22"/>
        </w:rPr>
        <w:t xml:space="preserve">could be addressed </w:t>
      </w:r>
      <w:r w:rsidR="00B7385F" w:rsidRPr="00343C0F">
        <w:rPr>
          <w:szCs w:val="22"/>
        </w:rPr>
        <w:t>through mechanisms</w:t>
      </w:r>
      <w:r w:rsidRPr="00343C0F">
        <w:rPr>
          <w:szCs w:val="22"/>
        </w:rPr>
        <w:t xml:space="preserve"> such as the exemption of smaller retailers</w:t>
      </w:r>
      <w:r w:rsidR="005F1B33" w:rsidRPr="00343C0F">
        <w:rPr>
          <w:szCs w:val="22"/>
        </w:rPr>
        <w:t xml:space="preserve"> and</w:t>
      </w:r>
      <w:r w:rsidRPr="00343C0F">
        <w:rPr>
          <w:szCs w:val="22"/>
        </w:rPr>
        <w:t xml:space="preserve"> a phased roll-out </w:t>
      </w:r>
      <w:r w:rsidR="005F1B33" w:rsidRPr="00343C0F">
        <w:rPr>
          <w:szCs w:val="22"/>
        </w:rPr>
        <w:t xml:space="preserve">based on </w:t>
      </w:r>
      <w:r w:rsidRPr="00343C0F">
        <w:rPr>
          <w:szCs w:val="22"/>
        </w:rPr>
        <w:t>retailer</w:t>
      </w:r>
      <w:r w:rsidR="005F1B33" w:rsidRPr="00343C0F">
        <w:rPr>
          <w:szCs w:val="22"/>
        </w:rPr>
        <w:t xml:space="preserve"> size. These policy proposals have been adopted in the amendments to the </w:t>
      </w:r>
      <w:r w:rsidR="00A3222C">
        <w:rPr>
          <w:szCs w:val="22"/>
        </w:rPr>
        <w:t xml:space="preserve">CDR </w:t>
      </w:r>
      <w:r w:rsidR="005F1B33" w:rsidRPr="00343C0F">
        <w:rPr>
          <w:szCs w:val="22"/>
        </w:rPr>
        <w:t xml:space="preserve">rules. </w:t>
      </w:r>
    </w:p>
    <w:p w14:paraId="1B3FD51E" w14:textId="172F8CC2" w:rsidR="008725BE" w:rsidRPr="00564645" w:rsidRDefault="001F0FCE" w:rsidP="00CD0A46">
      <w:pPr>
        <w:spacing w:after="200"/>
        <w:rPr>
          <w:bCs/>
          <w:szCs w:val="22"/>
        </w:rPr>
      </w:pPr>
      <w:r>
        <w:rPr>
          <w:szCs w:val="22"/>
        </w:rPr>
        <w:t>The</w:t>
      </w:r>
      <w:r w:rsidR="00A678A8">
        <w:rPr>
          <w:szCs w:val="22"/>
        </w:rPr>
        <w:t xml:space="preserve"> rules to implement the</w:t>
      </w:r>
      <w:r>
        <w:rPr>
          <w:szCs w:val="22"/>
        </w:rPr>
        <w:t xml:space="preserve"> </w:t>
      </w:r>
      <w:r w:rsidR="00255F68">
        <w:rPr>
          <w:szCs w:val="22"/>
        </w:rPr>
        <w:t>peer-to-peer</w:t>
      </w:r>
      <w:r>
        <w:rPr>
          <w:szCs w:val="22"/>
        </w:rPr>
        <w:t xml:space="preserve"> model leverage existing </w:t>
      </w:r>
      <w:r w:rsidR="007B429E">
        <w:rPr>
          <w:szCs w:val="22"/>
        </w:rPr>
        <w:t>energy sector arrangements where possible</w:t>
      </w:r>
      <w:r>
        <w:rPr>
          <w:szCs w:val="22"/>
        </w:rPr>
        <w:t xml:space="preserve">, one example being that retailer data holders can meet their obligation to participate in an external dispute resolution scheme through their existing membership of relevant energy ombudsman schemes. Similarly, the data correction processes for AEMO-held metering and </w:t>
      </w:r>
      <w:r w:rsidR="00F069E7">
        <w:rPr>
          <w:szCs w:val="22"/>
        </w:rPr>
        <w:t>National Metering Identifier (</w:t>
      </w:r>
      <w:r>
        <w:rPr>
          <w:szCs w:val="22"/>
        </w:rPr>
        <w:t>NMI</w:t>
      </w:r>
      <w:r w:rsidR="00F069E7">
        <w:rPr>
          <w:szCs w:val="22"/>
        </w:rPr>
        <w:t>)</w:t>
      </w:r>
      <w:r>
        <w:rPr>
          <w:szCs w:val="22"/>
        </w:rPr>
        <w:t xml:space="preserve"> standing data sets also leverage existing N</w:t>
      </w:r>
      <w:r w:rsidR="007B429E">
        <w:rPr>
          <w:szCs w:val="22"/>
        </w:rPr>
        <w:t>ational Electricity Market</w:t>
      </w:r>
      <w:r>
        <w:rPr>
          <w:szCs w:val="22"/>
        </w:rPr>
        <w:t xml:space="preserve"> correction processes. </w:t>
      </w:r>
    </w:p>
    <w:p w14:paraId="27F551F6" w14:textId="75AE9FE5" w:rsidR="00E831A1" w:rsidRDefault="00E831A1" w:rsidP="00CD0A46">
      <w:pPr>
        <w:pStyle w:val="Heading4"/>
        <w:keepNext/>
        <w:spacing w:after="200"/>
        <w:rPr>
          <w:rStyle w:val="SubtleEmphasis"/>
          <w:rFonts w:cs="Times New Roman"/>
          <w:b w:val="0"/>
          <w:i w:val="0"/>
          <w:color w:val="auto"/>
          <w:spacing w:val="0"/>
          <w:kern w:val="0"/>
          <w:sz w:val="22"/>
          <w:szCs w:val="20"/>
        </w:rPr>
      </w:pPr>
      <w:r w:rsidRPr="001F03E2">
        <w:rPr>
          <w:rStyle w:val="SubtleEmphasis"/>
          <w:i w:val="0"/>
          <w:iCs w:val="0"/>
        </w:rPr>
        <w:t>Who did you consult and how did you incorporate their feedback?</w:t>
      </w:r>
    </w:p>
    <w:p w14:paraId="4790EA49" w14:textId="1AE7A2EF" w:rsidR="007608ED" w:rsidRDefault="00CD0E5B" w:rsidP="00CD0A46">
      <w:pPr>
        <w:keepNext/>
        <w:spacing w:after="200"/>
      </w:pPr>
      <w:r>
        <w:t xml:space="preserve">Grant Thornton undertook a </w:t>
      </w:r>
      <w:r w:rsidR="002B2D27">
        <w:t xml:space="preserve">targeted </w:t>
      </w:r>
      <w:r>
        <w:t xml:space="preserve">consultation </w:t>
      </w:r>
      <w:r w:rsidR="004844A9">
        <w:t>with affected stakeholder groups</w:t>
      </w:r>
      <w:r>
        <w:t xml:space="preserve"> on the data access model as part of the </w:t>
      </w:r>
      <w:r w:rsidR="004E53A5">
        <w:t>R</w:t>
      </w:r>
      <w:r>
        <w:t>eview. Nineteen organisations including retailers,</w:t>
      </w:r>
      <w:r w:rsidR="005B1F8A">
        <w:t xml:space="preserve"> consumer groups and </w:t>
      </w:r>
      <w:r w:rsidR="001C78F5">
        <w:t xml:space="preserve">a </w:t>
      </w:r>
      <w:r w:rsidR="005B1F8A">
        <w:t xml:space="preserve">third party provider were consulted </w:t>
      </w:r>
      <w:r>
        <w:t xml:space="preserve">to understand the relative costs and benefits of </w:t>
      </w:r>
      <w:r w:rsidR="001C78F5">
        <w:t>the</w:t>
      </w:r>
      <w:r>
        <w:t xml:space="preserve"> data access model</w:t>
      </w:r>
      <w:r w:rsidR="001C78F5">
        <w:t>s</w:t>
      </w:r>
      <w:r>
        <w:t xml:space="preserve">. </w:t>
      </w:r>
      <w:r w:rsidR="004844A9">
        <w:t xml:space="preserve">Feedback from Grant Thornton’s consultation was noted and included in the analysis and report. </w:t>
      </w:r>
    </w:p>
    <w:p w14:paraId="3B4A8D3F" w14:textId="1D566193" w:rsidR="00763FE8" w:rsidRDefault="00BB6064" w:rsidP="00CD0A46">
      <w:pPr>
        <w:spacing w:after="200"/>
      </w:pPr>
      <w:r>
        <w:t xml:space="preserve">On 30 April 2021, </w:t>
      </w:r>
      <w:r w:rsidR="00763FE8">
        <w:t xml:space="preserve">Treasury published a design paper </w:t>
      </w:r>
      <w:r>
        <w:t>on the peer-to-peer data access model in the energy sector, to obtain stakeholder feedback in order to develop draft CDR rules and standards.</w:t>
      </w:r>
      <w:r w:rsidR="00763FE8">
        <w:t xml:space="preserve"> </w:t>
      </w:r>
      <w:r>
        <w:t xml:space="preserve">Consultation closed on </w:t>
      </w:r>
      <w:r w:rsidR="00CB5E4C">
        <w:t>26 May</w:t>
      </w:r>
      <w:r>
        <w:t xml:space="preserve"> 2021.</w:t>
      </w:r>
      <w:r w:rsidR="00763FE8">
        <w:t xml:space="preserve"> </w:t>
      </w:r>
    </w:p>
    <w:p w14:paraId="6BC93BE4" w14:textId="7F001682" w:rsidR="00763FE8" w:rsidRPr="00763FE8" w:rsidRDefault="00763FE8" w:rsidP="00CD0A46">
      <w:pPr>
        <w:spacing w:before="60"/>
      </w:pPr>
      <w:r>
        <w:lastRenderedPageBreak/>
        <w:t xml:space="preserve">Treasury received </w:t>
      </w:r>
      <w:r w:rsidRPr="00F37C86">
        <w:t>21 submissions</w:t>
      </w:r>
      <w:r>
        <w:t xml:space="preserve"> from a wide variety of stakeholders including retailers, consumer groups, industry bodies, and potential data recipients that provided comments on the energy design paper including the </w:t>
      </w:r>
      <w:r w:rsidR="007B429E">
        <w:t>peer-to-peer</w:t>
      </w:r>
      <w:r>
        <w:t xml:space="preserve"> model in energy. Submissions provided feedback on the respective roles of retailers and AEMO as outlined by the paper</w:t>
      </w:r>
      <w:r w:rsidR="00422094">
        <w:t xml:space="preserve">, and raised issues such as how complaints would be managed under the </w:t>
      </w:r>
      <w:r w:rsidR="007B429E">
        <w:t>peer-to-peer</w:t>
      </w:r>
      <w:r w:rsidR="00422094">
        <w:t xml:space="preserve"> model. The draft rules were prepared reflecting the input of stakeholders, and to ensure that stakeholders’ need for more information on how the interactions would work in practice was met.  </w:t>
      </w:r>
    </w:p>
    <w:p w14:paraId="1AFB0A49" w14:textId="3A5D904B" w:rsidR="007B429E" w:rsidRDefault="00CD0E5B" w:rsidP="00CD0A46">
      <w:r>
        <w:t>Treasury undertook consultation on the</w:t>
      </w:r>
      <w:r w:rsidR="007B429E">
        <w:t xml:space="preserve"> </w:t>
      </w:r>
      <w:r w:rsidR="008F10A4">
        <w:t>e</w:t>
      </w:r>
      <w:r w:rsidR="007B429E">
        <w:t xml:space="preserve">xposure </w:t>
      </w:r>
      <w:r w:rsidR="008F10A4">
        <w:t>d</w:t>
      </w:r>
      <w:r w:rsidR="007B429E">
        <w:t>raft</w:t>
      </w:r>
      <w:r>
        <w:t xml:space="preserve"> CDR energy rules</w:t>
      </w:r>
      <w:r w:rsidR="007B429E">
        <w:t xml:space="preserve"> and regulations</w:t>
      </w:r>
      <w:r>
        <w:t xml:space="preserve"> between 17 August and 13 September 2021. </w:t>
      </w:r>
      <w:r w:rsidR="007608ED">
        <w:t xml:space="preserve">The consultation included the release of exposure draft amendments to the Consumer Data Right rules (version 4 of the rules), exposure draft regulations, explanatory materials and a paper with proposals for further consultation. Treasury sought views through information sessions and one-on-one discussions and encouraged stakeholders to provide written submissions for the Government’s consideration. </w:t>
      </w:r>
      <w:r w:rsidR="002B2D27">
        <w:t xml:space="preserve">The consultation sought feedback on </w:t>
      </w:r>
      <w:r w:rsidR="000A4397">
        <w:t xml:space="preserve">various matters including the </w:t>
      </w:r>
      <w:r w:rsidR="007B429E" w:rsidRPr="00A45B01">
        <w:rPr>
          <w:rFonts w:cstheme="minorHAnsi"/>
        </w:rPr>
        <w:t xml:space="preserve">regulatory impacts and costs of implementing the CDR in </w:t>
      </w:r>
      <w:r w:rsidR="007B429E">
        <w:rPr>
          <w:rFonts w:cstheme="minorHAnsi"/>
        </w:rPr>
        <w:t xml:space="preserve">the </w:t>
      </w:r>
      <w:r w:rsidR="007B429E" w:rsidRPr="00A45B01">
        <w:rPr>
          <w:rFonts w:cstheme="minorHAnsi"/>
        </w:rPr>
        <w:t>energy</w:t>
      </w:r>
      <w:r w:rsidR="007B429E">
        <w:rPr>
          <w:rFonts w:cstheme="minorHAnsi"/>
        </w:rPr>
        <w:t xml:space="preserve"> sector. </w:t>
      </w:r>
      <w:r w:rsidR="007B429E">
        <w:t>Specifically, stakeholders were asked if they were able to:</w:t>
      </w:r>
    </w:p>
    <w:p w14:paraId="2BC64FBD" w14:textId="7B67953F" w:rsidR="007B429E" w:rsidRDefault="007B429E" w:rsidP="00CD0A46">
      <w:pPr>
        <w:pStyle w:val="ListParagraph"/>
        <w:numPr>
          <w:ilvl w:val="0"/>
          <w:numId w:val="22"/>
        </w:numPr>
        <w:spacing w:after="240"/>
        <w:ind w:left="360"/>
      </w:pPr>
      <w:r>
        <w:t>identify your potential costs and timing to be ready to implement the CDR, and the implication these have for your business; and</w:t>
      </w:r>
    </w:p>
    <w:p w14:paraId="71EDC87E" w14:textId="5939DF76" w:rsidR="007B429E" w:rsidRDefault="007B429E" w:rsidP="00CD0A46">
      <w:pPr>
        <w:pStyle w:val="ListParagraph"/>
        <w:numPr>
          <w:ilvl w:val="0"/>
          <w:numId w:val="22"/>
        </w:numPr>
        <w:spacing w:after="240"/>
        <w:ind w:left="360"/>
      </w:pPr>
      <w:r>
        <w:t>identify any requirements of the draft rules that will make compliance with the CDR more challenging.</w:t>
      </w:r>
    </w:p>
    <w:p w14:paraId="551E8ADA" w14:textId="365BA7DE" w:rsidR="00955F72" w:rsidRDefault="007608ED" w:rsidP="00CD0A46">
      <w:r>
        <w:t xml:space="preserve">Treasury received 30 submissions (comprising 27 formal and 3 informal submissions) in response to the consultation. The feedback confirmed broad support for the rollout of the CDR in the energy sector and the draft energy rules and regulations and confirmed widespread support in the sector for the </w:t>
      </w:r>
      <w:r w:rsidR="000A4397">
        <w:t>peer-to-peer</w:t>
      </w:r>
      <w:r>
        <w:t xml:space="preserve"> model, with comments focussing on technical elements of the model (rather than selection of the model itself). The feedback suggested the model is fit for purpose and confirmed findings of the </w:t>
      </w:r>
      <w:r w:rsidR="004E53A5">
        <w:t>R</w:t>
      </w:r>
      <w:r>
        <w:t xml:space="preserve">eview relating to costs and the likely utility and overall suitability of the model for the sector. </w:t>
      </w:r>
    </w:p>
    <w:p w14:paraId="6F3732F0" w14:textId="340DECBD" w:rsidR="0006676C" w:rsidRDefault="0006676C" w:rsidP="00CD0A46">
      <w:r>
        <w:t xml:space="preserve">Feedback from the consultation revealed that some retailers were not yet well informed about </w:t>
      </w:r>
      <w:r w:rsidRPr="002B49AA">
        <w:t xml:space="preserve">the magnitude of </w:t>
      </w:r>
      <w:r>
        <w:t>the</w:t>
      </w:r>
      <w:r w:rsidRPr="002B49AA">
        <w:t xml:space="preserve"> costs they are likely to bear</w:t>
      </w:r>
      <w:r>
        <w:t xml:space="preserve"> and that</w:t>
      </w:r>
      <w:r w:rsidRPr="002B49AA">
        <w:t>, participants are likely to express concerns once these costs are better understood.</w:t>
      </w:r>
      <w:r>
        <w:t xml:space="preserve"> Consultations revealed that a</w:t>
      </w:r>
      <w:r w:rsidRPr="003E5586">
        <w:t xml:space="preserve"> bottom-up costing of the costs for implementation and maintenance of the </w:t>
      </w:r>
      <w:r w:rsidR="00D34AFD">
        <w:t>peer-to-peer</w:t>
      </w:r>
      <w:r w:rsidRPr="003E5586">
        <w:t xml:space="preserve"> model in energy is not feasible. This is due to the complexity and bespoke nature of im</w:t>
      </w:r>
      <w:r>
        <w:t>plementation between entities.</w:t>
      </w:r>
    </w:p>
    <w:p w14:paraId="0E6A5E20" w14:textId="146F61F6" w:rsidR="00870367" w:rsidRPr="00CB5E4C" w:rsidRDefault="0006676C" w:rsidP="00CD0A46">
      <w:pPr>
        <w:pStyle w:val="BodyText"/>
        <w:spacing w:before="0" w:after="240" w:line="240" w:lineRule="auto"/>
        <w:jc w:val="left"/>
        <w:rPr>
          <w:rFonts w:ascii="Calibri" w:hAnsi="Calibri"/>
          <w:sz w:val="22"/>
        </w:rPr>
      </w:pPr>
      <w:r>
        <w:rPr>
          <w:rFonts w:ascii="Calibri" w:hAnsi="Calibri"/>
          <w:sz w:val="22"/>
        </w:rPr>
        <w:t>Further, s</w:t>
      </w:r>
      <w:r w:rsidRPr="003E5586">
        <w:rPr>
          <w:rFonts w:ascii="Calibri" w:hAnsi="Calibri"/>
          <w:sz w:val="22"/>
        </w:rPr>
        <w:t>ome participants</w:t>
      </w:r>
      <w:r>
        <w:rPr>
          <w:rFonts w:ascii="Calibri" w:hAnsi="Calibri"/>
          <w:sz w:val="22"/>
        </w:rPr>
        <w:t xml:space="preserve"> consider their regulatory cost</w:t>
      </w:r>
      <w:r w:rsidRPr="003E5586">
        <w:rPr>
          <w:rFonts w:ascii="Calibri" w:hAnsi="Calibri"/>
          <w:sz w:val="22"/>
        </w:rPr>
        <w:t xml:space="preserve"> elements highly commercially sensitive as they may reveal to their competitors information regarding the state of their internal systems.</w:t>
      </w:r>
      <w:r w:rsidRPr="004669F1">
        <w:rPr>
          <w:rFonts w:ascii="Calibri" w:hAnsi="Calibri"/>
          <w:sz w:val="22"/>
        </w:rPr>
        <w:t xml:space="preserve"> </w:t>
      </w:r>
      <w:r>
        <w:rPr>
          <w:rFonts w:ascii="Calibri" w:hAnsi="Calibri"/>
          <w:sz w:val="22"/>
        </w:rPr>
        <w:t xml:space="preserve">Several retailers provided cost information on a commercial-in-confidence basis. </w:t>
      </w:r>
      <w:r w:rsidRPr="003E5586">
        <w:rPr>
          <w:rFonts w:ascii="Calibri" w:hAnsi="Calibri"/>
          <w:sz w:val="22"/>
        </w:rPr>
        <w:t xml:space="preserve"> </w:t>
      </w:r>
    </w:p>
    <w:p w14:paraId="3BE4E3C1" w14:textId="153FD5FF" w:rsidR="00F37C86" w:rsidRDefault="00D46975" w:rsidP="00CD0A46">
      <w:r>
        <w:t xml:space="preserve">Feedback from consultation was supportive of a </w:t>
      </w:r>
      <w:r w:rsidR="00695D77">
        <w:t>staged approach to implementation</w:t>
      </w:r>
      <w:r w:rsidR="00D027A9">
        <w:t xml:space="preserve"> </w:t>
      </w:r>
      <w:r w:rsidR="00174713">
        <w:t xml:space="preserve">to </w:t>
      </w:r>
      <w:r w:rsidR="00B83109">
        <w:t>assist</w:t>
      </w:r>
      <w:r w:rsidR="00174713">
        <w:t xml:space="preserve"> retailers in </w:t>
      </w:r>
      <w:r w:rsidR="00B83109">
        <w:t xml:space="preserve">managing </w:t>
      </w:r>
      <w:r w:rsidR="00174713">
        <w:t>the</w:t>
      </w:r>
      <w:r w:rsidR="007B0A86">
        <w:t xml:space="preserve"> </w:t>
      </w:r>
      <w:r w:rsidR="00B83109">
        <w:t>implementation requirements</w:t>
      </w:r>
      <w:r w:rsidR="00695D77">
        <w:t xml:space="preserve">, </w:t>
      </w:r>
      <w:r w:rsidR="007B0A86">
        <w:t xml:space="preserve">while ensuring that </w:t>
      </w:r>
      <w:r>
        <w:t xml:space="preserve">consumers </w:t>
      </w:r>
      <w:r w:rsidR="007B0A86" w:rsidRPr="009164D4">
        <w:t xml:space="preserve">can access the benefits of data sharing as soon as practicable. The rules will include </w:t>
      </w:r>
      <w:r w:rsidR="00695D77" w:rsidRPr="009164D4">
        <w:t xml:space="preserve">a threshold below which retailers are not required to comply with data holder obligations, and a </w:t>
      </w:r>
      <w:r w:rsidR="009164D4" w:rsidRPr="009164D4">
        <w:t>customer</w:t>
      </w:r>
      <w:r w:rsidR="009164D4">
        <w:t xml:space="preserve"> </w:t>
      </w:r>
      <w:r w:rsidR="00695D77" w:rsidRPr="009164D4">
        <w:t>consumption threshold above which the obligations will not apply</w:t>
      </w:r>
      <w:r w:rsidR="007B0A86" w:rsidRPr="009164D4">
        <w:t xml:space="preserve"> as these consumers are larger commercial and industrial customers</w:t>
      </w:r>
      <w:r w:rsidR="00174713" w:rsidRPr="009164D4">
        <w:t>. These measures</w:t>
      </w:r>
      <w:r w:rsidR="00F37C86" w:rsidRPr="009164D4">
        <w:t xml:space="preserve"> are expected to </w:t>
      </w:r>
      <w:r w:rsidR="006506B5" w:rsidRPr="009164D4">
        <w:t>reduce</w:t>
      </w:r>
      <w:r w:rsidR="00F37C86">
        <w:t xml:space="preserve"> the regulatory burden on businesses across the energy sector and will </w:t>
      </w:r>
      <w:r w:rsidR="00174713">
        <w:t xml:space="preserve">help ensure that the CDR </w:t>
      </w:r>
      <w:r w:rsidR="00F37C86">
        <w:t>provide</w:t>
      </w:r>
      <w:r w:rsidR="00174713">
        <w:t>s</w:t>
      </w:r>
      <w:r w:rsidR="00F37C86">
        <w:t xml:space="preserve"> ongoing benefits to Australian consumers and the broader energy market.</w:t>
      </w:r>
      <w:r w:rsidR="007B0A86">
        <w:t xml:space="preserve"> </w:t>
      </w:r>
    </w:p>
    <w:p w14:paraId="4EF6E31E" w14:textId="77777777" w:rsidR="00CD0A46" w:rsidRDefault="00CD0A46">
      <w:pPr>
        <w:spacing w:after="0"/>
        <w:rPr>
          <w:rFonts w:eastAsiaTheme="majorEastAsia" w:cstheme="majorBidi"/>
          <w:b/>
          <w:color w:val="404040" w:themeColor="text1" w:themeTint="BF"/>
          <w:spacing w:val="5"/>
          <w:kern w:val="28"/>
          <w:sz w:val="32"/>
          <w:szCs w:val="32"/>
        </w:rPr>
      </w:pPr>
      <w:r>
        <w:br w:type="page"/>
      </w:r>
    </w:p>
    <w:p w14:paraId="2FA6A4F2" w14:textId="4D40EDFD" w:rsidR="005F44BB" w:rsidRPr="004F53D0" w:rsidRDefault="005F44BB" w:rsidP="00CD0A46">
      <w:pPr>
        <w:pStyle w:val="Heading4"/>
        <w:spacing w:after="200"/>
      </w:pPr>
      <w:r>
        <w:lastRenderedPageBreak/>
        <w:t>What is the best option from those you have considered?</w:t>
      </w:r>
    </w:p>
    <w:p w14:paraId="6D5E2CDA" w14:textId="58D4A19B" w:rsidR="001D7A2C" w:rsidRDefault="00AB5CE6" w:rsidP="00CD0A46">
      <w:pPr>
        <w:spacing w:after="200"/>
        <w:rPr>
          <w:rFonts w:eastAsiaTheme="minorEastAsia"/>
        </w:rPr>
      </w:pPr>
      <w:r>
        <w:rPr>
          <w:rFonts w:eastAsiaTheme="minorEastAsia"/>
        </w:rPr>
        <w:t xml:space="preserve">Based on stakeholder feedback received in the relevant consultation processes, Treasury considers that the </w:t>
      </w:r>
      <w:r w:rsidR="00CA287E">
        <w:rPr>
          <w:rFonts w:eastAsiaTheme="minorEastAsia"/>
        </w:rPr>
        <w:t>most effective</w:t>
      </w:r>
      <w:r>
        <w:rPr>
          <w:rFonts w:eastAsiaTheme="minorEastAsia"/>
        </w:rPr>
        <w:t xml:space="preserve"> implementation arrangements for the CDR in energy will comprise</w:t>
      </w:r>
      <w:r w:rsidR="00FC2233">
        <w:rPr>
          <w:rFonts w:eastAsiaTheme="minorEastAsia"/>
        </w:rPr>
        <w:t xml:space="preserve"> a peer-to-peer data access model, with the follow measures to manage the regulatory impact, particularly for smaller retailers</w:t>
      </w:r>
      <w:r>
        <w:rPr>
          <w:rFonts w:eastAsiaTheme="minorEastAsia"/>
        </w:rPr>
        <w:t>:</w:t>
      </w:r>
    </w:p>
    <w:p w14:paraId="1A44953D" w14:textId="3A03533A" w:rsidR="003541A3" w:rsidRDefault="006269E7" w:rsidP="00CD0A46">
      <w:pPr>
        <w:pStyle w:val="Default"/>
        <w:numPr>
          <w:ilvl w:val="0"/>
          <w:numId w:val="15"/>
        </w:numPr>
        <w:spacing w:after="120"/>
        <w:ind w:left="360"/>
        <w:rPr>
          <w:rFonts w:asciiTheme="minorHAnsi" w:hAnsiTheme="minorHAnsi" w:cstheme="minorHAnsi"/>
          <w:sz w:val="22"/>
          <w:szCs w:val="22"/>
        </w:rPr>
      </w:pPr>
      <w:r w:rsidRPr="000911CC">
        <w:rPr>
          <w:rFonts w:asciiTheme="minorHAnsi" w:hAnsiTheme="minorHAnsi" w:cstheme="minorHAnsi"/>
          <w:sz w:val="22"/>
          <w:szCs w:val="22"/>
        </w:rPr>
        <w:t>A</w:t>
      </w:r>
      <w:r w:rsidR="00B911B9" w:rsidRPr="00494349">
        <w:rPr>
          <w:rFonts w:asciiTheme="minorHAnsi" w:hAnsiTheme="minorHAnsi" w:cstheme="minorHAnsi"/>
          <w:sz w:val="22"/>
          <w:szCs w:val="22"/>
        </w:rPr>
        <w:t xml:space="preserve"> staged approach </w:t>
      </w:r>
      <w:r w:rsidRPr="00494349">
        <w:rPr>
          <w:rFonts w:asciiTheme="minorHAnsi" w:hAnsiTheme="minorHAnsi" w:cstheme="minorHAnsi"/>
          <w:sz w:val="22"/>
          <w:szCs w:val="22"/>
        </w:rPr>
        <w:t>for</w:t>
      </w:r>
      <w:r w:rsidR="00546756" w:rsidRPr="00494349">
        <w:rPr>
          <w:rFonts w:asciiTheme="minorHAnsi" w:hAnsiTheme="minorHAnsi" w:cstheme="minorHAnsi"/>
          <w:sz w:val="22"/>
          <w:szCs w:val="22"/>
        </w:rPr>
        <w:t xml:space="preserve"> implement</w:t>
      </w:r>
      <w:r>
        <w:rPr>
          <w:rFonts w:asciiTheme="minorHAnsi" w:hAnsiTheme="minorHAnsi" w:cstheme="minorHAnsi"/>
          <w:sz w:val="22"/>
          <w:szCs w:val="22"/>
        </w:rPr>
        <w:t>ation of the</w:t>
      </w:r>
      <w:r w:rsidR="00546756">
        <w:rPr>
          <w:rFonts w:asciiTheme="minorHAnsi" w:hAnsiTheme="minorHAnsi" w:cstheme="minorHAnsi"/>
          <w:sz w:val="22"/>
          <w:szCs w:val="22"/>
        </w:rPr>
        <w:t xml:space="preserve"> CDR in energy. A staged approach will prioritise implementation for consumers that </w:t>
      </w:r>
      <w:r w:rsidR="00D07C73">
        <w:rPr>
          <w:rFonts w:asciiTheme="minorHAnsi" w:hAnsiTheme="minorHAnsi" w:cstheme="minorHAnsi"/>
          <w:sz w:val="22"/>
          <w:szCs w:val="22"/>
        </w:rPr>
        <w:t>can</w:t>
      </w:r>
      <w:r w:rsidR="00546756">
        <w:rPr>
          <w:rFonts w:asciiTheme="minorHAnsi" w:hAnsiTheme="minorHAnsi" w:cstheme="minorHAnsi"/>
          <w:sz w:val="22"/>
          <w:szCs w:val="22"/>
        </w:rPr>
        <w:t xml:space="preserve"> benefit the most from CDR data sharing and allow smaller retailers time for the requisite system design, build and testing</w:t>
      </w:r>
      <w:r w:rsidR="000610A9" w:rsidRPr="002A1112">
        <w:rPr>
          <w:rFonts w:asciiTheme="minorHAnsi" w:hAnsiTheme="minorHAnsi" w:cstheme="minorHAnsi"/>
          <w:sz w:val="22"/>
          <w:szCs w:val="22"/>
        </w:rPr>
        <w:t>.</w:t>
      </w:r>
    </w:p>
    <w:p w14:paraId="67FC7DF6" w14:textId="03B36DC9" w:rsidR="00D07C73" w:rsidRDefault="00D07C73" w:rsidP="00CD0A46">
      <w:pPr>
        <w:pStyle w:val="Default"/>
        <w:numPr>
          <w:ilvl w:val="0"/>
          <w:numId w:val="15"/>
        </w:numPr>
        <w:spacing w:after="120"/>
        <w:ind w:left="360"/>
        <w:rPr>
          <w:rFonts w:asciiTheme="minorHAnsi" w:hAnsiTheme="minorHAnsi" w:cstheme="minorHAnsi"/>
          <w:sz w:val="22"/>
          <w:szCs w:val="22"/>
        </w:rPr>
      </w:pPr>
      <w:r>
        <w:rPr>
          <w:rFonts w:asciiTheme="minorHAnsi" w:hAnsiTheme="minorHAnsi" w:cstheme="minorHAnsi"/>
          <w:sz w:val="22"/>
          <w:szCs w:val="22"/>
        </w:rPr>
        <w:t>Retailers with less than 10,000 small customers can voluntarily participate as data holders in the CDR</w:t>
      </w:r>
      <w:r w:rsidR="004856AA">
        <w:rPr>
          <w:rFonts w:asciiTheme="minorHAnsi" w:hAnsiTheme="minorHAnsi" w:cstheme="minorHAnsi"/>
          <w:sz w:val="22"/>
          <w:szCs w:val="22"/>
        </w:rPr>
        <w:t>, but their participation will not be mandated</w:t>
      </w:r>
      <w:r>
        <w:rPr>
          <w:rFonts w:asciiTheme="minorHAnsi" w:hAnsiTheme="minorHAnsi" w:cstheme="minorHAnsi"/>
          <w:sz w:val="22"/>
          <w:szCs w:val="22"/>
        </w:rPr>
        <w:t xml:space="preserve">. This is due to the likely CDR compliance costs </w:t>
      </w:r>
      <w:proofErr w:type="spellStart"/>
      <w:r>
        <w:rPr>
          <w:rFonts w:asciiTheme="minorHAnsi" w:hAnsiTheme="minorHAnsi" w:cstheme="minorHAnsi"/>
          <w:sz w:val="22"/>
          <w:szCs w:val="22"/>
        </w:rPr>
        <w:t>signicantly</w:t>
      </w:r>
      <w:proofErr w:type="spellEnd"/>
      <w:r>
        <w:rPr>
          <w:rFonts w:asciiTheme="minorHAnsi" w:hAnsiTheme="minorHAnsi" w:cstheme="minorHAnsi"/>
          <w:sz w:val="22"/>
          <w:szCs w:val="22"/>
        </w:rPr>
        <w:t xml:space="preserve"> impacting the smallest retailers’ ability to operate in the market. </w:t>
      </w:r>
    </w:p>
    <w:p w14:paraId="4D83CAEE" w14:textId="16A33AE8" w:rsidR="009164D4" w:rsidRPr="00B94DCC" w:rsidRDefault="00763A46" w:rsidP="00CD0A46">
      <w:pPr>
        <w:pStyle w:val="Default"/>
        <w:numPr>
          <w:ilvl w:val="0"/>
          <w:numId w:val="15"/>
        </w:numPr>
        <w:spacing w:after="120"/>
        <w:ind w:left="360"/>
        <w:rPr>
          <w:sz w:val="22"/>
          <w:szCs w:val="22"/>
        </w:rPr>
      </w:pPr>
      <w:r w:rsidRPr="0042399B">
        <w:rPr>
          <w:rFonts w:asciiTheme="minorHAnsi" w:hAnsiTheme="minorHAnsi" w:cstheme="minorHAnsi"/>
          <w:sz w:val="22"/>
          <w:szCs w:val="22"/>
        </w:rPr>
        <w:t>The largest commercial and in</w:t>
      </w:r>
      <w:r w:rsidRPr="00B94DCC">
        <w:rPr>
          <w:rFonts w:asciiTheme="minorHAnsi" w:hAnsiTheme="minorHAnsi" w:cstheme="minorHAnsi"/>
          <w:sz w:val="22"/>
          <w:szCs w:val="22"/>
        </w:rPr>
        <w:t xml:space="preserve">dustrial customers consuming 5 </w:t>
      </w:r>
      <w:r w:rsidR="000B5353" w:rsidRPr="00B94DCC">
        <w:rPr>
          <w:rFonts w:asciiTheme="minorHAnsi" w:hAnsiTheme="minorHAnsi" w:cstheme="minorHAnsi"/>
          <w:sz w:val="22"/>
          <w:szCs w:val="22"/>
        </w:rPr>
        <w:t xml:space="preserve">or more </w:t>
      </w:r>
      <w:r w:rsidRPr="0042399B">
        <w:rPr>
          <w:rFonts w:asciiTheme="minorHAnsi" w:hAnsiTheme="minorHAnsi" w:cstheme="minorHAnsi"/>
          <w:sz w:val="22"/>
          <w:szCs w:val="22"/>
        </w:rPr>
        <w:t>gigawatt hours of electricity per annum are excluded from being</w:t>
      </w:r>
      <w:r w:rsidRPr="000911CC">
        <w:rPr>
          <w:rFonts w:asciiTheme="minorHAnsi" w:hAnsiTheme="minorHAnsi" w:cstheme="minorHAnsi"/>
          <w:sz w:val="22"/>
          <w:szCs w:val="22"/>
        </w:rPr>
        <w:t xml:space="preserve"> able to share CDR data on the basis that these </w:t>
      </w:r>
      <w:r w:rsidRPr="00494349">
        <w:rPr>
          <w:rFonts w:asciiTheme="minorHAnsi" w:hAnsiTheme="minorHAnsi" w:cstheme="minorHAnsi"/>
          <w:sz w:val="22"/>
          <w:szCs w:val="22"/>
        </w:rPr>
        <w:t>customers are unlikely to benefit from the CDR. Th</w:t>
      </w:r>
      <w:r w:rsidR="009164D4" w:rsidRPr="0042399B">
        <w:rPr>
          <w:rFonts w:asciiTheme="minorHAnsi" w:hAnsiTheme="minorHAnsi" w:cstheme="minorHAnsi"/>
          <w:sz w:val="22"/>
          <w:szCs w:val="22"/>
        </w:rPr>
        <w:t xml:space="preserve">is reflects that the </w:t>
      </w:r>
      <w:r w:rsidRPr="00B94DCC">
        <w:rPr>
          <w:rFonts w:asciiTheme="minorHAnsi" w:hAnsiTheme="minorHAnsi" w:cstheme="minorHAnsi"/>
          <w:sz w:val="22"/>
          <w:szCs w:val="22"/>
        </w:rPr>
        <w:t>large</w:t>
      </w:r>
      <w:r w:rsidR="009164D4" w:rsidRPr="00B94DCC">
        <w:rPr>
          <w:rFonts w:asciiTheme="minorHAnsi" w:hAnsiTheme="minorHAnsi" w:cstheme="minorHAnsi"/>
          <w:sz w:val="22"/>
          <w:szCs w:val="22"/>
        </w:rPr>
        <w:t>st</w:t>
      </w:r>
      <w:r w:rsidRPr="00B94DCC">
        <w:rPr>
          <w:rFonts w:asciiTheme="minorHAnsi" w:hAnsiTheme="minorHAnsi" w:cstheme="minorHAnsi"/>
          <w:sz w:val="22"/>
          <w:szCs w:val="22"/>
        </w:rPr>
        <w:t xml:space="preserve"> customers have bespoke plans, sophisticated data access arrangements and an existing competitive market for products and services</w:t>
      </w:r>
      <w:r w:rsidR="000610A9" w:rsidRPr="00B94DCC">
        <w:rPr>
          <w:rFonts w:asciiTheme="minorHAnsi" w:hAnsiTheme="minorHAnsi" w:cstheme="minorHAnsi"/>
          <w:sz w:val="22"/>
          <w:szCs w:val="22"/>
        </w:rPr>
        <w:t>.</w:t>
      </w:r>
    </w:p>
    <w:p w14:paraId="129C7271" w14:textId="706295A3" w:rsidR="00986E12" w:rsidRPr="00720C87" w:rsidRDefault="000911CC" w:rsidP="00CD0A46">
      <w:pPr>
        <w:pStyle w:val="ListParagraph"/>
        <w:numPr>
          <w:ilvl w:val="0"/>
          <w:numId w:val="15"/>
        </w:numPr>
        <w:spacing w:after="120"/>
        <w:ind w:left="360"/>
        <w:rPr>
          <w:rFonts w:cstheme="minorHAnsi"/>
        </w:rPr>
      </w:pPr>
      <w:r>
        <w:t>R</w:t>
      </w:r>
      <w:r w:rsidR="00986E12" w:rsidRPr="00494349">
        <w:t xml:space="preserve">etailers </w:t>
      </w:r>
      <w:r>
        <w:t xml:space="preserve">will use their </w:t>
      </w:r>
      <w:r w:rsidR="00986E12" w:rsidRPr="00494349">
        <w:t>exist</w:t>
      </w:r>
      <w:r>
        <w:t>ing</w:t>
      </w:r>
      <w:r w:rsidR="00986E12" w:rsidRPr="00720C87">
        <w:t xml:space="preserve"> membership </w:t>
      </w:r>
      <w:r>
        <w:t xml:space="preserve">with </w:t>
      </w:r>
      <w:r w:rsidR="00986E12" w:rsidRPr="00720C87">
        <w:t xml:space="preserve">relevant state </w:t>
      </w:r>
      <w:r>
        <w:t xml:space="preserve">and </w:t>
      </w:r>
      <w:r w:rsidR="00986E12" w:rsidRPr="00494349">
        <w:t>territory water and energy ombudsmen</w:t>
      </w:r>
      <w:r>
        <w:t xml:space="preserve"> schemes to address external dispute resolution (EDR) requirements. This avoids creating </w:t>
      </w:r>
      <w:r w:rsidR="00986E12" w:rsidRPr="00720C87">
        <w:t xml:space="preserve">additional </w:t>
      </w:r>
      <w:r>
        <w:t xml:space="preserve">EDR </w:t>
      </w:r>
      <w:r w:rsidR="00986E12" w:rsidRPr="00494349">
        <w:t>requirements</w:t>
      </w:r>
      <w:r>
        <w:t xml:space="preserve"> for retailers</w:t>
      </w:r>
      <w:r w:rsidR="002F2FC8">
        <w:t xml:space="preserve"> where </w:t>
      </w:r>
      <w:r w:rsidR="00A429CC">
        <w:t xml:space="preserve">appropriate </w:t>
      </w:r>
      <w:r w:rsidR="002F2FC8">
        <w:t xml:space="preserve">arrangements </w:t>
      </w:r>
      <w:r w:rsidR="00A429CC">
        <w:t>already exist</w:t>
      </w:r>
      <w:r w:rsidR="00986E12" w:rsidRPr="00720C87">
        <w:t>.</w:t>
      </w:r>
      <w:r w:rsidR="004856AA" w:rsidRPr="00720C87" w:rsidDel="000911CC">
        <w:t xml:space="preserve"> </w:t>
      </w:r>
      <w:r w:rsidR="004856AA" w:rsidRPr="00720C87">
        <w:t xml:space="preserve">Where retailers become accredited data recipients for the purposes of sharing energy data, they can </w:t>
      </w:r>
      <w:r>
        <w:t xml:space="preserve">continue to </w:t>
      </w:r>
      <w:r w:rsidR="004856AA" w:rsidRPr="00494349">
        <w:t xml:space="preserve">rely on their </w:t>
      </w:r>
      <w:r>
        <w:t xml:space="preserve">existing </w:t>
      </w:r>
      <w:r w:rsidR="004856AA" w:rsidRPr="00494349">
        <w:t xml:space="preserve">membership </w:t>
      </w:r>
      <w:r>
        <w:t xml:space="preserve">with </w:t>
      </w:r>
      <w:r w:rsidR="004856AA" w:rsidRPr="00494349">
        <w:t>relevant statute and territory energy ombudsmen schemes</w:t>
      </w:r>
      <w:r w:rsidR="00D21729" w:rsidRPr="00720C87">
        <w:t xml:space="preserve">.  </w:t>
      </w:r>
    </w:p>
    <w:p w14:paraId="76C9B1AF" w14:textId="4D01481D" w:rsidR="00986E12" w:rsidRPr="00720C87" w:rsidRDefault="000911CC" w:rsidP="00CD0A46">
      <w:pPr>
        <w:pStyle w:val="ListParagraph"/>
        <w:numPr>
          <w:ilvl w:val="0"/>
          <w:numId w:val="32"/>
        </w:numPr>
        <w:spacing w:after="120"/>
        <w:ind w:left="360"/>
        <w:rPr>
          <w:rFonts w:cstheme="minorHAnsi"/>
        </w:rPr>
      </w:pPr>
      <w:r w:rsidRPr="00BA0780">
        <w:t xml:space="preserve">Retailers will use </w:t>
      </w:r>
      <w:r w:rsidR="00032B57">
        <w:t>the</w:t>
      </w:r>
      <w:r w:rsidR="004856AA" w:rsidRPr="00720C87">
        <w:t xml:space="preserve"> internal dispute resolution processes that have been adopted under existing energy legislation, rather than the internal dispute resolution processes used for the banking sector</w:t>
      </w:r>
      <w:r w:rsidRPr="00BA0780">
        <w:t xml:space="preserve">. </w:t>
      </w:r>
    </w:p>
    <w:p w14:paraId="4E19AB14" w14:textId="409D0C8B" w:rsidR="001116D0" w:rsidRPr="00032B57" w:rsidRDefault="004271B8" w:rsidP="00CD0A46">
      <w:pPr>
        <w:pStyle w:val="Bullet"/>
        <w:numPr>
          <w:ilvl w:val="0"/>
          <w:numId w:val="32"/>
        </w:numPr>
        <w:spacing w:after="120"/>
        <w:ind w:left="360"/>
        <w:rPr>
          <w:rFonts w:eastAsiaTheme="minorEastAsia" w:cstheme="minorHAnsi"/>
          <w:color w:val="000000" w:themeColor="text1"/>
          <w:kern w:val="24"/>
        </w:rPr>
      </w:pPr>
      <w:r w:rsidRPr="008176EB">
        <w:rPr>
          <w:szCs w:val="22"/>
        </w:rPr>
        <w:t xml:space="preserve">Where metering and connection point data held by AEMO needs to be corrected, </w:t>
      </w:r>
      <w:r w:rsidRPr="00032B57">
        <w:rPr>
          <w:szCs w:val="22"/>
        </w:rPr>
        <w:t xml:space="preserve">retailers </w:t>
      </w:r>
      <w:r w:rsidR="00BA0780" w:rsidRPr="00BA0780">
        <w:rPr>
          <w:szCs w:val="22"/>
        </w:rPr>
        <w:t xml:space="preserve">will only be required </w:t>
      </w:r>
      <w:r w:rsidRPr="008176EB">
        <w:rPr>
          <w:szCs w:val="22"/>
        </w:rPr>
        <w:t>to initiate the relevant correction process that is already in place in the National Electricity Market.</w:t>
      </w:r>
    </w:p>
    <w:p w14:paraId="3F0C765D" w14:textId="63F702D7" w:rsidR="00A164AE" w:rsidRDefault="00FD5BCA" w:rsidP="004F53D0">
      <w:pPr>
        <w:rPr>
          <w:b/>
          <w:i/>
          <w:iCs/>
        </w:rPr>
      </w:pPr>
      <w:r w:rsidRPr="00032B57">
        <w:t>Treasury notes</w:t>
      </w:r>
      <w:r w:rsidR="0098368D" w:rsidRPr="00032B57">
        <w:t xml:space="preserve"> </w:t>
      </w:r>
      <w:r w:rsidR="00FE4BEB" w:rsidRPr="00032B57">
        <w:t>that the options above</w:t>
      </w:r>
      <w:r w:rsidR="001116D0" w:rsidRPr="00032B57">
        <w:t xml:space="preserve"> </w:t>
      </w:r>
      <w:r w:rsidR="00C03157" w:rsidRPr="00032B57">
        <w:t xml:space="preserve">are expected to </w:t>
      </w:r>
      <w:r w:rsidR="00117825" w:rsidRPr="00032B57">
        <w:t xml:space="preserve">reduce </w:t>
      </w:r>
      <w:r w:rsidR="00AB5CE6" w:rsidRPr="00032B57">
        <w:t xml:space="preserve">the </w:t>
      </w:r>
      <w:r w:rsidR="001116D0" w:rsidRPr="00032B57">
        <w:t>compliance burden for participants.</w:t>
      </w:r>
    </w:p>
    <w:p w14:paraId="5B900261" w14:textId="0F5B5D06" w:rsidR="00E831A1" w:rsidRPr="00262928" w:rsidRDefault="00E831A1" w:rsidP="00CD0A46">
      <w:pPr>
        <w:pStyle w:val="Heading4"/>
        <w:keepNext/>
        <w:spacing w:after="200"/>
        <w:rPr>
          <w:rStyle w:val="SubtleEmphasis"/>
          <w:rFonts w:cs="Times New Roman"/>
          <w:b w:val="0"/>
          <w:i w:val="0"/>
          <w:spacing w:val="0"/>
          <w:kern w:val="0"/>
          <w:sz w:val="22"/>
          <w:szCs w:val="20"/>
        </w:rPr>
      </w:pPr>
      <w:r w:rsidRPr="00262928">
        <w:rPr>
          <w:rStyle w:val="SubtleEmphasis"/>
          <w:i w:val="0"/>
        </w:rPr>
        <w:t>How w</w:t>
      </w:r>
      <w:r w:rsidR="002A36E5" w:rsidRPr="00262928">
        <w:rPr>
          <w:rStyle w:val="SubtleEmphasis"/>
          <w:i w:val="0"/>
        </w:rPr>
        <w:t>ill you implement and evaluate</w:t>
      </w:r>
      <w:r w:rsidRPr="00262928">
        <w:rPr>
          <w:rStyle w:val="SubtleEmphasis"/>
          <w:i w:val="0"/>
        </w:rPr>
        <w:t xml:space="preserve"> your chosen option?</w:t>
      </w:r>
    </w:p>
    <w:p w14:paraId="54C79613" w14:textId="116A7DC2" w:rsidR="00B66AC3" w:rsidRDefault="00CA287E" w:rsidP="00CD0A46">
      <w:pPr>
        <w:spacing w:after="200"/>
      </w:pPr>
      <w:r>
        <w:t xml:space="preserve">These </w:t>
      </w:r>
      <w:r w:rsidR="00763A46">
        <w:t>policy positions</w:t>
      </w:r>
      <w:r>
        <w:t xml:space="preserve"> will be implemented by the Minister through amendments to the CDR rules, and </w:t>
      </w:r>
      <w:r w:rsidR="009D6DA8">
        <w:t>through</w:t>
      </w:r>
      <w:r>
        <w:t xml:space="preserve"> regulations </w:t>
      </w:r>
      <w:r w:rsidR="009D6DA8">
        <w:t xml:space="preserve">for the energy sector, to be made </w:t>
      </w:r>
      <w:r w:rsidR="001C1AE2">
        <w:t>under</w:t>
      </w:r>
      <w:r w:rsidR="009D6DA8">
        <w:t xml:space="preserve"> Part IVD of the </w:t>
      </w:r>
      <w:r w:rsidR="009D6DA8">
        <w:rPr>
          <w:i/>
        </w:rPr>
        <w:t>Competition and Consumer Act 2010</w:t>
      </w:r>
      <w:r w:rsidR="009D6DA8">
        <w:t xml:space="preserve">. </w:t>
      </w:r>
    </w:p>
    <w:p w14:paraId="08F6B4D7" w14:textId="79F9BD04" w:rsidR="002009DF" w:rsidRDefault="00433190" w:rsidP="00CD0A46">
      <w:pPr>
        <w:spacing w:after="200"/>
      </w:pPr>
      <w:r>
        <w:t>The making of the energy rules will extend</w:t>
      </w:r>
      <w:r w:rsidRPr="00416A61">
        <w:t xml:space="preserve"> </w:t>
      </w:r>
      <w:r>
        <w:t xml:space="preserve">the CDR </w:t>
      </w:r>
      <w:r w:rsidR="00363C40">
        <w:t xml:space="preserve">from the banking sector </w:t>
      </w:r>
      <w:r>
        <w:t>to the e</w:t>
      </w:r>
      <w:r w:rsidRPr="00416A61">
        <w:t>nergy</w:t>
      </w:r>
      <w:r>
        <w:t xml:space="preserve"> sector</w:t>
      </w:r>
      <w:r w:rsidR="00363C40">
        <w:t>.</w:t>
      </w:r>
      <w:r w:rsidR="000B4609">
        <w:t xml:space="preserve"> </w:t>
      </w:r>
      <w:r w:rsidR="00363C40">
        <w:t>A</w:t>
      </w:r>
      <w:r w:rsidR="00363C40" w:rsidRPr="00870CBA">
        <w:t xml:space="preserve"> number of stakeholder engagement forums </w:t>
      </w:r>
      <w:r w:rsidR="00363C40">
        <w:t xml:space="preserve">have been established which can be used to evaluate the </w:t>
      </w:r>
      <w:r w:rsidR="00CA287E">
        <w:t>peer-to-peer</w:t>
      </w:r>
      <w:r w:rsidR="00363C40">
        <w:t xml:space="preserve"> model as the CDR is extended to </w:t>
      </w:r>
      <w:r w:rsidR="00472821">
        <w:t xml:space="preserve">other sectors to eventually </w:t>
      </w:r>
      <w:r w:rsidR="00363C40">
        <w:t>provide whole-of-economy coverage.</w:t>
      </w:r>
      <w:r w:rsidR="00795FE9">
        <w:t xml:space="preserve"> </w:t>
      </w:r>
      <w:r w:rsidR="00363C40">
        <w:t>T</w:t>
      </w:r>
      <w:r w:rsidR="00416A61" w:rsidRPr="00416A61">
        <w:t>reasury will continue to</w:t>
      </w:r>
      <w:r w:rsidR="00CF694A">
        <w:t xml:space="preserve"> monitor</w:t>
      </w:r>
      <w:r w:rsidR="00416A61" w:rsidRPr="00416A61">
        <w:t xml:space="preserve"> the </w:t>
      </w:r>
      <w:r w:rsidR="000641B0">
        <w:t xml:space="preserve">operation </w:t>
      </w:r>
      <w:r w:rsidR="00CF694A">
        <w:t xml:space="preserve">and implementation </w:t>
      </w:r>
      <w:r w:rsidR="000641B0">
        <w:t xml:space="preserve">of the </w:t>
      </w:r>
      <w:r w:rsidR="00626893">
        <w:t>e</w:t>
      </w:r>
      <w:r w:rsidR="00416A61" w:rsidRPr="00416A61">
        <w:t>nergy rules</w:t>
      </w:r>
      <w:r w:rsidR="00626893">
        <w:t>.</w:t>
      </w:r>
      <w:r w:rsidR="00B66AC3">
        <w:t xml:space="preserve"> </w:t>
      </w:r>
    </w:p>
    <w:p w14:paraId="62AB4BB0" w14:textId="45386E61" w:rsidR="00466F38" w:rsidRDefault="002009DF" w:rsidP="00CD0A46">
      <w:pPr>
        <w:keepLines/>
        <w:spacing w:after="200"/>
      </w:pPr>
      <w:r>
        <w:t xml:space="preserve">Treasury will continue working with industry and other stakeholders to monitor the costs and minimise regulatory burden on businesses as implementation work progresses. </w:t>
      </w:r>
      <w:r w:rsidDel="00C63913">
        <w:t xml:space="preserve">Stakeholders should note that the Government will continue to explore ways </w:t>
      </w:r>
      <w:r w:rsidRPr="000D1F15" w:rsidDel="00C63913">
        <w:t xml:space="preserve">to provide assistance </w:t>
      </w:r>
      <w:r w:rsidDel="00C63913">
        <w:t xml:space="preserve">for CDR participants, such as creating </w:t>
      </w:r>
      <w:r w:rsidRPr="000D1F15" w:rsidDel="00C63913">
        <w:t xml:space="preserve">an open source library of artefacts to assist all retailers meet implementation costs. </w:t>
      </w:r>
      <w:r w:rsidDel="00C63913">
        <w:t>Specifically</w:t>
      </w:r>
      <w:r w:rsidRPr="000D1F15" w:rsidDel="00C63913">
        <w:t xml:space="preserve">, the Data Standards Body </w:t>
      </w:r>
      <w:r w:rsidDel="00C63913">
        <w:t xml:space="preserve">is </w:t>
      </w:r>
      <w:r w:rsidRPr="000D1F15" w:rsidDel="00C63913">
        <w:t>currently providing a range of technical solutions to help interested parties engage in the CDR ecosystem and are well-positioned look at ways to support energy retailers reduce their costs.</w:t>
      </w:r>
    </w:p>
    <w:p w14:paraId="662D196A" w14:textId="77777777" w:rsidR="00466F38" w:rsidRDefault="00466F38">
      <w:pPr>
        <w:spacing w:after="0"/>
      </w:pPr>
      <w:r>
        <w:br w:type="page"/>
      </w:r>
    </w:p>
    <w:p w14:paraId="6B34F5AF" w14:textId="6FC3902A" w:rsidR="00466F38" w:rsidRPr="004F53D0" w:rsidRDefault="00466F38" w:rsidP="00CD0A46">
      <w:pPr>
        <w:pStyle w:val="Heading2"/>
        <w:spacing w:after="240"/>
      </w:pPr>
      <w:r w:rsidRPr="004229F8">
        <w:lastRenderedPageBreak/>
        <w:t xml:space="preserve">Attachment </w:t>
      </w:r>
      <w:r>
        <w:t>B</w:t>
      </w:r>
      <w:r w:rsidRPr="004229F8">
        <w:t xml:space="preserve">: </w:t>
      </w:r>
      <w:r w:rsidRPr="00506360">
        <w:t xml:space="preserve">Supplementary </w:t>
      </w:r>
      <w:r w:rsidR="005170BC">
        <w:t>a</w:t>
      </w:r>
      <w:r w:rsidRPr="00506360">
        <w:t xml:space="preserve">nalysis </w:t>
      </w:r>
      <w:r>
        <w:t>to inform the regulatory burden estimate</w:t>
      </w:r>
    </w:p>
    <w:p w14:paraId="0B76CAF6" w14:textId="69298BFA" w:rsidR="00D24AD7" w:rsidRDefault="00D24AD7" w:rsidP="00CD0A46">
      <w:pPr>
        <w:spacing w:after="200"/>
      </w:pPr>
      <w:r>
        <w:t xml:space="preserve">The estimates provided in the regulatory burden estimate table in the certification letter include the average annual regulatory costs (from business as usual) expected to be incurred by retailers in the energy sector. The data is based on the adopt of a </w:t>
      </w:r>
      <w:r w:rsidR="00C03157">
        <w:t>peer-to-peer</w:t>
      </w:r>
      <w:r>
        <w:t xml:space="preserve"> data access model. The sector-wide estimate of costs excludes small retailers that have under 10,000 customers as the rules will not impose mandatory data sharing obligations on these retailers. </w:t>
      </w:r>
    </w:p>
    <w:p w14:paraId="69C23647" w14:textId="77777777" w:rsidR="00466F38" w:rsidRDefault="00466F38" w:rsidP="00CD0A46">
      <w:pPr>
        <w:spacing w:after="200"/>
      </w:pPr>
      <w:r>
        <w:t>Treasury has calculated the estimated regulatory impact for the energy sector through information gathered as part of various</w:t>
      </w:r>
      <w:r w:rsidRPr="00181FC0">
        <w:t xml:space="preserve"> </w:t>
      </w:r>
      <w:r>
        <w:t>consultation processes including:</w:t>
      </w:r>
    </w:p>
    <w:p w14:paraId="5AA93DCC" w14:textId="4453EAA3" w:rsidR="00466F38" w:rsidRDefault="00466F38" w:rsidP="00CD0A46">
      <w:pPr>
        <w:pStyle w:val="ListParagraph"/>
        <w:numPr>
          <w:ilvl w:val="0"/>
          <w:numId w:val="28"/>
        </w:numPr>
        <w:spacing w:after="120"/>
        <w:ind w:left="360"/>
      </w:pPr>
      <w:r>
        <w:t xml:space="preserve">consultation as part of the </w:t>
      </w:r>
      <w:proofErr w:type="spellStart"/>
      <w:r>
        <w:t>HoustonKemp’s</w:t>
      </w:r>
      <w:proofErr w:type="spellEnd"/>
      <w:r>
        <w:t xml:space="preserve"> report into how best to facilitate greater access to consumer energy data;</w:t>
      </w:r>
    </w:p>
    <w:p w14:paraId="4EB83D5A" w14:textId="3670E686" w:rsidR="00466F38" w:rsidRDefault="00466F38" w:rsidP="00CD0A46">
      <w:pPr>
        <w:pStyle w:val="ListParagraph"/>
        <w:numPr>
          <w:ilvl w:val="0"/>
          <w:numId w:val="28"/>
        </w:numPr>
        <w:spacing w:after="120"/>
        <w:ind w:left="360"/>
      </w:pPr>
      <w:r>
        <w:t>consultation as part of Grant Thornton’s independent review;</w:t>
      </w:r>
    </w:p>
    <w:p w14:paraId="134C7737" w14:textId="4ADCFC87" w:rsidR="00466F38" w:rsidRDefault="00466F38" w:rsidP="00CD0A46">
      <w:pPr>
        <w:pStyle w:val="ListParagraph"/>
        <w:numPr>
          <w:ilvl w:val="0"/>
          <w:numId w:val="28"/>
        </w:numPr>
        <w:spacing w:after="120"/>
        <w:ind w:left="360"/>
      </w:pPr>
      <w:r>
        <w:t xml:space="preserve">consultation on a design paper on the peer-to-peer data access model in the energy sector; and </w:t>
      </w:r>
    </w:p>
    <w:p w14:paraId="77863239" w14:textId="2BA9AE7C" w:rsidR="00466F38" w:rsidRDefault="00466F38" w:rsidP="00CD0A46">
      <w:pPr>
        <w:pStyle w:val="ListParagraph"/>
        <w:numPr>
          <w:ilvl w:val="0"/>
          <w:numId w:val="28"/>
        </w:numPr>
        <w:spacing w:after="200"/>
        <w:ind w:left="360"/>
      </w:pPr>
      <w:r>
        <w:t>public consultation on the draft energy rules package with energy sector stakeholders and other relevant CDR stakeholders.</w:t>
      </w:r>
    </w:p>
    <w:p w14:paraId="1CED8172" w14:textId="75CF8B68" w:rsidR="00466F38" w:rsidRPr="004229F8" w:rsidRDefault="00466F38" w:rsidP="00CD0A46">
      <w:pPr>
        <w:spacing w:after="200"/>
        <w:rPr>
          <w:i/>
          <w:iCs/>
        </w:rPr>
      </w:pPr>
      <w:r>
        <w:t>The estimates</w:t>
      </w:r>
      <w:r w:rsidRPr="006C3F8F">
        <w:t xml:space="preserve"> provided have been modelled from commercial-in-confidence information provided by retailers and an established third </w:t>
      </w:r>
      <w:r>
        <w:t xml:space="preserve">party service </w:t>
      </w:r>
      <w:r w:rsidRPr="006C3F8F">
        <w:t xml:space="preserve">provider </w:t>
      </w:r>
      <w:r>
        <w:t xml:space="preserve">that currently </w:t>
      </w:r>
      <w:r w:rsidRPr="006C3F8F">
        <w:t>offer</w:t>
      </w:r>
      <w:r>
        <w:t>s</w:t>
      </w:r>
      <w:r w:rsidRPr="006C3F8F">
        <w:t xml:space="preserve"> solutions to data holders and data recipients in the banking sector. These estimates are indicative and </w:t>
      </w:r>
      <w:r>
        <w:t xml:space="preserve">include assumptions that a proportion of </w:t>
      </w:r>
      <w:r w:rsidRPr="006C3F8F">
        <w:t xml:space="preserve">energy sector retailers </w:t>
      </w:r>
      <w:r>
        <w:t xml:space="preserve">will </w:t>
      </w:r>
      <w:r w:rsidRPr="006C3F8F">
        <w:t>choose to</w:t>
      </w:r>
      <w:r>
        <w:t xml:space="preserve"> meet compliance obligations</w:t>
      </w:r>
      <w:r w:rsidRPr="006C3F8F">
        <w:t xml:space="preserve"> us</w:t>
      </w:r>
      <w:r>
        <w:t>ing</w:t>
      </w:r>
      <w:r w:rsidRPr="006C3F8F">
        <w:t xml:space="preserve"> </w:t>
      </w:r>
      <w:r>
        <w:t>third party vendors providing CDR compliance solutions.</w:t>
      </w:r>
      <w:r w:rsidR="006E54CB">
        <w:t xml:space="preserve"> </w:t>
      </w:r>
      <w:r w:rsidRPr="00704681">
        <w:t xml:space="preserve">In addition to the costs </w:t>
      </w:r>
      <w:r>
        <w:t xml:space="preserve">information </w:t>
      </w:r>
      <w:r w:rsidRPr="00704681">
        <w:t>that w</w:t>
      </w:r>
      <w:r>
        <w:t>as</w:t>
      </w:r>
      <w:r w:rsidRPr="00704681">
        <w:t xml:space="preserve"> provided</w:t>
      </w:r>
      <w:r>
        <w:t xml:space="preserve"> through consultation</w:t>
      </w:r>
      <w:r w:rsidRPr="00704681">
        <w:t xml:space="preserve">, Treasury </w:t>
      </w:r>
      <w:r>
        <w:t xml:space="preserve">has </w:t>
      </w:r>
      <w:r w:rsidRPr="00704681">
        <w:t xml:space="preserve">also modelled costs </w:t>
      </w:r>
      <w:r>
        <w:t xml:space="preserve">based on information in </w:t>
      </w:r>
      <w:proofErr w:type="spellStart"/>
      <w:r w:rsidRPr="00704681">
        <w:t>HoustonKemp</w:t>
      </w:r>
      <w:r>
        <w:t>’s</w:t>
      </w:r>
      <w:proofErr w:type="spellEnd"/>
      <w:r>
        <w:t xml:space="preserve"> report </w:t>
      </w:r>
      <w:r>
        <w:rPr>
          <w:i/>
          <w:iCs/>
        </w:rPr>
        <w:t xml:space="preserve">Open consumer energy data: applying a Consumer Data Right to the energy sector. </w:t>
      </w:r>
    </w:p>
    <w:p w14:paraId="5E8BBE64" w14:textId="77777777" w:rsidR="00466F38" w:rsidRDefault="00466F38" w:rsidP="00CD0A46">
      <w:pPr>
        <w:spacing w:after="200"/>
      </w:pPr>
      <w:r>
        <w:t xml:space="preserve">In estimating the regulatory costs to retailers, two scenarios have been modelled. </w:t>
      </w:r>
      <w:r w:rsidRPr="000A5F81">
        <w:t xml:space="preserve">The first scenario assumes retailers will build their own </w:t>
      </w:r>
      <w:r>
        <w:t>peer-to-peer</w:t>
      </w:r>
      <w:r w:rsidRPr="000A5F81">
        <w:t xml:space="preserve"> solution. The second, that retailers will take advantage of the specialised services offered by third party data service providers.</w:t>
      </w:r>
    </w:p>
    <w:p w14:paraId="3213E336" w14:textId="77777777" w:rsidR="00466F38" w:rsidRPr="00695036" w:rsidRDefault="00466F38" w:rsidP="00CD0A46">
      <w:pPr>
        <w:spacing w:after="200"/>
      </w:pPr>
      <w:r>
        <w:t xml:space="preserve">Treasury notes that ongoing regulatory costs have been factored into the overall costs estimates, with an additional 10% per annum included as part of the overall estimate of compliance costs. </w:t>
      </w:r>
    </w:p>
    <w:tbl>
      <w:tblPr>
        <w:tblStyle w:val="TableGrid"/>
        <w:tblW w:w="0" w:type="auto"/>
        <w:tblLook w:val="04A0" w:firstRow="1" w:lastRow="0" w:firstColumn="1" w:lastColumn="0" w:noHBand="0" w:noVBand="1"/>
      </w:tblPr>
      <w:tblGrid>
        <w:gridCol w:w="4814"/>
        <w:gridCol w:w="4815"/>
      </w:tblGrid>
      <w:tr w:rsidR="00466F38" w14:paraId="41D58ED6" w14:textId="77777777" w:rsidTr="00CD0A46">
        <w:trPr>
          <w:trHeight w:val="274"/>
        </w:trPr>
        <w:tc>
          <w:tcPr>
            <w:tcW w:w="4814" w:type="dxa"/>
          </w:tcPr>
          <w:p w14:paraId="40006323" w14:textId="2F19FCB1" w:rsidR="00466F38" w:rsidRPr="00715FE5" w:rsidRDefault="00466F38" w:rsidP="00CD0A46">
            <w:pPr>
              <w:pStyle w:val="Heading5"/>
              <w:spacing w:after="200"/>
            </w:pPr>
            <w:r w:rsidRPr="00B4519B">
              <w:t xml:space="preserve">Scenario 1: Retailer builds their own </w:t>
            </w:r>
            <w:r w:rsidRPr="00715FE5">
              <w:t>solution</w:t>
            </w:r>
          </w:p>
          <w:p w14:paraId="69E80B5B" w14:textId="77777777" w:rsidR="00466F38" w:rsidRPr="00561EB9" w:rsidRDefault="00466F38" w:rsidP="0011374A">
            <w:pPr>
              <w:rPr>
                <w:b/>
              </w:rPr>
            </w:pPr>
            <w:r>
              <w:t xml:space="preserve">Based on costs modelling provided through consultations, </w:t>
            </w:r>
            <w:r w:rsidRPr="000A5F81">
              <w:t>T</w:t>
            </w:r>
            <w:r>
              <w:t>reasury</w:t>
            </w:r>
            <w:r w:rsidRPr="000A5F81">
              <w:t xml:space="preserve"> estimates that if a retailer were to build their own solution (</w:t>
            </w:r>
            <w:r>
              <w:t>the ‘</w:t>
            </w:r>
            <w:r w:rsidRPr="000A5F81">
              <w:t>DIY</w:t>
            </w:r>
            <w:r>
              <w:t>’</w:t>
            </w:r>
            <w:r w:rsidRPr="000A5F81">
              <w:t xml:space="preserve"> </w:t>
            </w:r>
            <w:r>
              <w:t>approach</w:t>
            </w:r>
            <w:r w:rsidRPr="000A5F81">
              <w:t>)</w:t>
            </w:r>
            <w:r w:rsidRPr="0065552F">
              <w:t xml:space="preserve">, total costs would amount to approximately </w:t>
            </w:r>
            <w:r w:rsidRPr="0065552F">
              <w:rPr>
                <w:b/>
              </w:rPr>
              <w:t>$2.</w:t>
            </w:r>
            <w:r>
              <w:rPr>
                <w:b/>
              </w:rPr>
              <w:t>42 m per retailer over three years ($806,500 annualised) including 10% ongoing maintenance costs.</w:t>
            </w:r>
          </w:p>
          <w:p w14:paraId="06089381" w14:textId="77777777" w:rsidR="00466F38" w:rsidRDefault="00466F38" w:rsidP="00B94DCC">
            <w:pPr>
              <w:spacing w:after="0"/>
            </w:pPr>
            <w:r>
              <w:t>This total can be disaggregated as follows:</w:t>
            </w:r>
          </w:p>
          <w:p w14:paraId="120F6F7E" w14:textId="77777777" w:rsidR="00466F38" w:rsidRDefault="00466F38" w:rsidP="00466F38">
            <w:pPr>
              <w:pStyle w:val="ListParagraph"/>
              <w:numPr>
                <w:ilvl w:val="0"/>
                <w:numId w:val="17"/>
              </w:numPr>
            </w:pPr>
            <w:r>
              <w:t>build time costs (of approximately eleven months);</w:t>
            </w:r>
          </w:p>
          <w:p w14:paraId="7534EE04" w14:textId="77777777" w:rsidR="00466F38" w:rsidRDefault="00466F38" w:rsidP="00466F38">
            <w:pPr>
              <w:pStyle w:val="ListParagraph"/>
              <w:numPr>
                <w:ilvl w:val="0"/>
                <w:numId w:val="17"/>
              </w:numPr>
            </w:pPr>
            <w:r>
              <w:t>infrastructure hosting costs;</w:t>
            </w:r>
          </w:p>
          <w:p w14:paraId="0A9C06F8" w14:textId="77777777" w:rsidR="00466F38" w:rsidRDefault="00466F38" w:rsidP="00466F38">
            <w:pPr>
              <w:pStyle w:val="ListParagraph"/>
              <w:numPr>
                <w:ilvl w:val="0"/>
                <w:numId w:val="17"/>
              </w:numPr>
            </w:pPr>
            <w:r>
              <w:t>compliance staff costs; and</w:t>
            </w:r>
          </w:p>
          <w:p w14:paraId="605EC455" w14:textId="2BB13485" w:rsidR="00466F38" w:rsidRDefault="00466F38" w:rsidP="00CD0A46">
            <w:pPr>
              <w:pStyle w:val="ListParagraph"/>
              <w:numPr>
                <w:ilvl w:val="0"/>
                <w:numId w:val="17"/>
              </w:numPr>
              <w:spacing w:after="120"/>
            </w:pPr>
            <w:r>
              <w:t>ongoing maintenance costs of 10%.</w:t>
            </w:r>
          </w:p>
        </w:tc>
        <w:tc>
          <w:tcPr>
            <w:tcW w:w="4815" w:type="dxa"/>
          </w:tcPr>
          <w:p w14:paraId="2E9EDC41" w14:textId="77777777" w:rsidR="00466F38" w:rsidRPr="00715FE5" w:rsidRDefault="00466F38" w:rsidP="00CD0A46">
            <w:pPr>
              <w:pStyle w:val="Heading5"/>
              <w:spacing w:after="200"/>
            </w:pPr>
            <w:r w:rsidRPr="00B4519B">
              <w:t xml:space="preserve">Scenario 2: Retailer </w:t>
            </w:r>
            <w:r w:rsidRPr="00715FE5">
              <w:t>uses a third party provider</w:t>
            </w:r>
          </w:p>
          <w:p w14:paraId="1F746841" w14:textId="77777777" w:rsidR="00466F38" w:rsidRDefault="00466F38" w:rsidP="0011374A">
            <w:pPr>
              <w:rPr>
                <w:b/>
              </w:rPr>
            </w:pPr>
            <w:r w:rsidRPr="000A5F81">
              <w:t xml:space="preserve">In comparison, if a retailer were to use the services of a third party provider, </w:t>
            </w:r>
            <w:r>
              <w:t xml:space="preserve">Treasury estimates </w:t>
            </w:r>
            <w:r w:rsidRPr="000A5F81">
              <w:t xml:space="preserve">total costs would amount to approximately </w:t>
            </w:r>
            <w:r w:rsidRPr="000A5F81">
              <w:rPr>
                <w:b/>
              </w:rPr>
              <w:t>$</w:t>
            </w:r>
            <w:r>
              <w:rPr>
                <w:b/>
              </w:rPr>
              <w:t>825,000</w:t>
            </w:r>
            <w:r w:rsidRPr="000A5F81">
              <w:rPr>
                <w:b/>
              </w:rPr>
              <w:t xml:space="preserve"> per retailer over three years</w:t>
            </w:r>
            <w:r>
              <w:rPr>
                <w:b/>
              </w:rPr>
              <w:t xml:space="preserve"> ($275,000 annualised)</w:t>
            </w:r>
            <w:r w:rsidRPr="000A5F81">
              <w:rPr>
                <w:b/>
              </w:rPr>
              <w:t xml:space="preserve"> </w:t>
            </w:r>
            <w:r>
              <w:rPr>
                <w:b/>
              </w:rPr>
              <w:t>including 10% ongoing maintenance costs</w:t>
            </w:r>
            <w:r w:rsidRPr="000A5F81">
              <w:rPr>
                <w:b/>
              </w:rPr>
              <w:t>.</w:t>
            </w:r>
          </w:p>
          <w:p w14:paraId="4FD059C2" w14:textId="77777777" w:rsidR="00466F38" w:rsidRDefault="00466F38" w:rsidP="00B94DCC">
            <w:pPr>
              <w:spacing w:after="0"/>
            </w:pPr>
            <w:r>
              <w:t>This total cost can be disaggregated as follows</w:t>
            </w:r>
            <w:r w:rsidRPr="00492B47">
              <w:t>:</w:t>
            </w:r>
          </w:p>
          <w:p w14:paraId="071040A5" w14:textId="77777777" w:rsidR="00466F38" w:rsidRPr="000A5F81" w:rsidRDefault="00466F38" w:rsidP="00466F38">
            <w:pPr>
              <w:pStyle w:val="ListParagraph"/>
              <w:numPr>
                <w:ilvl w:val="0"/>
                <w:numId w:val="18"/>
              </w:numPr>
            </w:pPr>
            <w:r w:rsidRPr="000A5F81">
              <w:t>build time costs (of approximately two months);</w:t>
            </w:r>
          </w:p>
          <w:p w14:paraId="158CB344" w14:textId="77777777" w:rsidR="00466F38" w:rsidRPr="000A5F81" w:rsidRDefault="00466F38" w:rsidP="00466F38">
            <w:pPr>
              <w:pStyle w:val="ListParagraph"/>
              <w:numPr>
                <w:ilvl w:val="0"/>
                <w:numId w:val="18"/>
              </w:numPr>
            </w:pPr>
            <w:r w:rsidRPr="000A5F81">
              <w:t>third party implementation charges;</w:t>
            </w:r>
          </w:p>
          <w:p w14:paraId="51C5E974" w14:textId="77777777" w:rsidR="00466F38" w:rsidRPr="000A5F81" w:rsidRDefault="00466F38" w:rsidP="00466F38">
            <w:pPr>
              <w:pStyle w:val="ListParagraph"/>
              <w:numPr>
                <w:ilvl w:val="0"/>
                <w:numId w:val="18"/>
              </w:numPr>
            </w:pPr>
            <w:r w:rsidRPr="000A5F81">
              <w:t>third party monthly subscription charge;</w:t>
            </w:r>
          </w:p>
          <w:p w14:paraId="3099F85C" w14:textId="77777777" w:rsidR="00466F38" w:rsidRPr="000A5F81" w:rsidRDefault="00466F38" w:rsidP="00466F38">
            <w:pPr>
              <w:pStyle w:val="ListParagraph"/>
              <w:numPr>
                <w:ilvl w:val="0"/>
                <w:numId w:val="18"/>
              </w:numPr>
            </w:pPr>
            <w:r w:rsidRPr="000A5F81">
              <w:t>compliance staff costs; and</w:t>
            </w:r>
          </w:p>
          <w:p w14:paraId="1DD9A682" w14:textId="77777777" w:rsidR="00466F38" w:rsidRDefault="00466F38" w:rsidP="00466F38">
            <w:pPr>
              <w:pStyle w:val="ListParagraph"/>
              <w:numPr>
                <w:ilvl w:val="0"/>
                <w:numId w:val="18"/>
              </w:numPr>
            </w:pPr>
            <w:r w:rsidRPr="000A5F81">
              <w:t>ongoing maintenance costs</w:t>
            </w:r>
            <w:r>
              <w:t xml:space="preserve"> of 10%</w:t>
            </w:r>
            <w:r w:rsidRPr="000A5F81">
              <w:t>.</w:t>
            </w:r>
          </w:p>
        </w:tc>
      </w:tr>
    </w:tbl>
    <w:p w14:paraId="38D577C4" w14:textId="4F28CB13" w:rsidR="00466F38" w:rsidRDefault="00466F38" w:rsidP="00466F38">
      <w:pPr>
        <w:rPr>
          <w:b/>
        </w:rPr>
      </w:pPr>
      <w:r>
        <w:lastRenderedPageBreak/>
        <w:t xml:space="preserve">These scenarios illustrate that if energy sector retailers were to use the services of a third party data service provider (as is the </w:t>
      </w:r>
      <w:r w:rsidRPr="0097185E">
        <w:t xml:space="preserve">case in Open Banking), each retailer can expect to </w:t>
      </w:r>
      <w:r w:rsidRPr="00294249">
        <w:t>reduce implementation costs by approximately $1.</w:t>
      </w:r>
      <w:r>
        <w:t>6</w:t>
      </w:r>
      <w:r w:rsidRPr="00294249">
        <w:t xml:space="preserve"> million over three years. </w:t>
      </w:r>
    </w:p>
    <w:p w14:paraId="706073BD" w14:textId="77777777" w:rsidR="00466F38" w:rsidRPr="006E1237" w:rsidRDefault="00466F38" w:rsidP="00466F38">
      <w:r>
        <w:t xml:space="preserve">Adopting an implementation approach that involves outsourcing to a third party could assist </w:t>
      </w:r>
      <w:r w:rsidRPr="00E263EC">
        <w:t xml:space="preserve">participation </w:t>
      </w:r>
      <w:r>
        <w:t>across the broader</w:t>
      </w:r>
      <w:r w:rsidRPr="00E263EC">
        <w:t xml:space="preserve"> CDR ecosystem</w:t>
      </w:r>
      <w:r>
        <w:t xml:space="preserve"> and provide downstream benefits to consumers (e.g. through better value energy deals)</w:t>
      </w:r>
      <w:r w:rsidRPr="00E263EC">
        <w:t>.</w:t>
      </w:r>
      <w:r>
        <w:rPr>
          <w:b/>
        </w:rPr>
        <w:t xml:space="preserve"> </w:t>
      </w:r>
      <w:r>
        <w:t>I</w:t>
      </w:r>
      <w:r w:rsidRPr="003B7867">
        <w:t>nitial upfront costs for retailers in the first year would be significantly lower</w:t>
      </w:r>
      <w:r>
        <w:t xml:space="preserve"> compared to in-house implementation.  </w:t>
      </w:r>
    </w:p>
    <w:p w14:paraId="3F451C30" w14:textId="01DF6492" w:rsidR="00466F38" w:rsidRDefault="00466F38" w:rsidP="00466F38">
      <w:r>
        <w:t>Treasury anticipates that outsourcing of CDR compliance solutions is likely to be particularly appealing to Tier 2 and Tier 3 retailers who may be less inclined to build in-house CDR solutions compared to larger Tier 1 retailers.</w:t>
      </w:r>
      <w:r w:rsidRPr="00837BD3">
        <w:t xml:space="preserve"> </w:t>
      </w:r>
      <w:r>
        <w:t xml:space="preserve">Treasury does not propose to mandate the use of third party providers (this will be a business decision for each retailer to make), but has instead worked with stakeholders to establish a flexible environment whereby data holders may choose to use such services to reduce their costs. </w:t>
      </w:r>
    </w:p>
    <w:p w14:paraId="59572119" w14:textId="77777777" w:rsidR="00466F38" w:rsidRPr="00CB5E4C" w:rsidRDefault="00466F38" w:rsidP="00466F38">
      <w:pPr>
        <w:pStyle w:val="BodyText"/>
        <w:spacing w:before="0" w:after="240" w:line="240" w:lineRule="auto"/>
        <w:jc w:val="left"/>
        <w:rPr>
          <w:rFonts w:ascii="Calibri" w:hAnsi="Calibri"/>
          <w:sz w:val="22"/>
        </w:rPr>
      </w:pPr>
      <w:r>
        <w:rPr>
          <w:rFonts w:ascii="Calibri" w:hAnsi="Calibri"/>
          <w:sz w:val="22"/>
        </w:rPr>
        <w:t>C</w:t>
      </w:r>
      <w:r w:rsidRPr="003E5586">
        <w:rPr>
          <w:rFonts w:ascii="Calibri" w:hAnsi="Calibri"/>
          <w:sz w:val="22"/>
        </w:rPr>
        <w:t xml:space="preserve">osts </w:t>
      </w:r>
      <w:r>
        <w:rPr>
          <w:rFonts w:ascii="Calibri" w:hAnsi="Calibri"/>
          <w:sz w:val="22"/>
        </w:rPr>
        <w:t xml:space="preserve">will likely </w:t>
      </w:r>
      <w:r w:rsidRPr="003E5586">
        <w:rPr>
          <w:rFonts w:ascii="Calibri" w:hAnsi="Calibri"/>
          <w:sz w:val="22"/>
        </w:rPr>
        <w:t xml:space="preserve">vary due to the nature and maturity of information systems </w:t>
      </w:r>
      <w:r>
        <w:rPr>
          <w:rFonts w:ascii="Calibri" w:hAnsi="Calibri"/>
          <w:sz w:val="22"/>
        </w:rPr>
        <w:t>required by each participant in the ecosystem</w:t>
      </w:r>
      <w:r w:rsidRPr="003E5586">
        <w:rPr>
          <w:rFonts w:ascii="Calibri" w:hAnsi="Calibri"/>
          <w:sz w:val="22"/>
        </w:rPr>
        <w:t xml:space="preserve">. </w:t>
      </w:r>
      <w:r>
        <w:rPr>
          <w:rFonts w:ascii="Calibri" w:hAnsi="Calibri"/>
          <w:sz w:val="22"/>
        </w:rPr>
        <w:t>Generally, participants with more modern billing systems that do not operate any legacy systems, would face lower implementation costs than participants that have legacy billing and customer management arrangements. Further, s</w:t>
      </w:r>
      <w:r w:rsidRPr="003E5586">
        <w:rPr>
          <w:rFonts w:ascii="Calibri" w:hAnsi="Calibri"/>
          <w:sz w:val="22"/>
        </w:rPr>
        <w:t>ome participants</w:t>
      </w:r>
      <w:r>
        <w:rPr>
          <w:rFonts w:ascii="Calibri" w:hAnsi="Calibri"/>
          <w:sz w:val="22"/>
        </w:rPr>
        <w:t xml:space="preserve"> consider their regulatory cost</w:t>
      </w:r>
      <w:r w:rsidRPr="003E5586">
        <w:rPr>
          <w:rFonts w:ascii="Calibri" w:hAnsi="Calibri"/>
          <w:sz w:val="22"/>
        </w:rPr>
        <w:t xml:space="preserve"> elements highly commercially sensitive as they may reveal to their competitors information regarding the state of their internal systems.</w:t>
      </w:r>
      <w:r w:rsidRPr="004669F1">
        <w:rPr>
          <w:rFonts w:ascii="Calibri" w:hAnsi="Calibri"/>
          <w:sz w:val="22"/>
        </w:rPr>
        <w:t xml:space="preserve"> </w:t>
      </w:r>
      <w:r>
        <w:rPr>
          <w:rFonts w:ascii="Calibri" w:hAnsi="Calibri"/>
          <w:sz w:val="22"/>
        </w:rPr>
        <w:t xml:space="preserve">Several retailers provided cost information on a commercial-in-confidence basis. </w:t>
      </w:r>
      <w:r w:rsidRPr="003E5586">
        <w:rPr>
          <w:rFonts w:ascii="Calibri" w:hAnsi="Calibri"/>
          <w:sz w:val="22"/>
        </w:rPr>
        <w:t xml:space="preserve"> </w:t>
      </w:r>
    </w:p>
    <w:p w14:paraId="7E9D96BE" w14:textId="77777777" w:rsidR="00466F38" w:rsidRDefault="00466F38" w:rsidP="00466F38">
      <w:r w:rsidRPr="000A5F81">
        <w:t xml:space="preserve">In the case of the energy sector, this flexible environment </w:t>
      </w:r>
      <w:r>
        <w:t xml:space="preserve">is reflected in the rules which </w:t>
      </w:r>
      <w:r w:rsidRPr="009E3D0B">
        <w:t xml:space="preserve">implement a </w:t>
      </w:r>
      <w:r w:rsidRPr="006E1237">
        <w:t>threshold of 10,000 small customer</w:t>
      </w:r>
      <w:r>
        <w:t xml:space="preserve"> connections </w:t>
      </w:r>
      <w:r w:rsidRPr="006E1237">
        <w:t xml:space="preserve">below which the smallest retailers can voluntarily implement CDR data sharing capability but where CDR data sharing will not be mandated. </w:t>
      </w:r>
    </w:p>
    <w:p w14:paraId="7EACEEFB" w14:textId="3E42B7D9" w:rsidR="00466F38" w:rsidRDefault="00466F38" w:rsidP="00466F38">
      <w:pPr>
        <w:spacing w:after="0"/>
      </w:pPr>
      <w:r>
        <w:t>Other s</w:t>
      </w:r>
      <w:r w:rsidRPr="000A5F81">
        <w:t>mall retailers</w:t>
      </w:r>
      <w:r>
        <w:t xml:space="preserve"> that are required </w:t>
      </w:r>
      <w:r w:rsidRPr="000A5F81">
        <w:t xml:space="preserve">to enter the regime </w:t>
      </w:r>
      <w:r>
        <w:t xml:space="preserve">(retailers that have more than 10,000 small customer connections) can enter </w:t>
      </w:r>
      <w:r w:rsidRPr="000A5F81">
        <w:t>through proposed phasing arrangements</w:t>
      </w:r>
      <w:r>
        <w:t>. The phased approach to the roll out of the CDR to the energy sector prioritises extension of the CDR to the biggest three energy retailers and AEMO (phase 1) with remaining retailers coming in 12 months later (phase 2). This gives the smaller retailers more time to adjust to the increase in regulatory costs and potentially benefit from any lessons learnt from adoption by the phase 1 retailers</w:t>
      </w:r>
      <w:r w:rsidR="00D46975">
        <w:t>.</w:t>
      </w:r>
      <w:r>
        <w:t xml:space="preserve"> </w:t>
      </w:r>
    </w:p>
    <w:p w14:paraId="46FE67E4" w14:textId="65EA4307" w:rsidR="00D119E1" w:rsidRDefault="00D119E1" w:rsidP="004F53D0"/>
    <w:sectPr w:rsidR="00D119E1" w:rsidSect="00F848CF">
      <w:headerReference w:type="default" r:id="rId17"/>
      <w:footerReference w:type="default" r:id="rId18"/>
      <w:headerReference w:type="first" r:id="rId19"/>
      <w:footerReference w:type="first" r:id="rId20"/>
      <w:pgSz w:w="11907" w:h="16840" w:code="9"/>
      <w:pgMar w:top="1134" w:right="1134" w:bottom="1134" w:left="1134" w:header="425"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754A" w14:textId="77777777" w:rsidR="00A21B56" w:rsidRDefault="00A21B56">
      <w:r>
        <w:separator/>
      </w:r>
    </w:p>
  </w:endnote>
  <w:endnote w:type="continuationSeparator" w:id="0">
    <w:p w14:paraId="3647AA81" w14:textId="77777777" w:rsidR="00A21B56" w:rsidRDefault="00A21B56">
      <w:r>
        <w:continuationSeparator/>
      </w:r>
    </w:p>
  </w:endnote>
  <w:endnote w:type="continuationNotice" w:id="1">
    <w:p w14:paraId="1653DF05" w14:textId="77777777" w:rsidR="00A21B56" w:rsidRDefault="00A21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7AE4" w14:textId="77777777" w:rsidR="00A21B56" w:rsidRDefault="00A21B56" w:rsidP="002B692A">
    <w:pPr>
      <w:pStyle w:val="SecurityClassificationFooter"/>
    </w:pPr>
  </w:p>
  <w:p w14:paraId="682F3B2B" w14:textId="4F04DE3D" w:rsidR="00A21B56" w:rsidRDefault="00A21B56" w:rsidP="002B692A">
    <w:pPr>
      <w:pStyle w:val="SecurityClassificationFooter"/>
    </w:pPr>
    <w:r>
      <w:fldChar w:fldCharType="begin"/>
    </w:r>
    <w:r>
      <w:instrText xml:space="preserve"> DOCPROPERTY WorkingDocStatus \* MERGEFORMAT </w:instrText>
    </w:r>
    <w:r>
      <w:fldChar w:fldCharType="end"/>
    </w:r>
    <w:fldSimple w:instr=" DOCPROPERTY SecurityClassification \* MERGEFORMAT ">
      <w:r w:rsidR="00C95A48">
        <w:t>For Official Use Only</w:t>
      </w:r>
    </w:fldSimple>
  </w:p>
  <w:p w14:paraId="7A84CFAF" w14:textId="77777777" w:rsidR="00A21B56" w:rsidRDefault="00A21B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C223" w14:textId="3B7D4326" w:rsidR="00A21B56" w:rsidRDefault="00A21B56">
    <w:pPr>
      <w:pStyle w:val="Footer"/>
      <w:jc w:val="center"/>
    </w:pPr>
  </w:p>
  <w:p w14:paraId="17F7CCBF" w14:textId="77777777" w:rsidR="00A21B56" w:rsidRDefault="00A21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2F00" w14:textId="77777777" w:rsidR="00A21B56" w:rsidRPr="00375CB3" w:rsidRDefault="00A21B56" w:rsidP="00A23E22">
    <w:pPr>
      <w:pStyle w:val="FooterAddress"/>
      <w:rPr>
        <w:sz w:val="12"/>
      </w:rPr>
    </w:pPr>
    <w:r>
      <w:rPr>
        <w:noProof/>
        <w:color w:val="000000" w:themeColor="text1"/>
      </w:rPr>
      <w:drawing>
        <wp:anchor distT="0" distB="0" distL="114300" distR="114300" simplePos="0" relativeHeight="251658240" behindDoc="1" locked="0" layoutInCell="1" allowOverlap="1" wp14:anchorId="60CA048E" wp14:editId="411D9A98">
          <wp:simplePos x="0" y="0"/>
          <wp:positionH relativeFrom="page">
            <wp:align>center</wp:align>
          </wp:positionH>
          <wp:positionV relativeFrom="paragraph">
            <wp:posOffset>-575945</wp:posOffset>
          </wp:positionV>
          <wp:extent cx="7200000" cy="118440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409ED935" w14:textId="77777777" w:rsidR="00A21B56" w:rsidRPr="00A23E22" w:rsidRDefault="00A21B56" w:rsidP="00A23E22">
    <w:pPr>
      <w:pStyle w:val="FooterAddress"/>
      <w:rPr>
        <w:sz w:val="2"/>
      </w:rPr>
    </w:pPr>
  </w:p>
  <w:p w14:paraId="28FFA7AA" w14:textId="54154EF4" w:rsidR="00A21B56" w:rsidRDefault="00A21B56">
    <w:pPr>
      <w:pStyle w:val="FooterAddress"/>
    </w:pPr>
    <w:r>
      <w:t>Langton Crescent, PARKES ACT 2600, AUSTRALIA</w:t>
    </w:r>
    <w:r>
      <w:br/>
      <w:t>P:  02 6263 2111</w:t>
    </w:r>
    <w:r>
      <w:br/>
    </w:r>
    <w:r w:rsidRPr="00485E79">
      <w:t>www.treasury.gov.au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794297"/>
      <w:docPartObj>
        <w:docPartGallery w:val="Page Numbers (Bottom of Page)"/>
        <w:docPartUnique/>
      </w:docPartObj>
    </w:sdtPr>
    <w:sdtEndPr>
      <w:rPr>
        <w:noProof/>
      </w:rPr>
    </w:sdtEndPr>
    <w:sdtContent>
      <w:p w14:paraId="6599B2A6" w14:textId="53587C9C" w:rsidR="00A21B56" w:rsidRDefault="00A21B56">
        <w:pPr>
          <w:pStyle w:val="Footer"/>
          <w:jc w:val="center"/>
        </w:pPr>
        <w:r>
          <w:fldChar w:fldCharType="begin"/>
        </w:r>
        <w:r>
          <w:instrText xml:space="preserve"> PAGE   \* MERGEFORMAT </w:instrText>
        </w:r>
        <w:r>
          <w:fldChar w:fldCharType="separate"/>
        </w:r>
        <w:r w:rsidR="008E6EE4">
          <w:rPr>
            <w:noProof/>
          </w:rPr>
          <w:t>7</w:t>
        </w:r>
        <w:r>
          <w:rPr>
            <w:noProof/>
          </w:rPr>
          <w:fldChar w:fldCharType="end"/>
        </w:r>
      </w:p>
    </w:sdtContent>
  </w:sdt>
  <w:p w14:paraId="723628FE" w14:textId="77777777" w:rsidR="00A21B56" w:rsidRDefault="00A21B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807283"/>
      <w:docPartObj>
        <w:docPartGallery w:val="Page Numbers (Bottom of Page)"/>
        <w:docPartUnique/>
      </w:docPartObj>
    </w:sdtPr>
    <w:sdtEndPr>
      <w:rPr>
        <w:noProof/>
      </w:rPr>
    </w:sdtEndPr>
    <w:sdtContent>
      <w:p w14:paraId="7C5D2C3C" w14:textId="5D1671EC" w:rsidR="00A21B56" w:rsidRDefault="00A21B56">
        <w:pPr>
          <w:pStyle w:val="Footer"/>
          <w:jc w:val="center"/>
        </w:pPr>
        <w:r>
          <w:fldChar w:fldCharType="begin"/>
        </w:r>
        <w:r>
          <w:instrText xml:space="preserve"> PAGE   \* MERGEFORMAT </w:instrText>
        </w:r>
        <w:r>
          <w:fldChar w:fldCharType="separate"/>
        </w:r>
        <w:r w:rsidR="008E6EE4">
          <w:rPr>
            <w:noProof/>
          </w:rPr>
          <w:t>1</w:t>
        </w:r>
        <w:r>
          <w:rPr>
            <w:noProof/>
          </w:rPr>
          <w:fldChar w:fldCharType="end"/>
        </w:r>
      </w:p>
    </w:sdtContent>
  </w:sdt>
  <w:p w14:paraId="3A73AD65" w14:textId="4562DA4A" w:rsidR="00A21B56" w:rsidRDefault="00A21B56">
    <w:pPr>
      <w:pStyle w:val="FooterAddres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A4C8" w14:textId="77777777" w:rsidR="00A21B56" w:rsidRDefault="00A21B56">
      <w:r>
        <w:separator/>
      </w:r>
    </w:p>
  </w:footnote>
  <w:footnote w:type="continuationSeparator" w:id="0">
    <w:p w14:paraId="5460EDE7" w14:textId="77777777" w:rsidR="00A21B56" w:rsidRDefault="00A21B56">
      <w:r>
        <w:continuationSeparator/>
      </w:r>
    </w:p>
  </w:footnote>
  <w:footnote w:type="continuationNotice" w:id="1">
    <w:p w14:paraId="2A5BA62F" w14:textId="77777777" w:rsidR="00A21B56" w:rsidRDefault="00A21B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09F9" w14:textId="21C7F35F" w:rsidR="00A21B56" w:rsidRDefault="00A21B56">
    <w:pPr>
      <w:jc w:val="center"/>
      <w:rPr>
        <w:b/>
      </w:rPr>
    </w:pPr>
    <w:r>
      <w:rPr>
        <w:b/>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00B5" w14:textId="77777777" w:rsidR="00A21B56" w:rsidRPr="006A320D" w:rsidRDefault="00A21B56" w:rsidP="00021A7F">
    <w:pPr>
      <w:rPr>
        <w:color w:val="000000" w:themeColor="text1"/>
      </w:rPr>
    </w:pPr>
    <w:r w:rsidRPr="006A320D">
      <w:rPr>
        <w:noProof/>
        <w:color w:val="000000" w:themeColor="text1"/>
      </w:rPr>
      <w:drawing>
        <wp:inline distT="0" distB="0" distL="0" distR="0" wp14:anchorId="3921C0B3" wp14:editId="5EEA624D">
          <wp:extent cx="2343150" cy="533400"/>
          <wp:effectExtent l="19050" t="0" r="0" b="0"/>
          <wp:docPr id="14" name="Picture 14"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B0E7" w14:textId="0ED03B7D" w:rsidR="00A21B56" w:rsidRDefault="00A21B56">
    <w:pP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98A8" w14:textId="08E4F01A" w:rsidR="00A21B56" w:rsidRDefault="00A2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8129F"/>
    <w:multiLevelType w:val="hybridMultilevel"/>
    <w:tmpl w:val="CF548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993714"/>
    <w:multiLevelType w:val="hybridMultilevel"/>
    <w:tmpl w:val="B116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C3C0F"/>
    <w:multiLevelType w:val="multilevel"/>
    <w:tmpl w:val="EA6CB0C4"/>
    <w:lvl w:ilvl="0">
      <w:start w:val="1"/>
      <w:numFmt w:val="bullet"/>
      <w:pStyle w:val="Bullet"/>
      <w:lvlText w:val="•"/>
      <w:lvlJc w:val="left"/>
      <w:pPr>
        <w:tabs>
          <w:tab w:val="num" w:pos="1040"/>
        </w:tabs>
        <w:ind w:left="1040" w:hanging="520"/>
      </w:pPr>
      <w:rPr>
        <w:rFonts w:ascii="Times New Roman" w:hAnsi="Times New Roman" w:cs="Times New Roman"/>
      </w:rPr>
    </w:lvl>
    <w:lvl w:ilvl="1">
      <w:start w:val="1"/>
      <w:numFmt w:val="bullet"/>
      <w:pStyle w:val="Dash"/>
      <w:lvlText w:val="–"/>
      <w:lvlJc w:val="left"/>
      <w:pPr>
        <w:tabs>
          <w:tab w:val="num" w:pos="1560"/>
        </w:tabs>
        <w:ind w:left="1560" w:hanging="520"/>
      </w:pPr>
      <w:rPr>
        <w:rFonts w:ascii="Times New Roman" w:hAnsi="Times New Roman" w:cs="Times New Roman"/>
      </w:rPr>
    </w:lvl>
    <w:lvl w:ilvl="2">
      <w:start w:val="1"/>
      <w:numFmt w:val="bullet"/>
      <w:pStyle w:val="DoubleDo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4" w15:restartNumberingAfterBreak="0">
    <w:nsid w:val="15301668"/>
    <w:multiLevelType w:val="hybridMultilevel"/>
    <w:tmpl w:val="9F02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6610A"/>
    <w:multiLevelType w:val="hybridMultilevel"/>
    <w:tmpl w:val="07627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867399"/>
    <w:multiLevelType w:val="multilevel"/>
    <w:tmpl w:val="F4FE775A"/>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C7AA3"/>
    <w:multiLevelType w:val="hybridMultilevel"/>
    <w:tmpl w:val="2BA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625A8"/>
    <w:multiLevelType w:val="multilevel"/>
    <w:tmpl w:val="56B0005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89" w:hanging="360"/>
      </w:pPr>
    </w:lvl>
    <w:lvl w:ilvl="4">
      <w:start w:val="1"/>
      <w:numFmt w:val="lowerLetter"/>
      <w:lvlText w:val="(%5)"/>
      <w:lvlJc w:val="left"/>
      <w:pPr>
        <w:ind w:left="2349" w:hanging="360"/>
      </w:pPr>
    </w:lvl>
    <w:lvl w:ilvl="5">
      <w:start w:val="1"/>
      <w:numFmt w:val="lowerRoman"/>
      <w:lvlText w:val="(%6)"/>
      <w:lvlJc w:val="left"/>
      <w:pPr>
        <w:ind w:left="2709" w:hanging="360"/>
      </w:pPr>
    </w:lvl>
    <w:lvl w:ilvl="6">
      <w:start w:val="1"/>
      <w:numFmt w:val="decimal"/>
      <w:lvlText w:val="%7."/>
      <w:lvlJc w:val="left"/>
      <w:pPr>
        <w:ind w:left="3069" w:hanging="360"/>
      </w:pPr>
    </w:lvl>
    <w:lvl w:ilvl="7">
      <w:start w:val="1"/>
      <w:numFmt w:val="lowerLetter"/>
      <w:lvlText w:val="%8."/>
      <w:lvlJc w:val="left"/>
      <w:pPr>
        <w:ind w:left="3429" w:hanging="360"/>
      </w:pPr>
    </w:lvl>
    <w:lvl w:ilvl="8">
      <w:start w:val="1"/>
      <w:numFmt w:val="lowerRoman"/>
      <w:lvlText w:val="%9."/>
      <w:lvlJc w:val="left"/>
      <w:pPr>
        <w:ind w:left="3789" w:hanging="360"/>
      </w:pPr>
    </w:lvl>
  </w:abstractNum>
  <w:abstractNum w:abstractNumId="9" w15:restartNumberingAfterBreak="0">
    <w:nsid w:val="31444D4F"/>
    <w:multiLevelType w:val="hybridMultilevel"/>
    <w:tmpl w:val="46BC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AF6E75"/>
    <w:multiLevelType w:val="hybridMultilevel"/>
    <w:tmpl w:val="7E96D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FD34DD"/>
    <w:multiLevelType w:val="hybridMultilevel"/>
    <w:tmpl w:val="5BCACD8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3DBA4136"/>
    <w:multiLevelType w:val="hybridMultilevel"/>
    <w:tmpl w:val="02F4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B2B49"/>
    <w:multiLevelType w:val="hybridMultilevel"/>
    <w:tmpl w:val="8C729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9504F03"/>
    <w:multiLevelType w:val="hybridMultilevel"/>
    <w:tmpl w:val="B8DC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63604C"/>
    <w:multiLevelType w:val="hybridMultilevel"/>
    <w:tmpl w:val="F828DB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A55CBE"/>
    <w:multiLevelType w:val="hybridMultilevel"/>
    <w:tmpl w:val="4436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D2BA0"/>
    <w:multiLevelType w:val="hybridMultilevel"/>
    <w:tmpl w:val="8FE84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F658E"/>
    <w:multiLevelType w:val="hybridMultilevel"/>
    <w:tmpl w:val="5582DD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101AB3"/>
    <w:multiLevelType w:val="hybridMultilevel"/>
    <w:tmpl w:val="D30AA838"/>
    <w:lvl w:ilvl="0" w:tplc="0C090003">
      <w:start w:val="1"/>
      <w:numFmt w:val="bullet"/>
      <w:lvlText w:val="o"/>
      <w:lvlJc w:val="left"/>
      <w:pPr>
        <w:ind w:left="1240" w:hanging="360"/>
      </w:pPr>
      <w:rPr>
        <w:rFonts w:ascii="Courier New" w:hAnsi="Courier New" w:cs="Courier New"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abstractNum w:abstractNumId="20" w15:restartNumberingAfterBreak="0">
    <w:nsid w:val="5D973DC9"/>
    <w:multiLevelType w:val="hybridMultilevel"/>
    <w:tmpl w:val="423C75F6"/>
    <w:lvl w:ilvl="0" w:tplc="7A98AFE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4A1034"/>
    <w:multiLevelType w:val="hybridMultilevel"/>
    <w:tmpl w:val="7616A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394AFC"/>
    <w:multiLevelType w:val="hybridMultilevel"/>
    <w:tmpl w:val="B9E0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4D4FEF"/>
    <w:multiLevelType w:val="hybridMultilevel"/>
    <w:tmpl w:val="9CCE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C64939"/>
    <w:multiLevelType w:val="hybridMultilevel"/>
    <w:tmpl w:val="84CAA8A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D5E6E24"/>
    <w:multiLevelType w:val="hybridMultilevel"/>
    <w:tmpl w:val="5576F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4E7019"/>
    <w:multiLevelType w:val="hybridMultilevel"/>
    <w:tmpl w:val="93825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B665FE"/>
    <w:multiLevelType w:val="hybridMultilevel"/>
    <w:tmpl w:val="482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70DC5"/>
    <w:multiLevelType w:val="multilevel"/>
    <w:tmpl w:val="A84CF4E2"/>
    <w:lvl w:ilvl="0">
      <w:start w:val="3"/>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7C32BA"/>
    <w:multiLevelType w:val="hybridMultilevel"/>
    <w:tmpl w:val="5CDA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426E6C"/>
    <w:multiLevelType w:val="hybridMultilevel"/>
    <w:tmpl w:val="FB88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8"/>
  </w:num>
  <w:num w:numId="4">
    <w:abstractNumId w:val="3"/>
  </w:num>
  <w:num w:numId="5">
    <w:abstractNumId w:val="10"/>
  </w:num>
  <w:num w:numId="6">
    <w:abstractNumId w:val="17"/>
  </w:num>
  <w:num w:numId="7">
    <w:abstractNumId w:val="16"/>
  </w:num>
  <w:num w:numId="8">
    <w:abstractNumId w:val="15"/>
  </w:num>
  <w:num w:numId="9">
    <w:abstractNumId w:val="12"/>
  </w:num>
  <w:num w:numId="10">
    <w:abstractNumId w:val="22"/>
  </w:num>
  <w:num w:numId="11">
    <w:abstractNumId w:val="21"/>
  </w:num>
  <w:num w:numId="12">
    <w:abstractNumId w:val="23"/>
  </w:num>
  <w:num w:numId="13">
    <w:abstractNumId w:val="4"/>
  </w:num>
  <w:num w:numId="14">
    <w:abstractNumId w:val="30"/>
  </w:num>
  <w:num w:numId="15">
    <w:abstractNumId w:val="29"/>
  </w:num>
  <w:num w:numId="16">
    <w:abstractNumId w:val="7"/>
  </w:num>
  <w:num w:numId="17">
    <w:abstractNumId w:val="5"/>
  </w:num>
  <w:num w:numId="18">
    <w:abstractNumId w:val="25"/>
  </w:num>
  <w:num w:numId="19">
    <w:abstractNumId w:val="14"/>
  </w:num>
  <w:num w:numId="20">
    <w:abstractNumId w:val="26"/>
  </w:num>
  <w:num w:numId="21">
    <w:abstractNumId w:val="20"/>
  </w:num>
  <w:num w:numId="22">
    <w:abstractNumId w:val="9"/>
  </w:num>
  <w:num w:numId="23">
    <w:abstractNumId w:val="0"/>
  </w:num>
  <w:num w:numId="24">
    <w:abstractNumId w:val="13"/>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27"/>
  </w:num>
  <w:num w:numId="29">
    <w:abstractNumId w:val="1"/>
  </w:num>
  <w:num w:numId="30">
    <w:abstractNumId w:val="6"/>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325051"/>
    <w:rsid w:val="0000078D"/>
    <w:rsid w:val="00001461"/>
    <w:rsid w:val="0000216D"/>
    <w:rsid w:val="000022BA"/>
    <w:rsid w:val="00002748"/>
    <w:rsid w:val="0000285F"/>
    <w:rsid w:val="00003B1B"/>
    <w:rsid w:val="00004060"/>
    <w:rsid w:val="00005439"/>
    <w:rsid w:val="00006238"/>
    <w:rsid w:val="000076A6"/>
    <w:rsid w:val="00010558"/>
    <w:rsid w:val="00012B7E"/>
    <w:rsid w:val="00012DEE"/>
    <w:rsid w:val="00012F90"/>
    <w:rsid w:val="00013760"/>
    <w:rsid w:val="00013C16"/>
    <w:rsid w:val="00013CCF"/>
    <w:rsid w:val="00014084"/>
    <w:rsid w:val="00014A91"/>
    <w:rsid w:val="00015CBD"/>
    <w:rsid w:val="00016C81"/>
    <w:rsid w:val="00021A7F"/>
    <w:rsid w:val="000244FE"/>
    <w:rsid w:val="00024589"/>
    <w:rsid w:val="000255E0"/>
    <w:rsid w:val="000257AB"/>
    <w:rsid w:val="00026FC3"/>
    <w:rsid w:val="0002790B"/>
    <w:rsid w:val="00030E3C"/>
    <w:rsid w:val="000312DD"/>
    <w:rsid w:val="00032176"/>
    <w:rsid w:val="00032AB9"/>
    <w:rsid w:val="00032B57"/>
    <w:rsid w:val="0003337C"/>
    <w:rsid w:val="000338F1"/>
    <w:rsid w:val="00035180"/>
    <w:rsid w:val="0003628D"/>
    <w:rsid w:val="00036BCD"/>
    <w:rsid w:val="00037086"/>
    <w:rsid w:val="0003726C"/>
    <w:rsid w:val="00037BB3"/>
    <w:rsid w:val="00041147"/>
    <w:rsid w:val="00042F74"/>
    <w:rsid w:val="00043000"/>
    <w:rsid w:val="00043EBF"/>
    <w:rsid w:val="00044D6A"/>
    <w:rsid w:val="0004558C"/>
    <w:rsid w:val="00045818"/>
    <w:rsid w:val="0004592A"/>
    <w:rsid w:val="0004682D"/>
    <w:rsid w:val="00047F06"/>
    <w:rsid w:val="00050052"/>
    <w:rsid w:val="00051202"/>
    <w:rsid w:val="000516CD"/>
    <w:rsid w:val="000518C7"/>
    <w:rsid w:val="000520B8"/>
    <w:rsid w:val="000521A8"/>
    <w:rsid w:val="000535E2"/>
    <w:rsid w:val="000544F5"/>
    <w:rsid w:val="00054A0C"/>
    <w:rsid w:val="00057815"/>
    <w:rsid w:val="00057DE4"/>
    <w:rsid w:val="00060A98"/>
    <w:rsid w:val="00060B14"/>
    <w:rsid w:val="000610A9"/>
    <w:rsid w:val="00061B34"/>
    <w:rsid w:val="00062955"/>
    <w:rsid w:val="00062F68"/>
    <w:rsid w:val="00063A09"/>
    <w:rsid w:val="000641B0"/>
    <w:rsid w:val="000642E5"/>
    <w:rsid w:val="00064373"/>
    <w:rsid w:val="0006676C"/>
    <w:rsid w:val="00067512"/>
    <w:rsid w:val="00067D6D"/>
    <w:rsid w:val="000705F0"/>
    <w:rsid w:val="000708AB"/>
    <w:rsid w:val="00070A45"/>
    <w:rsid w:val="0007183E"/>
    <w:rsid w:val="00072022"/>
    <w:rsid w:val="00073525"/>
    <w:rsid w:val="00074F08"/>
    <w:rsid w:val="000752F9"/>
    <w:rsid w:val="00075331"/>
    <w:rsid w:val="00076504"/>
    <w:rsid w:val="00076556"/>
    <w:rsid w:val="000778A7"/>
    <w:rsid w:val="00077A65"/>
    <w:rsid w:val="00080BE0"/>
    <w:rsid w:val="0008138D"/>
    <w:rsid w:val="0008487C"/>
    <w:rsid w:val="00084BD8"/>
    <w:rsid w:val="00085971"/>
    <w:rsid w:val="00086CAA"/>
    <w:rsid w:val="00087475"/>
    <w:rsid w:val="000905C5"/>
    <w:rsid w:val="000910CF"/>
    <w:rsid w:val="000911CC"/>
    <w:rsid w:val="000931E4"/>
    <w:rsid w:val="00094578"/>
    <w:rsid w:val="000947A8"/>
    <w:rsid w:val="000979A4"/>
    <w:rsid w:val="000A1304"/>
    <w:rsid w:val="000A32E6"/>
    <w:rsid w:val="000A3915"/>
    <w:rsid w:val="000A4397"/>
    <w:rsid w:val="000A4540"/>
    <w:rsid w:val="000A5274"/>
    <w:rsid w:val="000A5F81"/>
    <w:rsid w:val="000A71E7"/>
    <w:rsid w:val="000B0088"/>
    <w:rsid w:val="000B16A7"/>
    <w:rsid w:val="000B2365"/>
    <w:rsid w:val="000B28E7"/>
    <w:rsid w:val="000B2FFA"/>
    <w:rsid w:val="000B30E0"/>
    <w:rsid w:val="000B34EE"/>
    <w:rsid w:val="000B3601"/>
    <w:rsid w:val="000B3FFD"/>
    <w:rsid w:val="000B4609"/>
    <w:rsid w:val="000B4FAA"/>
    <w:rsid w:val="000B5353"/>
    <w:rsid w:val="000B6167"/>
    <w:rsid w:val="000B6C8C"/>
    <w:rsid w:val="000B6F40"/>
    <w:rsid w:val="000B7A09"/>
    <w:rsid w:val="000C1418"/>
    <w:rsid w:val="000C2820"/>
    <w:rsid w:val="000C3D77"/>
    <w:rsid w:val="000C409A"/>
    <w:rsid w:val="000C654A"/>
    <w:rsid w:val="000C6C0A"/>
    <w:rsid w:val="000C7A6F"/>
    <w:rsid w:val="000C7E80"/>
    <w:rsid w:val="000D1F15"/>
    <w:rsid w:val="000D2082"/>
    <w:rsid w:val="000D2875"/>
    <w:rsid w:val="000D33DF"/>
    <w:rsid w:val="000D33FD"/>
    <w:rsid w:val="000D59E1"/>
    <w:rsid w:val="000D5D9E"/>
    <w:rsid w:val="000D6128"/>
    <w:rsid w:val="000D6EC3"/>
    <w:rsid w:val="000D6F94"/>
    <w:rsid w:val="000D726A"/>
    <w:rsid w:val="000D73B7"/>
    <w:rsid w:val="000E0A86"/>
    <w:rsid w:val="000E3A62"/>
    <w:rsid w:val="000E3FF8"/>
    <w:rsid w:val="000E4DAA"/>
    <w:rsid w:val="000E70A5"/>
    <w:rsid w:val="000E76B3"/>
    <w:rsid w:val="000F0BA6"/>
    <w:rsid w:val="000F17D3"/>
    <w:rsid w:val="000F1CAF"/>
    <w:rsid w:val="000F1D8A"/>
    <w:rsid w:val="000F2EC3"/>
    <w:rsid w:val="000F4819"/>
    <w:rsid w:val="000F5F55"/>
    <w:rsid w:val="000F7590"/>
    <w:rsid w:val="000F7873"/>
    <w:rsid w:val="0010042E"/>
    <w:rsid w:val="00101DAB"/>
    <w:rsid w:val="00101E1C"/>
    <w:rsid w:val="00103A02"/>
    <w:rsid w:val="00103FA0"/>
    <w:rsid w:val="00105B73"/>
    <w:rsid w:val="001103A5"/>
    <w:rsid w:val="00110BE1"/>
    <w:rsid w:val="0011116B"/>
    <w:rsid w:val="001116D0"/>
    <w:rsid w:val="00111B75"/>
    <w:rsid w:val="00112292"/>
    <w:rsid w:val="00112E7F"/>
    <w:rsid w:val="001134A5"/>
    <w:rsid w:val="0011374A"/>
    <w:rsid w:val="0011447F"/>
    <w:rsid w:val="00114A32"/>
    <w:rsid w:val="00116465"/>
    <w:rsid w:val="00117825"/>
    <w:rsid w:val="00117E5C"/>
    <w:rsid w:val="00120F6D"/>
    <w:rsid w:val="00120FDE"/>
    <w:rsid w:val="001210DA"/>
    <w:rsid w:val="00121916"/>
    <w:rsid w:val="0012323F"/>
    <w:rsid w:val="00124C73"/>
    <w:rsid w:val="001254D1"/>
    <w:rsid w:val="00126039"/>
    <w:rsid w:val="0012673D"/>
    <w:rsid w:val="00126F25"/>
    <w:rsid w:val="0012730E"/>
    <w:rsid w:val="00127EC6"/>
    <w:rsid w:val="001305CB"/>
    <w:rsid w:val="00131066"/>
    <w:rsid w:val="00131CBD"/>
    <w:rsid w:val="0013327B"/>
    <w:rsid w:val="00133DDD"/>
    <w:rsid w:val="00134D78"/>
    <w:rsid w:val="00137223"/>
    <w:rsid w:val="00140810"/>
    <w:rsid w:val="00141FD5"/>
    <w:rsid w:val="00142618"/>
    <w:rsid w:val="0014336D"/>
    <w:rsid w:val="0014359B"/>
    <w:rsid w:val="0014451E"/>
    <w:rsid w:val="00145476"/>
    <w:rsid w:val="00145680"/>
    <w:rsid w:val="0014640E"/>
    <w:rsid w:val="001471B2"/>
    <w:rsid w:val="001500BA"/>
    <w:rsid w:val="001506D1"/>
    <w:rsid w:val="001507BA"/>
    <w:rsid w:val="00150C44"/>
    <w:rsid w:val="001512F6"/>
    <w:rsid w:val="001515B1"/>
    <w:rsid w:val="00151F3D"/>
    <w:rsid w:val="001525C7"/>
    <w:rsid w:val="00152E30"/>
    <w:rsid w:val="00153143"/>
    <w:rsid w:val="00154F3B"/>
    <w:rsid w:val="00155256"/>
    <w:rsid w:val="00155409"/>
    <w:rsid w:val="00155B21"/>
    <w:rsid w:val="00155FF4"/>
    <w:rsid w:val="00157F38"/>
    <w:rsid w:val="00160B66"/>
    <w:rsid w:val="0016183A"/>
    <w:rsid w:val="00161B0B"/>
    <w:rsid w:val="001627CF"/>
    <w:rsid w:val="00162B7C"/>
    <w:rsid w:val="00162DCF"/>
    <w:rsid w:val="0016605E"/>
    <w:rsid w:val="00167FA5"/>
    <w:rsid w:val="0017131E"/>
    <w:rsid w:val="00171BE2"/>
    <w:rsid w:val="00172D7D"/>
    <w:rsid w:val="001739D9"/>
    <w:rsid w:val="00174713"/>
    <w:rsid w:val="00174835"/>
    <w:rsid w:val="00174874"/>
    <w:rsid w:val="00175637"/>
    <w:rsid w:val="00176906"/>
    <w:rsid w:val="00177CC1"/>
    <w:rsid w:val="00181121"/>
    <w:rsid w:val="00181E0F"/>
    <w:rsid w:val="00181FC0"/>
    <w:rsid w:val="00181FFE"/>
    <w:rsid w:val="001835D2"/>
    <w:rsid w:val="00183650"/>
    <w:rsid w:val="00183A76"/>
    <w:rsid w:val="00183D60"/>
    <w:rsid w:val="00184A35"/>
    <w:rsid w:val="00185364"/>
    <w:rsid w:val="00185A41"/>
    <w:rsid w:val="00186279"/>
    <w:rsid w:val="00186DFD"/>
    <w:rsid w:val="00187181"/>
    <w:rsid w:val="00192A0C"/>
    <w:rsid w:val="00192B2D"/>
    <w:rsid w:val="00193F18"/>
    <w:rsid w:val="00194553"/>
    <w:rsid w:val="00194B0E"/>
    <w:rsid w:val="0019588B"/>
    <w:rsid w:val="00196EAC"/>
    <w:rsid w:val="00197846"/>
    <w:rsid w:val="001A0997"/>
    <w:rsid w:val="001A139B"/>
    <w:rsid w:val="001A217C"/>
    <w:rsid w:val="001A3A90"/>
    <w:rsid w:val="001A4EC0"/>
    <w:rsid w:val="001A5FE6"/>
    <w:rsid w:val="001B0866"/>
    <w:rsid w:val="001B0E93"/>
    <w:rsid w:val="001B1734"/>
    <w:rsid w:val="001B2DD4"/>
    <w:rsid w:val="001B3686"/>
    <w:rsid w:val="001B3A3C"/>
    <w:rsid w:val="001B5A5D"/>
    <w:rsid w:val="001B617F"/>
    <w:rsid w:val="001C115A"/>
    <w:rsid w:val="001C1AE2"/>
    <w:rsid w:val="001C1D7F"/>
    <w:rsid w:val="001C2789"/>
    <w:rsid w:val="001C4105"/>
    <w:rsid w:val="001C78F5"/>
    <w:rsid w:val="001D0421"/>
    <w:rsid w:val="001D0919"/>
    <w:rsid w:val="001D2CE8"/>
    <w:rsid w:val="001D3BA2"/>
    <w:rsid w:val="001D400A"/>
    <w:rsid w:val="001D456F"/>
    <w:rsid w:val="001D46B6"/>
    <w:rsid w:val="001D5081"/>
    <w:rsid w:val="001D5758"/>
    <w:rsid w:val="001D622F"/>
    <w:rsid w:val="001D6509"/>
    <w:rsid w:val="001D7705"/>
    <w:rsid w:val="001D7A2C"/>
    <w:rsid w:val="001E0911"/>
    <w:rsid w:val="001E0ADA"/>
    <w:rsid w:val="001E1096"/>
    <w:rsid w:val="001E1CCD"/>
    <w:rsid w:val="001E3151"/>
    <w:rsid w:val="001E48D7"/>
    <w:rsid w:val="001E4F0D"/>
    <w:rsid w:val="001E53FC"/>
    <w:rsid w:val="001E6152"/>
    <w:rsid w:val="001F03E2"/>
    <w:rsid w:val="001F0441"/>
    <w:rsid w:val="001F0FCE"/>
    <w:rsid w:val="001F1015"/>
    <w:rsid w:val="001F2260"/>
    <w:rsid w:val="001F3019"/>
    <w:rsid w:val="001F32F9"/>
    <w:rsid w:val="001F46F4"/>
    <w:rsid w:val="001F4A93"/>
    <w:rsid w:val="001F5111"/>
    <w:rsid w:val="001F5439"/>
    <w:rsid w:val="002009DF"/>
    <w:rsid w:val="00200E48"/>
    <w:rsid w:val="00200EAC"/>
    <w:rsid w:val="002018CC"/>
    <w:rsid w:val="002028CF"/>
    <w:rsid w:val="002029CD"/>
    <w:rsid w:val="00203E70"/>
    <w:rsid w:val="0020586B"/>
    <w:rsid w:val="00205F8C"/>
    <w:rsid w:val="00205FEC"/>
    <w:rsid w:val="00206F39"/>
    <w:rsid w:val="00207855"/>
    <w:rsid w:val="002108B1"/>
    <w:rsid w:val="00210D77"/>
    <w:rsid w:val="002126EA"/>
    <w:rsid w:val="002129FA"/>
    <w:rsid w:val="0021333A"/>
    <w:rsid w:val="00213939"/>
    <w:rsid w:val="00213B57"/>
    <w:rsid w:val="00213C32"/>
    <w:rsid w:val="00215728"/>
    <w:rsid w:val="00216161"/>
    <w:rsid w:val="0021658C"/>
    <w:rsid w:val="002170E0"/>
    <w:rsid w:val="002179B1"/>
    <w:rsid w:val="002217E3"/>
    <w:rsid w:val="002243FE"/>
    <w:rsid w:val="00225161"/>
    <w:rsid w:val="00225292"/>
    <w:rsid w:val="00226444"/>
    <w:rsid w:val="0022649F"/>
    <w:rsid w:val="002265FC"/>
    <w:rsid w:val="002267E9"/>
    <w:rsid w:val="00226B7E"/>
    <w:rsid w:val="002300C0"/>
    <w:rsid w:val="0023019B"/>
    <w:rsid w:val="00231C41"/>
    <w:rsid w:val="00231FA9"/>
    <w:rsid w:val="00232785"/>
    <w:rsid w:val="00233036"/>
    <w:rsid w:val="0023366F"/>
    <w:rsid w:val="00234E14"/>
    <w:rsid w:val="00234F25"/>
    <w:rsid w:val="00234FD2"/>
    <w:rsid w:val="002365D6"/>
    <w:rsid w:val="00240044"/>
    <w:rsid w:val="002401CE"/>
    <w:rsid w:val="00242377"/>
    <w:rsid w:val="002437B3"/>
    <w:rsid w:val="00246966"/>
    <w:rsid w:val="00250453"/>
    <w:rsid w:val="00251C32"/>
    <w:rsid w:val="002554F2"/>
    <w:rsid w:val="00255F68"/>
    <w:rsid w:val="002571DD"/>
    <w:rsid w:val="00261118"/>
    <w:rsid w:val="0026205F"/>
    <w:rsid w:val="00262928"/>
    <w:rsid w:val="002634D6"/>
    <w:rsid w:val="00265278"/>
    <w:rsid w:val="00270902"/>
    <w:rsid w:val="00270B71"/>
    <w:rsid w:val="002717FF"/>
    <w:rsid w:val="00271FFB"/>
    <w:rsid w:val="0027638F"/>
    <w:rsid w:val="00276975"/>
    <w:rsid w:val="002776EB"/>
    <w:rsid w:val="002814E1"/>
    <w:rsid w:val="002837AC"/>
    <w:rsid w:val="00283B30"/>
    <w:rsid w:val="00285A50"/>
    <w:rsid w:val="00286F2B"/>
    <w:rsid w:val="00290768"/>
    <w:rsid w:val="00290BA3"/>
    <w:rsid w:val="002916EC"/>
    <w:rsid w:val="00291A47"/>
    <w:rsid w:val="00293A5F"/>
    <w:rsid w:val="00294249"/>
    <w:rsid w:val="002942A0"/>
    <w:rsid w:val="00294BFF"/>
    <w:rsid w:val="002955C8"/>
    <w:rsid w:val="0029687B"/>
    <w:rsid w:val="00296B8E"/>
    <w:rsid w:val="0029715F"/>
    <w:rsid w:val="002A0C82"/>
    <w:rsid w:val="002A1112"/>
    <w:rsid w:val="002A1447"/>
    <w:rsid w:val="002A1626"/>
    <w:rsid w:val="002A2643"/>
    <w:rsid w:val="002A36E5"/>
    <w:rsid w:val="002B0504"/>
    <w:rsid w:val="002B293C"/>
    <w:rsid w:val="002B2D27"/>
    <w:rsid w:val="002B41F6"/>
    <w:rsid w:val="002B4947"/>
    <w:rsid w:val="002B49AA"/>
    <w:rsid w:val="002B4ACE"/>
    <w:rsid w:val="002B4C27"/>
    <w:rsid w:val="002B4C90"/>
    <w:rsid w:val="002B618D"/>
    <w:rsid w:val="002B628F"/>
    <w:rsid w:val="002B692A"/>
    <w:rsid w:val="002C024F"/>
    <w:rsid w:val="002C0504"/>
    <w:rsid w:val="002C06DB"/>
    <w:rsid w:val="002C27B0"/>
    <w:rsid w:val="002C3593"/>
    <w:rsid w:val="002C44CF"/>
    <w:rsid w:val="002C49B5"/>
    <w:rsid w:val="002C4B54"/>
    <w:rsid w:val="002C4D47"/>
    <w:rsid w:val="002C523D"/>
    <w:rsid w:val="002C5CE6"/>
    <w:rsid w:val="002C64F4"/>
    <w:rsid w:val="002D0B09"/>
    <w:rsid w:val="002D26BD"/>
    <w:rsid w:val="002D2AE0"/>
    <w:rsid w:val="002D3647"/>
    <w:rsid w:val="002D3CB7"/>
    <w:rsid w:val="002D46D3"/>
    <w:rsid w:val="002D7721"/>
    <w:rsid w:val="002D7813"/>
    <w:rsid w:val="002D785F"/>
    <w:rsid w:val="002E1ECF"/>
    <w:rsid w:val="002E3F4B"/>
    <w:rsid w:val="002E4096"/>
    <w:rsid w:val="002E5BAF"/>
    <w:rsid w:val="002E76AA"/>
    <w:rsid w:val="002F0896"/>
    <w:rsid w:val="002F238B"/>
    <w:rsid w:val="002F2FC8"/>
    <w:rsid w:val="002F5563"/>
    <w:rsid w:val="002F7326"/>
    <w:rsid w:val="002F767C"/>
    <w:rsid w:val="00300773"/>
    <w:rsid w:val="00300A8E"/>
    <w:rsid w:val="00304F45"/>
    <w:rsid w:val="003063FC"/>
    <w:rsid w:val="003072A1"/>
    <w:rsid w:val="00310CA5"/>
    <w:rsid w:val="003110D4"/>
    <w:rsid w:val="00311341"/>
    <w:rsid w:val="00312B8B"/>
    <w:rsid w:val="00312C85"/>
    <w:rsid w:val="003143EA"/>
    <w:rsid w:val="00315922"/>
    <w:rsid w:val="00316004"/>
    <w:rsid w:val="00316777"/>
    <w:rsid w:val="00317683"/>
    <w:rsid w:val="00317C76"/>
    <w:rsid w:val="00320157"/>
    <w:rsid w:val="00320F60"/>
    <w:rsid w:val="003219F7"/>
    <w:rsid w:val="00321E07"/>
    <w:rsid w:val="00322117"/>
    <w:rsid w:val="00322F26"/>
    <w:rsid w:val="00323BCF"/>
    <w:rsid w:val="00323F32"/>
    <w:rsid w:val="00324492"/>
    <w:rsid w:val="00325051"/>
    <w:rsid w:val="00325D2E"/>
    <w:rsid w:val="003260B9"/>
    <w:rsid w:val="00326D1A"/>
    <w:rsid w:val="003332DE"/>
    <w:rsid w:val="00335446"/>
    <w:rsid w:val="003356B1"/>
    <w:rsid w:val="003368F7"/>
    <w:rsid w:val="00336ED0"/>
    <w:rsid w:val="00337317"/>
    <w:rsid w:val="0033786A"/>
    <w:rsid w:val="00337E3E"/>
    <w:rsid w:val="00337FAB"/>
    <w:rsid w:val="003417B9"/>
    <w:rsid w:val="00342174"/>
    <w:rsid w:val="00342D09"/>
    <w:rsid w:val="00343C0F"/>
    <w:rsid w:val="00343EB6"/>
    <w:rsid w:val="003456EF"/>
    <w:rsid w:val="00351A1C"/>
    <w:rsid w:val="00351B80"/>
    <w:rsid w:val="003533E6"/>
    <w:rsid w:val="003541A3"/>
    <w:rsid w:val="00354B82"/>
    <w:rsid w:val="003573B5"/>
    <w:rsid w:val="003604CC"/>
    <w:rsid w:val="00360C0E"/>
    <w:rsid w:val="00361661"/>
    <w:rsid w:val="00361EB9"/>
    <w:rsid w:val="00362153"/>
    <w:rsid w:val="00363C40"/>
    <w:rsid w:val="00363E38"/>
    <w:rsid w:val="00366314"/>
    <w:rsid w:val="00366432"/>
    <w:rsid w:val="00366AA5"/>
    <w:rsid w:val="00370B0B"/>
    <w:rsid w:val="003713B9"/>
    <w:rsid w:val="0037331F"/>
    <w:rsid w:val="00373467"/>
    <w:rsid w:val="00374BCF"/>
    <w:rsid w:val="00375CB3"/>
    <w:rsid w:val="00375D96"/>
    <w:rsid w:val="00376D05"/>
    <w:rsid w:val="00376E8D"/>
    <w:rsid w:val="00381072"/>
    <w:rsid w:val="00381B1C"/>
    <w:rsid w:val="003823F5"/>
    <w:rsid w:val="0038241E"/>
    <w:rsid w:val="00383734"/>
    <w:rsid w:val="003844F4"/>
    <w:rsid w:val="003851D1"/>
    <w:rsid w:val="0038714C"/>
    <w:rsid w:val="00387313"/>
    <w:rsid w:val="00390851"/>
    <w:rsid w:val="00390CD2"/>
    <w:rsid w:val="003925DE"/>
    <w:rsid w:val="00394165"/>
    <w:rsid w:val="00394AD2"/>
    <w:rsid w:val="0039575E"/>
    <w:rsid w:val="00395888"/>
    <w:rsid w:val="003958EB"/>
    <w:rsid w:val="00396D89"/>
    <w:rsid w:val="00397249"/>
    <w:rsid w:val="0039743C"/>
    <w:rsid w:val="00397665"/>
    <w:rsid w:val="00397AEE"/>
    <w:rsid w:val="003A01BE"/>
    <w:rsid w:val="003A0463"/>
    <w:rsid w:val="003A0530"/>
    <w:rsid w:val="003A1970"/>
    <w:rsid w:val="003A483B"/>
    <w:rsid w:val="003A4C37"/>
    <w:rsid w:val="003A63DE"/>
    <w:rsid w:val="003A7290"/>
    <w:rsid w:val="003B0027"/>
    <w:rsid w:val="003B03D8"/>
    <w:rsid w:val="003B199E"/>
    <w:rsid w:val="003B1FF8"/>
    <w:rsid w:val="003B4E07"/>
    <w:rsid w:val="003B5451"/>
    <w:rsid w:val="003B6178"/>
    <w:rsid w:val="003B692E"/>
    <w:rsid w:val="003B7867"/>
    <w:rsid w:val="003C02FB"/>
    <w:rsid w:val="003C0377"/>
    <w:rsid w:val="003C0EF5"/>
    <w:rsid w:val="003C3223"/>
    <w:rsid w:val="003C494E"/>
    <w:rsid w:val="003C597A"/>
    <w:rsid w:val="003C6D57"/>
    <w:rsid w:val="003C7816"/>
    <w:rsid w:val="003D05CA"/>
    <w:rsid w:val="003D159C"/>
    <w:rsid w:val="003D1943"/>
    <w:rsid w:val="003D2684"/>
    <w:rsid w:val="003D472B"/>
    <w:rsid w:val="003D4B5C"/>
    <w:rsid w:val="003D6CFC"/>
    <w:rsid w:val="003E0FD5"/>
    <w:rsid w:val="003E1DBB"/>
    <w:rsid w:val="003E2E11"/>
    <w:rsid w:val="003E3111"/>
    <w:rsid w:val="003E35C7"/>
    <w:rsid w:val="003E4E5C"/>
    <w:rsid w:val="003E54E8"/>
    <w:rsid w:val="003E5586"/>
    <w:rsid w:val="003E7932"/>
    <w:rsid w:val="003F15FB"/>
    <w:rsid w:val="003F796F"/>
    <w:rsid w:val="004002B8"/>
    <w:rsid w:val="00400822"/>
    <w:rsid w:val="0040083B"/>
    <w:rsid w:val="004014C5"/>
    <w:rsid w:val="0040467D"/>
    <w:rsid w:val="00404D5A"/>
    <w:rsid w:val="004054A2"/>
    <w:rsid w:val="00405617"/>
    <w:rsid w:val="00406C21"/>
    <w:rsid w:val="00407484"/>
    <w:rsid w:val="004074A0"/>
    <w:rsid w:val="00407762"/>
    <w:rsid w:val="004100F7"/>
    <w:rsid w:val="00410354"/>
    <w:rsid w:val="00410C18"/>
    <w:rsid w:val="004118FA"/>
    <w:rsid w:val="0041210F"/>
    <w:rsid w:val="00412D49"/>
    <w:rsid w:val="004131AB"/>
    <w:rsid w:val="00415CA8"/>
    <w:rsid w:val="00416A61"/>
    <w:rsid w:val="00416CF5"/>
    <w:rsid w:val="00416DFB"/>
    <w:rsid w:val="0041786F"/>
    <w:rsid w:val="00420828"/>
    <w:rsid w:val="00422094"/>
    <w:rsid w:val="0042228D"/>
    <w:rsid w:val="0042399B"/>
    <w:rsid w:val="004249D3"/>
    <w:rsid w:val="00425F41"/>
    <w:rsid w:val="0042713C"/>
    <w:rsid w:val="004271B8"/>
    <w:rsid w:val="0042794A"/>
    <w:rsid w:val="00427A07"/>
    <w:rsid w:val="00430413"/>
    <w:rsid w:val="00431A61"/>
    <w:rsid w:val="00432219"/>
    <w:rsid w:val="00433190"/>
    <w:rsid w:val="004356D5"/>
    <w:rsid w:val="00436CCC"/>
    <w:rsid w:val="00437723"/>
    <w:rsid w:val="00437881"/>
    <w:rsid w:val="0044064F"/>
    <w:rsid w:val="00440E47"/>
    <w:rsid w:val="00441CEE"/>
    <w:rsid w:val="004426E8"/>
    <w:rsid w:val="00444ADC"/>
    <w:rsid w:val="00446DFC"/>
    <w:rsid w:val="004507B8"/>
    <w:rsid w:val="0045241B"/>
    <w:rsid w:val="004525C1"/>
    <w:rsid w:val="00455013"/>
    <w:rsid w:val="00457AEB"/>
    <w:rsid w:val="0046042D"/>
    <w:rsid w:val="0046072F"/>
    <w:rsid w:val="004623A1"/>
    <w:rsid w:val="00463E77"/>
    <w:rsid w:val="00464A8D"/>
    <w:rsid w:val="00465389"/>
    <w:rsid w:val="00465841"/>
    <w:rsid w:val="00465EAF"/>
    <w:rsid w:val="00466049"/>
    <w:rsid w:val="004669F1"/>
    <w:rsid w:val="00466F38"/>
    <w:rsid w:val="00467C20"/>
    <w:rsid w:val="004717FC"/>
    <w:rsid w:val="00472821"/>
    <w:rsid w:val="00472915"/>
    <w:rsid w:val="00473481"/>
    <w:rsid w:val="00474399"/>
    <w:rsid w:val="00477AFE"/>
    <w:rsid w:val="00480342"/>
    <w:rsid w:val="004842E6"/>
    <w:rsid w:val="004844A9"/>
    <w:rsid w:val="00484D31"/>
    <w:rsid w:val="004856AA"/>
    <w:rsid w:val="00485E79"/>
    <w:rsid w:val="0048686A"/>
    <w:rsid w:val="0048726A"/>
    <w:rsid w:val="00487322"/>
    <w:rsid w:val="00491F46"/>
    <w:rsid w:val="00492B47"/>
    <w:rsid w:val="00493481"/>
    <w:rsid w:val="00493552"/>
    <w:rsid w:val="00494349"/>
    <w:rsid w:val="0049489E"/>
    <w:rsid w:val="004950C0"/>
    <w:rsid w:val="00495479"/>
    <w:rsid w:val="004959B7"/>
    <w:rsid w:val="0049637B"/>
    <w:rsid w:val="004964C3"/>
    <w:rsid w:val="0049665C"/>
    <w:rsid w:val="004972ED"/>
    <w:rsid w:val="00497700"/>
    <w:rsid w:val="0049770C"/>
    <w:rsid w:val="0049796F"/>
    <w:rsid w:val="004A0972"/>
    <w:rsid w:val="004A0BEF"/>
    <w:rsid w:val="004A4023"/>
    <w:rsid w:val="004A4983"/>
    <w:rsid w:val="004A7546"/>
    <w:rsid w:val="004A7E04"/>
    <w:rsid w:val="004B0280"/>
    <w:rsid w:val="004B087F"/>
    <w:rsid w:val="004B162D"/>
    <w:rsid w:val="004B2CBC"/>
    <w:rsid w:val="004B36EC"/>
    <w:rsid w:val="004B5EAF"/>
    <w:rsid w:val="004B6CA7"/>
    <w:rsid w:val="004B6EBE"/>
    <w:rsid w:val="004B6ED8"/>
    <w:rsid w:val="004B79BD"/>
    <w:rsid w:val="004B7C88"/>
    <w:rsid w:val="004B7F18"/>
    <w:rsid w:val="004C0003"/>
    <w:rsid w:val="004C01BC"/>
    <w:rsid w:val="004C093A"/>
    <w:rsid w:val="004C133A"/>
    <w:rsid w:val="004C32AF"/>
    <w:rsid w:val="004C59C0"/>
    <w:rsid w:val="004C5DB9"/>
    <w:rsid w:val="004D08C8"/>
    <w:rsid w:val="004D13A9"/>
    <w:rsid w:val="004D17B7"/>
    <w:rsid w:val="004D3CC5"/>
    <w:rsid w:val="004D3E00"/>
    <w:rsid w:val="004D43D4"/>
    <w:rsid w:val="004D4589"/>
    <w:rsid w:val="004D4C9B"/>
    <w:rsid w:val="004D59F6"/>
    <w:rsid w:val="004D64B0"/>
    <w:rsid w:val="004D7B74"/>
    <w:rsid w:val="004E1470"/>
    <w:rsid w:val="004E2135"/>
    <w:rsid w:val="004E2AB0"/>
    <w:rsid w:val="004E41DF"/>
    <w:rsid w:val="004E4C0E"/>
    <w:rsid w:val="004E53A5"/>
    <w:rsid w:val="004E7515"/>
    <w:rsid w:val="004E7521"/>
    <w:rsid w:val="004E79C7"/>
    <w:rsid w:val="004F0FEB"/>
    <w:rsid w:val="004F10A9"/>
    <w:rsid w:val="004F1914"/>
    <w:rsid w:val="004F2D64"/>
    <w:rsid w:val="004F3A9E"/>
    <w:rsid w:val="004F3CC0"/>
    <w:rsid w:val="004F3E02"/>
    <w:rsid w:val="004F40DB"/>
    <w:rsid w:val="004F40DC"/>
    <w:rsid w:val="004F4818"/>
    <w:rsid w:val="004F4855"/>
    <w:rsid w:val="004F4CFB"/>
    <w:rsid w:val="004F53D0"/>
    <w:rsid w:val="004F5675"/>
    <w:rsid w:val="004F6A65"/>
    <w:rsid w:val="004F73EB"/>
    <w:rsid w:val="004F7D87"/>
    <w:rsid w:val="005000D0"/>
    <w:rsid w:val="0050016D"/>
    <w:rsid w:val="00500C50"/>
    <w:rsid w:val="0050138E"/>
    <w:rsid w:val="00502161"/>
    <w:rsid w:val="00502744"/>
    <w:rsid w:val="00503183"/>
    <w:rsid w:val="005049A6"/>
    <w:rsid w:val="00505358"/>
    <w:rsid w:val="00506360"/>
    <w:rsid w:val="00507941"/>
    <w:rsid w:val="00507C6F"/>
    <w:rsid w:val="00510030"/>
    <w:rsid w:val="005103A2"/>
    <w:rsid w:val="00511179"/>
    <w:rsid w:val="005112D5"/>
    <w:rsid w:val="00512481"/>
    <w:rsid w:val="005129C7"/>
    <w:rsid w:val="00512FA4"/>
    <w:rsid w:val="0051359B"/>
    <w:rsid w:val="005140A8"/>
    <w:rsid w:val="00515BD9"/>
    <w:rsid w:val="00516DAB"/>
    <w:rsid w:val="005170BC"/>
    <w:rsid w:val="00517733"/>
    <w:rsid w:val="00517BD7"/>
    <w:rsid w:val="00517E29"/>
    <w:rsid w:val="00520F70"/>
    <w:rsid w:val="00521D21"/>
    <w:rsid w:val="00523086"/>
    <w:rsid w:val="00526751"/>
    <w:rsid w:val="0053022C"/>
    <w:rsid w:val="00530521"/>
    <w:rsid w:val="0053127D"/>
    <w:rsid w:val="00531312"/>
    <w:rsid w:val="005316A3"/>
    <w:rsid w:val="00532A79"/>
    <w:rsid w:val="00532B59"/>
    <w:rsid w:val="00535887"/>
    <w:rsid w:val="0053676D"/>
    <w:rsid w:val="005376ED"/>
    <w:rsid w:val="00537F2A"/>
    <w:rsid w:val="00541143"/>
    <w:rsid w:val="0054582C"/>
    <w:rsid w:val="00546496"/>
    <w:rsid w:val="005464B5"/>
    <w:rsid w:val="00546756"/>
    <w:rsid w:val="005509E2"/>
    <w:rsid w:val="00550A07"/>
    <w:rsid w:val="00551D5E"/>
    <w:rsid w:val="005562C1"/>
    <w:rsid w:val="00557AB4"/>
    <w:rsid w:val="00557B8D"/>
    <w:rsid w:val="00561EB9"/>
    <w:rsid w:val="005627E9"/>
    <w:rsid w:val="00562917"/>
    <w:rsid w:val="00564645"/>
    <w:rsid w:val="005648D0"/>
    <w:rsid w:val="0056566D"/>
    <w:rsid w:val="005659EE"/>
    <w:rsid w:val="00565D6E"/>
    <w:rsid w:val="00565E10"/>
    <w:rsid w:val="0057150B"/>
    <w:rsid w:val="005718CE"/>
    <w:rsid w:val="005722C0"/>
    <w:rsid w:val="005723D9"/>
    <w:rsid w:val="00572B77"/>
    <w:rsid w:val="005747EB"/>
    <w:rsid w:val="00575168"/>
    <w:rsid w:val="0057578C"/>
    <w:rsid w:val="005759B4"/>
    <w:rsid w:val="00575F4C"/>
    <w:rsid w:val="00576085"/>
    <w:rsid w:val="0057645A"/>
    <w:rsid w:val="005764DF"/>
    <w:rsid w:val="005765DE"/>
    <w:rsid w:val="0057687D"/>
    <w:rsid w:val="00581DC5"/>
    <w:rsid w:val="00582572"/>
    <w:rsid w:val="005831F7"/>
    <w:rsid w:val="00583C1D"/>
    <w:rsid w:val="0058454C"/>
    <w:rsid w:val="00585D8B"/>
    <w:rsid w:val="0058765D"/>
    <w:rsid w:val="00587C20"/>
    <w:rsid w:val="005918C5"/>
    <w:rsid w:val="00591B45"/>
    <w:rsid w:val="00594417"/>
    <w:rsid w:val="0059451D"/>
    <w:rsid w:val="0059481D"/>
    <w:rsid w:val="00595340"/>
    <w:rsid w:val="00595907"/>
    <w:rsid w:val="00595990"/>
    <w:rsid w:val="005962DF"/>
    <w:rsid w:val="005974D6"/>
    <w:rsid w:val="005A03DF"/>
    <w:rsid w:val="005A158A"/>
    <w:rsid w:val="005A1BC3"/>
    <w:rsid w:val="005A4DCB"/>
    <w:rsid w:val="005A51B6"/>
    <w:rsid w:val="005A6321"/>
    <w:rsid w:val="005A6AE5"/>
    <w:rsid w:val="005B0D58"/>
    <w:rsid w:val="005B1F8A"/>
    <w:rsid w:val="005B30F5"/>
    <w:rsid w:val="005B415C"/>
    <w:rsid w:val="005B56ED"/>
    <w:rsid w:val="005B5A8C"/>
    <w:rsid w:val="005B631A"/>
    <w:rsid w:val="005B6F36"/>
    <w:rsid w:val="005B7179"/>
    <w:rsid w:val="005C2147"/>
    <w:rsid w:val="005C2876"/>
    <w:rsid w:val="005C2E24"/>
    <w:rsid w:val="005C49A7"/>
    <w:rsid w:val="005D31FF"/>
    <w:rsid w:val="005D39EC"/>
    <w:rsid w:val="005D3F0D"/>
    <w:rsid w:val="005D47F2"/>
    <w:rsid w:val="005D521E"/>
    <w:rsid w:val="005D5A86"/>
    <w:rsid w:val="005D69BF"/>
    <w:rsid w:val="005D7D2E"/>
    <w:rsid w:val="005E13BE"/>
    <w:rsid w:val="005E2221"/>
    <w:rsid w:val="005E3028"/>
    <w:rsid w:val="005E3434"/>
    <w:rsid w:val="005E5B96"/>
    <w:rsid w:val="005E5D16"/>
    <w:rsid w:val="005F01D5"/>
    <w:rsid w:val="005F0742"/>
    <w:rsid w:val="005F0A22"/>
    <w:rsid w:val="005F0E2D"/>
    <w:rsid w:val="005F1B33"/>
    <w:rsid w:val="005F1D7D"/>
    <w:rsid w:val="005F2290"/>
    <w:rsid w:val="005F44BB"/>
    <w:rsid w:val="005F4D34"/>
    <w:rsid w:val="005F57BB"/>
    <w:rsid w:val="005F6F02"/>
    <w:rsid w:val="006019BD"/>
    <w:rsid w:val="00601FBC"/>
    <w:rsid w:val="00602167"/>
    <w:rsid w:val="00602299"/>
    <w:rsid w:val="006028AC"/>
    <w:rsid w:val="006035A8"/>
    <w:rsid w:val="00603F8F"/>
    <w:rsid w:val="00604752"/>
    <w:rsid w:val="00605E6B"/>
    <w:rsid w:val="006073EA"/>
    <w:rsid w:val="0061305A"/>
    <w:rsid w:val="006131BB"/>
    <w:rsid w:val="00613EF5"/>
    <w:rsid w:val="00614C0D"/>
    <w:rsid w:val="00620E31"/>
    <w:rsid w:val="00622437"/>
    <w:rsid w:val="00622C6B"/>
    <w:rsid w:val="006238E3"/>
    <w:rsid w:val="0062393E"/>
    <w:rsid w:val="00626893"/>
    <w:rsid w:val="006269E7"/>
    <w:rsid w:val="00626D10"/>
    <w:rsid w:val="00631328"/>
    <w:rsid w:val="00635917"/>
    <w:rsid w:val="0063676D"/>
    <w:rsid w:val="00637269"/>
    <w:rsid w:val="0063752E"/>
    <w:rsid w:val="00637C9A"/>
    <w:rsid w:val="006402D2"/>
    <w:rsid w:val="00640302"/>
    <w:rsid w:val="00640423"/>
    <w:rsid w:val="00640505"/>
    <w:rsid w:val="006407BE"/>
    <w:rsid w:val="00642B3C"/>
    <w:rsid w:val="00643615"/>
    <w:rsid w:val="006448B7"/>
    <w:rsid w:val="0064518A"/>
    <w:rsid w:val="0064678A"/>
    <w:rsid w:val="00646C9C"/>
    <w:rsid w:val="00650028"/>
    <w:rsid w:val="00650230"/>
    <w:rsid w:val="006502CA"/>
    <w:rsid w:val="006506B5"/>
    <w:rsid w:val="00650A7D"/>
    <w:rsid w:val="006517B6"/>
    <w:rsid w:val="006527CB"/>
    <w:rsid w:val="00655299"/>
    <w:rsid w:val="0065552F"/>
    <w:rsid w:val="0065784E"/>
    <w:rsid w:val="00657B9B"/>
    <w:rsid w:val="00660989"/>
    <w:rsid w:val="00660C0C"/>
    <w:rsid w:val="00661C91"/>
    <w:rsid w:val="00661D10"/>
    <w:rsid w:val="006628B9"/>
    <w:rsid w:val="00662ABA"/>
    <w:rsid w:val="0066305C"/>
    <w:rsid w:val="00665CB2"/>
    <w:rsid w:val="006662CE"/>
    <w:rsid w:val="006663C1"/>
    <w:rsid w:val="00666515"/>
    <w:rsid w:val="006669D6"/>
    <w:rsid w:val="00666FBB"/>
    <w:rsid w:val="00667458"/>
    <w:rsid w:val="00667C27"/>
    <w:rsid w:val="0067058A"/>
    <w:rsid w:val="00670D09"/>
    <w:rsid w:val="006715AC"/>
    <w:rsid w:val="00671A7C"/>
    <w:rsid w:val="00671AFB"/>
    <w:rsid w:val="00671FB3"/>
    <w:rsid w:val="0067220A"/>
    <w:rsid w:val="006734B3"/>
    <w:rsid w:val="006735DB"/>
    <w:rsid w:val="006739E9"/>
    <w:rsid w:val="00673C33"/>
    <w:rsid w:val="00673F80"/>
    <w:rsid w:val="006752A5"/>
    <w:rsid w:val="00675AD8"/>
    <w:rsid w:val="00676582"/>
    <w:rsid w:val="00682BB8"/>
    <w:rsid w:val="00683C18"/>
    <w:rsid w:val="00683C22"/>
    <w:rsid w:val="006842B3"/>
    <w:rsid w:val="00684A9E"/>
    <w:rsid w:val="00685F9E"/>
    <w:rsid w:val="00690AAD"/>
    <w:rsid w:val="00691FD8"/>
    <w:rsid w:val="006925C7"/>
    <w:rsid w:val="00692B01"/>
    <w:rsid w:val="006932EC"/>
    <w:rsid w:val="00694FC0"/>
    <w:rsid w:val="00695036"/>
    <w:rsid w:val="006952CE"/>
    <w:rsid w:val="00695D77"/>
    <w:rsid w:val="006A1A29"/>
    <w:rsid w:val="006A1FD6"/>
    <w:rsid w:val="006A2A72"/>
    <w:rsid w:val="006A320D"/>
    <w:rsid w:val="006A3271"/>
    <w:rsid w:val="006A446E"/>
    <w:rsid w:val="006A4B14"/>
    <w:rsid w:val="006A6555"/>
    <w:rsid w:val="006A7890"/>
    <w:rsid w:val="006B133F"/>
    <w:rsid w:val="006B1BBD"/>
    <w:rsid w:val="006B2372"/>
    <w:rsid w:val="006B46CC"/>
    <w:rsid w:val="006B548C"/>
    <w:rsid w:val="006B5D59"/>
    <w:rsid w:val="006B5F31"/>
    <w:rsid w:val="006B7AAF"/>
    <w:rsid w:val="006C0B3E"/>
    <w:rsid w:val="006C0DA4"/>
    <w:rsid w:val="006C26A2"/>
    <w:rsid w:val="006C2719"/>
    <w:rsid w:val="006C33B1"/>
    <w:rsid w:val="006C3A8B"/>
    <w:rsid w:val="006C3F8F"/>
    <w:rsid w:val="006C41BA"/>
    <w:rsid w:val="006C5FEE"/>
    <w:rsid w:val="006C7615"/>
    <w:rsid w:val="006D01B7"/>
    <w:rsid w:val="006D068F"/>
    <w:rsid w:val="006D0CFD"/>
    <w:rsid w:val="006D19B3"/>
    <w:rsid w:val="006D1B24"/>
    <w:rsid w:val="006D2804"/>
    <w:rsid w:val="006D2F92"/>
    <w:rsid w:val="006D5B52"/>
    <w:rsid w:val="006D5ED4"/>
    <w:rsid w:val="006D5EF9"/>
    <w:rsid w:val="006E1B85"/>
    <w:rsid w:val="006E2E0C"/>
    <w:rsid w:val="006E3F4F"/>
    <w:rsid w:val="006E4594"/>
    <w:rsid w:val="006E4C86"/>
    <w:rsid w:val="006E54CB"/>
    <w:rsid w:val="006E6F81"/>
    <w:rsid w:val="006E7CB8"/>
    <w:rsid w:val="006F0511"/>
    <w:rsid w:val="006F0CD3"/>
    <w:rsid w:val="006F0FE3"/>
    <w:rsid w:val="006F16C8"/>
    <w:rsid w:val="006F187D"/>
    <w:rsid w:val="006F210A"/>
    <w:rsid w:val="006F2190"/>
    <w:rsid w:val="006F3444"/>
    <w:rsid w:val="006F4228"/>
    <w:rsid w:val="006F46D2"/>
    <w:rsid w:val="006F46D4"/>
    <w:rsid w:val="006F4843"/>
    <w:rsid w:val="00701730"/>
    <w:rsid w:val="00702F0F"/>
    <w:rsid w:val="00703EC8"/>
    <w:rsid w:val="00704681"/>
    <w:rsid w:val="007046F6"/>
    <w:rsid w:val="007052C2"/>
    <w:rsid w:val="00710150"/>
    <w:rsid w:val="0071055E"/>
    <w:rsid w:val="00710AD1"/>
    <w:rsid w:val="00711FFE"/>
    <w:rsid w:val="0071209B"/>
    <w:rsid w:val="00713992"/>
    <w:rsid w:val="00713A20"/>
    <w:rsid w:val="00714212"/>
    <w:rsid w:val="00715FE5"/>
    <w:rsid w:val="007173E2"/>
    <w:rsid w:val="00717A6E"/>
    <w:rsid w:val="00720C87"/>
    <w:rsid w:val="0072178C"/>
    <w:rsid w:val="007229F9"/>
    <w:rsid w:val="007232C5"/>
    <w:rsid w:val="00726526"/>
    <w:rsid w:val="0072685F"/>
    <w:rsid w:val="00730AD5"/>
    <w:rsid w:val="007334A7"/>
    <w:rsid w:val="00733CD4"/>
    <w:rsid w:val="00735B1E"/>
    <w:rsid w:val="00735C81"/>
    <w:rsid w:val="00741198"/>
    <w:rsid w:val="00741291"/>
    <w:rsid w:val="00741DA7"/>
    <w:rsid w:val="00742C7E"/>
    <w:rsid w:val="00743AA8"/>
    <w:rsid w:val="00743BAF"/>
    <w:rsid w:val="00743C04"/>
    <w:rsid w:val="00744BCD"/>
    <w:rsid w:val="00745A11"/>
    <w:rsid w:val="0074757F"/>
    <w:rsid w:val="007500FD"/>
    <w:rsid w:val="00751EB5"/>
    <w:rsid w:val="00752241"/>
    <w:rsid w:val="00753F46"/>
    <w:rsid w:val="0075466D"/>
    <w:rsid w:val="007546F5"/>
    <w:rsid w:val="00754992"/>
    <w:rsid w:val="00754F6D"/>
    <w:rsid w:val="007558EA"/>
    <w:rsid w:val="00756300"/>
    <w:rsid w:val="00757D9C"/>
    <w:rsid w:val="007608ED"/>
    <w:rsid w:val="007612B6"/>
    <w:rsid w:val="007619C0"/>
    <w:rsid w:val="007625BC"/>
    <w:rsid w:val="0076283C"/>
    <w:rsid w:val="00762A95"/>
    <w:rsid w:val="00762DC2"/>
    <w:rsid w:val="00762E9A"/>
    <w:rsid w:val="007632FB"/>
    <w:rsid w:val="00763A46"/>
    <w:rsid w:val="00763AA6"/>
    <w:rsid w:val="00763FE8"/>
    <w:rsid w:val="00764B42"/>
    <w:rsid w:val="00765448"/>
    <w:rsid w:val="00766DFE"/>
    <w:rsid w:val="00766E44"/>
    <w:rsid w:val="00767E25"/>
    <w:rsid w:val="0077018F"/>
    <w:rsid w:val="007718E5"/>
    <w:rsid w:val="00771A62"/>
    <w:rsid w:val="00771DBA"/>
    <w:rsid w:val="007720EF"/>
    <w:rsid w:val="00776440"/>
    <w:rsid w:val="00780D81"/>
    <w:rsid w:val="007812A7"/>
    <w:rsid w:val="00782F27"/>
    <w:rsid w:val="007863D9"/>
    <w:rsid w:val="007908A8"/>
    <w:rsid w:val="00791A02"/>
    <w:rsid w:val="007930CB"/>
    <w:rsid w:val="00793806"/>
    <w:rsid w:val="0079389E"/>
    <w:rsid w:val="00795BF4"/>
    <w:rsid w:val="00795CAD"/>
    <w:rsid w:val="00795CD5"/>
    <w:rsid w:val="00795FE9"/>
    <w:rsid w:val="00795FFA"/>
    <w:rsid w:val="0079639D"/>
    <w:rsid w:val="00796CDE"/>
    <w:rsid w:val="00797775"/>
    <w:rsid w:val="00797F8A"/>
    <w:rsid w:val="007A00F5"/>
    <w:rsid w:val="007A0D06"/>
    <w:rsid w:val="007A19AE"/>
    <w:rsid w:val="007A218C"/>
    <w:rsid w:val="007A31AD"/>
    <w:rsid w:val="007A4102"/>
    <w:rsid w:val="007A4A6C"/>
    <w:rsid w:val="007A503F"/>
    <w:rsid w:val="007A55A2"/>
    <w:rsid w:val="007B0A86"/>
    <w:rsid w:val="007B0D47"/>
    <w:rsid w:val="007B11DC"/>
    <w:rsid w:val="007B163D"/>
    <w:rsid w:val="007B2879"/>
    <w:rsid w:val="007B3CA3"/>
    <w:rsid w:val="007B429E"/>
    <w:rsid w:val="007B4B95"/>
    <w:rsid w:val="007B5BA3"/>
    <w:rsid w:val="007C07A0"/>
    <w:rsid w:val="007C0F58"/>
    <w:rsid w:val="007C1003"/>
    <w:rsid w:val="007C242F"/>
    <w:rsid w:val="007C27A9"/>
    <w:rsid w:val="007C27C4"/>
    <w:rsid w:val="007C2B14"/>
    <w:rsid w:val="007C343F"/>
    <w:rsid w:val="007C34D7"/>
    <w:rsid w:val="007C3582"/>
    <w:rsid w:val="007C3FD4"/>
    <w:rsid w:val="007C425F"/>
    <w:rsid w:val="007C5F7F"/>
    <w:rsid w:val="007D1E72"/>
    <w:rsid w:val="007D23F1"/>
    <w:rsid w:val="007D40AA"/>
    <w:rsid w:val="007D49D4"/>
    <w:rsid w:val="007D6717"/>
    <w:rsid w:val="007E2B8E"/>
    <w:rsid w:val="007E35A8"/>
    <w:rsid w:val="007E38A3"/>
    <w:rsid w:val="007E3BB4"/>
    <w:rsid w:val="007E3E79"/>
    <w:rsid w:val="007E4F44"/>
    <w:rsid w:val="007E5FF4"/>
    <w:rsid w:val="007E6136"/>
    <w:rsid w:val="007E7120"/>
    <w:rsid w:val="007E77EA"/>
    <w:rsid w:val="007F0414"/>
    <w:rsid w:val="007F1915"/>
    <w:rsid w:val="007F2127"/>
    <w:rsid w:val="007F2335"/>
    <w:rsid w:val="007F320B"/>
    <w:rsid w:val="007F4173"/>
    <w:rsid w:val="007F48C7"/>
    <w:rsid w:val="007F52F8"/>
    <w:rsid w:val="007F5D7A"/>
    <w:rsid w:val="007F7202"/>
    <w:rsid w:val="00803DD6"/>
    <w:rsid w:val="00803E14"/>
    <w:rsid w:val="00805325"/>
    <w:rsid w:val="00805445"/>
    <w:rsid w:val="00805849"/>
    <w:rsid w:val="0080644F"/>
    <w:rsid w:val="00806978"/>
    <w:rsid w:val="008073B6"/>
    <w:rsid w:val="00811AE0"/>
    <w:rsid w:val="00812C21"/>
    <w:rsid w:val="008140FA"/>
    <w:rsid w:val="0081492D"/>
    <w:rsid w:val="00815CF5"/>
    <w:rsid w:val="00815F8C"/>
    <w:rsid w:val="008168F9"/>
    <w:rsid w:val="008176EB"/>
    <w:rsid w:val="00820612"/>
    <w:rsid w:val="00821726"/>
    <w:rsid w:val="00822025"/>
    <w:rsid w:val="00822078"/>
    <w:rsid w:val="00824796"/>
    <w:rsid w:val="00825214"/>
    <w:rsid w:val="00825EA0"/>
    <w:rsid w:val="0083175D"/>
    <w:rsid w:val="008328FC"/>
    <w:rsid w:val="008338B3"/>
    <w:rsid w:val="008343A2"/>
    <w:rsid w:val="00836681"/>
    <w:rsid w:val="00836B04"/>
    <w:rsid w:val="00837BD3"/>
    <w:rsid w:val="00840E32"/>
    <w:rsid w:val="00843CED"/>
    <w:rsid w:val="008459E0"/>
    <w:rsid w:val="0084610F"/>
    <w:rsid w:val="00846C47"/>
    <w:rsid w:val="00847AC3"/>
    <w:rsid w:val="008514F1"/>
    <w:rsid w:val="00851D4C"/>
    <w:rsid w:val="00851EAC"/>
    <w:rsid w:val="00852091"/>
    <w:rsid w:val="008538E7"/>
    <w:rsid w:val="00853DF4"/>
    <w:rsid w:val="008554EF"/>
    <w:rsid w:val="00856782"/>
    <w:rsid w:val="00856BAA"/>
    <w:rsid w:val="00856D57"/>
    <w:rsid w:val="00857BFE"/>
    <w:rsid w:val="00857F46"/>
    <w:rsid w:val="0086081E"/>
    <w:rsid w:val="00861730"/>
    <w:rsid w:val="0086246E"/>
    <w:rsid w:val="00862ED6"/>
    <w:rsid w:val="00864217"/>
    <w:rsid w:val="00866137"/>
    <w:rsid w:val="00867468"/>
    <w:rsid w:val="00870367"/>
    <w:rsid w:val="00870768"/>
    <w:rsid w:val="00870A84"/>
    <w:rsid w:val="00870CBA"/>
    <w:rsid w:val="00870F3F"/>
    <w:rsid w:val="0087102D"/>
    <w:rsid w:val="008725BE"/>
    <w:rsid w:val="00872BF1"/>
    <w:rsid w:val="008749B7"/>
    <w:rsid w:val="00874DCC"/>
    <w:rsid w:val="00874F2C"/>
    <w:rsid w:val="008750A0"/>
    <w:rsid w:val="0087536B"/>
    <w:rsid w:val="008769CE"/>
    <w:rsid w:val="00876B7E"/>
    <w:rsid w:val="00880187"/>
    <w:rsid w:val="00880201"/>
    <w:rsid w:val="008806B5"/>
    <w:rsid w:val="008807F2"/>
    <w:rsid w:val="00880806"/>
    <w:rsid w:val="00881F32"/>
    <w:rsid w:val="0088284E"/>
    <w:rsid w:val="00883809"/>
    <w:rsid w:val="00883D96"/>
    <w:rsid w:val="00885012"/>
    <w:rsid w:val="008872F0"/>
    <w:rsid w:val="0088798D"/>
    <w:rsid w:val="00887C52"/>
    <w:rsid w:val="008906CE"/>
    <w:rsid w:val="00891153"/>
    <w:rsid w:val="0089352A"/>
    <w:rsid w:val="00893E37"/>
    <w:rsid w:val="00893F23"/>
    <w:rsid w:val="008942D6"/>
    <w:rsid w:val="008955AE"/>
    <w:rsid w:val="00895749"/>
    <w:rsid w:val="008959BF"/>
    <w:rsid w:val="00896BC5"/>
    <w:rsid w:val="0089719A"/>
    <w:rsid w:val="008A2212"/>
    <w:rsid w:val="008A2222"/>
    <w:rsid w:val="008A284C"/>
    <w:rsid w:val="008A3C75"/>
    <w:rsid w:val="008A50F2"/>
    <w:rsid w:val="008A5AD8"/>
    <w:rsid w:val="008A6765"/>
    <w:rsid w:val="008A68C0"/>
    <w:rsid w:val="008A76FC"/>
    <w:rsid w:val="008B078F"/>
    <w:rsid w:val="008B2874"/>
    <w:rsid w:val="008B2B0F"/>
    <w:rsid w:val="008B5BEE"/>
    <w:rsid w:val="008B6E21"/>
    <w:rsid w:val="008B6E48"/>
    <w:rsid w:val="008B757F"/>
    <w:rsid w:val="008C0380"/>
    <w:rsid w:val="008C13A3"/>
    <w:rsid w:val="008C18DC"/>
    <w:rsid w:val="008C2D40"/>
    <w:rsid w:val="008C315A"/>
    <w:rsid w:val="008C4737"/>
    <w:rsid w:val="008C4CE3"/>
    <w:rsid w:val="008C506A"/>
    <w:rsid w:val="008C58DD"/>
    <w:rsid w:val="008C5E2C"/>
    <w:rsid w:val="008D086B"/>
    <w:rsid w:val="008D0E32"/>
    <w:rsid w:val="008D11AB"/>
    <w:rsid w:val="008D39DE"/>
    <w:rsid w:val="008D55BD"/>
    <w:rsid w:val="008D65C2"/>
    <w:rsid w:val="008E0040"/>
    <w:rsid w:val="008E5291"/>
    <w:rsid w:val="008E5581"/>
    <w:rsid w:val="008E5591"/>
    <w:rsid w:val="008E5CBA"/>
    <w:rsid w:val="008E6C6D"/>
    <w:rsid w:val="008E6EE4"/>
    <w:rsid w:val="008E7402"/>
    <w:rsid w:val="008E7405"/>
    <w:rsid w:val="008E7AA8"/>
    <w:rsid w:val="008F10A4"/>
    <w:rsid w:val="008F229F"/>
    <w:rsid w:val="008F6AF3"/>
    <w:rsid w:val="008F7B9D"/>
    <w:rsid w:val="00900559"/>
    <w:rsid w:val="009022EE"/>
    <w:rsid w:val="00903381"/>
    <w:rsid w:val="00903915"/>
    <w:rsid w:val="00904469"/>
    <w:rsid w:val="00904B0A"/>
    <w:rsid w:val="00904EB4"/>
    <w:rsid w:val="009060BF"/>
    <w:rsid w:val="0090658F"/>
    <w:rsid w:val="009108B0"/>
    <w:rsid w:val="00911846"/>
    <w:rsid w:val="00911CD6"/>
    <w:rsid w:val="00913704"/>
    <w:rsid w:val="00913FBF"/>
    <w:rsid w:val="009142DA"/>
    <w:rsid w:val="009164D4"/>
    <w:rsid w:val="00916F32"/>
    <w:rsid w:val="00920F80"/>
    <w:rsid w:val="0092186E"/>
    <w:rsid w:val="0092223E"/>
    <w:rsid w:val="00922531"/>
    <w:rsid w:val="00923C03"/>
    <w:rsid w:val="00923E32"/>
    <w:rsid w:val="0092535F"/>
    <w:rsid w:val="00926BC1"/>
    <w:rsid w:val="00927008"/>
    <w:rsid w:val="009274B4"/>
    <w:rsid w:val="0092798C"/>
    <w:rsid w:val="0093794A"/>
    <w:rsid w:val="00943E96"/>
    <w:rsid w:val="00944334"/>
    <w:rsid w:val="00946358"/>
    <w:rsid w:val="00946846"/>
    <w:rsid w:val="00946D90"/>
    <w:rsid w:val="009505B2"/>
    <w:rsid w:val="0095113F"/>
    <w:rsid w:val="00951992"/>
    <w:rsid w:val="009520BF"/>
    <w:rsid w:val="00952B0D"/>
    <w:rsid w:val="00952C45"/>
    <w:rsid w:val="00953C5A"/>
    <w:rsid w:val="00953D41"/>
    <w:rsid w:val="0095546F"/>
    <w:rsid w:val="00955C11"/>
    <w:rsid w:val="00955F72"/>
    <w:rsid w:val="00955FB1"/>
    <w:rsid w:val="00957454"/>
    <w:rsid w:val="00960607"/>
    <w:rsid w:val="00960A72"/>
    <w:rsid w:val="009613A8"/>
    <w:rsid w:val="0096172D"/>
    <w:rsid w:val="00963F8C"/>
    <w:rsid w:val="00964C0E"/>
    <w:rsid w:val="00965AB5"/>
    <w:rsid w:val="00966079"/>
    <w:rsid w:val="00971093"/>
    <w:rsid w:val="0097185E"/>
    <w:rsid w:val="00972619"/>
    <w:rsid w:val="00972763"/>
    <w:rsid w:val="00972CB7"/>
    <w:rsid w:val="00972F37"/>
    <w:rsid w:val="00972FBD"/>
    <w:rsid w:val="00973E08"/>
    <w:rsid w:val="00973EC9"/>
    <w:rsid w:val="00974722"/>
    <w:rsid w:val="00974863"/>
    <w:rsid w:val="00980A46"/>
    <w:rsid w:val="00981793"/>
    <w:rsid w:val="00982ED5"/>
    <w:rsid w:val="0098368D"/>
    <w:rsid w:val="009844B9"/>
    <w:rsid w:val="009845B8"/>
    <w:rsid w:val="0098490B"/>
    <w:rsid w:val="00985DE6"/>
    <w:rsid w:val="00986C15"/>
    <w:rsid w:val="00986E12"/>
    <w:rsid w:val="009900CC"/>
    <w:rsid w:val="00991E3D"/>
    <w:rsid w:val="00993351"/>
    <w:rsid w:val="00997499"/>
    <w:rsid w:val="009A1050"/>
    <w:rsid w:val="009A116B"/>
    <w:rsid w:val="009A1396"/>
    <w:rsid w:val="009A385D"/>
    <w:rsid w:val="009A3C06"/>
    <w:rsid w:val="009A3DF2"/>
    <w:rsid w:val="009A3E4B"/>
    <w:rsid w:val="009A5F45"/>
    <w:rsid w:val="009A6144"/>
    <w:rsid w:val="009A681B"/>
    <w:rsid w:val="009A7E2A"/>
    <w:rsid w:val="009B002F"/>
    <w:rsid w:val="009B0088"/>
    <w:rsid w:val="009B00AB"/>
    <w:rsid w:val="009B2566"/>
    <w:rsid w:val="009B2DA3"/>
    <w:rsid w:val="009B3C44"/>
    <w:rsid w:val="009B58C0"/>
    <w:rsid w:val="009B64FB"/>
    <w:rsid w:val="009B7D26"/>
    <w:rsid w:val="009C016E"/>
    <w:rsid w:val="009C0A18"/>
    <w:rsid w:val="009C2A6A"/>
    <w:rsid w:val="009C3A99"/>
    <w:rsid w:val="009C41E8"/>
    <w:rsid w:val="009C5874"/>
    <w:rsid w:val="009C59BB"/>
    <w:rsid w:val="009C6380"/>
    <w:rsid w:val="009C7B2E"/>
    <w:rsid w:val="009C7EE4"/>
    <w:rsid w:val="009D1B28"/>
    <w:rsid w:val="009D1C3B"/>
    <w:rsid w:val="009D2C7B"/>
    <w:rsid w:val="009D2FB9"/>
    <w:rsid w:val="009D4327"/>
    <w:rsid w:val="009D67BA"/>
    <w:rsid w:val="009D6DA8"/>
    <w:rsid w:val="009E2141"/>
    <w:rsid w:val="009E3D0B"/>
    <w:rsid w:val="009E4B2E"/>
    <w:rsid w:val="009E5A5A"/>
    <w:rsid w:val="009E6283"/>
    <w:rsid w:val="009E62F4"/>
    <w:rsid w:val="009E69BD"/>
    <w:rsid w:val="009E74C5"/>
    <w:rsid w:val="009E799E"/>
    <w:rsid w:val="009E7A14"/>
    <w:rsid w:val="009F2692"/>
    <w:rsid w:val="009F2CB4"/>
    <w:rsid w:val="009F41F3"/>
    <w:rsid w:val="009F46BE"/>
    <w:rsid w:val="009F4ECB"/>
    <w:rsid w:val="009F6397"/>
    <w:rsid w:val="009F6EFD"/>
    <w:rsid w:val="009F791F"/>
    <w:rsid w:val="009F7AEB"/>
    <w:rsid w:val="00A00771"/>
    <w:rsid w:val="00A010E5"/>
    <w:rsid w:val="00A0208F"/>
    <w:rsid w:val="00A027E3"/>
    <w:rsid w:val="00A049FC"/>
    <w:rsid w:val="00A05A71"/>
    <w:rsid w:val="00A05DB5"/>
    <w:rsid w:val="00A06F5B"/>
    <w:rsid w:val="00A07687"/>
    <w:rsid w:val="00A076D3"/>
    <w:rsid w:val="00A11763"/>
    <w:rsid w:val="00A1197E"/>
    <w:rsid w:val="00A122D5"/>
    <w:rsid w:val="00A12F0A"/>
    <w:rsid w:val="00A13353"/>
    <w:rsid w:val="00A13998"/>
    <w:rsid w:val="00A15489"/>
    <w:rsid w:val="00A15B7E"/>
    <w:rsid w:val="00A15BFE"/>
    <w:rsid w:val="00A15E29"/>
    <w:rsid w:val="00A164AE"/>
    <w:rsid w:val="00A21660"/>
    <w:rsid w:val="00A21818"/>
    <w:rsid w:val="00A21B56"/>
    <w:rsid w:val="00A223F8"/>
    <w:rsid w:val="00A2293C"/>
    <w:rsid w:val="00A22973"/>
    <w:rsid w:val="00A23E22"/>
    <w:rsid w:val="00A24156"/>
    <w:rsid w:val="00A244DE"/>
    <w:rsid w:val="00A24C8B"/>
    <w:rsid w:val="00A2701D"/>
    <w:rsid w:val="00A2758C"/>
    <w:rsid w:val="00A276FD"/>
    <w:rsid w:val="00A31E56"/>
    <w:rsid w:val="00A3222C"/>
    <w:rsid w:val="00A33F8F"/>
    <w:rsid w:val="00A34AD9"/>
    <w:rsid w:val="00A36911"/>
    <w:rsid w:val="00A36B94"/>
    <w:rsid w:val="00A36D4B"/>
    <w:rsid w:val="00A400AD"/>
    <w:rsid w:val="00A40EF0"/>
    <w:rsid w:val="00A4228B"/>
    <w:rsid w:val="00A429CC"/>
    <w:rsid w:val="00A43067"/>
    <w:rsid w:val="00A45065"/>
    <w:rsid w:val="00A46E42"/>
    <w:rsid w:val="00A471A5"/>
    <w:rsid w:val="00A47925"/>
    <w:rsid w:val="00A47BA1"/>
    <w:rsid w:val="00A47E1D"/>
    <w:rsid w:val="00A52183"/>
    <w:rsid w:val="00A52CA3"/>
    <w:rsid w:val="00A55A60"/>
    <w:rsid w:val="00A55C91"/>
    <w:rsid w:val="00A55D21"/>
    <w:rsid w:val="00A56360"/>
    <w:rsid w:val="00A60DA9"/>
    <w:rsid w:val="00A6211D"/>
    <w:rsid w:val="00A63BF3"/>
    <w:rsid w:val="00A64C1E"/>
    <w:rsid w:val="00A64EAC"/>
    <w:rsid w:val="00A65F5E"/>
    <w:rsid w:val="00A678A8"/>
    <w:rsid w:val="00A67BA3"/>
    <w:rsid w:val="00A7087B"/>
    <w:rsid w:val="00A71151"/>
    <w:rsid w:val="00A7153C"/>
    <w:rsid w:val="00A717E5"/>
    <w:rsid w:val="00A72567"/>
    <w:rsid w:val="00A7537B"/>
    <w:rsid w:val="00A77362"/>
    <w:rsid w:val="00A77B93"/>
    <w:rsid w:val="00A77DBB"/>
    <w:rsid w:val="00A77EFA"/>
    <w:rsid w:val="00A80CBD"/>
    <w:rsid w:val="00A81880"/>
    <w:rsid w:val="00A839E1"/>
    <w:rsid w:val="00A83E8F"/>
    <w:rsid w:val="00A84827"/>
    <w:rsid w:val="00A855A4"/>
    <w:rsid w:val="00A86E76"/>
    <w:rsid w:val="00A907B8"/>
    <w:rsid w:val="00A90C0F"/>
    <w:rsid w:val="00A9184A"/>
    <w:rsid w:val="00A92EC7"/>
    <w:rsid w:val="00A943BD"/>
    <w:rsid w:val="00A94A71"/>
    <w:rsid w:val="00A962EF"/>
    <w:rsid w:val="00A9780E"/>
    <w:rsid w:val="00A97828"/>
    <w:rsid w:val="00AA0D33"/>
    <w:rsid w:val="00AA1197"/>
    <w:rsid w:val="00AA13B5"/>
    <w:rsid w:val="00AA1CBE"/>
    <w:rsid w:val="00AA1E8E"/>
    <w:rsid w:val="00AA2BDD"/>
    <w:rsid w:val="00AA38EF"/>
    <w:rsid w:val="00AA3B9B"/>
    <w:rsid w:val="00AA62FF"/>
    <w:rsid w:val="00AA70D6"/>
    <w:rsid w:val="00AA719B"/>
    <w:rsid w:val="00AB0125"/>
    <w:rsid w:val="00AB015A"/>
    <w:rsid w:val="00AB290B"/>
    <w:rsid w:val="00AB2999"/>
    <w:rsid w:val="00AB2C38"/>
    <w:rsid w:val="00AB4136"/>
    <w:rsid w:val="00AB42FF"/>
    <w:rsid w:val="00AB4723"/>
    <w:rsid w:val="00AB48D7"/>
    <w:rsid w:val="00AB4D32"/>
    <w:rsid w:val="00AB5CE6"/>
    <w:rsid w:val="00AB68CB"/>
    <w:rsid w:val="00AB6C67"/>
    <w:rsid w:val="00AB6F31"/>
    <w:rsid w:val="00AB793B"/>
    <w:rsid w:val="00AC0531"/>
    <w:rsid w:val="00AC1064"/>
    <w:rsid w:val="00AC2464"/>
    <w:rsid w:val="00AC32CF"/>
    <w:rsid w:val="00AC50BC"/>
    <w:rsid w:val="00AC5112"/>
    <w:rsid w:val="00AC56C9"/>
    <w:rsid w:val="00AC57BE"/>
    <w:rsid w:val="00AC5935"/>
    <w:rsid w:val="00AD11A3"/>
    <w:rsid w:val="00AD150B"/>
    <w:rsid w:val="00AD26F3"/>
    <w:rsid w:val="00AD44A4"/>
    <w:rsid w:val="00AD5E87"/>
    <w:rsid w:val="00AD65A2"/>
    <w:rsid w:val="00AE0ACA"/>
    <w:rsid w:val="00AE1057"/>
    <w:rsid w:val="00AE18E5"/>
    <w:rsid w:val="00AE1DB1"/>
    <w:rsid w:val="00AE20BC"/>
    <w:rsid w:val="00AE351F"/>
    <w:rsid w:val="00AE4545"/>
    <w:rsid w:val="00AE4772"/>
    <w:rsid w:val="00AE6253"/>
    <w:rsid w:val="00AE7B95"/>
    <w:rsid w:val="00AF15C7"/>
    <w:rsid w:val="00AF1AAE"/>
    <w:rsid w:val="00AF2422"/>
    <w:rsid w:val="00AF504A"/>
    <w:rsid w:val="00AF6B1C"/>
    <w:rsid w:val="00AF74F0"/>
    <w:rsid w:val="00AF79A4"/>
    <w:rsid w:val="00B006F8"/>
    <w:rsid w:val="00B0071D"/>
    <w:rsid w:val="00B00B74"/>
    <w:rsid w:val="00B00D90"/>
    <w:rsid w:val="00B00F6C"/>
    <w:rsid w:val="00B01CD8"/>
    <w:rsid w:val="00B02B96"/>
    <w:rsid w:val="00B0427B"/>
    <w:rsid w:val="00B04BF3"/>
    <w:rsid w:val="00B055E5"/>
    <w:rsid w:val="00B05B1B"/>
    <w:rsid w:val="00B112A0"/>
    <w:rsid w:val="00B11597"/>
    <w:rsid w:val="00B11DAD"/>
    <w:rsid w:val="00B12D39"/>
    <w:rsid w:val="00B13344"/>
    <w:rsid w:val="00B145BC"/>
    <w:rsid w:val="00B16666"/>
    <w:rsid w:val="00B17513"/>
    <w:rsid w:val="00B21757"/>
    <w:rsid w:val="00B21C70"/>
    <w:rsid w:val="00B2206A"/>
    <w:rsid w:val="00B236B5"/>
    <w:rsid w:val="00B23FE8"/>
    <w:rsid w:val="00B24179"/>
    <w:rsid w:val="00B24ADE"/>
    <w:rsid w:val="00B25058"/>
    <w:rsid w:val="00B2514A"/>
    <w:rsid w:val="00B256FB"/>
    <w:rsid w:val="00B276D0"/>
    <w:rsid w:val="00B27B66"/>
    <w:rsid w:val="00B30139"/>
    <w:rsid w:val="00B31FA9"/>
    <w:rsid w:val="00B34787"/>
    <w:rsid w:val="00B34B83"/>
    <w:rsid w:val="00B35E34"/>
    <w:rsid w:val="00B37AA9"/>
    <w:rsid w:val="00B37AF9"/>
    <w:rsid w:val="00B37B05"/>
    <w:rsid w:val="00B400A3"/>
    <w:rsid w:val="00B40682"/>
    <w:rsid w:val="00B412C8"/>
    <w:rsid w:val="00B41575"/>
    <w:rsid w:val="00B41AB8"/>
    <w:rsid w:val="00B41C64"/>
    <w:rsid w:val="00B422C5"/>
    <w:rsid w:val="00B43685"/>
    <w:rsid w:val="00B4403F"/>
    <w:rsid w:val="00B44257"/>
    <w:rsid w:val="00B44BAC"/>
    <w:rsid w:val="00B4519B"/>
    <w:rsid w:val="00B45F2C"/>
    <w:rsid w:val="00B460ED"/>
    <w:rsid w:val="00B5081F"/>
    <w:rsid w:val="00B50ADB"/>
    <w:rsid w:val="00B518FC"/>
    <w:rsid w:val="00B522EF"/>
    <w:rsid w:val="00B52F39"/>
    <w:rsid w:val="00B53FCE"/>
    <w:rsid w:val="00B54684"/>
    <w:rsid w:val="00B54C03"/>
    <w:rsid w:val="00B54E0F"/>
    <w:rsid w:val="00B60C23"/>
    <w:rsid w:val="00B6295B"/>
    <w:rsid w:val="00B64418"/>
    <w:rsid w:val="00B66092"/>
    <w:rsid w:val="00B66AC3"/>
    <w:rsid w:val="00B66D7F"/>
    <w:rsid w:val="00B66EAE"/>
    <w:rsid w:val="00B67E8C"/>
    <w:rsid w:val="00B70CD0"/>
    <w:rsid w:val="00B7385F"/>
    <w:rsid w:val="00B74A62"/>
    <w:rsid w:val="00B74B79"/>
    <w:rsid w:val="00B763F8"/>
    <w:rsid w:val="00B76FFC"/>
    <w:rsid w:val="00B774F9"/>
    <w:rsid w:val="00B80085"/>
    <w:rsid w:val="00B81610"/>
    <w:rsid w:val="00B820C6"/>
    <w:rsid w:val="00B8256A"/>
    <w:rsid w:val="00B83109"/>
    <w:rsid w:val="00B83309"/>
    <w:rsid w:val="00B837D6"/>
    <w:rsid w:val="00B84CB6"/>
    <w:rsid w:val="00B85214"/>
    <w:rsid w:val="00B85E30"/>
    <w:rsid w:val="00B86167"/>
    <w:rsid w:val="00B86B29"/>
    <w:rsid w:val="00B86E9A"/>
    <w:rsid w:val="00B87328"/>
    <w:rsid w:val="00B905F1"/>
    <w:rsid w:val="00B911B9"/>
    <w:rsid w:val="00B91534"/>
    <w:rsid w:val="00B927D6"/>
    <w:rsid w:val="00B92AFC"/>
    <w:rsid w:val="00B93522"/>
    <w:rsid w:val="00B93C0C"/>
    <w:rsid w:val="00B94DCC"/>
    <w:rsid w:val="00B950E2"/>
    <w:rsid w:val="00B962E7"/>
    <w:rsid w:val="00B9772A"/>
    <w:rsid w:val="00BA04D4"/>
    <w:rsid w:val="00BA0780"/>
    <w:rsid w:val="00BA27E7"/>
    <w:rsid w:val="00BA2C95"/>
    <w:rsid w:val="00BA3020"/>
    <w:rsid w:val="00BA391D"/>
    <w:rsid w:val="00BA3C3C"/>
    <w:rsid w:val="00BA40BA"/>
    <w:rsid w:val="00BA4119"/>
    <w:rsid w:val="00BA4921"/>
    <w:rsid w:val="00BA6BDC"/>
    <w:rsid w:val="00BB042D"/>
    <w:rsid w:val="00BB0823"/>
    <w:rsid w:val="00BB32EA"/>
    <w:rsid w:val="00BB55D2"/>
    <w:rsid w:val="00BB6064"/>
    <w:rsid w:val="00BB7B2B"/>
    <w:rsid w:val="00BB7D81"/>
    <w:rsid w:val="00BC03FA"/>
    <w:rsid w:val="00BC2793"/>
    <w:rsid w:val="00BC293B"/>
    <w:rsid w:val="00BC3047"/>
    <w:rsid w:val="00BC419C"/>
    <w:rsid w:val="00BC5F7E"/>
    <w:rsid w:val="00BD2444"/>
    <w:rsid w:val="00BD3939"/>
    <w:rsid w:val="00BD4D03"/>
    <w:rsid w:val="00BD6D56"/>
    <w:rsid w:val="00BE3E46"/>
    <w:rsid w:val="00BE3F22"/>
    <w:rsid w:val="00BE54B3"/>
    <w:rsid w:val="00BE72E6"/>
    <w:rsid w:val="00BE735D"/>
    <w:rsid w:val="00BF14C5"/>
    <w:rsid w:val="00BF30EE"/>
    <w:rsid w:val="00BF3D1C"/>
    <w:rsid w:val="00BF7CFA"/>
    <w:rsid w:val="00C0075C"/>
    <w:rsid w:val="00C00813"/>
    <w:rsid w:val="00C01C5B"/>
    <w:rsid w:val="00C01C91"/>
    <w:rsid w:val="00C02952"/>
    <w:rsid w:val="00C03157"/>
    <w:rsid w:val="00C03ED9"/>
    <w:rsid w:val="00C03F34"/>
    <w:rsid w:val="00C04293"/>
    <w:rsid w:val="00C047B6"/>
    <w:rsid w:val="00C101CF"/>
    <w:rsid w:val="00C11416"/>
    <w:rsid w:val="00C1684E"/>
    <w:rsid w:val="00C16AE4"/>
    <w:rsid w:val="00C16C5F"/>
    <w:rsid w:val="00C17E21"/>
    <w:rsid w:val="00C22389"/>
    <w:rsid w:val="00C23042"/>
    <w:rsid w:val="00C23C6A"/>
    <w:rsid w:val="00C24233"/>
    <w:rsid w:val="00C27032"/>
    <w:rsid w:val="00C30449"/>
    <w:rsid w:val="00C304F5"/>
    <w:rsid w:val="00C323AD"/>
    <w:rsid w:val="00C341C4"/>
    <w:rsid w:val="00C3454D"/>
    <w:rsid w:val="00C40093"/>
    <w:rsid w:val="00C4032B"/>
    <w:rsid w:val="00C4065D"/>
    <w:rsid w:val="00C41077"/>
    <w:rsid w:val="00C418F0"/>
    <w:rsid w:val="00C42B18"/>
    <w:rsid w:val="00C42EFD"/>
    <w:rsid w:val="00C44434"/>
    <w:rsid w:val="00C462FB"/>
    <w:rsid w:val="00C475CD"/>
    <w:rsid w:val="00C502E8"/>
    <w:rsid w:val="00C56E39"/>
    <w:rsid w:val="00C57AB7"/>
    <w:rsid w:val="00C60A87"/>
    <w:rsid w:val="00C619C7"/>
    <w:rsid w:val="00C61A74"/>
    <w:rsid w:val="00C62914"/>
    <w:rsid w:val="00C63913"/>
    <w:rsid w:val="00C6447D"/>
    <w:rsid w:val="00C64596"/>
    <w:rsid w:val="00C65944"/>
    <w:rsid w:val="00C66B54"/>
    <w:rsid w:val="00C711DE"/>
    <w:rsid w:val="00C713DD"/>
    <w:rsid w:val="00C71512"/>
    <w:rsid w:val="00C71B90"/>
    <w:rsid w:val="00C7379F"/>
    <w:rsid w:val="00C742CD"/>
    <w:rsid w:val="00C7550A"/>
    <w:rsid w:val="00C75DB8"/>
    <w:rsid w:val="00C7644A"/>
    <w:rsid w:val="00C771E6"/>
    <w:rsid w:val="00C80010"/>
    <w:rsid w:val="00C81FCE"/>
    <w:rsid w:val="00C82993"/>
    <w:rsid w:val="00C84414"/>
    <w:rsid w:val="00C84976"/>
    <w:rsid w:val="00C86D8E"/>
    <w:rsid w:val="00C8731A"/>
    <w:rsid w:val="00C907EC"/>
    <w:rsid w:val="00C90921"/>
    <w:rsid w:val="00C91092"/>
    <w:rsid w:val="00C911C3"/>
    <w:rsid w:val="00C913E6"/>
    <w:rsid w:val="00C959E4"/>
    <w:rsid w:val="00C95A48"/>
    <w:rsid w:val="00C95ABC"/>
    <w:rsid w:val="00C960AE"/>
    <w:rsid w:val="00C961DD"/>
    <w:rsid w:val="00C96827"/>
    <w:rsid w:val="00C978DF"/>
    <w:rsid w:val="00CA030C"/>
    <w:rsid w:val="00CA1ABE"/>
    <w:rsid w:val="00CA287E"/>
    <w:rsid w:val="00CA2E48"/>
    <w:rsid w:val="00CA3D4D"/>
    <w:rsid w:val="00CA6492"/>
    <w:rsid w:val="00CA66AF"/>
    <w:rsid w:val="00CA6AE1"/>
    <w:rsid w:val="00CB06B1"/>
    <w:rsid w:val="00CB1541"/>
    <w:rsid w:val="00CB20C3"/>
    <w:rsid w:val="00CB4F55"/>
    <w:rsid w:val="00CB5E4C"/>
    <w:rsid w:val="00CB7588"/>
    <w:rsid w:val="00CB7960"/>
    <w:rsid w:val="00CC014C"/>
    <w:rsid w:val="00CC22EA"/>
    <w:rsid w:val="00CC2B8E"/>
    <w:rsid w:val="00CC2F99"/>
    <w:rsid w:val="00CC2FC0"/>
    <w:rsid w:val="00CC33E1"/>
    <w:rsid w:val="00CC3564"/>
    <w:rsid w:val="00CC36E1"/>
    <w:rsid w:val="00CC38C7"/>
    <w:rsid w:val="00CC4C9C"/>
    <w:rsid w:val="00CC513A"/>
    <w:rsid w:val="00CC5C5C"/>
    <w:rsid w:val="00CD00BD"/>
    <w:rsid w:val="00CD0A46"/>
    <w:rsid w:val="00CD0CF3"/>
    <w:rsid w:val="00CD0E5B"/>
    <w:rsid w:val="00CD3F4A"/>
    <w:rsid w:val="00CD52EA"/>
    <w:rsid w:val="00CD6DCE"/>
    <w:rsid w:val="00CD6FA1"/>
    <w:rsid w:val="00CD76E9"/>
    <w:rsid w:val="00CE1707"/>
    <w:rsid w:val="00CE2A1C"/>
    <w:rsid w:val="00CE4011"/>
    <w:rsid w:val="00CE4388"/>
    <w:rsid w:val="00CE5D69"/>
    <w:rsid w:val="00CE5F4C"/>
    <w:rsid w:val="00CE63CF"/>
    <w:rsid w:val="00CE67CC"/>
    <w:rsid w:val="00CE7B8C"/>
    <w:rsid w:val="00CE7E91"/>
    <w:rsid w:val="00CF2F32"/>
    <w:rsid w:val="00CF3A39"/>
    <w:rsid w:val="00CF401D"/>
    <w:rsid w:val="00CF50E0"/>
    <w:rsid w:val="00CF5CBA"/>
    <w:rsid w:val="00CF677C"/>
    <w:rsid w:val="00CF694A"/>
    <w:rsid w:val="00D0021F"/>
    <w:rsid w:val="00D004A2"/>
    <w:rsid w:val="00D01139"/>
    <w:rsid w:val="00D01C2D"/>
    <w:rsid w:val="00D027A9"/>
    <w:rsid w:val="00D03049"/>
    <w:rsid w:val="00D0394F"/>
    <w:rsid w:val="00D0480F"/>
    <w:rsid w:val="00D0550B"/>
    <w:rsid w:val="00D067EA"/>
    <w:rsid w:val="00D06FD6"/>
    <w:rsid w:val="00D07C73"/>
    <w:rsid w:val="00D10BE8"/>
    <w:rsid w:val="00D112CE"/>
    <w:rsid w:val="00D114F5"/>
    <w:rsid w:val="00D119E1"/>
    <w:rsid w:val="00D11F3F"/>
    <w:rsid w:val="00D12B10"/>
    <w:rsid w:val="00D136C5"/>
    <w:rsid w:val="00D13DB6"/>
    <w:rsid w:val="00D140B9"/>
    <w:rsid w:val="00D15269"/>
    <w:rsid w:val="00D162D1"/>
    <w:rsid w:val="00D163D0"/>
    <w:rsid w:val="00D21729"/>
    <w:rsid w:val="00D2333E"/>
    <w:rsid w:val="00D24AD7"/>
    <w:rsid w:val="00D304C9"/>
    <w:rsid w:val="00D30891"/>
    <w:rsid w:val="00D32E55"/>
    <w:rsid w:val="00D34AFD"/>
    <w:rsid w:val="00D355BE"/>
    <w:rsid w:val="00D36AF3"/>
    <w:rsid w:val="00D40EED"/>
    <w:rsid w:val="00D413C9"/>
    <w:rsid w:val="00D417AC"/>
    <w:rsid w:val="00D418C4"/>
    <w:rsid w:val="00D42ED9"/>
    <w:rsid w:val="00D42F6A"/>
    <w:rsid w:val="00D43884"/>
    <w:rsid w:val="00D44ACA"/>
    <w:rsid w:val="00D4609D"/>
    <w:rsid w:val="00D46975"/>
    <w:rsid w:val="00D4772F"/>
    <w:rsid w:val="00D47921"/>
    <w:rsid w:val="00D515B2"/>
    <w:rsid w:val="00D51D64"/>
    <w:rsid w:val="00D52180"/>
    <w:rsid w:val="00D529BE"/>
    <w:rsid w:val="00D52E6A"/>
    <w:rsid w:val="00D53158"/>
    <w:rsid w:val="00D5514E"/>
    <w:rsid w:val="00D554EB"/>
    <w:rsid w:val="00D574F1"/>
    <w:rsid w:val="00D60785"/>
    <w:rsid w:val="00D61B09"/>
    <w:rsid w:val="00D624D7"/>
    <w:rsid w:val="00D627C1"/>
    <w:rsid w:val="00D64984"/>
    <w:rsid w:val="00D64F2F"/>
    <w:rsid w:val="00D65535"/>
    <w:rsid w:val="00D663A8"/>
    <w:rsid w:val="00D676F7"/>
    <w:rsid w:val="00D70490"/>
    <w:rsid w:val="00D70731"/>
    <w:rsid w:val="00D71E55"/>
    <w:rsid w:val="00D73721"/>
    <w:rsid w:val="00D73C4C"/>
    <w:rsid w:val="00D749D4"/>
    <w:rsid w:val="00D801E1"/>
    <w:rsid w:val="00D80697"/>
    <w:rsid w:val="00D819D6"/>
    <w:rsid w:val="00D828E9"/>
    <w:rsid w:val="00D8346F"/>
    <w:rsid w:val="00D83D4E"/>
    <w:rsid w:val="00D84428"/>
    <w:rsid w:val="00D84DDE"/>
    <w:rsid w:val="00D858E2"/>
    <w:rsid w:val="00D865A5"/>
    <w:rsid w:val="00D875FD"/>
    <w:rsid w:val="00D8785D"/>
    <w:rsid w:val="00D90682"/>
    <w:rsid w:val="00D91D01"/>
    <w:rsid w:val="00D92C2E"/>
    <w:rsid w:val="00D9493F"/>
    <w:rsid w:val="00D94D33"/>
    <w:rsid w:val="00DA004C"/>
    <w:rsid w:val="00DA22AD"/>
    <w:rsid w:val="00DA2D00"/>
    <w:rsid w:val="00DA441A"/>
    <w:rsid w:val="00DA54C5"/>
    <w:rsid w:val="00DA6BD0"/>
    <w:rsid w:val="00DB107E"/>
    <w:rsid w:val="00DB2A9F"/>
    <w:rsid w:val="00DB3533"/>
    <w:rsid w:val="00DB35FA"/>
    <w:rsid w:val="00DB531B"/>
    <w:rsid w:val="00DB7139"/>
    <w:rsid w:val="00DB7DBA"/>
    <w:rsid w:val="00DC1071"/>
    <w:rsid w:val="00DC10AB"/>
    <w:rsid w:val="00DC260A"/>
    <w:rsid w:val="00DC2AFD"/>
    <w:rsid w:val="00DC2DD2"/>
    <w:rsid w:val="00DC3CDC"/>
    <w:rsid w:val="00DC3FF0"/>
    <w:rsid w:val="00DC4678"/>
    <w:rsid w:val="00DC54F0"/>
    <w:rsid w:val="00DC59C9"/>
    <w:rsid w:val="00DC5E1D"/>
    <w:rsid w:val="00DC6CED"/>
    <w:rsid w:val="00DC74DB"/>
    <w:rsid w:val="00DC7616"/>
    <w:rsid w:val="00DC76B2"/>
    <w:rsid w:val="00DD021A"/>
    <w:rsid w:val="00DD04E2"/>
    <w:rsid w:val="00DD0A30"/>
    <w:rsid w:val="00DD0BE5"/>
    <w:rsid w:val="00DD22BD"/>
    <w:rsid w:val="00DD5918"/>
    <w:rsid w:val="00DD5AD4"/>
    <w:rsid w:val="00DD6C39"/>
    <w:rsid w:val="00DE0932"/>
    <w:rsid w:val="00DE17EE"/>
    <w:rsid w:val="00DE2347"/>
    <w:rsid w:val="00DE515A"/>
    <w:rsid w:val="00DE6340"/>
    <w:rsid w:val="00DE6AA9"/>
    <w:rsid w:val="00DE6EA7"/>
    <w:rsid w:val="00DE746F"/>
    <w:rsid w:val="00DE7A01"/>
    <w:rsid w:val="00DF078A"/>
    <w:rsid w:val="00DF0991"/>
    <w:rsid w:val="00DF1307"/>
    <w:rsid w:val="00DF363B"/>
    <w:rsid w:val="00DF48EE"/>
    <w:rsid w:val="00DF59C3"/>
    <w:rsid w:val="00DF678A"/>
    <w:rsid w:val="00E03197"/>
    <w:rsid w:val="00E053DA"/>
    <w:rsid w:val="00E057AA"/>
    <w:rsid w:val="00E06AD0"/>
    <w:rsid w:val="00E06EDC"/>
    <w:rsid w:val="00E075DD"/>
    <w:rsid w:val="00E10225"/>
    <w:rsid w:val="00E103B2"/>
    <w:rsid w:val="00E119B1"/>
    <w:rsid w:val="00E11C9F"/>
    <w:rsid w:val="00E135A9"/>
    <w:rsid w:val="00E15600"/>
    <w:rsid w:val="00E17AF8"/>
    <w:rsid w:val="00E20331"/>
    <w:rsid w:val="00E2053A"/>
    <w:rsid w:val="00E2156C"/>
    <w:rsid w:val="00E217CF"/>
    <w:rsid w:val="00E21DD8"/>
    <w:rsid w:val="00E2498D"/>
    <w:rsid w:val="00E24AAC"/>
    <w:rsid w:val="00E2608C"/>
    <w:rsid w:val="00E263EC"/>
    <w:rsid w:val="00E274A8"/>
    <w:rsid w:val="00E27EEE"/>
    <w:rsid w:val="00E30861"/>
    <w:rsid w:val="00E30CBC"/>
    <w:rsid w:val="00E31701"/>
    <w:rsid w:val="00E32B5B"/>
    <w:rsid w:val="00E32FA8"/>
    <w:rsid w:val="00E33C6C"/>
    <w:rsid w:val="00E34258"/>
    <w:rsid w:val="00E3468B"/>
    <w:rsid w:val="00E36DC7"/>
    <w:rsid w:val="00E4051D"/>
    <w:rsid w:val="00E40888"/>
    <w:rsid w:val="00E41773"/>
    <w:rsid w:val="00E41F1C"/>
    <w:rsid w:val="00E45647"/>
    <w:rsid w:val="00E461B2"/>
    <w:rsid w:val="00E46D75"/>
    <w:rsid w:val="00E46F0C"/>
    <w:rsid w:val="00E50288"/>
    <w:rsid w:val="00E5057A"/>
    <w:rsid w:val="00E50B3A"/>
    <w:rsid w:val="00E51C9D"/>
    <w:rsid w:val="00E51DA0"/>
    <w:rsid w:val="00E523F5"/>
    <w:rsid w:val="00E57366"/>
    <w:rsid w:val="00E5787F"/>
    <w:rsid w:val="00E57C61"/>
    <w:rsid w:val="00E600B5"/>
    <w:rsid w:val="00E601BB"/>
    <w:rsid w:val="00E61326"/>
    <w:rsid w:val="00E61889"/>
    <w:rsid w:val="00E62BA6"/>
    <w:rsid w:val="00E64740"/>
    <w:rsid w:val="00E64A9C"/>
    <w:rsid w:val="00E65082"/>
    <w:rsid w:val="00E6536D"/>
    <w:rsid w:val="00E65423"/>
    <w:rsid w:val="00E65F0F"/>
    <w:rsid w:val="00E6724A"/>
    <w:rsid w:val="00E67345"/>
    <w:rsid w:val="00E73B19"/>
    <w:rsid w:val="00E74DFB"/>
    <w:rsid w:val="00E76B22"/>
    <w:rsid w:val="00E76BDB"/>
    <w:rsid w:val="00E76E44"/>
    <w:rsid w:val="00E77679"/>
    <w:rsid w:val="00E806F1"/>
    <w:rsid w:val="00E81CE9"/>
    <w:rsid w:val="00E82E0C"/>
    <w:rsid w:val="00E831A1"/>
    <w:rsid w:val="00E8717C"/>
    <w:rsid w:val="00E90177"/>
    <w:rsid w:val="00E901FE"/>
    <w:rsid w:val="00E9046F"/>
    <w:rsid w:val="00E90704"/>
    <w:rsid w:val="00E90D72"/>
    <w:rsid w:val="00E913A7"/>
    <w:rsid w:val="00E918BB"/>
    <w:rsid w:val="00E91B47"/>
    <w:rsid w:val="00E923BB"/>
    <w:rsid w:val="00E94BA3"/>
    <w:rsid w:val="00E953E9"/>
    <w:rsid w:val="00E9560A"/>
    <w:rsid w:val="00E96790"/>
    <w:rsid w:val="00E979AE"/>
    <w:rsid w:val="00EA2C28"/>
    <w:rsid w:val="00EA408A"/>
    <w:rsid w:val="00EA4236"/>
    <w:rsid w:val="00EB0257"/>
    <w:rsid w:val="00EB1076"/>
    <w:rsid w:val="00EB15D9"/>
    <w:rsid w:val="00EB1ACC"/>
    <w:rsid w:val="00EB2E97"/>
    <w:rsid w:val="00EB4815"/>
    <w:rsid w:val="00EB57F1"/>
    <w:rsid w:val="00EB5D58"/>
    <w:rsid w:val="00EB7774"/>
    <w:rsid w:val="00EB7923"/>
    <w:rsid w:val="00EC0EDF"/>
    <w:rsid w:val="00EC2254"/>
    <w:rsid w:val="00EC49B8"/>
    <w:rsid w:val="00EC4C46"/>
    <w:rsid w:val="00EC4D7B"/>
    <w:rsid w:val="00EC5544"/>
    <w:rsid w:val="00EC625F"/>
    <w:rsid w:val="00ED001D"/>
    <w:rsid w:val="00ED06C2"/>
    <w:rsid w:val="00ED070F"/>
    <w:rsid w:val="00ED0981"/>
    <w:rsid w:val="00ED0D65"/>
    <w:rsid w:val="00ED1EF4"/>
    <w:rsid w:val="00ED6D4A"/>
    <w:rsid w:val="00ED7B49"/>
    <w:rsid w:val="00EE10B1"/>
    <w:rsid w:val="00EE19EB"/>
    <w:rsid w:val="00EE209B"/>
    <w:rsid w:val="00EE655B"/>
    <w:rsid w:val="00EE7F51"/>
    <w:rsid w:val="00EF0011"/>
    <w:rsid w:val="00EF135B"/>
    <w:rsid w:val="00EF396D"/>
    <w:rsid w:val="00EF407F"/>
    <w:rsid w:val="00EF5E10"/>
    <w:rsid w:val="00EF6E80"/>
    <w:rsid w:val="00F024A3"/>
    <w:rsid w:val="00F0463D"/>
    <w:rsid w:val="00F04966"/>
    <w:rsid w:val="00F05D7C"/>
    <w:rsid w:val="00F064B7"/>
    <w:rsid w:val="00F069E7"/>
    <w:rsid w:val="00F06FFD"/>
    <w:rsid w:val="00F11471"/>
    <w:rsid w:val="00F118B0"/>
    <w:rsid w:val="00F14B33"/>
    <w:rsid w:val="00F152D5"/>
    <w:rsid w:val="00F214A8"/>
    <w:rsid w:val="00F21B8A"/>
    <w:rsid w:val="00F224D6"/>
    <w:rsid w:val="00F228C6"/>
    <w:rsid w:val="00F234D7"/>
    <w:rsid w:val="00F23CA0"/>
    <w:rsid w:val="00F2595B"/>
    <w:rsid w:val="00F25D95"/>
    <w:rsid w:val="00F25E0A"/>
    <w:rsid w:val="00F2616A"/>
    <w:rsid w:val="00F27556"/>
    <w:rsid w:val="00F27F90"/>
    <w:rsid w:val="00F31843"/>
    <w:rsid w:val="00F33A5B"/>
    <w:rsid w:val="00F33C1B"/>
    <w:rsid w:val="00F35CA0"/>
    <w:rsid w:val="00F35DC3"/>
    <w:rsid w:val="00F367C8"/>
    <w:rsid w:val="00F36FBE"/>
    <w:rsid w:val="00F36FE7"/>
    <w:rsid w:val="00F3796C"/>
    <w:rsid w:val="00F37C86"/>
    <w:rsid w:val="00F4389D"/>
    <w:rsid w:val="00F45538"/>
    <w:rsid w:val="00F47840"/>
    <w:rsid w:val="00F5164B"/>
    <w:rsid w:val="00F53D7D"/>
    <w:rsid w:val="00F55618"/>
    <w:rsid w:val="00F556C2"/>
    <w:rsid w:val="00F5623C"/>
    <w:rsid w:val="00F577F9"/>
    <w:rsid w:val="00F5781A"/>
    <w:rsid w:val="00F579C8"/>
    <w:rsid w:val="00F61258"/>
    <w:rsid w:val="00F61A82"/>
    <w:rsid w:val="00F61B9B"/>
    <w:rsid w:val="00F6307B"/>
    <w:rsid w:val="00F63819"/>
    <w:rsid w:val="00F64103"/>
    <w:rsid w:val="00F65DF6"/>
    <w:rsid w:val="00F70006"/>
    <w:rsid w:val="00F7081A"/>
    <w:rsid w:val="00F713DD"/>
    <w:rsid w:val="00F71609"/>
    <w:rsid w:val="00F71969"/>
    <w:rsid w:val="00F72FE0"/>
    <w:rsid w:val="00F73196"/>
    <w:rsid w:val="00F753CC"/>
    <w:rsid w:val="00F77036"/>
    <w:rsid w:val="00F805CE"/>
    <w:rsid w:val="00F8099C"/>
    <w:rsid w:val="00F81DC9"/>
    <w:rsid w:val="00F82A66"/>
    <w:rsid w:val="00F845BB"/>
    <w:rsid w:val="00F848CF"/>
    <w:rsid w:val="00F85155"/>
    <w:rsid w:val="00F85D59"/>
    <w:rsid w:val="00F85D6F"/>
    <w:rsid w:val="00F87171"/>
    <w:rsid w:val="00F95349"/>
    <w:rsid w:val="00F96B22"/>
    <w:rsid w:val="00F973BB"/>
    <w:rsid w:val="00F97BC6"/>
    <w:rsid w:val="00FA2279"/>
    <w:rsid w:val="00FA3019"/>
    <w:rsid w:val="00FA3FA4"/>
    <w:rsid w:val="00FA4C11"/>
    <w:rsid w:val="00FA6383"/>
    <w:rsid w:val="00FA63DA"/>
    <w:rsid w:val="00FA649F"/>
    <w:rsid w:val="00FA7CD9"/>
    <w:rsid w:val="00FB0A82"/>
    <w:rsid w:val="00FB11D2"/>
    <w:rsid w:val="00FB1907"/>
    <w:rsid w:val="00FB1938"/>
    <w:rsid w:val="00FB1B42"/>
    <w:rsid w:val="00FB2922"/>
    <w:rsid w:val="00FB3A52"/>
    <w:rsid w:val="00FB3D85"/>
    <w:rsid w:val="00FB6D1D"/>
    <w:rsid w:val="00FB6FA4"/>
    <w:rsid w:val="00FB7369"/>
    <w:rsid w:val="00FB792E"/>
    <w:rsid w:val="00FC2233"/>
    <w:rsid w:val="00FC241A"/>
    <w:rsid w:val="00FC2952"/>
    <w:rsid w:val="00FC5D86"/>
    <w:rsid w:val="00FC62B3"/>
    <w:rsid w:val="00FC76BA"/>
    <w:rsid w:val="00FC7C4A"/>
    <w:rsid w:val="00FD16B0"/>
    <w:rsid w:val="00FD5BCA"/>
    <w:rsid w:val="00FD6987"/>
    <w:rsid w:val="00FD6E15"/>
    <w:rsid w:val="00FD7677"/>
    <w:rsid w:val="00FE0BD5"/>
    <w:rsid w:val="00FE0EDA"/>
    <w:rsid w:val="00FE15B6"/>
    <w:rsid w:val="00FE268E"/>
    <w:rsid w:val="00FE300D"/>
    <w:rsid w:val="00FE3838"/>
    <w:rsid w:val="00FE410F"/>
    <w:rsid w:val="00FE4A2D"/>
    <w:rsid w:val="00FE4BEB"/>
    <w:rsid w:val="00FE6208"/>
    <w:rsid w:val="00FE6681"/>
    <w:rsid w:val="00FF0098"/>
    <w:rsid w:val="00FF30E2"/>
    <w:rsid w:val="00FF39C5"/>
    <w:rsid w:val="00FF5BDA"/>
    <w:rsid w:val="00FF6838"/>
    <w:rsid w:val="00FF7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AD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Title"/>
    <w:next w:val="Normal"/>
    <w:link w:val="Heading2Char"/>
    <w:uiPriority w:val="9"/>
    <w:qFormat/>
    <w:rsid w:val="00715FE5"/>
    <w:pPr>
      <w:jc w:val="left"/>
      <w:outlineLvl w:val="1"/>
    </w:pPr>
    <w:rPr>
      <w:sz w:val="40"/>
      <w:szCs w:val="40"/>
    </w:rPr>
  </w:style>
  <w:style w:type="paragraph" w:styleId="Heading3">
    <w:name w:val="heading 3"/>
    <w:basedOn w:val="Title"/>
    <w:next w:val="Normal"/>
    <w:link w:val="Heading3Char"/>
    <w:qFormat/>
    <w:rsid w:val="00715FE5"/>
    <w:pPr>
      <w:jc w:val="left"/>
      <w:outlineLvl w:val="2"/>
    </w:pPr>
    <w:rPr>
      <w:sz w:val="32"/>
      <w:szCs w:val="32"/>
    </w:rPr>
  </w:style>
  <w:style w:type="paragraph" w:styleId="Heading4">
    <w:name w:val="heading 4"/>
    <w:basedOn w:val="Heading3"/>
    <w:next w:val="Normal"/>
    <w:link w:val="Heading4Char"/>
    <w:qFormat/>
    <w:rsid w:val="00715FE5"/>
    <w:pPr>
      <w:outlineLvl w:val="3"/>
    </w:pPr>
    <w:rPr>
      <w:color w:val="404040" w:themeColor="text1" w:themeTint="BF"/>
    </w:rPr>
  </w:style>
  <w:style w:type="paragraph" w:styleId="Heading5">
    <w:name w:val="heading 5"/>
    <w:basedOn w:val="Normal"/>
    <w:next w:val="Normal"/>
    <w:link w:val="Heading5Char"/>
    <w:qFormat/>
    <w:rsid w:val="00373467"/>
    <w:pPr>
      <w:outlineLvl w:val="4"/>
    </w:pPr>
    <w:rPr>
      <w:b/>
      <w:bCs/>
      <w:i/>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link w:val="FooterChar"/>
    <w:uiPriority w:val="99"/>
    <w:qFormat/>
    <w:rsid w:val="006A1A29"/>
    <w:pPr>
      <w:tabs>
        <w:tab w:val="center" w:pos="4819"/>
        <w:tab w:val="right" w:pos="9639"/>
      </w:tabs>
    </w:pPr>
  </w:style>
  <w:style w:type="paragraph" w:styleId="Header">
    <w:name w:val="header"/>
    <w:basedOn w:val="Normal"/>
    <w:link w:val="HeaderChar"/>
    <w:uiPriority w:val="99"/>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D59F6"/>
    <w:rPr>
      <w:rFonts w:asciiTheme="minorHAnsi" w:hAnsiTheme="minorHAnsi"/>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uiPriority w:val="99"/>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D59F6"/>
    <w:rPr>
      <w:rFonts w:asciiTheme="minorHAnsi" w:hAnsiTheme="minorHAnsi"/>
      <w:b w:val="0"/>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paragraph" w:styleId="ListParagraph">
    <w:name w:val="List Paragraph"/>
    <w:basedOn w:val="Normal"/>
    <w:uiPriority w:val="34"/>
    <w:qFormat/>
    <w:rsid w:val="0007183E"/>
    <w:pPr>
      <w:widowControl w:val="0"/>
      <w:spacing w:after="0"/>
    </w:pPr>
    <w:rPr>
      <w:rFonts w:asciiTheme="minorHAnsi" w:eastAsiaTheme="minorHAnsi" w:hAnsiTheme="minorHAnsi" w:cstheme="minorBidi"/>
      <w:szCs w:val="22"/>
      <w:lang w:val="en-US" w:eastAsia="en-US"/>
    </w:rPr>
  </w:style>
  <w:style w:type="paragraph" w:customStyle="1" w:styleId="Bullet">
    <w:name w:val="Bullet"/>
    <w:basedOn w:val="Normal"/>
    <w:link w:val="BulletChar"/>
    <w:rsid w:val="001C1D7F"/>
    <w:pPr>
      <w:numPr>
        <w:numId w:val="2"/>
      </w:numPr>
    </w:pPr>
  </w:style>
  <w:style w:type="character" w:customStyle="1" w:styleId="BulletChar">
    <w:name w:val="Bullet Char"/>
    <w:basedOn w:val="DefaultParagraphFont"/>
    <w:link w:val="Bullet"/>
    <w:rsid w:val="001C1D7F"/>
    <w:rPr>
      <w:rFonts w:ascii="Calibri" w:hAnsi="Calibri"/>
      <w:sz w:val="22"/>
    </w:rPr>
  </w:style>
  <w:style w:type="paragraph" w:customStyle="1" w:styleId="Dash">
    <w:name w:val="Dash"/>
    <w:basedOn w:val="Normal"/>
    <w:link w:val="DashChar"/>
    <w:rsid w:val="001C1D7F"/>
    <w:pPr>
      <w:numPr>
        <w:ilvl w:val="1"/>
        <w:numId w:val="2"/>
      </w:numPr>
    </w:pPr>
  </w:style>
  <w:style w:type="character" w:customStyle="1" w:styleId="DashChar">
    <w:name w:val="Dash Char"/>
    <w:basedOn w:val="DefaultParagraphFont"/>
    <w:link w:val="Dash"/>
    <w:rsid w:val="001C1D7F"/>
    <w:rPr>
      <w:rFonts w:ascii="Calibri" w:hAnsi="Calibri"/>
      <w:sz w:val="22"/>
    </w:rPr>
  </w:style>
  <w:style w:type="paragraph" w:customStyle="1" w:styleId="DoubleDot">
    <w:name w:val="Double Dot"/>
    <w:basedOn w:val="Normal"/>
    <w:link w:val="DoubleDotChar"/>
    <w:rsid w:val="001C1D7F"/>
    <w:pPr>
      <w:numPr>
        <w:ilvl w:val="2"/>
        <w:numId w:val="2"/>
      </w:numPr>
    </w:pPr>
  </w:style>
  <w:style w:type="character" w:customStyle="1" w:styleId="DoubleDotChar">
    <w:name w:val="Double Dot Char"/>
    <w:basedOn w:val="DefaultParagraphFont"/>
    <w:link w:val="DoubleDot"/>
    <w:rsid w:val="001C1D7F"/>
    <w:rPr>
      <w:rFonts w:ascii="Calibri" w:hAnsi="Calibri"/>
      <w:sz w:val="22"/>
    </w:rPr>
  </w:style>
  <w:style w:type="paragraph" w:customStyle="1" w:styleId="TableText">
    <w:name w:val="TableText"/>
    <w:basedOn w:val="Normal"/>
    <w:qFormat/>
    <w:rsid w:val="00A11763"/>
    <w:pPr>
      <w:spacing w:before="120" w:after="120"/>
    </w:pPr>
    <w:rPr>
      <w:rFonts w:ascii="Arial" w:eastAsiaTheme="majorEastAsia" w:hAnsi="Arial" w:cs="Arial"/>
      <w:bCs/>
      <w:sz w:val="20"/>
      <w:lang w:eastAsia="en-US"/>
    </w:rPr>
  </w:style>
  <w:style w:type="table" w:styleId="LightGrid-Accent2">
    <w:name w:val="Light Grid Accent 2"/>
    <w:basedOn w:val="TableNormal"/>
    <w:uiPriority w:val="62"/>
    <w:semiHidden/>
    <w:unhideWhenUsed/>
    <w:rsid w:val="00A11763"/>
    <w:rPr>
      <w:rFonts w:asciiTheme="minorHAnsi" w:eastAsiaTheme="minorEastAsia" w:hAnsiTheme="minorHAnsi" w:cstheme="minorBidi"/>
      <w:sz w:val="24"/>
      <w:szCs w:val="24"/>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OutlineNumbered1">
    <w:name w:val="Outline Numbered 1"/>
    <w:basedOn w:val="Normal"/>
    <w:link w:val="OutlineNumbered1Char"/>
    <w:rsid w:val="000C6C0A"/>
    <w:pPr>
      <w:numPr>
        <w:numId w:val="3"/>
      </w:numPr>
    </w:pPr>
  </w:style>
  <w:style w:type="character" w:customStyle="1" w:styleId="OutlineNumbered1Char">
    <w:name w:val="Outline Numbered 1 Char"/>
    <w:basedOn w:val="BulletChar"/>
    <w:link w:val="OutlineNumbered1"/>
    <w:rsid w:val="000C6C0A"/>
    <w:rPr>
      <w:rFonts w:ascii="Calibri" w:hAnsi="Calibri"/>
      <w:sz w:val="22"/>
    </w:rPr>
  </w:style>
  <w:style w:type="paragraph" w:customStyle="1" w:styleId="OutlineNumbered2">
    <w:name w:val="Outline Numbered 2"/>
    <w:basedOn w:val="Normal"/>
    <w:link w:val="OutlineNumbered2Char"/>
    <w:rsid w:val="000C6C0A"/>
    <w:pPr>
      <w:numPr>
        <w:ilvl w:val="1"/>
        <w:numId w:val="3"/>
      </w:numPr>
    </w:pPr>
  </w:style>
  <w:style w:type="character" w:customStyle="1" w:styleId="OutlineNumbered2Char">
    <w:name w:val="Outline Numbered 2 Char"/>
    <w:basedOn w:val="BulletChar"/>
    <w:link w:val="OutlineNumbered2"/>
    <w:rsid w:val="000C6C0A"/>
    <w:rPr>
      <w:rFonts w:ascii="Calibri" w:hAnsi="Calibri"/>
      <w:sz w:val="22"/>
    </w:rPr>
  </w:style>
  <w:style w:type="paragraph" w:customStyle="1" w:styleId="OutlineNumbered3">
    <w:name w:val="Outline Numbered 3"/>
    <w:basedOn w:val="Normal"/>
    <w:link w:val="OutlineNumbered3Char"/>
    <w:rsid w:val="000C6C0A"/>
    <w:pPr>
      <w:numPr>
        <w:ilvl w:val="2"/>
        <w:numId w:val="3"/>
      </w:numPr>
    </w:pPr>
  </w:style>
  <w:style w:type="character" w:customStyle="1" w:styleId="OutlineNumbered3Char">
    <w:name w:val="Outline Numbered 3 Char"/>
    <w:basedOn w:val="BulletChar"/>
    <w:link w:val="OutlineNumbered3"/>
    <w:rsid w:val="000C6C0A"/>
    <w:rPr>
      <w:rFonts w:ascii="Calibri" w:hAnsi="Calibri"/>
      <w:sz w:val="22"/>
    </w:rPr>
  </w:style>
  <w:style w:type="character" w:styleId="CommentReference">
    <w:name w:val="annotation reference"/>
    <w:basedOn w:val="DefaultParagraphFont"/>
    <w:semiHidden/>
    <w:unhideWhenUsed/>
    <w:rsid w:val="00EB4815"/>
    <w:rPr>
      <w:sz w:val="16"/>
      <w:szCs w:val="16"/>
    </w:rPr>
  </w:style>
  <w:style w:type="paragraph" w:styleId="CommentText">
    <w:name w:val="annotation text"/>
    <w:basedOn w:val="Normal"/>
    <w:link w:val="CommentTextChar"/>
    <w:unhideWhenUsed/>
    <w:rsid w:val="00EB4815"/>
    <w:rPr>
      <w:sz w:val="20"/>
    </w:rPr>
  </w:style>
  <w:style w:type="character" w:customStyle="1" w:styleId="CommentTextChar">
    <w:name w:val="Comment Text Char"/>
    <w:basedOn w:val="DefaultParagraphFont"/>
    <w:link w:val="CommentText"/>
    <w:rsid w:val="00EB4815"/>
    <w:rPr>
      <w:rFonts w:ascii="Calibri" w:hAnsi="Calibri"/>
    </w:rPr>
  </w:style>
  <w:style w:type="paragraph" w:styleId="CommentSubject">
    <w:name w:val="annotation subject"/>
    <w:basedOn w:val="CommentText"/>
    <w:next w:val="CommentText"/>
    <w:link w:val="CommentSubjectChar"/>
    <w:semiHidden/>
    <w:unhideWhenUsed/>
    <w:rsid w:val="00EB4815"/>
    <w:rPr>
      <w:b/>
      <w:bCs/>
    </w:rPr>
  </w:style>
  <w:style w:type="character" w:customStyle="1" w:styleId="CommentSubjectChar">
    <w:name w:val="Comment Subject Char"/>
    <w:basedOn w:val="CommentTextChar"/>
    <w:link w:val="CommentSubject"/>
    <w:semiHidden/>
    <w:rsid w:val="00EB4815"/>
    <w:rPr>
      <w:rFonts w:ascii="Calibri" w:hAnsi="Calibri"/>
      <w:b/>
      <w:bCs/>
    </w:rPr>
  </w:style>
  <w:style w:type="paragraph" w:styleId="Revision">
    <w:name w:val="Revision"/>
    <w:hidden/>
    <w:uiPriority w:val="99"/>
    <w:semiHidden/>
    <w:rsid w:val="0059481D"/>
    <w:rPr>
      <w:rFonts w:ascii="Calibri" w:hAnsi="Calibri"/>
      <w:sz w:val="22"/>
    </w:rPr>
  </w:style>
  <w:style w:type="table" w:styleId="PlainTable1">
    <w:name w:val="Plain Table 1"/>
    <w:basedOn w:val="TableNormal"/>
    <w:uiPriority w:val="41"/>
    <w:rsid w:val="003167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nhideWhenUsed/>
    <w:rsid w:val="00803DD6"/>
    <w:pPr>
      <w:spacing w:after="0"/>
    </w:pPr>
    <w:rPr>
      <w:sz w:val="20"/>
    </w:rPr>
  </w:style>
  <w:style w:type="character" w:customStyle="1" w:styleId="FootnoteTextChar">
    <w:name w:val="Footnote Text Char"/>
    <w:basedOn w:val="DefaultParagraphFont"/>
    <w:link w:val="FootnoteText"/>
    <w:rsid w:val="00803DD6"/>
    <w:rPr>
      <w:rFonts w:ascii="Calibri" w:hAnsi="Calibri"/>
    </w:rPr>
  </w:style>
  <w:style w:type="character" w:styleId="FootnoteReference">
    <w:name w:val="footnote reference"/>
    <w:basedOn w:val="DefaultParagraphFont"/>
    <w:semiHidden/>
    <w:unhideWhenUsed/>
    <w:rsid w:val="00803DD6"/>
    <w:rPr>
      <w:vertAlign w:val="superscript"/>
    </w:rPr>
  </w:style>
  <w:style w:type="character" w:customStyle="1" w:styleId="HeaderChar">
    <w:name w:val="Header Char"/>
    <w:basedOn w:val="DefaultParagraphFont"/>
    <w:link w:val="Header"/>
    <w:uiPriority w:val="99"/>
    <w:rsid w:val="00B6295B"/>
    <w:rPr>
      <w:rFonts w:ascii="Calibri" w:hAnsi="Calibri"/>
      <w:b/>
      <w:sz w:val="22"/>
    </w:rPr>
  </w:style>
  <w:style w:type="paragraph" w:styleId="BodyText">
    <w:name w:val="Body Text"/>
    <w:basedOn w:val="Normal"/>
    <w:link w:val="BodyTextChar"/>
    <w:uiPriority w:val="99"/>
    <w:unhideWhenUsed/>
    <w:rsid w:val="00B6295B"/>
    <w:pPr>
      <w:spacing w:before="240" w:after="0" w:line="300" w:lineRule="exact"/>
      <w:jc w:val="both"/>
    </w:pPr>
    <w:rPr>
      <w:rFonts w:ascii="Times New Roman" w:hAnsi="Times New Roman"/>
      <w:sz w:val="24"/>
    </w:rPr>
  </w:style>
  <w:style w:type="character" w:customStyle="1" w:styleId="BodyTextChar">
    <w:name w:val="Body Text Char"/>
    <w:basedOn w:val="DefaultParagraphFont"/>
    <w:link w:val="BodyText"/>
    <w:uiPriority w:val="99"/>
    <w:rsid w:val="00B6295B"/>
    <w:rPr>
      <w:sz w:val="24"/>
    </w:rPr>
  </w:style>
  <w:style w:type="paragraph" w:customStyle="1" w:styleId="TableName">
    <w:name w:val="TableName"/>
    <w:basedOn w:val="Normal"/>
    <w:qFormat/>
    <w:rsid w:val="00B6295B"/>
    <w:pPr>
      <w:keepNext/>
      <w:spacing w:after="120"/>
    </w:pPr>
    <w:rPr>
      <w:rFonts w:ascii="Arial" w:eastAsiaTheme="minorEastAsia" w:hAnsi="Arial" w:cs="Arial"/>
      <w:szCs w:val="22"/>
      <w:lang w:eastAsia="en-US"/>
    </w:rPr>
  </w:style>
  <w:style w:type="paragraph" w:styleId="NormalWeb">
    <w:name w:val="Normal (Web)"/>
    <w:basedOn w:val="Normal"/>
    <w:uiPriority w:val="99"/>
    <w:unhideWhenUsed/>
    <w:rsid w:val="00B8732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sid w:val="00A05A71"/>
    <w:rPr>
      <w:color w:val="800080" w:themeColor="followedHyperlink"/>
      <w:u w:val="single"/>
    </w:rPr>
  </w:style>
  <w:style w:type="paragraph" w:customStyle="1" w:styleId="Default">
    <w:name w:val="Default"/>
    <w:rsid w:val="0042713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986C15"/>
    <w:pPr>
      <w:spacing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986C15"/>
    <w:rPr>
      <w:rFonts w:ascii="Calibri" w:eastAsiaTheme="majorEastAsia" w:hAnsi="Calibri" w:cstheme="majorBidi"/>
      <w:b/>
      <w:color w:val="004A7F"/>
      <w:spacing w:val="5"/>
      <w:kern w:val="28"/>
      <w:sz w:val="72"/>
      <w:szCs w:val="52"/>
    </w:rPr>
  </w:style>
  <w:style w:type="paragraph" w:styleId="Subtitle">
    <w:name w:val="Subtitle"/>
    <w:basedOn w:val="Normal"/>
    <w:next w:val="Normal"/>
    <w:link w:val="SubtitleChar"/>
    <w:uiPriority w:val="11"/>
    <w:qFormat/>
    <w:rsid w:val="00986C15"/>
    <w:pPr>
      <w:numPr>
        <w:ilvl w:val="1"/>
      </w:numPr>
      <w:spacing w:before="120" w:after="120"/>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986C15"/>
    <w:rPr>
      <w:rFonts w:ascii="Calibri" w:eastAsiaTheme="majorEastAsia" w:hAnsi="Calibri" w:cstheme="majorBidi"/>
      <w:iCs/>
      <w:color w:val="7F7F7F" w:themeColor="text1" w:themeTint="80"/>
      <w:sz w:val="44"/>
      <w:szCs w:val="44"/>
    </w:rPr>
  </w:style>
  <w:style w:type="character" w:styleId="SubtleEmphasis">
    <w:name w:val="Subtle Emphasis"/>
    <w:basedOn w:val="DefaultParagraphFont"/>
    <w:uiPriority w:val="19"/>
    <w:qFormat/>
    <w:rsid w:val="00300773"/>
    <w:rPr>
      <w:i/>
      <w:iCs/>
      <w:color w:val="404040" w:themeColor="text1" w:themeTint="BF"/>
    </w:rPr>
  </w:style>
  <w:style w:type="character" w:customStyle="1" w:styleId="FooterChar">
    <w:name w:val="Footer Char"/>
    <w:basedOn w:val="DefaultParagraphFont"/>
    <w:link w:val="Footer"/>
    <w:uiPriority w:val="99"/>
    <w:rsid w:val="00EC4C46"/>
    <w:rPr>
      <w:rFonts w:ascii="Calibri" w:hAnsi="Calibri"/>
      <w:sz w:val="22"/>
    </w:rPr>
  </w:style>
  <w:style w:type="character" w:customStyle="1" w:styleId="UnresolvedMention">
    <w:name w:val="Unresolved Mention"/>
    <w:basedOn w:val="DefaultParagraphFont"/>
    <w:uiPriority w:val="99"/>
    <w:semiHidden/>
    <w:unhideWhenUsed/>
    <w:rsid w:val="004A7546"/>
    <w:rPr>
      <w:color w:val="605E5C"/>
      <w:shd w:val="clear" w:color="auto" w:fill="E1DFDD"/>
    </w:rPr>
  </w:style>
  <w:style w:type="character" w:customStyle="1" w:styleId="Heading2Char">
    <w:name w:val="Heading 2 Char"/>
    <w:basedOn w:val="DefaultParagraphFont"/>
    <w:link w:val="Heading2"/>
    <w:uiPriority w:val="9"/>
    <w:rsid w:val="00715FE5"/>
    <w:rPr>
      <w:rFonts w:ascii="Calibri" w:eastAsiaTheme="majorEastAsia" w:hAnsi="Calibri" w:cstheme="majorBidi"/>
      <w:b/>
      <w:color w:val="004A7F"/>
      <w:spacing w:val="5"/>
      <w:kern w:val="28"/>
      <w:sz w:val="40"/>
      <w:szCs w:val="40"/>
    </w:rPr>
  </w:style>
  <w:style w:type="paragraph" w:customStyle="1" w:styleId="base-text-paragraph">
    <w:name w:val="base-text-paragraph"/>
    <w:rsid w:val="00250453"/>
    <w:pPr>
      <w:tabs>
        <w:tab w:val="left" w:pos="1987"/>
      </w:tabs>
      <w:spacing w:before="120" w:after="120"/>
      <w:ind w:left="1140"/>
    </w:pPr>
    <w:rPr>
      <w:sz w:val="24"/>
    </w:rPr>
  </w:style>
  <w:style w:type="paragraph" w:styleId="NoSpacing">
    <w:name w:val="No Spacing"/>
    <w:uiPriority w:val="1"/>
    <w:qFormat/>
    <w:rsid w:val="00E74DFB"/>
    <w:rPr>
      <w:rFonts w:ascii="Calibri" w:hAnsi="Calibri"/>
      <w:sz w:val="22"/>
    </w:rPr>
  </w:style>
  <w:style w:type="table" w:styleId="TableGrid">
    <w:name w:val="Table Grid"/>
    <w:basedOn w:val="TableNormal"/>
    <w:rsid w:val="00AD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80187"/>
    <w:rPr>
      <w:rFonts w:ascii="Calibri" w:hAnsi="Calibri"/>
      <w:b/>
      <w:bCs/>
      <w:i/>
      <w:sz w:val="22"/>
    </w:rPr>
  </w:style>
  <w:style w:type="character" w:customStyle="1" w:styleId="Heading3Char">
    <w:name w:val="Heading 3 Char"/>
    <w:basedOn w:val="DefaultParagraphFont"/>
    <w:link w:val="Heading3"/>
    <w:rsid w:val="00E103B2"/>
    <w:rPr>
      <w:rFonts w:ascii="Calibri" w:eastAsiaTheme="majorEastAsia" w:hAnsi="Calibri" w:cstheme="majorBidi"/>
      <w:b/>
      <w:color w:val="004A7F"/>
      <w:spacing w:val="5"/>
      <w:kern w:val="28"/>
      <w:sz w:val="32"/>
      <w:szCs w:val="32"/>
    </w:rPr>
  </w:style>
  <w:style w:type="character" w:customStyle="1" w:styleId="Heading4Char">
    <w:name w:val="Heading 4 Char"/>
    <w:basedOn w:val="DefaultParagraphFont"/>
    <w:link w:val="Heading4"/>
    <w:rsid w:val="009142DA"/>
    <w:rPr>
      <w:rFonts w:ascii="Calibri" w:eastAsiaTheme="majorEastAsia" w:hAnsi="Calibri" w:cstheme="majorBidi"/>
      <w:b/>
      <w:color w:val="404040" w:themeColor="text1" w:themeTint="BF"/>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660">
      <w:bodyDiv w:val="1"/>
      <w:marLeft w:val="0"/>
      <w:marRight w:val="0"/>
      <w:marTop w:val="0"/>
      <w:marBottom w:val="0"/>
      <w:divBdr>
        <w:top w:val="none" w:sz="0" w:space="0" w:color="auto"/>
        <w:left w:val="none" w:sz="0" w:space="0" w:color="auto"/>
        <w:bottom w:val="none" w:sz="0" w:space="0" w:color="auto"/>
        <w:right w:val="none" w:sz="0" w:space="0" w:color="auto"/>
      </w:divBdr>
    </w:div>
    <w:div w:id="114758827">
      <w:bodyDiv w:val="1"/>
      <w:marLeft w:val="0"/>
      <w:marRight w:val="0"/>
      <w:marTop w:val="0"/>
      <w:marBottom w:val="0"/>
      <w:divBdr>
        <w:top w:val="none" w:sz="0" w:space="0" w:color="auto"/>
        <w:left w:val="none" w:sz="0" w:space="0" w:color="auto"/>
        <w:bottom w:val="none" w:sz="0" w:space="0" w:color="auto"/>
        <w:right w:val="none" w:sz="0" w:space="0" w:color="auto"/>
      </w:divBdr>
    </w:div>
    <w:div w:id="121045684">
      <w:bodyDiv w:val="1"/>
      <w:marLeft w:val="0"/>
      <w:marRight w:val="0"/>
      <w:marTop w:val="0"/>
      <w:marBottom w:val="0"/>
      <w:divBdr>
        <w:top w:val="none" w:sz="0" w:space="0" w:color="auto"/>
        <w:left w:val="none" w:sz="0" w:space="0" w:color="auto"/>
        <w:bottom w:val="none" w:sz="0" w:space="0" w:color="auto"/>
        <w:right w:val="none" w:sz="0" w:space="0" w:color="auto"/>
      </w:divBdr>
    </w:div>
    <w:div w:id="162817281">
      <w:bodyDiv w:val="1"/>
      <w:marLeft w:val="0"/>
      <w:marRight w:val="0"/>
      <w:marTop w:val="0"/>
      <w:marBottom w:val="0"/>
      <w:divBdr>
        <w:top w:val="none" w:sz="0" w:space="0" w:color="auto"/>
        <w:left w:val="none" w:sz="0" w:space="0" w:color="auto"/>
        <w:bottom w:val="none" w:sz="0" w:space="0" w:color="auto"/>
        <w:right w:val="none" w:sz="0" w:space="0" w:color="auto"/>
      </w:divBdr>
    </w:div>
    <w:div w:id="177350655">
      <w:bodyDiv w:val="1"/>
      <w:marLeft w:val="0"/>
      <w:marRight w:val="0"/>
      <w:marTop w:val="0"/>
      <w:marBottom w:val="0"/>
      <w:divBdr>
        <w:top w:val="none" w:sz="0" w:space="0" w:color="auto"/>
        <w:left w:val="none" w:sz="0" w:space="0" w:color="auto"/>
        <w:bottom w:val="none" w:sz="0" w:space="0" w:color="auto"/>
        <w:right w:val="none" w:sz="0" w:space="0" w:color="auto"/>
      </w:divBdr>
    </w:div>
    <w:div w:id="192772520">
      <w:bodyDiv w:val="1"/>
      <w:marLeft w:val="0"/>
      <w:marRight w:val="0"/>
      <w:marTop w:val="0"/>
      <w:marBottom w:val="0"/>
      <w:divBdr>
        <w:top w:val="none" w:sz="0" w:space="0" w:color="auto"/>
        <w:left w:val="none" w:sz="0" w:space="0" w:color="auto"/>
        <w:bottom w:val="none" w:sz="0" w:space="0" w:color="auto"/>
        <w:right w:val="none" w:sz="0" w:space="0" w:color="auto"/>
      </w:divBdr>
    </w:div>
    <w:div w:id="207189353">
      <w:bodyDiv w:val="1"/>
      <w:marLeft w:val="0"/>
      <w:marRight w:val="0"/>
      <w:marTop w:val="0"/>
      <w:marBottom w:val="0"/>
      <w:divBdr>
        <w:top w:val="none" w:sz="0" w:space="0" w:color="auto"/>
        <w:left w:val="none" w:sz="0" w:space="0" w:color="auto"/>
        <w:bottom w:val="none" w:sz="0" w:space="0" w:color="auto"/>
        <w:right w:val="none" w:sz="0" w:space="0" w:color="auto"/>
      </w:divBdr>
    </w:div>
    <w:div w:id="246614200">
      <w:bodyDiv w:val="1"/>
      <w:marLeft w:val="0"/>
      <w:marRight w:val="0"/>
      <w:marTop w:val="0"/>
      <w:marBottom w:val="0"/>
      <w:divBdr>
        <w:top w:val="none" w:sz="0" w:space="0" w:color="auto"/>
        <w:left w:val="none" w:sz="0" w:space="0" w:color="auto"/>
        <w:bottom w:val="none" w:sz="0" w:space="0" w:color="auto"/>
        <w:right w:val="none" w:sz="0" w:space="0" w:color="auto"/>
      </w:divBdr>
    </w:div>
    <w:div w:id="341277911">
      <w:bodyDiv w:val="1"/>
      <w:marLeft w:val="0"/>
      <w:marRight w:val="0"/>
      <w:marTop w:val="0"/>
      <w:marBottom w:val="0"/>
      <w:divBdr>
        <w:top w:val="none" w:sz="0" w:space="0" w:color="auto"/>
        <w:left w:val="none" w:sz="0" w:space="0" w:color="auto"/>
        <w:bottom w:val="none" w:sz="0" w:space="0" w:color="auto"/>
        <w:right w:val="none" w:sz="0" w:space="0" w:color="auto"/>
      </w:divBdr>
    </w:div>
    <w:div w:id="387919913">
      <w:bodyDiv w:val="1"/>
      <w:marLeft w:val="0"/>
      <w:marRight w:val="0"/>
      <w:marTop w:val="0"/>
      <w:marBottom w:val="0"/>
      <w:divBdr>
        <w:top w:val="none" w:sz="0" w:space="0" w:color="auto"/>
        <w:left w:val="none" w:sz="0" w:space="0" w:color="auto"/>
        <w:bottom w:val="none" w:sz="0" w:space="0" w:color="auto"/>
        <w:right w:val="none" w:sz="0" w:space="0" w:color="auto"/>
      </w:divBdr>
    </w:div>
    <w:div w:id="398865818">
      <w:bodyDiv w:val="1"/>
      <w:marLeft w:val="0"/>
      <w:marRight w:val="0"/>
      <w:marTop w:val="0"/>
      <w:marBottom w:val="0"/>
      <w:divBdr>
        <w:top w:val="none" w:sz="0" w:space="0" w:color="auto"/>
        <w:left w:val="none" w:sz="0" w:space="0" w:color="auto"/>
        <w:bottom w:val="none" w:sz="0" w:space="0" w:color="auto"/>
        <w:right w:val="none" w:sz="0" w:space="0" w:color="auto"/>
      </w:divBdr>
    </w:div>
    <w:div w:id="534347606">
      <w:bodyDiv w:val="1"/>
      <w:marLeft w:val="0"/>
      <w:marRight w:val="0"/>
      <w:marTop w:val="0"/>
      <w:marBottom w:val="0"/>
      <w:divBdr>
        <w:top w:val="none" w:sz="0" w:space="0" w:color="auto"/>
        <w:left w:val="none" w:sz="0" w:space="0" w:color="auto"/>
        <w:bottom w:val="none" w:sz="0" w:space="0" w:color="auto"/>
        <w:right w:val="none" w:sz="0" w:space="0" w:color="auto"/>
      </w:divBdr>
    </w:div>
    <w:div w:id="542909070">
      <w:bodyDiv w:val="1"/>
      <w:marLeft w:val="0"/>
      <w:marRight w:val="0"/>
      <w:marTop w:val="0"/>
      <w:marBottom w:val="0"/>
      <w:divBdr>
        <w:top w:val="none" w:sz="0" w:space="0" w:color="auto"/>
        <w:left w:val="none" w:sz="0" w:space="0" w:color="auto"/>
        <w:bottom w:val="none" w:sz="0" w:space="0" w:color="auto"/>
        <w:right w:val="none" w:sz="0" w:space="0" w:color="auto"/>
      </w:divBdr>
    </w:div>
    <w:div w:id="555549884">
      <w:bodyDiv w:val="1"/>
      <w:marLeft w:val="0"/>
      <w:marRight w:val="0"/>
      <w:marTop w:val="0"/>
      <w:marBottom w:val="0"/>
      <w:divBdr>
        <w:top w:val="none" w:sz="0" w:space="0" w:color="auto"/>
        <w:left w:val="none" w:sz="0" w:space="0" w:color="auto"/>
        <w:bottom w:val="none" w:sz="0" w:space="0" w:color="auto"/>
        <w:right w:val="none" w:sz="0" w:space="0" w:color="auto"/>
      </w:divBdr>
    </w:div>
    <w:div w:id="596445808">
      <w:bodyDiv w:val="1"/>
      <w:marLeft w:val="0"/>
      <w:marRight w:val="0"/>
      <w:marTop w:val="0"/>
      <w:marBottom w:val="0"/>
      <w:divBdr>
        <w:top w:val="none" w:sz="0" w:space="0" w:color="auto"/>
        <w:left w:val="none" w:sz="0" w:space="0" w:color="auto"/>
        <w:bottom w:val="none" w:sz="0" w:space="0" w:color="auto"/>
        <w:right w:val="none" w:sz="0" w:space="0" w:color="auto"/>
      </w:divBdr>
    </w:div>
    <w:div w:id="697976364">
      <w:bodyDiv w:val="1"/>
      <w:marLeft w:val="0"/>
      <w:marRight w:val="0"/>
      <w:marTop w:val="0"/>
      <w:marBottom w:val="0"/>
      <w:divBdr>
        <w:top w:val="none" w:sz="0" w:space="0" w:color="auto"/>
        <w:left w:val="none" w:sz="0" w:space="0" w:color="auto"/>
        <w:bottom w:val="none" w:sz="0" w:space="0" w:color="auto"/>
        <w:right w:val="none" w:sz="0" w:space="0" w:color="auto"/>
      </w:divBdr>
    </w:div>
    <w:div w:id="708385381">
      <w:bodyDiv w:val="1"/>
      <w:marLeft w:val="0"/>
      <w:marRight w:val="0"/>
      <w:marTop w:val="0"/>
      <w:marBottom w:val="0"/>
      <w:divBdr>
        <w:top w:val="none" w:sz="0" w:space="0" w:color="auto"/>
        <w:left w:val="none" w:sz="0" w:space="0" w:color="auto"/>
        <w:bottom w:val="none" w:sz="0" w:space="0" w:color="auto"/>
        <w:right w:val="none" w:sz="0" w:space="0" w:color="auto"/>
      </w:divBdr>
    </w:div>
    <w:div w:id="800539503">
      <w:bodyDiv w:val="1"/>
      <w:marLeft w:val="0"/>
      <w:marRight w:val="0"/>
      <w:marTop w:val="0"/>
      <w:marBottom w:val="0"/>
      <w:divBdr>
        <w:top w:val="none" w:sz="0" w:space="0" w:color="auto"/>
        <w:left w:val="none" w:sz="0" w:space="0" w:color="auto"/>
        <w:bottom w:val="none" w:sz="0" w:space="0" w:color="auto"/>
        <w:right w:val="none" w:sz="0" w:space="0" w:color="auto"/>
      </w:divBdr>
    </w:div>
    <w:div w:id="923102925">
      <w:bodyDiv w:val="1"/>
      <w:marLeft w:val="0"/>
      <w:marRight w:val="0"/>
      <w:marTop w:val="0"/>
      <w:marBottom w:val="0"/>
      <w:divBdr>
        <w:top w:val="none" w:sz="0" w:space="0" w:color="auto"/>
        <w:left w:val="none" w:sz="0" w:space="0" w:color="auto"/>
        <w:bottom w:val="none" w:sz="0" w:space="0" w:color="auto"/>
        <w:right w:val="none" w:sz="0" w:space="0" w:color="auto"/>
      </w:divBdr>
    </w:div>
    <w:div w:id="1129400369">
      <w:bodyDiv w:val="1"/>
      <w:marLeft w:val="0"/>
      <w:marRight w:val="0"/>
      <w:marTop w:val="0"/>
      <w:marBottom w:val="0"/>
      <w:divBdr>
        <w:top w:val="none" w:sz="0" w:space="0" w:color="auto"/>
        <w:left w:val="none" w:sz="0" w:space="0" w:color="auto"/>
        <w:bottom w:val="none" w:sz="0" w:space="0" w:color="auto"/>
        <w:right w:val="none" w:sz="0" w:space="0" w:color="auto"/>
      </w:divBdr>
    </w:div>
    <w:div w:id="1224833388">
      <w:bodyDiv w:val="1"/>
      <w:marLeft w:val="0"/>
      <w:marRight w:val="0"/>
      <w:marTop w:val="0"/>
      <w:marBottom w:val="0"/>
      <w:divBdr>
        <w:top w:val="none" w:sz="0" w:space="0" w:color="auto"/>
        <w:left w:val="none" w:sz="0" w:space="0" w:color="auto"/>
        <w:bottom w:val="none" w:sz="0" w:space="0" w:color="auto"/>
        <w:right w:val="none" w:sz="0" w:space="0" w:color="auto"/>
      </w:divBdr>
      <w:divsChild>
        <w:div w:id="108670674">
          <w:marLeft w:val="0"/>
          <w:marRight w:val="0"/>
          <w:marTop w:val="0"/>
          <w:marBottom w:val="0"/>
          <w:divBdr>
            <w:top w:val="none" w:sz="0" w:space="0" w:color="auto"/>
            <w:left w:val="none" w:sz="0" w:space="0" w:color="auto"/>
            <w:bottom w:val="none" w:sz="0" w:space="0" w:color="auto"/>
            <w:right w:val="none" w:sz="0" w:space="0" w:color="auto"/>
          </w:divBdr>
          <w:divsChild>
            <w:div w:id="1404066292">
              <w:marLeft w:val="600"/>
              <w:marRight w:val="600"/>
              <w:marTop w:val="0"/>
              <w:marBottom w:val="0"/>
              <w:divBdr>
                <w:top w:val="none" w:sz="0" w:space="0" w:color="auto"/>
                <w:left w:val="none" w:sz="0" w:space="0" w:color="auto"/>
                <w:bottom w:val="none" w:sz="0" w:space="0" w:color="auto"/>
                <w:right w:val="none" w:sz="0" w:space="0" w:color="auto"/>
              </w:divBdr>
              <w:divsChild>
                <w:div w:id="13262844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0277079">
          <w:marLeft w:val="0"/>
          <w:marRight w:val="0"/>
          <w:marTop w:val="0"/>
          <w:marBottom w:val="0"/>
          <w:divBdr>
            <w:top w:val="none" w:sz="0" w:space="0" w:color="auto"/>
            <w:left w:val="none" w:sz="0" w:space="0" w:color="auto"/>
            <w:bottom w:val="none" w:sz="0" w:space="0" w:color="auto"/>
            <w:right w:val="none" w:sz="0" w:space="0" w:color="auto"/>
          </w:divBdr>
          <w:divsChild>
            <w:div w:id="329259230">
              <w:marLeft w:val="0"/>
              <w:marRight w:val="0"/>
              <w:marTop w:val="240"/>
              <w:marBottom w:val="0"/>
              <w:divBdr>
                <w:top w:val="none" w:sz="0" w:space="0" w:color="auto"/>
                <w:left w:val="none" w:sz="0" w:space="0" w:color="auto"/>
                <w:bottom w:val="none" w:sz="0" w:space="0" w:color="auto"/>
                <w:right w:val="none" w:sz="0" w:space="0" w:color="auto"/>
              </w:divBdr>
              <w:divsChild>
                <w:div w:id="885409821">
                  <w:marLeft w:val="120"/>
                  <w:marRight w:val="0"/>
                  <w:marTop w:val="0"/>
                  <w:marBottom w:val="0"/>
                  <w:divBdr>
                    <w:top w:val="none" w:sz="0" w:space="0" w:color="auto"/>
                    <w:left w:val="none" w:sz="0" w:space="0" w:color="auto"/>
                    <w:bottom w:val="none" w:sz="0" w:space="0" w:color="auto"/>
                    <w:right w:val="none" w:sz="0" w:space="0" w:color="auto"/>
                  </w:divBdr>
                </w:div>
              </w:divsChild>
            </w:div>
            <w:div w:id="284895446">
              <w:marLeft w:val="600"/>
              <w:marRight w:val="600"/>
              <w:marTop w:val="0"/>
              <w:marBottom w:val="0"/>
              <w:divBdr>
                <w:top w:val="none" w:sz="0" w:space="0" w:color="auto"/>
                <w:left w:val="none" w:sz="0" w:space="0" w:color="auto"/>
                <w:bottom w:val="none" w:sz="0" w:space="0" w:color="auto"/>
                <w:right w:val="none" w:sz="0" w:space="0" w:color="auto"/>
              </w:divBdr>
              <w:divsChild>
                <w:div w:id="2531286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46719762">
      <w:bodyDiv w:val="1"/>
      <w:marLeft w:val="0"/>
      <w:marRight w:val="0"/>
      <w:marTop w:val="0"/>
      <w:marBottom w:val="0"/>
      <w:divBdr>
        <w:top w:val="none" w:sz="0" w:space="0" w:color="auto"/>
        <w:left w:val="none" w:sz="0" w:space="0" w:color="auto"/>
        <w:bottom w:val="none" w:sz="0" w:space="0" w:color="auto"/>
        <w:right w:val="none" w:sz="0" w:space="0" w:color="auto"/>
      </w:divBdr>
    </w:div>
    <w:div w:id="1344209712">
      <w:bodyDiv w:val="1"/>
      <w:marLeft w:val="0"/>
      <w:marRight w:val="0"/>
      <w:marTop w:val="0"/>
      <w:marBottom w:val="0"/>
      <w:divBdr>
        <w:top w:val="none" w:sz="0" w:space="0" w:color="auto"/>
        <w:left w:val="none" w:sz="0" w:space="0" w:color="auto"/>
        <w:bottom w:val="none" w:sz="0" w:space="0" w:color="auto"/>
        <w:right w:val="none" w:sz="0" w:space="0" w:color="auto"/>
      </w:divBdr>
    </w:div>
    <w:div w:id="1410273993">
      <w:bodyDiv w:val="1"/>
      <w:marLeft w:val="0"/>
      <w:marRight w:val="0"/>
      <w:marTop w:val="0"/>
      <w:marBottom w:val="0"/>
      <w:divBdr>
        <w:top w:val="none" w:sz="0" w:space="0" w:color="auto"/>
        <w:left w:val="none" w:sz="0" w:space="0" w:color="auto"/>
        <w:bottom w:val="none" w:sz="0" w:space="0" w:color="auto"/>
        <w:right w:val="none" w:sz="0" w:space="0" w:color="auto"/>
      </w:divBdr>
    </w:div>
    <w:div w:id="1523398806">
      <w:bodyDiv w:val="1"/>
      <w:marLeft w:val="0"/>
      <w:marRight w:val="0"/>
      <w:marTop w:val="0"/>
      <w:marBottom w:val="0"/>
      <w:divBdr>
        <w:top w:val="none" w:sz="0" w:space="0" w:color="auto"/>
        <w:left w:val="none" w:sz="0" w:space="0" w:color="auto"/>
        <w:bottom w:val="none" w:sz="0" w:space="0" w:color="auto"/>
        <w:right w:val="none" w:sz="0" w:space="0" w:color="auto"/>
      </w:divBdr>
    </w:div>
    <w:div w:id="1712221477">
      <w:bodyDiv w:val="1"/>
      <w:marLeft w:val="0"/>
      <w:marRight w:val="0"/>
      <w:marTop w:val="0"/>
      <w:marBottom w:val="0"/>
      <w:divBdr>
        <w:top w:val="none" w:sz="0" w:space="0" w:color="auto"/>
        <w:left w:val="none" w:sz="0" w:space="0" w:color="auto"/>
        <w:bottom w:val="none" w:sz="0" w:space="0" w:color="auto"/>
        <w:right w:val="none" w:sz="0" w:space="0" w:color="auto"/>
      </w:divBdr>
    </w:div>
    <w:div w:id="1864519093">
      <w:bodyDiv w:val="1"/>
      <w:marLeft w:val="0"/>
      <w:marRight w:val="0"/>
      <w:marTop w:val="0"/>
      <w:marBottom w:val="0"/>
      <w:divBdr>
        <w:top w:val="none" w:sz="0" w:space="0" w:color="auto"/>
        <w:left w:val="none" w:sz="0" w:space="0" w:color="auto"/>
        <w:bottom w:val="none" w:sz="0" w:space="0" w:color="auto"/>
        <w:right w:val="none" w:sz="0" w:space="0" w:color="auto"/>
      </w:divBdr>
    </w:div>
    <w:div w:id="1892376493">
      <w:bodyDiv w:val="1"/>
      <w:marLeft w:val="0"/>
      <w:marRight w:val="0"/>
      <w:marTop w:val="0"/>
      <w:marBottom w:val="0"/>
      <w:divBdr>
        <w:top w:val="none" w:sz="0" w:space="0" w:color="auto"/>
        <w:left w:val="none" w:sz="0" w:space="0" w:color="auto"/>
        <w:bottom w:val="none" w:sz="0" w:space="0" w:color="auto"/>
        <w:right w:val="none" w:sz="0" w:space="0" w:color="auto"/>
      </w:divBdr>
    </w:div>
    <w:div w:id="1930458214">
      <w:bodyDiv w:val="1"/>
      <w:marLeft w:val="0"/>
      <w:marRight w:val="0"/>
      <w:marTop w:val="0"/>
      <w:marBottom w:val="0"/>
      <w:divBdr>
        <w:top w:val="none" w:sz="0" w:space="0" w:color="auto"/>
        <w:left w:val="none" w:sz="0" w:space="0" w:color="auto"/>
        <w:bottom w:val="none" w:sz="0" w:space="0" w:color="auto"/>
        <w:right w:val="none" w:sz="0" w:space="0" w:color="auto"/>
      </w:divBdr>
    </w:div>
    <w:div w:id="2111704066">
      <w:bodyDiv w:val="1"/>
      <w:marLeft w:val="0"/>
      <w:marRight w:val="0"/>
      <w:marTop w:val="0"/>
      <w:marBottom w:val="0"/>
      <w:divBdr>
        <w:top w:val="none" w:sz="0" w:space="0" w:color="auto"/>
        <w:left w:val="none" w:sz="0" w:space="0" w:color="auto"/>
        <w:bottom w:val="none" w:sz="0" w:space="0" w:color="auto"/>
        <w:right w:val="none" w:sz="0" w:space="0" w:color="auto"/>
      </w:divBdr>
    </w:div>
    <w:div w:id="2121610267">
      <w:bodyDiv w:val="1"/>
      <w:marLeft w:val="0"/>
      <w:marRight w:val="0"/>
      <w:marTop w:val="0"/>
      <w:marBottom w:val="0"/>
      <w:divBdr>
        <w:top w:val="none" w:sz="0" w:space="0" w:color="auto"/>
        <w:left w:val="none" w:sz="0" w:space="0" w:color="auto"/>
        <w:bottom w:val="none" w:sz="0" w:space="0" w:color="auto"/>
        <w:right w:val="none" w:sz="0" w:space="0" w:color="auto"/>
      </w:divBdr>
    </w:div>
    <w:div w:id="21248814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elpdesk-OBPR@pmc.gov.au"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71FE6.B7F07FD0"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mc.gov.au/resource-centre/regulation/independent-reviews-and-ris-process-guidance-not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4275</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2021-11-30T01:57:00Z</dcterms:created>
  <dcterms:modified xsi:type="dcterms:W3CDTF">2021-11-30T01:57:00Z</dcterms:modified>
</cp:coreProperties>
</file>