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568"/>
        <w:gridCol w:w="5381"/>
        <w:gridCol w:w="6095"/>
        <w:gridCol w:w="1904"/>
      </w:tblGrid>
      <w:tr w:rsidR="005A1B50" w14:paraId="5F2688A8" w14:textId="00FF1ED1" w:rsidTr="00276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FFFFFF" w:themeColor="background1"/>
            </w:tcBorders>
          </w:tcPr>
          <w:p w14:paraId="3BFBCB78" w14:textId="2D79D897" w:rsidR="004C2AF7" w:rsidRPr="00FB5079" w:rsidRDefault="004C2AF7" w:rsidP="003D6C29">
            <w:pPr>
              <w:spacing w:before="120" w:after="12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B9A105" w14:textId="763A1663" w:rsidR="004C2AF7" w:rsidRPr="00FB5079" w:rsidRDefault="006B5722" w:rsidP="003D6C2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Element of policy proposal 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</w:tcBorders>
          </w:tcPr>
          <w:p w14:paraId="7D632244" w14:textId="7A685F69" w:rsidR="004C2AF7" w:rsidRPr="00FB5079" w:rsidRDefault="001F6B40" w:rsidP="003D6C2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C2AF7" w:rsidRPr="00FB5079">
              <w:rPr>
                <w:sz w:val="24"/>
                <w:szCs w:val="24"/>
              </w:rPr>
              <w:t xml:space="preserve">ource of analysis </w:t>
            </w:r>
          </w:p>
        </w:tc>
        <w:tc>
          <w:tcPr>
            <w:tcW w:w="1904" w:type="dxa"/>
            <w:tcBorders>
              <w:left w:val="single" w:sz="4" w:space="0" w:color="FFFFFF" w:themeColor="background1"/>
            </w:tcBorders>
          </w:tcPr>
          <w:p w14:paraId="564DF092" w14:textId="28B3427A" w:rsidR="004C2AF7" w:rsidRPr="00FB5079" w:rsidRDefault="00667B49" w:rsidP="003D6C2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Portfolio </w:t>
            </w:r>
            <w:r w:rsidR="00040793">
              <w:rPr>
                <w:sz w:val="24"/>
                <w:szCs w:val="24"/>
              </w:rPr>
              <w:t>lead</w:t>
            </w:r>
          </w:p>
        </w:tc>
      </w:tr>
      <w:tr w:rsidR="004C2AF7" w14:paraId="0E2FAF23" w14:textId="24C9B6D1" w:rsidTr="007E3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4"/>
          </w:tcPr>
          <w:p w14:paraId="697744AB" w14:textId="204722EB" w:rsidR="004C2AF7" w:rsidRPr="001538FF" w:rsidRDefault="00E82E7D" w:rsidP="003D6C29">
            <w:pPr>
              <w:spacing w:before="120" w:after="120"/>
            </w:pPr>
            <w:r>
              <w:t>Regulating the availability of Common Fund Orders</w:t>
            </w:r>
          </w:p>
        </w:tc>
      </w:tr>
      <w:tr w:rsidR="00E82E7D" w14:paraId="183A868F" w14:textId="77777777" w:rsidTr="00276C3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570B3F1" w14:textId="77777777" w:rsidR="00E82E7D" w:rsidRPr="001538FF" w:rsidRDefault="00E82E7D" w:rsidP="003D6C29">
            <w:pPr>
              <w:pStyle w:val="OutlineNumbered1"/>
              <w:framePr w:hSpace="0" w:wrap="auto" w:vAnchor="margin" w:hAnchor="text" w:yAlign="inline"/>
              <w:spacing w:before="120" w:after="120"/>
              <w:rPr>
                <w:b w:val="0"/>
                <w:bCs w:val="0"/>
              </w:rPr>
            </w:pPr>
          </w:p>
        </w:tc>
        <w:tc>
          <w:tcPr>
            <w:tcW w:w="5381" w:type="dxa"/>
          </w:tcPr>
          <w:p w14:paraId="1FB3F3AD" w14:textId="03CA4066" w:rsidR="00E82E7D" w:rsidRPr="001538FF" w:rsidRDefault="00E82E7D" w:rsidP="003D6C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Each </w:t>
            </w:r>
            <w:r w:rsidRPr="003C30F7">
              <w:t>funding agreement for a class action funding scheme is not enforceable and has no effect unless the court does not make a common fund order. Other contrary agreements or arrangements are not enforceable and have no effect.</w:t>
            </w:r>
          </w:p>
        </w:tc>
        <w:tc>
          <w:tcPr>
            <w:tcW w:w="6095" w:type="dxa"/>
          </w:tcPr>
          <w:p w14:paraId="45B90B9C" w14:textId="77777777" w:rsidR="00E82E7D" w:rsidRDefault="00E82E7D" w:rsidP="00E82E7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Reports</w:t>
            </w:r>
          </w:p>
          <w:p w14:paraId="55B32FC0" w14:textId="77777777" w:rsidR="00E82E7D" w:rsidRPr="003C30F7" w:rsidRDefault="00E82E7D" w:rsidP="00E82E7D">
            <w:pPr>
              <w:pStyle w:val="Bullet"/>
              <w:numPr>
                <w:ilvl w:val="0"/>
                <w:numId w:val="0"/>
              </w:numPr>
              <w:tabs>
                <w:tab w:val="num" w:pos="352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C30F7">
              <w:rPr>
                <w:sz w:val="22"/>
                <w:szCs w:val="22"/>
              </w:rPr>
              <w:t>PJC Report: Chapter 9 (pp. 95 – 125), Recommendation 7</w:t>
            </w:r>
          </w:p>
          <w:p w14:paraId="563BCADD" w14:textId="77777777" w:rsidR="00E82E7D" w:rsidRPr="003C30F7" w:rsidRDefault="00E82E7D" w:rsidP="00E82E7D">
            <w:pPr>
              <w:pStyle w:val="Bullet"/>
              <w:numPr>
                <w:ilvl w:val="0"/>
                <w:numId w:val="0"/>
              </w:numPr>
              <w:tabs>
                <w:tab w:val="num" w:pos="352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C30F7">
              <w:rPr>
                <w:sz w:val="22"/>
                <w:szCs w:val="22"/>
              </w:rPr>
              <w:t>ALRC Report: Section 4 (pp. 96-99), Recommendation 3</w:t>
            </w:r>
          </w:p>
          <w:p w14:paraId="696D9B54" w14:textId="77777777" w:rsidR="00E82E7D" w:rsidRDefault="00E82E7D" w:rsidP="00E82E7D">
            <w:pPr>
              <w:pStyle w:val="Bullet"/>
              <w:numPr>
                <w:ilvl w:val="0"/>
                <w:numId w:val="0"/>
              </w:numPr>
              <w:spacing w:before="120" w:after="12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Supplementary analysis </w:t>
            </w:r>
          </w:p>
          <w:p w14:paraId="5598067E" w14:textId="1BE83240" w:rsidR="00E82E7D" w:rsidRDefault="00E82E7D" w:rsidP="00E82E7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C30F7">
              <w:t>Section 1: Regulating the availability of Common Fund Orders</w:t>
            </w:r>
          </w:p>
        </w:tc>
        <w:tc>
          <w:tcPr>
            <w:tcW w:w="1904" w:type="dxa"/>
          </w:tcPr>
          <w:p w14:paraId="443DF706" w14:textId="7B785B08" w:rsidR="00E82E7D" w:rsidRPr="00B36B1D" w:rsidRDefault="00E82E7D" w:rsidP="00B36B1D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AGD</w:t>
            </w:r>
          </w:p>
        </w:tc>
      </w:tr>
      <w:tr w:rsidR="00E82E7D" w14:paraId="729585FC" w14:textId="77777777" w:rsidTr="00BA0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4"/>
          </w:tcPr>
          <w:p w14:paraId="1D056236" w14:textId="51883059" w:rsidR="00E82E7D" w:rsidRPr="004E3B7C" w:rsidRDefault="00E82E7D" w:rsidP="00B36B1D">
            <w:pPr>
              <w:pStyle w:val="Bullet"/>
              <w:numPr>
                <w:ilvl w:val="0"/>
                <w:numId w:val="0"/>
              </w:numPr>
              <w:spacing w:before="120" w:after="120"/>
              <w:rPr>
                <w:sz w:val="22"/>
                <w:szCs w:val="22"/>
              </w:rPr>
            </w:pPr>
            <w:r w:rsidRPr="004E3B7C">
              <w:rPr>
                <w:sz w:val="22"/>
                <w:szCs w:val="22"/>
              </w:rPr>
              <w:t>Clarifying court powers to approve or vary funding distribution methods</w:t>
            </w:r>
          </w:p>
        </w:tc>
      </w:tr>
      <w:tr w:rsidR="00E82E7D" w14:paraId="29A759C6" w14:textId="26588775" w:rsidTr="00276C3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40D06DB" w14:textId="77777777" w:rsidR="004C2AF7" w:rsidRPr="001538FF" w:rsidRDefault="004C2AF7" w:rsidP="003D6C29">
            <w:pPr>
              <w:pStyle w:val="OutlineNumbered1"/>
              <w:framePr w:hSpace="0" w:wrap="auto" w:vAnchor="margin" w:hAnchor="text" w:yAlign="inline"/>
              <w:spacing w:before="120" w:after="120"/>
              <w:rPr>
                <w:b w:val="0"/>
                <w:bCs w:val="0"/>
              </w:rPr>
            </w:pPr>
          </w:p>
        </w:tc>
        <w:tc>
          <w:tcPr>
            <w:tcW w:w="5381" w:type="dxa"/>
          </w:tcPr>
          <w:p w14:paraId="05D503D4" w14:textId="01152ADA" w:rsidR="004C2AF7" w:rsidRPr="001538FF" w:rsidRDefault="004C2AF7" w:rsidP="003D6C2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8FF">
              <w:t>The constitution of a class action litigation funding scheme must provide that each funding agreement include a claim proceeds distribution method. Any contrary agreement or arrangement is unenforceable.</w:t>
            </w:r>
          </w:p>
        </w:tc>
        <w:tc>
          <w:tcPr>
            <w:tcW w:w="6095" w:type="dxa"/>
          </w:tcPr>
          <w:p w14:paraId="7193B47F" w14:textId="77777777" w:rsidR="00976621" w:rsidRDefault="00976621" w:rsidP="009766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Reports</w:t>
            </w:r>
          </w:p>
          <w:p w14:paraId="1B565BC3" w14:textId="1B6ECD51" w:rsidR="000F1070" w:rsidRPr="000527A9" w:rsidRDefault="000F1070" w:rsidP="00B36B1D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527A9">
              <w:rPr>
                <w:sz w:val="22"/>
                <w:szCs w:val="22"/>
              </w:rPr>
              <w:t>PJC Report: Chapter 11</w:t>
            </w:r>
            <w:r w:rsidR="00FA19E6">
              <w:rPr>
                <w:sz w:val="22"/>
                <w:szCs w:val="22"/>
              </w:rPr>
              <w:t xml:space="preserve"> </w:t>
            </w:r>
            <w:r w:rsidRPr="000527A9">
              <w:rPr>
                <w:sz w:val="22"/>
                <w:szCs w:val="22"/>
              </w:rPr>
              <w:t>(p</w:t>
            </w:r>
            <w:r w:rsidR="002E3A3B">
              <w:rPr>
                <w:sz w:val="22"/>
                <w:szCs w:val="22"/>
              </w:rPr>
              <w:t>p</w:t>
            </w:r>
            <w:r w:rsidRPr="000527A9">
              <w:rPr>
                <w:sz w:val="22"/>
                <w:szCs w:val="22"/>
              </w:rPr>
              <w:t>. 147 – 170)</w:t>
            </w:r>
          </w:p>
          <w:p w14:paraId="69720680" w14:textId="3F1ECAC9" w:rsidR="000E75CF" w:rsidRDefault="000E75CF" w:rsidP="00573E7F">
            <w:pPr>
              <w:pStyle w:val="Bullet"/>
              <w:numPr>
                <w:ilvl w:val="0"/>
                <w:numId w:val="0"/>
              </w:numPr>
              <w:spacing w:before="120" w:after="12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Supplementary analysis </w:t>
            </w:r>
          </w:p>
          <w:p w14:paraId="580096D5" w14:textId="74F348A9" w:rsidR="00B63E54" w:rsidRPr="00B63E54" w:rsidRDefault="000E75CF" w:rsidP="00B36B1D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75CF">
              <w:rPr>
                <w:sz w:val="22"/>
                <w:szCs w:val="22"/>
              </w:rPr>
              <w:t>Section 2: Clarifying court powers to approve or vary funding distribution methods</w:t>
            </w:r>
            <w:r w:rsidR="00573E7F" w:rsidRPr="000E75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4" w:type="dxa"/>
          </w:tcPr>
          <w:p w14:paraId="2D515238" w14:textId="02141E23" w:rsidR="004C2AF7" w:rsidRPr="00B36B1D" w:rsidRDefault="004C2AF7" w:rsidP="00B36B1D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36B1D">
              <w:rPr>
                <w:sz w:val="22"/>
                <w:szCs w:val="22"/>
              </w:rPr>
              <w:t>TSY</w:t>
            </w:r>
          </w:p>
        </w:tc>
      </w:tr>
      <w:tr w:rsidR="003E4428" w14:paraId="320227A0" w14:textId="77777777" w:rsidTr="0027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1001F7C" w14:textId="77777777" w:rsidR="003E4428" w:rsidRPr="001538FF" w:rsidRDefault="003E4428" w:rsidP="003E4428">
            <w:pPr>
              <w:pStyle w:val="OutlineNumbered1"/>
              <w:framePr w:hSpace="0" w:wrap="auto" w:vAnchor="margin" w:hAnchor="text" w:yAlign="inline"/>
              <w:spacing w:before="120" w:after="120"/>
              <w:rPr>
                <w:b w:val="0"/>
                <w:bCs w:val="0"/>
              </w:rPr>
            </w:pPr>
          </w:p>
        </w:tc>
        <w:tc>
          <w:tcPr>
            <w:tcW w:w="5381" w:type="dxa"/>
          </w:tcPr>
          <w:p w14:paraId="2CC4CFB5" w14:textId="4AE758FA" w:rsidR="003E4428" w:rsidRPr="001538FF" w:rsidRDefault="003E4428" w:rsidP="003E442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claims distribution method in a </w:t>
            </w:r>
            <w:r w:rsidRPr="001538FF">
              <w:t xml:space="preserve">funding agreement for a class action funding scheme is not enforceable and has no effect unless </w:t>
            </w:r>
            <w:r>
              <w:t>t</w:t>
            </w:r>
            <w:r w:rsidRPr="001538FF">
              <w:t xml:space="preserve">he court has approved or varied </w:t>
            </w:r>
            <w:r>
              <w:t>it</w:t>
            </w:r>
            <w:r w:rsidRPr="001538FF">
              <w:t>. Other contrary agreements or arrangements are not enforceable and have no effect</w:t>
            </w:r>
            <w:r w:rsidR="0043713D">
              <w:t xml:space="preserve">. </w:t>
            </w:r>
          </w:p>
        </w:tc>
        <w:tc>
          <w:tcPr>
            <w:tcW w:w="6095" w:type="dxa"/>
          </w:tcPr>
          <w:p w14:paraId="67803C28" w14:textId="77777777" w:rsidR="003E4428" w:rsidRPr="00835751" w:rsidRDefault="003E4428" w:rsidP="003E4428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835751">
              <w:rPr>
                <w:b/>
                <w:bCs/>
                <w:sz w:val="22"/>
                <w:szCs w:val="22"/>
              </w:rPr>
              <w:t>Reports</w:t>
            </w:r>
          </w:p>
          <w:p w14:paraId="3D90CA22" w14:textId="77777777" w:rsidR="003E4428" w:rsidRPr="004466A1" w:rsidRDefault="003E4428" w:rsidP="003E4428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6393">
              <w:rPr>
                <w:sz w:val="22"/>
                <w:szCs w:val="22"/>
              </w:rPr>
              <w:t>PJC Report: Chapter 1</w:t>
            </w:r>
            <w:r w:rsidRPr="00E908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0C6393">
              <w:rPr>
                <w:sz w:val="22"/>
                <w:szCs w:val="22"/>
              </w:rPr>
              <w:t>(p</w:t>
            </w:r>
            <w:r>
              <w:rPr>
                <w:sz w:val="22"/>
                <w:szCs w:val="22"/>
              </w:rPr>
              <w:t>p</w:t>
            </w:r>
            <w:r w:rsidRPr="000C6393">
              <w:rPr>
                <w:sz w:val="22"/>
                <w:szCs w:val="22"/>
              </w:rPr>
              <w:t>. 147 – 170)</w:t>
            </w:r>
            <w:r>
              <w:rPr>
                <w:sz w:val="22"/>
                <w:szCs w:val="22"/>
              </w:rPr>
              <w:t xml:space="preserve">, Recommendation 11 </w:t>
            </w:r>
          </w:p>
          <w:p w14:paraId="76A76100" w14:textId="77777777" w:rsidR="003E4428" w:rsidRPr="003B24D7" w:rsidRDefault="003E4428" w:rsidP="003E4428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3B24D7">
              <w:rPr>
                <w:sz w:val="22"/>
                <w:szCs w:val="22"/>
              </w:rPr>
              <w:t>ALRC Report: Section 6</w:t>
            </w:r>
            <w:r>
              <w:rPr>
                <w:sz w:val="22"/>
                <w:szCs w:val="22"/>
              </w:rPr>
              <w:t xml:space="preserve"> </w:t>
            </w:r>
            <w:r w:rsidRPr="003B24D7">
              <w:rPr>
                <w:sz w:val="22"/>
                <w:szCs w:val="22"/>
              </w:rPr>
              <w:t>(p</w:t>
            </w:r>
            <w:r>
              <w:rPr>
                <w:sz w:val="22"/>
                <w:szCs w:val="22"/>
              </w:rPr>
              <w:t>p</w:t>
            </w:r>
            <w:r w:rsidRPr="003B24D7">
              <w:rPr>
                <w:sz w:val="22"/>
                <w:szCs w:val="22"/>
              </w:rPr>
              <w:t>. 169 – 177)</w:t>
            </w:r>
            <w:r>
              <w:rPr>
                <w:sz w:val="22"/>
                <w:szCs w:val="22"/>
              </w:rPr>
              <w:t xml:space="preserve">, Recommendation 14 </w:t>
            </w:r>
          </w:p>
          <w:p w14:paraId="0E41375C" w14:textId="77777777" w:rsidR="003E4428" w:rsidRDefault="003E4428" w:rsidP="003E442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Supplementary analysis</w:t>
            </w:r>
          </w:p>
          <w:p w14:paraId="76F58FB9" w14:textId="77777777" w:rsidR="003E4428" w:rsidRDefault="003E4428" w:rsidP="003E4428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E75CF">
              <w:rPr>
                <w:sz w:val="22"/>
                <w:szCs w:val="22"/>
              </w:rPr>
              <w:t xml:space="preserve">Section 2: Clarifying court powers to approve or vary funding distribution methods </w:t>
            </w:r>
            <w:r w:rsidRPr="00835751">
              <w:rPr>
                <w:sz w:val="22"/>
                <w:szCs w:val="22"/>
              </w:rPr>
              <w:t xml:space="preserve"> </w:t>
            </w:r>
          </w:p>
          <w:p w14:paraId="15612FBE" w14:textId="45979B1A" w:rsidR="003E4428" w:rsidRDefault="003E4428" w:rsidP="003E442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Section 5: Extending the jurisdictional impact of some recommendations</w:t>
            </w:r>
          </w:p>
        </w:tc>
        <w:tc>
          <w:tcPr>
            <w:tcW w:w="1904" w:type="dxa"/>
          </w:tcPr>
          <w:p w14:paraId="642607B0" w14:textId="77777777" w:rsidR="003E4428" w:rsidRDefault="003E4428" w:rsidP="003E4428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36B1D">
              <w:rPr>
                <w:sz w:val="22"/>
                <w:szCs w:val="22"/>
              </w:rPr>
              <w:t xml:space="preserve">TSY </w:t>
            </w:r>
          </w:p>
          <w:p w14:paraId="4C714F75" w14:textId="2201E393" w:rsidR="003E4428" w:rsidRPr="00B36B1D" w:rsidRDefault="003E4428" w:rsidP="003E4428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AGD (only for supplementary analysis of extending jurisdictional impact)</w:t>
            </w:r>
          </w:p>
        </w:tc>
      </w:tr>
      <w:tr w:rsidR="003E4428" w14:paraId="23723322" w14:textId="77777777" w:rsidTr="00276C3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FFEFC72" w14:textId="77777777" w:rsidR="003E4428" w:rsidRPr="001538FF" w:rsidRDefault="003E4428" w:rsidP="003E4428">
            <w:pPr>
              <w:pStyle w:val="OutlineNumbered1"/>
              <w:framePr w:hSpace="0" w:wrap="auto" w:vAnchor="margin" w:hAnchor="text" w:yAlign="inline"/>
              <w:spacing w:before="120" w:after="120"/>
              <w:rPr>
                <w:b w:val="0"/>
                <w:bCs w:val="0"/>
              </w:rPr>
            </w:pPr>
          </w:p>
        </w:tc>
        <w:tc>
          <w:tcPr>
            <w:tcW w:w="5381" w:type="dxa"/>
          </w:tcPr>
          <w:p w14:paraId="1427721D" w14:textId="7E6DDBCE" w:rsidR="003E4428" w:rsidRPr="001538FF" w:rsidRDefault="003E4428" w:rsidP="003E442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8FF">
              <w:t>In proceedings which are sufficiently progressed, the Court may make orders to approve or vary the claim proceeds distribution method in a funding agreement for the scheme to ensure that method is fair and reasonable when considering the interests of the scheme’s general members as a whole</w:t>
            </w:r>
            <w:r w:rsidR="0043713D">
              <w:t>.</w:t>
            </w:r>
          </w:p>
        </w:tc>
        <w:tc>
          <w:tcPr>
            <w:tcW w:w="6095" w:type="dxa"/>
          </w:tcPr>
          <w:p w14:paraId="616032A9" w14:textId="77777777" w:rsidR="003E4428" w:rsidRDefault="003E4428" w:rsidP="003E442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Reports </w:t>
            </w:r>
          </w:p>
          <w:p w14:paraId="42846F10" w14:textId="77777777" w:rsidR="003E4428" w:rsidRDefault="003E4428" w:rsidP="003E4428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6393">
              <w:rPr>
                <w:sz w:val="22"/>
                <w:szCs w:val="22"/>
              </w:rPr>
              <w:t>PJC Report: Chapter 11</w:t>
            </w:r>
            <w:r>
              <w:rPr>
                <w:sz w:val="22"/>
                <w:szCs w:val="22"/>
              </w:rPr>
              <w:t xml:space="preserve"> </w:t>
            </w:r>
            <w:r w:rsidRPr="000C6393">
              <w:rPr>
                <w:sz w:val="22"/>
                <w:szCs w:val="22"/>
              </w:rPr>
              <w:t>(p</w:t>
            </w:r>
            <w:r>
              <w:rPr>
                <w:sz w:val="22"/>
                <w:szCs w:val="22"/>
              </w:rPr>
              <w:t>p</w:t>
            </w:r>
            <w:r w:rsidRPr="000C6393">
              <w:rPr>
                <w:sz w:val="22"/>
                <w:szCs w:val="22"/>
              </w:rPr>
              <w:t>. 147 – 170)</w:t>
            </w:r>
            <w:r>
              <w:rPr>
                <w:sz w:val="22"/>
                <w:szCs w:val="22"/>
              </w:rPr>
              <w:t>, Recommendation 11</w:t>
            </w:r>
          </w:p>
          <w:p w14:paraId="6DA58157" w14:textId="77777777" w:rsidR="003E4428" w:rsidRPr="00F102FE" w:rsidRDefault="003E4428" w:rsidP="003E4428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3B24D7">
              <w:rPr>
                <w:sz w:val="22"/>
                <w:szCs w:val="22"/>
              </w:rPr>
              <w:t>ALRC Report: Section 6 (p</w:t>
            </w:r>
            <w:r>
              <w:rPr>
                <w:sz w:val="22"/>
                <w:szCs w:val="22"/>
              </w:rPr>
              <w:t>p</w:t>
            </w:r>
            <w:r w:rsidRPr="003B24D7">
              <w:rPr>
                <w:sz w:val="22"/>
                <w:szCs w:val="22"/>
              </w:rPr>
              <w:t>. 169 –</w:t>
            </w:r>
            <w:r>
              <w:rPr>
                <w:sz w:val="22"/>
                <w:szCs w:val="22"/>
              </w:rPr>
              <w:t xml:space="preserve"> </w:t>
            </w:r>
            <w:r w:rsidRPr="003B24D7">
              <w:rPr>
                <w:sz w:val="22"/>
                <w:szCs w:val="22"/>
              </w:rPr>
              <w:t>177)</w:t>
            </w:r>
            <w:r>
              <w:rPr>
                <w:sz w:val="22"/>
                <w:szCs w:val="22"/>
              </w:rPr>
              <w:t xml:space="preserve">, Recommendation 14 </w:t>
            </w:r>
          </w:p>
          <w:p w14:paraId="015FE038" w14:textId="77777777" w:rsidR="003E4428" w:rsidRDefault="003E4428" w:rsidP="003E442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Supplementary analysis</w:t>
            </w:r>
          </w:p>
          <w:p w14:paraId="56297053" w14:textId="77777777" w:rsidR="003E4428" w:rsidRDefault="003E4428" w:rsidP="003E4428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27A9">
              <w:rPr>
                <w:sz w:val="22"/>
                <w:szCs w:val="22"/>
              </w:rPr>
              <w:t xml:space="preserve">Section 2: Clarifying court powers to approve or vary funding distribution methods  </w:t>
            </w:r>
          </w:p>
          <w:p w14:paraId="48518E10" w14:textId="0EC711E6" w:rsidR="003E4428" w:rsidRDefault="003E4428" w:rsidP="003E442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Section 5: Extending the jurisdictional impact of some recommendations</w:t>
            </w:r>
          </w:p>
        </w:tc>
        <w:tc>
          <w:tcPr>
            <w:tcW w:w="1904" w:type="dxa"/>
          </w:tcPr>
          <w:p w14:paraId="06065929" w14:textId="77777777" w:rsidR="003E4428" w:rsidRDefault="003E4428" w:rsidP="003E4428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36B1D">
              <w:rPr>
                <w:sz w:val="22"/>
                <w:szCs w:val="22"/>
              </w:rPr>
              <w:t xml:space="preserve">TSY </w:t>
            </w:r>
          </w:p>
          <w:p w14:paraId="7BC3D93F" w14:textId="3C971AA4" w:rsidR="003E4428" w:rsidRPr="00B36B1D" w:rsidRDefault="003E4428" w:rsidP="003E4428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AGD (only for supplementary analysis of extending jurisdictional impact)</w:t>
            </w:r>
          </w:p>
        </w:tc>
      </w:tr>
      <w:tr w:rsidR="003E4428" w14:paraId="37EA89F0" w14:textId="77777777" w:rsidTr="0027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FF2C56D" w14:textId="77777777" w:rsidR="003E4428" w:rsidRPr="001538FF" w:rsidRDefault="003E4428" w:rsidP="003E4428">
            <w:pPr>
              <w:pStyle w:val="OutlineNumbered1"/>
              <w:framePr w:hSpace="0" w:wrap="auto" w:vAnchor="margin" w:hAnchor="text" w:yAlign="inline"/>
              <w:spacing w:before="120" w:after="120"/>
              <w:rPr>
                <w:b w:val="0"/>
                <w:bCs w:val="0"/>
              </w:rPr>
            </w:pPr>
          </w:p>
        </w:tc>
        <w:tc>
          <w:tcPr>
            <w:tcW w:w="5381" w:type="dxa"/>
          </w:tcPr>
          <w:p w14:paraId="0F8CBF04" w14:textId="57965AA1" w:rsidR="003E4428" w:rsidRPr="001538FF" w:rsidRDefault="003E4428" w:rsidP="003E442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8FF">
              <w:t xml:space="preserve">In considering whether the claim proceeds distribution method is fair and reasonable, the Court must only have regard to a specified list of factors. These factors can be omitted, modified or varied by regulation. </w:t>
            </w:r>
          </w:p>
        </w:tc>
        <w:tc>
          <w:tcPr>
            <w:tcW w:w="6095" w:type="dxa"/>
          </w:tcPr>
          <w:p w14:paraId="3EF1A2AF" w14:textId="77777777" w:rsidR="003E4428" w:rsidRPr="001A7D63" w:rsidRDefault="003E4428" w:rsidP="003E442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A7D63">
              <w:rPr>
                <w:b/>
                <w:bCs/>
              </w:rPr>
              <w:t>Reports</w:t>
            </w:r>
          </w:p>
          <w:p w14:paraId="56FAF4E8" w14:textId="77777777" w:rsidR="003E4428" w:rsidRPr="00AF4978" w:rsidRDefault="003E4428" w:rsidP="003E4428">
            <w:pPr>
              <w:pStyle w:val="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D63">
              <w:rPr>
                <w:sz w:val="22"/>
                <w:szCs w:val="22"/>
              </w:rPr>
              <w:t>PJC Report: Chapter 13</w:t>
            </w:r>
            <w:r>
              <w:rPr>
                <w:sz w:val="22"/>
                <w:szCs w:val="22"/>
              </w:rPr>
              <w:t xml:space="preserve"> </w:t>
            </w:r>
            <w:r w:rsidRPr="001A7D63">
              <w:rPr>
                <w:sz w:val="22"/>
                <w:szCs w:val="22"/>
              </w:rPr>
              <w:t>(p</w:t>
            </w:r>
            <w:r>
              <w:rPr>
                <w:sz w:val="22"/>
                <w:szCs w:val="22"/>
              </w:rPr>
              <w:t>p</w:t>
            </w:r>
            <w:r w:rsidRPr="001A7D63">
              <w:rPr>
                <w:sz w:val="22"/>
                <w:szCs w:val="22"/>
              </w:rPr>
              <w:t>. 189 –</w:t>
            </w:r>
            <w:r>
              <w:rPr>
                <w:sz w:val="22"/>
                <w:szCs w:val="22"/>
              </w:rPr>
              <w:t xml:space="preserve"> </w:t>
            </w:r>
            <w:r w:rsidRPr="001A7D63">
              <w:rPr>
                <w:sz w:val="22"/>
                <w:szCs w:val="22"/>
              </w:rPr>
              <w:t xml:space="preserve">206) </w:t>
            </w:r>
          </w:p>
          <w:p w14:paraId="7492403F" w14:textId="77777777" w:rsidR="003E4428" w:rsidRDefault="003E4428" w:rsidP="003E442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Supplementary analysis</w:t>
            </w:r>
          </w:p>
          <w:p w14:paraId="2588BCD2" w14:textId="29B7942B" w:rsidR="003E4428" w:rsidRDefault="003E4428" w:rsidP="003E442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27A9">
              <w:t xml:space="preserve">Section 2: Clarifying court powers to approve or vary funding distribution methods  </w:t>
            </w:r>
          </w:p>
        </w:tc>
        <w:tc>
          <w:tcPr>
            <w:tcW w:w="1904" w:type="dxa"/>
          </w:tcPr>
          <w:p w14:paraId="09C078E4" w14:textId="02BC0307" w:rsidR="003E4428" w:rsidRPr="00B36B1D" w:rsidRDefault="003E4428" w:rsidP="003E4428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36B1D">
              <w:rPr>
                <w:sz w:val="22"/>
                <w:szCs w:val="22"/>
              </w:rPr>
              <w:t xml:space="preserve">TSY </w:t>
            </w:r>
          </w:p>
        </w:tc>
      </w:tr>
      <w:tr w:rsidR="0005645B" w14:paraId="2938EDC3" w14:textId="77777777" w:rsidTr="00577EC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4"/>
          </w:tcPr>
          <w:p w14:paraId="2C7BECD2" w14:textId="2903ABF7" w:rsidR="0005645B" w:rsidRPr="00B36B1D" w:rsidRDefault="0005645B" w:rsidP="003E4428">
            <w:pPr>
              <w:pStyle w:val="Bullet"/>
              <w:numPr>
                <w:ilvl w:val="0"/>
                <w:numId w:val="0"/>
              </w:numPr>
              <w:spacing w:before="120" w:after="120"/>
              <w:rPr>
                <w:sz w:val="22"/>
                <w:szCs w:val="22"/>
              </w:rPr>
            </w:pPr>
            <w:r w:rsidRPr="0005645B">
              <w:rPr>
                <w:sz w:val="22"/>
                <w:szCs w:val="22"/>
              </w:rPr>
              <w:t>Introducing a rebuttable presumption about the distribution of claim proceeds to cover costs</w:t>
            </w:r>
          </w:p>
        </w:tc>
      </w:tr>
      <w:tr w:rsidR="0005645B" w14:paraId="63132900" w14:textId="77777777" w:rsidTr="0027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9C320F9" w14:textId="77777777" w:rsidR="0005645B" w:rsidRPr="001538FF" w:rsidRDefault="0005645B" w:rsidP="0005645B">
            <w:pPr>
              <w:pStyle w:val="OutlineNumbered1"/>
              <w:framePr w:hSpace="0" w:wrap="auto" w:vAnchor="margin" w:hAnchor="text" w:yAlign="inline"/>
              <w:spacing w:before="120" w:after="120"/>
              <w:rPr>
                <w:b w:val="0"/>
                <w:bCs w:val="0"/>
              </w:rPr>
            </w:pPr>
          </w:p>
        </w:tc>
        <w:tc>
          <w:tcPr>
            <w:tcW w:w="5381" w:type="dxa"/>
          </w:tcPr>
          <w:p w14:paraId="2DD4C80D" w14:textId="29F0464B" w:rsidR="0005645B" w:rsidRPr="001538FF" w:rsidRDefault="0005645B" w:rsidP="0005645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</w:t>
            </w:r>
            <w:r w:rsidRPr="001538FF">
              <w:t xml:space="preserve">rebuttable presumption that the claim </w:t>
            </w:r>
            <w:r>
              <w:t xml:space="preserve">proceeds </w:t>
            </w:r>
            <w:r w:rsidRPr="001538FF">
              <w:t xml:space="preserve">distribution method is not fair and reasonable if </w:t>
            </w:r>
            <w:r>
              <w:t xml:space="preserve">more </w:t>
            </w:r>
            <w:r w:rsidRPr="001538FF">
              <w:t xml:space="preserve">than </w:t>
            </w:r>
            <w:r>
              <w:t>3</w:t>
            </w:r>
            <w:r w:rsidRPr="001538FF">
              <w:t xml:space="preserve">0 percent </w:t>
            </w:r>
            <w:r>
              <w:t xml:space="preserve">(in aggregate) </w:t>
            </w:r>
            <w:r w:rsidRPr="001538FF">
              <w:t xml:space="preserve">of the claim proceeds for the scheme </w:t>
            </w:r>
            <w:r>
              <w:t xml:space="preserve">is </w:t>
            </w:r>
            <w:r w:rsidRPr="001538FF">
              <w:t xml:space="preserve">to be </w:t>
            </w:r>
            <w:r>
              <w:t xml:space="preserve">paid or </w:t>
            </w:r>
            <w:r w:rsidRPr="001538FF">
              <w:t xml:space="preserve">distributed to </w:t>
            </w:r>
            <w:r>
              <w:t xml:space="preserve">entities who are not </w:t>
            </w:r>
            <w:r w:rsidRPr="001538FF">
              <w:t>the scheme’s general members</w:t>
            </w:r>
            <w:r w:rsidR="0043713D">
              <w:t xml:space="preserve">. </w:t>
            </w:r>
          </w:p>
        </w:tc>
        <w:tc>
          <w:tcPr>
            <w:tcW w:w="6095" w:type="dxa"/>
          </w:tcPr>
          <w:p w14:paraId="6AD40919" w14:textId="77777777" w:rsidR="0005645B" w:rsidRPr="001A7D63" w:rsidRDefault="0005645B" w:rsidP="0005645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A7D63">
              <w:rPr>
                <w:b/>
                <w:bCs/>
              </w:rPr>
              <w:t>Reports</w:t>
            </w:r>
          </w:p>
          <w:p w14:paraId="636DE650" w14:textId="77777777" w:rsidR="0005645B" w:rsidRPr="005F4D3E" w:rsidRDefault="0005645B" w:rsidP="0005645B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D63">
              <w:rPr>
                <w:sz w:val="22"/>
                <w:szCs w:val="22"/>
              </w:rPr>
              <w:t>PJC Report: Chapter 13</w:t>
            </w:r>
            <w:r>
              <w:rPr>
                <w:sz w:val="22"/>
                <w:szCs w:val="22"/>
              </w:rPr>
              <w:t xml:space="preserve"> </w:t>
            </w:r>
            <w:r w:rsidRPr="005F4D3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</w:t>
            </w:r>
            <w:r w:rsidRPr="005F4D3E">
              <w:rPr>
                <w:sz w:val="22"/>
                <w:szCs w:val="22"/>
              </w:rPr>
              <w:t>p. 189 –</w:t>
            </w:r>
            <w:r>
              <w:rPr>
                <w:sz w:val="22"/>
                <w:szCs w:val="22"/>
              </w:rPr>
              <w:t xml:space="preserve"> </w:t>
            </w:r>
            <w:r w:rsidRPr="005F4D3E">
              <w:rPr>
                <w:sz w:val="22"/>
                <w:szCs w:val="22"/>
              </w:rPr>
              <w:t>206)</w:t>
            </w:r>
            <w:r>
              <w:rPr>
                <w:sz w:val="22"/>
                <w:szCs w:val="22"/>
              </w:rPr>
              <w:t xml:space="preserve">, Recommendation 20 </w:t>
            </w:r>
          </w:p>
          <w:p w14:paraId="0A296A00" w14:textId="77777777" w:rsidR="0005645B" w:rsidRDefault="0005645B" w:rsidP="0005645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Supplementary analysis</w:t>
            </w:r>
          </w:p>
          <w:p w14:paraId="570B5B29" w14:textId="71D43ACB" w:rsidR="0005645B" w:rsidRPr="001A7D63" w:rsidRDefault="0005645B" w:rsidP="0005645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Section 3</w:t>
            </w:r>
            <w:r w:rsidRPr="001D1A1F">
              <w:t xml:space="preserve">: Introducing a rebuttable presumption about the distribution of claim proceeds to cover costs </w:t>
            </w:r>
          </w:p>
        </w:tc>
        <w:tc>
          <w:tcPr>
            <w:tcW w:w="1904" w:type="dxa"/>
          </w:tcPr>
          <w:p w14:paraId="69B515D3" w14:textId="75E071CF" w:rsidR="0005645B" w:rsidRPr="00B36B1D" w:rsidRDefault="0005645B" w:rsidP="0005645B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36B1D">
              <w:rPr>
                <w:sz w:val="22"/>
                <w:szCs w:val="22"/>
              </w:rPr>
              <w:t>TSY</w:t>
            </w:r>
            <w:r>
              <w:t xml:space="preserve"> </w:t>
            </w:r>
          </w:p>
        </w:tc>
      </w:tr>
      <w:tr w:rsidR="0005645B" w14:paraId="32888E32" w14:textId="6D501A83" w:rsidTr="000C4C2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4"/>
          </w:tcPr>
          <w:p w14:paraId="35160B40" w14:textId="5A6BA4D4" w:rsidR="0005645B" w:rsidRPr="001538FF" w:rsidRDefault="0005645B" w:rsidP="0005645B">
            <w:pPr>
              <w:keepNext/>
              <w:spacing w:before="120" w:after="120"/>
            </w:pPr>
            <w:r>
              <w:lastRenderedPageBreak/>
              <w:t>Requiring a consideration of fee assessor and contradictor advice and payment of costs</w:t>
            </w:r>
          </w:p>
        </w:tc>
      </w:tr>
      <w:tr w:rsidR="0005645B" w14:paraId="0E549985" w14:textId="77777777" w:rsidTr="0027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F42DC48" w14:textId="77777777" w:rsidR="0005645B" w:rsidRPr="001538FF" w:rsidRDefault="0005645B" w:rsidP="0005645B">
            <w:pPr>
              <w:pStyle w:val="OutlineNumbered1"/>
              <w:framePr w:hSpace="0" w:wrap="auto" w:vAnchor="margin" w:hAnchor="text" w:yAlign="inline"/>
              <w:spacing w:before="120" w:after="120"/>
              <w:rPr>
                <w:b w:val="0"/>
                <w:bCs w:val="0"/>
              </w:rPr>
            </w:pPr>
          </w:p>
        </w:tc>
        <w:tc>
          <w:tcPr>
            <w:tcW w:w="5381" w:type="dxa"/>
          </w:tcPr>
          <w:p w14:paraId="2309A3EE" w14:textId="41FC0214" w:rsidR="0005645B" w:rsidRPr="001538FF" w:rsidRDefault="0005645B" w:rsidP="0005645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6170">
              <w:t>The constitution of a class action funding scheme must provide that each funding agreement require the funder to pay the reasonable costs of a litigation funding fees assessor or contradictor unless a court orders otherwise. Any contrary agreement or arrangement is unenforceable</w:t>
            </w:r>
            <w:r w:rsidR="0043713D">
              <w:t xml:space="preserve">. </w:t>
            </w:r>
          </w:p>
        </w:tc>
        <w:tc>
          <w:tcPr>
            <w:tcW w:w="6095" w:type="dxa"/>
          </w:tcPr>
          <w:p w14:paraId="2DB69C4D" w14:textId="77777777" w:rsidR="0005645B" w:rsidRDefault="0005645B" w:rsidP="0005645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Reports</w:t>
            </w:r>
          </w:p>
          <w:p w14:paraId="5197047F" w14:textId="77777777" w:rsidR="0005645B" w:rsidRPr="00E908D6" w:rsidRDefault="0005645B" w:rsidP="0005645B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8D6">
              <w:rPr>
                <w:sz w:val="22"/>
                <w:szCs w:val="22"/>
              </w:rPr>
              <w:t>PJC Report: Chapter 11</w:t>
            </w:r>
            <w:r>
              <w:rPr>
                <w:sz w:val="22"/>
                <w:szCs w:val="22"/>
              </w:rPr>
              <w:t xml:space="preserve"> </w:t>
            </w:r>
            <w:r w:rsidRPr="00E908D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</w:t>
            </w:r>
            <w:r w:rsidRPr="00E908D6">
              <w:rPr>
                <w:sz w:val="22"/>
                <w:szCs w:val="22"/>
              </w:rPr>
              <w:t>p. 147 – 170)</w:t>
            </w:r>
            <w:r>
              <w:rPr>
                <w:sz w:val="22"/>
                <w:szCs w:val="22"/>
              </w:rPr>
              <w:t>, Recommendations 16, 18</w:t>
            </w:r>
          </w:p>
          <w:p w14:paraId="299463C4" w14:textId="77777777" w:rsidR="0005645B" w:rsidRPr="00FA19E6" w:rsidRDefault="0005645B" w:rsidP="0005645B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8D6">
              <w:rPr>
                <w:sz w:val="22"/>
                <w:szCs w:val="22"/>
              </w:rPr>
              <w:t>ALRC Report: Section 5</w:t>
            </w:r>
            <w:r>
              <w:rPr>
                <w:sz w:val="22"/>
                <w:szCs w:val="22"/>
              </w:rPr>
              <w:t xml:space="preserve"> </w:t>
            </w:r>
            <w:r w:rsidRPr="00FA19E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</w:t>
            </w:r>
            <w:r w:rsidRPr="00FA19E6">
              <w:rPr>
                <w:sz w:val="22"/>
                <w:szCs w:val="22"/>
              </w:rPr>
              <w:t>p. 136 – 141)</w:t>
            </w:r>
            <w:r>
              <w:rPr>
                <w:sz w:val="22"/>
                <w:szCs w:val="22"/>
              </w:rPr>
              <w:t xml:space="preserve"> </w:t>
            </w:r>
          </w:p>
          <w:p w14:paraId="3CC411B2" w14:textId="77777777" w:rsidR="0005645B" w:rsidRPr="00A96170" w:rsidRDefault="0005645B" w:rsidP="0005645B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A96170">
              <w:rPr>
                <w:b/>
                <w:bCs/>
                <w:sz w:val="22"/>
                <w:szCs w:val="22"/>
              </w:rPr>
              <w:t>Supplementary analysis</w:t>
            </w:r>
          </w:p>
          <w:p w14:paraId="48E7BC0B" w14:textId="77777777" w:rsidR="0005645B" w:rsidRDefault="0005645B" w:rsidP="0005645B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Section 4: Requiring consideration of fee assessor and contradictor advice and payment of costs</w:t>
            </w:r>
          </w:p>
          <w:p w14:paraId="43E298E8" w14:textId="7D25DECA" w:rsidR="0005645B" w:rsidRDefault="0005645B" w:rsidP="0005645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Section 5: Extending the jurisdictional impact of some recommendations </w:t>
            </w:r>
          </w:p>
        </w:tc>
        <w:tc>
          <w:tcPr>
            <w:tcW w:w="1904" w:type="dxa"/>
          </w:tcPr>
          <w:p w14:paraId="6710E601" w14:textId="30E0E1B2" w:rsidR="0005645B" w:rsidRPr="00B36B1D" w:rsidRDefault="0005645B" w:rsidP="0005645B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36B1D">
              <w:rPr>
                <w:sz w:val="22"/>
                <w:szCs w:val="22"/>
              </w:rPr>
              <w:t>AGD</w:t>
            </w:r>
          </w:p>
        </w:tc>
      </w:tr>
      <w:tr w:rsidR="0005645B" w14:paraId="2DAA8210" w14:textId="69ADE957" w:rsidTr="00276C3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4A00B98" w14:textId="77777777" w:rsidR="0005645B" w:rsidRPr="001538FF" w:rsidRDefault="0005645B" w:rsidP="0005645B">
            <w:pPr>
              <w:pStyle w:val="OutlineNumbered1"/>
              <w:framePr w:hSpace="0" w:wrap="auto" w:vAnchor="margin" w:hAnchor="text" w:yAlign="inline"/>
              <w:spacing w:before="120" w:after="120"/>
              <w:rPr>
                <w:b w:val="0"/>
                <w:bCs w:val="0"/>
              </w:rPr>
            </w:pPr>
          </w:p>
        </w:tc>
        <w:tc>
          <w:tcPr>
            <w:tcW w:w="5381" w:type="dxa"/>
          </w:tcPr>
          <w:p w14:paraId="65899805" w14:textId="0F98C487" w:rsidR="0005645B" w:rsidRPr="001538FF" w:rsidRDefault="0005645B" w:rsidP="0005645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8FF">
              <w:t xml:space="preserve">If the Court has referred the funding agreement to a litigation fee assessor for inquiry into the funder’s remuneration, the </w:t>
            </w:r>
            <w:r w:rsidR="0043713D">
              <w:t>C</w:t>
            </w:r>
            <w:r w:rsidRPr="001538FF">
              <w:t>ourt must receive and consider the assessor’s report unless it is not in the interests of justice to do so</w:t>
            </w:r>
            <w:r w:rsidR="0043713D">
              <w:t>.</w:t>
            </w:r>
          </w:p>
        </w:tc>
        <w:tc>
          <w:tcPr>
            <w:tcW w:w="6095" w:type="dxa"/>
          </w:tcPr>
          <w:p w14:paraId="7BFAD250" w14:textId="77777777" w:rsidR="0005645B" w:rsidRDefault="0005645B" w:rsidP="0005645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Reports</w:t>
            </w:r>
          </w:p>
          <w:p w14:paraId="60634098" w14:textId="61B0C313" w:rsidR="0005645B" w:rsidRPr="00E908D6" w:rsidRDefault="0005645B" w:rsidP="0005645B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8D6">
              <w:rPr>
                <w:sz w:val="22"/>
                <w:szCs w:val="22"/>
              </w:rPr>
              <w:t>PJC Report: Chapter 11</w:t>
            </w:r>
            <w:r>
              <w:rPr>
                <w:sz w:val="22"/>
                <w:szCs w:val="22"/>
              </w:rPr>
              <w:t xml:space="preserve"> </w:t>
            </w:r>
            <w:r w:rsidRPr="00E908D6">
              <w:rPr>
                <w:sz w:val="22"/>
                <w:szCs w:val="22"/>
              </w:rPr>
              <w:t>(p</w:t>
            </w:r>
            <w:r>
              <w:rPr>
                <w:sz w:val="22"/>
                <w:szCs w:val="22"/>
              </w:rPr>
              <w:t>p</w:t>
            </w:r>
            <w:r w:rsidRPr="00E908D6">
              <w:rPr>
                <w:sz w:val="22"/>
                <w:szCs w:val="22"/>
              </w:rPr>
              <w:t>. 147 –</w:t>
            </w:r>
            <w:r>
              <w:rPr>
                <w:sz w:val="22"/>
                <w:szCs w:val="22"/>
              </w:rPr>
              <w:t xml:space="preserve"> </w:t>
            </w:r>
            <w:r w:rsidRPr="00E908D6">
              <w:rPr>
                <w:sz w:val="22"/>
                <w:szCs w:val="22"/>
              </w:rPr>
              <w:t>170)</w:t>
            </w:r>
            <w:r>
              <w:rPr>
                <w:sz w:val="22"/>
                <w:szCs w:val="22"/>
              </w:rPr>
              <w:t xml:space="preserve">, Recommendation 13 </w:t>
            </w:r>
          </w:p>
          <w:p w14:paraId="5AB1F909" w14:textId="55389DAC" w:rsidR="0005645B" w:rsidRPr="00E908D6" w:rsidRDefault="0005645B" w:rsidP="0005645B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8D6">
              <w:rPr>
                <w:sz w:val="22"/>
                <w:szCs w:val="22"/>
              </w:rPr>
              <w:t>ALRC Report: Section 5</w:t>
            </w:r>
            <w:r>
              <w:rPr>
                <w:sz w:val="22"/>
                <w:szCs w:val="22"/>
              </w:rPr>
              <w:t xml:space="preserve"> </w:t>
            </w:r>
            <w:r w:rsidRPr="00E908D6">
              <w:rPr>
                <w:sz w:val="22"/>
                <w:szCs w:val="22"/>
              </w:rPr>
              <w:t>(p</w:t>
            </w:r>
            <w:r>
              <w:rPr>
                <w:sz w:val="22"/>
                <w:szCs w:val="22"/>
              </w:rPr>
              <w:t>p</w:t>
            </w:r>
            <w:r w:rsidRPr="00E908D6">
              <w:rPr>
                <w:sz w:val="22"/>
                <w:szCs w:val="22"/>
              </w:rPr>
              <w:t xml:space="preserve">. 136 – 141) </w:t>
            </w:r>
          </w:p>
          <w:p w14:paraId="178A2AF9" w14:textId="77777777" w:rsidR="0005645B" w:rsidRPr="00A96170" w:rsidRDefault="0005645B" w:rsidP="0005645B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A96170">
              <w:rPr>
                <w:b/>
                <w:bCs/>
                <w:sz w:val="22"/>
                <w:szCs w:val="22"/>
              </w:rPr>
              <w:t>Supplementary analysis</w:t>
            </w:r>
          </w:p>
          <w:p w14:paraId="071575B3" w14:textId="4DC8F431" w:rsidR="0005645B" w:rsidRDefault="0005645B" w:rsidP="0005645B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A7028">
              <w:rPr>
                <w:sz w:val="22"/>
                <w:szCs w:val="22"/>
              </w:rPr>
              <w:t xml:space="preserve">Section </w:t>
            </w:r>
            <w:r>
              <w:rPr>
                <w:sz w:val="22"/>
                <w:szCs w:val="22"/>
              </w:rPr>
              <w:t>4</w:t>
            </w:r>
            <w:r w:rsidRPr="000A7028">
              <w:rPr>
                <w:sz w:val="22"/>
                <w:szCs w:val="22"/>
              </w:rPr>
              <w:t>: Requir</w:t>
            </w:r>
            <w:r>
              <w:rPr>
                <w:sz w:val="22"/>
                <w:szCs w:val="22"/>
              </w:rPr>
              <w:t>ing</w:t>
            </w:r>
            <w:r w:rsidRPr="000A7028">
              <w:rPr>
                <w:sz w:val="22"/>
                <w:szCs w:val="22"/>
              </w:rPr>
              <w:t xml:space="preserve"> consideration of fee assessor and contradictor advice and payment of costs</w:t>
            </w:r>
          </w:p>
          <w:p w14:paraId="6A99E9C8" w14:textId="3E32F327" w:rsidR="0005645B" w:rsidRPr="0010551D" w:rsidRDefault="0005645B" w:rsidP="0005645B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Section </w:t>
            </w:r>
            <w:r w:rsidR="00DE2E1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: Extending the jurisdictional impact of some recommendations</w:t>
            </w:r>
          </w:p>
        </w:tc>
        <w:tc>
          <w:tcPr>
            <w:tcW w:w="1904" w:type="dxa"/>
          </w:tcPr>
          <w:p w14:paraId="4FDD8CA4" w14:textId="1589C2DC" w:rsidR="0005645B" w:rsidRPr="0010551D" w:rsidRDefault="0005645B" w:rsidP="0005645B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6B1D">
              <w:rPr>
                <w:sz w:val="22"/>
                <w:szCs w:val="22"/>
              </w:rPr>
              <w:t>AGD</w:t>
            </w:r>
          </w:p>
        </w:tc>
      </w:tr>
      <w:tr w:rsidR="0005645B" w14:paraId="52697415" w14:textId="7EC1812E" w:rsidTr="0027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336D267" w14:textId="77777777" w:rsidR="0005645B" w:rsidRPr="001538FF" w:rsidRDefault="0005645B" w:rsidP="0005645B">
            <w:pPr>
              <w:pStyle w:val="OutlineNumbered1"/>
              <w:framePr w:hSpace="0" w:wrap="auto" w:vAnchor="margin" w:hAnchor="text" w:yAlign="inline"/>
              <w:spacing w:before="120" w:after="120"/>
              <w:rPr>
                <w:b w:val="0"/>
                <w:bCs w:val="0"/>
              </w:rPr>
            </w:pPr>
          </w:p>
        </w:tc>
        <w:tc>
          <w:tcPr>
            <w:tcW w:w="5381" w:type="dxa"/>
          </w:tcPr>
          <w:p w14:paraId="62D9A2ED" w14:textId="1C4AC2EA" w:rsidR="0005645B" w:rsidRPr="001538FF" w:rsidRDefault="0005645B" w:rsidP="0005645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8FF">
              <w:t xml:space="preserve">Where the </w:t>
            </w:r>
            <w:r w:rsidR="0043713D">
              <w:t>C</w:t>
            </w:r>
            <w:r w:rsidRPr="001538FF">
              <w:t xml:space="preserve">ourt has appointed a contradictor to represent the scheme’s general members, the </w:t>
            </w:r>
            <w:r w:rsidR="0043713D">
              <w:t>C</w:t>
            </w:r>
            <w:r w:rsidRPr="001538FF">
              <w:t>ourt must consider the contradictor’s representations in deciding to approve or vary the claim proceed distribution method unless it is not in the interests of justice</w:t>
            </w:r>
            <w:r w:rsidR="0043713D">
              <w:t>.</w:t>
            </w:r>
            <w:r w:rsidRPr="001538FF">
              <w:t xml:space="preserve"> </w:t>
            </w:r>
          </w:p>
        </w:tc>
        <w:tc>
          <w:tcPr>
            <w:tcW w:w="6095" w:type="dxa"/>
          </w:tcPr>
          <w:p w14:paraId="5795C176" w14:textId="77777777" w:rsidR="0005645B" w:rsidRDefault="0005645B" w:rsidP="0005645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Reports</w:t>
            </w:r>
          </w:p>
          <w:p w14:paraId="272B9F1D" w14:textId="70089B88" w:rsidR="0005645B" w:rsidRPr="00E908D6" w:rsidRDefault="0005645B" w:rsidP="0005645B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8D6">
              <w:rPr>
                <w:sz w:val="22"/>
                <w:szCs w:val="22"/>
              </w:rPr>
              <w:t>PJC Report: Chapter 11</w:t>
            </w:r>
            <w:r>
              <w:rPr>
                <w:sz w:val="22"/>
                <w:szCs w:val="22"/>
              </w:rPr>
              <w:t xml:space="preserve"> </w:t>
            </w:r>
            <w:r w:rsidRPr="00E908D6">
              <w:rPr>
                <w:sz w:val="22"/>
                <w:szCs w:val="22"/>
              </w:rPr>
              <w:t>(p</w:t>
            </w:r>
            <w:r>
              <w:rPr>
                <w:sz w:val="22"/>
                <w:szCs w:val="22"/>
              </w:rPr>
              <w:t>p</w:t>
            </w:r>
            <w:r w:rsidRPr="00E908D6">
              <w:rPr>
                <w:sz w:val="22"/>
                <w:szCs w:val="22"/>
              </w:rPr>
              <w:t>. 147 –</w:t>
            </w:r>
            <w:r>
              <w:rPr>
                <w:sz w:val="22"/>
                <w:szCs w:val="22"/>
              </w:rPr>
              <w:t xml:space="preserve"> </w:t>
            </w:r>
            <w:r w:rsidRPr="00E908D6">
              <w:rPr>
                <w:sz w:val="22"/>
                <w:szCs w:val="22"/>
              </w:rPr>
              <w:t>170)</w:t>
            </w:r>
            <w:r>
              <w:rPr>
                <w:sz w:val="22"/>
                <w:szCs w:val="22"/>
              </w:rPr>
              <w:t xml:space="preserve">, Recommendation 18 </w:t>
            </w:r>
          </w:p>
          <w:p w14:paraId="4F83EDCE" w14:textId="1543AF7D" w:rsidR="0005645B" w:rsidRPr="00E908D6" w:rsidRDefault="0005645B" w:rsidP="0005645B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8D6">
              <w:rPr>
                <w:sz w:val="22"/>
                <w:szCs w:val="22"/>
              </w:rPr>
              <w:t>ALRC Report: Section 5</w:t>
            </w:r>
            <w:r>
              <w:rPr>
                <w:sz w:val="22"/>
                <w:szCs w:val="22"/>
              </w:rPr>
              <w:t xml:space="preserve"> </w:t>
            </w:r>
            <w:r w:rsidRPr="00E908D6">
              <w:rPr>
                <w:sz w:val="22"/>
                <w:szCs w:val="22"/>
              </w:rPr>
              <w:t>(p</w:t>
            </w:r>
            <w:r>
              <w:rPr>
                <w:sz w:val="22"/>
                <w:szCs w:val="22"/>
              </w:rPr>
              <w:t>p</w:t>
            </w:r>
            <w:r w:rsidRPr="00E908D6">
              <w:rPr>
                <w:sz w:val="22"/>
                <w:szCs w:val="22"/>
              </w:rPr>
              <w:t xml:space="preserve">. 136 – 141) </w:t>
            </w:r>
          </w:p>
          <w:p w14:paraId="6C7861FE" w14:textId="77777777" w:rsidR="0005645B" w:rsidRPr="00A96170" w:rsidRDefault="0005645B" w:rsidP="0005645B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A96170">
              <w:rPr>
                <w:b/>
                <w:bCs/>
                <w:sz w:val="22"/>
                <w:szCs w:val="22"/>
              </w:rPr>
              <w:t>Supplementary analysis</w:t>
            </w:r>
          </w:p>
          <w:p w14:paraId="4BF1E5FA" w14:textId="6DA3CF9E" w:rsidR="0005645B" w:rsidRDefault="0005645B" w:rsidP="0005645B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A7028">
              <w:rPr>
                <w:sz w:val="22"/>
                <w:szCs w:val="22"/>
              </w:rPr>
              <w:t xml:space="preserve">Section </w:t>
            </w:r>
            <w:r>
              <w:rPr>
                <w:sz w:val="22"/>
                <w:szCs w:val="22"/>
              </w:rPr>
              <w:t>4</w:t>
            </w:r>
            <w:r w:rsidRPr="000A7028">
              <w:rPr>
                <w:sz w:val="22"/>
                <w:szCs w:val="22"/>
              </w:rPr>
              <w:t>: Requir</w:t>
            </w:r>
            <w:r>
              <w:rPr>
                <w:sz w:val="22"/>
                <w:szCs w:val="22"/>
              </w:rPr>
              <w:t>ing</w:t>
            </w:r>
            <w:r w:rsidRPr="000A7028">
              <w:rPr>
                <w:sz w:val="22"/>
                <w:szCs w:val="22"/>
              </w:rPr>
              <w:t xml:space="preserve"> consideration of fee assessor and contradictor advice and payment of costs</w:t>
            </w:r>
          </w:p>
          <w:p w14:paraId="524C4114" w14:textId="68D26D88" w:rsidR="0005645B" w:rsidRPr="0010551D" w:rsidRDefault="0005645B" w:rsidP="0005645B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Section </w:t>
            </w:r>
            <w:r w:rsidR="00DE2E1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: Extending the jurisdictional impact of some recommendations</w:t>
            </w:r>
          </w:p>
        </w:tc>
        <w:tc>
          <w:tcPr>
            <w:tcW w:w="1904" w:type="dxa"/>
          </w:tcPr>
          <w:p w14:paraId="6085B9E5" w14:textId="74A5EE99" w:rsidR="0005645B" w:rsidRPr="0010551D" w:rsidRDefault="0005645B" w:rsidP="0005645B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0551D">
              <w:rPr>
                <w:sz w:val="22"/>
                <w:szCs w:val="22"/>
              </w:rPr>
              <w:t>AGD</w:t>
            </w:r>
          </w:p>
        </w:tc>
      </w:tr>
      <w:tr w:rsidR="00DE2E17" w14:paraId="21EFEB39" w14:textId="77777777" w:rsidTr="00DD2A3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4"/>
          </w:tcPr>
          <w:p w14:paraId="1F83E4DE" w14:textId="4D69A17E" w:rsidR="00DE2E17" w:rsidRPr="0010551D" w:rsidRDefault="00DE2E17" w:rsidP="0005645B">
            <w:pPr>
              <w:pStyle w:val="Bullet"/>
              <w:numPr>
                <w:ilvl w:val="0"/>
                <w:numId w:val="0"/>
              </w:numPr>
              <w:spacing w:before="120" w:after="120"/>
              <w:rPr>
                <w:sz w:val="22"/>
                <w:szCs w:val="22"/>
              </w:rPr>
            </w:pPr>
            <w:r w:rsidRPr="004E3B7C">
              <w:rPr>
                <w:sz w:val="22"/>
                <w:szCs w:val="22"/>
              </w:rPr>
              <w:t>Extending the jurisdictional impact of some recommendations</w:t>
            </w:r>
          </w:p>
        </w:tc>
      </w:tr>
      <w:tr w:rsidR="00DE2E17" w14:paraId="4D5A2855" w14:textId="77777777" w:rsidTr="0027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DC9E4F4" w14:textId="77777777" w:rsidR="00DE2E17" w:rsidRPr="001538FF" w:rsidRDefault="00DE2E17" w:rsidP="00DE2E17">
            <w:pPr>
              <w:pStyle w:val="OutlineNumbered1"/>
              <w:framePr w:hSpace="0" w:wrap="auto" w:vAnchor="margin" w:hAnchor="text" w:yAlign="inline"/>
              <w:spacing w:before="120" w:after="120"/>
              <w:rPr>
                <w:b w:val="0"/>
                <w:bCs w:val="0"/>
              </w:rPr>
            </w:pPr>
          </w:p>
        </w:tc>
        <w:tc>
          <w:tcPr>
            <w:tcW w:w="5381" w:type="dxa"/>
          </w:tcPr>
          <w:p w14:paraId="65613736" w14:textId="4003E1CF" w:rsidR="00DE2E17" w:rsidRPr="001538FF" w:rsidRDefault="006B5722" w:rsidP="00DE2E1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Elements listed at rows 1, 3, 4, 7, 8</w:t>
            </w:r>
            <w:r w:rsidR="00DA0A9E">
              <w:t xml:space="preserve">, </w:t>
            </w:r>
            <w:r>
              <w:t xml:space="preserve">9 </w:t>
            </w:r>
            <w:r w:rsidR="00DA0A9E">
              <w:t xml:space="preserve">and 15 </w:t>
            </w:r>
            <w:r>
              <w:t>of this table.</w:t>
            </w:r>
          </w:p>
        </w:tc>
        <w:tc>
          <w:tcPr>
            <w:tcW w:w="6095" w:type="dxa"/>
          </w:tcPr>
          <w:p w14:paraId="4D0F1780" w14:textId="77777777" w:rsidR="00DE2E17" w:rsidRDefault="006B5722" w:rsidP="00DE2E1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Reports</w:t>
            </w:r>
          </w:p>
          <w:p w14:paraId="7631A7BB" w14:textId="561A5A3B" w:rsidR="006B5722" w:rsidRPr="006B5722" w:rsidRDefault="006B5722" w:rsidP="00DE2E1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722">
              <w:t xml:space="preserve">PJC Report: </w:t>
            </w:r>
            <w:r>
              <w:t xml:space="preserve">Recommendations </w:t>
            </w:r>
            <w:r w:rsidR="00DA0A9E">
              <w:t>7, 11, 12, 13, 16, 18</w:t>
            </w:r>
          </w:p>
          <w:p w14:paraId="2A511C92" w14:textId="77777777" w:rsidR="006B5722" w:rsidRDefault="006B5722" w:rsidP="00DE2E1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5722">
              <w:t>ALRC Report:</w:t>
            </w:r>
            <w:r w:rsidR="00DA0A9E">
              <w:t xml:space="preserve"> Recommendation 14</w:t>
            </w:r>
          </w:p>
          <w:p w14:paraId="2E56161B" w14:textId="77777777" w:rsidR="00DA0A9E" w:rsidRPr="00A96170" w:rsidRDefault="00DA0A9E" w:rsidP="00DA0A9E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A96170">
              <w:rPr>
                <w:b/>
                <w:bCs/>
                <w:sz w:val="22"/>
                <w:szCs w:val="22"/>
              </w:rPr>
              <w:t>Supplementary analysis</w:t>
            </w:r>
          </w:p>
          <w:p w14:paraId="5D8FF2E6" w14:textId="4AF6F62B" w:rsidR="00DA0A9E" w:rsidRDefault="00DA0A9E" w:rsidP="00DA0A9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Section 5: Extending the jurisdictional impact of some recommendations</w:t>
            </w:r>
          </w:p>
        </w:tc>
        <w:tc>
          <w:tcPr>
            <w:tcW w:w="1904" w:type="dxa"/>
          </w:tcPr>
          <w:p w14:paraId="76664B0D" w14:textId="09DABD60" w:rsidR="00DE2E17" w:rsidRPr="0010551D" w:rsidRDefault="00DA0A9E" w:rsidP="00DE2E17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AGD</w:t>
            </w:r>
          </w:p>
        </w:tc>
      </w:tr>
      <w:tr w:rsidR="00DE2E17" w14:paraId="4C45032B" w14:textId="23414F7A" w:rsidTr="007645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4" w:type="dxa"/>
            <w:gridSpan w:val="3"/>
          </w:tcPr>
          <w:p w14:paraId="0EBEE432" w14:textId="24C0DFFE" w:rsidR="00DE2E17" w:rsidRPr="001538FF" w:rsidRDefault="00DE2E17" w:rsidP="00DE2E17">
            <w:pPr>
              <w:keepNext/>
              <w:spacing w:before="120" w:after="120"/>
            </w:pPr>
            <w:r>
              <w:lastRenderedPageBreak/>
              <w:t>Addressing conflicts of interest involving plaintiffs’ lawyers and funder</w:t>
            </w:r>
          </w:p>
        </w:tc>
        <w:tc>
          <w:tcPr>
            <w:tcW w:w="1904" w:type="dxa"/>
          </w:tcPr>
          <w:p w14:paraId="1B92C042" w14:textId="77777777" w:rsidR="00DE2E17" w:rsidRPr="001538FF" w:rsidRDefault="00DE2E17" w:rsidP="00DE2E1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2E17" w14:paraId="067A7739" w14:textId="1B3304D5" w:rsidTr="0027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E60CE6B" w14:textId="77777777" w:rsidR="00DE2E17" w:rsidRPr="001538FF" w:rsidRDefault="00DE2E17" w:rsidP="00DE2E17">
            <w:pPr>
              <w:pStyle w:val="OutlineNumbered1"/>
              <w:framePr w:hSpace="0" w:wrap="auto" w:vAnchor="margin" w:hAnchor="text" w:yAlign="inline"/>
              <w:spacing w:before="120" w:after="120"/>
              <w:rPr>
                <w:b w:val="0"/>
                <w:bCs w:val="0"/>
              </w:rPr>
            </w:pPr>
          </w:p>
        </w:tc>
        <w:tc>
          <w:tcPr>
            <w:tcW w:w="5381" w:type="dxa"/>
          </w:tcPr>
          <w:p w14:paraId="6FD7264A" w14:textId="5E2DE9CD" w:rsidR="00DE2E17" w:rsidRPr="001538FF" w:rsidRDefault="00DE2E17" w:rsidP="00DE2E1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8FF">
              <w:t>As a condition of its Australian Financial Services Licence (AFSL), funders of a litigation funding scheme must maintain adequate practices for ensuring lawyers providing services in relation to the scheme do not have a material financial interest in the funder</w:t>
            </w:r>
            <w:r w:rsidR="0043713D">
              <w:t>.</w:t>
            </w:r>
          </w:p>
        </w:tc>
        <w:tc>
          <w:tcPr>
            <w:tcW w:w="6095" w:type="dxa"/>
          </w:tcPr>
          <w:p w14:paraId="27AFE5A1" w14:textId="47CE5C70" w:rsidR="00DE2E17" w:rsidRPr="000A7028" w:rsidRDefault="00DE2E17" w:rsidP="00DE2E17">
            <w:pPr>
              <w:pStyle w:val="Bullet"/>
              <w:numPr>
                <w:ilvl w:val="0"/>
                <w:numId w:val="0"/>
              </w:numPr>
              <w:spacing w:before="120" w:after="12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A7028">
              <w:rPr>
                <w:b/>
                <w:bCs/>
                <w:sz w:val="22"/>
                <w:szCs w:val="22"/>
              </w:rPr>
              <w:t>Reports</w:t>
            </w:r>
          </w:p>
          <w:p w14:paraId="5C252949" w14:textId="2CD4790E" w:rsidR="00DE2E17" w:rsidRPr="006A08A5" w:rsidRDefault="00DE2E17" w:rsidP="00DE2E17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A08A5">
              <w:rPr>
                <w:sz w:val="22"/>
                <w:szCs w:val="22"/>
              </w:rPr>
              <w:t>PJC Report: Chapter 15</w:t>
            </w:r>
            <w:r>
              <w:rPr>
                <w:sz w:val="22"/>
                <w:szCs w:val="22"/>
              </w:rPr>
              <w:t xml:space="preserve"> </w:t>
            </w:r>
            <w:r w:rsidRPr="006A08A5">
              <w:rPr>
                <w:sz w:val="22"/>
                <w:szCs w:val="22"/>
              </w:rPr>
              <w:t>(p</w:t>
            </w:r>
            <w:r>
              <w:rPr>
                <w:sz w:val="22"/>
                <w:szCs w:val="22"/>
              </w:rPr>
              <w:t>p</w:t>
            </w:r>
            <w:r w:rsidRPr="006A08A5">
              <w:rPr>
                <w:sz w:val="22"/>
                <w:szCs w:val="22"/>
              </w:rPr>
              <w:t>. 255 – 283)</w:t>
            </w:r>
            <w:r>
              <w:rPr>
                <w:sz w:val="22"/>
                <w:szCs w:val="22"/>
              </w:rPr>
              <w:t>, Recommendation 26</w:t>
            </w:r>
          </w:p>
          <w:p w14:paraId="34A1AFE8" w14:textId="65A3AA1B" w:rsidR="00DE2E17" w:rsidRPr="00B36B1D" w:rsidRDefault="00DE2E17" w:rsidP="00DE2E17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C3BDD">
              <w:rPr>
                <w:sz w:val="22"/>
                <w:szCs w:val="22"/>
              </w:rPr>
              <w:t xml:space="preserve">ALRC Report: Section </w:t>
            </w:r>
            <w:r>
              <w:rPr>
                <w:sz w:val="22"/>
                <w:szCs w:val="22"/>
              </w:rPr>
              <w:t xml:space="preserve">7 </w:t>
            </w:r>
            <w:r w:rsidRPr="005F4D3E">
              <w:rPr>
                <w:sz w:val="22"/>
                <w:szCs w:val="22"/>
              </w:rPr>
              <w:t>(p</w:t>
            </w:r>
            <w:r>
              <w:rPr>
                <w:sz w:val="22"/>
                <w:szCs w:val="22"/>
              </w:rPr>
              <w:t>p</w:t>
            </w:r>
            <w:r w:rsidRPr="005F4D3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 </w:t>
            </w:r>
            <w:r w:rsidRPr="005F4D3E">
              <w:rPr>
                <w:sz w:val="22"/>
                <w:szCs w:val="22"/>
              </w:rPr>
              <w:t>217 – 227)</w:t>
            </w:r>
            <w:r>
              <w:rPr>
                <w:sz w:val="22"/>
                <w:szCs w:val="22"/>
              </w:rPr>
              <w:t xml:space="preserve">, Recommendation 21 </w:t>
            </w:r>
          </w:p>
          <w:p w14:paraId="71E93541" w14:textId="77777777" w:rsidR="00DE2E17" w:rsidRDefault="00DE2E17" w:rsidP="00DE2E17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Supplementary analysis</w:t>
            </w:r>
          </w:p>
          <w:p w14:paraId="2BE4E037" w14:textId="658062A9" w:rsidR="00DE2E17" w:rsidRPr="002E3A3B" w:rsidRDefault="00DE2E17" w:rsidP="00DE2E17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719D4">
              <w:rPr>
                <w:sz w:val="22"/>
                <w:szCs w:val="22"/>
              </w:rPr>
              <w:t xml:space="preserve">Section </w:t>
            </w:r>
            <w:r>
              <w:rPr>
                <w:sz w:val="22"/>
                <w:szCs w:val="22"/>
              </w:rPr>
              <w:t>6</w:t>
            </w:r>
            <w:r w:rsidRPr="005719D4">
              <w:rPr>
                <w:sz w:val="22"/>
                <w:szCs w:val="22"/>
              </w:rPr>
              <w:t xml:space="preserve">: Addressing conflicts of interest involving plaintiffs’ lawyers and funders </w:t>
            </w:r>
          </w:p>
        </w:tc>
        <w:tc>
          <w:tcPr>
            <w:tcW w:w="1904" w:type="dxa"/>
          </w:tcPr>
          <w:p w14:paraId="0F4D1C39" w14:textId="05AC91E3" w:rsidR="00DE2E17" w:rsidRPr="00B36B1D" w:rsidRDefault="00DE2E17" w:rsidP="00DE2E17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36B1D">
              <w:rPr>
                <w:sz w:val="22"/>
                <w:szCs w:val="22"/>
              </w:rPr>
              <w:t>TSY</w:t>
            </w:r>
          </w:p>
        </w:tc>
      </w:tr>
      <w:tr w:rsidR="00DE2E17" w14:paraId="32313334" w14:textId="442DDB39" w:rsidTr="00276C3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B799283" w14:textId="77777777" w:rsidR="00DE2E17" w:rsidRPr="001538FF" w:rsidRDefault="00DE2E17" w:rsidP="00DE2E17">
            <w:pPr>
              <w:pStyle w:val="OutlineNumbered1"/>
              <w:framePr w:hSpace="0" w:wrap="auto" w:vAnchor="margin" w:hAnchor="text" w:yAlign="inline"/>
              <w:spacing w:before="120" w:after="120"/>
              <w:rPr>
                <w:b w:val="0"/>
                <w:bCs w:val="0"/>
              </w:rPr>
            </w:pPr>
          </w:p>
        </w:tc>
        <w:tc>
          <w:tcPr>
            <w:tcW w:w="5381" w:type="dxa"/>
          </w:tcPr>
          <w:p w14:paraId="42FCE34C" w14:textId="1F117097" w:rsidR="00DE2E17" w:rsidRPr="001538FF" w:rsidRDefault="00DE2E17" w:rsidP="00DE2E1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8FF">
              <w:t>As a condition of licence, lawyers providing services in relation to the scheme cannot obtain a material financial interest in the funder</w:t>
            </w:r>
            <w:r w:rsidR="0043713D">
              <w:t>.</w:t>
            </w:r>
          </w:p>
        </w:tc>
        <w:tc>
          <w:tcPr>
            <w:tcW w:w="6095" w:type="dxa"/>
          </w:tcPr>
          <w:p w14:paraId="7AA8A0E4" w14:textId="0093ABA0" w:rsidR="00DE2E17" w:rsidRPr="009A1367" w:rsidRDefault="00DE2E17" w:rsidP="00DE2E17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1105">
              <w:rPr>
                <w:sz w:val="22"/>
                <w:szCs w:val="22"/>
              </w:rPr>
              <w:t>As above</w:t>
            </w:r>
          </w:p>
        </w:tc>
        <w:tc>
          <w:tcPr>
            <w:tcW w:w="1904" w:type="dxa"/>
          </w:tcPr>
          <w:p w14:paraId="2E3FF9B1" w14:textId="4730FC24" w:rsidR="00DE2E17" w:rsidRPr="00B36B1D" w:rsidRDefault="00DE2E17" w:rsidP="00DE2E17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36B1D">
              <w:rPr>
                <w:sz w:val="22"/>
                <w:szCs w:val="22"/>
              </w:rPr>
              <w:t xml:space="preserve">As above </w:t>
            </w:r>
          </w:p>
        </w:tc>
      </w:tr>
      <w:tr w:rsidR="00DE2E17" w14:paraId="709A6BEA" w14:textId="0E880DF7" w:rsidTr="0027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06A11C5" w14:textId="77777777" w:rsidR="00DE2E17" w:rsidRPr="001538FF" w:rsidRDefault="00DE2E17" w:rsidP="00DE2E17">
            <w:pPr>
              <w:pStyle w:val="OutlineNumbered1"/>
              <w:framePr w:hSpace="0" w:wrap="auto" w:vAnchor="margin" w:hAnchor="text" w:yAlign="inline"/>
              <w:spacing w:before="120" w:after="120"/>
              <w:rPr>
                <w:b w:val="0"/>
                <w:bCs w:val="0"/>
              </w:rPr>
            </w:pPr>
          </w:p>
        </w:tc>
        <w:tc>
          <w:tcPr>
            <w:tcW w:w="5381" w:type="dxa"/>
          </w:tcPr>
          <w:p w14:paraId="43EDBA9B" w14:textId="0DB3356B" w:rsidR="00DE2E17" w:rsidRPr="001538FF" w:rsidRDefault="00DE2E17" w:rsidP="00DE2E1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38FF">
              <w:t>As a condition of licence, if a lawyer providing services in relation to the scheme does have or obtain</w:t>
            </w:r>
            <w:r>
              <w:t>s</w:t>
            </w:r>
            <w:r w:rsidRPr="001538FF">
              <w:t xml:space="preserve"> a material financial interest in the funder, the funder must take action to ensure the lawyer stops providing the services or relinquishes the interest</w:t>
            </w:r>
            <w:r w:rsidR="0043713D">
              <w:t>.</w:t>
            </w:r>
          </w:p>
        </w:tc>
        <w:tc>
          <w:tcPr>
            <w:tcW w:w="6095" w:type="dxa"/>
          </w:tcPr>
          <w:p w14:paraId="121CA95F" w14:textId="7BFBF7D7" w:rsidR="00DE2E17" w:rsidRPr="005A1105" w:rsidRDefault="00DE2E17" w:rsidP="00DE2E17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1105">
              <w:rPr>
                <w:sz w:val="22"/>
                <w:szCs w:val="22"/>
              </w:rPr>
              <w:t>As above</w:t>
            </w:r>
          </w:p>
        </w:tc>
        <w:tc>
          <w:tcPr>
            <w:tcW w:w="1904" w:type="dxa"/>
          </w:tcPr>
          <w:p w14:paraId="148C7441" w14:textId="04864165" w:rsidR="00DE2E17" w:rsidRPr="00B36B1D" w:rsidRDefault="00DE2E17" w:rsidP="00DE2E17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36B1D">
              <w:rPr>
                <w:sz w:val="22"/>
                <w:szCs w:val="22"/>
              </w:rPr>
              <w:t xml:space="preserve">As above </w:t>
            </w:r>
          </w:p>
        </w:tc>
      </w:tr>
      <w:tr w:rsidR="00DE2E17" w14:paraId="0F89D1A1" w14:textId="1E5CBFA9" w:rsidTr="00276C3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E7D6120" w14:textId="77777777" w:rsidR="00DE2E17" w:rsidRPr="001538FF" w:rsidRDefault="00DE2E17" w:rsidP="00DE2E17">
            <w:pPr>
              <w:pStyle w:val="OutlineNumbered1"/>
              <w:framePr w:hSpace="0" w:wrap="auto" w:vAnchor="margin" w:hAnchor="text" w:yAlign="inline"/>
              <w:spacing w:before="120" w:after="120"/>
              <w:rPr>
                <w:b w:val="0"/>
                <w:bCs w:val="0"/>
              </w:rPr>
            </w:pPr>
          </w:p>
        </w:tc>
        <w:tc>
          <w:tcPr>
            <w:tcW w:w="5381" w:type="dxa"/>
          </w:tcPr>
          <w:p w14:paraId="647ED085" w14:textId="5627EFE5" w:rsidR="00DE2E17" w:rsidRPr="001538FF" w:rsidRDefault="00DE2E17" w:rsidP="00DE2E1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8FF">
              <w:t>Funders of insolvency litigation funding schemes or litigation funding arrangements must maintain adequate practices for ensuring that a lawyer providing services in relation to the scheme or arrangement does not have or obtain a material financial interest in the person</w:t>
            </w:r>
            <w:r w:rsidR="0043713D">
              <w:t>.</w:t>
            </w:r>
            <w:r w:rsidRPr="001538FF">
              <w:t xml:space="preserve"> </w:t>
            </w:r>
          </w:p>
        </w:tc>
        <w:tc>
          <w:tcPr>
            <w:tcW w:w="6095" w:type="dxa"/>
          </w:tcPr>
          <w:p w14:paraId="701277C6" w14:textId="48F5FF62" w:rsidR="00DE2E17" w:rsidRPr="005A1105" w:rsidRDefault="00DE2E17" w:rsidP="00DE2E17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A1105">
              <w:rPr>
                <w:sz w:val="22"/>
                <w:szCs w:val="22"/>
              </w:rPr>
              <w:t>As above</w:t>
            </w:r>
          </w:p>
        </w:tc>
        <w:tc>
          <w:tcPr>
            <w:tcW w:w="1904" w:type="dxa"/>
          </w:tcPr>
          <w:p w14:paraId="67318AC3" w14:textId="0E429786" w:rsidR="00DE2E17" w:rsidRPr="00B36B1D" w:rsidRDefault="00DE2E17" w:rsidP="00DE2E17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36B1D">
              <w:rPr>
                <w:sz w:val="22"/>
                <w:szCs w:val="22"/>
              </w:rPr>
              <w:t>As above</w:t>
            </w:r>
          </w:p>
        </w:tc>
      </w:tr>
      <w:tr w:rsidR="006B5722" w14:paraId="44378FBA" w14:textId="77777777" w:rsidTr="00366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4"/>
          </w:tcPr>
          <w:p w14:paraId="008D3504" w14:textId="4D2E03B8" w:rsidR="006B5722" w:rsidRPr="00B36B1D" w:rsidRDefault="006B5722" w:rsidP="00462C0B">
            <w:pPr>
              <w:pStyle w:val="Bullet"/>
              <w:keepNext/>
              <w:numPr>
                <w:ilvl w:val="0"/>
                <w:numId w:val="0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Other elements </w:t>
            </w:r>
          </w:p>
        </w:tc>
      </w:tr>
      <w:tr w:rsidR="006B5722" w:rsidRPr="0010551D" w14:paraId="720AAAA3" w14:textId="77777777" w:rsidTr="009E5A8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7A2A2B0" w14:textId="77777777" w:rsidR="006B5722" w:rsidRPr="001538FF" w:rsidRDefault="006B5722" w:rsidP="009E5A85">
            <w:pPr>
              <w:pStyle w:val="OutlineNumbered1"/>
              <w:framePr w:hSpace="0" w:wrap="auto" w:vAnchor="margin" w:hAnchor="text" w:yAlign="inline"/>
              <w:spacing w:before="120" w:after="120"/>
              <w:rPr>
                <w:b w:val="0"/>
                <w:bCs w:val="0"/>
              </w:rPr>
            </w:pPr>
          </w:p>
        </w:tc>
        <w:tc>
          <w:tcPr>
            <w:tcW w:w="5381" w:type="dxa"/>
          </w:tcPr>
          <w:p w14:paraId="4548162D" w14:textId="77777777" w:rsidR="006B5722" w:rsidRPr="001538FF" w:rsidRDefault="006B5722" w:rsidP="009E5A8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38FF">
              <w:t xml:space="preserve">The constitution of a class action litigation funding scheme must provide that each funding agreement specify that the agreement is subject to the laws of a particular State or Territory and </w:t>
            </w:r>
            <w:r>
              <w:t xml:space="preserve">the </w:t>
            </w:r>
            <w:r w:rsidRPr="001538FF">
              <w:t>exclusive jurisdiction of Australian Courts. Any contrary agreement or arrangement is unenforceable</w:t>
            </w:r>
            <w:r>
              <w:t>.</w:t>
            </w:r>
          </w:p>
        </w:tc>
        <w:tc>
          <w:tcPr>
            <w:tcW w:w="6095" w:type="dxa"/>
          </w:tcPr>
          <w:p w14:paraId="798786D3" w14:textId="77777777" w:rsidR="006B5722" w:rsidRDefault="006B5722" w:rsidP="009E5A8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Reports</w:t>
            </w:r>
          </w:p>
          <w:p w14:paraId="5F4C3B9F" w14:textId="77777777" w:rsidR="006B5722" w:rsidRPr="00B36B1D" w:rsidRDefault="006B5722" w:rsidP="009E5A85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08D6">
              <w:rPr>
                <w:sz w:val="22"/>
                <w:szCs w:val="22"/>
              </w:rPr>
              <w:t>PJC Report: Chapter 11 (p</w:t>
            </w:r>
            <w:r>
              <w:rPr>
                <w:sz w:val="22"/>
                <w:szCs w:val="22"/>
              </w:rPr>
              <w:t>p</w:t>
            </w:r>
            <w:r w:rsidRPr="00E908D6">
              <w:rPr>
                <w:sz w:val="22"/>
                <w:szCs w:val="22"/>
              </w:rPr>
              <w:t>. 147</w:t>
            </w:r>
            <w:r>
              <w:rPr>
                <w:sz w:val="22"/>
                <w:szCs w:val="22"/>
              </w:rPr>
              <w:t xml:space="preserve"> </w:t>
            </w:r>
            <w:r w:rsidRPr="00E908D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E908D6">
              <w:rPr>
                <w:sz w:val="22"/>
                <w:szCs w:val="22"/>
              </w:rPr>
              <w:t>170)</w:t>
            </w:r>
            <w:r>
              <w:rPr>
                <w:sz w:val="22"/>
                <w:szCs w:val="22"/>
              </w:rPr>
              <w:t xml:space="preserve">, </w:t>
            </w:r>
            <w:r w:rsidRPr="00B36B1D">
              <w:rPr>
                <w:sz w:val="22"/>
                <w:szCs w:val="22"/>
              </w:rPr>
              <w:t>Recommendation 12</w:t>
            </w:r>
          </w:p>
          <w:p w14:paraId="0A981D0E" w14:textId="77777777" w:rsidR="006B5722" w:rsidRPr="00040793" w:rsidRDefault="006B5722" w:rsidP="009E5A85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3B24D7">
              <w:rPr>
                <w:sz w:val="22"/>
                <w:szCs w:val="22"/>
              </w:rPr>
              <w:t>ALRC Report: Section 6 (p</w:t>
            </w:r>
            <w:r>
              <w:rPr>
                <w:sz w:val="22"/>
                <w:szCs w:val="22"/>
              </w:rPr>
              <w:t>p</w:t>
            </w:r>
            <w:r w:rsidRPr="003B24D7">
              <w:rPr>
                <w:sz w:val="22"/>
                <w:szCs w:val="22"/>
              </w:rPr>
              <w:t>. 169 – 177)</w:t>
            </w:r>
            <w:r>
              <w:rPr>
                <w:sz w:val="22"/>
                <w:szCs w:val="22"/>
              </w:rPr>
              <w:t>,</w:t>
            </w:r>
            <w:r w:rsidRPr="00B36B1D">
              <w:rPr>
                <w:sz w:val="22"/>
                <w:szCs w:val="22"/>
              </w:rPr>
              <w:t xml:space="preserve"> Recommendation 14</w:t>
            </w:r>
          </w:p>
          <w:p w14:paraId="089F50D8" w14:textId="77777777" w:rsidR="006B5722" w:rsidRPr="00040793" w:rsidRDefault="006B5722" w:rsidP="009E5A85">
            <w:pPr>
              <w:pStyle w:val="Bullet"/>
              <w:numPr>
                <w:ilvl w:val="0"/>
                <w:numId w:val="0"/>
              </w:numPr>
              <w:spacing w:before="120" w:after="12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40793">
              <w:rPr>
                <w:b/>
                <w:bCs/>
                <w:sz w:val="22"/>
                <w:szCs w:val="22"/>
              </w:rPr>
              <w:t>Supplementary analysis</w:t>
            </w:r>
          </w:p>
          <w:p w14:paraId="62ED2F21" w14:textId="77777777" w:rsidR="006B5722" w:rsidRDefault="006B5722" w:rsidP="009E5A8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E75CF">
              <w:t xml:space="preserve">Section </w:t>
            </w:r>
            <w:r w:rsidRPr="00040793">
              <w:t xml:space="preserve">5: </w:t>
            </w:r>
            <w:r>
              <w:t>E</w:t>
            </w:r>
            <w:r w:rsidRPr="00040793">
              <w:t>xtending the jurisdictional impact of some recommendations</w:t>
            </w:r>
          </w:p>
        </w:tc>
        <w:tc>
          <w:tcPr>
            <w:tcW w:w="1904" w:type="dxa"/>
          </w:tcPr>
          <w:p w14:paraId="4035FBD3" w14:textId="77777777" w:rsidR="006B5722" w:rsidRPr="0010551D" w:rsidRDefault="006B5722" w:rsidP="009E5A85">
            <w:pPr>
              <w:pStyle w:val="Bullet"/>
              <w:numPr>
                <w:ilvl w:val="0"/>
                <w:numId w:val="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36B1D">
              <w:rPr>
                <w:sz w:val="22"/>
                <w:szCs w:val="22"/>
              </w:rPr>
              <w:t>AGD</w:t>
            </w:r>
          </w:p>
        </w:tc>
      </w:tr>
    </w:tbl>
    <w:p w14:paraId="796CB364" w14:textId="3C66D629" w:rsidR="00E449A5" w:rsidRDefault="00E449A5"/>
    <w:sectPr w:rsidR="00E449A5" w:rsidSect="00985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B0B32" w14:textId="77777777" w:rsidR="00724812" w:rsidRDefault="00724812" w:rsidP="00F73F62">
      <w:pPr>
        <w:spacing w:after="0" w:line="240" w:lineRule="auto"/>
      </w:pPr>
      <w:r>
        <w:separator/>
      </w:r>
    </w:p>
  </w:endnote>
  <w:endnote w:type="continuationSeparator" w:id="0">
    <w:p w14:paraId="54163ADE" w14:textId="77777777" w:rsidR="00724812" w:rsidRDefault="00724812" w:rsidP="00F73F62">
      <w:pPr>
        <w:spacing w:after="0" w:line="240" w:lineRule="auto"/>
      </w:pPr>
      <w:r>
        <w:continuationSeparator/>
      </w:r>
    </w:p>
  </w:endnote>
  <w:endnote w:type="continuationNotice" w:id="1">
    <w:p w14:paraId="080CF7EA" w14:textId="77777777" w:rsidR="00724812" w:rsidRDefault="007248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C94F8" w14:textId="77777777" w:rsidR="00946148" w:rsidRDefault="00946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682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7DDCCA" w14:textId="7B218D6D" w:rsidR="000C4C24" w:rsidRDefault="000C4C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14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3773100" w14:textId="77777777" w:rsidR="000C4C24" w:rsidRDefault="000C4C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991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614DC" w14:textId="64A92AEC" w:rsidR="000C4C24" w:rsidRDefault="000C4C24" w:rsidP="007E34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1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9520A" w14:textId="77777777" w:rsidR="00724812" w:rsidRDefault="00724812" w:rsidP="00F73F62">
      <w:pPr>
        <w:spacing w:after="0" w:line="240" w:lineRule="auto"/>
      </w:pPr>
      <w:r>
        <w:separator/>
      </w:r>
    </w:p>
  </w:footnote>
  <w:footnote w:type="continuationSeparator" w:id="0">
    <w:p w14:paraId="1C9CF74E" w14:textId="77777777" w:rsidR="00724812" w:rsidRDefault="00724812" w:rsidP="00F73F62">
      <w:pPr>
        <w:spacing w:after="0" w:line="240" w:lineRule="auto"/>
      </w:pPr>
      <w:r>
        <w:continuationSeparator/>
      </w:r>
    </w:p>
  </w:footnote>
  <w:footnote w:type="continuationNotice" w:id="1">
    <w:p w14:paraId="3749C118" w14:textId="77777777" w:rsidR="00724812" w:rsidRDefault="007248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39AEF" w14:textId="77777777" w:rsidR="00946148" w:rsidRDefault="00946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DFDAE" w14:textId="2B597407" w:rsidR="000C4C24" w:rsidRPr="00985F69" w:rsidRDefault="000C4C24" w:rsidP="00985F69">
    <w:pPr>
      <w:autoSpaceDE w:val="0"/>
      <w:autoSpaceDN w:val="0"/>
      <w:adjustRightInd w:val="0"/>
      <w:spacing w:after="0" w:line="240" w:lineRule="auto"/>
      <w:rPr>
        <w:rFonts w:cstheme="minorHAnsi"/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393FD" w14:textId="3A0B827F" w:rsidR="000C4C24" w:rsidRPr="00B63E54" w:rsidRDefault="00B63E54" w:rsidP="00B63E54">
    <w:pPr>
      <w:pStyle w:val="Heading2"/>
      <w:jc w:val="right"/>
      <w:rPr>
        <w:sz w:val="36"/>
        <w:szCs w:val="36"/>
      </w:rPr>
    </w:pPr>
    <w:r w:rsidRPr="00B63E54">
      <w:rPr>
        <w:sz w:val="36"/>
        <w:szCs w:val="36"/>
      </w:rPr>
      <w:t xml:space="preserve">Attachment A: </w:t>
    </w:r>
    <w:r w:rsidR="000C4C24" w:rsidRPr="00B63E54">
      <w:rPr>
        <w:sz w:val="36"/>
        <w:szCs w:val="36"/>
      </w:rPr>
      <w:t>Proposed litigation funding reforms</w:t>
    </w:r>
    <w:r w:rsidRPr="00B63E54">
      <w:rPr>
        <w:sz w:val="36"/>
        <w:szCs w:val="36"/>
      </w:rPr>
      <w:t xml:space="preserve"> and </w:t>
    </w:r>
    <w:r w:rsidR="00040793">
      <w:rPr>
        <w:sz w:val="36"/>
        <w:szCs w:val="36"/>
      </w:rPr>
      <w:t xml:space="preserve">portfolio </w:t>
    </w:r>
    <w:r w:rsidRPr="00B63E54">
      <w:rPr>
        <w:sz w:val="36"/>
        <w:szCs w:val="36"/>
      </w:rPr>
      <w:t>leads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3296"/>
    <w:multiLevelType w:val="hybridMultilevel"/>
    <w:tmpl w:val="31005856"/>
    <w:lvl w:ilvl="0" w:tplc="A7C60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D6B20"/>
    <w:multiLevelType w:val="multilevel"/>
    <w:tmpl w:val="D6D2DEE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902356A"/>
    <w:multiLevelType w:val="hybridMultilevel"/>
    <w:tmpl w:val="65D28EA0"/>
    <w:lvl w:ilvl="0" w:tplc="189200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E7950"/>
    <w:multiLevelType w:val="multilevel"/>
    <w:tmpl w:val="B53651FE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5597124"/>
    <w:multiLevelType w:val="hybridMultilevel"/>
    <w:tmpl w:val="19509B2C"/>
    <w:lvl w:ilvl="0" w:tplc="9932C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426FD"/>
    <w:multiLevelType w:val="hybridMultilevel"/>
    <w:tmpl w:val="73F2935A"/>
    <w:lvl w:ilvl="0" w:tplc="5560ACC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80025"/>
    <w:multiLevelType w:val="hybridMultilevel"/>
    <w:tmpl w:val="25B04ED0"/>
    <w:lvl w:ilvl="0" w:tplc="7056185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9337D"/>
    <w:multiLevelType w:val="multilevel"/>
    <w:tmpl w:val="D2942E94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68"/>
    <w:rsid w:val="00002085"/>
    <w:rsid w:val="00027F67"/>
    <w:rsid w:val="00040793"/>
    <w:rsid w:val="00041FCB"/>
    <w:rsid w:val="00044037"/>
    <w:rsid w:val="00045612"/>
    <w:rsid w:val="00047C5D"/>
    <w:rsid w:val="000527A9"/>
    <w:rsid w:val="00054E0B"/>
    <w:rsid w:val="0005645B"/>
    <w:rsid w:val="00061318"/>
    <w:rsid w:val="000636C0"/>
    <w:rsid w:val="000717CD"/>
    <w:rsid w:val="00071EF1"/>
    <w:rsid w:val="00075BE0"/>
    <w:rsid w:val="000818B4"/>
    <w:rsid w:val="000A40C1"/>
    <w:rsid w:val="000A7028"/>
    <w:rsid w:val="000B6617"/>
    <w:rsid w:val="000B750F"/>
    <w:rsid w:val="000C4C24"/>
    <w:rsid w:val="000C6393"/>
    <w:rsid w:val="000D6D73"/>
    <w:rsid w:val="000E75CF"/>
    <w:rsid w:val="000F1070"/>
    <w:rsid w:val="0010551D"/>
    <w:rsid w:val="001107A9"/>
    <w:rsid w:val="00114AE6"/>
    <w:rsid w:val="00116C20"/>
    <w:rsid w:val="00122D3C"/>
    <w:rsid w:val="00130B4C"/>
    <w:rsid w:val="001538FF"/>
    <w:rsid w:val="0016335E"/>
    <w:rsid w:val="00163752"/>
    <w:rsid w:val="00182280"/>
    <w:rsid w:val="001A7D63"/>
    <w:rsid w:val="001D1A1F"/>
    <w:rsid w:val="001E0698"/>
    <w:rsid w:val="001F05CE"/>
    <w:rsid w:val="001F6B40"/>
    <w:rsid w:val="001F787B"/>
    <w:rsid w:val="001F79C4"/>
    <w:rsid w:val="00204A5A"/>
    <w:rsid w:val="002075D1"/>
    <w:rsid w:val="0025571A"/>
    <w:rsid w:val="00275144"/>
    <w:rsid w:val="00276C36"/>
    <w:rsid w:val="0028705D"/>
    <w:rsid w:val="00292833"/>
    <w:rsid w:val="002C3053"/>
    <w:rsid w:val="002E3A3B"/>
    <w:rsid w:val="0030028C"/>
    <w:rsid w:val="00347F64"/>
    <w:rsid w:val="00350CA8"/>
    <w:rsid w:val="003732AB"/>
    <w:rsid w:val="00394C27"/>
    <w:rsid w:val="003B24D7"/>
    <w:rsid w:val="003C30F7"/>
    <w:rsid w:val="003C3BDD"/>
    <w:rsid w:val="003C571E"/>
    <w:rsid w:val="003D6C29"/>
    <w:rsid w:val="003E33D6"/>
    <w:rsid w:val="003E4428"/>
    <w:rsid w:val="003E6DB5"/>
    <w:rsid w:val="003F4BBF"/>
    <w:rsid w:val="00402F58"/>
    <w:rsid w:val="004032CA"/>
    <w:rsid w:val="004142D7"/>
    <w:rsid w:val="0043713D"/>
    <w:rsid w:val="004466A1"/>
    <w:rsid w:val="00462C0B"/>
    <w:rsid w:val="004712E9"/>
    <w:rsid w:val="00494CDF"/>
    <w:rsid w:val="004B5CDF"/>
    <w:rsid w:val="004C2AF7"/>
    <w:rsid w:val="004D7B24"/>
    <w:rsid w:val="004E3B7C"/>
    <w:rsid w:val="004F1CF6"/>
    <w:rsid w:val="004F5952"/>
    <w:rsid w:val="00545423"/>
    <w:rsid w:val="00555421"/>
    <w:rsid w:val="00555D01"/>
    <w:rsid w:val="00557524"/>
    <w:rsid w:val="00565401"/>
    <w:rsid w:val="005671A5"/>
    <w:rsid w:val="005719D4"/>
    <w:rsid w:val="00573E7F"/>
    <w:rsid w:val="00583BE3"/>
    <w:rsid w:val="005A0EB7"/>
    <w:rsid w:val="005A1105"/>
    <w:rsid w:val="005A1B50"/>
    <w:rsid w:val="005B1DE0"/>
    <w:rsid w:val="005D778B"/>
    <w:rsid w:val="005F4D3E"/>
    <w:rsid w:val="005F5F3E"/>
    <w:rsid w:val="0064396B"/>
    <w:rsid w:val="00654A22"/>
    <w:rsid w:val="00667B49"/>
    <w:rsid w:val="00675196"/>
    <w:rsid w:val="00691FB9"/>
    <w:rsid w:val="006A08A5"/>
    <w:rsid w:val="006B554E"/>
    <w:rsid w:val="006B5722"/>
    <w:rsid w:val="006F22E3"/>
    <w:rsid w:val="00724812"/>
    <w:rsid w:val="007265EF"/>
    <w:rsid w:val="007333BA"/>
    <w:rsid w:val="00735513"/>
    <w:rsid w:val="00747BB8"/>
    <w:rsid w:val="007645C1"/>
    <w:rsid w:val="007C4482"/>
    <w:rsid w:val="007E0940"/>
    <w:rsid w:val="007E34D1"/>
    <w:rsid w:val="007E5591"/>
    <w:rsid w:val="007F3FFE"/>
    <w:rsid w:val="007F5EF9"/>
    <w:rsid w:val="00813F6D"/>
    <w:rsid w:val="00821EF7"/>
    <w:rsid w:val="00834BB7"/>
    <w:rsid w:val="00835751"/>
    <w:rsid w:val="00881C71"/>
    <w:rsid w:val="008A0B0F"/>
    <w:rsid w:val="008B5A85"/>
    <w:rsid w:val="008C18C6"/>
    <w:rsid w:val="008D2718"/>
    <w:rsid w:val="008F47E6"/>
    <w:rsid w:val="00904C3E"/>
    <w:rsid w:val="0090761C"/>
    <w:rsid w:val="00946148"/>
    <w:rsid w:val="00976621"/>
    <w:rsid w:val="00985F69"/>
    <w:rsid w:val="009876E1"/>
    <w:rsid w:val="009A1367"/>
    <w:rsid w:val="009A645D"/>
    <w:rsid w:val="009F73D2"/>
    <w:rsid w:val="00A031EB"/>
    <w:rsid w:val="00A105C2"/>
    <w:rsid w:val="00A2224C"/>
    <w:rsid w:val="00A515B9"/>
    <w:rsid w:val="00A77E2D"/>
    <w:rsid w:val="00A8614F"/>
    <w:rsid w:val="00A96170"/>
    <w:rsid w:val="00AB055D"/>
    <w:rsid w:val="00AD671E"/>
    <w:rsid w:val="00AE2469"/>
    <w:rsid w:val="00AF4978"/>
    <w:rsid w:val="00B01659"/>
    <w:rsid w:val="00B15568"/>
    <w:rsid w:val="00B36B1D"/>
    <w:rsid w:val="00B371EE"/>
    <w:rsid w:val="00B553F2"/>
    <w:rsid w:val="00B63E54"/>
    <w:rsid w:val="00B91A55"/>
    <w:rsid w:val="00B94C39"/>
    <w:rsid w:val="00BB2CFF"/>
    <w:rsid w:val="00BB5A6B"/>
    <w:rsid w:val="00C03F06"/>
    <w:rsid w:val="00C218C3"/>
    <w:rsid w:val="00C45A28"/>
    <w:rsid w:val="00C86191"/>
    <w:rsid w:val="00CD4258"/>
    <w:rsid w:val="00CE0854"/>
    <w:rsid w:val="00D06930"/>
    <w:rsid w:val="00D177D7"/>
    <w:rsid w:val="00D41CCD"/>
    <w:rsid w:val="00D53D33"/>
    <w:rsid w:val="00D81274"/>
    <w:rsid w:val="00D87C27"/>
    <w:rsid w:val="00DA0A9E"/>
    <w:rsid w:val="00DA5924"/>
    <w:rsid w:val="00DB034C"/>
    <w:rsid w:val="00DC139C"/>
    <w:rsid w:val="00DC14C8"/>
    <w:rsid w:val="00DC4305"/>
    <w:rsid w:val="00DE2E17"/>
    <w:rsid w:val="00E11677"/>
    <w:rsid w:val="00E15612"/>
    <w:rsid w:val="00E449A5"/>
    <w:rsid w:val="00E465A4"/>
    <w:rsid w:val="00E76B64"/>
    <w:rsid w:val="00E779AD"/>
    <w:rsid w:val="00E8170E"/>
    <w:rsid w:val="00E82E7D"/>
    <w:rsid w:val="00E86B08"/>
    <w:rsid w:val="00E908D6"/>
    <w:rsid w:val="00F0173E"/>
    <w:rsid w:val="00F063C5"/>
    <w:rsid w:val="00F06BA2"/>
    <w:rsid w:val="00F102FE"/>
    <w:rsid w:val="00F241FE"/>
    <w:rsid w:val="00F35347"/>
    <w:rsid w:val="00F53613"/>
    <w:rsid w:val="00F73F62"/>
    <w:rsid w:val="00F92226"/>
    <w:rsid w:val="00FA19E6"/>
    <w:rsid w:val="00FB5079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816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75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1556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1556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B1556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E449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62"/>
  </w:style>
  <w:style w:type="paragraph" w:styleId="Footer">
    <w:name w:val="footer"/>
    <w:basedOn w:val="Normal"/>
    <w:link w:val="FooterChar"/>
    <w:uiPriority w:val="99"/>
    <w:unhideWhenUsed/>
    <w:rsid w:val="00F73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62"/>
  </w:style>
  <w:style w:type="paragraph" w:customStyle="1" w:styleId="Bullet">
    <w:name w:val="Bullet"/>
    <w:basedOn w:val="Normal"/>
    <w:link w:val="BulletChar"/>
    <w:rsid w:val="002075D1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cstheme="minorHAnsi"/>
      <w:sz w:val="24"/>
      <w:szCs w:val="24"/>
    </w:rPr>
  </w:style>
  <w:style w:type="character" w:customStyle="1" w:styleId="BulletChar">
    <w:name w:val="Bullet Char"/>
    <w:basedOn w:val="DefaultParagraphFont"/>
    <w:link w:val="Bullet"/>
    <w:rsid w:val="002075D1"/>
    <w:rPr>
      <w:rFonts w:cstheme="minorHAnsi"/>
      <w:sz w:val="24"/>
      <w:szCs w:val="24"/>
    </w:rPr>
  </w:style>
  <w:style w:type="paragraph" w:customStyle="1" w:styleId="Dash">
    <w:name w:val="Dash"/>
    <w:basedOn w:val="Normal"/>
    <w:link w:val="DashChar"/>
    <w:rsid w:val="002075D1"/>
    <w:pPr>
      <w:numPr>
        <w:ilvl w:val="1"/>
        <w:numId w:val="1"/>
      </w:numPr>
      <w:autoSpaceDE w:val="0"/>
      <w:autoSpaceDN w:val="0"/>
      <w:adjustRightInd w:val="0"/>
      <w:spacing w:after="0" w:line="240" w:lineRule="auto"/>
    </w:pPr>
    <w:rPr>
      <w:rFonts w:cstheme="minorHAnsi"/>
      <w:sz w:val="24"/>
      <w:szCs w:val="24"/>
    </w:rPr>
  </w:style>
  <w:style w:type="character" w:customStyle="1" w:styleId="DashChar">
    <w:name w:val="Dash Char"/>
    <w:basedOn w:val="DefaultParagraphFont"/>
    <w:link w:val="Dash"/>
    <w:rsid w:val="002075D1"/>
    <w:rPr>
      <w:rFonts w:cstheme="minorHAnsi"/>
      <w:sz w:val="24"/>
      <w:szCs w:val="24"/>
    </w:rPr>
  </w:style>
  <w:style w:type="paragraph" w:customStyle="1" w:styleId="DoubleDot">
    <w:name w:val="Double Dot"/>
    <w:basedOn w:val="Normal"/>
    <w:link w:val="DoubleDotChar"/>
    <w:rsid w:val="002075D1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cstheme="minorHAnsi"/>
      <w:sz w:val="24"/>
      <w:szCs w:val="24"/>
    </w:rPr>
  </w:style>
  <w:style w:type="character" w:customStyle="1" w:styleId="DoubleDotChar">
    <w:name w:val="Double Dot Char"/>
    <w:basedOn w:val="DefaultParagraphFont"/>
    <w:link w:val="DoubleDot"/>
    <w:rsid w:val="002075D1"/>
    <w:rPr>
      <w:rFonts w:cstheme="minorHAns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075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OutlineNumbered1">
    <w:name w:val="Outline Numbered 1"/>
    <w:basedOn w:val="Normal"/>
    <w:link w:val="OutlineNumbered1Char"/>
    <w:rsid w:val="001538FF"/>
    <w:pPr>
      <w:framePr w:hSpace="180" w:wrap="around" w:vAnchor="page" w:hAnchor="margin" w:y="2231"/>
      <w:numPr>
        <w:numId w:val="2"/>
      </w:numPr>
      <w:spacing w:after="0" w:line="240" w:lineRule="auto"/>
    </w:pPr>
  </w:style>
  <w:style w:type="character" w:customStyle="1" w:styleId="OutlineNumbered1Char">
    <w:name w:val="Outline Numbered 1 Char"/>
    <w:basedOn w:val="DefaultParagraphFont"/>
    <w:link w:val="OutlineNumbered1"/>
    <w:rsid w:val="001538FF"/>
  </w:style>
  <w:style w:type="paragraph" w:customStyle="1" w:styleId="OutlineNumbered2">
    <w:name w:val="Outline Numbered 2"/>
    <w:basedOn w:val="Normal"/>
    <w:link w:val="OutlineNumbered2Char"/>
    <w:rsid w:val="001538FF"/>
    <w:pPr>
      <w:framePr w:hSpace="180" w:wrap="around" w:vAnchor="page" w:hAnchor="margin" w:y="2231"/>
      <w:numPr>
        <w:ilvl w:val="1"/>
        <w:numId w:val="2"/>
      </w:numPr>
      <w:spacing w:after="0" w:line="240" w:lineRule="auto"/>
    </w:pPr>
  </w:style>
  <w:style w:type="character" w:customStyle="1" w:styleId="OutlineNumbered2Char">
    <w:name w:val="Outline Numbered 2 Char"/>
    <w:basedOn w:val="DefaultParagraphFont"/>
    <w:link w:val="OutlineNumbered2"/>
    <w:rsid w:val="001538FF"/>
  </w:style>
  <w:style w:type="paragraph" w:customStyle="1" w:styleId="OutlineNumbered3">
    <w:name w:val="Outline Numbered 3"/>
    <w:basedOn w:val="Normal"/>
    <w:link w:val="OutlineNumbered3Char"/>
    <w:rsid w:val="001538FF"/>
    <w:pPr>
      <w:framePr w:hSpace="180" w:wrap="around" w:vAnchor="page" w:hAnchor="margin" w:y="2231"/>
      <w:numPr>
        <w:ilvl w:val="2"/>
        <w:numId w:val="2"/>
      </w:numPr>
      <w:spacing w:after="0" w:line="240" w:lineRule="auto"/>
    </w:pPr>
  </w:style>
  <w:style w:type="character" w:customStyle="1" w:styleId="OutlineNumbered3Char">
    <w:name w:val="Outline Numbered 3 Char"/>
    <w:basedOn w:val="DefaultParagraphFont"/>
    <w:link w:val="OutlineNumbered3"/>
    <w:rsid w:val="001538FF"/>
  </w:style>
  <w:style w:type="paragraph" w:customStyle="1" w:styleId="Default">
    <w:name w:val="Default"/>
    <w:rsid w:val="00A22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83">
    <w:name w:val="CM83"/>
    <w:basedOn w:val="Default"/>
    <w:next w:val="Default"/>
    <w:uiPriority w:val="99"/>
    <w:rsid w:val="00A2224C"/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726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5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5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5EF"/>
    <w:rPr>
      <w:b/>
      <w:bCs/>
      <w:sz w:val="20"/>
      <w:szCs w:val="20"/>
    </w:rPr>
  </w:style>
  <w:style w:type="paragraph" w:customStyle="1" w:styleId="paragraphsub">
    <w:name w:val="paragraph(sub)"/>
    <w:aliases w:val="aa"/>
    <w:basedOn w:val="Normal"/>
    <w:rsid w:val="00F241FE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F241FE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F241FE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2021-11-03T03:53:00Z</dcterms:created>
  <dcterms:modified xsi:type="dcterms:W3CDTF">2021-11-03T03:53:00Z</dcterms:modified>
</cp:coreProperties>
</file>